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7239" w14:textId="77777777" w:rsidR="000A6D5E" w:rsidRDefault="000A6D5E" w:rsidP="000A6D5E">
      <w:pPr>
        <w:pStyle w:val="box482722"/>
        <w:shd w:val="clear" w:color="auto" w:fill="FFFFFF"/>
        <w:spacing w:before="0" w:beforeAutospacing="0" w:after="48" w:afterAutospacing="0"/>
        <w:jc w:val="center"/>
        <w:textAlignment w:val="baseline"/>
        <w:rPr>
          <w:b/>
          <w:bCs/>
          <w:caps/>
          <w:color w:val="231F20"/>
          <w:sz w:val="43"/>
          <w:szCs w:val="43"/>
        </w:rPr>
      </w:pPr>
      <w:r>
        <w:rPr>
          <w:b/>
          <w:bCs/>
          <w:caps/>
          <w:color w:val="231F20"/>
          <w:sz w:val="43"/>
          <w:szCs w:val="43"/>
        </w:rPr>
        <w:t>HRVATSKI SABOR</w:t>
      </w:r>
    </w:p>
    <w:p w14:paraId="5C18E1A7" w14:textId="77777777" w:rsidR="000A6D5E" w:rsidRDefault="000A6D5E" w:rsidP="000A6D5E">
      <w:pPr>
        <w:pStyle w:val="box482722"/>
        <w:shd w:val="clear" w:color="auto" w:fill="FFFFFF"/>
        <w:spacing w:before="0" w:beforeAutospacing="0" w:after="48" w:afterAutospacing="0"/>
        <w:jc w:val="right"/>
        <w:textAlignment w:val="baseline"/>
        <w:rPr>
          <w:b/>
          <w:bCs/>
          <w:color w:val="231F20"/>
          <w:sz w:val="22"/>
          <w:szCs w:val="22"/>
        </w:rPr>
      </w:pPr>
      <w:r>
        <w:rPr>
          <w:b/>
          <w:bCs/>
          <w:color w:val="231F20"/>
          <w:sz w:val="22"/>
          <w:szCs w:val="22"/>
        </w:rPr>
        <w:t>118</w:t>
      </w:r>
    </w:p>
    <w:p w14:paraId="4195A18E"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Na temelju članka 89. Ustava Republike Hrvatske, donosim</w:t>
      </w:r>
    </w:p>
    <w:p w14:paraId="24638EEB" w14:textId="77777777" w:rsidR="000A6D5E" w:rsidRDefault="000A6D5E" w:rsidP="000A6D5E">
      <w:pPr>
        <w:pStyle w:val="box482722"/>
        <w:shd w:val="clear" w:color="auto" w:fill="FFFFFF"/>
        <w:spacing w:before="153" w:beforeAutospacing="0" w:after="0" w:afterAutospacing="0"/>
        <w:jc w:val="center"/>
        <w:textAlignment w:val="baseline"/>
        <w:rPr>
          <w:b/>
          <w:bCs/>
          <w:color w:val="231F20"/>
          <w:sz w:val="38"/>
          <w:szCs w:val="38"/>
        </w:rPr>
      </w:pPr>
      <w:r>
        <w:rPr>
          <w:b/>
          <w:bCs/>
          <w:color w:val="231F20"/>
          <w:sz w:val="38"/>
          <w:szCs w:val="38"/>
        </w:rPr>
        <w:t>ODLUKU</w:t>
      </w:r>
    </w:p>
    <w:p w14:paraId="1A6E880B" w14:textId="77777777" w:rsidR="000A6D5E" w:rsidRDefault="000A6D5E" w:rsidP="000A6D5E">
      <w:pPr>
        <w:pStyle w:val="box482722"/>
        <w:shd w:val="clear" w:color="auto" w:fill="FFFFFF"/>
        <w:spacing w:before="68" w:beforeAutospacing="0" w:after="72" w:afterAutospacing="0"/>
        <w:jc w:val="center"/>
        <w:textAlignment w:val="baseline"/>
        <w:rPr>
          <w:b/>
          <w:bCs/>
          <w:color w:val="231F20"/>
          <w:sz w:val="29"/>
          <w:szCs w:val="29"/>
        </w:rPr>
      </w:pPr>
      <w:r>
        <w:rPr>
          <w:b/>
          <w:bCs/>
          <w:color w:val="231F20"/>
          <w:sz w:val="29"/>
          <w:szCs w:val="29"/>
        </w:rPr>
        <w:t>O PROGLAŠENJU ZAKONA O IZMJENAMA I DOPUNAMA ZAKONA O MIROVINSKIM OSIGURAVAJUĆIM DRUŠTVIMA</w:t>
      </w:r>
    </w:p>
    <w:p w14:paraId="1D65CA17"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Proglašavam Zakon o izmjenama i dopunama Zakona o mirovinskim osiguravajućim društvima, koji je Hrvatski sabor donio na sjednici 29. siječnja 2026.</w:t>
      </w:r>
    </w:p>
    <w:p w14:paraId="6506A1C1" w14:textId="77777777" w:rsidR="000A6D5E" w:rsidRDefault="000A6D5E" w:rsidP="000A6D5E">
      <w:pPr>
        <w:pStyle w:val="box482722"/>
        <w:shd w:val="clear" w:color="auto" w:fill="FFFFFF"/>
        <w:spacing w:before="0" w:beforeAutospacing="0" w:after="0" w:afterAutospacing="0"/>
        <w:ind w:left="408"/>
        <w:textAlignment w:val="baseline"/>
        <w:rPr>
          <w:color w:val="231F20"/>
        </w:rPr>
      </w:pPr>
      <w:r>
        <w:rPr>
          <w:color w:val="231F20"/>
        </w:rPr>
        <w:t>Klasa: 011-02/26-02/07</w:t>
      </w:r>
      <w:r>
        <w:rPr>
          <w:rFonts w:ascii="Minion Pro" w:hAnsi="Minion Pro"/>
          <w:color w:val="231F20"/>
        </w:rPr>
        <w:br/>
      </w:r>
      <w:proofErr w:type="spellStart"/>
      <w:r>
        <w:rPr>
          <w:color w:val="231F20"/>
        </w:rPr>
        <w:t>Urbroj</w:t>
      </w:r>
      <w:proofErr w:type="spellEnd"/>
      <w:r>
        <w:rPr>
          <w:color w:val="231F20"/>
        </w:rPr>
        <w:t>: 71-10-01/1-26-2</w:t>
      </w:r>
      <w:r>
        <w:rPr>
          <w:rFonts w:ascii="Minion Pro" w:hAnsi="Minion Pro"/>
          <w:color w:val="231F20"/>
        </w:rPr>
        <w:br/>
      </w:r>
      <w:r>
        <w:rPr>
          <w:color w:val="231F20"/>
        </w:rPr>
        <w:t>Zagreb, 2. veljače 2026.</w:t>
      </w:r>
    </w:p>
    <w:p w14:paraId="4A785B4E" w14:textId="77777777" w:rsidR="000A6D5E" w:rsidRDefault="000A6D5E" w:rsidP="000A6D5E">
      <w:pPr>
        <w:pStyle w:val="box482722"/>
        <w:shd w:val="clear" w:color="auto" w:fill="FFFFFF"/>
        <w:spacing w:before="0" w:beforeAutospacing="0" w:after="0" w:afterAutospacing="0"/>
        <w:ind w:left="2712"/>
        <w:jc w:val="center"/>
        <w:textAlignment w:val="baseline"/>
        <w:rPr>
          <w:color w:val="231F20"/>
        </w:rPr>
      </w:pPr>
      <w:r>
        <w:rPr>
          <w:color w:val="231F20"/>
        </w:rPr>
        <w:t>Predsjednik</w:t>
      </w:r>
      <w:r>
        <w:rPr>
          <w:rFonts w:ascii="Minion Pro" w:hAnsi="Minion Pro"/>
          <w:color w:val="231F20"/>
        </w:rPr>
        <w:br/>
      </w:r>
      <w:r>
        <w:rPr>
          <w:color w:val="231F20"/>
        </w:rPr>
        <w:t>Republike Hrvatske</w:t>
      </w:r>
      <w:r>
        <w:rPr>
          <w:rFonts w:ascii="Minion Pro" w:hAnsi="Minion Pro"/>
          <w:color w:val="231F20"/>
        </w:rPr>
        <w:br/>
      </w:r>
      <w:r>
        <w:rPr>
          <w:rStyle w:val="bold"/>
          <w:rFonts w:ascii="Minion Pro" w:eastAsiaTheme="majorEastAsia" w:hAnsi="Minion Pro"/>
          <w:b/>
          <w:bCs/>
          <w:color w:val="231F20"/>
          <w:bdr w:val="none" w:sz="0" w:space="0" w:color="auto" w:frame="1"/>
        </w:rPr>
        <w:t>Zoran Milanović, </w:t>
      </w:r>
      <w:r>
        <w:rPr>
          <w:color w:val="231F20"/>
        </w:rPr>
        <w:t>v. r.</w:t>
      </w:r>
    </w:p>
    <w:p w14:paraId="06539249" w14:textId="77777777" w:rsidR="000A6D5E" w:rsidRDefault="000A6D5E" w:rsidP="000A6D5E">
      <w:pPr>
        <w:pStyle w:val="box482722"/>
        <w:shd w:val="clear" w:color="auto" w:fill="FFFFFF"/>
        <w:spacing w:before="153" w:beforeAutospacing="0" w:after="0" w:afterAutospacing="0"/>
        <w:jc w:val="center"/>
        <w:textAlignment w:val="baseline"/>
        <w:rPr>
          <w:b/>
          <w:bCs/>
          <w:color w:val="231F20"/>
          <w:sz w:val="38"/>
          <w:szCs w:val="38"/>
        </w:rPr>
      </w:pPr>
      <w:r>
        <w:rPr>
          <w:b/>
          <w:bCs/>
          <w:color w:val="231F20"/>
          <w:sz w:val="38"/>
          <w:szCs w:val="38"/>
        </w:rPr>
        <w:t>ZAKON</w:t>
      </w:r>
    </w:p>
    <w:p w14:paraId="4F1FB0EB" w14:textId="77777777" w:rsidR="000A6D5E" w:rsidRDefault="000A6D5E" w:rsidP="000A6D5E">
      <w:pPr>
        <w:pStyle w:val="box482722"/>
        <w:shd w:val="clear" w:color="auto" w:fill="FFFFFF"/>
        <w:spacing w:before="68" w:beforeAutospacing="0" w:after="72" w:afterAutospacing="0"/>
        <w:jc w:val="center"/>
        <w:textAlignment w:val="baseline"/>
        <w:rPr>
          <w:b/>
          <w:bCs/>
          <w:color w:val="231F20"/>
          <w:sz w:val="29"/>
          <w:szCs w:val="29"/>
        </w:rPr>
      </w:pPr>
      <w:r>
        <w:rPr>
          <w:b/>
          <w:bCs/>
          <w:color w:val="231F20"/>
          <w:sz w:val="29"/>
          <w:szCs w:val="29"/>
        </w:rPr>
        <w:t>O IZMJENAMA I DOPUNAMA ZAKONA O MIROVINSKIM OSIGURAVAJUĆIM DRUŠTVIMA</w:t>
      </w:r>
    </w:p>
    <w:p w14:paraId="0DD2FC45"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1.</w:t>
      </w:r>
    </w:p>
    <w:p w14:paraId="72248ED2"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Zakonu o mirovinskim osiguravajućim društvima (»Narodne novine«, br. 22/14., 29/18., 115/18., 156/23. i 52/25.) u članku 2. podstavak 6. mijenja se i glasi:</w:t>
      </w:r>
    </w:p>
    <w:p w14:paraId="7F88117C"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 – Direktiva (EU) 2016/2341 Europskog parlamenta i Vijeća od 14. prosinca 2016. o djelatnostima i nadzoru institucija za strukovno mirovinsko osiguranje (SL L 354, 23. 12. 2016.) kako je posljednji put izmijenjena Direktivom (EU) 2023/2864 Europskog parlamenta i Vijeća od 13. prosinca 2023. o izmjeni određenih direktiva u pogledu uspostave i funkcioniranja jedinstvene europske pristupne točke (SL L 2023/2864, 20. 12. 2023.).«.</w:t>
      </w:r>
    </w:p>
    <w:p w14:paraId="2213C459"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2.</w:t>
      </w:r>
    </w:p>
    <w:p w14:paraId="6B605F60"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članku 41. stavku 5. riječi: »stavka 8. istoga članka« zamjenjuju se riječima: »članka 38. stavka 1. točke 11. ovoga Zakona«.</w:t>
      </w:r>
    </w:p>
    <w:p w14:paraId="6B37C5EE"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3.</w:t>
      </w:r>
    </w:p>
    <w:p w14:paraId="55B13691"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članku 66. iza stavka 5. dodaju se stavci 6. do 11. koji glase:</w:t>
      </w:r>
    </w:p>
    <w:p w14:paraId="0A87434D"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»(6) Kada Društvo objavljuje informacije iz stavka 5. ovoga članka, dužno je istodobno s njihovom javnom objavom dostaviti te informacije Agenciji za potrebe njihove dostupnosti na jedinstvenoj europskoj pristupnoj točki uspostavljenoj na temelju Uredbe (EU) 2023/2859 Europskog parlamenta i Vijeća od 13. prosinca 2023. o uspostavi jedinstvene europske pristupne točke za centralizirani pristup javno dostupnim informacijama koje su od važnosti za financijske usluge, tržišta kapitala i održivost (SL L 2023/2859, 20. 12. 2023., u daljnjem tekstu: Uredba (EU) 2023/2859).</w:t>
      </w:r>
    </w:p>
    <w:p w14:paraId="022DA6A9"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(7) Informacije iz stavka 6. ovoga članka, a koje Društvo dostavlja Agenciji za potrebe njihove dostupnosti na jedinstvenoj europskoj pristupnoj točki uspostavljenoj na temelju Uredbe (EU) 2023/2859, odnose se isključivo na dio poslovanja Društva koji se odnosi na isplatu mirovina u okviru dobrovoljnog mirovinskog osiguranja u skladu s mirovinskim programima Društva na temelju individualne kapitalizirane štednje člana zatvorenog dobrovoljnog mirovinskog fonda.</w:t>
      </w:r>
    </w:p>
    <w:p w14:paraId="2C5F5206"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lastRenderedPageBreak/>
        <w:t>(8) Društvo je dužno osigurati da informacije iz stavka 6. ovoga članka ispunjavaju sljedeće zahtjeve:</w:t>
      </w:r>
    </w:p>
    <w:p w14:paraId="5FDA8599"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1. da se dostavljaju u formatu iz kojeg se mogu izdvojiti podaci kako je definirano u članku 2. točki 3. Uredbe (EU) 2023/2859 ili, ako je to propisano pravom Europske unije, u strojno čitljivom formatu kako je definirano u članku 2. točki 4. te Uredbe</w:t>
      </w:r>
    </w:p>
    <w:p w14:paraId="5D44321F"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 xml:space="preserve">2. da su im priloženi sljedeći </w:t>
      </w:r>
      <w:proofErr w:type="spellStart"/>
      <w:r>
        <w:rPr>
          <w:color w:val="231F20"/>
        </w:rPr>
        <w:t>metapodaci</w:t>
      </w:r>
      <w:proofErr w:type="spellEnd"/>
      <w:r>
        <w:rPr>
          <w:color w:val="231F20"/>
        </w:rPr>
        <w:t>:</w:t>
      </w:r>
    </w:p>
    <w:p w14:paraId="1C43AC8D"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a) svi nazivi Društva na koje se informacije odnose</w:t>
      </w:r>
    </w:p>
    <w:p w14:paraId="6B3F562A"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b) identifikacijska oznaka pravne osobe Društva kako je utvrđena u skladu s člankom 7. stavkom 4. točkom (b) Uredbe (EU) 2023/2859</w:t>
      </w:r>
    </w:p>
    <w:p w14:paraId="77D98B41"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c) veličina Društva po kategorijama kako su utvrđene u skladu s člankom 7. stavkom 4. točkom (d) Uredbe (EU) 2023/2859</w:t>
      </w:r>
    </w:p>
    <w:p w14:paraId="6FC04282"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d) vrsta informacija kako je klasificirana u skladu s člankom 7. stavkom 4. točkom (c) Uredbe (EU) 2023/2859 i</w:t>
      </w:r>
    </w:p>
    <w:p w14:paraId="3DC465D8"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e) naznaka o tome sadržavaju li informacije osobne podatke.</w:t>
      </w:r>
    </w:p>
    <w:p w14:paraId="3283E99C"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 xml:space="preserve">(9) Ako Društvo nema identifikacijsku oznaku pravne osobe iz stavka 8. točke 2. </w:t>
      </w:r>
      <w:proofErr w:type="spellStart"/>
      <w:r>
        <w:rPr>
          <w:color w:val="231F20"/>
        </w:rPr>
        <w:t>podtočke</w:t>
      </w:r>
      <w:proofErr w:type="spellEnd"/>
      <w:r>
        <w:rPr>
          <w:color w:val="231F20"/>
        </w:rPr>
        <w:t xml:space="preserve"> b) ovoga članka, dužno ju je ishoditi prije dostave informacija iz stavka 6. ovoga članka.</w:t>
      </w:r>
    </w:p>
    <w:p w14:paraId="09A5CCDB"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(10) Agencija je dužna osigurati da su informacije iz stavka 6. ovoga članka dostupne na jedinstvenoj europskoj pristupnoj točki te da iste ispunjavaju zahtjeve iz stavka 8. ovoga članka.</w:t>
      </w:r>
    </w:p>
    <w:p w14:paraId="38B0B677"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(11) Agencija je, u smislu ovoga Zakona, tijelo za prikupljanje kako je definirano u članku 2. točki 2. Uredbe (EU) 2023/2859.«.</w:t>
      </w:r>
    </w:p>
    <w:p w14:paraId="6E54C2F4"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4.</w:t>
      </w:r>
    </w:p>
    <w:p w14:paraId="44C7EEAC"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članku 70. ispred riječi: »Društvo« dodaje se oznaka stavka: »(1)«.</w:t>
      </w:r>
    </w:p>
    <w:p w14:paraId="451C02D8"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Iza stavka 1. dodaju se stavci 2. do 6. koji glase:</w:t>
      </w:r>
    </w:p>
    <w:p w14:paraId="5EA5E173"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»(2) Kada Društvo objavljuje revidirane godišnje financijske izvještaje Društva iz stavka 1. točke 3. ovoga članka i izjavu o načelima ulaganja iz stavka 1. točke 4. ovoga članka, dužno je istodobno s javnom objavom tih informacija iste dostaviti Agenciji za potrebe njihove dostupnosti na jedinstvenoj europskoj pristupnoj točki uspostavljenoj na temelju Uredbe (EU) 2023/2859.</w:t>
      </w:r>
    </w:p>
    <w:p w14:paraId="1CC6CF79"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(3) Informacije iz stavka 2. ovoga članka, a koje Društvo dostavlja Agenciji za potrebe njihove dostupnosti na jedinstvenoj europskoj pristupnoj točki uspostavljenoj na temelju Uredbe (EU) 2023/2859, odnose se isključivo na dio poslovanja Društva koji se odnosi na isplatu mirovina u okviru dobrovoljnog mirovinskog osiguranja u skladu s mirovinskim programima Društva na temelju individualne kapitalizirane štednje člana zatvorenog dobrovoljnog mirovinskog fonda.</w:t>
      </w:r>
    </w:p>
    <w:p w14:paraId="12120E81"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(4) Društvo je dužno osigurati da informacije iz stavka 2. ovoga članka ispunjavaju sljedeće zahtjeve:</w:t>
      </w:r>
    </w:p>
    <w:p w14:paraId="59C33185"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1. da se dostavljaju u formatu iz kojeg se mogu izdvojiti podaci kako je definirano u članku 2. točki 3. Uredbe (EU) 2023/2859 ili, ako je to propisano pravom Europske unije, u strojno čitljivom formatu kako je definirano u članku 2. točki 4. te Uredbe</w:t>
      </w:r>
    </w:p>
    <w:p w14:paraId="304FA02C"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 xml:space="preserve">2. da su im priloženi sljedeći </w:t>
      </w:r>
      <w:proofErr w:type="spellStart"/>
      <w:r>
        <w:rPr>
          <w:color w:val="231F20"/>
        </w:rPr>
        <w:t>metapodaci</w:t>
      </w:r>
      <w:proofErr w:type="spellEnd"/>
      <w:r>
        <w:rPr>
          <w:color w:val="231F20"/>
        </w:rPr>
        <w:t>:</w:t>
      </w:r>
    </w:p>
    <w:p w14:paraId="79C07E30"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a) svi nazivi Društva na koje se informacije odnose</w:t>
      </w:r>
    </w:p>
    <w:p w14:paraId="68B5FF35"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b) identifikacijska oznaka pravne osobe Društva kako je utvrđena u skladu s člankom 7. stavkom 4. točkom (b) Uredbe (EU) 2023/2859</w:t>
      </w:r>
    </w:p>
    <w:p w14:paraId="290C7331"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lastRenderedPageBreak/>
        <w:t>c) veličina Društva po kategorijama kako su utvrđene u skladu s člankom 7. stavkom 4. točkom (d) Uredbe (EU) 2023/2859</w:t>
      </w:r>
    </w:p>
    <w:p w14:paraId="5DABD798"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d) vrsta informacija kako je klasificirana u skladu s člankom 7. stavkom 4. točkom (c) Uredbe (EU) 2023/2859 i</w:t>
      </w:r>
    </w:p>
    <w:p w14:paraId="247AD649"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e) naznaka o tome sadržavaju li informacije osobne podatke.</w:t>
      </w:r>
    </w:p>
    <w:p w14:paraId="177B6FDC"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 xml:space="preserve">(5) Ako Društvo nema identifikacijsku oznaku pravne osobe iz stavka 4. točke 2. </w:t>
      </w:r>
      <w:proofErr w:type="spellStart"/>
      <w:r>
        <w:rPr>
          <w:color w:val="231F20"/>
        </w:rPr>
        <w:t>podtočke</w:t>
      </w:r>
      <w:proofErr w:type="spellEnd"/>
      <w:r>
        <w:rPr>
          <w:color w:val="231F20"/>
        </w:rPr>
        <w:t xml:space="preserve"> b) ovoga članka, dužno ju je ishoditi prije dostave informacija iz stavka 2. ovoga članka.</w:t>
      </w:r>
    </w:p>
    <w:p w14:paraId="757F0D61"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(6) Agencija je dužna osigurati da su informacije iz stavka 2. ovoga članka dostupne na jedinstvenoj europskoj pristupnoj točki te da iste ispunjavaju zahtjeve iz stavka 4. ovoga članka.«.</w:t>
      </w:r>
    </w:p>
    <w:p w14:paraId="263146DD"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5.</w:t>
      </w:r>
    </w:p>
    <w:p w14:paraId="4B78533E"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članku 82.a stavak 2. mijenja se i glasi:</w:t>
      </w:r>
    </w:p>
    <w:p w14:paraId="621E4BE3"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»(2) U razdoblju u kojem se provode mjere iz članka 82. ovoga Zakona Agencija može Društvu izdati rješenje o odobrenju za prijenos portfelja ako je to u interesu zaštite prava korisnika mirovine.«.</w:t>
      </w:r>
    </w:p>
    <w:p w14:paraId="3F521F8D"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6.</w:t>
      </w:r>
    </w:p>
    <w:p w14:paraId="4C914721"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članku 95. stavku 6. točki 1. iza riječi: »udjele« dodaju se riječi: »izdane od«.</w:t>
      </w:r>
    </w:p>
    <w:p w14:paraId="7C628DD5"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7.</w:t>
      </w:r>
    </w:p>
    <w:p w14:paraId="6BE82434"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članku 100.b stavku 1. riječ: »sedam« zamjenjuje se riječju: »deset«.</w:t>
      </w:r>
    </w:p>
    <w:p w14:paraId="43C1DA99"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8.</w:t>
      </w:r>
    </w:p>
    <w:p w14:paraId="7EEBF539"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Članak 116. mijenja se i glasi:</w:t>
      </w:r>
    </w:p>
    <w:p w14:paraId="3D2B7D26"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»(1) Prije sklapanja ugovora o mirovini iz obveznog mirovinskog osiguranja s Društvom, Društvo mora potencijalnom korisniku mirovine ponuditi mogućnost isplate mirovine tako da se visina mirovine usklađuje prema stopi promjene indeksa potrošačkih cijena u Republici Hrvatskoj koji se utvrđuje prema podacima Državnog zavoda za statistiku, najmanje dva puta godišnje za prethodno polugodište.</w:t>
      </w:r>
    </w:p>
    <w:p w14:paraId="486CF4F1"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(2) Iznimno od stavka 1. ovoga članka, Društvo može potencijalnom korisniku mirovine, uz mogućnost isplate mirovine s usklađivanjem prema stopi promjene indeksa potrošačkih cijena u Republici Hrvatskoj, ponuditi i mogućnost isplate mirovine bez usklađivanja prema stopi promjene indeksa potrošačkih cijena iz stavka 1. ovoga članka, pri čemu Društvo ne smije mogućnost isplate mirovine bez usklađivanja prema stopi promjene indeksa potrošačkih cijena u Republici Hrvatskoj nuditi bez istodobne ponude isplate mirovine s usklađivanjem prema stopi promjene indeksa potrošačkih cijena u Republici Hrvatskoj najmanje dva puta godišnje za prethodno polugodište.</w:t>
      </w:r>
    </w:p>
    <w:p w14:paraId="16FDAF19"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(3) Društvo može, u okviru distribucije mirovina kod kojih se visina mirovine ne usklađuje prema stopi promjene indeksa potrošačkih cijena u Republici Hrvatskoj, pod istim uvjetima koji su navedeni u stavku 2. ovoga članka, distribuirati različite mirovinske programe isplate mirovine kojima je zajedničko da se visina mirovine ne usklađuje na način iz stavka 1. ovoga članka, pri čemu Društvo može, među ostalim, nuditi mirovinske programe kod kojih se iznos mirovine povećava na način i dinamikom koja se ugovara između Društva i korisnika mirovine ugovorom o mirovini.</w:t>
      </w:r>
    </w:p>
    <w:p w14:paraId="1D331AFD"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(4) Promjena izbora mirovina u okviru mirovina iz stavka 3. ovoga članka moguća je tijekom cijelog razdoblja trajanja ugovora o mirovini, bez pristanka Društva sklapanjem izmjene ugovora o mirovini.</w:t>
      </w:r>
    </w:p>
    <w:p w14:paraId="4C9F2BA2"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lastRenderedPageBreak/>
        <w:t>(5) Društvo je dužno potencijalnom korisniku mirovine pružiti sve relevantne informacije koje su mu potrebne za razumijevanje razlika između načina usklađivanja mirovine iz stavaka 1. i 2. ovoga članka te razlike između mirovina iz stavaka 1., 2. i 3. ovoga članka, kao i za donošenje informirane odluke o sklapanju ugovora o mirovini s Društvom, ovisno o tome kakvu opciju potencijalni korisnik mirovine odabere, uključujući i jasan opis rizika inflacije i potencijalnih posljedica za korisnika mirovine, ako se ne provodi usklađivanje mirovine prema stopi promjene indeksa potrošačkih cijena u Republici Hrvatskoj u uvjetima visoke ili rastuće inflacije.</w:t>
      </w:r>
    </w:p>
    <w:p w14:paraId="1159C9E2"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(6) Mogućnost dodatnog povećanja mirovina iz stavaka 1., 2. i 3. ovoga članka s osnove raspoređivanja viška propisana je člankom 88. ovoga Zakona.</w:t>
      </w:r>
    </w:p>
    <w:p w14:paraId="3CA2A963"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(7) Korisnik mirovine može, u roku od 90 dana od dana sklapanja ugovora o mirovini u kojem je prvi put odabrao način usklađivanja mirovine iz stavaka 1. i 2. ovoga članka, od Društva zatražiti promjenu odabranog načina usklađivanja mirovine, pri čemu za takvu izmjenu ugovora o mirovini nije potrebna suglasnost Društva, a prava i obveze po izmijenjenom načinu usklađivanja mirovine iz stavaka 1. i 2. ovoga članka počinju teći nakon potpisa i dostave izmijenjenog ugovora.</w:t>
      </w:r>
    </w:p>
    <w:p w14:paraId="4748FCFA"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(8) Iznimno od stavka 7. ovoga članka i članka 127. stavka 7. ovoga Zakona, za svaku naknadnu promjenu načina usklađivanja mirovine iz stavaka 1. i 2. ovoga članka koju je korisnik mirovine izabrao potrebna je suglasnost Društva, a Društvo je dužno utvrditi pravila za davanje suglasnosti iz ovoga stavka.</w:t>
      </w:r>
    </w:p>
    <w:p w14:paraId="561DDDA2"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(9) Društvo je dužno potencijalnom korisniku mirovine prije odabira načina usklađivanja mirovine iz stavaka 1. i 2. ovoga članka, a u svakom slučaju prije sklapanja ugovora o mirovini s Društvom, pružiti sve relevantne informacije o mogućnostima i uvjetima pod kojima će korisnik mirovine naknadno moći promijeniti izabranu opciju te informacije o tome na koji način bi naknadna promjena izbora načina usklađivanja mirovine iz stavaka 1. i 2. ovoga članka utjecala na isplate iz ugovora o mirovini.</w:t>
      </w:r>
    </w:p>
    <w:p w14:paraId="52CC6F62"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(10) Obveza Društva iz stavka 9. ovoga članka na odgovarajući se način primjenjuje i u slučaju distribucije mirovina iz stavka 3. ovoga članka.«.</w:t>
      </w:r>
    </w:p>
    <w:p w14:paraId="07D9F326"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9.</w:t>
      </w:r>
    </w:p>
    <w:p w14:paraId="4F51A589"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članku 151. iza stavka 13. dodaju se stavci 14., 15. i 16. koji glase:</w:t>
      </w:r>
    </w:p>
    <w:p w14:paraId="0A486379"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»(14) Agencija je dužna informacije iz stavka 7. ovoga članka dostaviti EIOPA-i i za potrebe njihove dostupnosti na jedinstvenoj europskoj pristupnoj točki uspostavljenoj na temelju Uredbe (EU) 2023/2859.</w:t>
      </w:r>
    </w:p>
    <w:p w14:paraId="161CBF40"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(15) Informacije iz stavka 14. ovoga članka, a koje Agencija dostavlja EIOPA-i za potrebe njihove dostupnosti na jedinstvenoj europskoj pristupnoj točki uspostavljenoj na temelju Uredbe (EU) 2023/2859, odnose se isključivo na dio poslovanja Društva koji se odnosi na isplatu mirovina u okviru dobrovoljnog mirovinskog osiguranja u skladu s mirovinskim programima Društva na temelju individualne kapitalizirane štednje člana zatvorenog dobrovoljnog mirovinskog fonda.</w:t>
      </w:r>
    </w:p>
    <w:p w14:paraId="67E1A6C1"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(16) Agencija je dužna osigurati da informacije iz stavka 14. ovoga članka ispunjavaju sljedeće zahtjeve:</w:t>
      </w:r>
    </w:p>
    <w:p w14:paraId="56C73645"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1. da se dostavljaju u formatu iz kojeg se mogu izdvojiti podaci kako je definirano u članku 2. točki 3. Uredbe (EU) 2023/2859</w:t>
      </w:r>
    </w:p>
    <w:p w14:paraId="3379CE15"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 xml:space="preserve">2. da su im priloženi sljedeći </w:t>
      </w:r>
      <w:proofErr w:type="spellStart"/>
      <w:r>
        <w:rPr>
          <w:color w:val="231F20"/>
        </w:rPr>
        <w:t>metapodaci</w:t>
      </w:r>
      <w:proofErr w:type="spellEnd"/>
      <w:r>
        <w:rPr>
          <w:color w:val="231F20"/>
        </w:rPr>
        <w:t>:</w:t>
      </w:r>
    </w:p>
    <w:p w14:paraId="62E3CD60"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a) sva imena Društva na koje se informacije odnose</w:t>
      </w:r>
    </w:p>
    <w:p w14:paraId="584ABC3B"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b) ako postoji, identifikacijska oznaka pravne osobe Društva kako je utvrđena u skladu s člankom 7. stavkom 4. točkom (b) Uredbe (EU) 2023/2859</w:t>
      </w:r>
    </w:p>
    <w:p w14:paraId="462413E7"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lastRenderedPageBreak/>
        <w:t>c) vrsta informacija kako je klasificirana u skladu s člankom 7. stavkom 4. točkom (c) te Uredbe i</w:t>
      </w:r>
    </w:p>
    <w:p w14:paraId="711C510B"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d) naznaka o tome sadržavaju li informacije osobne podatke.«.</w:t>
      </w:r>
    </w:p>
    <w:p w14:paraId="665E01D0"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10.</w:t>
      </w:r>
    </w:p>
    <w:p w14:paraId="3F787B47"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članku 201. stavku 1. iza točke 73. dodaje se nova točka 74. koja glasi:</w:t>
      </w:r>
    </w:p>
    <w:p w14:paraId="0C1E3028"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»74. ako postupi protivno članku 116. stavku 4. ovoga Zakona tako da ne pristane na promjenu izbora mirovina u okviru mirovina iz članka 116. stavka 3. ovoga Zakona, sklapanjem izmjene ugovora o mirovini«.</w:t>
      </w:r>
    </w:p>
    <w:p w14:paraId="7D2A2E71"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Dosadašnja točka 74., koja postaje točka 75., mijenja se i glasi:</w:t>
      </w:r>
    </w:p>
    <w:p w14:paraId="5644A2EE"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»75. ako postupi protivno članku 116. stavku 5. ovoga Zakona tako da potencijalnom korisniku mirovine ne pruži sve relevantne informacije koje su mu potrebne za razumijevanje razlika između načina usklađivanja mirovine iz članka 116. stavaka 1. i 2. ovoga Zakona«.</w:t>
      </w:r>
    </w:p>
    <w:p w14:paraId="222B644C"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Iza dosadašnje točke 74., koja je postala točka 75., dodaju se nove točke 76. i 77. koje glase:</w:t>
      </w:r>
    </w:p>
    <w:p w14:paraId="75B3774C"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»76. ako postupi protivno članku 116. stavku 5. ovoga Zakona tako da potencijalnom korisniku mirovine ne pruži sve relevantne informacije koje su mu potrebne za razumijevanje razlike između mirovina iz članka 116. stavaka 1., 2. i 3. ovoga Zakona</w:t>
      </w:r>
    </w:p>
    <w:p w14:paraId="00F48797"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77. ako postupi protivno članku 116. stavku 5. ovoga Zakona tako da potencijalnom korisniku mirovine ne pruži sve relevantne informacije koje su mu potrebne za donošenje informirane odluke o sklapanju ugovora o mirovini s Društvom, ovisno o tome kakvu opciju iz članka 116. ovoga Zakona potencijalni korisnik mirovine odabere«.</w:t>
      </w:r>
    </w:p>
    <w:p w14:paraId="40024B67"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Dosadašnja točka 75., koja postaje točka 78., mijenja se i glasi:</w:t>
      </w:r>
    </w:p>
    <w:p w14:paraId="331373F4"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»78. ako postupi protivno članku 116. stavku 5. ovoga Zakona tako da potencijalnom korisniku mirovine koji se odlučuje između načina usklađivanja mirovine iz članka 116. stavaka 1. i 2. ovoga Zakona ne da jasan opis rizika inflacije i potencijalnih posljedica za korisnika mirovine, ako se ne provodi usklađivanje mirovine prema stopi promjene indeksa potrošačkih cijena u Republici Hrvatskoj u uvjetima visoke ili rastuće inflacije«.</w:t>
      </w:r>
    </w:p>
    <w:p w14:paraId="0C542C2A"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Dosadašnja točka 76., koja postaje točka 79., mijenja se i glasi:</w:t>
      </w:r>
    </w:p>
    <w:p w14:paraId="142EF68A"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»79. ako postupi protivno članku 116. stavku 7. ovoga Zakona tako da na zahtjev korisnika mirovine ne promijeni odabrani način usklađivanja mirovine, kada su uvjeti iz članka 116. stavka 7. ovoga Zakona ispunjeni«.</w:t>
      </w:r>
    </w:p>
    <w:p w14:paraId="68B4D735"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Iza dosadašnje točke 76., koja je postala točka 79., dodaju se nove točke 80. i 81. koje glase:</w:t>
      </w:r>
    </w:p>
    <w:p w14:paraId="7CB10C9A"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»80. ako postupi protivno članku 116. stavku 8. ovoga Zakona tako da na zahtjev korisnika mirovine uskrati davanje suglasnosti za svaku naknadnu promjenu načina usklađivanja mirovine iz članka 116. stavaka 1. i 2. ovoga Zakona, a kada su ispunjeni uvjeti utvrđeni pravilima Društva za davanje suglasnosti</w:t>
      </w:r>
    </w:p>
    <w:p w14:paraId="2F3D75EB"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81. ako postupi protivno članku 116. stavcima 7. i 8. ovoga Zakona tako da na zahtjev korisnika mirovine ne promijeni odabrani način usklađivanja mirovine, kada su uvjeti iz članka 116. stavka 8. ovoga Zakona ispunjeni«.</w:t>
      </w:r>
    </w:p>
    <w:p w14:paraId="63E18984"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Dosadašnja točka 77., koja postaje točka 82., mijenja se i glasi:</w:t>
      </w:r>
    </w:p>
    <w:p w14:paraId="5E65824A"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»82. ako postupi protivno članku 116. stavku 9. ovoga Zakona tako da potencijalnom korisniku mirovine prije odabira načina usklađivanja mirovine iz članka 116. stavaka 1. i 2. ovoga Zakona, a u svakom slučaju prije sklapanja ugovora o mirovini s Društvom, ne pruži sve relevantne informacije o mogućnostima i uvjetima pod kojima će korisnik mirovine naknadno moći promijeniti izabranu opciju«.</w:t>
      </w:r>
    </w:p>
    <w:p w14:paraId="77443BF4"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Dosadašnja točka 78., koja postaje točka 83., mijenja se i glasi:</w:t>
      </w:r>
    </w:p>
    <w:p w14:paraId="0FBCEF23"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lastRenderedPageBreak/>
        <w:t>»83. ako postupi protivno članku 116. stavku 9. ovoga Zakona tako da potencijalnom korisniku mirovine prije odabira načina usklađivanja mirovine iz članka 116. stavaka 1. i 2. ovoga Zakona, a u svakom slučaju prije sklapanja ugovora o mirovini s Društvom, ne pruži informacije o tome na koji način bi naknadna promjena izbora načina usklađivanja mirovine iz članka 116. stavaka 1. i 2. ovoga Zakona utjecala na isplate iz ugovora o mirovini«.</w:t>
      </w:r>
    </w:p>
    <w:p w14:paraId="5E2ECFFB"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Iza dosadašnje točke 78., koja je postala točka 83., dodaje se nova točka 84. koja glasi:</w:t>
      </w:r>
    </w:p>
    <w:p w14:paraId="44EDA7DA"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»84. ako postupi protivno članku 116. stavku 10. ovoga Zakona tako da potencijalnom korisniku mirovine, prije odabira mirovinskog programa u okviru mirovina iz članka 116. stavka 3. ovoga Zakona, a u svakom slučaju prije sklapanja ugovora o mirovini s Društvom, ne pruži informacije o tome na koji bi način naknadna promjena mirovinskih programa u okviru mirovina iz članka 116. stavka 3. ovoga Zakona utjecala na isplate iz ugovora o mirovini«.</w:t>
      </w:r>
    </w:p>
    <w:p w14:paraId="6C4D1D99"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Dosadašnje točke 79. do 94. postaju točke 85. do 100.</w:t>
      </w:r>
    </w:p>
    <w:p w14:paraId="65757AC1"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11.</w:t>
      </w:r>
    </w:p>
    <w:p w14:paraId="66F327D6"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članku 202. stavku 1. točki 4. broj: »5.« zamjenjuje se brojem: »7.«.</w:t>
      </w:r>
    </w:p>
    <w:p w14:paraId="194C21E6"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točki 13. broj: »9.« zamjenjuje se brojem: »5.«.</w:t>
      </w:r>
    </w:p>
    <w:p w14:paraId="18BD3046"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U točki 29. riječ: »sedam« zamjenjuje se riječju: »deset«.</w:t>
      </w:r>
    </w:p>
    <w:p w14:paraId="2CF1BE5B" w14:textId="77777777" w:rsidR="000A6D5E" w:rsidRDefault="000A6D5E" w:rsidP="000A6D5E">
      <w:pPr>
        <w:pStyle w:val="box482722"/>
        <w:shd w:val="clear" w:color="auto" w:fill="FFFFFF"/>
        <w:spacing w:before="204" w:beforeAutospacing="0" w:after="72" w:afterAutospacing="0"/>
        <w:jc w:val="center"/>
        <w:textAlignment w:val="baseline"/>
        <w:rPr>
          <w:color w:val="231F20"/>
          <w:sz w:val="26"/>
          <w:szCs w:val="26"/>
        </w:rPr>
      </w:pPr>
      <w:r>
        <w:rPr>
          <w:color w:val="231F20"/>
          <w:sz w:val="26"/>
          <w:szCs w:val="26"/>
        </w:rPr>
        <w:t>PRIJELAZNA I ZAVRŠNA ODREDBA</w:t>
      </w:r>
    </w:p>
    <w:p w14:paraId="51206321" w14:textId="77777777" w:rsidR="000A6D5E" w:rsidRDefault="000A6D5E" w:rsidP="000A6D5E">
      <w:pPr>
        <w:pStyle w:val="box482722"/>
        <w:shd w:val="clear" w:color="auto" w:fill="FFFFFF"/>
        <w:spacing w:before="34" w:beforeAutospacing="0" w:after="48" w:afterAutospacing="0"/>
        <w:jc w:val="center"/>
        <w:textAlignment w:val="baseline"/>
        <w:rPr>
          <w:color w:val="231F20"/>
        </w:rPr>
      </w:pPr>
      <w:r>
        <w:rPr>
          <w:color w:val="231F20"/>
        </w:rPr>
        <w:t>Članak 12.</w:t>
      </w:r>
    </w:p>
    <w:p w14:paraId="6287BA0F"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Agencija je dužna u roku od 30 dana od dana stupanja na snagu članaka 3., 4. i 9. ovoga Zakona obavijestiti ESMA-u da je, sukladno članku 3. ovoga Zakona, tijelo za prikupljanje kako je definirano u članku 2. točki 2. Uredbe (EU) 2023/2859.</w:t>
      </w:r>
    </w:p>
    <w:p w14:paraId="0BF9BFD2"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Članak 13.</w:t>
      </w:r>
    </w:p>
    <w:p w14:paraId="0740A420" w14:textId="77777777" w:rsidR="000A6D5E" w:rsidRDefault="000A6D5E" w:rsidP="000A6D5E">
      <w:pPr>
        <w:pStyle w:val="box482722"/>
        <w:shd w:val="clear" w:color="auto" w:fill="FFFFFF"/>
        <w:spacing w:before="0" w:beforeAutospacing="0" w:after="48" w:afterAutospacing="0"/>
        <w:ind w:firstLine="408"/>
        <w:textAlignment w:val="baseline"/>
        <w:rPr>
          <w:color w:val="231F20"/>
        </w:rPr>
      </w:pPr>
      <w:r>
        <w:rPr>
          <w:color w:val="231F20"/>
        </w:rPr>
        <w:t>Ovaj Zakon stupa na snagu osmoga dana od dana objave u »Narodnim novinama«, osim članaka 3., 4. i 9. ovoga Zakona koji stupaju na snagu 10. siječnja 2030.</w:t>
      </w:r>
    </w:p>
    <w:p w14:paraId="55E50204" w14:textId="77777777" w:rsidR="000A6D5E" w:rsidRDefault="000A6D5E" w:rsidP="000A6D5E">
      <w:pPr>
        <w:pStyle w:val="box482722"/>
        <w:shd w:val="clear" w:color="auto" w:fill="FFFFFF"/>
        <w:spacing w:before="0" w:beforeAutospacing="0" w:after="0" w:afterAutospacing="0"/>
        <w:ind w:left="408"/>
        <w:textAlignment w:val="baseline"/>
        <w:rPr>
          <w:color w:val="231F20"/>
        </w:rPr>
      </w:pPr>
      <w:r>
        <w:rPr>
          <w:color w:val="231F20"/>
        </w:rPr>
        <w:t>Klasa: 022-02/25-01/108</w:t>
      </w:r>
      <w:r>
        <w:rPr>
          <w:rFonts w:ascii="Minion Pro" w:hAnsi="Minion Pro"/>
          <w:color w:val="231F20"/>
        </w:rPr>
        <w:br/>
      </w:r>
      <w:r>
        <w:rPr>
          <w:color w:val="231F20"/>
        </w:rPr>
        <w:t>Zagreb, 29. siječnja 2026.</w:t>
      </w:r>
    </w:p>
    <w:p w14:paraId="4D8B3B9A" w14:textId="77777777" w:rsidR="000A6D5E" w:rsidRDefault="000A6D5E" w:rsidP="000A6D5E">
      <w:pPr>
        <w:pStyle w:val="box482722"/>
        <w:shd w:val="clear" w:color="auto" w:fill="FFFFFF"/>
        <w:spacing w:before="103" w:beforeAutospacing="0" w:after="48" w:afterAutospacing="0"/>
        <w:jc w:val="center"/>
        <w:textAlignment w:val="baseline"/>
        <w:rPr>
          <w:color w:val="231F20"/>
        </w:rPr>
      </w:pPr>
      <w:r>
        <w:rPr>
          <w:color w:val="231F20"/>
        </w:rPr>
        <w:t>HRVATSKI SABOR</w:t>
      </w:r>
    </w:p>
    <w:p w14:paraId="717A6F37" w14:textId="77777777" w:rsidR="000A6D5E" w:rsidRDefault="000A6D5E" w:rsidP="000A6D5E">
      <w:pPr>
        <w:pStyle w:val="box482722"/>
        <w:shd w:val="clear" w:color="auto" w:fill="FFFFFF"/>
        <w:spacing w:before="0" w:beforeAutospacing="0" w:after="0" w:afterAutospacing="0"/>
        <w:ind w:left="2712"/>
        <w:jc w:val="center"/>
        <w:textAlignment w:val="baseline"/>
        <w:rPr>
          <w:color w:val="231F20"/>
        </w:rPr>
      </w:pPr>
      <w:r>
        <w:rPr>
          <w:color w:val="231F20"/>
        </w:rPr>
        <w:t>Predsjednik</w:t>
      </w:r>
      <w:r>
        <w:rPr>
          <w:rFonts w:ascii="Minion Pro" w:hAnsi="Minion Pro"/>
          <w:color w:val="231F20"/>
        </w:rPr>
        <w:br/>
      </w:r>
      <w:r>
        <w:rPr>
          <w:color w:val="231F20"/>
        </w:rPr>
        <w:t>Hrvatskoga sabora</w:t>
      </w:r>
      <w:r>
        <w:rPr>
          <w:rFonts w:ascii="Minion Pro" w:hAnsi="Minion Pro"/>
          <w:color w:val="231F20"/>
        </w:rPr>
        <w:br/>
      </w:r>
      <w:r>
        <w:rPr>
          <w:rStyle w:val="bold"/>
          <w:rFonts w:ascii="Minion Pro" w:eastAsiaTheme="majorEastAsia" w:hAnsi="Minion Pro"/>
          <w:b/>
          <w:bCs/>
          <w:color w:val="231F20"/>
          <w:bdr w:val="none" w:sz="0" w:space="0" w:color="auto" w:frame="1"/>
        </w:rPr>
        <w:t>Gordan Jandroković, </w:t>
      </w:r>
      <w:r>
        <w:rPr>
          <w:color w:val="231F20"/>
        </w:rPr>
        <w:t>v. r.</w:t>
      </w:r>
    </w:p>
    <w:p w14:paraId="4EFD5E25" w14:textId="77777777" w:rsidR="00CC1D75" w:rsidRDefault="00CC1D75"/>
    <w:sectPr w:rsidR="00CC1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93"/>
    <w:rsid w:val="000A6D5E"/>
    <w:rsid w:val="00C60C34"/>
    <w:rsid w:val="00CC1D75"/>
    <w:rsid w:val="00D40093"/>
    <w:rsid w:val="00EE1F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F18A"/>
  <w15:chartTrackingRefBased/>
  <w15:docId w15:val="{91ECEF1F-1182-4EF9-A344-829B0C17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40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40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4009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4009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4009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4009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4009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4009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4009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4009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4009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4009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4009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4009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4009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4009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4009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40093"/>
    <w:rPr>
      <w:rFonts w:eastAsiaTheme="majorEastAsia" w:cstheme="majorBidi"/>
      <w:color w:val="272727" w:themeColor="text1" w:themeTint="D8"/>
    </w:rPr>
  </w:style>
  <w:style w:type="paragraph" w:styleId="Naslov">
    <w:name w:val="Title"/>
    <w:basedOn w:val="Normal"/>
    <w:next w:val="Normal"/>
    <w:link w:val="NaslovChar"/>
    <w:uiPriority w:val="10"/>
    <w:qFormat/>
    <w:rsid w:val="00D40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4009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4009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4009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40093"/>
    <w:pPr>
      <w:spacing w:before="160"/>
      <w:jc w:val="center"/>
    </w:pPr>
    <w:rPr>
      <w:i/>
      <w:iCs/>
      <w:color w:val="404040" w:themeColor="text1" w:themeTint="BF"/>
    </w:rPr>
  </w:style>
  <w:style w:type="character" w:customStyle="1" w:styleId="CitatChar">
    <w:name w:val="Citat Char"/>
    <w:basedOn w:val="Zadanifontodlomka"/>
    <w:link w:val="Citat"/>
    <w:uiPriority w:val="29"/>
    <w:rsid w:val="00D40093"/>
    <w:rPr>
      <w:i/>
      <w:iCs/>
      <w:color w:val="404040" w:themeColor="text1" w:themeTint="BF"/>
    </w:rPr>
  </w:style>
  <w:style w:type="paragraph" w:styleId="Odlomakpopisa">
    <w:name w:val="List Paragraph"/>
    <w:basedOn w:val="Normal"/>
    <w:uiPriority w:val="34"/>
    <w:qFormat/>
    <w:rsid w:val="00D40093"/>
    <w:pPr>
      <w:ind w:left="720"/>
      <w:contextualSpacing/>
    </w:pPr>
  </w:style>
  <w:style w:type="character" w:styleId="Jakoisticanje">
    <w:name w:val="Intense Emphasis"/>
    <w:basedOn w:val="Zadanifontodlomka"/>
    <w:uiPriority w:val="21"/>
    <w:qFormat/>
    <w:rsid w:val="00D40093"/>
    <w:rPr>
      <w:i/>
      <w:iCs/>
      <w:color w:val="0F4761" w:themeColor="accent1" w:themeShade="BF"/>
    </w:rPr>
  </w:style>
  <w:style w:type="paragraph" w:styleId="Naglaencitat">
    <w:name w:val="Intense Quote"/>
    <w:basedOn w:val="Normal"/>
    <w:next w:val="Normal"/>
    <w:link w:val="NaglaencitatChar"/>
    <w:uiPriority w:val="30"/>
    <w:qFormat/>
    <w:rsid w:val="00D40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40093"/>
    <w:rPr>
      <w:i/>
      <w:iCs/>
      <w:color w:val="0F4761" w:themeColor="accent1" w:themeShade="BF"/>
    </w:rPr>
  </w:style>
  <w:style w:type="character" w:styleId="Istaknutareferenca">
    <w:name w:val="Intense Reference"/>
    <w:basedOn w:val="Zadanifontodlomka"/>
    <w:uiPriority w:val="32"/>
    <w:qFormat/>
    <w:rsid w:val="00D40093"/>
    <w:rPr>
      <w:b/>
      <w:bCs/>
      <w:smallCaps/>
      <w:color w:val="0F4761" w:themeColor="accent1" w:themeShade="BF"/>
      <w:spacing w:val="5"/>
    </w:rPr>
  </w:style>
  <w:style w:type="paragraph" w:customStyle="1" w:styleId="box482721">
    <w:name w:val="box_482721"/>
    <w:basedOn w:val="Normal"/>
    <w:rsid w:val="00D40093"/>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customStyle="1" w:styleId="bold">
    <w:name w:val="bold"/>
    <w:basedOn w:val="Zadanifontodlomka"/>
    <w:rsid w:val="00D40093"/>
  </w:style>
  <w:style w:type="paragraph" w:customStyle="1" w:styleId="box482722">
    <w:name w:val="box_482722"/>
    <w:basedOn w:val="Normal"/>
    <w:rsid w:val="000A6D5E"/>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2520</Words>
  <Characters>14367</Characters>
  <Application>Microsoft Office Word</Application>
  <DocSecurity>0</DocSecurity>
  <Lines>119</Lines>
  <Paragraphs>33</Paragraphs>
  <ScaleCrop>false</ScaleCrop>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2026-02-10T15:01:00Z</dcterms:created>
  <dcterms:modified xsi:type="dcterms:W3CDTF">2026-02-10T15:01:00Z</dcterms:modified>
</cp:coreProperties>
</file>

<file path=docProps/custom.xml><?xml version="1.0" encoding="utf-8"?>
<Properties xmlns="http://schemas.openxmlformats.org/officeDocument/2006/custom-properties" xmlns:vt="http://schemas.openxmlformats.org/officeDocument/2006/docPropsVTypes"/>
</file>