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602B" w14:textId="43BC9936" w:rsidR="0075286F" w:rsidRDefault="007028BD" w:rsidP="007028BD">
      <w:pPr>
        <w:pStyle w:val="Pagedecouverture"/>
        <w:rPr>
          <w:noProof/>
        </w:rPr>
      </w:pPr>
      <w:bookmarkStart w:id="0" w:name="LW_BM_COVERPAGE"/>
      <w:r>
        <w:rPr>
          <w:noProof/>
        </w:rPr>
        <w:pict w14:anchorId="3A193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FE32D84-595C-46E3-96DE-1E4EECDE2313" style="width:455.25pt;height:286.5pt">
            <v:imagedata r:id="rId8" o:title=""/>
          </v:shape>
        </w:pict>
      </w:r>
    </w:p>
    <w:bookmarkEnd w:id="0"/>
    <w:p w14:paraId="6E49167A" w14:textId="77777777" w:rsidR="0075286F" w:rsidRDefault="0075286F">
      <w:pPr>
        <w:rPr>
          <w:noProof/>
          <w:lang w:val="en-IE"/>
        </w:rPr>
        <w:sectPr w:rsidR="0075286F" w:rsidSect="007028B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4F043C1" w14:textId="77777777" w:rsidR="0075286F" w:rsidRDefault="00D76238">
      <w:pPr>
        <w:spacing w:line="240" w:lineRule="auto"/>
        <w:jc w:val="center"/>
        <w:rPr>
          <w:rFonts w:ascii="Times New Roman" w:hAnsi="Times New Roman" w:cs="Times New Roman"/>
          <w:b/>
          <w:bCs/>
          <w:noProof/>
          <w:sz w:val="24"/>
          <w:szCs w:val="24"/>
          <w:u w:val="single"/>
        </w:rPr>
      </w:pPr>
      <w:bookmarkStart w:id="1" w:name="_GoBack"/>
      <w:bookmarkEnd w:id="1"/>
      <w:r>
        <w:rPr>
          <w:rFonts w:ascii="Times New Roman" w:hAnsi="Times New Roman"/>
          <w:b/>
          <w:noProof/>
          <w:sz w:val="24"/>
          <w:u w:val="single"/>
        </w:rPr>
        <w:lastRenderedPageBreak/>
        <w:t>Energetski paket za građane – priuštiva energija za sve</w:t>
      </w:r>
    </w:p>
    <w:p w14:paraId="1063F94A" w14:textId="77777777" w:rsidR="0075286F" w:rsidRDefault="00D76238">
      <w:pPr>
        <w:spacing w:after="12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b/>
          <w:noProof/>
          <w:color w:val="000000"/>
          <w:sz w:val="24"/>
        </w:rPr>
        <w:t>Svi Europljani</w:t>
      </w:r>
      <w:r>
        <w:rPr>
          <w:rFonts w:ascii="Times New Roman" w:hAnsi="Times New Roman"/>
          <w:noProof/>
          <w:color w:val="000000"/>
          <w:sz w:val="24"/>
        </w:rPr>
        <w:t xml:space="preserve"> trebali bi imati pristup priuštivoj i čistoj energiji u udobnim i otpornim domovima. </w:t>
      </w:r>
      <w:r>
        <w:rPr>
          <w:rFonts w:ascii="Times New Roman" w:hAnsi="Times New Roman"/>
          <w:b/>
          <w:noProof/>
          <w:color w:val="000000"/>
          <w:sz w:val="24"/>
        </w:rPr>
        <w:t>Priuštiva energija</w:t>
      </w:r>
      <w:r>
        <w:rPr>
          <w:rFonts w:ascii="Times New Roman" w:hAnsi="Times New Roman"/>
          <w:noProof/>
          <w:color w:val="000000"/>
          <w:sz w:val="24"/>
        </w:rPr>
        <w:t xml:space="preserve"> jedan je od glavnih uvjeta za siguran i dostojanstven život bez siromaštva, kao i za postizanje pravednosti i uključenosti, posebno za ranjive osobe</w:t>
      </w:r>
      <w:r>
        <w:rPr>
          <w:rFonts w:ascii="Times New Roman" w:hAnsi="Times New Roman"/>
          <w:noProof/>
          <w:sz w:val="24"/>
        </w:rPr>
        <w:t xml:space="preserve"> </w:t>
      </w:r>
      <w:r>
        <w:rPr>
          <w:rFonts w:ascii="Times New Roman" w:hAnsi="Times New Roman"/>
          <w:noProof/>
          <w:color w:val="000000" w:themeColor="text1"/>
          <w:sz w:val="24"/>
        </w:rPr>
        <w:t>u svim dobnim skupinama</w:t>
      </w:r>
      <w:r>
        <w:rPr>
          <w:rFonts w:ascii="Times New Roman" w:hAnsi="Times New Roman"/>
          <w:noProof/>
          <w:color w:val="000000"/>
          <w:sz w:val="24"/>
        </w:rPr>
        <w:t>. Ako su cijene energije previsoke, cijelo gospodarstvo trpi posljedice – potrošnja pada i usporavaju se poslovne aktivnosti. Upravo se taj problem nastoji riješiti donošenjem Energetskog paketa za građane.</w:t>
      </w:r>
    </w:p>
    <w:p w14:paraId="665F4BDF" w14:textId="77777777" w:rsidR="0075286F" w:rsidRDefault="00D76238">
      <w:pPr>
        <w:spacing w:after="12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sz w:val="24"/>
        </w:rPr>
        <w:t xml:space="preserve">Priuštivost energije najlakše je postići oslanjanjem na </w:t>
      </w:r>
      <w:r>
        <w:rPr>
          <w:rFonts w:ascii="Times New Roman" w:hAnsi="Times New Roman"/>
          <w:b/>
          <w:noProof/>
          <w:color w:val="000000"/>
          <w:sz w:val="24"/>
        </w:rPr>
        <w:t>čistu energiju koju Europa može proizvesti za svoje potrebe</w:t>
      </w:r>
      <w:r>
        <w:rPr>
          <w:rFonts w:ascii="Times New Roman" w:hAnsi="Times New Roman"/>
          <w:noProof/>
          <w:color w:val="000000"/>
          <w:sz w:val="24"/>
        </w:rPr>
        <w:t xml:space="preserve">. Zbog toga Europljanima treba omogućiti i potaknuti ih da prijeđu s plina na čišća alternativna rješenja koja se temelje na električnoj energiji. </w:t>
      </w:r>
      <w:r>
        <w:rPr>
          <w:rFonts w:ascii="Times New Roman" w:hAnsi="Times New Roman"/>
          <w:b/>
          <w:noProof/>
          <w:color w:val="000000"/>
          <w:sz w:val="24"/>
        </w:rPr>
        <w:t>Elektrifikacija</w:t>
      </w:r>
      <w:r>
        <w:rPr>
          <w:rFonts w:ascii="Times New Roman" w:hAnsi="Times New Roman"/>
          <w:noProof/>
          <w:color w:val="000000"/>
          <w:sz w:val="24"/>
        </w:rPr>
        <w:t xml:space="preserve"> će s vremenom dovesti do nižih i stabilnijih cijena i povećati neovisnost, održivost i konkurentnost Europe. Uloga je država članica u tom procesu utvrđivanje odgovarajućih ciljanih poticaja, primjerice poreznih poticaja i nižih pristojbi radi promicanja korištenja električne energije.</w:t>
      </w:r>
    </w:p>
    <w:p w14:paraId="70EE887E" w14:textId="77777777" w:rsidR="0075286F" w:rsidRDefault="00D76238">
      <w:pPr>
        <w:spacing w:after="12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themeColor="text1"/>
          <w:sz w:val="24"/>
        </w:rPr>
        <w:t xml:space="preserve">Kućanstvima s pametnim brojilima </w:t>
      </w:r>
      <w:r>
        <w:rPr>
          <w:rFonts w:ascii="Times New Roman" w:hAnsi="Times New Roman"/>
          <w:b/>
          <w:noProof/>
          <w:color w:val="000000" w:themeColor="text1"/>
          <w:sz w:val="24"/>
        </w:rPr>
        <w:t>fleksibilnost</w:t>
      </w:r>
      <w:r>
        <w:rPr>
          <w:rFonts w:ascii="Times New Roman" w:hAnsi="Times New Roman"/>
          <w:noProof/>
          <w:color w:val="000000" w:themeColor="text1"/>
          <w:sz w:val="24"/>
        </w:rPr>
        <w:t xml:space="preserve"> omogućuje potrošnju električne energije kad su opskrbni kapaciteti visoki, a cijene niže. Pametno i dvosmjerno punjenje električnih vozila može dodatno poduprijeti tu fleksibilnost. Da bi to funkcioniralo, građanima su potrebne pouzdane informacije i savjeti prilagođeni različitim potrebama (uključujući invaliditet) te priuštive tehnologije i usluge kojima se korisnike nagrađuje ako umjesto u razdobljima vršnog opterećenja električnu energiju troše u razdobljima povoljnije tarife, pri čemu se posebna pozornost pridaje skupinama koje se suočavaju s digitalnom isključenošću.</w:t>
      </w:r>
      <w:r>
        <w:rPr>
          <w:rFonts w:ascii="Times New Roman" w:hAnsi="Times New Roman"/>
          <w:noProof/>
        </w:rPr>
        <w:t xml:space="preserve"> </w:t>
      </w:r>
      <w:r>
        <w:rPr>
          <w:rFonts w:ascii="Times New Roman" w:hAnsi="Times New Roman"/>
          <w:noProof/>
          <w:color w:val="000000" w:themeColor="text1"/>
          <w:sz w:val="24"/>
        </w:rPr>
        <w:t>Nedavno istraživanje Eurobarometra</w:t>
      </w:r>
      <w:r>
        <w:rPr>
          <w:rFonts w:ascii="Times New Roman" w:eastAsia="Times New Roman" w:hAnsi="Times New Roman" w:cs="Times New Roman"/>
          <w:noProof/>
          <w:color w:val="000000"/>
          <w:kern w:val="0"/>
          <w:sz w:val="24"/>
          <w:szCs w:val="24"/>
          <w:vertAlign w:val="superscript"/>
          <w:lang w:val="en-IE"/>
        </w:rPr>
        <w:footnoteReference w:id="1"/>
      </w:r>
      <w:r>
        <w:rPr>
          <w:rFonts w:ascii="Times New Roman" w:hAnsi="Times New Roman"/>
          <w:noProof/>
          <w:color w:val="000000" w:themeColor="text1"/>
          <w:sz w:val="24"/>
        </w:rPr>
        <w:t xml:space="preserve"> pokazuje da potrošači energije u EU-u žele bolju </w:t>
      </w:r>
      <w:r>
        <w:rPr>
          <w:rFonts w:ascii="Times New Roman" w:hAnsi="Times New Roman"/>
          <w:b/>
          <w:noProof/>
          <w:color w:val="000000" w:themeColor="text1"/>
          <w:sz w:val="24"/>
        </w:rPr>
        <w:t>zaštitu</w:t>
      </w:r>
      <w:r>
        <w:rPr>
          <w:rFonts w:ascii="Times New Roman" w:hAnsi="Times New Roman"/>
          <w:noProof/>
          <w:color w:val="000000" w:themeColor="text1"/>
          <w:sz w:val="24"/>
        </w:rPr>
        <w:t xml:space="preserve"> ranjivih potrošača i potrošača izloženih energetskom siromaštvu te </w:t>
      </w:r>
      <w:r>
        <w:rPr>
          <w:rFonts w:ascii="Times New Roman" w:hAnsi="Times New Roman"/>
          <w:b/>
          <w:noProof/>
          <w:color w:val="000000" w:themeColor="text1"/>
          <w:sz w:val="24"/>
        </w:rPr>
        <w:t>jasnije i transparentnije račune za energiju</w:t>
      </w:r>
      <w:r>
        <w:rPr>
          <w:rFonts w:ascii="Times New Roman" w:hAnsi="Times New Roman"/>
          <w:noProof/>
          <w:color w:val="000000" w:themeColor="text1"/>
          <w:sz w:val="24"/>
        </w:rPr>
        <w:t>.</w:t>
      </w:r>
    </w:p>
    <w:p w14:paraId="09F74BDA" w14:textId="77777777" w:rsidR="0075286F" w:rsidRDefault="00D76238">
      <w:pPr>
        <w:spacing w:after="12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themeColor="text1"/>
          <w:sz w:val="24"/>
        </w:rPr>
        <w:t xml:space="preserve">Građani, na primjer poljoprivrednici, stanovnici ruralnih područja, vlasnici malih poduzeća ili vrtići, trebali bi se moći udružiti, proizvoditi i </w:t>
      </w:r>
      <w:r>
        <w:rPr>
          <w:rFonts w:ascii="Times New Roman" w:hAnsi="Times New Roman"/>
          <w:b/>
          <w:noProof/>
          <w:color w:val="000000" w:themeColor="text1"/>
          <w:sz w:val="24"/>
        </w:rPr>
        <w:t>dijeliti</w:t>
      </w:r>
      <w:r>
        <w:rPr>
          <w:rFonts w:ascii="Times New Roman" w:hAnsi="Times New Roman"/>
          <w:noProof/>
          <w:color w:val="000000" w:themeColor="text1"/>
          <w:sz w:val="24"/>
        </w:rPr>
        <w:t xml:space="preserve"> energiju koju sami proizvedu. Time se smanjuje pritisak na lokalne energetske mreže i sprečavaju nepotrebna ulaganja u energetsku infrastrukturu. Financijski i tehnički zahtjevi za osnivanje </w:t>
      </w:r>
      <w:r>
        <w:rPr>
          <w:rFonts w:ascii="Times New Roman" w:hAnsi="Times New Roman"/>
          <w:b/>
          <w:noProof/>
          <w:color w:val="000000" w:themeColor="text1"/>
          <w:sz w:val="24"/>
        </w:rPr>
        <w:t>energetskih zajednica</w:t>
      </w:r>
      <w:r>
        <w:rPr>
          <w:rFonts w:ascii="Times New Roman" w:hAnsi="Times New Roman"/>
          <w:noProof/>
          <w:color w:val="000000" w:themeColor="text1"/>
          <w:sz w:val="24"/>
        </w:rPr>
        <w:t xml:space="preserve"> trebali bi biti jasni i jednostavni. Jačanje položaja potrošača koristi i europskim proizvođačima </w:t>
      </w:r>
      <w:r>
        <w:rPr>
          <w:rFonts w:ascii="Times New Roman" w:hAnsi="Times New Roman"/>
          <w:b/>
          <w:noProof/>
          <w:color w:val="000000" w:themeColor="text1"/>
          <w:sz w:val="24"/>
        </w:rPr>
        <w:t>čistih tehnologija</w:t>
      </w:r>
      <w:r>
        <w:rPr>
          <w:rFonts w:ascii="Times New Roman" w:hAnsi="Times New Roman"/>
          <w:noProof/>
          <w:color w:val="000000" w:themeColor="text1"/>
          <w:sz w:val="24"/>
        </w:rPr>
        <w:t xml:space="preserve"> i dobavljačima električne energije jer će povećana potražnja za inovativnim proizvodima (kao što su dizalice topline) i uslugama (kao što je socijalni leasing i toplinska energija kao usluga) pridonijeti sigurnosti ulaganja i rastu tih tržišta rada. Te inovativne tehnologije poboljšat će i povezanost energije i vode, posebno tijekom suša i toplinskih valova, što će doprinijeti smanjenju računa za energiju</w:t>
      </w:r>
      <w:r>
        <w:rPr>
          <w:rStyle w:val="FootnoteReference"/>
          <w:rFonts w:ascii="Times New Roman" w:eastAsia="Times New Roman" w:hAnsi="Times New Roman" w:cs="Times New Roman"/>
          <w:noProof/>
          <w:color w:val="000000"/>
          <w:kern w:val="0"/>
          <w:sz w:val="24"/>
          <w:szCs w:val="24"/>
          <w:lang w:val="en-GB"/>
        </w:rPr>
        <w:footnoteReference w:id="2"/>
      </w:r>
      <w:r>
        <w:rPr>
          <w:rFonts w:ascii="Times New Roman" w:hAnsi="Times New Roman"/>
          <w:noProof/>
          <w:color w:val="000000" w:themeColor="text1"/>
          <w:sz w:val="24"/>
        </w:rPr>
        <w:t>.</w:t>
      </w:r>
    </w:p>
    <w:p w14:paraId="6F25AA42" w14:textId="77777777" w:rsidR="0075286F" w:rsidRDefault="00D76238">
      <w:pPr>
        <w:spacing w:after="12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themeColor="text1"/>
          <w:sz w:val="24"/>
        </w:rPr>
        <w:t xml:space="preserve">Cilj je Energetskog paketa za građane riješiti i veliki problem </w:t>
      </w:r>
      <w:r>
        <w:rPr>
          <w:rFonts w:ascii="Times New Roman" w:hAnsi="Times New Roman"/>
          <w:b/>
          <w:noProof/>
          <w:color w:val="000000" w:themeColor="text1"/>
          <w:sz w:val="24"/>
        </w:rPr>
        <w:t>energetskog siromaštva</w:t>
      </w:r>
      <w:r>
        <w:rPr>
          <w:rFonts w:ascii="Times New Roman" w:hAnsi="Times New Roman"/>
          <w:noProof/>
          <w:color w:val="000000" w:themeColor="text1"/>
          <w:sz w:val="24"/>
        </w:rPr>
        <w:t>, s kojim se trenutačno suočava previše građana EU-a i koji nerazmjerno pogađa ranjive skupine i skupine u ruralnim ili udaljenim područjima, najudaljenijim regijama i na otocima. Gotovo 10 % europskih građana 2024. zimi nije moglo primjereno zagrijati svoje domove, a ljeti se mnogi suočavaju sa sve većim potrebama za hlađenjem. Da bi se smanjilo energetsko siromaštvo i troškovi stanovanja, nužno je poboljšati energetska svojstva zgrada i prijeći na jeftinije sustave grijanja i hlađenja na električnu energiju ili centralizirane sustave koji se temelje na energiji iz obnovljivih izvora.</w:t>
      </w:r>
    </w:p>
    <w:p w14:paraId="13018B6F" w14:textId="77777777" w:rsidR="0075286F" w:rsidRDefault="00D76238">
      <w:pPr>
        <w:spacing w:after="360" w:line="240" w:lineRule="auto"/>
        <w:jc w:val="both"/>
        <w:rPr>
          <w:rFonts w:ascii="Times New Roman" w:hAnsi="Times New Roman"/>
          <w:noProof/>
          <w:color w:val="000000"/>
          <w:kern w:val="0"/>
          <w:sz w:val="24"/>
          <w14:ligatures w14:val="none"/>
        </w:rPr>
      </w:pPr>
      <w:r>
        <w:rPr>
          <w:rFonts w:ascii="Times New Roman" w:hAnsi="Times New Roman"/>
          <w:noProof/>
          <w:color w:val="000000"/>
          <w:sz w:val="24"/>
        </w:rPr>
        <w:t xml:space="preserve">Za sve to već postoji kvalitetan skup propisa EU-a, ali </w:t>
      </w:r>
      <w:r>
        <w:rPr>
          <w:rFonts w:ascii="Times New Roman" w:hAnsi="Times New Roman"/>
          <w:b/>
          <w:noProof/>
          <w:color w:val="000000"/>
          <w:sz w:val="24"/>
        </w:rPr>
        <w:t>provedba</w:t>
      </w:r>
      <w:r>
        <w:rPr>
          <w:rFonts w:ascii="Times New Roman" w:hAnsi="Times New Roman"/>
          <w:noProof/>
          <w:color w:val="000000"/>
          <w:sz w:val="24"/>
        </w:rPr>
        <w:t xml:space="preserve"> tih propisa i dalje je neujednačena. Djelotvorna provedba propisa EU-a neophodna je za</w:t>
      </w:r>
      <w:r>
        <w:rPr>
          <w:rFonts w:ascii="Times New Roman" w:hAnsi="Times New Roman"/>
          <w:noProof/>
          <w:sz w:val="24"/>
        </w:rPr>
        <w:t xml:space="preserve"> </w:t>
      </w:r>
      <w:r>
        <w:rPr>
          <w:rFonts w:ascii="Times New Roman" w:hAnsi="Times New Roman"/>
          <w:noProof/>
          <w:color w:val="000000" w:themeColor="text1"/>
          <w:sz w:val="24"/>
        </w:rPr>
        <w:t>potpuno</w:t>
      </w:r>
      <w:r>
        <w:rPr>
          <w:rFonts w:ascii="Times New Roman" w:hAnsi="Times New Roman"/>
          <w:noProof/>
          <w:sz w:val="24"/>
        </w:rPr>
        <w:t xml:space="preserve"> </w:t>
      </w:r>
      <w:r>
        <w:rPr>
          <w:rFonts w:ascii="Times New Roman" w:hAnsi="Times New Roman"/>
          <w:noProof/>
          <w:color w:val="000000"/>
          <w:sz w:val="24"/>
        </w:rPr>
        <w:t xml:space="preserve">ostvarivanje prava građana. Važno je da </w:t>
      </w:r>
      <w:r>
        <w:rPr>
          <w:rFonts w:ascii="Times New Roman" w:hAnsi="Times New Roman"/>
          <w:b/>
          <w:noProof/>
          <w:color w:val="000000"/>
          <w:sz w:val="24"/>
        </w:rPr>
        <w:t>lokalne vlasti</w:t>
      </w:r>
      <w:r>
        <w:rPr>
          <w:rFonts w:ascii="Times New Roman" w:hAnsi="Times New Roman"/>
          <w:noProof/>
          <w:color w:val="000000"/>
          <w:sz w:val="24"/>
        </w:rPr>
        <w:t xml:space="preserve"> administrativnim, tehničkim i financijskim savjetima</w:t>
      </w:r>
      <w:r>
        <w:rPr>
          <w:rFonts w:ascii="Times New Roman" w:hAnsi="Times New Roman"/>
          <w:noProof/>
          <w:sz w:val="24"/>
        </w:rPr>
        <w:t xml:space="preserve"> </w:t>
      </w:r>
      <w:r>
        <w:rPr>
          <w:rFonts w:ascii="Times New Roman" w:hAnsi="Times New Roman"/>
          <w:noProof/>
          <w:color w:val="000000" w:themeColor="text1"/>
          <w:sz w:val="24"/>
        </w:rPr>
        <w:t>pomažu građanima</w:t>
      </w:r>
      <w:r>
        <w:rPr>
          <w:rFonts w:ascii="Times New Roman" w:hAnsi="Times New Roman"/>
          <w:noProof/>
          <w:sz w:val="24"/>
        </w:rPr>
        <w:t xml:space="preserve"> </w:t>
      </w:r>
      <w:r>
        <w:rPr>
          <w:rFonts w:ascii="Times New Roman" w:hAnsi="Times New Roman"/>
          <w:noProof/>
          <w:color w:val="000000"/>
          <w:sz w:val="24"/>
        </w:rPr>
        <w:t>u energetskoj tranziciji, posebno kad je riječ o rješavanju problema energetskog siromaštva</w:t>
      </w:r>
      <w:r>
        <w:rPr>
          <w:rFonts w:ascii="Times New Roman" w:hAnsi="Times New Roman"/>
          <w:noProof/>
          <w:color w:val="000000" w:themeColor="text1"/>
          <w:sz w:val="24"/>
        </w:rPr>
        <w:t xml:space="preserve"> i dopiranju do skupina sa specifičnim potrebama.</w:t>
      </w:r>
      <w:r>
        <w:rPr>
          <w:rFonts w:ascii="Times New Roman" w:hAnsi="Times New Roman"/>
          <w:noProof/>
          <w:color w:val="000000"/>
          <w:sz w:val="24"/>
        </w:rPr>
        <w:t xml:space="preserve"> U cilju intenziviranja</w:t>
      </w:r>
      <w:r>
        <w:rPr>
          <w:rFonts w:ascii="Times New Roman" w:hAnsi="Times New Roman"/>
          <w:noProof/>
          <w:color w:val="000000" w:themeColor="text1"/>
          <w:sz w:val="24"/>
        </w:rPr>
        <w:t xml:space="preserve"> </w:t>
      </w:r>
      <w:r>
        <w:rPr>
          <w:rFonts w:ascii="Times New Roman" w:hAnsi="Times New Roman"/>
          <w:noProof/>
          <w:color w:val="000000"/>
          <w:sz w:val="24"/>
        </w:rPr>
        <w:t>zajedničkih</w:t>
      </w:r>
      <w:r>
        <w:rPr>
          <w:rFonts w:ascii="Times New Roman" w:hAnsi="Times New Roman"/>
          <w:noProof/>
          <w:sz w:val="24"/>
        </w:rPr>
        <w:t xml:space="preserve"> </w:t>
      </w:r>
      <w:r>
        <w:rPr>
          <w:rFonts w:ascii="Times New Roman" w:hAnsi="Times New Roman"/>
          <w:noProof/>
          <w:color w:val="000000" w:themeColor="text1"/>
          <w:sz w:val="24"/>
        </w:rPr>
        <w:t>aktivnosti na svim razinama</w:t>
      </w:r>
      <w:r>
        <w:rPr>
          <w:rFonts w:ascii="Times New Roman" w:hAnsi="Times New Roman"/>
          <w:noProof/>
          <w:sz w:val="24"/>
        </w:rPr>
        <w:t xml:space="preserve"> </w:t>
      </w:r>
      <w:r>
        <w:rPr>
          <w:rFonts w:ascii="Times New Roman" w:hAnsi="Times New Roman"/>
          <w:noProof/>
          <w:color w:val="000000"/>
          <w:sz w:val="24"/>
        </w:rPr>
        <w:t>vlasti</w:t>
      </w:r>
      <w:r>
        <w:rPr>
          <w:rFonts w:ascii="Times New Roman" w:hAnsi="Times New Roman"/>
          <w:noProof/>
          <w:color w:val="000000" w:themeColor="text1"/>
          <w:sz w:val="24"/>
        </w:rPr>
        <w:t xml:space="preserve"> i ostvarivanja rezultata koji pogoduju europskim građanima, u ovoj se Komunikaciji, kojom se dopunjuju druge inicijative Komisije</w:t>
      </w:r>
      <w:r>
        <w:rPr>
          <w:rFonts w:ascii="Times New Roman" w:eastAsia="Times New Roman" w:hAnsi="Times New Roman" w:cs="Aptos"/>
          <w:noProof/>
          <w:color w:val="000000"/>
          <w:kern w:val="0"/>
          <w:sz w:val="24"/>
          <w:szCs w:val="24"/>
          <w:vertAlign w:val="superscript"/>
          <w:lang w:val="en-IE"/>
        </w:rPr>
        <w:footnoteReference w:id="3"/>
      </w:r>
      <w:r>
        <w:rPr>
          <w:rFonts w:ascii="Times New Roman" w:hAnsi="Times New Roman"/>
          <w:noProof/>
          <w:color w:val="000000" w:themeColor="text1"/>
          <w:sz w:val="24"/>
        </w:rPr>
        <w:t xml:space="preserve"> o priuštivoj energiji, utvrđuju konkretne mjere za:</w:t>
      </w:r>
      <w:r>
        <w:rPr>
          <w:rFonts w:ascii="Times New Roman" w:hAnsi="Times New Roman"/>
          <w:noProof/>
          <w:color w:val="000000"/>
          <w:sz w:val="24"/>
        </w:rPr>
        <w:t xml:space="preserve"> (i) </w:t>
      </w:r>
      <w:r>
        <w:rPr>
          <w:rFonts w:ascii="Times New Roman" w:hAnsi="Times New Roman"/>
          <w:noProof/>
          <w:color w:val="000000"/>
          <w:sz w:val="24"/>
          <w:u w:val="single"/>
        </w:rPr>
        <w:t>smanjenje računa za energiju za kućanstva</w:t>
      </w:r>
      <w:r>
        <w:rPr>
          <w:rFonts w:ascii="Times New Roman" w:hAnsi="Times New Roman"/>
          <w:noProof/>
          <w:color w:val="000000"/>
          <w:sz w:val="24"/>
        </w:rPr>
        <w:t xml:space="preserve">; (ii) </w:t>
      </w:r>
      <w:r>
        <w:rPr>
          <w:rFonts w:ascii="Times New Roman" w:hAnsi="Times New Roman"/>
          <w:noProof/>
          <w:color w:val="000000"/>
          <w:sz w:val="24"/>
          <w:u w:val="single"/>
        </w:rPr>
        <w:t>zaštitu i jačanje položaja potrošača</w:t>
      </w:r>
      <w:r>
        <w:rPr>
          <w:rFonts w:ascii="Times New Roman" w:hAnsi="Times New Roman"/>
          <w:noProof/>
          <w:color w:val="000000"/>
          <w:sz w:val="24"/>
        </w:rPr>
        <w:t xml:space="preserve">; (iii) </w:t>
      </w:r>
      <w:r>
        <w:rPr>
          <w:rFonts w:ascii="Times New Roman" w:hAnsi="Times New Roman"/>
          <w:noProof/>
          <w:color w:val="000000"/>
          <w:sz w:val="24"/>
          <w:u w:val="single"/>
        </w:rPr>
        <w:t>rješavanje problema energetskog siromaštva</w:t>
      </w:r>
      <w:r>
        <w:rPr>
          <w:rFonts w:ascii="Times New Roman" w:hAnsi="Times New Roman"/>
          <w:noProof/>
          <w:color w:val="000000"/>
          <w:sz w:val="24"/>
        </w:rPr>
        <w:t xml:space="preserve">; i (iv) </w:t>
      </w:r>
      <w:r>
        <w:rPr>
          <w:rFonts w:ascii="Times New Roman" w:hAnsi="Times New Roman"/>
          <w:noProof/>
          <w:color w:val="000000"/>
          <w:sz w:val="24"/>
          <w:u w:val="single"/>
        </w:rPr>
        <w:t>djelotvornu provedbu postojećih propisa EU-a</w:t>
      </w:r>
      <w:r>
        <w:rPr>
          <w:rFonts w:ascii="Times New Roman" w:hAnsi="Times New Roman"/>
          <w:noProof/>
          <w:color w:val="000000"/>
          <w:sz w:val="24"/>
        </w:rPr>
        <w:t>.</w:t>
      </w:r>
    </w:p>
    <w:p w14:paraId="3D4ED2B4" w14:textId="77777777" w:rsidR="0075286F" w:rsidRDefault="00D76238">
      <w:pPr>
        <w:spacing w:after="120" w:line="240" w:lineRule="auto"/>
        <w:jc w:val="center"/>
        <w:rPr>
          <w:rFonts w:ascii="Times New Roman" w:eastAsia="Times New Roman" w:hAnsi="Times New Roman" w:cs="Times New Roman"/>
          <w:noProof/>
          <w:color w:val="000000"/>
          <w:kern w:val="0"/>
          <w:sz w:val="24"/>
          <w:szCs w:val="24"/>
          <w14:ligatures w14:val="none"/>
        </w:rPr>
      </w:pPr>
      <w:r>
        <w:rPr>
          <w:rFonts w:ascii="Times New Roman" w:hAnsi="Times New Roman"/>
          <w:b/>
          <w:smallCaps/>
          <w:noProof/>
          <w:sz w:val="24"/>
          <w:u w:val="single"/>
        </w:rPr>
        <w:t>Prvi stup: Smanjenje računa za energiju za kućanstva</w:t>
      </w:r>
    </w:p>
    <w:p w14:paraId="13F611C5" w14:textId="5A78240A" w:rsidR="0075286F" w:rsidRDefault="00D76238">
      <w:pPr>
        <w:spacing w:after="120" w:line="240" w:lineRule="auto"/>
        <w:jc w:val="both"/>
        <w:rPr>
          <w:rFonts w:ascii="Times New Roman" w:eastAsia="Times New Roman" w:hAnsi="Times New Roman" w:cs="Times New Roman"/>
          <w:noProof/>
          <w:sz w:val="24"/>
          <w:szCs w:val="24"/>
        </w:rPr>
      </w:pPr>
      <w:r>
        <w:rPr>
          <w:rFonts w:ascii="Times New Roman" w:hAnsi="Times New Roman"/>
          <w:b/>
          <w:noProof/>
          <w:sz w:val="24"/>
          <w:lang w:val="en-GB" w:eastAsia="en-GB"/>
        </w:rPr>
        <mc:AlternateContent>
          <mc:Choice Requires="wps">
            <w:drawing>
              <wp:anchor distT="45720" distB="45720" distL="114300" distR="114300" simplePos="0" relativeHeight="251658240" behindDoc="0" locked="0" layoutInCell="1" allowOverlap="1" wp14:anchorId="05DD24C3" wp14:editId="58929D16">
                <wp:simplePos x="0" y="0"/>
                <wp:positionH relativeFrom="margin">
                  <wp:posOffset>2009775</wp:posOffset>
                </wp:positionH>
                <wp:positionV relativeFrom="paragraph">
                  <wp:posOffset>67945</wp:posOffset>
                </wp:positionV>
                <wp:extent cx="3702050" cy="32289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3228975"/>
                        </a:xfrm>
                        <a:prstGeom prst="rect">
                          <a:avLst/>
                        </a:prstGeom>
                        <a:solidFill>
                          <a:srgbClr val="FFFFFF"/>
                        </a:solidFill>
                        <a:ln w="9525">
                          <a:solidFill>
                            <a:srgbClr val="000000"/>
                          </a:solidFill>
                          <a:miter lim="800000"/>
                          <a:headEnd/>
                          <a:tailEnd/>
                        </a:ln>
                      </wps:spPr>
                      <wps:txbx>
                        <w:txbxContent>
                          <w:p w14:paraId="793C7D2F" w14:textId="2A16BE84" w:rsidR="0075286F" w:rsidRDefault="0073602F">
                            <w:pPr>
                              <w:spacing w:after="120" w:line="240" w:lineRule="auto"/>
                              <w:jc w:val="both"/>
                              <w:rPr>
                                <w:rFonts w:ascii="Times New Roman" w:eastAsia="Times New Roman" w:hAnsi="Times New Roman" w:cs="Times New Roman"/>
                                <w:i/>
                                <w:color w:val="000000"/>
                                <w:kern w:val="0"/>
                                <w:sz w:val="20"/>
                                <w:szCs w:val="20"/>
                                <w14:ligatures w14:val="none"/>
                              </w:rPr>
                            </w:pPr>
                            <w:r w:rsidRPr="0073602F">
                              <w:rPr>
                                <w:noProof/>
                                <w:lang w:val="en-GB" w:eastAsia="en-GB"/>
                              </w:rPr>
                              <w:drawing>
                                <wp:inline distT="0" distB="0" distL="0" distR="0" wp14:anchorId="2890274E" wp14:editId="2C985314">
                                  <wp:extent cx="3510280" cy="2627630"/>
                                  <wp:effectExtent l="0" t="0" r="0" b="1270"/>
                                  <wp:docPr id="3867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0280" cy="2627630"/>
                                          </a:xfrm>
                                          <a:prstGeom prst="rect">
                                            <a:avLst/>
                                          </a:prstGeom>
                                          <a:noFill/>
                                          <a:ln>
                                            <a:noFill/>
                                          </a:ln>
                                        </pic:spPr>
                                      </pic:pic>
                                    </a:graphicData>
                                  </a:graphic>
                                </wp:inline>
                              </w:drawing>
                            </w:r>
                            <w:r w:rsidR="00D76238">
                              <w:rPr>
                                <w:rFonts w:ascii="Times New Roman" w:hAnsi="Times New Roman"/>
                                <w:i/>
                                <w:color w:val="000000"/>
                                <w:sz w:val="20"/>
                              </w:rPr>
                              <w:t xml:space="preserve"> </w:t>
                            </w:r>
                          </w:p>
                          <w:p w14:paraId="209B721B" w14:textId="77777777" w:rsidR="0075286F" w:rsidRDefault="00D76238">
                            <w:pPr>
                              <w:spacing w:after="120" w:line="240" w:lineRule="auto"/>
                              <w:jc w:val="both"/>
                              <w:rPr>
                                <w:rFonts w:ascii="Times New Roman" w:eastAsia="Times New Roman" w:hAnsi="Times New Roman" w:cs="Times New Roman"/>
                                <w:i/>
                                <w:color w:val="000000"/>
                                <w:kern w:val="0"/>
                                <w:sz w:val="20"/>
                                <w:szCs w:val="20"/>
                                <w14:ligatures w14:val="none"/>
                              </w:rPr>
                            </w:pPr>
                            <w:r>
                              <w:rPr>
                                <w:rFonts w:ascii="Times New Roman" w:hAnsi="Times New Roman"/>
                                <w:i/>
                                <w:color w:val="000000"/>
                                <w:sz w:val="20"/>
                              </w:rPr>
                              <w:t>1. slika. Prosječne polugodišnje cijene električne energije i plina u EU-u za kućanstva. Izvor: Eurostatovi podaci o cijenama energije za kućanstva (kategorija potrošnje DC za električnu energiju i D2 za plin). Cijene uključuju sve poreze i pristojbe. Cijene plina pretvorene su u EUR/kWh.</w:t>
                            </w:r>
                          </w:p>
                          <w:p w14:paraId="06753D5E" w14:textId="77777777" w:rsidR="0075286F" w:rsidRPr="0073602F" w:rsidRDefault="007528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DD24C3" id="_x0000_t202" coordsize="21600,21600" o:spt="202" path="m,l,21600r21600,l21600,xe">
                <v:stroke joinstyle="miter"/>
                <v:path gradientshapeok="t" o:connecttype="rect"/>
              </v:shapetype>
              <v:shape id="Text Box 2" o:spid="_x0000_s1026" type="#_x0000_t202" style="position:absolute;left:0;text-align:left;margin-left:158.25pt;margin-top:5.35pt;width:291.5pt;height:25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">
                <v:textbox>
                  <w:txbxContent>
                    <w:p w14:paraId="793C7D2F" w14:textId="2A16BE84" w:rsidR="0075286F" w:rsidRDefault="0073602F">
                      <w:pPr>
                        <w:spacing w:after="120" w:line="240" w:lineRule="auto"/>
                        <w:jc w:val="both"/>
                        <w:rPr>
                          <w:rFonts w:ascii="Times New Roman" w:eastAsia="Times New Roman" w:hAnsi="Times New Roman" w:cs="Times New Roman"/>
                          <w:i/>
                          <w:color w:val="000000"/>
                          <w:kern w:val="0"/>
                          <w:sz w:val="20"/>
                          <w:szCs w:val="20"/>
                          <w14:ligatures w14:val="none"/>
                        </w:rPr>
                      </w:pPr>
                      <w:r w:rsidRPr="0073602F">
                        <w:rPr>
                          <w:noProof/>
                          <w:lang w:val="en-GB" w:eastAsia="en-GB"/>
                        </w:rPr>
                        <w:drawing>
                          <wp:inline distT="0" distB="0" distL="0" distR="0" wp14:anchorId="2890274E" wp14:editId="2C985314">
                            <wp:extent cx="3510280" cy="2627630"/>
                            <wp:effectExtent l="0" t="0" r="0" b="1270"/>
                            <wp:docPr id="3867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0280" cy="2627630"/>
                                    </a:xfrm>
                                    <a:prstGeom prst="rect">
                                      <a:avLst/>
                                    </a:prstGeom>
                                    <a:noFill/>
                                    <a:ln>
                                      <a:noFill/>
                                    </a:ln>
                                  </pic:spPr>
                                </pic:pic>
                              </a:graphicData>
                            </a:graphic>
                          </wp:inline>
                        </w:drawing>
                      </w:r>
                      <w:r w:rsidR="00D76238">
                        <w:rPr>
                          <w:rFonts w:ascii="Times New Roman" w:hAnsi="Times New Roman"/>
                          <w:i/>
                          <w:color w:val="000000"/>
                          <w:sz w:val="20"/>
                        </w:rPr>
                        <w:t xml:space="preserve"> </w:t>
                      </w:r>
                    </w:p>
                    <w:p w14:paraId="209B721B" w14:textId="77777777" w:rsidR="0075286F" w:rsidRDefault="00D76238">
                      <w:pPr>
                        <w:spacing w:after="120" w:line="240" w:lineRule="auto"/>
                        <w:jc w:val="both"/>
                        <w:rPr>
                          <w:rFonts w:ascii="Times New Roman" w:eastAsia="Times New Roman" w:hAnsi="Times New Roman" w:cs="Times New Roman"/>
                          <w:i/>
                          <w:color w:val="000000"/>
                          <w:kern w:val="0"/>
                          <w:sz w:val="20"/>
                          <w:szCs w:val="20"/>
                          <w14:ligatures w14:val="none"/>
                        </w:rPr>
                      </w:pPr>
                      <w:r>
                        <w:rPr>
                          <w:rFonts w:ascii="Times New Roman" w:hAnsi="Times New Roman"/>
                          <w:i/>
                          <w:color w:val="000000"/>
                          <w:sz w:val="20"/>
                        </w:rPr>
                        <w:t>1. slika. Prosječne polugodišnje cijene električne energije i plina u EU-u za kućanstva. Izvor: Eurostatovi podaci o cijenama energije za kućanstva (kategorija potrošnje DC za električnu energiju i D2 za plin). Cijene uključuju sve poreze i pristojbe. Cijene plina pretvorene su u EUR/kWh.</w:t>
                      </w:r>
                    </w:p>
                    <w:p w14:paraId="06753D5E" w14:textId="77777777" w:rsidR="0075286F" w:rsidRPr="0073602F" w:rsidRDefault="0075286F"/>
                  </w:txbxContent>
                </v:textbox>
                <w10:wrap type="square" anchorx="margin"/>
              </v:shape>
            </w:pict>
          </mc:Fallback>
        </mc:AlternateContent>
      </w:r>
      <w:r>
        <w:rPr>
          <w:rFonts w:ascii="Times New Roman" w:hAnsi="Times New Roman"/>
          <w:b/>
          <w:noProof/>
          <w:sz w:val="24"/>
        </w:rPr>
        <w:t>Visoke cijene energije štete europskom gospodarstvu i građanima.</w:t>
      </w:r>
      <w:r>
        <w:rPr>
          <w:rFonts w:ascii="Times New Roman" w:hAnsi="Times New Roman"/>
          <w:noProof/>
          <w:sz w:val="24"/>
        </w:rPr>
        <w:t xml:space="preserve"> Cijene električne energije za kućanstva naglo su porasle tijekom krize te su i dalje visoke, što nerazmjerno pogađa ranjive skupine. Maloprodajne su cijene električne energije za kućanstva u EU-u 36 % više od prosjeka za razdoblje 2014. – 2020., a maloprodajne su cijene plina 68 % više od prosjeka u istom razdoblju. Za usporedbu, inflacija je u istom razdoblju iznosila 26 %, što znači da su se cijene, nakon korekcije zbog inflacije, povećale za 10 %. </w:t>
      </w:r>
    </w:p>
    <w:p w14:paraId="621465E4" w14:textId="77777777" w:rsidR="0075286F" w:rsidRDefault="00D76238">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Na račune za energiju koje građani plaćaju utječu </w:t>
      </w:r>
      <w:r>
        <w:rPr>
          <w:rFonts w:ascii="Times New Roman" w:hAnsi="Times New Roman"/>
          <w:b/>
          <w:noProof/>
          <w:sz w:val="24"/>
        </w:rPr>
        <w:t>naknade za korištenje mreže</w:t>
      </w:r>
      <w:r>
        <w:rPr>
          <w:rFonts w:ascii="Times New Roman" w:hAnsi="Times New Roman"/>
          <w:noProof/>
          <w:sz w:val="24"/>
        </w:rPr>
        <w:t xml:space="preserve">, </w:t>
      </w:r>
      <w:r>
        <w:rPr>
          <w:rFonts w:ascii="Times New Roman" w:hAnsi="Times New Roman"/>
          <w:b/>
          <w:noProof/>
          <w:sz w:val="24"/>
        </w:rPr>
        <w:t>nacionalni porezi i pristojbe</w:t>
      </w:r>
      <w:r>
        <w:rPr>
          <w:rFonts w:ascii="Times New Roman" w:hAnsi="Times New Roman"/>
          <w:noProof/>
          <w:sz w:val="24"/>
        </w:rPr>
        <w:t xml:space="preserve">, </w:t>
      </w:r>
      <w:r>
        <w:rPr>
          <w:rFonts w:ascii="Times New Roman" w:hAnsi="Times New Roman"/>
          <w:b/>
          <w:noProof/>
          <w:sz w:val="24"/>
        </w:rPr>
        <w:t>veleprodajna cijena energije</w:t>
      </w:r>
      <w:r>
        <w:rPr>
          <w:rFonts w:ascii="Times New Roman" w:hAnsi="Times New Roman"/>
          <w:noProof/>
          <w:sz w:val="24"/>
        </w:rPr>
        <w:t xml:space="preserve"> i razina pojedinačne </w:t>
      </w:r>
      <w:r>
        <w:rPr>
          <w:rFonts w:ascii="Times New Roman" w:hAnsi="Times New Roman"/>
          <w:b/>
          <w:noProof/>
          <w:sz w:val="24"/>
        </w:rPr>
        <w:t>potrošnje</w:t>
      </w:r>
      <w:r>
        <w:rPr>
          <w:rFonts w:ascii="Times New Roman" w:hAnsi="Times New Roman"/>
          <w:noProof/>
          <w:sz w:val="24"/>
        </w:rPr>
        <w:t>. Nacionalni porezi na energiju i izračun naknada za korištenje mreže uglavnom su u nadležnosti država članica i njihovih regulatornih tijela, što im daje mogućnost da povećaju priuštivost računa za energiju. Komisija stoga u vezi s tim predlaže četiri konkretne mjere.</w:t>
      </w:r>
    </w:p>
    <w:p w14:paraId="4395C5ED" w14:textId="77777777" w:rsidR="0075286F" w:rsidRDefault="00D76238">
      <w:pPr>
        <w:rPr>
          <w:rFonts w:ascii="Times New Roman" w:eastAsia="Aptos" w:hAnsi="Times New Roman" w:cs="Times New Roman"/>
          <w:b/>
          <w:noProof/>
          <w:color w:val="000000" w:themeColor="text1"/>
          <w:sz w:val="24"/>
          <w:szCs w:val="24"/>
          <w:u w:val="single"/>
        </w:rPr>
      </w:pPr>
      <w:r>
        <w:rPr>
          <w:rFonts w:ascii="Times New Roman" w:hAnsi="Times New Roman"/>
          <w:b/>
          <w:noProof/>
          <w:color w:val="000000" w:themeColor="text1"/>
          <w:sz w:val="24"/>
          <w:u w:val="single"/>
        </w:rPr>
        <w:t>1. mjera: Smanjenje poreza i pristojbi na električnu energiju za kućanstva na minimum na razini EU-a</w:t>
      </w:r>
    </w:p>
    <w:p w14:paraId="63D6F6BA" w14:textId="4E0B6CB9" w:rsidR="0075286F" w:rsidRDefault="00D76238">
      <w:pPr>
        <w:spacing w:line="240" w:lineRule="auto"/>
        <w:jc w:val="both"/>
        <w:rPr>
          <w:rFonts w:ascii="Times New Roman" w:eastAsia="Aptos" w:hAnsi="Times New Roman" w:cs="Times New Roman"/>
          <w:noProof/>
          <w:sz w:val="24"/>
          <w:szCs w:val="24"/>
        </w:rPr>
      </w:pPr>
      <w:r>
        <w:rPr>
          <w:rFonts w:ascii="Times New Roman" w:hAnsi="Times New Roman"/>
          <w:b/>
          <w:noProof/>
          <w:sz w:val="24"/>
          <w:lang w:val="en-GB" w:eastAsia="en-GB"/>
        </w:rPr>
        <mc:AlternateContent>
          <mc:Choice Requires="wps">
            <w:drawing>
              <wp:anchor distT="45720" distB="45720" distL="114300" distR="114300" simplePos="0" relativeHeight="251658241" behindDoc="0" locked="0" layoutInCell="1" allowOverlap="1" wp14:anchorId="69F0535C" wp14:editId="29C7363A">
                <wp:simplePos x="0" y="0"/>
                <wp:positionH relativeFrom="margin">
                  <wp:posOffset>95250</wp:posOffset>
                </wp:positionH>
                <wp:positionV relativeFrom="paragraph">
                  <wp:posOffset>66675</wp:posOffset>
                </wp:positionV>
                <wp:extent cx="3479800" cy="2590800"/>
                <wp:effectExtent l="0" t="0" r="25400" b="19050"/>
                <wp:wrapSquare wrapText="bothSides"/>
                <wp:docPr id="152403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590800"/>
                        </a:xfrm>
                        <a:prstGeom prst="rect">
                          <a:avLst/>
                        </a:prstGeom>
                        <a:solidFill>
                          <a:srgbClr val="FFFFFF"/>
                        </a:solidFill>
                        <a:ln w="9525">
                          <a:solidFill>
                            <a:srgbClr val="000000"/>
                          </a:solidFill>
                          <a:miter lim="800000"/>
                          <a:headEnd/>
                          <a:tailEnd/>
                        </a:ln>
                      </wps:spPr>
                      <wps:txbx>
                        <w:txbxContent>
                          <w:p w14:paraId="137AB6E4" w14:textId="49770900" w:rsidR="0075286F" w:rsidRDefault="0073602F">
                            <w:pPr>
                              <w:spacing w:line="240" w:lineRule="auto"/>
                              <w:jc w:val="center"/>
                              <w:rPr>
                                <w:rFonts w:ascii="Times New Roman" w:eastAsia="Aptos" w:hAnsi="Times New Roman" w:cs="Times New Roman"/>
                                <w:sz w:val="20"/>
                                <w:szCs w:val="20"/>
                              </w:rPr>
                            </w:pPr>
                            <w:r w:rsidRPr="0073602F">
                              <w:rPr>
                                <w:noProof/>
                                <w:lang w:val="en-GB" w:eastAsia="en-GB"/>
                              </w:rPr>
                              <w:drawing>
                                <wp:inline distT="0" distB="0" distL="0" distR="0" wp14:anchorId="401E826D" wp14:editId="7468C004">
                                  <wp:extent cx="3288030" cy="2019300"/>
                                  <wp:effectExtent l="0" t="0" r="7620" b="0"/>
                                  <wp:docPr id="666817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8030" cy="2019300"/>
                                          </a:xfrm>
                                          <a:prstGeom prst="rect">
                                            <a:avLst/>
                                          </a:prstGeom>
                                          <a:noFill/>
                                          <a:ln>
                                            <a:noFill/>
                                          </a:ln>
                                        </pic:spPr>
                                      </pic:pic>
                                    </a:graphicData>
                                  </a:graphic>
                                </wp:inline>
                              </w:drawing>
                            </w:r>
                          </w:p>
                          <w:p w14:paraId="65C7085E" w14:textId="77777777" w:rsidR="0075286F" w:rsidRDefault="00D76238">
                            <w:pPr>
                              <w:spacing w:line="240" w:lineRule="auto"/>
                              <w:jc w:val="center"/>
                              <w:rPr>
                                <w:rFonts w:ascii="Times New Roman" w:eastAsia="Aptos" w:hAnsi="Times New Roman" w:cs="Times New Roman"/>
                                <w:i/>
                                <w:iCs/>
                                <w:sz w:val="20"/>
                                <w:szCs w:val="20"/>
                              </w:rPr>
                            </w:pPr>
                            <w:r>
                              <w:rPr>
                                <w:rFonts w:ascii="Times New Roman" w:hAnsi="Times New Roman"/>
                                <w:i/>
                                <w:sz w:val="20"/>
                              </w:rPr>
                              <w:t>2. slika. Sastavnice cijene električne energije za prosječna kućanstva u EU-u (2019. – 2024.). Izvor: Eurostat.</w:t>
                            </w:r>
                          </w:p>
                          <w:p w14:paraId="1F98D930" w14:textId="77777777" w:rsidR="0075286F" w:rsidRDefault="007528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0535C" id="_x0000_s1027" type="#_x0000_t202" style="position:absolute;left:0;text-align:left;margin-left:7.5pt;margin-top:5.25pt;width:274pt;height:20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">
                <v:textbox>
                  <w:txbxContent>
                    <w:p w14:paraId="137AB6E4" w14:textId="49770900" w:rsidR="0075286F" w:rsidRDefault="0073602F">
                      <w:pPr>
                        <w:spacing w:line="240" w:lineRule="auto"/>
                        <w:jc w:val="center"/>
                        <w:rPr>
                          <w:rFonts w:ascii="Times New Roman" w:eastAsia="Aptos" w:hAnsi="Times New Roman" w:cs="Times New Roman"/>
                          <w:sz w:val="20"/>
                          <w:szCs w:val="20"/>
                        </w:rPr>
                      </w:pPr>
                      <w:r w:rsidRPr="0073602F">
                        <w:rPr>
                          <w:noProof/>
                          <w:lang w:val="en-GB" w:eastAsia="en-GB"/>
                        </w:rPr>
                        <w:drawing>
                          <wp:inline distT="0" distB="0" distL="0" distR="0" wp14:anchorId="401E826D" wp14:editId="7468C004">
                            <wp:extent cx="3288030" cy="2019300"/>
                            <wp:effectExtent l="0" t="0" r="7620" b="0"/>
                            <wp:docPr id="666817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8030" cy="2019300"/>
                                    </a:xfrm>
                                    <a:prstGeom prst="rect">
                                      <a:avLst/>
                                    </a:prstGeom>
                                    <a:noFill/>
                                    <a:ln>
                                      <a:noFill/>
                                    </a:ln>
                                  </pic:spPr>
                                </pic:pic>
                              </a:graphicData>
                            </a:graphic>
                          </wp:inline>
                        </w:drawing>
                      </w:r>
                    </w:p>
                    <w:p w14:paraId="65C7085E" w14:textId="77777777" w:rsidR="0075286F" w:rsidRDefault="00D76238">
                      <w:pPr>
                        <w:spacing w:line="240" w:lineRule="auto"/>
                        <w:jc w:val="center"/>
                        <w:rPr>
                          <w:rFonts w:ascii="Times New Roman" w:eastAsia="Aptos" w:hAnsi="Times New Roman" w:cs="Times New Roman"/>
                          <w:i/>
                          <w:iCs/>
                          <w:sz w:val="20"/>
                          <w:szCs w:val="20"/>
                        </w:rPr>
                      </w:pPr>
                      <w:r>
                        <w:rPr>
                          <w:rFonts w:ascii="Times New Roman" w:hAnsi="Times New Roman"/>
                          <w:i/>
                          <w:sz w:val="20"/>
                        </w:rPr>
                        <w:t>2. slika. Sastavnice cijene električne energije za prosječna kućanstva u EU-u (2019. – 2024.). Izvor: Eurostat.</w:t>
                      </w:r>
                    </w:p>
                    <w:p w14:paraId="1F98D930" w14:textId="77777777" w:rsidR="0075286F" w:rsidRDefault="0075286F"/>
                  </w:txbxContent>
                </v:textbox>
                <w10:wrap type="square" anchorx="margin"/>
              </v:shape>
            </w:pict>
          </mc:Fallback>
        </mc:AlternateContent>
      </w:r>
      <w:r>
        <w:rPr>
          <w:rFonts w:ascii="Times New Roman" w:hAnsi="Times New Roman"/>
          <w:b/>
          <w:noProof/>
          <w:sz w:val="24"/>
        </w:rPr>
        <w:t>Porezi i pristojbe na električnu energiju u prosjeku čine 25 % njezine cijene za kućanstva, a 15 % za poduzeća.</w:t>
      </w:r>
      <w:r>
        <w:rPr>
          <w:rFonts w:ascii="Times New Roman" w:hAnsi="Times New Roman"/>
          <w:noProof/>
          <w:sz w:val="24"/>
        </w:rPr>
        <w:t xml:space="preserve"> Države članice mogu smanjiti nacionalne poreze i pristojbe na energiju, uključujući dodatne poreze ili pristojbe koji nisu povezani s energijom (npr. naknade za javnu radioteleviziju koje se dodaju računima za električnu energiju</w:t>
      </w:r>
      <w:r>
        <w:rPr>
          <w:rStyle w:val="FootnoteReference"/>
          <w:rFonts w:ascii="Times New Roman" w:eastAsia="Aptos" w:hAnsi="Times New Roman" w:cs="Times New Roman"/>
          <w:noProof/>
          <w:sz w:val="24"/>
          <w:szCs w:val="24"/>
          <w:lang w:val="en-IE"/>
        </w:rPr>
        <w:footnoteReference w:id="4"/>
      </w:r>
      <w:r>
        <w:rPr>
          <w:rFonts w:ascii="Times New Roman" w:hAnsi="Times New Roman"/>
          <w:noProof/>
          <w:sz w:val="24"/>
        </w:rPr>
        <w:t xml:space="preserve">). Ukidanje nepovezanih troškova koristi svima, a posebno ranjivim kućanstvima. </w:t>
      </w:r>
    </w:p>
    <w:p w14:paraId="48C43169" w14:textId="77777777" w:rsidR="0075286F" w:rsidRDefault="00D76238">
      <w:pPr>
        <w:spacing w:line="240" w:lineRule="auto"/>
        <w:jc w:val="both"/>
        <w:rPr>
          <w:rFonts w:ascii="Times New Roman" w:eastAsia="Aptos" w:hAnsi="Times New Roman" w:cs="Times New Roman"/>
          <w:noProof/>
          <w:sz w:val="24"/>
          <w:szCs w:val="24"/>
        </w:rPr>
      </w:pPr>
      <w:r>
        <w:rPr>
          <w:rFonts w:ascii="Times New Roman" w:hAnsi="Times New Roman"/>
          <w:noProof/>
          <w:sz w:val="24"/>
        </w:rPr>
        <w:t>Neke su države članice</w:t>
      </w:r>
      <w:r>
        <w:rPr>
          <w:rFonts w:ascii="Times New Roman" w:hAnsi="Times New Roman" w:cs="Times New Roman"/>
          <w:noProof/>
          <w:vertAlign w:val="superscript"/>
        </w:rPr>
        <w:footnoteReference w:id="5"/>
      </w:r>
      <w:r>
        <w:rPr>
          <w:rFonts w:ascii="Times New Roman" w:hAnsi="Times New Roman"/>
          <w:noProof/>
          <w:sz w:val="24"/>
        </w:rPr>
        <w:t xml:space="preserve"> smanjile ili su u postupku smanjivanja porezne stope za energetski intenzivne industrije. Manje oporezivanje pokazalo se djelotvornim i za privremeno ograničavanje računa za energiju tijekom energetske krize, posebno kad je maloprodajna cijena električne energije bila znatno viša od cijene plina. Direktiva o oporezivanju energije i Direktiva o PDV-u državama članicama daju fleksibilnost u snižavanju stopa minimalne trošarine i PDV-a na cijene električne energije. To bi imalo neposredan učinak na cijene električne energije i pridonijelo bržoj elektrifikaciji krajnjih korisnika. </w:t>
      </w:r>
    </w:p>
    <w:p w14:paraId="29A85BF1" w14:textId="77777777" w:rsidR="0075286F" w:rsidRPr="00D76238" w:rsidRDefault="0075286F">
      <w:pPr>
        <w:spacing w:after="0" w:line="240" w:lineRule="auto"/>
        <w:jc w:val="both"/>
        <w:rPr>
          <w:rFonts w:ascii="Times New Roman" w:eastAsia="Aptos" w:hAnsi="Times New Roman" w:cs="Times New Roman"/>
          <w:noProof/>
          <w:sz w:val="24"/>
          <w:szCs w:val="24"/>
        </w:rPr>
      </w:pPr>
    </w:p>
    <w:tbl>
      <w:tblPr>
        <w:tblStyle w:val="TableGridLigh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6"/>
        <w:gridCol w:w="8004"/>
      </w:tblGrid>
      <w:tr w:rsidR="0075286F" w14:paraId="637A9776" w14:textId="77777777">
        <w:trPr>
          <w:trHeight w:val="300"/>
        </w:trPr>
        <w:tc>
          <w:tcPr>
            <w:tcW w:w="990" w:type="dxa"/>
            <w:tcMar>
              <w:left w:w="108" w:type="dxa"/>
              <w:right w:w="108" w:type="dxa"/>
            </w:tcMar>
            <w:vAlign w:val="center"/>
          </w:tcPr>
          <w:p w14:paraId="3ADBFB60" w14:textId="77777777" w:rsidR="0075286F" w:rsidRDefault="00D76238">
            <w:pPr>
              <w:spacing w:before="60" w:after="60"/>
              <w:rPr>
                <w:rFonts w:ascii="Times New Roman" w:eastAsia="Aptos" w:hAnsi="Times New Roman" w:cs="Times New Roman"/>
                <w:bCs/>
                <w:noProof/>
                <w:sz w:val="24"/>
                <w:szCs w:val="24"/>
              </w:rPr>
            </w:pPr>
            <w:r>
              <w:rPr>
                <w:rFonts w:ascii="Times New Roman" w:hAnsi="Times New Roman"/>
                <w:noProof/>
                <w:sz w:val="24"/>
              </w:rPr>
              <w:t xml:space="preserve">Cilj </w:t>
            </w:r>
          </w:p>
        </w:tc>
        <w:tc>
          <w:tcPr>
            <w:tcW w:w="8016" w:type="dxa"/>
            <w:tcMar>
              <w:left w:w="108" w:type="dxa"/>
              <w:right w:w="108" w:type="dxa"/>
            </w:tcMar>
          </w:tcPr>
          <w:p w14:paraId="24476F03" w14:textId="77777777" w:rsidR="0075286F" w:rsidRDefault="00D76238">
            <w:pPr>
              <w:spacing w:before="60" w:after="60"/>
              <w:rPr>
                <w:rFonts w:ascii="Times New Roman" w:eastAsia="Aptos" w:hAnsi="Times New Roman" w:cs="Times New Roman"/>
                <w:b/>
                <w:bCs/>
                <w:noProof/>
                <w:sz w:val="24"/>
                <w:szCs w:val="24"/>
              </w:rPr>
            </w:pPr>
            <w:r>
              <w:rPr>
                <w:rFonts w:ascii="Times New Roman" w:hAnsi="Times New Roman"/>
                <w:b/>
                <w:noProof/>
                <w:sz w:val="24"/>
              </w:rPr>
              <w:t xml:space="preserve">Smanjenje računa potrošača za električnu energiju i podupiranje elektrifikacije </w:t>
            </w:r>
          </w:p>
        </w:tc>
      </w:tr>
      <w:tr w:rsidR="0075286F" w14:paraId="18FEE457" w14:textId="77777777">
        <w:trPr>
          <w:trHeight w:val="300"/>
        </w:trPr>
        <w:tc>
          <w:tcPr>
            <w:tcW w:w="990" w:type="dxa"/>
            <w:tcMar>
              <w:left w:w="108" w:type="dxa"/>
              <w:right w:w="108" w:type="dxa"/>
            </w:tcMar>
            <w:vAlign w:val="center"/>
          </w:tcPr>
          <w:p w14:paraId="71116DBE" w14:textId="77777777" w:rsidR="0075286F" w:rsidRDefault="00D76238">
            <w:pPr>
              <w:spacing w:before="60" w:after="60"/>
              <w:rPr>
                <w:rFonts w:ascii="Times New Roman" w:eastAsia="Aptos" w:hAnsi="Times New Roman" w:cs="Times New Roman"/>
                <w:bCs/>
                <w:noProof/>
                <w:sz w:val="24"/>
                <w:szCs w:val="24"/>
              </w:rPr>
            </w:pPr>
            <w:r>
              <w:rPr>
                <w:rFonts w:ascii="Times New Roman" w:hAnsi="Times New Roman"/>
                <w:noProof/>
                <w:sz w:val="24"/>
              </w:rPr>
              <w:t>Rezultat</w:t>
            </w:r>
          </w:p>
        </w:tc>
        <w:tc>
          <w:tcPr>
            <w:tcW w:w="8016" w:type="dxa"/>
            <w:tcMar>
              <w:left w:w="108" w:type="dxa"/>
              <w:right w:w="108" w:type="dxa"/>
            </w:tcMar>
            <w:vAlign w:val="center"/>
          </w:tcPr>
          <w:p w14:paraId="44AC1719" w14:textId="77777777" w:rsidR="0075286F" w:rsidRDefault="00D76238">
            <w:pPr>
              <w:spacing w:before="60" w:after="60"/>
              <w:rPr>
                <w:rFonts w:ascii="Times New Roman" w:eastAsia="Aptos" w:hAnsi="Times New Roman" w:cs="Times New Roman"/>
                <w:b/>
                <w:bCs/>
                <w:noProof/>
                <w:sz w:val="24"/>
                <w:szCs w:val="24"/>
              </w:rPr>
            </w:pPr>
            <w:r>
              <w:rPr>
                <w:rFonts w:ascii="Times New Roman" w:hAnsi="Times New Roman"/>
                <w:noProof/>
                <w:sz w:val="24"/>
              </w:rPr>
              <w:t xml:space="preserve">Moguće </w:t>
            </w:r>
            <w:r>
              <w:rPr>
                <w:rFonts w:ascii="Times New Roman" w:hAnsi="Times New Roman"/>
                <w:b/>
                <w:noProof/>
                <w:sz w:val="24"/>
              </w:rPr>
              <w:t>smanjenje računa građana za 14 %</w:t>
            </w:r>
            <w:r>
              <w:rPr>
                <w:rFonts w:ascii="Times New Roman" w:hAnsi="Times New Roman"/>
                <w:noProof/>
                <w:sz w:val="24"/>
              </w:rPr>
              <w:t xml:space="preserve"> ili </w:t>
            </w:r>
            <w:r>
              <w:rPr>
                <w:rFonts w:ascii="Times New Roman" w:hAnsi="Times New Roman"/>
                <w:b/>
                <w:noProof/>
                <w:sz w:val="24"/>
              </w:rPr>
              <w:t>prosječno 200 EUR godišnje</w:t>
            </w:r>
          </w:p>
        </w:tc>
      </w:tr>
      <w:tr w:rsidR="0075286F" w14:paraId="6F3B3508" w14:textId="77777777">
        <w:trPr>
          <w:trHeight w:val="300"/>
        </w:trPr>
        <w:tc>
          <w:tcPr>
            <w:tcW w:w="990" w:type="dxa"/>
            <w:tcMar>
              <w:left w:w="108" w:type="dxa"/>
              <w:right w:w="108" w:type="dxa"/>
            </w:tcMar>
            <w:vAlign w:val="center"/>
          </w:tcPr>
          <w:p w14:paraId="058A914F" w14:textId="77777777" w:rsidR="0075286F" w:rsidRDefault="00D76238">
            <w:pPr>
              <w:spacing w:before="60" w:after="60"/>
              <w:rPr>
                <w:rFonts w:ascii="Times New Roman" w:eastAsia="Aptos" w:hAnsi="Times New Roman" w:cs="Times New Roman"/>
                <w:bCs/>
                <w:noProof/>
                <w:sz w:val="24"/>
                <w:szCs w:val="24"/>
              </w:rPr>
            </w:pPr>
            <w:r>
              <w:rPr>
                <w:rFonts w:ascii="Times New Roman" w:hAnsi="Times New Roman"/>
                <w:noProof/>
                <w:sz w:val="24"/>
              </w:rPr>
              <w:t>Kako?</w:t>
            </w:r>
          </w:p>
        </w:tc>
        <w:tc>
          <w:tcPr>
            <w:tcW w:w="8016" w:type="dxa"/>
            <w:tcMar>
              <w:left w:w="108" w:type="dxa"/>
              <w:right w:w="108" w:type="dxa"/>
            </w:tcMar>
          </w:tcPr>
          <w:p w14:paraId="2FF543EA" w14:textId="77777777" w:rsidR="0075286F" w:rsidRDefault="00D76238">
            <w:pPr>
              <w:spacing w:before="60" w:after="60"/>
              <w:rPr>
                <w:rFonts w:ascii="Times New Roman" w:eastAsia="Aptos" w:hAnsi="Times New Roman" w:cs="Times New Roman"/>
                <w:noProof/>
                <w:sz w:val="24"/>
                <w:szCs w:val="24"/>
              </w:rPr>
            </w:pPr>
            <w:r>
              <w:rPr>
                <w:rFonts w:ascii="Times New Roman" w:hAnsi="Times New Roman"/>
                <w:noProof/>
                <w:sz w:val="24"/>
              </w:rPr>
              <w:t xml:space="preserve">Države članice moraju pridonijeti smanjivanju računa za električnu energiju za kućanstva </w:t>
            </w:r>
            <w:r>
              <w:rPr>
                <w:rFonts w:ascii="Times New Roman" w:hAnsi="Times New Roman"/>
                <w:b/>
                <w:noProof/>
                <w:sz w:val="24"/>
              </w:rPr>
              <w:t>preispitivanjem poreza</w:t>
            </w:r>
            <w:r>
              <w:rPr>
                <w:rFonts w:ascii="Times New Roman" w:hAnsi="Times New Roman"/>
                <w:noProof/>
                <w:sz w:val="24"/>
              </w:rPr>
              <w:t xml:space="preserve">, potpunim iskorištavanjem </w:t>
            </w:r>
            <w:r>
              <w:rPr>
                <w:rFonts w:ascii="Times New Roman" w:hAnsi="Times New Roman"/>
                <w:b/>
                <w:noProof/>
                <w:sz w:val="24"/>
              </w:rPr>
              <w:t>fleksibilnih mogućnosti</w:t>
            </w:r>
            <w:r>
              <w:rPr>
                <w:rFonts w:ascii="Times New Roman" w:hAnsi="Times New Roman"/>
                <w:noProof/>
                <w:sz w:val="24"/>
              </w:rPr>
              <w:t xml:space="preserve"> u propisima EU-a te razmatranjem </w:t>
            </w:r>
            <w:r>
              <w:rPr>
                <w:rFonts w:ascii="Times New Roman" w:hAnsi="Times New Roman"/>
                <w:b/>
                <w:noProof/>
                <w:sz w:val="24"/>
              </w:rPr>
              <w:t>potpunih ili djelomičnih ciljanih smanjenja trošarina</w:t>
            </w:r>
            <w:r>
              <w:rPr>
                <w:rFonts w:ascii="Times New Roman" w:hAnsi="Times New Roman"/>
                <w:noProof/>
                <w:sz w:val="24"/>
              </w:rPr>
              <w:t xml:space="preserve"> na električnu energiju, npr. za ranjiva kućanstva i kućanstva izložena energetskom siromaštvu.</w:t>
            </w:r>
            <w:r>
              <w:rPr>
                <w:rFonts w:ascii="Times New Roman" w:hAnsi="Times New Roman"/>
                <w:b/>
                <w:i/>
                <w:noProof/>
                <w:sz w:val="24"/>
              </w:rPr>
              <w:t xml:space="preserve"> </w:t>
            </w:r>
          </w:p>
        </w:tc>
      </w:tr>
    </w:tbl>
    <w:p w14:paraId="4D6E699E" w14:textId="77777777" w:rsidR="0075286F" w:rsidRPr="00D76238" w:rsidRDefault="0075286F">
      <w:pPr>
        <w:rPr>
          <w:rFonts w:ascii="Times New Roman" w:eastAsia="Times New Roman" w:hAnsi="Times New Roman" w:cs="Times New Roman"/>
          <w:b/>
          <w:bCs/>
          <w:noProof/>
          <w:color w:val="000000" w:themeColor="text1"/>
          <w:sz w:val="24"/>
          <w:szCs w:val="24"/>
          <w:u w:val="single"/>
        </w:rPr>
      </w:pPr>
    </w:p>
    <w:p w14:paraId="1FD6BA07" w14:textId="77777777" w:rsidR="0075286F" w:rsidRDefault="00D76238">
      <w:pPr>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 xml:space="preserve">2. mjera: Snižavanje troškova korištenja mreže za lokalne potrošače </w:t>
      </w:r>
    </w:p>
    <w:p w14:paraId="0BAB5A0A" w14:textId="2756CDED" w:rsidR="0075286F" w:rsidRDefault="00D76238">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Potrošači plaćaju </w:t>
      </w:r>
      <w:r>
        <w:rPr>
          <w:rFonts w:ascii="Times New Roman" w:hAnsi="Times New Roman"/>
          <w:b/>
          <w:noProof/>
          <w:sz w:val="24"/>
        </w:rPr>
        <w:t>mrežne tarife</w:t>
      </w:r>
      <w:r>
        <w:rPr>
          <w:rFonts w:ascii="Times New Roman" w:hAnsi="Times New Roman"/>
          <w:noProof/>
          <w:sz w:val="24"/>
        </w:rPr>
        <w:t xml:space="preserve"> za pokrivanje troškova prijenosa energije do njihovih domova. To čini </w:t>
      </w:r>
      <w:r>
        <w:rPr>
          <w:rFonts w:ascii="Times New Roman" w:hAnsi="Times New Roman"/>
          <w:b/>
          <w:noProof/>
          <w:sz w:val="24"/>
        </w:rPr>
        <w:t>od četvrtine do trećine cijena električne energije</w:t>
      </w:r>
      <w:r>
        <w:rPr>
          <w:rFonts w:ascii="Times New Roman" w:hAnsi="Times New Roman"/>
          <w:noProof/>
          <w:sz w:val="24"/>
        </w:rPr>
        <w:t xml:space="preserve"> i važan je čimbenik priuštivosti energije. Propisi EU-a štite potrošače tako što se mrežne operatere obvezuje da naplaćuju samo stvarne i transparentne troškove, uzimajući pritom u obzir potrebu za sigurnošću i fleksibilnošću mreže i stvarno nastale troškove</w:t>
      </w:r>
      <w:r>
        <w:rPr>
          <w:rStyle w:val="FootnoteReference"/>
          <w:rFonts w:ascii="Times New Roman" w:hAnsi="Times New Roman" w:cs="Times New Roman"/>
          <w:noProof/>
          <w:sz w:val="24"/>
          <w:szCs w:val="24"/>
          <w:lang w:val="en-IE"/>
        </w:rPr>
        <w:footnoteReference w:id="6"/>
      </w:r>
      <w:r>
        <w:rPr>
          <w:rFonts w:ascii="Times New Roman" w:hAnsi="Times New Roman"/>
          <w:noProof/>
          <w:sz w:val="24"/>
        </w:rPr>
        <w:t xml:space="preserve">. Tarife i s njima povezani troškovi podliježu odobrenju neovisnih nacionalnih regulatornih tijela. </w:t>
      </w:r>
    </w:p>
    <w:p w14:paraId="47A9EDA6" w14:textId="77777777" w:rsidR="0075286F" w:rsidRDefault="00D76238">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Energetske zajednice koje proizvode energiju za vlastitu potrošnju ili dijele energiju sa susjedima mogu pridonijeti smanjenju korištenja lokalnih mreža i smanjenju ulaganja u dodatnu infrastrukturu. Nagrade za fleksibilnost u mrežnim tarifama, koja omogućava smanjenje računa za energiju za energetske zajednice i građane koji dijele svoju energiju, potaknule bi lokalnu proizvodnju i potrošnju energije i donijele pogodnosti za sve korisnike mreže.</w:t>
      </w:r>
    </w:p>
    <w:p w14:paraId="5D0EE619" w14:textId="77777777" w:rsidR="0075286F" w:rsidRDefault="00D76238">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Komisija je 2025. objavila </w:t>
      </w:r>
      <w:r>
        <w:rPr>
          <w:rFonts w:ascii="Times New Roman" w:hAnsi="Times New Roman"/>
          <w:b/>
          <w:noProof/>
          <w:sz w:val="24"/>
        </w:rPr>
        <w:t>smjernice o mrežnim tarifama</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rPr>
        <w:t xml:space="preserve"> kako bi nacionalnim regulatornim tijelima pomogla da smanje naknade za korištenje mreže, a time i račune potrošača. Brza provedba tih smjernica pomoći će u smanjenju naknada za korištenje mreže za sve potrošače. Komisija potiče regulatorna tijela da strogo procjenjuju troškove/prihode i u potpunosti uzmu u obzir potencijalnu fleksibilnost i upravljanje potrošnjom kako bi se izbjegla skupa infrastrukturna ulaganja. Nastavno na smjernice o mrežnim tarifama Komisija će s nacionalnim regulatornim tijelima raditi na ubrzavanju energetske tranzicije, uključujući nagrađivanje pozitivnih učinaka energetskih zajednica i dijeljenja energije.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75286F" w14:paraId="4256869F" w14:textId="77777777">
        <w:tc>
          <w:tcPr>
            <w:tcW w:w="1163" w:type="dxa"/>
            <w:vAlign w:val="center"/>
          </w:tcPr>
          <w:p w14:paraId="1F9E4365" w14:textId="77777777" w:rsidR="0075286F" w:rsidRDefault="00D76238">
            <w:pPr>
              <w:jc w:val="both"/>
              <w:rPr>
                <w:rFonts w:ascii="Times New Roman" w:eastAsia="Times New Roman" w:hAnsi="Times New Roman" w:cs="Times New Roman"/>
                <w:noProof/>
                <w:sz w:val="24"/>
                <w:szCs w:val="24"/>
              </w:rPr>
            </w:pPr>
            <w:r>
              <w:rPr>
                <w:rFonts w:ascii="Times New Roman" w:hAnsi="Times New Roman"/>
                <w:noProof/>
                <w:sz w:val="24"/>
              </w:rPr>
              <w:t xml:space="preserve">Cilj </w:t>
            </w:r>
          </w:p>
        </w:tc>
        <w:tc>
          <w:tcPr>
            <w:tcW w:w="7853" w:type="dxa"/>
          </w:tcPr>
          <w:p w14:paraId="158C4C44" w14:textId="77777777" w:rsidR="0075286F" w:rsidRDefault="00D76238">
            <w:pPr>
              <w:jc w:val="both"/>
              <w:rPr>
                <w:rFonts w:ascii="Times New Roman" w:eastAsia="Times New Roman" w:hAnsi="Times New Roman" w:cs="Times New Roman"/>
                <w:noProof/>
                <w:sz w:val="24"/>
                <w:szCs w:val="24"/>
              </w:rPr>
            </w:pPr>
            <w:r>
              <w:rPr>
                <w:rFonts w:ascii="Times New Roman" w:hAnsi="Times New Roman"/>
                <w:b/>
                <w:noProof/>
                <w:sz w:val="24"/>
              </w:rPr>
              <w:t>Snižavanje mrežnih tarifa za lokalne potrošače</w:t>
            </w:r>
          </w:p>
        </w:tc>
      </w:tr>
      <w:tr w:rsidR="0075286F" w14:paraId="1F8E9DF0" w14:textId="77777777">
        <w:tc>
          <w:tcPr>
            <w:tcW w:w="1163" w:type="dxa"/>
            <w:vAlign w:val="center"/>
          </w:tcPr>
          <w:p w14:paraId="0C776B44" w14:textId="77777777" w:rsidR="0075286F" w:rsidRDefault="00D76238">
            <w:pPr>
              <w:jc w:val="both"/>
              <w:rPr>
                <w:rFonts w:ascii="Times New Roman" w:eastAsia="Times New Roman" w:hAnsi="Times New Roman" w:cs="Times New Roman"/>
                <w:noProof/>
                <w:sz w:val="24"/>
                <w:szCs w:val="24"/>
              </w:rPr>
            </w:pPr>
            <w:r>
              <w:rPr>
                <w:rFonts w:ascii="Times New Roman" w:hAnsi="Times New Roman"/>
                <w:noProof/>
                <w:sz w:val="24"/>
              </w:rPr>
              <w:t>Rezultat</w:t>
            </w:r>
          </w:p>
        </w:tc>
        <w:tc>
          <w:tcPr>
            <w:tcW w:w="7853" w:type="dxa"/>
          </w:tcPr>
          <w:p w14:paraId="5C5AB996" w14:textId="77777777" w:rsidR="0075286F" w:rsidRDefault="00D76238">
            <w:pPr>
              <w:jc w:val="both"/>
              <w:rPr>
                <w:rFonts w:ascii="Times New Roman" w:eastAsia="Times New Roman" w:hAnsi="Times New Roman" w:cs="Times New Roman"/>
                <w:noProof/>
                <w:sz w:val="24"/>
                <w:szCs w:val="24"/>
              </w:rPr>
            </w:pPr>
            <w:r>
              <w:rPr>
                <w:rFonts w:ascii="Times New Roman" w:hAnsi="Times New Roman"/>
                <w:noProof/>
                <w:sz w:val="24"/>
              </w:rPr>
              <w:t xml:space="preserve">Fleksibilna potrošnja i fleksibilna lokalna proizvodnja i potrošnja električne energije koje </w:t>
            </w:r>
            <w:r>
              <w:rPr>
                <w:rFonts w:ascii="Times New Roman" w:hAnsi="Times New Roman"/>
                <w:b/>
                <w:noProof/>
                <w:sz w:val="24"/>
              </w:rPr>
              <w:t>smanjuju potrebe za ulaganjima u mrežu</w:t>
            </w:r>
            <w:r>
              <w:rPr>
                <w:rFonts w:ascii="Times New Roman" w:hAnsi="Times New Roman"/>
                <w:noProof/>
                <w:sz w:val="24"/>
              </w:rPr>
              <w:t xml:space="preserve"> i </w:t>
            </w:r>
            <w:r>
              <w:rPr>
                <w:rFonts w:ascii="Times New Roman" w:hAnsi="Times New Roman"/>
                <w:b/>
                <w:noProof/>
                <w:sz w:val="24"/>
              </w:rPr>
              <w:t>pridonose učinkovitosti rada</w:t>
            </w:r>
          </w:p>
        </w:tc>
      </w:tr>
      <w:tr w:rsidR="0075286F" w14:paraId="07497A06" w14:textId="77777777">
        <w:tc>
          <w:tcPr>
            <w:tcW w:w="1163" w:type="dxa"/>
            <w:vAlign w:val="center"/>
          </w:tcPr>
          <w:p w14:paraId="3D4DCFFD" w14:textId="77777777" w:rsidR="0075286F" w:rsidRDefault="00D76238">
            <w:pPr>
              <w:jc w:val="both"/>
              <w:rPr>
                <w:rFonts w:ascii="Times New Roman" w:eastAsia="Times New Roman" w:hAnsi="Times New Roman" w:cs="Times New Roman"/>
                <w:noProof/>
                <w:sz w:val="24"/>
                <w:szCs w:val="24"/>
              </w:rPr>
            </w:pPr>
            <w:r>
              <w:rPr>
                <w:rFonts w:ascii="Times New Roman" w:hAnsi="Times New Roman"/>
                <w:noProof/>
                <w:sz w:val="24"/>
              </w:rPr>
              <w:t>Kako?</w:t>
            </w:r>
          </w:p>
        </w:tc>
        <w:tc>
          <w:tcPr>
            <w:tcW w:w="7853" w:type="dxa"/>
          </w:tcPr>
          <w:p w14:paraId="6D30E18B" w14:textId="77777777" w:rsidR="0075286F" w:rsidRDefault="00D76238">
            <w:pPr>
              <w:widowControl w:val="0"/>
              <w:jc w:val="both"/>
              <w:rPr>
                <w:rFonts w:ascii="Times New Roman" w:eastAsia="Times New Roman" w:hAnsi="Times New Roman" w:cs="Times New Roman"/>
                <w:noProof/>
                <w:sz w:val="24"/>
                <w:szCs w:val="24"/>
              </w:rPr>
            </w:pPr>
            <w:r>
              <w:rPr>
                <w:rFonts w:ascii="Times New Roman" w:hAnsi="Times New Roman"/>
                <w:noProof/>
                <w:sz w:val="24"/>
              </w:rPr>
              <w:t xml:space="preserve">Nacionalna regulatorna tijela potiču se da razmotre </w:t>
            </w:r>
            <w:r>
              <w:rPr>
                <w:rFonts w:ascii="Times New Roman" w:hAnsi="Times New Roman"/>
                <w:b/>
                <w:noProof/>
                <w:sz w:val="24"/>
              </w:rPr>
              <w:t>ciljane poticaje</w:t>
            </w:r>
            <w:r>
              <w:rPr>
                <w:rFonts w:ascii="Times New Roman" w:hAnsi="Times New Roman"/>
                <w:noProof/>
                <w:sz w:val="24"/>
              </w:rPr>
              <w:t xml:space="preserve"> u okviru mrežnih tarifa za fleksibilnu lokalnu potrošnju tako da se smanje ukupni troškovi mreže, npr. za energetske zajednice i građane koji dijele vlastitu energije, te da pri utvrđivanju naknada za korištenje mreže procijene </w:t>
            </w:r>
            <w:r>
              <w:rPr>
                <w:rFonts w:ascii="Times New Roman" w:hAnsi="Times New Roman"/>
                <w:b/>
                <w:noProof/>
                <w:sz w:val="24"/>
              </w:rPr>
              <w:t>potencijal za fleksibilnost</w:t>
            </w:r>
            <w:r>
              <w:rPr>
                <w:rFonts w:ascii="Times New Roman" w:hAnsi="Times New Roman"/>
                <w:noProof/>
                <w:sz w:val="24"/>
              </w:rPr>
              <w:t xml:space="preserve">, posebno za energetske zajednice i dijeljenje energije. Komisija će s ACER-om i nacionalnim regulatornim tijelima blisko surađivati na brzoj provedbi Komisijinih </w:t>
            </w:r>
            <w:r>
              <w:rPr>
                <w:rFonts w:ascii="Times New Roman" w:hAnsi="Times New Roman"/>
                <w:b/>
                <w:noProof/>
                <w:sz w:val="24"/>
              </w:rPr>
              <w:t>smjernica za utvrđivanje naknada za korištenje mreže</w:t>
            </w:r>
            <w:r>
              <w:rPr>
                <w:rFonts w:ascii="Times New Roman" w:hAnsi="Times New Roman"/>
                <w:noProof/>
                <w:sz w:val="24"/>
              </w:rPr>
              <w:t>.</w:t>
            </w:r>
          </w:p>
        </w:tc>
      </w:tr>
    </w:tbl>
    <w:p w14:paraId="28DAFAA5" w14:textId="77777777" w:rsidR="0075286F" w:rsidRDefault="00D76238">
      <w:pPr>
        <w:rPr>
          <w:rFonts w:ascii="Times New Roman" w:eastAsia="Times New Roman" w:hAnsi="Times New Roman" w:cs="Times New Roman"/>
          <w:b/>
          <w:bCs/>
          <w:noProof/>
          <w:color w:val="000000" w:themeColor="text1"/>
          <w:sz w:val="24"/>
          <w:szCs w:val="24"/>
          <w:u w:val="single"/>
        </w:rPr>
      </w:pPr>
      <w:bookmarkStart w:id="2" w:name="_Hlk219977777"/>
      <w:r>
        <w:rPr>
          <w:noProof/>
        </w:rPr>
        <w:t xml:space="preserve"> </w:t>
      </w:r>
      <w:r>
        <w:rPr>
          <w:noProof/>
        </w:rPr>
        <w:br/>
      </w:r>
      <w:r>
        <w:rPr>
          <w:rFonts w:ascii="Times New Roman" w:hAnsi="Times New Roman"/>
          <w:b/>
          <w:noProof/>
          <w:color w:val="000000" w:themeColor="text1"/>
          <w:sz w:val="24"/>
          <w:u w:val="single"/>
        </w:rPr>
        <w:t>3. mjera: Veće korištenje čistih i energetski učinkovitih tehnologija</w:t>
      </w:r>
    </w:p>
    <w:bookmarkEnd w:id="2"/>
    <w:p w14:paraId="73CE43D6" w14:textId="77777777"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Kućanstva u EU-u 2023. najviše su energije trošila za </w:t>
      </w:r>
      <w:r>
        <w:rPr>
          <w:rFonts w:ascii="Times New Roman" w:hAnsi="Times New Roman"/>
          <w:b/>
          <w:noProof/>
          <w:color w:val="000000" w:themeColor="text1"/>
          <w:sz w:val="24"/>
        </w:rPr>
        <w:t>grijanje prostora</w:t>
      </w:r>
      <w:r>
        <w:rPr>
          <w:rFonts w:ascii="Times New Roman" w:hAnsi="Times New Roman"/>
          <w:noProof/>
          <w:color w:val="000000" w:themeColor="text1"/>
          <w:sz w:val="24"/>
        </w:rPr>
        <w:t xml:space="preserve"> (62,5 % potrošnje konačne energije u stambenom sektoru) i </w:t>
      </w:r>
      <w:r>
        <w:rPr>
          <w:rFonts w:ascii="Times New Roman" w:hAnsi="Times New Roman"/>
          <w:b/>
          <w:noProof/>
          <w:color w:val="000000" w:themeColor="text1"/>
          <w:sz w:val="24"/>
        </w:rPr>
        <w:t>grijanje vode</w:t>
      </w:r>
      <w:r>
        <w:rPr>
          <w:rFonts w:ascii="Times New Roman" w:hAnsi="Times New Roman"/>
          <w:noProof/>
          <w:color w:val="000000" w:themeColor="text1"/>
          <w:sz w:val="24"/>
        </w:rPr>
        <w:t xml:space="preserve"> (15,1 %)</w:t>
      </w:r>
      <w:r>
        <w:rPr>
          <w:rStyle w:val="FootnoteReference"/>
          <w:rFonts w:ascii="Times New Roman" w:eastAsia="Times New Roman" w:hAnsi="Times New Roman" w:cs="Times New Roman"/>
          <w:noProof/>
          <w:color w:val="000000" w:themeColor="text1"/>
          <w:sz w:val="24"/>
          <w:szCs w:val="24"/>
          <w:lang w:val="en-IE"/>
        </w:rPr>
        <w:footnoteReference w:id="8"/>
      </w:r>
      <w:r>
        <w:rPr>
          <w:rFonts w:ascii="Times New Roman" w:hAnsi="Times New Roman"/>
          <w:noProof/>
          <w:color w:val="000000" w:themeColor="text1"/>
          <w:sz w:val="24"/>
        </w:rPr>
        <w:t>. </w:t>
      </w:r>
      <w:r>
        <w:rPr>
          <w:rFonts w:ascii="Times New Roman" w:hAnsi="Times New Roman"/>
          <w:b/>
          <w:noProof/>
          <w:color w:val="000000" w:themeColor="text1"/>
          <w:sz w:val="24"/>
        </w:rPr>
        <w:t>Na EU-ovim oznakama energetske učinkovitosti</w:t>
      </w:r>
      <w:r>
        <w:rPr>
          <w:rFonts w:ascii="Times New Roman" w:hAnsi="Times New Roman"/>
          <w:noProof/>
          <w:color w:val="000000" w:themeColor="text1"/>
          <w:sz w:val="24"/>
        </w:rPr>
        <w:t xml:space="preserve"> već se prikazuje potencijal uštede i korisni savjeti za potrošače, na primjer pri donošenju odluka o kupnji kućanskih uređaja</w:t>
      </w:r>
      <w:r>
        <w:rPr>
          <w:rStyle w:val="FootnoteReference"/>
          <w:rFonts w:ascii="Times New Roman" w:eastAsia="Times New Roman" w:hAnsi="Times New Roman" w:cs="Times New Roman"/>
          <w:noProof/>
          <w:color w:val="000000" w:themeColor="text1"/>
          <w:sz w:val="24"/>
          <w:szCs w:val="24"/>
          <w:lang w:val="en-IE"/>
        </w:rPr>
        <w:footnoteReference w:id="9"/>
      </w:r>
      <w:r>
        <w:rPr>
          <w:rFonts w:ascii="Times New Roman" w:hAnsi="Times New Roman"/>
          <w:noProof/>
          <w:color w:val="000000" w:themeColor="text1"/>
          <w:sz w:val="24"/>
        </w:rPr>
        <w:t xml:space="preserve">. </w:t>
      </w:r>
      <w:r>
        <w:rPr>
          <w:rFonts w:ascii="Times New Roman" w:hAnsi="Times New Roman"/>
          <w:b/>
          <w:noProof/>
          <w:sz w:val="24"/>
        </w:rPr>
        <w:t>Sustavi za upravljanje energijom u kućanstvu</w:t>
      </w:r>
      <w:r>
        <w:rPr>
          <w:rFonts w:ascii="Times New Roman" w:hAnsi="Times New Roman"/>
          <w:noProof/>
          <w:sz w:val="24"/>
        </w:rPr>
        <w:t xml:space="preserve"> i </w:t>
      </w:r>
      <w:r>
        <w:rPr>
          <w:rFonts w:ascii="Times New Roman" w:hAnsi="Times New Roman"/>
          <w:b/>
          <w:noProof/>
          <w:sz w:val="24"/>
        </w:rPr>
        <w:t>moderni energetski pametni uređaji</w:t>
      </w:r>
      <w:r>
        <w:rPr>
          <w:rFonts w:ascii="Times New Roman" w:hAnsi="Times New Roman"/>
          <w:noProof/>
          <w:sz w:val="24"/>
        </w:rPr>
        <w:t xml:space="preserve"> mogu pridonijeti smanjenju </w:t>
      </w:r>
      <w:r>
        <w:rPr>
          <w:rFonts w:ascii="Times New Roman" w:hAnsi="Times New Roman"/>
          <w:noProof/>
          <w:color w:val="000000" w:themeColor="text1"/>
          <w:sz w:val="24"/>
        </w:rPr>
        <w:t>računa</w:t>
      </w:r>
      <w:r>
        <w:rPr>
          <w:rFonts w:ascii="Times New Roman" w:hAnsi="Times New Roman"/>
          <w:noProof/>
          <w:sz w:val="24"/>
        </w:rPr>
        <w:t xml:space="preserve"> za energiju.</w:t>
      </w:r>
      <w:r>
        <w:rPr>
          <w:rFonts w:ascii="Times New Roman" w:hAnsi="Times New Roman"/>
          <w:noProof/>
          <w:color w:val="000000" w:themeColor="text1"/>
          <w:sz w:val="24"/>
        </w:rPr>
        <w:t xml:space="preserve"> Prelazak na električnu mobilnost nudi dodatne mogućnosti za smanjenje troškova energije zahvaljujući pametnom i dvosmjernom punjenju električnih vozila, što kućanstvima omogućuje da optimiziraju potrošnju električne energije. Međutim, te se opcije često smatra preskupima, uglavnom zbog visokih početnih troškova. Kako bi riješile taj problem, neke su države članice uvele </w:t>
      </w:r>
      <w:r>
        <w:rPr>
          <w:rFonts w:ascii="Times New Roman" w:hAnsi="Times New Roman"/>
          <w:b/>
          <w:noProof/>
          <w:color w:val="000000" w:themeColor="text1"/>
          <w:sz w:val="24"/>
        </w:rPr>
        <w:t>inovativne modele financiranja</w:t>
      </w:r>
      <w:r>
        <w:rPr>
          <w:rFonts w:ascii="Times New Roman" w:hAnsi="Times New Roman"/>
          <w:noProof/>
          <w:color w:val="000000" w:themeColor="text1"/>
          <w:sz w:val="24"/>
        </w:rPr>
        <w:t>, uključujući socijalni leasing</w:t>
      </w:r>
      <w:r>
        <w:rPr>
          <w:rStyle w:val="FootnoteReference"/>
          <w:rFonts w:ascii="Times New Roman" w:eastAsia="Times New Roman" w:hAnsi="Times New Roman" w:cs="Times New Roman"/>
          <w:noProof/>
          <w:color w:val="000000" w:themeColor="text1"/>
          <w:sz w:val="24"/>
          <w:szCs w:val="24"/>
          <w:lang w:val="en-IE"/>
        </w:rPr>
        <w:footnoteReference w:id="10"/>
      </w:r>
      <w:r>
        <w:rPr>
          <w:rFonts w:ascii="Times New Roman" w:hAnsi="Times New Roman"/>
          <w:noProof/>
          <w:color w:val="000000" w:themeColor="text1"/>
          <w:sz w:val="24"/>
        </w:rPr>
        <w:t>. Poduzeća na nekim tržištima kupcima nude čiste sustave grijanja (uključujući održavanje) uz plaćanje troškova u fleksibilnim mjesečnim obrocima</w:t>
      </w:r>
      <w:r>
        <w:rPr>
          <w:rStyle w:val="FootnoteReference"/>
          <w:rFonts w:ascii="Times New Roman" w:eastAsia="Times New Roman" w:hAnsi="Times New Roman" w:cs="Times New Roman"/>
          <w:noProof/>
          <w:color w:val="000000" w:themeColor="text1"/>
          <w:sz w:val="24"/>
          <w:szCs w:val="24"/>
          <w:lang w:val="en-IE"/>
        </w:rPr>
        <w:footnoteReference w:id="11"/>
      </w:r>
      <w:r>
        <w:rPr>
          <w:rFonts w:ascii="Times New Roman" w:hAnsi="Times New Roman"/>
          <w:noProof/>
          <w:color w:val="000000" w:themeColor="text1"/>
          <w:sz w:val="24"/>
        </w:rPr>
        <w:t xml:space="preserve">. Uz standardne programe dodjele bespovratnih sredstava razvijaju se i dodatni programi, ali u većini slučajeva još nisu u širokoj primjeni. </w:t>
      </w:r>
    </w:p>
    <w:p w14:paraId="4B0D55EA" w14:textId="77777777"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Komisija poziva države članice i poduzeća i da razmišljaju </w:t>
      </w:r>
      <w:r>
        <w:rPr>
          <w:rFonts w:ascii="Times New Roman" w:hAnsi="Times New Roman"/>
          <w:b/>
          <w:noProof/>
          <w:color w:val="000000" w:themeColor="text1"/>
          <w:sz w:val="24"/>
        </w:rPr>
        <w:t>izvan okvira standardnih programa dodjele bespovratnih sredstava</w:t>
      </w:r>
      <w:r>
        <w:rPr>
          <w:rFonts w:ascii="Times New Roman" w:hAnsi="Times New Roman"/>
          <w:noProof/>
          <w:color w:val="000000" w:themeColor="text1"/>
          <w:sz w:val="24"/>
        </w:rPr>
        <w:t xml:space="preserve"> i razvijaju </w:t>
      </w:r>
      <w:r>
        <w:rPr>
          <w:rFonts w:ascii="Times New Roman" w:hAnsi="Times New Roman"/>
          <w:b/>
          <w:noProof/>
          <w:color w:val="000000" w:themeColor="text1"/>
          <w:sz w:val="24"/>
        </w:rPr>
        <w:t>inovativne energetske usluge i rješenja za financiranje</w:t>
      </w:r>
      <w:r>
        <w:rPr>
          <w:rFonts w:ascii="Times New Roman" w:hAnsi="Times New Roman"/>
          <w:noProof/>
          <w:color w:val="000000" w:themeColor="text1"/>
          <w:sz w:val="24"/>
        </w:rPr>
        <w:t>, na primjer programe u kojima se socijalni leasing kombinira s potencijalom za pokrivanje početnih kapitalnih troškova, ponudu toplinske energije kao usluge</w:t>
      </w:r>
      <w:r>
        <w:rPr>
          <w:rFonts w:ascii="Times New Roman" w:eastAsia="Times New Roman" w:hAnsi="Times New Roman" w:cs="Times New Roman"/>
          <w:noProof/>
          <w:color w:val="000000" w:themeColor="text1"/>
          <w:sz w:val="24"/>
          <w:szCs w:val="24"/>
          <w:vertAlign w:val="superscript"/>
          <w:lang w:val="en-IE"/>
        </w:rPr>
        <w:footnoteReference w:id="12"/>
      </w:r>
      <w:r>
        <w:rPr>
          <w:rFonts w:ascii="Times New Roman" w:hAnsi="Times New Roman"/>
          <w:noProof/>
          <w:color w:val="000000" w:themeColor="text1"/>
          <w:sz w:val="24"/>
        </w:rPr>
        <w:t xml:space="preserve"> ili fleksibilne tarife za dizalice topline i troškove održavanja. Tako će se građanima EU-a omogućiti bolji pristup čistim tehnologijama koje učinkovito koriste energiju i vodu i poboljšati kvaliteta života jer će se, primjerice, smanjiti onečišćenje, povećati udobnost i poboljšati zdravlje u zatvorenim prostorima te smanjiti računi za energiju. Kvalitetno osmišljeni programi u kojima se </w:t>
      </w:r>
      <w:r>
        <w:rPr>
          <w:rFonts w:ascii="Times New Roman" w:hAnsi="Times New Roman"/>
          <w:b/>
          <w:noProof/>
          <w:color w:val="000000" w:themeColor="text1"/>
          <w:sz w:val="24"/>
        </w:rPr>
        <w:t>kombinira javno i privatno financiranje</w:t>
      </w:r>
      <w:r>
        <w:rPr>
          <w:rFonts w:ascii="Times New Roman" w:hAnsi="Times New Roman"/>
          <w:noProof/>
          <w:color w:val="000000" w:themeColor="text1"/>
          <w:sz w:val="24"/>
        </w:rPr>
        <w:t xml:space="preserve"> i daje prednost osobama izloženima energetskom siromaštvu i drugim ranjivim skupinama pozitivno će utjecati na kućanstva s nižim i srednjim dohotkom, čiji troškovi za energiju mogu činiti nerazmjeran udio u njihovu ukupnom dohotku kućanstva. Slično tome, trebalo bi podupirati ulaganja za uvođenje čistih ili energetski učinkovitih rješenja u situacijama bez povezanosti s mrežom. Predstojećom Strategijom ulaganja u čistu energiju</w:t>
      </w:r>
      <w:r>
        <w:rPr>
          <w:rStyle w:val="FootnoteReference"/>
          <w:rFonts w:ascii="Times New Roman" w:eastAsia="Times New Roman" w:hAnsi="Times New Roman" w:cs="Times New Roman"/>
          <w:noProof/>
          <w:color w:val="000000" w:themeColor="text1"/>
          <w:sz w:val="24"/>
          <w:szCs w:val="24"/>
          <w:lang w:val="en-IE"/>
        </w:rPr>
        <w:footnoteReference w:id="13"/>
      </w:r>
      <w:r>
        <w:rPr>
          <w:rFonts w:ascii="Times New Roman" w:hAnsi="Times New Roman"/>
          <w:noProof/>
          <w:color w:val="000000" w:themeColor="text1"/>
          <w:sz w:val="24"/>
        </w:rPr>
        <w:t xml:space="preserve"> Komisija želi potaknuti privatna ulaganja u energetsku učinkovitost. </w:t>
      </w:r>
    </w:p>
    <w:tbl>
      <w:tblPr>
        <w:tblStyle w:val="TableGridLigh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904"/>
      </w:tblGrid>
      <w:tr w:rsidR="0075286F" w14:paraId="47722EB7" w14:textId="77777777">
        <w:trPr>
          <w:trHeight w:val="300"/>
        </w:trPr>
        <w:tc>
          <w:tcPr>
            <w:tcW w:w="1163" w:type="dxa"/>
            <w:vAlign w:val="center"/>
            <w:hideMark/>
          </w:tcPr>
          <w:p w14:paraId="59A5BE82" w14:textId="4826B2F9" w:rsidR="0075286F" w:rsidRDefault="00D76238">
            <w:pPr>
              <w:jc w:val="both"/>
              <w:textAlignment w:val="baseline"/>
              <w:rPr>
                <w:rFonts w:ascii="Times New Roman" w:eastAsia="Times New Roman" w:hAnsi="Times New Roman" w:cs="Times New Roman"/>
                <w:noProof/>
                <w:color w:val="000000" w:themeColor="text1"/>
                <w:sz w:val="24"/>
                <w:szCs w:val="24"/>
              </w:rPr>
            </w:pPr>
            <w:bookmarkStart w:id="3" w:name="_Hlk219977816"/>
            <w:r>
              <w:rPr>
                <w:rFonts w:ascii="Times New Roman" w:hAnsi="Times New Roman"/>
                <w:noProof/>
                <w:color w:val="000000" w:themeColor="text1"/>
                <w:sz w:val="24"/>
              </w:rPr>
              <w:t>Cilj </w:t>
            </w:r>
          </w:p>
        </w:tc>
        <w:tc>
          <w:tcPr>
            <w:tcW w:w="7904" w:type="dxa"/>
            <w:hideMark/>
          </w:tcPr>
          <w:p w14:paraId="468A6C86" w14:textId="77777777" w:rsidR="0075286F" w:rsidRDefault="00D76238">
            <w:pPr>
              <w:jc w:val="both"/>
              <w:textAlignment w:val="baseline"/>
              <w:rPr>
                <w:rFonts w:ascii="Times New Roman" w:eastAsia="Times New Roman" w:hAnsi="Times New Roman" w:cs="Times New Roman"/>
                <w:b/>
                <w:bCs/>
                <w:noProof/>
                <w:color w:val="000000" w:themeColor="text1"/>
                <w:kern w:val="0"/>
                <w:sz w:val="18"/>
                <w:szCs w:val="18"/>
                <w14:ligatures w14:val="none"/>
              </w:rPr>
            </w:pPr>
            <w:r>
              <w:rPr>
                <w:rFonts w:ascii="Times New Roman" w:hAnsi="Times New Roman"/>
                <w:b/>
                <w:noProof/>
                <w:color w:val="000000" w:themeColor="text1"/>
                <w:sz w:val="24"/>
              </w:rPr>
              <w:t xml:space="preserve">Poboljšanje pristupa čistim i učinkovitim tehnologijama s inovativnim rješenjima </w:t>
            </w:r>
          </w:p>
        </w:tc>
      </w:tr>
      <w:tr w:rsidR="0075286F" w14:paraId="6CF0838D" w14:textId="77777777">
        <w:trPr>
          <w:trHeight w:val="300"/>
        </w:trPr>
        <w:tc>
          <w:tcPr>
            <w:tcW w:w="1163" w:type="dxa"/>
            <w:vAlign w:val="center"/>
          </w:tcPr>
          <w:p w14:paraId="0276FAC0" w14:textId="77777777" w:rsidR="0075286F" w:rsidRDefault="00D76238">
            <w:pPr>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sz w:val="24"/>
              </w:rPr>
              <w:t>Rezultat</w:t>
            </w:r>
          </w:p>
        </w:tc>
        <w:tc>
          <w:tcPr>
            <w:tcW w:w="7904" w:type="dxa"/>
          </w:tcPr>
          <w:p w14:paraId="297E4A2E" w14:textId="77777777" w:rsidR="0075286F" w:rsidRDefault="00D76238">
            <w:pPr>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Poboljšana energetska svojstva zgrada, niži računi za energiju</w:t>
            </w:r>
          </w:p>
        </w:tc>
      </w:tr>
      <w:tr w:rsidR="0075286F" w14:paraId="269F040F" w14:textId="77777777">
        <w:trPr>
          <w:trHeight w:val="300"/>
        </w:trPr>
        <w:tc>
          <w:tcPr>
            <w:tcW w:w="1163" w:type="dxa"/>
            <w:vAlign w:val="center"/>
            <w:hideMark/>
          </w:tcPr>
          <w:p w14:paraId="61F3BBF2" w14:textId="77777777" w:rsidR="0075286F" w:rsidRDefault="00D76238">
            <w:pPr>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Kako? </w:t>
            </w:r>
          </w:p>
        </w:tc>
        <w:tc>
          <w:tcPr>
            <w:tcW w:w="7904" w:type="dxa"/>
            <w:hideMark/>
          </w:tcPr>
          <w:p w14:paraId="5E7E1957" w14:textId="77777777" w:rsidR="0075286F" w:rsidRDefault="00D76238">
            <w:pPr>
              <w:jc w:val="both"/>
              <w:textAlignment w:val="baseline"/>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Komisija će u okviru </w:t>
            </w:r>
            <w:r>
              <w:rPr>
                <w:rFonts w:ascii="Times New Roman" w:hAnsi="Times New Roman"/>
                <w:b/>
                <w:noProof/>
                <w:color w:val="000000" w:themeColor="text1"/>
                <w:sz w:val="24"/>
              </w:rPr>
              <w:t>Europske koalicije za financiranje energetske učinkovitosti</w:t>
            </w:r>
            <w:r>
              <w:rPr>
                <w:rFonts w:ascii="Times New Roman" w:hAnsi="Times New Roman"/>
                <w:noProof/>
                <w:color w:val="000000" w:themeColor="text1"/>
                <w:sz w:val="24"/>
              </w:rPr>
              <w:t xml:space="preserve"> surađivati s državama članicama i dionicima na osmišljavanju praktičnih i inovativnih modela energetskih usluga i rješenja za financiranje te pristupa izvan okvira bespovratnih sredstava, uključujući razmjenu uspješnih primjera iz prakse za potporu ranjivim kućanstvima, povećanje korištenja sustava za upravljanje energijom u kućama i zgradama i energetski pametnih uređaja te poboljšanje pristupa kućanstava elektrificiranim, fleksibilnim i učinkovitim energetskim uslugama i tehnologijama (četvrto tromjesečje 2026.). </w:t>
            </w:r>
          </w:p>
        </w:tc>
      </w:tr>
    </w:tbl>
    <w:p w14:paraId="3D6B8B0A" w14:textId="77777777" w:rsidR="0075286F" w:rsidRDefault="0075286F">
      <w:pPr>
        <w:spacing w:after="0" w:line="240" w:lineRule="auto"/>
        <w:jc w:val="both"/>
        <w:rPr>
          <w:rFonts w:ascii="Times New Roman" w:eastAsia="Times New Roman" w:hAnsi="Times New Roman" w:cs="Times New Roman"/>
          <w:b/>
          <w:bCs/>
          <w:noProof/>
          <w:color w:val="000000" w:themeColor="text1"/>
          <w:sz w:val="24"/>
          <w:szCs w:val="24"/>
          <w:u w:val="single"/>
        </w:rPr>
      </w:pPr>
      <w:bookmarkStart w:id="4" w:name="_Hlk219977829"/>
      <w:bookmarkEnd w:id="3"/>
    </w:p>
    <w:p w14:paraId="61C1E56F" w14:textId="77777777" w:rsidR="0075286F" w:rsidRDefault="00D76238">
      <w:pPr>
        <w:keepNext/>
        <w:keepLines/>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4. mjera: Jačanje položaja potrošača kako bi im se omogućila najpovoljnija ponuda i brza promjena dobavljača</w:t>
      </w:r>
      <w:bookmarkEnd w:id="4"/>
    </w:p>
    <w:p w14:paraId="668BB541" w14:textId="77777777" w:rsidR="0075286F" w:rsidRDefault="00D76238">
      <w:pPr>
        <w:keepNext/>
        <w:keepLines/>
        <w:spacing w:after="0" w:line="240" w:lineRule="auto"/>
        <w:jc w:val="both"/>
        <w:rPr>
          <w:rFonts w:ascii="Times New Roman" w:eastAsia="Times New Roman" w:hAnsi="Times New Roman" w:cs="Times New Roman"/>
          <w:b/>
          <w:bCs/>
          <w:noProof/>
          <w:color w:val="000000" w:themeColor="text1"/>
          <w:sz w:val="24"/>
          <w:szCs w:val="24"/>
          <w:u w:val="single"/>
        </w:rPr>
      </w:pPr>
      <w:r>
        <w:rPr>
          <w:rFonts w:ascii="Times New Roman" w:hAnsi="Times New Roman"/>
          <w:noProof/>
          <w:sz w:val="24"/>
        </w:rPr>
        <w:t xml:space="preserve">Propisi EU-a građanima daju </w:t>
      </w:r>
      <w:r>
        <w:rPr>
          <w:rFonts w:ascii="Times New Roman" w:hAnsi="Times New Roman"/>
          <w:b/>
          <w:noProof/>
          <w:sz w:val="24"/>
        </w:rPr>
        <w:t>pravo na promjenu</w:t>
      </w:r>
      <w:r>
        <w:rPr>
          <w:rFonts w:ascii="Times New Roman" w:hAnsi="Times New Roman"/>
          <w:noProof/>
          <w:sz w:val="24"/>
        </w:rPr>
        <w:t xml:space="preserve"> pružatelja energetskih usluga</w:t>
      </w:r>
      <w:r>
        <w:rPr>
          <w:rStyle w:val="FootnoteReference"/>
          <w:rFonts w:ascii="Times New Roman" w:hAnsi="Times New Roman" w:cs="Times New Roman"/>
          <w:noProof/>
          <w:sz w:val="24"/>
          <w:szCs w:val="24"/>
          <w:lang w:val="en-GB"/>
        </w:rPr>
        <w:footnoteReference w:id="14"/>
      </w:r>
      <w:r>
        <w:rPr>
          <w:rFonts w:ascii="Times New Roman" w:hAnsi="Times New Roman"/>
          <w:noProof/>
          <w:sz w:val="24"/>
        </w:rPr>
        <w:t xml:space="preserve">, ali procjenjuje se da građani u prosjeku gube </w:t>
      </w:r>
      <w:r>
        <w:rPr>
          <w:rFonts w:ascii="Times New Roman" w:hAnsi="Times New Roman"/>
          <w:b/>
          <w:noProof/>
          <w:sz w:val="24"/>
        </w:rPr>
        <w:t>152 EUR godišnje</w:t>
      </w:r>
      <w:r>
        <w:rPr>
          <w:rFonts w:ascii="Times New Roman" w:hAnsi="Times New Roman"/>
          <w:noProof/>
          <w:sz w:val="24"/>
        </w:rPr>
        <w:t xml:space="preserve"> jer to ne čine</w:t>
      </w:r>
      <w:r>
        <w:rPr>
          <w:rStyle w:val="FootnoteReference"/>
          <w:rFonts w:ascii="Times New Roman" w:hAnsi="Times New Roman" w:cs="Times New Roman"/>
          <w:noProof/>
          <w:sz w:val="24"/>
          <w:szCs w:val="24"/>
          <w:lang w:val="en-IE"/>
        </w:rPr>
        <w:footnoteReference w:id="15"/>
      </w:r>
      <w:r>
        <w:rPr>
          <w:rFonts w:ascii="Times New Roman" w:hAnsi="Times New Roman"/>
          <w:noProof/>
          <w:sz w:val="24"/>
        </w:rPr>
        <w:t xml:space="preserve">. Jedan je od razloga nedostatak transparentnosti i u tom pogledu možda nisu svi postojeći alati za usporedbu primjereni. Iako posredničke platforme mogu olakšati promjenu pružatelja usluga, njihovi poslovni modeli nisu uvijek jasni, što može ugroziti transparentnost i odgovornost. </w:t>
      </w:r>
    </w:p>
    <w:p w14:paraId="18B567F7" w14:textId="77777777" w:rsidR="0075286F" w:rsidRDefault="00D76238">
      <w:pPr>
        <w:spacing w:before="120" w:after="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Komisija poziva države članice da osiguraju da dobavljači energije najmanje jednom godišnje svojim kupcima pružaju „</w:t>
      </w:r>
      <w:r>
        <w:rPr>
          <w:rFonts w:ascii="Times New Roman" w:hAnsi="Times New Roman"/>
          <w:b/>
          <w:noProof/>
          <w:sz w:val="24"/>
        </w:rPr>
        <w:t>savjete o najboljim tarifama</w:t>
      </w:r>
      <w:r>
        <w:rPr>
          <w:rFonts w:ascii="Times New Roman" w:hAnsi="Times New Roman"/>
          <w:noProof/>
          <w:sz w:val="24"/>
        </w:rPr>
        <w:t>” na temelju njihove potrošnje energije i da uspostave „</w:t>
      </w:r>
      <w:r>
        <w:rPr>
          <w:rFonts w:ascii="Times New Roman" w:hAnsi="Times New Roman"/>
          <w:b/>
          <w:noProof/>
          <w:sz w:val="24"/>
        </w:rPr>
        <w:t>sustav ranog upozoravanja</w:t>
      </w:r>
      <w:r>
        <w:rPr>
          <w:rFonts w:ascii="Times New Roman" w:hAnsi="Times New Roman"/>
          <w:noProof/>
          <w:sz w:val="24"/>
        </w:rPr>
        <w:t>” za slučajeve u kojima postoji rizik da će potrošnja energije određenog kupca znatno premašiti razinu pretpostavljenu u trenutku sklapanja ugovora i kad god bude dostupna jeftinija ponuda</w:t>
      </w:r>
      <w:r>
        <w:rPr>
          <w:rStyle w:val="FootnoteReference"/>
          <w:rFonts w:ascii="Times New Roman" w:eastAsia="Times New Roman, Aptos" w:hAnsi="Times New Roman" w:cs="Times New Roman"/>
          <w:noProof/>
          <w:sz w:val="24"/>
          <w:szCs w:val="24"/>
          <w:lang w:val="en-IE"/>
        </w:rPr>
        <w:footnoteReference w:id="16"/>
      </w:r>
      <w:r>
        <w:rPr>
          <w:rFonts w:ascii="Times New Roman" w:hAnsi="Times New Roman"/>
          <w:noProof/>
          <w:color w:val="000000" w:themeColor="text1"/>
          <w:sz w:val="24"/>
        </w:rPr>
        <w:t xml:space="preserve">. </w:t>
      </w:r>
      <w:r>
        <w:rPr>
          <w:rFonts w:ascii="Times New Roman" w:hAnsi="Times New Roman"/>
          <w:noProof/>
          <w:sz w:val="24"/>
        </w:rPr>
        <w:t>Takve usluge, slične onima koje se pružaju u drugim sektorima</w:t>
      </w:r>
      <w:r>
        <w:rPr>
          <w:rStyle w:val="FootnoteReference"/>
          <w:rFonts w:ascii="Times New Roman" w:eastAsia="Times New Roman" w:hAnsi="Times New Roman" w:cs="Times New Roman"/>
          <w:noProof/>
          <w:color w:val="000000" w:themeColor="text1"/>
          <w:sz w:val="24"/>
          <w:szCs w:val="24"/>
          <w:lang w:val="en-US"/>
        </w:rPr>
        <w:footnoteReference w:id="17"/>
      </w:r>
      <w:r>
        <w:rPr>
          <w:rFonts w:ascii="Times New Roman" w:hAnsi="Times New Roman"/>
          <w:noProof/>
          <w:color w:val="000000" w:themeColor="text1"/>
          <w:sz w:val="24"/>
        </w:rPr>
        <w:t>, potrošačima bi omogućile da brzo reagiraju i promijene ugovor (npr. iz fleksibilnog u fiksni), što bi pozitivno utjecalo na njihove račune.</w:t>
      </w:r>
    </w:p>
    <w:p w14:paraId="0262310C" w14:textId="77777777" w:rsidR="0075286F" w:rsidRDefault="00D76238">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Građani bi trebali imati pristup </w:t>
      </w:r>
      <w:r>
        <w:rPr>
          <w:rFonts w:ascii="Times New Roman" w:hAnsi="Times New Roman"/>
          <w:b/>
          <w:noProof/>
          <w:sz w:val="24"/>
        </w:rPr>
        <w:t>jasnim informacijama</w:t>
      </w:r>
      <w:r>
        <w:rPr>
          <w:rFonts w:ascii="Times New Roman" w:hAnsi="Times New Roman"/>
          <w:noProof/>
          <w:sz w:val="24"/>
        </w:rPr>
        <w:t xml:space="preserve"> o svojim ugovorima; prije sklapanja ili produljenja ugovora trebalo bi im pravodobno dostaviti kratak sažetak. Da bi ranjivi potrošači, uključujući one bez digitalnih alata ili vještina, mogli djelotvorno ostvarivati svoja prava, dobavljači bi taj sažetak trebali dostavljati besplatno, u pristupačnim formatima i preko više kanala. Komisija će pružiti smjernice o glavnim ugovornim uvjetima i poticati dobavljače da dostavljaju </w:t>
      </w:r>
      <w:r>
        <w:rPr>
          <w:rFonts w:ascii="Times New Roman" w:hAnsi="Times New Roman"/>
          <w:b/>
          <w:noProof/>
          <w:sz w:val="24"/>
        </w:rPr>
        <w:t>standardizirani sažetak</w:t>
      </w:r>
      <w:r>
        <w:rPr>
          <w:rFonts w:ascii="Times New Roman" w:hAnsi="Times New Roman"/>
          <w:noProof/>
          <w:sz w:val="24"/>
        </w:rPr>
        <w:t xml:space="preserve">. </w:t>
      </w:r>
    </w:p>
    <w:p w14:paraId="0C004353" w14:textId="77777777" w:rsidR="0075286F" w:rsidRDefault="00D76238">
      <w:pPr>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Postoje i nepotrebne </w:t>
      </w:r>
      <w:r>
        <w:rPr>
          <w:rFonts w:ascii="Times New Roman" w:hAnsi="Times New Roman"/>
          <w:b/>
          <w:noProof/>
          <w:sz w:val="24"/>
        </w:rPr>
        <w:t>tehničke prepreke</w:t>
      </w:r>
      <w:r>
        <w:rPr>
          <w:rFonts w:ascii="Times New Roman" w:hAnsi="Times New Roman"/>
          <w:noProof/>
          <w:sz w:val="24"/>
        </w:rPr>
        <w:t xml:space="preserve"> za promjenu dobavljača. Da bi ih otklonila, Komisija će utvrditi tehnička pravila za dobavljače i omogućiti da se aktivnosti poslovne podrške koje uključuju promjenu dobavljača u cijelom EU-u mogu dovršiti u roku od 24 sata. Nadalje, izrazito je važno </w:t>
      </w:r>
      <w:r>
        <w:rPr>
          <w:rFonts w:ascii="Times New Roman" w:hAnsi="Times New Roman"/>
          <w:b/>
          <w:noProof/>
          <w:sz w:val="24"/>
        </w:rPr>
        <w:t>potpuno uvođenje pametnih brojila</w:t>
      </w:r>
      <w:r>
        <w:rPr>
          <w:rFonts w:ascii="Times New Roman" w:hAnsi="Times New Roman"/>
          <w:noProof/>
          <w:sz w:val="24"/>
        </w:rPr>
        <w:t xml:space="preserve"> u državama članicama. Da bi ostvarili svoja prava ili iskoristili prednosti usluga fleksibilnosti (vidjeti 6. mjeru), građani moraju imati jasan uvid u energiju koju troše. </w:t>
      </w:r>
    </w:p>
    <w:p w14:paraId="01236FD8" w14:textId="77777777" w:rsidR="0075286F" w:rsidRPr="00D76238" w:rsidRDefault="0075286F">
      <w:pPr>
        <w:spacing w:after="0" w:line="240" w:lineRule="auto"/>
        <w:jc w:val="both"/>
        <w:rPr>
          <w:rFonts w:ascii="Times New Roman" w:eastAsia="Times New Roman" w:hAnsi="Times New Roman" w:cs="Times New Roman"/>
          <w:noProof/>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75286F" w14:paraId="081A8638" w14:textId="77777777">
        <w:tc>
          <w:tcPr>
            <w:tcW w:w="1163" w:type="dxa"/>
            <w:vAlign w:val="center"/>
            <w:hideMark/>
          </w:tcPr>
          <w:p w14:paraId="47866DC7" w14:textId="77777777" w:rsidR="0075286F" w:rsidRDefault="00D76238">
            <w:pPr>
              <w:widowControl w:val="0"/>
              <w:rPr>
                <w:rFonts w:ascii="Times New Roman" w:hAnsi="Times New Roman" w:cs="Times New Roman"/>
                <w:noProof/>
                <w:sz w:val="24"/>
                <w:szCs w:val="24"/>
              </w:rPr>
            </w:pPr>
            <w:bookmarkStart w:id="5" w:name="_Hlk219977843"/>
            <w:r>
              <w:rPr>
                <w:rFonts w:ascii="Times New Roman" w:hAnsi="Times New Roman"/>
                <w:noProof/>
                <w:sz w:val="24"/>
              </w:rPr>
              <w:t>Cilj</w:t>
            </w:r>
          </w:p>
        </w:tc>
        <w:tc>
          <w:tcPr>
            <w:tcW w:w="7853" w:type="dxa"/>
            <w:vAlign w:val="center"/>
            <w:hideMark/>
          </w:tcPr>
          <w:p w14:paraId="0B2E3E59" w14:textId="768BBE19" w:rsidR="0075286F" w:rsidRDefault="00D76238">
            <w:pPr>
              <w:widowControl w:val="0"/>
              <w:jc w:val="both"/>
              <w:rPr>
                <w:rFonts w:ascii="Times New Roman" w:hAnsi="Times New Roman" w:cs="Times New Roman"/>
                <w:b/>
                <w:noProof/>
                <w:sz w:val="24"/>
                <w:szCs w:val="24"/>
              </w:rPr>
            </w:pPr>
            <w:r>
              <w:rPr>
                <w:rFonts w:ascii="Times New Roman" w:hAnsi="Times New Roman"/>
                <w:b/>
                <w:noProof/>
                <w:sz w:val="24"/>
              </w:rPr>
              <w:t>Poboljšanje transparentnosti i usporedivosti ponuda za opskrbu energijom, omogućavanje tehničke promjene dobavljača u roku od 24 sata</w:t>
            </w:r>
          </w:p>
        </w:tc>
      </w:tr>
      <w:tr w:rsidR="0075286F" w14:paraId="5480A8C3" w14:textId="77777777">
        <w:tc>
          <w:tcPr>
            <w:tcW w:w="1163" w:type="dxa"/>
          </w:tcPr>
          <w:p w14:paraId="7C9BDA6C" w14:textId="77777777" w:rsidR="0075286F" w:rsidRDefault="00D76238">
            <w:pPr>
              <w:widowControl w:val="0"/>
              <w:rPr>
                <w:rFonts w:ascii="Times New Roman" w:hAnsi="Times New Roman" w:cs="Times New Roman"/>
                <w:noProof/>
                <w:sz w:val="24"/>
                <w:szCs w:val="24"/>
              </w:rPr>
            </w:pPr>
            <w:r>
              <w:rPr>
                <w:rFonts w:ascii="Times New Roman" w:hAnsi="Times New Roman"/>
                <w:noProof/>
                <w:sz w:val="24"/>
              </w:rPr>
              <w:t>Rezultat</w:t>
            </w:r>
          </w:p>
        </w:tc>
        <w:tc>
          <w:tcPr>
            <w:tcW w:w="7853" w:type="dxa"/>
            <w:vAlign w:val="center"/>
          </w:tcPr>
          <w:p w14:paraId="02175767" w14:textId="77777777" w:rsidR="0075286F" w:rsidRDefault="00D76238">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Procijenjene uštede do </w:t>
            </w:r>
            <w:r>
              <w:rPr>
                <w:rFonts w:ascii="Times New Roman" w:hAnsi="Times New Roman"/>
                <w:b/>
                <w:noProof/>
                <w:color w:val="000000" w:themeColor="text1"/>
                <w:sz w:val="24"/>
              </w:rPr>
              <w:t>152 EUR godišnje</w:t>
            </w:r>
            <w:r>
              <w:rPr>
                <w:rFonts w:ascii="Times New Roman" w:hAnsi="Times New Roman"/>
                <w:noProof/>
                <w:color w:val="000000" w:themeColor="text1"/>
                <w:sz w:val="24"/>
              </w:rPr>
              <w:t xml:space="preserve"> zahvaljujući promjeni dobavljača</w:t>
            </w:r>
          </w:p>
        </w:tc>
      </w:tr>
      <w:tr w:rsidR="0075286F" w14:paraId="322CF831" w14:textId="77777777">
        <w:tc>
          <w:tcPr>
            <w:tcW w:w="1163" w:type="dxa"/>
            <w:vAlign w:val="center"/>
          </w:tcPr>
          <w:p w14:paraId="66D73055" w14:textId="77777777" w:rsidR="0075286F" w:rsidRDefault="00D76238">
            <w:pPr>
              <w:widowControl w:val="0"/>
              <w:rPr>
                <w:rFonts w:ascii="Times New Roman" w:hAnsi="Times New Roman" w:cs="Times New Roman"/>
                <w:noProof/>
                <w:sz w:val="24"/>
                <w:szCs w:val="24"/>
              </w:rPr>
            </w:pPr>
            <w:r>
              <w:rPr>
                <w:rFonts w:ascii="Times New Roman" w:hAnsi="Times New Roman"/>
                <w:noProof/>
                <w:sz w:val="24"/>
              </w:rPr>
              <w:t>Kako?</w:t>
            </w:r>
          </w:p>
        </w:tc>
        <w:tc>
          <w:tcPr>
            <w:tcW w:w="7853" w:type="dxa"/>
          </w:tcPr>
          <w:p w14:paraId="68662882" w14:textId="77777777" w:rsidR="0075286F" w:rsidRDefault="00D76238">
            <w:pPr>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Komisija će donijeti </w:t>
            </w:r>
            <w:r>
              <w:rPr>
                <w:rFonts w:ascii="Times New Roman" w:hAnsi="Times New Roman"/>
                <w:b/>
                <w:noProof/>
                <w:color w:val="000000" w:themeColor="text1"/>
                <w:sz w:val="24"/>
              </w:rPr>
              <w:t>tehnička pravila o promjeni dobavljača</w:t>
            </w:r>
            <w:r>
              <w:rPr>
                <w:rFonts w:ascii="Times New Roman" w:hAnsi="Times New Roman"/>
                <w:noProof/>
                <w:color w:val="000000" w:themeColor="text1"/>
                <w:sz w:val="24"/>
              </w:rPr>
              <w:t xml:space="preserve"> (prvo tromjesečje 2026.) i </w:t>
            </w:r>
            <w:r>
              <w:rPr>
                <w:rFonts w:ascii="Times New Roman" w:hAnsi="Times New Roman"/>
                <w:b/>
                <w:noProof/>
                <w:color w:val="000000" w:themeColor="text1"/>
                <w:sz w:val="24"/>
              </w:rPr>
              <w:t>preporuku o sažetku glavnih uvjeta</w:t>
            </w:r>
            <w:r>
              <w:rPr>
                <w:rFonts w:ascii="Times New Roman" w:hAnsi="Times New Roman"/>
                <w:noProof/>
                <w:color w:val="000000" w:themeColor="text1"/>
                <w:sz w:val="24"/>
              </w:rPr>
              <w:t xml:space="preserve"> ugovora o opskrbi energijom (prvo tromjesečje 2026.) te razmotriti </w:t>
            </w:r>
            <w:r>
              <w:rPr>
                <w:rFonts w:ascii="Times New Roman" w:hAnsi="Times New Roman"/>
                <w:b/>
                <w:noProof/>
                <w:color w:val="000000" w:themeColor="text1"/>
                <w:sz w:val="24"/>
              </w:rPr>
              <w:t>preporuku o standardiziranim predlošcima</w:t>
            </w:r>
            <w:r>
              <w:rPr>
                <w:rFonts w:ascii="Times New Roman" w:hAnsi="Times New Roman"/>
                <w:noProof/>
                <w:color w:val="000000" w:themeColor="text1"/>
                <w:sz w:val="24"/>
              </w:rPr>
              <w:t xml:space="preserve"> za račune za energiju (2027.).</w:t>
            </w:r>
          </w:p>
        </w:tc>
      </w:tr>
      <w:bookmarkEnd w:id="5"/>
    </w:tbl>
    <w:p w14:paraId="023A3809" w14:textId="77777777" w:rsidR="0075286F" w:rsidRPr="00D76238" w:rsidRDefault="0075286F">
      <w:pPr>
        <w:spacing w:line="240" w:lineRule="auto"/>
        <w:rPr>
          <w:rFonts w:ascii="Times New Roman" w:hAnsi="Times New Roman" w:cs="Times New Roman"/>
          <w:b/>
          <w:smallCaps/>
          <w:noProof/>
          <w:sz w:val="24"/>
          <w:szCs w:val="24"/>
          <w:u w:val="single"/>
        </w:rPr>
      </w:pPr>
    </w:p>
    <w:p w14:paraId="0E8468A5" w14:textId="77777777" w:rsidR="0075286F" w:rsidRDefault="00D76238">
      <w:pPr>
        <w:jc w:val="center"/>
        <w:rPr>
          <w:rFonts w:ascii="Times New Roman" w:hAnsi="Times New Roman" w:cs="Times New Roman"/>
          <w:b/>
          <w:bCs/>
          <w:smallCaps/>
          <w:noProof/>
          <w:sz w:val="24"/>
          <w:szCs w:val="24"/>
          <w:u w:val="single"/>
        </w:rPr>
      </w:pPr>
      <w:bookmarkStart w:id="6" w:name="_Hlk219978164"/>
      <w:r>
        <w:rPr>
          <w:rFonts w:ascii="Times New Roman" w:hAnsi="Times New Roman"/>
          <w:b/>
          <w:smallCaps/>
          <w:noProof/>
          <w:sz w:val="24"/>
          <w:u w:val="single"/>
        </w:rPr>
        <w:t>Drugi stup: Zaštita i jačanje položaja potrošača</w:t>
      </w:r>
    </w:p>
    <w:p w14:paraId="08AF3E57" w14:textId="77777777" w:rsidR="0075286F" w:rsidRDefault="00D76238">
      <w:pPr>
        <w:spacing w:before="120" w:after="120" w:line="240" w:lineRule="auto"/>
        <w:rPr>
          <w:rFonts w:ascii="Times New Roman" w:hAnsi="Times New Roman" w:cs="Times New Roman"/>
          <w:b/>
          <w:bCs/>
          <w:noProof/>
          <w:color w:val="000000" w:themeColor="text1"/>
          <w:sz w:val="24"/>
          <w:szCs w:val="24"/>
          <w:u w:val="single"/>
        </w:rPr>
      </w:pPr>
      <w:bookmarkStart w:id="7" w:name="_Hlk219977860"/>
      <w:bookmarkEnd w:id="6"/>
      <w:r>
        <w:rPr>
          <w:rStyle w:val="normaltextrun"/>
          <w:rFonts w:ascii="Times New Roman" w:hAnsi="Times New Roman"/>
          <w:b/>
          <w:noProof/>
          <w:color w:val="000000" w:themeColor="text1"/>
          <w:sz w:val="24"/>
          <w:u w:val="single"/>
        </w:rPr>
        <w:t xml:space="preserve">5. mjera: Poticanje vlastite proizvodnje energije i dijeljenja energije među građanima </w:t>
      </w:r>
    </w:p>
    <w:bookmarkEnd w:id="7"/>
    <w:p w14:paraId="45F74328" w14:textId="77777777" w:rsidR="0075286F" w:rsidRDefault="00D76238">
      <w:pPr>
        <w:widowControl w:val="0"/>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Građani se mogu udružiti i osnovati </w:t>
      </w:r>
      <w:r>
        <w:rPr>
          <w:rFonts w:ascii="Times New Roman" w:hAnsi="Times New Roman"/>
          <w:b/>
          <w:noProof/>
          <w:color w:val="000000" w:themeColor="text1"/>
          <w:sz w:val="24"/>
        </w:rPr>
        <w:t>energetsku zajednicu</w:t>
      </w:r>
      <w:r>
        <w:rPr>
          <w:rFonts w:ascii="Times New Roman" w:hAnsi="Times New Roman"/>
          <w:noProof/>
          <w:color w:val="000000" w:themeColor="text1"/>
          <w:sz w:val="24"/>
        </w:rPr>
        <w:t xml:space="preserve"> za upravljanje zajedničkim ulaganjima te proizvodnju i potrošnju energije iz obnovljivih izvora, primjerice putem</w:t>
      </w:r>
      <w:r>
        <w:rPr>
          <w:rFonts w:ascii="Times New Roman" w:hAnsi="Times New Roman"/>
          <w:noProof/>
        </w:rPr>
        <w:t xml:space="preserve"> </w:t>
      </w:r>
      <w:r>
        <w:rPr>
          <w:rFonts w:ascii="Times New Roman" w:hAnsi="Times New Roman"/>
          <w:noProof/>
          <w:color w:val="000000" w:themeColor="text1"/>
          <w:sz w:val="24"/>
        </w:rPr>
        <w:t>solarnih ploča, vjetroturbina i sustava centraliziranog grijanja. To im je pravo zajamčeno propisima EU-a</w:t>
      </w:r>
      <w:r>
        <w:rPr>
          <w:rStyle w:val="FootnoteReference"/>
          <w:rFonts w:ascii="Times New Roman" w:eastAsia="Times New Roman" w:hAnsi="Times New Roman" w:cs="Times New Roman"/>
          <w:noProof/>
          <w:color w:val="000000" w:themeColor="text1"/>
          <w:sz w:val="24"/>
          <w:szCs w:val="24"/>
          <w:lang w:val="en-IE"/>
        </w:rPr>
        <w:footnoteReference w:id="18"/>
      </w:r>
      <w:r>
        <w:rPr>
          <w:noProof/>
        </w:rPr>
        <w:t>.</w:t>
      </w:r>
      <w:r>
        <w:rPr>
          <w:rFonts w:ascii="Times New Roman" w:hAnsi="Times New Roman"/>
          <w:noProof/>
          <w:color w:val="000000" w:themeColor="text1"/>
          <w:sz w:val="24"/>
        </w:rPr>
        <w:t xml:space="preserve"> Iako je u Europi trenutačno aktivno više od 8000 energetskih zajednica</w:t>
      </w:r>
      <w:r>
        <w:rPr>
          <w:rStyle w:val="FootnoteReference"/>
          <w:rFonts w:ascii="Times New Roman" w:eastAsia="Times New Roman" w:hAnsi="Times New Roman" w:cs="Times New Roman"/>
          <w:noProof/>
          <w:color w:val="000000" w:themeColor="text1"/>
          <w:sz w:val="24"/>
          <w:szCs w:val="24"/>
          <w:lang w:val="en-IE"/>
        </w:rPr>
        <w:footnoteReference w:id="19"/>
      </w:r>
      <w:r>
        <w:rPr>
          <w:rFonts w:ascii="Times New Roman" w:hAnsi="Times New Roman"/>
          <w:noProof/>
          <w:color w:val="000000" w:themeColor="text1"/>
          <w:sz w:val="24"/>
        </w:rPr>
        <w:t xml:space="preserve">, </w:t>
      </w:r>
      <w:r>
        <w:rPr>
          <w:rFonts w:ascii="Times New Roman" w:hAnsi="Times New Roman"/>
          <w:b/>
          <w:noProof/>
          <w:color w:val="000000" w:themeColor="text1"/>
          <w:sz w:val="24"/>
        </w:rPr>
        <w:t>neiskorišteni je potencijal golem</w:t>
      </w:r>
      <w:r>
        <w:rPr>
          <w:rFonts w:ascii="Times New Roman" w:hAnsi="Times New Roman"/>
          <w:noProof/>
          <w:color w:val="000000" w:themeColor="text1"/>
          <w:sz w:val="24"/>
        </w:rPr>
        <w:t xml:space="preserve">, posebno u ruralnim područjima, </w:t>
      </w:r>
      <w:r>
        <w:rPr>
          <w:rFonts w:ascii="Times New Roman" w:hAnsi="Times New Roman"/>
          <w:noProof/>
          <w:color w:val="000000" w:themeColor="text1"/>
          <w:sz w:val="24"/>
          <w:u w:val="single"/>
        </w:rPr>
        <w:t>primjerice za proizvodnju energije iz obnovljivih izvora, uključujući bioplin i biometan, i lokalno gospodarenje otpadom</w:t>
      </w:r>
      <w:r>
        <w:rPr>
          <w:rFonts w:ascii="Times New Roman" w:hAnsi="Times New Roman"/>
          <w:noProof/>
          <w:color w:val="000000" w:themeColor="text1"/>
          <w:sz w:val="24"/>
        </w:rPr>
        <w:t xml:space="preserve">. Kolektivne koristi mogu se postići i </w:t>
      </w:r>
      <w:r>
        <w:rPr>
          <w:rFonts w:ascii="Times New Roman" w:hAnsi="Times New Roman"/>
          <w:b/>
          <w:noProof/>
          <w:color w:val="000000" w:themeColor="text1"/>
          <w:sz w:val="24"/>
        </w:rPr>
        <w:t>dijeljenjem energije</w:t>
      </w:r>
      <w:r>
        <w:rPr>
          <w:rFonts w:ascii="Times New Roman" w:hAnsi="Times New Roman"/>
          <w:noProof/>
          <w:color w:val="000000" w:themeColor="text1"/>
          <w:sz w:val="24"/>
        </w:rPr>
        <w:t>. To većem broju ljudi,</w:t>
      </w:r>
      <w:r>
        <w:rPr>
          <w:rFonts w:ascii="Times New Roman" w:hAnsi="Times New Roman"/>
          <w:noProof/>
          <w:sz w:val="24"/>
        </w:rPr>
        <w:t xml:space="preserve"> </w:t>
      </w:r>
      <w:r>
        <w:rPr>
          <w:rFonts w:ascii="Times New Roman" w:hAnsi="Times New Roman"/>
          <w:noProof/>
          <w:color w:val="000000" w:themeColor="text1"/>
          <w:sz w:val="24"/>
        </w:rPr>
        <w:t xml:space="preserve">primjerice najmoprimcima, kućanstvima s niskim prihodima i osobama bez odgovarajućeg prostora, omogućuje da ostvare izravnu korist od energije iz obnovljivih izvora iz vlastite proizvodnje. </w:t>
      </w:r>
      <w:r>
        <w:rPr>
          <w:rFonts w:ascii="Times New Roman" w:hAnsi="Times New Roman"/>
          <w:noProof/>
          <w:sz w:val="24"/>
        </w:rPr>
        <w:t xml:space="preserve">Vlastita proizvodnja i dijeljenje energije povećavaju autonomiju, omogućavaju pristup nižim i stabilnijim cijenama te pridonose učinkovitosti energetskog sustava. </w:t>
      </w:r>
    </w:p>
    <w:p w14:paraId="39D82E2C" w14:textId="77777777" w:rsidR="0075286F" w:rsidRDefault="00D76238">
      <w:pPr>
        <w:spacing w:before="120" w:after="120" w:line="240" w:lineRule="auto"/>
        <w:jc w:val="both"/>
        <w:rPr>
          <w:rFonts w:ascii="Times New Roman" w:eastAsia="Times New Roman" w:hAnsi="Times New Roman" w:cs="Times New Roman"/>
          <w:noProof/>
          <w:color w:val="000000" w:themeColor="text1"/>
          <w:sz w:val="24"/>
          <w:szCs w:val="24"/>
          <w:vertAlign w:val="superscript"/>
        </w:rPr>
      </w:pPr>
      <w:r>
        <w:rPr>
          <w:rFonts w:ascii="Times New Roman" w:hAnsi="Times New Roman"/>
          <w:noProof/>
          <w:color w:val="000000" w:themeColor="text1"/>
          <w:sz w:val="24"/>
        </w:rPr>
        <w:t>Više</w:t>
      </w:r>
      <w:r>
        <w:rPr>
          <w:rFonts w:ascii="Times New Roman" w:hAnsi="Times New Roman"/>
          <w:noProof/>
          <w:sz w:val="24"/>
        </w:rPr>
        <w:t xml:space="preserve"> od 16 milijuna kućanstava i 630 000 MSP-ova moglo bi do 2030. proizvoditi vlastitu energiju iz obnovljivih izvora</w:t>
      </w:r>
      <w:r>
        <w:rPr>
          <w:rStyle w:val="FootnoteReference"/>
          <w:rFonts w:ascii="Times New Roman" w:hAnsi="Times New Roman"/>
          <w:noProof/>
          <w:sz w:val="24"/>
          <w:szCs w:val="24"/>
          <w:lang w:val="en-US"/>
        </w:rPr>
        <w:footnoteReference w:id="20"/>
      </w:r>
      <w:r>
        <w:rPr>
          <w:noProof/>
        </w:rPr>
        <w:t>.</w:t>
      </w:r>
      <w:r>
        <w:rPr>
          <w:rStyle w:val="FootnoteReference"/>
          <w:rFonts w:ascii="Times New Roman" w:hAnsi="Times New Roman"/>
          <w:noProof/>
          <w:sz w:val="24"/>
        </w:rPr>
        <w:t xml:space="preserve"> </w:t>
      </w:r>
      <w:r>
        <w:rPr>
          <w:rFonts w:ascii="Times New Roman" w:hAnsi="Times New Roman"/>
          <w:noProof/>
          <w:color w:val="000000" w:themeColor="text1"/>
          <w:sz w:val="24"/>
        </w:rPr>
        <w:t xml:space="preserve">Instalirani kapacitet </w:t>
      </w:r>
      <w:r>
        <w:rPr>
          <w:rFonts w:ascii="Times New Roman" w:hAnsi="Times New Roman"/>
          <w:noProof/>
          <w:sz w:val="24"/>
        </w:rPr>
        <w:t xml:space="preserve">zajednica kućanstava za energiju iz obnovljivih izvora mogao bi se povećati i </w:t>
      </w:r>
      <w:r>
        <w:rPr>
          <w:rFonts w:ascii="Times New Roman" w:hAnsi="Times New Roman"/>
          <w:b/>
          <w:noProof/>
          <w:sz w:val="24"/>
        </w:rPr>
        <w:t>do deset puta</w:t>
      </w:r>
      <w:r>
        <w:rPr>
          <w:rStyle w:val="FootnoteReference"/>
          <w:rFonts w:ascii="Times New Roman" w:eastAsia="Times New Roman" w:hAnsi="Times New Roman" w:cs="Times New Roman"/>
          <w:noProof/>
          <w:sz w:val="24"/>
          <w:szCs w:val="24"/>
          <w:lang w:val="en-GB"/>
        </w:rPr>
        <w:footnoteReference w:id="21"/>
      </w:r>
      <w:r>
        <w:rPr>
          <w:noProof/>
        </w:rPr>
        <w:t>.</w:t>
      </w:r>
      <w:r>
        <w:rPr>
          <w:rFonts w:ascii="Times New Roman" w:hAnsi="Times New Roman"/>
          <w:noProof/>
          <w:sz w:val="24"/>
        </w:rPr>
        <w:t xml:space="preserve"> Pojedinačna kućanstva koja proizvode i troše vlastitu solarnu energiju godišnje mogu uštedjeti 260 – 550 EUR. Za zajednice kućanstava s kombinacijom energije vjetra i solarne energije ta bi ušteda mogla iznositi 440 – 930 EUR godišnje</w:t>
      </w:r>
      <w:r>
        <w:rPr>
          <w:rFonts w:ascii="Times New Roman" w:eastAsia="Times New Roman" w:hAnsi="Times New Roman" w:cs="Times New Roman"/>
          <w:noProof/>
          <w:color w:val="000000" w:themeColor="text1"/>
          <w:sz w:val="24"/>
          <w:szCs w:val="24"/>
          <w:vertAlign w:val="superscript"/>
          <w:lang w:val="en-GB"/>
        </w:rPr>
        <w:footnoteReference w:id="22"/>
      </w:r>
      <w:r>
        <w:rPr>
          <w:rFonts w:ascii="Times New Roman" w:hAnsi="Times New Roman"/>
          <w:noProof/>
          <w:sz w:val="24"/>
        </w:rPr>
        <w:t>.</w:t>
      </w:r>
    </w:p>
    <w:p w14:paraId="35702341" w14:textId="77777777" w:rsidR="0075286F" w:rsidRDefault="00D76238">
      <w:pPr>
        <w:widowControl w:val="0"/>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Da bi se ostvario taj potencijal, energetske zajednice moraju imati ovlasti za dijeljenje električne energije bez plaćanja prekomjernih naknada dobavljačima, prodaju viška energije i iskorištavanje svojih potencijala za uravnoteženje visoke ili niske potražnje na tržištu. Administrativni zahtjevi moraju se svesti na najmanju moguću mjeru. Trebalo bi pružiti ciljanu potporu kako bi se osigurala pristupačnost za kućanstva izložena energetskom siromaštvu i ranjiva kućanstva. Za potporu državama članicama u tom nastojanju Komisija će objaviti </w:t>
      </w:r>
      <w:r>
        <w:rPr>
          <w:rFonts w:ascii="Times New Roman" w:hAnsi="Times New Roman"/>
          <w:b/>
          <w:noProof/>
          <w:sz w:val="24"/>
        </w:rPr>
        <w:t>akcijski plan za energetske zajednice</w:t>
      </w:r>
      <w:r>
        <w:rPr>
          <w:rFonts w:ascii="Times New Roman" w:hAnsi="Times New Roman"/>
          <w:noProof/>
          <w:sz w:val="24"/>
        </w:rPr>
        <w: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853"/>
      </w:tblGrid>
      <w:tr w:rsidR="0075286F" w14:paraId="6E34BE5A" w14:textId="77777777">
        <w:tc>
          <w:tcPr>
            <w:tcW w:w="1163" w:type="dxa"/>
            <w:vAlign w:val="center"/>
            <w:hideMark/>
          </w:tcPr>
          <w:p w14:paraId="2A054337" w14:textId="77777777" w:rsidR="0075286F" w:rsidRDefault="00D76238">
            <w:pPr>
              <w:widowControl w:val="0"/>
              <w:rPr>
                <w:rFonts w:ascii="Times New Roman" w:hAnsi="Times New Roman" w:cs="Times New Roman"/>
                <w:noProof/>
                <w:sz w:val="24"/>
                <w:szCs w:val="24"/>
              </w:rPr>
            </w:pPr>
            <w:bookmarkStart w:id="9" w:name="_Hlk219977892"/>
            <w:r>
              <w:rPr>
                <w:rFonts w:ascii="Times New Roman" w:hAnsi="Times New Roman"/>
                <w:noProof/>
                <w:sz w:val="24"/>
              </w:rPr>
              <w:t>Cilj</w:t>
            </w:r>
          </w:p>
        </w:tc>
        <w:tc>
          <w:tcPr>
            <w:tcW w:w="7853" w:type="dxa"/>
            <w:vAlign w:val="center"/>
            <w:hideMark/>
          </w:tcPr>
          <w:p w14:paraId="26F05D37" w14:textId="77777777" w:rsidR="0075286F" w:rsidRDefault="00D76238">
            <w:pPr>
              <w:widowControl w:val="0"/>
              <w:jc w:val="both"/>
              <w:rPr>
                <w:rFonts w:ascii="Times New Roman" w:hAnsi="Times New Roman" w:cs="Times New Roman"/>
                <w:b/>
                <w:noProof/>
                <w:sz w:val="24"/>
                <w:szCs w:val="24"/>
              </w:rPr>
            </w:pPr>
            <w:r>
              <w:rPr>
                <w:rFonts w:ascii="Times New Roman" w:hAnsi="Times New Roman"/>
                <w:b/>
                <w:noProof/>
                <w:sz w:val="24"/>
              </w:rPr>
              <w:t>Iskoristiti potencijal energetskih zajednica za povećanje instaliranih kapaciteta za energiju iz obnovljivih izvora u EU-u do deset puta do 2030., što bi omogućilo proizvodnju energije iz obnovljivih izvora za 25 – 30 milijuna kućanstava</w:t>
            </w:r>
          </w:p>
        </w:tc>
      </w:tr>
      <w:tr w:rsidR="0075286F" w14:paraId="04D55240" w14:textId="77777777">
        <w:tc>
          <w:tcPr>
            <w:tcW w:w="1163" w:type="dxa"/>
            <w:vAlign w:val="center"/>
          </w:tcPr>
          <w:p w14:paraId="78776573" w14:textId="77777777" w:rsidR="0075286F" w:rsidRDefault="00D76238">
            <w:pPr>
              <w:widowControl w:val="0"/>
              <w:rPr>
                <w:rFonts w:ascii="Times New Roman" w:hAnsi="Times New Roman" w:cs="Times New Roman"/>
                <w:noProof/>
                <w:sz w:val="24"/>
                <w:szCs w:val="24"/>
              </w:rPr>
            </w:pPr>
            <w:r>
              <w:rPr>
                <w:rFonts w:ascii="Times New Roman" w:hAnsi="Times New Roman"/>
                <w:noProof/>
                <w:sz w:val="24"/>
              </w:rPr>
              <w:t>Rezultat</w:t>
            </w:r>
          </w:p>
        </w:tc>
        <w:tc>
          <w:tcPr>
            <w:tcW w:w="7853" w:type="dxa"/>
            <w:vAlign w:val="center"/>
          </w:tcPr>
          <w:p w14:paraId="177BD634" w14:textId="77777777" w:rsidR="0075286F" w:rsidRDefault="00D76238">
            <w:pPr>
              <w:widowControl w:val="0"/>
              <w:jc w:val="both"/>
              <w:rPr>
                <w:rFonts w:ascii="Times New Roman" w:hAnsi="Times New Roman" w:cs="Times New Roman"/>
                <w:noProof/>
                <w:sz w:val="24"/>
                <w:szCs w:val="24"/>
              </w:rPr>
            </w:pPr>
            <w:r>
              <w:rPr>
                <w:rFonts w:ascii="Times New Roman" w:hAnsi="Times New Roman"/>
                <w:noProof/>
                <w:sz w:val="24"/>
              </w:rPr>
              <w:t xml:space="preserve">Moguće uštede </w:t>
            </w:r>
            <w:r>
              <w:rPr>
                <w:rFonts w:ascii="Times New Roman" w:hAnsi="Times New Roman"/>
                <w:b/>
                <w:noProof/>
                <w:sz w:val="24"/>
              </w:rPr>
              <w:t>od 260 – 550 EUR godišnje</w:t>
            </w:r>
            <w:r>
              <w:rPr>
                <w:rFonts w:ascii="Times New Roman" w:hAnsi="Times New Roman"/>
                <w:noProof/>
                <w:sz w:val="24"/>
              </w:rPr>
              <w:t xml:space="preserve"> za pojedinačna kućanstva i financijska korist </w:t>
            </w:r>
            <w:r>
              <w:rPr>
                <w:rFonts w:ascii="Times New Roman" w:hAnsi="Times New Roman"/>
                <w:b/>
                <w:noProof/>
                <w:sz w:val="24"/>
              </w:rPr>
              <w:t>od 440 – 930 EUR godišnje</w:t>
            </w:r>
            <w:r>
              <w:rPr>
                <w:rFonts w:ascii="Times New Roman" w:hAnsi="Times New Roman"/>
                <w:noProof/>
                <w:sz w:val="24"/>
              </w:rPr>
              <w:t xml:space="preserve"> za zajednice</w:t>
            </w:r>
          </w:p>
        </w:tc>
      </w:tr>
      <w:tr w:rsidR="0075286F" w14:paraId="720654A4" w14:textId="77777777">
        <w:tc>
          <w:tcPr>
            <w:tcW w:w="1163" w:type="dxa"/>
            <w:vAlign w:val="center"/>
          </w:tcPr>
          <w:p w14:paraId="06C10E10" w14:textId="77777777" w:rsidR="0075286F" w:rsidRDefault="00D76238">
            <w:pPr>
              <w:widowControl w:val="0"/>
              <w:rPr>
                <w:rFonts w:ascii="Times New Roman" w:hAnsi="Times New Roman" w:cs="Times New Roman"/>
                <w:noProof/>
                <w:sz w:val="24"/>
                <w:szCs w:val="24"/>
              </w:rPr>
            </w:pPr>
            <w:r>
              <w:rPr>
                <w:rFonts w:ascii="Times New Roman" w:hAnsi="Times New Roman"/>
                <w:noProof/>
                <w:sz w:val="24"/>
              </w:rPr>
              <w:t>Kako?</w:t>
            </w:r>
          </w:p>
        </w:tc>
        <w:tc>
          <w:tcPr>
            <w:tcW w:w="7853" w:type="dxa"/>
            <w:vAlign w:val="center"/>
          </w:tcPr>
          <w:p w14:paraId="374520C1" w14:textId="77777777" w:rsidR="0075286F" w:rsidRDefault="00D76238">
            <w:pPr>
              <w:widowControl w:val="0"/>
              <w:jc w:val="both"/>
              <w:rPr>
                <w:rFonts w:ascii="Times New Roman" w:hAnsi="Times New Roman" w:cs="Times New Roman"/>
                <w:noProof/>
                <w:sz w:val="24"/>
                <w:szCs w:val="24"/>
              </w:rPr>
            </w:pPr>
            <w:r>
              <w:rPr>
                <w:rFonts w:ascii="Times New Roman" w:hAnsi="Times New Roman"/>
                <w:noProof/>
                <w:sz w:val="24"/>
              </w:rPr>
              <w:t xml:space="preserve">Komisija će </w:t>
            </w:r>
            <w:r>
              <w:rPr>
                <w:rFonts w:ascii="Times New Roman" w:hAnsi="Times New Roman"/>
                <w:b/>
                <w:noProof/>
                <w:sz w:val="24"/>
              </w:rPr>
              <w:t>državama članicama pružiti smjernice o iskorištavanju potencijala energetskih zajednica i vlastite potrošnje</w:t>
            </w:r>
            <w:r>
              <w:rPr>
                <w:rFonts w:ascii="Times New Roman" w:hAnsi="Times New Roman"/>
                <w:noProof/>
                <w:sz w:val="24"/>
              </w:rPr>
              <w:t xml:space="preserve">, uključujući dobre primjere iz prakse, na temelju procjene postojećih i potencijalnih prepreka (prvo tromjesečje 2026.), </w:t>
            </w:r>
            <w:r>
              <w:rPr>
                <w:rFonts w:ascii="Times New Roman" w:hAnsi="Times New Roman"/>
                <w:noProof/>
                <w:color w:val="000000" w:themeColor="text1"/>
                <w:sz w:val="24"/>
              </w:rPr>
              <w:t xml:space="preserve">donijeti </w:t>
            </w:r>
            <w:r>
              <w:rPr>
                <w:rFonts w:ascii="Times New Roman" w:hAnsi="Times New Roman"/>
                <w:b/>
                <w:noProof/>
                <w:color w:val="000000" w:themeColor="text1"/>
                <w:sz w:val="24"/>
              </w:rPr>
              <w:t>provedbenu uredbu o interoperabilnosti podataka</w:t>
            </w:r>
            <w:r>
              <w:rPr>
                <w:rFonts w:ascii="Times New Roman" w:hAnsi="Times New Roman"/>
                <w:noProof/>
                <w:color w:val="000000" w:themeColor="text1"/>
                <w:sz w:val="24"/>
              </w:rPr>
              <w:t xml:space="preserve"> kako bi potrošačima razmjena energije bila jednostavna i u potpunosti automatizirana (2027.)</w:t>
            </w:r>
            <w:r>
              <w:rPr>
                <w:rFonts w:ascii="Times New Roman" w:hAnsi="Times New Roman"/>
                <w:noProof/>
                <w:sz w:val="24"/>
              </w:rPr>
              <w:t xml:space="preserve"> i </w:t>
            </w:r>
            <w:r>
              <w:rPr>
                <w:rFonts w:ascii="Times New Roman" w:hAnsi="Times New Roman"/>
                <w:noProof/>
                <w:color w:val="000000" w:themeColor="text1"/>
                <w:sz w:val="24"/>
              </w:rPr>
              <w:t xml:space="preserve">objaviti niz </w:t>
            </w:r>
            <w:r>
              <w:rPr>
                <w:rFonts w:ascii="Times New Roman" w:hAnsi="Times New Roman"/>
                <w:b/>
                <w:noProof/>
                <w:color w:val="000000" w:themeColor="text1"/>
                <w:sz w:val="24"/>
              </w:rPr>
              <w:t>praktičnih i detaljnih vodiča</w:t>
            </w:r>
            <w:r>
              <w:rPr>
                <w:rFonts w:ascii="Times New Roman" w:hAnsi="Times New Roman"/>
                <w:noProof/>
                <w:color w:val="000000" w:themeColor="text1"/>
                <w:sz w:val="24"/>
              </w:rPr>
              <w:t xml:space="preserve"> o uspostavljanju energetskih projekata zajednice za kućanstva i druge dionike, uključujući MSP-ove, poljoprivrednike i javna tijela (2026. – 2027.).</w:t>
            </w:r>
          </w:p>
        </w:tc>
      </w:tr>
    </w:tbl>
    <w:p w14:paraId="77EA112F" w14:textId="77777777" w:rsidR="0075286F" w:rsidRDefault="0075286F">
      <w:pPr>
        <w:rPr>
          <w:rFonts w:ascii="Times New Roman" w:eastAsia="Times New Roman" w:hAnsi="Times New Roman" w:cs="Times New Roman"/>
          <w:b/>
          <w:bCs/>
          <w:noProof/>
          <w:color w:val="000000" w:themeColor="text1"/>
          <w:sz w:val="24"/>
          <w:szCs w:val="24"/>
          <w:u w:val="single"/>
        </w:rPr>
      </w:pPr>
      <w:bookmarkStart w:id="10" w:name="_Hlk219977904"/>
      <w:bookmarkEnd w:id="9"/>
    </w:p>
    <w:p w14:paraId="69A230C8" w14:textId="77777777" w:rsidR="0075286F" w:rsidRDefault="00D76238">
      <w:pPr>
        <w:rPr>
          <w:rFonts w:ascii="Times New Roman" w:eastAsia="Times New Roman" w:hAnsi="Times New Roman" w:cs="Times New Roman"/>
          <w:b/>
          <w:bCs/>
          <w:noProof/>
          <w:color w:val="000000" w:themeColor="text1"/>
          <w:sz w:val="24"/>
          <w:szCs w:val="24"/>
          <w:u w:val="single"/>
        </w:rPr>
      </w:pPr>
      <w:r>
        <w:rPr>
          <w:rFonts w:ascii="Times New Roman" w:hAnsi="Times New Roman"/>
          <w:b/>
          <w:noProof/>
          <w:color w:val="000000" w:themeColor="text1"/>
          <w:sz w:val="24"/>
          <w:u w:val="single"/>
        </w:rPr>
        <w:t>6. mjera: Promicanje fleksibilnosti putem maloprodajnih ugovora</w:t>
      </w:r>
    </w:p>
    <w:bookmarkEnd w:id="10"/>
    <w:p w14:paraId="0E365A7A" w14:textId="6A08BB8B"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Potrošači s fleksibilnim maloprodajnim ugovorima mogu ostvariti znatne uštede</w:t>
      </w:r>
      <w:r>
        <w:rPr>
          <w:rFonts w:ascii="Times New Roman" w:hAnsi="Times New Roman"/>
          <w:noProof/>
          <w:color w:val="000000" w:themeColor="text1"/>
          <w:sz w:val="24"/>
        </w:rPr>
        <w:t xml:space="preserve">. Računi za električnu energiju u nekim slučajevima mogu biti i do </w:t>
      </w:r>
      <w:r>
        <w:rPr>
          <w:rFonts w:ascii="Times New Roman" w:hAnsi="Times New Roman"/>
          <w:b/>
          <w:noProof/>
          <w:color w:val="000000" w:themeColor="text1"/>
          <w:sz w:val="24"/>
        </w:rPr>
        <w:t>40 % niži</w:t>
      </w:r>
      <w:r>
        <w:rPr>
          <w:rFonts w:ascii="Times New Roman" w:hAnsi="Times New Roman"/>
          <w:noProof/>
          <w:color w:val="000000" w:themeColor="text1"/>
          <w:sz w:val="24"/>
        </w:rPr>
        <w:t xml:space="preserve"> ako se potražnja za grijanjem preusmjeri na razdoblja s niskim cijenama električne energije</w:t>
      </w:r>
      <w:r>
        <w:rPr>
          <w:rStyle w:val="FootnoteReference"/>
          <w:rFonts w:ascii="Times New Roman" w:eastAsia="Times New Roman" w:hAnsi="Times New Roman" w:cs="Times New Roman"/>
          <w:noProof/>
          <w:color w:val="000000" w:themeColor="text1"/>
          <w:sz w:val="24"/>
          <w:szCs w:val="24"/>
          <w:lang w:val="en-US"/>
        </w:rPr>
        <w:footnoteReference w:id="23"/>
      </w:r>
      <w:r>
        <w:rPr>
          <w:rFonts w:ascii="Times New Roman" w:hAnsi="Times New Roman"/>
          <w:noProof/>
          <w:color w:val="000000" w:themeColor="text1"/>
          <w:sz w:val="24"/>
        </w:rPr>
        <w:t xml:space="preserve">. To je jedan od razloga za aktivno promicanje fleksibilnosti potražnje u EU-u. To donosi koristi kao što su smanjena proizvodnja električne energije i niži troškovi mreže, kao i manja potreba za mjerama potpore kapacitetu, a potencijalne godišnje uštede procjenjuju se na </w:t>
      </w:r>
      <w:r>
        <w:rPr>
          <w:rFonts w:ascii="Times New Roman" w:hAnsi="Times New Roman"/>
          <w:b/>
          <w:noProof/>
          <w:color w:val="000000" w:themeColor="text1"/>
          <w:sz w:val="24"/>
        </w:rPr>
        <w:t>2,7 milijardi EUR do 2030.</w:t>
      </w:r>
      <w:r>
        <w:rPr>
          <w:rStyle w:val="FootnoteReference"/>
          <w:rFonts w:ascii="Times New Roman" w:eastAsia="Times New Roman" w:hAnsi="Times New Roman" w:cs="Times New Roman"/>
          <w:noProof/>
          <w:color w:val="000000" w:themeColor="text1"/>
          <w:sz w:val="24"/>
          <w:szCs w:val="24"/>
          <w:lang w:val="en-US"/>
        </w:rPr>
        <w:footnoteReference w:id="24"/>
      </w:r>
      <w:r>
        <w:rPr>
          <w:rFonts w:ascii="Times New Roman" w:hAnsi="Times New Roman"/>
          <w:noProof/>
          <w:color w:val="000000" w:themeColor="text1"/>
          <w:sz w:val="24"/>
        </w:rPr>
        <w:t xml:space="preserve"> </w:t>
      </w:r>
    </w:p>
    <w:p w14:paraId="5639AA6C" w14:textId="77777777"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Da bi se te koristi mogle ostvariti, </w:t>
      </w:r>
      <w:r>
        <w:rPr>
          <w:rFonts w:ascii="Times New Roman" w:hAnsi="Times New Roman"/>
          <w:b/>
          <w:noProof/>
          <w:color w:val="000000" w:themeColor="text1"/>
          <w:sz w:val="24"/>
        </w:rPr>
        <w:t xml:space="preserve">fleksibilni maloprodajni ugovori </w:t>
      </w:r>
      <w:r>
        <w:rPr>
          <w:rFonts w:ascii="Times New Roman" w:hAnsi="Times New Roman"/>
          <w:b/>
          <w:noProof/>
          <w:sz w:val="24"/>
        </w:rPr>
        <w:t>moraju postati široko dostupni</w:t>
      </w:r>
      <w:r>
        <w:rPr>
          <w:rFonts w:ascii="Times New Roman" w:hAnsi="Times New Roman"/>
          <w:noProof/>
          <w:sz w:val="24"/>
        </w:rPr>
        <w:t xml:space="preserve">, potrošači moraju imati </w:t>
      </w:r>
      <w:r>
        <w:rPr>
          <w:rFonts w:ascii="Times New Roman" w:hAnsi="Times New Roman"/>
          <w:b/>
          <w:noProof/>
          <w:sz w:val="24"/>
        </w:rPr>
        <w:t>pristup transparentnim cijenama, pouzdanim informacijama</w:t>
      </w:r>
      <w:r>
        <w:rPr>
          <w:rFonts w:ascii="Times New Roman" w:hAnsi="Times New Roman"/>
          <w:noProof/>
          <w:sz w:val="24"/>
        </w:rPr>
        <w:t xml:space="preserve"> </w:t>
      </w:r>
      <w:r>
        <w:rPr>
          <w:rFonts w:ascii="Times New Roman" w:hAnsi="Times New Roman"/>
          <w:noProof/>
          <w:color w:val="000000" w:themeColor="text1"/>
          <w:sz w:val="24"/>
        </w:rPr>
        <w:t xml:space="preserve">i </w:t>
      </w:r>
      <w:r>
        <w:rPr>
          <w:rFonts w:ascii="Times New Roman" w:hAnsi="Times New Roman"/>
          <w:b/>
          <w:noProof/>
          <w:color w:val="000000" w:themeColor="text1"/>
          <w:sz w:val="24"/>
        </w:rPr>
        <w:t>ciljanim savjetima</w:t>
      </w:r>
      <w:r>
        <w:rPr>
          <w:rFonts w:ascii="Times New Roman" w:hAnsi="Times New Roman"/>
          <w:noProof/>
          <w:color w:val="000000" w:themeColor="text1"/>
          <w:sz w:val="24"/>
        </w:rPr>
        <w:t xml:space="preserve"> o načinu odabira ugovora o opskrbi koji najbolje odgovara njihovim potrebama </w:t>
      </w:r>
      <w:r>
        <w:rPr>
          <w:rFonts w:ascii="Times New Roman" w:hAnsi="Times New Roman"/>
          <w:noProof/>
          <w:sz w:val="24"/>
        </w:rPr>
        <w:t xml:space="preserve">i moraju se uvesti potrebni </w:t>
      </w:r>
      <w:r>
        <w:rPr>
          <w:rFonts w:ascii="Times New Roman" w:hAnsi="Times New Roman"/>
          <w:b/>
          <w:noProof/>
          <w:sz w:val="24"/>
        </w:rPr>
        <w:t>tehnički alati</w:t>
      </w:r>
      <w:r>
        <w:rPr>
          <w:rFonts w:ascii="Times New Roman" w:hAnsi="Times New Roman"/>
          <w:noProof/>
          <w:sz w:val="24"/>
        </w:rPr>
        <w:t xml:space="preserve">. </w:t>
      </w:r>
      <w:r>
        <w:rPr>
          <w:rFonts w:ascii="Times New Roman" w:hAnsi="Times New Roman"/>
          <w:b/>
          <w:noProof/>
          <w:color w:val="000000" w:themeColor="text1"/>
          <w:sz w:val="24"/>
        </w:rPr>
        <w:t>Pametni sustavi mjerenja</w:t>
      </w:r>
      <w:r>
        <w:rPr>
          <w:rFonts w:ascii="Times New Roman" w:hAnsi="Times New Roman"/>
          <w:noProof/>
          <w:color w:val="000000" w:themeColor="text1"/>
          <w:sz w:val="24"/>
        </w:rPr>
        <w:t xml:space="preserve"> važni su jer pružaju podatke potrebne za osiguravanje fleksibilnosti. Učinkovit pristup relevantnim podacima dodatno olakšava automatizaciju i tako poboljšava iskustvo korisnika i osigurava visoku razinu zaštite podataka.</w:t>
      </w:r>
    </w:p>
    <w:p w14:paraId="7D4BE299" w14:textId="77777777"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Promicanje fleksibilnosti podrazumijeva i uklanjanje prepreka za pružatelje usluga fleksibilnosti – poduzeća koja nagrađuju svoje kupce za prebacivanje potrošnje električne energije iz razdoblja vršnog opterećenja u jeftinija razdoblja, čime se smanjuje opterećenje lokalnih mreža. Komisija će dati smjernice za uklanjanje tih prepreka, kao što su odvraćajuće mjere ili neprimjereni cjenovni signali.</w:t>
      </w:r>
    </w:p>
    <w:p w14:paraId="634100F7" w14:textId="6C0FA414" w:rsidR="0075286F" w:rsidRDefault="00D76238">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Izvan EU-a, u Australiji program </w:t>
      </w:r>
      <w:r>
        <w:rPr>
          <w:rFonts w:ascii="Times New Roman" w:hAnsi="Times New Roman"/>
          <w:i/>
          <w:noProof/>
          <w:color w:val="000000" w:themeColor="text1"/>
          <w:sz w:val="24"/>
        </w:rPr>
        <w:t>Solar Sharer Offer</w:t>
      </w:r>
      <w:r>
        <w:rPr>
          <w:rFonts w:ascii="Times New Roman" w:hAnsi="Times New Roman"/>
          <w:noProof/>
          <w:color w:val="000000" w:themeColor="text1"/>
          <w:sz w:val="24"/>
        </w:rPr>
        <w:t xml:space="preserve"> kućanstvima osigurava električnu energiju bez troškova tijekom razdoblja visoke proizvodnje solarne energije. Unutar EU-a dobavljači također razvijaju ponude s električnom energijom bez troškova. Države članice mogle bi istražiti slične mehanizme koji su prilagođeni regulatornom okviru EU-a i građanima omogućavaju da ostvare izravne koristi od prelaska na čistu energiju tako što im se smanjuju računi bez potrebe za početnim ulaganjem u krovne solarne sustave, koji potiču fleksibilnost na strani potražnje, usklađuju potrošnju s razdobljima visoke proizvodnje iz obnovljivih izvora, povećavaju učinkovitost mreže i jačaju potporu javnosti za dekarbonizaciju jer jasno pokazuju koje su prednosti energetske tranzicije.</w:t>
      </w:r>
    </w:p>
    <w:tbl>
      <w:tblPr>
        <w:tblStyle w:val="TableGridLight"/>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079"/>
      </w:tblGrid>
      <w:tr w:rsidR="0075286F" w14:paraId="3F11E813" w14:textId="77777777">
        <w:tc>
          <w:tcPr>
            <w:tcW w:w="1163" w:type="dxa"/>
            <w:vAlign w:val="center"/>
            <w:hideMark/>
          </w:tcPr>
          <w:p w14:paraId="4FCEE776" w14:textId="77777777" w:rsidR="0075286F" w:rsidRDefault="00D76238">
            <w:pPr>
              <w:rPr>
                <w:rFonts w:ascii="Times New Roman" w:hAnsi="Times New Roman" w:cs="Times New Roman"/>
                <w:noProof/>
                <w:sz w:val="24"/>
                <w:szCs w:val="24"/>
              </w:rPr>
            </w:pPr>
            <w:bookmarkStart w:id="11" w:name="_Hlk219977915"/>
            <w:r>
              <w:rPr>
                <w:rFonts w:ascii="Times New Roman" w:hAnsi="Times New Roman"/>
                <w:noProof/>
                <w:sz w:val="24"/>
              </w:rPr>
              <w:t>Cilj</w:t>
            </w:r>
          </w:p>
        </w:tc>
        <w:tc>
          <w:tcPr>
            <w:tcW w:w="8079" w:type="dxa"/>
            <w:hideMark/>
          </w:tcPr>
          <w:p w14:paraId="4F926AA4" w14:textId="77777777" w:rsidR="0075286F" w:rsidRDefault="00D76238">
            <w:pPr>
              <w:jc w:val="both"/>
              <w:rPr>
                <w:rFonts w:ascii="Times New Roman" w:eastAsia="Times New Roman" w:hAnsi="Times New Roman" w:cs="Times New Roman"/>
                <w:b/>
                <w:bCs/>
                <w:noProof/>
                <w:sz w:val="24"/>
                <w:szCs w:val="24"/>
              </w:rPr>
            </w:pPr>
            <w:r>
              <w:rPr>
                <w:rFonts w:ascii="Times New Roman" w:hAnsi="Times New Roman"/>
                <w:b/>
                <w:noProof/>
                <w:sz w:val="24"/>
              </w:rPr>
              <w:t xml:space="preserve">Omogućiti građanima da s pouzdanjem iskorištavaju prednosti fleksibilnih maloprodajnih ugovora i energetski pametnih uređaja koji optimiziraju potrošnju energije </w:t>
            </w:r>
          </w:p>
        </w:tc>
      </w:tr>
      <w:tr w:rsidR="0075286F" w14:paraId="2A8CCCD2" w14:textId="77777777">
        <w:tc>
          <w:tcPr>
            <w:tcW w:w="1163" w:type="dxa"/>
            <w:vAlign w:val="center"/>
          </w:tcPr>
          <w:p w14:paraId="2D00FA38" w14:textId="77777777" w:rsidR="0075286F" w:rsidRDefault="00D76238">
            <w:pPr>
              <w:rPr>
                <w:rFonts w:ascii="Times New Roman" w:hAnsi="Times New Roman" w:cs="Times New Roman"/>
                <w:noProof/>
                <w:sz w:val="24"/>
                <w:szCs w:val="24"/>
              </w:rPr>
            </w:pPr>
            <w:r>
              <w:rPr>
                <w:rFonts w:ascii="Times New Roman" w:hAnsi="Times New Roman"/>
                <w:noProof/>
                <w:sz w:val="24"/>
              </w:rPr>
              <w:t xml:space="preserve">Rezultat </w:t>
            </w:r>
          </w:p>
        </w:tc>
        <w:tc>
          <w:tcPr>
            <w:tcW w:w="8079" w:type="dxa"/>
            <w:vAlign w:val="center"/>
          </w:tcPr>
          <w:p w14:paraId="198BFD9A" w14:textId="77777777" w:rsidR="0075286F" w:rsidRDefault="00D76238">
            <w:pPr>
              <w:jc w:val="both"/>
              <w:rPr>
                <w:rFonts w:ascii="Times New Roman" w:hAnsi="Times New Roman" w:cs="Times New Roman"/>
                <w:noProof/>
              </w:rPr>
            </w:pPr>
            <w:r>
              <w:rPr>
                <w:rFonts w:ascii="Times New Roman" w:hAnsi="Times New Roman"/>
                <w:noProof/>
                <w:sz w:val="24"/>
              </w:rPr>
              <w:t xml:space="preserve">Niži računi za potrošače i niži troškovi energetskog sustava uz moguće uštede </w:t>
            </w:r>
            <w:r>
              <w:rPr>
                <w:rFonts w:ascii="Times New Roman" w:hAnsi="Times New Roman"/>
                <w:b/>
                <w:noProof/>
                <w:sz w:val="24"/>
              </w:rPr>
              <w:t>do 40 %</w:t>
            </w:r>
            <w:r>
              <w:rPr>
                <w:rStyle w:val="FootnoteReference"/>
                <w:rFonts w:ascii="Times New Roman" w:hAnsi="Times New Roman" w:cs="Times New Roman"/>
                <w:noProof/>
                <w:sz w:val="24"/>
                <w:szCs w:val="24"/>
                <w:lang w:val="en-IE"/>
              </w:rPr>
              <w:footnoteReference w:id="25"/>
            </w:r>
            <w:r>
              <w:rPr>
                <w:rFonts w:ascii="Times New Roman" w:hAnsi="Times New Roman"/>
                <w:noProof/>
              </w:rPr>
              <w:t xml:space="preserve"> </w:t>
            </w:r>
          </w:p>
        </w:tc>
      </w:tr>
      <w:tr w:rsidR="0075286F" w14:paraId="6FBFCA8E" w14:textId="77777777">
        <w:tc>
          <w:tcPr>
            <w:tcW w:w="1163" w:type="dxa"/>
            <w:vAlign w:val="center"/>
            <w:hideMark/>
          </w:tcPr>
          <w:p w14:paraId="769A5FE4" w14:textId="77777777" w:rsidR="0075286F" w:rsidRDefault="00D76238">
            <w:pPr>
              <w:rPr>
                <w:rFonts w:ascii="Times New Roman" w:hAnsi="Times New Roman" w:cs="Times New Roman"/>
                <w:noProof/>
                <w:sz w:val="24"/>
                <w:szCs w:val="24"/>
              </w:rPr>
            </w:pPr>
            <w:r>
              <w:rPr>
                <w:rFonts w:ascii="Times New Roman" w:hAnsi="Times New Roman"/>
                <w:noProof/>
                <w:sz w:val="24"/>
              </w:rPr>
              <w:t>Kako?</w:t>
            </w:r>
          </w:p>
        </w:tc>
        <w:tc>
          <w:tcPr>
            <w:tcW w:w="8079" w:type="dxa"/>
            <w:vAlign w:val="center"/>
            <w:hideMark/>
          </w:tcPr>
          <w:p w14:paraId="1B5D923C" w14:textId="77777777" w:rsidR="0075286F" w:rsidRDefault="00D76238">
            <w:pPr>
              <w:jc w:val="both"/>
              <w:rPr>
                <w:rFonts w:ascii="Times New Roman" w:hAnsi="Times New Roman" w:cs="Times New Roman"/>
                <w:noProof/>
                <w:sz w:val="24"/>
                <w:szCs w:val="24"/>
              </w:rPr>
            </w:pPr>
            <w:r>
              <w:rPr>
                <w:rFonts w:ascii="Times New Roman" w:hAnsi="Times New Roman"/>
                <w:noProof/>
                <w:sz w:val="24"/>
              </w:rPr>
              <w:t xml:space="preserve">Komisija će dati </w:t>
            </w:r>
            <w:r>
              <w:rPr>
                <w:rFonts w:ascii="Times New Roman" w:hAnsi="Times New Roman"/>
                <w:b/>
                <w:noProof/>
                <w:sz w:val="24"/>
              </w:rPr>
              <w:t>smjernice za promicanje naknade za fleksibilnost</w:t>
            </w:r>
            <w:r>
              <w:rPr>
                <w:rFonts w:ascii="Times New Roman" w:hAnsi="Times New Roman"/>
                <w:noProof/>
                <w:sz w:val="24"/>
              </w:rPr>
              <w:t xml:space="preserve"> u maloprodajnim ugovorima (prvo tromjesečje 2026.), </w:t>
            </w:r>
            <w:r>
              <w:rPr>
                <w:rFonts w:ascii="Times New Roman" w:hAnsi="Times New Roman"/>
                <w:b/>
                <w:noProof/>
                <w:sz w:val="24"/>
              </w:rPr>
              <w:t>provedbenom uredbom o zahtjevima i postupcima za interoperabilnost</w:t>
            </w:r>
            <w:r>
              <w:rPr>
                <w:rFonts w:ascii="Times New Roman" w:hAnsi="Times New Roman"/>
                <w:noProof/>
                <w:sz w:val="24"/>
              </w:rPr>
              <w:t xml:space="preserve"> (2027.) poboljšati pristup podacima koji su potrebni za fleksibilnost te promicati potencijal fleksibilnosti i učinkovitosti u relevantnim projektima u okviru novih </w:t>
            </w:r>
            <w:r>
              <w:rPr>
                <w:rFonts w:ascii="Times New Roman" w:hAnsi="Times New Roman"/>
                <w:b/>
                <w:noProof/>
                <w:sz w:val="24"/>
              </w:rPr>
              <w:t>partnerstava za kvalitetnije stanovanje</w:t>
            </w:r>
            <w:r>
              <w:rPr>
                <w:rFonts w:ascii="Times New Roman" w:hAnsi="Times New Roman"/>
                <w:noProof/>
                <w:sz w:val="24"/>
              </w:rPr>
              <w:t xml:space="preserve"> (2026.).</w:t>
            </w:r>
          </w:p>
        </w:tc>
      </w:tr>
    </w:tbl>
    <w:p w14:paraId="2BCAA3B8" w14:textId="77777777" w:rsidR="0075286F" w:rsidRDefault="00D76238">
      <w:pPr>
        <w:keepNext/>
        <w:keepLines/>
        <w:spacing w:after="120" w:line="240" w:lineRule="auto"/>
        <w:jc w:val="both"/>
        <w:rPr>
          <w:rFonts w:ascii="Times New Roman" w:hAnsi="Times New Roman" w:cs="Times New Roman"/>
          <w:b/>
          <w:noProof/>
          <w:color w:val="000000" w:themeColor="text1"/>
          <w:sz w:val="24"/>
          <w:szCs w:val="24"/>
          <w:u w:val="single"/>
        </w:rPr>
      </w:pPr>
      <w:bookmarkStart w:id="12" w:name="_Hlk219977926"/>
      <w:bookmarkEnd w:id="11"/>
      <w:r>
        <w:rPr>
          <w:rStyle w:val="normaltextrun"/>
          <w:rFonts w:ascii="Times New Roman" w:hAnsi="Times New Roman"/>
          <w:b/>
          <w:noProof/>
          <w:color w:val="000000" w:themeColor="text1"/>
          <w:sz w:val="24"/>
          <w:u w:val="single"/>
        </w:rPr>
        <w:t xml:space="preserve">7. mjera: Jačanje povjerenja potrošača </w:t>
      </w:r>
      <w:bookmarkEnd w:id="12"/>
    </w:p>
    <w:p w14:paraId="17F7A6AF" w14:textId="77777777" w:rsidR="0075286F" w:rsidRDefault="00D76238">
      <w:pPr>
        <w:pStyle w:val="oj-normal"/>
        <w:keepNext/>
        <w:keepLines/>
        <w:spacing w:before="0" w:beforeAutospacing="0" w:after="120" w:afterAutospacing="0"/>
        <w:jc w:val="both"/>
        <w:rPr>
          <w:noProof/>
          <w:color w:val="000000" w:themeColor="text1"/>
        </w:rPr>
      </w:pPr>
      <w:r>
        <w:rPr>
          <w:noProof/>
          <w:color w:val="000000" w:themeColor="text1"/>
        </w:rPr>
        <w:t xml:space="preserve">Potrošači energije suočavaju se s </w:t>
      </w:r>
      <w:r>
        <w:rPr>
          <w:b/>
          <w:noProof/>
          <w:color w:val="000000" w:themeColor="text1"/>
        </w:rPr>
        <w:t xml:space="preserve">agresivnim praksama telemarketinga </w:t>
      </w:r>
      <w:r>
        <w:rPr>
          <w:noProof/>
          <w:color w:val="000000" w:themeColor="text1"/>
        </w:rPr>
        <w:t xml:space="preserve">ili se ponekad teško snalaze na energetskim tržištima. To dovodi do </w:t>
      </w:r>
      <w:r>
        <w:rPr>
          <w:b/>
          <w:noProof/>
          <w:color w:val="000000" w:themeColor="text1"/>
        </w:rPr>
        <w:t>nepovjerenja</w:t>
      </w:r>
      <w:r>
        <w:rPr>
          <w:noProof/>
          <w:color w:val="000000" w:themeColor="text1"/>
        </w:rPr>
        <w:t xml:space="preserve"> u tržište i ograničava mogućnost odabira jeftinijih alternativa ili inovativnijih usluga</w:t>
      </w:r>
      <w:r>
        <w:rPr>
          <w:rStyle w:val="FootnoteReference"/>
          <w:rFonts w:eastAsia="Times New Roman, Aptos"/>
          <w:noProof/>
          <w:color w:val="000000" w:themeColor="text1"/>
          <w:lang w:val="en-US"/>
        </w:rPr>
        <w:footnoteReference w:id="26"/>
      </w:r>
      <w:r>
        <w:rPr>
          <w:noProof/>
          <w:color w:val="000000" w:themeColor="text1"/>
        </w:rPr>
        <w:t xml:space="preserve">. </w:t>
      </w:r>
    </w:p>
    <w:p w14:paraId="12C23D13" w14:textId="77777777" w:rsidR="0075286F" w:rsidRDefault="00D76238">
      <w:pPr>
        <w:pStyle w:val="oj-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jc w:val="both"/>
        <w:rPr>
          <w:noProof/>
        </w:rPr>
      </w:pPr>
      <w:r>
        <w:rPr>
          <w:noProof/>
        </w:rPr>
        <w:t xml:space="preserve">Kako bi se poboljšala kvaliteta energetskih usluga za kupce, Komisija će surađivati s udrugama potrošača, dobavljačima energije i regulatornim tijelima na izradi </w:t>
      </w:r>
      <w:r>
        <w:rPr>
          <w:b/>
          <w:noProof/>
        </w:rPr>
        <w:t>novog kodeksa za dobavljače energije</w:t>
      </w:r>
      <w:r>
        <w:rPr>
          <w:noProof/>
        </w:rPr>
        <w:t xml:space="preserve"> kao prvog koraka prema suzbijanju </w:t>
      </w:r>
      <w:r>
        <w:rPr>
          <w:b/>
          <w:noProof/>
        </w:rPr>
        <w:t>nepoštene marketinške prakse</w:t>
      </w:r>
      <w:r>
        <w:rPr>
          <w:noProof/>
        </w:rPr>
        <w:t xml:space="preserve">. Kodeks će dobavljačima energije omogućiti da odu korak dalje od postojećih zahtjeva kako bi učinkovito rješavali pritužbe i sprečavali isključivanje ranjivih potrošača, </w:t>
      </w:r>
      <w:r>
        <w:rPr>
          <w:rStyle w:val="normaltextrun"/>
          <w:noProof/>
        </w:rPr>
        <w:t>primjerice onih koji žive na ruralnim područjima,</w:t>
      </w:r>
      <w:r>
        <w:rPr>
          <w:noProof/>
        </w:rPr>
        <w:t xml:space="preserve"> zahvaljujući duljim rokovima za obavješćivanje, prilagođenim planovima plaćanja i minimalnoj opskrbi, te da nude „savjete o najboljim tarifama” i sustave „ranog upozoravanja” (vidjeti 4. mjeru).</w:t>
      </w:r>
      <w:r>
        <w:rPr>
          <w:noProof/>
          <w:color w:val="000000" w:themeColor="text1"/>
        </w:rPr>
        <w:t xml:space="preserve"> Kodeks će služiti kao </w:t>
      </w:r>
      <w:r>
        <w:rPr>
          <w:b/>
          <w:noProof/>
          <w:color w:val="000000" w:themeColor="text1"/>
        </w:rPr>
        <w:t>oznaka pouzdanosti</w:t>
      </w:r>
      <w:r>
        <w:rPr>
          <w:noProof/>
          <w:color w:val="000000" w:themeColor="text1"/>
        </w:rPr>
        <w:t xml:space="preserve"> kojom dobavljači energije potrošačima pokazuju da mogu očekivati transparentne i pravedne usluge. </w:t>
      </w:r>
      <w:r>
        <w:rPr>
          <w:noProof/>
        </w:rPr>
        <w:t>Neke države članice već uspješno primjenjuju i provode takav kodeks</w:t>
      </w:r>
      <w:r>
        <w:rPr>
          <w:rStyle w:val="FootnoteReference"/>
          <w:noProof/>
        </w:rPr>
        <w:footnoteReference w:id="27"/>
      </w:r>
      <w:r>
        <w:rPr>
          <w:noProof/>
        </w:rPr>
        <w:t>. Države članice i dalje će samostalno odlučivati o tome hoće li se i kako takav kodeks primjenjivati na nacionalnoj razini.</w:t>
      </w:r>
    </w:p>
    <w:p w14:paraId="40ADCFE7" w14:textId="77777777" w:rsidR="0075286F" w:rsidRDefault="00D76238">
      <w:pPr>
        <w:pStyle w:val="oj-normal"/>
        <w:spacing w:before="0" w:beforeAutospacing="0" w:after="120" w:afterAutospacing="0"/>
        <w:jc w:val="both"/>
        <w:rPr>
          <w:rFonts w:eastAsia="Times New Roman, Aptos"/>
          <w:noProof/>
          <w:color w:val="000000" w:themeColor="text1"/>
          <w:vertAlign w:val="superscript"/>
        </w:rPr>
      </w:pPr>
      <w:r>
        <w:rPr>
          <w:noProof/>
          <w:color w:val="000000" w:themeColor="text1"/>
        </w:rPr>
        <w:t xml:space="preserve">Iako će </w:t>
      </w:r>
      <w:r>
        <w:rPr>
          <w:b/>
          <w:noProof/>
          <w:color w:val="000000" w:themeColor="text1"/>
        </w:rPr>
        <w:t>umjetna inteligencija i</w:t>
      </w:r>
      <w:r>
        <w:rPr>
          <w:noProof/>
          <w:color w:val="000000" w:themeColor="text1"/>
        </w:rPr>
        <w:t xml:space="preserve"> </w:t>
      </w:r>
      <w:r>
        <w:rPr>
          <w:b/>
          <w:noProof/>
        </w:rPr>
        <w:t>digitalizacija</w:t>
      </w:r>
      <w:r>
        <w:rPr>
          <w:noProof/>
          <w:color w:val="000000" w:themeColor="text1"/>
        </w:rPr>
        <w:t xml:space="preserve"> donijeti brojne koristi, uključujući uštedu energije i smanjenje računa za energiju, s njima dolaze i nove poteškoće.</w:t>
      </w:r>
      <w:r>
        <w:rPr>
          <w:noProof/>
        </w:rPr>
        <w:t xml:space="preserve"> Komisija će stoga ocijeniti jesu li postojeća pravila svrsishodna u tom pogledu. </w:t>
      </w:r>
    </w:p>
    <w:p w14:paraId="670DAE20" w14:textId="77777777" w:rsidR="0075286F" w:rsidRDefault="00D76238">
      <w:pPr>
        <w:pStyle w:val="oj-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color w:val="1F1F1F"/>
        </w:rPr>
      </w:pPr>
      <w:r>
        <w:rPr>
          <w:noProof/>
          <w:color w:val="1F1F1F"/>
        </w:rPr>
        <w:t xml:space="preserve">Ako se dobavljači energije ne zaštite od nestabilnih cijena, narušava se povjerenje u tržište. Pritom kupci mogu izgubiti sve predujmove i biti prisiljeni na sklapanje nepovoljnijih ugovora. Da do toga ne bi došlo, Komisija će nacionalnim regulatornim tijelima dati smjernice o tome kako dobavljači energije mogu osmisliti </w:t>
      </w:r>
      <w:r>
        <w:rPr>
          <w:b/>
          <w:noProof/>
          <w:color w:val="1F1F1F"/>
        </w:rPr>
        <w:t>odgovarajuće strategije upravljanja rizicima i zaštite od rizika</w:t>
      </w:r>
      <w:r>
        <w:rPr>
          <w:noProof/>
          <w:color w:val="1F1F1F"/>
        </w:rPr>
        <w:t xml:space="preserve"> kako bi maloprodajno tržište električne energije ostalo stabilno i pouzdano. </w:t>
      </w:r>
    </w:p>
    <w:p w14:paraId="12DE0055" w14:textId="77777777" w:rsidR="0075286F" w:rsidRDefault="0075286F">
      <w:pPr>
        <w:pStyle w:val="oj-normal"/>
        <w:spacing w:before="0" w:beforeAutospacing="0" w:after="0" w:afterAutospacing="0"/>
        <w:jc w:val="both"/>
        <w:rPr>
          <w:rFonts w:eastAsiaTheme="minorEastAsia"/>
          <w:noProof/>
          <w:lang w:eastAsia="en-US"/>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000"/>
      </w:tblGrid>
      <w:tr w:rsidR="0075286F" w14:paraId="55B6A0AF" w14:textId="77777777">
        <w:tc>
          <w:tcPr>
            <w:tcW w:w="988" w:type="dxa"/>
            <w:vAlign w:val="center"/>
            <w:hideMark/>
          </w:tcPr>
          <w:p w14:paraId="69BF7646" w14:textId="77777777" w:rsidR="0075286F" w:rsidRDefault="00D76238">
            <w:pPr>
              <w:rPr>
                <w:rFonts w:ascii="Times New Roman" w:hAnsi="Times New Roman" w:cs="Times New Roman"/>
                <w:noProof/>
                <w:sz w:val="24"/>
                <w:szCs w:val="24"/>
              </w:rPr>
            </w:pPr>
            <w:bookmarkStart w:id="13" w:name="_Hlk219977944"/>
            <w:r>
              <w:rPr>
                <w:rFonts w:ascii="Times New Roman" w:hAnsi="Times New Roman"/>
                <w:noProof/>
                <w:sz w:val="24"/>
              </w:rPr>
              <w:t>Cilj</w:t>
            </w:r>
          </w:p>
        </w:tc>
        <w:tc>
          <w:tcPr>
            <w:tcW w:w="8028" w:type="dxa"/>
            <w:vAlign w:val="center"/>
            <w:hideMark/>
          </w:tcPr>
          <w:p w14:paraId="71293A83" w14:textId="77777777" w:rsidR="0075286F" w:rsidRDefault="00D76238">
            <w:pPr>
              <w:jc w:val="both"/>
              <w:rPr>
                <w:rFonts w:ascii="Times New Roman" w:hAnsi="Times New Roman" w:cs="Times New Roman"/>
                <w:b/>
                <w:bCs/>
                <w:noProof/>
                <w:sz w:val="24"/>
                <w:szCs w:val="24"/>
              </w:rPr>
            </w:pPr>
            <w:r>
              <w:rPr>
                <w:rFonts w:ascii="Times New Roman" w:hAnsi="Times New Roman"/>
                <w:b/>
                <w:noProof/>
                <w:sz w:val="24"/>
              </w:rPr>
              <w:t>Ojačati povjerenje; suzbijati agresivan i obmanjujući (tele)marketing; zaštititi građane od posljedica nefunkcioniranja tržišta</w:t>
            </w:r>
          </w:p>
        </w:tc>
      </w:tr>
      <w:tr w:rsidR="0075286F" w14:paraId="2A8272DC" w14:textId="77777777">
        <w:tc>
          <w:tcPr>
            <w:tcW w:w="988" w:type="dxa"/>
            <w:vAlign w:val="center"/>
          </w:tcPr>
          <w:p w14:paraId="5A3F4565" w14:textId="77777777" w:rsidR="0075286F" w:rsidRDefault="00D76238">
            <w:pPr>
              <w:rPr>
                <w:rFonts w:ascii="Times New Roman" w:hAnsi="Times New Roman" w:cs="Times New Roman"/>
                <w:noProof/>
                <w:sz w:val="24"/>
                <w:szCs w:val="24"/>
              </w:rPr>
            </w:pPr>
            <w:r>
              <w:rPr>
                <w:rFonts w:ascii="Times New Roman" w:hAnsi="Times New Roman"/>
                <w:noProof/>
                <w:sz w:val="24"/>
              </w:rPr>
              <w:t>Rezultat</w:t>
            </w:r>
          </w:p>
        </w:tc>
        <w:tc>
          <w:tcPr>
            <w:tcW w:w="8028" w:type="dxa"/>
            <w:vAlign w:val="center"/>
          </w:tcPr>
          <w:p w14:paraId="48561C24" w14:textId="77777777" w:rsidR="0075286F" w:rsidRDefault="00D76238">
            <w:pPr>
              <w:jc w:val="both"/>
              <w:rPr>
                <w:rFonts w:ascii="Times New Roman" w:hAnsi="Times New Roman" w:cs="Times New Roman"/>
                <w:noProof/>
                <w:sz w:val="24"/>
                <w:szCs w:val="24"/>
              </w:rPr>
            </w:pPr>
            <w:r>
              <w:rPr>
                <w:rFonts w:ascii="Times New Roman" w:hAnsi="Times New Roman"/>
                <w:noProof/>
                <w:sz w:val="24"/>
              </w:rPr>
              <w:t>Veće povjerenje potrošača i bolja kvaliteta usluge; transparentnije tržište s konkurentnijim cijenama i učinkovitijim uslugama</w:t>
            </w:r>
          </w:p>
        </w:tc>
      </w:tr>
      <w:tr w:rsidR="0075286F" w14:paraId="0F8B1FB0" w14:textId="77777777">
        <w:tc>
          <w:tcPr>
            <w:tcW w:w="988" w:type="dxa"/>
            <w:vAlign w:val="center"/>
            <w:hideMark/>
          </w:tcPr>
          <w:p w14:paraId="697D3D55" w14:textId="77777777" w:rsidR="0075286F" w:rsidRDefault="00D76238">
            <w:pPr>
              <w:rPr>
                <w:rFonts w:ascii="Times New Roman" w:hAnsi="Times New Roman" w:cs="Times New Roman"/>
                <w:noProof/>
                <w:sz w:val="24"/>
                <w:szCs w:val="24"/>
              </w:rPr>
            </w:pPr>
            <w:r>
              <w:rPr>
                <w:rFonts w:ascii="Times New Roman" w:hAnsi="Times New Roman"/>
                <w:noProof/>
                <w:sz w:val="24"/>
              </w:rPr>
              <w:t>Kako?</w:t>
            </w:r>
          </w:p>
        </w:tc>
        <w:tc>
          <w:tcPr>
            <w:tcW w:w="8028" w:type="dxa"/>
            <w:vAlign w:val="center"/>
            <w:hideMark/>
          </w:tcPr>
          <w:p w14:paraId="04A6D6CD" w14:textId="77777777" w:rsidR="0075286F" w:rsidRDefault="00D76238">
            <w:pPr>
              <w:pStyle w:val="Considrant"/>
              <w:numPr>
                <w:ilvl w:val="0"/>
                <w:numId w:val="0"/>
              </w:numPr>
              <w:spacing w:before="0" w:after="0"/>
              <w:rPr>
                <w:rFonts w:ascii="Times New Roman" w:hAnsi="Times New Roman" w:cs="Times New Roman"/>
                <w:noProof/>
              </w:rPr>
            </w:pPr>
            <w:r>
              <w:rPr>
                <w:rFonts w:ascii="Times New Roman" w:hAnsi="Times New Roman"/>
                <w:noProof/>
              </w:rPr>
              <w:t xml:space="preserve">Kako bi potrošačima omogućila ostvarivanje koristi, Komisija će predložiti jednostavan i razumljiv </w:t>
            </w:r>
            <w:r>
              <w:rPr>
                <w:rFonts w:ascii="Times New Roman" w:hAnsi="Times New Roman"/>
                <w:b/>
                <w:noProof/>
              </w:rPr>
              <w:t>kodeks o pravima potrošača u vezi s pružanjem usluga</w:t>
            </w:r>
            <w:r>
              <w:rPr>
                <w:rFonts w:ascii="Times New Roman" w:hAnsi="Times New Roman"/>
                <w:noProof/>
              </w:rPr>
              <w:t xml:space="preserve"> za dobavljače energije, koji će moći dobrovoljno primjenjivati visoke standarde zaštite potrošača temeljene na transparentnosti, pravednosti, uzajamnom povjerenju i odgovornosti (četvrto tromjesečje 2026.), objaviti nove smjernice za potporu nacionalnim regulatornim tijelima u </w:t>
            </w:r>
            <w:r>
              <w:rPr>
                <w:rFonts w:ascii="Times New Roman" w:hAnsi="Times New Roman"/>
                <w:b/>
                <w:noProof/>
              </w:rPr>
              <w:t>kvalitetnijem upravljanju rizicima</w:t>
            </w:r>
            <w:r>
              <w:rPr>
                <w:rFonts w:ascii="Times New Roman" w:hAnsi="Times New Roman"/>
                <w:noProof/>
              </w:rPr>
              <w:t xml:space="preserve"> kako bi se spriječila nemogućnost dobavljača da izvršavaju svoje obveze (prvo tromjesečje 2026.) te procijeniti potrebu za donošenjem novog </w:t>
            </w:r>
            <w:r>
              <w:rPr>
                <w:rFonts w:ascii="Times New Roman" w:hAnsi="Times New Roman"/>
                <w:b/>
                <w:noProof/>
              </w:rPr>
              <w:t>zakonodavnog prijedloga EU-a o pravima potrošača u području energije za razdoblje nakon 2029.</w:t>
            </w:r>
            <w:r>
              <w:rPr>
                <w:rFonts w:ascii="Times New Roman" w:hAnsi="Times New Roman"/>
                <w:noProof/>
              </w:rPr>
              <w:t xml:space="preserve"> kako bi prava potrošača bila zaštićena i u novim inovativnim ugovorima i kako bi se riješilo pitanje agresivnih ili obmanjujućih praksi (tele)marketinga (2028.).</w:t>
            </w:r>
          </w:p>
        </w:tc>
      </w:tr>
      <w:bookmarkEnd w:id="13"/>
    </w:tbl>
    <w:p w14:paraId="674B52AA" w14:textId="77777777" w:rsidR="0075286F" w:rsidRPr="00D76238" w:rsidRDefault="0075286F">
      <w:pPr>
        <w:spacing w:line="240" w:lineRule="auto"/>
        <w:rPr>
          <w:rFonts w:ascii="Times New Roman" w:hAnsi="Times New Roman" w:cs="Times New Roman"/>
          <w:b/>
          <w:bCs/>
          <w:smallCaps/>
          <w:noProof/>
          <w:sz w:val="24"/>
          <w:szCs w:val="24"/>
          <w:u w:val="single"/>
        </w:rPr>
      </w:pPr>
    </w:p>
    <w:p w14:paraId="4FAF38A5" w14:textId="77777777" w:rsidR="0075286F" w:rsidRDefault="00D76238">
      <w:pPr>
        <w:jc w:val="center"/>
        <w:rPr>
          <w:rFonts w:ascii="Times New Roman" w:hAnsi="Times New Roman" w:cs="Times New Roman"/>
          <w:b/>
          <w:bCs/>
          <w:smallCaps/>
          <w:noProof/>
          <w:sz w:val="24"/>
          <w:szCs w:val="24"/>
          <w:u w:val="single"/>
        </w:rPr>
      </w:pPr>
      <w:r>
        <w:rPr>
          <w:rFonts w:ascii="Times New Roman" w:hAnsi="Times New Roman"/>
          <w:b/>
          <w:smallCaps/>
          <w:noProof/>
          <w:sz w:val="24"/>
          <w:u w:val="single"/>
        </w:rPr>
        <w:t>Treći stup: Suzbijanje energetskog siromaštva i ranjivosti</w:t>
      </w:r>
    </w:p>
    <w:p w14:paraId="101CF992" w14:textId="77777777" w:rsidR="0075286F" w:rsidRDefault="00D76238">
      <w:pPr>
        <w:jc w:val="both"/>
        <w:rPr>
          <w:rFonts w:ascii="Times New Roman" w:hAnsi="Times New Roman" w:cs="Times New Roman"/>
          <w:noProof/>
          <w:sz w:val="24"/>
          <w:szCs w:val="24"/>
        </w:rPr>
      </w:pPr>
      <w:r>
        <w:rPr>
          <w:rFonts w:ascii="Times New Roman" w:hAnsi="Times New Roman"/>
          <w:b/>
          <w:noProof/>
          <w:sz w:val="24"/>
        </w:rPr>
        <w:t>Pravednost i ravnopravnost među glavnim su aspektima energetske tranzicije</w:t>
      </w:r>
      <w:r>
        <w:rPr>
          <w:rFonts w:ascii="Times New Roman" w:hAnsi="Times New Roman"/>
          <w:noProof/>
          <w:sz w:val="24"/>
        </w:rPr>
        <w:t xml:space="preserve">. Prema najnovijem istraživanju Eurobarometra, Europljanima je </w:t>
      </w:r>
      <w:r>
        <w:rPr>
          <w:rFonts w:ascii="Times New Roman" w:hAnsi="Times New Roman"/>
          <w:b/>
          <w:noProof/>
          <w:sz w:val="24"/>
        </w:rPr>
        <w:t>glavni prioritet</w:t>
      </w:r>
      <w:r>
        <w:rPr>
          <w:rFonts w:ascii="Times New Roman" w:hAnsi="Times New Roman"/>
          <w:noProof/>
          <w:sz w:val="24"/>
        </w:rPr>
        <w:t xml:space="preserve"> zaštita ranjivih potrošača i potrošača izloženih energetskom siromaštvu</w:t>
      </w:r>
      <w:r>
        <w:rPr>
          <w:rStyle w:val="FootnoteReference"/>
          <w:rFonts w:ascii="Times New Roman" w:hAnsi="Times New Roman" w:cs="Times New Roman"/>
          <w:noProof/>
          <w:sz w:val="24"/>
          <w:szCs w:val="24"/>
          <w:lang w:val="en-GB"/>
        </w:rPr>
        <w:footnoteReference w:id="28"/>
      </w:r>
      <w:r>
        <w:rPr>
          <w:rFonts w:ascii="Times New Roman" w:hAnsi="Times New Roman"/>
          <w:noProof/>
          <w:sz w:val="24"/>
        </w:rPr>
        <w:t xml:space="preserve">. Energetsko siromaštvo, cjenovno nepristupačno stanovanje i ograničen pristup socijalnom stanovanju mogu povećati rizike od ranjivosti. EU razvija prvu strategiju EU-a za borbu protiv siromaštva kako bi se ljudima olakšao pristup osnovnoj zaštiti i uslugama, uklonili glavni uzroci siromaštva i doprinijelo iskorjenjivanju siromaštva do 2050. Ako svi građani budu imali pristup energiji kao osnovnoj usluzi, smanjit će se ranjivost i siromaštvo u EU-u. </w:t>
      </w:r>
    </w:p>
    <w:p w14:paraId="429F1188" w14:textId="77777777" w:rsidR="0075286F" w:rsidRDefault="00D76238">
      <w:pPr>
        <w:spacing w:line="240" w:lineRule="auto"/>
        <w:jc w:val="both"/>
        <w:rPr>
          <w:rFonts w:ascii="Times New Roman" w:eastAsiaTheme="minorEastAsia" w:hAnsi="Times New Roman" w:cs="Times New Roman"/>
          <w:b/>
          <w:bCs/>
          <w:noProof/>
          <w:sz w:val="24"/>
          <w:szCs w:val="24"/>
          <w:u w:val="single"/>
        </w:rPr>
      </w:pPr>
      <w:bookmarkStart w:id="14" w:name="_Hlk219977967"/>
      <w:r>
        <w:rPr>
          <w:rFonts w:ascii="Times New Roman" w:hAnsi="Times New Roman"/>
          <w:b/>
          <w:noProof/>
          <w:sz w:val="24"/>
          <w:u w:val="single"/>
        </w:rPr>
        <w:t>8. mjera: Udruživanje snaga radi smanjenja energetskog siromaštva</w:t>
      </w:r>
    </w:p>
    <w:bookmarkEnd w:id="14"/>
    <w:p w14:paraId="6B7070C9" w14:textId="77777777" w:rsidR="0075286F" w:rsidRDefault="00D76238">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Oko </w:t>
      </w:r>
      <w:r>
        <w:rPr>
          <w:rFonts w:ascii="Times New Roman" w:hAnsi="Times New Roman"/>
          <w:b/>
          <w:noProof/>
          <w:sz w:val="24"/>
        </w:rPr>
        <w:t>42 milijuna Europljana</w:t>
      </w:r>
      <w:r>
        <w:rPr>
          <w:rFonts w:ascii="Times New Roman" w:hAnsi="Times New Roman"/>
          <w:noProof/>
          <w:sz w:val="24"/>
        </w:rPr>
        <w:t xml:space="preserve"> (9,2 % stanovništva EU-a) 2024. nije moglo primjereno zagrijati svoje domove</w:t>
      </w:r>
      <w:r>
        <w:rPr>
          <w:rStyle w:val="FootnoteReference"/>
          <w:rFonts w:ascii="Times New Roman" w:hAnsi="Times New Roman" w:cs="Times New Roman"/>
          <w:noProof/>
          <w:sz w:val="24"/>
          <w:szCs w:val="24"/>
          <w:lang w:val="en-IE"/>
        </w:rPr>
        <w:footnoteReference w:id="29"/>
      </w:r>
      <w:r>
        <w:rPr>
          <w:rFonts w:ascii="Times New Roman" w:hAnsi="Times New Roman"/>
          <w:noProof/>
          <w:sz w:val="24"/>
        </w:rPr>
        <w:t xml:space="preserve"> To je ozbiljna i neprihvatljiva situacija za prevelik broj građana u EU-u, s nerazmjernim učincima na obitelji i skupine stanovništva izložene riziku od siromaštva ili diskriminacije.</w:t>
      </w:r>
    </w:p>
    <w:p w14:paraId="53A3BBD1" w14:textId="0B2ACD8F" w:rsidR="0075286F" w:rsidRDefault="00D76238">
      <w:pPr>
        <w:widowControl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U skladu s pravnim okvirom EU-a države članice dužne su uvesti mjere politike i konkretne mjere za rješavanje problema energetskog siromaštva i zaštitu ranjivih potrošača. Međutim, Komisijina ocjena</w:t>
      </w:r>
      <w:r>
        <w:rPr>
          <w:rStyle w:val="FootnoteReference"/>
          <w:rFonts w:ascii="Times New Roman" w:hAnsi="Times New Roman" w:cs="Times New Roman"/>
          <w:noProof/>
          <w:sz w:val="24"/>
          <w:szCs w:val="24"/>
          <w:lang w:val="en-IE"/>
        </w:rPr>
        <w:footnoteReference w:id="30"/>
      </w:r>
      <w:r>
        <w:rPr>
          <w:rFonts w:ascii="Times New Roman" w:hAnsi="Times New Roman"/>
          <w:noProof/>
          <w:sz w:val="24"/>
        </w:rPr>
        <w:t xml:space="preserve"> ažuriranih nacionalnih energetskih i klimatskih planova pokazuje</w:t>
      </w:r>
      <w:r>
        <w:rPr>
          <w:rFonts w:ascii="Times New Roman" w:hAnsi="Times New Roman"/>
          <w:b/>
          <w:noProof/>
          <w:sz w:val="24"/>
        </w:rPr>
        <w:t xml:space="preserve"> </w:t>
      </w:r>
      <w:r>
        <w:rPr>
          <w:rFonts w:ascii="Times New Roman" w:hAnsi="Times New Roman"/>
          <w:noProof/>
          <w:sz w:val="24"/>
        </w:rPr>
        <w:t>da se</w:t>
      </w:r>
      <w:r>
        <w:rPr>
          <w:rFonts w:ascii="Times New Roman" w:hAnsi="Times New Roman"/>
          <w:b/>
          <w:noProof/>
          <w:sz w:val="24"/>
        </w:rPr>
        <w:t xml:space="preserve"> </w:t>
      </w:r>
      <w:r>
        <w:rPr>
          <w:rFonts w:ascii="Times New Roman" w:hAnsi="Times New Roman"/>
          <w:noProof/>
          <w:sz w:val="24"/>
        </w:rPr>
        <w:t xml:space="preserve">ta </w:t>
      </w:r>
      <w:r>
        <w:rPr>
          <w:rFonts w:ascii="Times New Roman" w:hAnsi="Times New Roman"/>
          <w:b/>
          <w:noProof/>
          <w:sz w:val="24"/>
        </w:rPr>
        <w:t>pravila ne provode ujednačeno u cijelom EU-u</w:t>
      </w:r>
      <w:r>
        <w:rPr>
          <w:rFonts w:ascii="Times New Roman" w:hAnsi="Times New Roman"/>
          <w:noProof/>
          <w:sz w:val="24"/>
        </w:rPr>
        <w:t xml:space="preserve">. To je djelomično posljedica poteškoća pri utvrđivanju i kontaktu s ranjivim kućanstvima i osobama izloženima energetskom siromaštvu te poteškoća u djelotvornom </w:t>
      </w:r>
      <w:r>
        <w:rPr>
          <w:rFonts w:ascii="Times New Roman" w:hAnsi="Times New Roman"/>
          <w:b/>
          <w:noProof/>
          <w:sz w:val="24"/>
        </w:rPr>
        <w:t>oblikovanju mjera potpore kao odgovora na potrebe</w:t>
      </w:r>
      <w:r>
        <w:rPr>
          <w:rFonts w:ascii="Times New Roman" w:hAnsi="Times New Roman"/>
          <w:noProof/>
          <w:sz w:val="24"/>
        </w:rPr>
        <w:t xml:space="preserve">, do čega dolazi zbog </w:t>
      </w:r>
      <w:r>
        <w:rPr>
          <w:rFonts w:ascii="Times New Roman" w:hAnsi="Times New Roman"/>
          <w:b/>
          <w:noProof/>
          <w:sz w:val="24"/>
        </w:rPr>
        <w:t>višedimenzionalnosti</w:t>
      </w:r>
      <w:r>
        <w:rPr>
          <w:rFonts w:ascii="Times New Roman" w:hAnsi="Times New Roman"/>
          <w:noProof/>
          <w:sz w:val="24"/>
        </w:rPr>
        <w:t xml:space="preserve"> energetskog siromaštva i ranjivosti. Kako bi pomogla državama članicama da utvrde ambicioznije ciljeve </w:t>
      </w:r>
      <w:r>
        <w:rPr>
          <w:rFonts w:ascii="Times New Roman" w:hAnsi="Times New Roman"/>
          <w:b/>
          <w:noProof/>
          <w:sz w:val="24"/>
        </w:rPr>
        <w:t>nacionalnih planova</w:t>
      </w:r>
      <w:r>
        <w:rPr>
          <w:rFonts w:ascii="Times New Roman" w:hAnsi="Times New Roman"/>
          <w:noProof/>
          <w:sz w:val="24"/>
        </w:rPr>
        <w:t xml:space="preserve"> i smanje energetsko siromaštvo, Komisija će pružiti dodatne smjernice i dobre primjere iz prakse koji se mogu reproducirati. Cilj će biti oblikovanje uspješnih nacionalnih i lokalnih pristupa rješavanju problema energetskog siromaštva i suprotstavljenih interesa</w:t>
      </w:r>
      <w:r>
        <w:rPr>
          <w:rStyle w:val="FootnoteReference"/>
          <w:rFonts w:ascii="Times New Roman" w:hAnsi="Times New Roman" w:cs="Times New Roman"/>
          <w:noProof/>
          <w:sz w:val="24"/>
          <w:szCs w:val="24"/>
          <w:lang w:val="en-IE"/>
        </w:rPr>
        <w:footnoteReference w:id="31"/>
      </w:r>
      <w:r>
        <w:rPr>
          <w:rFonts w:ascii="Times New Roman" w:hAnsi="Times New Roman"/>
          <w:noProof/>
          <w:sz w:val="24"/>
        </w:rPr>
        <w:t xml:space="preserve">, uz istodobno zadržavanje poticaja za uštedu energije i energetsku učinkovitost čak i za kućanstva koja primaju socijalne naknade kako bi pokrila svoje račune za energiju. U skladu s Direktivom (EU) 2024/1275 o energetskim svojstvima zgrada Komisija će državama članicama pomoći i da do kraja 2026. izrade </w:t>
      </w:r>
      <w:r>
        <w:rPr>
          <w:rFonts w:ascii="Times New Roman" w:hAnsi="Times New Roman"/>
          <w:b/>
          <w:noProof/>
          <w:sz w:val="24"/>
        </w:rPr>
        <w:t>nacionalne planove obnove zgrada</w:t>
      </w:r>
      <w:r>
        <w:rPr>
          <w:rFonts w:ascii="Times New Roman" w:hAnsi="Times New Roman"/>
          <w:noProof/>
          <w:sz w:val="24"/>
        </w:rPr>
        <w:t xml:space="preserve">, u okviru kojih trebaju utvrditi zgrade s najlošijim svojstvima u kojima žive najranjiviji građani i osmisliti prilagođene politike koje će tim građanima pomoći da smanje iznose svojih računa za energiju i ugodnije žive u svojim domovima i zimi i ljeti. Cilj tih planova bit će i da se pitanje </w:t>
      </w:r>
      <w:r>
        <w:rPr>
          <w:rFonts w:ascii="Times New Roman" w:hAnsi="Times New Roman"/>
          <w:b/>
          <w:noProof/>
          <w:sz w:val="24"/>
        </w:rPr>
        <w:t>pristupačnosti</w:t>
      </w:r>
      <w:r>
        <w:rPr>
          <w:rFonts w:ascii="Times New Roman" w:hAnsi="Times New Roman"/>
          <w:noProof/>
          <w:sz w:val="24"/>
        </w:rPr>
        <w:t xml:space="preserve"> za starije osobe i osobe s invaliditetom redovito uzima u obzir u kontekstu obnova. </w:t>
      </w:r>
    </w:p>
    <w:p w14:paraId="4B6910E0" w14:textId="77777777" w:rsidR="0075286F" w:rsidRDefault="00D76238">
      <w:pPr>
        <w:widowControl w:val="0"/>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rPr>
        <w:t>Osim projekata u području energetskog siromaštva u okviru Socijalnog fonda za klimatsku politiku</w:t>
      </w:r>
      <w:r>
        <w:rPr>
          <w:rStyle w:val="FootnoteReference"/>
          <w:rFonts w:ascii="Times New Roman" w:eastAsia="Times New Roman" w:hAnsi="Times New Roman" w:cs="Times New Roman"/>
          <w:noProof/>
          <w:sz w:val="24"/>
          <w:szCs w:val="24"/>
          <w:lang w:val="en-GB"/>
        </w:rPr>
        <w:footnoteReference w:id="32"/>
      </w:r>
      <w:r>
        <w:rPr>
          <w:rFonts w:ascii="Times New Roman" w:hAnsi="Times New Roman"/>
          <w:noProof/>
          <w:sz w:val="24"/>
        </w:rPr>
        <w:t>, fondova kohezijske politike</w:t>
      </w:r>
      <w:r>
        <w:rPr>
          <w:rStyle w:val="FootnoteReference"/>
          <w:rFonts w:ascii="Times New Roman" w:eastAsia="Times New Roman" w:hAnsi="Times New Roman" w:cs="Times New Roman"/>
          <w:noProof/>
          <w:sz w:val="24"/>
          <w:szCs w:val="24"/>
          <w:lang w:val="en-IE"/>
        </w:rPr>
        <w:footnoteReference w:id="33"/>
      </w:r>
      <w:r>
        <w:rPr>
          <w:rFonts w:ascii="Times New Roman" w:hAnsi="Times New Roman"/>
          <w:noProof/>
          <w:sz w:val="24"/>
        </w:rPr>
        <w:t xml:space="preserve"> ili druge potpore koja se pruža na lokalnoj razini putem Savjetodavnog centra za energetsko siromaštvo (EPAH), Komisija će objaviti </w:t>
      </w:r>
      <w:r>
        <w:rPr>
          <w:rFonts w:ascii="Times New Roman" w:hAnsi="Times New Roman"/>
          <w:b/>
          <w:noProof/>
          <w:sz w:val="24"/>
        </w:rPr>
        <w:t>novi poziv na podnošenje prijedloga u okviru programa LIFE</w:t>
      </w:r>
      <w:r>
        <w:rPr>
          <w:rStyle w:val="FootnoteReference"/>
          <w:rFonts w:ascii="Times New Roman" w:eastAsia="Times New Roman" w:hAnsi="Times New Roman" w:cs="Times New Roman"/>
          <w:noProof/>
          <w:sz w:val="24"/>
          <w:szCs w:val="24"/>
          <w:lang w:val="en-GB"/>
        </w:rPr>
        <w:footnoteReference w:id="34"/>
      </w:r>
      <w:r>
        <w:rPr>
          <w:rFonts w:ascii="Times New Roman" w:hAnsi="Times New Roman"/>
          <w:noProof/>
          <w:sz w:val="24"/>
        </w:rPr>
        <w:t xml:space="preserve"> za financiranje projekata koji nacionalnim, regionalnim i lokalnim vlastima pružaju potporu u borbi protiv energetskog siromaštva, nastavno na 10 projekata koji se već provode. To će dodatnim akterima omogućiti da osmisle i unaprijede ciljane mjere u okviru kojih se kućanstvima izloženima energetskom siromaštvu pružaju trajna rješenja za priuštivu energiju i bolje životne uvjete. Komisija će dati i smjernice o načinima zaštite ranjivih kućanstava i osoba izloženih energetskom siromaštvu tijekom </w:t>
      </w:r>
      <w:r>
        <w:rPr>
          <w:rFonts w:ascii="Times New Roman" w:hAnsi="Times New Roman"/>
          <w:b/>
          <w:noProof/>
          <w:sz w:val="24"/>
        </w:rPr>
        <w:t>stavljanja mreža za prirodni plin izvan pogona</w:t>
      </w:r>
      <w:r>
        <w:rPr>
          <w:rFonts w:ascii="Times New Roman" w:hAnsi="Times New Roman"/>
          <w:noProof/>
          <w:sz w:val="24"/>
        </w:rPr>
        <w:t>.</w:t>
      </w:r>
    </w:p>
    <w:p w14:paraId="18B933F3" w14:textId="77777777" w:rsidR="0075286F" w:rsidRPr="00D76238" w:rsidRDefault="0075286F">
      <w:pPr>
        <w:widowControl w:val="0"/>
        <w:spacing w:after="0" w:line="240" w:lineRule="auto"/>
        <w:jc w:val="both"/>
        <w:rPr>
          <w:rFonts w:ascii="Times New Roman" w:eastAsia="Times New Roman" w:hAnsi="Times New Roman" w:cs="Times New Roman"/>
          <w:noProof/>
          <w:sz w:val="24"/>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887"/>
      </w:tblGrid>
      <w:tr w:rsidR="0075286F" w14:paraId="2A78F802" w14:textId="77777777" w:rsidTr="006A4F78">
        <w:tc>
          <w:tcPr>
            <w:tcW w:w="1129" w:type="dxa"/>
            <w:vAlign w:val="center"/>
            <w:hideMark/>
          </w:tcPr>
          <w:p w14:paraId="140AAB33" w14:textId="77777777" w:rsidR="0075286F" w:rsidRDefault="00D76238">
            <w:pPr>
              <w:jc w:val="both"/>
              <w:rPr>
                <w:rFonts w:ascii="Times New Roman" w:hAnsi="Times New Roman" w:cs="Times New Roman"/>
                <w:noProof/>
                <w:sz w:val="24"/>
                <w:szCs w:val="24"/>
              </w:rPr>
            </w:pPr>
            <w:bookmarkStart w:id="15" w:name="_Hlk219977988"/>
            <w:r>
              <w:rPr>
                <w:rFonts w:ascii="Times New Roman" w:hAnsi="Times New Roman"/>
                <w:noProof/>
                <w:sz w:val="24"/>
              </w:rPr>
              <w:t>Cilj</w:t>
            </w:r>
          </w:p>
        </w:tc>
        <w:tc>
          <w:tcPr>
            <w:tcW w:w="7887" w:type="dxa"/>
            <w:hideMark/>
          </w:tcPr>
          <w:p w14:paraId="785686A9" w14:textId="77777777" w:rsidR="0075286F" w:rsidRDefault="00D76238">
            <w:pPr>
              <w:jc w:val="both"/>
              <w:rPr>
                <w:rFonts w:ascii="Times New Roman" w:hAnsi="Times New Roman" w:cs="Times New Roman"/>
                <w:b/>
                <w:bCs/>
                <w:noProof/>
                <w:sz w:val="24"/>
                <w:szCs w:val="24"/>
              </w:rPr>
            </w:pPr>
            <w:r>
              <w:rPr>
                <w:rFonts w:ascii="Times New Roman" w:hAnsi="Times New Roman"/>
                <w:b/>
                <w:noProof/>
                <w:sz w:val="24"/>
              </w:rPr>
              <w:t xml:space="preserve">Pomoći nacionalnim i lokalnim tijelima da poduzmu konkretne mjere za smanjenje broja osoba izloženih energetskom siromaštvu i zaštitu ranjivih potrošača kako bi se osigurala poštena i pravedna energetska tranzicija </w:t>
            </w:r>
          </w:p>
        </w:tc>
      </w:tr>
      <w:tr w:rsidR="0075286F" w14:paraId="79031BAC" w14:textId="77777777" w:rsidTr="006A4F78">
        <w:tc>
          <w:tcPr>
            <w:tcW w:w="1129" w:type="dxa"/>
            <w:vAlign w:val="center"/>
          </w:tcPr>
          <w:p w14:paraId="7DCF2CE1" w14:textId="77777777" w:rsidR="0075286F" w:rsidRDefault="00D76238">
            <w:pPr>
              <w:jc w:val="both"/>
              <w:rPr>
                <w:rFonts w:ascii="Times New Roman" w:hAnsi="Times New Roman" w:cs="Times New Roman"/>
                <w:noProof/>
                <w:sz w:val="24"/>
                <w:szCs w:val="24"/>
              </w:rPr>
            </w:pPr>
            <w:r>
              <w:rPr>
                <w:rFonts w:ascii="Times New Roman" w:hAnsi="Times New Roman"/>
                <w:noProof/>
                <w:sz w:val="24"/>
              </w:rPr>
              <w:t>Rezultat</w:t>
            </w:r>
          </w:p>
        </w:tc>
        <w:tc>
          <w:tcPr>
            <w:tcW w:w="7887" w:type="dxa"/>
            <w:vAlign w:val="center"/>
          </w:tcPr>
          <w:p w14:paraId="0FF9B0DF" w14:textId="77777777" w:rsidR="0075286F" w:rsidRDefault="00D76238">
            <w:pPr>
              <w:widowControl w:val="0"/>
              <w:jc w:val="both"/>
              <w:rPr>
                <w:rFonts w:ascii="Times New Roman" w:eastAsia="Times New Roman" w:hAnsi="Times New Roman" w:cs="Times New Roman"/>
                <w:noProof/>
                <w:sz w:val="24"/>
                <w:szCs w:val="24"/>
              </w:rPr>
            </w:pPr>
            <w:r>
              <w:rPr>
                <w:rFonts w:ascii="Times New Roman" w:hAnsi="Times New Roman"/>
                <w:noProof/>
                <w:sz w:val="24"/>
              </w:rPr>
              <w:t xml:space="preserve">Dosljednije i bolje usmjerene politike za ranjiva kućanstva izložena energetskom siromaštvu ili riziku od energetskog siromaštva; brži, pravedniji i povoljniji pristup strukturalnim rješenjima (npr. obnovi); postupno i mjerljivo smanjenje energetskog siromaštva i s njim povezanih zdravstvenih i socijalnih pitanja u EU-u </w:t>
            </w:r>
          </w:p>
        </w:tc>
      </w:tr>
      <w:tr w:rsidR="0075286F" w14:paraId="475BCC60" w14:textId="77777777" w:rsidTr="006A4F78">
        <w:tc>
          <w:tcPr>
            <w:tcW w:w="1129" w:type="dxa"/>
            <w:vAlign w:val="center"/>
            <w:hideMark/>
          </w:tcPr>
          <w:p w14:paraId="07498C53" w14:textId="77777777" w:rsidR="0075286F" w:rsidRDefault="00D76238">
            <w:pPr>
              <w:jc w:val="both"/>
              <w:rPr>
                <w:rFonts w:ascii="Times New Roman" w:hAnsi="Times New Roman" w:cs="Times New Roman"/>
                <w:noProof/>
                <w:sz w:val="24"/>
                <w:szCs w:val="24"/>
              </w:rPr>
            </w:pPr>
            <w:r>
              <w:rPr>
                <w:rFonts w:ascii="Times New Roman" w:hAnsi="Times New Roman"/>
                <w:noProof/>
                <w:sz w:val="24"/>
              </w:rPr>
              <w:t>Kako?</w:t>
            </w:r>
          </w:p>
        </w:tc>
        <w:tc>
          <w:tcPr>
            <w:tcW w:w="7887" w:type="dxa"/>
            <w:vAlign w:val="center"/>
            <w:hideMark/>
          </w:tcPr>
          <w:p w14:paraId="2B9902ED" w14:textId="77777777" w:rsidR="0075286F" w:rsidRDefault="00D76238">
            <w:pPr>
              <w:widowControl w:val="0"/>
              <w:jc w:val="both"/>
              <w:rPr>
                <w:rFonts w:ascii="Times New Roman" w:eastAsia="Times New Roman" w:hAnsi="Times New Roman" w:cs="Times New Roman"/>
                <w:noProof/>
                <w:sz w:val="24"/>
                <w:szCs w:val="24"/>
              </w:rPr>
            </w:pPr>
            <w:r>
              <w:rPr>
                <w:rFonts w:ascii="Times New Roman" w:hAnsi="Times New Roman"/>
                <w:noProof/>
                <w:sz w:val="24"/>
              </w:rPr>
              <w:t>Komisija namjerava:</w:t>
            </w:r>
          </w:p>
          <w:p w14:paraId="28120F79" w14:textId="77777777" w:rsidR="0075286F" w:rsidRDefault="00D76238">
            <w:pPr>
              <w:pStyle w:val="ListParagraph"/>
              <w:widowControl w:val="0"/>
              <w:numPr>
                <w:ilvl w:val="0"/>
                <w:numId w:val="21"/>
              </w:numPr>
              <w:jc w:val="both"/>
              <w:rPr>
                <w:rFonts w:ascii="Times New Roman" w:eastAsia="Times New Roman" w:hAnsi="Times New Roman" w:cs="Times New Roman"/>
                <w:noProof/>
                <w:sz w:val="24"/>
                <w:szCs w:val="24"/>
              </w:rPr>
            </w:pPr>
            <w:r>
              <w:rPr>
                <w:rFonts w:ascii="Times New Roman" w:hAnsi="Times New Roman"/>
                <w:noProof/>
                <w:sz w:val="24"/>
              </w:rPr>
              <w:t xml:space="preserve">ažurirati svoju </w:t>
            </w:r>
            <w:r>
              <w:rPr>
                <w:rFonts w:ascii="Times New Roman" w:hAnsi="Times New Roman"/>
                <w:b/>
                <w:noProof/>
                <w:sz w:val="24"/>
              </w:rPr>
              <w:t>Preporuku o energetskom siromaštvu</w:t>
            </w:r>
            <w:r>
              <w:rPr>
                <w:rStyle w:val="FootnoteReference"/>
                <w:rFonts w:ascii="Times New Roman" w:eastAsia="Times New Roman, Aptos" w:hAnsi="Times New Roman" w:cs="Times New Roman"/>
                <w:noProof/>
                <w:sz w:val="24"/>
                <w:szCs w:val="24"/>
                <w:lang w:val="en-IE"/>
              </w:rPr>
              <w:footnoteReference w:id="35"/>
            </w:r>
            <w:r>
              <w:rPr>
                <w:rFonts w:ascii="Times New Roman" w:hAnsi="Times New Roman"/>
                <w:noProof/>
                <w:sz w:val="24"/>
              </w:rPr>
              <w:t xml:space="preserve"> kako bi pružila dodatnu analizu i dobre primjere iz prakse koji se mogu reproducirati. To će uključivati prakse za uspješno rješavanje problema energetskog siromaštva i suprotstavljenih interesa, korištenje digitalnih alata, pojednostavnjenje kontakta s ranjivim građanima, provedbu međusektorskih mjera za zaštitu građana od toplinskih valova, promicanje inovativnih mehanizama za financiranje mjera energetske učinkovitosti i pokazivanje kako dijeljenje energije i energetske zajednice mogu djelotvorno ublažiti energetsko siromaštvo (četvrto tromjesečje 2026.),</w:t>
            </w:r>
          </w:p>
          <w:p w14:paraId="57E85279" w14:textId="77777777" w:rsidR="0075286F" w:rsidRDefault="00D76238">
            <w:pPr>
              <w:pStyle w:val="ListParagraph"/>
              <w:widowControl w:val="0"/>
              <w:numPr>
                <w:ilvl w:val="0"/>
                <w:numId w:val="21"/>
              </w:numPr>
              <w:jc w:val="both"/>
              <w:rPr>
                <w:rFonts w:ascii="Times New Roman" w:eastAsia="Times New Roman" w:hAnsi="Times New Roman" w:cs="Times New Roman"/>
                <w:noProof/>
                <w:sz w:val="24"/>
                <w:szCs w:val="24"/>
              </w:rPr>
            </w:pPr>
            <w:r>
              <w:rPr>
                <w:rFonts w:ascii="Times New Roman" w:hAnsi="Times New Roman"/>
                <w:noProof/>
                <w:sz w:val="24"/>
              </w:rPr>
              <w:t xml:space="preserve">i dalje pružati </w:t>
            </w:r>
            <w:r>
              <w:rPr>
                <w:rFonts w:ascii="Times New Roman" w:hAnsi="Times New Roman"/>
                <w:b/>
                <w:noProof/>
                <w:sz w:val="24"/>
              </w:rPr>
              <w:t>tehničku pomoć</w:t>
            </w:r>
            <w:r>
              <w:rPr>
                <w:rFonts w:ascii="Times New Roman" w:hAnsi="Times New Roman"/>
                <w:noProof/>
                <w:sz w:val="24"/>
              </w:rPr>
              <w:t xml:space="preserve"> i dodatne smjernice nacionalnim, regionalnim i lokalnim tijelima kako bi se politike i mjere djelotvorno usmjerile na ranjive građane (2026. – 2028.), i</w:t>
            </w:r>
          </w:p>
          <w:p w14:paraId="06B0CAAC" w14:textId="77777777" w:rsidR="0075286F" w:rsidRDefault="00D76238">
            <w:pPr>
              <w:pStyle w:val="ListParagraph"/>
              <w:widowControl w:val="0"/>
              <w:numPr>
                <w:ilvl w:val="0"/>
                <w:numId w:val="21"/>
              </w:numPr>
              <w:jc w:val="both"/>
              <w:rPr>
                <w:rFonts w:ascii="Times New Roman" w:eastAsia="Times New Roman" w:hAnsi="Times New Roman" w:cs="Times New Roman"/>
                <w:noProof/>
                <w:sz w:val="24"/>
                <w:szCs w:val="24"/>
              </w:rPr>
            </w:pPr>
            <w:r>
              <w:rPr>
                <w:rFonts w:ascii="Times New Roman" w:hAnsi="Times New Roman"/>
                <w:noProof/>
                <w:sz w:val="24"/>
              </w:rPr>
              <w:t xml:space="preserve">pomagati nacionalnim, regionalnim i lokalnim tijelima da stupe u kontakt s građanima izloženima energetskom siromaštvom, i to provedbom učinkovitih mjera za financiranje </w:t>
            </w:r>
            <w:r>
              <w:rPr>
                <w:rFonts w:ascii="Times New Roman" w:hAnsi="Times New Roman"/>
                <w:b/>
                <w:noProof/>
                <w:sz w:val="24"/>
              </w:rPr>
              <w:t>novih projekata u okviru programa LIFE</w:t>
            </w:r>
            <w:r>
              <w:rPr>
                <w:rFonts w:ascii="Times New Roman" w:hAnsi="Times New Roman"/>
                <w:noProof/>
                <w:sz w:val="24"/>
              </w:rPr>
              <w:t xml:space="preserve"> koji se bave energetskim siromaštvom. Provodit će i prilagođene komunikacijske i informacijske mjere za informiranje ranjivih građana i građana izloženih energetskom siromaštvu o troškovno učinkovitim mogućnostima uštede energije (2026. – 2027.).</w:t>
            </w:r>
          </w:p>
        </w:tc>
      </w:tr>
    </w:tbl>
    <w:p w14:paraId="27BC58F1" w14:textId="77777777" w:rsidR="0075286F" w:rsidRDefault="0075286F">
      <w:pPr>
        <w:rPr>
          <w:rFonts w:ascii="Times New Roman" w:hAnsi="Times New Roman" w:cs="Times New Roman"/>
          <w:b/>
          <w:bCs/>
          <w:noProof/>
          <w:sz w:val="24"/>
          <w:szCs w:val="24"/>
          <w:u w:val="single"/>
        </w:rPr>
      </w:pPr>
      <w:bookmarkStart w:id="16" w:name="_Hlk219978000"/>
      <w:bookmarkEnd w:id="15"/>
    </w:p>
    <w:p w14:paraId="7FACD5C3" w14:textId="77777777" w:rsidR="0075286F" w:rsidRDefault="00D76238">
      <w:pPr>
        <w:rPr>
          <w:rFonts w:ascii="Times New Roman" w:hAnsi="Times New Roman" w:cs="Times New Roman"/>
          <w:b/>
          <w:bCs/>
          <w:noProof/>
          <w:sz w:val="24"/>
          <w:szCs w:val="24"/>
          <w:u w:val="single"/>
        </w:rPr>
      </w:pPr>
      <w:r>
        <w:rPr>
          <w:rFonts w:ascii="Times New Roman" w:hAnsi="Times New Roman"/>
          <w:b/>
          <w:noProof/>
          <w:sz w:val="24"/>
          <w:u w:val="single"/>
        </w:rPr>
        <w:t xml:space="preserve">9. mjera: Zaštita ranjivih građana od isključenja </w:t>
      </w:r>
    </w:p>
    <w:bookmarkEnd w:id="16"/>
    <w:p w14:paraId="24918D3B" w14:textId="77777777" w:rsidR="0075286F" w:rsidRDefault="00D76238">
      <w:pPr>
        <w:tabs>
          <w:tab w:val="left" w:pos="2552"/>
        </w:tabs>
        <w:spacing w:line="240" w:lineRule="auto"/>
        <w:jc w:val="both"/>
        <w:rPr>
          <w:rFonts w:ascii="Times New Roman" w:hAnsi="Times New Roman" w:cs="Times New Roman"/>
          <w:noProof/>
          <w:sz w:val="24"/>
          <w:szCs w:val="24"/>
        </w:rPr>
      </w:pPr>
      <w:r>
        <w:rPr>
          <w:rFonts w:ascii="Times New Roman" w:hAnsi="Times New Roman"/>
          <w:noProof/>
          <w:sz w:val="24"/>
        </w:rPr>
        <w:t xml:space="preserve">Za mnoge građane EU-a, uključujući one koji se već suočavaju s energetskim siromaštvom, </w:t>
      </w:r>
      <w:r>
        <w:rPr>
          <w:rFonts w:ascii="Times New Roman" w:hAnsi="Times New Roman"/>
          <w:b/>
          <w:noProof/>
          <w:sz w:val="24"/>
        </w:rPr>
        <w:t>nemogućnost plaćanja računa za energiju</w:t>
      </w:r>
      <w:r>
        <w:rPr>
          <w:rFonts w:ascii="Times New Roman" w:hAnsi="Times New Roman"/>
          <w:noProof/>
          <w:sz w:val="24"/>
        </w:rPr>
        <w:t xml:space="preserve"> dodatan je gorući problem. Rizik od isključivanja iz opskrbe električnom energijom i plinom ozbiljno utječe na njihovu kvalitetu života i zdravlje, uključujući mentalno zdravlje. </w:t>
      </w:r>
      <w:r>
        <w:rPr>
          <w:rFonts w:ascii="Times New Roman" w:hAnsi="Times New Roman"/>
          <w:b/>
          <w:noProof/>
          <w:sz w:val="24"/>
        </w:rPr>
        <w:t>S plaćanjem računa za komunalne usluge 2024. kasnio je oko 31 milijun Europljana</w:t>
      </w:r>
      <w:r>
        <w:rPr>
          <w:rStyle w:val="FootnoteReference"/>
          <w:rFonts w:ascii="Times New Roman" w:hAnsi="Times New Roman" w:cs="Times New Roman"/>
          <w:noProof/>
          <w:sz w:val="24"/>
          <w:szCs w:val="24"/>
          <w:lang w:val="en-GB"/>
        </w:rPr>
        <w:footnoteReference w:id="36"/>
      </w:r>
      <w:r>
        <w:rPr>
          <w:rFonts w:ascii="Times New Roman" w:hAnsi="Times New Roman"/>
          <w:noProof/>
          <w:sz w:val="24"/>
        </w:rPr>
        <w:t>.</w:t>
      </w:r>
    </w:p>
    <w:p w14:paraId="7EE3DFC7" w14:textId="77777777" w:rsidR="0075286F" w:rsidRDefault="00D76238">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Komisija će surađivati s državama članicama, nacionalnim regulatornim tijelima, dobavljačima energije, organizacijama za zaštitu potrošača i drugim relevantnim dionicima kako bi se uspostavili nacionalni sustavi za prepoznavanje </w:t>
      </w:r>
      <w:r>
        <w:rPr>
          <w:rFonts w:ascii="Times New Roman" w:hAnsi="Times New Roman"/>
          <w:b/>
          <w:noProof/>
          <w:sz w:val="24"/>
        </w:rPr>
        <w:t xml:space="preserve">ranih znakova upozorenja </w:t>
      </w:r>
      <w:r>
        <w:rPr>
          <w:rFonts w:ascii="Times New Roman" w:hAnsi="Times New Roman"/>
          <w:noProof/>
          <w:sz w:val="24"/>
        </w:rPr>
        <w:t xml:space="preserve">na poteškoće kućanstava s plaćanjem računa za energiju. Time se nastoji potaknuti energetska poduzeća da pomognu takvim kućanstvima prije nego što se problem pogorša. Osim toga, Komisija će promicati dobre primjere iz prakse za sprečavanje i zaštitu od isključenja, uključujući </w:t>
      </w:r>
      <w:r>
        <w:rPr>
          <w:rFonts w:ascii="Times New Roman" w:hAnsi="Times New Roman"/>
          <w:b/>
          <w:noProof/>
          <w:sz w:val="24"/>
        </w:rPr>
        <w:t>programe upravljanja dugom</w:t>
      </w:r>
      <w:r>
        <w:rPr>
          <w:rFonts w:ascii="Times New Roman" w:hAnsi="Times New Roman"/>
          <w:noProof/>
          <w:sz w:val="24"/>
        </w:rPr>
        <w:t xml:space="preserve">. </w:t>
      </w:r>
    </w:p>
    <w:p w14:paraId="070CE336" w14:textId="77777777" w:rsidR="0075286F" w:rsidRPr="00D76238" w:rsidRDefault="0075286F">
      <w:pPr>
        <w:spacing w:after="0" w:line="240" w:lineRule="auto"/>
        <w:jc w:val="both"/>
        <w:rPr>
          <w:rFonts w:ascii="Times New Roman" w:hAnsi="Times New Roman" w:cs="Times New Roman"/>
          <w:noProof/>
          <w:sz w:val="24"/>
          <w:szCs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000"/>
      </w:tblGrid>
      <w:tr w:rsidR="0075286F" w14:paraId="23FFC7F8" w14:textId="77777777">
        <w:tc>
          <w:tcPr>
            <w:tcW w:w="0" w:type="auto"/>
            <w:vAlign w:val="center"/>
            <w:hideMark/>
          </w:tcPr>
          <w:p w14:paraId="1475434B" w14:textId="77777777" w:rsidR="0075286F" w:rsidRDefault="00D76238">
            <w:pPr>
              <w:rPr>
                <w:rFonts w:ascii="Times New Roman" w:hAnsi="Times New Roman" w:cs="Times New Roman"/>
                <w:bCs/>
                <w:noProof/>
                <w:sz w:val="24"/>
                <w:szCs w:val="24"/>
              </w:rPr>
            </w:pPr>
            <w:bookmarkStart w:id="17" w:name="_Hlk219978012"/>
            <w:r>
              <w:rPr>
                <w:rFonts w:ascii="Times New Roman" w:hAnsi="Times New Roman"/>
                <w:noProof/>
                <w:sz w:val="24"/>
              </w:rPr>
              <w:t>Cilj</w:t>
            </w:r>
          </w:p>
        </w:tc>
        <w:tc>
          <w:tcPr>
            <w:tcW w:w="0" w:type="auto"/>
            <w:vAlign w:val="center"/>
            <w:hideMark/>
          </w:tcPr>
          <w:p w14:paraId="71A36252" w14:textId="77777777" w:rsidR="0075286F" w:rsidRDefault="00D76238">
            <w:pPr>
              <w:rPr>
                <w:rFonts w:ascii="Times New Roman" w:hAnsi="Times New Roman" w:cs="Times New Roman"/>
                <w:b/>
                <w:bCs/>
                <w:noProof/>
                <w:sz w:val="24"/>
                <w:szCs w:val="24"/>
              </w:rPr>
            </w:pPr>
            <w:r>
              <w:rPr>
                <w:rFonts w:ascii="Times New Roman" w:hAnsi="Times New Roman"/>
                <w:b/>
                <w:noProof/>
                <w:sz w:val="24"/>
              </w:rPr>
              <w:t>Provedba programa ranog upozoravanja i upravljanja dugom radi bolje zaštite ranjivih građana i građana izloženih energetskom siromaštvu kojima prijeti rizik od isključivanja</w:t>
            </w:r>
          </w:p>
        </w:tc>
      </w:tr>
      <w:tr w:rsidR="0075286F" w14:paraId="636E5D9E" w14:textId="77777777">
        <w:tc>
          <w:tcPr>
            <w:tcW w:w="0" w:type="auto"/>
            <w:vAlign w:val="center"/>
          </w:tcPr>
          <w:p w14:paraId="26A74964" w14:textId="77777777" w:rsidR="0075286F" w:rsidRDefault="00D76238">
            <w:pPr>
              <w:rPr>
                <w:rFonts w:ascii="Times New Roman" w:hAnsi="Times New Roman" w:cs="Times New Roman"/>
                <w:bCs/>
                <w:noProof/>
                <w:sz w:val="24"/>
                <w:szCs w:val="24"/>
              </w:rPr>
            </w:pPr>
            <w:r>
              <w:rPr>
                <w:rFonts w:ascii="Times New Roman" w:hAnsi="Times New Roman"/>
                <w:noProof/>
                <w:sz w:val="24"/>
              </w:rPr>
              <w:t>Rezultat</w:t>
            </w:r>
          </w:p>
        </w:tc>
        <w:tc>
          <w:tcPr>
            <w:tcW w:w="0" w:type="auto"/>
            <w:vAlign w:val="center"/>
          </w:tcPr>
          <w:p w14:paraId="7AB74210" w14:textId="00E55DF7" w:rsidR="0075286F" w:rsidRDefault="00D76238">
            <w:pPr>
              <w:jc w:val="both"/>
              <w:rPr>
                <w:rFonts w:ascii="Times New Roman" w:hAnsi="Times New Roman" w:cs="Times New Roman"/>
                <w:noProof/>
                <w:sz w:val="24"/>
                <w:szCs w:val="24"/>
              </w:rPr>
            </w:pPr>
            <w:r>
              <w:rPr>
                <w:rFonts w:ascii="Times New Roman" w:hAnsi="Times New Roman"/>
                <w:noProof/>
                <w:sz w:val="24"/>
              </w:rPr>
              <w:t>Manji broj isključivanja, dosljedna zaštita ranjivih potrošača u EU-u, smanjena ranjivost, poboljšana razina socijalne pravde, zdravlja i dobrobiti</w:t>
            </w:r>
          </w:p>
        </w:tc>
      </w:tr>
      <w:tr w:rsidR="0075286F" w14:paraId="5A609F14" w14:textId="77777777">
        <w:tc>
          <w:tcPr>
            <w:tcW w:w="0" w:type="auto"/>
            <w:vAlign w:val="center"/>
            <w:hideMark/>
          </w:tcPr>
          <w:p w14:paraId="1C0A4F57" w14:textId="77777777" w:rsidR="0075286F" w:rsidRDefault="00D76238">
            <w:pPr>
              <w:rPr>
                <w:rFonts w:ascii="Times New Roman" w:hAnsi="Times New Roman" w:cs="Times New Roman"/>
                <w:bCs/>
                <w:noProof/>
                <w:sz w:val="24"/>
                <w:szCs w:val="24"/>
              </w:rPr>
            </w:pPr>
            <w:r>
              <w:rPr>
                <w:rFonts w:ascii="Times New Roman" w:hAnsi="Times New Roman"/>
                <w:noProof/>
                <w:sz w:val="24"/>
              </w:rPr>
              <w:t>Kako?</w:t>
            </w:r>
          </w:p>
        </w:tc>
        <w:tc>
          <w:tcPr>
            <w:tcW w:w="0" w:type="auto"/>
            <w:vAlign w:val="center"/>
            <w:hideMark/>
          </w:tcPr>
          <w:p w14:paraId="52928762" w14:textId="77777777" w:rsidR="0075286F" w:rsidRDefault="00D76238">
            <w:pPr>
              <w:jc w:val="both"/>
              <w:rPr>
                <w:rFonts w:ascii="Times New Roman" w:hAnsi="Times New Roman" w:cs="Times New Roman"/>
                <w:noProof/>
                <w:sz w:val="24"/>
                <w:szCs w:val="24"/>
              </w:rPr>
            </w:pPr>
            <w:r>
              <w:rPr>
                <w:rFonts w:ascii="Times New Roman" w:hAnsi="Times New Roman"/>
                <w:noProof/>
                <w:sz w:val="24"/>
              </w:rPr>
              <w:t xml:space="preserve">Komisija će izraditi </w:t>
            </w:r>
            <w:r>
              <w:rPr>
                <w:rFonts w:ascii="Times New Roman" w:hAnsi="Times New Roman"/>
                <w:b/>
                <w:noProof/>
                <w:sz w:val="24"/>
              </w:rPr>
              <w:t>smjernice</w:t>
            </w:r>
            <w:r>
              <w:rPr>
                <w:rFonts w:ascii="Times New Roman" w:hAnsi="Times New Roman"/>
                <w:noProof/>
                <w:sz w:val="24"/>
              </w:rPr>
              <w:t xml:space="preserve"> za potporu, organizirati tečajeve osposobljavanja za nacionalna i lokalna tijela o osmišljavanju i provedbi </w:t>
            </w:r>
            <w:r>
              <w:rPr>
                <w:rFonts w:ascii="Times New Roman" w:hAnsi="Times New Roman"/>
                <w:b/>
                <w:noProof/>
                <w:sz w:val="24"/>
              </w:rPr>
              <w:t>zaštitnih mjera protiv isključivanja</w:t>
            </w:r>
            <w:r>
              <w:rPr>
                <w:rFonts w:ascii="Times New Roman" w:hAnsi="Times New Roman"/>
                <w:noProof/>
                <w:sz w:val="24"/>
              </w:rPr>
              <w:t>, promicati najbolje primjere iz prakse putem ciljanih radionica, događanja i publikacija (drugo i treće tromjesečje 2026.) te u okviru namjenskih komunikacijskih mjera obavješćivati o dostupnoj potpori (tijekom cijele 2026.).</w:t>
            </w:r>
          </w:p>
        </w:tc>
      </w:tr>
      <w:bookmarkEnd w:id="17"/>
    </w:tbl>
    <w:p w14:paraId="47C3B25C" w14:textId="77777777" w:rsidR="0075286F" w:rsidRPr="00D76238" w:rsidRDefault="0075286F">
      <w:pPr>
        <w:spacing w:after="0" w:line="240" w:lineRule="auto"/>
        <w:jc w:val="both"/>
        <w:rPr>
          <w:rFonts w:ascii="Times New Roman" w:eastAsia="Times New Roman" w:hAnsi="Times New Roman" w:cs="Times New Roman"/>
          <w:noProof/>
          <w:sz w:val="24"/>
          <w:szCs w:val="24"/>
        </w:rPr>
      </w:pPr>
    </w:p>
    <w:p w14:paraId="399E4312" w14:textId="77777777" w:rsidR="0075286F" w:rsidRDefault="00D76238">
      <w:pPr>
        <w:jc w:val="center"/>
        <w:rPr>
          <w:rFonts w:ascii="Times New Roman" w:hAnsi="Times New Roman" w:cs="Times New Roman"/>
          <w:b/>
          <w:bCs/>
          <w:smallCaps/>
          <w:noProof/>
          <w:sz w:val="24"/>
          <w:szCs w:val="24"/>
          <w:u w:val="single"/>
        </w:rPr>
      </w:pPr>
      <w:r>
        <w:rPr>
          <w:rFonts w:ascii="Times New Roman" w:hAnsi="Times New Roman"/>
          <w:b/>
          <w:smallCaps/>
          <w:noProof/>
          <w:sz w:val="24"/>
          <w:u w:val="single"/>
        </w:rPr>
        <w:t>Četvrti stup: Provedba postojećih propisa EU-a</w:t>
      </w:r>
    </w:p>
    <w:p w14:paraId="077FE69B" w14:textId="77777777" w:rsidR="0075286F" w:rsidRDefault="00D76238">
      <w:pPr>
        <w:spacing w:after="120" w:line="240" w:lineRule="auto"/>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Europski potrošači vrlo su dobro zaštićeni propisima EU-a, no </w:t>
      </w:r>
      <w:r>
        <w:rPr>
          <w:rFonts w:ascii="Times New Roman" w:hAnsi="Times New Roman"/>
          <w:b/>
          <w:noProof/>
          <w:color w:val="000000" w:themeColor="text1"/>
          <w:sz w:val="24"/>
        </w:rPr>
        <w:t>provedba tih propisa i dalje je neujednačena</w:t>
      </w:r>
      <w:r>
        <w:rPr>
          <w:rFonts w:ascii="Times New Roman" w:hAnsi="Times New Roman"/>
          <w:noProof/>
          <w:color w:val="000000" w:themeColor="text1"/>
          <w:sz w:val="24"/>
        </w:rPr>
        <w:t xml:space="preserve">. Bez učinkovite provedbe na terenu i dalje će postojati raskorak između ambicija EU-a i svakodnevnog iskustva građana. </w:t>
      </w:r>
      <w:r>
        <w:rPr>
          <w:rFonts w:ascii="Times New Roman" w:hAnsi="Times New Roman"/>
          <w:b/>
          <w:noProof/>
          <w:sz w:val="24"/>
        </w:rPr>
        <w:t>Lokalna tijela</w:t>
      </w:r>
      <w:r>
        <w:rPr>
          <w:rFonts w:ascii="Times New Roman" w:hAnsi="Times New Roman"/>
          <w:noProof/>
          <w:sz w:val="24"/>
        </w:rPr>
        <w:t xml:space="preserve"> imaju važnu ulogu u pružanju potpore i suradnji s građanima, ali često nisu dovoljno uključena u razvoj politika i </w:t>
      </w:r>
      <w:r>
        <w:rPr>
          <w:rFonts w:ascii="Times New Roman" w:hAnsi="Times New Roman"/>
          <w:b/>
          <w:noProof/>
          <w:sz w:val="24"/>
        </w:rPr>
        <w:t>nemaju ovlasti ni sredstava za</w:t>
      </w:r>
      <w:r>
        <w:rPr>
          <w:rFonts w:ascii="Times New Roman" w:hAnsi="Times New Roman"/>
          <w:noProof/>
          <w:sz w:val="24"/>
        </w:rPr>
        <w:t xml:space="preserve"> provedbu mjera koje bi pomogle građanima. </w:t>
      </w:r>
    </w:p>
    <w:p w14:paraId="50BE6C59" w14:textId="77777777" w:rsidR="0075286F" w:rsidRDefault="00D76238">
      <w:pPr>
        <w:spacing w:after="120" w:line="240" w:lineRule="auto"/>
        <w:jc w:val="both"/>
        <w:rPr>
          <w:rFonts w:ascii="Times New Roman" w:eastAsia="Times New Roman" w:hAnsi="Times New Roman" w:cs="Times New Roman"/>
          <w:noProof/>
          <w:color w:val="000000" w:themeColor="text1"/>
          <w:kern w:val="0"/>
          <w:sz w:val="24"/>
          <w:szCs w:val="24"/>
        </w:rPr>
      </w:pPr>
      <w:r>
        <w:rPr>
          <w:rFonts w:ascii="Times New Roman" w:hAnsi="Times New Roman"/>
          <w:noProof/>
          <w:color w:val="000000" w:themeColor="text1"/>
          <w:sz w:val="24"/>
        </w:rPr>
        <w:t xml:space="preserve">Komisija će surađivati s državama članicama i relevantnim dionicima na provedbi i izvršenju propisa EU-a, posebno donošenjem </w:t>
      </w:r>
      <w:r>
        <w:rPr>
          <w:rFonts w:ascii="Times New Roman" w:hAnsi="Times New Roman"/>
          <w:b/>
          <w:noProof/>
          <w:color w:val="000000" w:themeColor="text1"/>
          <w:sz w:val="24"/>
        </w:rPr>
        <w:t>smjernica i tehničke analize</w:t>
      </w:r>
      <w:r>
        <w:rPr>
          <w:rFonts w:ascii="Times New Roman" w:hAnsi="Times New Roman"/>
          <w:noProof/>
          <w:color w:val="000000" w:themeColor="text1"/>
          <w:sz w:val="24"/>
        </w:rPr>
        <w:t xml:space="preserve"> o </w:t>
      </w:r>
      <w:r>
        <w:rPr>
          <w:rFonts w:ascii="Times New Roman" w:hAnsi="Times New Roman"/>
          <w:noProof/>
          <w:color w:val="000000" w:themeColor="text1"/>
          <w:sz w:val="24"/>
          <w:u w:val="single"/>
        </w:rPr>
        <w:t>energetskim zajednicama i vlastitoj potrošnji</w:t>
      </w:r>
      <w:r>
        <w:rPr>
          <w:rFonts w:ascii="Times New Roman" w:hAnsi="Times New Roman"/>
          <w:noProof/>
          <w:color w:val="000000" w:themeColor="text1"/>
          <w:sz w:val="24"/>
        </w:rPr>
        <w:t xml:space="preserve">, uključujući </w:t>
      </w:r>
      <w:r>
        <w:rPr>
          <w:rFonts w:ascii="Times New Roman" w:hAnsi="Times New Roman"/>
          <w:noProof/>
          <w:color w:val="000000" w:themeColor="text1"/>
          <w:sz w:val="24"/>
          <w:u w:val="single"/>
        </w:rPr>
        <w:t>akcijski plan za energetske zajednice</w:t>
      </w:r>
      <w:r>
        <w:rPr>
          <w:rFonts w:ascii="Times New Roman" w:hAnsi="Times New Roman"/>
          <w:noProof/>
          <w:color w:val="000000" w:themeColor="text1"/>
          <w:sz w:val="24"/>
        </w:rPr>
        <w:t xml:space="preserve">, </w:t>
      </w:r>
      <w:r>
        <w:rPr>
          <w:rFonts w:ascii="Times New Roman" w:hAnsi="Times New Roman"/>
          <w:noProof/>
          <w:color w:val="000000" w:themeColor="text1"/>
          <w:sz w:val="24"/>
          <w:u w:val="single"/>
        </w:rPr>
        <w:t>zaštiti ranjivih kupaca i kupaca izloženih energetskom siromaštvu</w:t>
      </w:r>
      <w:r>
        <w:rPr>
          <w:rFonts w:ascii="Times New Roman" w:hAnsi="Times New Roman"/>
          <w:noProof/>
          <w:color w:val="000000" w:themeColor="text1"/>
          <w:sz w:val="24"/>
        </w:rPr>
        <w:t xml:space="preserve"> od </w:t>
      </w:r>
      <w:r>
        <w:rPr>
          <w:rFonts w:ascii="Times New Roman" w:hAnsi="Times New Roman"/>
          <w:noProof/>
          <w:color w:val="000000" w:themeColor="text1"/>
          <w:sz w:val="24"/>
          <w:u w:val="single"/>
        </w:rPr>
        <w:t>isključivanja iz energetske mreže</w:t>
      </w:r>
      <w:r>
        <w:rPr>
          <w:rFonts w:ascii="Times New Roman" w:hAnsi="Times New Roman"/>
          <w:noProof/>
          <w:color w:val="000000" w:themeColor="text1"/>
          <w:sz w:val="24"/>
        </w:rPr>
        <w:t xml:space="preserve"> i </w:t>
      </w:r>
      <w:r>
        <w:rPr>
          <w:rFonts w:ascii="Times New Roman" w:hAnsi="Times New Roman"/>
          <w:noProof/>
          <w:color w:val="000000" w:themeColor="text1"/>
          <w:sz w:val="24"/>
          <w:u w:val="single"/>
        </w:rPr>
        <w:t>tijekom postupnog ukidanja plina</w:t>
      </w:r>
      <w:r>
        <w:rPr>
          <w:rFonts w:ascii="Times New Roman" w:hAnsi="Times New Roman"/>
          <w:noProof/>
          <w:color w:val="000000" w:themeColor="text1"/>
          <w:sz w:val="24"/>
        </w:rPr>
        <w:t xml:space="preserve">, sažetku </w:t>
      </w:r>
      <w:r>
        <w:rPr>
          <w:rFonts w:ascii="Times New Roman" w:hAnsi="Times New Roman"/>
          <w:noProof/>
          <w:color w:val="000000" w:themeColor="text1"/>
          <w:sz w:val="24"/>
          <w:u w:val="single"/>
        </w:rPr>
        <w:t>najvažnijih ugovornih uvjeta</w:t>
      </w:r>
      <w:r>
        <w:rPr>
          <w:rFonts w:ascii="Times New Roman" w:hAnsi="Times New Roman"/>
          <w:noProof/>
          <w:color w:val="000000" w:themeColor="text1"/>
          <w:sz w:val="24"/>
        </w:rPr>
        <w:t xml:space="preserve">, </w:t>
      </w:r>
      <w:r>
        <w:rPr>
          <w:rFonts w:ascii="Times New Roman" w:hAnsi="Times New Roman"/>
          <w:noProof/>
          <w:color w:val="000000" w:themeColor="text1"/>
          <w:sz w:val="24"/>
          <w:u w:val="single"/>
        </w:rPr>
        <w:t>upravljanju rizicima u vezi s dobavljačima</w:t>
      </w:r>
      <w:r>
        <w:rPr>
          <w:rFonts w:ascii="Times New Roman" w:hAnsi="Times New Roman"/>
          <w:noProof/>
          <w:color w:val="000000" w:themeColor="text1"/>
          <w:sz w:val="24"/>
        </w:rPr>
        <w:t xml:space="preserve">, </w:t>
      </w:r>
      <w:r>
        <w:rPr>
          <w:rFonts w:ascii="Times New Roman" w:hAnsi="Times New Roman"/>
          <w:noProof/>
          <w:color w:val="000000" w:themeColor="text1"/>
          <w:sz w:val="24"/>
          <w:u w:val="single"/>
        </w:rPr>
        <w:t>tržišnim maloprodajnim cijenama</w:t>
      </w:r>
      <w:r>
        <w:rPr>
          <w:rFonts w:ascii="Times New Roman" w:hAnsi="Times New Roman"/>
          <w:noProof/>
          <w:color w:val="000000" w:themeColor="text1"/>
          <w:sz w:val="24"/>
        </w:rPr>
        <w:t xml:space="preserve">, naknadi za </w:t>
      </w:r>
      <w:r>
        <w:rPr>
          <w:rFonts w:ascii="Times New Roman" w:hAnsi="Times New Roman"/>
          <w:noProof/>
          <w:color w:val="000000" w:themeColor="text1"/>
          <w:sz w:val="24"/>
          <w:u w:val="single"/>
        </w:rPr>
        <w:t>fleksibilnost</w:t>
      </w:r>
      <w:r>
        <w:rPr>
          <w:rFonts w:ascii="Times New Roman" w:hAnsi="Times New Roman"/>
          <w:noProof/>
          <w:color w:val="000000" w:themeColor="text1"/>
          <w:sz w:val="24"/>
        </w:rPr>
        <w:t xml:space="preserve"> u maloprodajnim ugovorima i tehničkim pravilima za </w:t>
      </w:r>
      <w:r>
        <w:rPr>
          <w:rFonts w:ascii="Times New Roman" w:hAnsi="Times New Roman"/>
          <w:noProof/>
          <w:color w:val="000000" w:themeColor="text1"/>
          <w:sz w:val="24"/>
          <w:u w:val="single"/>
        </w:rPr>
        <w:t>promjenu dobavljača</w:t>
      </w:r>
      <w:r>
        <w:rPr>
          <w:rFonts w:ascii="Times New Roman" w:hAnsi="Times New Roman"/>
          <w:noProof/>
          <w:color w:val="000000" w:themeColor="text1"/>
          <w:sz w:val="24"/>
        </w:rPr>
        <w:t xml:space="preserve">. </w:t>
      </w:r>
    </w:p>
    <w:p w14:paraId="344F7A55" w14:textId="77777777" w:rsidR="0075286F" w:rsidRDefault="00D76238">
      <w:pPr>
        <w:pStyle w:val="oj-normal"/>
        <w:spacing w:before="120" w:beforeAutospacing="0" w:after="120" w:afterAutospacing="0"/>
        <w:jc w:val="both"/>
        <w:rPr>
          <w:noProof/>
          <w:color w:val="000000" w:themeColor="text1"/>
        </w:rPr>
      </w:pPr>
      <w:r>
        <w:rPr>
          <w:noProof/>
        </w:rPr>
        <w:t xml:space="preserve">U provedbi je, naravno, potrebno uzeti u obzir </w:t>
      </w:r>
      <w:r>
        <w:rPr>
          <w:b/>
          <w:noProof/>
        </w:rPr>
        <w:t>sve razne dionike</w:t>
      </w:r>
      <w:r>
        <w:rPr>
          <w:noProof/>
        </w:rPr>
        <w:t xml:space="preserve">. Stoga je bliska interakcija i </w:t>
      </w:r>
      <w:r>
        <w:rPr>
          <w:b/>
          <w:noProof/>
        </w:rPr>
        <w:t>suradnja</w:t>
      </w:r>
      <w:r>
        <w:rPr>
          <w:noProof/>
        </w:rPr>
        <w:t xml:space="preserve"> Komisije, država članica, građana, civilnog društva, regulatornih tijela, industrije i akademske zajednice nužna za postizanje svih ciljeva iz ove Komunikacije. Zato će Komisija </w:t>
      </w:r>
      <w:r>
        <w:rPr>
          <w:b/>
          <w:noProof/>
        </w:rPr>
        <w:t>pojednostavniti</w:t>
      </w:r>
      <w:r>
        <w:rPr>
          <w:noProof/>
        </w:rPr>
        <w:t xml:space="preserve"> postojeće inicijative i povećati vidljivost postojećih resursa za potporu, kao što su Savjetodavni centar za energiju građana, Savjetodavni centar za energetsko siromaštvo, Sporazum gradonačelnika, Inicijativa EU-a za otoke, Inicijativa za rudarske regije u tranziciji i Forum o energetskom ponašanju, što će omogućiti da postojeći </w:t>
      </w:r>
      <w:r>
        <w:rPr>
          <w:b/>
          <w:noProof/>
        </w:rPr>
        <w:t>Energetski forum građana</w:t>
      </w:r>
      <w:r>
        <w:rPr>
          <w:noProof/>
        </w:rPr>
        <w:t xml:space="preserve"> postane glavno mjesto za razmjenu najboljih primjera iz prakse i praćenje napretka u provedbi. Komisija će izdati i smjernice za države članice za pružanje potpore i poticanje gradova da iskoriste puni potencijal lokalnih vlasti pri prelasku na čistu energiju. </w:t>
      </w:r>
      <w:r>
        <w:rPr>
          <w:b/>
          <w:noProof/>
        </w:rPr>
        <w:t>Komisija će preko nacionalnih organizacija za zaštitu potrošača posebnu pozornost posvetiti angažmanu građana i informiranju potrošača o njihovim pravima i mogućnostima na energetskom tržištu EU-a</w:t>
      </w:r>
      <w:r>
        <w:rPr>
          <w:noProof/>
        </w:rPr>
        <w:t xml:space="preserve">. </w:t>
      </w:r>
    </w:p>
    <w:sectPr w:rsidR="0075286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81C6" w14:textId="77777777" w:rsidR="00D01537" w:rsidRDefault="00D01537">
      <w:pPr>
        <w:spacing w:after="0" w:line="240" w:lineRule="auto"/>
      </w:pPr>
      <w:r>
        <w:separator/>
      </w:r>
    </w:p>
  </w:endnote>
  <w:endnote w:type="continuationSeparator" w:id="0">
    <w:p w14:paraId="1616AFD6" w14:textId="77777777" w:rsidR="00D01537" w:rsidRDefault="00D0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0000000000000000000"/>
    <w:charset w:val="00"/>
    <w:family w:val="roman"/>
    <w:notTrueType/>
    <w:pitch w:val="default"/>
  </w:font>
  <w:font w:name="Times New Roman, Apt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AC3D" w14:textId="21306123" w:rsidR="007028BD" w:rsidRPr="007028BD" w:rsidRDefault="007028BD" w:rsidP="007028BD">
    <w:pPr>
      <w:pStyle w:val="FooterCoverPage"/>
      <w:rPr>
        <w:rFonts w:ascii="Arial" w:hAnsi="Arial" w:cs="Arial"/>
        <w:b/>
        <w:sz w:val="48"/>
      </w:rPr>
    </w:pPr>
    <w:r w:rsidRPr="007028BD">
      <w:rPr>
        <w:rFonts w:ascii="Arial" w:hAnsi="Arial" w:cs="Arial"/>
        <w:b/>
        <w:sz w:val="48"/>
      </w:rPr>
      <w:t>HR</w:t>
    </w:r>
    <w:r w:rsidRPr="007028BD">
      <w:rPr>
        <w:rFonts w:ascii="Arial" w:hAnsi="Arial" w:cs="Arial"/>
        <w:b/>
        <w:sz w:val="48"/>
      </w:rPr>
      <w:tab/>
    </w:r>
    <w:r w:rsidRPr="007028BD">
      <w:rPr>
        <w:rFonts w:ascii="Arial" w:hAnsi="Arial" w:cs="Arial"/>
        <w:b/>
        <w:sz w:val="48"/>
      </w:rPr>
      <w:tab/>
    </w:r>
    <w:r w:rsidRPr="007028BD">
      <w:tab/>
    </w:r>
    <w:r w:rsidRPr="007028BD">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D1C51" w14:textId="5867B45B" w:rsidR="007028BD" w:rsidRPr="007028BD" w:rsidRDefault="007028BD" w:rsidP="007028BD">
    <w:pPr>
      <w:pStyle w:val="FooterCoverPage"/>
      <w:rPr>
        <w:rFonts w:ascii="Arial" w:hAnsi="Arial" w:cs="Arial"/>
        <w:b/>
        <w:sz w:val="48"/>
      </w:rPr>
    </w:pPr>
    <w:r w:rsidRPr="007028BD">
      <w:rPr>
        <w:rFonts w:ascii="Arial" w:hAnsi="Arial" w:cs="Arial"/>
        <w:b/>
        <w:sz w:val="48"/>
      </w:rPr>
      <w:t>HR</w:t>
    </w:r>
    <w:r w:rsidRPr="007028BD">
      <w:rPr>
        <w:rFonts w:ascii="Arial" w:hAnsi="Arial" w:cs="Arial"/>
        <w:b/>
        <w:sz w:val="48"/>
      </w:rPr>
      <w:tab/>
    </w:r>
    <w:r w:rsidRPr="007028BD">
      <w:rPr>
        <w:rFonts w:ascii="Arial" w:hAnsi="Arial" w:cs="Arial"/>
        <w:b/>
        <w:sz w:val="48"/>
      </w:rPr>
      <w:tab/>
    </w:r>
    <w:r w:rsidRPr="007028BD">
      <w:tab/>
    </w:r>
    <w:r w:rsidRPr="007028BD">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6DFC" w14:textId="77777777" w:rsidR="007028BD" w:rsidRPr="007028BD" w:rsidRDefault="007028BD" w:rsidP="007028B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2B98" w14:textId="77777777" w:rsidR="0075286F" w:rsidRDefault="007528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247822"/>
      <w:docPartObj>
        <w:docPartGallery w:val="Page Numbers (Bottom of Page)"/>
        <w:docPartUnique/>
      </w:docPartObj>
    </w:sdtPr>
    <w:sdtEndPr>
      <w:rPr>
        <w:noProof/>
      </w:rPr>
    </w:sdtEndPr>
    <w:sdtContent>
      <w:p w14:paraId="24B9948D" w14:textId="02095317" w:rsidR="0075286F" w:rsidRDefault="00D76238">
        <w:pPr>
          <w:pStyle w:val="Footer"/>
          <w:jc w:val="center"/>
        </w:pPr>
        <w:r>
          <w:fldChar w:fldCharType="begin"/>
        </w:r>
        <w:r>
          <w:instrText xml:space="preserve"> PAGE   \* MERGEFORMAT </w:instrText>
        </w:r>
        <w:r>
          <w:fldChar w:fldCharType="separate"/>
        </w:r>
        <w:r w:rsidR="007028BD">
          <w:rPr>
            <w:noProof/>
          </w:rPr>
          <w:t>1</w:t>
        </w:r>
        <w:r>
          <w:fldChar w:fldCharType="end"/>
        </w:r>
      </w:p>
    </w:sdtContent>
  </w:sdt>
  <w:p w14:paraId="7E84A210" w14:textId="77777777" w:rsidR="0075286F" w:rsidRDefault="0075286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90DA" w14:textId="77777777" w:rsidR="0075286F" w:rsidRDefault="00752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05668" w14:textId="77777777" w:rsidR="00D01537" w:rsidRDefault="00D01537">
      <w:pPr>
        <w:spacing w:after="0" w:line="240" w:lineRule="auto"/>
      </w:pPr>
      <w:r>
        <w:separator/>
      </w:r>
    </w:p>
  </w:footnote>
  <w:footnote w:type="continuationSeparator" w:id="0">
    <w:p w14:paraId="4B67E0D5" w14:textId="77777777" w:rsidR="00D01537" w:rsidRDefault="00D01537">
      <w:pPr>
        <w:spacing w:after="0" w:line="240" w:lineRule="auto"/>
      </w:pPr>
      <w:r>
        <w:continuationSeparator/>
      </w:r>
    </w:p>
  </w:footnote>
  <w:footnote w:id="1">
    <w:p w14:paraId="197DA376"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Brza anketa Eurobarometra 566</w:t>
        </w:r>
      </w:hyperlink>
      <w:r>
        <w:rPr>
          <w:rFonts w:ascii="Times New Roman" w:hAnsi="Times New Roman"/>
        </w:rPr>
        <w:t xml:space="preserve"> „Ponašanje potrošača u energetskoj tranziciji”, prosinac 2025.</w:t>
      </w:r>
    </w:p>
  </w:footnote>
  <w:footnote w:id="2">
    <w:p w14:paraId="03F4A9C2"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Europska strategija za otpornost vodoopskrbe, COM/2025/280 final.</w:t>
      </w:r>
    </w:p>
  </w:footnote>
  <w:footnote w:id="3">
    <w:p w14:paraId="5C211A51" w14:textId="77777777" w:rsidR="0075286F" w:rsidRDefault="00D76238">
      <w:pPr>
        <w:pStyle w:val="FootnoteText"/>
        <w:rPr>
          <w:rFonts w:ascii="Times New Roman" w:hAnsi="Times New Roman" w:cs="Times New Roman"/>
          <w:i/>
        </w:rPr>
      </w:pPr>
      <w:r>
        <w:rPr>
          <w:rStyle w:val="FootnoteReference"/>
          <w:rFonts w:ascii="Times New Roman" w:hAnsi="Times New Roman" w:cs="Times New Roman"/>
          <w:lang w:val="en-IE"/>
        </w:rPr>
        <w:footnoteRef/>
      </w:r>
      <w:r>
        <w:rPr>
          <w:rFonts w:ascii="Times New Roman" w:hAnsi="Times New Roman"/>
        </w:rPr>
        <w:t xml:space="preserve"> Konkretno, </w:t>
      </w:r>
      <w:hyperlink r:id="rId2" w:history="1">
        <w:r>
          <w:rPr>
            <w:rStyle w:val="Hyperlink"/>
            <w:rFonts w:ascii="Times New Roman" w:hAnsi="Times New Roman"/>
          </w:rPr>
          <w:t>Plan za čistu industriju</w:t>
        </w:r>
      </w:hyperlink>
      <w:r>
        <w:rPr>
          <w:rFonts w:ascii="Times New Roman" w:hAnsi="Times New Roman"/>
        </w:rPr>
        <w:t xml:space="preserve">, </w:t>
      </w:r>
      <w:hyperlink r:id="rId3" w:history="1">
        <w:r>
          <w:rPr>
            <w:rStyle w:val="Hyperlink"/>
            <w:rFonts w:ascii="Times New Roman" w:hAnsi="Times New Roman"/>
          </w:rPr>
          <w:t>Akcijski plan za priuštivu energiju</w:t>
        </w:r>
      </w:hyperlink>
      <w:r>
        <w:rPr>
          <w:rFonts w:ascii="Times New Roman" w:hAnsi="Times New Roman"/>
        </w:rPr>
        <w:t xml:space="preserve">, </w:t>
      </w:r>
      <w:hyperlink r:id="rId4" w:history="1">
        <w:r>
          <w:rPr>
            <w:rStyle w:val="Hyperlink"/>
            <w:rFonts w:ascii="Times New Roman" w:hAnsi="Times New Roman"/>
          </w:rPr>
          <w:t>Plan za priuštivo stanovanje</w:t>
        </w:r>
      </w:hyperlink>
      <w:r>
        <w:rPr>
          <w:rFonts w:ascii="Times New Roman" w:hAnsi="Times New Roman"/>
        </w:rPr>
        <w:t xml:space="preserve">, </w:t>
      </w:r>
      <w:hyperlink r:id="rId5" w:history="1">
        <w:r>
          <w:rPr>
            <w:rStyle w:val="Hyperlink"/>
            <w:rFonts w:ascii="Times New Roman" w:hAnsi="Times New Roman"/>
          </w:rPr>
          <w:t>Paket mjera za europske mreže</w:t>
        </w:r>
      </w:hyperlink>
      <w:r>
        <w:rPr>
          <w:rFonts w:ascii="Times New Roman" w:hAnsi="Times New Roman"/>
        </w:rPr>
        <w:t xml:space="preserve">, </w:t>
      </w:r>
      <w:hyperlink r:id="rId6" w:history="1">
        <w:r>
          <w:rPr>
            <w:rStyle w:val="Hyperlink"/>
            <w:rFonts w:ascii="Times New Roman" w:hAnsi="Times New Roman"/>
          </w:rPr>
          <w:t>Agenda EU-a za gradove</w:t>
        </w:r>
      </w:hyperlink>
      <w:r>
        <w:rPr>
          <w:rFonts w:ascii="Times New Roman" w:hAnsi="Times New Roman"/>
        </w:rPr>
        <w:t xml:space="preserve"> te predstojeća Strategija elektrifikacije, Strategija za grijanje i hlađenje ili Strateški plan za digitalizaciju u energetskom sektoru.</w:t>
      </w:r>
    </w:p>
  </w:footnote>
  <w:footnote w:id="4">
    <w:p w14:paraId="7CFB8105"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Grčka, Italija i Portugal računima za električnu energiju dodaju naknade za javnu radioteleviziju.</w:t>
      </w:r>
    </w:p>
  </w:footnote>
  <w:footnote w:id="5">
    <w:p w14:paraId="579196B9"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lang w:val="en-IE"/>
        </w:rPr>
        <w:footnoteRef/>
      </w:r>
      <w:r>
        <w:rPr>
          <w:rFonts w:ascii="Times New Roman" w:hAnsi="Times New Roman"/>
        </w:rPr>
        <w:t xml:space="preserve"> Njemačka, Francuska.</w:t>
      </w:r>
    </w:p>
  </w:footnote>
  <w:footnote w:id="6">
    <w:p w14:paraId="0750256E" w14:textId="77777777" w:rsidR="0075286F" w:rsidRDefault="00D76238">
      <w:pPr>
        <w:pStyle w:val="FootnoteText"/>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Direktiva (EU) 2019/944 Europskog parlamenta i Vijeća od 5. lipnja 2019. o zajedničkim pravilima za unutarnje tržište električne energije i izmjeni Direktive 2012/27/EU (preinaka).</w:t>
      </w:r>
    </w:p>
  </w:footnote>
  <w:footnote w:id="7">
    <w:p w14:paraId="28B8A7DB"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Obavijest o smjernicama za naknade za korištenje mreže otporne na buduće promjene radi smanjenja troškova energetskog sustava</w:t>
        </w:r>
      </w:hyperlink>
      <w:r>
        <w:rPr>
          <w:rFonts w:ascii="Times New Roman" w:hAnsi="Times New Roman"/>
        </w:rPr>
        <w:t>, C(2025) 4010 final.</w:t>
      </w:r>
    </w:p>
  </w:footnote>
  <w:footnote w:id="8">
    <w:p w14:paraId="4F0C4D8E"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w:t>
      </w:r>
      <w:hyperlink r:id="rId8" w:history="1">
        <w:r>
          <w:rPr>
            <w:rStyle w:val="Hyperlink"/>
            <w:rFonts w:ascii="Times New Roman" w:hAnsi="Times New Roman"/>
          </w:rPr>
          <w:t>„Potrošnja energije u kućanstvima”</w:t>
        </w:r>
      </w:hyperlink>
      <w:r>
        <w:rPr>
          <w:rFonts w:ascii="Times New Roman" w:hAnsi="Times New Roman"/>
        </w:rPr>
        <w:t>, lipanj 2025.</w:t>
      </w:r>
    </w:p>
  </w:footnote>
  <w:footnote w:id="9">
    <w:p w14:paraId="260827FD"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Fonts w:ascii="Times New Roman" w:hAnsi="Times New Roman"/>
            <w:color w:val="0000FF"/>
            <w:u w:val="single"/>
          </w:rPr>
          <w:t>Stavovi Europljana prema energetskim politikama, rujan 2024. – istraživanje Eurobarometra</w:t>
        </w:r>
      </w:hyperlink>
      <w:r>
        <w:rPr>
          <w:rFonts w:ascii="Times New Roman" w:hAnsi="Times New Roman"/>
        </w:rPr>
        <w:t>. Više od tri četvrtine ispitanika u zadnjih je pet godina koristilo oznaku EU-a za energetsku učinkovitost.</w:t>
      </w:r>
    </w:p>
  </w:footnote>
  <w:footnote w:id="10">
    <w:p w14:paraId="21F2E1DD"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 primjer, Francuska je pokrenula drugo izdanje sustava socijalnog leasinga za električna vozila. U Latviji poduzeće u državnom vlasništvu poduzećima i kućanstvima omogućuje pristup financijskim sredstvima putem zajmova, jamstava i ulaganja u fondove poduzetničkog kapitala.</w:t>
      </w:r>
    </w:p>
  </w:footnote>
  <w:footnote w:id="11">
    <w:p w14:paraId="7DCFA3AA"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Primjeri dobre prakse navedeni u Prilogu Preporuci Komisije </w:t>
      </w:r>
      <w:r>
        <w:rPr>
          <w:rFonts w:ascii="Times New Roman" w:hAnsi="Times New Roman"/>
          <w:color w:val="000000" w:themeColor="text1"/>
        </w:rPr>
        <w:t xml:space="preserve">o poticanju privatnih ulaganja u energetsku učinkovitost. COM(2026) 1526. </w:t>
      </w:r>
    </w:p>
  </w:footnote>
  <w:footnote w:id="12">
    <w:p w14:paraId="21C69C6F"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Poslovni model koji kupcima omogućuje da plaćaju toplinsku energiju koju potroše, a ne infrastrukturu ili gorivo.</w:t>
      </w:r>
    </w:p>
  </w:footnote>
  <w:footnote w:id="13">
    <w:p w14:paraId="5B6C028C"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COM(2026) 116, Strategija ulaganja u čistu energiju.</w:t>
      </w:r>
    </w:p>
  </w:footnote>
  <w:footnote w:id="14">
    <w:p w14:paraId="59AAA5DA"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Direktiva (EU) 2019/944 Europskog parlamenta i Vijeća od 5. lipnja 2019. o zajedničkim pravilima za unutarnje tržište električne energije i izmjeni Direktive 2012/27/EU (preinaka), članci 4. i 12.</w:t>
      </w:r>
    </w:p>
  </w:footnote>
  <w:footnote w:id="15">
    <w:p w14:paraId="02A972BE"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rPr>
          <w:t>Godišnje izvješće ACER-a za 2021. o rezultatima praćenja unutarnjih tržišta električne energije i prirodnog plina</w:t>
        </w:r>
      </w:hyperlink>
      <w:r>
        <w:t>.</w:t>
      </w:r>
    </w:p>
  </w:footnote>
  <w:footnote w:id="16">
    <w:p w14:paraId="39A38EA2"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000000" w:themeColor="text1"/>
        </w:rPr>
        <w:t>Vidjeti i 7. mjeru.</w:t>
      </w:r>
    </w:p>
  </w:footnote>
  <w:footnote w:id="17">
    <w:p w14:paraId="52A3ABC1"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Pružatelji telekomunikacijskih usluga korisnicima bi najmanje jednom godišnje trebali davati savjete o najboljim tarifama, što bi korisnike moglo potaknuti na promjenu ugovorene opcije.</w:t>
      </w:r>
    </w:p>
  </w:footnote>
  <w:footnote w:id="18">
    <w:p w14:paraId="6C00DFDB" w14:textId="77777777" w:rsidR="0075286F" w:rsidRDefault="00D76238">
      <w:pPr>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Članak 16. Direktive (EU) 2019/944 i članak 22. Direktive (EU) 2018/2001.</w:t>
      </w:r>
    </w:p>
  </w:footnote>
  <w:footnote w:id="19">
    <w:p w14:paraId="7898BF1A"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Style w:val="FootnoteReference"/>
          <w:rFonts w:ascii="Times New Roman" w:hAnsi="Times New Roman"/>
          <w:vertAlign w:val="baseline"/>
        </w:rPr>
        <w:t>Procjena se temelji na širokom tumačenju tog koncepta, a ne samo na</w:t>
      </w:r>
      <w:r>
        <w:rPr>
          <w:rFonts w:ascii="Times New Roman" w:hAnsi="Times New Roman"/>
        </w:rPr>
        <w:t xml:space="preserve"> definicijama EU-a</w:t>
      </w:r>
      <w:r>
        <w:rPr>
          <w:rStyle w:val="FootnoteReference"/>
          <w:rFonts w:ascii="Times New Roman" w:hAnsi="Times New Roman"/>
        </w:rPr>
        <w:t>.</w:t>
      </w:r>
    </w:p>
  </w:footnote>
  <w:footnote w:id="20">
    <w:p w14:paraId="16E8540A"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t xml:space="preserve"> </w:t>
      </w:r>
      <w:r>
        <w:rPr>
          <w:rFonts w:ascii="Times New Roman" w:hAnsi="Times New Roman"/>
        </w:rPr>
        <w:t>Vidjeti studiju EnTEC-a o potencijalu energije građana (u pripremi).</w:t>
      </w:r>
    </w:p>
  </w:footnote>
  <w:footnote w:id="21">
    <w:p w14:paraId="69ECC664" w14:textId="77777777" w:rsidR="0075286F" w:rsidRDefault="00D76238">
      <w:pPr>
        <w:pStyle w:val="FootnoteText"/>
        <w:rPr>
          <w:rStyle w:val="FootnoteReference"/>
          <w:rFonts w:ascii="Times New Roman" w:hAnsi="Times New Roman"/>
        </w:rPr>
      </w:pPr>
      <w:r>
        <w:rPr>
          <w:rStyle w:val="FootnoteReference"/>
          <w:rFonts w:ascii="Times New Roman" w:hAnsi="Times New Roman" w:cs="Times New Roman"/>
        </w:rPr>
        <w:footnoteRef/>
      </w:r>
      <w:r>
        <w:rPr>
          <w:rFonts w:ascii="Times New Roman" w:hAnsi="Times New Roman"/>
        </w:rPr>
        <w:t xml:space="preserve"> Energija zajednice mogla bi doprinijeti do 90 GW, što bi činilo 8 % ukupne proizvodnje električne energije iz obnovljivih izvora </w:t>
      </w:r>
      <w:r>
        <w:rPr>
          <w:rStyle w:val="FootnoteReference"/>
          <w:rFonts w:ascii="Times New Roman" w:hAnsi="Times New Roman"/>
          <w:vertAlign w:val="baseline"/>
        </w:rPr>
        <w:t>u EU-u do 2030. Vidjeti studiju EnTEC-a o potencijalu energije građana (u pripremi).</w:t>
      </w:r>
    </w:p>
  </w:footnote>
  <w:footnote w:id="22">
    <w:p w14:paraId="3B83E476" w14:textId="77777777" w:rsidR="0075286F" w:rsidRDefault="00D76238">
      <w:pPr>
        <w:pStyle w:val="FootnoteText"/>
        <w:rPr>
          <w:rFonts w:ascii="Times New Roman" w:eastAsia="Calibri" w:hAnsi="Times New Roman" w:cs="Times New Roman"/>
          <w:color w:val="505050"/>
          <w:sz w:val="24"/>
          <w:szCs w:val="24"/>
        </w:rPr>
      </w:pPr>
      <w:r>
        <w:rPr>
          <w:rFonts w:ascii="Times New Roman" w:hAnsi="Times New Roman"/>
          <w:lang w:val="en-GB"/>
        </w:rPr>
        <w:footnoteRef/>
      </w:r>
      <w:r>
        <w:rPr>
          <w:rFonts w:ascii="Times New Roman" w:hAnsi="Times New Roman"/>
          <w:vertAlign w:val="superscript"/>
        </w:rPr>
        <w:t xml:space="preserve"> </w:t>
      </w:r>
      <w:r>
        <w:rPr>
          <w:rFonts w:ascii="Times New Roman" w:hAnsi="Times New Roman"/>
        </w:rPr>
        <w:t xml:space="preserve">Smanjenje troškova izračunava se na temelju veleprodajnih i maloprodajnih tržišnih cijena 2020. i </w:t>
      </w:r>
      <w:bookmarkStart w:id="8" w:name="_Int_llEikH4a"/>
      <w:r>
        <w:rPr>
          <w:rFonts w:ascii="Times New Roman" w:hAnsi="Times New Roman"/>
        </w:rPr>
        <w:t>2022.</w:t>
      </w:r>
      <w:bookmarkEnd w:id="8"/>
      <w:r>
        <w:rPr>
          <w:rFonts w:ascii="Times New Roman" w:hAnsi="Times New Roman"/>
        </w:rPr>
        <w:t xml:space="preserve"> Ako se električna energije iz vlastite proizvodnje troši putem mreže, primjenjuju se sve mrežne tarife i porezi. </w:t>
      </w:r>
    </w:p>
  </w:footnote>
  <w:footnote w:id="23">
    <w:p w14:paraId="4DE05F8E" w14:textId="77777777" w:rsidR="0075286F" w:rsidRDefault="00D76238">
      <w:pPr>
        <w:pStyle w:val="FootnoteText"/>
        <w:jc w:val="both"/>
        <w:rPr>
          <w:rFonts w:ascii="Times New Roman" w:hAnsi="Times New Roman" w:cs="Times New Roman"/>
        </w:rPr>
      </w:pPr>
      <w:r>
        <w:rPr>
          <w:rFonts w:ascii="Times New Roman" w:hAnsi="Times New Roman" w:cs="Times New Roman"/>
          <w:vertAlign w:val="superscript"/>
          <w:lang w:val="en-IE"/>
        </w:rPr>
        <w:footnoteRef/>
      </w:r>
      <w:r>
        <w:t xml:space="preserve"> </w:t>
      </w:r>
      <w:r>
        <w:rPr>
          <w:rFonts w:ascii="Times New Roman" w:hAnsi="Times New Roman"/>
        </w:rPr>
        <w:t>Na temelju podataka iz</w:t>
      </w:r>
      <w:r>
        <w:t xml:space="preserve"> </w:t>
      </w:r>
      <w:hyperlink r:id="rId11" w:history="1">
        <w:r>
          <w:rPr>
            <w:rStyle w:val="Hyperlink"/>
            <w:rFonts w:ascii="Times New Roman" w:hAnsi="Times New Roman"/>
          </w:rPr>
          <w:t>ACER-ova izvješća o praćenju tržišta za 2025.</w:t>
        </w:r>
      </w:hyperlink>
      <w:r>
        <w:rPr>
          <w:rFonts w:ascii="Times New Roman" w:hAnsi="Times New Roman"/>
        </w:rPr>
        <w:t xml:space="preserve"> i Komisijinih izračuna.</w:t>
      </w:r>
    </w:p>
  </w:footnote>
  <w:footnote w:id="24">
    <w:p w14:paraId="33BE9883" w14:textId="77777777" w:rsidR="0075286F" w:rsidRDefault="00D76238">
      <w:pPr>
        <w:pStyle w:val="FootnoteText"/>
        <w:jc w:val="both"/>
        <w:rPr>
          <w:rFonts w:ascii="Times New Roman" w:hAnsi="Times New Roman" w:cs="Times New Roman"/>
          <w:iCs/>
        </w:rPr>
      </w:pPr>
      <w:r>
        <w:rPr>
          <w:rStyle w:val="FootnoteReference"/>
          <w:rFonts w:ascii="Times New Roman" w:hAnsi="Times New Roman" w:cs="Times New Roman"/>
        </w:rPr>
        <w:footnoteRef/>
      </w:r>
      <w:r>
        <w:rPr>
          <w:rFonts w:ascii="Times New Roman" w:hAnsi="Times New Roman"/>
        </w:rPr>
        <w:t xml:space="preserve"> </w:t>
      </w:r>
      <w:hyperlink r:id="rId12" w:history="1">
        <w:r>
          <w:rPr>
            <w:rFonts w:ascii="Times New Roman" w:hAnsi="Times New Roman"/>
          </w:rPr>
          <w:t>Fleksibilnost potražnje:</w:t>
        </w:r>
      </w:hyperlink>
      <w:hyperlink r:id="rId13" w:history="1">
        <w:r>
          <w:rPr>
            <w:rFonts w:ascii="Times New Roman" w:hAnsi="Times New Roman"/>
          </w:rPr>
          <w:t xml:space="preserve"> Kvantifikacija koristi u EU-u</w:t>
        </w:r>
      </w:hyperlink>
      <w:r>
        <w:rPr>
          <w:rFonts w:ascii="Times New Roman" w:hAnsi="Times New Roman"/>
        </w:rPr>
        <w:t xml:space="preserve">; DNV za smartEn, rujan 2022. </w:t>
      </w:r>
    </w:p>
  </w:footnote>
  <w:footnote w:id="25">
    <w:p w14:paraId="31EDAFD5" w14:textId="77777777" w:rsidR="0075286F" w:rsidRDefault="00D762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 xml:space="preserve"> </w:t>
      </w:r>
      <w:r>
        <w:rPr>
          <w:rFonts w:ascii="Times New Roman" w:hAnsi="Times New Roman"/>
        </w:rPr>
        <w:t>Na temelju podataka iz ACER-ova izvješća o praćenju tržišta za 2025. (Nagrađivanje fleksibilnosti: kako odabir maloprodajnog ugovora može povećati fleksibilnost potrošača) i Komisijinih izračuna, potrošači električne energije mogli bi uštedjeti do 40 % ako prijeđu na ugovor s dinamičnim određivanjem cijene i aktivno upravljaju svojom potrošnjom.</w:t>
      </w:r>
    </w:p>
  </w:footnote>
  <w:footnote w:id="26">
    <w:p w14:paraId="067F5AD8" w14:textId="77777777" w:rsidR="0075286F" w:rsidRDefault="00D76238">
      <w:pPr>
        <w:spacing w:after="0" w:line="240" w:lineRule="auto"/>
        <w:jc w:val="both"/>
        <w:rPr>
          <w:rFonts w:ascii="Times New Roman" w:eastAsia="Times New Roman, Aptos"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w:t>
      </w:r>
      <w:hyperlink r:id="rId14" w:history="1">
        <w:r>
          <w:rPr>
            <w:rStyle w:val="Hyperlink"/>
            <w:rFonts w:ascii="Times New Roman" w:hAnsi="Times New Roman"/>
            <w:sz w:val="20"/>
          </w:rPr>
          <w:t>Eurobarometar</w:t>
        </w:r>
      </w:hyperlink>
      <w:r>
        <w:rPr>
          <w:rFonts w:ascii="Times New Roman" w:hAnsi="Times New Roman"/>
          <w:color w:val="000000" w:themeColor="text1"/>
          <w:sz w:val="20"/>
        </w:rPr>
        <w:t xml:space="preserve"> ukazuje na nepoštene poslovne prakse kao područje u kojem su potrebna poboljšanja. Čak 82 % ispitanika navodi da bi više vjerovalo pružateljima energetskih usluga koji bi prihvatili službeno ovjereni kodeks dobre prakse u području prava potrošača.</w:t>
      </w:r>
      <w:r>
        <w:rPr>
          <w:rFonts w:ascii="Times New Roman" w:hAnsi="Times New Roman"/>
          <w:sz w:val="20"/>
        </w:rPr>
        <w:t xml:space="preserve"> </w:t>
      </w:r>
    </w:p>
  </w:footnote>
  <w:footnote w:id="27">
    <w:p w14:paraId="5ECCC97D" w14:textId="77777777" w:rsidR="0075286F" w:rsidRDefault="00D762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 primjer Irska, Nizozemska i Francuska.</w:t>
      </w:r>
    </w:p>
  </w:footnote>
  <w:footnote w:id="28">
    <w:p w14:paraId="715AA303" w14:textId="77777777" w:rsidR="0075286F" w:rsidRDefault="00D762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rPr>
          <w:t>Brza anketa Eurobarometra 566</w:t>
        </w:r>
      </w:hyperlink>
      <w:r>
        <w:rPr>
          <w:rFonts w:ascii="Times New Roman" w:hAnsi="Times New Roman"/>
        </w:rPr>
        <w:t xml:space="preserve"> „Ponašanje potrošača u energetskoj tranziciji”, prosinac 2025.</w:t>
      </w:r>
    </w:p>
  </w:footnote>
  <w:footnote w:id="29">
    <w:p w14:paraId="3D2CABCB"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w:t>
      </w:r>
      <w:hyperlink r:id="rId16" w:history="1">
        <w:r>
          <w:rPr>
            <w:rStyle w:val="Hyperlink"/>
            <w:rFonts w:ascii="Times New Roman" w:hAnsi="Times New Roman"/>
          </w:rPr>
          <w:t>Stanovništvo koje zbog siromaštva ne može primjereno grijati svoj dom</w:t>
        </w:r>
      </w:hyperlink>
      <w:r>
        <w:rPr>
          <w:rFonts w:ascii="Times New Roman" w:hAnsi="Times New Roman"/>
        </w:rPr>
        <w:t>, veljača 2026.</w:t>
      </w:r>
    </w:p>
  </w:footnote>
  <w:footnote w:id="30">
    <w:p w14:paraId="75C74E67"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SWD(2025) 140 final</w:t>
        </w:r>
      </w:hyperlink>
      <w:r>
        <w:rPr>
          <w:rFonts w:ascii="Times New Roman" w:hAnsi="Times New Roman"/>
        </w:rPr>
        <w:t>.</w:t>
      </w:r>
    </w:p>
  </w:footnote>
  <w:footnote w:id="31">
    <w:p w14:paraId="7A17C671"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 suprotstavljenih interesa dolazi kad najmodavci nemaju motivaciju za poboljšanje uvjeta stanovanja jer najmoprimci ostvaruju većinu koristi, ali ne mogu sami provesti promjene.</w:t>
      </w:r>
    </w:p>
  </w:footnote>
  <w:footnote w:id="32">
    <w:p w14:paraId="7D24D528" w14:textId="041CB088"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 razdoblju od 2026. do 2032. iz Socijalnog fonda za klimatsku politiku dodijelit će se do 86,7 milijardi EUR za pomoć ranjivim osobama i malim poduzećima na koje najviše utječu rastući troškovi energije i prijevoza. </w:t>
      </w:r>
    </w:p>
  </w:footnote>
  <w:footnote w:id="33">
    <w:p w14:paraId="09126655" w14:textId="77777777" w:rsidR="0075286F" w:rsidRDefault="00D76238">
      <w:pPr>
        <w:pStyle w:val="FootnoteText"/>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vertAlign w:val="superscript"/>
        </w:rPr>
        <w:t xml:space="preserve"> </w:t>
      </w:r>
      <w:r>
        <w:rPr>
          <w:rFonts w:ascii="Times New Roman" w:hAnsi="Times New Roman"/>
        </w:rPr>
        <w:t>Uredbom o modernizaciji kohezijske politike potiču se države članice da povećaju financijska sredstva za priuštivo i održivo stanovanje, i to prvenstveno za kućanstva izložena energetskom siromaštvu.</w:t>
      </w:r>
    </w:p>
  </w:footnote>
  <w:footnote w:id="34">
    <w:p w14:paraId="21EC75AA"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Višegodišnji program rada za program LIFE za razdoblje 2025. – 2027.</w:t>
        </w:r>
      </w:hyperlink>
    </w:p>
  </w:footnote>
  <w:footnote w:id="35">
    <w:p w14:paraId="076AC9BC" w14:textId="719B3C81" w:rsidR="0075286F" w:rsidRDefault="00D76238">
      <w:pPr>
        <w:pStyle w:val="FootnoteText"/>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vertAlign w:val="superscript"/>
        </w:rPr>
        <w:t xml:space="preserve"> </w:t>
      </w:r>
      <w:hyperlink r:id="rId19" w:history="1">
        <w:r>
          <w:rPr>
            <w:rStyle w:val="Hyperlink"/>
            <w:rFonts w:ascii="Times New Roman" w:hAnsi="Times New Roman"/>
          </w:rPr>
          <w:t>EUR-LEX 32023H2407</w:t>
        </w:r>
      </w:hyperlink>
      <w:r w:rsidR="0073602F">
        <w:t>.</w:t>
      </w:r>
    </w:p>
  </w:footnote>
  <w:footnote w:id="36">
    <w:p w14:paraId="26C9F602" w14:textId="77777777" w:rsidR="0075286F" w:rsidRDefault="00D7623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w:t>
      </w:r>
      <w:hyperlink r:id="rId20" w:history="1">
        <w:r>
          <w:rPr>
            <w:rStyle w:val="Hyperlink"/>
            <w:rFonts w:ascii="Times New Roman" w:hAnsi="Times New Roman"/>
          </w:rPr>
          <w:t>Neplaćeni računi za komunalne usluge</w:t>
        </w:r>
      </w:hyperlink>
      <w:r>
        <w:rPr>
          <w:rFonts w:ascii="Times New Roman" w:hAnsi="Times New Roman"/>
        </w:rPr>
        <w:t>, veljača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6DCC" w14:textId="77777777" w:rsidR="007028BD" w:rsidRPr="007028BD" w:rsidRDefault="007028BD" w:rsidP="007028B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2D40" w14:textId="77777777" w:rsidR="007028BD" w:rsidRPr="007028BD" w:rsidRDefault="007028BD" w:rsidP="007028B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64CB" w14:textId="77777777" w:rsidR="007028BD" w:rsidRPr="007028BD" w:rsidRDefault="007028BD" w:rsidP="007028B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7B10" w14:textId="77777777" w:rsidR="0075286F" w:rsidRDefault="007528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2F3E" w14:textId="77777777" w:rsidR="0075286F" w:rsidRDefault="007528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4CD3" w14:textId="77777777" w:rsidR="0075286F" w:rsidRDefault="00752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A7C4E"/>
    <w:multiLevelType w:val="hybridMultilevel"/>
    <w:tmpl w:val="2320D000"/>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10AFA"/>
    <w:multiLevelType w:val="hybridMultilevel"/>
    <w:tmpl w:val="8592A2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B2268B"/>
    <w:multiLevelType w:val="hybridMultilevel"/>
    <w:tmpl w:val="CBBEDB14"/>
    <w:lvl w:ilvl="0" w:tplc="18090003">
      <w:start w:val="1"/>
      <w:numFmt w:val="bullet"/>
      <w:lvlText w:val="o"/>
      <w:lvlJc w:val="left"/>
      <w:pPr>
        <w:ind w:left="182" w:hanging="360"/>
      </w:pPr>
      <w:rPr>
        <w:rFonts w:ascii="Courier New" w:hAnsi="Courier New" w:cs="Courier New" w:hint="default"/>
      </w:rPr>
    </w:lvl>
    <w:lvl w:ilvl="1" w:tplc="18090003" w:tentative="1">
      <w:start w:val="1"/>
      <w:numFmt w:val="bullet"/>
      <w:lvlText w:val="o"/>
      <w:lvlJc w:val="left"/>
      <w:pPr>
        <w:ind w:left="902" w:hanging="360"/>
      </w:pPr>
      <w:rPr>
        <w:rFonts w:ascii="Courier New" w:hAnsi="Courier New" w:cs="Courier New" w:hint="default"/>
      </w:rPr>
    </w:lvl>
    <w:lvl w:ilvl="2" w:tplc="18090005" w:tentative="1">
      <w:start w:val="1"/>
      <w:numFmt w:val="bullet"/>
      <w:lvlText w:val=""/>
      <w:lvlJc w:val="left"/>
      <w:pPr>
        <w:ind w:left="1622" w:hanging="360"/>
      </w:pPr>
      <w:rPr>
        <w:rFonts w:ascii="Wingdings" w:hAnsi="Wingdings" w:hint="default"/>
      </w:rPr>
    </w:lvl>
    <w:lvl w:ilvl="3" w:tplc="18090001" w:tentative="1">
      <w:start w:val="1"/>
      <w:numFmt w:val="bullet"/>
      <w:lvlText w:val=""/>
      <w:lvlJc w:val="left"/>
      <w:pPr>
        <w:ind w:left="2342" w:hanging="360"/>
      </w:pPr>
      <w:rPr>
        <w:rFonts w:ascii="Symbol" w:hAnsi="Symbol" w:hint="default"/>
      </w:rPr>
    </w:lvl>
    <w:lvl w:ilvl="4" w:tplc="18090003" w:tentative="1">
      <w:start w:val="1"/>
      <w:numFmt w:val="bullet"/>
      <w:lvlText w:val="o"/>
      <w:lvlJc w:val="left"/>
      <w:pPr>
        <w:ind w:left="3062" w:hanging="360"/>
      </w:pPr>
      <w:rPr>
        <w:rFonts w:ascii="Courier New" w:hAnsi="Courier New" w:cs="Courier New" w:hint="default"/>
      </w:rPr>
    </w:lvl>
    <w:lvl w:ilvl="5" w:tplc="18090005" w:tentative="1">
      <w:start w:val="1"/>
      <w:numFmt w:val="bullet"/>
      <w:lvlText w:val=""/>
      <w:lvlJc w:val="left"/>
      <w:pPr>
        <w:ind w:left="3782" w:hanging="360"/>
      </w:pPr>
      <w:rPr>
        <w:rFonts w:ascii="Wingdings" w:hAnsi="Wingdings" w:hint="default"/>
      </w:rPr>
    </w:lvl>
    <w:lvl w:ilvl="6" w:tplc="18090001" w:tentative="1">
      <w:start w:val="1"/>
      <w:numFmt w:val="bullet"/>
      <w:lvlText w:val=""/>
      <w:lvlJc w:val="left"/>
      <w:pPr>
        <w:ind w:left="4502" w:hanging="360"/>
      </w:pPr>
      <w:rPr>
        <w:rFonts w:ascii="Symbol" w:hAnsi="Symbol" w:hint="default"/>
      </w:rPr>
    </w:lvl>
    <w:lvl w:ilvl="7" w:tplc="18090003" w:tentative="1">
      <w:start w:val="1"/>
      <w:numFmt w:val="bullet"/>
      <w:lvlText w:val="o"/>
      <w:lvlJc w:val="left"/>
      <w:pPr>
        <w:ind w:left="5222" w:hanging="360"/>
      </w:pPr>
      <w:rPr>
        <w:rFonts w:ascii="Courier New" w:hAnsi="Courier New" w:cs="Courier New" w:hint="default"/>
      </w:rPr>
    </w:lvl>
    <w:lvl w:ilvl="8" w:tplc="18090005" w:tentative="1">
      <w:start w:val="1"/>
      <w:numFmt w:val="bullet"/>
      <w:lvlText w:val=""/>
      <w:lvlJc w:val="left"/>
      <w:pPr>
        <w:ind w:left="5942" w:hanging="360"/>
      </w:pPr>
      <w:rPr>
        <w:rFonts w:ascii="Wingdings" w:hAnsi="Wingdings" w:hint="default"/>
      </w:rPr>
    </w:lvl>
  </w:abstractNum>
  <w:abstractNum w:abstractNumId="3" w15:restartNumberingAfterBreak="0">
    <w:nsid w:val="15BA4175"/>
    <w:multiLevelType w:val="hybridMultilevel"/>
    <w:tmpl w:val="F0243E3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876A4"/>
    <w:multiLevelType w:val="hybridMultilevel"/>
    <w:tmpl w:val="98DA925A"/>
    <w:lvl w:ilvl="0" w:tplc="FADC9342">
      <w:start w:val="1"/>
      <w:numFmt w:val="decimal"/>
      <w:lvlText w:val="%1."/>
      <w:lvlJc w:val="left"/>
      <w:pPr>
        <w:ind w:left="720" w:hanging="360"/>
      </w:pPr>
    </w:lvl>
    <w:lvl w:ilvl="1" w:tplc="B08EC8C6">
      <w:start w:val="1"/>
      <w:numFmt w:val="decimal"/>
      <w:lvlText w:val="%2."/>
      <w:lvlJc w:val="left"/>
      <w:pPr>
        <w:ind w:left="720" w:hanging="360"/>
      </w:pPr>
    </w:lvl>
    <w:lvl w:ilvl="2" w:tplc="D228F09E">
      <w:start w:val="1"/>
      <w:numFmt w:val="decimal"/>
      <w:lvlText w:val="%3."/>
      <w:lvlJc w:val="left"/>
      <w:pPr>
        <w:ind w:left="720" w:hanging="360"/>
      </w:pPr>
    </w:lvl>
    <w:lvl w:ilvl="3" w:tplc="92D6A65A">
      <w:start w:val="1"/>
      <w:numFmt w:val="decimal"/>
      <w:lvlText w:val="%4."/>
      <w:lvlJc w:val="left"/>
      <w:pPr>
        <w:ind w:left="720" w:hanging="360"/>
      </w:pPr>
    </w:lvl>
    <w:lvl w:ilvl="4" w:tplc="7122BAEA">
      <w:start w:val="1"/>
      <w:numFmt w:val="decimal"/>
      <w:lvlText w:val="%5."/>
      <w:lvlJc w:val="left"/>
      <w:pPr>
        <w:ind w:left="720" w:hanging="360"/>
      </w:pPr>
    </w:lvl>
    <w:lvl w:ilvl="5" w:tplc="394A294C">
      <w:start w:val="1"/>
      <w:numFmt w:val="decimal"/>
      <w:lvlText w:val="%6."/>
      <w:lvlJc w:val="left"/>
      <w:pPr>
        <w:ind w:left="720" w:hanging="360"/>
      </w:pPr>
    </w:lvl>
    <w:lvl w:ilvl="6" w:tplc="AEAA3860">
      <w:start w:val="1"/>
      <w:numFmt w:val="decimal"/>
      <w:lvlText w:val="%7."/>
      <w:lvlJc w:val="left"/>
      <w:pPr>
        <w:ind w:left="720" w:hanging="360"/>
      </w:pPr>
    </w:lvl>
    <w:lvl w:ilvl="7" w:tplc="3B92AA5E">
      <w:start w:val="1"/>
      <w:numFmt w:val="decimal"/>
      <w:lvlText w:val="%8."/>
      <w:lvlJc w:val="left"/>
      <w:pPr>
        <w:ind w:left="720" w:hanging="360"/>
      </w:pPr>
    </w:lvl>
    <w:lvl w:ilvl="8" w:tplc="642414CC">
      <w:start w:val="1"/>
      <w:numFmt w:val="decimal"/>
      <w:lvlText w:val="%9."/>
      <w:lvlJc w:val="left"/>
      <w:pPr>
        <w:ind w:left="720" w:hanging="360"/>
      </w:pPr>
    </w:lvl>
  </w:abstractNum>
  <w:abstractNum w:abstractNumId="5" w15:restartNumberingAfterBreak="0">
    <w:nsid w:val="1A264B20"/>
    <w:multiLevelType w:val="hybridMultilevel"/>
    <w:tmpl w:val="B0821352"/>
    <w:lvl w:ilvl="0" w:tplc="B28AE77A">
      <w:start w:val="1"/>
      <w:numFmt w:val="decimal"/>
      <w:lvlText w:val="%1."/>
      <w:lvlJc w:val="left"/>
      <w:pPr>
        <w:ind w:left="720" w:hanging="360"/>
      </w:pPr>
    </w:lvl>
    <w:lvl w:ilvl="1" w:tplc="E9588CC4">
      <w:start w:val="1"/>
      <w:numFmt w:val="decimal"/>
      <w:lvlText w:val="%2."/>
      <w:lvlJc w:val="left"/>
      <w:pPr>
        <w:ind w:left="720" w:hanging="360"/>
      </w:pPr>
    </w:lvl>
    <w:lvl w:ilvl="2" w:tplc="B450FF4C">
      <w:start w:val="1"/>
      <w:numFmt w:val="decimal"/>
      <w:lvlText w:val="%3."/>
      <w:lvlJc w:val="left"/>
      <w:pPr>
        <w:ind w:left="720" w:hanging="360"/>
      </w:pPr>
    </w:lvl>
    <w:lvl w:ilvl="3" w:tplc="A8C29E7E">
      <w:start w:val="1"/>
      <w:numFmt w:val="decimal"/>
      <w:lvlText w:val="%4."/>
      <w:lvlJc w:val="left"/>
      <w:pPr>
        <w:ind w:left="720" w:hanging="360"/>
      </w:pPr>
    </w:lvl>
    <w:lvl w:ilvl="4" w:tplc="D1E27D9C">
      <w:start w:val="1"/>
      <w:numFmt w:val="decimal"/>
      <w:lvlText w:val="%5."/>
      <w:lvlJc w:val="left"/>
      <w:pPr>
        <w:ind w:left="720" w:hanging="360"/>
      </w:pPr>
    </w:lvl>
    <w:lvl w:ilvl="5" w:tplc="513609D8">
      <w:start w:val="1"/>
      <w:numFmt w:val="decimal"/>
      <w:lvlText w:val="%6."/>
      <w:lvlJc w:val="left"/>
      <w:pPr>
        <w:ind w:left="720" w:hanging="360"/>
      </w:pPr>
    </w:lvl>
    <w:lvl w:ilvl="6" w:tplc="0DF24A58">
      <w:start w:val="1"/>
      <w:numFmt w:val="decimal"/>
      <w:lvlText w:val="%7."/>
      <w:lvlJc w:val="left"/>
      <w:pPr>
        <w:ind w:left="720" w:hanging="360"/>
      </w:pPr>
    </w:lvl>
    <w:lvl w:ilvl="7" w:tplc="6606599C">
      <w:start w:val="1"/>
      <w:numFmt w:val="decimal"/>
      <w:lvlText w:val="%8."/>
      <w:lvlJc w:val="left"/>
      <w:pPr>
        <w:ind w:left="720" w:hanging="360"/>
      </w:pPr>
    </w:lvl>
    <w:lvl w:ilvl="8" w:tplc="4860F6AE">
      <w:start w:val="1"/>
      <w:numFmt w:val="decimal"/>
      <w:lvlText w:val="%9."/>
      <w:lvlJc w:val="left"/>
      <w:pPr>
        <w:ind w:left="720" w:hanging="360"/>
      </w:pPr>
    </w:lvl>
  </w:abstractNum>
  <w:abstractNum w:abstractNumId="6" w15:restartNumberingAfterBreak="0">
    <w:nsid w:val="1AB71AE3"/>
    <w:multiLevelType w:val="hybridMultilevel"/>
    <w:tmpl w:val="739C86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315CDA"/>
    <w:multiLevelType w:val="hybridMultilevel"/>
    <w:tmpl w:val="FFFFFFFF"/>
    <w:lvl w:ilvl="0" w:tplc="D1BE05B6">
      <w:start w:val="1"/>
      <w:numFmt w:val="bullet"/>
      <w:lvlText w:val="o"/>
      <w:lvlJc w:val="left"/>
      <w:pPr>
        <w:ind w:left="720" w:hanging="360"/>
      </w:pPr>
      <w:rPr>
        <w:rFonts w:ascii="Courier New" w:hAnsi="Courier New" w:hint="default"/>
      </w:rPr>
    </w:lvl>
    <w:lvl w:ilvl="1" w:tplc="85D27372">
      <w:start w:val="1"/>
      <w:numFmt w:val="bullet"/>
      <w:lvlText w:val="o"/>
      <w:lvlJc w:val="left"/>
      <w:pPr>
        <w:ind w:left="1440" w:hanging="360"/>
      </w:pPr>
      <w:rPr>
        <w:rFonts w:ascii="Courier New" w:hAnsi="Courier New" w:hint="default"/>
      </w:rPr>
    </w:lvl>
    <w:lvl w:ilvl="2" w:tplc="4F34D4C0">
      <w:start w:val="1"/>
      <w:numFmt w:val="bullet"/>
      <w:lvlText w:val=""/>
      <w:lvlJc w:val="left"/>
      <w:pPr>
        <w:ind w:left="2160" w:hanging="360"/>
      </w:pPr>
      <w:rPr>
        <w:rFonts w:ascii="Wingdings" w:hAnsi="Wingdings" w:hint="default"/>
      </w:rPr>
    </w:lvl>
    <w:lvl w:ilvl="3" w:tplc="66FAF9CA">
      <w:start w:val="1"/>
      <w:numFmt w:val="bullet"/>
      <w:lvlText w:val=""/>
      <w:lvlJc w:val="left"/>
      <w:pPr>
        <w:ind w:left="2880" w:hanging="360"/>
      </w:pPr>
      <w:rPr>
        <w:rFonts w:ascii="Symbol" w:hAnsi="Symbol" w:hint="default"/>
      </w:rPr>
    </w:lvl>
    <w:lvl w:ilvl="4" w:tplc="7B5E3708">
      <w:start w:val="1"/>
      <w:numFmt w:val="bullet"/>
      <w:lvlText w:val="o"/>
      <w:lvlJc w:val="left"/>
      <w:pPr>
        <w:ind w:left="3600" w:hanging="360"/>
      </w:pPr>
      <w:rPr>
        <w:rFonts w:ascii="Courier New" w:hAnsi="Courier New" w:hint="default"/>
      </w:rPr>
    </w:lvl>
    <w:lvl w:ilvl="5" w:tplc="9D82074A">
      <w:start w:val="1"/>
      <w:numFmt w:val="bullet"/>
      <w:lvlText w:val=""/>
      <w:lvlJc w:val="left"/>
      <w:pPr>
        <w:ind w:left="4320" w:hanging="360"/>
      </w:pPr>
      <w:rPr>
        <w:rFonts w:ascii="Wingdings" w:hAnsi="Wingdings" w:hint="default"/>
      </w:rPr>
    </w:lvl>
    <w:lvl w:ilvl="6" w:tplc="E5DE0D3A">
      <w:start w:val="1"/>
      <w:numFmt w:val="bullet"/>
      <w:lvlText w:val=""/>
      <w:lvlJc w:val="left"/>
      <w:pPr>
        <w:ind w:left="5040" w:hanging="360"/>
      </w:pPr>
      <w:rPr>
        <w:rFonts w:ascii="Symbol" w:hAnsi="Symbol" w:hint="default"/>
      </w:rPr>
    </w:lvl>
    <w:lvl w:ilvl="7" w:tplc="D5F8407E">
      <w:start w:val="1"/>
      <w:numFmt w:val="bullet"/>
      <w:lvlText w:val="o"/>
      <w:lvlJc w:val="left"/>
      <w:pPr>
        <w:ind w:left="5760" w:hanging="360"/>
      </w:pPr>
      <w:rPr>
        <w:rFonts w:ascii="Courier New" w:hAnsi="Courier New" w:hint="default"/>
      </w:rPr>
    </w:lvl>
    <w:lvl w:ilvl="8" w:tplc="81B8ED3E">
      <w:start w:val="1"/>
      <w:numFmt w:val="bullet"/>
      <w:lvlText w:val=""/>
      <w:lvlJc w:val="left"/>
      <w:pPr>
        <w:ind w:left="6480" w:hanging="360"/>
      </w:pPr>
      <w:rPr>
        <w:rFonts w:ascii="Wingdings" w:hAnsi="Wingdings" w:hint="default"/>
      </w:rPr>
    </w:lvl>
  </w:abstractNum>
  <w:abstractNum w:abstractNumId="8" w15:restartNumberingAfterBreak="0">
    <w:nsid w:val="22500F55"/>
    <w:multiLevelType w:val="multilevel"/>
    <w:tmpl w:val="C9C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A1BBA"/>
    <w:multiLevelType w:val="hybridMultilevel"/>
    <w:tmpl w:val="71321B28"/>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187535D"/>
    <w:multiLevelType w:val="hybridMultilevel"/>
    <w:tmpl w:val="9FA05DDC"/>
    <w:lvl w:ilvl="0" w:tplc="34786BA6">
      <w:start w:val="1"/>
      <w:numFmt w:val="decimal"/>
      <w:lvlText w:val="%1."/>
      <w:lvlJc w:val="left"/>
      <w:pPr>
        <w:ind w:left="720" w:hanging="360"/>
      </w:pPr>
    </w:lvl>
    <w:lvl w:ilvl="1" w:tplc="5D0E4892">
      <w:start w:val="1"/>
      <w:numFmt w:val="decimal"/>
      <w:lvlText w:val="%2."/>
      <w:lvlJc w:val="left"/>
      <w:pPr>
        <w:ind w:left="720" w:hanging="360"/>
      </w:pPr>
    </w:lvl>
    <w:lvl w:ilvl="2" w:tplc="9506910A">
      <w:start w:val="1"/>
      <w:numFmt w:val="decimal"/>
      <w:lvlText w:val="%3."/>
      <w:lvlJc w:val="left"/>
      <w:pPr>
        <w:ind w:left="720" w:hanging="360"/>
      </w:pPr>
    </w:lvl>
    <w:lvl w:ilvl="3" w:tplc="AE76558A">
      <w:start w:val="1"/>
      <w:numFmt w:val="decimal"/>
      <w:lvlText w:val="%4."/>
      <w:lvlJc w:val="left"/>
      <w:pPr>
        <w:ind w:left="720" w:hanging="360"/>
      </w:pPr>
    </w:lvl>
    <w:lvl w:ilvl="4" w:tplc="19705B44">
      <w:start w:val="1"/>
      <w:numFmt w:val="decimal"/>
      <w:lvlText w:val="%5."/>
      <w:lvlJc w:val="left"/>
      <w:pPr>
        <w:ind w:left="720" w:hanging="360"/>
      </w:pPr>
    </w:lvl>
    <w:lvl w:ilvl="5" w:tplc="B732699E">
      <w:start w:val="1"/>
      <w:numFmt w:val="decimal"/>
      <w:lvlText w:val="%6."/>
      <w:lvlJc w:val="left"/>
      <w:pPr>
        <w:ind w:left="720" w:hanging="360"/>
      </w:pPr>
    </w:lvl>
    <w:lvl w:ilvl="6" w:tplc="5C743EF2">
      <w:start w:val="1"/>
      <w:numFmt w:val="decimal"/>
      <w:lvlText w:val="%7."/>
      <w:lvlJc w:val="left"/>
      <w:pPr>
        <w:ind w:left="720" w:hanging="360"/>
      </w:pPr>
    </w:lvl>
    <w:lvl w:ilvl="7" w:tplc="42E01FD6">
      <w:start w:val="1"/>
      <w:numFmt w:val="decimal"/>
      <w:lvlText w:val="%8."/>
      <w:lvlJc w:val="left"/>
      <w:pPr>
        <w:ind w:left="720" w:hanging="360"/>
      </w:pPr>
    </w:lvl>
    <w:lvl w:ilvl="8" w:tplc="A1A4BBF0">
      <w:start w:val="1"/>
      <w:numFmt w:val="decimal"/>
      <w:lvlText w:val="%9."/>
      <w:lvlJc w:val="left"/>
      <w:pPr>
        <w:ind w:left="720" w:hanging="360"/>
      </w:pPr>
    </w:lvl>
  </w:abstractNum>
  <w:abstractNum w:abstractNumId="11" w15:restartNumberingAfterBreak="0">
    <w:nsid w:val="375A3332"/>
    <w:multiLevelType w:val="hybridMultilevel"/>
    <w:tmpl w:val="A2EE1500"/>
    <w:lvl w:ilvl="0" w:tplc="223EE81A">
      <w:start w:val="1"/>
      <w:numFmt w:val="bullet"/>
      <w:lvlText w:val=""/>
      <w:lvlJc w:val="left"/>
      <w:pPr>
        <w:ind w:left="720" w:hanging="360"/>
      </w:pPr>
      <w:rPr>
        <w:rFonts w:ascii="Symbol" w:hAnsi="Symbol"/>
      </w:rPr>
    </w:lvl>
    <w:lvl w:ilvl="1" w:tplc="BE94D148">
      <w:start w:val="1"/>
      <w:numFmt w:val="bullet"/>
      <w:lvlText w:val=""/>
      <w:lvlJc w:val="left"/>
      <w:pPr>
        <w:ind w:left="720" w:hanging="360"/>
      </w:pPr>
      <w:rPr>
        <w:rFonts w:ascii="Symbol" w:hAnsi="Symbol"/>
      </w:rPr>
    </w:lvl>
    <w:lvl w:ilvl="2" w:tplc="4C54C686">
      <w:start w:val="1"/>
      <w:numFmt w:val="bullet"/>
      <w:lvlText w:val=""/>
      <w:lvlJc w:val="left"/>
      <w:pPr>
        <w:ind w:left="720" w:hanging="360"/>
      </w:pPr>
      <w:rPr>
        <w:rFonts w:ascii="Symbol" w:hAnsi="Symbol"/>
      </w:rPr>
    </w:lvl>
    <w:lvl w:ilvl="3" w:tplc="97C6310A">
      <w:start w:val="1"/>
      <w:numFmt w:val="bullet"/>
      <w:lvlText w:val=""/>
      <w:lvlJc w:val="left"/>
      <w:pPr>
        <w:ind w:left="720" w:hanging="360"/>
      </w:pPr>
      <w:rPr>
        <w:rFonts w:ascii="Symbol" w:hAnsi="Symbol"/>
      </w:rPr>
    </w:lvl>
    <w:lvl w:ilvl="4" w:tplc="BC5A5FA0">
      <w:start w:val="1"/>
      <w:numFmt w:val="bullet"/>
      <w:lvlText w:val=""/>
      <w:lvlJc w:val="left"/>
      <w:pPr>
        <w:ind w:left="720" w:hanging="360"/>
      </w:pPr>
      <w:rPr>
        <w:rFonts w:ascii="Symbol" w:hAnsi="Symbol"/>
      </w:rPr>
    </w:lvl>
    <w:lvl w:ilvl="5" w:tplc="072A4506">
      <w:start w:val="1"/>
      <w:numFmt w:val="bullet"/>
      <w:lvlText w:val=""/>
      <w:lvlJc w:val="left"/>
      <w:pPr>
        <w:ind w:left="720" w:hanging="360"/>
      </w:pPr>
      <w:rPr>
        <w:rFonts w:ascii="Symbol" w:hAnsi="Symbol"/>
      </w:rPr>
    </w:lvl>
    <w:lvl w:ilvl="6" w:tplc="6FFA5D64">
      <w:start w:val="1"/>
      <w:numFmt w:val="bullet"/>
      <w:lvlText w:val=""/>
      <w:lvlJc w:val="left"/>
      <w:pPr>
        <w:ind w:left="720" w:hanging="360"/>
      </w:pPr>
      <w:rPr>
        <w:rFonts w:ascii="Symbol" w:hAnsi="Symbol"/>
      </w:rPr>
    </w:lvl>
    <w:lvl w:ilvl="7" w:tplc="4CFE0670">
      <w:start w:val="1"/>
      <w:numFmt w:val="bullet"/>
      <w:lvlText w:val=""/>
      <w:lvlJc w:val="left"/>
      <w:pPr>
        <w:ind w:left="720" w:hanging="360"/>
      </w:pPr>
      <w:rPr>
        <w:rFonts w:ascii="Symbol" w:hAnsi="Symbol"/>
      </w:rPr>
    </w:lvl>
    <w:lvl w:ilvl="8" w:tplc="55DE94DA">
      <w:start w:val="1"/>
      <w:numFmt w:val="bullet"/>
      <w:lvlText w:val=""/>
      <w:lvlJc w:val="left"/>
      <w:pPr>
        <w:ind w:left="720" w:hanging="360"/>
      </w:pPr>
      <w:rPr>
        <w:rFonts w:ascii="Symbol" w:hAnsi="Symbol"/>
      </w:rPr>
    </w:lvl>
  </w:abstractNum>
  <w:abstractNum w:abstractNumId="12" w15:restartNumberingAfterBreak="0">
    <w:nsid w:val="3E7710AF"/>
    <w:multiLevelType w:val="hybridMultilevel"/>
    <w:tmpl w:val="85B276F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6434302"/>
    <w:multiLevelType w:val="hybridMultilevel"/>
    <w:tmpl w:val="229863AC"/>
    <w:lvl w:ilvl="0" w:tplc="FFFFFFFF">
      <w:start w:val="1"/>
      <w:numFmt w:val="bullet"/>
      <w:lvlText w:val=""/>
      <w:lvlJc w:val="left"/>
      <w:pPr>
        <w:ind w:left="720" w:hanging="360"/>
      </w:pPr>
      <w:rPr>
        <w:rFonts w:ascii="Courier New" w:hAnsi="Courier New"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E3E6764"/>
    <w:multiLevelType w:val="hybridMultilevel"/>
    <w:tmpl w:val="8194929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08E1AE2"/>
    <w:multiLevelType w:val="multilevel"/>
    <w:tmpl w:val="FC4C9534"/>
    <w:lvl w:ilvl="0">
      <w:start w:val="1"/>
      <w:numFmt w:val="bullet"/>
      <w:pStyle w:val="Considran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D2C6A"/>
    <w:multiLevelType w:val="hybridMultilevel"/>
    <w:tmpl w:val="39F2598C"/>
    <w:lvl w:ilvl="0" w:tplc="1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A2624EC"/>
    <w:multiLevelType w:val="hybridMultilevel"/>
    <w:tmpl w:val="65EC9B4C"/>
    <w:lvl w:ilvl="0" w:tplc="4036CB6A">
      <w:start w:val="1"/>
      <w:numFmt w:val="decimal"/>
      <w:lvlText w:val="%1."/>
      <w:lvlJc w:val="left"/>
      <w:pPr>
        <w:ind w:left="1020" w:hanging="360"/>
      </w:pPr>
    </w:lvl>
    <w:lvl w:ilvl="1" w:tplc="47085454">
      <w:start w:val="1"/>
      <w:numFmt w:val="decimal"/>
      <w:lvlText w:val="%2."/>
      <w:lvlJc w:val="left"/>
      <w:pPr>
        <w:ind w:left="1020" w:hanging="360"/>
      </w:pPr>
    </w:lvl>
    <w:lvl w:ilvl="2" w:tplc="93047DA2">
      <w:start w:val="1"/>
      <w:numFmt w:val="decimal"/>
      <w:lvlText w:val="%3."/>
      <w:lvlJc w:val="left"/>
      <w:pPr>
        <w:ind w:left="1020" w:hanging="360"/>
      </w:pPr>
    </w:lvl>
    <w:lvl w:ilvl="3" w:tplc="182EEFC6">
      <w:start w:val="1"/>
      <w:numFmt w:val="decimal"/>
      <w:lvlText w:val="%4."/>
      <w:lvlJc w:val="left"/>
      <w:pPr>
        <w:ind w:left="1020" w:hanging="360"/>
      </w:pPr>
    </w:lvl>
    <w:lvl w:ilvl="4" w:tplc="0E366AC8">
      <w:start w:val="1"/>
      <w:numFmt w:val="decimal"/>
      <w:lvlText w:val="%5."/>
      <w:lvlJc w:val="left"/>
      <w:pPr>
        <w:ind w:left="1020" w:hanging="360"/>
      </w:pPr>
    </w:lvl>
    <w:lvl w:ilvl="5" w:tplc="DE32E3A6">
      <w:start w:val="1"/>
      <w:numFmt w:val="decimal"/>
      <w:lvlText w:val="%6."/>
      <w:lvlJc w:val="left"/>
      <w:pPr>
        <w:ind w:left="1020" w:hanging="360"/>
      </w:pPr>
    </w:lvl>
    <w:lvl w:ilvl="6" w:tplc="EDF43156">
      <w:start w:val="1"/>
      <w:numFmt w:val="decimal"/>
      <w:lvlText w:val="%7."/>
      <w:lvlJc w:val="left"/>
      <w:pPr>
        <w:ind w:left="1020" w:hanging="360"/>
      </w:pPr>
    </w:lvl>
    <w:lvl w:ilvl="7" w:tplc="1A52107C">
      <w:start w:val="1"/>
      <w:numFmt w:val="decimal"/>
      <w:lvlText w:val="%8."/>
      <w:lvlJc w:val="left"/>
      <w:pPr>
        <w:ind w:left="1020" w:hanging="360"/>
      </w:pPr>
    </w:lvl>
    <w:lvl w:ilvl="8" w:tplc="CB4EEB00">
      <w:start w:val="1"/>
      <w:numFmt w:val="decimal"/>
      <w:lvlText w:val="%9."/>
      <w:lvlJc w:val="left"/>
      <w:pPr>
        <w:ind w:left="1020" w:hanging="360"/>
      </w:pPr>
    </w:lvl>
  </w:abstractNum>
  <w:abstractNum w:abstractNumId="18" w15:restartNumberingAfterBreak="0">
    <w:nsid w:val="5DC75BCA"/>
    <w:multiLevelType w:val="hybridMultilevel"/>
    <w:tmpl w:val="4D867BF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1FA78F5"/>
    <w:multiLevelType w:val="hybridMultilevel"/>
    <w:tmpl w:val="2F84457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A4614A1"/>
    <w:multiLevelType w:val="hybridMultilevel"/>
    <w:tmpl w:val="5E3215C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A5975A7"/>
    <w:multiLevelType w:val="hybridMultilevel"/>
    <w:tmpl w:val="A4C00D4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
  </w:num>
  <w:num w:numId="4">
    <w:abstractNumId w:val="3"/>
  </w:num>
  <w:num w:numId="5">
    <w:abstractNumId w:val="16"/>
  </w:num>
  <w:num w:numId="6">
    <w:abstractNumId w:val="7"/>
  </w:num>
  <w:num w:numId="7">
    <w:abstractNumId w:val="19"/>
  </w:num>
  <w:num w:numId="8">
    <w:abstractNumId w:val="1"/>
  </w:num>
  <w:num w:numId="9">
    <w:abstractNumId w:val="21"/>
  </w:num>
  <w:num w:numId="10">
    <w:abstractNumId w:val="9"/>
  </w:num>
  <w:num w:numId="11">
    <w:abstractNumId w:val="6"/>
  </w:num>
  <w:num w:numId="12">
    <w:abstractNumId w:val="12"/>
  </w:num>
  <w:num w:numId="13">
    <w:abstractNumId w:val="20"/>
  </w:num>
  <w:num w:numId="14">
    <w:abstractNumId w:val="14"/>
  </w:num>
  <w:num w:numId="15">
    <w:abstractNumId w:val="0"/>
  </w:num>
  <w:num w:numId="16">
    <w:abstractNumId w:val="3"/>
  </w:num>
  <w:num w:numId="17">
    <w:abstractNumId w:val="5"/>
  </w:num>
  <w:num w:numId="18">
    <w:abstractNumId w:val="4"/>
  </w:num>
  <w:num w:numId="19">
    <w:abstractNumId w:val="10"/>
  </w:num>
  <w:num w:numId="20">
    <w:abstractNumId w:val="17"/>
  </w:num>
  <w:num w:numId="21">
    <w:abstractNumId w:val="18"/>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FE32D84-595C-46E3-96DE-1E4EECDE2313"/>
    <w:docVar w:name="LW_COVERPAGE_TYPE" w:val="1"/>
    <w:docVar w:name="LW_CROSSREFERENCE" w:val="{SWD(2026) 115 final}"/>
    <w:docVar w:name="LW_DocType" w:val="NORMAL"/>
    <w:docVar w:name="LW_EMISSION" w:val="10.3.2026."/>
    <w:docVar w:name="LW_EMISSION_ISODATE" w:val="2026-03-10"/>
    <w:docVar w:name="LW_EMISSION_LOCATION" w:val="STR"/>
    <w:docVar w:name="LW_EMISSION_PREFIX" w:val="Strasbourg, "/>
    <w:docVar w:name="LW_EMISSION_SUFFIX" w:val="&lt;EMPTY&gt;"/>
    <w:docVar w:name="LW_ID_DOCTYPE_NONLW" w:val="CP-012"/>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6) 1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ergetski paket za gra\u273?ane"/>
    <w:docVar w:name="LW_TYPE.DOC.CP" w:val="KOMUNIKACIJA KOMISIJE EUROPSKOM PARLAMENTU I VIJE\u262?U"/>
    <w:docVar w:name="LW_TYPE.DOC.CP.USERTEXT" w:val="&lt;EMPTY&gt;"/>
    <w:docVar w:name="LwApiVersions" w:val="LW4CoDe 1.24.5.0; LW 9.2, Build 20251112"/>
  </w:docVars>
  <w:rsids>
    <w:rsidRoot w:val="0075286F"/>
    <w:rsid w:val="00092FDD"/>
    <w:rsid w:val="0026483A"/>
    <w:rsid w:val="006A4F78"/>
    <w:rsid w:val="007028BD"/>
    <w:rsid w:val="0073602F"/>
    <w:rsid w:val="0075286F"/>
    <w:rsid w:val="00D01537"/>
    <w:rsid w:val="00D52C87"/>
    <w:rsid w:val="00D76238"/>
    <w:rsid w:val="00FB1A2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8A5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1st elvel bullet green,1st level - Bullet List Paragraph,Lettre d'introduction,Paragrafo elenco,List Paragraph1,Medium Grid 1 - Accent 21,FooterText,Paragraphe de liste1,Heading 2_sj,Numbered Para 1,Dot pt,No Spacing1,Bullet 1,lp1,Ha"/>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jc w:val="both"/>
    </w:pPr>
    <w:rPr>
      <w:kern w:val="0"/>
      <w:sz w:val="20"/>
      <w:szCs w:val="20"/>
    </w:rPr>
  </w:style>
  <w:style w:type="character" w:customStyle="1" w:styleId="CommentTextChar">
    <w:name w:val="Comment Text Char"/>
    <w:basedOn w:val="DefaultParagraphFont"/>
    <w:link w:val="CommentText"/>
    <w:uiPriority w:val="99"/>
    <w:rPr>
      <w:kern w:val="0"/>
      <w:sz w:val="20"/>
      <w:szCs w:val="20"/>
    </w:rPr>
  </w:style>
  <w:style w:type="character" w:customStyle="1" w:styleId="cf01">
    <w:name w:val="cf01"/>
    <w:basedOn w:val="DefaultParagraphFont"/>
    <w:rPr>
      <w:rFonts w:ascii="Segoe UI" w:hAnsi="Segoe UI" w:cs="Segoe UI" w:hint="default"/>
      <w:sz w:val="18"/>
      <w:szCs w:val="18"/>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noteTex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Pr>
      <w:sz w:val="20"/>
      <w:szCs w:val="20"/>
      <w:lang w:val="hr-HR"/>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R,ftref,16 P"/>
    <w:basedOn w:val="DefaultParagraphFont"/>
    <w:link w:val="FootnoteReferenceCharCarCharCharCarCharCarCharCarCharCarCharCharCarCarCharCharCharCharCharCarCharCarCharCharCarCharCar"/>
    <w:uiPriority w:val="99"/>
    <w:unhideWhenUsed/>
    <w:qFormat/>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pPr>
      <w:spacing w:line="240" w:lineRule="exact"/>
      <w:jc w:val="both"/>
    </w:pPr>
    <w:rPr>
      <w:vertAlign w:val="superscript"/>
    </w:rPr>
  </w:style>
  <w:style w:type="paragraph" w:customStyle="1" w:styleId="oj-normal">
    <w:name w:val="oj-normal"/>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styleId="HTMLCite">
    <w:name w:val="HTML Cite"/>
    <w:basedOn w:val="DefaultParagraphFont"/>
    <w:uiPriority w:val="99"/>
    <w:semiHidden/>
    <w:unhideWhenUsed/>
    <w:rPr>
      <w:i/>
      <w:iCs/>
    </w:rPr>
  </w:style>
  <w:style w:type="character" w:customStyle="1" w:styleId="ve-pasteprotect">
    <w:name w:val="ve-pasteprotect"/>
    <w:basedOn w:val="DefaultParagraphFont"/>
  </w:style>
  <w:style w:type="character" w:customStyle="1" w:styleId="normaltextrun">
    <w:name w:val="normaltextrun"/>
    <w:basedOn w:val="DefaultParagraphFon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r-H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r-H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paragraph" w:styleId="CommentSubject">
    <w:name w:val="annotation subject"/>
    <w:basedOn w:val="CommentText"/>
    <w:next w:val="CommentText"/>
    <w:link w:val="CommentSubjectChar"/>
    <w:uiPriority w:val="99"/>
    <w:semiHidden/>
    <w:unhideWhenUsed/>
    <w:pPr>
      <w:jc w:val="left"/>
    </w:pPr>
    <w:rPr>
      <w:b/>
      <w:bCs/>
      <w:kern w:val="2"/>
    </w:rPr>
  </w:style>
  <w:style w:type="character" w:customStyle="1" w:styleId="CommentSubjectChar">
    <w:name w:val="Comment Subject Char"/>
    <w:basedOn w:val="CommentTextChar"/>
    <w:link w:val="CommentSubject"/>
    <w:uiPriority w:val="99"/>
    <w:semiHidden/>
    <w:rPr>
      <w:b/>
      <w:bCs/>
      <w:kern w:val="0"/>
      <w:sz w:val="20"/>
      <w:szCs w:val="20"/>
      <w:lang w:val="hr-HR"/>
    </w:rPr>
  </w:style>
  <w:style w:type="character" w:customStyle="1" w:styleId="Mention">
    <w:name w:val="Mention"/>
    <w:basedOn w:val="DefaultParagraphFont"/>
    <w:uiPriority w:val="99"/>
    <w:unhideWhenUsed/>
    <w:rPr>
      <w:color w:val="2B579A"/>
      <w:shd w:val="clear" w:color="auto" w:fill="E1DFDD"/>
    </w:rPr>
  </w:style>
  <w:style w:type="paragraph" w:styleId="Revision">
    <w:name w:val="Revision"/>
    <w:hidden/>
    <w:uiPriority w:val="99"/>
    <w:semiHidden/>
    <w:pPr>
      <w:spacing w:after="0" w:line="240" w:lineRule="auto"/>
    </w:pPr>
  </w:style>
  <w:style w:type="paragraph" w:customStyle="1" w:styleId="paragraph">
    <w:name w:val="paragraph"/>
    <w:basedOn w:val="Normal"/>
    <w:uiPriority w:val="1"/>
    <w:pPr>
      <w:spacing w:beforeAutospacing="1" w:after="240" w:afterAutospacing="1"/>
    </w:pPr>
    <w:rPr>
      <w:rFonts w:ascii="Times New Roman" w:eastAsia="Times New Roman" w:hAnsi="Times New Roman" w:cs="Times New Roman"/>
      <w:sz w:val="24"/>
      <w:szCs w:val="24"/>
      <w:lang w:eastAsia="en-IE"/>
    </w:rPr>
  </w:style>
  <w:style w:type="paragraph" w:customStyle="1" w:styleId="Default">
    <w:name w:val="Default"/>
    <w:pPr>
      <w:autoSpaceDE w:val="0"/>
      <w:autoSpaceDN w:val="0"/>
      <w:adjustRightInd w:val="0"/>
      <w:spacing w:after="0" w:line="240" w:lineRule="auto"/>
    </w:pPr>
    <w:rPr>
      <w:rFonts w:ascii="Arial" w:eastAsia="Calibri" w:hAnsi="Arial" w:cs="Arial"/>
      <w:color w:val="000000"/>
      <w:kern w:val="0"/>
      <w:sz w:val="24"/>
      <w:szCs w:val="24"/>
      <w:lang w:eastAsia="en-GB"/>
    </w:rPr>
  </w:style>
  <w:style w:type="character" w:customStyle="1" w:styleId="superscript">
    <w:name w:val="superscript"/>
    <w:basedOn w:val="DefaultParagraphFont"/>
  </w:style>
  <w:style w:type="character" w:customStyle="1" w:styleId="eop">
    <w:name w:val="eop"/>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1st elvel bullet green Char,1st level - Bullet List Paragraph Char,Lettre d'introduction Char,Paragrafo elenco Char,List Paragraph1 Char,Medium Grid 1 - Accent 21 Char,FooterText Char,Paragraphe de liste1 Char,Heading 2_sj Char"/>
    <w:link w:val="ListParagraph"/>
    <w:uiPriority w:val="34"/>
    <w:qFormat/>
  </w:style>
  <w:style w:type="table" w:styleId="TableGrid">
    <w:name w:val="Table Grid"/>
    <w:basedOn w:val="TableNormal"/>
    <w:uiPriority w:val="39"/>
    <w:pPr>
      <w:spacing w:after="0" w:line="240" w:lineRule="auto"/>
    </w:pPr>
    <w:tbl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itreobjet">
    <w:name w:val="Titre objet"/>
    <w:basedOn w:val="Normal"/>
    <w:uiPriority w:val="1"/>
    <w:pPr>
      <w:spacing w:before="360" w:after="360" w:line="240" w:lineRule="auto"/>
      <w:jc w:val="center"/>
    </w:pPr>
    <w:rPr>
      <w:rFonts w:eastAsiaTheme="minorEastAsia"/>
      <w:b/>
      <w:bCs/>
      <w:sz w:val="24"/>
      <w:szCs w:val="24"/>
    </w:rPr>
  </w:style>
  <w:style w:type="paragraph" w:customStyle="1" w:styleId="Considrant">
    <w:name w:val="Considérant"/>
    <w:basedOn w:val="Normal"/>
    <w:uiPriority w:val="1"/>
    <w:pPr>
      <w:numPr>
        <w:numId w:val="1"/>
      </w:numPr>
      <w:spacing w:before="120" w:after="120" w:line="240" w:lineRule="auto"/>
      <w:jc w:val="both"/>
    </w:pPr>
    <w:rPr>
      <w:rFonts w:eastAsiaTheme="minorEastAsia"/>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11">
    <w:name w:val="cf11"/>
    <w:basedOn w:val="DefaultParagraphFont"/>
    <w:rPr>
      <w:rFonts w:ascii="Segoe UI" w:hAnsi="Segoe UI" w:cs="Segoe UI" w:hint="default"/>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hr-HR"/>
    </w:rPr>
  </w:style>
  <w:style w:type="character" w:styleId="EndnoteReference">
    <w:name w:val="endnote reference"/>
    <w:basedOn w:val="DefaultParagraphFont"/>
    <w:uiPriority w:val="99"/>
    <w:semiHidden/>
    <w:unhideWhenUsed/>
    <w:rPr>
      <w:vertAlign w:val="superscript"/>
    </w:rPr>
  </w:style>
  <w:style w:type="character" w:styleId="LineNumber">
    <w:name w:val="line number"/>
    <w:basedOn w:val="DefaultParagraphFont"/>
    <w:uiPriority w:val="99"/>
    <w:semiHidden/>
    <w:unhideWhenUsed/>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365">
      <w:bodyDiv w:val="1"/>
      <w:marLeft w:val="0"/>
      <w:marRight w:val="0"/>
      <w:marTop w:val="0"/>
      <w:marBottom w:val="0"/>
      <w:divBdr>
        <w:top w:val="none" w:sz="0" w:space="0" w:color="auto"/>
        <w:left w:val="none" w:sz="0" w:space="0" w:color="auto"/>
        <w:bottom w:val="none" w:sz="0" w:space="0" w:color="auto"/>
        <w:right w:val="none" w:sz="0" w:space="0" w:color="auto"/>
      </w:divBdr>
    </w:div>
    <w:div w:id="804467303">
      <w:bodyDiv w:val="1"/>
      <w:marLeft w:val="0"/>
      <w:marRight w:val="0"/>
      <w:marTop w:val="0"/>
      <w:marBottom w:val="0"/>
      <w:divBdr>
        <w:top w:val="none" w:sz="0" w:space="0" w:color="auto"/>
        <w:left w:val="none" w:sz="0" w:space="0" w:color="auto"/>
        <w:bottom w:val="none" w:sz="0" w:space="0" w:color="auto"/>
        <w:right w:val="none" w:sz="0" w:space="0" w:color="auto"/>
      </w:divBdr>
    </w:div>
    <w:div w:id="845905792">
      <w:bodyDiv w:val="1"/>
      <w:marLeft w:val="0"/>
      <w:marRight w:val="0"/>
      <w:marTop w:val="0"/>
      <w:marBottom w:val="0"/>
      <w:divBdr>
        <w:top w:val="none" w:sz="0" w:space="0" w:color="auto"/>
        <w:left w:val="none" w:sz="0" w:space="0" w:color="auto"/>
        <w:bottom w:val="none" w:sz="0" w:space="0" w:color="auto"/>
        <w:right w:val="none" w:sz="0" w:space="0" w:color="auto"/>
      </w:divBdr>
    </w:div>
    <w:div w:id="863134442">
      <w:bodyDiv w:val="1"/>
      <w:marLeft w:val="0"/>
      <w:marRight w:val="0"/>
      <w:marTop w:val="0"/>
      <w:marBottom w:val="0"/>
      <w:divBdr>
        <w:top w:val="none" w:sz="0" w:space="0" w:color="auto"/>
        <w:left w:val="none" w:sz="0" w:space="0" w:color="auto"/>
        <w:bottom w:val="none" w:sz="0" w:space="0" w:color="auto"/>
        <w:right w:val="none" w:sz="0" w:space="0" w:color="auto"/>
      </w:divBdr>
    </w:div>
    <w:div w:id="1085878185">
      <w:bodyDiv w:val="1"/>
      <w:marLeft w:val="0"/>
      <w:marRight w:val="0"/>
      <w:marTop w:val="0"/>
      <w:marBottom w:val="0"/>
      <w:divBdr>
        <w:top w:val="none" w:sz="0" w:space="0" w:color="auto"/>
        <w:left w:val="none" w:sz="0" w:space="0" w:color="auto"/>
        <w:bottom w:val="none" w:sz="0" w:space="0" w:color="auto"/>
        <w:right w:val="none" w:sz="0" w:space="0" w:color="auto"/>
      </w:divBdr>
    </w:div>
    <w:div w:id="1392384126">
      <w:bodyDiv w:val="1"/>
      <w:marLeft w:val="0"/>
      <w:marRight w:val="0"/>
      <w:marTop w:val="0"/>
      <w:marBottom w:val="0"/>
      <w:divBdr>
        <w:top w:val="none" w:sz="0" w:space="0" w:color="auto"/>
        <w:left w:val="none" w:sz="0" w:space="0" w:color="auto"/>
        <w:bottom w:val="none" w:sz="0" w:space="0" w:color="auto"/>
        <w:right w:val="none" w:sz="0" w:space="0" w:color="auto"/>
      </w:divBdr>
    </w:div>
    <w:div w:id="1557856654">
      <w:bodyDiv w:val="1"/>
      <w:marLeft w:val="0"/>
      <w:marRight w:val="0"/>
      <w:marTop w:val="0"/>
      <w:marBottom w:val="0"/>
      <w:divBdr>
        <w:top w:val="none" w:sz="0" w:space="0" w:color="auto"/>
        <w:left w:val="none" w:sz="0" w:space="0" w:color="auto"/>
        <w:bottom w:val="none" w:sz="0" w:space="0" w:color="auto"/>
        <w:right w:val="none" w:sz="0" w:space="0" w:color="auto"/>
      </w:divBdr>
    </w:div>
    <w:div w:id="1797025690">
      <w:bodyDiv w:val="1"/>
      <w:marLeft w:val="0"/>
      <w:marRight w:val="0"/>
      <w:marTop w:val="0"/>
      <w:marBottom w:val="0"/>
      <w:divBdr>
        <w:top w:val="none" w:sz="0" w:space="0" w:color="auto"/>
        <w:left w:val="none" w:sz="0" w:space="0" w:color="auto"/>
        <w:bottom w:val="none" w:sz="0" w:space="0" w:color="auto"/>
        <w:right w:val="none" w:sz="0" w:space="0" w:color="auto"/>
      </w:divBdr>
    </w:div>
    <w:div w:id="21364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statistics-explained/index.php?title=Energy_consumption_in_households" TargetMode="External"/><Relationship Id="rId13" Type="http://schemas.openxmlformats.org/officeDocument/2006/relationships/hyperlink" Target="https://www.dnv.com/publications/demand-side-flexibility-quantification-of-benefits-in-the-eu-232342/" TargetMode="External"/><Relationship Id="rId18" Type="http://schemas.openxmlformats.org/officeDocument/2006/relationships/hyperlink" Target="https://cinea.ec.europa.eu/programmes/life/life-legal-basis/life-multiannual-work-programme-2025-2027_en" TargetMode="External"/><Relationship Id="rId3" Type="http://schemas.openxmlformats.org/officeDocument/2006/relationships/hyperlink" Target="https://eur-lex.europa.eu/legal-content/HR/TXT/?uri=CELEX%3A52025DC0079&amp;qid=1741780110418" TargetMode="External"/><Relationship Id="rId7" Type="http://schemas.openxmlformats.org/officeDocument/2006/relationships/hyperlink" Target="https://energy.ec.europa.eu/document/download/d911cc86-121d-445c-bd27-a14098ede7e2_en?filename=C_2025_4010_1_EN_ACT_part1_v3.pdf" TargetMode="External"/><Relationship Id="rId12" Type="http://schemas.openxmlformats.org/officeDocument/2006/relationships/hyperlink" Target="https://www.dnv.com/publications/demand-side-flexibility-quantification-of-benefits-in-the-eu-232342/" TargetMode="External"/><Relationship Id="rId17" Type="http://schemas.openxmlformats.org/officeDocument/2006/relationships/hyperlink" Target="https://eur-lex.europa.eu/legal-content/HR/TXT/?uri=CELEX%3A52025DC0274&amp;qid=1769767810018" TargetMode="External"/><Relationship Id="rId2" Type="http://schemas.openxmlformats.org/officeDocument/2006/relationships/hyperlink" Target="https://eur-lex.europa.eu/legal-content/HR/TXT/?uri=CELEX:52025DC0085" TargetMode="External"/><Relationship Id="rId16" Type="http://schemas.openxmlformats.org/officeDocument/2006/relationships/hyperlink" Target="https://ec.europa.eu/eurostat/databrowser/product/page/sdg_07_60" TargetMode="External"/><Relationship Id="rId20" Type="http://schemas.openxmlformats.org/officeDocument/2006/relationships/hyperlink" Target="https://ec.europa.eu/eurostat/databrowser/view/ilc_mdes07/default/table?lang=en" TargetMode="External"/><Relationship Id="rId1" Type="http://schemas.openxmlformats.org/officeDocument/2006/relationships/hyperlink" Target="https://europa.eu/eurobarometer/surveys/detail/3354" TargetMode="External"/><Relationship Id="rId6" Type="http://schemas.openxmlformats.org/officeDocument/2006/relationships/hyperlink" Target="https://ec.europa.eu/regional_policy/information-sources/publications/communications/2025/eu-agenda-for-cities-2025_hr" TargetMode="External"/><Relationship Id="rId11" Type="http://schemas.openxmlformats.org/officeDocument/2006/relationships/hyperlink" Target="https://www.acer.europa.eu/sites/default/files/documents/Publications/ACER-CEER-2025-Retail-monitoring.pdf" TargetMode="External"/><Relationship Id="rId5" Type="http://schemas.openxmlformats.org/officeDocument/2006/relationships/hyperlink" Target="https://eur-lex.europa.eu/legal-content/HR/TXT/?uri=CELEX%3A52025DC1005&amp;qid=1770212329024" TargetMode="External"/><Relationship Id="rId15" Type="http://schemas.openxmlformats.org/officeDocument/2006/relationships/hyperlink" Target="https://europa.eu/eurobarometer/surveys/detail/3354" TargetMode="External"/><Relationship Id="rId10" Type="http://schemas.openxmlformats.org/officeDocument/2006/relationships/hyperlink" Target="https://www.acer.europa.eu/sites/default/files/documents/Publications/MMR_2021_Energy_Retail_Consumer_Protection_Volume.pdf" TargetMode="External"/><Relationship Id="rId19" Type="http://schemas.openxmlformats.org/officeDocument/2006/relationships/hyperlink" Target="https://eur-lex.europa.eu/eli/reco/2023/2407/oj/hrv" TargetMode="External"/><Relationship Id="rId4" Type="http://schemas.openxmlformats.org/officeDocument/2006/relationships/hyperlink" Target="https://housing.ec.europa.eu/document/download/756915b5-d1b1-4bde-ac82-03532d2d3d90_en?filename=0.pdf" TargetMode="External"/><Relationship Id="rId9" Type="http://schemas.openxmlformats.org/officeDocument/2006/relationships/hyperlink" Target="https://europa.eu/eurobarometer/surveys/detail/3229" TargetMode="External"/><Relationship Id="rId14" Type="http://schemas.openxmlformats.org/officeDocument/2006/relationships/hyperlink" Target="https://europa.eu/eurobarometer/surveys/detail/3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DFC3-1F55-49AF-812A-791E1640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5123</Words>
  <Characters>29203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34258</CharactersWithSpaces>
  <SharedDoc>false</SharedDoc>
  <HLinks>
    <vt:vector size="114" baseType="variant">
      <vt:variant>
        <vt:i4>4063324</vt:i4>
      </vt:variant>
      <vt:variant>
        <vt:i4>54</vt:i4>
      </vt:variant>
      <vt:variant>
        <vt:i4>0</vt:i4>
      </vt:variant>
      <vt:variant>
        <vt:i4>5</vt:i4>
      </vt:variant>
      <vt:variant>
        <vt:lpwstr>https://ec.europa.eu/eurostat/databrowser/view/ilc_mdes07/default/table?lang=en</vt:lpwstr>
      </vt:variant>
      <vt:variant>
        <vt:lpwstr/>
      </vt:variant>
      <vt:variant>
        <vt:i4>7864428</vt:i4>
      </vt:variant>
      <vt:variant>
        <vt:i4>51</vt:i4>
      </vt:variant>
      <vt:variant>
        <vt:i4>0</vt:i4>
      </vt:variant>
      <vt:variant>
        <vt:i4>5</vt:i4>
      </vt:variant>
      <vt:variant>
        <vt:lpwstr>https://eur-lex.europa.eu/eli/reco/2023/2407/oj/eng</vt:lpwstr>
      </vt:variant>
      <vt:variant>
        <vt:lpwstr/>
      </vt:variant>
      <vt:variant>
        <vt:i4>3670107</vt:i4>
      </vt:variant>
      <vt:variant>
        <vt:i4>48</vt:i4>
      </vt:variant>
      <vt:variant>
        <vt:i4>0</vt:i4>
      </vt:variant>
      <vt:variant>
        <vt:i4>5</vt:i4>
      </vt:variant>
      <vt:variant>
        <vt:lpwstr>https://cinea.ec.europa.eu/programmes/life/life-legal-basis/life-multiannual-work-programme-2025-2027_en</vt:lpwstr>
      </vt:variant>
      <vt:variant>
        <vt:lpwstr/>
      </vt:variant>
      <vt:variant>
        <vt:i4>655367</vt:i4>
      </vt:variant>
      <vt:variant>
        <vt:i4>45</vt:i4>
      </vt:variant>
      <vt:variant>
        <vt:i4>0</vt:i4>
      </vt:variant>
      <vt:variant>
        <vt:i4>5</vt:i4>
      </vt:variant>
      <vt:variant>
        <vt:lpwstr>https://eur-lex.europa.eu/legal-content/EN/TXT/?uri=CELEX%3A52025DC0274&amp;qid=1769767810018</vt:lpwstr>
      </vt:variant>
      <vt:variant>
        <vt:lpwstr/>
      </vt:variant>
      <vt:variant>
        <vt:i4>4063264</vt:i4>
      </vt:variant>
      <vt:variant>
        <vt:i4>42</vt:i4>
      </vt:variant>
      <vt:variant>
        <vt:i4>0</vt:i4>
      </vt:variant>
      <vt:variant>
        <vt:i4>5</vt:i4>
      </vt:variant>
      <vt:variant>
        <vt:lpwstr>https://ec.europa.eu/eurostat/databrowser/product/page/sdg_07_60</vt:lpwstr>
      </vt:variant>
      <vt:variant>
        <vt:lpwstr/>
      </vt:variant>
      <vt:variant>
        <vt:i4>2097250</vt:i4>
      </vt:variant>
      <vt:variant>
        <vt:i4>39</vt:i4>
      </vt:variant>
      <vt:variant>
        <vt:i4>0</vt:i4>
      </vt:variant>
      <vt:variant>
        <vt:i4>5</vt:i4>
      </vt:variant>
      <vt:variant>
        <vt:lpwstr>https://europa.eu/eurobarometer/surveys/detail/3354</vt:lpwstr>
      </vt:variant>
      <vt:variant>
        <vt:lpwstr/>
      </vt:variant>
      <vt:variant>
        <vt:i4>2097250</vt:i4>
      </vt:variant>
      <vt:variant>
        <vt:i4>36</vt:i4>
      </vt:variant>
      <vt:variant>
        <vt:i4>0</vt:i4>
      </vt:variant>
      <vt:variant>
        <vt:i4>5</vt:i4>
      </vt:variant>
      <vt:variant>
        <vt:lpwstr>https://europa.eu/eurobarometer/surveys/detail/3354</vt:lpwstr>
      </vt:variant>
      <vt:variant>
        <vt:lpwstr/>
      </vt:variant>
      <vt:variant>
        <vt:i4>524306</vt:i4>
      </vt:variant>
      <vt:variant>
        <vt:i4>33</vt:i4>
      </vt:variant>
      <vt:variant>
        <vt:i4>0</vt:i4>
      </vt:variant>
      <vt:variant>
        <vt:i4>5</vt:i4>
      </vt:variant>
      <vt:variant>
        <vt:lpwstr>https://www.dnv.com/publications/demand-side-flexibility-quantification-of-benefits-in-the-eu-232342/</vt:lpwstr>
      </vt:variant>
      <vt:variant>
        <vt:lpwstr/>
      </vt:variant>
      <vt:variant>
        <vt:i4>2228336</vt:i4>
      </vt:variant>
      <vt:variant>
        <vt:i4>30</vt:i4>
      </vt:variant>
      <vt:variant>
        <vt:i4>0</vt:i4>
      </vt:variant>
      <vt:variant>
        <vt:i4>5</vt:i4>
      </vt:variant>
      <vt:variant>
        <vt:lpwstr>https://www.acer.europa.eu/sites/default/files/documents/Publications/ACER-CEER-2025-Retail-monitoring.pdf</vt:lpwstr>
      </vt:variant>
      <vt:variant>
        <vt:lpwstr/>
      </vt:variant>
      <vt:variant>
        <vt:i4>5242893</vt:i4>
      </vt:variant>
      <vt:variant>
        <vt:i4>27</vt:i4>
      </vt:variant>
      <vt:variant>
        <vt:i4>0</vt:i4>
      </vt:variant>
      <vt:variant>
        <vt:i4>5</vt:i4>
      </vt:variant>
      <vt:variant>
        <vt:lpwstr>https://www.acer.europa.eu/sites/default/files/documents/Publications/MMR_2021_Energy_Retail_Consumer_Protection_Volume.pdf</vt:lpwstr>
      </vt:variant>
      <vt:variant>
        <vt:lpwstr/>
      </vt:variant>
      <vt:variant>
        <vt:i4>1441822</vt:i4>
      </vt:variant>
      <vt:variant>
        <vt:i4>24</vt:i4>
      </vt:variant>
      <vt:variant>
        <vt:i4>0</vt:i4>
      </vt:variant>
      <vt:variant>
        <vt:i4>5</vt:i4>
      </vt:variant>
      <vt:variant>
        <vt:lpwstr>https://europa.eu/eurobarometer/surveys/detail/3229?etrans=hr</vt:lpwstr>
      </vt:variant>
      <vt:variant>
        <vt:lpwstr/>
      </vt:variant>
      <vt:variant>
        <vt:i4>7536728</vt:i4>
      </vt:variant>
      <vt:variant>
        <vt:i4>21</vt:i4>
      </vt:variant>
      <vt:variant>
        <vt:i4>0</vt:i4>
      </vt:variant>
      <vt:variant>
        <vt:i4>5</vt:i4>
      </vt:variant>
      <vt:variant>
        <vt:lpwstr>https://ec.europa.eu/eurostat/statistics-explained/index.php?title=Energy_consumption_in_households</vt:lpwstr>
      </vt:variant>
      <vt:variant>
        <vt:lpwstr/>
      </vt:variant>
      <vt:variant>
        <vt:i4>90</vt:i4>
      </vt:variant>
      <vt:variant>
        <vt:i4>18</vt:i4>
      </vt:variant>
      <vt:variant>
        <vt:i4>0</vt:i4>
      </vt:variant>
      <vt:variant>
        <vt:i4>5</vt:i4>
      </vt:variant>
      <vt:variant>
        <vt:lpwstr>https://energy.ec.europa.eu/document/download/d911cc86-121d-445c-bd27-a14098ede7e2_en?filename=C_2025_4010_1_EN_ACT_part1_v3.pdf</vt:lpwstr>
      </vt:variant>
      <vt:variant>
        <vt:lpwstr/>
      </vt:variant>
      <vt:variant>
        <vt:i4>3801134</vt:i4>
      </vt:variant>
      <vt:variant>
        <vt:i4>15</vt:i4>
      </vt:variant>
      <vt:variant>
        <vt:i4>0</vt:i4>
      </vt:variant>
      <vt:variant>
        <vt:i4>5</vt:i4>
      </vt:variant>
      <vt:variant>
        <vt:lpwstr>https://ec.europa.eu/regional_policy/information-sources/publications/communications/2025/eu-agenda-for-cities-2025_en</vt:lpwstr>
      </vt:variant>
      <vt:variant>
        <vt:lpwstr/>
      </vt:variant>
      <vt:variant>
        <vt:i4>196614</vt:i4>
      </vt:variant>
      <vt:variant>
        <vt:i4>12</vt:i4>
      </vt:variant>
      <vt:variant>
        <vt:i4>0</vt:i4>
      </vt:variant>
      <vt:variant>
        <vt:i4>5</vt:i4>
      </vt:variant>
      <vt:variant>
        <vt:lpwstr>https://eur-lex.europa.eu/legal-content/EN/TXT/?uri=CELEX%3A52025DC1005&amp;qid=1770212329024</vt:lpwstr>
      </vt:variant>
      <vt:variant>
        <vt:lpwstr/>
      </vt:variant>
      <vt:variant>
        <vt:i4>2097153</vt:i4>
      </vt:variant>
      <vt:variant>
        <vt:i4>9</vt:i4>
      </vt:variant>
      <vt:variant>
        <vt:i4>0</vt:i4>
      </vt:variant>
      <vt:variant>
        <vt:i4>5</vt:i4>
      </vt:variant>
      <vt:variant>
        <vt:lpwstr>https://housing.ec.europa.eu/document/download/756915b5-d1b1-4bde-ac82-03532d2d3d90_en?filename=0.pdf</vt:lpwstr>
      </vt:variant>
      <vt:variant>
        <vt:lpwstr/>
      </vt:variant>
      <vt:variant>
        <vt:i4>327689</vt:i4>
      </vt:variant>
      <vt:variant>
        <vt:i4>6</vt:i4>
      </vt:variant>
      <vt:variant>
        <vt:i4>0</vt:i4>
      </vt:variant>
      <vt:variant>
        <vt:i4>5</vt:i4>
      </vt:variant>
      <vt:variant>
        <vt:lpwstr>https://eur-lex.europa.eu/legal-content/EN/TXT/?uri=CELEX%3A52025DC0079&amp;qid=1741780110418</vt:lpwstr>
      </vt:variant>
      <vt:variant>
        <vt:lpwstr/>
      </vt:variant>
      <vt:variant>
        <vt:i4>524305</vt:i4>
      </vt:variant>
      <vt:variant>
        <vt:i4>3</vt:i4>
      </vt:variant>
      <vt:variant>
        <vt:i4>0</vt:i4>
      </vt:variant>
      <vt:variant>
        <vt:i4>5</vt:i4>
      </vt:variant>
      <vt:variant>
        <vt:lpwstr>https://eur-lex.europa.eu/legal-content/EN/TXT/?uri=CELEX:52025DC0085</vt:lpwstr>
      </vt:variant>
      <vt:variant>
        <vt:lpwstr/>
      </vt:variant>
      <vt:variant>
        <vt:i4>2097250</vt:i4>
      </vt:variant>
      <vt:variant>
        <vt:i4>0</vt:i4>
      </vt:variant>
      <vt:variant>
        <vt:i4>0</vt:i4>
      </vt:variant>
      <vt:variant>
        <vt:i4>5</vt:i4>
      </vt:variant>
      <vt:variant>
        <vt:lpwstr>https://europa.eu/eurobarometer/surveys/detail/3354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2026-03-10T10:18:00Z</dcterms:created>
  <dcterms:modified xsi:type="dcterms:W3CDTF">2026-03-10T16:59:00Z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2026-03-10T09:40:55Z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b9f8ed37-74e6-4e79-9256-e570e9087ef8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9.2, Build 20250828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CP-012</vt:lpwstr>
  </property>
</Properties>
</file>