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4F267" w14:textId="25914A25" w:rsidR="0026613F" w:rsidRPr="00861B8A" w:rsidRDefault="002B4EA9" w:rsidP="002B4EA9">
      <w:pPr>
        <w:pStyle w:val="Pagedecouverture"/>
        <w:rPr>
          <w:noProof/>
        </w:rPr>
      </w:pPr>
      <w:bookmarkStart w:id="0" w:name="LW_BM_COVERPAGE"/>
      <w:r>
        <w:rPr>
          <w:noProof/>
        </w:rPr>
        <w:pict w14:anchorId="32A09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D156C94-F799-4657-A42D-A7F2D24A4CB3" style="width:455.25pt;height:462.75pt">
            <v:imagedata r:id="rId11" o:title=""/>
          </v:shape>
        </w:pict>
      </w:r>
    </w:p>
    <w:bookmarkEnd w:id="0"/>
    <w:p w14:paraId="08944D69" w14:textId="77777777" w:rsidR="0026613F" w:rsidRPr="00861B8A" w:rsidRDefault="0026613F" w:rsidP="0026613F">
      <w:pPr>
        <w:rPr>
          <w:noProof/>
        </w:rPr>
        <w:sectPr w:rsidR="0026613F" w:rsidRPr="00861B8A" w:rsidSect="002B4EA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A44E189" w14:textId="3F19EB26" w:rsidR="00F31280" w:rsidRPr="00861B8A" w:rsidRDefault="00785570" w:rsidP="009A4EAF">
      <w:pPr>
        <w:pStyle w:val="Sections"/>
        <w:jc w:val="both"/>
        <w:rPr>
          <w:rFonts w:ascii="Times New Roman" w:hAnsi="Times New Roman"/>
          <w:noProof/>
        </w:rPr>
      </w:pPr>
      <w:bookmarkStart w:id="1" w:name="_GoBack"/>
      <w:bookmarkEnd w:id="1"/>
      <w:r w:rsidRPr="00861B8A">
        <w:rPr>
          <w:rFonts w:ascii="Times New Roman" w:hAnsi="Times New Roman"/>
          <w:noProof/>
        </w:rPr>
        <w:lastRenderedPageBreak/>
        <w:t xml:space="preserve">Potreba za poduzimanjem mjera </w:t>
      </w:r>
    </w:p>
    <w:p w14:paraId="7DF167B4" w14:textId="76C5A5CB" w:rsidR="00785570" w:rsidRPr="00861B8A" w:rsidRDefault="00785570" w:rsidP="009A4EAF">
      <w:pPr>
        <w:pStyle w:val="Sub-sections"/>
        <w:jc w:val="both"/>
        <w:rPr>
          <w:rFonts w:ascii="Times New Roman" w:hAnsi="Times New Roman"/>
          <w:noProof/>
        </w:rPr>
      </w:pPr>
      <w:r w:rsidRPr="00861B8A">
        <w:rPr>
          <w:rFonts w:ascii="Times New Roman" w:hAnsi="Times New Roman"/>
          <w:noProof/>
        </w:rPr>
        <w:t xml:space="preserve">Zašto? Koji se problem rješava? </w:t>
      </w:r>
    </w:p>
    <w:p w14:paraId="519436CC" w14:textId="33F8C636" w:rsidR="006C0989" w:rsidRPr="00861B8A" w:rsidRDefault="006C0989" w:rsidP="009A4EAF">
      <w:pPr>
        <w:pStyle w:val="ListBullet"/>
        <w:tabs>
          <w:tab w:val="clear" w:pos="283"/>
        </w:tabs>
        <w:ind w:left="0" w:firstLine="1"/>
        <w:rPr>
          <w:noProof/>
        </w:rPr>
      </w:pPr>
      <w:r w:rsidRPr="00861B8A">
        <w:rPr>
          <w:noProof/>
        </w:rPr>
        <w:t>Rak je i dalje najčešći uzrok smrtnih slučajeva povezanih s radom u EU-u, a slijede ga kardiovaskularne bolesti. Prema procjenama svake godine otprilike 80 000 ljudi u EU-u izgubi život zbog izloženosti karcinogenim tvarima na radnom mjestu</w:t>
      </w:r>
      <w:r w:rsidRPr="00861B8A">
        <w:rPr>
          <w:rStyle w:val="FootnoteReference"/>
          <w:noProof/>
        </w:rPr>
        <w:footnoteReference w:id="2"/>
      </w:r>
      <w:r w:rsidRPr="00861B8A">
        <w:rPr>
          <w:noProof/>
        </w:rPr>
        <w:t xml:space="preserve">. </w:t>
      </w:r>
    </w:p>
    <w:p w14:paraId="6E55E186" w14:textId="4C8E69A6" w:rsidR="006C0989" w:rsidRPr="00861B8A" w:rsidRDefault="006C0989" w:rsidP="009A4EAF">
      <w:pPr>
        <w:pStyle w:val="ListBullet"/>
        <w:tabs>
          <w:tab w:val="clear" w:pos="283"/>
        </w:tabs>
        <w:ind w:left="0" w:firstLine="1"/>
        <w:rPr>
          <w:noProof/>
        </w:rPr>
      </w:pPr>
      <w:r w:rsidRPr="00861B8A">
        <w:rPr>
          <w:noProof/>
        </w:rPr>
        <w:t>Kako bi se poboljšala prevencija profesionalnih bolesti u EU-u, Komisija stalno ažurira Direktivu 2004/37/EZ o karcinogenim, mutagenim i reproduktivno toksičnim tvarima</w:t>
      </w:r>
      <w:r w:rsidRPr="00861B8A">
        <w:rPr>
          <w:rStyle w:val="FootnoteReference"/>
          <w:noProof/>
        </w:rPr>
        <w:footnoteReference w:id="3"/>
      </w:r>
      <w:r w:rsidRPr="00861B8A">
        <w:rPr>
          <w:noProof/>
        </w:rPr>
        <w:t>. Taj postupak revizije pridonosi daljnjem smanjenju raširenosti profesionalnih bolesti u EU-u poboljšanjem prevencije, što je glavni cilj strateškog okvira EU-a za zdravlje i sigurnost na radu za razdoblje 2021. – 2027.</w:t>
      </w:r>
      <w:r w:rsidRPr="00861B8A">
        <w:rPr>
          <w:rStyle w:val="FootnoteReference"/>
          <w:noProof/>
        </w:rPr>
        <w:footnoteReference w:id="4"/>
      </w:r>
      <w:r w:rsidRPr="00861B8A">
        <w:rPr>
          <w:noProof/>
        </w:rPr>
        <w:t xml:space="preserve"> („strateški okvir EU-a za sigurnost i zdravlje na radu”).</w:t>
      </w:r>
    </w:p>
    <w:p w14:paraId="05172E90" w14:textId="40FA220B" w:rsidR="008D5DA6" w:rsidRPr="00861B8A" w:rsidRDefault="00D82033" w:rsidP="009A4EAF">
      <w:pPr>
        <w:pStyle w:val="ListBullet"/>
        <w:tabs>
          <w:tab w:val="clear" w:pos="283"/>
        </w:tabs>
        <w:spacing w:after="60"/>
        <w:ind w:left="0" w:firstLine="1"/>
        <w:rPr>
          <w:noProof/>
        </w:rPr>
      </w:pPr>
      <w:r w:rsidRPr="00861B8A">
        <w:rPr>
          <w:noProof/>
        </w:rPr>
        <w:t xml:space="preserve">U okviru šeste revizije Direktive o karcinogenim, mutagenim i reproduktivno toksičnim tvarima Komisija je, nakon rasprava s članovima Radne skupine za kemikalije Savjetodavnog odbora za sigurnost i zdravlje na radu, odredila kao prioritetne sljedećih pet tvari, skupina tvari ili tvari koje nastaju u procesu za moguće mjere: </w:t>
      </w:r>
    </w:p>
    <w:p w14:paraId="7F1C6CAE" w14:textId="5F6D2E10" w:rsidR="00C51673" w:rsidRPr="00861B8A" w:rsidRDefault="00C51673" w:rsidP="009A4EAF">
      <w:pPr>
        <w:pStyle w:val="ListParagraph"/>
        <w:numPr>
          <w:ilvl w:val="0"/>
          <w:numId w:val="2"/>
        </w:numPr>
        <w:spacing w:after="60" w:line="256" w:lineRule="auto"/>
        <w:jc w:val="both"/>
        <w:rPr>
          <w:rFonts w:ascii="Times New Roman" w:hAnsi="Times New Roman" w:cs="Times New Roman"/>
          <w:noProof/>
          <w:sz w:val="24"/>
          <w:szCs w:val="24"/>
        </w:rPr>
      </w:pPr>
      <w:r w:rsidRPr="00861B8A">
        <w:rPr>
          <w:rFonts w:ascii="Times New Roman" w:hAnsi="Times New Roman"/>
          <w:noProof/>
          <w:sz w:val="24"/>
        </w:rPr>
        <w:t>utvrđivanje graničnih vrijednosti za: kobalt i anorganske spojeve kobalta, policikličke aromatske ugljikovodike („PAH-ovi”), 1,4-dioksan i izopren, te</w:t>
      </w:r>
    </w:p>
    <w:p w14:paraId="0CA34A47" w14:textId="6AF08685" w:rsidR="00C51673" w:rsidRPr="00861B8A" w:rsidRDefault="00C51673" w:rsidP="009A4EAF">
      <w:pPr>
        <w:pStyle w:val="ListParagraph"/>
        <w:numPr>
          <w:ilvl w:val="0"/>
          <w:numId w:val="2"/>
        </w:numPr>
        <w:spacing w:after="240" w:line="256" w:lineRule="auto"/>
        <w:jc w:val="both"/>
        <w:rPr>
          <w:rFonts w:ascii="Times New Roman" w:hAnsi="Times New Roman" w:cs="Times New Roman"/>
          <w:noProof/>
          <w:sz w:val="24"/>
          <w:szCs w:val="24"/>
        </w:rPr>
      </w:pPr>
      <w:r w:rsidRPr="00861B8A">
        <w:rPr>
          <w:rFonts w:ascii="Times New Roman" w:hAnsi="Times New Roman"/>
          <w:noProof/>
          <w:sz w:val="24"/>
        </w:rPr>
        <w:t>uvrštavanje zavarivačkih dimova u područje primjene Priloga I. Direktivi o karcinogenim, mutagenim i reproduktivno toksičnim tvarima.</w:t>
      </w:r>
    </w:p>
    <w:p w14:paraId="1560D7C6" w14:textId="5E13C40B" w:rsidR="000E06DE" w:rsidRPr="00861B8A" w:rsidRDefault="009D7EC8" w:rsidP="009A4EAF">
      <w:pPr>
        <w:spacing w:after="240" w:line="256" w:lineRule="auto"/>
        <w:jc w:val="both"/>
        <w:rPr>
          <w:rFonts w:ascii="Times New Roman" w:hAnsi="Times New Roman" w:cs="Times New Roman"/>
          <w:noProof/>
          <w:sz w:val="24"/>
          <w:szCs w:val="24"/>
        </w:rPr>
      </w:pPr>
      <w:r w:rsidRPr="00861B8A">
        <w:rPr>
          <w:rFonts w:ascii="Times New Roman" w:hAnsi="Times New Roman"/>
          <w:noProof/>
          <w:sz w:val="24"/>
        </w:rPr>
        <w:t>Prema prikupljenim dokazima</w:t>
      </w:r>
      <w:r w:rsidRPr="00861B8A">
        <w:rPr>
          <w:rStyle w:val="FootnoteReference"/>
          <w:rFonts w:ascii="Times New Roman" w:hAnsi="Times New Roman" w:cs="Times New Roman"/>
          <w:noProof/>
          <w:sz w:val="24"/>
          <w:szCs w:val="24"/>
        </w:rPr>
        <w:footnoteReference w:id="5"/>
      </w:r>
      <w:r w:rsidRPr="00861B8A">
        <w:rPr>
          <w:rFonts w:ascii="Times New Roman" w:hAnsi="Times New Roman"/>
          <w:noProof/>
          <w:sz w:val="24"/>
        </w:rPr>
        <w:t xml:space="preserve"> više od 2,6 milijuna radnika u EU-u izloženo je jednoj od tih pet tvari. Nepoduzimanje mjera na razini EU-a prouzročilo bi više od 29 000 slučajeva raka pluća i 27 000 slučajeva koji nisu povezani s rakom</w:t>
      </w:r>
      <w:r w:rsidRPr="00861B8A">
        <w:rPr>
          <w:rStyle w:val="FootnoteReference"/>
          <w:rFonts w:ascii="Times New Roman" w:hAnsi="Times New Roman" w:cs="Times New Roman"/>
          <w:noProof/>
          <w:sz w:val="24"/>
          <w:szCs w:val="24"/>
        </w:rPr>
        <w:footnoteReference w:id="6"/>
      </w:r>
      <w:r w:rsidRPr="00861B8A">
        <w:rPr>
          <w:rFonts w:ascii="Times New Roman" w:hAnsi="Times New Roman"/>
          <w:noProof/>
          <w:sz w:val="24"/>
        </w:rPr>
        <w:t xml:space="preserve"> u sljedećih 40 godina. </w:t>
      </w:r>
    </w:p>
    <w:p w14:paraId="6212C934" w14:textId="6D6E72B2" w:rsidR="0029354D" w:rsidRPr="00861B8A" w:rsidRDefault="0029354D" w:rsidP="009A4EAF">
      <w:pPr>
        <w:spacing w:after="240" w:line="256" w:lineRule="auto"/>
        <w:jc w:val="both"/>
        <w:rPr>
          <w:rFonts w:ascii="Times New Roman" w:hAnsi="Times New Roman" w:cs="Times New Roman"/>
          <w:noProof/>
          <w:sz w:val="24"/>
          <w:szCs w:val="24"/>
        </w:rPr>
      </w:pPr>
      <w:r w:rsidRPr="00861B8A">
        <w:rPr>
          <w:rFonts w:ascii="Times New Roman" w:hAnsi="Times New Roman"/>
          <w:noProof/>
          <w:sz w:val="24"/>
        </w:rPr>
        <w:t>Radnici, poduzeća i države članice posebno su pogođeni nedostatnom prevencijom izloženosti na mjestu rada kobaltu i njegovim anorganskim spojevima, PAH-ovima, 1,4-dioksanu i zavarivačkim dimovima. S druge strane, prema prikupljenim dokazima radnici su izloženi razinama izoprena koje su niže od granične vrijednosti za zaštitu zdravlja</w:t>
      </w:r>
      <w:r w:rsidRPr="00861B8A">
        <w:rPr>
          <w:rStyle w:val="FootnoteReference"/>
          <w:rFonts w:ascii="Times New Roman" w:hAnsi="Times New Roman" w:cs="Times New Roman"/>
          <w:noProof/>
          <w:sz w:val="24"/>
          <w:szCs w:val="24"/>
        </w:rPr>
        <w:footnoteReference w:id="7"/>
      </w:r>
      <w:r w:rsidRPr="00861B8A">
        <w:rPr>
          <w:rFonts w:ascii="Times New Roman" w:hAnsi="Times New Roman"/>
          <w:noProof/>
          <w:sz w:val="24"/>
        </w:rPr>
        <w:t xml:space="preserve"> koju je u svojem mišljenju</w:t>
      </w:r>
      <w:r w:rsidRPr="00861B8A">
        <w:rPr>
          <w:rStyle w:val="FootnoteReference"/>
          <w:rFonts w:ascii="Times New Roman" w:hAnsi="Times New Roman" w:cs="Times New Roman"/>
          <w:noProof/>
          <w:sz w:val="24"/>
          <w:szCs w:val="24"/>
        </w:rPr>
        <w:footnoteReference w:id="8"/>
      </w:r>
      <w:r w:rsidRPr="00861B8A">
        <w:rPr>
          <w:rFonts w:ascii="Times New Roman" w:hAnsi="Times New Roman"/>
          <w:noProof/>
          <w:sz w:val="24"/>
        </w:rPr>
        <w:t xml:space="preserve"> utvrdio Odbor za procjenu rizika („RAC”) Europske agencije za kemikalije („ECHA”), što upućuje na to da je trenutačna prevencija izloženosti izoprenu na radnom mjestu dovoljna.</w:t>
      </w:r>
    </w:p>
    <w:p w14:paraId="4B3A1D3C" w14:textId="390441F0" w:rsidR="00603363" w:rsidRPr="00861B8A" w:rsidRDefault="00D548A4" w:rsidP="009A4EAF">
      <w:pPr>
        <w:pStyle w:val="Sub-sections"/>
        <w:jc w:val="both"/>
        <w:rPr>
          <w:rFonts w:ascii="Times New Roman" w:hAnsi="Times New Roman"/>
          <w:noProof/>
        </w:rPr>
      </w:pPr>
      <w:r w:rsidRPr="00861B8A">
        <w:rPr>
          <w:rFonts w:ascii="Times New Roman" w:hAnsi="Times New Roman"/>
          <w:noProof/>
        </w:rPr>
        <w:t xml:space="preserve">Što se nastoji postići ovom inicijativom? </w:t>
      </w:r>
    </w:p>
    <w:p w14:paraId="4466842D" w14:textId="6E60D317" w:rsidR="00271F6A" w:rsidRPr="00861B8A" w:rsidRDefault="00271F6A" w:rsidP="009A4EAF">
      <w:pPr>
        <w:pStyle w:val="Paragraph"/>
        <w:spacing w:after="60"/>
        <w:jc w:val="both"/>
        <w:rPr>
          <w:noProof/>
        </w:rPr>
      </w:pPr>
      <w:r w:rsidRPr="00861B8A">
        <w:rPr>
          <w:noProof/>
        </w:rPr>
        <w:t xml:space="preserve">Ovom se inicijativom nastoje ispuniti pravne obveze utvrđene u članku 16. Direktive o karcinogenim, mutagenim i reproduktivno toksičnim tvarima koje se odnose na utvrđivanje graničnih vrijednosti te spriječiti smrtni slučajevi i bolesti povezane s radom, u skladu s drugim glavnim ciljem strateškog okvira EU-a za sigurnost i zdravlje na radu. Inicijativom se žele postići sljedeći konkretni ciljevi: </w:t>
      </w:r>
    </w:p>
    <w:p w14:paraId="2F7FCA5B" w14:textId="77777777" w:rsidR="0029354D" w:rsidRPr="00861B8A" w:rsidRDefault="0029354D" w:rsidP="009A4EAF">
      <w:pPr>
        <w:pStyle w:val="ListParagraph"/>
        <w:numPr>
          <w:ilvl w:val="0"/>
          <w:numId w:val="2"/>
        </w:numPr>
        <w:spacing w:after="120" w:line="240" w:lineRule="auto"/>
        <w:ind w:left="720" w:hanging="357"/>
        <w:contextualSpacing w:val="0"/>
        <w:jc w:val="both"/>
        <w:rPr>
          <w:rFonts w:ascii="Times New Roman" w:hAnsi="Times New Roman" w:cs="Times New Roman"/>
          <w:noProof/>
          <w:sz w:val="24"/>
          <w:szCs w:val="24"/>
        </w:rPr>
      </w:pPr>
      <w:r w:rsidRPr="00861B8A">
        <w:rPr>
          <w:rFonts w:ascii="Times New Roman" w:hAnsi="Times New Roman"/>
          <w:noProof/>
          <w:sz w:val="24"/>
        </w:rPr>
        <w:t xml:space="preserve">dodatno poboljšati zaštita radnika od izloženosti kobaltu i njegovim anorganskim spojevima, PAH-ovima i 1,4-dioksanu u EU-u odgovarajućim mjerama koje donose poslodavci, </w:t>
      </w:r>
    </w:p>
    <w:p w14:paraId="5482BF6D" w14:textId="77777777" w:rsidR="0029354D" w:rsidRPr="00861B8A" w:rsidRDefault="0029354D" w:rsidP="009A4EAF">
      <w:pPr>
        <w:pStyle w:val="ListParagraph"/>
        <w:numPr>
          <w:ilvl w:val="0"/>
          <w:numId w:val="2"/>
        </w:numPr>
        <w:spacing w:after="120" w:line="240" w:lineRule="auto"/>
        <w:ind w:left="720" w:hanging="357"/>
        <w:contextualSpacing w:val="0"/>
        <w:jc w:val="both"/>
        <w:rPr>
          <w:rFonts w:ascii="Times New Roman" w:hAnsi="Times New Roman" w:cs="Times New Roman"/>
          <w:noProof/>
          <w:sz w:val="24"/>
          <w:szCs w:val="24"/>
        </w:rPr>
      </w:pPr>
      <w:r w:rsidRPr="00861B8A">
        <w:rPr>
          <w:rFonts w:ascii="Times New Roman" w:hAnsi="Times New Roman"/>
          <w:noProof/>
          <w:sz w:val="24"/>
        </w:rPr>
        <w:t xml:space="preserve">povećati jasnoću i djelotvornost Direktive o karcinogenim, mutagenim i reproduktivno toksičnim tvarima njezinim ažuriranjem na temelju najnovijih znanstvenih podataka koji omogućuju utvrđivanje graničnih vrijednosti, </w:t>
      </w:r>
    </w:p>
    <w:p w14:paraId="36F6A58B" w14:textId="0A31E342" w:rsidR="0029354D" w:rsidRPr="00861B8A" w:rsidRDefault="0029354D" w:rsidP="009A4EAF">
      <w:pPr>
        <w:pStyle w:val="ListParagraph"/>
        <w:numPr>
          <w:ilvl w:val="0"/>
          <w:numId w:val="2"/>
        </w:numPr>
        <w:spacing w:after="120" w:line="240" w:lineRule="auto"/>
        <w:ind w:left="720" w:hanging="357"/>
        <w:contextualSpacing w:val="0"/>
        <w:jc w:val="both"/>
        <w:rPr>
          <w:rFonts w:ascii="Times New Roman" w:hAnsi="Times New Roman" w:cs="Times New Roman"/>
          <w:noProof/>
          <w:sz w:val="24"/>
          <w:szCs w:val="24"/>
        </w:rPr>
      </w:pPr>
      <w:r w:rsidRPr="00861B8A">
        <w:rPr>
          <w:rFonts w:ascii="Times New Roman" w:hAnsi="Times New Roman"/>
          <w:noProof/>
          <w:sz w:val="24"/>
        </w:rPr>
        <w:t>olakšati provedbu i pridonijeti ravnopravnijim uvjetima za gospodarske subjekte donošenjem minimalnih zahtjeva na razini EU-a koji se primjenjuju na sva poduzeća, bez obzira na njihovu lokaciju, i</w:t>
      </w:r>
    </w:p>
    <w:p w14:paraId="04B01DB7" w14:textId="558D73AB" w:rsidR="00A375A9" w:rsidRPr="00861B8A" w:rsidRDefault="0029354D" w:rsidP="0087385F">
      <w:pPr>
        <w:pStyle w:val="ListParagraph"/>
        <w:numPr>
          <w:ilvl w:val="0"/>
          <w:numId w:val="2"/>
        </w:numPr>
        <w:spacing w:after="120" w:line="240" w:lineRule="auto"/>
        <w:ind w:left="720" w:hanging="357"/>
        <w:contextualSpacing w:val="0"/>
        <w:jc w:val="both"/>
        <w:rPr>
          <w:rFonts w:ascii="Times New Roman" w:hAnsi="Times New Roman" w:cs="Times New Roman"/>
          <w:noProof/>
          <w:sz w:val="24"/>
          <w:szCs w:val="24"/>
        </w:rPr>
      </w:pPr>
      <w:r w:rsidRPr="00861B8A">
        <w:rPr>
          <w:rFonts w:ascii="Times New Roman" w:hAnsi="Times New Roman"/>
          <w:noProof/>
          <w:sz w:val="24"/>
        </w:rPr>
        <w:t>pojasniti područje primjene Direktive o karcinogenim, mutagenim ili reproduktivno toksičnim tvarima u pogledu zavarivačkih dimova kako bi poduzeća provela obveznu procjenu rizika i primijenila sve zahtjeve ako je prema toj procjeni rizika vjerojatno da će radnici biti izloženi karcinogenim, mutagenim ili reproduktivno toksičnim tvarima.</w:t>
      </w:r>
    </w:p>
    <w:p w14:paraId="63502D6D" w14:textId="77777777" w:rsidR="0087385F" w:rsidRPr="00861B8A" w:rsidRDefault="0087385F" w:rsidP="0087385F">
      <w:pPr>
        <w:pStyle w:val="ListParagraph"/>
        <w:spacing w:after="120" w:line="240" w:lineRule="auto"/>
        <w:contextualSpacing w:val="0"/>
        <w:jc w:val="both"/>
        <w:rPr>
          <w:rFonts w:ascii="Times New Roman" w:hAnsi="Times New Roman" w:cs="Times New Roman"/>
          <w:noProof/>
          <w:sz w:val="24"/>
          <w:szCs w:val="24"/>
        </w:rPr>
      </w:pPr>
    </w:p>
    <w:p w14:paraId="2199DA6D" w14:textId="3DB8F56C" w:rsidR="00D548A4" w:rsidRPr="00861B8A" w:rsidRDefault="00D548A4" w:rsidP="009A4EAF">
      <w:pPr>
        <w:pStyle w:val="Sub-sections"/>
        <w:jc w:val="both"/>
        <w:rPr>
          <w:rFonts w:ascii="Times New Roman" w:hAnsi="Times New Roman"/>
          <w:noProof/>
        </w:rPr>
      </w:pPr>
      <w:r w:rsidRPr="00861B8A">
        <w:rPr>
          <w:rFonts w:ascii="Times New Roman" w:hAnsi="Times New Roman"/>
          <w:noProof/>
        </w:rPr>
        <w:t xml:space="preserve">Koja je dodana vrijednost djelovanja na razini EU‑a? </w:t>
      </w:r>
    </w:p>
    <w:p w14:paraId="339B40DE" w14:textId="7370A9DA" w:rsidR="005E56E4" w:rsidRPr="00861B8A" w:rsidRDefault="005E56E4" w:rsidP="009A4EAF">
      <w:pPr>
        <w:pStyle w:val="Paragraph"/>
        <w:jc w:val="both"/>
        <w:rPr>
          <w:noProof/>
        </w:rPr>
      </w:pPr>
      <w:r w:rsidRPr="00861B8A">
        <w:rPr>
          <w:noProof/>
        </w:rPr>
        <w:t xml:space="preserve">Ovom će se inicijativom na razini EU-a: </w:t>
      </w:r>
    </w:p>
    <w:p w14:paraId="2D6CCDB2" w14:textId="7729B868" w:rsidR="009D30A8" w:rsidRPr="00861B8A" w:rsidRDefault="005E56E4" w:rsidP="009A4EAF">
      <w:pPr>
        <w:pStyle w:val="Paragraph"/>
        <w:numPr>
          <w:ilvl w:val="0"/>
          <w:numId w:val="3"/>
        </w:numPr>
        <w:jc w:val="both"/>
        <w:rPr>
          <w:noProof/>
        </w:rPr>
      </w:pPr>
      <w:r w:rsidRPr="00861B8A">
        <w:rPr>
          <w:i/>
          <w:noProof/>
        </w:rPr>
        <w:t>poboljšati jasnoća i provedba:</w:t>
      </w:r>
      <w:r w:rsidRPr="00861B8A">
        <w:rPr>
          <w:noProof/>
        </w:rPr>
        <w:t xml:space="preserve"> utvrđivanjem graničnih vrijednosti za dodatne tvari ili skupine tvari postojat će zajedničke referentne točke koje poslodavcima, radnicima i provedbenim tijelima služe kao praktično sredstvo procjene usklađenosti s općim zahtjevima, posebno u državama članicama u kojima ne postoje granične vrijednosti. Dodavanjem zavarivačkih dimova u Prilog I. Direktivi o karcinogenim, mutagenim i reproduktivno toksičnim tvarima pridonijet će se i rješavanju problema nejasnoće kad je riječ o mogućoj opasnosti tih dimova za radnike, a time i nedostatka odgovarajućih mjera upravljanja rizikom,    </w:t>
      </w:r>
    </w:p>
    <w:p w14:paraId="32A40137" w14:textId="4D86B9A3" w:rsidR="003D21EE" w:rsidRPr="00861B8A" w:rsidRDefault="001A1C58" w:rsidP="009A4EAF">
      <w:pPr>
        <w:pStyle w:val="Paragraph"/>
        <w:numPr>
          <w:ilvl w:val="0"/>
          <w:numId w:val="3"/>
        </w:numPr>
        <w:jc w:val="both"/>
        <w:rPr>
          <w:noProof/>
        </w:rPr>
      </w:pPr>
      <w:r w:rsidRPr="00861B8A">
        <w:rPr>
          <w:i/>
          <w:noProof/>
        </w:rPr>
        <w:t xml:space="preserve">zajamčiti slična minimalna razina zaštite u cijelom EU-u: </w:t>
      </w:r>
      <w:r w:rsidRPr="00861B8A">
        <w:rPr>
          <w:noProof/>
        </w:rPr>
        <w:t xml:space="preserve">nacionalne granične vrijednosti za kobalt i njegove anorganske spojeve, PAH-ove i 1,4-dioksan, ako postoje, znatno se razlikuju među državama članicama. Na primjer, nacionalne granične vrijednosti za kobalt iznose od 10 do 500 μg/m³ u državama članicama u kojima postoje. Ako se na razini EU-a ne poduzmu mjere, razine zaštite radnika vjerojatno će i dalje biti vrlo različite, </w:t>
      </w:r>
    </w:p>
    <w:p w14:paraId="27E53C78" w14:textId="2E9B41B6" w:rsidR="00240195" w:rsidRPr="00861B8A" w:rsidRDefault="003D21EE" w:rsidP="009A4EAF">
      <w:pPr>
        <w:pStyle w:val="Paragraph"/>
        <w:numPr>
          <w:ilvl w:val="0"/>
          <w:numId w:val="3"/>
        </w:numPr>
        <w:jc w:val="both"/>
        <w:rPr>
          <w:noProof/>
        </w:rPr>
      </w:pPr>
      <w:r w:rsidRPr="00861B8A">
        <w:rPr>
          <w:i/>
          <w:noProof/>
        </w:rPr>
        <w:t xml:space="preserve">pridonijeti ravnopravnijim uvjetima: </w:t>
      </w:r>
      <w:r w:rsidRPr="00861B8A">
        <w:rPr>
          <w:noProof/>
        </w:rPr>
        <w:t xml:space="preserve">troškovi usklađivanja s nižim nacionalnim razinama općenito su viši i stoga podrazumijevaju konkurentsku prednost za poduzeća koja posluju na tržištima bez nacionalnih graničnih vrijednosti ili s manje strogim nacionalnim graničnim vrijednostima. Utvrđivanje graničnih vrijednosti EU-a pomaže da se zajamče ravnopravni uvjeti za industriju jer se smanjuju mogućnosti razlika i povećava sigurnost da u svim državama članicama postoji temeljna definicija ili provediva granična vrijednost. Smanjit će se i regulatorna složenost koja proizlazi iz pravila koja se znatno razlikuju među državama članicama, čime će se smanjiti administrativno opterećenje povezano s usklađivanjem za poduzeća koja posluju na cijelom jedinstvenom tržištu, </w:t>
      </w:r>
    </w:p>
    <w:p w14:paraId="2EA89BAA" w14:textId="1BCBE205" w:rsidR="00240195" w:rsidRPr="00861B8A" w:rsidRDefault="00240195" w:rsidP="009A4EAF">
      <w:pPr>
        <w:pStyle w:val="Paragraph"/>
        <w:numPr>
          <w:ilvl w:val="0"/>
          <w:numId w:val="3"/>
        </w:numPr>
        <w:jc w:val="both"/>
        <w:rPr>
          <w:noProof/>
        </w:rPr>
      </w:pPr>
      <w:r w:rsidRPr="00861B8A">
        <w:rPr>
          <w:i/>
          <w:noProof/>
        </w:rPr>
        <w:t>smanjiti opterećenja povezana s utvrđivanjem graničnih vrijednosti:</w:t>
      </w:r>
      <w:r w:rsidRPr="00861B8A">
        <w:rPr>
          <w:noProof/>
        </w:rPr>
        <w:t xml:space="preserve"> postupak utvrđivanja graničnih vrijednosti vrlo je složen i iziskuje visoku razinu znanstvenog stručnog znanja te procjenu učinka i rasprave s dionicima (ovisno o nacionalnim praksama). Važna prednost utvrđivanja graničnih vrijednosti izloženosti na mjestu rada na razini EU-a jest to što uklanja potrebu da države članice provode vlastite analize, uključujući znanstvenu procjenu, pri čemu bi uštede na administrativnim troškovima vjerojatno bile znatne. </w:t>
      </w:r>
    </w:p>
    <w:p w14:paraId="12840725" w14:textId="644C1048" w:rsidR="00D548A4" w:rsidRPr="00861B8A" w:rsidRDefault="00D548A4" w:rsidP="009A4EAF">
      <w:pPr>
        <w:pStyle w:val="Sections"/>
        <w:jc w:val="both"/>
        <w:rPr>
          <w:rFonts w:ascii="Times New Roman" w:hAnsi="Times New Roman"/>
          <w:noProof/>
        </w:rPr>
      </w:pPr>
      <w:r w:rsidRPr="00861B8A">
        <w:rPr>
          <w:rFonts w:ascii="Times New Roman" w:hAnsi="Times New Roman"/>
          <w:noProof/>
        </w:rPr>
        <w:t xml:space="preserve">Opcije politike </w:t>
      </w:r>
    </w:p>
    <w:p w14:paraId="51DEF19F" w14:textId="04142C0B" w:rsidR="00D548A4" w:rsidRPr="00861B8A" w:rsidRDefault="00D548A4" w:rsidP="009A4EAF">
      <w:pPr>
        <w:pStyle w:val="Sub-sections"/>
        <w:jc w:val="both"/>
        <w:rPr>
          <w:rFonts w:ascii="Times New Roman" w:hAnsi="Times New Roman"/>
          <w:noProof/>
        </w:rPr>
      </w:pPr>
      <w:r w:rsidRPr="00861B8A">
        <w:rPr>
          <w:rFonts w:ascii="Times New Roman" w:hAnsi="Times New Roman"/>
          <w:noProof/>
        </w:rPr>
        <w:t xml:space="preserve">Koje su zakonodavne i nezakonodavne opcije analizirane? Postoji li najpoželjnija opcija? Zašto? </w:t>
      </w:r>
    </w:p>
    <w:p w14:paraId="65A9BAD7" w14:textId="0AAFACBE" w:rsidR="005725C4" w:rsidRPr="00861B8A" w:rsidRDefault="005725C4" w:rsidP="009A4EAF">
      <w:pPr>
        <w:pStyle w:val="Sub-sections"/>
        <w:numPr>
          <w:ilvl w:val="2"/>
          <w:numId w:val="1"/>
        </w:numPr>
        <w:ind w:left="1418" w:hanging="709"/>
        <w:jc w:val="both"/>
        <w:rPr>
          <w:rFonts w:ascii="Times New Roman" w:hAnsi="Times New Roman"/>
          <w:b w:val="0"/>
          <w:bCs w:val="0"/>
          <w:i/>
          <w:iCs/>
          <w:noProof/>
          <w:u w:val="single"/>
        </w:rPr>
      </w:pPr>
      <w:r w:rsidRPr="00861B8A">
        <w:rPr>
          <w:rFonts w:ascii="Times New Roman" w:hAnsi="Times New Roman"/>
          <w:b w:val="0"/>
          <w:i/>
          <w:noProof/>
          <w:u w:val="single"/>
        </w:rPr>
        <w:t xml:space="preserve">Tvari koje su prioritetne za utvrđivanje graničnih vrijednosti </w:t>
      </w:r>
    </w:p>
    <w:p w14:paraId="5EFD65FB" w14:textId="684B41C4" w:rsidR="001A3423" w:rsidRPr="00861B8A" w:rsidRDefault="001A3423" w:rsidP="009A4EAF">
      <w:pPr>
        <w:pStyle w:val="Paragraph"/>
        <w:jc w:val="both"/>
        <w:rPr>
          <w:noProof/>
        </w:rPr>
      </w:pPr>
      <w:r w:rsidRPr="00861B8A">
        <w:rPr>
          <w:noProof/>
        </w:rPr>
        <w:t>Za svaku tvar koja podliježe utvrđivanju graničnih vrijednosti (kobalt i njegovi anorganski spojevi, PAH-ovi i 1,4-dioksan), koje trenutačno nemaju obvezujuću graničnu vrijednost na razini EU-a</w:t>
      </w:r>
      <w:r w:rsidRPr="00861B8A">
        <w:rPr>
          <w:rStyle w:val="FootnoteReference"/>
          <w:noProof/>
        </w:rPr>
        <w:footnoteReference w:id="9"/>
      </w:r>
      <w:r w:rsidRPr="00861B8A">
        <w:rPr>
          <w:noProof/>
        </w:rPr>
        <w:t xml:space="preserve">, utvrđeno je više opcija politike za granične vrijednosti. Te opcije politike uvijek uključuju granične vrijednosti koje je razradio RAC (znanstveni stručnjaci), ako postoje, i one koje preporučuje tripartitni Savjetodavni odbor za sigurnost i zdravlje na radu (dionici). </w:t>
      </w:r>
    </w:p>
    <w:p w14:paraId="3A3E368F" w14:textId="796F7F20" w:rsidR="001A3423" w:rsidRPr="00861B8A" w:rsidRDefault="001A3423" w:rsidP="009A4EAF">
      <w:pPr>
        <w:pStyle w:val="Paragraph"/>
        <w:jc w:val="both"/>
        <w:rPr>
          <w:noProof/>
        </w:rPr>
      </w:pPr>
      <w:r w:rsidRPr="00861B8A">
        <w:rPr>
          <w:noProof/>
        </w:rPr>
        <w:t>Osim toga, druge relevantne referentne točke odabrane su kao opcije politike kako bi se osigurao širok spektar razina za procjenu. Te dodatne opcije politike uglavnom su se temeljile na novoj metodologiji kojom su utvrđene granične vrijednosti koje se temelje na riziku za karcinogene tvari bez praga</w:t>
      </w:r>
      <w:r w:rsidRPr="00861B8A">
        <w:rPr>
          <w:rStyle w:val="FootnoteReference"/>
          <w:noProof/>
        </w:rPr>
        <w:footnoteReference w:id="10"/>
      </w:r>
      <w:r w:rsidRPr="00861B8A">
        <w:rPr>
          <w:noProof/>
        </w:rPr>
        <w:t xml:space="preserve"> i postojeće nacionalne granične vrijednosti. </w:t>
      </w:r>
    </w:p>
    <w:p w14:paraId="58235C15" w14:textId="4B677C50" w:rsidR="009A4EAF" w:rsidRPr="00861B8A" w:rsidRDefault="009A4EAF" w:rsidP="000D7F21">
      <w:pPr>
        <w:jc w:val="both"/>
        <w:rPr>
          <w:rFonts w:ascii="Times New Roman" w:hAnsi="Times New Roman" w:cs="Times New Roman"/>
          <w:noProof/>
          <w:sz w:val="24"/>
          <w:szCs w:val="24"/>
        </w:rPr>
      </w:pPr>
      <w:r w:rsidRPr="00861B8A">
        <w:rPr>
          <w:rFonts w:ascii="Times New Roman" w:hAnsi="Times New Roman"/>
          <w:noProof/>
          <w:sz w:val="24"/>
        </w:rPr>
        <w:t>Prikupljeni dokazi upućuju na to da su trenutačne i buduće razine izloženosti radnika izoprenu već niže od granične vrijednosti za zaštitu zdravlja koju je RAC razradio u mišljenju. Unatoč jednoglasnoj potpori predstavnika poduzeća, radnika i država članica u okviru Savjetodavnog odbora za sigurnost i zdravlje na radu za utvrđivanje granične vrijednosti za izopren, čini se da na razini EU-a nisu potrebne mjere za poboljšanje zaštite radnika. Stoga za tu konkretnu tvar nisu razmotrene opcije politike.</w:t>
      </w:r>
    </w:p>
    <w:p w14:paraId="7FD963C3" w14:textId="0EE22B38" w:rsidR="001A3423" w:rsidRPr="00861B8A" w:rsidRDefault="001A3423" w:rsidP="009A4EAF">
      <w:pPr>
        <w:pStyle w:val="Sub-sub-section"/>
        <w:ind w:left="1418" w:hanging="709"/>
        <w:jc w:val="both"/>
        <w:rPr>
          <w:rFonts w:ascii="Times New Roman" w:hAnsi="Times New Roman"/>
          <w:noProof/>
        </w:rPr>
      </w:pPr>
      <w:r w:rsidRPr="00861B8A">
        <w:rPr>
          <w:rFonts w:ascii="Times New Roman" w:hAnsi="Times New Roman"/>
          <w:noProof/>
        </w:rPr>
        <w:t>Zavarivački dimovi, tvar koja nastaje u procesu za koju je predviđeno uvrštavanje u Prilog I. Direktivi o karcinogenim, mutagenim i reproduktivno toksičnim tvarima</w:t>
      </w:r>
    </w:p>
    <w:p w14:paraId="2F669D2E" w14:textId="4C2E3F20" w:rsidR="001A3423" w:rsidRPr="00861B8A" w:rsidRDefault="001A3423" w:rsidP="009A4EAF">
      <w:pPr>
        <w:pStyle w:val="Paragraph"/>
        <w:jc w:val="both"/>
        <w:rPr>
          <w:noProof/>
        </w:rPr>
      </w:pPr>
      <w:r w:rsidRPr="00861B8A">
        <w:rPr>
          <w:noProof/>
        </w:rPr>
        <w:t>Prikupljeni dokazi</w:t>
      </w:r>
      <w:r w:rsidRPr="00861B8A">
        <w:rPr>
          <w:rStyle w:val="FootnoteReference"/>
          <w:noProof/>
        </w:rPr>
        <w:footnoteReference w:id="11"/>
      </w:r>
      <w:r w:rsidRPr="00861B8A">
        <w:rPr>
          <w:noProof/>
        </w:rPr>
        <w:t xml:space="preserve"> upućuju na to da neki poslodavci nisu svjesni da se u njihovim procesima zavarivanja mogu ispuštati dimovi koji sadržavaju karcinogene, mutagene ili reproduktivno toksične tvari. Ti poslodavci stoga možda podcjenjuju opasnost izloženosti radnika zavarivačkim dimovima. Zbog toga je opcijom politike za zavarivačke dimove predviđeno njihovo uvrštavanje u Prilog I. Direktivi o karcinogenim, mutagenim i reproduktivno toksičnim tvarima kako bi se poboljšala pravna jasnoća i upozorilo na moguće opasnosti tih dimova. </w:t>
      </w:r>
    </w:p>
    <w:p w14:paraId="118C9F7E" w14:textId="32A18024" w:rsidR="004468F5" w:rsidRPr="00861B8A" w:rsidRDefault="004468F5" w:rsidP="009A4EAF">
      <w:pPr>
        <w:pStyle w:val="Sub-sub-section"/>
        <w:ind w:left="1418" w:hanging="709"/>
        <w:jc w:val="both"/>
        <w:rPr>
          <w:rFonts w:ascii="Times New Roman" w:hAnsi="Times New Roman"/>
          <w:noProof/>
        </w:rPr>
      </w:pPr>
      <w:r w:rsidRPr="00861B8A">
        <w:rPr>
          <w:rFonts w:ascii="Times New Roman" w:hAnsi="Times New Roman"/>
          <w:noProof/>
        </w:rPr>
        <w:t xml:space="preserve">Najpoželjnije opcije </w:t>
      </w:r>
    </w:p>
    <w:p w14:paraId="4B835ABD" w14:textId="48B85DB2" w:rsidR="005B591B" w:rsidRPr="00861B8A" w:rsidRDefault="004468F5" w:rsidP="009A4EAF">
      <w:pPr>
        <w:pStyle w:val="Paragraph"/>
        <w:jc w:val="both"/>
        <w:rPr>
          <w:noProof/>
        </w:rPr>
      </w:pPr>
      <w:r w:rsidRPr="00861B8A">
        <w:rPr>
          <w:noProof/>
        </w:rPr>
        <w:t xml:space="preserve">Na temelju detaljne procjene učinka granične vrijednosti koje je preporučio Savjetodavni odbor za sigurnost i zdravlje na radu zadržane su kao najpoželjnije opcije za kobalt i anorganske spojeve kobalta, PAH-ove, 1,4-dioksan i zavarivačke dimove jer su optimalno uravnotežene u smislu djelotvornosti, učinkovitosti i dosljednosti. </w:t>
      </w:r>
    </w:p>
    <w:p w14:paraId="7CF1F3B8" w14:textId="35F7F691" w:rsidR="00D548A4" w:rsidRPr="00861B8A" w:rsidRDefault="00D548A4" w:rsidP="009A4EAF">
      <w:pPr>
        <w:pStyle w:val="Sub-sections"/>
        <w:jc w:val="both"/>
        <w:rPr>
          <w:rFonts w:ascii="Times New Roman" w:hAnsi="Times New Roman"/>
          <w:noProof/>
        </w:rPr>
      </w:pPr>
      <w:r w:rsidRPr="00861B8A">
        <w:rPr>
          <w:rFonts w:ascii="Times New Roman" w:hAnsi="Times New Roman"/>
          <w:noProof/>
        </w:rPr>
        <w:t xml:space="preserve">Tko podržava koju opciju? </w:t>
      </w:r>
    </w:p>
    <w:p w14:paraId="3AD323A0" w14:textId="6A9772FD" w:rsidR="00E939ED" w:rsidRPr="00861B8A" w:rsidRDefault="00E939ED" w:rsidP="009A4EAF">
      <w:pPr>
        <w:pStyle w:val="Paragraph"/>
        <w:jc w:val="both"/>
        <w:rPr>
          <w:noProof/>
        </w:rPr>
      </w:pPr>
      <w:r w:rsidRPr="00861B8A">
        <w:rPr>
          <w:noProof/>
        </w:rPr>
        <w:t xml:space="preserve">U okviru formalnog savjetovanja u dvije faze socijalni partneri podržali su navođenje popisa prioritetnih tvari u šestoj reviziji Direktive o karcinogenim i mutagenim tvarima. Vlade, poslodavci i predstavnici radnika u okviru Savjetodavnog odbora za sigurnost i zdravlje na radu podupiru najpoželjnije opcije za kobalt i njegove anorganske spojeve, PAH-ove, 1,4-dioksan i zavarivačke dimove, uključujući prijelazna razdoblja predložena za ublažavanje tehničkih ili gospodarskih poteškoća za poslodavce kad je riječ o kobaltu i njegovim anorganskim spojevima te PAH-ovima. </w:t>
      </w:r>
    </w:p>
    <w:p w14:paraId="11727516" w14:textId="4855A666" w:rsidR="00D548A4" w:rsidRPr="00861B8A" w:rsidRDefault="00D548A4" w:rsidP="009A4EAF">
      <w:pPr>
        <w:pStyle w:val="Sections"/>
        <w:jc w:val="both"/>
        <w:rPr>
          <w:rFonts w:ascii="Times New Roman" w:hAnsi="Times New Roman"/>
          <w:noProof/>
        </w:rPr>
      </w:pPr>
      <w:r w:rsidRPr="00861B8A">
        <w:rPr>
          <w:rFonts w:ascii="Times New Roman" w:hAnsi="Times New Roman"/>
          <w:noProof/>
        </w:rPr>
        <w:t xml:space="preserve">Učinci najpoželjnije opcije </w:t>
      </w:r>
    </w:p>
    <w:p w14:paraId="02F8CA97" w14:textId="55FA2AB5" w:rsidR="00D548A4" w:rsidRPr="00861B8A" w:rsidRDefault="00D548A4" w:rsidP="009A4EAF">
      <w:pPr>
        <w:pStyle w:val="Sub-sections"/>
        <w:jc w:val="both"/>
        <w:rPr>
          <w:rFonts w:ascii="Times New Roman" w:hAnsi="Times New Roman"/>
          <w:noProof/>
        </w:rPr>
      </w:pPr>
      <w:r w:rsidRPr="00861B8A">
        <w:rPr>
          <w:rFonts w:ascii="Times New Roman" w:hAnsi="Times New Roman"/>
          <w:noProof/>
        </w:rPr>
        <w:t xml:space="preserve">Koje su prednosti najpoželjnijih opcija? </w:t>
      </w:r>
    </w:p>
    <w:p w14:paraId="6B69C4B2" w14:textId="33720843" w:rsidR="00FE1E24" w:rsidRPr="00861B8A" w:rsidRDefault="00370B31" w:rsidP="009A4EAF">
      <w:pPr>
        <w:pStyle w:val="Paragraph"/>
        <w:jc w:val="both"/>
        <w:rPr>
          <w:noProof/>
        </w:rPr>
      </w:pPr>
      <w:r w:rsidRPr="00861B8A">
        <w:rPr>
          <w:noProof/>
        </w:rPr>
        <w:t>Kad je riječ o radnicima, očekuje se da će se najpoželjnijim opcijama za te četiri tvari u sljedećih 40 godina spriječiti otprilike 1700 slučajeva raka pluća i 19 000 slučajeva koji nisu povezani s rakom. Tim spriječenim slučajevima bolesti ostvarit će se ušteda u iznosu do 1,16 milijardi EUR</w:t>
      </w:r>
      <w:r w:rsidRPr="00861B8A">
        <w:rPr>
          <w:rStyle w:val="FootnoteReference"/>
          <w:noProof/>
        </w:rPr>
        <w:footnoteReference w:id="12"/>
      </w:r>
      <w:r w:rsidRPr="00861B8A">
        <w:rPr>
          <w:noProof/>
        </w:rPr>
        <w:t>.</w:t>
      </w:r>
    </w:p>
    <w:p w14:paraId="78BAB179" w14:textId="021A5AA2" w:rsidR="00370B31" w:rsidRPr="00861B8A" w:rsidRDefault="00370B31" w:rsidP="009A4EAF">
      <w:pPr>
        <w:pStyle w:val="Paragraph"/>
        <w:jc w:val="both"/>
        <w:rPr>
          <w:noProof/>
        </w:rPr>
      </w:pPr>
      <w:r w:rsidRPr="00861B8A">
        <w:rPr>
          <w:noProof/>
        </w:rPr>
        <w:t xml:space="preserve">Najpoželjnije opcije koristile bi i poduzećima u smislu smanjenja broja izostanaka s posla, gubitka produktivnosti i isplata od osiguranja u iznosu od otprilike 7 milijuna EUR u sljedećih 40 godina. Procijenjene koristi za poduzeća ne uključuju neke pozitivne učinke kao što je poboljšana pravna jasnoća. Nadalje, najpoželjnije opcije koristile bi i javnim tijelima u smislu ušteda troškova povezanih s izdacima za zdravstvenu zaštitu u iznosu od 26,65 milijuna EUR i izbjegnutih troškova utvrđivanja graničnih vrijednosti u okviru nacionalnih postupaka, što bi iznosilo do 3,75 milijuna EUR. </w:t>
      </w:r>
    </w:p>
    <w:p w14:paraId="740B59D9" w14:textId="712E5D88" w:rsidR="00D548A4" w:rsidRPr="00861B8A" w:rsidRDefault="00D548A4" w:rsidP="009A4EAF">
      <w:pPr>
        <w:pStyle w:val="Sub-sections"/>
        <w:jc w:val="both"/>
        <w:rPr>
          <w:rFonts w:ascii="Times New Roman" w:hAnsi="Times New Roman"/>
          <w:noProof/>
        </w:rPr>
      </w:pPr>
      <w:r w:rsidRPr="00861B8A">
        <w:rPr>
          <w:rFonts w:ascii="Times New Roman" w:hAnsi="Times New Roman"/>
          <w:noProof/>
        </w:rPr>
        <w:t xml:space="preserve">Koliki su troškovi najpoželjnijih opcija? </w:t>
      </w:r>
    </w:p>
    <w:p w14:paraId="0089A3BE" w14:textId="2FFD942A" w:rsidR="009828CC" w:rsidRPr="00861B8A" w:rsidRDefault="00370B31" w:rsidP="009A4EAF">
      <w:pPr>
        <w:pStyle w:val="Paragraph"/>
        <w:jc w:val="both"/>
        <w:rPr>
          <w:noProof/>
        </w:rPr>
      </w:pPr>
      <w:r w:rsidRPr="00861B8A">
        <w:rPr>
          <w:noProof/>
        </w:rPr>
        <w:t xml:space="preserve">Ukupni troškovi prilagodbe za poduzeća nastali zbog najpoželjnijih opcija u 40 godina iznosili bi do 3,3 milijarde EUR. Zbog nedostatka dokaza troškovi prilagodbe ne mogu se raščlaniti na ulaganja u dodatne mjere upravljanja rizikom (u prvoj godini i ponavljajuće) i troškove prekida rada. Međutim, očekuje se da će prijelazno razdoblje koje je u paketu najpoželjnijih opcija predviđeno za kobalt i njegove anorganske spojeve te za PAH-ove prouzročiti manje prekida rada u usporedbi sa scenarijem s istim graničnim vrijednostima bez prijelaznih razdoblja, za koji je procijenjeno 209 prekida rada. Stoga bi troškovi prekida rada trebali biti znatno niži od očekivanih 2,6 milijardi EUR bez prijelaznog razdoblja. Osim toga, poduzeća će morati snositi i troškove praćenja i administrativne troškove u iznosu od približno 535 milijuna EUR tijekom 40 godina. Općenito, ukupni troškovi za poduzeća koji proizlaze iz najpoželjnijih opcija u istom razdoblju iznose približno 3,8 milijardi EUR. Za većinu poduzeća ti bi troškovi činili manje (a često i znatno manje) od 1 % njihova prometa. Potrebno je napomenuti da će procjene koje se odnose na broj prekida vjerojatno biti precijenjene. </w:t>
      </w:r>
    </w:p>
    <w:p w14:paraId="514958FB" w14:textId="1052A544" w:rsidR="00370B31" w:rsidRPr="00861B8A" w:rsidRDefault="009828CC" w:rsidP="009A4EAF">
      <w:pPr>
        <w:pStyle w:val="Paragraph"/>
        <w:jc w:val="both"/>
        <w:rPr>
          <w:noProof/>
        </w:rPr>
      </w:pPr>
      <w:r w:rsidRPr="00861B8A">
        <w:rPr>
          <w:noProof/>
        </w:rPr>
        <w:t>Općenito, paket najpoželjnijih opcija stajao bi javna tijela u 40 godina otprilike 66 milijuna EUR, od čega se više od 95 % odnosi na troškove prilagodbe, praćenja i administrativne troškove povezane sa zaštitom vatrogasaca od izloženosti PAH-ovima. Preostalih 5 % odnosi se na troškove prenošenja novih pravila.</w:t>
      </w:r>
    </w:p>
    <w:p w14:paraId="628FD8E3" w14:textId="7CBF61B9" w:rsidR="00D548A4" w:rsidRPr="00861B8A" w:rsidRDefault="00D548A4" w:rsidP="009A4EAF">
      <w:pPr>
        <w:pStyle w:val="Sub-sections"/>
        <w:jc w:val="both"/>
        <w:rPr>
          <w:rFonts w:ascii="Times New Roman" w:hAnsi="Times New Roman"/>
          <w:noProof/>
        </w:rPr>
      </w:pPr>
      <w:r w:rsidRPr="00861B8A">
        <w:rPr>
          <w:rFonts w:ascii="Times New Roman" w:hAnsi="Times New Roman"/>
          <w:noProof/>
        </w:rPr>
        <w:t xml:space="preserve">Kako će utjecati na poduzeća, MSP-ove i mikropoduzeća? </w:t>
      </w:r>
    </w:p>
    <w:p w14:paraId="1F3B2EB2" w14:textId="63EF6322" w:rsidR="005E396B" w:rsidRPr="00861B8A" w:rsidRDefault="005E396B" w:rsidP="009A4EAF">
      <w:pPr>
        <w:pStyle w:val="Paragraph"/>
        <w:jc w:val="both"/>
        <w:rPr>
          <w:noProof/>
        </w:rPr>
      </w:pPr>
      <w:r w:rsidRPr="00861B8A">
        <w:rPr>
          <w:noProof/>
        </w:rPr>
        <w:t xml:space="preserve">Udio troškova usklađivanja u odnosu na promet ili bruto poslovni proizvod veći je za MSP-ove nego za velika poduzeća koja posluju u istom sektoru. Stoga će paket najpoželjnijih opcija vjerojatno više utjecati na MSP-ove nego na veća poduzeća. </w:t>
      </w:r>
    </w:p>
    <w:p w14:paraId="79D78C9A" w14:textId="77777777" w:rsidR="005E396B" w:rsidRPr="00861B8A" w:rsidRDefault="005E396B" w:rsidP="009A4EAF">
      <w:pPr>
        <w:pStyle w:val="Paragraph"/>
        <w:jc w:val="both"/>
        <w:rPr>
          <w:noProof/>
        </w:rPr>
      </w:pPr>
      <w:r w:rsidRPr="00861B8A">
        <w:rPr>
          <w:noProof/>
        </w:rPr>
        <w:t xml:space="preserve">Nadalje, vjerojatnije je da će prekide rada doživjeti MSP-ovi nego veća poduzeća. Stoga će prijelazne mjere predviđene paketom najpoželjnijih opcija više koristiti MSP-ovima nego velikim poduzećima. MSP-ovi će imati više vremena za planiranje ulaganja, čime bi se trebao smanjiti i broj prekida u usporedbi s istim paketom opcija bez prijelaznih razdoblja. </w:t>
      </w:r>
    </w:p>
    <w:p w14:paraId="32AB5E46" w14:textId="28465336" w:rsidR="00031D93" w:rsidRPr="00861B8A" w:rsidRDefault="00031D93" w:rsidP="009A4EAF">
      <w:pPr>
        <w:pStyle w:val="Paragraph"/>
        <w:jc w:val="both"/>
        <w:rPr>
          <w:noProof/>
        </w:rPr>
      </w:pPr>
      <w:r w:rsidRPr="00861B8A">
        <w:rPr>
          <w:noProof/>
        </w:rPr>
        <w:t>Stoga bi učinak na MSP-ove, iako veći nego na veća poduzeća, trebao ostati ograničen. Prijelaznim mjerama izbjegava se nametanje financijskih ograničenja kojima bi se otežalo osnivanje i razvoj MSP-ova.</w:t>
      </w:r>
    </w:p>
    <w:p w14:paraId="20CAC57B" w14:textId="15DD82F0" w:rsidR="00D548A4" w:rsidRPr="00861B8A" w:rsidRDefault="005E396B" w:rsidP="009A4EAF">
      <w:pPr>
        <w:pStyle w:val="Sub-sections"/>
        <w:jc w:val="both"/>
        <w:rPr>
          <w:rFonts w:ascii="Times New Roman" w:hAnsi="Times New Roman"/>
          <w:noProof/>
        </w:rPr>
      </w:pPr>
      <w:r w:rsidRPr="00861B8A">
        <w:rPr>
          <w:noProof/>
        </w:rPr>
        <w:t xml:space="preserve"> </w:t>
      </w:r>
      <w:r w:rsidRPr="00861B8A">
        <w:rPr>
          <w:rFonts w:ascii="Times New Roman" w:hAnsi="Times New Roman"/>
          <w:noProof/>
        </w:rPr>
        <w:t xml:space="preserve">Hoće li to bitno utjecati na državne proračune i upravu? </w:t>
      </w:r>
    </w:p>
    <w:p w14:paraId="643BDD9B" w14:textId="30A67C4B" w:rsidR="009828CC" w:rsidRPr="00861B8A" w:rsidRDefault="009828CC" w:rsidP="009A4EAF">
      <w:pPr>
        <w:pStyle w:val="Paragraph"/>
        <w:jc w:val="both"/>
        <w:rPr>
          <w:noProof/>
        </w:rPr>
      </w:pPr>
      <w:r w:rsidRPr="00861B8A">
        <w:rPr>
          <w:noProof/>
        </w:rPr>
        <w:t xml:space="preserve">Očekuje se da će javna tijela u 40 godina ukupno potrošiti 66 milijuna EUR (približno 1,65 milijuna EUR godišnje). Ti će troškovi na razini država članica vjerojatno imati ograničen učinak na nacionalne proračune i upravu. Nadalje, ti će se troškovi ublažiti koristima koje proizlaze iz najpoželjnijih opcija (otprilike 30 milijuna EUR), posebno zbog ušteda troškova zdravstvene zaštite. </w:t>
      </w:r>
    </w:p>
    <w:p w14:paraId="0EFBD106" w14:textId="1C462174" w:rsidR="00D548A4" w:rsidRPr="00861B8A" w:rsidRDefault="00D548A4" w:rsidP="009A4EAF">
      <w:pPr>
        <w:pStyle w:val="Sub-sections"/>
        <w:jc w:val="both"/>
        <w:rPr>
          <w:rFonts w:ascii="Times New Roman" w:hAnsi="Times New Roman"/>
          <w:noProof/>
        </w:rPr>
      </w:pPr>
      <w:r w:rsidRPr="00861B8A">
        <w:rPr>
          <w:rFonts w:ascii="Times New Roman" w:hAnsi="Times New Roman"/>
          <w:noProof/>
        </w:rPr>
        <w:t xml:space="preserve">Hoće li biti drugih bitnih učinaka i/ili utjecaja? </w:t>
      </w:r>
    </w:p>
    <w:p w14:paraId="6749EAFB" w14:textId="2B669CD9" w:rsidR="00004ADD" w:rsidRPr="00861B8A" w:rsidRDefault="00004ADD" w:rsidP="009A4EAF">
      <w:pPr>
        <w:pStyle w:val="Paragraph"/>
        <w:jc w:val="both"/>
        <w:rPr>
          <w:noProof/>
        </w:rPr>
      </w:pPr>
      <w:r w:rsidRPr="00861B8A">
        <w:rPr>
          <w:noProof/>
        </w:rPr>
        <w:t xml:space="preserve">Paket najpoželjnijih opcija mogao bi imati negativne neizravne učinke na zelenu ili digitalnu tranziciju zbog prekida rada u ključnim sektorima kao što su koksare, druga neželjezna metalurgija, destilacija ugljenog katrana te proizvodnja grafitnih i ugljikovih elektroda. Ti sektori imaju važnu ulogu u razvoju kružnog gospodarstva, proizvodnji zelene infrastrukture i proizvodnji poluvodiča. Međutim, očekuje se da će se rizik od prekida rada ublažiti prijelaznim mjerama predviđenima u paketu najpoželjnijih opcija, posebno prijelaznim razdobljem za PAH-ove. Stoga bi ukupni neizravni učinak na zelenu i digitalnu tranziciju trebao biti ograničen. </w:t>
      </w:r>
    </w:p>
    <w:p w14:paraId="0815411D" w14:textId="6C07F09F" w:rsidR="00D548A4" w:rsidRPr="00861B8A" w:rsidRDefault="00D548A4" w:rsidP="009A4EAF">
      <w:pPr>
        <w:pStyle w:val="Sections"/>
        <w:jc w:val="both"/>
        <w:rPr>
          <w:rFonts w:ascii="Times New Roman" w:hAnsi="Times New Roman"/>
          <w:noProof/>
        </w:rPr>
      </w:pPr>
      <w:r w:rsidRPr="00861B8A">
        <w:rPr>
          <w:rFonts w:ascii="Times New Roman" w:hAnsi="Times New Roman"/>
          <w:noProof/>
        </w:rPr>
        <w:t>Daljnje mjere</w:t>
      </w:r>
    </w:p>
    <w:p w14:paraId="2D24CE58" w14:textId="34EF13B1" w:rsidR="00D548A4" w:rsidRPr="00861B8A" w:rsidRDefault="00D548A4" w:rsidP="009A4EAF">
      <w:pPr>
        <w:pStyle w:val="Sub-sections"/>
        <w:jc w:val="both"/>
        <w:rPr>
          <w:rFonts w:ascii="Times New Roman" w:hAnsi="Times New Roman"/>
          <w:noProof/>
        </w:rPr>
      </w:pPr>
      <w:r w:rsidRPr="00861B8A">
        <w:rPr>
          <w:rFonts w:ascii="Times New Roman" w:hAnsi="Times New Roman"/>
          <w:noProof/>
        </w:rPr>
        <w:t xml:space="preserve">Koji je rok za preispitivanje predloženih mjera? </w:t>
      </w:r>
    </w:p>
    <w:p w14:paraId="31CBB12B" w14:textId="790881E4" w:rsidR="009377A8" w:rsidRPr="00861B8A" w:rsidRDefault="009377A8" w:rsidP="009A4EAF">
      <w:pPr>
        <w:pStyle w:val="Paragraph"/>
        <w:jc w:val="both"/>
        <w:rPr>
          <w:noProof/>
        </w:rPr>
      </w:pPr>
      <w:r w:rsidRPr="00861B8A">
        <w:rPr>
          <w:noProof/>
        </w:rPr>
        <w:t>Učinkovitost predložene revizije Direktive o karcinogenim, mutagenim i reproduktivno toksičnim tvarima mjerila bi se u okviru ocjene direktiva EU-a o zdravlju i sigurnosti na radu kako je predviđeno člankom 17.a Direktive 89/391/EEZ</w:t>
      </w:r>
      <w:r w:rsidRPr="00861B8A">
        <w:rPr>
          <w:rStyle w:val="FootnoteReference"/>
          <w:noProof/>
        </w:rPr>
        <w:footnoteReference w:id="13"/>
      </w:r>
      <w:r w:rsidRPr="00861B8A">
        <w:rPr>
          <w:noProof/>
        </w:rPr>
        <w:t>.</w:t>
      </w:r>
    </w:p>
    <w:sectPr w:rsidR="009377A8" w:rsidRPr="00861B8A" w:rsidSect="0026613F">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CD405" w14:textId="77777777" w:rsidR="003670E0" w:rsidRDefault="003670E0" w:rsidP="0026613F">
      <w:pPr>
        <w:spacing w:after="0" w:line="240" w:lineRule="auto"/>
      </w:pPr>
      <w:r>
        <w:separator/>
      </w:r>
    </w:p>
  </w:endnote>
  <w:endnote w:type="continuationSeparator" w:id="0">
    <w:p w14:paraId="603AC35C" w14:textId="77777777" w:rsidR="003670E0" w:rsidRDefault="003670E0" w:rsidP="0026613F">
      <w:pPr>
        <w:spacing w:after="0" w:line="240" w:lineRule="auto"/>
      </w:pPr>
      <w:r>
        <w:continuationSeparator/>
      </w:r>
    </w:p>
  </w:endnote>
  <w:endnote w:type="continuationNotice" w:id="1">
    <w:p w14:paraId="59AD98DC" w14:textId="77777777" w:rsidR="003670E0" w:rsidRDefault="00367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119E4" w14:textId="4766E391" w:rsidR="002B4EA9" w:rsidRPr="002B4EA9" w:rsidRDefault="002B4EA9" w:rsidP="002B4EA9">
    <w:pPr>
      <w:pStyle w:val="FooterCoverPage"/>
      <w:rPr>
        <w:rFonts w:ascii="Arial" w:hAnsi="Arial" w:cs="Arial"/>
        <w:b/>
        <w:sz w:val="48"/>
      </w:rPr>
    </w:pPr>
    <w:r w:rsidRPr="002B4EA9">
      <w:rPr>
        <w:rFonts w:ascii="Arial" w:hAnsi="Arial" w:cs="Arial"/>
        <w:b/>
        <w:sz w:val="48"/>
      </w:rPr>
      <w:t>HR</w:t>
    </w:r>
    <w:r w:rsidRPr="002B4EA9">
      <w:rPr>
        <w:rFonts w:ascii="Arial" w:hAnsi="Arial" w:cs="Arial"/>
        <w:b/>
        <w:sz w:val="48"/>
      </w:rPr>
      <w:tab/>
    </w:r>
    <w:r w:rsidRPr="002B4EA9">
      <w:rPr>
        <w:rFonts w:ascii="Arial" w:hAnsi="Arial" w:cs="Arial"/>
        <w:b/>
        <w:sz w:val="48"/>
      </w:rPr>
      <w:tab/>
    </w:r>
    <w:r w:rsidRPr="002B4EA9">
      <w:tab/>
    </w:r>
    <w:r w:rsidRPr="002B4EA9">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D36F6" w14:textId="7EE5DF53" w:rsidR="002B4EA9" w:rsidRPr="002B4EA9" w:rsidRDefault="002B4EA9" w:rsidP="002B4EA9">
    <w:pPr>
      <w:pStyle w:val="FooterCoverPage"/>
      <w:rPr>
        <w:rFonts w:ascii="Arial" w:hAnsi="Arial" w:cs="Arial"/>
        <w:b/>
        <w:sz w:val="48"/>
      </w:rPr>
    </w:pPr>
    <w:r w:rsidRPr="002B4EA9">
      <w:rPr>
        <w:rFonts w:ascii="Arial" w:hAnsi="Arial" w:cs="Arial"/>
        <w:b/>
        <w:sz w:val="48"/>
      </w:rPr>
      <w:t>HR</w:t>
    </w:r>
    <w:r w:rsidRPr="002B4EA9">
      <w:rPr>
        <w:rFonts w:ascii="Arial" w:hAnsi="Arial" w:cs="Arial"/>
        <w:b/>
        <w:sz w:val="48"/>
      </w:rPr>
      <w:tab/>
    </w:r>
    <w:r w:rsidRPr="002B4EA9">
      <w:rPr>
        <w:rFonts w:ascii="Arial" w:hAnsi="Arial" w:cs="Arial"/>
        <w:b/>
        <w:sz w:val="48"/>
      </w:rPr>
      <w:tab/>
    </w:r>
    <w:r w:rsidRPr="002B4EA9">
      <w:tab/>
    </w:r>
    <w:r w:rsidRPr="002B4EA9">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7A102" w14:textId="77777777" w:rsidR="002B4EA9" w:rsidRPr="002B4EA9" w:rsidRDefault="002B4EA9" w:rsidP="002B4EA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67E3" w14:textId="77777777" w:rsidR="0026613F" w:rsidRDefault="002661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00745"/>
      <w:docPartObj>
        <w:docPartGallery w:val="Page Numbers (Bottom of Page)"/>
        <w:docPartUnique/>
      </w:docPartObj>
    </w:sdtPr>
    <w:sdtEndPr>
      <w:rPr>
        <w:noProof/>
      </w:rPr>
    </w:sdtEndPr>
    <w:sdtContent>
      <w:p w14:paraId="44F14D6B" w14:textId="3C7D8DBF" w:rsidR="0026613F" w:rsidRDefault="0026613F">
        <w:pPr>
          <w:pStyle w:val="Footer"/>
          <w:jc w:val="center"/>
        </w:pPr>
        <w:r>
          <w:fldChar w:fldCharType="begin"/>
        </w:r>
        <w:r>
          <w:instrText xml:space="preserve"> PAGE   \* MERGEFORMAT </w:instrText>
        </w:r>
        <w:r>
          <w:fldChar w:fldCharType="separate"/>
        </w:r>
        <w:r w:rsidR="002B4EA9">
          <w:rPr>
            <w:noProof/>
          </w:rPr>
          <w:t>2</w:t>
        </w:r>
        <w:r>
          <w:fldChar w:fldCharType="end"/>
        </w:r>
      </w:p>
    </w:sdtContent>
  </w:sdt>
  <w:p w14:paraId="7833D796" w14:textId="77777777" w:rsidR="0026613F" w:rsidRDefault="002661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BECC1" w14:textId="77777777" w:rsidR="0026613F" w:rsidRDefault="0026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1A22" w14:textId="77777777" w:rsidR="003670E0" w:rsidRDefault="003670E0" w:rsidP="0026613F">
      <w:pPr>
        <w:spacing w:after="0" w:line="240" w:lineRule="auto"/>
      </w:pPr>
      <w:r>
        <w:separator/>
      </w:r>
    </w:p>
  </w:footnote>
  <w:footnote w:type="continuationSeparator" w:id="0">
    <w:p w14:paraId="3E927B97" w14:textId="77777777" w:rsidR="003670E0" w:rsidRDefault="003670E0" w:rsidP="0026613F">
      <w:pPr>
        <w:spacing w:after="0" w:line="240" w:lineRule="auto"/>
      </w:pPr>
      <w:r>
        <w:continuationSeparator/>
      </w:r>
    </w:p>
  </w:footnote>
  <w:footnote w:type="continuationNotice" w:id="1">
    <w:p w14:paraId="482EA9DC" w14:textId="77777777" w:rsidR="003670E0" w:rsidRDefault="003670E0">
      <w:pPr>
        <w:spacing w:after="0" w:line="240" w:lineRule="auto"/>
      </w:pPr>
    </w:p>
  </w:footnote>
  <w:footnote w:id="2">
    <w:p w14:paraId="033F0548" w14:textId="77777777" w:rsidR="006C0989" w:rsidRPr="009D7EC8" w:rsidRDefault="006C0989" w:rsidP="006C0989">
      <w:pPr>
        <w:pStyle w:val="FootnoteText"/>
        <w:rPr>
          <w:rFonts w:ascii="Times New Roman" w:hAnsi="Times New Roman" w:cs="Times New Roman"/>
          <w:noProof/>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noProof/>
        </w:rPr>
        <w:t>Komunikacija Komisije o strateškom okviru EU-a za zdravlje i sigurnost na radu za razdoblje 2021. – 2027. Sigurnost i zdravlje na radu u svijetu rada koji se mijenja, COM(2021) 323 final.</w:t>
      </w:r>
    </w:p>
  </w:footnote>
  <w:footnote w:id="3">
    <w:p w14:paraId="75FD53C0" w14:textId="77777777" w:rsidR="006C0989" w:rsidRPr="009D7EC8" w:rsidRDefault="006C0989" w:rsidP="006C0989">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noProof/>
        </w:rPr>
        <w:t xml:space="preserve"> Direktiva 2004/37/EZ Europskog parlamenta i Vijeća od 29. travnja 2004. o zaštiti radnika od rizika zbog izloženosti karcinogenim ili mutagenim tvarima na radu, </w:t>
      </w:r>
      <w:r>
        <w:rPr>
          <w:rFonts w:ascii="Times New Roman" w:hAnsi="Times New Roman"/>
          <w:i/>
          <w:iCs/>
          <w:noProof/>
        </w:rPr>
        <w:t>SL </w:t>
      </w:r>
      <w:r>
        <w:rPr>
          <w:rFonts w:ascii="Times New Roman" w:hAnsi="Times New Roman"/>
          <w:i/>
          <w:noProof/>
        </w:rPr>
        <w:t>L 158, 30.4.2004., str. 50.</w:t>
      </w:r>
    </w:p>
  </w:footnote>
  <w:footnote w:id="4">
    <w:p w14:paraId="1079CA3D" w14:textId="7C36381B" w:rsidR="006C0989" w:rsidRPr="00E35E94" w:rsidRDefault="006C0989">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noProof/>
        </w:rPr>
        <w:t xml:space="preserve"> COM(2021) 323 final, </w:t>
      </w:r>
      <w:r>
        <w:rPr>
          <w:rFonts w:ascii="Times New Roman" w:hAnsi="Times New Roman"/>
          <w:i/>
          <w:iCs/>
          <w:noProof/>
        </w:rPr>
        <w:t>op. cit.</w:t>
      </w:r>
    </w:p>
  </w:footnote>
  <w:footnote w:id="5">
    <w:p w14:paraId="79E8F467" w14:textId="0C5F8F46" w:rsidR="009D7EC8" w:rsidRPr="002B7003" w:rsidRDefault="009D7EC8">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noProof/>
        </w:rPr>
        <w:t xml:space="preserve"> Risk &amp; Policy Analysts (RPA) (2024.), </w:t>
      </w:r>
      <w:r>
        <w:rPr>
          <w:rFonts w:ascii="Times New Roman" w:hAnsi="Times New Roman"/>
          <w:i/>
          <w:noProof/>
        </w:rPr>
        <w:t>Study on collecting the most recent information on substances to analyse health, socio-economic and environmental impacts in connection with possible amendments of Directive 2004/37/EC on the protection of workers from the risks related to exposure to carcinogens, mutagens or reprotoxic substances at work</w:t>
      </w:r>
      <w:r>
        <w:rPr>
          <w:rFonts w:ascii="Times New Roman" w:hAnsi="Times New Roman"/>
          <w:noProof/>
        </w:rPr>
        <w:t xml:space="preserve"> (Studija o prikupljanju najnovijih podataka o tvarima za analizu zdravstvenih, socioekonomskih i okolišnih učinaka u vezi s mogućim izmjenama Direktive 2004/37/EZ o zaštiti radnika od rizika zbog izloženosti karcinogenim, mutagenim ili reproduktivno toksičnim tvarima na radu).</w:t>
      </w:r>
    </w:p>
  </w:footnote>
  <w:footnote w:id="6">
    <w:p w14:paraId="7AC14030" w14:textId="66EA9795" w:rsidR="002B7003" w:rsidRPr="002B7003" w:rsidRDefault="002B7003">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noProof/>
        </w:rPr>
        <w:t xml:space="preserve"> 4365 slučaja restriktivne plućne bolesti, 14 152 slučaja nadraženosti gornjih dišnih putova, 38 slučaja razvojne toksičnosti, 3157 slučaja muške neplodnosti, 633 slučaja učinaka na jetru, 497 slučajeva učinaka na bubrege i 4381 slučaj učinaka u nosnoj šupljini.</w:t>
      </w:r>
    </w:p>
  </w:footnote>
  <w:footnote w:id="7">
    <w:p w14:paraId="3C3981BE" w14:textId="77777777" w:rsidR="0029354D" w:rsidRPr="0029354D" w:rsidRDefault="0029354D" w:rsidP="0029354D">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noProof/>
        </w:rPr>
        <w:t xml:space="preserve"> Razina izloženosti koja se smatra sigurnom (za zaštitu zdravlja) za kemijsku tvar u zraku na radnom mjestu.</w:t>
      </w:r>
    </w:p>
  </w:footnote>
  <w:footnote w:id="8">
    <w:p w14:paraId="05333B41" w14:textId="1442464E" w:rsidR="0029354D" w:rsidRPr="0029354D" w:rsidRDefault="0029354D" w:rsidP="0029354D">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noProof/>
        </w:rPr>
        <w:t xml:space="preserve"> RAC (2022.), </w:t>
      </w:r>
      <w:r>
        <w:rPr>
          <w:rFonts w:ascii="Times New Roman" w:hAnsi="Times New Roman"/>
          <w:i/>
          <w:iCs/>
          <w:noProof/>
        </w:rPr>
        <w:t>Opinion on scientific evaluation of occupational exposure limits for isoprene</w:t>
      </w:r>
      <w:r>
        <w:rPr>
          <w:rFonts w:ascii="Times New Roman" w:hAnsi="Times New Roman"/>
          <w:noProof/>
        </w:rPr>
        <w:t xml:space="preserve"> (Mišljenje o znanstvenoj ocjeni graničnih vrijednosti izloženosti na mjestu rada za izopren), dostupno na: </w:t>
      </w:r>
      <w:hyperlink r:id="rId1" w:history="1">
        <w:r>
          <w:rPr>
            <w:rStyle w:val="Hyperlink"/>
            <w:rFonts w:ascii="Times New Roman" w:hAnsi="Times New Roman"/>
            <w:noProof/>
          </w:rPr>
          <w:t>11c4dd13-2117-8cd1-83d6-44fc9e591b8f (europa.eu)</w:t>
        </w:r>
      </w:hyperlink>
      <w:r>
        <w:rPr>
          <w:noProof/>
        </w:rPr>
        <w:t>.</w:t>
      </w:r>
    </w:p>
  </w:footnote>
  <w:footnote w:id="9">
    <w:p w14:paraId="0004A661" w14:textId="34ED6208" w:rsidR="001A3423" w:rsidRPr="00E939ED" w:rsidRDefault="001A3423" w:rsidP="001A3423">
      <w:pPr>
        <w:pStyle w:val="FootnoteText"/>
        <w:rPr>
          <w:rFonts w:ascii="Times New Roman" w:hAnsi="Times New Roman" w:cs="Times New Roman"/>
          <w:noProof/>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noProof/>
        </w:rPr>
        <w:t xml:space="preserve">Granična vrijednost 1,4-dioksana, utvrđena u Direktivi o kemijskim sredstvima, iznosi 73 mg/m3. Međutim, ta je granična vrijednost indikativna, a ne obvezujuća. Nakon što je EU nedavno ponovno razvrstao 1,4-dioksan u karcinogene tvari, on je sad obuhvaćen područjem primjene Direktive o karcinogenim, mutagenim i reproduktivno toksičnim tvarima te je za njega potrebno utvrditi obvezujuću graničnu vrijednost. </w:t>
      </w:r>
    </w:p>
  </w:footnote>
  <w:footnote w:id="10">
    <w:p w14:paraId="4D6F7B21" w14:textId="7DEA5F03" w:rsidR="001A3423" w:rsidRPr="00E939ED" w:rsidRDefault="001A3423" w:rsidP="001A3423">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noProof/>
        </w:rPr>
        <w:t xml:space="preserve"> GU EMPL (2023.), </w:t>
      </w:r>
      <w:r>
        <w:rPr>
          <w:rFonts w:ascii="Times New Roman" w:hAnsi="Times New Roman"/>
          <w:i/>
          <w:iCs/>
          <w:noProof/>
        </w:rPr>
        <w:t>Methodology establishing risk-based limit values for non-threshold carcinogens, for the purposes of Article 1 (18a) of Directive 2004/37/EC</w:t>
      </w:r>
      <w:r>
        <w:rPr>
          <w:rFonts w:ascii="Times New Roman" w:hAnsi="Times New Roman"/>
          <w:noProof/>
        </w:rPr>
        <w:t xml:space="preserve"> (Metodologija za utvrđivanje graničnih vrijednosti koje se temelje na riziku za karcinogene tvari bez praga, za potrebe članka 1. (18.a) Direktive 2004/37/EZ), dostupno na: </w:t>
      </w:r>
      <w:hyperlink r:id="rId2" w:history="1">
        <w:r>
          <w:rPr>
            <w:rStyle w:val="Hyperlink"/>
            <w:rFonts w:ascii="Times New Roman" w:hAnsi="Times New Roman"/>
            <w:noProof/>
          </w:rPr>
          <w:t>https://ec.europa.eu/social/BlobServlet?docId=27151&amp;langId=en</w:t>
        </w:r>
      </w:hyperlink>
      <w:r>
        <w:rPr>
          <w:noProof/>
        </w:rPr>
        <w:t>.</w:t>
      </w:r>
      <w:r>
        <w:rPr>
          <w:rFonts w:ascii="Times New Roman" w:hAnsi="Times New Roman"/>
          <w:noProof/>
        </w:rPr>
        <w:t xml:space="preserve"> </w:t>
      </w:r>
    </w:p>
  </w:footnote>
  <w:footnote w:id="11">
    <w:p w14:paraId="0F76262F" w14:textId="493C420C" w:rsidR="001A3423" w:rsidRPr="00E35E94" w:rsidRDefault="001A3423">
      <w:pPr>
        <w:pStyle w:val="FootnoteText"/>
        <w:rPr>
          <w:rFonts w:ascii="Times New Roman" w:hAnsi="Times New Roman" w:cs="Times New Roman"/>
          <w:noProof/>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noProof/>
        </w:rPr>
        <w:t xml:space="preserve">RPA (2024.), </w:t>
      </w:r>
      <w:r>
        <w:rPr>
          <w:rFonts w:ascii="Times New Roman" w:hAnsi="Times New Roman"/>
          <w:i/>
          <w:iCs/>
          <w:noProof/>
        </w:rPr>
        <w:t>op. cit.</w:t>
      </w:r>
      <w:r>
        <w:rPr>
          <w:rFonts w:ascii="Times New Roman" w:hAnsi="Times New Roman"/>
          <w:noProof/>
        </w:rPr>
        <w:t xml:space="preserve"> </w:t>
      </w:r>
    </w:p>
  </w:footnote>
  <w:footnote w:id="12">
    <w:p w14:paraId="0826B8CA" w14:textId="77777777" w:rsidR="00870A73" w:rsidRPr="00A375A9" w:rsidRDefault="00870A73" w:rsidP="00870A73">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noProof/>
        </w:rPr>
        <w:t xml:space="preserve"> Primjena vrijednosti spremnosti na plaćanje na svaki slučaj (= 1. metoda). </w:t>
      </w:r>
    </w:p>
  </w:footnote>
  <w:footnote w:id="13">
    <w:p w14:paraId="23870D7D" w14:textId="1027010C" w:rsidR="00E47F48" w:rsidRPr="00F06A6D" w:rsidRDefault="00E47F4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Direktiva Vijeća 89/391/EEZ od 12. lipnja 1989. o uvođenju mjera za poticanje poboljšanja sigurnosti i zdravlja radnika na radu, </w:t>
      </w:r>
      <w:r>
        <w:rPr>
          <w:rFonts w:ascii="Times New Roman" w:hAnsi="Times New Roman"/>
          <w:i/>
        </w:rPr>
        <w:t>SL L 183, 29.6.1989., str. 1.</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A803" w14:textId="77777777" w:rsidR="002B4EA9" w:rsidRPr="002B4EA9" w:rsidRDefault="002B4EA9" w:rsidP="002B4EA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F9CF" w14:textId="77777777" w:rsidR="002B4EA9" w:rsidRPr="002B4EA9" w:rsidRDefault="002B4EA9" w:rsidP="002B4EA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02A98" w14:textId="77777777" w:rsidR="002B4EA9" w:rsidRPr="002B4EA9" w:rsidRDefault="002B4EA9" w:rsidP="002B4EA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486E" w14:textId="77777777" w:rsidR="0026613F" w:rsidRDefault="002661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ED0D4" w14:textId="77777777" w:rsidR="0026613F" w:rsidRDefault="002661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ACDC" w14:textId="77777777" w:rsidR="0026613F" w:rsidRDefault="00266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530F1"/>
    <w:multiLevelType w:val="hybridMultilevel"/>
    <w:tmpl w:val="A9BAE5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519B6A67"/>
    <w:multiLevelType w:val="hybridMultilevel"/>
    <w:tmpl w:val="D26ABF16"/>
    <w:lvl w:ilvl="0" w:tplc="18090001">
      <w:start w:val="1"/>
      <w:numFmt w:val="bullet"/>
      <w:lvlText w:val=""/>
      <w:lvlJc w:val="left"/>
      <w:pPr>
        <w:ind w:left="721" w:hanging="360"/>
      </w:pPr>
      <w:rPr>
        <w:rFonts w:ascii="Symbol" w:hAnsi="Symbol" w:hint="default"/>
      </w:rPr>
    </w:lvl>
    <w:lvl w:ilvl="1" w:tplc="18090003" w:tentative="1">
      <w:start w:val="1"/>
      <w:numFmt w:val="bullet"/>
      <w:lvlText w:val="o"/>
      <w:lvlJc w:val="left"/>
      <w:pPr>
        <w:ind w:left="1441" w:hanging="360"/>
      </w:pPr>
      <w:rPr>
        <w:rFonts w:ascii="Courier New" w:hAnsi="Courier New" w:cs="Courier New" w:hint="default"/>
      </w:rPr>
    </w:lvl>
    <w:lvl w:ilvl="2" w:tplc="18090005" w:tentative="1">
      <w:start w:val="1"/>
      <w:numFmt w:val="bullet"/>
      <w:lvlText w:val=""/>
      <w:lvlJc w:val="left"/>
      <w:pPr>
        <w:ind w:left="2161" w:hanging="360"/>
      </w:pPr>
      <w:rPr>
        <w:rFonts w:ascii="Wingdings" w:hAnsi="Wingdings" w:hint="default"/>
      </w:rPr>
    </w:lvl>
    <w:lvl w:ilvl="3" w:tplc="18090001" w:tentative="1">
      <w:start w:val="1"/>
      <w:numFmt w:val="bullet"/>
      <w:lvlText w:val=""/>
      <w:lvlJc w:val="left"/>
      <w:pPr>
        <w:ind w:left="2881" w:hanging="360"/>
      </w:pPr>
      <w:rPr>
        <w:rFonts w:ascii="Symbol" w:hAnsi="Symbol" w:hint="default"/>
      </w:rPr>
    </w:lvl>
    <w:lvl w:ilvl="4" w:tplc="18090003" w:tentative="1">
      <w:start w:val="1"/>
      <w:numFmt w:val="bullet"/>
      <w:lvlText w:val="o"/>
      <w:lvlJc w:val="left"/>
      <w:pPr>
        <w:ind w:left="3601" w:hanging="360"/>
      </w:pPr>
      <w:rPr>
        <w:rFonts w:ascii="Courier New" w:hAnsi="Courier New" w:cs="Courier New" w:hint="default"/>
      </w:rPr>
    </w:lvl>
    <w:lvl w:ilvl="5" w:tplc="18090005" w:tentative="1">
      <w:start w:val="1"/>
      <w:numFmt w:val="bullet"/>
      <w:lvlText w:val=""/>
      <w:lvlJc w:val="left"/>
      <w:pPr>
        <w:ind w:left="4321" w:hanging="360"/>
      </w:pPr>
      <w:rPr>
        <w:rFonts w:ascii="Wingdings" w:hAnsi="Wingdings" w:hint="default"/>
      </w:rPr>
    </w:lvl>
    <w:lvl w:ilvl="6" w:tplc="18090001" w:tentative="1">
      <w:start w:val="1"/>
      <w:numFmt w:val="bullet"/>
      <w:lvlText w:val=""/>
      <w:lvlJc w:val="left"/>
      <w:pPr>
        <w:ind w:left="5041" w:hanging="360"/>
      </w:pPr>
      <w:rPr>
        <w:rFonts w:ascii="Symbol" w:hAnsi="Symbol" w:hint="default"/>
      </w:rPr>
    </w:lvl>
    <w:lvl w:ilvl="7" w:tplc="18090003" w:tentative="1">
      <w:start w:val="1"/>
      <w:numFmt w:val="bullet"/>
      <w:lvlText w:val="o"/>
      <w:lvlJc w:val="left"/>
      <w:pPr>
        <w:ind w:left="5761" w:hanging="360"/>
      </w:pPr>
      <w:rPr>
        <w:rFonts w:ascii="Courier New" w:hAnsi="Courier New" w:cs="Courier New" w:hint="default"/>
      </w:rPr>
    </w:lvl>
    <w:lvl w:ilvl="8" w:tplc="18090005" w:tentative="1">
      <w:start w:val="1"/>
      <w:numFmt w:val="bullet"/>
      <w:lvlText w:val=""/>
      <w:lvlJc w:val="left"/>
      <w:pPr>
        <w:ind w:left="6481" w:hanging="360"/>
      </w:pPr>
      <w:rPr>
        <w:rFonts w:ascii="Wingdings" w:hAnsi="Wingdings" w:hint="default"/>
      </w:rPr>
    </w:lvl>
  </w:abstractNum>
  <w:abstractNum w:abstractNumId="2" w15:restartNumberingAfterBreak="0">
    <w:nsid w:val="5392420D"/>
    <w:multiLevelType w:val="hybridMultilevel"/>
    <w:tmpl w:val="7B2853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4630435"/>
    <w:multiLevelType w:val="hybridMultilevel"/>
    <w:tmpl w:val="2F7E5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36A773E"/>
    <w:multiLevelType w:val="multilevel"/>
    <w:tmpl w:val="078CBF5C"/>
    <w:lvl w:ilvl="0">
      <w:start w:val="1"/>
      <w:numFmt w:val="decimal"/>
      <w:pStyle w:val="Sections"/>
      <w:lvlText w:val="%1."/>
      <w:lvlJc w:val="left"/>
      <w:pPr>
        <w:ind w:left="360" w:hanging="360"/>
      </w:pPr>
    </w:lvl>
    <w:lvl w:ilvl="1">
      <w:start w:val="1"/>
      <w:numFmt w:val="decimal"/>
      <w:pStyle w:val="Sub-sections"/>
      <w:lvlText w:val="%1.%2."/>
      <w:lvlJc w:val="left"/>
      <w:pPr>
        <w:ind w:left="792" w:hanging="432"/>
      </w:pPr>
    </w:lvl>
    <w:lvl w:ilvl="2">
      <w:start w:val="1"/>
      <w:numFmt w:val="decimal"/>
      <w:pStyle w:val="Sub-sub-sectio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C41BA7"/>
    <w:multiLevelType w:val="hybridMultilevel"/>
    <w:tmpl w:val="0BAE7F1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prilo\u382?en dokumentu"/>
    <w:docVar w:name="LW_CORRIGENDUM" w:val="&lt;UNUSED&gt;"/>
    <w:docVar w:name="LW_COVERPAGE_EXISTS" w:val="True"/>
    <w:docVar w:name="LW_COVERPAGE_GUID" w:val="6D156C94-F799-4657-A42D-A7F2D24A4CB3"/>
    <w:docVar w:name="LW_COVERPAGE_TYPE" w:val="1"/>
    <w:docVar w:name="LW_CROSSREFERENCE" w:val="{COM(2025) 418 final} - {SEC(2025) 217 final} - {SWD(2025) 191 final} - {SWD(2025) 192 final}"/>
    <w:docVar w:name="LW_DocType" w:val="NORMAL"/>
    <w:docVar w:name="LW_EMISSION" w:val="18.7.2025."/>
    <w:docVar w:name="LW_EMISSION_ISODATE" w:val="2025-07-18"/>
    <w:docVar w:name="LW_EMISSION_LOCATION" w:val="BRX"/>
    <w:docVar w:name="LW_EMISSION_PREFIX" w:val="Bruxelles, "/>
    <w:docVar w:name="LW_EMISSION_SUFFIX" w:val="&lt;EMPTY&gt;"/>
    <w:docVar w:name="LW_ID_DOCTYPE_NONLW" w:val="CP-027"/>
    <w:docVar w:name="LW_LANGUE" w:val="HR"/>
    <w:docVar w:name="LW_LEVEL_OF_SENSITIVITY" w:val="Standard treatment"/>
    <w:docVar w:name="LW_NOM.INST" w:val="EUROPSKA KOMISIJA"/>
    <w:docVar w:name="LW_NOM.INST_JOINTDOC" w:val="&lt;EMPTY&gt;"/>
    <w:docVar w:name="LW_OBJETACTEPRINCIPAL.CP" w:val="o izmjeni Direktive 2004/37/EZ u pogledu dodavanja tvari i utvr\u273?ivanja grani\u269?nih vrijednosti u njezinim prilozima I., III. i III.a"/>
    <w:docVar w:name="LW_PART_NBR" w:val="1"/>
    <w:docVar w:name="LW_PART_NBR_TOTAL" w:val="1"/>
    <w:docVar w:name="LW_REF.INST.NEW" w:val="SWD"/>
    <w:docVar w:name="LW_REF.INST.NEW_ADOPTED" w:val="final"/>
    <w:docVar w:name="LW_REF.INST.NEW_TEXT" w:val="(2025) 19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Style_Marker&gt; &lt;/FMT&gt;"/>
    <w:docVar w:name="LW_TYPE.DOC.CP" w:val="RADNI DOKUMENT SLU\u381?BI KOMISIJE_x000b__x000b_SA\u381?ETAK IZVJE\u352?\u262?A O PROCJENI U\u268?INKA_x000b_"/>
    <w:docVar w:name="LW_TYPEACTEPRINCIPAL.CP" w:val="Prijedlog direktive Europskog parlamenta i Vije\u263?a"/>
    <w:docVar w:name="LwApiVersions" w:val="LW4CoDe 1.24.5.0; LW 9.0, Build 20240221"/>
  </w:docVars>
  <w:rsids>
    <w:rsidRoot w:val="0026613F"/>
    <w:rsid w:val="00004ADD"/>
    <w:rsid w:val="00012875"/>
    <w:rsid w:val="00031D93"/>
    <w:rsid w:val="000706B8"/>
    <w:rsid w:val="000D7F21"/>
    <w:rsid w:val="000E06DE"/>
    <w:rsid w:val="00123402"/>
    <w:rsid w:val="001371D1"/>
    <w:rsid w:val="00141A42"/>
    <w:rsid w:val="001A1C58"/>
    <w:rsid w:val="001A3423"/>
    <w:rsid w:val="001B6BB9"/>
    <w:rsid w:val="001D3E1C"/>
    <w:rsid w:val="00201712"/>
    <w:rsid w:val="00204A07"/>
    <w:rsid w:val="00240195"/>
    <w:rsid w:val="002529A1"/>
    <w:rsid w:val="0026613F"/>
    <w:rsid w:val="00271F6A"/>
    <w:rsid w:val="0029354D"/>
    <w:rsid w:val="002958D0"/>
    <w:rsid w:val="002B4EA9"/>
    <w:rsid w:val="002B7003"/>
    <w:rsid w:val="002C35DB"/>
    <w:rsid w:val="002F75F8"/>
    <w:rsid w:val="003141D7"/>
    <w:rsid w:val="003400DB"/>
    <w:rsid w:val="00361E73"/>
    <w:rsid w:val="003670E0"/>
    <w:rsid w:val="00370B31"/>
    <w:rsid w:val="003866AB"/>
    <w:rsid w:val="003A7527"/>
    <w:rsid w:val="003C72F4"/>
    <w:rsid w:val="003D21EE"/>
    <w:rsid w:val="003F61A6"/>
    <w:rsid w:val="00405D77"/>
    <w:rsid w:val="00422D92"/>
    <w:rsid w:val="004468F5"/>
    <w:rsid w:val="004A3979"/>
    <w:rsid w:val="004B10F2"/>
    <w:rsid w:val="004D3162"/>
    <w:rsid w:val="00536BB3"/>
    <w:rsid w:val="00547FD9"/>
    <w:rsid w:val="005725C4"/>
    <w:rsid w:val="005754D7"/>
    <w:rsid w:val="005824AC"/>
    <w:rsid w:val="005B591B"/>
    <w:rsid w:val="005C7CC3"/>
    <w:rsid w:val="005E396B"/>
    <w:rsid w:val="005E56E4"/>
    <w:rsid w:val="00603363"/>
    <w:rsid w:val="006049BE"/>
    <w:rsid w:val="00624693"/>
    <w:rsid w:val="006546A2"/>
    <w:rsid w:val="006C01BC"/>
    <w:rsid w:val="006C0989"/>
    <w:rsid w:val="006C38D4"/>
    <w:rsid w:val="006D4024"/>
    <w:rsid w:val="0072497B"/>
    <w:rsid w:val="00725941"/>
    <w:rsid w:val="0072712F"/>
    <w:rsid w:val="00761C55"/>
    <w:rsid w:val="0078341C"/>
    <w:rsid w:val="00785570"/>
    <w:rsid w:val="007952B0"/>
    <w:rsid w:val="007954B6"/>
    <w:rsid w:val="007A6E83"/>
    <w:rsid w:val="00842D4A"/>
    <w:rsid w:val="00847F9C"/>
    <w:rsid w:val="00861B8A"/>
    <w:rsid w:val="008705FE"/>
    <w:rsid w:val="00870A73"/>
    <w:rsid w:val="0087385F"/>
    <w:rsid w:val="0089759E"/>
    <w:rsid w:val="008C54E5"/>
    <w:rsid w:val="008D2F13"/>
    <w:rsid w:val="008D5DA6"/>
    <w:rsid w:val="0090274C"/>
    <w:rsid w:val="009377A8"/>
    <w:rsid w:val="00972FB7"/>
    <w:rsid w:val="00982817"/>
    <w:rsid w:val="009828CC"/>
    <w:rsid w:val="009A484B"/>
    <w:rsid w:val="009A4EAF"/>
    <w:rsid w:val="009B3BE5"/>
    <w:rsid w:val="009D30A8"/>
    <w:rsid w:val="009D64A2"/>
    <w:rsid w:val="009D7EC8"/>
    <w:rsid w:val="00A05248"/>
    <w:rsid w:val="00A375A9"/>
    <w:rsid w:val="00A46692"/>
    <w:rsid w:val="00A929E6"/>
    <w:rsid w:val="00AE0E54"/>
    <w:rsid w:val="00AE4E87"/>
    <w:rsid w:val="00B1566B"/>
    <w:rsid w:val="00B52D45"/>
    <w:rsid w:val="00B53A91"/>
    <w:rsid w:val="00B56330"/>
    <w:rsid w:val="00B62BAD"/>
    <w:rsid w:val="00BA610A"/>
    <w:rsid w:val="00BA64B2"/>
    <w:rsid w:val="00BB5290"/>
    <w:rsid w:val="00BE548B"/>
    <w:rsid w:val="00C07C16"/>
    <w:rsid w:val="00C20FFC"/>
    <w:rsid w:val="00C45956"/>
    <w:rsid w:val="00C51673"/>
    <w:rsid w:val="00C55165"/>
    <w:rsid w:val="00D20FD1"/>
    <w:rsid w:val="00D548A4"/>
    <w:rsid w:val="00D5548D"/>
    <w:rsid w:val="00D71F14"/>
    <w:rsid w:val="00D82033"/>
    <w:rsid w:val="00D90D80"/>
    <w:rsid w:val="00E24BF3"/>
    <w:rsid w:val="00E35E94"/>
    <w:rsid w:val="00E47F48"/>
    <w:rsid w:val="00E841D3"/>
    <w:rsid w:val="00E939ED"/>
    <w:rsid w:val="00E9643A"/>
    <w:rsid w:val="00EB4AFE"/>
    <w:rsid w:val="00EC4D8E"/>
    <w:rsid w:val="00F06A6D"/>
    <w:rsid w:val="00F15703"/>
    <w:rsid w:val="00F22E64"/>
    <w:rsid w:val="00F31280"/>
    <w:rsid w:val="00F618A8"/>
    <w:rsid w:val="00FD3BE3"/>
    <w:rsid w:val="00FE1E24"/>
    <w:rsid w:val="1AD1A091"/>
    <w:rsid w:val="1FB73B21"/>
    <w:rsid w:val="21577D30"/>
    <w:rsid w:val="2B0D3AFB"/>
    <w:rsid w:val="3E709202"/>
    <w:rsid w:val="467327F4"/>
    <w:rsid w:val="4C04DCAF"/>
    <w:rsid w:val="5490B5C2"/>
    <w:rsid w:val="56DA2EC5"/>
    <w:rsid w:val="5FF9A850"/>
    <w:rsid w:val="6A75D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D52611"/>
  <w15:chartTrackingRefBased/>
  <w15:docId w15:val="{A4339711-EFE9-4CAC-AE70-8533DD64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613F"/>
    <w:rPr>
      <w:color w:val="0000FF"/>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paragraph" w:styleId="ListParagraph">
    <w:name w:val="List Paragraph"/>
    <w:aliases w:val="Style Bullet,Heading 2_sj,Dot pt,Numbered Para 1,No Spacing1,List Paragraph Char Char Char,Indicator Text,Bullet 1,List Paragraph1,Bullet Points,MAIN CONTENT,List Paragraph12,F5 List Paragraph,Report Para,1st level - Bullet List Paragraph"/>
    <w:basedOn w:val="Normal"/>
    <w:link w:val="ListParagraphChar"/>
    <w:uiPriority w:val="34"/>
    <w:qFormat/>
    <w:rsid w:val="00785570"/>
    <w:pPr>
      <w:ind w:left="720"/>
      <w:contextualSpacing/>
    </w:pPr>
  </w:style>
  <w:style w:type="paragraph" w:customStyle="1" w:styleId="Sections">
    <w:name w:val="Sections"/>
    <w:basedOn w:val="ListParagraph"/>
    <w:link w:val="SectionsChar"/>
    <w:qFormat/>
    <w:rsid w:val="00785570"/>
    <w:pPr>
      <w:numPr>
        <w:numId w:val="1"/>
      </w:numPr>
      <w:ind w:left="357" w:hanging="357"/>
      <w:contextualSpacing w:val="0"/>
    </w:pPr>
    <w:rPr>
      <w:rFonts w:ascii="Times New Roman Bold" w:hAnsi="Times New Roman Bold" w:cs="Times New Roman"/>
      <w:b/>
      <w:bCs/>
      <w:smallCaps/>
      <w:sz w:val="24"/>
      <w:szCs w:val="24"/>
    </w:rPr>
  </w:style>
  <w:style w:type="character" w:customStyle="1" w:styleId="ListParagraphChar">
    <w:name w:val="List Paragraph Char"/>
    <w:aliases w:val="Style Bullet Char,Heading 2_sj Char,Dot pt Char,Numbered Para 1 Char,No Spacing1 Char,List Paragraph Char Char Char Char,Indicator Text Char,Bullet 1 Char,List Paragraph1 Char,Bullet Points Char,MAIN CONTENT Char,Report Para Char"/>
    <w:basedOn w:val="DefaultParagraphFont"/>
    <w:link w:val="ListParagraph"/>
    <w:uiPriority w:val="34"/>
    <w:qFormat/>
    <w:rsid w:val="00785570"/>
  </w:style>
  <w:style w:type="character" w:customStyle="1" w:styleId="SectionsChar">
    <w:name w:val="Sections Char"/>
    <w:basedOn w:val="ListParagraphChar"/>
    <w:link w:val="Sections"/>
    <w:rsid w:val="00785570"/>
    <w:rPr>
      <w:rFonts w:ascii="Times New Roman Bold" w:hAnsi="Times New Roman Bold" w:cs="Times New Roman"/>
      <w:b/>
      <w:bCs/>
      <w:smallCaps/>
      <w:sz w:val="24"/>
      <w:szCs w:val="24"/>
    </w:rPr>
  </w:style>
  <w:style w:type="paragraph" w:customStyle="1" w:styleId="Sub-sections">
    <w:name w:val="Sub-sections"/>
    <w:basedOn w:val="ListParagraph"/>
    <w:link w:val="Sub-sectionsChar"/>
    <w:qFormat/>
    <w:rsid w:val="00603363"/>
    <w:pPr>
      <w:numPr>
        <w:ilvl w:val="1"/>
        <w:numId w:val="1"/>
      </w:numPr>
      <w:ind w:left="788" w:hanging="431"/>
      <w:contextualSpacing w:val="0"/>
    </w:pPr>
    <w:rPr>
      <w:rFonts w:ascii="Times New Roman Bold" w:hAnsi="Times New Roman Bold" w:cs="Times New Roman"/>
      <w:b/>
      <w:bCs/>
    </w:rPr>
  </w:style>
  <w:style w:type="character" w:customStyle="1" w:styleId="Sub-sectionsChar">
    <w:name w:val="Sub-sections Char"/>
    <w:basedOn w:val="ListParagraphChar"/>
    <w:link w:val="Sub-sections"/>
    <w:rsid w:val="00603363"/>
    <w:rPr>
      <w:rFonts w:ascii="Times New Roman Bold" w:hAnsi="Times New Roman Bold" w:cs="Times New Roman"/>
      <w:b/>
      <w:bCs/>
    </w:rPr>
  </w:style>
  <w:style w:type="paragraph" w:customStyle="1" w:styleId="Paragraph">
    <w:name w:val="Paragraph"/>
    <w:basedOn w:val="Normal"/>
    <w:qFormat/>
    <w:rsid w:val="006C0989"/>
    <w:rPr>
      <w:rFonts w:ascii="Times New Roman" w:hAnsi="Times New Roman" w:cs="Times New Roman"/>
      <w:sz w:val="24"/>
    </w:rPr>
  </w:style>
  <w:style w:type="paragraph" w:styleId="ListBullet">
    <w:name w:val="List Bullet"/>
    <w:aliases w:val="BULLET,*List Bullet,IPA Bullet,Знак,Aufzählungszeichen, Char, Знак"/>
    <w:basedOn w:val="Normal"/>
    <w:uiPriority w:val="4"/>
    <w:qFormat/>
    <w:rsid w:val="006C0989"/>
    <w:pPr>
      <w:tabs>
        <w:tab w:val="num" w:pos="283"/>
      </w:tabs>
      <w:spacing w:after="240" w:line="240" w:lineRule="auto"/>
      <w:ind w:left="283" w:hanging="283"/>
      <w:jc w:val="both"/>
    </w:pPr>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6C0989"/>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6C0989"/>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6C0989"/>
    <w:rPr>
      <w:vertAlign w:val="superscript"/>
    </w:rPr>
  </w:style>
  <w:style w:type="paragraph" w:customStyle="1" w:styleId="CharCharChar1">
    <w:name w:val="Char Char Char1"/>
    <w:basedOn w:val="Normal"/>
    <w:link w:val="FootnoteReference"/>
    <w:uiPriority w:val="99"/>
    <w:rsid w:val="006C0989"/>
    <w:pPr>
      <w:spacing w:after="160" w:line="240" w:lineRule="exact"/>
      <w:jc w:val="both"/>
    </w:pPr>
    <w:rPr>
      <w:vertAlign w:val="superscript"/>
    </w:rPr>
  </w:style>
  <w:style w:type="paragraph" w:customStyle="1" w:styleId="Sub-sub-section">
    <w:name w:val="Sub-sub-section"/>
    <w:qFormat/>
    <w:rsid w:val="005725C4"/>
    <w:pPr>
      <w:numPr>
        <w:ilvl w:val="2"/>
        <w:numId w:val="1"/>
      </w:numPr>
    </w:pPr>
    <w:rPr>
      <w:rFonts w:ascii="Times New Roman Bold" w:hAnsi="Times New Roman Bold" w:cs="Times New Roman"/>
      <w:bCs/>
      <w:i/>
      <w:u w:val="single"/>
    </w:rPr>
  </w:style>
  <w:style w:type="character" w:styleId="Hyperlink">
    <w:name w:val="Hyperlink"/>
    <w:aliases w:val="Znak Znak Znak, Znak Znak Znak"/>
    <w:basedOn w:val="DefaultParagraphFont"/>
    <w:uiPriority w:val="99"/>
    <w:unhideWhenUsed/>
    <w:qFormat/>
    <w:rsid w:val="001A3423"/>
    <w:rPr>
      <w:color w:val="0000FF" w:themeColor="hyperlink"/>
      <w:u w:val="single"/>
    </w:rPr>
  </w:style>
  <w:style w:type="table" w:styleId="TableGrid">
    <w:name w:val="Table Grid"/>
    <w:aliases w:val="Document Table,CV1,Tabellengitternetz,TabelEcorys"/>
    <w:rsid w:val="00E939ED"/>
    <w:pPr>
      <w:spacing w:after="0" w:line="240" w:lineRule="auto"/>
    </w:pPr>
    <w:rPr>
      <w:rFonts w:ascii="Times New Roman" w:eastAsia="Times New Roman" w:hAnsi="Times New Roman" w:cs="Times New Roman"/>
      <w:sz w:val="24"/>
      <w:szCs w:val="20"/>
      <w:lang w:eastAsia="en-IE"/>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Revision">
    <w:name w:val="Revision"/>
    <w:hidden/>
    <w:uiPriority w:val="99"/>
    <w:semiHidden/>
    <w:rsid w:val="00201712"/>
    <w:pPr>
      <w:spacing w:after="0" w:line="240" w:lineRule="auto"/>
    </w:pPr>
  </w:style>
  <w:style w:type="character" w:styleId="CommentReference">
    <w:name w:val="annotation reference"/>
    <w:basedOn w:val="DefaultParagraphFont"/>
    <w:uiPriority w:val="99"/>
    <w:unhideWhenUsed/>
    <w:rsid w:val="00F15703"/>
    <w:rPr>
      <w:sz w:val="16"/>
      <w:szCs w:val="16"/>
    </w:rPr>
  </w:style>
  <w:style w:type="paragraph" w:styleId="CommentText">
    <w:name w:val="annotation text"/>
    <w:basedOn w:val="Normal"/>
    <w:link w:val="CommentTextChar"/>
    <w:uiPriority w:val="99"/>
    <w:unhideWhenUsed/>
    <w:rsid w:val="00F15703"/>
    <w:pPr>
      <w:spacing w:line="240" w:lineRule="auto"/>
    </w:pPr>
    <w:rPr>
      <w:sz w:val="20"/>
      <w:szCs w:val="20"/>
    </w:rPr>
  </w:style>
  <w:style w:type="character" w:customStyle="1" w:styleId="CommentTextChar">
    <w:name w:val="Comment Text Char"/>
    <w:basedOn w:val="DefaultParagraphFont"/>
    <w:link w:val="CommentText"/>
    <w:uiPriority w:val="99"/>
    <w:rsid w:val="00F15703"/>
    <w:rPr>
      <w:sz w:val="20"/>
      <w:szCs w:val="20"/>
    </w:rPr>
  </w:style>
  <w:style w:type="paragraph" w:styleId="CommentSubject">
    <w:name w:val="annotation subject"/>
    <w:basedOn w:val="CommentText"/>
    <w:next w:val="CommentText"/>
    <w:link w:val="CommentSubjectChar"/>
    <w:uiPriority w:val="99"/>
    <w:semiHidden/>
    <w:unhideWhenUsed/>
    <w:rsid w:val="00F15703"/>
    <w:rPr>
      <w:b/>
      <w:bCs/>
    </w:rPr>
  </w:style>
  <w:style w:type="character" w:customStyle="1" w:styleId="CommentSubjectChar">
    <w:name w:val="Comment Subject Char"/>
    <w:basedOn w:val="CommentTextChar"/>
    <w:link w:val="CommentSubject"/>
    <w:uiPriority w:val="99"/>
    <w:semiHidden/>
    <w:rsid w:val="00F157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514586">
      <w:bodyDiv w:val="1"/>
      <w:marLeft w:val="0"/>
      <w:marRight w:val="0"/>
      <w:marTop w:val="0"/>
      <w:marBottom w:val="0"/>
      <w:divBdr>
        <w:top w:val="none" w:sz="0" w:space="0" w:color="auto"/>
        <w:left w:val="none" w:sz="0" w:space="0" w:color="auto"/>
        <w:bottom w:val="none" w:sz="0" w:space="0" w:color="auto"/>
        <w:right w:val="none" w:sz="0" w:space="0" w:color="auto"/>
      </w:divBdr>
    </w:div>
    <w:div w:id="1092818572">
      <w:bodyDiv w:val="1"/>
      <w:marLeft w:val="0"/>
      <w:marRight w:val="0"/>
      <w:marTop w:val="0"/>
      <w:marBottom w:val="0"/>
      <w:divBdr>
        <w:top w:val="none" w:sz="0" w:space="0" w:color="auto"/>
        <w:left w:val="none" w:sz="0" w:space="0" w:color="auto"/>
        <w:bottom w:val="none" w:sz="0" w:space="0" w:color="auto"/>
        <w:right w:val="none" w:sz="0" w:space="0" w:color="auto"/>
      </w:divBdr>
    </w:div>
    <w:div w:id="1253859381">
      <w:bodyDiv w:val="1"/>
      <w:marLeft w:val="0"/>
      <w:marRight w:val="0"/>
      <w:marTop w:val="0"/>
      <w:marBottom w:val="0"/>
      <w:divBdr>
        <w:top w:val="none" w:sz="0" w:space="0" w:color="auto"/>
        <w:left w:val="none" w:sz="0" w:space="0" w:color="auto"/>
        <w:bottom w:val="none" w:sz="0" w:space="0" w:color="auto"/>
        <w:right w:val="none" w:sz="0" w:space="0" w:color="auto"/>
      </w:divBdr>
    </w:div>
    <w:div w:id="1831558957">
      <w:bodyDiv w:val="1"/>
      <w:marLeft w:val="0"/>
      <w:marRight w:val="0"/>
      <w:marTop w:val="0"/>
      <w:marBottom w:val="0"/>
      <w:divBdr>
        <w:top w:val="none" w:sz="0" w:space="0" w:color="auto"/>
        <w:left w:val="none" w:sz="0" w:space="0" w:color="auto"/>
        <w:bottom w:val="none" w:sz="0" w:space="0" w:color="auto"/>
        <w:right w:val="none" w:sz="0" w:space="0" w:color="auto"/>
      </w:divBdr>
    </w:div>
    <w:div w:id="19845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social/BlobServlet?docId=27151&amp;langId=en" TargetMode="External"/><Relationship Id="rId1" Type="http://schemas.openxmlformats.org/officeDocument/2006/relationships/hyperlink" Target="https://echa.europa.eu/documents/10162/7937606/1_final_opinion_oel_isoprene_en.pdf/11c4dd13-2117-8cd1-83d6-44fc9e591b8f?t=1656314298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37CA0440CB947B17CA0D6EBAF2777" ma:contentTypeVersion="6" ma:contentTypeDescription="Create a new document." ma:contentTypeScope="" ma:versionID="07e3970b9e87b630c3dcfd5a02211093">
  <xsd:schema xmlns:xsd="http://www.w3.org/2001/XMLSchema" xmlns:xs="http://www.w3.org/2001/XMLSchema" xmlns:p="http://schemas.microsoft.com/office/2006/metadata/properties" xmlns:ns2="0d4b4035-59a8-4b62-ad92-ffbcd42be113" xmlns:ns3="9daf2acc-f5a0-4d7b-8417-c5a21b349d56" targetNamespace="http://schemas.microsoft.com/office/2006/metadata/properties" ma:root="true" ma:fieldsID="91229441ab188fa4ab6b8ac09164620e" ns2:_="" ns3:_="">
    <xsd:import namespace="0d4b4035-59a8-4b62-ad92-ffbcd42be113"/>
    <xsd:import namespace="9daf2acc-f5a0-4d7b-8417-c5a21b349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b4035-59a8-4b62-ad92-ffbcd42be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f2acc-f5a0-4d7b-8417-c5a21b349d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041C7-8A1C-4625-B6CA-99B8F4FF47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0A40F8-E14B-4173-B64F-3BFB3F49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b4035-59a8-4b62-ad92-ffbcd42be113"/>
    <ds:schemaRef ds:uri="9daf2acc-f5a0-4d7b-8417-c5a21b349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63074-D008-4DEA-9BA1-BE11DAB6E7EF}">
  <ds:schemaRefs>
    <ds:schemaRef ds:uri="http://schemas.microsoft.com/sharepoint/v3/contenttype/forms"/>
  </ds:schemaRefs>
</ds:datastoreItem>
</file>

<file path=customXml/itemProps4.xml><?xml version="1.0" encoding="utf-8"?>
<ds:datastoreItem xmlns:ds="http://schemas.openxmlformats.org/officeDocument/2006/customXml" ds:itemID="{17F8384A-F69B-45FE-93EB-D6A9A4ED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13929</CharactersWithSpaces>
  <SharedDoc>false</SharedDoc>
  <HLinks>
    <vt:vector size="6" baseType="variant">
      <vt:variant>
        <vt:i4>5177411</vt:i4>
      </vt:variant>
      <vt:variant>
        <vt:i4>0</vt:i4>
      </vt:variant>
      <vt:variant>
        <vt:i4>0</vt:i4>
      </vt:variant>
      <vt:variant>
        <vt:i4>5</vt:i4>
      </vt:variant>
      <vt:variant>
        <vt:lpwstr>https://ec.europa.eu/social/BlobServlet?docId=27151&amp;langId=en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2025-07-09T14:34:00Z</dcterms:created>
  <dcterms:modified xsi:type="dcterms:W3CDTF">2025-08-26T06:10:00Z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9.1, Build 20240808</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2024-04-11T13:32:26Z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a98d251f-b088-4468-86b0-f340f8def5e7</vt:lpwstr>
  </property>
  <property fmtid="{D5CDD505-2E9C-101B-9397-08002B2CF9AE}" pid="15" name="MSIP_Label_6bd9ddd1-4d20-43f6-abfa-fc3c07406f94_ContentBits">
    <vt:lpwstr>0</vt:lpwstr>
  </property>
  <property fmtid="{D5CDD505-2E9C-101B-9397-08002B2CF9AE}" pid="16" name="ContentTypeId">
    <vt:lpwstr>0x0101005C737CA0440CB947B17CA0D6EBAF2777</vt:lpwstr>
  </property>
</Properties>
</file>