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48" w:rsidRPr="00210DAC" w:rsidRDefault="005F779D" w:rsidP="005F779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AB995C2-4CFA-489B-B93A-5334F2735100" style="width:455.25pt;height:414pt">
            <v:imagedata r:id="rId11" o:title=""/>
          </v:shape>
        </w:pict>
      </w:r>
    </w:p>
    <w:p w:rsidR="003F4F48" w:rsidRPr="00210DAC" w:rsidRDefault="003F4F48" w:rsidP="003F4F48">
      <w:pPr>
        <w:rPr>
          <w:noProof/>
        </w:rPr>
        <w:sectPr w:rsidR="003F4F48" w:rsidRPr="00210DAC" w:rsidSect="005F779D">
          <w:footerReference w:type="even" r:id="rId12"/>
          <w:footerReference w:type="default" r:id="rId13"/>
          <w:pgSz w:w="11907" w:h="16839"/>
          <w:pgMar w:top="1134" w:right="1417" w:bottom="1134" w:left="1417" w:header="709" w:footer="709" w:gutter="0"/>
          <w:pgNumType w:start="0"/>
          <w:cols w:space="720"/>
          <w:docGrid w:linePitch="360"/>
        </w:sectPr>
      </w:pPr>
    </w:p>
    <w:p w:rsidR="003F4F48" w:rsidRPr="00210DAC" w:rsidRDefault="003F4F48" w:rsidP="003F4F48">
      <w:pPr>
        <w:pStyle w:val="Exposdesmotifstitre"/>
        <w:rPr>
          <w:noProof/>
        </w:rPr>
      </w:pPr>
      <w:bookmarkStart w:id="0" w:name="_GoBack"/>
      <w:bookmarkEnd w:id="0"/>
      <w:r w:rsidRPr="00210DAC">
        <w:rPr>
          <w:noProof/>
        </w:rPr>
        <w:lastRenderedPageBreak/>
        <w:t>OBRAZLOŽENJE</w:t>
      </w:r>
    </w:p>
    <w:p w:rsidR="003F4F48" w:rsidRPr="00210DAC" w:rsidRDefault="003F4F48">
      <w:pPr>
        <w:pStyle w:val="ManualHeading1"/>
        <w:rPr>
          <w:noProof/>
        </w:rPr>
      </w:pPr>
      <w:r w:rsidRPr="00210DAC">
        <w:rPr>
          <w:noProof/>
        </w:rPr>
        <w:t>1.</w:t>
      </w:r>
      <w:r w:rsidRPr="00210DAC">
        <w:rPr>
          <w:noProof/>
        </w:rPr>
        <w:tab/>
        <w:t>KONTEKST PRIJEDLOGA</w:t>
      </w:r>
    </w:p>
    <w:p w:rsidR="003F4F48" w:rsidRPr="00210DAC" w:rsidRDefault="003F4F48">
      <w:pPr>
        <w:pStyle w:val="ManualHeading2"/>
        <w:rPr>
          <w:rFonts w:eastAsia="Arial Unicode MS"/>
          <w:noProof/>
        </w:rPr>
      </w:pPr>
      <w:r w:rsidRPr="00210DAC">
        <w:rPr>
          <w:noProof/>
          <w:color w:val="000000"/>
          <w:u w:color="000000"/>
          <w:bdr w:val="nil"/>
        </w:rPr>
        <w:t>•</w:t>
      </w:r>
      <w:r w:rsidRPr="00210DAC">
        <w:rPr>
          <w:noProof/>
          <w:color w:val="000000"/>
          <w:u w:color="000000"/>
          <w:bdr w:val="nil"/>
        </w:rPr>
        <w:tab/>
      </w:r>
      <w:r w:rsidRPr="00210DAC">
        <w:rPr>
          <w:noProof/>
        </w:rPr>
        <w:t>Razlozi i ciljevi prijedloga</w:t>
      </w:r>
    </w:p>
    <w:p w:rsidR="003F4F48" w:rsidRPr="00210DAC" w:rsidRDefault="003F4F48" w:rsidP="003F4F48">
      <w:pPr>
        <w:pBdr>
          <w:top w:val="nil"/>
          <w:left w:val="nil"/>
          <w:bottom w:val="nil"/>
          <w:right w:val="nil"/>
          <w:between w:val="nil"/>
          <w:bar w:val="nil"/>
        </w:pBdr>
        <w:spacing w:before="0" w:after="240"/>
        <w:rPr>
          <w:noProof/>
        </w:rPr>
      </w:pPr>
      <w:r w:rsidRPr="00210DAC">
        <w:rPr>
          <w:noProof/>
        </w:rPr>
        <w:t>Predsjednica von der Leyen u političkim je smjernicama izjavila da je pred nama novo doba za obranu. EU će se sljedećih pet godina posvetiti izgradnji istinske europske obrambene unije. Posljednjih desetljeća nedovoljno se ulagalo u naše vojne sposobnosti i na njih se nije učinkovito trošilo, što je negativno utjecalo na proizvodne kapacitete europske obrambene tehnološke i industrijske baze (EDTIB) i njezin inovacijski potencijal, a obrambeno tržište fragmentiralo na nacionalna tržišta. Kako bi se definirao taj novi pristup i utvrdile potrebe EU-a za ulaganjima, Komisija i Visoka predstavnica 19. ožujka 2025. predstavile su Zajedničku bijelu knjigu o europskoj obrambenoj spremnosti 2030.</w:t>
      </w:r>
    </w:p>
    <w:p w:rsidR="003F4F48" w:rsidRPr="00210DAC" w:rsidRDefault="003F4F48" w:rsidP="003F4F48">
      <w:pPr>
        <w:pBdr>
          <w:top w:val="nil"/>
          <w:left w:val="nil"/>
          <w:bottom w:val="nil"/>
          <w:right w:val="nil"/>
          <w:between w:val="nil"/>
          <w:bar w:val="nil"/>
        </w:pBdr>
        <w:spacing w:before="0" w:after="240"/>
        <w:rPr>
          <w:noProof/>
        </w:rPr>
      </w:pPr>
      <w:r w:rsidRPr="00210DAC">
        <w:rPr>
          <w:noProof/>
        </w:rPr>
        <w:t>U Bijeloj knjizi ističe se da se države članice suočavaju s akutnom, sve većom prijetnjom na koju se mora odgovoriti koordinirano, u duhu solidarnosti. Rat, agresija i druge netrpeljivosti ostavljaju posljedice u Europi. EU će moći osigurati mir i odlučivati o vlastitoj budućnosti samo ako bude spreman na odvraćanje od takvih djelovanja. Zato je nužno ojačati obrambenu industriju Unije kako bi mogla proizvoditi opremu koja joj treba da bi odvraćala potencijalne agresore. U smislu bogatstva i proizvodne moći EU ima čvrsti temelj za iskorištavanje svojih resursa i latentnih tehnoloških i industrijskih mogućnosti. Međutim, trenutačna obrambena pripravnost oslabljena je zbog desetljeća nedovoljnog ulaganja u obranu, što pokazuje koliko je važno da se na njoj u EU-u radi ujedinjeno.</w:t>
      </w:r>
    </w:p>
    <w:p w:rsidR="003F4F48" w:rsidRPr="00210DAC" w:rsidRDefault="003F4F48" w:rsidP="003F4F48">
      <w:pPr>
        <w:pBdr>
          <w:top w:val="nil"/>
          <w:left w:val="nil"/>
          <w:bottom w:val="nil"/>
          <w:right w:val="nil"/>
          <w:between w:val="nil"/>
          <w:bar w:val="nil"/>
        </w:pBdr>
        <w:spacing w:before="0" w:after="240"/>
        <w:rPr>
          <w:noProof/>
        </w:rPr>
      </w:pPr>
      <w:r w:rsidRPr="00210DAC">
        <w:rPr>
          <w:noProof/>
        </w:rPr>
        <w:t xml:space="preserve">Kako bi se razvile potrebne sposobnosti i vojna pripravnost da bi se uvjerljivo odvraćalo od oružane agresije i zaštitila budućnost EU-a, europsku potrošnju za obranu potrebno je znatno povećati. U tu je svrhu potrebno kontinuirano zajednički ulagati u obranu na razini EU-a i država članica. To će obrambenoj industriji Unije pružiti dugoročnu predvidljivost koja joj treba da bi ulagala u nove proizvodne kapacitete. </w:t>
      </w:r>
    </w:p>
    <w:p w:rsidR="003F4F48" w:rsidRPr="00210DAC" w:rsidRDefault="003F4F48" w:rsidP="003F4F48">
      <w:pPr>
        <w:pBdr>
          <w:top w:val="nil"/>
          <w:left w:val="nil"/>
          <w:bottom w:val="nil"/>
          <w:right w:val="nil"/>
          <w:between w:val="nil"/>
          <w:bar w:val="nil"/>
        </w:pBdr>
        <w:spacing w:before="0" w:after="240"/>
        <w:rPr>
          <w:noProof/>
        </w:rPr>
      </w:pPr>
      <w:r w:rsidRPr="00210DAC">
        <w:rPr>
          <w:noProof/>
        </w:rPr>
        <w:t xml:space="preserve">Uredba o Platformi za strateške tehnologije za Europu (STEP) podupire konkurentnost i tehnološku prednost EU-a. Platforma za strateške tehnologije za Europu omogućila je razvoj i proizvodnju određenih obrambenih tehnologija kao što su umjetna inteligencija, tehnologije za kibernetičku sigurnost ili bespilotne letjelice. </w:t>
      </w:r>
    </w:p>
    <w:p w:rsidR="00B25098" w:rsidRPr="00210DAC" w:rsidRDefault="003F4F48" w:rsidP="003F4F48">
      <w:pPr>
        <w:pBdr>
          <w:top w:val="nil"/>
          <w:left w:val="nil"/>
          <w:bottom w:val="nil"/>
          <w:right w:val="nil"/>
          <w:between w:val="nil"/>
          <w:bar w:val="nil"/>
        </w:pBdr>
        <w:spacing w:before="0" w:after="240"/>
        <w:rPr>
          <w:noProof/>
        </w:rPr>
      </w:pPr>
      <w:r w:rsidRPr="00210DAC">
        <w:rPr>
          <w:noProof/>
        </w:rPr>
        <w:t xml:space="preserve">Ali EU mora iz svojeg proračuna više podupirati hitno potrebna ulaganja u europsku obranu. </w:t>
      </w:r>
    </w:p>
    <w:p w:rsidR="00B25098" w:rsidRPr="00210DAC" w:rsidRDefault="003F4F48" w:rsidP="003F4F48">
      <w:pPr>
        <w:pBdr>
          <w:top w:val="nil"/>
          <w:left w:val="nil"/>
          <w:bottom w:val="nil"/>
          <w:right w:val="nil"/>
          <w:between w:val="nil"/>
          <w:bar w:val="nil"/>
        </w:pBdr>
        <w:spacing w:before="0" w:after="240"/>
        <w:rPr>
          <w:noProof/>
        </w:rPr>
      </w:pPr>
      <w:r w:rsidRPr="00210DAC">
        <w:rPr>
          <w:noProof/>
        </w:rPr>
        <w:t>Ovom prijedlogu, koji se podnosi nakon pisma predsjednice von der Leyen od 4. ožujka Europskom vijeću, cilj je proširiti područje primjene Platforme za strateške tehnologije za Europu (STEP) uvođenjem četvrtog strateškog sektora koji obuhvaća sve obrambene tehnologije i proizvode, uključujući one koji su u Bijeloj knjizi navedeni među prioritetnim područjima sposobnosti.</w:t>
      </w:r>
    </w:p>
    <w:p w:rsidR="003F4F48" w:rsidRPr="00210DAC" w:rsidRDefault="003F4F48" w:rsidP="003F4F48">
      <w:pPr>
        <w:pBdr>
          <w:top w:val="nil"/>
          <w:left w:val="nil"/>
          <w:bottom w:val="nil"/>
          <w:right w:val="nil"/>
          <w:between w:val="nil"/>
          <w:bar w:val="nil"/>
        </w:pBdr>
        <w:spacing w:before="0" w:after="240"/>
        <w:rPr>
          <w:noProof/>
        </w:rPr>
      </w:pPr>
      <w:r w:rsidRPr="00210DAC">
        <w:rPr>
          <w:noProof/>
        </w:rPr>
        <w:t xml:space="preserve">STEP bi se tako mogao iskoristiti za usmjeravanje dodatnih sredstava i ulaganja u obrambeni sektor, posebno u njegovu tehnološku i industrijsku bazu. </w:t>
      </w:r>
    </w:p>
    <w:p w:rsidR="003F4F48" w:rsidRPr="00210DAC" w:rsidRDefault="003F4F48" w:rsidP="003F4F48">
      <w:pPr>
        <w:pBdr>
          <w:top w:val="nil"/>
          <w:left w:val="nil"/>
          <w:bottom w:val="nil"/>
          <w:right w:val="nil"/>
          <w:between w:val="nil"/>
          <w:bar w:val="nil"/>
        </w:pBdr>
        <w:spacing w:before="0" w:after="240"/>
        <w:rPr>
          <w:noProof/>
        </w:rPr>
      </w:pPr>
      <w:r w:rsidRPr="00210DAC">
        <w:rPr>
          <w:noProof/>
        </w:rPr>
        <w:t xml:space="preserve">Zato se ovim prijedlogom izmjenjuje Uredba o STEP-u, kao i uredbe o drugim programima koje STEP obuhvaća: Europskom fondu za obranu (EDF), programu Digitalna Europa i Obzoru Europa. Osim toga, ovim prijedlogom izmijenit će se i Uredba o podupiranju proizvodnje streljiva (ASAP) i Uredba o Instrumentu za povezivanje Europe kako bi se sredstva EU-a dodatno usmjerila u obrambenu industriju i tehnologije. </w:t>
      </w:r>
    </w:p>
    <w:p w:rsidR="00C03678" w:rsidRPr="00210DAC" w:rsidRDefault="003F4F48" w:rsidP="0080001C">
      <w:pPr>
        <w:rPr>
          <w:noProof/>
        </w:rPr>
      </w:pPr>
      <w:r w:rsidRPr="00210DAC">
        <w:rPr>
          <w:noProof/>
        </w:rPr>
        <w:t>Izmjenom Uredbe o Europskom fondu za obranu namjerava se omogućiti kumulacija financiranja između EDF-a i drugih programa Unije za iste mjere te se uvodi mogućnost da se sredstva dodijeljena državama članicama iz fondova kohezijske politike prenesu u EDF. Uredba o ASAP-u također se mijenja kako bi se omogućili slični prijenosi iz država članica i kako bi se njezina primjenjivost produljila i nakon 30. lipnja 2025.</w:t>
      </w:r>
    </w:p>
    <w:p w:rsidR="00C03678" w:rsidRPr="00210DAC" w:rsidRDefault="003F4F48" w:rsidP="0080001C">
      <w:pPr>
        <w:rPr>
          <w:noProof/>
        </w:rPr>
      </w:pPr>
      <w:r w:rsidRPr="00210DAC">
        <w:rPr>
          <w:noProof/>
        </w:rPr>
        <w:t xml:space="preserve">Program Digitalna Europa mijenja se kako bi se bolje podupirale mjere povezane s dvojnom namjenom tehnologija kao opći i posebni cilj tog instrumenta. Uvodi se i mogućnost da se proračunska fleksibilnost iskoristi za potporu dodatnim ciljanim ulaganjima u konkurentnost i stratešku autonomiju EU-a. </w:t>
      </w:r>
    </w:p>
    <w:p w:rsidR="00C03678" w:rsidRPr="00210DAC" w:rsidRDefault="003F4F48" w:rsidP="0080001C">
      <w:pPr>
        <w:rPr>
          <w:noProof/>
        </w:rPr>
      </w:pPr>
      <w:r w:rsidRPr="00210DAC">
        <w:rPr>
          <w:noProof/>
        </w:rPr>
        <w:t>Izmjenom programa Obzor Europa omogućit će se potpora za tehnologije s potencijalnom dvojnom namjenom preko Akceleratora Europskog vijeća za inovacije (EIC), kao i potpora u obliku vlasničkog kapitala, posebno za tehnologije s obrambenom namjenom i potencijalom za rast. Neiskorišteni iznosi i potencijalni povrati od ulaganja iz Fonda EIC-a u pilot-fazi u okviru Obzora 2020. trebali bi se staviti na raspolaganje za financiranje dodatnih projekata u području obrambenih tehnologija i tehnologija s dvojnom namjenom koje će obuhvatiti proširenje Obzora Europa.</w:t>
      </w:r>
    </w:p>
    <w:p w:rsidR="003F4F48" w:rsidRPr="00210DAC" w:rsidRDefault="003F4F48" w:rsidP="003F4F48">
      <w:pPr>
        <w:pBdr>
          <w:top w:val="nil"/>
          <w:left w:val="nil"/>
          <w:bottom w:val="nil"/>
          <w:right w:val="nil"/>
          <w:between w:val="nil"/>
          <w:bar w:val="nil"/>
        </w:pBdr>
        <w:spacing w:before="0" w:after="240"/>
        <w:rPr>
          <w:noProof/>
        </w:rPr>
      </w:pPr>
      <w:r w:rsidRPr="00210DAC">
        <w:rPr>
          <w:noProof/>
        </w:rPr>
        <w:t>Zahvaljujući ovom prijedlogu Komisija bi u okviru Obzora Europa, Europskog fonda za obranu i programa Digitalna Europa mogla dodjeljivati pečat STEP-a</w:t>
      </w:r>
      <w:r w:rsidR="00594762" w:rsidRPr="00210DAC">
        <w:rPr>
          <w:rStyle w:val="FootnoteReference"/>
          <w:rFonts w:eastAsia="Arial Unicode MS"/>
          <w:noProof/>
        </w:rPr>
        <w:footnoteReference w:id="2"/>
      </w:r>
      <w:r w:rsidRPr="00210DAC">
        <w:rPr>
          <w:noProof/>
        </w:rPr>
        <w:t xml:space="preserve"> kako bi privukla financiranje iz drugih izvora (drugih fondova EU-a, nacionalnih fondova, privatnih ili institucionalnih ulagača).  </w:t>
      </w:r>
    </w:p>
    <w:p w:rsidR="00384703" w:rsidRPr="00210DAC" w:rsidRDefault="003F4F48" w:rsidP="00384703">
      <w:pPr>
        <w:pBdr>
          <w:top w:val="nil"/>
          <w:left w:val="nil"/>
          <w:bottom w:val="nil"/>
          <w:right w:val="nil"/>
          <w:between w:val="nil"/>
          <w:bar w:val="nil"/>
        </w:pBdr>
        <w:spacing w:before="0" w:after="240"/>
        <w:rPr>
          <w:noProof/>
        </w:rPr>
      </w:pPr>
      <w:r w:rsidRPr="00210DAC">
        <w:rPr>
          <w:noProof/>
        </w:rPr>
        <w:t xml:space="preserve">Komisija je 1. travnja 2025. predložila izmjenu uredaba o Europskom fondu za regionalni razvoj (EFRR) / Kohezijskom fondu, Fondu za pravednu tranziciju i Europskom socijalnom fondu plus kako bi dodatno potaknula ulaganja u obranu u okviru preispitivanja kohezijske politike u sredini provedbenog razdoblja. </w:t>
      </w:r>
    </w:p>
    <w:p w:rsidR="00594762" w:rsidRPr="00210DAC" w:rsidRDefault="00384703" w:rsidP="00384703">
      <w:pPr>
        <w:pBdr>
          <w:top w:val="nil"/>
          <w:left w:val="nil"/>
          <w:bottom w:val="nil"/>
          <w:right w:val="nil"/>
          <w:between w:val="nil"/>
          <w:bar w:val="nil"/>
        </w:pBdr>
        <w:spacing w:before="0" w:after="240"/>
        <w:rPr>
          <w:noProof/>
        </w:rPr>
      </w:pPr>
      <w:r w:rsidRPr="00210DAC">
        <w:rPr>
          <w:noProof/>
        </w:rPr>
        <w:t xml:space="preserve">Ovaj prijedlog dopunjuje to preispitivanje kohezijske politike u sredini provedbenog razdoblja. Proširenje područja primjene STEP-a omogućilo bi da se ulaganja u razvoj i proizvodnju kritičnih obrambenih tehnologija podupiru u okviru postojećih specifičnih ciljeva STEP-a iz EFRR-a i Kohezijskog fonda. Slično tome, iz Europskog socijalnog fonda plus mogle bi se podupirati vještine relevantne za razvoj/proizvodnju ključnih tehnologija u obrambenom sektoru. </w:t>
      </w:r>
    </w:p>
    <w:p w:rsidR="00520571" w:rsidRPr="00210DAC" w:rsidRDefault="00520571" w:rsidP="0080001C">
      <w:pPr>
        <w:pBdr>
          <w:top w:val="nil"/>
          <w:left w:val="nil"/>
          <w:bottom w:val="nil"/>
          <w:right w:val="nil"/>
          <w:between w:val="nil"/>
          <w:bar w:val="nil"/>
        </w:pBdr>
        <w:spacing w:after="240"/>
        <w:rPr>
          <w:noProof/>
        </w:rPr>
      </w:pPr>
      <w:r w:rsidRPr="00210DAC">
        <w:rPr>
          <w:noProof/>
        </w:rPr>
        <w:t>Na razini EU-a potrebna je koordinacija kako bi se vojno osoblje i oprema što jednostavnije kretali po Europi. Instrument za povezivanje Europe može kao program s centraliziranim upravljanjem osigurati da se za brzu i koordiniranu provedbu među državama članicama preko koridora za vojnu mobilnost odabiru oni projekti vojne mobilnosti koji su zreli i imaju veliku dodanu vrijednost EU-a. Taj instrument jamči i da u odabiru projekata sudjeluje i Vojni stožer EU-a, kao i da odabrani projekti ispunjavaju primjenjive tehničke standarde za prometnu infrastrukturu s dvojnom namjenom.</w:t>
      </w:r>
    </w:p>
    <w:p w:rsidR="003F4F48" w:rsidRPr="00210DAC" w:rsidRDefault="00520571" w:rsidP="00A07C76">
      <w:pPr>
        <w:pBdr>
          <w:top w:val="nil"/>
          <w:left w:val="nil"/>
          <w:bottom w:val="nil"/>
          <w:right w:val="nil"/>
          <w:between w:val="nil"/>
          <w:bar w:val="nil"/>
        </w:pBdr>
        <w:spacing w:after="240"/>
        <w:rPr>
          <w:noProof/>
        </w:rPr>
      </w:pPr>
      <w:r w:rsidRPr="00210DAC">
        <w:rPr>
          <w:noProof/>
        </w:rPr>
        <w:t>Prijedlog o preispitivanju kohezijske politike u sredini provedbenog razdoblja omogućuje državama članicama da trenutačno financiranje iz kohezijskih fondova usmjere u obrambenu infrastrukturu ili infrastrukturu s dvojnom namjenom za potporu vojnoj mobilnosti tako što će moći dobiti pretfinanciranje za 30 % programiranog iznosa i prijaviti se za financiranje Unije do 100 % iznosa. Ta ulaganja odnosit će se prvenstveno na četiri prioritetna koridora za vojnu mobilnost u EU-u. Kad je riječ o ulaganjima u vojnu mobilnost, u komunikaciji priloženoj preispitivanju kohezijske politike u sredini provedbenog razdoblja države članice potiču se da iskoriste mogućnost da prenose sredstva koja su im dodijeljena u okviru podijeljenog upravljanja u Instrument za povezivanje Europe te se predlaže da im se omoguće iste stope pretfinanciranja i sufinanciranja kao iz kohezijskih fondova. Kako bi se taj postupak olakšao, predlaže se izmjena Uredbe o Instrumentu za povezivanje Europe.</w:t>
      </w:r>
    </w:p>
    <w:p w:rsidR="00594762" w:rsidRPr="00210DAC" w:rsidRDefault="00594762" w:rsidP="00C26DA5">
      <w:pPr>
        <w:rPr>
          <w:noProof/>
        </w:rPr>
      </w:pPr>
      <w:r w:rsidRPr="00210DAC">
        <w:rPr>
          <w:noProof/>
        </w:rPr>
        <w:t xml:space="preserve">Kad je riječ o digitalnom sektoru, izmjena tog programa osigurat će digitalne kapacitete potrebne za razvoj obrambenih proizvoda i tehnologija, uključujući povezivanje u oblaku, umjetne inteligencije i gigatvornica umjetne inteligencije. </w:t>
      </w:r>
    </w:p>
    <w:p w:rsidR="003F4F48" w:rsidRPr="00210DAC" w:rsidRDefault="003F4F48">
      <w:pPr>
        <w:pStyle w:val="ManualHeading2"/>
        <w:rPr>
          <w:rFonts w:eastAsia="Arial Unicode MS"/>
          <w:noProof/>
          <w:color w:val="000000"/>
          <w:u w:color="000000"/>
          <w:bdr w:val="nil"/>
        </w:rPr>
      </w:pPr>
      <w:r w:rsidRPr="00210DAC">
        <w:rPr>
          <w:noProof/>
          <w:color w:val="000000"/>
          <w:u w:color="000000"/>
          <w:bdr w:val="nil"/>
        </w:rPr>
        <w:t>•</w:t>
      </w:r>
      <w:r w:rsidRPr="00210DAC">
        <w:rPr>
          <w:noProof/>
          <w:color w:val="000000"/>
          <w:u w:color="000000"/>
          <w:bdr w:val="nil"/>
        </w:rPr>
        <w:tab/>
      </w:r>
      <w:r w:rsidRPr="00210DAC">
        <w:rPr>
          <w:noProof/>
        </w:rPr>
        <w:t>Dosljednost s postojećim odredbama politike u tom području</w:t>
      </w:r>
    </w:p>
    <w:p w:rsidR="003F4F48" w:rsidRPr="00210DAC" w:rsidRDefault="003F4F48">
      <w:pPr>
        <w:pBdr>
          <w:top w:val="nil"/>
          <w:left w:val="nil"/>
          <w:bottom w:val="nil"/>
          <w:right w:val="nil"/>
          <w:between w:val="nil"/>
          <w:bar w:val="nil"/>
        </w:pBdr>
        <w:spacing w:before="0" w:after="240"/>
        <w:rPr>
          <w:rFonts w:eastAsia="Arial Unicode MS"/>
          <w:noProof/>
        </w:rPr>
      </w:pPr>
      <w:r w:rsidRPr="00210DAC">
        <w:rPr>
          <w:noProof/>
        </w:rPr>
        <w:t>Prijedlog je u skladu s ciljevima prethodno navedenih programa EU-a i fondova kohezijske politike. U njemu se predviđaju ciljane izmjene uredaba (EU) 2021/694, (EU) 2021/695, (EU) 2021/697, (EU) 2021/1153, (EU) 2023/1525 i (EU) 2024/795.</w:t>
      </w:r>
    </w:p>
    <w:p w:rsidR="003F4F48" w:rsidRPr="00210DAC" w:rsidRDefault="003F4F48">
      <w:pPr>
        <w:pStyle w:val="ManualHeading2"/>
        <w:rPr>
          <w:rFonts w:eastAsia="Arial Unicode MS"/>
          <w:noProof/>
        </w:rPr>
      </w:pPr>
      <w:r w:rsidRPr="00210DAC">
        <w:rPr>
          <w:noProof/>
          <w:u w:color="000000"/>
          <w:bdr w:val="nil"/>
        </w:rPr>
        <w:t>•</w:t>
      </w:r>
      <w:r w:rsidRPr="00210DAC">
        <w:rPr>
          <w:noProof/>
          <w:u w:color="000000"/>
          <w:bdr w:val="nil"/>
        </w:rPr>
        <w:tab/>
      </w:r>
      <w:r w:rsidRPr="00210DAC">
        <w:rPr>
          <w:noProof/>
        </w:rPr>
        <w:t>Dosljednost u odnosu na druge politike Unije</w:t>
      </w:r>
    </w:p>
    <w:p w:rsidR="003F4F48" w:rsidRPr="00210DAC" w:rsidRDefault="003F4F48">
      <w:pPr>
        <w:pBdr>
          <w:top w:val="nil"/>
          <w:left w:val="nil"/>
          <w:bottom w:val="nil"/>
          <w:right w:val="nil"/>
          <w:between w:val="nil"/>
          <w:bar w:val="nil"/>
        </w:pBdr>
        <w:spacing w:before="0" w:after="240"/>
        <w:rPr>
          <w:noProof/>
        </w:rPr>
      </w:pPr>
      <w:r w:rsidRPr="00210DAC">
        <w:rPr>
          <w:noProof/>
        </w:rPr>
        <w:t xml:space="preserve">Prijedlog je ograničen na ciljane izmjene uredaba (EU) 2021/694, (EU) 2021/695, (EU) 2021/697, (EU) 2021/1153, (EU) 2023/1525 i (EU) 2024/795 i dosljedan je u odnosu na druge politike Unije. </w:t>
      </w:r>
    </w:p>
    <w:p w:rsidR="003F4F48" w:rsidRPr="00210DAC" w:rsidRDefault="003F4F48">
      <w:pPr>
        <w:pStyle w:val="ManualHeading1"/>
        <w:rPr>
          <w:noProof/>
        </w:rPr>
      </w:pPr>
      <w:r w:rsidRPr="00210DAC">
        <w:rPr>
          <w:noProof/>
        </w:rPr>
        <w:t>2.</w:t>
      </w:r>
      <w:r w:rsidRPr="00210DAC">
        <w:rPr>
          <w:noProof/>
        </w:rPr>
        <w:tab/>
        <w:t>PRAVNA OSNOVA, SUPSIDIJARNOST I PROPORCIONALNOST</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Pravna osnova</w:t>
      </w:r>
    </w:p>
    <w:p w:rsidR="00D25BE6" w:rsidRPr="00210DAC" w:rsidRDefault="003F4F48" w:rsidP="00D25BE6">
      <w:pPr>
        <w:pBdr>
          <w:top w:val="nil"/>
          <w:left w:val="nil"/>
          <w:bottom w:val="nil"/>
          <w:right w:val="nil"/>
          <w:between w:val="nil"/>
          <w:bar w:val="nil"/>
        </w:pBdr>
        <w:spacing w:before="0" w:after="240"/>
        <w:rPr>
          <w:noProof/>
        </w:rPr>
      </w:pPr>
      <w:r w:rsidRPr="00210DAC">
        <w:rPr>
          <w:noProof/>
        </w:rPr>
        <w:t>Prijedlog se temelji na člancima 114., 164., 172., 173., članku 175. trećem stavku, člancima 176., 177., 178., 182., 183., 188. i članku 192. stavku 1. Ugovora o funkcioniranju Europske unije.</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 xml:space="preserve">Supsidijarnost (za neisključivu nadležnost) </w:t>
      </w:r>
    </w:p>
    <w:p w:rsidR="003F4F48" w:rsidRPr="00210DAC" w:rsidRDefault="00915988">
      <w:pPr>
        <w:pBdr>
          <w:top w:val="nil"/>
          <w:left w:val="nil"/>
          <w:bottom w:val="nil"/>
          <w:right w:val="nil"/>
          <w:between w:val="nil"/>
          <w:bar w:val="nil"/>
        </w:pBdr>
        <w:spacing w:before="0" w:after="240"/>
        <w:rPr>
          <w:rFonts w:eastAsia="Arial Unicode MS"/>
          <w:noProof/>
        </w:rPr>
      </w:pPr>
      <w:r w:rsidRPr="00210DAC">
        <w:rPr>
          <w:noProof/>
        </w:rPr>
        <w:t xml:space="preserve">Prijedlogom se namjeravaju potaknuti ulaganja u obranu tako da se uvedu poticaji, uklone potencijalne prepreke i omogući veća fleksibilnost i jednostavnost. Taj se isti rezultat ne može postići mjerama na nacionalnoj razini.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Proporcionalnost</w:t>
      </w:r>
    </w:p>
    <w:p w:rsidR="003F4F48" w:rsidRPr="00210DAC" w:rsidRDefault="003F4F48">
      <w:pPr>
        <w:pBdr>
          <w:top w:val="nil"/>
          <w:left w:val="nil"/>
          <w:bottom w:val="nil"/>
          <w:right w:val="nil"/>
          <w:between w:val="nil"/>
          <w:bar w:val="nil"/>
        </w:pBdr>
        <w:spacing w:before="0" w:after="240"/>
        <w:rPr>
          <w:rFonts w:eastAsia="Arial Unicode MS"/>
          <w:noProof/>
        </w:rPr>
      </w:pPr>
      <w:r w:rsidRPr="00210DAC">
        <w:rPr>
          <w:noProof/>
        </w:rPr>
        <w:t xml:space="preserve">Svrha prijedloga je mobilizirati ulaganja u obranu te omogućiti veću fleksibilnost i jednostavnost kako bi se ulaganja ubrzala. Mjere ne prelaze ono što je potrebno za ostvarivanje tih ciljeva.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Odabir instrumenta</w:t>
      </w:r>
    </w:p>
    <w:p w:rsidR="003F4F48" w:rsidRPr="00210DAC" w:rsidRDefault="003F4F48">
      <w:pPr>
        <w:pBdr>
          <w:top w:val="nil"/>
          <w:left w:val="nil"/>
          <w:bottom w:val="nil"/>
          <w:right w:val="nil"/>
          <w:between w:val="nil"/>
          <w:bar w:val="nil"/>
        </w:pBdr>
        <w:spacing w:before="0" w:after="240"/>
        <w:rPr>
          <w:rFonts w:eastAsia="Arial Unicode MS"/>
          <w:noProof/>
        </w:rPr>
      </w:pPr>
      <w:r w:rsidRPr="00210DAC">
        <w:rPr>
          <w:noProof/>
        </w:rPr>
        <w:t>Uredba je odgovarajući instrument zato što se njome propisuju izravno primjenjiva pravila za potporu i što se moraju izmijeniti postojeće uredbe.</w:t>
      </w:r>
    </w:p>
    <w:p w:rsidR="003F4F48" w:rsidRPr="00210DAC" w:rsidRDefault="003F4F48">
      <w:pPr>
        <w:pStyle w:val="ManualHeading1"/>
        <w:rPr>
          <w:noProof/>
        </w:rPr>
      </w:pPr>
      <w:r w:rsidRPr="00210DAC">
        <w:rPr>
          <w:noProof/>
        </w:rPr>
        <w:t>3.</w:t>
      </w:r>
      <w:r w:rsidRPr="00210DAC">
        <w:rPr>
          <w:noProof/>
        </w:rPr>
        <w:tab/>
        <w:t xml:space="preserve">REZULTATI </w:t>
      </w:r>
      <w:r w:rsidRPr="00210DAC">
        <w:rPr>
          <w:i/>
          <w:iCs/>
          <w:noProof/>
        </w:rPr>
        <w:t>EX POST</w:t>
      </w:r>
      <w:r w:rsidRPr="00210DAC">
        <w:rPr>
          <w:noProof/>
        </w:rPr>
        <w:t xml:space="preserve"> EVALUACIJA, SAVJETOVANJA S DIONICIMA I PROCJENA UČINKA</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r>
      <w:r w:rsidRPr="00210DAC">
        <w:rPr>
          <w:i/>
          <w:iCs/>
          <w:noProof/>
          <w:u w:color="000000"/>
          <w:bdr w:val="nil"/>
        </w:rPr>
        <w:t>Ex post</w:t>
      </w:r>
      <w:r w:rsidRPr="00210DAC">
        <w:rPr>
          <w:noProof/>
          <w:u w:color="000000"/>
          <w:bdr w:val="nil"/>
        </w:rPr>
        <w:t xml:space="preserve"> evaluacije/provjere primjerenosti postojećeg zakonodavstva</w:t>
      </w:r>
    </w:p>
    <w:p w:rsidR="003F4F48" w:rsidRPr="00210DAC" w:rsidRDefault="003F4F48">
      <w:pPr>
        <w:pBdr>
          <w:top w:val="nil"/>
          <w:left w:val="nil"/>
          <w:bottom w:val="nil"/>
          <w:right w:val="nil"/>
          <w:between w:val="nil"/>
          <w:bar w:val="nil"/>
        </w:pBdr>
        <w:spacing w:before="0" w:after="240"/>
        <w:rPr>
          <w:rFonts w:eastAsia="Arial Unicode MS"/>
          <w:noProof/>
        </w:rPr>
      </w:pPr>
      <w:r w:rsidRPr="00210DAC">
        <w:rPr>
          <w:noProof/>
        </w:rPr>
        <w:t xml:space="preserve">Nije primjenjivo.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Savjetovanja s dionicima</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 xml:space="preserve">Nije primjenjivo.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Prikupljanje i primjena stručnog znanja</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 xml:space="preserve">Nije primjenjivo.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Procjena učinka</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 xml:space="preserve">Ovim se prijedlogom ne stvara novi instrument, nego se on provodi preko postojećih alata u okviru proračuna EU-a, koji se mijenjaju radi bolje mobilizacije ulaganja u obranu. Za te postojeće instrumente, kao što su Obzor Europa, program Digitalna Europa, Europski fond za obranu ili Instrument za povezivanje Europe, provedena je procjena učinka. Ta analiza, provedena u okviru procjena učinka ili analitičkih radnih dokumenata službi Komisije, obuhvaća glavne učinke ovog prijedloga. Iz tog razloga nije potrebna još jedna procjena učinka. Osim toga, zasebna procjena učinka nije potrebna ni zato što su izmjene ograničene i ciljane.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Primjerenost i pojednostavnjenje propisa</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 xml:space="preserve">Nije primjenjivo.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Temeljna prava</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 xml:space="preserve">Nije primjenjivo. </w:t>
      </w:r>
    </w:p>
    <w:p w:rsidR="003F4F48" w:rsidRPr="00210DAC" w:rsidRDefault="003F4F48">
      <w:pPr>
        <w:pStyle w:val="ManualHeading1"/>
        <w:rPr>
          <w:noProof/>
        </w:rPr>
      </w:pPr>
      <w:r w:rsidRPr="00210DAC">
        <w:rPr>
          <w:noProof/>
        </w:rPr>
        <w:t>4.</w:t>
      </w:r>
      <w:r w:rsidRPr="00210DAC">
        <w:rPr>
          <w:noProof/>
        </w:rPr>
        <w:tab/>
        <w:t>UTJECAJ NA PRORAČUN</w:t>
      </w:r>
    </w:p>
    <w:p w:rsidR="00915988" w:rsidRPr="00210DAC" w:rsidRDefault="00915988" w:rsidP="00915988">
      <w:pPr>
        <w:pBdr>
          <w:top w:val="nil"/>
          <w:left w:val="nil"/>
          <w:bottom w:val="nil"/>
          <w:right w:val="nil"/>
          <w:between w:val="nil"/>
          <w:bar w:val="nil"/>
        </w:pBdr>
        <w:spacing w:before="0" w:after="240"/>
        <w:rPr>
          <w:rFonts w:eastAsia="Arial Unicode MS"/>
          <w:noProof/>
        </w:rPr>
      </w:pPr>
      <w:r w:rsidRPr="00210DAC">
        <w:rPr>
          <w:noProof/>
        </w:rPr>
        <w:t xml:space="preserve"> Ova inicijativa financirat će se iz postojećih sredstava, u okviru dogovorenih omotnica dotičnih programa i dodijeljenih ljudskih resursa.</w:t>
      </w:r>
    </w:p>
    <w:p w:rsidR="00425D42" w:rsidRPr="00210DAC" w:rsidRDefault="00915988" w:rsidP="00C4629D">
      <w:pPr>
        <w:pBdr>
          <w:top w:val="nil"/>
          <w:left w:val="nil"/>
          <w:bottom w:val="nil"/>
          <w:right w:val="nil"/>
          <w:between w:val="nil"/>
          <w:bar w:val="nil"/>
        </w:pBdr>
        <w:spacing w:before="0" w:after="240"/>
        <w:rPr>
          <w:rFonts w:eastAsia="Arial Unicode MS"/>
          <w:noProof/>
        </w:rPr>
      </w:pPr>
      <w:r w:rsidRPr="00210DAC">
        <w:rPr>
          <w:noProof/>
        </w:rPr>
        <w:t>Prijedlog će povećati omotnicu EIC-a za 210 milijuna EUR iz neiskorištenih iznosa i vraćenih sredstava iz pilot-projekta EIC-a u okviru programa Obzor 2020.</w:t>
      </w:r>
    </w:p>
    <w:p w:rsidR="003F4F48" w:rsidRPr="00210DAC" w:rsidRDefault="003F4F48">
      <w:pPr>
        <w:pStyle w:val="ManualHeading1"/>
        <w:rPr>
          <w:noProof/>
        </w:rPr>
      </w:pPr>
      <w:r w:rsidRPr="00210DAC">
        <w:rPr>
          <w:noProof/>
        </w:rPr>
        <w:t>5.</w:t>
      </w:r>
      <w:r w:rsidRPr="00210DAC">
        <w:rPr>
          <w:noProof/>
        </w:rPr>
        <w:tab/>
        <w:t>DRUGI ELEMENTI</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Planovi provedbe i mehanizmi praćenja, evaluacije i izvješćivanja</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 xml:space="preserve">Provedba mjere pratit će se i o njoj će se izvješćivati u okviru općih mehanizama izvješćivanja utvrđenih za svaki program i fond. </w:t>
      </w:r>
    </w:p>
    <w:p w:rsidR="003F4F48" w:rsidRPr="00210DAC" w:rsidRDefault="003F4F48">
      <w:pPr>
        <w:pStyle w:val="ManualHeading2"/>
        <w:rPr>
          <w:rFonts w:eastAsia="Arial Unicode MS"/>
          <w:noProof/>
          <w:u w:color="000000"/>
          <w:bdr w:val="nil"/>
        </w:rPr>
      </w:pPr>
      <w:r w:rsidRPr="00210DAC">
        <w:rPr>
          <w:noProof/>
          <w:u w:color="000000"/>
          <w:bdr w:val="nil"/>
        </w:rPr>
        <w:t>•</w:t>
      </w:r>
      <w:r w:rsidRPr="00210DAC">
        <w:rPr>
          <w:noProof/>
          <w:u w:color="000000"/>
          <w:bdr w:val="nil"/>
        </w:rPr>
        <w:tab/>
        <w:t>Dokumenti s objašnjenjima (za direktive)</w:t>
      </w:r>
    </w:p>
    <w:p w:rsidR="003F4F48" w:rsidRPr="00210DAC" w:rsidRDefault="00C4629D">
      <w:pPr>
        <w:pBdr>
          <w:top w:val="nil"/>
          <w:left w:val="nil"/>
          <w:bottom w:val="nil"/>
          <w:right w:val="nil"/>
          <w:between w:val="nil"/>
          <w:bar w:val="nil"/>
        </w:pBdr>
        <w:spacing w:before="0" w:after="240"/>
        <w:rPr>
          <w:rFonts w:eastAsia="Arial Unicode MS"/>
          <w:noProof/>
        </w:rPr>
      </w:pPr>
      <w:r w:rsidRPr="00210DAC">
        <w:rPr>
          <w:noProof/>
        </w:rPr>
        <w:t>Nije primjenjivo.</w:t>
      </w:r>
    </w:p>
    <w:p w:rsidR="003F4F48" w:rsidRPr="00210DAC" w:rsidRDefault="003F4F48">
      <w:pPr>
        <w:rPr>
          <w:noProof/>
        </w:rPr>
        <w:sectPr w:rsidR="003F4F48" w:rsidRPr="00210DAC" w:rsidSect="005F779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2C0A30" w:rsidRDefault="00C057BC">
      <w:pPr>
        <w:pStyle w:val="Rfrenceinterinstitutionnelle"/>
        <w:rPr>
          <w:noProof/>
        </w:rPr>
      </w:pPr>
      <w:r>
        <w:rPr>
          <w:noProof/>
        </w:rPr>
        <w:t>2025/0103 (COD)</w:t>
      </w:r>
    </w:p>
    <w:p w:rsidR="003F4F48" w:rsidRPr="00210DAC" w:rsidRDefault="00210DAC" w:rsidP="00210DAC">
      <w:pPr>
        <w:pStyle w:val="Statut"/>
        <w:rPr>
          <w:noProof/>
        </w:rPr>
      </w:pPr>
      <w:r w:rsidRPr="00210DAC">
        <w:rPr>
          <w:noProof/>
        </w:rPr>
        <w:t>Prijedlog</w:t>
      </w:r>
    </w:p>
    <w:p w:rsidR="003F4F48" w:rsidRPr="00210DAC" w:rsidRDefault="00210DAC" w:rsidP="00210DAC">
      <w:pPr>
        <w:pStyle w:val="Typedudocument"/>
        <w:rPr>
          <w:noProof/>
        </w:rPr>
      </w:pPr>
      <w:r w:rsidRPr="00210DAC">
        <w:rPr>
          <w:noProof/>
        </w:rPr>
        <w:t>UREDBE EUROPSKOG PARLAMENTA I VIJEĆA</w:t>
      </w:r>
    </w:p>
    <w:p w:rsidR="003F4F48" w:rsidRPr="00210DAC" w:rsidRDefault="00210DAC" w:rsidP="00210DAC">
      <w:pPr>
        <w:pStyle w:val="Titreobjet"/>
        <w:rPr>
          <w:noProof/>
        </w:rPr>
      </w:pPr>
      <w:r w:rsidRPr="00210DAC">
        <w:rPr>
          <w:noProof/>
        </w:rPr>
        <w:t>o izmjeni uredaba (EU) 2021/694, (EU) 2021/695, (EU) 2021/697, (EU) 2021/1153, (EU) 2023/1525 i (EU) 2024/795 u pogledu poticanja ulaganja u obranu u okviru proračuna EU-a radi provedbe plana ReArm Europe</w:t>
      </w:r>
    </w:p>
    <w:p w:rsidR="003F4F48" w:rsidRPr="00210DAC" w:rsidRDefault="00210DAC" w:rsidP="00210DAC">
      <w:pPr>
        <w:pStyle w:val="IntrtEEE"/>
        <w:rPr>
          <w:noProof/>
        </w:rPr>
      </w:pPr>
      <w:r w:rsidRPr="00210DAC">
        <w:rPr>
          <w:noProof/>
        </w:rPr>
        <w:t>(Tekst značajan za EGP)</w:t>
      </w:r>
    </w:p>
    <w:p w:rsidR="003F4F48" w:rsidRPr="00210DAC" w:rsidRDefault="003F4F48">
      <w:pPr>
        <w:pStyle w:val="Institutionquiagit"/>
        <w:rPr>
          <w:noProof/>
        </w:rPr>
      </w:pPr>
      <w:r w:rsidRPr="00210DAC">
        <w:rPr>
          <w:noProof/>
        </w:rPr>
        <w:t>EUROPSKI PARLAMENT I VIJEĆE EUROPSKE UNIJE,</w:t>
      </w:r>
    </w:p>
    <w:p w:rsidR="003F4F48" w:rsidRPr="00210DAC" w:rsidRDefault="003F4F48" w:rsidP="004121E9">
      <w:pPr>
        <w:rPr>
          <w:noProof/>
        </w:rPr>
      </w:pPr>
      <w:r w:rsidRPr="00210DAC">
        <w:rPr>
          <w:noProof/>
        </w:rPr>
        <w:t>uzimajući u obzir Ugovor o funkcioniranju Europske unije, a posebno njegove članke 114., 164., 172. i 173., članak 175. treći stavak, članke 176., 177., 178., 182., 183., 188. i članak 192. stavak 1.,</w:t>
      </w:r>
      <w:bookmarkStart w:id="1" w:name="_Hlk195345565"/>
      <w:bookmarkEnd w:id="1"/>
    </w:p>
    <w:p w:rsidR="003F4F48" w:rsidRPr="00210DAC" w:rsidRDefault="003F4F48">
      <w:pPr>
        <w:rPr>
          <w:noProof/>
        </w:rPr>
      </w:pPr>
      <w:r w:rsidRPr="00210DAC">
        <w:rPr>
          <w:noProof/>
        </w:rPr>
        <w:t>uzimajući u obzir prijedlog Europske komisije,</w:t>
      </w:r>
    </w:p>
    <w:p w:rsidR="003F4F48" w:rsidRPr="00210DAC" w:rsidRDefault="003F4F48">
      <w:pPr>
        <w:rPr>
          <w:noProof/>
        </w:rPr>
      </w:pPr>
      <w:r w:rsidRPr="00210DAC">
        <w:rPr>
          <w:noProof/>
        </w:rPr>
        <w:t>nakon prosljeđivanja nacrta zakonodavnog akta nacionalnim parlamentima,</w:t>
      </w:r>
    </w:p>
    <w:p w:rsidR="003F4F48" w:rsidRPr="00210DAC" w:rsidRDefault="003F4F48">
      <w:pPr>
        <w:rPr>
          <w:noProof/>
        </w:rPr>
      </w:pPr>
      <w:r w:rsidRPr="00210DAC">
        <w:rPr>
          <w:noProof/>
        </w:rPr>
        <w:t>uzimajući u obzir mišljenje Europskoga gospodarskog i socijalnog odbora</w:t>
      </w:r>
      <w:r w:rsidRPr="00210DAC">
        <w:rPr>
          <w:rStyle w:val="FootnoteReference"/>
          <w:noProof/>
        </w:rPr>
        <w:footnoteReference w:id="3"/>
      </w:r>
      <w:r w:rsidRPr="00210DAC">
        <w:rPr>
          <w:noProof/>
        </w:rPr>
        <w:t xml:space="preserve">, </w:t>
      </w:r>
    </w:p>
    <w:p w:rsidR="003F4F48" w:rsidRPr="00210DAC" w:rsidRDefault="003F4F48">
      <w:pPr>
        <w:rPr>
          <w:noProof/>
        </w:rPr>
      </w:pPr>
      <w:r w:rsidRPr="00210DAC">
        <w:rPr>
          <w:noProof/>
        </w:rPr>
        <w:t>uzimajući u obzir mišljenje Odbora regija</w:t>
      </w:r>
      <w:r w:rsidRPr="00210DAC">
        <w:rPr>
          <w:rStyle w:val="FootnoteReference"/>
          <w:noProof/>
        </w:rPr>
        <w:footnoteReference w:id="4"/>
      </w:r>
      <w:r w:rsidRPr="00210DAC">
        <w:rPr>
          <w:noProof/>
        </w:rPr>
        <w:t xml:space="preserve">, </w:t>
      </w:r>
    </w:p>
    <w:p w:rsidR="003F4F48" w:rsidRPr="00210DAC" w:rsidRDefault="003F4F48">
      <w:pPr>
        <w:rPr>
          <w:noProof/>
        </w:rPr>
      </w:pPr>
      <w:r w:rsidRPr="00210DAC">
        <w:rPr>
          <w:noProof/>
        </w:rPr>
        <w:t>u skladu s redovnim zakonodavnim postupkom,</w:t>
      </w:r>
    </w:p>
    <w:p w:rsidR="003F4F48" w:rsidRPr="00210DAC" w:rsidRDefault="003F4F48" w:rsidP="00E10716">
      <w:pPr>
        <w:rPr>
          <w:noProof/>
        </w:rPr>
      </w:pPr>
      <w:r w:rsidRPr="00210DAC">
        <w:rPr>
          <w:noProof/>
        </w:rPr>
        <w:t>budući da:</w:t>
      </w:r>
    </w:p>
    <w:p w:rsidR="003F4F48" w:rsidRPr="00210DAC" w:rsidRDefault="004C06C0" w:rsidP="004C06C0">
      <w:pPr>
        <w:pStyle w:val="ManualConsidrant"/>
        <w:rPr>
          <w:noProof/>
        </w:rPr>
      </w:pPr>
      <w:r w:rsidRPr="004C06C0">
        <w:rPr>
          <w:noProof/>
        </w:rPr>
        <w:t>(1)</w:t>
      </w:r>
      <w:r w:rsidRPr="004C06C0">
        <w:rPr>
          <w:noProof/>
        </w:rPr>
        <w:tab/>
      </w:r>
      <w:r w:rsidR="00C4629D" w:rsidRPr="00210DAC">
        <w:rPr>
          <w:noProof/>
        </w:rPr>
        <w:t>Zbog dosad najnestabilnije geopolitičke situacije i naglog pooštravanja regionalnih i globalnih prijetnji Unija mora hitno značajno povećati rashode za istraživanja i razvoj, industrijski kapacitet i za sigurnosnu i obrambenu infrastrukturu. Kako je utvrđeno u Zajedničkoj bijeloj knjizi o europskoj obrambenoj spremnosti 2030., Unija treba iz svojeg proračuna više podupirati hitno potrebno povećanje ulaganja u europsku obranu.</w:t>
      </w:r>
    </w:p>
    <w:p w:rsidR="00C4629D" w:rsidRPr="00210DAC" w:rsidRDefault="004C06C0" w:rsidP="004C06C0">
      <w:pPr>
        <w:pStyle w:val="ManualConsidrant"/>
        <w:rPr>
          <w:noProof/>
        </w:rPr>
      </w:pPr>
      <w:r w:rsidRPr="004C06C0">
        <w:rPr>
          <w:noProof/>
        </w:rPr>
        <w:t>(2)</w:t>
      </w:r>
      <w:r w:rsidRPr="004C06C0">
        <w:rPr>
          <w:noProof/>
        </w:rPr>
        <w:tab/>
      </w:r>
      <w:r w:rsidR="00C4629D" w:rsidRPr="00210DAC">
        <w:rPr>
          <w:noProof/>
        </w:rPr>
        <w:t>Platforma za strateške tehnologije za Europu (STEP), uspostavljena Uredbom (EU) 2024/795 Europskog parlamenta i Vijeća</w:t>
      </w:r>
      <w:r w:rsidR="003069FC" w:rsidRPr="00210DAC">
        <w:rPr>
          <w:rStyle w:val="FootnoteReference"/>
          <w:noProof/>
        </w:rPr>
        <w:footnoteReference w:id="5"/>
      </w:r>
      <w:r w:rsidR="00C4629D" w:rsidRPr="00210DAC">
        <w:rPr>
          <w:noProof/>
        </w:rPr>
        <w:t xml:space="preserve"> inicijativa je za poticanje konkurentnosti Unije u kojoj se iz 11 postojećih programa Unije mobiliziraju sredstva za kritične tehnologije u tri strateška sektora: digitalne tehnologije i inovacije duboke tehnologije, čiste i resursno učinkovite tehnologije te biotehnologije. To je čini dobrim instrumentom za koordiniranu i sinergiziranu mobilizaciju resursa Unije za obranu, uključujući ključne pionirske tehnologije u digitalnoj domeni nužne za razvoj obrambenih proizvoda i tehnologija.</w:t>
      </w:r>
    </w:p>
    <w:p w:rsidR="00C4629D" w:rsidRPr="00210DAC" w:rsidRDefault="004C06C0" w:rsidP="004C06C0">
      <w:pPr>
        <w:pStyle w:val="ManualConsidrant"/>
        <w:rPr>
          <w:noProof/>
        </w:rPr>
      </w:pPr>
      <w:r w:rsidRPr="004C06C0">
        <w:rPr>
          <w:noProof/>
        </w:rPr>
        <w:t>(3)</w:t>
      </w:r>
      <w:r w:rsidRPr="004C06C0">
        <w:rPr>
          <w:noProof/>
        </w:rPr>
        <w:tab/>
      </w:r>
      <w:r w:rsidR="00C4629D" w:rsidRPr="00210DAC">
        <w:rPr>
          <w:noProof/>
        </w:rPr>
        <w:t>Potpora tehnologijama koje su povezane s obranom danas se može dobiti za tri postojeća strateška sektora iz STEP-a, ali čini se da je potrebno povećati potencijal za razvoj istraživanja, industrije i inovacija u području obrane tako da se u STEP-u utvrdi četvrti strateški sektor koji se odnosi na obrambene tehnologije.  Taj bi novi strateški sektor trebao osigurati da se poticaji iz STEP-a koriste kako bi se povećala sredstva Unije za financiranje obrambenih tehnologija i doprinijelo europskoj konkurentnosti u skladu s ciljevima STEP-a. Obrambene tehnologije trebalo bi tumačiti kao one iz Priloga Direktivi 2009/43/EZ, a trebale bi posebno uključivati tehnologije u područjima koje je 6. ožujka 2025. utvrdilo Europsko vijeće, a to su: protuzračna i proturaketna obrana, topnički sustavi, uključujući kapacitete za duboke precizne napade, rakete i streljivo, bespilotne letjelice i sustavi za borbu protiv njih, strateški pospješitelji, među ostalim u vezi sa zaštitom svemirske i kritične infrastrukture, vojna mobilnost, kibernetika, umjetna inteligencija i elektroničko ratovanje. Kad je riječ o umjetnoj inteligenciji, gigatvornice umjetne inteligencije trebale bi postati ključna infrastruktura za brzu ekspanziju mogućnosti umjetne inteligencije u obrambenim tehnologijama.</w:t>
      </w:r>
    </w:p>
    <w:p w:rsidR="00180560" w:rsidRPr="00210DAC" w:rsidRDefault="004C06C0" w:rsidP="004C06C0">
      <w:pPr>
        <w:pStyle w:val="ManualConsidrant"/>
        <w:rPr>
          <w:noProof/>
        </w:rPr>
      </w:pPr>
      <w:r w:rsidRPr="004C06C0">
        <w:rPr>
          <w:noProof/>
        </w:rPr>
        <w:t>(4)</w:t>
      </w:r>
      <w:r w:rsidRPr="004C06C0">
        <w:rPr>
          <w:noProof/>
        </w:rPr>
        <w:tab/>
      </w:r>
      <w:r w:rsidR="00C4629D" w:rsidRPr="00210DAC">
        <w:rPr>
          <w:noProof/>
        </w:rPr>
        <w:t>Osim toga, kako bi se optimizirao kapacitet programa koje STEP obuhvaća za mobilizaciju sredstava Unije za obranu, treba pojasniti da se u tim programima može raditi na ciljevima i aktivnostima povezanima s poboljšanjem konkurentnosti europske obrambene tehnološke i industrijske baze (EDTIB), kao i na istraživanjima i razvoju u području obrane.</w:t>
      </w:r>
    </w:p>
    <w:p w:rsidR="00180560" w:rsidRPr="00210DAC" w:rsidRDefault="004C06C0" w:rsidP="004C06C0">
      <w:pPr>
        <w:pStyle w:val="ManualConsidrant"/>
        <w:rPr>
          <w:noProof/>
        </w:rPr>
      </w:pPr>
      <w:r w:rsidRPr="004C06C0">
        <w:rPr>
          <w:noProof/>
        </w:rPr>
        <w:t>(5)</w:t>
      </w:r>
      <w:r w:rsidRPr="004C06C0">
        <w:rPr>
          <w:noProof/>
        </w:rPr>
        <w:tab/>
      </w:r>
      <w:r w:rsidR="00180560" w:rsidRPr="00210DAC">
        <w:rPr>
          <w:noProof/>
        </w:rPr>
        <w:t>Obzor Europa, uspostavljen Uredbom (EU) 2021/695 Europskog parlamenta i Vijeća</w:t>
      </w:r>
      <w:r w:rsidR="003C07A7" w:rsidRPr="00210DAC">
        <w:rPr>
          <w:rStyle w:val="FootnoteReference"/>
          <w:noProof/>
        </w:rPr>
        <w:footnoteReference w:id="6"/>
      </w:r>
      <w:r w:rsidR="00180560" w:rsidRPr="00210DAC">
        <w:rPr>
          <w:noProof/>
        </w:rPr>
        <w:t xml:space="preserve"> glavni je program Unije za financiranje istraživanja i inovacija. Tom je uredbom uspostavljen i Akcelerator Europskog vijeća za inovacije (EIC), koji posebno podupire inovacije s velikim transformativnim potencijalom i disruptivne inovacije s potencijalom za rast koje bi se privatnim ulagačima mogle činiti prerizičnima. MSP-ovima aktivnima u sektoru obrane financijska sredstva potrebna su za komercijalizaciju inovativnih proizvoda. Međutim, tim je poduzećima teže doći do financiranja u usporedbi s MSP-ovima u drugim sektorima. Budući da se istraživanja i razvoj u području obrane podupiru u okviru Europskog fonda za obranu (EDF), posebnog programa unutar Obzora Europa, primjereno je otvoriti Akcelerator EIC-a za mjere s potencijalnom dvojnom namjenom. Potpora za rast u okviru Akceleratora EIC-a trebala bi se proširiti i na MSP-ove koji nisu prihvatljivi za bankovno financiranje, uključujući </w:t>
      </w:r>
      <w:r w:rsidR="00180560" w:rsidRPr="00210DAC">
        <w:rPr>
          <w:i/>
          <w:iCs/>
          <w:noProof/>
        </w:rPr>
        <w:t>start-up</w:t>
      </w:r>
      <w:r w:rsidR="00180560" w:rsidRPr="00210DAC">
        <w:rPr>
          <w:noProof/>
        </w:rPr>
        <w:t xml:space="preserve"> poduzeća i mala poduzeća srednje tržišne kapitalizacije, kao i na subjekte koji su iz Akceleratora već primili potporu za revolucionarne i disruptivne inovacije koje nisu prihvatljive za bankovno financiranje, a imaju primarno obrambenu namjenu. To opravdava ciljano izuzeće od načela iz članka 7. stavka 1. Uredbe (EU) 2021/695 Europskog parlamenta i Vijeća, prema kojem istraživačke i inovacijske aktivnosti u okviru Obzora Europa moraju biti isključivo usmjerene na civilnu primjenu, ne dovodeći u pitanje cilj da se izbjegava nepotrebno udvostručavanje.</w:t>
      </w:r>
    </w:p>
    <w:p w:rsidR="002365C7" w:rsidRPr="00210DAC" w:rsidRDefault="004C06C0" w:rsidP="004C06C0">
      <w:pPr>
        <w:pStyle w:val="ManualConsidrant"/>
        <w:rPr>
          <w:noProof/>
        </w:rPr>
      </w:pPr>
      <w:r w:rsidRPr="004C06C0">
        <w:rPr>
          <w:noProof/>
        </w:rPr>
        <w:t>(6)</w:t>
      </w:r>
      <w:r w:rsidRPr="004C06C0">
        <w:rPr>
          <w:noProof/>
        </w:rPr>
        <w:tab/>
      </w:r>
      <w:r w:rsidR="002365C7" w:rsidRPr="00210DAC">
        <w:rPr>
          <w:noProof/>
        </w:rPr>
        <w:t>Nadalje, kako bi se osiguralo da se u financiranje projekata s dvojnom namjenom i projekata u području obrane u okviru Obzora Europa usmjeravaju odgovarajuća sredstva, primjereno je odstupiti od članka 212. stavka 3. Financijske uredbe kako bi se osiguralo da se otplate, uključujući nadoknađene predujmove, prihode i neiskorištene iznose umanjene za naknade i troškove komponente mješovitog financiranja EIC-a za pilot-projekt EIC-a u okviru programa Obzor 2020., ne usmjeravaju u proračun Unije, nego ponovno ulažu u Fond EIC-a radi financiranja dodatnih projekata s dvojnom namjenom i projekata u području obrane koje će obuhvatiti prošireno područje primjene. Kako bi se uvela ta mogućnost, trebalo bi prilagoditi i vremenski okvir iz članka 212. stavka 3. Financijske uredbe tako da se u njega umetne odstupanje.</w:t>
      </w:r>
    </w:p>
    <w:p w:rsidR="002365C7" w:rsidRPr="00210DAC" w:rsidRDefault="004C06C0" w:rsidP="004C06C0">
      <w:pPr>
        <w:pStyle w:val="ManualConsidrant"/>
        <w:rPr>
          <w:noProof/>
        </w:rPr>
      </w:pPr>
      <w:r w:rsidRPr="004C06C0">
        <w:rPr>
          <w:noProof/>
        </w:rPr>
        <w:t>(7)</w:t>
      </w:r>
      <w:r w:rsidRPr="004C06C0">
        <w:rPr>
          <w:noProof/>
        </w:rPr>
        <w:tab/>
      </w:r>
      <w:r w:rsidR="002365C7" w:rsidRPr="00210DAC">
        <w:rPr>
          <w:noProof/>
        </w:rPr>
        <w:t>Europski fond za obranu (EDF), uspostavljen Uredbom (EU) 2021/697 Europskog parlamenta i Vijeća</w:t>
      </w:r>
      <w:r w:rsidR="003C07A7" w:rsidRPr="00210DAC">
        <w:rPr>
          <w:rStyle w:val="FootnoteReference"/>
          <w:noProof/>
        </w:rPr>
        <w:footnoteReference w:id="7"/>
      </w:r>
      <w:r w:rsidR="002365C7" w:rsidRPr="00210DAC">
        <w:rPr>
          <w:noProof/>
        </w:rPr>
        <w:t>, vodeći je program za jačanje konkurentnosti, inovativnosti, učinkovitosti i tehnološke autonomije obrambene industrije Unije. Svrha EDF-a je i potpora aktivnostima koje doprinose razvoju disruptivnih tehnologija u području obrane. Kako bi se bolje uzela u obzir specifičnost takvih aktivnosti, na primjer njihov uzak opseg ili potreba za brzom potporom, primjereno je pojednostavniti postupke odlučivanja o dodjeli potpore takvim aktivnostima i pritom utvrditi uvjete za donošenje odluka o takvoj potpori u programu rada.   .</w:t>
      </w:r>
    </w:p>
    <w:p w:rsidR="002365C7" w:rsidRPr="00210DAC" w:rsidRDefault="004C06C0" w:rsidP="004C06C0">
      <w:pPr>
        <w:pStyle w:val="ManualConsidrant"/>
        <w:rPr>
          <w:noProof/>
        </w:rPr>
      </w:pPr>
      <w:r w:rsidRPr="004C06C0">
        <w:rPr>
          <w:noProof/>
        </w:rPr>
        <w:t>(8)</w:t>
      </w:r>
      <w:r w:rsidRPr="004C06C0">
        <w:rPr>
          <w:noProof/>
        </w:rPr>
        <w:tab/>
      </w:r>
      <w:r w:rsidR="002365C7" w:rsidRPr="00210DAC">
        <w:rPr>
          <w:noProof/>
        </w:rPr>
        <w:t>Potrebno je i razmotriti potencijal za sinergije između EDF-a i drugih programa Unije. U tu bi svrhu državama članicama, institucijama, tijelima i agencijama Europske unije, trećim zemljama, međunarodnim financijskim institucijama ili ostalim trećim stranama trebalo omogućiti da daju dobrovoljne doprinose programu kao vanjske namjenske prihode. Trebalo bi omogućiti dobrovoljne prijenose sredstava dodijeljenih državama članicama u okviru podijeljenog upravljanja u EDF i kombiniranje doprinosa iz EDF-a s ostalim programima Unije za konkretne mjere, pod uvjetom da kumulativna potpora Unije ne premašuje ukupne prihvatljive troškove dotične mjere.</w:t>
      </w:r>
    </w:p>
    <w:p w:rsidR="00C4629D" w:rsidRPr="00210DAC" w:rsidRDefault="004C06C0" w:rsidP="004C06C0">
      <w:pPr>
        <w:pStyle w:val="ManualConsidrant"/>
        <w:rPr>
          <w:noProof/>
        </w:rPr>
      </w:pPr>
      <w:r w:rsidRPr="004C06C0">
        <w:rPr>
          <w:noProof/>
        </w:rPr>
        <w:t>(9)</w:t>
      </w:r>
      <w:r w:rsidRPr="004C06C0">
        <w:rPr>
          <w:noProof/>
        </w:rPr>
        <w:tab/>
      </w:r>
      <w:r w:rsidR="00C4629D" w:rsidRPr="00210DAC">
        <w:rPr>
          <w:noProof/>
        </w:rPr>
        <w:t>Program Digitalna Europa, uspostavljen Uredbom (EU) 2021/694 Europskog parlamenta i Vijeća</w:t>
      </w:r>
      <w:r w:rsidR="003069FC" w:rsidRPr="00210DAC">
        <w:rPr>
          <w:rStyle w:val="FootnoteReference"/>
          <w:noProof/>
        </w:rPr>
        <w:footnoteReference w:id="8"/>
      </w:r>
      <w:r w:rsidR="00C4629D" w:rsidRPr="00210DAC">
        <w:rPr>
          <w:noProof/>
        </w:rPr>
        <w:t xml:space="preserve">, za cilj ima podupirati i ubrzati digitalnu transformaciju europskog gospodarstva, industrije i društva te povećati konkurentnost Europe u globalnom digitalnom gospodarstvu. U tom bi kontekstu potporu iz tog programa u okviru svih njegovih specifičnih ciljeva trebalo posebno usmjeriti i na projekte, usluge i kompetencije s potencijalnom dvojnom namjenom. </w:t>
      </w:r>
    </w:p>
    <w:p w:rsidR="002365C7" w:rsidRPr="00210DAC" w:rsidRDefault="004C06C0" w:rsidP="004C06C0">
      <w:pPr>
        <w:pStyle w:val="ManualConsidrant"/>
        <w:rPr>
          <w:noProof/>
        </w:rPr>
      </w:pPr>
      <w:r w:rsidRPr="004C06C0">
        <w:rPr>
          <w:noProof/>
        </w:rPr>
        <w:t>(10)</w:t>
      </w:r>
      <w:r w:rsidRPr="004C06C0">
        <w:rPr>
          <w:noProof/>
        </w:rPr>
        <w:tab/>
      </w:r>
      <w:r w:rsidR="002365C7" w:rsidRPr="00210DAC">
        <w:rPr>
          <w:noProof/>
        </w:rPr>
        <w:t>Kako bi bila tehnološki suverenija i konkurentnija, Uniji je potrebna računalna infrastruktura, infrastruktura u oblaku i podatkovna infrastruktura kao preduvjet za vodstvo u području umjetne inteligencije. U okviru strategije za kontinent umjetne inteligencije, tvornice i gigatvornice umjetne inteligencije presudne su za konkurentnost Unije na globalnoj razini i njezinu stratešku autonomiju i konkurentnost u znanosti, istraživanjima s potencijalnom dvojnom namjenom i kritičnim industrijskim sektorima, koji uključuju obrambenu industriju. Kako bi ostvarili velik pomak u konkretnim područjima kao što je obrana, takvi modeli sljedeće generacije iziskuju opsežnu i umreženu računalnu infrastrukturu.  Stoga je primjereno u specifični cilj 1 programa Digitalna Europa– računalstvo visokih performansi – dodati dopunski operativni cilj koji se odnosi na uvođenje i rad tvornica umjetne inteligencije i nove generacije gigatvornica umjetne inteligencije specijaliziranih za razvoj, treniranje i rad najsloženijih, vrlo velikih modela i aplikacija umjetne inteligencije, uključujući hardver i softver potreban za to uvođenje.</w:t>
      </w:r>
    </w:p>
    <w:p w:rsidR="002365C7" w:rsidRPr="00210DAC" w:rsidRDefault="004C06C0" w:rsidP="004C06C0">
      <w:pPr>
        <w:pStyle w:val="ManualConsidrant"/>
        <w:rPr>
          <w:noProof/>
        </w:rPr>
      </w:pPr>
      <w:r w:rsidRPr="004C06C0">
        <w:rPr>
          <w:noProof/>
        </w:rPr>
        <w:t>(11)</w:t>
      </w:r>
      <w:r w:rsidRPr="004C06C0">
        <w:rPr>
          <w:noProof/>
        </w:rPr>
        <w:tab/>
      </w:r>
      <w:r w:rsidR="002365C7" w:rsidRPr="00210DAC">
        <w:rPr>
          <w:noProof/>
        </w:rPr>
        <w:t>Nužno je i u specifični cilj 5 – uvođenje i najbolja uporaba digitalnih kapaciteta te interoperabilnost – pod operativni cilj pružanja potpore javnom sektoru i područjima od javnog interesa dodati upućivanje na obranu kako bi se pojasnilo da se financijski doprinos Unije u okviru tog cilja može proširiti na sektor obrane.</w:t>
      </w:r>
    </w:p>
    <w:p w:rsidR="002365C7" w:rsidRPr="00210DAC" w:rsidRDefault="004C06C0" w:rsidP="004C06C0">
      <w:pPr>
        <w:pStyle w:val="ManualConsidrant"/>
        <w:rPr>
          <w:noProof/>
        </w:rPr>
      </w:pPr>
      <w:r w:rsidRPr="004C06C0">
        <w:rPr>
          <w:noProof/>
        </w:rPr>
        <w:t>(12)</w:t>
      </w:r>
      <w:r w:rsidRPr="004C06C0">
        <w:rPr>
          <w:noProof/>
        </w:rPr>
        <w:tab/>
      </w:r>
      <w:r w:rsidR="002365C7" w:rsidRPr="00210DAC">
        <w:rPr>
          <w:noProof/>
        </w:rPr>
        <w:t>Treba i prilagoditi pravila prihvatljivosti koja bi mogla biti utvrđena u programu rada za Digitalnu Europu kako bi se moglo propisati da pravni subjekti s poslovnim nastanom u pridruženim zemljama i pravni subjekti s poslovnim nastanom u Uniji, ali pod kontrolom iz trećih zemalja nisu prihvatljivi za sudjelovanje ni u jednoj ili u nekima od aktivnosti koje se odnose na tehnologije s potencijalnom dvojnom namjenom u okviru ijednog specifičnog cilja. U takvim slučajevima pozivi na podnošenje prijedloga i pozivi za podnošenje ponuda trebali bi biti ograničeni na pravne subjekte s poslovnim nastanom u državama članicama ili za koje se smatra da ondje imaju poslovni nastan te na one koji su pod kontrolom država članica ili njihovih državljana.</w:t>
      </w:r>
    </w:p>
    <w:p w:rsidR="002365C7" w:rsidRPr="00210DAC" w:rsidRDefault="004C06C0" w:rsidP="004C06C0">
      <w:pPr>
        <w:pStyle w:val="ManualConsidrant"/>
        <w:rPr>
          <w:noProof/>
        </w:rPr>
      </w:pPr>
      <w:r w:rsidRPr="004C06C0">
        <w:rPr>
          <w:noProof/>
        </w:rPr>
        <w:t>(13)</w:t>
      </w:r>
      <w:r w:rsidRPr="004C06C0">
        <w:rPr>
          <w:noProof/>
        </w:rPr>
        <w:tab/>
      </w:r>
      <w:r w:rsidR="002365C7" w:rsidRPr="00210DAC">
        <w:rPr>
          <w:noProof/>
        </w:rPr>
        <w:t>Uredba (EU) 2023/1525 Europskog parlamenta i Vijeća o podupiranju proizvodnje streljiva (ASAP)</w:t>
      </w:r>
      <w:r w:rsidR="003069FC" w:rsidRPr="00210DAC">
        <w:rPr>
          <w:rStyle w:val="FootnoteReference"/>
          <w:noProof/>
        </w:rPr>
        <w:footnoteReference w:id="9"/>
      </w:r>
      <w:r w:rsidR="002365C7" w:rsidRPr="00210DAC">
        <w:rPr>
          <w:noProof/>
        </w:rPr>
        <w:t xml:space="preserve"> donesena je kako bi se financijski podupiralo hitno jačanje reaktivnosti EDTIB-a i njegove sposobnosti da zajamči pravodobnu dostupnost streljiva zemlja-zemlja i topničkog streljiva, kao i raketa. Dobrovoljni prijenosi sredstava dodijeljenih državama članicama u okviru podijeljenog upravljanja za instrument ASAP, kao i dodatni dobrovoljni doprinosi država članica ili drugih relevantnih dionika trebali bi doprinositi pružanju potpore za povećanje proizvodnih kapaciteta Unije i nakon 30. lipnja 2025. Uredbu (EU) 2023/1525 stoga bi trebalo izmijeniti kako bi se uvela ta mogućnost. Budući da se ta uredba pokazala korisnom za razvoj novih kapaciteta za proizvodnju baruta / pogonskih sredstava, eksploziva, čahura i raketa te za razvoj kapaciteta za testiranje u cijeloj Uniji, primjereno je osigurati da se njezina primjena produlji do 31. prosinca 2026.</w:t>
      </w:r>
    </w:p>
    <w:p w:rsidR="00507BEE" w:rsidRPr="00210DAC" w:rsidRDefault="004C06C0" w:rsidP="004C06C0">
      <w:pPr>
        <w:pStyle w:val="ManualConsidrant"/>
        <w:rPr>
          <w:noProof/>
        </w:rPr>
      </w:pPr>
      <w:r w:rsidRPr="004C06C0">
        <w:rPr>
          <w:noProof/>
        </w:rPr>
        <w:t>(14)</w:t>
      </w:r>
      <w:r w:rsidRPr="004C06C0">
        <w:rPr>
          <w:noProof/>
        </w:rPr>
        <w:tab/>
      </w:r>
      <w:r w:rsidR="00507BEE" w:rsidRPr="00210DAC">
        <w:rPr>
          <w:noProof/>
        </w:rPr>
        <w:t>Cilj je Instrumenta za povezivanje Europe, uspostavljenog Uredbom (EU) 2021/1153 Europskog parlamenta i Vijeća</w:t>
      </w:r>
      <w:r w:rsidR="003069FC" w:rsidRPr="00210DAC">
        <w:rPr>
          <w:rStyle w:val="FootnoteReference"/>
          <w:noProof/>
        </w:rPr>
        <w:footnoteReference w:id="10"/>
      </w:r>
      <w:r w:rsidR="00507BEE" w:rsidRPr="00210DAC">
        <w:rPr>
          <w:noProof/>
        </w:rPr>
        <w:t xml:space="preserve">, ubrzati ulaganja u području transeuropskih mreža i omogućiti sinergije između prometnog, energetskog i digitalnog sektora. Radi potpore povezanoj računalnoj infrastrukturi kakva je nužna za obrambene proizvode i tehnologije, kao i za druga područja, ciljeve Instrumenta za digitalni sektor u okviru te uredbe trebalo bi proširiti na uvođenje i pružanje digitalnih kapaciteta kao što su računalstvo u oblaku, umjetna inteligencija i gigatvornice umjetne inteligencije.  </w:t>
      </w:r>
    </w:p>
    <w:p w:rsidR="00C4629D" w:rsidRPr="00210DAC" w:rsidRDefault="004C06C0" w:rsidP="004C06C0">
      <w:pPr>
        <w:pStyle w:val="ManualConsidrant"/>
        <w:rPr>
          <w:noProof/>
        </w:rPr>
      </w:pPr>
      <w:r w:rsidRPr="004C06C0">
        <w:rPr>
          <w:noProof/>
        </w:rPr>
        <w:t>(15)</w:t>
      </w:r>
      <w:r w:rsidRPr="004C06C0">
        <w:rPr>
          <w:noProof/>
        </w:rPr>
        <w:tab/>
      </w:r>
      <w:r w:rsidR="002365C7" w:rsidRPr="00210DAC">
        <w:rPr>
          <w:noProof/>
        </w:rPr>
        <w:t>Vojna mobilnost još je jedan cilj programa Instrumenta za povezivanje Europe. U Zajedničkoj bijeloj knjizi o europskoj obrambenoj spremnosti 2030.. stoji da je vojna mobilnost jedan od bitnih preduvjeta za europsku sigurnost i obranu te je istaknuta dodana vrijednost Unije za potporu dvonamjenskoj infrastrukturi za mobilnost. U preispitivanju Europskog fonda za regionalni razvoj (EFRR) i Kohezijskog fonda, koji su uspostavljeni Uredbom (EU) 2021/1058 Europskog parlamenta i Vijeća</w:t>
      </w:r>
      <w:r w:rsidR="003069FC" w:rsidRPr="00210DAC">
        <w:rPr>
          <w:rStyle w:val="FootnoteReference"/>
          <w:noProof/>
        </w:rPr>
        <w:footnoteReference w:id="11"/>
      </w:r>
      <w:r w:rsidR="002365C7" w:rsidRPr="00210DAC">
        <w:rPr>
          <w:noProof/>
        </w:rPr>
        <w:t>, uvedena je mogućnost ulaganja u obrambenu infrastrukturu ili infrastrukturu s dvojnom namjenom za potporu vojnoj mobilnosti uz mogućnost pretfinanciranja za 30 % programiranog iznosa i podnošenja zahtjeva za financiranje Unije u iznosu do 100 %. Države članice koje u Instrument za povezivanje Europe prenesu resurse koji su im dodijeljeni u okviru podijeljenog upravljanja trebale bi imati jednake uvjete za pretfinanciranje i sufinanciranje za projekte prometne infrastrukture s dvojnom namjenom kao u okviru EFRR-a i Kohezijskog fonda. U tim slučajevima ti bi iznosi trebali biti rezervirani za projekte razvoja koridora za vojnu mobilnost, kako su ih države članice utvrdile u Vojnim zahtjevima za vojnu mobilnost, unutar i izvan Unije te za digitalnu povezivost i kapacitete.</w:t>
      </w:r>
    </w:p>
    <w:p w:rsidR="007D7008" w:rsidRPr="00210DAC" w:rsidRDefault="004C06C0" w:rsidP="004C06C0">
      <w:pPr>
        <w:pStyle w:val="ManualConsidrant"/>
        <w:rPr>
          <w:noProof/>
        </w:rPr>
      </w:pPr>
      <w:r w:rsidRPr="004C06C0">
        <w:rPr>
          <w:noProof/>
        </w:rPr>
        <w:t>(16)</w:t>
      </w:r>
      <w:r w:rsidRPr="004C06C0">
        <w:rPr>
          <w:noProof/>
        </w:rPr>
        <w:tab/>
      </w:r>
      <w:r w:rsidR="007D7008" w:rsidRPr="00210DAC">
        <w:rPr>
          <w:noProof/>
        </w:rPr>
        <w:t xml:space="preserve">Uredbe (EU) br. 2021/694, (EU) 2021/695, (EU) 2021/697, (EU) 2021/1153, (EU) 2023/1525 i (EU) 2024/795 trebalo bi stoga na odgovarajući način izmijeniti. </w:t>
      </w:r>
    </w:p>
    <w:p w:rsidR="00AB08C9" w:rsidRPr="00210DAC" w:rsidRDefault="004C06C0" w:rsidP="004C06C0">
      <w:pPr>
        <w:pStyle w:val="ManualConsidrant"/>
        <w:rPr>
          <w:noProof/>
        </w:rPr>
      </w:pPr>
      <w:r w:rsidRPr="004C06C0">
        <w:rPr>
          <w:noProof/>
        </w:rPr>
        <w:t>(17)</w:t>
      </w:r>
      <w:r w:rsidRPr="004C06C0">
        <w:rPr>
          <w:noProof/>
        </w:rPr>
        <w:tab/>
      </w:r>
      <w:r w:rsidR="005858BA" w:rsidRPr="00210DAC">
        <w:rPr>
          <w:noProof/>
        </w:rPr>
        <w:t xml:space="preserve">Zbog potrebe da se hitno omoguće kritična ulaganja u obranu u aktualnom geopolitičkom kontekstu, ova Uredba trebala bi stupiti na snagu dan nakon objave u </w:t>
      </w:r>
      <w:r w:rsidR="005858BA" w:rsidRPr="00210DAC">
        <w:rPr>
          <w:i/>
          <w:iCs/>
          <w:noProof/>
        </w:rPr>
        <w:t>Službenom listu Europske unije</w:t>
      </w:r>
      <w:r w:rsidR="005858BA" w:rsidRPr="00210DAC">
        <w:rPr>
          <w:noProof/>
        </w:rPr>
        <w:t>.</w:t>
      </w:r>
    </w:p>
    <w:p w:rsidR="00E044F3" w:rsidRPr="00210DAC" w:rsidRDefault="004C06C0" w:rsidP="004C06C0">
      <w:pPr>
        <w:pStyle w:val="ManualConsidrant"/>
        <w:rPr>
          <w:noProof/>
        </w:rPr>
      </w:pPr>
      <w:r w:rsidRPr="004C06C0">
        <w:rPr>
          <w:noProof/>
        </w:rPr>
        <w:t>(18)</w:t>
      </w:r>
      <w:r w:rsidRPr="004C06C0">
        <w:rPr>
          <w:noProof/>
        </w:rPr>
        <w:tab/>
      </w:r>
      <w:r w:rsidR="00E044F3" w:rsidRPr="00210DAC">
        <w:rPr>
          <w:noProof/>
        </w:rPr>
        <w:t>Budući da cilj ove Uredbe, odnosno jačanje aktivnosti istraživanja i razvoja s dvojnom namjenom i u području obrane, poboljšanje konkurentnosti obrambene industrije Unije i doprinos obrani Unije preusmjeravanjem ulaganja u te prioritete, ne mogu dostatno ostvariti države članice, nego se oni na bolji način mogu ostvariti na razini Unije, Unija može donositi mjere u skladu s načelom supsidijarnosti kako je utvrđeno u članku 5. UEU-a. U skladu s načelom proporcionalnosti utvrđenim u tom članku, ova Uredba ne prelazi ono što je potrebno za ostvarivanje tih ciljeva,</w:t>
      </w:r>
    </w:p>
    <w:p w:rsidR="003F4F48" w:rsidRPr="00210DAC" w:rsidRDefault="003F4F48">
      <w:pPr>
        <w:pStyle w:val="Formuledadoption"/>
        <w:rPr>
          <w:noProof/>
        </w:rPr>
      </w:pPr>
      <w:r w:rsidRPr="00210DAC">
        <w:rPr>
          <w:noProof/>
        </w:rPr>
        <w:t>DONIJELI SU OVU UREDBU:</w:t>
      </w:r>
    </w:p>
    <w:p w:rsidR="00C62513" w:rsidRPr="00210DAC" w:rsidRDefault="00C62513" w:rsidP="00C62513">
      <w:pPr>
        <w:pStyle w:val="Titrearticle"/>
        <w:rPr>
          <w:noProof/>
        </w:rPr>
      </w:pPr>
      <w:r w:rsidRPr="00210DAC">
        <w:rPr>
          <w:noProof/>
        </w:rPr>
        <w:t>Članak 1.</w:t>
      </w:r>
    </w:p>
    <w:p w:rsidR="00C62513" w:rsidRPr="00210DAC" w:rsidRDefault="00C62513" w:rsidP="00C62513">
      <w:pPr>
        <w:rPr>
          <w:noProof/>
        </w:rPr>
      </w:pPr>
      <w:r w:rsidRPr="00210DAC">
        <w:rPr>
          <w:noProof/>
        </w:rPr>
        <w:t>Uredba (EU) 2021/694 [program Digitalna Europa] mijenja se kako slijedi:</w:t>
      </w:r>
    </w:p>
    <w:p w:rsidR="00C62513" w:rsidRPr="00210DAC" w:rsidRDefault="004C06C0" w:rsidP="004C06C0">
      <w:pPr>
        <w:pStyle w:val="Point0"/>
        <w:rPr>
          <w:noProof/>
        </w:rPr>
      </w:pPr>
      <w:r w:rsidRPr="004C06C0">
        <w:rPr>
          <w:noProof/>
        </w:rPr>
        <w:t>(1)</w:t>
      </w:r>
      <w:r w:rsidRPr="004C06C0">
        <w:rPr>
          <w:noProof/>
        </w:rPr>
        <w:tab/>
      </w:r>
      <w:r w:rsidR="00C62513" w:rsidRPr="00210DAC">
        <w:rPr>
          <w:noProof/>
        </w:rPr>
        <w:t>u članku 3. stavku 1. drugom podstavku dodaje se sljedeća točka:</w:t>
      </w:r>
    </w:p>
    <w:p w:rsidR="00C62513" w:rsidRPr="00210DAC" w:rsidRDefault="00C62513" w:rsidP="00C62513">
      <w:pPr>
        <w:pStyle w:val="Point0"/>
        <w:ind w:firstLine="0"/>
        <w:rPr>
          <w:noProof/>
        </w:rPr>
      </w:pPr>
      <w:r w:rsidRPr="00210DAC">
        <w:rPr>
          <w:noProof/>
        </w:rPr>
        <w:t>„(c) podupirati projekte, usluge, kompetencije i primjene s dvojnom namjenom.”;</w:t>
      </w:r>
    </w:p>
    <w:p w:rsidR="00C62513" w:rsidRPr="00210DAC" w:rsidRDefault="004C06C0" w:rsidP="004C06C0">
      <w:pPr>
        <w:pStyle w:val="Point0"/>
        <w:rPr>
          <w:noProof/>
        </w:rPr>
      </w:pPr>
      <w:r w:rsidRPr="004C06C0">
        <w:rPr>
          <w:noProof/>
        </w:rPr>
        <w:t>(2)</w:t>
      </w:r>
      <w:r w:rsidRPr="004C06C0">
        <w:rPr>
          <w:noProof/>
        </w:rPr>
        <w:tab/>
      </w:r>
      <w:r w:rsidR="00C62513" w:rsidRPr="00210DAC">
        <w:rPr>
          <w:noProof/>
        </w:rPr>
        <w:t>u članku 4. stavku 1. dodaje se sljedeća točka:</w:t>
      </w:r>
    </w:p>
    <w:p w:rsidR="00C62513" w:rsidRPr="00210DAC" w:rsidRDefault="00C62513" w:rsidP="00C62513">
      <w:pPr>
        <w:pStyle w:val="Point0"/>
        <w:ind w:firstLine="0"/>
        <w:rPr>
          <w:noProof/>
        </w:rPr>
      </w:pPr>
      <w:r w:rsidRPr="00210DAC">
        <w:rPr>
          <w:noProof/>
        </w:rPr>
        <w:t>„(d) uvođenje i rad tvornica umjetne inteligencije i gigatvornica umjetne inteligencije nove generacije specijaliziranih za razvoj, treniranje i rad najsloženijih, vrlo velikih modela i aplikacija umjetne inteligencije, uključujući hardver i softver potreban za to uvođenje.”;</w:t>
      </w:r>
    </w:p>
    <w:p w:rsidR="00C62513" w:rsidRPr="00210DAC" w:rsidRDefault="004C06C0" w:rsidP="004C06C0">
      <w:pPr>
        <w:pStyle w:val="Point0"/>
        <w:rPr>
          <w:noProof/>
        </w:rPr>
      </w:pPr>
      <w:r w:rsidRPr="004C06C0">
        <w:rPr>
          <w:noProof/>
        </w:rPr>
        <w:t>(3)</w:t>
      </w:r>
      <w:r w:rsidRPr="004C06C0">
        <w:rPr>
          <w:noProof/>
        </w:rPr>
        <w:tab/>
      </w:r>
      <w:r w:rsidR="00C62513" w:rsidRPr="00210DAC">
        <w:rPr>
          <w:noProof/>
        </w:rPr>
        <w:t>u članku 8. stavku 1. točka (a) zamjenjuje se sljedećim:</w:t>
      </w:r>
    </w:p>
    <w:p w:rsidR="00C62513" w:rsidRPr="00210DAC" w:rsidRDefault="00C62513" w:rsidP="00C62513">
      <w:pPr>
        <w:pStyle w:val="Point0"/>
        <w:ind w:firstLine="0"/>
        <w:rPr>
          <w:noProof/>
        </w:rPr>
      </w:pPr>
      <w:r w:rsidRPr="00210DAC">
        <w:rPr>
          <w:noProof/>
        </w:rPr>
        <w:t>„(a) pružanje potpore javnom sektoru i područjima od javnog interesa, kao što su zdravlje i skrb, obrazovanje, pravosuđe, carina, obrana, promet, mobilnost, energetika, okoliš, kulturni i kreativni sektori, uključujući relevantna poduzeća s poslovnim nastanom u Uniji, kako bi se na djelotvoran način moglo uvesti najsuvremenije digitalne tehnologije, kao što su računalstvo visokih performansi, kvantna tehnologija, umjetna inteligencija i kibersigurnost, te imati pristup njima;”;</w:t>
      </w:r>
    </w:p>
    <w:p w:rsidR="00C62513" w:rsidRPr="00210DAC" w:rsidRDefault="004C06C0" w:rsidP="004C06C0">
      <w:pPr>
        <w:pStyle w:val="Point0"/>
        <w:rPr>
          <w:noProof/>
        </w:rPr>
      </w:pPr>
      <w:r w:rsidRPr="004C06C0">
        <w:rPr>
          <w:noProof/>
        </w:rPr>
        <w:t>(4)</w:t>
      </w:r>
      <w:r w:rsidRPr="004C06C0">
        <w:rPr>
          <w:noProof/>
        </w:rPr>
        <w:tab/>
      </w:r>
      <w:r w:rsidR="00C62513" w:rsidRPr="00210DAC">
        <w:rPr>
          <w:noProof/>
        </w:rPr>
        <w:t>u članku 12. stavak 5. zamjenjuje se sljedećim:</w:t>
      </w:r>
    </w:p>
    <w:p w:rsidR="00C62513" w:rsidRPr="00210DAC" w:rsidRDefault="00C62513" w:rsidP="00C62513">
      <w:pPr>
        <w:pStyle w:val="Point0"/>
        <w:ind w:firstLine="0"/>
        <w:rPr>
          <w:noProof/>
        </w:rPr>
      </w:pPr>
      <w:r w:rsidRPr="00210DAC">
        <w:rPr>
          <w:noProof/>
        </w:rPr>
        <w:t>„5. U programu rada može se predvidjeti i da pravni subjekti s poslovnim nastanom u pridruženim zemljama i pravni subjekti s poslovnim nastanom u Uniji, ali pod kontrolom iz trećih zemalja nisu prihvatljivi za sudjelovanje ni u kojim ili u nekima od djelovanja u okviru specifičnog cilja 3 zbog propisno opravdanih sigurnosnih razloga, kao ni u djelovanjima koja se odnose na tehnologije s potencijalnom dvojnom namjenom u okviru ijednog specifičnog cilja. U takvim slučajevima pozivi na podnošenje prijedloga i pozivi za podnošenje ponuda ograničeni su na pravne subjekte s poslovnim nastanom u državama članicama ili za koje se smatra da ondje imaju poslovni nastan te na one koji su pod kontrolom država članica ili njihovih državljana.  Takva ograničenja mogu se primjenjivati na pristup kapacitetima raspoređenima u okviru tih poziva.”</w:t>
      </w:r>
    </w:p>
    <w:p w:rsidR="00250C44" w:rsidRPr="00210DAC" w:rsidRDefault="00250C44" w:rsidP="00250C44">
      <w:pPr>
        <w:pStyle w:val="Titrearticle"/>
        <w:rPr>
          <w:noProof/>
        </w:rPr>
      </w:pPr>
      <w:r w:rsidRPr="00210DAC">
        <w:rPr>
          <w:noProof/>
        </w:rPr>
        <w:t>Članak 2.</w:t>
      </w:r>
    </w:p>
    <w:p w:rsidR="00250C44" w:rsidRPr="00210DAC" w:rsidRDefault="00250C44" w:rsidP="00250C44">
      <w:pPr>
        <w:rPr>
          <w:noProof/>
        </w:rPr>
      </w:pPr>
      <w:r w:rsidRPr="00210DAC">
        <w:rPr>
          <w:noProof/>
        </w:rPr>
        <w:t>Uredba (EU) 2021/695 [Obzor Europa] mijenja se kako slijedi:</w:t>
      </w:r>
    </w:p>
    <w:p w:rsidR="007D7008" w:rsidRPr="00210DAC" w:rsidRDefault="004C06C0" w:rsidP="004C06C0">
      <w:pPr>
        <w:pStyle w:val="Point0"/>
        <w:rPr>
          <w:noProof/>
        </w:rPr>
      </w:pPr>
      <w:r w:rsidRPr="004C06C0">
        <w:rPr>
          <w:noProof/>
        </w:rPr>
        <w:t>(1)</w:t>
      </w:r>
      <w:r w:rsidRPr="004C06C0">
        <w:rPr>
          <w:noProof/>
        </w:rPr>
        <w:tab/>
      </w:r>
      <w:r w:rsidR="007D7008" w:rsidRPr="00210DAC">
        <w:rPr>
          <w:noProof/>
        </w:rPr>
        <w:t>u članku 46. umeće se sljedeći stavak 4.a:</w:t>
      </w:r>
    </w:p>
    <w:p w:rsidR="007D7008" w:rsidRPr="00210DAC" w:rsidRDefault="007D7008" w:rsidP="0070434C">
      <w:pPr>
        <w:pStyle w:val="Point0"/>
        <w:ind w:hanging="130"/>
        <w:rPr>
          <w:noProof/>
        </w:rPr>
      </w:pPr>
      <w:r w:rsidRPr="00210DAC">
        <w:rPr>
          <w:noProof/>
        </w:rPr>
        <w:t>„4.a Odstupajući od članka 212. stavka 3. Financijske uredbe, otplate, uključujući nadoknađene predujmove, prihode i neiskorištene iznose umanjene za naknade i troškove mješovitog financiranja EIC-a za pilot-projekt EIC-a u okviru programa Obzor 2020., smatraju se unutarnjim namjenskim prihodima u skladu s člankom 21. stavkom 3. točkom (f) i člankom 21. stavcima 4. i 5. Financijske uredbe, a vremensko ograničenje od dvije godine iz članka 212. stavka 3. drugog podstavka Financijske uredbe primjenjuje se od [datuma stupanja na snagu ove Uredbe].”;</w:t>
      </w:r>
    </w:p>
    <w:p w:rsidR="00250C44" w:rsidRPr="00210DAC" w:rsidRDefault="004C06C0" w:rsidP="004C06C0">
      <w:pPr>
        <w:pStyle w:val="Point0"/>
        <w:rPr>
          <w:noProof/>
        </w:rPr>
      </w:pPr>
      <w:r w:rsidRPr="004C06C0">
        <w:rPr>
          <w:noProof/>
        </w:rPr>
        <w:t>(2)</w:t>
      </w:r>
      <w:r w:rsidRPr="004C06C0">
        <w:rPr>
          <w:noProof/>
        </w:rPr>
        <w:tab/>
      </w:r>
      <w:r w:rsidR="00250C44" w:rsidRPr="00210DAC">
        <w:rPr>
          <w:noProof/>
        </w:rPr>
        <w:t>u članku 48. stavku 1. drugi podstavak mijenja se kako slijedi:</w:t>
      </w:r>
    </w:p>
    <w:p w:rsidR="00AB08C9" w:rsidRPr="00210DAC" w:rsidRDefault="004C06C0" w:rsidP="004C06C0">
      <w:pPr>
        <w:pStyle w:val="Point1"/>
        <w:rPr>
          <w:noProof/>
        </w:rPr>
      </w:pPr>
      <w:r w:rsidRPr="004C06C0">
        <w:rPr>
          <w:noProof/>
        </w:rPr>
        <w:t>(a)</w:t>
      </w:r>
      <w:r w:rsidRPr="004C06C0">
        <w:rPr>
          <w:noProof/>
        </w:rPr>
        <w:tab/>
      </w:r>
      <w:r w:rsidR="00AB08C9" w:rsidRPr="00210DAC">
        <w:rPr>
          <w:noProof/>
        </w:rPr>
        <w:t xml:space="preserve"> u točki (a) dodaje se sljedeća rečenica:</w:t>
      </w:r>
    </w:p>
    <w:p w:rsidR="00AB08C9" w:rsidRPr="00210DAC" w:rsidRDefault="00AB08C9" w:rsidP="00E10716">
      <w:pPr>
        <w:pStyle w:val="Point1"/>
        <w:ind w:firstLine="0"/>
        <w:rPr>
          <w:noProof/>
        </w:rPr>
      </w:pPr>
      <w:r w:rsidRPr="00210DAC">
        <w:rPr>
          <w:noProof/>
        </w:rPr>
        <w:t>„Kao iznimka od članka 7. stavka 1. ta potpora može uključivati potencijalne primjene s dvojnom namjenom;”;</w:t>
      </w:r>
    </w:p>
    <w:p w:rsidR="00AB08C9" w:rsidRPr="00210DAC" w:rsidRDefault="004C06C0" w:rsidP="004C06C0">
      <w:pPr>
        <w:pStyle w:val="Point1"/>
        <w:rPr>
          <w:noProof/>
        </w:rPr>
      </w:pPr>
      <w:r w:rsidRPr="004C06C0">
        <w:rPr>
          <w:noProof/>
        </w:rPr>
        <w:t>(b)</w:t>
      </w:r>
      <w:r w:rsidRPr="004C06C0">
        <w:rPr>
          <w:noProof/>
        </w:rPr>
        <w:tab/>
      </w:r>
      <w:r w:rsidR="00AB08C9" w:rsidRPr="00210DAC">
        <w:rPr>
          <w:noProof/>
        </w:rPr>
        <w:t>u točki (b) dodaje se sljedeća rečenica:</w:t>
      </w:r>
    </w:p>
    <w:p w:rsidR="00AB08C9" w:rsidRPr="00210DAC" w:rsidRDefault="00AB08C9" w:rsidP="00E10716">
      <w:pPr>
        <w:pStyle w:val="Point1"/>
        <w:ind w:firstLine="0"/>
        <w:rPr>
          <w:noProof/>
        </w:rPr>
      </w:pPr>
      <w:r w:rsidRPr="00210DAC">
        <w:rPr>
          <w:noProof/>
        </w:rPr>
        <w:t>„Kao iznimka od članka 7. stavka 1. ta potpora može uključivati potencijalne primjene s dvojnom namjenom;”;</w:t>
      </w:r>
    </w:p>
    <w:p w:rsidR="00250C44" w:rsidRPr="00210DAC" w:rsidRDefault="004C06C0" w:rsidP="004C06C0">
      <w:pPr>
        <w:pStyle w:val="Point1"/>
        <w:rPr>
          <w:noProof/>
        </w:rPr>
      </w:pPr>
      <w:r w:rsidRPr="004C06C0">
        <w:rPr>
          <w:noProof/>
        </w:rPr>
        <w:t>(c)</w:t>
      </w:r>
      <w:r w:rsidRPr="004C06C0">
        <w:rPr>
          <w:noProof/>
        </w:rPr>
        <w:tab/>
      </w:r>
      <w:r w:rsidR="00AB08C9" w:rsidRPr="00210DAC">
        <w:rPr>
          <w:noProof/>
        </w:rPr>
        <w:t xml:space="preserve"> u točki (c) dodaje se sljedeća rečenica:</w:t>
      </w:r>
    </w:p>
    <w:p w:rsidR="00250C44" w:rsidRPr="00210DAC" w:rsidRDefault="00FB4AF2" w:rsidP="00250C44">
      <w:pPr>
        <w:pStyle w:val="Point1"/>
        <w:ind w:firstLine="0"/>
        <w:rPr>
          <w:noProof/>
        </w:rPr>
      </w:pPr>
      <w:r w:rsidRPr="00210DAC">
        <w:rPr>
          <w:noProof/>
        </w:rPr>
        <w:t>„Kao iznimka od članka 7. stavka 1. ta potpora može uključivati potencijalne primjene s dvojnom namjenom;”;</w:t>
      </w:r>
    </w:p>
    <w:p w:rsidR="00250C44" w:rsidRPr="00210DAC" w:rsidRDefault="004C06C0" w:rsidP="004C06C0">
      <w:pPr>
        <w:pStyle w:val="Point1"/>
        <w:rPr>
          <w:noProof/>
        </w:rPr>
      </w:pPr>
      <w:r w:rsidRPr="004C06C0">
        <w:rPr>
          <w:noProof/>
        </w:rPr>
        <w:t>(d)</w:t>
      </w:r>
      <w:r w:rsidRPr="004C06C0">
        <w:rPr>
          <w:noProof/>
        </w:rPr>
        <w:tab/>
      </w:r>
      <w:r w:rsidR="00AB08C9" w:rsidRPr="00210DAC">
        <w:rPr>
          <w:noProof/>
        </w:rPr>
        <w:t>u točki (d) dodaje se sljedeća rečenica:</w:t>
      </w:r>
    </w:p>
    <w:p w:rsidR="001644A7" w:rsidRPr="00210DAC" w:rsidRDefault="00FB4AF2" w:rsidP="0070434C">
      <w:pPr>
        <w:pStyle w:val="Point1"/>
        <w:ind w:firstLine="0"/>
        <w:rPr>
          <w:noProof/>
        </w:rPr>
      </w:pPr>
      <w:r w:rsidRPr="00210DAC">
        <w:rPr>
          <w:noProof/>
        </w:rPr>
        <w:t>„Kao iznimka od članka 7. stavka 1. ta potpora može uključivati inovacije u ključnim tehnologijama s primarno obrambenom namjenom.”</w:t>
      </w:r>
    </w:p>
    <w:p w:rsidR="001644A7" w:rsidRPr="00210DAC" w:rsidRDefault="001644A7" w:rsidP="001644A7">
      <w:pPr>
        <w:pStyle w:val="Titrearticle"/>
        <w:rPr>
          <w:noProof/>
        </w:rPr>
      </w:pPr>
      <w:r w:rsidRPr="00210DAC">
        <w:rPr>
          <w:noProof/>
        </w:rPr>
        <w:t>Članak 3.</w:t>
      </w:r>
    </w:p>
    <w:p w:rsidR="001644A7" w:rsidRPr="00210DAC" w:rsidRDefault="00701E52" w:rsidP="001644A7">
      <w:pPr>
        <w:rPr>
          <w:noProof/>
        </w:rPr>
      </w:pPr>
      <w:r w:rsidRPr="00210DAC">
        <w:rPr>
          <w:noProof/>
        </w:rPr>
        <w:t>Uredba (EU) 2021/697 [Europski fond za obranu] mijenja se kako slijedi:</w:t>
      </w:r>
    </w:p>
    <w:p w:rsidR="00BE17C5" w:rsidRPr="00210DAC" w:rsidRDefault="004C06C0" w:rsidP="004C06C0">
      <w:pPr>
        <w:pStyle w:val="Point0"/>
        <w:rPr>
          <w:noProof/>
        </w:rPr>
      </w:pPr>
      <w:r w:rsidRPr="004C06C0">
        <w:rPr>
          <w:noProof/>
        </w:rPr>
        <w:t>(1)</w:t>
      </w:r>
      <w:r w:rsidRPr="004C06C0">
        <w:rPr>
          <w:noProof/>
        </w:rPr>
        <w:tab/>
      </w:r>
      <w:r w:rsidR="00BE17C5" w:rsidRPr="00210DAC">
        <w:rPr>
          <w:noProof/>
        </w:rPr>
        <w:t>članak 6. zamjenjuje se sljedećim:</w:t>
      </w:r>
    </w:p>
    <w:p w:rsidR="00BE17C5" w:rsidRPr="00210DAC" w:rsidRDefault="00421253" w:rsidP="00BE17C5">
      <w:pPr>
        <w:pStyle w:val="Titrearticle"/>
        <w:rPr>
          <w:noProof/>
        </w:rPr>
      </w:pPr>
      <w:r w:rsidRPr="00210DAC">
        <w:rPr>
          <w:noProof/>
        </w:rPr>
        <w:t>„Članak 6.</w:t>
      </w:r>
    </w:p>
    <w:p w:rsidR="00BE17C5" w:rsidRPr="00210DAC" w:rsidRDefault="00BE17C5" w:rsidP="00BE17C5">
      <w:pPr>
        <w:pStyle w:val="Titrearticle"/>
        <w:rPr>
          <w:b/>
          <w:bCs/>
          <w:i w:val="0"/>
          <w:iCs/>
          <w:noProof/>
        </w:rPr>
      </w:pPr>
      <w:r w:rsidRPr="00210DAC">
        <w:rPr>
          <w:b/>
          <w:i w:val="0"/>
          <w:noProof/>
        </w:rPr>
        <w:t>Potpora za disruptivne tehnologije u području obrane</w:t>
      </w:r>
    </w:p>
    <w:p w:rsidR="00BE17C5" w:rsidRPr="00210DAC" w:rsidRDefault="004C06C0" w:rsidP="004C06C0">
      <w:pPr>
        <w:pStyle w:val="ManualNumPar1"/>
        <w:rPr>
          <w:noProof/>
        </w:rPr>
      </w:pPr>
      <w:r w:rsidRPr="004C06C0">
        <w:rPr>
          <w:noProof/>
        </w:rPr>
        <w:t>1.</w:t>
      </w:r>
      <w:r w:rsidRPr="004C06C0">
        <w:rPr>
          <w:noProof/>
        </w:rPr>
        <w:tab/>
      </w:r>
      <w:r w:rsidR="00BE17C5" w:rsidRPr="00210DAC">
        <w:rPr>
          <w:noProof/>
        </w:rPr>
        <w:t>Komisija podupire djelovanja koja pogoduju razvoju disruptivnih tehnologija u području obrane u područjima intervencije koja su utvrđena u programima rada iz članka 24.</w:t>
      </w:r>
    </w:p>
    <w:p w:rsidR="00BE17C5" w:rsidRPr="00210DAC" w:rsidRDefault="004C06C0" w:rsidP="004C06C0">
      <w:pPr>
        <w:pStyle w:val="ManualNumPar1"/>
        <w:rPr>
          <w:noProof/>
        </w:rPr>
      </w:pPr>
      <w:r w:rsidRPr="004C06C0">
        <w:rPr>
          <w:noProof/>
        </w:rPr>
        <w:t>2.</w:t>
      </w:r>
      <w:r w:rsidRPr="004C06C0">
        <w:rPr>
          <w:noProof/>
        </w:rPr>
        <w:tab/>
      </w:r>
      <w:r w:rsidR="00BE17C5" w:rsidRPr="00210DAC">
        <w:rPr>
          <w:noProof/>
        </w:rPr>
        <w:t>U programima rada utvrđuju se najprikladniji oblici financiranja, kriteriji i postupci za odabir i dodjelu te provedba za disruptivne tehnologije u području obrane.”;</w:t>
      </w:r>
    </w:p>
    <w:p w:rsidR="00701E52" w:rsidRPr="00210DAC" w:rsidRDefault="004C06C0" w:rsidP="004C06C0">
      <w:pPr>
        <w:pStyle w:val="Point0"/>
        <w:rPr>
          <w:noProof/>
        </w:rPr>
      </w:pPr>
      <w:r w:rsidRPr="004C06C0">
        <w:rPr>
          <w:noProof/>
        </w:rPr>
        <w:t>(2)</w:t>
      </w:r>
      <w:r w:rsidRPr="004C06C0">
        <w:rPr>
          <w:noProof/>
        </w:rPr>
        <w:tab/>
      </w:r>
      <w:r w:rsidR="00AB08C9" w:rsidRPr="00210DAC">
        <w:rPr>
          <w:noProof/>
        </w:rPr>
        <w:t>umeće se sljedeći članak:</w:t>
      </w:r>
    </w:p>
    <w:p w:rsidR="00701E52" w:rsidRPr="00210DAC" w:rsidRDefault="00FB4AF2" w:rsidP="00701E52">
      <w:pPr>
        <w:pStyle w:val="Titrearticle"/>
        <w:rPr>
          <w:noProof/>
        </w:rPr>
      </w:pPr>
      <w:r w:rsidRPr="00210DAC">
        <w:rPr>
          <w:noProof/>
        </w:rPr>
        <w:t>„Članak 8.a</w:t>
      </w:r>
    </w:p>
    <w:p w:rsidR="00701E52" w:rsidRPr="00210DAC" w:rsidRDefault="00701E52" w:rsidP="00701E52">
      <w:pPr>
        <w:pStyle w:val="Titrearticle"/>
        <w:rPr>
          <w:b/>
          <w:bCs/>
          <w:i w:val="0"/>
          <w:iCs/>
          <w:noProof/>
        </w:rPr>
      </w:pPr>
      <w:r w:rsidRPr="00210DAC">
        <w:rPr>
          <w:b/>
          <w:i w:val="0"/>
          <w:noProof/>
        </w:rPr>
        <w:t>Kumulativno financiranje i prijenosi sredstava</w:t>
      </w:r>
    </w:p>
    <w:p w:rsidR="00701E52" w:rsidRPr="00210DAC" w:rsidRDefault="004C06C0" w:rsidP="004C06C0">
      <w:pPr>
        <w:pStyle w:val="ManualNumPar1"/>
        <w:rPr>
          <w:noProof/>
        </w:rPr>
      </w:pPr>
      <w:r w:rsidRPr="004C06C0">
        <w:rPr>
          <w:noProof/>
        </w:rPr>
        <w:t>1.</w:t>
      </w:r>
      <w:r w:rsidRPr="004C06C0">
        <w:rPr>
          <w:noProof/>
        </w:rPr>
        <w:tab/>
      </w:r>
      <w:r w:rsidR="00701E52" w:rsidRPr="00210DAC">
        <w:rPr>
          <w:noProof/>
        </w:rPr>
        <w:t>Za djelovanje za koje je primljen doprinos iz drugog programa Unije može se primiti doprinos i na temelju Programa, pod uvjetom da se doprinosima ne pokrivaju isti troškovi. Na odgovarajući doprinos djelovanju primjenjuju se pravila relevantnog programa Unije. Potpora iz različitih programa Unije može se izračunati razmjerno u skladu s dokumentima u kojima su utvrđeni uvjeti za potporu.</w:t>
      </w:r>
    </w:p>
    <w:p w:rsidR="005858BA" w:rsidRPr="00210DAC" w:rsidRDefault="004C06C0" w:rsidP="004C06C0">
      <w:pPr>
        <w:pStyle w:val="ManualNumPar1"/>
        <w:rPr>
          <w:noProof/>
        </w:rPr>
      </w:pPr>
      <w:r w:rsidRPr="004C06C0">
        <w:rPr>
          <w:noProof/>
        </w:rPr>
        <w:t>2.</w:t>
      </w:r>
      <w:r w:rsidRPr="004C06C0">
        <w:rPr>
          <w:noProof/>
        </w:rPr>
        <w:tab/>
      </w:r>
      <w:r w:rsidR="00701E52" w:rsidRPr="00210DAC">
        <w:rPr>
          <w:noProof/>
        </w:rPr>
        <w:t xml:space="preserve">Sredstva dodijeljena državama članicama u okviru podijeljenog upravljanja mogu se na zahtjev dotične države članice prenijeti u Program pod uvjetima utvrđenima u relevantnim odredbama Uredbe (EU) 2021/1060 za razdoblje od 2021. do 2027. Komisija ta sredstva izvršava izravno u skladu s člankom 62. stavkom 1. prvim podstavkom točkom (a) Financijske uredbe ili neizravno u skladu s točkom (c) tog podstavka. Ta se sredstva upotrebljavaju u korist dotične države članice. </w:t>
      </w:r>
    </w:p>
    <w:p w:rsidR="00701E52" w:rsidRPr="00210DAC" w:rsidRDefault="001E57C0" w:rsidP="00701E52">
      <w:pPr>
        <w:pStyle w:val="Text1"/>
        <w:rPr>
          <w:noProof/>
        </w:rPr>
      </w:pPr>
      <w:r w:rsidRPr="00210DAC">
        <w:rPr>
          <w:noProof/>
        </w:rPr>
        <w:t>Sredstva prenesena u skladu sa stavkom 2. ovog članka mogu se, odstupajući od članka 13. stavka 2. ove Uredbe, upotrijebiti kao doprinos financiranju prihvatljivih djelovanja iz članka 10. ove Uredbe u iznosu do 100 % prihvatljivih troškova.</w:t>
      </w:r>
    </w:p>
    <w:p w:rsidR="00701E52" w:rsidRPr="00210DAC" w:rsidRDefault="004C06C0" w:rsidP="004C06C0">
      <w:pPr>
        <w:pStyle w:val="ManualNumPar1"/>
        <w:rPr>
          <w:noProof/>
        </w:rPr>
      </w:pPr>
      <w:r w:rsidRPr="004C06C0">
        <w:rPr>
          <w:noProof/>
        </w:rPr>
        <w:t>3.</w:t>
      </w:r>
      <w:r w:rsidRPr="004C06C0">
        <w:rPr>
          <w:noProof/>
        </w:rPr>
        <w:tab/>
      </w:r>
      <w:r w:rsidR="00701E52" w:rsidRPr="00210DAC">
        <w:rPr>
          <w:noProof/>
        </w:rPr>
        <w:t>Ako Komisija ne preuzme pravnu obvezu u okviru izravnog ili neizravnog upravljanja za sredstva prenesena u skladu sa stavkom 3. i najkasnije do 30. rujna 2027., pripadajuća nenamjenska sredstva mogu se na zahtjev dotične države članice prenijeti natrag u jedan ili više odgovarajućih izvornih programa u skladu s uvjetima utvrđenima u relevantnim odredbama Uredbe (EU) 2021/1060.</w:t>
      </w:r>
    </w:p>
    <w:p w:rsidR="004A07C0" w:rsidRPr="00210DAC" w:rsidRDefault="004C06C0" w:rsidP="004C06C0">
      <w:pPr>
        <w:pStyle w:val="ManualNumPar1"/>
        <w:rPr>
          <w:noProof/>
        </w:rPr>
      </w:pPr>
      <w:r w:rsidRPr="004C06C0">
        <w:rPr>
          <w:noProof/>
        </w:rPr>
        <w:t>4.</w:t>
      </w:r>
      <w:r w:rsidRPr="004C06C0">
        <w:rPr>
          <w:noProof/>
        </w:rPr>
        <w:tab/>
      </w:r>
      <w:r w:rsidR="00701E52" w:rsidRPr="00210DAC">
        <w:rPr>
          <w:noProof/>
        </w:rPr>
        <w:t>Države članice, institucije, tijela i agencije Europske unije, treće zemlje, međunarodne organizacije, međunarodne financijske institucije ili treće strane mogu dati dodatne financijske doprinose Programu. Takvi financijski doprinosi čine vanjske namjenske prihode u smislu članka 21. stavka 2. točaka (a), (d) ili (e) ili članka 21. stavka 5. Financijske uredbe.”</w:t>
      </w:r>
    </w:p>
    <w:p w:rsidR="00FC3C42" w:rsidRPr="00210DAC" w:rsidRDefault="00FC3C42" w:rsidP="00FC3C42">
      <w:pPr>
        <w:pStyle w:val="Titrearticle"/>
        <w:rPr>
          <w:noProof/>
        </w:rPr>
      </w:pPr>
      <w:r w:rsidRPr="00210DAC">
        <w:rPr>
          <w:noProof/>
        </w:rPr>
        <w:t>Članak 4.</w:t>
      </w:r>
    </w:p>
    <w:p w:rsidR="00FC3C42" w:rsidRPr="00210DAC" w:rsidRDefault="00FC3C42" w:rsidP="00FC3C42">
      <w:pPr>
        <w:rPr>
          <w:noProof/>
        </w:rPr>
      </w:pPr>
      <w:r w:rsidRPr="00210DAC">
        <w:rPr>
          <w:noProof/>
        </w:rPr>
        <w:t>Uredba (EU) 2021/1153 [Instrument za povezivanje Europe] mijenja se kako slijedi:</w:t>
      </w:r>
    </w:p>
    <w:p w:rsidR="00AB08C9" w:rsidRPr="00210DAC" w:rsidRDefault="004C06C0" w:rsidP="004C06C0">
      <w:pPr>
        <w:pStyle w:val="Point0"/>
        <w:rPr>
          <w:noProof/>
        </w:rPr>
      </w:pPr>
      <w:r w:rsidRPr="004C06C0">
        <w:rPr>
          <w:noProof/>
        </w:rPr>
        <w:t>(1)</w:t>
      </w:r>
      <w:r w:rsidRPr="004C06C0">
        <w:rPr>
          <w:noProof/>
        </w:rPr>
        <w:tab/>
      </w:r>
      <w:r w:rsidR="00AC4CC0" w:rsidRPr="00210DAC">
        <w:rPr>
          <w:noProof/>
        </w:rPr>
        <w:t>članak 3. stavak 2. mijenja se kako slijedi:</w:t>
      </w:r>
    </w:p>
    <w:p w:rsidR="00AC4CC0" w:rsidRPr="00210DAC" w:rsidRDefault="00AC4CC0" w:rsidP="00995940">
      <w:pPr>
        <w:pStyle w:val="ListParagraph"/>
        <w:spacing w:before="0" w:after="0" w:line="259" w:lineRule="auto"/>
        <w:rPr>
          <w:rFonts w:eastAsia="Calibri" w:cs="Calibri"/>
          <w:noProof/>
        </w:rPr>
      </w:pPr>
    </w:p>
    <w:p w:rsidR="00507BEE" w:rsidRPr="00210DAC" w:rsidRDefault="00AB08C9" w:rsidP="00995940">
      <w:pPr>
        <w:pStyle w:val="ListParagraph"/>
        <w:spacing w:before="0" w:after="0" w:line="259" w:lineRule="auto"/>
        <w:rPr>
          <w:rFonts w:eastAsia="Calibri" w:cs="Calibri"/>
          <w:noProof/>
        </w:rPr>
      </w:pPr>
      <w:r w:rsidRPr="00210DAC">
        <w:rPr>
          <w:noProof/>
        </w:rPr>
        <w:t xml:space="preserve">točka (c) zamjenjuje se sljedećim: </w:t>
      </w:r>
    </w:p>
    <w:p w:rsidR="00AC4CC0" w:rsidRPr="00210DAC" w:rsidRDefault="00964EFE" w:rsidP="00444B2A">
      <w:pPr>
        <w:pStyle w:val="Point0"/>
        <w:ind w:firstLine="0"/>
        <w:rPr>
          <w:noProof/>
        </w:rPr>
      </w:pPr>
      <w:r w:rsidRPr="00210DAC">
        <w:rPr>
          <w:noProof/>
        </w:rPr>
        <w:t>„(c) u digitalnom sektoru: doprinijeti razvoju projekata od zajedničkog interesa koji se odnose na uvođenje sigurnih i zaštićenih digitalnih mreža vrlo velikog kapaciteta i omogućivanje pristupa tim mrežama, uključujući 5G sustave, uspostavi i uvođenju digitalnih kapaciteta kao što su računalstvo u oblaku, umjetna inteligencija i gigatvornice umjetne inteligencije, povećanju otpornosti i kapaciteta digitalnih mrežnih okosnica na državnim područjima Unije njihovim povezivanjem sa susjednim državnim područjima, kao i digitalizaciji prometnih i energetskih mreža.”;</w:t>
      </w:r>
    </w:p>
    <w:p w:rsidR="00507BEE" w:rsidRPr="00210DAC" w:rsidRDefault="004C06C0" w:rsidP="004C06C0">
      <w:pPr>
        <w:pStyle w:val="Point0"/>
        <w:rPr>
          <w:noProof/>
        </w:rPr>
      </w:pPr>
      <w:r w:rsidRPr="004C06C0">
        <w:rPr>
          <w:noProof/>
        </w:rPr>
        <w:t>(2)</w:t>
      </w:r>
      <w:r w:rsidRPr="004C06C0">
        <w:rPr>
          <w:noProof/>
        </w:rPr>
        <w:tab/>
      </w:r>
      <w:r w:rsidR="00AB08C9" w:rsidRPr="00210DAC">
        <w:rPr>
          <w:noProof/>
        </w:rPr>
        <w:t xml:space="preserve">u članku 8. stavku 4. dodaje se sljedeća točka (f): </w:t>
      </w:r>
    </w:p>
    <w:p w:rsidR="00507BEE" w:rsidRPr="00210DAC" w:rsidRDefault="00964EFE" w:rsidP="0070434C">
      <w:pPr>
        <w:pStyle w:val="Point0"/>
        <w:ind w:firstLine="0"/>
        <w:rPr>
          <w:noProof/>
        </w:rPr>
      </w:pPr>
      <w:r w:rsidRPr="00210DAC">
        <w:rPr>
          <w:noProof/>
        </w:rPr>
        <w:t>„(f) prioritet se daje projektima od zajedničkog interesa koji doprinose uspostavi i uvođenju ili znatnom unapređenju digitalnih kapaciteta, uključujući računalstvo u oblaku, umjetnu inteligenciju i gigatvornice umjetne inteligencije, u skladu s time koliko ti projekti znatno doprinose poboljšanju performansi, otpornosti i sigurnosti prometne, energetske i digitalne infrastrukture ključne za provedbu unutarnjeg tržišta.”;</w:t>
      </w:r>
    </w:p>
    <w:p w:rsidR="00507BEE" w:rsidRPr="00210DAC" w:rsidRDefault="004C06C0" w:rsidP="004C06C0">
      <w:pPr>
        <w:pStyle w:val="Point0"/>
        <w:rPr>
          <w:noProof/>
        </w:rPr>
      </w:pPr>
      <w:r w:rsidRPr="004C06C0">
        <w:rPr>
          <w:noProof/>
        </w:rPr>
        <w:t>(3)</w:t>
      </w:r>
      <w:r w:rsidRPr="004C06C0">
        <w:rPr>
          <w:noProof/>
        </w:rPr>
        <w:tab/>
      </w:r>
      <w:r w:rsidR="00AB08C9" w:rsidRPr="00210DAC">
        <w:rPr>
          <w:noProof/>
        </w:rPr>
        <w:t>u članku 9. stavku 4. dodaje se sljedeća točka (f):</w:t>
      </w:r>
    </w:p>
    <w:p w:rsidR="00507BEE" w:rsidRPr="00210DAC" w:rsidRDefault="00964EFE" w:rsidP="007E6A66">
      <w:pPr>
        <w:pStyle w:val="Point0"/>
        <w:ind w:firstLine="0"/>
        <w:rPr>
          <w:noProof/>
        </w:rPr>
      </w:pPr>
      <w:r w:rsidRPr="00210DAC">
        <w:rPr>
          <w:noProof/>
        </w:rPr>
        <w:t>„(f) djelovanja za potporu uspostavi i uvođenju digitalnih kapaciteta u području računalstva u oblaku, umjetne inteligencije i gigatvornica umjetne inteligencije.”;</w:t>
      </w:r>
    </w:p>
    <w:p w:rsidR="00FC3C42" w:rsidRPr="00210DAC" w:rsidRDefault="004C06C0" w:rsidP="004C06C0">
      <w:pPr>
        <w:pStyle w:val="Point0"/>
        <w:rPr>
          <w:noProof/>
        </w:rPr>
      </w:pPr>
      <w:r w:rsidRPr="004C06C0">
        <w:rPr>
          <w:noProof/>
        </w:rPr>
        <w:t>(4)</w:t>
      </w:r>
      <w:r w:rsidRPr="004C06C0">
        <w:rPr>
          <w:noProof/>
        </w:rPr>
        <w:tab/>
      </w:r>
      <w:r w:rsidR="00CD1CE6" w:rsidRPr="00210DAC">
        <w:rPr>
          <w:noProof/>
        </w:rPr>
        <w:t>u članku 15. stavku 2. dodaje se sljedeća točka (ba):</w:t>
      </w:r>
    </w:p>
    <w:p w:rsidR="00FC3C42" w:rsidRPr="00210DAC" w:rsidRDefault="00FB4AF2" w:rsidP="002E1A7A">
      <w:pPr>
        <w:pStyle w:val="Point0"/>
        <w:ind w:firstLine="0"/>
        <w:rPr>
          <w:noProof/>
        </w:rPr>
      </w:pPr>
      <w:r w:rsidRPr="00210DAC">
        <w:rPr>
          <w:noProof/>
        </w:rPr>
        <w:t>„(ba) podložno prijenosu potrebnih sredstava u Instrument za povezivanje Europe u kontekstu preispitivanja u sredini programskog razdoblja za programe koji primaju potporu iz Europskog fonda za regionalni razvoj i Kohezijskog fonda [dodati pravno upućivanje na Uredbu koja se donese u skladu s COM(2025) 123, 2025/0084 (COD)], u skladu s člankom 4. stavkom 13., na radove koji se odnose na specifične ciljeve iz članka 3. stavka 2. točke (a) podtočke ii. primjenjuju se sljedeći uvjeti:</w:t>
      </w:r>
    </w:p>
    <w:p w:rsidR="002E1A7A" w:rsidRPr="00210DAC" w:rsidRDefault="00AB08C9" w:rsidP="002E1A7A">
      <w:pPr>
        <w:pStyle w:val="Point1"/>
        <w:rPr>
          <w:noProof/>
        </w:rPr>
      </w:pPr>
      <w:r w:rsidRPr="00210DAC">
        <w:rPr>
          <w:noProof/>
        </w:rPr>
        <w:t>i.</w:t>
      </w:r>
      <w:r w:rsidRPr="00210DAC">
        <w:rPr>
          <w:noProof/>
        </w:rPr>
        <w:tab/>
        <w:t>stope sufinanciranja mogu se povećati na najviše 100 %;</w:t>
      </w:r>
    </w:p>
    <w:p w:rsidR="002E1A7A" w:rsidRPr="00210DAC" w:rsidRDefault="00AB08C9" w:rsidP="002E1A7A">
      <w:pPr>
        <w:pStyle w:val="Point1"/>
        <w:rPr>
          <w:noProof/>
        </w:rPr>
      </w:pPr>
      <w:r w:rsidRPr="00210DAC">
        <w:rPr>
          <w:noProof/>
        </w:rPr>
        <w:t>ii.</w:t>
      </w:r>
      <w:r w:rsidRPr="00210DAC">
        <w:rPr>
          <w:noProof/>
        </w:rPr>
        <w:tab/>
        <w:t>za djelovanja se može isplatiti pretfinanciranje od najmanje 30 % iznosa dodijeljenog u sporazumu o dodjeli bespovratnih sredstava;</w:t>
      </w:r>
    </w:p>
    <w:p w:rsidR="00CD1CE6" w:rsidRPr="00210DAC" w:rsidRDefault="00AB08C9" w:rsidP="002E1A7A">
      <w:pPr>
        <w:pStyle w:val="Point1"/>
        <w:rPr>
          <w:noProof/>
        </w:rPr>
      </w:pPr>
      <w:r w:rsidRPr="00210DAC">
        <w:rPr>
          <w:noProof/>
        </w:rPr>
        <w:t>iii.</w:t>
      </w:r>
      <w:r w:rsidRPr="00210DAC">
        <w:rPr>
          <w:noProof/>
        </w:rPr>
        <w:tab/>
        <w:t>djelovanja se provode na najmanje jednom od četiri prioritetna koridora za vojnu mobilnost u EU-u koja su države članice utvrdile u Prilogu II. Vojnim zahtjevima za vojnu mobilnost unutar i izvan Unije, kako ih je Vijeće donijelo [18. ožujka 2025. s upućivanjem na ST 6728/25 ADD1], i u skladu su sa zahtjevima za infrastrukturu iz Provedbene uredbe Komisije (EU) 2021/1328.”</w:t>
      </w:r>
    </w:p>
    <w:p w:rsidR="00C62513" w:rsidRPr="00210DAC" w:rsidRDefault="00C62513" w:rsidP="00C62513">
      <w:pPr>
        <w:pStyle w:val="Titrearticle"/>
        <w:rPr>
          <w:noProof/>
        </w:rPr>
      </w:pPr>
      <w:r w:rsidRPr="00210DAC">
        <w:rPr>
          <w:noProof/>
        </w:rPr>
        <w:t>Članak 5.</w:t>
      </w:r>
    </w:p>
    <w:p w:rsidR="00C62513" w:rsidRPr="00210DAC" w:rsidRDefault="00C62513" w:rsidP="00C62513">
      <w:pPr>
        <w:rPr>
          <w:noProof/>
        </w:rPr>
      </w:pPr>
      <w:r w:rsidRPr="00210DAC">
        <w:rPr>
          <w:noProof/>
        </w:rPr>
        <w:t>Uredba (EU) 2023/1525 [ASAP] mijenja se kako slijedi:</w:t>
      </w:r>
    </w:p>
    <w:p w:rsidR="00C62513" w:rsidRPr="00210DAC" w:rsidRDefault="004C06C0" w:rsidP="004C06C0">
      <w:pPr>
        <w:pStyle w:val="Point0"/>
        <w:rPr>
          <w:noProof/>
        </w:rPr>
      </w:pPr>
      <w:r w:rsidRPr="004C06C0">
        <w:rPr>
          <w:noProof/>
        </w:rPr>
        <w:t>(1)</w:t>
      </w:r>
      <w:r w:rsidRPr="004C06C0">
        <w:rPr>
          <w:noProof/>
        </w:rPr>
        <w:tab/>
      </w:r>
      <w:r w:rsidR="00C62513" w:rsidRPr="00210DAC">
        <w:rPr>
          <w:noProof/>
        </w:rPr>
        <w:t>u članku 6. umeću se sljedeći stavci:</w:t>
      </w:r>
    </w:p>
    <w:p w:rsidR="00C62513" w:rsidRPr="00210DAC" w:rsidRDefault="00C62513" w:rsidP="00C62513">
      <w:pPr>
        <w:pStyle w:val="Point0"/>
        <w:ind w:firstLine="0"/>
        <w:rPr>
          <w:noProof/>
        </w:rPr>
      </w:pPr>
      <w:r w:rsidRPr="00210DAC">
        <w:rPr>
          <w:noProof/>
        </w:rPr>
        <w:t>„3.a Države članice, institucije, tijela i agencije Unije, treće zemlje, međunarodne organizacije, međunarodne financijske institucije ili treće strane mogu dati dodatne financijske ili nefinancijske doprinose Instrumentu. Takvi financijski doprinosi čine vanjske namjenske prihode u smislu članka 21. stavka 2. točaka (a), (d) ili (e) ili članka 21. stavka 5. Financijske uredbe.</w:t>
      </w:r>
    </w:p>
    <w:p w:rsidR="00C62513" w:rsidRPr="00210DAC" w:rsidRDefault="00C62513" w:rsidP="00C62513">
      <w:pPr>
        <w:pStyle w:val="Point0"/>
        <w:ind w:firstLine="0"/>
        <w:rPr>
          <w:noProof/>
        </w:rPr>
      </w:pPr>
      <w:r w:rsidRPr="00210DAC">
        <w:rPr>
          <w:noProof/>
        </w:rPr>
        <w:t>3.b Sredstva dodijeljena državama članicama u okviru podijeljenog upravljanja mogu se na zahtjev dotičnih država članica prenijeti u Instrument pod uvjetima utvrđenima u relevantnim odredbama Uredbe (EU) 2021/1060. Komisija ta sredstva izvršava izravno u skladu s člankom 62. stavkom 1. prvim podstavkom točkom (a) Financijske uredbe ili neizravno u skladu s točkom (c) tog podstavka. Ta se sredstva upotrebljavaju u korist dotične države članice.</w:t>
      </w:r>
    </w:p>
    <w:p w:rsidR="00C62513" w:rsidRPr="00210DAC" w:rsidRDefault="00C62513" w:rsidP="00C62513">
      <w:pPr>
        <w:pStyle w:val="Point0"/>
        <w:ind w:firstLine="0"/>
        <w:rPr>
          <w:noProof/>
        </w:rPr>
      </w:pPr>
      <w:r w:rsidRPr="00210DAC">
        <w:rPr>
          <w:noProof/>
        </w:rPr>
        <w:t>3.c Sredstva prenesena u skladu sa stavkom 3.b ovog članka mogu se, odstupajući od članka 19.c stavka 6. ove Uredbe, upotrijebiti kao doprinos financiranju prihvatljivih djelovanja iz članka 13. ove Uredbe u iznosu do 100 % prihvatljivih troškova.</w:t>
      </w:r>
    </w:p>
    <w:p w:rsidR="00C62513" w:rsidRPr="00210DAC" w:rsidRDefault="00C62513" w:rsidP="00C62513">
      <w:pPr>
        <w:pStyle w:val="Point0"/>
        <w:ind w:firstLine="0"/>
        <w:rPr>
          <w:noProof/>
        </w:rPr>
      </w:pPr>
      <w:r w:rsidRPr="00210DAC">
        <w:rPr>
          <w:noProof/>
        </w:rPr>
        <w:t>3.d Ako Komisija ne preuzme pravnu obvezu u okviru izravnog ili neizravnog upravljanja za sredstva prenesena u skladu sa stavkom 3. ovog članka i najkasnije do 30. rujna 2027., pripadajuća nenamjenska sredstva mogu se na zahtjev dotične države članice prenijeti natrag u jedan ili više odgovarajućih izvornih programa u skladu s uvjetima utvrđenima u relevantnoj odredbi Uredbe o zajedničkim odredbama Uredbe (EU) 2021/1060.”;</w:t>
      </w:r>
    </w:p>
    <w:p w:rsidR="00C62513" w:rsidRPr="00210DAC" w:rsidRDefault="004C06C0" w:rsidP="004C06C0">
      <w:pPr>
        <w:pStyle w:val="Point0"/>
        <w:rPr>
          <w:noProof/>
        </w:rPr>
      </w:pPr>
      <w:r w:rsidRPr="004C06C0">
        <w:rPr>
          <w:noProof/>
        </w:rPr>
        <w:t>(2)</w:t>
      </w:r>
      <w:r w:rsidRPr="004C06C0">
        <w:rPr>
          <w:noProof/>
        </w:rPr>
        <w:tab/>
      </w:r>
      <w:r w:rsidR="00C62513" w:rsidRPr="00210DAC">
        <w:rPr>
          <w:noProof/>
        </w:rPr>
        <w:t>u članku 24. drugi stavak zamjenjuje se sljedećim:</w:t>
      </w:r>
    </w:p>
    <w:p w:rsidR="00C62513" w:rsidRPr="00210DAC" w:rsidRDefault="00C62513" w:rsidP="00C62513">
      <w:pPr>
        <w:pStyle w:val="Point0"/>
        <w:ind w:firstLine="0"/>
        <w:rPr>
          <w:noProof/>
        </w:rPr>
      </w:pPr>
      <w:r w:rsidRPr="00210DAC">
        <w:rPr>
          <w:noProof/>
        </w:rPr>
        <w:t>„Ova Uredba primjenjuje se do 31. prosinca 2026. To ne utječe na nastavak ni na izmjenu djelovanja pokrenutih na temelju ove Uredbe, kao ni na bilo koje djelovanje potrebno za zaštitu financijskih interesa Unije.”</w:t>
      </w:r>
    </w:p>
    <w:p w:rsidR="00C62513" w:rsidRPr="00210DAC" w:rsidRDefault="00C62513" w:rsidP="00C62513">
      <w:pPr>
        <w:pStyle w:val="Titrearticle"/>
        <w:rPr>
          <w:noProof/>
        </w:rPr>
      </w:pPr>
      <w:r w:rsidRPr="00210DAC">
        <w:rPr>
          <w:noProof/>
        </w:rPr>
        <w:t>Članak 6.</w:t>
      </w:r>
    </w:p>
    <w:p w:rsidR="00C62513" w:rsidRPr="00210DAC" w:rsidRDefault="00C62513" w:rsidP="0070434C">
      <w:pPr>
        <w:rPr>
          <w:noProof/>
        </w:rPr>
      </w:pPr>
      <w:r w:rsidRPr="00210DAC">
        <w:rPr>
          <w:noProof/>
        </w:rPr>
        <w:t>U članku 2. stavku 1. točki (a) Uredbe (EU) 2024/795 [Platforma za strateške tehnologije za Europu (STEP)] dodaje se sljedeća točka:</w:t>
      </w:r>
    </w:p>
    <w:p w:rsidR="00C62513" w:rsidRPr="00210DAC" w:rsidRDefault="00C62513" w:rsidP="00C62513">
      <w:pPr>
        <w:pStyle w:val="Text1"/>
        <w:rPr>
          <w:noProof/>
        </w:rPr>
      </w:pPr>
      <w:r w:rsidRPr="00210DAC">
        <w:rPr>
          <w:noProof/>
        </w:rPr>
        <w:t>„iv.</w:t>
      </w:r>
      <w:r w:rsidRPr="00210DAC">
        <w:rPr>
          <w:noProof/>
        </w:rPr>
        <w:tab/>
        <w:t>obrambene tehnologije;”.</w:t>
      </w:r>
    </w:p>
    <w:p w:rsidR="003F4F48" w:rsidRPr="00210DAC" w:rsidRDefault="003F4F48">
      <w:pPr>
        <w:pStyle w:val="Titrearticle"/>
        <w:rPr>
          <w:noProof/>
        </w:rPr>
      </w:pPr>
      <w:r w:rsidRPr="00210DAC">
        <w:rPr>
          <w:noProof/>
        </w:rPr>
        <w:t>Članak 7.</w:t>
      </w:r>
    </w:p>
    <w:p w:rsidR="003F4F48" w:rsidRPr="00210DAC" w:rsidRDefault="003F4F48">
      <w:pPr>
        <w:rPr>
          <w:noProof/>
        </w:rPr>
      </w:pPr>
      <w:r w:rsidRPr="00210DAC">
        <w:rPr>
          <w:noProof/>
        </w:rPr>
        <w:t xml:space="preserve">Ova Uredba stupa na snagu sljedećeg dana od dana objave u </w:t>
      </w:r>
      <w:r w:rsidRPr="00210DAC">
        <w:rPr>
          <w:i/>
          <w:iCs/>
          <w:noProof/>
        </w:rPr>
        <w:t>Službenom listu Europske unije</w:t>
      </w:r>
      <w:r w:rsidRPr="00210DAC">
        <w:rPr>
          <w:noProof/>
        </w:rPr>
        <w:t>.</w:t>
      </w:r>
    </w:p>
    <w:p w:rsidR="003F4F48" w:rsidRPr="00210DAC" w:rsidRDefault="003F4F48">
      <w:pPr>
        <w:pStyle w:val="Applicationdirecte"/>
        <w:rPr>
          <w:noProof/>
        </w:rPr>
      </w:pPr>
      <w:r w:rsidRPr="00210DAC">
        <w:rPr>
          <w:noProof/>
        </w:rPr>
        <w:t>Ova je Uredba u cijelosti obvezujuća i izravno se primjenjuje u državama članicama u skladu s Ugovorima.</w:t>
      </w:r>
    </w:p>
    <w:p w:rsidR="003F4F48" w:rsidRPr="00210DAC" w:rsidRDefault="00210DAC" w:rsidP="00DD1CB0">
      <w:pPr>
        <w:pStyle w:val="Fait"/>
        <w:rPr>
          <w:noProof/>
        </w:rPr>
      </w:pPr>
      <w:r>
        <w:rPr>
          <w:noProof/>
        </w:rPr>
        <w:t>Sastavljeno u Bruxellesu,</w:t>
      </w:r>
    </w:p>
    <w:p w:rsidR="003F4F48" w:rsidRPr="00210DAC" w:rsidRDefault="003F4F48" w:rsidP="00DD1CB0">
      <w:pPr>
        <w:pStyle w:val="Institutionquisigne"/>
        <w:rPr>
          <w:noProof/>
        </w:rPr>
      </w:pPr>
      <w:r w:rsidRPr="00210DAC">
        <w:rPr>
          <w:noProof/>
        </w:rPr>
        <w:t>Za Europski parlament</w:t>
      </w:r>
      <w:r w:rsidRPr="00210DAC">
        <w:rPr>
          <w:noProof/>
        </w:rPr>
        <w:tab/>
        <w:t>Za Vijeće</w:t>
      </w:r>
    </w:p>
    <w:p w:rsidR="003F4F48" w:rsidRPr="00210DAC" w:rsidRDefault="003F4F48" w:rsidP="003F4F48">
      <w:pPr>
        <w:pStyle w:val="Personnequisigne"/>
        <w:rPr>
          <w:noProof/>
        </w:rPr>
      </w:pPr>
      <w:r w:rsidRPr="00210DAC">
        <w:rPr>
          <w:noProof/>
        </w:rPr>
        <w:t>Predsjednica</w:t>
      </w:r>
      <w:r w:rsidRPr="00210DAC">
        <w:rPr>
          <w:noProof/>
        </w:rPr>
        <w:tab/>
        <w:t>Predsjednik</w:t>
      </w:r>
    </w:p>
    <w:p w:rsidR="003F4F48" w:rsidRPr="00210DAC" w:rsidRDefault="003F4F48" w:rsidP="003F4F48">
      <w:pPr>
        <w:rPr>
          <w:noProof/>
        </w:rPr>
        <w:sectPr w:rsidR="003F4F48" w:rsidRPr="00210DAC" w:rsidSect="005F779D">
          <w:pgSz w:w="11907" w:h="16839"/>
          <w:pgMar w:top="1134" w:right="1417" w:bottom="1134" w:left="1417" w:header="709" w:footer="709" w:gutter="0"/>
          <w:cols w:space="708"/>
          <w:docGrid w:linePitch="360"/>
        </w:sectPr>
      </w:pPr>
    </w:p>
    <w:p w:rsidR="003F4F48" w:rsidRPr="00210DAC" w:rsidRDefault="003F4F48" w:rsidP="00717136">
      <w:pPr>
        <w:pStyle w:val="Fichefinanciretitre"/>
        <w:keepNext/>
        <w:rPr>
          <w:noProof/>
          <w:color w:val="008000"/>
        </w:rPr>
      </w:pPr>
    </w:p>
    <w:p w:rsidR="00717136" w:rsidRPr="00210DAC" w:rsidRDefault="00717136" w:rsidP="00717136">
      <w:pPr>
        <w:keepNext/>
        <w:jc w:val="center"/>
        <w:rPr>
          <w:b/>
          <w:noProof/>
          <w:u w:val="single"/>
        </w:rPr>
      </w:pPr>
      <w:r w:rsidRPr="00210DAC">
        <w:rPr>
          <w:b/>
          <w:noProof/>
          <w:u w:val="single"/>
        </w:rPr>
        <w:t>IZVJEŠTAJ O FINANCIJSKIM I DIGITALNIM ASPEKTIMA ZAKONODAVNOG PRIJEDLOGA</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w:t>
      </w:r>
      <w:r w:rsidRPr="00210DAC">
        <w:rPr>
          <w:rFonts w:asciiTheme="minorHAnsi" w:hAnsiTheme="minorHAnsi"/>
          <w:noProof/>
          <w:sz w:val="22"/>
        </w:rPr>
        <w:tab/>
      </w:r>
      <w:r w:rsidRPr="00210DAC">
        <w:rPr>
          <w:noProof/>
        </w:rPr>
        <w:t>OKVIR PRIJEDLOGA/INICIJATIVE</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1.1.</w:t>
      </w:r>
      <w:r w:rsidRPr="00210DAC">
        <w:rPr>
          <w:rFonts w:asciiTheme="minorHAnsi" w:hAnsiTheme="minorHAnsi"/>
          <w:noProof/>
          <w:sz w:val="22"/>
        </w:rPr>
        <w:tab/>
      </w:r>
      <w:r w:rsidRPr="00210DAC">
        <w:rPr>
          <w:noProof/>
        </w:rPr>
        <w:t>Naslov prijedloga/inicijative</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1.2.</w:t>
      </w:r>
      <w:r w:rsidRPr="00210DAC">
        <w:rPr>
          <w:rFonts w:asciiTheme="minorHAnsi" w:hAnsiTheme="minorHAnsi"/>
          <w:noProof/>
          <w:sz w:val="22"/>
        </w:rPr>
        <w:tab/>
      </w:r>
      <w:r w:rsidRPr="00210DAC">
        <w:rPr>
          <w:noProof/>
        </w:rPr>
        <w:t>Predmetna područja politike</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1.3.</w:t>
      </w:r>
      <w:r w:rsidRPr="00210DAC">
        <w:rPr>
          <w:rFonts w:asciiTheme="minorHAnsi" w:hAnsiTheme="minorHAnsi"/>
          <w:noProof/>
          <w:sz w:val="22"/>
        </w:rPr>
        <w:tab/>
      </w:r>
      <w:r w:rsidRPr="00210DAC">
        <w:rPr>
          <w:noProof/>
        </w:rPr>
        <w:t>Ciljevi</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1.3.1.</w:t>
      </w:r>
      <w:r w:rsidRPr="00210DAC">
        <w:rPr>
          <w:rFonts w:asciiTheme="minorHAnsi" w:hAnsiTheme="minorHAnsi"/>
          <w:noProof/>
          <w:sz w:val="22"/>
        </w:rPr>
        <w:tab/>
      </w:r>
      <w:r w:rsidRPr="00210DAC">
        <w:rPr>
          <w:noProof/>
        </w:rPr>
        <w:t>Opći ciljevi</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1.3.2.</w:t>
      </w:r>
      <w:r w:rsidRPr="00210DAC">
        <w:rPr>
          <w:rFonts w:asciiTheme="minorHAnsi" w:hAnsiTheme="minorHAnsi"/>
          <w:noProof/>
          <w:sz w:val="22"/>
        </w:rPr>
        <w:tab/>
      </w:r>
      <w:r w:rsidRPr="00210DAC">
        <w:rPr>
          <w:noProof/>
        </w:rPr>
        <w:t>Specifični ciljevi</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1.3.3.</w:t>
      </w:r>
      <w:r w:rsidRPr="00210DAC">
        <w:rPr>
          <w:rFonts w:asciiTheme="minorHAnsi" w:hAnsiTheme="minorHAnsi"/>
          <w:noProof/>
          <w:sz w:val="22"/>
        </w:rPr>
        <w:tab/>
      </w:r>
      <w:r w:rsidRPr="00210DAC">
        <w:rPr>
          <w:noProof/>
        </w:rPr>
        <w:t>Očekivani rezultati i učinak</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1.3.4.</w:t>
      </w:r>
      <w:r w:rsidRPr="00210DAC">
        <w:rPr>
          <w:rFonts w:asciiTheme="minorHAnsi" w:hAnsiTheme="minorHAnsi"/>
          <w:noProof/>
          <w:sz w:val="22"/>
        </w:rPr>
        <w:tab/>
      </w:r>
      <w:r w:rsidRPr="00210DAC">
        <w:rPr>
          <w:noProof/>
        </w:rPr>
        <w:t>Pokazatelji uspješnosti</w:t>
      </w:r>
      <w:r w:rsidRPr="00210DAC">
        <w:rPr>
          <w:noProof/>
          <w:webHidden/>
        </w:rPr>
        <w:tab/>
        <w:t>3</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1.4.</w:t>
      </w:r>
      <w:r w:rsidRPr="00210DAC">
        <w:rPr>
          <w:rFonts w:asciiTheme="minorHAnsi" w:hAnsiTheme="minorHAnsi"/>
          <w:noProof/>
          <w:sz w:val="22"/>
        </w:rPr>
        <w:tab/>
      </w:r>
      <w:r w:rsidRPr="00210DAC">
        <w:rPr>
          <w:noProof/>
        </w:rPr>
        <w:t>Prijedlog/inicijativa odnosi se na:</w:t>
      </w:r>
      <w:r w:rsidRPr="00210DAC">
        <w:rPr>
          <w:noProof/>
          <w:webHidden/>
        </w:rPr>
        <w:tab/>
        <w:t>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1.5.</w:t>
      </w:r>
      <w:r w:rsidRPr="00210DAC">
        <w:rPr>
          <w:rFonts w:asciiTheme="minorHAnsi" w:hAnsiTheme="minorHAnsi"/>
          <w:noProof/>
          <w:sz w:val="22"/>
        </w:rPr>
        <w:tab/>
      </w:r>
      <w:r w:rsidRPr="00210DAC">
        <w:rPr>
          <w:noProof/>
        </w:rPr>
        <w:t>Obrazloženje prijedloga/inicijative</w:t>
      </w:r>
      <w:r w:rsidRPr="00210DAC">
        <w:rPr>
          <w:noProof/>
          <w:webHidden/>
        </w:rPr>
        <w:tab/>
        <w:t>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1.5.1.</w:t>
      </w:r>
      <w:r w:rsidRPr="00210DAC">
        <w:rPr>
          <w:rFonts w:asciiTheme="minorHAnsi" w:hAnsiTheme="minorHAnsi"/>
          <w:noProof/>
          <w:sz w:val="22"/>
        </w:rPr>
        <w:tab/>
      </w:r>
      <w:r w:rsidRPr="00210DAC">
        <w:rPr>
          <w:noProof/>
        </w:rPr>
        <w:t>Potrebe koje treba zadovoljiti kratkoročno ili dugoročno, uključujući detaljan vremenski okvir provedbe inicijative</w:t>
      </w:r>
      <w:r w:rsidRPr="00210DAC">
        <w:rPr>
          <w:noProof/>
          <w:webHidden/>
        </w:rPr>
        <w:tab/>
        <w:t>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1.5.2.</w:t>
      </w:r>
      <w:r w:rsidRPr="00210DAC">
        <w:rPr>
          <w:rFonts w:asciiTheme="minorHAnsi" w:hAnsiTheme="minorHAnsi"/>
          <w:noProof/>
          <w:sz w:val="22"/>
        </w:rPr>
        <w:tab/>
      </w:r>
      <w:r w:rsidRPr="00210DAC">
        <w:rPr>
          <w:noProof/>
        </w:rPr>
        <w:t>Dodana vrijednost sudjelovanja EU-a (može proizlaziti iz različitih čimbenika, npr. prednosti koordinacije, pravne sigurnosti, veće djelotvornosti ili komplementarnosti). Za potrebe ovog odjeljka „dodana vrijednost sudjelovanja EU-a” je vrijednost koja proizlazi iz djelovanja EU-a i dodatna je u odnosu na vrijednost koju bi države članice inače ostvarile same.</w:t>
      </w:r>
      <w:r w:rsidRPr="00210DAC">
        <w:rPr>
          <w:noProof/>
          <w:webHidden/>
        </w:rPr>
        <w:tab/>
        <w:t>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1.5.3.</w:t>
      </w:r>
      <w:r w:rsidRPr="00210DAC">
        <w:rPr>
          <w:rFonts w:asciiTheme="minorHAnsi" w:hAnsiTheme="minorHAnsi"/>
          <w:noProof/>
          <w:sz w:val="22"/>
        </w:rPr>
        <w:tab/>
      </w:r>
      <w:r w:rsidRPr="00210DAC">
        <w:rPr>
          <w:noProof/>
        </w:rPr>
        <w:t>Pouke iz prijašnjih sličnih iskustava</w:t>
      </w:r>
      <w:r w:rsidRPr="00210DAC">
        <w:rPr>
          <w:noProof/>
          <w:webHidden/>
        </w:rPr>
        <w:tab/>
        <w:t>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1.5.4.</w:t>
      </w:r>
      <w:r w:rsidRPr="00210DAC">
        <w:rPr>
          <w:rFonts w:asciiTheme="minorHAnsi" w:hAnsiTheme="minorHAnsi"/>
          <w:noProof/>
          <w:sz w:val="22"/>
        </w:rPr>
        <w:tab/>
      </w:r>
      <w:r w:rsidRPr="00210DAC">
        <w:rPr>
          <w:noProof/>
        </w:rPr>
        <w:t>Usklađenost s višegodišnjim financijskim okvirom i moguće sinergije s drugim prikladnim instrumentima</w:t>
      </w:r>
      <w:r w:rsidRPr="00210DAC">
        <w:rPr>
          <w:noProof/>
          <w:webHidden/>
        </w:rPr>
        <w:tab/>
        <w:t>5</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1.5.5.</w:t>
      </w:r>
      <w:r w:rsidRPr="00210DAC">
        <w:rPr>
          <w:rFonts w:asciiTheme="minorHAnsi" w:hAnsiTheme="minorHAnsi"/>
          <w:noProof/>
          <w:sz w:val="22"/>
        </w:rPr>
        <w:tab/>
      </w:r>
      <w:r w:rsidRPr="00210DAC">
        <w:rPr>
          <w:noProof/>
        </w:rPr>
        <w:t>Ocjena različitih dostupnih mogućnosti financiranja, uključujući mogućnost preraspodjele</w:t>
      </w:r>
      <w:r w:rsidRPr="00210DAC">
        <w:rPr>
          <w:noProof/>
          <w:webHidden/>
        </w:rPr>
        <w:tab/>
        <w:t>5</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1.6.</w:t>
      </w:r>
      <w:r w:rsidRPr="00210DAC">
        <w:rPr>
          <w:rFonts w:asciiTheme="minorHAnsi" w:hAnsiTheme="minorHAnsi"/>
          <w:noProof/>
          <w:sz w:val="22"/>
        </w:rPr>
        <w:tab/>
      </w:r>
      <w:r w:rsidRPr="00210DAC">
        <w:rPr>
          <w:noProof/>
        </w:rPr>
        <w:t>Trajanje prijedloga/inicijative i njegova/njezina financijskog učinka</w:t>
      </w:r>
      <w:r w:rsidRPr="00210DAC">
        <w:rPr>
          <w:noProof/>
          <w:webHidden/>
        </w:rPr>
        <w:tab/>
        <w:t>6</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1.7.</w:t>
      </w:r>
      <w:r w:rsidRPr="00210DAC">
        <w:rPr>
          <w:rFonts w:asciiTheme="minorHAnsi" w:hAnsiTheme="minorHAnsi"/>
          <w:noProof/>
          <w:sz w:val="22"/>
        </w:rPr>
        <w:tab/>
      </w:r>
      <w:r w:rsidRPr="00210DAC">
        <w:rPr>
          <w:noProof/>
        </w:rPr>
        <w:t>Planirani načini izvršenja proračuna</w:t>
      </w:r>
      <w:r w:rsidRPr="00210DAC">
        <w:rPr>
          <w:noProof/>
          <w:webHidden/>
        </w:rPr>
        <w:tab/>
        <w:t>6</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w:t>
      </w:r>
      <w:r w:rsidRPr="00210DAC">
        <w:rPr>
          <w:rFonts w:asciiTheme="minorHAnsi" w:hAnsiTheme="minorHAnsi"/>
          <w:noProof/>
          <w:sz w:val="22"/>
        </w:rPr>
        <w:tab/>
      </w:r>
      <w:r w:rsidRPr="00210DAC">
        <w:rPr>
          <w:noProof/>
        </w:rPr>
        <w:t>MJERE UPRAVLJANJA</w:t>
      </w:r>
      <w:r w:rsidRPr="00210DAC">
        <w:rPr>
          <w:noProof/>
          <w:webHidden/>
        </w:rPr>
        <w:tab/>
        <w:t>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2.1.</w:t>
      </w:r>
      <w:r w:rsidRPr="00210DAC">
        <w:rPr>
          <w:rFonts w:asciiTheme="minorHAnsi" w:hAnsiTheme="minorHAnsi"/>
          <w:noProof/>
          <w:sz w:val="22"/>
        </w:rPr>
        <w:tab/>
      </w:r>
      <w:r w:rsidRPr="00210DAC">
        <w:rPr>
          <w:noProof/>
        </w:rPr>
        <w:t>Pravila praćenja i izvješćivanja</w:t>
      </w:r>
      <w:r w:rsidRPr="00210DAC">
        <w:rPr>
          <w:noProof/>
          <w:webHidden/>
        </w:rPr>
        <w:tab/>
        <w:t>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2.2.</w:t>
      </w:r>
      <w:r w:rsidRPr="00210DAC">
        <w:rPr>
          <w:rFonts w:asciiTheme="minorHAnsi" w:hAnsiTheme="minorHAnsi"/>
          <w:noProof/>
          <w:sz w:val="22"/>
        </w:rPr>
        <w:tab/>
      </w:r>
      <w:r w:rsidRPr="00210DAC">
        <w:rPr>
          <w:noProof/>
        </w:rPr>
        <w:t>Sustavi upravljanja i kontrole</w:t>
      </w:r>
      <w:r w:rsidRPr="00210DAC">
        <w:rPr>
          <w:noProof/>
          <w:webHidden/>
        </w:rPr>
        <w:tab/>
        <w:t>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2.2.1.</w:t>
      </w:r>
      <w:r w:rsidRPr="00210DAC">
        <w:rPr>
          <w:rFonts w:asciiTheme="minorHAnsi" w:hAnsiTheme="minorHAnsi"/>
          <w:noProof/>
          <w:sz w:val="22"/>
        </w:rPr>
        <w:tab/>
      </w:r>
      <w:r w:rsidRPr="00210DAC">
        <w:rPr>
          <w:noProof/>
        </w:rPr>
        <w:t>Obrazloženje načina izvršenja proračuna, mehanizama provedbe financiranja, načina plaćanja i predložene strategije kontrole</w:t>
      </w:r>
      <w:r w:rsidRPr="00210DAC">
        <w:rPr>
          <w:noProof/>
          <w:webHidden/>
        </w:rPr>
        <w:tab/>
        <w:t>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2.2.2.</w:t>
      </w:r>
      <w:r w:rsidRPr="00210DAC">
        <w:rPr>
          <w:rFonts w:asciiTheme="minorHAnsi" w:hAnsiTheme="minorHAnsi"/>
          <w:noProof/>
          <w:sz w:val="22"/>
        </w:rPr>
        <w:tab/>
      </w:r>
      <w:r w:rsidRPr="00210DAC">
        <w:rPr>
          <w:noProof/>
        </w:rPr>
        <w:t>Informacije o utvrđenim rizicima i sustavima unutarnje kontrole uspostavljenima za njihovo smanjenje</w:t>
      </w:r>
      <w:r w:rsidRPr="00210DAC">
        <w:rPr>
          <w:noProof/>
          <w:webHidden/>
        </w:rPr>
        <w:tab/>
        <w:t>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2.2.3.</w:t>
      </w:r>
      <w:r w:rsidRPr="00210DAC">
        <w:rPr>
          <w:rFonts w:asciiTheme="minorHAnsi" w:hAnsiTheme="minorHAnsi"/>
          <w:noProof/>
          <w:sz w:val="22"/>
        </w:rPr>
        <w:tab/>
      </w:r>
      <w:r w:rsidRPr="00210DAC">
        <w:rPr>
          <w:noProof/>
        </w:rPr>
        <w:t>Procjena i obrazloženje troškovne učinkovitosti kontrola (omjer troškova kontrola i vrijednosti sredstava kojima se upravlja) i procjena očekivane razine rizika od pogreške (pri plaćanju i pri zaključenju)</w:t>
      </w:r>
      <w:r w:rsidRPr="00210DAC">
        <w:rPr>
          <w:noProof/>
          <w:webHidden/>
        </w:rPr>
        <w:tab/>
        <w:t>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2.3.</w:t>
      </w:r>
      <w:r w:rsidRPr="00210DAC">
        <w:rPr>
          <w:rFonts w:asciiTheme="minorHAnsi" w:hAnsiTheme="minorHAnsi"/>
          <w:noProof/>
          <w:sz w:val="22"/>
        </w:rPr>
        <w:tab/>
      </w:r>
      <w:r w:rsidRPr="00210DAC">
        <w:rPr>
          <w:noProof/>
        </w:rPr>
        <w:t>Mjere za sprečavanje prijevara i nepravilnosti</w:t>
      </w:r>
      <w:r w:rsidRPr="00210DAC">
        <w:rPr>
          <w:noProof/>
          <w:webHidden/>
        </w:rPr>
        <w:tab/>
        <w:t>9</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w:t>
      </w:r>
      <w:r w:rsidRPr="00210DAC">
        <w:rPr>
          <w:rFonts w:asciiTheme="minorHAnsi" w:hAnsiTheme="minorHAnsi"/>
          <w:noProof/>
          <w:sz w:val="22"/>
        </w:rPr>
        <w:tab/>
      </w:r>
      <w:r w:rsidRPr="00210DAC">
        <w:rPr>
          <w:noProof/>
        </w:rPr>
        <w:t>PROCIJENJENI FINANCIJSKI UČINAK PRIJEDLOGA/INICIJATIVE</w:t>
      </w:r>
      <w:r w:rsidRPr="00210DAC">
        <w:rPr>
          <w:noProof/>
          <w:webHidden/>
        </w:rPr>
        <w:tab/>
        <w:t>10</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3.1.</w:t>
      </w:r>
      <w:r w:rsidRPr="00210DAC">
        <w:rPr>
          <w:rFonts w:asciiTheme="minorHAnsi" w:hAnsiTheme="minorHAnsi"/>
          <w:noProof/>
          <w:sz w:val="22"/>
        </w:rPr>
        <w:tab/>
      </w:r>
      <w:r w:rsidRPr="00210DAC">
        <w:rPr>
          <w:noProof/>
        </w:rPr>
        <w:t>Naslovi višegodišnjeg financijskog okvira i proračunske linije rashoda na koje prijedlog/inicijativa ima učinak</w:t>
      </w:r>
      <w:r w:rsidRPr="00210DAC">
        <w:rPr>
          <w:noProof/>
          <w:webHidden/>
        </w:rPr>
        <w:tab/>
        <w:t>10</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w:t>
      </w:r>
      <w:r w:rsidRPr="00210DAC">
        <w:rPr>
          <w:rFonts w:asciiTheme="minorHAnsi" w:hAnsiTheme="minorHAnsi"/>
          <w:noProof/>
          <w:sz w:val="22"/>
        </w:rPr>
        <w:tab/>
      </w:r>
      <w:r w:rsidRPr="00210DAC">
        <w:rPr>
          <w:noProof/>
        </w:rPr>
        <w:t>Procijenjeni financijski učinak prijedloga na odobrena sredstva</w:t>
      </w:r>
      <w:r w:rsidRPr="00210DAC">
        <w:rPr>
          <w:noProof/>
          <w:webHidden/>
        </w:rPr>
        <w:tab/>
        <w:t>12</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3.2.1.</w:t>
      </w:r>
      <w:r w:rsidRPr="00210DAC">
        <w:rPr>
          <w:rFonts w:asciiTheme="minorHAnsi" w:hAnsiTheme="minorHAnsi"/>
          <w:noProof/>
          <w:sz w:val="22"/>
        </w:rPr>
        <w:tab/>
      </w:r>
      <w:r w:rsidRPr="00210DAC">
        <w:rPr>
          <w:noProof/>
        </w:rPr>
        <w:t>Sažetak procijenjenog učinka na odobrena sredstva za poslovanje</w:t>
      </w:r>
      <w:r w:rsidRPr="00210DAC">
        <w:rPr>
          <w:noProof/>
          <w:webHidden/>
        </w:rPr>
        <w:tab/>
        <w:t>12</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3.2.1.1.</w:t>
      </w:r>
      <w:r w:rsidRPr="00210DAC">
        <w:rPr>
          <w:rFonts w:asciiTheme="minorHAnsi" w:hAnsiTheme="minorHAnsi"/>
          <w:noProof/>
          <w:sz w:val="22"/>
        </w:rPr>
        <w:tab/>
      </w:r>
      <w:r w:rsidRPr="00210DAC">
        <w:rPr>
          <w:noProof/>
        </w:rPr>
        <w:t>Odobrena sredstva iz izglasanog proračuna</w:t>
      </w:r>
      <w:r w:rsidRPr="00210DAC">
        <w:rPr>
          <w:noProof/>
          <w:webHidden/>
        </w:rPr>
        <w:tab/>
        <w:t>12</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3.2.1.2.</w:t>
      </w:r>
      <w:r w:rsidRPr="00210DAC">
        <w:rPr>
          <w:rFonts w:asciiTheme="minorHAnsi" w:hAnsiTheme="minorHAnsi"/>
          <w:noProof/>
          <w:sz w:val="22"/>
        </w:rPr>
        <w:tab/>
      </w:r>
      <w:r w:rsidRPr="00210DAC">
        <w:rPr>
          <w:noProof/>
        </w:rPr>
        <w:t>Odobrena sredstva iz vanjskih namjenskih prihoda</w:t>
      </w:r>
      <w:r w:rsidRPr="00210DAC">
        <w:rPr>
          <w:noProof/>
          <w:webHidden/>
        </w:rPr>
        <w:tab/>
        <w:t>17</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3.2.2.</w:t>
      </w:r>
      <w:r w:rsidRPr="00210DAC">
        <w:rPr>
          <w:rFonts w:asciiTheme="minorHAnsi" w:hAnsiTheme="minorHAnsi"/>
          <w:noProof/>
          <w:sz w:val="22"/>
        </w:rPr>
        <w:tab/>
      </w:r>
      <w:r w:rsidRPr="00210DAC">
        <w:rPr>
          <w:noProof/>
        </w:rPr>
        <w:t>Procijenjena ostvarenja financirana odobrenim sredstvima za poslovanje</w:t>
      </w:r>
      <w:r w:rsidRPr="00210DAC">
        <w:rPr>
          <w:noProof/>
          <w:webHidden/>
        </w:rPr>
        <w:tab/>
        <w:t>22</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3.2.3.</w:t>
      </w:r>
      <w:r w:rsidRPr="00210DAC">
        <w:rPr>
          <w:rFonts w:asciiTheme="minorHAnsi" w:hAnsiTheme="minorHAnsi"/>
          <w:noProof/>
          <w:sz w:val="22"/>
        </w:rPr>
        <w:tab/>
      </w:r>
      <w:r w:rsidRPr="00210DAC">
        <w:rPr>
          <w:noProof/>
        </w:rPr>
        <w:t>Sažetak procijenjenog učinka na administrativna odobrena sredstva</w:t>
      </w:r>
      <w:r w:rsidRPr="00210DAC">
        <w:rPr>
          <w:noProof/>
          <w:webHidden/>
        </w:rPr>
        <w:tab/>
        <w:t>24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3.2.3.1. Odobrena sredstva iz izglasanog proračuna</w:t>
      </w:r>
      <w:r w:rsidRPr="00210DAC">
        <w:rPr>
          <w:noProof/>
          <w:webHidden/>
        </w:rPr>
        <w:tab/>
        <w:t>24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3.2.3.2.</w:t>
      </w:r>
      <w:r w:rsidRPr="00210DAC">
        <w:rPr>
          <w:rFonts w:asciiTheme="minorHAnsi" w:hAnsiTheme="minorHAnsi"/>
          <w:noProof/>
          <w:sz w:val="22"/>
        </w:rPr>
        <w:tab/>
      </w:r>
      <w:r w:rsidRPr="00210DAC">
        <w:rPr>
          <w:noProof/>
        </w:rPr>
        <w:t>Odobrena sredstva iz vanjskih namjenskih prihoda</w:t>
      </w:r>
      <w:r w:rsidRPr="00210DAC">
        <w:rPr>
          <w:noProof/>
          <w:webHidden/>
        </w:rPr>
        <w:tab/>
        <w:t>24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3.2.3.3.</w:t>
      </w:r>
      <w:r w:rsidRPr="00210DAC">
        <w:rPr>
          <w:rFonts w:asciiTheme="minorHAnsi" w:hAnsiTheme="minorHAnsi"/>
          <w:noProof/>
          <w:sz w:val="22"/>
        </w:rPr>
        <w:tab/>
      </w:r>
      <w:r w:rsidRPr="00210DAC">
        <w:rPr>
          <w:noProof/>
        </w:rPr>
        <w:t>Ukupna odobrena sredstva</w:t>
      </w:r>
      <w:r w:rsidRPr="00210DAC">
        <w:rPr>
          <w:noProof/>
          <w:webHidden/>
        </w:rPr>
        <w:tab/>
        <w:t>24</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3.2.4.</w:t>
      </w:r>
      <w:r w:rsidRPr="00210DAC">
        <w:rPr>
          <w:rFonts w:asciiTheme="minorHAnsi" w:hAnsiTheme="minorHAnsi"/>
          <w:noProof/>
          <w:sz w:val="22"/>
        </w:rPr>
        <w:tab/>
      </w:r>
      <w:r w:rsidRPr="00210DAC">
        <w:rPr>
          <w:noProof/>
        </w:rPr>
        <w:t>Procijenjene potrebe za ljudskim resursima</w:t>
      </w:r>
      <w:r w:rsidRPr="00210DAC">
        <w:rPr>
          <w:noProof/>
          <w:webHidden/>
        </w:rPr>
        <w:tab/>
        <w:t>25</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3.2.4.1.</w:t>
      </w:r>
      <w:r w:rsidRPr="00210DAC">
        <w:rPr>
          <w:rFonts w:asciiTheme="minorHAnsi" w:hAnsiTheme="minorHAnsi"/>
          <w:noProof/>
          <w:sz w:val="22"/>
        </w:rPr>
        <w:tab/>
      </w:r>
      <w:r w:rsidRPr="00210DAC">
        <w:rPr>
          <w:noProof/>
        </w:rPr>
        <w:t>Financirano iz izglasanog proračuna</w:t>
      </w:r>
      <w:r w:rsidRPr="00210DAC">
        <w:rPr>
          <w:noProof/>
          <w:webHidden/>
        </w:rPr>
        <w:tab/>
        <w:t>25</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3.2.4.2.</w:t>
      </w:r>
      <w:r w:rsidRPr="00210DAC">
        <w:rPr>
          <w:rFonts w:asciiTheme="minorHAnsi" w:hAnsiTheme="minorHAnsi"/>
          <w:noProof/>
          <w:sz w:val="22"/>
        </w:rPr>
        <w:tab/>
      </w:r>
      <w:r w:rsidRPr="00210DAC">
        <w:rPr>
          <w:noProof/>
        </w:rPr>
        <w:t>Financirano iz vanjskih namjenskih prihoda</w:t>
      </w:r>
      <w:r w:rsidRPr="00210DAC">
        <w:rPr>
          <w:noProof/>
          <w:webHidden/>
        </w:rPr>
        <w:tab/>
        <w:t>26</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3.2.4.3.</w:t>
      </w:r>
      <w:r w:rsidRPr="00210DAC">
        <w:rPr>
          <w:rFonts w:asciiTheme="minorHAnsi" w:hAnsiTheme="minorHAnsi"/>
          <w:noProof/>
          <w:sz w:val="22"/>
        </w:rPr>
        <w:tab/>
      </w:r>
      <w:r w:rsidRPr="00210DAC">
        <w:rPr>
          <w:noProof/>
        </w:rPr>
        <w:t>Ukupne potrebe za ljudskim resursima</w:t>
      </w:r>
      <w:r w:rsidRPr="00210DAC">
        <w:rPr>
          <w:noProof/>
          <w:webHidden/>
        </w:rPr>
        <w:tab/>
        <w:t>26</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3.2.5.</w:t>
      </w:r>
      <w:r w:rsidRPr="00210DAC">
        <w:rPr>
          <w:rFonts w:asciiTheme="minorHAnsi" w:hAnsiTheme="minorHAnsi"/>
          <w:noProof/>
          <w:sz w:val="22"/>
        </w:rPr>
        <w:tab/>
      </w:r>
      <w:r w:rsidRPr="00210DAC">
        <w:rPr>
          <w:noProof/>
        </w:rPr>
        <w:t>Pregled procijenjenog učinka na ulaganja povezana s digitalnom tehnologijom</w:t>
      </w:r>
      <w:r w:rsidRPr="00210DAC">
        <w:rPr>
          <w:noProof/>
          <w:webHidden/>
        </w:rPr>
        <w:tab/>
        <w:t>28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3.2.6.</w:t>
      </w:r>
      <w:r w:rsidRPr="00210DAC">
        <w:rPr>
          <w:rFonts w:asciiTheme="minorHAnsi" w:hAnsiTheme="minorHAnsi"/>
          <w:noProof/>
          <w:sz w:val="22"/>
        </w:rPr>
        <w:tab/>
      </w:r>
      <w:r w:rsidRPr="00210DAC">
        <w:rPr>
          <w:noProof/>
        </w:rPr>
        <w:t>Usklađenost s aktualnim višegodišnjim financijskim okvirom</w:t>
      </w:r>
      <w:r w:rsidRPr="00210DAC">
        <w:rPr>
          <w:noProof/>
          <w:webHidden/>
        </w:rPr>
        <w:tab/>
        <w:t>28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3.2.7.</w:t>
      </w:r>
      <w:r w:rsidRPr="00210DAC">
        <w:rPr>
          <w:rFonts w:asciiTheme="minorHAnsi" w:hAnsiTheme="minorHAnsi"/>
          <w:noProof/>
          <w:sz w:val="22"/>
        </w:rPr>
        <w:tab/>
      </w:r>
      <w:r w:rsidRPr="00210DAC">
        <w:rPr>
          <w:noProof/>
        </w:rPr>
        <w:t>Doprinos trećih strana</w:t>
      </w:r>
      <w:r w:rsidRPr="00210DAC">
        <w:rPr>
          <w:noProof/>
          <w:webHidden/>
        </w:rPr>
        <w:tab/>
        <w:t>28</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3.3.</w:t>
      </w:r>
      <w:r w:rsidRPr="00210DAC">
        <w:rPr>
          <w:rFonts w:asciiTheme="minorHAnsi" w:hAnsiTheme="minorHAnsi"/>
          <w:noProof/>
          <w:sz w:val="22"/>
        </w:rPr>
        <w:tab/>
      </w:r>
      <w:r w:rsidRPr="00210DAC">
        <w:rPr>
          <w:noProof/>
        </w:rPr>
        <w:t>Procijenjeni učinak na prihode</w:t>
      </w:r>
      <w:r w:rsidRPr="00210DAC">
        <w:rPr>
          <w:noProof/>
          <w:webHidden/>
        </w:rPr>
        <w:tab/>
        <w:t>29</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4.</w:t>
      </w:r>
      <w:r w:rsidRPr="00210DAC">
        <w:rPr>
          <w:rFonts w:asciiTheme="minorHAnsi" w:hAnsiTheme="minorHAnsi"/>
          <w:noProof/>
          <w:sz w:val="22"/>
        </w:rPr>
        <w:tab/>
      </w:r>
      <w:r w:rsidRPr="00210DAC">
        <w:rPr>
          <w:caps/>
          <w:noProof/>
        </w:rPr>
        <w:t>Digitalni aspekti</w:t>
      </w:r>
      <w:r w:rsidRPr="00210DAC">
        <w:rPr>
          <w:noProof/>
          <w:webHidden/>
        </w:rPr>
        <w:tab/>
        <w:t>29</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4.1.</w:t>
      </w:r>
      <w:r w:rsidRPr="00210DAC">
        <w:rPr>
          <w:rFonts w:asciiTheme="minorHAnsi" w:hAnsiTheme="minorHAnsi"/>
          <w:noProof/>
          <w:sz w:val="22"/>
        </w:rPr>
        <w:tab/>
      </w:r>
      <w:r w:rsidRPr="00210DAC">
        <w:rPr>
          <w:noProof/>
        </w:rPr>
        <w:t>Zahtjevi relevantni za digitalizaciju</w:t>
      </w:r>
      <w:r w:rsidRPr="00210DAC">
        <w:rPr>
          <w:noProof/>
          <w:webHidden/>
        </w:rPr>
        <w:tab/>
        <w:t>30</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4.2.</w:t>
      </w:r>
      <w:r w:rsidRPr="00210DAC">
        <w:rPr>
          <w:rFonts w:asciiTheme="minorHAnsi" w:hAnsiTheme="minorHAnsi"/>
          <w:noProof/>
          <w:sz w:val="22"/>
        </w:rPr>
        <w:tab/>
      </w:r>
      <w:r w:rsidRPr="00210DAC">
        <w:rPr>
          <w:noProof/>
        </w:rPr>
        <w:t>Podaci</w:t>
      </w:r>
      <w:r w:rsidRPr="00210DAC">
        <w:rPr>
          <w:noProof/>
          <w:webHidden/>
        </w:rPr>
        <w:tab/>
        <w:t>30</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4.3.</w:t>
      </w:r>
      <w:r w:rsidRPr="00210DAC">
        <w:rPr>
          <w:rFonts w:asciiTheme="minorHAnsi" w:hAnsiTheme="minorHAnsi"/>
          <w:noProof/>
          <w:sz w:val="22"/>
        </w:rPr>
        <w:tab/>
      </w:r>
      <w:r w:rsidRPr="00210DAC">
        <w:rPr>
          <w:noProof/>
        </w:rPr>
        <w:t>Digitalna rješenja</w:t>
      </w:r>
      <w:r w:rsidRPr="00210DAC">
        <w:rPr>
          <w:noProof/>
          <w:webHidden/>
        </w:rPr>
        <w:tab/>
        <w:t>31</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4.4.</w:t>
      </w:r>
      <w:r w:rsidRPr="00210DAC">
        <w:rPr>
          <w:rFonts w:asciiTheme="minorHAnsi" w:hAnsiTheme="minorHAnsi"/>
          <w:noProof/>
          <w:sz w:val="22"/>
        </w:rPr>
        <w:tab/>
      </w:r>
      <w:r w:rsidRPr="00210DAC">
        <w:rPr>
          <w:noProof/>
        </w:rPr>
        <w:t>Procjena interoperabilnosti</w:t>
      </w:r>
      <w:r w:rsidRPr="00210DAC">
        <w:rPr>
          <w:noProof/>
          <w:webHidden/>
        </w:rPr>
        <w:tab/>
        <w:t>31</w:t>
      </w:r>
    </w:p>
    <w:p w:rsidR="00717136" w:rsidRPr="00210DAC" w:rsidRDefault="00717136" w:rsidP="00717136">
      <w:pPr>
        <w:tabs>
          <w:tab w:val="right" w:leader="dot" w:pos="9071"/>
        </w:tabs>
        <w:spacing w:before="60"/>
        <w:ind w:left="850" w:hanging="850"/>
        <w:jc w:val="left"/>
        <w:rPr>
          <w:rFonts w:asciiTheme="minorHAnsi" w:eastAsiaTheme="minorEastAsia" w:hAnsiTheme="minorHAnsi" w:cstheme="minorBidi"/>
          <w:noProof/>
          <w:kern w:val="2"/>
          <w:sz w:val="22"/>
          <w14:ligatures w14:val="standardContextual"/>
        </w:rPr>
      </w:pPr>
      <w:r w:rsidRPr="00210DAC">
        <w:rPr>
          <w:noProof/>
        </w:rPr>
        <w:t>4.5.</w:t>
      </w:r>
      <w:r w:rsidRPr="00210DAC">
        <w:rPr>
          <w:rFonts w:asciiTheme="minorHAnsi" w:hAnsiTheme="minorHAnsi"/>
          <w:noProof/>
          <w:sz w:val="22"/>
        </w:rPr>
        <w:tab/>
      </w:r>
      <w:r w:rsidRPr="00210DAC">
        <w:rPr>
          <w:noProof/>
        </w:rPr>
        <w:t>Mjere za potporu digitalnoj provedbi</w:t>
      </w:r>
      <w:r w:rsidRPr="00210DAC">
        <w:rPr>
          <w:noProof/>
          <w:webHidden/>
        </w:rPr>
        <w:tab/>
        <w:t>32</w:t>
      </w:r>
    </w:p>
    <w:p w:rsidR="00717136" w:rsidRPr="00210DAC" w:rsidRDefault="00717136" w:rsidP="00717136">
      <w:pPr>
        <w:tabs>
          <w:tab w:val="right" w:leader="dot" w:pos="9071"/>
        </w:tabs>
        <w:spacing w:before="60"/>
        <w:jc w:val="left"/>
        <w:rPr>
          <w:noProof/>
        </w:rPr>
        <w:sectPr w:rsidR="00717136" w:rsidRPr="00210DAC" w:rsidSect="005F779D">
          <w:pgSz w:w="11907" w:h="16840" w:code="9"/>
          <w:pgMar w:top="1134" w:right="1418" w:bottom="1134" w:left="1418" w:header="709" w:footer="709" w:gutter="0"/>
          <w:pgNumType w:start="1"/>
          <w:cols w:space="720"/>
          <w:docGrid w:linePitch="360"/>
        </w:sectPr>
      </w:pPr>
    </w:p>
    <w:p w:rsidR="00717136" w:rsidRPr="00210DAC" w:rsidRDefault="00717136" w:rsidP="00717136">
      <w:pPr>
        <w:keepNext/>
        <w:tabs>
          <w:tab w:val="left" w:pos="850"/>
        </w:tabs>
        <w:spacing w:before="360"/>
        <w:ind w:left="850" w:hanging="850"/>
        <w:outlineLvl w:val="0"/>
        <w:rPr>
          <w:b/>
          <w:smallCaps/>
          <w:noProof/>
        </w:rPr>
      </w:pPr>
      <w:bookmarkStart w:id="2" w:name="_Toc514938007"/>
      <w:bookmarkStart w:id="3" w:name="_Toc520485025"/>
      <w:bookmarkStart w:id="4" w:name="_Toc160804567"/>
      <w:bookmarkStart w:id="5" w:name="_Toc167220259"/>
      <w:bookmarkStart w:id="6" w:name="_Toc177548992"/>
      <w:r w:rsidRPr="00210DAC">
        <w:rPr>
          <w:b/>
          <w:smallCaps/>
          <w:noProof/>
        </w:rPr>
        <w:t>1.</w:t>
      </w:r>
      <w:r w:rsidRPr="00210DAC">
        <w:rPr>
          <w:b/>
          <w:smallCaps/>
          <w:noProof/>
        </w:rPr>
        <w:tab/>
      </w:r>
      <w:bookmarkEnd w:id="2"/>
      <w:bookmarkEnd w:id="3"/>
      <w:bookmarkEnd w:id="4"/>
      <w:bookmarkEnd w:id="5"/>
      <w:bookmarkEnd w:id="6"/>
      <w:r w:rsidRPr="00210DAC">
        <w:rPr>
          <w:b/>
          <w:smallCaps/>
          <w:noProof/>
        </w:rPr>
        <w:t xml:space="preserve">OKVIR PRIJEDLOGA/INICIJATIVE </w:t>
      </w:r>
    </w:p>
    <w:p w:rsidR="00717136" w:rsidRPr="00210DAC" w:rsidRDefault="00717136" w:rsidP="00717136">
      <w:pPr>
        <w:keepNext/>
        <w:tabs>
          <w:tab w:val="left" w:pos="850"/>
        </w:tabs>
        <w:ind w:left="850" w:hanging="850"/>
        <w:outlineLvl w:val="1"/>
        <w:rPr>
          <w:b/>
          <w:noProof/>
        </w:rPr>
      </w:pPr>
      <w:bookmarkStart w:id="7" w:name="_Toc514938008"/>
      <w:bookmarkStart w:id="8" w:name="_Toc520485026"/>
      <w:bookmarkStart w:id="9" w:name="_Toc160804568"/>
      <w:bookmarkStart w:id="10" w:name="_Toc167220260"/>
      <w:bookmarkStart w:id="11" w:name="_Toc177548993"/>
      <w:r w:rsidRPr="00210DAC">
        <w:rPr>
          <w:b/>
          <w:noProof/>
        </w:rPr>
        <w:t>1.1.</w:t>
      </w:r>
      <w:r w:rsidRPr="00210DAC">
        <w:rPr>
          <w:b/>
          <w:noProof/>
        </w:rPr>
        <w:tab/>
        <w:t>Naslov prijedloga/inicijative</w:t>
      </w:r>
      <w:bookmarkEnd w:id="7"/>
      <w:bookmarkEnd w:id="8"/>
      <w:bookmarkEnd w:id="9"/>
      <w:bookmarkEnd w:id="10"/>
      <w:bookmarkEnd w:id="11"/>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color w:val="000000" w:themeColor="text1"/>
        </w:rPr>
      </w:pPr>
      <w:r w:rsidRPr="00210DAC">
        <w:rPr>
          <w:noProof/>
        </w:rPr>
        <w:t>Prijedlog uredbe Europskog parlamenta i Vijeća o izmjeni uredaba (EU) 2021/694, (EU) 2021/695, (EU) 2021/697, (EU) 2021/1153, (EU) 2023/1525 i (EU) 2024/795 u pogledu poticanja ulaganja u obranu u okviru proračuna EU-a radi provedbe plana ReArm Europe.</w:t>
      </w:r>
    </w:p>
    <w:p w:rsidR="00717136" w:rsidRPr="00210DAC" w:rsidRDefault="00717136" w:rsidP="00717136">
      <w:pPr>
        <w:keepNext/>
        <w:tabs>
          <w:tab w:val="left" w:pos="850"/>
        </w:tabs>
        <w:ind w:left="850" w:hanging="850"/>
        <w:outlineLvl w:val="1"/>
        <w:rPr>
          <w:b/>
          <w:i/>
          <w:noProof/>
        </w:rPr>
      </w:pPr>
      <w:bookmarkStart w:id="12" w:name="_Toc514938011"/>
      <w:bookmarkStart w:id="13" w:name="_Toc520485027"/>
      <w:bookmarkStart w:id="14" w:name="_Toc160804569"/>
      <w:bookmarkStart w:id="15" w:name="_Toc167220261"/>
      <w:bookmarkStart w:id="16" w:name="_Toc177548994"/>
      <w:r w:rsidRPr="00210DAC">
        <w:rPr>
          <w:b/>
          <w:noProof/>
        </w:rPr>
        <w:t>1.2.</w:t>
      </w:r>
      <w:r w:rsidRPr="00210DAC">
        <w:rPr>
          <w:b/>
          <w:noProof/>
        </w:rPr>
        <w:tab/>
        <w:t>Predmetna područja politike</w:t>
      </w:r>
      <w:bookmarkEnd w:id="12"/>
      <w:bookmarkEnd w:id="13"/>
      <w:bookmarkEnd w:id="14"/>
      <w:bookmarkEnd w:id="15"/>
      <w:bookmarkEnd w:id="16"/>
      <w:r w:rsidRPr="00210DAC">
        <w:rPr>
          <w:b/>
          <w:i/>
          <w:noProof/>
        </w:rPr>
        <w:t xml:space="preserve">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rFonts w:ascii="Times" w:eastAsia="Times" w:hAnsi="Times" w:cs="Times"/>
          <w:noProof/>
          <w:szCs w:val="24"/>
        </w:rPr>
      </w:pPr>
      <w:r w:rsidRPr="00210DAC">
        <w:rPr>
          <w:rFonts w:ascii="Times" w:hAnsi="Times"/>
          <w:noProof/>
        </w:rPr>
        <w:t>Novo doba za europsku obranu i sigurnost</w:t>
      </w:r>
    </w:p>
    <w:p w:rsidR="00717136" w:rsidRPr="00210DAC" w:rsidRDefault="00717136" w:rsidP="00717136">
      <w:pPr>
        <w:keepNext/>
        <w:tabs>
          <w:tab w:val="left" w:pos="850"/>
        </w:tabs>
        <w:ind w:left="850" w:hanging="850"/>
        <w:outlineLvl w:val="1"/>
        <w:rPr>
          <w:b/>
          <w:noProof/>
        </w:rPr>
      </w:pPr>
      <w:bookmarkStart w:id="17" w:name="_Toc514938015"/>
      <w:bookmarkStart w:id="18" w:name="_Toc520485029"/>
      <w:bookmarkStart w:id="19" w:name="_Toc160804571"/>
      <w:bookmarkStart w:id="20" w:name="_Toc167220263"/>
      <w:bookmarkStart w:id="21" w:name="_Toc177548995"/>
      <w:r w:rsidRPr="00210DAC">
        <w:rPr>
          <w:b/>
          <w:noProof/>
        </w:rPr>
        <w:t>1.3.</w:t>
      </w:r>
      <w:r w:rsidRPr="00210DAC">
        <w:rPr>
          <w:b/>
          <w:noProof/>
        </w:rPr>
        <w:tab/>
        <w:t>Ciljevi</w:t>
      </w:r>
      <w:bookmarkEnd w:id="17"/>
      <w:bookmarkEnd w:id="18"/>
      <w:bookmarkEnd w:id="19"/>
      <w:bookmarkEnd w:id="20"/>
      <w:bookmarkEnd w:id="21"/>
    </w:p>
    <w:p w:rsidR="00717136" w:rsidRPr="00210DAC" w:rsidRDefault="00717136" w:rsidP="00717136">
      <w:pPr>
        <w:keepNext/>
        <w:tabs>
          <w:tab w:val="left" w:pos="850"/>
        </w:tabs>
        <w:ind w:left="850" w:hanging="850"/>
        <w:outlineLvl w:val="2"/>
        <w:rPr>
          <w:i/>
          <w:noProof/>
        </w:rPr>
      </w:pPr>
      <w:bookmarkStart w:id="22" w:name="_Toc514938016"/>
      <w:bookmarkStart w:id="23" w:name="_Toc520485030"/>
      <w:bookmarkStart w:id="24" w:name="_Toc160804572"/>
      <w:bookmarkStart w:id="25" w:name="_Toc167220264"/>
      <w:bookmarkStart w:id="26" w:name="_Toc177548996"/>
      <w:r w:rsidRPr="00210DAC">
        <w:rPr>
          <w:i/>
          <w:noProof/>
        </w:rPr>
        <w:t>1.3.1.</w:t>
      </w:r>
      <w:r w:rsidRPr="00210DAC">
        <w:rPr>
          <w:i/>
          <w:noProof/>
        </w:rPr>
        <w:tab/>
        <w:t>Opći ciljevi</w:t>
      </w:r>
      <w:bookmarkEnd w:id="22"/>
      <w:bookmarkEnd w:id="23"/>
      <w:bookmarkEnd w:id="24"/>
      <w:bookmarkEnd w:id="25"/>
      <w:bookmarkEnd w:id="26"/>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Poticanje ulaganja u obranu u okviru proračuna EU-a i jačanje obrambene industrije i tehnološke baze EU-a u skladu s planom ReArm Europe. </w:t>
      </w:r>
    </w:p>
    <w:p w:rsidR="00717136" w:rsidRPr="00210DAC" w:rsidRDefault="00717136" w:rsidP="00717136">
      <w:pPr>
        <w:keepNext/>
        <w:tabs>
          <w:tab w:val="left" w:pos="850"/>
        </w:tabs>
        <w:ind w:left="850" w:hanging="850"/>
        <w:outlineLvl w:val="2"/>
        <w:rPr>
          <w:i/>
          <w:noProof/>
        </w:rPr>
      </w:pPr>
      <w:bookmarkStart w:id="27" w:name="_Toc514938018"/>
      <w:bookmarkStart w:id="28" w:name="_Toc520485031"/>
      <w:bookmarkStart w:id="29" w:name="_Toc160804573"/>
      <w:bookmarkStart w:id="30" w:name="_Toc167220265"/>
      <w:bookmarkStart w:id="31" w:name="_Toc177548997"/>
      <w:r w:rsidRPr="00210DAC">
        <w:rPr>
          <w:i/>
          <w:noProof/>
        </w:rPr>
        <w:t>1.3.2.</w:t>
      </w:r>
      <w:r w:rsidRPr="00210DAC">
        <w:rPr>
          <w:i/>
          <w:noProof/>
        </w:rPr>
        <w:tab/>
        <w:t>Specifični ciljevi</w:t>
      </w:r>
      <w:bookmarkEnd w:id="27"/>
      <w:bookmarkEnd w:id="28"/>
      <w:bookmarkEnd w:id="29"/>
      <w:bookmarkEnd w:id="30"/>
      <w:bookmarkEnd w:id="31"/>
    </w:p>
    <w:p w:rsidR="00717136" w:rsidRPr="00210DAC" w:rsidRDefault="00717136" w:rsidP="00940294">
      <w:pPr>
        <w:pStyle w:val="Bullet1"/>
        <w:numPr>
          <w:ilvl w:val="0"/>
          <w:numId w:val="25"/>
        </w:numPr>
        <w:pBdr>
          <w:top w:val="single" w:sz="4" w:space="1" w:color="auto"/>
          <w:left w:val="single" w:sz="4" w:space="4" w:color="auto"/>
          <w:bottom w:val="single" w:sz="4" w:space="1" w:color="auto"/>
          <w:right w:val="single" w:sz="4" w:space="4" w:color="auto"/>
        </w:pBdr>
        <w:rPr>
          <w:noProof/>
        </w:rPr>
      </w:pPr>
      <w:r w:rsidRPr="00210DAC">
        <w:rPr>
          <w:noProof/>
        </w:rPr>
        <w:t xml:space="preserve">Omogućiti proširenje Platforme za strateške tehnologije za Europu (STEP) na tehnologije i proizvode povezane s obranom te ojačati stratešku autonomiju EU-a u obrambenom sektoru. </w:t>
      </w:r>
    </w:p>
    <w:p w:rsidR="00717136" w:rsidRPr="00210DAC" w:rsidRDefault="00717136" w:rsidP="00E10716">
      <w:pPr>
        <w:pStyle w:val="Bullet1"/>
        <w:pBdr>
          <w:top w:val="single" w:sz="4" w:space="1" w:color="auto"/>
          <w:left w:val="single" w:sz="4" w:space="4" w:color="auto"/>
          <w:bottom w:val="single" w:sz="4" w:space="1" w:color="auto"/>
          <w:right w:val="single" w:sz="4" w:space="4" w:color="auto"/>
        </w:pBdr>
        <w:rPr>
          <w:noProof/>
        </w:rPr>
      </w:pPr>
      <w:r w:rsidRPr="00210DAC">
        <w:rPr>
          <w:noProof/>
        </w:rPr>
        <w:t xml:space="preserve">Izmijeniti Europski fond za obranu (EDF) kako bi se 1. bolje iskoristile sinergije s drugim programima Unije omogućivanjem kombiniranja doprinosa iz EDF-a s drugim programima Unije za pojedinačne aktivnosti; 2. omogućili dobrovoljni prijenosi sredstava dodijeljenih državama članicama u okviru podijeljenog upravljanja u EDF; 3. pojednostavnio postupak evaluacije i financiranja razvoja disruptivnih tehnologija u području obrane. </w:t>
      </w:r>
    </w:p>
    <w:p w:rsidR="001B7452" w:rsidRPr="00210DAC" w:rsidRDefault="00717136" w:rsidP="00E10716">
      <w:pPr>
        <w:pStyle w:val="Bullet1"/>
        <w:pBdr>
          <w:top w:val="single" w:sz="4" w:space="1" w:color="auto"/>
          <w:left w:val="single" w:sz="4" w:space="4" w:color="auto"/>
          <w:bottom w:val="single" w:sz="4" w:space="1" w:color="auto"/>
          <w:right w:val="single" w:sz="4" w:space="4" w:color="auto"/>
        </w:pBdr>
        <w:rPr>
          <w:noProof/>
        </w:rPr>
      </w:pPr>
      <w:r w:rsidRPr="00210DAC">
        <w:rPr>
          <w:noProof/>
        </w:rPr>
        <w:t>Izmijeniti Uredbu o podupiranju proizvodnje streljiva (ASAP) kako bi se 1. uvela mogućnost dobrovoljnih prijenosa sredstava dodijeljenih državama članicama u okviru podijeljenog upravljanja u ASAP, kao i dodatnih dobrovoljnih doprinosa država članica ili drugih relevantnih dionika; 2. produljila primjena Uredbe o ASAP-u do 31. prosinca 2026. kako bi se kontinuirano podupirao razvoj novih proizvodnih kapaciteta za streljivo i povezane proizvode.</w:t>
      </w:r>
    </w:p>
    <w:p w:rsidR="001B7452" w:rsidRPr="00210DAC" w:rsidRDefault="001B7452" w:rsidP="00E10716">
      <w:pPr>
        <w:pStyle w:val="Bullet1"/>
        <w:pBdr>
          <w:top w:val="single" w:sz="4" w:space="1" w:color="auto"/>
          <w:left w:val="single" w:sz="4" w:space="4" w:color="auto"/>
          <w:bottom w:val="single" w:sz="4" w:space="1" w:color="auto"/>
          <w:right w:val="single" w:sz="4" w:space="4" w:color="auto"/>
        </w:pBdr>
        <w:rPr>
          <w:noProof/>
        </w:rPr>
      </w:pPr>
      <w:r w:rsidRPr="00210DAC">
        <w:rPr>
          <w:noProof/>
        </w:rPr>
        <w:t>Izmijeniti program Digitalna Europa kako bi se više orijentirao na stratešku autonomiju i konkurentnost te kako bi se bolje podupirale tehnologije i primjene s dvojnom namjenom. To uključuje uvođenje digitalne infrastrukture kao što je infrastruktura za umjetnu inteligenciju, računalstvo visokih performansi i kibernetičku sigurnost, npr. na temelju razvoja tvornica i gigatvornica umjetne inteligencije. Tom će se izmjenom osigurati da se sredstva iz programa koriste u skladu sa strateškim interesima EU-a, među ostalim tako što će se prilagoditi pravila prihvatljivosti za mjere s dvojnom namjenom.</w:t>
      </w:r>
    </w:p>
    <w:p w:rsidR="001B7452" w:rsidRPr="00210DAC" w:rsidRDefault="001B7452" w:rsidP="00E10716">
      <w:pPr>
        <w:pStyle w:val="Bullet1"/>
        <w:pBdr>
          <w:top w:val="single" w:sz="4" w:space="1" w:color="auto"/>
          <w:left w:val="single" w:sz="4" w:space="4" w:color="auto"/>
          <w:bottom w:val="single" w:sz="4" w:space="1" w:color="auto"/>
          <w:right w:val="single" w:sz="4" w:space="4" w:color="auto"/>
        </w:pBdr>
        <w:rPr>
          <w:noProof/>
        </w:rPr>
      </w:pPr>
      <w:r w:rsidRPr="00210DAC">
        <w:rPr>
          <w:noProof/>
        </w:rPr>
        <w:t>Izmijeniti program Obzor Europa kako bi se omogućila potpora projektima s potencijalnom dvojnom namjenom u okviru Akceleratora Europskog vijeća za inovacije (EIC), kao i projektima s primarno obrambenom namjerom u okviru programa STEP-a EIC-a za rast.</w:t>
      </w:r>
    </w:p>
    <w:p w:rsidR="001B7452" w:rsidRPr="00210DAC" w:rsidRDefault="001B7452" w:rsidP="001B7452">
      <w:pPr>
        <w:pStyle w:val="Bullet1"/>
        <w:pBdr>
          <w:top w:val="single" w:sz="4" w:space="1" w:color="auto"/>
          <w:left w:val="single" w:sz="4" w:space="4" w:color="auto"/>
          <w:bottom w:val="single" w:sz="4" w:space="1" w:color="auto"/>
          <w:right w:val="single" w:sz="4" w:space="4" w:color="auto"/>
        </w:pBdr>
        <w:rPr>
          <w:noProof/>
        </w:rPr>
      </w:pPr>
      <w:r w:rsidRPr="00210DAC">
        <w:rPr>
          <w:noProof/>
        </w:rPr>
        <w:t>Izmijeniti Instrument za povezivanje Europe kako bi se ciljevi digitalnog sektora proširili na uvođenje i pružanje digitalnih kapaciteta kao što su računalstvo u oblaku, umjetna inteligencija i gigatvornice umjetne inteligencije te kako bi se doprinijelo razvoju projekata od zajedničkog interesa koji se odnose na učinkovite, međusobno povezane i multimodalne mreže i infrastrukturu za pametnu, interoperabilnu, održivu, uključivu, pristupačnu, sigurnu i zaštićenu mobilnost u skladu s ciljevima Uredbe (EU) br. 1315/2013.</w:t>
      </w:r>
    </w:p>
    <w:p w:rsidR="00717136" w:rsidRPr="00210DAC" w:rsidRDefault="00717136" w:rsidP="00E10716">
      <w:pPr>
        <w:keepNext/>
        <w:tabs>
          <w:tab w:val="left" w:pos="850"/>
        </w:tabs>
        <w:ind w:left="850" w:hanging="850"/>
        <w:outlineLvl w:val="2"/>
        <w:rPr>
          <w:i/>
          <w:noProof/>
        </w:rPr>
      </w:pPr>
      <w:bookmarkStart w:id="32" w:name="_Toc514938019"/>
      <w:bookmarkStart w:id="33" w:name="_Toc520485032"/>
      <w:bookmarkStart w:id="34" w:name="_Toc160804574"/>
      <w:bookmarkStart w:id="35" w:name="_Toc167220266"/>
      <w:bookmarkStart w:id="36" w:name="_Toc177548998"/>
      <w:r w:rsidRPr="00210DAC">
        <w:rPr>
          <w:i/>
          <w:noProof/>
        </w:rPr>
        <w:t>1.3.3.</w:t>
      </w:r>
      <w:r w:rsidRPr="00210DAC">
        <w:rPr>
          <w:i/>
          <w:noProof/>
        </w:rPr>
        <w:tab/>
        <w:t>Očekivani rezultati i učinak</w:t>
      </w:r>
      <w:bookmarkEnd w:id="32"/>
      <w:bookmarkEnd w:id="33"/>
      <w:bookmarkEnd w:id="34"/>
      <w:bookmarkEnd w:id="35"/>
      <w:bookmarkEnd w:id="36"/>
    </w:p>
    <w:p w:rsidR="00717136" w:rsidRPr="00210DAC" w:rsidRDefault="00717136" w:rsidP="00717136">
      <w:pPr>
        <w:ind w:left="850"/>
        <w:rPr>
          <w:i/>
          <w:noProof/>
          <w:sz w:val="20"/>
        </w:rPr>
      </w:pPr>
      <w:r w:rsidRPr="00210DAC">
        <w:rPr>
          <w:i/>
          <w:noProof/>
          <w:sz w:val="20"/>
        </w:rPr>
        <w:t>Navesti očekivane učinke prijedloga/inicijative na ciljane korisnike/skupine.</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Očekuje se da će predložena mini skupna uredba na ciljane korisnike i skupine imati sljedeće učinke:</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–više ulaganja u obranu: prijedlog će državama članicama donijeti veću fleksibilnost u korištenju proračuna EU-a za ispunjavanje njihovih obrambenih potreba, što će znatno povećati ulaganja u obranu, u skladu s ciljevima plana ReArm Europe,</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–ojačana europska obrambena tehnološka i industrijska baza (EDTIB): prijedlog će podupirati razvoj obrambenih tehnologija i tehnologija s dvojnom namjenom i time EU-u omogućiti da smanji svoju ovisnost o stranim dobavljačima i ojača svoju stratešku autonomiju, čime će se u konačnici ojačati EDTIB,</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–poboljšana vojna spremnost, sposobnosti i mobilnost: prijedlog će državama članicama omogućiti da nadoknade nedostatke u svojim obrambenim sposobnostima i postignu potrebnu vojnu spremnost za uvjerljivo sprečavanje oružane agresije te će poboljšati vojnu mobilnost na cijelom kontinentu, među ostalim uspostavom koridora za vojnu mobilnost. Nove stope pretfinanciranja i sufinanciranja za projekte prometne infrastrukture s dvojnom namjenom trebale bi državama članicama poslužiti kao poticaj za prijenos sredstava iz podijeljenog upravljanja u Instrument za povezivanje Europe, čime bi se omogućio koordinirani pristup ulaganjima u vojnu mobilnost među državama članicama i doprinijelo ciljevima Zajedničke bijele knjige o europskoj obrambenoj spremnosti 2030.,</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–potpora MSP-ovima i </w:t>
      </w:r>
      <w:r w:rsidRPr="00210DAC">
        <w:rPr>
          <w:i/>
          <w:iCs/>
          <w:noProof/>
        </w:rPr>
        <w:t>start-up</w:t>
      </w:r>
      <w:r w:rsidRPr="00210DAC">
        <w:rPr>
          <w:noProof/>
        </w:rPr>
        <w:t xml:space="preserve"> poduzećima: prijedlog će otvaranjem Akceleratora Europskog vijeća za inovacije (EIC) i programa EIC-a za ekspanziju tehnologijama s dvojnom namjenom i obrambenim tehnologijama promicati inovacije i konkurentnost u EU-u, ojačati EDTIB i pružati prilike za razvoj i rast MSP-ovima i </w:t>
      </w:r>
      <w:r w:rsidRPr="00210DAC">
        <w:rPr>
          <w:i/>
          <w:iCs/>
          <w:noProof/>
        </w:rPr>
        <w:t>start-up</w:t>
      </w:r>
      <w:r w:rsidRPr="00210DAC">
        <w:rPr>
          <w:noProof/>
        </w:rPr>
        <w:t xml:space="preserve"> poduzećima,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–bolje sinergije s drugim sektorima: prijedlogom će se poticati sinergije između obrambenog i drugih sektora, kao što je digitalni sektor, tako što će se omogućiti financiranje inicijativa kao što su tvornice i gigatvornice umjetne inteligencije, kao i projekata s dvojnom namjenom s mogućim učincima prelijevanja na inovacije i konkurentnost u područjima kao što su istraživanja, tehnologija i industrija.</w:t>
      </w:r>
    </w:p>
    <w:p w:rsidR="001B7452"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Ti očekivani rezultati i učinci koristit će raznim dionicima, uključujući:</w:t>
      </w:r>
    </w:p>
    <w:p w:rsidR="001B7452"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 države članice, koje će imati veću fleksibilnost za korištenje sredstava EU-a za potporu sigurnosti i obrani, </w:t>
      </w:r>
    </w:p>
    <w:p w:rsidR="001B7452"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 obrambenoj industriji EU-a, uključujući MSP-ove i </w:t>
      </w:r>
      <w:r w:rsidRPr="00210DAC">
        <w:rPr>
          <w:i/>
          <w:iCs/>
          <w:noProof/>
        </w:rPr>
        <w:t>start-up</w:t>
      </w:r>
      <w:r w:rsidRPr="00210DAC">
        <w:rPr>
          <w:noProof/>
        </w:rPr>
        <w:t xml:space="preserve"> poduzeća, koji će dobiti više prilika za rast i inovacije i ostvariti korist od jačanja EDTIB-a,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 građanima EU-a, čijem će miru, sigurnosti i strateškoj autonomiji doprinositi. </w:t>
      </w:r>
    </w:p>
    <w:p w:rsidR="00717136" w:rsidRPr="00210DAC" w:rsidRDefault="00717136" w:rsidP="00717136">
      <w:pPr>
        <w:keepNext/>
        <w:tabs>
          <w:tab w:val="left" w:pos="850"/>
        </w:tabs>
        <w:ind w:left="850" w:hanging="850"/>
        <w:outlineLvl w:val="2"/>
        <w:rPr>
          <w:i/>
          <w:noProof/>
        </w:rPr>
      </w:pPr>
      <w:bookmarkStart w:id="37" w:name="_Toc514938023"/>
      <w:bookmarkStart w:id="38" w:name="_Toc520485033"/>
      <w:bookmarkStart w:id="39" w:name="_Toc160804575"/>
      <w:bookmarkStart w:id="40" w:name="_Toc167220267"/>
      <w:bookmarkStart w:id="41" w:name="_Toc177548999"/>
      <w:r w:rsidRPr="00210DAC">
        <w:rPr>
          <w:i/>
          <w:noProof/>
        </w:rPr>
        <w:t>1.3.4.</w:t>
      </w:r>
      <w:r w:rsidRPr="00210DAC">
        <w:rPr>
          <w:i/>
          <w:noProof/>
        </w:rPr>
        <w:tab/>
        <w:t>Pokazatelji uspješnosti</w:t>
      </w:r>
      <w:bookmarkEnd w:id="37"/>
      <w:bookmarkEnd w:id="38"/>
      <w:bookmarkEnd w:id="39"/>
      <w:bookmarkEnd w:id="40"/>
      <w:bookmarkEnd w:id="41"/>
    </w:p>
    <w:p w:rsidR="00717136" w:rsidRPr="00210DAC" w:rsidRDefault="00717136" w:rsidP="00717136">
      <w:pPr>
        <w:ind w:left="850"/>
        <w:rPr>
          <w:i/>
          <w:noProof/>
          <w:sz w:val="20"/>
        </w:rPr>
      </w:pPr>
      <w:r w:rsidRPr="00210DAC">
        <w:rPr>
          <w:i/>
          <w:noProof/>
          <w:sz w:val="20"/>
        </w:rPr>
        <w:t>Navesti pokazatelje za praćenje napretka i postignuća</w:t>
      </w:r>
    </w:p>
    <w:tbl>
      <w:tblPr>
        <w:tblStyle w:val="TableGrid"/>
        <w:tblW w:w="0" w:type="auto"/>
        <w:tblInd w:w="959" w:type="dxa"/>
        <w:tblLook w:val="04A0" w:firstRow="1" w:lastRow="0" w:firstColumn="1" w:lastColumn="0" w:noHBand="0" w:noVBand="1"/>
      </w:tblPr>
      <w:tblGrid>
        <w:gridCol w:w="3682"/>
        <w:gridCol w:w="4646"/>
      </w:tblGrid>
      <w:tr w:rsidR="00717136" w:rsidRPr="00210DAC" w:rsidTr="00022CAC">
        <w:tc>
          <w:tcPr>
            <w:tcW w:w="3682" w:type="dxa"/>
          </w:tcPr>
          <w:p w:rsidR="00717136" w:rsidRPr="00210DAC" w:rsidRDefault="00717136" w:rsidP="00717136">
            <w:pPr>
              <w:jc w:val="center"/>
              <w:rPr>
                <w:b/>
                <w:bCs/>
                <w:noProof/>
              </w:rPr>
            </w:pPr>
            <w:r w:rsidRPr="00210DAC">
              <w:rPr>
                <w:b/>
                <w:noProof/>
              </w:rPr>
              <w:t>Specifični cilj</w:t>
            </w:r>
          </w:p>
        </w:tc>
        <w:tc>
          <w:tcPr>
            <w:tcW w:w="4646" w:type="dxa"/>
          </w:tcPr>
          <w:p w:rsidR="00717136" w:rsidRPr="00210DAC" w:rsidRDefault="00717136" w:rsidP="00717136">
            <w:pPr>
              <w:jc w:val="center"/>
              <w:rPr>
                <w:b/>
                <w:bCs/>
                <w:noProof/>
              </w:rPr>
            </w:pPr>
            <w:r w:rsidRPr="00210DAC">
              <w:rPr>
                <w:b/>
                <w:noProof/>
              </w:rPr>
              <w:t>Pokazatelj</w:t>
            </w:r>
          </w:p>
        </w:tc>
      </w:tr>
      <w:tr w:rsidR="00717136" w:rsidRPr="00210DAC" w:rsidTr="00022CAC">
        <w:tc>
          <w:tcPr>
            <w:tcW w:w="3682" w:type="dxa"/>
            <w:vAlign w:val="center"/>
          </w:tcPr>
          <w:p w:rsidR="00717136" w:rsidRPr="00210DAC" w:rsidRDefault="00717136" w:rsidP="00717136">
            <w:pPr>
              <w:spacing w:before="0" w:after="0"/>
              <w:rPr>
                <w:noProof/>
              </w:rPr>
            </w:pPr>
            <w:r w:rsidRPr="00210DAC">
              <w:rPr>
                <w:noProof/>
              </w:rPr>
              <w:t>Ojačana europska obrambena tehnološka i industrijska baza (EDTIB) i otpornost lanca opskrbe</w:t>
            </w:r>
          </w:p>
        </w:tc>
        <w:tc>
          <w:tcPr>
            <w:tcW w:w="4646" w:type="dxa"/>
            <w:vAlign w:val="center"/>
          </w:tcPr>
          <w:p w:rsidR="00717136" w:rsidRPr="00210DAC" w:rsidRDefault="00717136" w:rsidP="00717136">
            <w:pPr>
              <w:spacing w:before="0" w:after="0"/>
              <w:rPr>
                <w:noProof/>
              </w:rPr>
            </w:pPr>
            <w:r w:rsidRPr="00210DAC">
              <w:rPr>
                <w:noProof/>
              </w:rPr>
              <w:t>Broj projekata u području obrane koji se podupiru u okviru STEP-a</w:t>
            </w:r>
          </w:p>
        </w:tc>
      </w:tr>
      <w:tr w:rsidR="00717136" w:rsidRPr="00210DAC" w:rsidTr="00022CAC">
        <w:tc>
          <w:tcPr>
            <w:tcW w:w="3682" w:type="dxa"/>
            <w:vAlign w:val="center"/>
          </w:tcPr>
          <w:p w:rsidR="00717136" w:rsidRPr="00210DAC" w:rsidRDefault="00717136" w:rsidP="00717136">
            <w:pPr>
              <w:spacing w:before="0" w:after="0"/>
              <w:rPr>
                <w:noProof/>
              </w:rPr>
            </w:pPr>
            <w:r w:rsidRPr="00210DAC">
              <w:rPr>
                <w:noProof/>
              </w:rPr>
              <w:t>Poboljšana vojna mobilnost</w:t>
            </w:r>
          </w:p>
        </w:tc>
        <w:tc>
          <w:tcPr>
            <w:tcW w:w="4646" w:type="dxa"/>
            <w:vAlign w:val="center"/>
          </w:tcPr>
          <w:p w:rsidR="00717136" w:rsidRPr="00210DAC" w:rsidRDefault="00717136" w:rsidP="00717136">
            <w:pPr>
              <w:spacing w:before="0" w:after="0"/>
              <w:rPr>
                <w:noProof/>
              </w:rPr>
            </w:pPr>
            <w:r w:rsidRPr="00210DAC">
              <w:rPr>
                <w:noProof/>
              </w:rPr>
              <w:t>Broj sastavnica prometne infrastrukture koje su prilagođene zahtjevima primjenjivima na dvojne namjene</w:t>
            </w:r>
          </w:p>
        </w:tc>
      </w:tr>
      <w:tr w:rsidR="00717136" w:rsidRPr="00210DAC" w:rsidTr="00022CAC">
        <w:tc>
          <w:tcPr>
            <w:tcW w:w="3682" w:type="dxa"/>
            <w:vAlign w:val="center"/>
          </w:tcPr>
          <w:p w:rsidR="00717136" w:rsidRPr="00210DAC" w:rsidRDefault="00717136" w:rsidP="00717136">
            <w:pPr>
              <w:spacing w:before="0" w:after="0"/>
              <w:rPr>
                <w:noProof/>
              </w:rPr>
            </w:pPr>
            <w:r w:rsidRPr="00210DAC">
              <w:rPr>
                <w:noProof/>
              </w:rPr>
              <w:t>Potpora inovacijama u području obrane</w:t>
            </w:r>
          </w:p>
          <w:p w:rsidR="00717136" w:rsidRPr="00210DAC" w:rsidRDefault="00717136" w:rsidP="00717136">
            <w:pPr>
              <w:spacing w:before="0" w:after="0"/>
              <w:rPr>
                <w:noProof/>
              </w:rPr>
            </w:pPr>
          </w:p>
          <w:p w:rsidR="00717136" w:rsidRPr="00210DAC" w:rsidRDefault="00717136" w:rsidP="00717136">
            <w:pPr>
              <w:spacing w:before="0" w:after="0"/>
              <w:rPr>
                <w:noProof/>
              </w:rPr>
            </w:pPr>
          </w:p>
          <w:p w:rsidR="00717136" w:rsidRPr="00210DAC" w:rsidRDefault="00717136" w:rsidP="00717136">
            <w:pPr>
              <w:spacing w:before="0" w:after="0"/>
              <w:rPr>
                <w:noProof/>
              </w:rPr>
            </w:pPr>
            <w:r w:rsidRPr="00210DAC">
              <w:rPr>
                <w:noProof/>
              </w:rPr>
              <w:t xml:space="preserve">Potpora MSP-ovima i </w:t>
            </w:r>
            <w:r w:rsidRPr="00210DAC">
              <w:rPr>
                <w:i/>
                <w:iCs/>
                <w:noProof/>
              </w:rPr>
              <w:t>start-up</w:t>
            </w:r>
            <w:r w:rsidRPr="00210DAC">
              <w:rPr>
                <w:noProof/>
              </w:rPr>
              <w:t xml:space="preserve"> poduzećima koja razvijaju tehnologije s dvojnom namjenom i obrambene tehnologije</w:t>
            </w:r>
          </w:p>
        </w:tc>
        <w:tc>
          <w:tcPr>
            <w:tcW w:w="4646" w:type="dxa"/>
            <w:vAlign w:val="center"/>
          </w:tcPr>
          <w:p w:rsidR="00717136" w:rsidRPr="00210DAC" w:rsidRDefault="00717136" w:rsidP="00717136">
            <w:pPr>
              <w:spacing w:before="0" w:after="0"/>
              <w:rPr>
                <w:noProof/>
              </w:rPr>
            </w:pPr>
            <w:r w:rsidRPr="00210DAC">
              <w:rPr>
                <w:noProof/>
              </w:rPr>
              <w:t>Skraćivanje vremena u evaluaciji i dodjeli projekata Europskog fonda za obranu povezanih s disruptivnim tehnologijama u području obrane</w:t>
            </w:r>
          </w:p>
          <w:p w:rsidR="00717136" w:rsidRPr="00210DAC" w:rsidRDefault="00717136" w:rsidP="00717136">
            <w:pPr>
              <w:spacing w:before="0" w:after="0"/>
              <w:rPr>
                <w:noProof/>
              </w:rPr>
            </w:pPr>
          </w:p>
          <w:p w:rsidR="00717136" w:rsidRPr="00210DAC" w:rsidRDefault="00717136" w:rsidP="00717136">
            <w:pPr>
              <w:spacing w:before="0" w:after="0"/>
              <w:rPr>
                <w:noProof/>
              </w:rPr>
            </w:pPr>
            <w:r w:rsidRPr="00210DAC">
              <w:rPr>
                <w:noProof/>
              </w:rPr>
              <w:t xml:space="preserve">Broj MSP-ova i </w:t>
            </w:r>
            <w:r w:rsidRPr="00210DAC">
              <w:rPr>
                <w:i/>
                <w:iCs/>
                <w:noProof/>
              </w:rPr>
              <w:t>start-up</w:t>
            </w:r>
            <w:r w:rsidRPr="00210DAC">
              <w:rPr>
                <w:noProof/>
              </w:rPr>
              <w:t xml:space="preserve"> poduzeća u području obrane i s dvojnom namjenom koji primaju financijska sredstva u okviru Akceleratora Europskog vijeća za inovacije (EIC) i programa STEP-a i EIC-a za ekspanziju</w:t>
            </w:r>
          </w:p>
        </w:tc>
      </w:tr>
      <w:tr w:rsidR="00717136" w:rsidRPr="00210DAC" w:rsidTr="00022CAC">
        <w:tc>
          <w:tcPr>
            <w:tcW w:w="3682" w:type="dxa"/>
            <w:vAlign w:val="center"/>
          </w:tcPr>
          <w:p w:rsidR="00717136" w:rsidRPr="00210DAC" w:rsidRDefault="00717136" w:rsidP="00717136">
            <w:pPr>
              <w:spacing w:before="0" w:after="0"/>
              <w:rPr>
                <w:noProof/>
              </w:rPr>
            </w:pPr>
            <w:r w:rsidRPr="00210DAC">
              <w:rPr>
                <w:noProof/>
              </w:rPr>
              <w:t>Bolje sinergije s drugim sektorima, kao što je digitalni sektor</w:t>
            </w:r>
          </w:p>
        </w:tc>
        <w:tc>
          <w:tcPr>
            <w:tcW w:w="4646" w:type="dxa"/>
            <w:vAlign w:val="center"/>
          </w:tcPr>
          <w:p w:rsidR="00717136" w:rsidRPr="00210DAC" w:rsidRDefault="00717136" w:rsidP="00717136">
            <w:pPr>
              <w:spacing w:before="0" w:after="0"/>
              <w:rPr>
                <w:noProof/>
              </w:rPr>
            </w:pPr>
            <w:r w:rsidRPr="00210DAC">
              <w:rPr>
                <w:noProof/>
              </w:rPr>
              <w:t>Broj projekata financiranih u okviru programa Digitalna Europa s dvojnom namjenom ili obrambenom komponentom</w:t>
            </w:r>
          </w:p>
        </w:tc>
      </w:tr>
    </w:tbl>
    <w:p w:rsidR="00717136" w:rsidRPr="00210DAC" w:rsidRDefault="00717136" w:rsidP="00717136">
      <w:pPr>
        <w:keepNext/>
        <w:tabs>
          <w:tab w:val="left" w:pos="850"/>
        </w:tabs>
        <w:ind w:left="850" w:hanging="850"/>
        <w:outlineLvl w:val="1"/>
        <w:rPr>
          <w:b/>
          <w:noProof/>
        </w:rPr>
      </w:pPr>
      <w:bookmarkStart w:id="42" w:name="_Toc177549000"/>
      <w:r w:rsidRPr="00210DAC">
        <w:rPr>
          <w:b/>
          <w:noProof/>
        </w:rPr>
        <w:t>1.4.</w:t>
      </w:r>
      <w:r w:rsidRPr="00210DAC">
        <w:rPr>
          <w:b/>
          <w:noProof/>
        </w:rPr>
        <w:tab/>
        <w:t>Prijedlog/inicijativa odnosi se na:</w:t>
      </w:r>
      <w:bookmarkEnd w:id="42"/>
      <w:r w:rsidRPr="00210DAC">
        <w:rPr>
          <w:b/>
          <w:noProof/>
        </w:rPr>
        <w:t xml:space="preserve"> </w:t>
      </w:r>
    </w:p>
    <w:p w:rsidR="00717136" w:rsidRPr="00210DAC" w:rsidRDefault="00717136" w:rsidP="00717136">
      <w:pPr>
        <w:ind w:left="850"/>
        <w:rPr>
          <w:noProof/>
          <w:sz w:val="22"/>
        </w:rPr>
      </w:pPr>
      <w:r w:rsidRPr="00210DAC">
        <w:rPr>
          <w:rFonts w:ascii="Wingdings" w:hAnsi="Wingdings"/>
          <w:noProof/>
          <w:sz w:val="22"/>
        </w:rPr>
        <w:t></w:t>
      </w:r>
      <w:r w:rsidRPr="00210DAC">
        <w:rPr>
          <w:i/>
          <w:noProof/>
          <w:sz w:val="22"/>
        </w:rPr>
        <w:t xml:space="preserve"> </w:t>
      </w:r>
      <w:r w:rsidRPr="00210DAC">
        <w:rPr>
          <w:noProof/>
        </w:rPr>
        <w:t>novo djelovanje</w:t>
      </w:r>
      <w:r w:rsidRPr="00210DAC">
        <w:rPr>
          <w:noProof/>
          <w:sz w:val="22"/>
        </w:rPr>
        <w:t xml:space="preserve"> </w:t>
      </w:r>
    </w:p>
    <w:p w:rsidR="00717136" w:rsidRPr="00210DAC" w:rsidRDefault="00717136" w:rsidP="00717136">
      <w:pPr>
        <w:ind w:left="850"/>
        <w:rPr>
          <w:noProof/>
          <w:sz w:val="22"/>
        </w:rPr>
      </w:pPr>
      <w:r w:rsidRPr="00210DAC">
        <w:rPr>
          <w:rFonts w:ascii="Wingdings" w:hAnsi="Wingdings"/>
          <w:noProof/>
          <w:sz w:val="22"/>
        </w:rPr>
        <w:t></w:t>
      </w:r>
      <w:r w:rsidRPr="00210DAC">
        <w:rPr>
          <w:i/>
          <w:noProof/>
          <w:sz w:val="22"/>
        </w:rPr>
        <w:t xml:space="preserve"> </w:t>
      </w:r>
      <w:r w:rsidRPr="00210DAC">
        <w:rPr>
          <w:noProof/>
        </w:rPr>
        <w:t>novo djelovanje nakon pilot-projekta / pripremnog djelovanja</w:t>
      </w:r>
      <w:r w:rsidRPr="00210DAC">
        <w:rPr>
          <w:rStyle w:val="FootnoteReference"/>
          <w:noProof/>
        </w:rPr>
        <w:footnoteReference w:id="12"/>
      </w:r>
      <w:r w:rsidRPr="00210DAC">
        <w:rPr>
          <w:noProof/>
          <w:sz w:val="22"/>
        </w:rPr>
        <w:t xml:space="preserve"> </w:t>
      </w:r>
    </w:p>
    <w:p w:rsidR="00717136" w:rsidRPr="00210DAC" w:rsidRDefault="00717136" w:rsidP="00717136">
      <w:pPr>
        <w:ind w:left="850"/>
        <w:rPr>
          <w:noProof/>
          <w:sz w:val="22"/>
        </w:rPr>
      </w:pPr>
      <w:r w:rsidRPr="00210DAC">
        <w:rPr>
          <w:rFonts w:ascii="Wingdings" w:hAnsi="Wingdings"/>
          <w:noProof/>
          <w:sz w:val="22"/>
        </w:rPr>
        <w:t></w:t>
      </w:r>
      <w:r w:rsidRPr="00210DAC">
        <w:rPr>
          <w:i/>
          <w:noProof/>
          <w:sz w:val="22"/>
        </w:rPr>
        <w:t xml:space="preserve">  </w:t>
      </w:r>
      <w:r w:rsidRPr="00210DAC">
        <w:rPr>
          <w:noProof/>
        </w:rPr>
        <w:t>produženje postojećeg djelovanja</w:t>
      </w:r>
      <w:r w:rsidRPr="00210DAC">
        <w:rPr>
          <w:noProof/>
          <w:sz w:val="22"/>
        </w:rPr>
        <w:t xml:space="preserve"> </w:t>
      </w:r>
    </w:p>
    <w:p w:rsidR="00717136" w:rsidRPr="00210DAC" w:rsidRDefault="00717136" w:rsidP="00717136">
      <w:pPr>
        <w:ind w:left="850"/>
        <w:rPr>
          <w:noProof/>
        </w:rPr>
      </w:pPr>
      <w:r w:rsidRPr="00210DAC">
        <w:rPr>
          <w:rFonts w:ascii="Wingdings" w:hAnsi="Wingdings"/>
          <w:noProof/>
          <w:sz w:val="22"/>
        </w:rPr>
        <w:t></w:t>
      </w:r>
      <w:r w:rsidRPr="00210DAC">
        <w:rPr>
          <w:i/>
          <w:noProof/>
          <w:sz w:val="22"/>
        </w:rPr>
        <w:t xml:space="preserve"> </w:t>
      </w:r>
      <w:r w:rsidRPr="00210DAC">
        <w:rPr>
          <w:noProof/>
        </w:rPr>
        <w:t>spajanje ili preusmjeravanje jednog ili više djelovanja u drugo/novo djelovanje</w:t>
      </w:r>
    </w:p>
    <w:p w:rsidR="00717136" w:rsidRPr="00210DAC" w:rsidRDefault="00717136" w:rsidP="00717136">
      <w:pPr>
        <w:keepNext/>
        <w:tabs>
          <w:tab w:val="left" w:pos="850"/>
        </w:tabs>
        <w:ind w:left="850" w:hanging="850"/>
        <w:outlineLvl w:val="1"/>
        <w:rPr>
          <w:b/>
          <w:bCs/>
          <w:noProof/>
          <w:szCs w:val="24"/>
        </w:rPr>
      </w:pPr>
      <w:bookmarkStart w:id="43" w:name="_Toc514938025"/>
      <w:bookmarkStart w:id="44" w:name="_Toc520485034"/>
      <w:bookmarkStart w:id="45" w:name="_Toc160804576"/>
      <w:bookmarkStart w:id="46" w:name="_Toc167220268"/>
      <w:bookmarkStart w:id="47" w:name="_Toc177549001"/>
      <w:r w:rsidRPr="00210DAC">
        <w:rPr>
          <w:b/>
          <w:noProof/>
        </w:rPr>
        <w:t>1.5.</w:t>
      </w:r>
      <w:r w:rsidRPr="00210DAC">
        <w:rPr>
          <w:b/>
          <w:noProof/>
        </w:rPr>
        <w:tab/>
        <w:t>Obrazloženje prijedloga/inicijative</w:t>
      </w:r>
      <w:bookmarkEnd w:id="43"/>
      <w:bookmarkEnd w:id="44"/>
      <w:bookmarkEnd w:id="45"/>
      <w:bookmarkEnd w:id="46"/>
      <w:bookmarkEnd w:id="47"/>
      <w:r w:rsidRPr="00210DAC">
        <w:rPr>
          <w:b/>
          <w:noProof/>
        </w:rPr>
        <w:t xml:space="preserve"> </w:t>
      </w:r>
    </w:p>
    <w:p w:rsidR="00717136" w:rsidRPr="00210DAC" w:rsidRDefault="00717136" w:rsidP="00717136">
      <w:pPr>
        <w:keepNext/>
        <w:tabs>
          <w:tab w:val="left" w:pos="850"/>
        </w:tabs>
        <w:ind w:left="850" w:hanging="850"/>
        <w:outlineLvl w:val="2"/>
        <w:rPr>
          <w:i/>
          <w:noProof/>
        </w:rPr>
      </w:pPr>
      <w:bookmarkStart w:id="48" w:name="_Toc514938026"/>
      <w:bookmarkStart w:id="49" w:name="_Toc520485035"/>
      <w:bookmarkStart w:id="50" w:name="_Toc160804577"/>
      <w:bookmarkStart w:id="51" w:name="_Toc167220269"/>
      <w:bookmarkStart w:id="52" w:name="_Toc177549002"/>
      <w:r w:rsidRPr="00210DAC">
        <w:rPr>
          <w:i/>
          <w:noProof/>
        </w:rPr>
        <w:t>1.5.1.</w:t>
      </w:r>
      <w:r w:rsidRPr="00210DAC">
        <w:rPr>
          <w:i/>
          <w:noProof/>
        </w:rPr>
        <w:tab/>
        <w:t>Potrebe koje treba zadovoljiti kratkoročno ili dugoročno, uključujući detaljan vremenski okvir provedbe inicijative</w:t>
      </w:r>
      <w:bookmarkEnd w:id="48"/>
      <w:bookmarkEnd w:id="49"/>
      <w:bookmarkEnd w:id="50"/>
      <w:bookmarkEnd w:id="51"/>
      <w:bookmarkEnd w:id="52"/>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Prijedlogom se nastoji odgovoriti na potrebu za povećanim i brzim ulaganjima u obranu i razvoj snažnog i konkurentnog EDTIB-a, u skladu s planom ReArm Europe. Cilj mu je uvesti promjene u postojeće programe EU-a, uključujući STEP, program Obzor Europa, Europski fond za obranu, ASAP, program Digitalna Europa i Instrument za povezivanje Europe, kako bi se podupirale inicijative u području obrane i s dvojnom namjenom. Ciljane izmjene uredbi EU-a stupit će na snagu odmah nakon donošenja predložene uredbe. Prema potrebi, trebalo bi ih uzeti u obzir pri pripremi i/ili izmjeni postojećih programa rada za relevantne inicijative (Obzor Europa, Instrument za povezivanje Europe, Digitalna Europa, STEP, Europski fond za obranu). Tako će se omogućiti pokretanje novih poziva na podnošenje prijedloga i odabir projekata koji su usklađeni s ciljevima EU-a i država članica u području obrane i sigurnosti.</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b/>
          <w:bCs/>
          <w:noProof/>
        </w:rPr>
      </w:pPr>
      <w:r w:rsidRPr="00210DAC">
        <w:rPr>
          <w:b/>
          <w:noProof/>
        </w:rPr>
        <w:t>Vremenski okvir za provedbu:</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Na vremenski okvir za provedbu mini skupne uredbe utjecat će postojeći programski ciklusi i potreba za uključivanjem promjena u odgovarajuće programe rada. Očekuje se da će se za većinu programa promjene uvesti u sljedeći dostupni program rada, a ubrzo nakon toga objavit će se prvi pozivi na podnošenje prijedloga.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Kad je riječ o izmjenama kojima se uvodi mogućnost da države članice usmjere sredstva kohezijske politike u ulaganja povezana s obranom (uključujući Instrument za povezivanje Europe, STEP, Europski fond za obranu, ASAP), kako bi iskoristile mogućnost dodatnog pretfinanciranja za 30 % programiranog iznosa, države članice trebale bi do kraja 2025. podnijeti svoje izmjene programa. </w:t>
      </w:r>
    </w:p>
    <w:p w:rsidR="00717136" w:rsidRPr="00210DAC" w:rsidRDefault="00717136" w:rsidP="00717136">
      <w:pPr>
        <w:keepNext/>
        <w:tabs>
          <w:tab w:val="left" w:pos="850"/>
        </w:tabs>
        <w:ind w:left="850" w:hanging="850"/>
        <w:outlineLvl w:val="2"/>
        <w:rPr>
          <w:bCs/>
          <w:i/>
          <w:noProof/>
          <w:szCs w:val="24"/>
        </w:rPr>
      </w:pPr>
      <w:bookmarkStart w:id="53" w:name="_Toc514938029"/>
      <w:bookmarkStart w:id="54" w:name="_Toc520485036"/>
      <w:bookmarkStart w:id="55" w:name="_Toc160804578"/>
      <w:bookmarkStart w:id="56" w:name="_Toc167220270"/>
      <w:bookmarkStart w:id="57" w:name="_Toc177549003"/>
      <w:r w:rsidRPr="00210DAC">
        <w:rPr>
          <w:i/>
          <w:noProof/>
        </w:rPr>
        <w:t>1.5.2.</w:t>
      </w:r>
      <w:r w:rsidRPr="00210DAC">
        <w:rPr>
          <w:i/>
          <w:noProof/>
        </w:rPr>
        <w:tab/>
        <w:t>Dodana vrijednost sudjelovanja EU-a (može proizlaziti iz različitih čimbenika, npr. prednosti koordinacije, pravne sigurnosti, veće djelotvornosti ili komplementarnosti). Za potrebe ovog odjeljka „dodana vrijednost sudjelovanja EU-a” je vrijednost koja proizlazi iz djelovanja EU-a i dodatna je u odnosu na vrijednost koju bi države članice inače ostvarile same.</w:t>
      </w:r>
      <w:bookmarkEnd w:id="53"/>
      <w:bookmarkEnd w:id="54"/>
      <w:bookmarkEnd w:id="55"/>
      <w:bookmarkEnd w:id="56"/>
      <w:bookmarkEnd w:id="57"/>
    </w:p>
    <w:p w:rsidR="00717136" w:rsidRPr="00210DAC" w:rsidRDefault="00717136" w:rsidP="00E10716">
      <w:pPr>
        <w:pBdr>
          <w:top w:val="single" w:sz="4" w:space="1" w:color="auto"/>
          <w:left w:val="single" w:sz="4" w:space="1" w:color="auto"/>
          <w:bottom w:val="single" w:sz="4" w:space="1" w:color="auto"/>
          <w:right w:val="single" w:sz="4" w:space="1" w:color="auto"/>
        </w:pBdr>
        <w:ind w:left="850"/>
        <w:rPr>
          <w:noProof/>
        </w:rPr>
      </w:pPr>
      <w:r w:rsidRPr="00210DAC">
        <w:rPr>
          <w:noProof/>
        </w:rPr>
        <w:t>Dodana vrijednost djelovanja EU-a leži u njegovoj sposobnosti da koordinira ulaganja, maksimalno poveća proračunsku učinkovitost i djelotvornije podupire ulaganja u obranu nego što bi to bilo koja pojedinačna država članica mogla sama. Uloga EU-a u promicanju koordiniranog pristupa ulaganjima u obranu omogućuje državama članicama da ispune svoje obrambene potrebe, što je ključno za sigurnost i stabilnost EU-a i njegovih država članica.</w:t>
      </w:r>
    </w:p>
    <w:p w:rsidR="00717136" w:rsidRPr="00210DAC" w:rsidRDefault="00717136" w:rsidP="00E10716">
      <w:pPr>
        <w:pBdr>
          <w:top w:val="single" w:sz="4" w:space="1" w:color="auto"/>
          <w:left w:val="single" w:sz="4" w:space="1" w:color="auto"/>
          <w:bottom w:val="single" w:sz="4" w:space="1" w:color="auto"/>
          <w:right w:val="single" w:sz="4" w:space="1" w:color="auto"/>
        </w:pBdr>
        <w:ind w:left="850"/>
        <w:rPr>
          <w:i/>
          <w:iCs/>
          <w:noProof/>
        </w:rPr>
      </w:pPr>
      <w:r w:rsidRPr="00210DAC">
        <w:rPr>
          <w:i/>
          <w:noProof/>
        </w:rPr>
        <w:t>Razlozi za djelovanje na razini EU-a (ex ante) […]</w:t>
      </w:r>
    </w:p>
    <w:p w:rsidR="00717136" w:rsidRPr="00210DAC" w:rsidRDefault="00717136" w:rsidP="00940294">
      <w:pPr>
        <w:pStyle w:val="Tiret1"/>
        <w:numPr>
          <w:ilvl w:val="0"/>
          <w:numId w:val="26"/>
        </w:numPr>
        <w:pBdr>
          <w:top w:val="single" w:sz="4" w:space="1" w:color="auto"/>
          <w:left w:val="single" w:sz="4" w:space="1" w:color="auto"/>
          <w:bottom w:val="single" w:sz="4" w:space="1" w:color="auto"/>
          <w:right w:val="single" w:sz="4" w:space="1" w:color="auto"/>
        </w:pBdr>
        <w:rPr>
          <w:noProof/>
        </w:rPr>
      </w:pPr>
      <w:r w:rsidRPr="00210DAC">
        <w:rPr>
          <w:noProof/>
        </w:rPr>
        <w:t>Potreba za koordiniranim ulaganjima u obranu kako bi se odgovorilo na zajedničke ugroze i prijetnje sigurnosti, na koje države članice ne mogu uspješno odgovoriti same.</w:t>
      </w:r>
    </w:p>
    <w:p w:rsidR="00717136" w:rsidRPr="00210DAC" w:rsidRDefault="00717136" w:rsidP="00E10716">
      <w:pPr>
        <w:pStyle w:val="Tiret1"/>
        <w:pBdr>
          <w:top w:val="single" w:sz="4" w:space="1" w:color="auto"/>
          <w:left w:val="single" w:sz="4" w:space="1" w:color="auto"/>
          <w:bottom w:val="single" w:sz="4" w:space="1" w:color="auto"/>
          <w:right w:val="single" w:sz="4" w:space="1" w:color="auto"/>
        </w:pBdr>
        <w:rPr>
          <w:noProof/>
        </w:rPr>
      </w:pPr>
      <w:r w:rsidRPr="00210DAC">
        <w:rPr>
          <w:noProof/>
        </w:rPr>
        <w:t>Važnost maksimalnog povećanja proračunske učinkovitosti, što veće komplementarnosti različitih programa financiranja i smanjenja udvostručavanja posla, što se može postići koordinacijom i suradnjom na razini EU-a.</w:t>
      </w:r>
    </w:p>
    <w:p w:rsidR="00717136" w:rsidRPr="00210DAC" w:rsidRDefault="00717136" w:rsidP="00E10716">
      <w:pPr>
        <w:pBdr>
          <w:top w:val="single" w:sz="4" w:space="1" w:color="auto"/>
          <w:left w:val="single" w:sz="4" w:space="1" w:color="auto"/>
          <w:bottom w:val="single" w:sz="4" w:space="1" w:color="auto"/>
          <w:right w:val="single" w:sz="4" w:space="1" w:color="auto"/>
        </w:pBdr>
        <w:ind w:left="850"/>
        <w:rPr>
          <w:i/>
          <w:iCs/>
          <w:noProof/>
        </w:rPr>
      </w:pPr>
      <w:r w:rsidRPr="00210DAC">
        <w:rPr>
          <w:i/>
          <w:noProof/>
        </w:rPr>
        <w:t>Razlozi za djelovanje na razini EU-a (ex ante) […]</w:t>
      </w:r>
    </w:p>
    <w:p w:rsidR="00717136" w:rsidRPr="00210DAC" w:rsidRDefault="00717136" w:rsidP="00E10716">
      <w:pPr>
        <w:pStyle w:val="Tiret1"/>
        <w:pBdr>
          <w:top w:val="single" w:sz="4" w:space="1" w:color="auto"/>
          <w:left w:val="single" w:sz="4" w:space="1" w:color="auto"/>
          <w:bottom w:val="single" w:sz="4" w:space="1" w:color="auto"/>
          <w:right w:val="single" w:sz="4" w:space="1" w:color="auto"/>
        </w:pBdr>
        <w:rPr>
          <w:noProof/>
        </w:rPr>
      </w:pPr>
      <w:r w:rsidRPr="00210DAC">
        <w:rPr>
          <w:noProof/>
        </w:rPr>
        <w:t>Potpora obrambenoj pripravnosti i poboljšanje vojne mobilnosti, čime će se ojačati sposobnost država članica da odgovaraju na zajedničke ugroze i prijetnje sigurnosti.</w:t>
      </w:r>
    </w:p>
    <w:p w:rsidR="00717136" w:rsidRPr="00210DAC" w:rsidRDefault="00717136" w:rsidP="00E10716">
      <w:pPr>
        <w:pStyle w:val="Tiret1"/>
        <w:pBdr>
          <w:top w:val="single" w:sz="4" w:space="1" w:color="auto"/>
          <w:left w:val="single" w:sz="4" w:space="1" w:color="auto"/>
          <w:bottom w:val="single" w:sz="4" w:space="1" w:color="auto"/>
          <w:right w:val="single" w:sz="4" w:space="1" w:color="auto"/>
        </w:pBdr>
        <w:rPr>
          <w:noProof/>
        </w:rPr>
      </w:pPr>
      <w:r w:rsidRPr="00210DAC">
        <w:rPr>
          <w:noProof/>
        </w:rPr>
        <w:t>Ojačana konkurentnost i inovacije u europskoj obrambenoj industriji zahvaljujući koordiniranom pristupu EU-a ulaganjima u obranu i razvoju snažne i konkurentne europske obrambene tehnološke i industrijske baze (EDTIB).</w:t>
      </w:r>
    </w:p>
    <w:p w:rsidR="00717136" w:rsidRPr="00210DAC" w:rsidRDefault="00717136" w:rsidP="00E10716">
      <w:pPr>
        <w:pStyle w:val="Tiret1"/>
        <w:pBdr>
          <w:top w:val="single" w:sz="4" w:space="1" w:color="auto"/>
          <w:left w:val="single" w:sz="4" w:space="1" w:color="auto"/>
          <w:bottom w:val="single" w:sz="4" w:space="1" w:color="auto"/>
          <w:right w:val="single" w:sz="4" w:space="1" w:color="auto"/>
        </w:pBdr>
        <w:rPr>
          <w:noProof/>
        </w:rPr>
      </w:pPr>
      <w:r w:rsidRPr="00210DAC">
        <w:rPr>
          <w:noProof/>
        </w:rPr>
        <w:t xml:space="preserve">Maksimizacija sinergija među različitim financijskim instrumentima EU-a i precizniji opseg i područje primjene, što će EU-u omogućiti da učinkovitije iskorištava svoje resurse i ulaganjima ostvari veći učinak nego što bi ga pojedinačno ostvarile države članice, posebno za velike projekte. </w:t>
      </w:r>
    </w:p>
    <w:p w:rsidR="00717136" w:rsidRPr="00210DAC" w:rsidRDefault="00717136" w:rsidP="00E10716">
      <w:pPr>
        <w:pStyle w:val="Tiret1"/>
        <w:pBdr>
          <w:top w:val="single" w:sz="4" w:space="1" w:color="auto"/>
          <w:left w:val="single" w:sz="4" w:space="1" w:color="auto"/>
          <w:bottom w:val="single" w:sz="4" w:space="1" w:color="auto"/>
          <w:right w:val="single" w:sz="4" w:space="1" w:color="auto"/>
        </w:pBdr>
        <w:rPr>
          <w:noProof/>
        </w:rPr>
      </w:pPr>
      <w:r w:rsidRPr="00210DAC">
        <w:rPr>
          <w:noProof/>
        </w:rPr>
        <w:t>Veća vrijednost za uloženi novac, koja proizlazi iz učinkovite upotrebe resursa i sprečavanja udvostručavanja posla, što će EU-u omogućiti da iz resursa koji su mu na raspolaganju ostvari više. Kombiniranjem resursa i stručnog znanja iz različitih programa EU može uskladiti i integrirati pristup ulaganjima u obranu, što će donijeti veće koristi i povrate nego što bi se moglo postići samo pojedinačnim programima.</w:t>
      </w:r>
    </w:p>
    <w:p w:rsidR="00717136" w:rsidRPr="00210DAC" w:rsidRDefault="00717136" w:rsidP="00717136">
      <w:pPr>
        <w:keepNext/>
        <w:tabs>
          <w:tab w:val="left" w:pos="850"/>
        </w:tabs>
        <w:ind w:left="850" w:hanging="850"/>
        <w:outlineLvl w:val="2"/>
        <w:rPr>
          <w:i/>
          <w:noProof/>
        </w:rPr>
      </w:pPr>
      <w:bookmarkStart w:id="58" w:name="_Toc514938030"/>
      <w:bookmarkStart w:id="59" w:name="_Toc520485037"/>
      <w:bookmarkStart w:id="60" w:name="_Toc160804579"/>
      <w:bookmarkStart w:id="61" w:name="_Toc167220271"/>
      <w:bookmarkStart w:id="62" w:name="_Toc177549004"/>
      <w:r w:rsidRPr="00210DAC">
        <w:rPr>
          <w:i/>
          <w:noProof/>
        </w:rPr>
        <w:t>1.5.3.</w:t>
      </w:r>
      <w:r w:rsidRPr="00210DAC">
        <w:rPr>
          <w:i/>
          <w:noProof/>
        </w:rPr>
        <w:tab/>
        <w:t>Pouke iz prijašnjih sličnih iskustava</w:t>
      </w:r>
      <w:bookmarkEnd w:id="58"/>
      <w:bookmarkEnd w:id="59"/>
      <w:bookmarkEnd w:id="60"/>
      <w:bookmarkEnd w:id="61"/>
      <w:bookmarkEnd w:id="62"/>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EU je dosad uspješno prilagođavao svoje instrumente financiranja novim prioritetima i problemima. Na primjer, za vrijeme pandemije bolesti COVID-19 uveo je niz instrumenata za potporu oporavku i otpornosti pogođenih regija i zajednica, uključujući Investicijsku inicijativu kao odgovor na koronavirus (CRII) i CRII+ te REACT-EU (Pomoć za oporavak za koheziju i europska područja). Osim toga, kao odgovor na rat Rusije protiv Ukrajine i posljedičnu krizu cijena energije EU je predložio da se njegovi instrumenti financiranja koriste fleksibilnije kako bi se državama članicama pomoglo u rješavanju različitih problema.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Ta su iskustva pokazala da prilagodba instrumenata financiranja EU-a može biti djelotvorno rješenje za neke nove izazove i strateške prioritete. Pokazala su i koliko je za djelotvorno i učinkovito korištenje financijskih sredstava važna bliska koordinacija i suradnja između Europske komisije, država članica i relevantnih tijela.</w:t>
      </w:r>
    </w:p>
    <w:p w:rsidR="001B7452" w:rsidRPr="00210DAC" w:rsidRDefault="001B7452" w:rsidP="00717136">
      <w:pPr>
        <w:pBdr>
          <w:top w:val="single" w:sz="4" w:space="1" w:color="auto"/>
          <w:left w:val="single" w:sz="4" w:space="4" w:color="auto"/>
          <w:bottom w:val="single" w:sz="4" w:space="1" w:color="auto"/>
          <w:right w:val="single" w:sz="4" w:space="4" w:color="auto"/>
        </w:pBdr>
        <w:ind w:left="850"/>
        <w:rPr>
          <w:noProof/>
        </w:rPr>
      </w:pPr>
      <w:r w:rsidRPr="00210DAC">
        <w:rPr>
          <w:noProof/>
        </w:rPr>
        <w:t>U kontekstu ulaganja u obranu EU može iskoristiti te pouke kako bi svoje instrumente financiranja prilagodio na transparentan, odgovoran i djelotvoran način. Na temelju tih prošlih iskustava EU može stvoriti fleksibilniji i prilagodljiviji okvir koji je primjereniji za složene i nove sigurnosne izazove pred kojima se nalaze EU i njegove države članice.</w:t>
      </w:r>
    </w:p>
    <w:p w:rsidR="00717136" w:rsidRPr="00210DAC" w:rsidRDefault="00717136" w:rsidP="00717136">
      <w:pPr>
        <w:keepNext/>
        <w:tabs>
          <w:tab w:val="left" w:pos="850"/>
        </w:tabs>
        <w:ind w:left="850" w:hanging="850"/>
        <w:outlineLvl w:val="2"/>
        <w:rPr>
          <w:i/>
          <w:noProof/>
        </w:rPr>
      </w:pPr>
      <w:bookmarkStart w:id="63" w:name="_Toc514938033"/>
      <w:bookmarkStart w:id="64" w:name="_Toc520485038"/>
      <w:bookmarkStart w:id="65" w:name="_Toc160804580"/>
      <w:bookmarkStart w:id="66" w:name="_Toc167220272"/>
      <w:bookmarkStart w:id="67" w:name="_Toc177549005"/>
      <w:r w:rsidRPr="00210DAC">
        <w:rPr>
          <w:i/>
          <w:noProof/>
        </w:rPr>
        <w:t>1.5.4.</w:t>
      </w:r>
      <w:r w:rsidRPr="00210DAC">
        <w:rPr>
          <w:i/>
          <w:noProof/>
        </w:rPr>
        <w:tab/>
        <w:t>Usklađenost s višegodišnjim financijskim okvirom i moguće sinergije s drugim prikladnim instrumentima</w:t>
      </w:r>
      <w:bookmarkEnd w:id="63"/>
      <w:bookmarkEnd w:id="64"/>
      <w:bookmarkEnd w:id="65"/>
      <w:bookmarkEnd w:id="66"/>
      <w:bookmarkEnd w:id="67"/>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Predložene ciljane izmjene relevantnih uredbi EU-a u potpunosti su u skladu s postojećim višegodišnjim financijskim okvirom (VFO) za razdoblje 2021. – 2027. Za izmjene neće biti nužna dodatna sredstva iz proračuna EU-a niti će se promijeniti ukupna dodjela proračunskih sredstava za većinu programa jer su osmišljene kako bi se optimiziralo korištenje postojećih sredstava u okviru postojećih programa. Predložene fleksibilnosti i sinergije među različitim financijskim instrumentima EU-a, kao što su STEP, Europski fond za obranu, ASAP, Instrument za povezivanje Europe i Digitalna Europa, također su potpuno u skladu s postojećim VFO-om. Međutim, kako bi se ostvarili ciljevi predložene mini skupne uredbe, dodatna sredstva koja proizlaze iz vraćenih sredstava iz pilot-projekta EIC-a u prethodnom VFO-u u okviru programa Obzor 2020. dodijelit će se programu Obzor Europa, posebno Europskom vijeću za inovacije. To ciljano dodatno financiranje podupirat će razvoj inovativnih obrambenih tehnologija i tehnologija s dvojnom namjenom, a provodit će se unutar postojećeg okvira VFO-a.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Predložene izmjene mogle bi doprinijeti budućem VFO-u pružanjem vrijednih uvida i iskustava iz provedbe postojećih programa. Iskustvo stečeno fleksibilizacijom kohezijskih fondova i stvaranjem sinergija među različitim financijskim instrumentima EU-a moglo bi se uzeti u obzir pri stvaranju budućih programa EU-a i dodjeli proračunskih sredstava. Tako bi buduće financiranje EU-a moglo biti djelotvornije, učinkovitije i bolje usklađeno sa strateškim prioritetima EU-a, uključujući obranu i sigurnost.</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p>
    <w:p w:rsidR="00717136" w:rsidRPr="00210DAC" w:rsidRDefault="00717136" w:rsidP="00717136">
      <w:pPr>
        <w:keepNext/>
        <w:tabs>
          <w:tab w:val="left" w:pos="850"/>
        </w:tabs>
        <w:ind w:left="850" w:hanging="850"/>
        <w:outlineLvl w:val="2"/>
        <w:rPr>
          <w:i/>
          <w:noProof/>
        </w:rPr>
      </w:pPr>
      <w:bookmarkStart w:id="68" w:name="_Toc514938036"/>
      <w:bookmarkStart w:id="69" w:name="_Toc520485039"/>
      <w:bookmarkStart w:id="70" w:name="_Toc160804581"/>
      <w:bookmarkStart w:id="71" w:name="_Toc167220273"/>
      <w:bookmarkStart w:id="72" w:name="_Toc177549006"/>
      <w:r w:rsidRPr="00210DAC">
        <w:rPr>
          <w:i/>
          <w:noProof/>
        </w:rPr>
        <w:t>1.5.5.</w:t>
      </w:r>
      <w:r w:rsidRPr="00210DAC">
        <w:rPr>
          <w:i/>
          <w:noProof/>
        </w:rPr>
        <w:tab/>
        <w:t>Ocjena različitih dostupnih mogućnosti financiranja, uključujući mogućnost preraspodjele</w:t>
      </w:r>
      <w:bookmarkEnd w:id="68"/>
      <w:bookmarkEnd w:id="69"/>
      <w:bookmarkEnd w:id="70"/>
      <w:bookmarkEnd w:id="71"/>
      <w:bookmarkEnd w:id="72"/>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Predložene ciljane izmjene relevantnih uredbi EU-a donose niz opcija financiranja i mogućnosti za preraspodjelu sredstava, što bi moglo doprinijeti korištenju postojećih sredstava i razvoju obrambenih sposobnosti i tehnologija u EU-u.</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Jedna od opcija financiranja jest mogućnost usmjeravanja kohezijskih sredstava u potporu ulaganjima i aktivnostima povezanima s obranom, npr. preko STEP-a.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Izmjenom Europskog fonda za obranu namjerava se omogućiti kumulacija financiranja za isto djelovanje iz Europskog fonda za obranu i drugih programa Unije, čime se omogućuje sveobuhvatniji i integriraniji pristup potpori ulaganjima povezanima s obranom. Osim toga, izmjenom se uvodi mogućnost da se sredstva dodijeljena državama članicama u okviru fondova kohezijske politike prenose u Europski fond za obranu, što bi državama članicama omogućilo da svoja kohezijska sredstva preusmjere u potporu ulaganjima povezanima s obranom. </w:t>
      </w:r>
      <w:bookmarkStart w:id="73" w:name="_Hlk195081416"/>
      <w:r w:rsidRPr="00210DAC">
        <w:rPr>
          <w:noProof/>
        </w:rPr>
        <w:t xml:space="preserve">Nadalje, izmjenom ASAP-a omogućit će se dobrovoljni prijenos sredstava dodijeljenih državama članicama u okviru fondova kohezijske politike u instrument ASAP, kao i dodatni dobrovoljni doprinosi država članica. </w:t>
      </w:r>
      <w:bookmarkEnd w:id="73"/>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Izmjenom programa Digitalna Europa (DEP) omogućuje se korištenje proračunske fleksibilnosti za potporu dodatnim ciljanim ulaganjima u konkurentnost i stratešku autonomiju EU-a, uključujući dvojne namjene.</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Izmjenom programa Obzor Europa omogućit će se potpora za projekte s potencijalnom dvojnom namjenom preko Akceleratora Europskog vijeća za inovacije (EIC) (bespovratna sredstva + vlasnički kapital), kao i za projekte s primarno obrambenom namjenom u okviru programa Akceleratora EIC-a za rast (samo vlasnički kapital).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Izmjena Instrumenta za povezivanje Europe osigurat će digitalne kapacitete potrebne za razvoj obrambenih proizvoda i tehnologija, uključujući povezivanje tvornica u oblaku, umjetne inteligencije i gigatvornica umjetne inteligencije, kao i za vojnu mobilnost. Tako će se podupirati razvoj infrastrukture i tehnologija neophodnih za sigurnost i obranu. U okviru Instrumenta za povezivanje Europe nakon tri poziva na podnošenje prijedloga 2024. dodijeljena je cijela omotnica za vojnu mobilnost (1,7 milijardi EUR). Zato se dodatni projekti u području vojne mobilnosti mogu podupirati iz Instrumenta uz pomoć sredstava u okviru podijeljenog upravljanja koja države članice prenesu u Instrument.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color w:val="0000FF"/>
        </w:rPr>
      </w:pPr>
    </w:p>
    <w:p w:rsidR="00717136" w:rsidRPr="00210DAC" w:rsidRDefault="00717136" w:rsidP="00717136">
      <w:pPr>
        <w:keepNext/>
        <w:tabs>
          <w:tab w:val="left" w:pos="850"/>
        </w:tabs>
        <w:ind w:left="850" w:hanging="850"/>
        <w:outlineLvl w:val="1"/>
        <w:rPr>
          <w:b/>
          <w:bCs/>
          <w:noProof/>
          <w:szCs w:val="24"/>
        </w:rPr>
      </w:pPr>
      <w:r w:rsidRPr="00210DAC">
        <w:rPr>
          <w:noProof/>
        </w:rPr>
        <w:br w:type="page"/>
      </w:r>
      <w:bookmarkStart w:id="74" w:name="_Toc514938039"/>
      <w:bookmarkStart w:id="75" w:name="_Toc520485040"/>
      <w:bookmarkStart w:id="76" w:name="_Toc160804582"/>
      <w:bookmarkStart w:id="77" w:name="_Toc167220274"/>
      <w:bookmarkStart w:id="78" w:name="_Toc177549007"/>
      <w:r w:rsidRPr="00210DAC">
        <w:rPr>
          <w:b/>
          <w:noProof/>
        </w:rPr>
        <w:t>1.6.</w:t>
      </w:r>
      <w:r w:rsidRPr="00210DAC">
        <w:rPr>
          <w:b/>
          <w:noProof/>
        </w:rPr>
        <w:tab/>
        <w:t>Trajanje prijedloga/inicijative i njegova/njezina financijskog učinka</w:t>
      </w:r>
      <w:bookmarkEnd w:id="74"/>
      <w:bookmarkEnd w:id="75"/>
      <w:bookmarkEnd w:id="76"/>
      <w:bookmarkEnd w:id="77"/>
      <w:bookmarkEnd w:id="78"/>
    </w:p>
    <w:p w:rsidR="00717136" w:rsidRPr="00210DAC" w:rsidRDefault="00717136" w:rsidP="00717136">
      <w:pPr>
        <w:ind w:left="850"/>
        <w:rPr>
          <w:noProof/>
        </w:rPr>
      </w:pPr>
      <w:r w:rsidRPr="00210DAC">
        <w:rPr>
          <w:rFonts w:ascii="Wingdings" w:hAnsi="Wingdings"/>
          <w:noProof/>
          <w:sz w:val="22"/>
        </w:rPr>
        <w:t></w:t>
      </w:r>
      <w:r w:rsidRPr="00210DAC">
        <w:rPr>
          <w:rFonts w:ascii="Wingdings" w:hAnsi="Wingdings"/>
          <w:noProof/>
        </w:rPr>
        <w:t></w:t>
      </w:r>
      <w:r w:rsidRPr="00210DAC">
        <w:rPr>
          <w:b/>
          <w:noProof/>
        </w:rPr>
        <w:t xml:space="preserve">Ograničeno trajanje </w:t>
      </w:r>
    </w:p>
    <w:p w:rsidR="00717136" w:rsidRPr="00210DAC" w:rsidRDefault="00717136" w:rsidP="00047793">
      <w:pPr>
        <w:pStyle w:val="Tiret1"/>
        <w:rPr>
          <w:noProof/>
        </w:rPr>
      </w:pPr>
      <w:r w:rsidRPr="00210DAC">
        <w:rPr>
          <w:rFonts w:ascii="Wingdings" w:hAnsi="Wingdings"/>
          <w:noProof/>
          <w:sz w:val="22"/>
        </w:rPr>
        <w:t></w:t>
      </w:r>
      <w:r w:rsidRPr="00210DAC">
        <w:rPr>
          <w:noProof/>
        </w:rPr>
        <w:t xml:space="preserve"> na snazi od travnja 2025. do 31.12.2028.</w:t>
      </w:r>
    </w:p>
    <w:p w:rsidR="00717136" w:rsidRPr="00210DAC" w:rsidRDefault="00717136" w:rsidP="00047793">
      <w:pPr>
        <w:pStyle w:val="Tiret1"/>
        <w:rPr>
          <w:noProof/>
        </w:rPr>
      </w:pPr>
      <w:r w:rsidRPr="00210DAC">
        <w:rPr>
          <w:rFonts w:ascii="Wingdings" w:hAnsi="Wingdings"/>
          <w:noProof/>
          <w:sz w:val="22"/>
        </w:rPr>
        <w:t></w:t>
      </w:r>
      <w:r w:rsidRPr="00210DAC">
        <w:rPr>
          <w:noProof/>
        </w:rPr>
        <w:t xml:space="preserve"> financijski učinak od 2025. do 2027. za odobrena sredstva za preuzete obveze i od 2025. do 2030. za odobrena sredstva za plaćanje. </w:t>
      </w:r>
    </w:p>
    <w:p w:rsidR="00717136" w:rsidRPr="00210DAC" w:rsidRDefault="00717136" w:rsidP="00717136">
      <w:pPr>
        <w:ind w:left="850"/>
        <w:rPr>
          <w:noProof/>
        </w:rPr>
      </w:pPr>
      <w:r w:rsidRPr="00210DAC">
        <w:rPr>
          <w:rFonts w:ascii="Wingdings" w:hAnsi="Wingdings"/>
          <w:noProof/>
        </w:rPr>
        <w:t></w:t>
      </w:r>
      <w:r w:rsidRPr="00210DAC">
        <w:rPr>
          <w:b/>
          <w:i/>
          <w:noProof/>
        </w:rPr>
        <w:t xml:space="preserve"> </w:t>
      </w:r>
      <w:r w:rsidRPr="00210DAC">
        <w:rPr>
          <w:b/>
          <w:noProof/>
        </w:rPr>
        <w:t>Neograničeno trajanje</w:t>
      </w:r>
    </w:p>
    <w:p w:rsidR="00717136" w:rsidRPr="00210DAC" w:rsidRDefault="00717136" w:rsidP="00047793">
      <w:pPr>
        <w:pStyle w:val="Tiret1"/>
        <w:rPr>
          <w:noProof/>
        </w:rPr>
      </w:pPr>
      <w:r w:rsidRPr="00210DAC">
        <w:rPr>
          <w:noProof/>
        </w:rPr>
        <w:t>početna provedba od GGGG. do GGGG.</w:t>
      </w:r>
    </w:p>
    <w:p w:rsidR="00717136" w:rsidRPr="00210DAC" w:rsidRDefault="00717136" w:rsidP="00047793">
      <w:pPr>
        <w:pStyle w:val="Tiret1"/>
        <w:rPr>
          <w:noProof/>
        </w:rPr>
      </w:pPr>
      <w:r w:rsidRPr="00210DAC">
        <w:rPr>
          <w:noProof/>
        </w:rPr>
        <w:t>redovna provedba.</w:t>
      </w:r>
    </w:p>
    <w:p w:rsidR="00717136" w:rsidRPr="00210DAC" w:rsidRDefault="00717136" w:rsidP="00717136">
      <w:pPr>
        <w:keepNext/>
        <w:tabs>
          <w:tab w:val="left" w:pos="850"/>
        </w:tabs>
        <w:ind w:left="850" w:hanging="850"/>
        <w:outlineLvl w:val="1"/>
        <w:rPr>
          <w:b/>
          <w:bCs/>
          <w:noProof/>
          <w:szCs w:val="24"/>
        </w:rPr>
      </w:pPr>
      <w:bookmarkStart w:id="79" w:name="_Toc514938040"/>
      <w:bookmarkStart w:id="80" w:name="_Toc520485041"/>
      <w:bookmarkStart w:id="81" w:name="_Toc160804583"/>
      <w:bookmarkStart w:id="82" w:name="_Toc167220275"/>
      <w:bookmarkStart w:id="83" w:name="_Toc177549008"/>
      <w:r w:rsidRPr="00210DAC">
        <w:rPr>
          <w:b/>
          <w:noProof/>
        </w:rPr>
        <w:t>1.7.</w:t>
      </w:r>
      <w:r w:rsidRPr="00210DAC">
        <w:rPr>
          <w:b/>
          <w:noProof/>
        </w:rPr>
        <w:tab/>
        <w:t>Planirani načini izvršenja proračuna</w:t>
      </w:r>
      <w:r w:rsidRPr="00210DAC">
        <w:rPr>
          <w:rStyle w:val="FootnoteReference"/>
          <w:noProof/>
        </w:rPr>
        <w:footnoteReference w:id="13"/>
      </w:r>
      <w:bookmarkEnd w:id="79"/>
      <w:bookmarkEnd w:id="80"/>
      <w:bookmarkEnd w:id="81"/>
      <w:bookmarkEnd w:id="82"/>
      <w:bookmarkEnd w:id="83"/>
      <w:r w:rsidRPr="00210DAC">
        <w:rPr>
          <w:b/>
          <w:noProof/>
          <w:vertAlign w:val="superscript"/>
        </w:rPr>
        <w:t xml:space="preserve"> </w:t>
      </w:r>
    </w:p>
    <w:p w:rsidR="00717136" w:rsidRPr="00210DAC" w:rsidRDefault="00717136" w:rsidP="00717136">
      <w:pPr>
        <w:ind w:left="850"/>
        <w:rPr>
          <w:noProof/>
        </w:rPr>
      </w:pPr>
      <w:r w:rsidRPr="00210DAC">
        <w:rPr>
          <w:rFonts w:ascii="Wingdings" w:hAnsi="Wingdings"/>
          <w:noProof/>
          <w:sz w:val="22"/>
        </w:rPr>
        <w:t></w:t>
      </w:r>
      <w:r w:rsidRPr="00210DAC">
        <w:rPr>
          <w:i/>
          <w:noProof/>
        </w:rPr>
        <w:t xml:space="preserve"> </w:t>
      </w:r>
      <w:r w:rsidRPr="00210DAC">
        <w:rPr>
          <w:b/>
          <w:noProof/>
        </w:rPr>
        <w:t>Izravno upravljanje</w:t>
      </w:r>
      <w:r w:rsidRPr="00210DAC">
        <w:rPr>
          <w:noProof/>
        </w:rPr>
        <w:t xml:space="preserve"> Komisije</w:t>
      </w:r>
    </w:p>
    <w:p w:rsidR="00717136" w:rsidRPr="00210DAC" w:rsidRDefault="00717136" w:rsidP="00047793">
      <w:pPr>
        <w:pStyle w:val="Tiret1"/>
        <w:rPr>
          <w:rFonts w:cs="EUAlbertina"/>
          <w:noProof/>
        </w:rPr>
      </w:pPr>
      <w:r w:rsidRPr="00210DAC">
        <w:rPr>
          <w:rFonts w:ascii="Wingdings" w:hAnsi="Wingdings"/>
          <w:noProof/>
          <w:sz w:val="22"/>
        </w:rPr>
        <w:t></w:t>
      </w:r>
      <w:r w:rsidRPr="00210DAC">
        <w:rPr>
          <w:noProof/>
        </w:rPr>
        <w:t xml:space="preserve"> preko njezinih službi, uključujući osoblje u delegacijama Unije </w:t>
      </w:r>
    </w:p>
    <w:p w:rsidR="00717136" w:rsidRPr="00210DAC" w:rsidRDefault="00717136" w:rsidP="00047793">
      <w:pPr>
        <w:pStyle w:val="Tiret1"/>
        <w:rPr>
          <w:noProof/>
        </w:rPr>
      </w:pPr>
      <w:r w:rsidRPr="00210DAC">
        <w:rPr>
          <w:rFonts w:ascii="Wingdings" w:hAnsi="Wingdings"/>
          <w:noProof/>
          <w:sz w:val="22"/>
        </w:rPr>
        <w:t></w:t>
      </w:r>
      <w:r w:rsidRPr="00210DAC">
        <w:rPr>
          <w:noProof/>
        </w:rPr>
        <w:t xml:space="preserve"> preko izvršnih agencija </w:t>
      </w:r>
    </w:p>
    <w:p w:rsidR="00717136" w:rsidRPr="00210DAC" w:rsidRDefault="00717136" w:rsidP="00717136">
      <w:pPr>
        <w:ind w:left="850"/>
        <w:rPr>
          <w:noProof/>
        </w:rPr>
      </w:pPr>
      <w:r w:rsidRPr="00210DAC">
        <w:rPr>
          <w:rFonts w:ascii="Wingdings" w:hAnsi="Wingdings"/>
          <w:noProof/>
          <w:sz w:val="22"/>
        </w:rPr>
        <w:t></w:t>
      </w:r>
      <w:r w:rsidRPr="00210DAC">
        <w:rPr>
          <w:b/>
          <w:i/>
          <w:noProof/>
        </w:rPr>
        <w:t xml:space="preserve"> </w:t>
      </w:r>
      <w:r w:rsidRPr="00210DAC">
        <w:rPr>
          <w:b/>
          <w:noProof/>
        </w:rPr>
        <w:t>Podijeljeno upravljanje</w:t>
      </w:r>
      <w:r w:rsidRPr="00210DAC">
        <w:rPr>
          <w:noProof/>
        </w:rPr>
        <w:t xml:space="preserve"> s državama članicama </w:t>
      </w:r>
    </w:p>
    <w:p w:rsidR="00717136" w:rsidRPr="00210DAC" w:rsidRDefault="00717136" w:rsidP="00717136">
      <w:pPr>
        <w:ind w:left="850"/>
        <w:rPr>
          <w:noProof/>
        </w:rPr>
      </w:pPr>
      <w:r w:rsidRPr="00210DAC">
        <w:rPr>
          <w:rFonts w:ascii="Wingdings" w:hAnsi="Wingdings"/>
          <w:noProof/>
          <w:sz w:val="22"/>
        </w:rPr>
        <w:t></w:t>
      </w:r>
      <w:r w:rsidRPr="00210DAC">
        <w:rPr>
          <w:b/>
          <w:noProof/>
        </w:rPr>
        <w:t>Neizravno upravljanje</w:t>
      </w:r>
      <w:r w:rsidRPr="00210DAC">
        <w:rPr>
          <w:noProof/>
        </w:rPr>
        <w:t xml:space="preserve"> povjeravanjem zadaća izvršenja proračuna:</w:t>
      </w:r>
    </w:p>
    <w:p w:rsidR="00717136" w:rsidRPr="00210DAC" w:rsidRDefault="00717136" w:rsidP="00047793">
      <w:pPr>
        <w:pStyle w:val="Tiret1"/>
        <w:rPr>
          <w:noProof/>
        </w:rPr>
      </w:pPr>
      <w:r w:rsidRPr="00210DAC">
        <w:rPr>
          <w:rFonts w:ascii="Wingdings" w:hAnsi="Wingdings"/>
          <w:noProof/>
        </w:rPr>
        <w:t></w:t>
      </w:r>
      <w:r w:rsidRPr="00210DAC">
        <w:rPr>
          <w:noProof/>
        </w:rPr>
        <w:t xml:space="preserve"> trećim zemljama ili tijelima koja su one imenovale</w:t>
      </w:r>
    </w:p>
    <w:p w:rsidR="00717136" w:rsidRPr="00210DAC" w:rsidRDefault="00717136" w:rsidP="00047793">
      <w:pPr>
        <w:pStyle w:val="Tiret1"/>
        <w:rPr>
          <w:noProof/>
        </w:rPr>
      </w:pPr>
      <w:r w:rsidRPr="00210DAC">
        <w:rPr>
          <w:rFonts w:ascii="Wingdings" w:hAnsi="Wingdings"/>
          <w:noProof/>
        </w:rPr>
        <w:t></w:t>
      </w:r>
      <w:r w:rsidRPr="00210DAC">
        <w:rPr>
          <w:noProof/>
        </w:rPr>
        <w:t xml:space="preserve"> međunarodnim organizacijama i njihovim agencijama (navesti)</w:t>
      </w:r>
    </w:p>
    <w:p w:rsidR="00717136" w:rsidRPr="00210DAC" w:rsidRDefault="00717136" w:rsidP="00047793">
      <w:pPr>
        <w:pStyle w:val="Tiret1"/>
        <w:rPr>
          <w:noProof/>
        </w:rPr>
      </w:pPr>
      <w:r w:rsidRPr="00210DAC">
        <w:rPr>
          <w:rFonts w:ascii="Wingdings" w:hAnsi="Wingdings"/>
          <w:noProof/>
          <w:sz w:val="22"/>
        </w:rPr>
        <w:t></w:t>
      </w:r>
      <w:r w:rsidRPr="00210DAC">
        <w:rPr>
          <w:noProof/>
        </w:rPr>
        <w:t xml:space="preserve"> Europskoj investicijskoj banci i Europskom investicijskom fondu</w:t>
      </w:r>
    </w:p>
    <w:p w:rsidR="00717136" w:rsidRPr="00210DAC" w:rsidRDefault="00717136" w:rsidP="00047793">
      <w:pPr>
        <w:pStyle w:val="Tiret1"/>
        <w:rPr>
          <w:noProof/>
        </w:rPr>
      </w:pPr>
      <w:r w:rsidRPr="00210DAC">
        <w:rPr>
          <w:rFonts w:ascii="Wingdings" w:hAnsi="Wingdings"/>
          <w:noProof/>
        </w:rPr>
        <w:t></w:t>
      </w:r>
      <w:r w:rsidRPr="00210DAC">
        <w:rPr>
          <w:noProof/>
        </w:rPr>
        <w:t xml:space="preserve"> tijelima iz članaka 70. i 71. Financijske uredbe</w:t>
      </w:r>
    </w:p>
    <w:p w:rsidR="00717136" w:rsidRPr="00210DAC" w:rsidRDefault="00717136" w:rsidP="00047793">
      <w:pPr>
        <w:pStyle w:val="Tiret1"/>
        <w:rPr>
          <w:noProof/>
        </w:rPr>
      </w:pPr>
      <w:r w:rsidRPr="00210DAC">
        <w:rPr>
          <w:rFonts w:ascii="Wingdings" w:hAnsi="Wingdings"/>
          <w:noProof/>
        </w:rPr>
        <w:t></w:t>
      </w:r>
      <w:r w:rsidRPr="00210DAC">
        <w:rPr>
          <w:noProof/>
        </w:rPr>
        <w:t xml:space="preserve"> tijelima javnog prava</w:t>
      </w:r>
    </w:p>
    <w:p w:rsidR="00717136" w:rsidRPr="00210DAC" w:rsidRDefault="00717136" w:rsidP="00047793">
      <w:pPr>
        <w:pStyle w:val="Tiret1"/>
        <w:rPr>
          <w:noProof/>
        </w:rPr>
      </w:pPr>
      <w:r w:rsidRPr="00210DAC">
        <w:rPr>
          <w:rFonts w:ascii="Wingdings" w:hAnsi="Wingdings"/>
          <w:noProof/>
        </w:rPr>
        <w:t></w:t>
      </w:r>
      <w:r w:rsidRPr="00210DAC">
        <w:rPr>
          <w:noProof/>
        </w:rPr>
        <w:t xml:space="preserve"> tijelima uređenima privatnim pravom koja pružaju javne usluge, u mjeri u kojoj su im dana odgovarajuća financijska jamstva</w:t>
      </w:r>
    </w:p>
    <w:p w:rsidR="00717136" w:rsidRPr="00210DAC" w:rsidRDefault="00717136" w:rsidP="00047793">
      <w:pPr>
        <w:pStyle w:val="Tiret1"/>
        <w:rPr>
          <w:noProof/>
        </w:rPr>
      </w:pPr>
      <w:r w:rsidRPr="00210DAC">
        <w:rPr>
          <w:rFonts w:ascii="Wingdings" w:hAnsi="Wingdings"/>
          <w:noProof/>
        </w:rPr>
        <w:t></w:t>
      </w:r>
      <w:r w:rsidRPr="00210DAC">
        <w:rPr>
          <w:noProof/>
        </w:rPr>
        <w:t xml:space="preserve"> tijelima uređenima privatnim pravom države članice kojima je povjerena provedba javno-privatnog partnerstva i kojima su dana odgovarajuća financijska jamstva</w:t>
      </w:r>
    </w:p>
    <w:p w:rsidR="00717136" w:rsidRPr="00210DAC" w:rsidRDefault="00717136" w:rsidP="00047793">
      <w:pPr>
        <w:pStyle w:val="Tiret1"/>
        <w:rPr>
          <w:noProof/>
        </w:rPr>
      </w:pPr>
      <w:r w:rsidRPr="00210DAC">
        <w:rPr>
          <w:rFonts w:ascii="Wingdings" w:hAnsi="Wingdings"/>
          <w:noProof/>
        </w:rPr>
        <w:t></w:t>
      </w:r>
      <w:r w:rsidRPr="00210DAC">
        <w:rPr>
          <w:noProof/>
        </w:rPr>
        <w:t xml:space="preserve"> tijelima ili osobama kojima je povjerena provedba posebnih djelovanja u području zajedničke vanjske i sigurnosne politike u skladu s glavom V. Ugovora o Europskoj uniji i koji su navedeni u relevantnom temeljnom aktu</w:t>
      </w:r>
    </w:p>
    <w:p w:rsidR="00717136" w:rsidRPr="00210DAC" w:rsidRDefault="00717136" w:rsidP="00047793">
      <w:pPr>
        <w:pStyle w:val="Tiret1"/>
        <w:rPr>
          <w:noProof/>
        </w:rPr>
      </w:pPr>
      <w:r w:rsidRPr="00210DAC">
        <w:rPr>
          <w:rFonts w:ascii="Wingdings" w:hAnsi="Wingdings"/>
          <w:noProof/>
        </w:rPr>
        <w:t></w:t>
      </w:r>
      <w:r w:rsidRPr="00210DAC">
        <w:rPr>
          <w:rFonts w:ascii="Wingdings" w:hAnsi="Wingdings"/>
          <w:noProof/>
        </w:rPr>
        <w:t></w:t>
      </w:r>
      <w:r w:rsidRPr="00210DAC">
        <w:rPr>
          <w:noProof/>
        </w:rPr>
        <w:t xml:space="preserve"> tijelima osnovanima u državi članici koja su uređena privatnim pravom države članice ili pravom Unije i ispunjavaju uvjete da im se u skladu sa sektorskim pravilima povjeri izvršavanje sredstava Unije ili proračunskih jamstava, ako su ta tijela pod nadzorom tijela javnog prava ili tijela uređenih privatnim pravom koja pružaju javne usluge i ta su im nadzorna tijela dala odgovarajuća financijska jamstva u obliku solidarne odgovornosti ili jednakovrijedna financijska jamstva, koja za svako djelovanje mogu biti ograničena na najviši iznos potpore Unije.</w:t>
      </w:r>
    </w:p>
    <w:p w:rsidR="00745DC2" w:rsidRPr="00210DAC" w:rsidRDefault="00745DC2" w:rsidP="00717136">
      <w:pPr>
        <w:rPr>
          <w:noProof/>
        </w:rPr>
      </w:pPr>
    </w:p>
    <w:p w:rsidR="00717136" w:rsidRPr="00210DAC" w:rsidRDefault="00717136" w:rsidP="00717136">
      <w:pPr>
        <w:rPr>
          <w:b/>
          <w:bCs/>
          <w:noProof/>
        </w:rPr>
      </w:pPr>
      <w:r w:rsidRPr="00210DAC">
        <w:rPr>
          <w:b/>
          <w:noProof/>
        </w:rPr>
        <w:t xml:space="preserve">Napomene </w:t>
      </w:r>
    </w:p>
    <w:p w:rsidR="00717136" w:rsidRPr="00210DAC" w:rsidRDefault="00717136" w:rsidP="00717136">
      <w:pPr>
        <w:pBdr>
          <w:top w:val="single" w:sz="4" w:space="1" w:color="auto"/>
          <w:left w:val="single" w:sz="4" w:space="4" w:color="auto"/>
          <w:bottom w:val="single" w:sz="4" w:space="1" w:color="auto"/>
          <w:right w:val="single" w:sz="4" w:space="4" w:color="auto"/>
        </w:pBdr>
        <w:rPr>
          <w:noProof/>
        </w:rPr>
      </w:pPr>
      <w:r w:rsidRPr="00210DAC">
        <w:rPr>
          <w:noProof/>
        </w:rPr>
        <w:t>Način izvršenja proračuna ovisit će o konkretnom programu na koji izmjena utječe. Konkretno:</w:t>
      </w:r>
    </w:p>
    <w:p w:rsidR="00717136" w:rsidRPr="00210DAC" w:rsidRDefault="00717136" w:rsidP="00717136">
      <w:pPr>
        <w:pBdr>
          <w:top w:val="single" w:sz="4" w:space="1" w:color="auto"/>
          <w:left w:val="single" w:sz="4" w:space="4" w:color="auto"/>
          <w:bottom w:val="single" w:sz="4" w:space="1" w:color="auto"/>
          <w:right w:val="single" w:sz="4" w:space="4" w:color="auto"/>
        </w:pBdr>
        <w:rPr>
          <w:noProof/>
        </w:rPr>
      </w:pPr>
      <w:r w:rsidRPr="00210DAC">
        <w:rPr>
          <w:noProof/>
        </w:rPr>
        <w:t xml:space="preserve">– kad je riječ o Obzoru Europa / Akceleratoru EIC-a, očekuje se provedba preko izvršnih agencija (posebno EISMEA-e); Fondom EIC-a upravlja Europska investicijska banka, </w:t>
      </w:r>
    </w:p>
    <w:p w:rsidR="00717136" w:rsidRPr="00210DAC" w:rsidRDefault="00717136" w:rsidP="00717136">
      <w:pPr>
        <w:pBdr>
          <w:top w:val="single" w:sz="4" w:space="1" w:color="auto"/>
          <w:left w:val="single" w:sz="4" w:space="4" w:color="auto"/>
          <w:bottom w:val="single" w:sz="4" w:space="1" w:color="auto"/>
          <w:right w:val="single" w:sz="4" w:space="4" w:color="auto"/>
        </w:pBdr>
        <w:rPr>
          <w:noProof/>
        </w:rPr>
      </w:pPr>
      <w:r w:rsidRPr="00210DAC">
        <w:rPr>
          <w:noProof/>
        </w:rPr>
        <w:t xml:space="preserve">za STEP, Instrument za povezivanje Europe, program Digitalna Europa, Europski fond za obranu i ASAP predviđeno je izravno upravljanje, </w:t>
      </w:r>
    </w:p>
    <w:p w:rsidR="00717136" w:rsidRPr="00210DAC" w:rsidRDefault="00717136" w:rsidP="00717136">
      <w:pPr>
        <w:pBdr>
          <w:top w:val="single" w:sz="4" w:space="1" w:color="auto"/>
          <w:left w:val="single" w:sz="4" w:space="4" w:color="auto"/>
          <w:bottom w:val="single" w:sz="4" w:space="1" w:color="auto"/>
          <w:right w:val="single" w:sz="4" w:space="4" w:color="auto"/>
        </w:pBdr>
        <w:rPr>
          <w:noProof/>
        </w:rPr>
      </w:pPr>
      <w:r w:rsidRPr="00210DAC">
        <w:rPr>
          <w:noProof/>
        </w:rPr>
        <w:t xml:space="preserve">za Instrument za povezivanje Europe, program se provodi izravnim upravljanjem i u potpunosti je delegiran Europskoj izvršnoj agenciji za klimu, infrastrukturu i okoliš (CINEA). Nekim mjerama za potporu programu izravno upravlja Komisija, </w:t>
      </w:r>
    </w:p>
    <w:p w:rsidR="00717136" w:rsidRPr="00210DAC" w:rsidRDefault="00717136" w:rsidP="00717136">
      <w:pPr>
        <w:pBdr>
          <w:top w:val="single" w:sz="4" w:space="1" w:color="auto"/>
          <w:left w:val="single" w:sz="4" w:space="4" w:color="auto"/>
          <w:bottom w:val="single" w:sz="4" w:space="1" w:color="auto"/>
          <w:right w:val="single" w:sz="4" w:space="4" w:color="auto"/>
        </w:pBdr>
        <w:rPr>
          <w:noProof/>
        </w:rPr>
      </w:pPr>
      <w:r w:rsidRPr="00210DAC">
        <w:rPr>
          <w:noProof/>
        </w:rPr>
        <w:t>na kohezijsku politiku primjenjivat će se podijeljeno upravljanje s državama članicama.</w:t>
      </w:r>
    </w:p>
    <w:p w:rsidR="00717136" w:rsidRPr="00210DAC" w:rsidRDefault="00717136" w:rsidP="00717136">
      <w:pPr>
        <w:rPr>
          <w:noProof/>
        </w:rPr>
        <w:sectPr w:rsidR="00717136" w:rsidRPr="00210DAC" w:rsidSect="005F779D">
          <w:pgSz w:w="11907" w:h="16840" w:code="9"/>
          <w:pgMar w:top="1134" w:right="1418" w:bottom="1134" w:left="1418" w:header="709" w:footer="709" w:gutter="0"/>
          <w:cols w:space="708"/>
          <w:docGrid w:linePitch="360"/>
        </w:sectPr>
      </w:pPr>
    </w:p>
    <w:p w:rsidR="00717136" w:rsidRPr="00210DAC" w:rsidRDefault="00717136" w:rsidP="00717136">
      <w:pPr>
        <w:keepNext/>
        <w:tabs>
          <w:tab w:val="left" w:pos="850"/>
        </w:tabs>
        <w:spacing w:before="360"/>
        <w:ind w:left="850" w:hanging="850"/>
        <w:outlineLvl w:val="0"/>
        <w:rPr>
          <w:b/>
          <w:bCs/>
          <w:smallCaps/>
          <w:noProof/>
          <w:szCs w:val="24"/>
        </w:rPr>
      </w:pPr>
      <w:bookmarkStart w:id="84" w:name="_Toc514938041"/>
      <w:bookmarkStart w:id="85" w:name="_Toc520485042"/>
      <w:bookmarkStart w:id="86" w:name="_Toc160804584"/>
      <w:bookmarkStart w:id="87" w:name="_Toc167220276"/>
      <w:bookmarkStart w:id="88" w:name="_Toc177549009"/>
      <w:r w:rsidRPr="00210DAC">
        <w:rPr>
          <w:b/>
          <w:smallCaps/>
          <w:noProof/>
        </w:rPr>
        <w:t>2.</w:t>
      </w:r>
      <w:r w:rsidRPr="00210DAC">
        <w:rPr>
          <w:b/>
          <w:smallCaps/>
          <w:noProof/>
        </w:rPr>
        <w:tab/>
        <w:t>MJERE UPRAVLJANJA</w:t>
      </w:r>
      <w:bookmarkEnd w:id="84"/>
      <w:bookmarkEnd w:id="85"/>
      <w:bookmarkEnd w:id="86"/>
      <w:bookmarkEnd w:id="87"/>
      <w:bookmarkEnd w:id="88"/>
      <w:r w:rsidRPr="00210DAC">
        <w:rPr>
          <w:b/>
          <w:smallCaps/>
          <w:noProof/>
        </w:rPr>
        <w:t xml:space="preserve"> </w:t>
      </w:r>
    </w:p>
    <w:p w:rsidR="00717136" w:rsidRPr="00210DAC" w:rsidRDefault="00717136" w:rsidP="00717136">
      <w:pPr>
        <w:keepNext/>
        <w:tabs>
          <w:tab w:val="left" w:pos="850"/>
        </w:tabs>
        <w:ind w:left="850" w:hanging="850"/>
        <w:outlineLvl w:val="1"/>
        <w:rPr>
          <w:b/>
          <w:noProof/>
        </w:rPr>
      </w:pPr>
      <w:bookmarkStart w:id="89" w:name="_Toc514938042"/>
      <w:bookmarkStart w:id="90" w:name="_Toc520485043"/>
      <w:bookmarkStart w:id="91" w:name="_Toc160804585"/>
      <w:bookmarkStart w:id="92" w:name="_Toc167220277"/>
      <w:bookmarkStart w:id="93" w:name="_Toc177549010"/>
      <w:r w:rsidRPr="00210DAC">
        <w:rPr>
          <w:b/>
          <w:noProof/>
        </w:rPr>
        <w:t>2.1.</w:t>
      </w:r>
      <w:r w:rsidRPr="00210DAC">
        <w:rPr>
          <w:b/>
          <w:noProof/>
        </w:rPr>
        <w:tab/>
        <w:t>Pravila praćenja i izvješćivanja</w:t>
      </w:r>
      <w:bookmarkEnd w:id="89"/>
      <w:bookmarkEnd w:id="90"/>
      <w:bookmarkEnd w:id="91"/>
      <w:bookmarkEnd w:id="92"/>
      <w:bookmarkEnd w:id="93"/>
      <w:r w:rsidRPr="00210DAC">
        <w:rPr>
          <w:b/>
          <w:noProof/>
        </w:rPr>
        <w:t xml:space="preserve">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Ciljane izmjene iz uredbe pratit će se i evaluirati u skladu s pravilima i postupcima utvrđenima u relevantnim programima, odnosno programu Obzor Europa, Instrumentu za povezivanje Europe, programu Digitalna Europa, Europskom fondu za obranu, ASAP-u i STEP-u. Učestalost i uvjeti za praćenje i izvješćivanje utvrdit će se u odgovarajućim uredbama i sporazumima o programima.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Osim toga, za odredbe povezane s kohezijskom politikom periodična evaluacija i izvješćivanje provodit će se u skladu s relevantnim obvezama u okviru kohezijske politike, uključujući zahtjeve za </w:t>
      </w:r>
      <w:r w:rsidRPr="00210DAC">
        <w:rPr>
          <w:i/>
          <w:iCs/>
          <w:noProof/>
        </w:rPr>
        <w:t>ex ante</w:t>
      </w:r>
      <w:r w:rsidRPr="00210DAC">
        <w:rPr>
          <w:noProof/>
        </w:rPr>
        <w:t xml:space="preserve"> evaluacije, privremene evaluacije i </w:t>
      </w:r>
      <w:r w:rsidRPr="00210DAC">
        <w:rPr>
          <w:i/>
          <w:iCs/>
          <w:noProof/>
        </w:rPr>
        <w:t>ex post</w:t>
      </w:r>
      <w:r w:rsidRPr="00210DAC">
        <w:rPr>
          <w:noProof/>
        </w:rPr>
        <w:t xml:space="preserve"> evaluacije, kao i zahtjeve za izvješćivanje utvrđene u primjenjivim propisima i sporazumima o financiranju.</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Općenito, praćenje i izvješćivanje provodit će se redovito, prema rasporedu i uvjetima koje utvrđuju relevantna programska tijela i u skladu s primjenjivim pravilima i propisima.</w:t>
      </w:r>
    </w:p>
    <w:p w:rsidR="00717136" w:rsidRPr="00210DAC" w:rsidRDefault="00717136" w:rsidP="00717136">
      <w:pPr>
        <w:keepNext/>
        <w:tabs>
          <w:tab w:val="left" w:pos="850"/>
        </w:tabs>
        <w:ind w:left="850" w:hanging="850"/>
        <w:outlineLvl w:val="1"/>
        <w:rPr>
          <w:b/>
          <w:bCs/>
          <w:noProof/>
          <w:szCs w:val="24"/>
        </w:rPr>
      </w:pPr>
      <w:bookmarkStart w:id="94" w:name="_Toc514938045"/>
      <w:bookmarkStart w:id="95" w:name="_Toc520485044"/>
      <w:bookmarkStart w:id="96" w:name="_Toc160804586"/>
      <w:bookmarkStart w:id="97" w:name="_Toc167220278"/>
      <w:bookmarkStart w:id="98" w:name="_Toc177549011"/>
      <w:r w:rsidRPr="00210DAC">
        <w:rPr>
          <w:b/>
          <w:noProof/>
        </w:rPr>
        <w:t>2.2.</w:t>
      </w:r>
      <w:r w:rsidRPr="00210DAC">
        <w:rPr>
          <w:b/>
          <w:noProof/>
        </w:rPr>
        <w:tab/>
        <w:t>Sustavi upravljanja i kontrole</w:t>
      </w:r>
      <w:bookmarkEnd w:id="94"/>
      <w:bookmarkEnd w:id="95"/>
      <w:bookmarkEnd w:id="96"/>
      <w:bookmarkEnd w:id="97"/>
      <w:bookmarkEnd w:id="98"/>
      <w:r w:rsidRPr="00210DAC">
        <w:rPr>
          <w:b/>
          <w:noProof/>
        </w:rPr>
        <w:t xml:space="preserve"> </w:t>
      </w:r>
    </w:p>
    <w:p w:rsidR="00717136" w:rsidRPr="00210DAC" w:rsidRDefault="00717136" w:rsidP="00717136">
      <w:pPr>
        <w:keepNext/>
        <w:tabs>
          <w:tab w:val="left" w:pos="850"/>
        </w:tabs>
        <w:ind w:left="850" w:hanging="850"/>
        <w:outlineLvl w:val="2"/>
        <w:rPr>
          <w:i/>
          <w:noProof/>
        </w:rPr>
      </w:pPr>
      <w:bookmarkStart w:id="99" w:name="_Toc514938046"/>
      <w:bookmarkStart w:id="100" w:name="_Toc520485045"/>
      <w:bookmarkStart w:id="101" w:name="_Toc160804587"/>
      <w:bookmarkStart w:id="102" w:name="_Toc167220279"/>
      <w:bookmarkStart w:id="103" w:name="_Toc177549012"/>
      <w:r w:rsidRPr="00210DAC">
        <w:rPr>
          <w:i/>
          <w:noProof/>
        </w:rPr>
        <w:t>2.2.1.</w:t>
      </w:r>
      <w:r w:rsidRPr="00210DAC">
        <w:rPr>
          <w:i/>
          <w:noProof/>
        </w:rPr>
        <w:tab/>
        <w:t>Obrazloženje načina izvršenja proračuna, mehanizama provedbe financiranja, načina plaćanja i predložene strategije kontrole</w:t>
      </w:r>
      <w:bookmarkEnd w:id="99"/>
      <w:bookmarkEnd w:id="100"/>
      <w:bookmarkEnd w:id="101"/>
      <w:bookmarkEnd w:id="102"/>
      <w:bookmarkEnd w:id="103"/>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Predloženi načini izvršenja proračuna, mehanizmi izvršenja financiranja, načini plaćanja i strategija kontrole temelje se na postojećim strukturama i mehanizmima koji su već uspostavljeni za relevantne programe (Obzor Europa, Instrument za povezivanje Europe, program Digitalna Europa, Europski fond za obranu, ASAP, STEP).</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U tom se pogledu izmjenama iz ove uredbe ništa ne mijenja. Umjesto toga, izmjene iz ove uredbe temelje se na postojećim okvirima osmišljenima kako bi se programi provodili djelotvorno, učinkovito i ekonomično.</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Primjena izravnog upravljanja, podijeljenog upravljanja i provedba preko izvršnih agencija, kao i mehanizmi provedbe financiranja i strategije kontrole uspostavljeni su i ispitani u kontekstu postojećih programa. Predložene izmjene ne iziskuju znatne promjene tih postojećih struktura. Komisija će se za provedbu izmijenjenih programa osloniti na postojeće stručno znanje, sustave i postupke.</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 xml:space="preserve">Strategija kontrole, uključujući pristup temeljen na riziku, </w:t>
      </w:r>
      <w:r w:rsidRPr="00210DAC">
        <w:rPr>
          <w:i/>
          <w:iCs/>
          <w:noProof/>
        </w:rPr>
        <w:t>ex ante</w:t>
      </w:r>
      <w:r w:rsidRPr="00210DAC">
        <w:rPr>
          <w:noProof/>
        </w:rPr>
        <w:t xml:space="preserve">, privremene i </w:t>
      </w:r>
      <w:r w:rsidRPr="00210DAC">
        <w:rPr>
          <w:i/>
          <w:iCs/>
          <w:noProof/>
        </w:rPr>
        <w:t>ex post</w:t>
      </w:r>
      <w:r w:rsidRPr="00210DAC">
        <w:rPr>
          <w:noProof/>
        </w:rPr>
        <w:t xml:space="preserve"> kontrole, revizije i evaluacije nastavit će se primjenjivati u skladu s postojećim pravilima i propisima u okviru relevantnih programa. Komisija će nastaviti pratiti provedbu programa, uključujući izmijenjene odredbe, i o tome izvješćivati u skladu s postojećim zahtjevima i postupcima.</w:t>
      </w:r>
    </w:p>
    <w:p w:rsidR="00717136" w:rsidRPr="00210DAC" w:rsidRDefault="00717136" w:rsidP="00717136">
      <w:pPr>
        <w:keepNext/>
        <w:tabs>
          <w:tab w:val="left" w:pos="850"/>
        </w:tabs>
        <w:ind w:left="850" w:hanging="850"/>
        <w:outlineLvl w:val="2"/>
        <w:rPr>
          <w:bCs/>
          <w:i/>
          <w:noProof/>
          <w:szCs w:val="24"/>
        </w:rPr>
      </w:pPr>
      <w:bookmarkStart w:id="104" w:name="_Toc514938047"/>
      <w:bookmarkStart w:id="105" w:name="_Toc520485046"/>
      <w:bookmarkStart w:id="106" w:name="_Toc160804588"/>
      <w:bookmarkStart w:id="107" w:name="_Toc167220280"/>
      <w:bookmarkStart w:id="108" w:name="_Toc177549013"/>
      <w:r w:rsidRPr="00210DAC">
        <w:rPr>
          <w:i/>
          <w:noProof/>
        </w:rPr>
        <w:t>2.2.2.</w:t>
      </w:r>
      <w:r w:rsidRPr="00210DAC">
        <w:rPr>
          <w:i/>
          <w:noProof/>
        </w:rPr>
        <w:tab/>
        <w:t>Informacije o utvrđenim rizicima i sustavima unutarnje kontrole uspostavljenima za njihovo smanjenje</w:t>
      </w:r>
      <w:bookmarkEnd w:id="104"/>
      <w:bookmarkEnd w:id="105"/>
      <w:bookmarkEnd w:id="106"/>
      <w:bookmarkEnd w:id="107"/>
      <w:bookmarkEnd w:id="108"/>
    </w:p>
    <w:p w:rsidR="00717136" w:rsidRPr="00210DAC" w:rsidRDefault="00717136" w:rsidP="00047793">
      <w:pPr>
        <w:pBdr>
          <w:top w:val="single" w:sz="4" w:space="1" w:color="auto"/>
          <w:left w:val="single" w:sz="4" w:space="4" w:color="auto"/>
          <w:bottom w:val="single" w:sz="4" w:space="1" w:color="auto"/>
          <w:right w:val="single" w:sz="4" w:space="4" w:color="auto"/>
        </w:pBdr>
        <w:ind w:left="850"/>
        <w:rPr>
          <w:noProof/>
        </w:rPr>
      </w:pPr>
      <w:r w:rsidRPr="00210DAC">
        <w:rPr>
          <w:noProof/>
        </w:rPr>
        <w:t>Sustavi unutarnje kontrole uspostavljeni za postojeće programe (Obzor Europa, Instrument za povezivanje Europe, program Digitalna Europa, Europski fond za obranu, ASAP, STEP) osmišljeni su kako bi se utvrdili i ublažili rizici, uključujući rizik od pogrešaka i nepravilnosti.</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color w:val="008000"/>
        </w:rPr>
      </w:pPr>
      <w:r w:rsidRPr="00210DAC">
        <w:rPr>
          <w:noProof/>
        </w:rPr>
        <w:t>Izmjene iz ove uredbe ne mijenjaju značajno vrste rizika postojećih programa. Komisija će se nastaviti oslanjati na postojeće sustave unutarnje kontrole koji su uspostavljeni kako bi se programi provodili djelotvorno i učinkovito.</w:t>
      </w:r>
    </w:p>
    <w:p w:rsidR="00717136" w:rsidRPr="00210DAC" w:rsidRDefault="00717136" w:rsidP="00717136">
      <w:pPr>
        <w:keepNext/>
        <w:tabs>
          <w:tab w:val="left" w:pos="850"/>
        </w:tabs>
        <w:ind w:left="850" w:hanging="850"/>
        <w:outlineLvl w:val="2"/>
        <w:rPr>
          <w:i/>
          <w:noProof/>
        </w:rPr>
      </w:pPr>
      <w:bookmarkStart w:id="109" w:name="_Toc514938048"/>
      <w:bookmarkStart w:id="110" w:name="_Toc520485047"/>
      <w:bookmarkStart w:id="111" w:name="_Toc160804589"/>
      <w:bookmarkStart w:id="112" w:name="_Toc167220281"/>
      <w:bookmarkStart w:id="113" w:name="_Toc177549014"/>
      <w:r w:rsidRPr="00210DAC">
        <w:rPr>
          <w:i/>
          <w:noProof/>
        </w:rPr>
        <w:t>2.2.3.</w:t>
      </w:r>
      <w:r w:rsidRPr="00210DAC">
        <w:rPr>
          <w:i/>
          <w:noProof/>
        </w:rPr>
        <w:tab/>
        <w:t>Procjena i obrazloženje troškovne učinkovitosti kontrola (omjer troškova kontrola i vrijednosti sredstava kojima se upravlja) i procjena očekivane razine rizika od pogreške (pri plaćanju i pri zaključenju)</w:t>
      </w:r>
      <w:bookmarkEnd w:id="109"/>
      <w:bookmarkEnd w:id="110"/>
      <w:bookmarkEnd w:id="111"/>
      <w:bookmarkEnd w:id="112"/>
      <w:bookmarkEnd w:id="113"/>
      <w:r w:rsidRPr="00210DAC">
        <w:rPr>
          <w:i/>
          <w:noProof/>
        </w:rPr>
        <w:t xml:space="preserve">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Očekuje se da će troškovna učinkovitost kontrola za izmijenjene programe biti u skladu s postojećim programima. Komisija će se nastaviti oslanjati na postojeće sustave kontrole koji su uspostavljeni kako bi se programi provodili djelotvorno i učinkovito jer izmjene iz ove uredbe programe ne mijenjaju značajno.</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color w:val="008000"/>
        </w:rPr>
      </w:pPr>
      <w:r w:rsidRPr="00210DAC">
        <w:rPr>
          <w:noProof/>
        </w:rPr>
        <w:t xml:space="preserve">Komisija će nastaviti pratiti provedbu programa, uključujući izmijenjene odredbe, i o tome izvješćivati u skladu s postojećim zahtjevima i postupcima. </w:t>
      </w:r>
    </w:p>
    <w:p w:rsidR="00717136" w:rsidRPr="00210DAC" w:rsidRDefault="00717136" w:rsidP="00717136">
      <w:pPr>
        <w:keepNext/>
        <w:tabs>
          <w:tab w:val="left" w:pos="850"/>
        </w:tabs>
        <w:ind w:left="850" w:hanging="850"/>
        <w:outlineLvl w:val="1"/>
        <w:rPr>
          <w:b/>
          <w:bCs/>
          <w:noProof/>
          <w:szCs w:val="24"/>
        </w:rPr>
      </w:pPr>
      <w:bookmarkStart w:id="114" w:name="_Toc514938049"/>
      <w:bookmarkStart w:id="115" w:name="_Toc520485048"/>
      <w:bookmarkStart w:id="116" w:name="_Toc160804590"/>
      <w:bookmarkStart w:id="117" w:name="_Toc167220282"/>
      <w:bookmarkStart w:id="118" w:name="_Toc177549015"/>
      <w:r w:rsidRPr="00210DAC">
        <w:rPr>
          <w:b/>
          <w:noProof/>
        </w:rPr>
        <w:t>2.3.</w:t>
      </w:r>
      <w:r w:rsidRPr="00210DAC">
        <w:rPr>
          <w:b/>
          <w:noProof/>
        </w:rPr>
        <w:tab/>
        <w:t>Mjere za sprečavanje prijevara i nepravilnosti</w:t>
      </w:r>
      <w:bookmarkEnd w:id="114"/>
      <w:bookmarkEnd w:id="115"/>
      <w:bookmarkEnd w:id="116"/>
      <w:bookmarkEnd w:id="117"/>
      <w:bookmarkEnd w:id="118"/>
      <w:r w:rsidRPr="00210DAC">
        <w:rPr>
          <w:b/>
          <w:noProof/>
        </w:rPr>
        <w:t xml:space="preserve"> </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Komisija će nastaviti primjenjivati mjere predviđene u okviru programa na koje utječe predložena uredba kako bi sprečavala prijevare i nepravilnosti, uključujući mjere navedene u njezinoj strategiji za borbu protiv prijevara.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Na izmijenjene programe primjenjivat će se i opći okvir Komisije za borbu protiv prijevara, koji uključuje redovito praćenje i izvješćivanje o rizicima i incidentima od prijevara. Komisija će na sprečavanju i istraživanju prijevara i nepravilnosti nastaviti blisko surađivati s Europskim uredom za borbu protiv prijevara (OLAF) i drugim relevantnim tijelima.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pPr>
      <w:r w:rsidRPr="00210DAC">
        <w:rPr>
          <w:noProof/>
        </w:rPr>
        <w:t>U ovoj fazi nisu predviđene dodatne mjere jer se postojeće mjere smatraju primjerenima za sprečavanje prijevara i nepravilnosti u izmijenjenim programima.</w:t>
      </w:r>
    </w:p>
    <w:p w:rsidR="00717136" w:rsidRPr="00210DAC" w:rsidRDefault="00717136" w:rsidP="00717136">
      <w:pPr>
        <w:pBdr>
          <w:top w:val="single" w:sz="4" w:space="1" w:color="auto"/>
          <w:left w:val="single" w:sz="4" w:space="4" w:color="auto"/>
          <w:bottom w:val="single" w:sz="4" w:space="1" w:color="auto"/>
          <w:right w:val="single" w:sz="4" w:space="4" w:color="auto"/>
        </w:pBdr>
        <w:ind w:left="850"/>
        <w:rPr>
          <w:noProof/>
        </w:rPr>
        <w:sectPr w:rsidR="00717136" w:rsidRPr="00210DAC" w:rsidSect="005F779D">
          <w:pgSz w:w="11907" w:h="16840" w:code="9"/>
          <w:pgMar w:top="1134" w:right="1418" w:bottom="1134" w:left="1418" w:header="709" w:footer="709" w:gutter="0"/>
          <w:cols w:space="708"/>
          <w:docGrid w:linePitch="360"/>
        </w:sectPr>
      </w:pPr>
    </w:p>
    <w:p w:rsidR="00717136" w:rsidRPr="00210DAC" w:rsidRDefault="00717136" w:rsidP="00717136">
      <w:pPr>
        <w:keepNext/>
        <w:tabs>
          <w:tab w:val="left" w:pos="850"/>
        </w:tabs>
        <w:spacing w:before="360"/>
        <w:ind w:left="850" w:hanging="850"/>
        <w:outlineLvl w:val="0"/>
        <w:rPr>
          <w:b/>
          <w:bCs/>
          <w:smallCaps/>
          <w:noProof/>
          <w:szCs w:val="24"/>
        </w:rPr>
      </w:pPr>
      <w:bookmarkStart w:id="119" w:name="_Toc514938050"/>
      <w:bookmarkStart w:id="120" w:name="_Toc520485049"/>
      <w:bookmarkStart w:id="121" w:name="_Toc160804591"/>
      <w:bookmarkStart w:id="122" w:name="_Toc167220283"/>
      <w:bookmarkStart w:id="123" w:name="_Toc177549016"/>
      <w:r w:rsidRPr="00210DAC">
        <w:rPr>
          <w:b/>
          <w:smallCaps/>
          <w:noProof/>
        </w:rPr>
        <w:t>3.</w:t>
      </w:r>
      <w:r w:rsidRPr="00210DAC">
        <w:rPr>
          <w:b/>
          <w:smallCaps/>
          <w:noProof/>
        </w:rPr>
        <w:tab/>
        <w:t>PROCIJENJENI FINANCIJSKI UČINAK PRIJEDLOGA/INICIJATIVE</w:t>
      </w:r>
      <w:bookmarkEnd w:id="119"/>
      <w:bookmarkEnd w:id="120"/>
      <w:bookmarkEnd w:id="121"/>
      <w:bookmarkEnd w:id="122"/>
      <w:bookmarkEnd w:id="123"/>
      <w:r w:rsidRPr="00210DAC">
        <w:rPr>
          <w:b/>
          <w:smallCaps/>
          <w:noProof/>
        </w:rPr>
        <w:t xml:space="preserve"> </w:t>
      </w:r>
    </w:p>
    <w:p w:rsidR="00717136" w:rsidRPr="00210DAC" w:rsidRDefault="00717136" w:rsidP="00717136">
      <w:pPr>
        <w:keepNext/>
        <w:tabs>
          <w:tab w:val="left" w:pos="850"/>
        </w:tabs>
        <w:ind w:left="850" w:hanging="850"/>
        <w:outlineLvl w:val="1"/>
        <w:rPr>
          <w:b/>
          <w:noProof/>
        </w:rPr>
      </w:pPr>
      <w:bookmarkStart w:id="124" w:name="_Toc514938051"/>
      <w:bookmarkStart w:id="125" w:name="_Toc520485050"/>
      <w:bookmarkStart w:id="126" w:name="_Toc160804592"/>
      <w:bookmarkStart w:id="127" w:name="_Toc167220284"/>
      <w:bookmarkStart w:id="128" w:name="_Toc177549017"/>
      <w:r w:rsidRPr="00210DAC">
        <w:rPr>
          <w:b/>
          <w:noProof/>
        </w:rPr>
        <w:t>3.1.</w:t>
      </w:r>
      <w:r w:rsidRPr="00210DAC">
        <w:rPr>
          <w:b/>
          <w:noProof/>
        </w:rPr>
        <w:tab/>
        <w:t>Naslovi višegodišnjeg financijskog okvira i proračunske linije rashoda na koje prijedlog/inicijativa ima učinak</w:t>
      </w:r>
      <w:bookmarkEnd w:id="124"/>
      <w:bookmarkEnd w:id="125"/>
      <w:bookmarkEnd w:id="126"/>
      <w:bookmarkEnd w:id="127"/>
      <w:bookmarkEnd w:id="128"/>
      <w:r w:rsidRPr="00210DAC">
        <w:rPr>
          <w:b/>
          <w:noProof/>
        </w:rPr>
        <w:t xml:space="preserve"> </w:t>
      </w:r>
    </w:p>
    <w:p w:rsidR="00717136" w:rsidRPr="00210DAC" w:rsidRDefault="00717136" w:rsidP="00940294">
      <w:pPr>
        <w:pStyle w:val="Bullet0"/>
        <w:numPr>
          <w:ilvl w:val="0"/>
          <w:numId w:val="27"/>
        </w:numPr>
        <w:rPr>
          <w:noProof/>
        </w:rPr>
      </w:pPr>
      <w:r w:rsidRPr="00210DAC">
        <w:rPr>
          <w:noProof/>
        </w:rPr>
        <w:t xml:space="preserve">Postojeće proračunske linije </w:t>
      </w:r>
    </w:p>
    <w:p w:rsidR="00717136" w:rsidRPr="00210DAC" w:rsidRDefault="00717136" w:rsidP="00717136">
      <w:pPr>
        <w:ind w:left="850"/>
        <w:rPr>
          <w:i/>
          <w:noProof/>
        </w:rPr>
      </w:pPr>
      <w:r w:rsidRPr="00210DAC">
        <w:rPr>
          <w:i/>
          <w:noProof/>
          <w:u w:val="single"/>
        </w:rPr>
        <w:t>Prema redoslijedu</w:t>
      </w:r>
      <w:r w:rsidRPr="00210DAC">
        <w:rPr>
          <w:i/>
          <w:noProof/>
        </w:rPr>
        <w:t xml:space="preserve"> naslova višegodišnjeg financijskog okvira i proračunskih linija.</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717136" w:rsidRPr="00210DAC" w:rsidTr="00022CAC">
        <w:trPr>
          <w:jc w:val="center"/>
        </w:trPr>
        <w:tc>
          <w:tcPr>
            <w:tcW w:w="1092" w:type="dxa"/>
            <w:vMerge w:val="restart"/>
            <w:vAlign w:val="center"/>
          </w:tcPr>
          <w:p w:rsidR="00717136" w:rsidRPr="00210DAC" w:rsidRDefault="00717136" w:rsidP="00717136">
            <w:pPr>
              <w:spacing w:before="60" w:after="60"/>
              <w:jc w:val="center"/>
              <w:rPr>
                <w:noProof/>
              </w:rPr>
            </w:pPr>
            <w:r w:rsidRPr="00210DAC">
              <w:rPr>
                <w:noProof/>
                <w:sz w:val="18"/>
              </w:rPr>
              <w:t>Naslov višegodišnjeg financijskog okvira</w:t>
            </w:r>
          </w:p>
        </w:tc>
        <w:tc>
          <w:tcPr>
            <w:tcW w:w="4002" w:type="dxa"/>
            <w:vAlign w:val="center"/>
          </w:tcPr>
          <w:p w:rsidR="00717136" w:rsidRPr="00210DAC" w:rsidRDefault="00717136" w:rsidP="00717136">
            <w:pPr>
              <w:spacing w:before="60" w:after="60"/>
              <w:jc w:val="center"/>
              <w:rPr>
                <w:noProof/>
              </w:rPr>
            </w:pPr>
            <w:r w:rsidRPr="00210DAC">
              <w:rPr>
                <w:noProof/>
                <w:sz w:val="20"/>
              </w:rPr>
              <w:t>Proračunska linija</w:t>
            </w:r>
          </w:p>
        </w:tc>
        <w:tc>
          <w:tcPr>
            <w:tcW w:w="1092" w:type="dxa"/>
            <w:vAlign w:val="center"/>
          </w:tcPr>
          <w:p w:rsidR="00717136" w:rsidRPr="00210DAC" w:rsidRDefault="00717136" w:rsidP="00717136">
            <w:pPr>
              <w:spacing w:before="60" w:after="60"/>
              <w:jc w:val="center"/>
              <w:rPr>
                <w:noProof/>
              </w:rPr>
            </w:pPr>
            <w:r w:rsidRPr="00210DAC">
              <w:rPr>
                <w:noProof/>
                <w:sz w:val="18"/>
              </w:rPr>
              <w:t>Vrsta rashoda</w:t>
            </w:r>
          </w:p>
        </w:tc>
        <w:tc>
          <w:tcPr>
            <w:tcW w:w="4487" w:type="dxa"/>
            <w:gridSpan w:val="4"/>
            <w:vAlign w:val="center"/>
          </w:tcPr>
          <w:p w:rsidR="00717136" w:rsidRPr="00210DAC" w:rsidRDefault="00717136" w:rsidP="00717136">
            <w:pPr>
              <w:spacing w:before="60" w:after="60"/>
              <w:jc w:val="center"/>
              <w:rPr>
                <w:noProof/>
              </w:rPr>
            </w:pPr>
            <w:r w:rsidRPr="00210DAC">
              <w:rPr>
                <w:noProof/>
                <w:sz w:val="20"/>
              </w:rPr>
              <w:t xml:space="preserve">Doprinos </w:t>
            </w:r>
          </w:p>
        </w:tc>
      </w:tr>
      <w:tr w:rsidR="00717136" w:rsidRPr="00210DAC" w:rsidTr="00022CAC">
        <w:trPr>
          <w:cantSplit/>
          <w:jc w:val="center"/>
        </w:trPr>
        <w:tc>
          <w:tcPr>
            <w:tcW w:w="1092" w:type="dxa"/>
            <w:vMerge/>
            <w:vAlign w:val="center"/>
          </w:tcPr>
          <w:p w:rsidR="00717136" w:rsidRPr="00210DAC" w:rsidRDefault="00717136" w:rsidP="00717136">
            <w:pPr>
              <w:jc w:val="center"/>
              <w:rPr>
                <w:noProof/>
              </w:rPr>
            </w:pPr>
          </w:p>
        </w:tc>
        <w:tc>
          <w:tcPr>
            <w:tcW w:w="4002" w:type="dxa"/>
            <w:vAlign w:val="center"/>
          </w:tcPr>
          <w:p w:rsidR="00717136" w:rsidRPr="00210DAC" w:rsidRDefault="00717136" w:rsidP="00717136">
            <w:pPr>
              <w:rPr>
                <w:noProof/>
              </w:rPr>
            </w:pPr>
            <w:r w:rsidRPr="00210DAC">
              <w:rPr>
                <w:noProof/>
                <w:sz w:val="20"/>
              </w:rPr>
              <w:t xml:space="preserve">Broj </w:t>
            </w:r>
            <w:r w:rsidRPr="00210DAC">
              <w:rPr>
                <w:noProof/>
                <w:sz w:val="22"/>
              </w:rPr>
              <w:br/>
            </w:r>
          </w:p>
        </w:tc>
        <w:tc>
          <w:tcPr>
            <w:tcW w:w="1092" w:type="dxa"/>
            <w:vAlign w:val="center"/>
          </w:tcPr>
          <w:p w:rsidR="00717136" w:rsidRPr="00210DAC" w:rsidRDefault="00717136" w:rsidP="00717136">
            <w:pPr>
              <w:jc w:val="center"/>
              <w:rPr>
                <w:noProof/>
              </w:rPr>
            </w:pPr>
            <w:r w:rsidRPr="00210DAC">
              <w:rPr>
                <w:noProof/>
                <w:sz w:val="18"/>
              </w:rPr>
              <w:t>Dif./nedif.</w:t>
            </w:r>
            <w:r w:rsidRPr="00210DAC">
              <w:rPr>
                <w:rStyle w:val="FootnoteReference"/>
                <w:noProof/>
              </w:rPr>
              <w:footnoteReference w:id="14"/>
            </w:r>
          </w:p>
        </w:tc>
        <w:tc>
          <w:tcPr>
            <w:tcW w:w="966" w:type="dxa"/>
            <w:vAlign w:val="center"/>
          </w:tcPr>
          <w:p w:rsidR="00717136" w:rsidRPr="00210DAC" w:rsidRDefault="00717136" w:rsidP="00717136">
            <w:pPr>
              <w:jc w:val="center"/>
              <w:rPr>
                <w:b/>
                <w:noProof/>
                <w:sz w:val="18"/>
              </w:rPr>
            </w:pPr>
            <w:r w:rsidRPr="00210DAC">
              <w:rPr>
                <w:noProof/>
                <w:sz w:val="18"/>
              </w:rPr>
              <w:t>zemalja EFTA-e</w:t>
            </w:r>
            <w:r w:rsidRPr="00210DAC">
              <w:rPr>
                <w:rStyle w:val="FootnoteReference"/>
                <w:noProof/>
              </w:rPr>
              <w:footnoteReference w:id="15"/>
            </w:r>
          </w:p>
        </w:tc>
        <w:tc>
          <w:tcPr>
            <w:tcW w:w="1092" w:type="dxa"/>
            <w:vAlign w:val="center"/>
          </w:tcPr>
          <w:p w:rsidR="00717136" w:rsidRPr="00210DAC" w:rsidRDefault="00717136" w:rsidP="00717136">
            <w:pPr>
              <w:jc w:val="center"/>
              <w:rPr>
                <w:noProof/>
                <w:sz w:val="18"/>
              </w:rPr>
            </w:pPr>
            <w:r w:rsidRPr="00210DAC">
              <w:rPr>
                <w:noProof/>
                <w:sz w:val="18"/>
              </w:rPr>
              <w:t>zemalja kandidatkinja i potencijalnih kandidata</w:t>
            </w:r>
            <w:r w:rsidRPr="00210DAC">
              <w:rPr>
                <w:rStyle w:val="FootnoteReference"/>
                <w:noProof/>
              </w:rPr>
              <w:footnoteReference w:id="16"/>
            </w:r>
          </w:p>
        </w:tc>
        <w:tc>
          <w:tcPr>
            <w:tcW w:w="966" w:type="dxa"/>
            <w:vAlign w:val="center"/>
          </w:tcPr>
          <w:p w:rsidR="00717136" w:rsidRPr="00210DAC" w:rsidRDefault="00717136" w:rsidP="00717136">
            <w:pPr>
              <w:jc w:val="center"/>
              <w:rPr>
                <w:noProof/>
                <w:sz w:val="18"/>
              </w:rPr>
            </w:pPr>
            <w:r w:rsidRPr="00210DAC">
              <w:rPr>
                <w:noProof/>
                <w:sz w:val="18"/>
              </w:rPr>
              <w:t>ostalih trećih zemalja</w:t>
            </w:r>
          </w:p>
        </w:tc>
        <w:tc>
          <w:tcPr>
            <w:tcW w:w="1463" w:type="dxa"/>
            <w:vAlign w:val="center"/>
          </w:tcPr>
          <w:p w:rsidR="00717136" w:rsidRPr="00210DAC" w:rsidRDefault="00717136" w:rsidP="00717136">
            <w:pPr>
              <w:jc w:val="center"/>
              <w:rPr>
                <w:noProof/>
              </w:rPr>
            </w:pPr>
            <w:r w:rsidRPr="00210DAC">
              <w:rPr>
                <w:noProof/>
                <w:sz w:val="18"/>
              </w:rPr>
              <w:t>drugi namjenski prihodi</w:t>
            </w:r>
          </w:p>
        </w:tc>
      </w:tr>
      <w:tr w:rsidR="00717136" w:rsidRPr="00210DAC" w:rsidTr="00022CAC">
        <w:trPr>
          <w:jc w:val="center"/>
        </w:trPr>
        <w:tc>
          <w:tcPr>
            <w:tcW w:w="1092" w:type="dxa"/>
            <w:vAlign w:val="center"/>
          </w:tcPr>
          <w:p w:rsidR="00717136" w:rsidRPr="00210DAC" w:rsidRDefault="00717136" w:rsidP="00717136">
            <w:pPr>
              <w:jc w:val="center"/>
              <w:rPr>
                <w:noProof/>
                <w:color w:val="0000FF"/>
                <w:sz w:val="22"/>
              </w:rPr>
            </w:pPr>
            <w:r w:rsidRPr="00210DAC">
              <w:rPr>
                <w:noProof/>
                <w:color w:val="0000FF"/>
                <w:sz w:val="22"/>
              </w:rPr>
              <w:t>1</w:t>
            </w:r>
          </w:p>
        </w:tc>
        <w:tc>
          <w:tcPr>
            <w:tcW w:w="4002" w:type="dxa"/>
            <w:vAlign w:val="center"/>
          </w:tcPr>
          <w:p w:rsidR="00717136" w:rsidRPr="00210DAC" w:rsidRDefault="00717136" w:rsidP="00717136">
            <w:pPr>
              <w:spacing w:after="60"/>
              <w:rPr>
                <w:noProof/>
                <w:sz w:val="22"/>
              </w:rPr>
            </w:pPr>
            <w:r w:rsidRPr="00210DAC">
              <w:rPr>
                <w:noProof/>
                <w:sz w:val="22"/>
              </w:rPr>
              <w:t>01.020301 Europsko vijeće za inovacije (Obzor Europa)</w:t>
            </w:r>
          </w:p>
        </w:tc>
        <w:tc>
          <w:tcPr>
            <w:tcW w:w="1092" w:type="dxa"/>
            <w:vAlign w:val="center"/>
          </w:tcPr>
          <w:p w:rsidR="00717136" w:rsidRPr="00210DAC" w:rsidRDefault="00717136" w:rsidP="00717136">
            <w:pPr>
              <w:jc w:val="center"/>
              <w:rPr>
                <w:noProof/>
                <w:color w:val="0000FF"/>
                <w:sz w:val="22"/>
              </w:rPr>
            </w:pPr>
            <w:r w:rsidRPr="00210DAC">
              <w:rPr>
                <w:noProof/>
                <w:sz w:val="22"/>
              </w:rPr>
              <w:t>Dif.</w:t>
            </w:r>
          </w:p>
        </w:tc>
        <w:tc>
          <w:tcPr>
            <w:tcW w:w="966" w:type="dxa"/>
            <w:vAlign w:val="center"/>
          </w:tcPr>
          <w:p w:rsidR="00717136" w:rsidRPr="00210DAC" w:rsidRDefault="00717136" w:rsidP="00717136">
            <w:pPr>
              <w:jc w:val="center"/>
              <w:rPr>
                <w:noProof/>
                <w:sz w:val="22"/>
              </w:rPr>
            </w:pPr>
            <w:r w:rsidRPr="00210DAC">
              <w:rPr>
                <w:noProof/>
                <w:sz w:val="22"/>
              </w:rPr>
              <w:t>⁪Da</w:t>
            </w:r>
          </w:p>
        </w:tc>
        <w:tc>
          <w:tcPr>
            <w:tcW w:w="1092" w:type="dxa"/>
            <w:vAlign w:val="center"/>
          </w:tcPr>
          <w:p w:rsidR="00717136" w:rsidRPr="00210DAC" w:rsidRDefault="00717136" w:rsidP="00717136">
            <w:pPr>
              <w:jc w:val="center"/>
              <w:rPr>
                <w:noProof/>
                <w:sz w:val="22"/>
              </w:rPr>
            </w:pPr>
            <w:r w:rsidRPr="00210DAC">
              <w:rPr>
                <w:noProof/>
                <w:sz w:val="22"/>
              </w:rPr>
              <w:t>⁪Da</w:t>
            </w:r>
          </w:p>
        </w:tc>
        <w:tc>
          <w:tcPr>
            <w:tcW w:w="966" w:type="dxa"/>
            <w:vAlign w:val="center"/>
          </w:tcPr>
          <w:p w:rsidR="00717136" w:rsidRPr="00210DAC" w:rsidRDefault="00717136" w:rsidP="00717136">
            <w:pPr>
              <w:jc w:val="center"/>
              <w:rPr>
                <w:noProof/>
                <w:sz w:val="22"/>
              </w:rPr>
            </w:pPr>
            <w:r w:rsidRPr="00210DAC">
              <w:rPr>
                <w:noProof/>
                <w:sz w:val="22"/>
              </w:rPr>
              <w:t>⁪Da</w:t>
            </w:r>
          </w:p>
        </w:tc>
        <w:tc>
          <w:tcPr>
            <w:tcW w:w="1463" w:type="dxa"/>
            <w:vAlign w:val="center"/>
          </w:tcPr>
          <w:p w:rsidR="00717136" w:rsidRPr="00210DAC" w:rsidRDefault="00717136" w:rsidP="00717136">
            <w:pPr>
              <w:jc w:val="center"/>
              <w:rPr>
                <w:noProof/>
                <w:sz w:val="22"/>
              </w:rPr>
            </w:pPr>
            <w:r w:rsidRPr="00210DAC">
              <w:rPr>
                <w:noProof/>
                <w:sz w:val="22"/>
              </w:rPr>
              <w:t>⁪Da</w:t>
            </w:r>
          </w:p>
        </w:tc>
      </w:tr>
      <w:tr w:rsidR="00717136" w:rsidRPr="00210DAC" w:rsidTr="00022CAC">
        <w:trPr>
          <w:jc w:val="center"/>
        </w:trPr>
        <w:tc>
          <w:tcPr>
            <w:tcW w:w="1092" w:type="dxa"/>
            <w:vAlign w:val="center"/>
          </w:tcPr>
          <w:p w:rsidR="00717136" w:rsidRPr="00210DAC" w:rsidRDefault="00717136" w:rsidP="00717136">
            <w:pPr>
              <w:jc w:val="center"/>
              <w:rPr>
                <w:noProof/>
                <w:color w:val="0000FF"/>
                <w:sz w:val="22"/>
              </w:rPr>
            </w:pPr>
            <w:r w:rsidRPr="00210DAC">
              <w:rPr>
                <w:noProof/>
                <w:color w:val="0000FF"/>
                <w:sz w:val="22"/>
              </w:rPr>
              <w:t>5</w:t>
            </w:r>
          </w:p>
        </w:tc>
        <w:tc>
          <w:tcPr>
            <w:tcW w:w="4002" w:type="dxa"/>
            <w:vAlign w:val="center"/>
          </w:tcPr>
          <w:p w:rsidR="00717136" w:rsidRPr="00210DAC" w:rsidRDefault="00717136" w:rsidP="00717136">
            <w:pPr>
              <w:spacing w:before="60"/>
              <w:rPr>
                <w:noProof/>
                <w:sz w:val="22"/>
              </w:rPr>
            </w:pPr>
            <w:r w:rsidRPr="00210DAC">
              <w:rPr>
                <w:noProof/>
                <w:sz w:val="22"/>
              </w:rPr>
              <w:t>13.04.01.00 – Vojna mobilnost</w:t>
            </w:r>
          </w:p>
        </w:tc>
        <w:tc>
          <w:tcPr>
            <w:tcW w:w="1092" w:type="dxa"/>
            <w:vAlign w:val="center"/>
          </w:tcPr>
          <w:p w:rsidR="00717136" w:rsidRPr="00210DAC" w:rsidRDefault="00717136" w:rsidP="00717136">
            <w:pPr>
              <w:jc w:val="center"/>
              <w:rPr>
                <w:noProof/>
                <w:sz w:val="22"/>
              </w:rPr>
            </w:pPr>
            <w:r w:rsidRPr="00210DAC">
              <w:rPr>
                <w:noProof/>
                <w:sz w:val="22"/>
              </w:rPr>
              <w:t>Dif.</w:t>
            </w:r>
          </w:p>
        </w:tc>
        <w:tc>
          <w:tcPr>
            <w:tcW w:w="966" w:type="dxa"/>
            <w:vAlign w:val="center"/>
          </w:tcPr>
          <w:p w:rsidR="00717136" w:rsidRPr="00210DAC" w:rsidRDefault="00717136" w:rsidP="00717136">
            <w:pPr>
              <w:jc w:val="center"/>
              <w:rPr>
                <w:noProof/>
                <w:sz w:val="22"/>
              </w:rPr>
            </w:pPr>
            <w:r w:rsidRPr="00210DAC">
              <w:rPr>
                <w:noProof/>
                <w:sz w:val="22"/>
              </w:rPr>
              <w:t>NE</w:t>
            </w:r>
          </w:p>
        </w:tc>
        <w:tc>
          <w:tcPr>
            <w:tcW w:w="1092" w:type="dxa"/>
            <w:vAlign w:val="center"/>
          </w:tcPr>
          <w:p w:rsidR="00717136" w:rsidRPr="00210DAC" w:rsidRDefault="00717136" w:rsidP="00717136">
            <w:pPr>
              <w:jc w:val="center"/>
              <w:rPr>
                <w:noProof/>
                <w:sz w:val="22"/>
              </w:rPr>
            </w:pPr>
            <w:r w:rsidRPr="00210DAC">
              <w:rPr>
                <w:noProof/>
                <w:sz w:val="22"/>
              </w:rPr>
              <w:t>DA</w:t>
            </w:r>
          </w:p>
        </w:tc>
        <w:tc>
          <w:tcPr>
            <w:tcW w:w="966" w:type="dxa"/>
            <w:vAlign w:val="center"/>
          </w:tcPr>
          <w:p w:rsidR="00717136" w:rsidRPr="00210DAC" w:rsidRDefault="00717136" w:rsidP="00717136">
            <w:pPr>
              <w:jc w:val="center"/>
              <w:rPr>
                <w:noProof/>
                <w:sz w:val="22"/>
              </w:rPr>
            </w:pPr>
            <w:r w:rsidRPr="00210DAC">
              <w:rPr>
                <w:noProof/>
                <w:sz w:val="22"/>
              </w:rPr>
              <w:t>NE</w:t>
            </w:r>
          </w:p>
        </w:tc>
        <w:tc>
          <w:tcPr>
            <w:tcW w:w="1463" w:type="dxa"/>
            <w:vAlign w:val="center"/>
          </w:tcPr>
          <w:p w:rsidR="00717136" w:rsidRPr="00210DAC" w:rsidRDefault="00717136" w:rsidP="00717136">
            <w:pPr>
              <w:jc w:val="center"/>
              <w:rPr>
                <w:noProof/>
                <w:sz w:val="22"/>
              </w:rPr>
            </w:pPr>
            <w:r w:rsidRPr="00210DAC">
              <w:rPr>
                <w:noProof/>
                <w:sz w:val="22"/>
              </w:rPr>
              <w:t>NE</w:t>
            </w:r>
          </w:p>
        </w:tc>
      </w:tr>
      <w:tr w:rsidR="00717136" w:rsidRPr="00210DAC" w:rsidTr="00022CAC">
        <w:trPr>
          <w:jc w:val="center"/>
        </w:trPr>
        <w:tc>
          <w:tcPr>
            <w:tcW w:w="1092" w:type="dxa"/>
            <w:vAlign w:val="center"/>
          </w:tcPr>
          <w:p w:rsidR="00717136" w:rsidRPr="00210DAC" w:rsidRDefault="00717136" w:rsidP="00717136">
            <w:pPr>
              <w:jc w:val="center"/>
              <w:rPr>
                <w:noProof/>
                <w:color w:val="0000FF"/>
                <w:sz w:val="22"/>
              </w:rPr>
            </w:pPr>
            <w:r w:rsidRPr="00210DAC">
              <w:rPr>
                <w:noProof/>
                <w:color w:val="0000FF"/>
                <w:sz w:val="22"/>
              </w:rPr>
              <w:t>5</w:t>
            </w:r>
          </w:p>
        </w:tc>
        <w:tc>
          <w:tcPr>
            <w:tcW w:w="4002" w:type="dxa"/>
            <w:vAlign w:val="center"/>
          </w:tcPr>
          <w:p w:rsidR="00717136" w:rsidRPr="00210DAC" w:rsidRDefault="00717136" w:rsidP="00717136">
            <w:pPr>
              <w:spacing w:before="60"/>
              <w:rPr>
                <w:noProof/>
                <w:sz w:val="22"/>
              </w:rPr>
            </w:pPr>
            <w:r w:rsidRPr="00210DAC">
              <w:rPr>
                <w:noProof/>
                <w:sz w:val="22"/>
              </w:rPr>
              <w:t>13.01.03.01 – Rashodi za potporu vojnoj mobilnosti</w:t>
            </w:r>
          </w:p>
        </w:tc>
        <w:tc>
          <w:tcPr>
            <w:tcW w:w="1092" w:type="dxa"/>
            <w:vAlign w:val="center"/>
          </w:tcPr>
          <w:p w:rsidR="00717136" w:rsidRPr="00210DAC" w:rsidRDefault="00717136" w:rsidP="00717136">
            <w:pPr>
              <w:jc w:val="center"/>
              <w:rPr>
                <w:noProof/>
                <w:sz w:val="22"/>
              </w:rPr>
            </w:pPr>
            <w:r w:rsidRPr="00210DAC">
              <w:rPr>
                <w:noProof/>
                <w:sz w:val="22"/>
              </w:rPr>
              <w:t>Nedif.</w:t>
            </w:r>
          </w:p>
        </w:tc>
        <w:tc>
          <w:tcPr>
            <w:tcW w:w="966" w:type="dxa"/>
            <w:vAlign w:val="center"/>
          </w:tcPr>
          <w:p w:rsidR="00717136" w:rsidRPr="00210DAC" w:rsidRDefault="00717136" w:rsidP="00717136">
            <w:pPr>
              <w:jc w:val="center"/>
              <w:rPr>
                <w:noProof/>
                <w:sz w:val="22"/>
              </w:rPr>
            </w:pPr>
            <w:r w:rsidRPr="00210DAC">
              <w:rPr>
                <w:noProof/>
                <w:sz w:val="22"/>
              </w:rPr>
              <w:t>NE</w:t>
            </w:r>
          </w:p>
        </w:tc>
        <w:tc>
          <w:tcPr>
            <w:tcW w:w="1092" w:type="dxa"/>
            <w:vAlign w:val="center"/>
          </w:tcPr>
          <w:p w:rsidR="00717136" w:rsidRPr="00210DAC" w:rsidRDefault="00717136" w:rsidP="00717136">
            <w:pPr>
              <w:jc w:val="center"/>
              <w:rPr>
                <w:noProof/>
                <w:sz w:val="22"/>
              </w:rPr>
            </w:pPr>
            <w:r w:rsidRPr="00210DAC">
              <w:rPr>
                <w:noProof/>
                <w:sz w:val="22"/>
              </w:rPr>
              <w:t>DA</w:t>
            </w:r>
          </w:p>
        </w:tc>
        <w:tc>
          <w:tcPr>
            <w:tcW w:w="966" w:type="dxa"/>
            <w:vAlign w:val="center"/>
          </w:tcPr>
          <w:p w:rsidR="00717136" w:rsidRPr="00210DAC" w:rsidRDefault="00717136" w:rsidP="00717136">
            <w:pPr>
              <w:jc w:val="center"/>
              <w:rPr>
                <w:noProof/>
                <w:sz w:val="22"/>
              </w:rPr>
            </w:pPr>
            <w:r w:rsidRPr="00210DAC">
              <w:rPr>
                <w:noProof/>
                <w:sz w:val="22"/>
              </w:rPr>
              <w:t>NE</w:t>
            </w:r>
          </w:p>
        </w:tc>
        <w:tc>
          <w:tcPr>
            <w:tcW w:w="1463" w:type="dxa"/>
            <w:vAlign w:val="center"/>
          </w:tcPr>
          <w:p w:rsidR="00717136" w:rsidRPr="00210DAC" w:rsidRDefault="00717136" w:rsidP="00717136">
            <w:pPr>
              <w:jc w:val="center"/>
              <w:rPr>
                <w:noProof/>
                <w:sz w:val="22"/>
              </w:rPr>
            </w:pPr>
            <w:r w:rsidRPr="00210DAC">
              <w:rPr>
                <w:noProof/>
                <w:sz w:val="22"/>
              </w:rPr>
              <w:t>NE</w:t>
            </w:r>
          </w:p>
        </w:tc>
      </w:tr>
      <w:tr w:rsidR="00717136" w:rsidRPr="00210DAC" w:rsidTr="00022CAC">
        <w:trPr>
          <w:jc w:val="center"/>
        </w:trPr>
        <w:tc>
          <w:tcPr>
            <w:tcW w:w="1092" w:type="dxa"/>
            <w:vAlign w:val="center"/>
          </w:tcPr>
          <w:p w:rsidR="00717136" w:rsidRPr="00210DAC" w:rsidRDefault="00717136" w:rsidP="00717136">
            <w:pPr>
              <w:jc w:val="center"/>
              <w:rPr>
                <w:noProof/>
                <w:color w:val="0000FF"/>
                <w:sz w:val="22"/>
              </w:rPr>
            </w:pPr>
            <w:r w:rsidRPr="00210DAC">
              <w:rPr>
                <w:noProof/>
                <w:color w:val="0000FF"/>
                <w:sz w:val="22"/>
              </w:rPr>
              <w:t>5</w:t>
            </w:r>
          </w:p>
        </w:tc>
        <w:tc>
          <w:tcPr>
            <w:tcW w:w="4002" w:type="dxa"/>
            <w:vAlign w:val="center"/>
          </w:tcPr>
          <w:p w:rsidR="00717136" w:rsidRPr="00210DAC" w:rsidRDefault="00717136" w:rsidP="00717136">
            <w:pPr>
              <w:spacing w:before="60"/>
              <w:rPr>
                <w:noProof/>
                <w:sz w:val="22"/>
              </w:rPr>
            </w:pPr>
            <w:r w:rsidRPr="00210DAC">
              <w:rPr>
                <w:noProof/>
                <w:sz w:val="22"/>
              </w:rPr>
              <w:t>13.01.03.74 – Europska izvršna agencija za klimu, infrastrukturu i okoliš – Doprinos iz Instrumenta za povezivanje Europe (prometni sektor) za vojnu mobilnost</w:t>
            </w:r>
          </w:p>
        </w:tc>
        <w:tc>
          <w:tcPr>
            <w:tcW w:w="1092" w:type="dxa"/>
            <w:vAlign w:val="center"/>
          </w:tcPr>
          <w:p w:rsidR="00717136" w:rsidRPr="00210DAC" w:rsidRDefault="00717136" w:rsidP="00717136">
            <w:pPr>
              <w:jc w:val="center"/>
              <w:rPr>
                <w:noProof/>
                <w:sz w:val="22"/>
              </w:rPr>
            </w:pPr>
            <w:r w:rsidRPr="00210DAC">
              <w:rPr>
                <w:noProof/>
                <w:sz w:val="22"/>
              </w:rPr>
              <w:t>Nedif.</w:t>
            </w:r>
          </w:p>
        </w:tc>
        <w:tc>
          <w:tcPr>
            <w:tcW w:w="966" w:type="dxa"/>
            <w:vAlign w:val="center"/>
          </w:tcPr>
          <w:p w:rsidR="00717136" w:rsidRPr="00210DAC" w:rsidRDefault="00717136" w:rsidP="00717136">
            <w:pPr>
              <w:jc w:val="center"/>
              <w:rPr>
                <w:noProof/>
                <w:sz w:val="22"/>
              </w:rPr>
            </w:pPr>
            <w:r w:rsidRPr="00210DAC">
              <w:rPr>
                <w:noProof/>
                <w:sz w:val="22"/>
              </w:rPr>
              <w:t>NE</w:t>
            </w:r>
          </w:p>
        </w:tc>
        <w:tc>
          <w:tcPr>
            <w:tcW w:w="1092" w:type="dxa"/>
            <w:vAlign w:val="center"/>
          </w:tcPr>
          <w:p w:rsidR="00717136" w:rsidRPr="00210DAC" w:rsidRDefault="00717136" w:rsidP="00717136">
            <w:pPr>
              <w:jc w:val="center"/>
              <w:rPr>
                <w:noProof/>
                <w:sz w:val="22"/>
              </w:rPr>
            </w:pPr>
            <w:r w:rsidRPr="00210DAC">
              <w:rPr>
                <w:noProof/>
                <w:sz w:val="22"/>
              </w:rPr>
              <w:t>DA</w:t>
            </w:r>
          </w:p>
        </w:tc>
        <w:tc>
          <w:tcPr>
            <w:tcW w:w="966" w:type="dxa"/>
            <w:vAlign w:val="center"/>
          </w:tcPr>
          <w:p w:rsidR="00717136" w:rsidRPr="00210DAC" w:rsidRDefault="00717136" w:rsidP="00717136">
            <w:pPr>
              <w:jc w:val="center"/>
              <w:rPr>
                <w:noProof/>
                <w:sz w:val="22"/>
              </w:rPr>
            </w:pPr>
            <w:r w:rsidRPr="00210DAC">
              <w:rPr>
                <w:noProof/>
                <w:sz w:val="22"/>
              </w:rPr>
              <w:t>NE</w:t>
            </w:r>
          </w:p>
        </w:tc>
        <w:tc>
          <w:tcPr>
            <w:tcW w:w="1463" w:type="dxa"/>
            <w:vAlign w:val="center"/>
          </w:tcPr>
          <w:p w:rsidR="00717136" w:rsidRPr="00210DAC" w:rsidRDefault="00717136" w:rsidP="00717136">
            <w:pPr>
              <w:jc w:val="center"/>
              <w:rPr>
                <w:noProof/>
                <w:sz w:val="22"/>
              </w:rPr>
            </w:pPr>
            <w:r w:rsidRPr="00210DAC">
              <w:rPr>
                <w:noProof/>
                <w:sz w:val="22"/>
              </w:rPr>
              <w:t>NE</w:t>
            </w:r>
          </w:p>
        </w:tc>
      </w:tr>
    </w:tbl>
    <w:p w:rsidR="00717136" w:rsidRPr="00210DAC" w:rsidRDefault="00717136" w:rsidP="00717136">
      <w:pPr>
        <w:rPr>
          <w:noProof/>
        </w:rPr>
        <w:sectPr w:rsidR="00717136" w:rsidRPr="00210DAC" w:rsidSect="005F779D">
          <w:pgSz w:w="11907" w:h="16840" w:code="1"/>
          <w:pgMar w:top="1134" w:right="1418" w:bottom="1134" w:left="1418" w:header="709" w:footer="709" w:gutter="0"/>
          <w:cols w:space="708"/>
          <w:docGrid w:linePitch="360"/>
        </w:sectPr>
      </w:pPr>
    </w:p>
    <w:p w:rsidR="00717136" w:rsidRPr="00210DAC" w:rsidRDefault="00717136" w:rsidP="00717136">
      <w:pPr>
        <w:keepNext/>
        <w:tabs>
          <w:tab w:val="left" w:pos="850"/>
        </w:tabs>
        <w:ind w:left="850" w:hanging="850"/>
        <w:outlineLvl w:val="1"/>
        <w:rPr>
          <w:b/>
          <w:bCs/>
          <w:noProof/>
          <w:szCs w:val="24"/>
        </w:rPr>
      </w:pPr>
      <w:bookmarkStart w:id="129" w:name="_Toc514938052"/>
      <w:bookmarkStart w:id="130" w:name="_Toc520485051"/>
      <w:bookmarkStart w:id="131" w:name="_Toc160804593"/>
      <w:bookmarkStart w:id="132" w:name="_Toc167220285"/>
      <w:bookmarkStart w:id="133" w:name="_Toc177549018"/>
      <w:r w:rsidRPr="00210DAC">
        <w:rPr>
          <w:b/>
          <w:noProof/>
        </w:rPr>
        <w:t>3.2.</w:t>
      </w:r>
      <w:r w:rsidRPr="00210DAC">
        <w:rPr>
          <w:b/>
          <w:noProof/>
        </w:rPr>
        <w:tab/>
        <w:t>Procijenjeni financijski učinak prijedloga na odobrena sredstva</w:t>
      </w:r>
      <w:bookmarkEnd w:id="129"/>
      <w:bookmarkEnd w:id="130"/>
      <w:bookmarkEnd w:id="131"/>
      <w:bookmarkEnd w:id="132"/>
      <w:bookmarkEnd w:id="133"/>
      <w:r w:rsidRPr="00210DAC">
        <w:rPr>
          <w:b/>
          <w:noProof/>
        </w:rPr>
        <w:t xml:space="preserve"> </w:t>
      </w:r>
    </w:p>
    <w:p w:rsidR="00717136" w:rsidRPr="00210DAC" w:rsidRDefault="00717136" w:rsidP="00717136">
      <w:pPr>
        <w:keepNext/>
        <w:tabs>
          <w:tab w:val="left" w:pos="850"/>
        </w:tabs>
        <w:ind w:left="850" w:hanging="850"/>
        <w:outlineLvl w:val="2"/>
        <w:rPr>
          <w:i/>
          <w:noProof/>
        </w:rPr>
      </w:pPr>
      <w:bookmarkStart w:id="134" w:name="_Toc514938053"/>
      <w:bookmarkStart w:id="135" w:name="_Toc520485052"/>
      <w:bookmarkStart w:id="136" w:name="_Toc160804594"/>
      <w:bookmarkStart w:id="137" w:name="_Toc167220286"/>
      <w:bookmarkStart w:id="138" w:name="_Toc177549019"/>
      <w:r w:rsidRPr="00210DAC">
        <w:rPr>
          <w:i/>
          <w:noProof/>
        </w:rPr>
        <w:t>3.2.1.</w:t>
      </w:r>
      <w:r w:rsidRPr="00210DAC">
        <w:rPr>
          <w:i/>
          <w:noProof/>
        </w:rPr>
        <w:tab/>
        <w:t>Sažetak procijenjenog učinka na odobrena sredstva za poslovanje</w:t>
      </w:r>
      <w:bookmarkEnd w:id="134"/>
      <w:bookmarkEnd w:id="135"/>
      <w:bookmarkEnd w:id="136"/>
      <w:bookmarkEnd w:id="137"/>
      <w:bookmarkEnd w:id="138"/>
      <w:r w:rsidRPr="00210DAC">
        <w:rPr>
          <w:i/>
          <w:noProof/>
        </w:rPr>
        <w:t xml:space="preserve"> </w:t>
      </w:r>
    </w:p>
    <w:p w:rsidR="00717136" w:rsidRPr="00210DAC" w:rsidRDefault="00717136" w:rsidP="00940294">
      <w:pPr>
        <w:pStyle w:val="Tiret0"/>
        <w:numPr>
          <w:ilvl w:val="0"/>
          <w:numId w:val="28"/>
        </w:numPr>
        <w:rPr>
          <w:noProof/>
        </w:rPr>
      </w:pPr>
      <w:r w:rsidRPr="00210DAC">
        <w:rPr>
          <w:rFonts w:ascii="Wingdings" w:hAnsi="Wingdings"/>
          <w:noProof/>
        </w:rPr>
        <w:t></w:t>
      </w:r>
      <w:r w:rsidRPr="00210DAC">
        <w:rPr>
          <w:noProof/>
        </w:rPr>
        <w:tab/>
        <w:t xml:space="preserve">Za prijedlog/inicijativu nisu potrebna odobrena sredstva za poslovanje. </w:t>
      </w:r>
    </w:p>
    <w:p w:rsidR="00717136" w:rsidRPr="00210DAC" w:rsidRDefault="00717136" w:rsidP="00E10716">
      <w:pPr>
        <w:pStyle w:val="Tiret0"/>
        <w:rPr>
          <w:noProof/>
        </w:rPr>
      </w:pPr>
      <w:r w:rsidRPr="00210DAC">
        <w:rPr>
          <w:rFonts w:ascii="Wingdings" w:hAnsi="Wingdings"/>
          <w:noProof/>
        </w:rPr>
        <w:t></w:t>
      </w:r>
      <w:r w:rsidRPr="00210DAC">
        <w:rPr>
          <w:noProof/>
        </w:rPr>
        <w:tab/>
        <w:t>Za prijedlog/inicijativu potrebna su sljedeća odobrena sredstva za poslovanje:</w:t>
      </w:r>
    </w:p>
    <w:p w:rsidR="00717136" w:rsidRPr="00210DAC" w:rsidRDefault="00717136" w:rsidP="00717136">
      <w:pPr>
        <w:keepNext/>
        <w:tabs>
          <w:tab w:val="left" w:pos="850"/>
        </w:tabs>
        <w:ind w:left="850" w:hanging="850"/>
        <w:outlineLvl w:val="2"/>
        <w:rPr>
          <w:i/>
          <w:noProof/>
        </w:rPr>
      </w:pPr>
      <w:bookmarkStart w:id="139" w:name="_Toc160804595"/>
      <w:bookmarkStart w:id="140" w:name="_Toc167220287"/>
      <w:bookmarkStart w:id="141" w:name="_Toc177549020"/>
      <w:r w:rsidRPr="00210DAC">
        <w:rPr>
          <w:i/>
          <w:noProof/>
        </w:rPr>
        <w:t>3.2.1.1.</w:t>
      </w:r>
      <w:r w:rsidRPr="00210DAC">
        <w:rPr>
          <w:i/>
          <w:noProof/>
        </w:rPr>
        <w:tab/>
        <w:t>Odobrena sredstva iz izglasanog proračuna</w:t>
      </w:r>
      <w:bookmarkEnd w:id="139"/>
      <w:bookmarkEnd w:id="140"/>
      <w:bookmarkEnd w:id="141"/>
    </w:p>
    <w:p w:rsidR="00717136" w:rsidRPr="00210DAC" w:rsidRDefault="00717136" w:rsidP="00717136">
      <w:pPr>
        <w:jc w:val="right"/>
        <w:rPr>
          <w:noProof/>
          <w:sz w:val="18"/>
          <w:szCs w:val="18"/>
        </w:rPr>
      </w:pPr>
      <w:r w:rsidRPr="00210DAC">
        <w:rPr>
          <w:noProof/>
          <w:sz w:val="18"/>
        </w:rPr>
        <w:t>u milijunima EUR (na tri decimale)</w:t>
      </w:r>
    </w:p>
    <w:tbl>
      <w:tblPr>
        <w:tblW w:w="50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1171"/>
        <w:gridCol w:w="8473"/>
      </w:tblGrid>
      <w:tr w:rsidR="00717136" w:rsidRPr="00210DAC" w:rsidTr="00022CAC">
        <w:tc>
          <w:tcPr>
            <w:tcW w:w="1747" w:type="pct"/>
            <w:shd w:val="thinDiagStripe" w:color="C0C0C0" w:fill="auto"/>
            <w:vAlign w:val="center"/>
          </w:tcPr>
          <w:p w:rsidR="00717136" w:rsidRPr="00210DAC" w:rsidRDefault="00717136" w:rsidP="00717136">
            <w:pPr>
              <w:spacing w:before="60" w:after="60"/>
              <w:jc w:val="center"/>
              <w:rPr>
                <w:b/>
                <w:noProof/>
              </w:rPr>
            </w:pPr>
            <w:r w:rsidRPr="00210DAC">
              <w:rPr>
                <w:b/>
                <w:noProof/>
                <w:sz w:val="22"/>
              </w:rPr>
              <w:t xml:space="preserve">Naslov višegodišnjeg financijskog okvira </w:t>
            </w:r>
          </w:p>
        </w:tc>
        <w:tc>
          <w:tcPr>
            <w:tcW w:w="395" w:type="pct"/>
            <w:vAlign w:val="center"/>
          </w:tcPr>
          <w:p w:rsidR="00717136" w:rsidRPr="00210DAC" w:rsidRDefault="00717136" w:rsidP="00717136">
            <w:pPr>
              <w:spacing w:before="60" w:after="60"/>
              <w:jc w:val="center"/>
              <w:rPr>
                <w:noProof/>
              </w:rPr>
            </w:pPr>
            <w:r w:rsidRPr="00210DAC">
              <w:rPr>
                <w:noProof/>
                <w:sz w:val="22"/>
              </w:rPr>
              <w:t>Broj</w:t>
            </w:r>
          </w:p>
        </w:tc>
        <w:tc>
          <w:tcPr>
            <w:tcW w:w="2858" w:type="pct"/>
            <w:vAlign w:val="center"/>
          </w:tcPr>
          <w:p w:rsidR="00717136" w:rsidRPr="00210DAC" w:rsidRDefault="00717136" w:rsidP="00717136">
            <w:pPr>
              <w:spacing w:before="60" w:after="60"/>
              <w:rPr>
                <w:noProof/>
              </w:rPr>
            </w:pPr>
            <w:r w:rsidRPr="00210DAC">
              <w:rPr>
                <w:noProof/>
              </w:rPr>
              <w:t>5 Sigurnost i obrana</w:t>
            </w:r>
          </w:p>
        </w:tc>
      </w:tr>
    </w:tbl>
    <w:p w:rsidR="00717136" w:rsidRPr="00210DAC" w:rsidRDefault="00717136" w:rsidP="00717136">
      <w:pPr>
        <w:rPr>
          <w:noProof/>
          <w:sz w:val="16"/>
        </w:rPr>
      </w:pP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478"/>
        <w:gridCol w:w="702"/>
        <w:gridCol w:w="114"/>
        <w:gridCol w:w="977"/>
        <w:gridCol w:w="7"/>
        <w:gridCol w:w="1108"/>
        <w:gridCol w:w="26"/>
        <w:gridCol w:w="1227"/>
        <w:gridCol w:w="48"/>
        <w:gridCol w:w="1232"/>
        <w:gridCol w:w="113"/>
        <w:gridCol w:w="1349"/>
        <w:gridCol w:w="43"/>
        <w:gridCol w:w="1799"/>
      </w:tblGrid>
      <w:tr w:rsidR="00717136" w:rsidRPr="00210DAC" w:rsidTr="00022CAC">
        <w:trPr>
          <w:trHeight w:val="521"/>
        </w:trPr>
        <w:tc>
          <w:tcPr>
            <w:tcW w:w="3527" w:type="dxa"/>
            <w:vAlign w:val="center"/>
          </w:tcPr>
          <w:p w:rsidR="00717136" w:rsidRPr="00210DAC" w:rsidRDefault="00717136" w:rsidP="00717136">
            <w:pPr>
              <w:jc w:val="center"/>
              <w:rPr>
                <w:noProof/>
                <w:sz w:val="22"/>
              </w:rPr>
            </w:pPr>
            <w:r w:rsidRPr="00210DAC">
              <w:rPr>
                <w:noProof/>
                <w:sz w:val="22"/>
              </w:rPr>
              <w:t>Obzor Europa</w:t>
            </w:r>
          </w:p>
        </w:tc>
        <w:tc>
          <w:tcPr>
            <w:tcW w:w="1478" w:type="dxa"/>
          </w:tcPr>
          <w:p w:rsidR="00717136" w:rsidRPr="00210DAC" w:rsidRDefault="00717136" w:rsidP="00717136">
            <w:pPr>
              <w:rPr>
                <w:noProof/>
                <w:sz w:val="20"/>
              </w:rPr>
            </w:pPr>
          </w:p>
        </w:tc>
        <w:tc>
          <w:tcPr>
            <w:tcW w:w="702" w:type="dxa"/>
          </w:tcPr>
          <w:p w:rsidR="00717136" w:rsidRPr="00210DAC" w:rsidRDefault="00717136" w:rsidP="00717136">
            <w:pPr>
              <w:jc w:val="center"/>
              <w:rPr>
                <w:noProof/>
                <w:sz w:val="20"/>
              </w:rPr>
            </w:pPr>
          </w:p>
        </w:tc>
        <w:tc>
          <w:tcPr>
            <w:tcW w:w="1098" w:type="dxa"/>
            <w:gridSpan w:val="3"/>
            <w:vAlign w:val="center"/>
          </w:tcPr>
          <w:p w:rsidR="00717136" w:rsidRPr="00210DAC" w:rsidRDefault="00717136" w:rsidP="00717136">
            <w:pPr>
              <w:jc w:val="center"/>
              <w:rPr>
                <w:noProof/>
                <w:sz w:val="20"/>
              </w:rPr>
            </w:pPr>
            <w:r w:rsidRPr="00210DAC">
              <w:rPr>
                <w:noProof/>
                <w:sz w:val="20"/>
              </w:rPr>
              <w:t>2023.</w:t>
            </w:r>
          </w:p>
        </w:tc>
        <w:tc>
          <w:tcPr>
            <w:tcW w:w="1134" w:type="dxa"/>
            <w:gridSpan w:val="2"/>
            <w:vAlign w:val="center"/>
          </w:tcPr>
          <w:p w:rsidR="00717136" w:rsidRPr="00210DAC" w:rsidRDefault="00717136" w:rsidP="00717136">
            <w:pPr>
              <w:jc w:val="center"/>
              <w:rPr>
                <w:noProof/>
                <w:sz w:val="20"/>
              </w:rPr>
            </w:pPr>
            <w:r w:rsidRPr="00210DAC">
              <w:rPr>
                <w:noProof/>
                <w:sz w:val="20"/>
              </w:rPr>
              <w:t>2024.</w:t>
            </w:r>
          </w:p>
        </w:tc>
        <w:tc>
          <w:tcPr>
            <w:tcW w:w="1275" w:type="dxa"/>
            <w:gridSpan w:val="2"/>
            <w:vAlign w:val="center"/>
          </w:tcPr>
          <w:p w:rsidR="00717136" w:rsidRPr="00210DAC" w:rsidRDefault="00717136" w:rsidP="00717136">
            <w:pPr>
              <w:jc w:val="center"/>
              <w:rPr>
                <w:noProof/>
                <w:sz w:val="20"/>
              </w:rPr>
            </w:pPr>
            <w:r w:rsidRPr="00210DAC">
              <w:rPr>
                <w:noProof/>
                <w:sz w:val="20"/>
              </w:rPr>
              <w:t>2025.</w:t>
            </w:r>
          </w:p>
        </w:tc>
        <w:tc>
          <w:tcPr>
            <w:tcW w:w="1232" w:type="dxa"/>
            <w:vAlign w:val="center"/>
          </w:tcPr>
          <w:p w:rsidR="00717136" w:rsidRPr="00210DAC" w:rsidRDefault="00717136" w:rsidP="00717136">
            <w:pPr>
              <w:jc w:val="center"/>
              <w:rPr>
                <w:noProof/>
                <w:sz w:val="20"/>
              </w:rPr>
            </w:pPr>
            <w:r w:rsidRPr="00210DAC">
              <w:rPr>
                <w:noProof/>
                <w:sz w:val="20"/>
              </w:rPr>
              <w:t>2026.</w:t>
            </w:r>
          </w:p>
        </w:tc>
        <w:tc>
          <w:tcPr>
            <w:tcW w:w="1462" w:type="dxa"/>
            <w:gridSpan w:val="2"/>
            <w:vAlign w:val="center"/>
          </w:tcPr>
          <w:p w:rsidR="00717136" w:rsidRPr="00210DAC" w:rsidRDefault="00717136" w:rsidP="00717136">
            <w:pPr>
              <w:jc w:val="center"/>
              <w:rPr>
                <w:noProof/>
                <w:sz w:val="18"/>
              </w:rPr>
            </w:pPr>
            <w:r w:rsidRPr="00210DAC">
              <w:rPr>
                <w:noProof/>
                <w:sz w:val="18"/>
              </w:rPr>
              <w:t>2027.</w:t>
            </w:r>
          </w:p>
        </w:tc>
        <w:tc>
          <w:tcPr>
            <w:tcW w:w="1842" w:type="dxa"/>
            <w:gridSpan w:val="2"/>
            <w:vAlign w:val="center"/>
          </w:tcPr>
          <w:p w:rsidR="00717136" w:rsidRPr="00210DAC" w:rsidRDefault="00717136" w:rsidP="00717136">
            <w:pPr>
              <w:jc w:val="center"/>
              <w:rPr>
                <w:b/>
                <w:noProof/>
                <w:sz w:val="20"/>
              </w:rPr>
            </w:pPr>
            <w:r w:rsidRPr="00210DAC">
              <w:rPr>
                <w:b/>
                <w:noProof/>
                <w:sz w:val="20"/>
              </w:rPr>
              <w:t>UKUPNO</w:t>
            </w:r>
          </w:p>
        </w:tc>
      </w:tr>
      <w:tr w:rsidR="00717136" w:rsidRPr="00210DAC" w:rsidTr="00022CAC">
        <w:trPr>
          <w:trHeight w:val="213"/>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left"/>
              <w:rPr>
                <w:b/>
                <w:bCs/>
                <w:noProof/>
                <w:sz w:val="20"/>
              </w:rPr>
            </w:pPr>
            <w:r w:rsidRPr="00210DAC">
              <w:rPr>
                <w:b/>
                <w:noProof/>
                <w:sz w:val="21"/>
              </w:rPr>
              <w:t>Procijenjena odobrena sredstva za poslovanje koja proizlaze iz otplata iz pilot-projekta Europskog vijeća za inovacije u okviru programa Obzor 2020.*</w:t>
            </w:r>
          </w:p>
        </w:tc>
      </w:tr>
      <w:tr w:rsidR="00717136" w:rsidRPr="00210DAC" w:rsidTr="00022CAC">
        <w:trPr>
          <w:trHeight w:val="277"/>
        </w:trPr>
        <w:tc>
          <w:tcPr>
            <w:tcW w:w="3527" w:type="dxa"/>
            <w:vAlign w:val="center"/>
          </w:tcPr>
          <w:p w:rsidR="00717136" w:rsidRPr="00210DAC" w:rsidRDefault="00717136" w:rsidP="00717136">
            <w:pPr>
              <w:rPr>
                <w:noProof/>
                <w:sz w:val="20"/>
                <w:szCs w:val="20"/>
              </w:rPr>
            </w:pPr>
            <w:r w:rsidRPr="00210DAC">
              <w:rPr>
                <w:noProof/>
                <w:sz w:val="20"/>
              </w:rPr>
              <w:t>01.020301 Europsko vijeće za inovacije</w:t>
            </w:r>
          </w:p>
        </w:tc>
        <w:tc>
          <w:tcPr>
            <w:tcW w:w="1478" w:type="dxa"/>
            <w:vAlign w:val="center"/>
          </w:tcPr>
          <w:p w:rsidR="00717136" w:rsidRPr="00210DAC" w:rsidRDefault="00717136" w:rsidP="00717136">
            <w:pPr>
              <w:spacing w:before="20" w:after="20"/>
              <w:rPr>
                <w:noProof/>
                <w:sz w:val="18"/>
              </w:rPr>
            </w:pPr>
            <w:r w:rsidRPr="00210DAC">
              <w:rPr>
                <w:noProof/>
                <w:sz w:val="18"/>
              </w:rPr>
              <w:t>Obveze</w:t>
            </w:r>
          </w:p>
        </w:tc>
        <w:tc>
          <w:tcPr>
            <w:tcW w:w="702" w:type="dxa"/>
            <w:vAlign w:val="center"/>
          </w:tcPr>
          <w:p w:rsidR="00717136" w:rsidRPr="00210DAC" w:rsidRDefault="00717136" w:rsidP="00717136">
            <w:pPr>
              <w:spacing w:before="20" w:after="20"/>
              <w:jc w:val="center"/>
              <w:rPr>
                <w:noProof/>
                <w:sz w:val="14"/>
              </w:rPr>
            </w:pPr>
            <w:r w:rsidRPr="00210DAC">
              <w:rPr>
                <w:noProof/>
                <w:sz w:val="14"/>
              </w:rPr>
              <w:t>(1a)</w:t>
            </w:r>
          </w:p>
        </w:tc>
        <w:tc>
          <w:tcPr>
            <w:tcW w:w="1098" w:type="dxa"/>
            <w:gridSpan w:val="3"/>
            <w:vAlign w:val="center"/>
          </w:tcPr>
          <w:p w:rsidR="00717136" w:rsidRPr="00210DAC" w:rsidRDefault="00717136" w:rsidP="00717136">
            <w:pPr>
              <w:spacing w:before="20" w:after="20"/>
              <w:jc w:val="right"/>
              <w:rPr>
                <w:noProof/>
                <w:sz w:val="20"/>
              </w:rPr>
            </w:pPr>
          </w:p>
        </w:tc>
        <w:tc>
          <w:tcPr>
            <w:tcW w:w="1134" w:type="dxa"/>
            <w:gridSpan w:val="2"/>
            <w:vAlign w:val="center"/>
          </w:tcPr>
          <w:p w:rsidR="00717136" w:rsidRPr="00210DAC" w:rsidRDefault="00717136" w:rsidP="00717136">
            <w:pPr>
              <w:spacing w:before="20" w:after="20"/>
              <w:jc w:val="center"/>
              <w:rPr>
                <w:noProof/>
                <w:sz w:val="18"/>
                <w:szCs w:val="18"/>
              </w:rPr>
            </w:pPr>
          </w:p>
        </w:tc>
        <w:tc>
          <w:tcPr>
            <w:tcW w:w="1275" w:type="dxa"/>
            <w:gridSpan w:val="2"/>
            <w:vAlign w:val="center"/>
          </w:tcPr>
          <w:p w:rsidR="00717136" w:rsidRPr="00210DAC" w:rsidRDefault="00717136" w:rsidP="00717136">
            <w:pPr>
              <w:spacing w:before="20" w:after="20"/>
              <w:jc w:val="center"/>
              <w:rPr>
                <w:noProof/>
                <w:sz w:val="18"/>
                <w:szCs w:val="18"/>
              </w:rPr>
            </w:pPr>
            <w:r w:rsidRPr="00210DAC">
              <w:rPr>
                <w:noProof/>
                <w:sz w:val="18"/>
              </w:rPr>
              <w:t>PM</w:t>
            </w:r>
          </w:p>
        </w:tc>
        <w:tc>
          <w:tcPr>
            <w:tcW w:w="1232" w:type="dxa"/>
            <w:vAlign w:val="center"/>
          </w:tcPr>
          <w:p w:rsidR="00717136" w:rsidRPr="00210DAC" w:rsidRDefault="00717136" w:rsidP="00717136">
            <w:pPr>
              <w:spacing w:before="20" w:after="20"/>
              <w:jc w:val="center"/>
              <w:rPr>
                <w:noProof/>
                <w:sz w:val="18"/>
                <w:szCs w:val="18"/>
              </w:rPr>
            </w:pPr>
            <w:r w:rsidRPr="00210DAC">
              <w:rPr>
                <w:noProof/>
                <w:sz w:val="18"/>
              </w:rPr>
              <w:t>PM</w:t>
            </w:r>
          </w:p>
        </w:tc>
        <w:tc>
          <w:tcPr>
            <w:tcW w:w="1462" w:type="dxa"/>
            <w:gridSpan w:val="2"/>
            <w:vAlign w:val="center"/>
          </w:tcPr>
          <w:p w:rsidR="00717136" w:rsidRPr="00210DAC" w:rsidRDefault="00717136" w:rsidP="00717136">
            <w:pPr>
              <w:spacing w:before="20" w:after="20"/>
              <w:jc w:val="center"/>
              <w:rPr>
                <w:b/>
                <w:noProof/>
                <w:sz w:val="18"/>
                <w:szCs w:val="18"/>
              </w:rPr>
            </w:pPr>
            <w:r w:rsidRPr="00210DAC">
              <w:rPr>
                <w:noProof/>
                <w:sz w:val="18"/>
              </w:rPr>
              <w:t>PM</w:t>
            </w:r>
          </w:p>
        </w:tc>
        <w:tc>
          <w:tcPr>
            <w:tcW w:w="1842" w:type="dxa"/>
            <w:gridSpan w:val="2"/>
            <w:vAlign w:val="center"/>
          </w:tcPr>
          <w:p w:rsidR="00717136" w:rsidRPr="00210DAC" w:rsidRDefault="00717136" w:rsidP="00717136">
            <w:pPr>
              <w:spacing w:before="20" w:after="20"/>
              <w:jc w:val="center"/>
              <w:rPr>
                <w:b/>
                <w:bCs/>
                <w:noProof/>
                <w:sz w:val="20"/>
                <w:szCs w:val="20"/>
              </w:rPr>
            </w:pPr>
            <w:r w:rsidRPr="00210DAC">
              <w:rPr>
                <w:b/>
                <w:noProof/>
                <w:sz w:val="20"/>
              </w:rPr>
              <w:t xml:space="preserve">PM </w:t>
            </w:r>
          </w:p>
        </w:tc>
      </w:tr>
      <w:tr w:rsidR="00717136" w:rsidRPr="00210DAC" w:rsidTr="00022CAC">
        <w:trPr>
          <w:trHeight w:val="533"/>
        </w:trPr>
        <w:tc>
          <w:tcPr>
            <w:tcW w:w="5707" w:type="dxa"/>
            <w:gridSpan w:val="3"/>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rPr>
                <w:noProof/>
              </w:rPr>
            </w:pPr>
            <w:r w:rsidRPr="00210DAC">
              <w:rPr>
                <w:noProof/>
                <w:sz w:val="20"/>
              </w:rPr>
              <w:t>Administrativna odobrena sredstva koja se financiraju iz omotnice za posebne programe</w:t>
            </w:r>
            <w:r w:rsidRPr="00210DAC">
              <w:rPr>
                <w:rStyle w:val="FootnoteReference"/>
                <w:noProof/>
              </w:rPr>
              <w:footnoteReference w:id="17"/>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rPr>
                <w:b/>
                <w:noProof/>
                <w:sz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center"/>
              <w:rPr>
                <w:noProof/>
                <w:sz w:val="18"/>
                <w:szCs w:val="1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center"/>
              <w:rPr>
                <w:noProof/>
                <w:sz w:val="18"/>
                <w:szCs w:val="18"/>
              </w:rPr>
            </w:pPr>
            <w:r w:rsidRPr="00210DAC">
              <w:rPr>
                <w:noProof/>
                <w:sz w:val="18"/>
              </w:rPr>
              <w:t>PM</w:t>
            </w:r>
          </w:p>
        </w:tc>
        <w:tc>
          <w:tcPr>
            <w:tcW w:w="1232" w:type="dxa"/>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center"/>
              <w:rPr>
                <w:noProof/>
                <w:sz w:val="18"/>
                <w:szCs w:val="18"/>
              </w:rPr>
            </w:pPr>
            <w:r w:rsidRPr="00210DAC">
              <w:rPr>
                <w:noProof/>
                <w:sz w:val="18"/>
              </w:rPr>
              <w:t>PM</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center"/>
              <w:rPr>
                <w:b/>
                <w:noProof/>
                <w:sz w:val="20"/>
              </w:rPr>
            </w:pPr>
            <w:r w:rsidRPr="00210DAC">
              <w:rPr>
                <w:noProof/>
                <w:sz w:val="18"/>
              </w:rPr>
              <w:t>PM</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center"/>
              <w:rPr>
                <w:b/>
                <w:noProof/>
                <w:sz w:val="20"/>
              </w:rPr>
            </w:pPr>
          </w:p>
        </w:tc>
      </w:tr>
      <w:tr w:rsidR="00717136" w:rsidRPr="00210DAC" w:rsidTr="00022CAC">
        <w:trPr>
          <w:trHeight w:val="213"/>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jc w:val="left"/>
              <w:rPr>
                <w:b/>
                <w:bCs/>
                <w:noProof/>
                <w:sz w:val="20"/>
              </w:rPr>
            </w:pPr>
            <w:r w:rsidRPr="00210DAC">
              <w:rPr>
                <w:b/>
                <w:noProof/>
                <w:sz w:val="21"/>
              </w:rPr>
              <w:t>Ukupna odobrena sredstva za Obzor Europa</w:t>
            </w:r>
          </w:p>
        </w:tc>
      </w:tr>
      <w:tr w:rsidR="00717136" w:rsidRPr="00210DAC" w:rsidTr="00022CAC">
        <w:trPr>
          <w:trHeight w:val="277"/>
        </w:trPr>
        <w:tc>
          <w:tcPr>
            <w:tcW w:w="3527" w:type="dxa"/>
            <w:vMerge w:val="restart"/>
            <w:vAlign w:val="center"/>
          </w:tcPr>
          <w:p w:rsidR="00717136" w:rsidRPr="00210DAC" w:rsidRDefault="00717136" w:rsidP="00717136">
            <w:pPr>
              <w:rPr>
                <w:noProof/>
                <w:sz w:val="20"/>
                <w:szCs w:val="20"/>
              </w:rPr>
            </w:pPr>
            <w:r w:rsidRPr="00210DAC">
              <w:rPr>
                <w:noProof/>
                <w:sz w:val="20"/>
              </w:rPr>
              <w:t>01.020301 Europsko vijeće za inovacije</w:t>
            </w:r>
          </w:p>
        </w:tc>
        <w:tc>
          <w:tcPr>
            <w:tcW w:w="1478" w:type="dxa"/>
            <w:vAlign w:val="center"/>
          </w:tcPr>
          <w:p w:rsidR="00717136" w:rsidRPr="00210DAC" w:rsidRDefault="00717136" w:rsidP="00717136">
            <w:pPr>
              <w:spacing w:before="20" w:after="20"/>
              <w:rPr>
                <w:noProof/>
                <w:sz w:val="18"/>
              </w:rPr>
            </w:pPr>
            <w:r w:rsidRPr="00210DAC">
              <w:rPr>
                <w:noProof/>
                <w:sz w:val="18"/>
              </w:rPr>
              <w:t>Obveze</w:t>
            </w:r>
          </w:p>
        </w:tc>
        <w:tc>
          <w:tcPr>
            <w:tcW w:w="816" w:type="dxa"/>
            <w:gridSpan w:val="2"/>
            <w:vAlign w:val="center"/>
          </w:tcPr>
          <w:p w:rsidR="00717136" w:rsidRPr="00210DAC" w:rsidRDefault="00717136" w:rsidP="00717136">
            <w:pPr>
              <w:spacing w:before="20" w:after="20"/>
              <w:jc w:val="center"/>
              <w:rPr>
                <w:noProof/>
                <w:sz w:val="14"/>
              </w:rPr>
            </w:pPr>
            <w:r w:rsidRPr="00210DAC">
              <w:rPr>
                <w:noProof/>
                <w:sz w:val="14"/>
              </w:rPr>
              <w:t>(1a)</w:t>
            </w:r>
          </w:p>
        </w:tc>
        <w:tc>
          <w:tcPr>
            <w:tcW w:w="977" w:type="dxa"/>
            <w:vAlign w:val="center"/>
          </w:tcPr>
          <w:p w:rsidR="00717136" w:rsidRPr="00210DAC" w:rsidRDefault="00717136" w:rsidP="00717136">
            <w:pPr>
              <w:spacing w:before="20" w:after="20"/>
              <w:jc w:val="right"/>
              <w:rPr>
                <w:noProof/>
                <w:sz w:val="20"/>
              </w:rPr>
            </w:pPr>
          </w:p>
        </w:tc>
        <w:tc>
          <w:tcPr>
            <w:tcW w:w="1115" w:type="dxa"/>
            <w:gridSpan w:val="2"/>
            <w:shd w:val="clear" w:color="auto" w:fill="auto"/>
            <w:vAlign w:val="center"/>
          </w:tcPr>
          <w:p w:rsidR="00717136" w:rsidRPr="00210DAC" w:rsidRDefault="00717136" w:rsidP="00717136">
            <w:pPr>
              <w:spacing w:before="20" w:after="20"/>
              <w:jc w:val="center"/>
              <w:rPr>
                <w:rFonts w:eastAsia="Times New Roman"/>
                <w:noProof/>
                <w:sz w:val="18"/>
                <w:szCs w:val="18"/>
              </w:rPr>
            </w:pPr>
          </w:p>
        </w:tc>
        <w:tc>
          <w:tcPr>
            <w:tcW w:w="1253" w:type="dxa"/>
            <w:gridSpan w:val="2"/>
            <w:shd w:val="clear" w:color="auto" w:fill="auto"/>
            <w:vAlign w:val="center"/>
          </w:tcPr>
          <w:p w:rsidR="00717136" w:rsidRPr="00210DAC" w:rsidRDefault="00717136" w:rsidP="00717136">
            <w:pPr>
              <w:spacing w:before="20" w:after="20"/>
              <w:jc w:val="center"/>
              <w:rPr>
                <w:noProof/>
                <w:sz w:val="18"/>
                <w:szCs w:val="18"/>
              </w:rPr>
            </w:pPr>
            <w:r w:rsidRPr="00210DAC">
              <w:rPr>
                <w:noProof/>
                <w:sz w:val="18"/>
              </w:rPr>
              <w:t>PM</w:t>
            </w:r>
          </w:p>
        </w:tc>
        <w:tc>
          <w:tcPr>
            <w:tcW w:w="1393" w:type="dxa"/>
            <w:gridSpan w:val="3"/>
            <w:shd w:val="clear" w:color="auto" w:fill="auto"/>
            <w:vAlign w:val="center"/>
          </w:tcPr>
          <w:p w:rsidR="00717136" w:rsidRPr="00210DAC" w:rsidRDefault="00717136" w:rsidP="00717136">
            <w:pPr>
              <w:spacing w:before="20" w:after="20"/>
              <w:jc w:val="center"/>
              <w:rPr>
                <w:noProof/>
                <w:sz w:val="18"/>
                <w:szCs w:val="18"/>
              </w:rPr>
            </w:pPr>
            <w:r w:rsidRPr="00210DAC">
              <w:rPr>
                <w:noProof/>
                <w:sz w:val="18"/>
              </w:rPr>
              <w:t>PM</w:t>
            </w:r>
          </w:p>
        </w:tc>
        <w:tc>
          <w:tcPr>
            <w:tcW w:w="1392" w:type="dxa"/>
            <w:gridSpan w:val="2"/>
            <w:shd w:val="clear" w:color="auto" w:fill="auto"/>
            <w:vAlign w:val="center"/>
          </w:tcPr>
          <w:p w:rsidR="00717136" w:rsidRPr="00210DAC" w:rsidRDefault="00717136" w:rsidP="00717136">
            <w:pPr>
              <w:spacing w:before="20" w:after="20"/>
              <w:jc w:val="center"/>
              <w:rPr>
                <w:rFonts w:eastAsia="Times New Roman"/>
                <w:noProof/>
                <w:sz w:val="18"/>
                <w:szCs w:val="18"/>
              </w:rPr>
            </w:pPr>
            <w:r w:rsidRPr="00210DAC">
              <w:rPr>
                <w:noProof/>
                <w:sz w:val="18"/>
              </w:rPr>
              <w:t>PM</w:t>
            </w:r>
          </w:p>
        </w:tc>
        <w:tc>
          <w:tcPr>
            <w:tcW w:w="1799" w:type="dxa"/>
            <w:vAlign w:val="center"/>
          </w:tcPr>
          <w:p w:rsidR="00717136" w:rsidRPr="00210DAC" w:rsidRDefault="00717136" w:rsidP="00717136">
            <w:pPr>
              <w:spacing w:before="20" w:after="20"/>
              <w:jc w:val="center"/>
              <w:rPr>
                <w:b/>
                <w:bCs/>
                <w:noProof/>
                <w:sz w:val="20"/>
                <w:szCs w:val="20"/>
              </w:rPr>
            </w:pPr>
            <w:r w:rsidRPr="00210DAC">
              <w:rPr>
                <w:b/>
                <w:noProof/>
                <w:sz w:val="20"/>
              </w:rPr>
              <w:t xml:space="preserve">PM </w:t>
            </w:r>
          </w:p>
        </w:tc>
      </w:tr>
      <w:tr w:rsidR="00717136" w:rsidRPr="00210DAC" w:rsidTr="00022CAC">
        <w:trPr>
          <w:trHeight w:val="300"/>
        </w:trPr>
        <w:tc>
          <w:tcPr>
            <w:tcW w:w="3527" w:type="dxa"/>
            <w:vMerge/>
          </w:tcPr>
          <w:p w:rsidR="00717136" w:rsidRPr="00210DAC" w:rsidRDefault="00717136" w:rsidP="00717136">
            <w:pPr>
              <w:jc w:val="center"/>
              <w:rPr>
                <w:noProof/>
                <w:sz w:val="20"/>
              </w:rPr>
            </w:pPr>
          </w:p>
        </w:tc>
        <w:tc>
          <w:tcPr>
            <w:tcW w:w="1478" w:type="dxa"/>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rPr>
                <w:noProof/>
                <w:sz w:val="18"/>
              </w:rPr>
            </w:pPr>
            <w:r w:rsidRPr="00210DAC">
              <w:rPr>
                <w:noProof/>
                <w:sz w:val="18"/>
              </w:rPr>
              <w:t>Plaćanja</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center"/>
              <w:rPr>
                <w:noProof/>
                <w:sz w:val="14"/>
              </w:rPr>
            </w:pPr>
            <w:r w:rsidRPr="00210DAC">
              <w:rPr>
                <w:noProof/>
                <w:sz w:val="14"/>
              </w:rPr>
              <w:t>(2a)</w:t>
            </w:r>
          </w:p>
        </w:tc>
        <w:tc>
          <w:tcPr>
            <w:tcW w:w="977" w:type="dxa"/>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right"/>
              <w:rPr>
                <w:noProof/>
                <w:sz w:val="20"/>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center"/>
              <w:rPr>
                <w:noProof/>
                <w:sz w:val="18"/>
                <w:szCs w:val="18"/>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center"/>
              <w:rPr>
                <w:noProof/>
                <w:sz w:val="18"/>
                <w:szCs w:val="18"/>
              </w:rPr>
            </w:pPr>
            <w:r w:rsidRPr="00210DAC">
              <w:rPr>
                <w:noProof/>
                <w:sz w:val="18"/>
              </w:rPr>
              <w:t>PM</w:t>
            </w:r>
          </w:p>
        </w:tc>
        <w:tc>
          <w:tcPr>
            <w:tcW w:w="1393" w:type="dxa"/>
            <w:gridSpan w:val="3"/>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center"/>
              <w:rPr>
                <w:noProof/>
                <w:sz w:val="18"/>
                <w:szCs w:val="18"/>
              </w:rPr>
            </w:pPr>
            <w:r w:rsidRPr="00210DAC">
              <w:rPr>
                <w:noProof/>
                <w:sz w:val="18"/>
              </w:rPr>
              <w:t>PM</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center"/>
              <w:rPr>
                <w:noProof/>
                <w:sz w:val="18"/>
                <w:szCs w:val="18"/>
              </w:rPr>
            </w:pPr>
            <w:r w:rsidRPr="00210DAC">
              <w:rPr>
                <w:noProof/>
                <w:sz w:val="18"/>
              </w:rPr>
              <w:t>PM</w:t>
            </w:r>
          </w:p>
        </w:tc>
        <w:tc>
          <w:tcPr>
            <w:tcW w:w="1799" w:type="dxa"/>
            <w:tcBorders>
              <w:top w:val="single" w:sz="4" w:space="0" w:color="auto"/>
              <w:left w:val="single" w:sz="4" w:space="0" w:color="auto"/>
              <w:bottom w:val="single" w:sz="4" w:space="0" w:color="auto"/>
              <w:right w:val="single" w:sz="4" w:space="0" w:color="auto"/>
            </w:tcBorders>
            <w:vAlign w:val="center"/>
          </w:tcPr>
          <w:p w:rsidR="00717136" w:rsidRPr="00210DAC" w:rsidRDefault="00717136" w:rsidP="00717136">
            <w:pPr>
              <w:spacing w:before="20" w:after="20"/>
              <w:jc w:val="center"/>
              <w:rPr>
                <w:b/>
                <w:bCs/>
                <w:noProof/>
                <w:sz w:val="20"/>
                <w:szCs w:val="20"/>
              </w:rPr>
            </w:pPr>
          </w:p>
        </w:tc>
      </w:tr>
    </w:tbl>
    <w:p w:rsidR="00717136" w:rsidRPr="00210DAC" w:rsidRDefault="00717136" w:rsidP="00717136">
      <w:pPr>
        <w:rPr>
          <w:noProof/>
          <w:sz w:val="16"/>
        </w:rPr>
      </w:pPr>
    </w:p>
    <w:p w:rsidR="001B7452" w:rsidRPr="00210DAC" w:rsidRDefault="001B7452" w:rsidP="00717136">
      <w:pPr>
        <w:rPr>
          <w:noProof/>
          <w:sz w:val="16"/>
        </w:rPr>
      </w:pPr>
    </w:p>
    <w:p w:rsidR="001B7452" w:rsidRPr="00210DAC" w:rsidRDefault="001B7452" w:rsidP="00717136">
      <w:pPr>
        <w:rPr>
          <w:noProof/>
          <w:sz w:val="16"/>
        </w:rPr>
      </w:pPr>
    </w:p>
    <w:p w:rsidR="001B7452" w:rsidRPr="00210DAC" w:rsidRDefault="001B7452" w:rsidP="00717136">
      <w:pPr>
        <w:rPr>
          <w:noProof/>
          <w:sz w:val="16"/>
        </w:rPr>
      </w:pPr>
    </w:p>
    <w:tbl>
      <w:tblPr>
        <w:tblW w:w="5000" w:type="pct"/>
        <w:tblLook w:val="04A0" w:firstRow="1" w:lastRow="0" w:firstColumn="1" w:lastColumn="0" w:noHBand="0" w:noVBand="1"/>
      </w:tblPr>
      <w:tblGrid>
        <w:gridCol w:w="4241"/>
        <w:gridCol w:w="1556"/>
        <w:gridCol w:w="1461"/>
        <w:gridCol w:w="1461"/>
        <w:gridCol w:w="1461"/>
        <w:gridCol w:w="1461"/>
        <w:gridCol w:w="1408"/>
        <w:gridCol w:w="1739"/>
      </w:tblGrid>
      <w:tr w:rsidR="00717136" w:rsidRPr="00210DAC" w:rsidTr="00022CAC">
        <w:trPr>
          <w:trHeight w:val="420"/>
        </w:trPr>
        <w:tc>
          <w:tcPr>
            <w:tcW w:w="245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2"/>
              </w:rPr>
            </w:pPr>
            <w:r w:rsidRPr="00210DAC">
              <w:rPr>
                <w:noProof/>
                <w:color w:val="000000"/>
                <w:sz w:val="22"/>
              </w:rPr>
              <w:t>Glavna uprava: MOVE</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1B7452">
        <w:trPr>
          <w:trHeight w:val="288"/>
        </w:trPr>
        <w:tc>
          <w:tcPr>
            <w:tcW w:w="2454" w:type="pct"/>
            <w:gridSpan w:val="3"/>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2"/>
                <w:lang w:eastAsia="en-IE"/>
              </w:rPr>
            </w:pPr>
          </w:p>
        </w:tc>
        <w:tc>
          <w:tcPr>
            <w:tcW w:w="494" w:type="pct"/>
            <w:tcBorders>
              <w:top w:val="nil"/>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47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588" w:type="pct"/>
            <w:vMerge/>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022CAC">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noProof/>
                <w:color w:val="000000"/>
                <w:sz w:val="21"/>
                <w:szCs w:val="21"/>
              </w:rPr>
            </w:pPr>
            <w:r w:rsidRPr="00210DAC">
              <w:rPr>
                <w:noProof/>
                <w:color w:val="000000"/>
                <w:sz w:val="21"/>
              </w:rPr>
              <w:t xml:space="preserve">Odobrena sredstva za poslovanje </w:t>
            </w:r>
          </w:p>
        </w:tc>
      </w:tr>
      <w:tr w:rsidR="00717136" w:rsidRPr="00210DAC" w:rsidTr="001B7452">
        <w:trPr>
          <w:trHeight w:val="288"/>
        </w:trPr>
        <w:tc>
          <w:tcPr>
            <w:tcW w:w="1434"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7136" w:rsidRPr="00210DAC" w:rsidRDefault="00717136" w:rsidP="00717136">
            <w:pPr>
              <w:spacing w:before="60"/>
              <w:rPr>
                <w:noProof/>
              </w:rPr>
            </w:pPr>
            <w:r w:rsidRPr="00210DAC">
              <w:rPr>
                <w:noProof/>
                <w:color w:val="000000" w:themeColor="text1"/>
                <w:sz w:val="22"/>
              </w:rPr>
              <w:t>Proračunska linija</w:t>
            </w:r>
            <w:r w:rsidRPr="00210DAC">
              <w:rPr>
                <w:noProof/>
                <w:sz w:val="22"/>
              </w:rPr>
              <w:t xml:space="preserve"> – Vojna mobilnost</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(1a)</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7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lang w:eastAsia="en-IE"/>
              </w:rPr>
            </w:pPr>
          </w:p>
        </w:tc>
        <w:tc>
          <w:tcPr>
            <w:tcW w:w="588"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1B7452">
        <w:trPr>
          <w:trHeight w:val="315"/>
        </w:trPr>
        <w:tc>
          <w:tcPr>
            <w:tcW w:w="1434"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2"/>
                <w:lang w:eastAsia="en-IE"/>
              </w:rPr>
            </w:pP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(2a)</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 </w:t>
            </w:r>
          </w:p>
        </w:tc>
        <w:tc>
          <w:tcPr>
            <w:tcW w:w="47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 </w:t>
            </w:r>
          </w:p>
        </w:tc>
        <w:tc>
          <w:tcPr>
            <w:tcW w:w="588"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1B7452">
        <w:trPr>
          <w:trHeight w:val="315"/>
        </w:trPr>
        <w:tc>
          <w:tcPr>
            <w:tcW w:w="143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0"/>
                <w:szCs w:val="20"/>
              </w:rPr>
            </w:pPr>
            <w:r w:rsidRPr="00210DAC">
              <w:rPr>
                <w:noProof/>
                <w:color w:val="000000"/>
                <w:sz w:val="20"/>
              </w:rPr>
              <w:t xml:space="preserve">Proračunska linija </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(1b)</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47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588"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0,000</w:t>
            </w:r>
          </w:p>
        </w:tc>
      </w:tr>
      <w:tr w:rsidR="00717136" w:rsidRPr="00210DAC" w:rsidTr="001B7452">
        <w:trPr>
          <w:trHeight w:val="315"/>
        </w:trPr>
        <w:tc>
          <w:tcPr>
            <w:tcW w:w="1434"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0"/>
                <w:szCs w:val="20"/>
                <w:lang w:eastAsia="en-IE"/>
              </w:rPr>
            </w:pP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(2b)</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47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 </w:t>
            </w:r>
          </w:p>
        </w:tc>
        <w:tc>
          <w:tcPr>
            <w:tcW w:w="588"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0,000</w:t>
            </w:r>
          </w:p>
        </w:tc>
      </w:tr>
      <w:tr w:rsidR="00717136" w:rsidRPr="00210DAC" w:rsidTr="00022CAC">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7136" w:rsidRPr="00210DAC" w:rsidRDefault="00717136" w:rsidP="00717136">
            <w:pPr>
              <w:spacing w:before="0" w:after="0"/>
              <w:jc w:val="left"/>
              <w:rPr>
                <w:noProof/>
                <w:color w:val="000000"/>
                <w:sz w:val="22"/>
              </w:rPr>
            </w:pPr>
            <w:r w:rsidRPr="00210DAC">
              <w:rPr>
                <w:noProof/>
                <w:color w:val="000000"/>
                <w:sz w:val="22"/>
              </w:rPr>
              <w:t>Administrativna odobrena sredstva koja se financiraju iz omotnice za posebne programe</w:t>
            </w:r>
            <w:r w:rsidRPr="00210DAC">
              <w:rPr>
                <w:rStyle w:val="FootnoteReference"/>
                <w:noProof/>
              </w:rPr>
              <w:footnoteReference w:id="18"/>
            </w:r>
          </w:p>
        </w:tc>
      </w:tr>
      <w:tr w:rsidR="00717136" w:rsidRPr="00210DAC" w:rsidTr="00022CAC">
        <w:trPr>
          <w:trHeight w:val="288"/>
        </w:trPr>
        <w:tc>
          <w:tcPr>
            <w:tcW w:w="1434" w:type="pct"/>
            <w:tcBorders>
              <w:top w:val="nil"/>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0"/>
                <w:szCs w:val="20"/>
              </w:rPr>
            </w:pPr>
            <w:r w:rsidRPr="00210DAC">
              <w:rPr>
                <w:noProof/>
                <w:color w:val="000000" w:themeColor="text1"/>
                <w:sz w:val="22"/>
              </w:rPr>
              <w:t>Proračunska linija 13.01.03.01 – Rashodi za potporu vojnoj mobilnosti</w:t>
            </w:r>
          </w:p>
        </w:tc>
        <w:tc>
          <w:tcPr>
            <w:tcW w:w="52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noProof/>
                <w:color w:val="000000"/>
                <w:sz w:val="18"/>
                <w:szCs w:val="18"/>
              </w:rPr>
            </w:pPr>
            <w:r w:rsidRPr="00210DAC">
              <w:rPr>
                <w:noProof/>
                <w:color w:val="000000"/>
                <w:sz w:val="18"/>
              </w:rPr>
              <w:t> </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(3)</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r w:rsidRPr="00210DAC">
              <w:rPr>
                <w:b/>
                <w:noProof/>
                <w:color w:val="000000"/>
                <w:sz w:val="20"/>
              </w:rPr>
              <w:t>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 </w:t>
            </w:r>
          </w:p>
        </w:tc>
        <w:tc>
          <w:tcPr>
            <w:tcW w:w="494"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 </w:t>
            </w:r>
          </w:p>
        </w:tc>
        <w:tc>
          <w:tcPr>
            <w:tcW w:w="476"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 </w:t>
            </w:r>
          </w:p>
        </w:tc>
        <w:tc>
          <w:tcPr>
            <w:tcW w:w="588"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288"/>
        </w:trPr>
        <w:tc>
          <w:tcPr>
            <w:tcW w:w="1434" w:type="pct"/>
            <w:tcBorders>
              <w:top w:val="nil"/>
              <w:left w:val="single" w:sz="8" w:space="0" w:color="auto"/>
              <w:bottom w:val="single" w:sz="8" w:space="0" w:color="auto"/>
              <w:right w:val="single" w:sz="8" w:space="0" w:color="auto"/>
            </w:tcBorders>
            <w:shd w:val="clear" w:color="auto" w:fill="auto"/>
            <w:vAlign w:val="center"/>
          </w:tcPr>
          <w:p w:rsidR="00717136" w:rsidRPr="00210DAC" w:rsidRDefault="00717136" w:rsidP="00717136">
            <w:pPr>
              <w:spacing w:before="0" w:after="0"/>
              <w:rPr>
                <w:noProof/>
              </w:rPr>
            </w:pPr>
            <w:r w:rsidRPr="00210DAC">
              <w:rPr>
                <w:noProof/>
                <w:color w:val="000000" w:themeColor="text1"/>
                <w:sz w:val="22"/>
              </w:rPr>
              <w:t>Proračunska linija 13.01.03.74 – Europska izvršna agencija za klimu, infrastrukturu i okoliš — Doprinos iz Instrumenta za povezivanje Europe (prometni sektor) za vojnu mobilnost</w:t>
            </w:r>
          </w:p>
        </w:tc>
        <w:tc>
          <w:tcPr>
            <w:tcW w:w="526" w:type="pct"/>
            <w:tcBorders>
              <w:top w:val="nil"/>
              <w:left w:val="nil"/>
              <w:bottom w:val="single" w:sz="8" w:space="0" w:color="auto"/>
              <w:right w:val="single" w:sz="8" w:space="0" w:color="auto"/>
            </w:tcBorders>
            <w:shd w:val="clear" w:color="auto" w:fill="auto"/>
            <w:vAlign w:val="center"/>
          </w:tcPr>
          <w:p w:rsidR="00717136" w:rsidRPr="00210DAC" w:rsidRDefault="00717136" w:rsidP="00717136">
            <w:pPr>
              <w:spacing w:before="0" w:after="0"/>
              <w:jc w:val="right"/>
              <w:rPr>
                <w:noProof/>
                <w:color w:val="000000"/>
                <w:sz w:val="18"/>
                <w:szCs w:val="18"/>
                <w:lang w:eastAsia="en-IE"/>
              </w:rPr>
            </w:pPr>
          </w:p>
        </w:tc>
        <w:tc>
          <w:tcPr>
            <w:tcW w:w="494" w:type="pct"/>
            <w:tcBorders>
              <w:top w:val="single" w:sz="8" w:space="0" w:color="auto"/>
              <w:left w:val="nil"/>
              <w:bottom w:val="single" w:sz="8" w:space="0" w:color="auto"/>
              <w:right w:val="single" w:sz="8" w:space="0" w:color="auto"/>
            </w:tcBorders>
            <w:shd w:val="clear" w:color="auto" w:fill="auto"/>
            <w:vAlign w:val="center"/>
          </w:tcPr>
          <w:p w:rsidR="00717136" w:rsidRPr="00210DAC" w:rsidRDefault="00717136" w:rsidP="00717136">
            <w:pPr>
              <w:spacing w:before="0" w:after="0"/>
              <w:jc w:val="center"/>
              <w:rPr>
                <w:noProof/>
                <w:color w:val="000000"/>
                <w:sz w:val="14"/>
                <w:szCs w:val="14"/>
                <w:lang w:eastAsia="en-IE"/>
              </w:rPr>
            </w:pPr>
          </w:p>
        </w:tc>
        <w:tc>
          <w:tcPr>
            <w:tcW w:w="494" w:type="pct"/>
            <w:tcBorders>
              <w:top w:val="nil"/>
              <w:left w:val="nil"/>
              <w:bottom w:val="single" w:sz="8" w:space="0" w:color="auto"/>
              <w:right w:val="single" w:sz="8" w:space="0" w:color="auto"/>
            </w:tcBorders>
            <w:shd w:val="clear" w:color="auto" w:fill="auto"/>
            <w:vAlign w:val="center"/>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4" w:type="pct"/>
            <w:tcBorders>
              <w:top w:val="nil"/>
              <w:left w:val="nil"/>
              <w:bottom w:val="single" w:sz="8" w:space="0" w:color="auto"/>
              <w:right w:val="single" w:sz="8" w:space="0" w:color="auto"/>
            </w:tcBorders>
            <w:shd w:val="clear" w:color="auto" w:fill="auto"/>
            <w:vAlign w:val="center"/>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4" w:type="pct"/>
            <w:tcBorders>
              <w:top w:val="nil"/>
              <w:left w:val="nil"/>
              <w:bottom w:val="single" w:sz="8" w:space="0" w:color="auto"/>
              <w:right w:val="single" w:sz="8" w:space="0" w:color="auto"/>
            </w:tcBorders>
            <w:shd w:val="clear" w:color="auto" w:fill="auto"/>
            <w:vAlign w:val="center"/>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76" w:type="pct"/>
            <w:tcBorders>
              <w:top w:val="nil"/>
              <w:left w:val="nil"/>
              <w:bottom w:val="single" w:sz="8" w:space="0" w:color="auto"/>
              <w:right w:val="single" w:sz="8" w:space="0" w:color="auto"/>
            </w:tcBorders>
            <w:shd w:val="clear" w:color="auto" w:fill="auto"/>
            <w:vAlign w:val="center"/>
          </w:tcPr>
          <w:p w:rsidR="00717136" w:rsidRPr="00210DAC" w:rsidRDefault="00717136" w:rsidP="00717136">
            <w:pPr>
              <w:spacing w:before="0" w:after="0"/>
              <w:jc w:val="right"/>
              <w:rPr>
                <w:b/>
                <w:bCs/>
                <w:noProof/>
                <w:color w:val="000000"/>
                <w:sz w:val="20"/>
                <w:szCs w:val="20"/>
                <w:lang w:eastAsia="en-IE"/>
              </w:rPr>
            </w:pPr>
          </w:p>
        </w:tc>
        <w:tc>
          <w:tcPr>
            <w:tcW w:w="588" w:type="pct"/>
            <w:tcBorders>
              <w:top w:val="nil"/>
              <w:left w:val="nil"/>
              <w:bottom w:val="single" w:sz="8" w:space="0" w:color="auto"/>
              <w:right w:val="single" w:sz="8" w:space="0" w:color="auto"/>
            </w:tcBorders>
            <w:shd w:val="clear" w:color="auto" w:fill="D9D9D9" w:themeFill="background1" w:themeFillShade="D9"/>
            <w:vAlign w:val="center"/>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288"/>
        </w:trPr>
        <w:tc>
          <w:tcPr>
            <w:tcW w:w="143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w:t>
            </w:r>
          </w:p>
          <w:p w:rsidR="00717136" w:rsidRPr="00210DAC" w:rsidRDefault="00717136" w:rsidP="00717136">
            <w:pPr>
              <w:spacing w:before="0" w:after="0"/>
              <w:jc w:val="center"/>
              <w:rPr>
                <w:b/>
                <w:bCs/>
                <w:noProof/>
                <w:color w:val="000000"/>
                <w:sz w:val="22"/>
              </w:rPr>
            </w:pPr>
            <w:r w:rsidRPr="00210DAC">
              <w:rPr>
                <w:b/>
                <w:noProof/>
                <w:color w:val="000000"/>
                <w:sz w:val="22"/>
              </w:rPr>
              <w:t>za GU MOVE</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=1a+1b+3</w:t>
            </w:r>
          </w:p>
        </w:tc>
        <w:tc>
          <w:tcPr>
            <w:tcW w:w="4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588" w:type="pct"/>
            <w:tcBorders>
              <w:top w:val="nil"/>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288"/>
        </w:trPr>
        <w:tc>
          <w:tcPr>
            <w:tcW w:w="1434" w:type="pct"/>
            <w:vMerge/>
            <w:tcBorders>
              <w:top w:val="single" w:sz="8" w:space="0" w:color="auto"/>
              <w:left w:val="single" w:sz="8" w:space="0" w:color="auto"/>
              <w:bottom w:val="single" w:sz="8" w:space="0" w:color="auto"/>
            </w:tcBorders>
            <w:vAlign w:val="center"/>
            <w:hideMark/>
          </w:tcPr>
          <w:p w:rsidR="00717136" w:rsidRPr="00210DAC" w:rsidRDefault="00717136" w:rsidP="00717136">
            <w:pPr>
              <w:spacing w:before="0" w:after="0"/>
              <w:jc w:val="center"/>
              <w:rPr>
                <w:b/>
                <w:bCs/>
                <w:noProof/>
                <w:color w:val="000000"/>
                <w:sz w:val="22"/>
                <w:lang w:eastAsia="en-IE"/>
              </w:rPr>
            </w:pP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=2a+2b+3</w:t>
            </w:r>
          </w:p>
        </w:tc>
        <w:tc>
          <w:tcPr>
            <w:tcW w:w="4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588" w:type="pct"/>
            <w:tcBorders>
              <w:top w:val="nil"/>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bl>
    <w:p w:rsidR="00717136" w:rsidRPr="00210DAC" w:rsidRDefault="00717136" w:rsidP="00717136">
      <w:pPr>
        <w:rPr>
          <w:noProof/>
          <w:color w:val="008000"/>
        </w:rPr>
      </w:pPr>
    </w:p>
    <w:tbl>
      <w:tblPr>
        <w:tblW w:w="5000" w:type="pct"/>
        <w:tblLook w:val="04A0" w:firstRow="1" w:lastRow="0" w:firstColumn="1" w:lastColumn="0" w:noHBand="0" w:noVBand="1"/>
      </w:tblPr>
      <w:tblGrid>
        <w:gridCol w:w="4173"/>
        <w:gridCol w:w="1565"/>
        <w:gridCol w:w="1455"/>
        <w:gridCol w:w="1458"/>
        <w:gridCol w:w="1458"/>
        <w:gridCol w:w="1458"/>
        <w:gridCol w:w="1458"/>
        <w:gridCol w:w="1763"/>
      </w:tblGrid>
      <w:tr w:rsidR="00717136" w:rsidRPr="00210DAC" w:rsidTr="00022CAC">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022CAC">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717136" w:rsidRPr="00210DAC" w:rsidRDefault="00717136" w:rsidP="00717136">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022CAC">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1"/>
                <w:szCs w:val="21"/>
              </w:rPr>
            </w:pPr>
            <w:r w:rsidRPr="00210DAC">
              <w:rPr>
                <w:noProof/>
                <w:color w:val="000000"/>
                <w:sz w:val="21"/>
              </w:rPr>
              <w:t xml:space="preserve">UKUPNA odobrena sredstva za poslovanje </w:t>
            </w:r>
            <w:r w:rsidRPr="00210DAC">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456"/>
        </w:trPr>
        <w:tc>
          <w:tcPr>
            <w:tcW w:w="1411" w:type="pct"/>
            <w:vMerge/>
            <w:tcBorders>
              <w:top w:val="nil"/>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596"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924"/>
        </w:trPr>
        <w:tc>
          <w:tcPr>
            <w:tcW w:w="1940"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1"/>
                <w:szCs w:val="21"/>
              </w:rPr>
            </w:pPr>
            <w:r w:rsidRPr="00210DAC">
              <w:rPr>
                <w:noProof/>
                <w:color w:val="000000"/>
                <w:sz w:val="21"/>
              </w:rPr>
              <w:t xml:space="preserve">UKUPNA administrativna odobrena sredstva koja se financiraju iz omotnice za posebne programe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(6)</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96"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 iz NASLOVA 5.</w:t>
            </w: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=4+6</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717136" w:rsidRPr="00210DAC" w:rsidRDefault="00717136" w:rsidP="00717136">
            <w:pPr>
              <w:spacing w:before="0" w:after="0"/>
              <w:jc w:val="center"/>
              <w:rPr>
                <w:noProof/>
                <w:color w:val="000000"/>
                <w:sz w:val="22"/>
              </w:rPr>
            </w:pPr>
            <w:r w:rsidRPr="00210DAC">
              <w:rPr>
                <w:noProof/>
                <w:color w:val="000000"/>
                <w:sz w:val="22"/>
              </w:rPr>
              <w:t>višegodišnjeg financijskog okvira</w:t>
            </w: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=5+6</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bl>
    <w:p w:rsidR="00717136" w:rsidRPr="00210DAC" w:rsidRDefault="00717136" w:rsidP="00717136">
      <w:pPr>
        <w:spacing w:after="40"/>
        <w:rPr>
          <w:noProof/>
          <w:color w:val="008000"/>
        </w:rPr>
      </w:pPr>
    </w:p>
    <w:tbl>
      <w:tblPr>
        <w:tblW w:w="5000" w:type="pct"/>
        <w:tblLook w:val="04A0" w:firstRow="1" w:lastRow="0" w:firstColumn="1" w:lastColumn="0" w:noHBand="0" w:noVBand="1"/>
      </w:tblPr>
      <w:tblGrid>
        <w:gridCol w:w="4502"/>
        <w:gridCol w:w="1394"/>
        <w:gridCol w:w="1080"/>
        <w:gridCol w:w="1082"/>
        <w:gridCol w:w="1292"/>
        <w:gridCol w:w="1292"/>
        <w:gridCol w:w="1292"/>
        <w:gridCol w:w="1292"/>
        <w:gridCol w:w="1562"/>
      </w:tblGrid>
      <w:tr w:rsidR="00717136" w:rsidRPr="00210DAC" w:rsidTr="00022CAC">
        <w:trPr>
          <w:trHeight w:val="288"/>
        </w:trPr>
        <w:tc>
          <w:tcPr>
            <w:tcW w:w="152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022CAC">
        <w:trPr>
          <w:trHeight w:val="300"/>
        </w:trPr>
        <w:tc>
          <w:tcPr>
            <w:tcW w:w="152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437"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022CAC">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1"/>
                <w:szCs w:val="21"/>
              </w:rPr>
            </w:pPr>
            <w:r w:rsidRPr="00210DAC">
              <w:rPr>
                <w:rFonts w:ascii="Calibri" w:hAnsi="Calibri"/>
                <w:noProof/>
                <w:color w:val="000000"/>
                <w:sz w:val="21"/>
              </w:rPr>
              <w:t xml:space="preserve">• </w:t>
            </w:r>
            <w:r w:rsidRPr="00210DAC">
              <w:rPr>
                <w:noProof/>
                <w:color w:val="000000"/>
                <w:sz w:val="21"/>
              </w:rPr>
              <w:t>UKUPNA odobrena sredstva za poslovanje (svi naslovi za poslovanje)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528" w:type="pct"/>
            <w:tcBorders>
              <w:top w:val="nil"/>
              <w:left w:val="nil"/>
              <w:bottom w:val="single" w:sz="8" w:space="0" w:color="auto"/>
              <w:right w:val="single" w:sz="8" w:space="0" w:color="auto"/>
            </w:tcBorders>
            <w:shd w:val="clear" w:color="000000" w:fill="D9D9D9"/>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17136" w:rsidRPr="00210DAC" w:rsidRDefault="00717136" w:rsidP="00717136">
            <w:pPr>
              <w:spacing w:before="0" w:after="0"/>
              <w:rPr>
                <w:noProof/>
                <w:color w:val="000000"/>
                <w:sz w:val="21"/>
                <w:szCs w:val="21"/>
              </w:rPr>
            </w:pPr>
            <w:r w:rsidRPr="00210DAC">
              <w:rPr>
                <w:rFonts w:ascii="Calibri" w:hAnsi="Calibri"/>
                <w:noProof/>
                <w:color w:val="000000"/>
                <w:sz w:val="21"/>
              </w:rPr>
              <w:t>•</w:t>
            </w:r>
            <w:r w:rsidRPr="00210DAC">
              <w:rPr>
                <w:noProof/>
                <w:color w:val="000000"/>
                <w:sz w:val="21"/>
              </w:rPr>
              <w:t xml:space="preserve"> UKUPNA administrativna odobrena sredstva koja se financiraju iz omotnice za posebne programe (svi naslovi za poslovanje)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noProof/>
                <w:color w:val="000000"/>
                <w:sz w:val="20"/>
              </w:rPr>
              <w:t>PM</w:t>
            </w:r>
          </w:p>
        </w:tc>
      </w:tr>
      <w:tr w:rsidR="00717136" w:rsidRPr="00210DAC" w:rsidTr="00022CAC">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 iz naslova 1. – 6.</w:t>
            </w:r>
          </w:p>
        </w:tc>
        <w:tc>
          <w:tcPr>
            <w:tcW w:w="471" w:type="pct"/>
            <w:tcBorders>
              <w:top w:val="nil"/>
              <w:left w:val="nil"/>
              <w:bottom w:val="nil"/>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731" w:type="pct"/>
            <w:gridSpan w:val="2"/>
            <w:tcBorders>
              <w:top w:val="single" w:sz="8" w:space="0" w:color="auto"/>
              <w:left w:val="nil"/>
              <w:bottom w:val="nil"/>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r>
      <w:tr w:rsidR="00717136" w:rsidRPr="00210DAC" w:rsidTr="00022CAC">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višegodišnjeg financijskog okvira</w:t>
            </w:r>
            <w:r w:rsidRPr="00210DAC">
              <w:rPr>
                <w:noProof/>
                <w:color w:val="000000"/>
                <w:sz w:val="20"/>
              </w:rPr>
              <w:br/>
              <w:t>(referentni iznos)</w:t>
            </w:r>
          </w:p>
        </w:tc>
        <w:tc>
          <w:tcPr>
            <w:tcW w:w="471"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center"/>
              <w:rPr>
                <w:b/>
                <w:bCs/>
                <w:noProof/>
                <w:color w:val="000000"/>
                <w:sz w:val="20"/>
                <w:szCs w:val="20"/>
              </w:rPr>
            </w:pPr>
            <w:r w:rsidRPr="00210DAC">
              <w:rPr>
                <w:noProof/>
                <w:color w:val="000000"/>
                <w:sz w:val="20"/>
              </w:rPr>
              <w:t>PM</w:t>
            </w:r>
          </w:p>
        </w:tc>
      </w:tr>
    </w:tbl>
    <w:p w:rsidR="00717136" w:rsidRPr="00210DAC" w:rsidRDefault="00717136" w:rsidP="00717136">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717136" w:rsidRPr="00210DAC" w:rsidTr="00022CAC">
        <w:trPr>
          <w:jc w:val="center"/>
        </w:trPr>
        <w:tc>
          <w:tcPr>
            <w:tcW w:w="1739" w:type="pct"/>
            <w:shd w:val="thinDiagStripe" w:color="C0C0C0" w:fill="auto"/>
            <w:vAlign w:val="center"/>
          </w:tcPr>
          <w:p w:rsidR="00717136" w:rsidRPr="00210DAC" w:rsidRDefault="00717136" w:rsidP="00717136">
            <w:pPr>
              <w:spacing w:before="60" w:after="60"/>
              <w:jc w:val="center"/>
              <w:rPr>
                <w:b/>
                <w:noProof/>
              </w:rPr>
            </w:pPr>
            <w:r w:rsidRPr="00210DAC">
              <w:rPr>
                <w:noProof/>
              </w:rPr>
              <w:br w:type="page"/>
            </w:r>
            <w:r w:rsidRPr="00210DAC">
              <w:rPr>
                <w:b/>
                <w:noProof/>
                <w:sz w:val="22"/>
              </w:rPr>
              <w:t xml:space="preserve">Naslov višegodišnjeg financijskog okvira </w:t>
            </w:r>
          </w:p>
        </w:tc>
        <w:tc>
          <w:tcPr>
            <w:tcW w:w="396" w:type="pct"/>
            <w:shd w:val="thinDiagStripe" w:color="C0C0C0" w:fill="auto"/>
            <w:vAlign w:val="center"/>
          </w:tcPr>
          <w:p w:rsidR="00717136" w:rsidRPr="00210DAC" w:rsidRDefault="00717136" w:rsidP="00717136">
            <w:pPr>
              <w:spacing w:before="60" w:after="60"/>
              <w:jc w:val="center"/>
              <w:rPr>
                <w:noProof/>
              </w:rPr>
            </w:pPr>
            <w:r w:rsidRPr="00210DAC">
              <w:rPr>
                <w:b/>
                <w:noProof/>
                <w:sz w:val="22"/>
              </w:rPr>
              <w:t>7</w:t>
            </w:r>
          </w:p>
        </w:tc>
        <w:tc>
          <w:tcPr>
            <w:tcW w:w="2865" w:type="pct"/>
            <w:vAlign w:val="center"/>
          </w:tcPr>
          <w:p w:rsidR="00717136" w:rsidRPr="00210DAC" w:rsidRDefault="00717136" w:rsidP="00717136">
            <w:pPr>
              <w:spacing w:before="60" w:after="60"/>
              <w:rPr>
                <w:noProof/>
              </w:rPr>
            </w:pPr>
            <w:r w:rsidRPr="00210DAC">
              <w:rPr>
                <w:noProof/>
                <w:sz w:val="22"/>
              </w:rPr>
              <w:t>„Administrativni rashodi”</w:t>
            </w:r>
            <w:r w:rsidRPr="00210DAC">
              <w:rPr>
                <w:rStyle w:val="FootnoteReference"/>
                <w:noProof/>
              </w:rPr>
              <w:footnoteReference w:id="19"/>
            </w:r>
          </w:p>
        </w:tc>
      </w:tr>
    </w:tbl>
    <w:p w:rsidR="00717136" w:rsidRPr="00210DAC" w:rsidRDefault="00717136" w:rsidP="00717136">
      <w:pPr>
        <w:jc w:val="left"/>
        <w:rPr>
          <w:noProof/>
          <w:color w:val="008000"/>
        </w:rPr>
      </w:pPr>
    </w:p>
    <w:p w:rsidR="001B7452" w:rsidRPr="00210DAC" w:rsidRDefault="001B7452" w:rsidP="00717136">
      <w:pPr>
        <w:jc w:val="left"/>
        <w:rPr>
          <w:noProof/>
          <w:color w:val="008000"/>
        </w:rPr>
      </w:pPr>
    </w:p>
    <w:tbl>
      <w:tblPr>
        <w:tblW w:w="5000" w:type="pct"/>
        <w:tblLook w:val="04A0" w:firstRow="1" w:lastRow="0" w:firstColumn="1" w:lastColumn="0" w:noHBand="0" w:noVBand="1"/>
      </w:tblPr>
      <w:tblGrid>
        <w:gridCol w:w="4866"/>
        <w:gridCol w:w="2727"/>
        <w:gridCol w:w="639"/>
        <w:gridCol w:w="642"/>
        <w:gridCol w:w="1088"/>
        <w:gridCol w:w="1159"/>
        <w:gridCol w:w="1159"/>
        <w:gridCol w:w="1159"/>
        <w:gridCol w:w="1349"/>
      </w:tblGrid>
      <w:tr w:rsidR="00717136" w:rsidRPr="00210DAC" w:rsidTr="001B7452">
        <w:trPr>
          <w:trHeight w:val="288"/>
        </w:trPr>
        <w:tc>
          <w:tcPr>
            <w:tcW w:w="3000" w:type="pct"/>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Cs w:val="24"/>
              </w:rPr>
            </w:pPr>
            <w:r w:rsidRPr="00210DAC">
              <w:rPr>
                <w:noProof/>
                <w:color w:val="000000"/>
              </w:rPr>
              <w:t>Glavna uprava: MOVE</w:t>
            </w:r>
          </w:p>
        </w:tc>
        <w:tc>
          <w:tcPr>
            <w:tcW w:w="368"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3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3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3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5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1B7452">
        <w:trPr>
          <w:trHeight w:val="300"/>
        </w:trPr>
        <w:tc>
          <w:tcPr>
            <w:tcW w:w="3000" w:type="pct"/>
            <w:gridSpan w:val="4"/>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Cs w:val="24"/>
                <w:lang w:eastAsia="en-IE"/>
              </w:rPr>
            </w:pP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456"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1B7452">
        <w:trPr>
          <w:trHeight w:val="300"/>
        </w:trPr>
        <w:tc>
          <w:tcPr>
            <w:tcW w:w="3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rFonts w:ascii="Wingdings" w:hAnsi="Wingdings" w:cs="Calibri"/>
                <w:noProof/>
                <w:color w:val="000000"/>
                <w:sz w:val="22"/>
              </w:rPr>
            </w:pPr>
            <w:r w:rsidRPr="00210DAC">
              <w:rPr>
                <w:rFonts w:ascii="Wingdings" w:hAnsi="Wingdings"/>
                <w:noProof/>
                <w:color w:val="000000"/>
                <w:sz w:val="22"/>
              </w:rPr>
              <w:t></w:t>
            </w:r>
            <w:r w:rsidRPr="00210DAC">
              <w:rPr>
                <w:noProof/>
                <w:color w:val="000000"/>
                <w:sz w:val="22"/>
              </w:rPr>
              <w:t xml:space="preserve"> Ljudski resursi </w:t>
            </w:r>
          </w:p>
        </w:tc>
        <w:tc>
          <w:tcPr>
            <w:tcW w:w="3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w:t>
            </w: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w:t>
            </w: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w:t>
            </w: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w:t>
            </w:r>
          </w:p>
        </w:tc>
        <w:tc>
          <w:tcPr>
            <w:tcW w:w="4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0</w:t>
            </w:r>
          </w:p>
        </w:tc>
      </w:tr>
      <w:tr w:rsidR="00717136" w:rsidRPr="00210DAC" w:rsidTr="001B7452">
        <w:trPr>
          <w:trHeight w:val="300"/>
        </w:trPr>
        <w:tc>
          <w:tcPr>
            <w:tcW w:w="3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rFonts w:ascii="Wingdings" w:hAnsi="Wingdings" w:cs="Calibri"/>
                <w:noProof/>
                <w:color w:val="000000"/>
                <w:sz w:val="22"/>
              </w:rPr>
            </w:pPr>
            <w:r w:rsidRPr="00210DAC">
              <w:rPr>
                <w:rFonts w:ascii="Wingdings" w:hAnsi="Wingdings"/>
                <w:noProof/>
                <w:color w:val="000000"/>
                <w:sz w:val="22"/>
              </w:rPr>
              <w:t></w:t>
            </w:r>
            <w:r w:rsidRPr="00210DAC">
              <w:rPr>
                <w:noProof/>
                <w:color w:val="000000"/>
                <w:sz w:val="22"/>
              </w:rPr>
              <w:t xml:space="preserve"> Ostali administrativni rashodi </w:t>
            </w:r>
          </w:p>
        </w:tc>
        <w:tc>
          <w:tcPr>
            <w:tcW w:w="3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center"/>
              <w:rPr>
                <w:noProof/>
                <w:color w:val="000000" w:themeColor="text1"/>
                <w:sz w:val="20"/>
                <w:szCs w:val="20"/>
              </w:rPr>
            </w:pPr>
            <w:r w:rsidRPr="00210DAC">
              <w:rPr>
                <w:noProof/>
                <w:color w:val="000000" w:themeColor="text1"/>
                <w:sz w:val="20"/>
              </w:rPr>
              <w:t xml:space="preserve"> PM</w:t>
            </w:r>
          </w:p>
          <w:p w:rsidR="00717136" w:rsidRPr="00210DAC" w:rsidRDefault="00717136" w:rsidP="00717136">
            <w:pPr>
              <w:spacing w:before="0" w:after="0"/>
              <w:jc w:val="right"/>
              <w:rPr>
                <w:noProof/>
                <w:color w:val="000000"/>
                <w:sz w:val="20"/>
                <w:szCs w:val="20"/>
                <w:lang w:eastAsia="en-IE"/>
              </w:rPr>
            </w:pP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center"/>
              <w:rPr>
                <w:noProof/>
                <w:color w:val="000000" w:themeColor="text1"/>
                <w:sz w:val="20"/>
                <w:szCs w:val="20"/>
              </w:rPr>
            </w:pPr>
            <w:r w:rsidRPr="00210DAC">
              <w:rPr>
                <w:noProof/>
                <w:color w:val="000000" w:themeColor="text1"/>
                <w:sz w:val="20"/>
              </w:rPr>
              <w:t xml:space="preserve"> PM</w:t>
            </w:r>
          </w:p>
          <w:p w:rsidR="00717136" w:rsidRPr="00210DAC" w:rsidRDefault="00717136" w:rsidP="00717136">
            <w:pPr>
              <w:spacing w:before="0" w:after="0"/>
              <w:jc w:val="right"/>
              <w:rPr>
                <w:noProof/>
                <w:color w:val="000000"/>
                <w:sz w:val="20"/>
                <w:szCs w:val="20"/>
                <w:lang w:eastAsia="en-IE"/>
              </w:rPr>
            </w:pP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center"/>
              <w:rPr>
                <w:noProof/>
                <w:color w:val="000000" w:themeColor="text1"/>
                <w:sz w:val="20"/>
                <w:szCs w:val="20"/>
              </w:rPr>
            </w:pPr>
            <w:r w:rsidRPr="00210DAC">
              <w:rPr>
                <w:noProof/>
                <w:color w:val="000000" w:themeColor="text1"/>
                <w:sz w:val="20"/>
              </w:rPr>
              <w:t xml:space="preserve">PM </w:t>
            </w:r>
          </w:p>
          <w:p w:rsidR="00717136" w:rsidRPr="00210DAC" w:rsidRDefault="00717136" w:rsidP="00717136">
            <w:pPr>
              <w:spacing w:before="0" w:after="0"/>
              <w:jc w:val="right"/>
              <w:rPr>
                <w:noProof/>
                <w:color w:val="000000"/>
                <w:sz w:val="20"/>
                <w:szCs w:val="20"/>
                <w:lang w:eastAsia="en-IE"/>
              </w:rPr>
            </w:pP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center"/>
              <w:rPr>
                <w:noProof/>
                <w:color w:val="000000" w:themeColor="text1"/>
                <w:sz w:val="20"/>
                <w:szCs w:val="20"/>
              </w:rPr>
            </w:pPr>
            <w:r w:rsidRPr="00210DAC">
              <w:rPr>
                <w:noProof/>
                <w:color w:val="000000" w:themeColor="text1"/>
                <w:sz w:val="20"/>
              </w:rPr>
              <w:t xml:space="preserve"> PM</w:t>
            </w:r>
          </w:p>
          <w:p w:rsidR="00717136" w:rsidRPr="00210DAC" w:rsidRDefault="00717136" w:rsidP="00717136">
            <w:pPr>
              <w:spacing w:before="0" w:after="0"/>
              <w:jc w:val="right"/>
              <w:rPr>
                <w:noProof/>
                <w:color w:val="000000"/>
                <w:sz w:val="20"/>
                <w:szCs w:val="20"/>
                <w:lang w:eastAsia="en-IE"/>
              </w:rPr>
            </w:pPr>
          </w:p>
        </w:tc>
        <w:tc>
          <w:tcPr>
            <w:tcW w:w="4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center"/>
              <w:rPr>
                <w:noProof/>
                <w:color w:val="000000" w:themeColor="text1"/>
                <w:sz w:val="20"/>
                <w:szCs w:val="20"/>
              </w:rPr>
            </w:pPr>
            <w:r w:rsidRPr="00210DAC">
              <w:rPr>
                <w:noProof/>
                <w:color w:val="000000" w:themeColor="text1"/>
                <w:sz w:val="20"/>
              </w:rPr>
              <w:t xml:space="preserve"> PM</w:t>
            </w:r>
          </w:p>
          <w:p w:rsidR="00717136" w:rsidRPr="00210DAC" w:rsidRDefault="00717136" w:rsidP="00717136">
            <w:pPr>
              <w:spacing w:before="0" w:after="0"/>
              <w:jc w:val="right"/>
              <w:rPr>
                <w:b/>
                <w:bCs/>
                <w:noProof/>
                <w:color w:val="000000"/>
                <w:sz w:val="20"/>
                <w:szCs w:val="20"/>
                <w:lang w:eastAsia="en-IE"/>
              </w:rPr>
            </w:pPr>
          </w:p>
        </w:tc>
      </w:tr>
      <w:tr w:rsidR="00717136" w:rsidRPr="00210DAC" w:rsidTr="001B7452">
        <w:trPr>
          <w:trHeight w:val="300"/>
        </w:trPr>
        <w:tc>
          <w:tcPr>
            <w:tcW w:w="16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2"/>
              </w:rPr>
            </w:pPr>
            <w:r w:rsidRPr="00210DAC">
              <w:rPr>
                <w:b/>
                <w:bCs/>
                <w:noProof/>
                <w:color w:val="000000"/>
                <w:sz w:val="22"/>
              </w:rPr>
              <w:t>UKUPNO GU</w:t>
            </w:r>
            <w:r w:rsidRPr="00210DAC">
              <w:rPr>
                <w:noProof/>
                <w:color w:val="000000"/>
                <w:sz w:val="22"/>
              </w:rPr>
              <w:t xml:space="preserve"> MOVE</w:t>
            </w:r>
          </w:p>
        </w:tc>
        <w:tc>
          <w:tcPr>
            <w:tcW w:w="1355" w:type="pct"/>
            <w:gridSpan w:val="3"/>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noProof/>
                <w:color w:val="000000"/>
                <w:sz w:val="18"/>
                <w:szCs w:val="18"/>
              </w:rPr>
            </w:pPr>
            <w:r w:rsidRPr="00210DAC">
              <w:rPr>
                <w:noProof/>
                <w:color w:val="000000"/>
                <w:sz w:val="18"/>
              </w:rPr>
              <w:t xml:space="preserve">Odobrena sredstva </w:t>
            </w:r>
          </w:p>
        </w:tc>
        <w:tc>
          <w:tcPr>
            <w:tcW w:w="3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center"/>
              <w:rPr>
                <w:noProof/>
                <w:color w:val="000000" w:themeColor="text1"/>
                <w:sz w:val="20"/>
                <w:szCs w:val="20"/>
              </w:rPr>
            </w:pPr>
            <w:r w:rsidRPr="00210DAC">
              <w:rPr>
                <w:noProof/>
                <w:color w:val="000000" w:themeColor="text1"/>
                <w:sz w:val="20"/>
              </w:rPr>
              <w:t xml:space="preserve"> PM</w:t>
            </w:r>
          </w:p>
          <w:p w:rsidR="00717136" w:rsidRPr="00210DAC" w:rsidRDefault="00717136" w:rsidP="00717136">
            <w:pPr>
              <w:spacing w:before="0" w:after="0"/>
              <w:jc w:val="right"/>
              <w:rPr>
                <w:b/>
                <w:bCs/>
                <w:noProof/>
                <w:color w:val="000000"/>
                <w:sz w:val="20"/>
                <w:szCs w:val="20"/>
                <w:lang w:eastAsia="en-IE"/>
              </w:rPr>
            </w:pP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rFonts w:eastAsia="Times New Roman"/>
                <w:noProof/>
                <w:sz w:val="20"/>
                <w:szCs w:val="20"/>
              </w:rPr>
            </w:pPr>
            <w:r w:rsidRPr="00210DAC">
              <w:rPr>
                <w:b/>
                <w:noProof/>
                <w:color w:val="000000" w:themeColor="text1"/>
                <w:sz w:val="20"/>
              </w:rPr>
              <w:t>PM</w:t>
            </w: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rFonts w:eastAsia="Times New Roman"/>
                <w:noProof/>
                <w:sz w:val="20"/>
                <w:szCs w:val="20"/>
              </w:rPr>
            </w:pPr>
            <w:r w:rsidRPr="00210DAC">
              <w:rPr>
                <w:b/>
                <w:noProof/>
                <w:color w:val="000000" w:themeColor="text1"/>
                <w:sz w:val="20"/>
              </w:rPr>
              <w:t>PM</w:t>
            </w:r>
          </w:p>
        </w:tc>
        <w:tc>
          <w:tcPr>
            <w:tcW w:w="3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noProof/>
                <w:color w:val="000000" w:themeColor="text1"/>
                <w:sz w:val="20"/>
                <w:szCs w:val="20"/>
              </w:rPr>
            </w:pPr>
            <w:r w:rsidRPr="00210DAC">
              <w:rPr>
                <w:b/>
                <w:noProof/>
                <w:color w:val="000000" w:themeColor="text1"/>
                <w:sz w:val="20"/>
              </w:rPr>
              <w:t xml:space="preserve">PM </w:t>
            </w:r>
          </w:p>
        </w:tc>
        <w:tc>
          <w:tcPr>
            <w:tcW w:w="4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rFonts w:eastAsia="Times New Roman"/>
                <w:noProof/>
                <w:sz w:val="20"/>
                <w:szCs w:val="20"/>
              </w:rPr>
            </w:pPr>
            <w:r w:rsidRPr="00210DAC">
              <w:rPr>
                <w:b/>
                <w:noProof/>
                <w:color w:val="000000" w:themeColor="text1"/>
                <w:sz w:val="20"/>
              </w:rPr>
              <w:t xml:space="preserve"> PM</w:t>
            </w:r>
          </w:p>
        </w:tc>
      </w:tr>
      <w:tr w:rsidR="00717136" w:rsidRPr="00210DAC" w:rsidTr="00022CAC">
        <w:trPr>
          <w:trHeight w:val="300"/>
        </w:trPr>
        <w:tc>
          <w:tcPr>
            <w:tcW w:w="1645"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right"/>
              <w:rPr>
                <w:b/>
                <w:bCs/>
                <w:noProof/>
                <w:color w:val="000000"/>
                <w:sz w:val="20"/>
                <w:szCs w:val="20"/>
                <w:lang w:eastAsia="en-IE"/>
              </w:rPr>
            </w:pPr>
          </w:p>
        </w:tc>
        <w:tc>
          <w:tcPr>
            <w:tcW w:w="92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216"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217"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8"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9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9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9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456"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r>
    </w:tbl>
    <w:p w:rsidR="00717136" w:rsidRPr="00210DAC" w:rsidRDefault="00717136" w:rsidP="00717136">
      <w:pPr>
        <w:jc w:val="right"/>
        <w:rPr>
          <w:noProof/>
          <w:sz w:val="20"/>
        </w:rPr>
      </w:pPr>
      <w:r w:rsidRPr="00210DAC">
        <w:rPr>
          <w:noProof/>
          <w:sz w:val="20"/>
        </w:rPr>
        <w:t>u milijunima EUR (na tri decimale)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15"/>
        <w:gridCol w:w="2147"/>
        <w:gridCol w:w="1316"/>
        <w:gridCol w:w="1316"/>
        <w:gridCol w:w="1316"/>
        <w:gridCol w:w="1316"/>
        <w:gridCol w:w="1562"/>
      </w:tblGrid>
      <w:tr w:rsidR="00717136" w:rsidRPr="00210DAC" w:rsidTr="001B7452">
        <w:trPr>
          <w:trHeight w:val="288"/>
        </w:trPr>
        <w:tc>
          <w:tcPr>
            <w:tcW w:w="2692" w:type="pct"/>
            <w:gridSpan w:val="2"/>
            <w:vMerge w:val="restart"/>
            <w:shd w:val="clear" w:color="auto" w:fill="auto"/>
            <w:vAlign w:val="center"/>
            <w:hideMark/>
          </w:tcPr>
          <w:p w:rsidR="00717136" w:rsidRPr="00210DAC" w:rsidRDefault="00717136" w:rsidP="00717136">
            <w:pPr>
              <w:spacing w:before="0" w:after="0"/>
              <w:jc w:val="center"/>
              <w:rPr>
                <w:noProof/>
                <w:color w:val="000000"/>
                <w:szCs w:val="24"/>
              </w:rPr>
            </w:pPr>
            <w:r w:rsidRPr="00210DAC">
              <w:rPr>
                <w:noProof/>
                <w:color w:val="000000"/>
              </w:rPr>
              <w:t> </w:t>
            </w:r>
          </w:p>
        </w:tc>
        <w:tc>
          <w:tcPr>
            <w:tcW w:w="445" w:type="pct"/>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45" w:type="pct"/>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45" w:type="pct"/>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45" w:type="pct"/>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528" w:type="pct"/>
            <w:vMerge w:val="restart"/>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1B7452">
        <w:trPr>
          <w:trHeight w:val="300"/>
        </w:trPr>
        <w:tc>
          <w:tcPr>
            <w:tcW w:w="2692" w:type="pct"/>
            <w:gridSpan w:val="2"/>
            <w:vMerge/>
            <w:vAlign w:val="center"/>
            <w:hideMark/>
          </w:tcPr>
          <w:p w:rsidR="00717136" w:rsidRPr="00210DAC" w:rsidRDefault="00717136" w:rsidP="00717136">
            <w:pPr>
              <w:spacing w:before="0" w:after="0"/>
              <w:jc w:val="left"/>
              <w:rPr>
                <w:noProof/>
                <w:color w:val="000000"/>
                <w:szCs w:val="24"/>
                <w:lang w:eastAsia="en-IE"/>
              </w:rPr>
            </w:pPr>
          </w:p>
        </w:tc>
        <w:tc>
          <w:tcPr>
            <w:tcW w:w="445" w:type="pct"/>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445" w:type="pct"/>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445" w:type="pct"/>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445" w:type="pct"/>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528" w:type="pct"/>
            <w:vMerge/>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1B7452">
        <w:trPr>
          <w:trHeight w:val="564"/>
        </w:trPr>
        <w:tc>
          <w:tcPr>
            <w:tcW w:w="1966" w:type="pct"/>
            <w:shd w:val="clear" w:color="auto" w:fill="C0C0C0"/>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 iz NASLOVA 1. – 7.</w:t>
            </w:r>
          </w:p>
        </w:tc>
        <w:tc>
          <w:tcPr>
            <w:tcW w:w="726" w:type="pct"/>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noProof/>
                <w:color w:val="000000" w:themeColor="text1"/>
              </w:rPr>
            </w:pPr>
            <w:r w:rsidRPr="00210DAC">
              <w:rPr>
                <w:b/>
                <w:noProof/>
                <w:color w:val="000000" w:themeColor="text1"/>
                <w:sz w:val="20"/>
              </w:rPr>
              <w:t>PM</w:t>
            </w:r>
            <w:r w:rsidRPr="00210DAC">
              <w:rPr>
                <w:b/>
                <w:noProof/>
                <w:color w:val="000000" w:themeColor="text1"/>
              </w:rPr>
              <w:t xml:space="preserve"> </w:t>
            </w:r>
          </w:p>
        </w:tc>
        <w:tc>
          <w:tcPr>
            <w:tcW w:w="528"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r>
      <w:tr w:rsidR="00717136" w:rsidRPr="00210DAC" w:rsidTr="001B7452">
        <w:trPr>
          <w:trHeight w:val="540"/>
        </w:trPr>
        <w:tc>
          <w:tcPr>
            <w:tcW w:w="1966" w:type="pct"/>
            <w:shd w:val="clear" w:color="auto" w:fill="C0C0C0"/>
            <w:vAlign w:val="center"/>
            <w:hideMark/>
          </w:tcPr>
          <w:p w:rsidR="00717136" w:rsidRPr="00210DAC" w:rsidRDefault="00717136" w:rsidP="00717136">
            <w:pPr>
              <w:spacing w:before="0" w:after="0"/>
              <w:jc w:val="center"/>
              <w:rPr>
                <w:noProof/>
                <w:color w:val="000000"/>
                <w:sz w:val="22"/>
              </w:rPr>
            </w:pPr>
            <w:r w:rsidRPr="00210DAC">
              <w:rPr>
                <w:noProof/>
                <w:color w:val="000000"/>
                <w:sz w:val="22"/>
              </w:rPr>
              <w:t>višegodišnjeg financijskog okvira</w:t>
            </w:r>
            <w:r w:rsidRPr="00210DAC">
              <w:rPr>
                <w:b/>
                <w:noProof/>
                <w:color w:val="000000"/>
                <w:sz w:val="22"/>
              </w:rPr>
              <w:t xml:space="preserve"> </w:t>
            </w:r>
          </w:p>
        </w:tc>
        <w:tc>
          <w:tcPr>
            <w:tcW w:w="726" w:type="pct"/>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445" w:type="pct"/>
            <w:shd w:val="clear" w:color="auto" w:fill="D9D9D9" w:themeFill="background1" w:themeFillShade="D9"/>
            <w:vAlign w:val="center"/>
            <w:hideMark/>
          </w:tcPr>
          <w:p w:rsidR="00717136" w:rsidRPr="00210DAC" w:rsidRDefault="00717136" w:rsidP="00717136">
            <w:pPr>
              <w:spacing w:before="0" w:after="0"/>
              <w:jc w:val="right"/>
              <w:rPr>
                <w:b/>
                <w:noProof/>
                <w:color w:val="000000" w:themeColor="text1"/>
              </w:rPr>
            </w:pPr>
            <w:r w:rsidRPr="00210DAC">
              <w:rPr>
                <w:b/>
                <w:noProof/>
                <w:color w:val="000000" w:themeColor="text1"/>
                <w:sz w:val="20"/>
              </w:rPr>
              <w:t>PM</w:t>
            </w:r>
            <w:r w:rsidRPr="00210DAC">
              <w:rPr>
                <w:noProof/>
                <w:color w:val="000000" w:themeColor="text1"/>
              </w:rPr>
              <w:t xml:space="preserve"> </w:t>
            </w:r>
          </w:p>
        </w:tc>
        <w:tc>
          <w:tcPr>
            <w:tcW w:w="528" w:type="pct"/>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r>
    </w:tbl>
    <w:p w:rsidR="00717136" w:rsidRPr="00210DAC" w:rsidRDefault="00717136" w:rsidP="00717136">
      <w:pPr>
        <w:spacing w:after="40"/>
        <w:rPr>
          <w:noProof/>
          <w:color w:val="008000"/>
        </w:rPr>
      </w:pPr>
    </w:p>
    <w:p w:rsidR="00717136" w:rsidRPr="00210DAC" w:rsidRDefault="00717136" w:rsidP="00717136">
      <w:pPr>
        <w:spacing w:after="40"/>
        <w:rPr>
          <w:noProof/>
          <w:color w:val="008000"/>
        </w:rPr>
      </w:pPr>
    </w:p>
    <w:tbl>
      <w:tblPr>
        <w:tblW w:w="5000" w:type="pct"/>
        <w:tblLook w:val="04A0" w:firstRow="1" w:lastRow="0" w:firstColumn="1" w:lastColumn="0" w:noHBand="0" w:noVBand="1"/>
      </w:tblPr>
      <w:tblGrid>
        <w:gridCol w:w="4173"/>
        <w:gridCol w:w="1565"/>
        <w:gridCol w:w="1455"/>
        <w:gridCol w:w="1458"/>
        <w:gridCol w:w="1458"/>
        <w:gridCol w:w="1458"/>
        <w:gridCol w:w="1458"/>
        <w:gridCol w:w="1763"/>
      </w:tblGrid>
      <w:tr w:rsidR="00717136" w:rsidRPr="00210DAC" w:rsidTr="00022CAC">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022CAC">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717136" w:rsidRPr="00210DAC" w:rsidRDefault="00717136" w:rsidP="00717136">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493"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022CAC">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1"/>
                <w:szCs w:val="21"/>
              </w:rPr>
            </w:pPr>
            <w:r w:rsidRPr="00210DAC">
              <w:rPr>
                <w:noProof/>
                <w:color w:val="000000"/>
                <w:sz w:val="21"/>
              </w:rPr>
              <w:t xml:space="preserve">UKUPNA odobrena sredstva za poslovanje </w:t>
            </w:r>
            <w:r w:rsidRPr="00210DAC">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456"/>
        </w:trPr>
        <w:tc>
          <w:tcPr>
            <w:tcW w:w="1411" w:type="pct"/>
            <w:vMerge/>
            <w:tcBorders>
              <w:top w:val="nil"/>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1"/>
                <w:szCs w:val="21"/>
              </w:rPr>
            </w:pPr>
            <w:r w:rsidRPr="00210DAC">
              <w:rPr>
                <w:noProof/>
                <w:color w:val="000000"/>
                <w:sz w:val="21"/>
              </w:rPr>
              <w:t xml:space="preserve">UKUPNA administrativna odobrena sredstva koja se financiraju iz omotnice za posebne programe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 iz NASLOVA 5.</w:t>
            </w: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717136" w:rsidRPr="00210DAC" w:rsidRDefault="00717136" w:rsidP="00717136">
            <w:pPr>
              <w:spacing w:before="0" w:after="0"/>
              <w:jc w:val="center"/>
              <w:rPr>
                <w:noProof/>
                <w:color w:val="000000"/>
                <w:sz w:val="22"/>
              </w:rPr>
            </w:pPr>
            <w:r w:rsidRPr="00210DAC">
              <w:rPr>
                <w:noProof/>
                <w:color w:val="000000"/>
                <w:sz w:val="22"/>
              </w:rPr>
              <w:t>višegodišnjeg financijskog okvira</w:t>
            </w:r>
          </w:p>
        </w:tc>
        <w:tc>
          <w:tcPr>
            <w:tcW w:w="529"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93"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596"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bl>
    <w:p w:rsidR="00717136" w:rsidRPr="00210DAC" w:rsidRDefault="00717136" w:rsidP="00717136">
      <w:pPr>
        <w:spacing w:after="40"/>
        <w:rPr>
          <w:noProof/>
          <w:color w:val="008000"/>
        </w:rPr>
      </w:pPr>
    </w:p>
    <w:tbl>
      <w:tblPr>
        <w:tblW w:w="5000" w:type="pct"/>
        <w:tblLook w:val="04A0" w:firstRow="1" w:lastRow="0" w:firstColumn="1" w:lastColumn="0" w:noHBand="0" w:noVBand="1"/>
      </w:tblPr>
      <w:tblGrid>
        <w:gridCol w:w="4502"/>
        <w:gridCol w:w="1394"/>
        <w:gridCol w:w="1080"/>
        <w:gridCol w:w="1082"/>
        <w:gridCol w:w="1292"/>
        <w:gridCol w:w="1292"/>
        <w:gridCol w:w="1292"/>
        <w:gridCol w:w="1292"/>
        <w:gridCol w:w="1562"/>
      </w:tblGrid>
      <w:tr w:rsidR="00717136" w:rsidRPr="00210DAC" w:rsidTr="00022CAC">
        <w:trPr>
          <w:trHeight w:val="288"/>
        </w:trPr>
        <w:tc>
          <w:tcPr>
            <w:tcW w:w="152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022CAC">
        <w:trPr>
          <w:trHeight w:val="300"/>
        </w:trPr>
        <w:tc>
          <w:tcPr>
            <w:tcW w:w="1522"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717136" w:rsidRPr="00210DAC" w:rsidRDefault="00717136" w:rsidP="00717136">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437"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022CAC">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21"/>
                <w:szCs w:val="21"/>
              </w:rPr>
            </w:pPr>
            <w:r w:rsidRPr="00210DAC">
              <w:rPr>
                <w:rFonts w:ascii="Calibri" w:hAnsi="Calibri"/>
                <w:noProof/>
                <w:color w:val="000000"/>
                <w:sz w:val="21"/>
              </w:rPr>
              <w:t xml:space="preserve">• </w:t>
            </w:r>
            <w:r w:rsidRPr="00210DAC">
              <w:rPr>
                <w:noProof/>
                <w:color w:val="000000"/>
                <w:sz w:val="21"/>
              </w:rPr>
              <w:t>UKUPNA odobrena sredstva za poslovanje (svi naslovi za poslovanje)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17136" w:rsidRPr="00210DAC" w:rsidRDefault="00717136" w:rsidP="00717136">
            <w:pPr>
              <w:spacing w:before="0" w:after="0"/>
              <w:rPr>
                <w:noProof/>
                <w:color w:val="000000"/>
                <w:sz w:val="21"/>
                <w:szCs w:val="21"/>
              </w:rPr>
            </w:pPr>
            <w:r w:rsidRPr="00210DAC">
              <w:rPr>
                <w:rFonts w:ascii="Calibri" w:hAnsi="Calibri"/>
                <w:noProof/>
                <w:color w:val="000000"/>
                <w:sz w:val="21"/>
              </w:rPr>
              <w:t>•</w:t>
            </w:r>
            <w:r w:rsidRPr="00210DAC">
              <w:rPr>
                <w:noProof/>
                <w:color w:val="000000"/>
                <w:sz w:val="21"/>
              </w:rPr>
              <w:t xml:space="preserve"> UKUPNA administrativna odobrena sredstva koja se financiraju iz omotnice za posebne programe (svi naslovi za poslovanje)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noProof/>
                <w:color w:val="000000"/>
                <w:sz w:val="20"/>
                <w:szCs w:val="20"/>
              </w:rPr>
            </w:pPr>
            <w:r w:rsidRPr="00210DAC">
              <w:rPr>
                <w:noProof/>
                <w:color w:val="000000"/>
                <w:sz w:val="20"/>
              </w:rPr>
              <w:t>PM</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 iz naslova 1. – 6.</w:t>
            </w:r>
          </w:p>
        </w:tc>
        <w:tc>
          <w:tcPr>
            <w:tcW w:w="471" w:type="pct"/>
            <w:tcBorders>
              <w:top w:val="nil"/>
              <w:left w:val="nil"/>
              <w:bottom w:val="nil"/>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731" w:type="pct"/>
            <w:gridSpan w:val="2"/>
            <w:tcBorders>
              <w:top w:val="single" w:sz="8" w:space="0" w:color="auto"/>
              <w:left w:val="nil"/>
              <w:bottom w:val="nil"/>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r w:rsidR="00717136" w:rsidRPr="00210DAC" w:rsidTr="00022CAC">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višegodišnjeg financijskog okvira (referentni iznos)</w:t>
            </w:r>
          </w:p>
        </w:tc>
        <w:tc>
          <w:tcPr>
            <w:tcW w:w="471" w:type="pct"/>
            <w:tcBorders>
              <w:top w:val="nil"/>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17136" w:rsidRPr="00210DAC" w:rsidRDefault="00717136" w:rsidP="00717136">
            <w:pPr>
              <w:spacing w:before="0" w:after="0"/>
              <w:jc w:val="center"/>
              <w:rPr>
                <w:noProof/>
                <w:color w:val="000000"/>
                <w:sz w:val="14"/>
                <w:szCs w:val="14"/>
              </w:rPr>
            </w:pPr>
            <w:r w:rsidRPr="00210DAC">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437"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c>
          <w:tcPr>
            <w:tcW w:w="528" w:type="pct"/>
            <w:tcBorders>
              <w:top w:val="nil"/>
              <w:left w:val="nil"/>
              <w:bottom w:val="single" w:sz="8" w:space="0" w:color="auto"/>
              <w:right w:val="single" w:sz="8" w:space="0" w:color="auto"/>
            </w:tcBorders>
            <w:shd w:val="clear" w:color="000000" w:fill="D9D9D9"/>
            <w:vAlign w:val="center"/>
            <w:hideMark/>
          </w:tcPr>
          <w:p w:rsidR="00717136" w:rsidRPr="00210DAC" w:rsidRDefault="00717136" w:rsidP="00717136">
            <w:pPr>
              <w:spacing w:before="0" w:after="0"/>
              <w:jc w:val="right"/>
              <w:rPr>
                <w:b/>
                <w:bCs/>
                <w:noProof/>
                <w:color w:val="000000"/>
                <w:sz w:val="20"/>
                <w:szCs w:val="20"/>
              </w:rPr>
            </w:pPr>
            <w:r w:rsidRPr="00210DAC">
              <w:rPr>
                <w:b/>
                <w:noProof/>
                <w:color w:val="000000"/>
                <w:sz w:val="20"/>
              </w:rPr>
              <w:t>PM</w:t>
            </w:r>
          </w:p>
        </w:tc>
      </w:tr>
    </w:tbl>
    <w:p w:rsidR="00717136" w:rsidRPr="00210DAC" w:rsidRDefault="00717136" w:rsidP="00717136">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717136" w:rsidRPr="00210DAC" w:rsidTr="00022CAC">
        <w:trPr>
          <w:jc w:val="center"/>
        </w:trPr>
        <w:tc>
          <w:tcPr>
            <w:tcW w:w="1668" w:type="pct"/>
            <w:shd w:val="thinDiagStripe" w:color="C0C0C0" w:fill="auto"/>
            <w:vAlign w:val="center"/>
          </w:tcPr>
          <w:p w:rsidR="00717136" w:rsidRPr="00210DAC" w:rsidRDefault="00717136" w:rsidP="00717136">
            <w:pPr>
              <w:spacing w:before="60" w:after="60"/>
              <w:jc w:val="center"/>
              <w:rPr>
                <w:b/>
                <w:noProof/>
              </w:rPr>
            </w:pPr>
            <w:r w:rsidRPr="00210DAC">
              <w:rPr>
                <w:noProof/>
              </w:rPr>
              <w:br w:type="page"/>
            </w:r>
            <w:r w:rsidRPr="00210DAC">
              <w:rPr>
                <w:b/>
                <w:noProof/>
                <w:sz w:val="22"/>
              </w:rPr>
              <w:t xml:space="preserve">Naslov višegodišnjeg financijskog okvira </w:t>
            </w:r>
          </w:p>
        </w:tc>
        <w:tc>
          <w:tcPr>
            <w:tcW w:w="380" w:type="pct"/>
            <w:shd w:val="thinDiagStripe" w:color="C0C0C0" w:fill="auto"/>
            <w:vAlign w:val="center"/>
          </w:tcPr>
          <w:p w:rsidR="00717136" w:rsidRPr="00210DAC" w:rsidRDefault="00717136" w:rsidP="00717136">
            <w:pPr>
              <w:spacing w:before="60" w:after="60"/>
              <w:jc w:val="center"/>
              <w:rPr>
                <w:noProof/>
              </w:rPr>
            </w:pPr>
            <w:r w:rsidRPr="00210DAC">
              <w:rPr>
                <w:b/>
                <w:noProof/>
                <w:sz w:val="22"/>
              </w:rPr>
              <w:t>7</w:t>
            </w:r>
          </w:p>
        </w:tc>
        <w:tc>
          <w:tcPr>
            <w:tcW w:w="2749" w:type="pct"/>
            <w:vAlign w:val="center"/>
          </w:tcPr>
          <w:p w:rsidR="00717136" w:rsidRPr="00210DAC" w:rsidRDefault="00717136" w:rsidP="00717136">
            <w:pPr>
              <w:spacing w:before="60" w:after="60"/>
              <w:rPr>
                <w:noProof/>
              </w:rPr>
            </w:pPr>
            <w:r w:rsidRPr="00210DAC">
              <w:rPr>
                <w:noProof/>
                <w:sz w:val="22"/>
              </w:rPr>
              <w:t>„Administrativni rashodi”</w:t>
            </w:r>
            <w:r w:rsidRPr="00210DAC">
              <w:rPr>
                <w:rStyle w:val="FootnoteReference"/>
                <w:noProof/>
              </w:rPr>
              <w:footnoteReference w:id="20"/>
            </w:r>
          </w:p>
        </w:tc>
      </w:tr>
    </w:tbl>
    <w:p w:rsidR="00717136" w:rsidRPr="00210DAC" w:rsidRDefault="00717136" w:rsidP="00717136">
      <w:pPr>
        <w:jc w:val="right"/>
        <w:rPr>
          <w:noProof/>
          <w:sz w:val="20"/>
        </w:rPr>
      </w:pPr>
      <w:r w:rsidRPr="00210DAC">
        <w:rPr>
          <w:noProof/>
          <w:sz w:val="20"/>
        </w:rPr>
        <w:t>u milijunima EUR (na tri decimale)</w:t>
      </w:r>
    </w:p>
    <w:p w:rsidR="00717136" w:rsidRPr="00210DAC" w:rsidRDefault="00717136" w:rsidP="00717136">
      <w:pPr>
        <w:jc w:val="right"/>
        <w:rPr>
          <w:noProof/>
          <w:sz w:val="20"/>
        </w:rPr>
      </w:pPr>
      <w:r w:rsidRPr="00210DAC">
        <w:rPr>
          <w:noProof/>
          <w:sz w:val="20"/>
        </w:rPr>
        <w:t>u milijunima EUR (na tri decimale)</w:t>
      </w:r>
    </w:p>
    <w:tbl>
      <w:tblPr>
        <w:tblW w:w="13140"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35"/>
        <w:gridCol w:w="1854"/>
        <w:gridCol w:w="1266"/>
        <w:gridCol w:w="1266"/>
        <w:gridCol w:w="1266"/>
        <w:gridCol w:w="1266"/>
        <w:gridCol w:w="1387"/>
      </w:tblGrid>
      <w:tr w:rsidR="00717136" w:rsidRPr="00210DAC" w:rsidTr="001B7452">
        <w:trPr>
          <w:trHeight w:val="288"/>
        </w:trPr>
        <w:tc>
          <w:tcPr>
            <w:tcW w:w="6689" w:type="dxa"/>
            <w:gridSpan w:val="2"/>
            <w:vMerge w:val="restart"/>
            <w:shd w:val="clear" w:color="auto" w:fill="auto"/>
            <w:vAlign w:val="center"/>
            <w:hideMark/>
          </w:tcPr>
          <w:p w:rsidR="00717136" w:rsidRPr="00210DAC" w:rsidRDefault="00717136" w:rsidP="00717136">
            <w:pPr>
              <w:spacing w:before="0" w:after="0"/>
              <w:jc w:val="center"/>
              <w:rPr>
                <w:noProof/>
                <w:color w:val="000000"/>
                <w:szCs w:val="24"/>
              </w:rPr>
            </w:pPr>
            <w:r w:rsidRPr="00210DAC">
              <w:rPr>
                <w:noProof/>
                <w:color w:val="000000"/>
              </w:rPr>
              <w:t> </w:t>
            </w:r>
          </w:p>
        </w:tc>
        <w:tc>
          <w:tcPr>
            <w:tcW w:w="1266" w:type="dxa"/>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1266" w:type="dxa"/>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1266" w:type="dxa"/>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1266" w:type="dxa"/>
            <w:shd w:val="clear" w:color="auto" w:fill="auto"/>
            <w:vAlign w:val="center"/>
            <w:hideMark/>
          </w:tcPr>
          <w:p w:rsidR="00717136" w:rsidRPr="00210DAC" w:rsidRDefault="00717136" w:rsidP="00717136">
            <w:pPr>
              <w:spacing w:before="0" w:after="0"/>
              <w:jc w:val="center"/>
              <w:rPr>
                <w:noProof/>
                <w:color w:val="000000"/>
                <w:sz w:val="20"/>
                <w:szCs w:val="20"/>
              </w:rPr>
            </w:pPr>
            <w:r w:rsidRPr="00210DAC">
              <w:rPr>
                <w:noProof/>
                <w:color w:val="000000"/>
                <w:sz w:val="20"/>
              </w:rPr>
              <w:t>Godina</w:t>
            </w:r>
          </w:p>
        </w:tc>
        <w:tc>
          <w:tcPr>
            <w:tcW w:w="1387" w:type="dxa"/>
            <w:vMerge w:val="restart"/>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UKUPNO VFO 2021. – 2027.</w:t>
            </w:r>
          </w:p>
        </w:tc>
      </w:tr>
      <w:tr w:rsidR="00717136" w:rsidRPr="00210DAC" w:rsidTr="001B7452">
        <w:trPr>
          <w:trHeight w:val="300"/>
        </w:trPr>
        <w:tc>
          <w:tcPr>
            <w:tcW w:w="6689" w:type="dxa"/>
            <w:gridSpan w:val="2"/>
            <w:vMerge/>
            <w:vAlign w:val="center"/>
            <w:hideMark/>
          </w:tcPr>
          <w:p w:rsidR="00717136" w:rsidRPr="00210DAC" w:rsidRDefault="00717136" w:rsidP="00717136">
            <w:pPr>
              <w:spacing w:before="0" w:after="0"/>
              <w:jc w:val="left"/>
              <w:rPr>
                <w:noProof/>
                <w:color w:val="000000"/>
                <w:szCs w:val="24"/>
                <w:lang w:eastAsia="en-IE"/>
              </w:rPr>
            </w:pPr>
          </w:p>
        </w:tc>
        <w:tc>
          <w:tcPr>
            <w:tcW w:w="1266" w:type="dxa"/>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2025.</w:t>
            </w:r>
          </w:p>
        </w:tc>
        <w:tc>
          <w:tcPr>
            <w:tcW w:w="1266" w:type="dxa"/>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2026.</w:t>
            </w:r>
          </w:p>
        </w:tc>
        <w:tc>
          <w:tcPr>
            <w:tcW w:w="1266" w:type="dxa"/>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2027.</w:t>
            </w:r>
          </w:p>
        </w:tc>
        <w:tc>
          <w:tcPr>
            <w:tcW w:w="1266" w:type="dxa"/>
            <w:shd w:val="clear" w:color="auto" w:fill="auto"/>
            <w:vAlign w:val="center"/>
            <w:hideMark/>
          </w:tcPr>
          <w:p w:rsidR="00717136" w:rsidRPr="00210DAC" w:rsidRDefault="00717136" w:rsidP="00717136">
            <w:pPr>
              <w:spacing w:before="0" w:after="0"/>
              <w:jc w:val="center"/>
              <w:rPr>
                <w:b/>
                <w:bCs/>
                <w:noProof/>
                <w:color w:val="000000"/>
                <w:sz w:val="20"/>
                <w:szCs w:val="20"/>
              </w:rPr>
            </w:pPr>
            <w:r w:rsidRPr="00210DAC">
              <w:rPr>
                <w:b/>
                <w:noProof/>
                <w:color w:val="000000"/>
                <w:sz w:val="20"/>
              </w:rPr>
              <w:t>Nakon 2027.</w:t>
            </w:r>
          </w:p>
        </w:tc>
        <w:tc>
          <w:tcPr>
            <w:tcW w:w="1387" w:type="dxa"/>
            <w:vMerge/>
            <w:vAlign w:val="center"/>
            <w:hideMark/>
          </w:tcPr>
          <w:p w:rsidR="00717136" w:rsidRPr="00210DAC" w:rsidRDefault="00717136" w:rsidP="00717136">
            <w:pPr>
              <w:spacing w:before="0" w:after="0"/>
              <w:jc w:val="left"/>
              <w:rPr>
                <w:b/>
                <w:bCs/>
                <w:noProof/>
                <w:color w:val="000000"/>
                <w:sz w:val="20"/>
                <w:szCs w:val="20"/>
                <w:lang w:eastAsia="en-IE"/>
              </w:rPr>
            </w:pPr>
          </w:p>
        </w:tc>
      </w:tr>
      <w:tr w:rsidR="00717136" w:rsidRPr="00210DAC" w:rsidTr="001B7452">
        <w:trPr>
          <w:trHeight w:val="564"/>
        </w:trPr>
        <w:tc>
          <w:tcPr>
            <w:tcW w:w="4835" w:type="dxa"/>
            <w:shd w:val="clear" w:color="auto" w:fill="C0C0C0"/>
            <w:vAlign w:val="center"/>
            <w:hideMark/>
          </w:tcPr>
          <w:p w:rsidR="00717136" w:rsidRPr="00210DAC" w:rsidRDefault="00717136" w:rsidP="00717136">
            <w:pPr>
              <w:spacing w:before="0" w:after="0"/>
              <w:jc w:val="center"/>
              <w:rPr>
                <w:b/>
                <w:bCs/>
                <w:noProof/>
                <w:color w:val="000000"/>
                <w:sz w:val="22"/>
              </w:rPr>
            </w:pPr>
            <w:r w:rsidRPr="00210DAC">
              <w:rPr>
                <w:b/>
                <w:noProof/>
                <w:color w:val="000000"/>
                <w:sz w:val="22"/>
              </w:rPr>
              <w:t>UKUPNA odobrena sredstva iz NASLOVA 1. – 7.</w:t>
            </w:r>
          </w:p>
        </w:tc>
        <w:tc>
          <w:tcPr>
            <w:tcW w:w="1854" w:type="dxa"/>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Obveze</w:t>
            </w:r>
          </w:p>
        </w:tc>
        <w:tc>
          <w:tcPr>
            <w:tcW w:w="1266"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1266"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1266" w:type="dxa"/>
            <w:shd w:val="clear" w:color="auto" w:fill="D9D9D9" w:themeFill="background1" w:themeFillShade="D9"/>
            <w:vAlign w:val="center"/>
            <w:hideMark/>
          </w:tcPr>
          <w:p w:rsidR="00717136" w:rsidRPr="00210DAC" w:rsidRDefault="00717136" w:rsidP="00717136">
            <w:pPr>
              <w:spacing w:before="0" w:after="0"/>
              <w:jc w:val="center"/>
              <w:rPr>
                <w:b/>
                <w:bCs/>
                <w:noProof/>
                <w:color w:val="000000"/>
                <w:szCs w:val="24"/>
              </w:rPr>
            </w:pPr>
            <w:r w:rsidRPr="00210DAC">
              <w:rPr>
                <w:b/>
                <w:noProof/>
                <w:color w:val="000000" w:themeColor="text1"/>
              </w:rPr>
              <w:t>PM</w:t>
            </w:r>
          </w:p>
        </w:tc>
        <w:tc>
          <w:tcPr>
            <w:tcW w:w="1266" w:type="dxa"/>
            <w:shd w:val="clear" w:color="auto" w:fill="D9D9D9" w:themeFill="background1" w:themeFillShade="D9"/>
            <w:vAlign w:val="center"/>
            <w:hideMark/>
          </w:tcPr>
          <w:p w:rsidR="00717136" w:rsidRPr="00210DAC" w:rsidRDefault="00717136" w:rsidP="00717136">
            <w:pPr>
              <w:spacing w:before="0" w:after="0"/>
              <w:jc w:val="center"/>
              <w:rPr>
                <w:b/>
                <w:bCs/>
                <w:noProof/>
                <w:color w:val="000000"/>
                <w:szCs w:val="24"/>
              </w:rPr>
            </w:pPr>
            <w:r w:rsidRPr="00210DAC">
              <w:rPr>
                <w:b/>
                <w:noProof/>
                <w:color w:val="000000" w:themeColor="text1"/>
              </w:rPr>
              <w:t>PM</w:t>
            </w:r>
          </w:p>
        </w:tc>
        <w:tc>
          <w:tcPr>
            <w:tcW w:w="1387"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r>
      <w:tr w:rsidR="00717136" w:rsidRPr="00210DAC" w:rsidTr="001B7452">
        <w:trPr>
          <w:trHeight w:val="540"/>
        </w:trPr>
        <w:tc>
          <w:tcPr>
            <w:tcW w:w="4835" w:type="dxa"/>
            <w:shd w:val="clear" w:color="auto" w:fill="C0C0C0"/>
            <w:vAlign w:val="center"/>
            <w:hideMark/>
          </w:tcPr>
          <w:p w:rsidR="00717136" w:rsidRPr="00210DAC" w:rsidRDefault="00717136" w:rsidP="00717136">
            <w:pPr>
              <w:spacing w:before="0" w:after="0"/>
              <w:jc w:val="center"/>
              <w:rPr>
                <w:noProof/>
                <w:color w:val="000000"/>
                <w:sz w:val="22"/>
              </w:rPr>
            </w:pPr>
            <w:r w:rsidRPr="00210DAC">
              <w:rPr>
                <w:noProof/>
                <w:color w:val="000000"/>
                <w:sz w:val="22"/>
              </w:rPr>
              <w:t>višegodišnjeg financijskog okvira</w:t>
            </w:r>
            <w:r w:rsidRPr="00210DAC">
              <w:rPr>
                <w:b/>
                <w:noProof/>
                <w:color w:val="000000"/>
                <w:sz w:val="22"/>
              </w:rPr>
              <w:t xml:space="preserve"> </w:t>
            </w:r>
          </w:p>
        </w:tc>
        <w:tc>
          <w:tcPr>
            <w:tcW w:w="1854" w:type="dxa"/>
            <w:shd w:val="clear" w:color="auto" w:fill="auto"/>
            <w:vAlign w:val="center"/>
            <w:hideMark/>
          </w:tcPr>
          <w:p w:rsidR="00717136" w:rsidRPr="00210DAC" w:rsidRDefault="00717136" w:rsidP="00717136">
            <w:pPr>
              <w:spacing w:before="0" w:after="0"/>
              <w:rPr>
                <w:noProof/>
                <w:color w:val="000000"/>
                <w:sz w:val="18"/>
                <w:szCs w:val="18"/>
              </w:rPr>
            </w:pPr>
            <w:r w:rsidRPr="00210DAC">
              <w:rPr>
                <w:noProof/>
                <w:color w:val="000000"/>
                <w:sz w:val="18"/>
              </w:rPr>
              <w:t>Plaćanja</w:t>
            </w:r>
          </w:p>
        </w:tc>
        <w:tc>
          <w:tcPr>
            <w:tcW w:w="1266"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1266"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1266"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1266"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c>
          <w:tcPr>
            <w:tcW w:w="1387" w:type="dxa"/>
            <w:shd w:val="clear" w:color="auto" w:fill="D9D9D9" w:themeFill="background1" w:themeFillShade="D9"/>
            <w:vAlign w:val="center"/>
            <w:hideMark/>
          </w:tcPr>
          <w:p w:rsidR="00717136" w:rsidRPr="00210DAC" w:rsidRDefault="00717136" w:rsidP="00717136">
            <w:pPr>
              <w:spacing w:before="0" w:after="0"/>
              <w:jc w:val="right"/>
              <w:rPr>
                <w:b/>
                <w:bCs/>
                <w:noProof/>
                <w:color w:val="000000"/>
                <w:szCs w:val="24"/>
              </w:rPr>
            </w:pPr>
            <w:r w:rsidRPr="00210DAC">
              <w:rPr>
                <w:b/>
                <w:noProof/>
                <w:color w:val="000000" w:themeColor="text1"/>
              </w:rPr>
              <w:t>PM</w:t>
            </w:r>
          </w:p>
        </w:tc>
      </w:tr>
    </w:tbl>
    <w:p w:rsidR="001B7452" w:rsidRPr="00210DAC" w:rsidRDefault="001B7452" w:rsidP="00717136">
      <w:pPr>
        <w:rPr>
          <w:noProof/>
          <w:sz w:val="16"/>
        </w:rPr>
        <w:sectPr w:rsidR="001B7452" w:rsidRPr="00210DAC" w:rsidSect="005F779D">
          <w:headerReference w:type="default" r:id="rId19"/>
          <w:footerReference w:type="default" r:id="rId20"/>
          <w:pgSz w:w="16840" w:h="11907" w:orient="landscape" w:code="9"/>
          <w:pgMar w:top="1418" w:right="1134" w:bottom="1418" w:left="1134" w:header="709" w:footer="709" w:gutter="0"/>
          <w:pgNumType w:start="1"/>
          <w:cols w:space="720"/>
          <w:docGrid w:linePitch="360"/>
        </w:sectPr>
      </w:pPr>
    </w:p>
    <w:p w:rsidR="00717136" w:rsidRPr="00210DAC" w:rsidRDefault="00717136" w:rsidP="001B7452">
      <w:pPr>
        <w:keepNext/>
        <w:tabs>
          <w:tab w:val="left" w:pos="850"/>
        </w:tabs>
        <w:outlineLvl w:val="2"/>
        <w:rPr>
          <w:bCs/>
          <w:i/>
          <w:noProof/>
          <w:szCs w:val="24"/>
        </w:rPr>
      </w:pPr>
      <w:bookmarkStart w:id="142" w:name="_Toc514938055"/>
      <w:bookmarkStart w:id="143" w:name="_Toc520485054"/>
      <w:bookmarkStart w:id="144" w:name="_Toc160804598"/>
      <w:bookmarkStart w:id="145" w:name="_Toc167220290"/>
      <w:bookmarkStart w:id="146" w:name="_Toc177549023"/>
      <w:r w:rsidRPr="00210DAC">
        <w:rPr>
          <w:i/>
          <w:noProof/>
        </w:rPr>
        <w:t>3.2.3.</w:t>
      </w:r>
      <w:r w:rsidRPr="00210DAC">
        <w:rPr>
          <w:i/>
          <w:noProof/>
        </w:rPr>
        <w:tab/>
        <w:t>Sažetak procijenjenog učinka na administrativna odobrena sredstva</w:t>
      </w:r>
      <w:bookmarkEnd w:id="142"/>
      <w:bookmarkEnd w:id="143"/>
      <w:bookmarkEnd w:id="144"/>
      <w:bookmarkEnd w:id="145"/>
      <w:bookmarkEnd w:id="146"/>
      <w:r w:rsidRPr="00210DAC">
        <w:rPr>
          <w:i/>
          <w:noProof/>
        </w:rPr>
        <w:t xml:space="preserve"> </w:t>
      </w:r>
    </w:p>
    <w:p w:rsidR="00717136" w:rsidRPr="00210DAC" w:rsidRDefault="00717136" w:rsidP="00E10716">
      <w:pPr>
        <w:pStyle w:val="Tiret0"/>
        <w:rPr>
          <w:noProof/>
        </w:rPr>
      </w:pPr>
      <w:r w:rsidRPr="00210DAC">
        <w:rPr>
          <w:rFonts w:ascii="Wingdings" w:hAnsi="Wingdings"/>
          <w:noProof/>
        </w:rPr>
        <w:t></w:t>
      </w:r>
      <w:r w:rsidRPr="00210DAC">
        <w:rPr>
          <w:noProof/>
        </w:rPr>
        <w:tab/>
        <w:t xml:space="preserve">Za prijedlog/inicijativu nisu potrebna administrativna odobrena sredstva. </w:t>
      </w:r>
    </w:p>
    <w:p w:rsidR="00717136" w:rsidRPr="00210DAC" w:rsidRDefault="00717136" w:rsidP="00E10716">
      <w:pPr>
        <w:pStyle w:val="Tiret0"/>
        <w:rPr>
          <w:noProof/>
        </w:rPr>
      </w:pPr>
      <w:r w:rsidRPr="00210DAC">
        <w:rPr>
          <w:rFonts w:ascii="Wingdings" w:hAnsi="Wingdings"/>
          <w:noProof/>
        </w:rPr>
        <w:t></w:t>
      </w:r>
      <w:r w:rsidRPr="00210DAC">
        <w:rPr>
          <w:noProof/>
        </w:rPr>
        <w:tab/>
        <w:t>Za prijedlog/inicijativu potrebna su sljedeća administrativna odobrena sredstva:</w:t>
      </w:r>
    </w:p>
    <w:p w:rsidR="00717136" w:rsidRPr="00210DAC" w:rsidRDefault="00717136" w:rsidP="00717136">
      <w:pPr>
        <w:keepNext/>
        <w:tabs>
          <w:tab w:val="left" w:pos="850"/>
        </w:tabs>
        <w:ind w:left="850" w:hanging="850"/>
        <w:outlineLvl w:val="2"/>
        <w:rPr>
          <w:i/>
          <w:noProof/>
        </w:rPr>
      </w:pPr>
      <w:bookmarkStart w:id="147" w:name="_Toc167220291"/>
      <w:bookmarkStart w:id="148" w:name="_Toc177549024"/>
      <w:r w:rsidRPr="00210DAC">
        <w:rPr>
          <w:i/>
          <w:noProof/>
        </w:rPr>
        <w:t>3.2.3.1. Odobrena sredstva iz izglasanog proračuna</w:t>
      </w:r>
      <w:bookmarkEnd w:id="147"/>
      <w:bookmarkEnd w:id="148"/>
    </w:p>
    <w:tbl>
      <w:tblPr>
        <w:tblW w:w="5000" w:type="pct"/>
        <w:tblLook w:val="04A0" w:firstRow="1" w:lastRow="0" w:firstColumn="1" w:lastColumn="0" w:noHBand="0" w:noVBand="1"/>
      </w:tblPr>
      <w:tblGrid>
        <w:gridCol w:w="2475"/>
        <w:gridCol w:w="1283"/>
        <w:gridCol w:w="1419"/>
        <w:gridCol w:w="1419"/>
        <w:gridCol w:w="1419"/>
        <w:gridCol w:w="1272"/>
      </w:tblGrid>
      <w:tr w:rsidR="00717136" w:rsidRPr="00210DAC" w:rsidTr="00022CAC">
        <w:trPr>
          <w:trHeight w:val="300"/>
        </w:trPr>
        <w:tc>
          <w:tcPr>
            <w:tcW w:w="133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8"/>
                <w:szCs w:val="18"/>
              </w:rPr>
            </w:pPr>
            <w:r w:rsidRPr="00210DAC">
              <w:rPr>
                <w:b/>
                <w:noProof/>
                <w:color w:val="000000"/>
                <w:sz w:val="18"/>
              </w:rPr>
              <w:t>IZGLASANA ODOBRENA SREDSTVA</w:t>
            </w:r>
          </w:p>
        </w:tc>
        <w:tc>
          <w:tcPr>
            <w:tcW w:w="691"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8"/>
                <w:szCs w:val="18"/>
              </w:rPr>
            </w:pPr>
            <w:r w:rsidRPr="00210DAC">
              <w:rPr>
                <w:noProof/>
                <w:color w:val="000000"/>
                <w:sz w:val="18"/>
              </w:rPr>
              <w:t>Godina</w:t>
            </w:r>
          </w:p>
        </w:tc>
        <w:tc>
          <w:tcPr>
            <w:tcW w:w="76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8"/>
                <w:szCs w:val="18"/>
              </w:rPr>
            </w:pPr>
            <w:r w:rsidRPr="00210DAC">
              <w:rPr>
                <w:noProof/>
                <w:color w:val="000000"/>
                <w:sz w:val="18"/>
              </w:rPr>
              <w:t>Godina</w:t>
            </w:r>
          </w:p>
        </w:tc>
        <w:tc>
          <w:tcPr>
            <w:tcW w:w="76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8"/>
                <w:szCs w:val="18"/>
              </w:rPr>
            </w:pPr>
            <w:r w:rsidRPr="00210DAC">
              <w:rPr>
                <w:noProof/>
                <w:color w:val="000000"/>
                <w:sz w:val="18"/>
              </w:rPr>
              <w:t>Godina</w:t>
            </w:r>
          </w:p>
        </w:tc>
        <w:tc>
          <w:tcPr>
            <w:tcW w:w="764" w:type="pct"/>
            <w:tcBorders>
              <w:top w:val="single" w:sz="8" w:space="0" w:color="auto"/>
              <w:left w:val="nil"/>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noProof/>
                <w:color w:val="000000"/>
                <w:sz w:val="18"/>
                <w:szCs w:val="18"/>
              </w:rPr>
            </w:pPr>
            <w:r w:rsidRPr="00210DAC">
              <w:rPr>
                <w:noProof/>
                <w:color w:val="000000"/>
                <w:sz w:val="18"/>
              </w:rPr>
              <w:t>Godina</w:t>
            </w:r>
          </w:p>
        </w:tc>
        <w:tc>
          <w:tcPr>
            <w:tcW w:w="68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8"/>
                <w:szCs w:val="18"/>
              </w:rPr>
            </w:pPr>
            <w:r w:rsidRPr="00210DAC">
              <w:rPr>
                <w:b/>
                <w:noProof/>
                <w:color w:val="000000"/>
                <w:sz w:val="18"/>
              </w:rPr>
              <w:t>UKUPNO 2021. – 2027.</w:t>
            </w:r>
          </w:p>
        </w:tc>
      </w:tr>
      <w:tr w:rsidR="00717136" w:rsidRPr="00210DAC" w:rsidTr="001B7452">
        <w:trPr>
          <w:trHeight w:val="300"/>
        </w:trPr>
        <w:tc>
          <w:tcPr>
            <w:tcW w:w="1332"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b/>
                <w:bCs/>
                <w:noProof/>
                <w:color w:val="000000"/>
                <w:sz w:val="18"/>
                <w:szCs w:val="18"/>
                <w:lang w:eastAsia="en-IE"/>
              </w:rPr>
            </w:pPr>
          </w:p>
        </w:tc>
        <w:tc>
          <w:tcPr>
            <w:tcW w:w="69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8"/>
                <w:szCs w:val="18"/>
              </w:rPr>
            </w:pPr>
            <w:r w:rsidRPr="00210DAC">
              <w:rPr>
                <w:b/>
                <w:noProof/>
                <w:color w:val="000000"/>
                <w:sz w:val="18"/>
              </w:rPr>
              <w:t>2025.</w:t>
            </w:r>
          </w:p>
        </w:tc>
        <w:tc>
          <w:tcPr>
            <w:tcW w:w="76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8"/>
                <w:szCs w:val="18"/>
              </w:rPr>
            </w:pPr>
            <w:r w:rsidRPr="00210DAC">
              <w:rPr>
                <w:b/>
                <w:noProof/>
                <w:color w:val="000000"/>
                <w:sz w:val="18"/>
              </w:rPr>
              <w:t>2026.</w:t>
            </w:r>
          </w:p>
        </w:tc>
        <w:tc>
          <w:tcPr>
            <w:tcW w:w="76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8"/>
                <w:szCs w:val="18"/>
              </w:rPr>
            </w:pPr>
            <w:r w:rsidRPr="00210DAC">
              <w:rPr>
                <w:b/>
                <w:noProof/>
                <w:color w:val="000000"/>
                <w:sz w:val="18"/>
              </w:rPr>
              <w:t>2027.</w:t>
            </w:r>
          </w:p>
        </w:tc>
        <w:tc>
          <w:tcPr>
            <w:tcW w:w="76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8"/>
                <w:szCs w:val="18"/>
              </w:rPr>
            </w:pPr>
            <w:r w:rsidRPr="00210DAC">
              <w:rPr>
                <w:b/>
                <w:noProof/>
                <w:color w:val="000000"/>
                <w:sz w:val="18"/>
              </w:rPr>
              <w:t>Nakon 2027.</w:t>
            </w:r>
          </w:p>
        </w:tc>
        <w:tc>
          <w:tcPr>
            <w:tcW w:w="686" w:type="pct"/>
            <w:vMerge/>
            <w:tcBorders>
              <w:top w:val="single" w:sz="8" w:space="0" w:color="auto"/>
              <w:left w:val="single" w:sz="8" w:space="0" w:color="auto"/>
              <w:bottom w:val="single" w:sz="8" w:space="0" w:color="auto"/>
              <w:right w:val="single" w:sz="8" w:space="0" w:color="auto"/>
            </w:tcBorders>
            <w:vAlign w:val="center"/>
            <w:hideMark/>
          </w:tcPr>
          <w:p w:rsidR="00717136" w:rsidRPr="00210DAC" w:rsidRDefault="00717136" w:rsidP="00717136">
            <w:pPr>
              <w:spacing w:before="0" w:after="0"/>
              <w:jc w:val="left"/>
              <w:rPr>
                <w:b/>
                <w:bCs/>
                <w:noProof/>
                <w:color w:val="000000"/>
                <w:sz w:val="18"/>
                <w:szCs w:val="18"/>
                <w:lang w:eastAsia="en-IE"/>
              </w:rPr>
            </w:pPr>
          </w:p>
        </w:tc>
      </w:tr>
      <w:tr w:rsidR="00717136" w:rsidRPr="00210DAC" w:rsidTr="001B7452">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b/>
                <w:bCs/>
                <w:noProof/>
                <w:sz w:val="16"/>
                <w:szCs w:val="16"/>
              </w:rPr>
            </w:pPr>
            <w:r w:rsidRPr="00210DAC">
              <w:rPr>
                <w:b/>
                <w:noProof/>
                <w:sz w:val="16"/>
              </w:rPr>
              <w:t>NASLOV 7.</w:t>
            </w:r>
          </w:p>
        </w:tc>
      </w:tr>
      <w:tr w:rsidR="00717136" w:rsidRPr="00210DAC" w:rsidTr="001B7452">
        <w:trPr>
          <w:trHeight w:val="300"/>
        </w:trPr>
        <w:tc>
          <w:tcPr>
            <w:tcW w:w="13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noProof/>
                <w:color w:val="000000"/>
                <w:sz w:val="16"/>
                <w:szCs w:val="16"/>
              </w:rPr>
            </w:pPr>
            <w:r w:rsidRPr="00210DAC">
              <w:rPr>
                <w:noProof/>
                <w:color w:val="000000"/>
                <w:sz w:val="16"/>
              </w:rPr>
              <w:t xml:space="preserve">Ljudski resursi </w:t>
            </w:r>
          </w:p>
        </w:tc>
        <w:tc>
          <w:tcPr>
            <w:tcW w:w="6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0</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noProof/>
                <w:color w:val="000000"/>
                <w:sz w:val="16"/>
                <w:szCs w:val="16"/>
              </w:rPr>
            </w:pPr>
            <w:r w:rsidRPr="00210DAC">
              <w:rPr>
                <w:noProof/>
                <w:color w:val="000000"/>
                <w:sz w:val="16"/>
              </w:rPr>
              <w:t>0</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noProof/>
                <w:color w:val="000000"/>
                <w:sz w:val="16"/>
                <w:szCs w:val="16"/>
              </w:rPr>
            </w:pPr>
            <w:r w:rsidRPr="00210DAC">
              <w:rPr>
                <w:noProof/>
                <w:color w:val="000000"/>
                <w:sz w:val="16"/>
              </w:rPr>
              <w:t>0</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noProof/>
                <w:color w:val="000000"/>
                <w:sz w:val="16"/>
                <w:szCs w:val="16"/>
              </w:rPr>
            </w:pPr>
            <w:r w:rsidRPr="00210DAC">
              <w:rPr>
                <w:noProof/>
                <w:color w:val="000000"/>
                <w:sz w:val="16"/>
              </w:rPr>
              <w:t>0</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b/>
                <w:bCs/>
                <w:noProof/>
                <w:color w:val="000000"/>
                <w:sz w:val="16"/>
                <w:szCs w:val="16"/>
              </w:rPr>
            </w:pPr>
            <w:r w:rsidRPr="00210DAC">
              <w:rPr>
                <w:noProof/>
                <w:color w:val="000000"/>
                <w:sz w:val="16"/>
              </w:rPr>
              <w:t>0</w:t>
            </w:r>
          </w:p>
        </w:tc>
      </w:tr>
      <w:tr w:rsidR="00717136" w:rsidRPr="00210DAC" w:rsidTr="001B7452">
        <w:trPr>
          <w:trHeight w:val="300"/>
        </w:trPr>
        <w:tc>
          <w:tcPr>
            <w:tcW w:w="13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noProof/>
                <w:color w:val="000000"/>
                <w:sz w:val="16"/>
                <w:szCs w:val="16"/>
              </w:rPr>
            </w:pPr>
            <w:r w:rsidRPr="00210DAC">
              <w:rPr>
                <w:noProof/>
                <w:color w:val="000000"/>
                <w:sz w:val="16"/>
              </w:rPr>
              <w:t xml:space="preserve">Ostali administrativni rashodi </w:t>
            </w:r>
          </w:p>
        </w:tc>
        <w:tc>
          <w:tcPr>
            <w:tcW w:w="6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PM </w:t>
            </w:r>
          </w:p>
          <w:p w:rsidR="00717136" w:rsidRPr="00210DAC" w:rsidRDefault="00717136" w:rsidP="00717136">
            <w:pPr>
              <w:spacing w:before="0" w:after="0"/>
              <w:jc w:val="right"/>
              <w:rPr>
                <w:noProof/>
                <w:color w:val="000000"/>
                <w:sz w:val="16"/>
                <w:szCs w:val="16"/>
                <w:lang w:eastAsia="en-IE"/>
              </w:rPr>
            </w:pP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68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b/>
                <w:bCs/>
                <w:noProof/>
                <w:color w:val="000000"/>
                <w:sz w:val="16"/>
                <w:szCs w:val="16"/>
                <w:lang w:eastAsia="en-IE"/>
              </w:rPr>
            </w:pPr>
          </w:p>
        </w:tc>
      </w:tr>
      <w:tr w:rsidR="00717136" w:rsidRPr="00210DAC" w:rsidTr="001B7452">
        <w:trPr>
          <w:trHeight w:val="300"/>
        </w:trPr>
        <w:tc>
          <w:tcPr>
            <w:tcW w:w="1332" w:type="pct"/>
            <w:tcBorders>
              <w:top w:val="single" w:sz="8" w:space="0" w:color="auto"/>
              <w:left w:val="single" w:sz="8" w:space="0" w:color="auto"/>
              <w:bottom w:val="single" w:sz="8" w:space="0" w:color="auto"/>
              <w:right w:val="single" w:sz="8" w:space="0" w:color="auto"/>
            </w:tcBorders>
            <w:shd w:val="clear" w:color="auto" w:fill="CCCCCC"/>
            <w:vAlign w:val="center"/>
            <w:hideMark/>
          </w:tcPr>
          <w:p w:rsidR="00717136" w:rsidRPr="00210DAC" w:rsidRDefault="00717136" w:rsidP="00717136">
            <w:pPr>
              <w:spacing w:before="0" w:after="0"/>
              <w:jc w:val="center"/>
              <w:rPr>
                <w:b/>
                <w:bCs/>
                <w:noProof/>
                <w:color w:val="000000"/>
                <w:sz w:val="16"/>
                <w:szCs w:val="16"/>
              </w:rPr>
            </w:pPr>
            <w:r w:rsidRPr="00210DAC">
              <w:rPr>
                <w:b/>
                <w:noProof/>
                <w:color w:val="000000"/>
                <w:sz w:val="16"/>
              </w:rPr>
              <w:t>Međuzbroj za NASLOV 7.</w:t>
            </w:r>
          </w:p>
        </w:tc>
        <w:tc>
          <w:tcPr>
            <w:tcW w:w="6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noProof/>
                <w:color w:val="000000"/>
                <w:sz w:val="16"/>
                <w:szCs w:val="16"/>
                <w:lang w:eastAsia="en-IE"/>
              </w:rPr>
            </w:pPr>
          </w:p>
        </w:tc>
        <w:tc>
          <w:tcPr>
            <w:tcW w:w="68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 xml:space="preserve"> PM</w:t>
            </w:r>
          </w:p>
          <w:p w:rsidR="00717136" w:rsidRPr="00210DAC" w:rsidRDefault="00717136" w:rsidP="00717136">
            <w:pPr>
              <w:spacing w:before="0" w:after="0"/>
              <w:jc w:val="right"/>
              <w:rPr>
                <w:b/>
                <w:bCs/>
                <w:noProof/>
                <w:color w:val="000000"/>
                <w:sz w:val="16"/>
                <w:szCs w:val="16"/>
                <w:lang w:eastAsia="en-IE"/>
              </w:rPr>
            </w:pPr>
          </w:p>
        </w:tc>
      </w:tr>
      <w:tr w:rsidR="00717136" w:rsidRPr="00210DAC" w:rsidTr="001B7452">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b/>
                <w:bCs/>
                <w:noProof/>
                <w:sz w:val="16"/>
                <w:szCs w:val="16"/>
              </w:rPr>
            </w:pPr>
            <w:r w:rsidRPr="00210DAC">
              <w:rPr>
                <w:b/>
                <w:noProof/>
                <w:sz w:val="16"/>
              </w:rPr>
              <w:t>Izvan NASLOVA 7.</w:t>
            </w:r>
          </w:p>
        </w:tc>
      </w:tr>
      <w:tr w:rsidR="00717136" w:rsidRPr="00210DAC" w:rsidTr="001B7452">
        <w:trPr>
          <w:trHeight w:val="300"/>
        </w:trPr>
        <w:tc>
          <w:tcPr>
            <w:tcW w:w="13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noProof/>
                <w:color w:val="000000"/>
                <w:sz w:val="16"/>
                <w:szCs w:val="16"/>
              </w:rPr>
            </w:pPr>
            <w:r w:rsidRPr="00210DAC">
              <w:rPr>
                <w:noProof/>
                <w:color w:val="000000"/>
                <w:sz w:val="16"/>
              </w:rPr>
              <w:t>Ljudski resursi –13.01.03.74 – Europska izvršna agencija za klimu, infrastrukturu i okoliš — Doprinos iz Instrumenta za povezivanje Europe (prometni sektor) za vojnu mobilnost*</w:t>
            </w:r>
          </w:p>
        </w:tc>
        <w:tc>
          <w:tcPr>
            <w:tcW w:w="6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r>
      <w:tr w:rsidR="00717136" w:rsidRPr="00210DAC" w:rsidTr="001B7452">
        <w:trPr>
          <w:trHeight w:val="300"/>
        </w:trPr>
        <w:tc>
          <w:tcPr>
            <w:tcW w:w="13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left"/>
              <w:rPr>
                <w:noProof/>
                <w:color w:val="000000"/>
                <w:sz w:val="16"/>
                <w:szCs w:val="16"/>
              </w:rPr>
            </w:pPr>
            <w:r w:rsidRPr="00210DAC">
              <w:rPr>
                <w:noProof/>
                <w:color w:val="000000"/>
                <w:sz w:val="16"/>
              </w:rPr>
              <w:t>Ostali rashodi administrativne prirode 13.01.03.01 – Rashodi za potporu vojnoj mobilnosti**</w:t>
            </w:r>
          </w:p>
        </w:tc>
        <w:tc>
          <w:tcPr>
            <w:tcW w:w="6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noProof/>
                <w:color w:val="000000"/>
                <w:sz w:val="16"/>
                <w:szCs w:val="16"/>
              </w:rPr>
            </w:pPr>
            <w:r w:rsidRPr="00210DAC">
              <w:rPr>
                <w:noProof/>
                <w:color w:val="000000"/>
                <w:sz w:val="16"/>
              </w:rPr>
              <w:t>PM</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r>
      <w:tr w:rsidR="00717136" w:rsidRPr="00210DAC" w:rsidTr="001B7452">
        <w:trPr>
          <w:trHeight w:val="300"/>
        </w:trPr>
        <w:tc>
          <w:tcPr>
            <w:tcW w:w="1332" w:type="pct"/>
            <w:tcBorders>
              <w:top w:val="single" w:sz="8" w:space="0" w:color="auto"/>
              <w:left w:val="single" w:sz="8" w:space="0" w:color="auto"/>
              <w:bottom w:val="single" w:sz="8" w:space="0" w:color="auto"/>
              <w:right w:val="single" w:sz="8" w:space="0" w:color="auto"/>
            </w:tcBorders>
            <w:shd w:val="clear" w:color="auto" w:fill="CCCCCC"/>
            <w:vAlign w:val="center"/>
            <w:hideMark/>
          </w:tcPr>
          <w:p w:rsidR="00717136" w:rsidRPr="00210DAC" w:rsidRDefault="00717136" w:rsidP="00717136">
            <w:pPr>
              <w:spacing w:before="0" w:after="0"/>
              <w:jc w:val="center"/>
              <w:rPr>
                <w:b/>
                <w:bCs/>
                <w:noProof/>
                <w:color w:val="000000"/>
                <w:sz w:val="16"/>
                <w:szCs w:val="16"/>
              </w:rPr>
            </w:pPr>
            <w:r w:rsidRPr="00210DAC">
              <w:rPr>
                <w:b/>
                <w:noProof/>
                <w:color w:val="000000"/>
                <w:sz w:val="16"/>
              </w:rPr>
              <w:t>Međuzbroj izvan NASLOVA 7.</w:t>
            </w:r>
          </w:p>
        </w:tc>
        <w:tc>
          <w:tcPr>
            <w:tcW w:w="6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c>
          <w:tcPr>
            <w:tcW w:w="7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b/>
                <w:noProof/>
                <w:color w:val="000000"/>
                <w:sz w:val="16"/>
              </w:rPr>
              <w:t>PM</w:t>
            </w:r>
          </w:p>
        </w:tc>
      </w:tr>
      <w:tr w:rsidR="00717136" w:rsidRPr="00210DAC" w:rsidTr="00022CA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17136" w:rsidRPr="00210DAC" w:rsidRDefault="00717136" w:rsidP="00717136">
            <w:pPr>
              <w:spacing w:before="0" w:after="0"/>
              <w:jc w:val="center"/>
              <w:rPr>
                <w:noProof/>
                <w:color w:val="000000"/>
                <w:sz w:val="16"/>
                <w:szCs w:val="16"/>
              </w:rPr>
            </w:pPr>
            <w:r w:rsidRPr="00210DAC">
              <w:rPr>
                <w:noProof/>
                <w:color w:val="000000"/>
                <w:sz w:val="16"/>
              </w:rPr>
              <w:t> </w:t>
            </w:r>
          </w:p>
        </w:tc>
      </w:tr>
      <w:tr w:rsidR="00717136" w:rsidRPr="00210DAC" w:rsidTr="00022CAC">
        <w:trPr>
          <w:trHeight w:val="300"/>
        </w:trPr>
        <w:tc>
          <w:tcPr>
            <w:tcW w:w="1332" w:type="pct"/>
            <w:tcBorders>
              <w:top w:val="nil"/>
              <w:left w:val="single" w:sz="8" w:space="0" w:color="auto"/>
              <w:bottom w:val="single" w:sz="8" w:space="0" w:color="auto"/>
              <w:right w:val="single" w:sz="8" w:space="0" w:color="auto"/>
            </w:tcBorders>
            <w:shd w:val="clear" w:color="auto" w:fill="auto"/>
            <w:vAlign w:val="center"/>
            <w:hideMark/>
          </w:tcPr>
          <w:p w:rsidR="00717136" w:rsidRPr="00210DAC" w:rsidRDefault="00717136" w:rsidP="00717136">
            <w:pPr>
              <w:spacing w:before="0" w:after="0"/>
              <w:jc w:val="center"/>
              <w:rPr>
                <w:b/>
                <w:bCs/>
                <w:noProof/>
                <w:color w:val="000000"/>
                <w:sz w:val="16"/>
                <w:szCs w:val="16"/>
              </w:rPr>
            </w:pPr>
            <w:r w:rsidRPr="00210DAC">
              <w:rPr>
                <w:b/>
                <w:noProof/>
                <w:color w:val="000000"/>
                <w:sz w:val="16"/>
              </w:rPr>
              <w:t>UKUPNO</w:t>
            </w:r>
          </w:p>
        </w:tc>
        <w:tc>
          <w:tcPr>
            <w:tcW w:w="691"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rFonts w:ascii="Arial Narrow" w:hAnsi="Arial Narrow"/>
                <w:b/>
                <w:noProof/>
                <w:color w:val="000000" w:themeColor="text1"/>
                <w:sz w:val="20"/>
              </w:rPr>
              <w:t>PM</w:t>
            </w:r>
          </w:p>
        </w:tc>
        <w:tc>
          <w:tcPr>
            <w:tcW w:w="764"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rFonts w:ascii="Arial Narrow" w:hAnsi="Arial Narrow"/>
                <w:b/>
                <w:noProof/>
                <w:color w:val="000000" w:themeColor="text1"/>
                <w:sz w:val="20"/>
              </w:rPr>
              <w:t>PM</w:t>
            </w:r>
          </w:p>
        </w:tc>
        <w:tc>
          <w:tcPr>
            <w:tcW w:w="764" w:type="pct"/>
            <w:tcBorders>
              <w:top w:val="nil"/>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b/>
                <w:bCs/>
                <w:noProof/>
                <w:color w:val="000000"/>
                <w:sz w:val="16"/>
                <w:szCs w:val="16"/>
              </w:rPr>
            </w:pPr>
            <w:r w:rsidRPr="00210DAC">
              <w:rPr>
                <w:rFonts w:ascii="Arial Narrow" w:hAnsi="Arial Narrow"/>
                <w:b/>
                <w:noProof/>
                <w:color w:val="000000" w:themeColor="text1"/>
                <w:sz w:val="20"/>
              </w:rPr>
              <w:t>PM</w:t>
            </w:r>
          </w:p>
        </w:tc>
        <w:tc>
          <w:tcPr>
            <w:tcW w:w="764" w:type="pct"/>
            <w:tcBorders>
              <w:top w:val="nil"/>
              <w:left w:val="nil"/>
              <w:bottom w:val="single" w:sz="8" w:space="0" w:color="auto"/>
              <w:right w:val="single" w:sz="8" w:space="0" w:color="auto"/>
            </w:tcBorders>
            <w:shd w:val="clear" w:color="auto" w:fill="D9D9D9" w:themeFill="background1" w:themeFillShade="D9"/>
            <w:hideMark/>
          </w:tcPr>
          <w:p w:rsidR="00717136" w:rsidRPr="00210DAC" w:rsidRDefault="00717136" w:rsidP="00717136">
            <w:pPr>
              <w:spacing w:before="0" w:after="0"/>
              <w:jc w:val="right"/>
              <w:rPr>
                <w:b/>
                <w:bCs/>
                <w:noProof/>
                <w:color w:val="000000"/>
                <w:sz w:val="16"/>
                <w:szCs w:val="16"/>
              </w:rPr>
            </w:pPr>
            <w:r w:rsidRPr="00210DAC">
              <w:rPr>
                <w:rFonts w:ascii="Arial Narrow" w:hAnsi="Arial Narrow"/>
                <w:b/>
                <w:noProof/>
                <w:color w:val="000000" w:themeColor="text1"/>
                <w:sz w:val="20"/>
              </w:rPr>
              <w:t>PM</w:t>
            </w:r>
          </w:p>
        </w:tc>
        <w:tc>
          <w:tcPr>
            <w:tcW w:w="686" w:type="pct"/>
            <w:tcBorders>
              <w:top w:val="nil"/>
              <w:left w:val="nil"/>
              <w:bottom w:val="single" w:sz="8" w:space="0" w:color="auto"/>
              <w:right w:val="single" w:sz="8" w:space="0" w:color="auto"/>
            </w:tcBorders>
            <w:shd w:val="clear" w:color="auto" w:fill="D9D9D9" w:themeFill="background1" w:themeFillShade="D9"/>
            <w:vAlign w:val="center"/>
            <w:hideMark/>
          </w:tcPr>
          <w:p w:rsidR="00717136" w:rsidRPr="00210DAC" w:rsidRDefault="00717136" w:rsidP="00717136">
            <w:pPr>
              <w:spacing w:before="0" w:after="0"/>
              <w:jc w:val="right"/>
              <w:rPr>
                <w:b/>
                <w:bCs/>
                <w:noProof/>
                <w:color w:val="000000"/>
                <w:sz w:val="16"/>
                <w:szCs w:val="16"/>
              </w:rPr>
            </w:pPr>
            <w:r w:rsidRPr="00210DAC">
              <w:rPr>
                <w:rFonts w:ascii="Arial Narrow" w:hAnsi="Arial Narrow"/>
                <w:b/>
                <w:noProof/>
                <w:color w:val="000000" w:themeColor="text1"/>
                <w:sz w:val="20"/>
              </w:rPr>
              <w:t>PM</w:t>
            </w:r>
          </w:p>
        </w:tc>
      </w:tr>
    </w:tbl>
    <w:p w:rsidR="00717136" w:rsidRPr="00210DAC" w:rsidRDefault="00717136" w:rsidP="00717136">
      <w:pPr>
        <w:keepNext/>
        <w:tabs>
          <w:tab w:val="left" w:pos="850"/>
        </w:tabs>
        <w:ind w:left="850" w:hanging="850"/>
        <w:outlineLvl w:val="2"/>
        <w:rPr>
          <w:bCs/>
          <w:i/>
          <w:noProof/>
          <w:szCs w:val="24"/>
        </w:rPr>
      </w:pPr>
      <w:bookmarkStart w:id="149" w:name="_Toc167220294"/>
      <w:bookmarkStart w:id="150" w:name="_Toc177549027"/>
      <w:r w:rsidRPr="00210DAC">
        <w:rPr>
          <w:i/>
          <w:noProof/>
        </w:rPr>
        <w:t>3.2.4.</w:t>
      </w:r>
      <w:r w:rsidRPr="00210DAC">
        <w:rPr>
          <w:i/>
          <w:noProof/>
        </w:rPr>
        <w:tab/>
      </w:r>
      <w:bookmarkEnd w:id="149"/>
      <w:r w:rsidRPr="00210DAC">
        <w:rPr>
          <w:noProof/>
        </w:rPr>
        <w:t>Procijenjene potrebe za ljudskim resursima</w:t>
      </w:r>
      <w:bookmarkEnd w:id="150"/>
      <w:r w:rsidRPr="00210DAC">
        <w:rPr>
          <w:i/>
          <w:noProof/>
        </w:rPr>
        <w:t xml:space="preserve"> </w:t>
      </w:r>
    </w:p>
    <w:p w:rsidR="00717136" w:rsidRPr="00210DAC" w:rsidRDefault="00717136" w:rsidP="00E10716">
      <w:pPr>
        <w:pStyle w:val="Tiret0"/>
        <w:rPr>
          <w:noProof/>
        </w:rPr>
      </w:pPr>
      <w:r w:rsidRPr="00210DAC">
        <w:rPr>
          <w:rFonts w:ascii="Wingdings" w:hAnsi="Wingdings"/>
          <w:noProof/>
        </w:rPr>
        <w:t></w:t>
      </w:r>
      <w:r w:rsidRPr="00210DAC">
        <w:rPr>
          <w:noProof/>
        </w:rPr>
        <w:tab/>
        <w:t xml:space="preserve">Za prijedlog/inicijativu nisu potrebni ljudski resursi. </w:t>
      </w:r>
    </w:p>
    <w:p w:rsidR="00717136" w:rsidRPr="00210DAC" w:rsidRDefault="00717136" w:rsidP="00E10716">
      <w:pPr>
        <w:pStyle w:val="Tiret0"/>
        <w:rPr>
          <w:noProof/>
        </w:rPr>
      </w:pPr>
      <w:r w:rsidRPr="00210DAC">
        <w:rPr>
          <w:rFonts w:ascii="Wingdings" w:hAnsi="Wingdings"/>
          <w:noProof/>
        </w:rPr>
        <w:t></w:t>
      </w:r>
      <w:r w:rsidRPr="00210DAC">
        <w:rPr>
          <w:rFonts w:ascii="Wingdings" w:hAnsi="Wingdings"/>
          <w:noProof/>
        </w:rPr>
        <w:t></w:t>
      </w:r>
      <w:r w:rsidRPr="00210DAC">
        <w:rPr>
          <w:noProof/>
        </w:rPr>
        <w:t>Za prijedlog/inicijativu potrebni su sljedeći ljudski resursi:</w:t>
      </w:r>
    </w:p>
    <w:p w:rsidR="00717136" w:rsidRPr="00210DAC" w:rsidRDefault="00717136" w:rsidP="00717136">
      <w:pPr>
        <w:keepNext/>
        <w:tabs>
          <w:tab w:val="left" w:pos="850"/>
        </w:tabs>
        <w:ind w:left="850" w:hanging="850"/>
        <w:outlineLvl w:val="2"/>
        <w:rPr>
          <w:i/>
          <w:noProof/>
        </w:rPr>
      </w:pPr>
      <w:bookmarkStart w:id="151" w:name="_Toc177549031"/>
      <w:bookmarkStart w:id="152" w:name="_Hlk167692843"/>
      <w:r w:rsidRPr="00210DAC">
        <w:rPr>
          <w:i/>
          <w:noProof/>
        </w:rPr>
        <w:t>3.2.5.</w:t>
      </w:r>
      <w:r w:rsidRPr="00210DAC">
        <w:rPr>
          <w:i/>
          <w:noProof/>
        </w:rPr>
        <w:tab/>
        <w:t>Pregled procijenjenog učinka na ulaganja povezana s digitalnom tehnologijom</w:t>
      </w:r>
      <w:bookmarkEnd w:id="151"/>
    </w:p>
    <w:p w:rsidR="00717136" w:rsidRPr="00210DAC" w:rsidRDefault="00717136" w:rsidP="00717136">
      <w:pPr>
        <w:spacing w:line="259" w:lineRule="auto"/>
        <w:ind w:left="850"/>
        <w:rPr>
          <w:noProof/>
        </w:rPr>
      </w:pPr>
      <w:r w:rsidRPr="00210DAC">
        <w:rPr>
          <w:noProof/>
        </w:rPr>
        <w:t xml:space="preserve">Obvezno: u sljedećoj tablici treba navesti najbolju procjenu ulaganja povezanih s digitalnom tehnologijom koja proizlaze iz prijedloga/inicijative. </w:t>
      </w:r>
    </w:p>
    <w:p w:rsidR="00717136" w:rsidRPr="00210DAC" w:rsidRDefault="00717136" w:rsidP="00717136">
      <w:pPr>
        <w:spacing w:line="259" w:lineRule="auto"/>
        <w:ind w:left="850"/>
        <w:rPr>
          <w:noProof/>
        </w:rPr>
      </w:pPr>
      <w:r w:rsidRPr="00210DAC">
        <w:rPr>
          <w:noProof/>
        </w:rPr>
        <w:t xml:space="preserve">Iznimno, ako je to potrebno za provedbu prijedloga/inicijative, odobrena sredstva iz naslova 7. treba navesti u za to predviđenoj liniji. </w:t>
      </w:r>
    </w:p>
    <w:p w:rsidR="00717136" w:rsidRPr="00210DAC" w:rsidRDefault="00717136" w:rsidP="00717136">
      <w:pPr>
        <w:spacing w:line="259" w:lineRule="auto"/>
        <w:ind w:left="850"/>
        <w:rPr>
          <w:noProof/>
        </w:rPr>
      </w:pPr>
      <w:r w:rsidRPr="00210DAC">
        <w:rPr>
          <w:noProof/>
        </w:rPr>
        <w:t>Odobrena sredstva iz naslova 1. – 6. trebaju se navesti kao „Rashodi za informacijsku tehnologiju za operativne programe u okviru određene politike”. Ti se rashodi odnose na odobrena sredstva za poslovanje koja će se iskoristiti za ponovnu uporabu / kupnju / razvoj informatičkih platformi / alata izravno povezanih s provedbom inicijative i s povezanim ulaganjima (licencije, studije, pohrana podataka itd.). Informacije u toj tablici trebaju biti u skladu s podacima navedenima u odjeljku 4. „Digitalni aspekti”.</w:t>
      </w:r>
    </w:p>
    <w:tbl>
      <w:tblPr>
        <w:tblW w:w="0" w:type="auto"/>
        <w:tblLayout w:type="fixed"/>
        <w:tblLook w:val="04A0" w:firstRow="1" w:lastRow="0" w:firstColumn="1" w:lastColumn="0" w:noHBand="0" w:noVBand="1"/>
      </w:tblPr>
      <w:tblGrid>
        <w:gridCol w:w="3214"/>
        <w:gridCol w:w="835"/>
        <w:gridCol w:w="835"/>
        <w:gridCol w:w="835"/>
        <w:gridCol w:w="835"/>
        <w:gridCol w:w="981"/>
      </w:tblGrid>
      <w:tr w:rsidR="00717136" w:rsidRPr="00210DAC" w:rsidTr="001B7452">
        <w:trPr>
          <w:trHeight w:val="525"/>
        </w:trPr>
        <w:tc>
          <w:tcPr>
            <w:tcW w:w="321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8"/>
                <w:szCs w:val="18"/>
              </w:rPr>
            </w:pPr>
            <w:r w:rsidRPr="00210DAC">
              <w:rPr>
                <w:b/>
                <w:noProof/>
                <w:color w:val="000000" w:themeColor="text1"/>
                <w:sz w:val="18"/>
              </w:rPr>
              <w:t>UKUPNA odobrena sredstva za IT i digitalnu tehnologiju</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noProof/>
                <w:color w:val="000000" w:themeColor="text1"/>
                <w:sz w:val="18"/>
                <w:szCs w:val="18"/>
              </w:rPr>
            </w:pPr>
            <w:r w:rsidRPr="00210DAC">
              <w:rPr>
                <w:noProof/>
                <w:color w:val="000000" w:themeColor="text1"/>
                <w:sz w:val="18"/>
              </w:rPr>
              <w:t>Godina</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noProof/>
                <w:color w:val="000000" w:themeColor="text1"/>
                <w:sz w:val="18"/>
                <w:szCs w:val="18"/>
              </w:rPr>
            </w:pPr>
            <w:r w:rsidRPr="00210DAC">
              <w:rPr>
                <w:noProof/>
                <w:color w:val="000000" w:themeColor="text1"/>
                <w:sz w:val="18"/>
              </w:rPr>
              <w:t>Godina</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noProof/>
                <w:color w:val="000000" w:themeColor="text1"/>
                <w:sz w:val="18"/>
                <w:szCs w:val="18"/>
              </w:rPr>
            </w:pPr>
            <w:r w:rsidRPr="00210DAC">
              <w:rPr>
                <w:noProof/>
                <w:color w:val="000000" w:themeColor="text1"/>
                <w:sz w:val="18"/>
              </w:rPr>
              <w:t>Godina</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noProof/>
                <w:color w:val="000000" w:themeColor="text1"/>
                <w:sz w:val="18"/>
                <w:szCs w:val="18"/>
              </w:rPr>
            </w:pPr>
            <w:r w:rsidRPr="00210DAC">
              <w:rPr>
                <w:noProof/>
                <w:color w:val="000000" w:themeColor="text1"/>
                <w:sz w:val="18"/>
              </w:rPr>
              <w:t>Godina</w:t>
            </w:r>
          </w:p>
        </w:tc>
        <w:tc>
          <w:tcPr>
            <w:tcW w:w="98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8"/>
                <w:szCs w:val="18"/>
              </w:rPr>
            </w:pPr>
            <w:r w:rsidRPr="00210DAC">
              <w:rPr>
                <w:b/>
                <w:noProof/>
                <w:color w:val="000000" w:themeColor="text1"/>
                <w:sz w:val="18"/>
              </w:rPr>
              <w:t>UKUPNO VFO 2021. – 2027.</w:t>
            </w:r>
          </w:p>
        </w:tc>
      </w:tr>
      <w:tr w:rsidR="00717136" w:rsidRPr="00210DAC" w:rsidTr="001B7452">
        <w:trPr>
          <w:trHeight w:val="525"/>
        </w:trPr>
        <w:tc>
          <w:tcPr>
            <w:tcW w:w="3214" w:type="dxa"/>
            <w:vMerge/>
            <w:tcBorders>
              <w:top w:val="single" w:sz="8" w:space="0" w:color="auto"/>
              <w:left w:val="single" w:sz="8" w:space="0" w:color="auto"/>
              <w:bottom w:val="single" w:sz="8" w:space="0" w:color="auto"/>
              <w:right w:val="single" w:sz="8" w:space="0" w:color="auto"/>
            </w:tcBorders>
            <w:vAlign w:val="center"/>
          </w:tcPr>
          <w:p w:rsidR="00717136" w:rsidRPr="00210DAC" w:rsidRDefault="00717136" w:rsidP="00717136">
            <w:pPr>
              <w:rPr>
                <w:noProof/>
              </w:rPr>
            </w:pP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8"/>
                <w:szCs w:val="18"/>
              </w:rPr>
            </w:pPr>
            <w:r w:rsidRPr="00210DAC">
              <w:rPr>
                <w:b/>
                <w:noProof/>
                <w:color w:val="000000" w:themeColor="text1"/>
                <w:sz w:val="18"/>
              </w:rPr>
              <w:t>2025.</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8"/>
                <w:szCs w:val="18"/>
              </w:rPr>
            </w:pPr>
            <w:r w:rsidRPr="00210DAC">
              <w:rPr>
                <w:b/>
                <w:noProof/>
                <w:color w:val="000000" w:themeColor="text1"/>
                <w:sz w:val="18"/>
              </w:rPr>
              <w:t>2026.</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8"/>
                <w:szCs w:val="18"/>
              </w:rPr>
            </w:pPr>
            <w:r w:rsidRPr="00210DAC">
              <w:rPr>
                <w:b/>
                <w:noProof/>
                <w:color w:val="000000" w:themeColor="text1"/>
                <w:sz w:val="18"/>
              </w:rPr>
              <w:t>2027.</w:t>
            </w:r>
          </w:p>
        </w:tc>
        <w:tc>
          <w:tcPr>
            <w:tcW w:w="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8"/>
                <w:szCs w:val="18"/>
              </w:rPr>
            </w:pPr>
            <w:r w:rsidRPr="00210DAC">
              <w:rPr>
                <w:b/>
                <w:noProof/>
                <w:color w:val="000000" w:themeColor="text1"/>
                <w:sz w:val="18"/>
              </w:rPr>
              <w:t>Nakon 2027.</w:t>
            </w:r>
          </w:p>
        </w:tc>
        <w:tc>
          <w:tcPr>
            <w:tcW w:w="981" w:type="dxa"/>
            <w:vMerge/>
            <w:tcBorders>
              <w:top w:val="single" w:sz="8" w:space="0" w:color="auto"/>
              <w:left w:val="single" w:sz="8" w:space="0" w:color="auto"/>
              <w:bottom w:val="single" w:sz="8" w:space="0" w:color="auto"/>
              <w:right w:val="single" w:sz="8" w:space="0" w:color="auto"/>
            </w:tcBorders>
            <w:vAlign w:val="center"/>
          </w:tcPr>
          <w:p w:rsidR="00717136" w:rsidRPr="00210DAC" w:rsidRDefault="00717136" w:rsidP="00717136">
            <w:pPr>
              <w:rPr>
                <w:noProof/>
              </w:rPr>
            </w:pPr>
          </w:p>
        </w:tc>
      </w:tr>
      <w:tr w:rsidR="00717136" w:rsidRPr="00210DAC" w:rsidTr="001B7452">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left"/>
              <w:rPr>
                <w:b/>
                <w:bCs/>
                <w:noProof/>
                <w:sz w:val="16"/>
                <w:szCs w:val="16"/>
              </w:rPr>
            </w:pPr>
            <w:r w:rsidRPr="00210DAC">
              <w:rPr>
                <w:b/>
                <w:noProof/>
                <w:sz w:val="16"/>
              </w:rPr>
              <w:t>NASLOV 7.</w:t>
            </w:r>
          </w:p>
        </w:tc>
      </w:tr>
      <w:tr w:rsidR="00717136" w:rsidRPr="00210DAC" w:rsidTr="001B7452">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left"/>
              <w:rPr>
                <w:noProof/>
                <w:color w:val="000000" w:themeColor="text1"/>
                <w:sz w:val="16"/>
                <w:szCs w:val="16"/>
              </w:rPr>
            </w:pPr>
            <w:r w:rsidRPr="00210DAC">
              <w:rPr>
                <w:rFonts w:ascii="Arial Narrow" w:hAnsi="Arial Narrow"/>
                <w:noProof/>
                <w:color w:val="000000" w:themeColor="text1"/>
                <w:sz w:val="20"/>
              </w:rPr>
              <w:t>Rashodi za informacijsku tehnologiju (institucijski)</w:t>
            </w:r>
            <w:r w:rsidRPr="00210DAC">
              <w:rPr>
                <w:noProof/>
                <w:color w:val="000000" w:themeColor="text1"/>
                <w:sz w:val="16"/>
              </w:rPr>
              <w:t xml:space="preserve"> </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0,000</w:t>
            </w:r>
          </w:p>
        </w:tc>
      </w:tr>
      <w:tr w:rsidR="00717136" w:rsidRPr="00210DAC" w:rsidTr="00022CA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717136" w:rsidRPr="00210DAC" w:rsidRDefault="00717136" w:rsidP="00717136">
            <w:pPr>
              <w:spacing w:before="0" w:after="0"/>
              <w:jc w:val="center"/>
              <w:rPr>
                <w:b/>
                <w:bCs/>
                <w:noProof/>
                <w:color w:val="000000" w:themeColor="text1"/>
                <w:sz w:val="16"/>
                <w:szCs w:val="16"/>
              </w:rPr>
            </w:pPr>
            <w:r w:rsidRPr="00210DAC">
              <w:rPr>
                <w:b/>
                <w:noProof/>
                <w:color w:val="000000" w:themeColor="text1"/>
                <w:sz w:val="16"/>
              </w:rPr>
              <w:t>Međuzbroj za NASLOV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0,000</w:t>
            </w:r>
          </w:p>
        </w:tc>
      </w:tr>
      <w:tr w:rsidR="00717136" w:rsidRPr="00210DAC" w:rsidTr="00022CAC">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left"/>
              <w:rPr>
                <w:b/>
                <w:bCs/>
                <w:noProof/>
                <w:sz w:val="16"/>
                <w:szCs w:val="16"/>
              </w:rPr>
            </w:pPr>
            <w:r w:rsidRPr="00210DAC">
              <w:rPr>
                <w:b/>
                <w:noProof/>
                <w:sz w:val="16"/>
              </w:rPr>
              <w:t>Izvan NASLOVA 7.</w:t>
            </w:r>
          </w:p>
        </w:tc>
      </w:tr>
      <w:tr w:rsidR="00717136" w:rsidRPr="00210DAC" w:rsidTr="00022CA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left"/>
              <w:rPr>
                <w:rFonts w:ascii="Arial Narrow" w:eastAsia="Arial Narrow" w:hAnsi="Arial Narrow" w:cs="Arial Narrow"/>
                <w:noProof/>
                <w:color w:val="000000" w:themeColor="text1"/>
                <w:sz w:val="20"/>
                <w:szCs w:val="20"/>
              </w:rPr>
            </w:pPr>
            <w:r w:rsidRPr="00210DAC">
              <w:rPr>
                <w:rFonts w:ascii="Arial Narrow" w:hAnsi="Arial Narrow"/>
                <w:noProof/>
                <w:color w:val="000000" w:themeColor="text1"/>
                <w:sz w:val="20"/>
              </w:rPr>
              <w:t>Rashodi za informacijsku tehnologiju za operativne programe u okviru određene politike*</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PM</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PM</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PM</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noProof/>
                <w:color w:val="000000" w:themeColor="text1"/>
                <w:sz w:val="16"/>
                <w:szCs w:val="16"/>
              </w:rPr>
            </w:pPr>
            <w:r w:rsidRPr="00210DAC">
              <w:rPr>
                <w:noProof/>
                <w:color w:val="000000" w:themeColor="text1"/>
                <w:sz w:val="16"/>
              </w:rPr>
              <w:t>PM</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r>
      <w:tr w:rsidR="00717136" w:rsidRPr="00210DAC" w:rsidTr="00022CA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717136" w:rsidRPr="00210DAC" w:rsidRDefault="00717136" w:rsidP="00717136">
            <w:pPr>
              <w:spacing w:before="0" w:after="0"/>
              <w:jc w:val="center"/>
              <w:rPr>
                <w:b/>
                <w:bCs/>
                <w:noProof/>
                <w:color w:val="000000" w:themeColor="text1"/>
                <w:sz w:val="16"/>
                <w:szCs w:val="16"/>
              </w:rPr>
            </w:pPr>
            <w:r w:rsidRPr="00210DAC">
              <w:rPr>
                <w:b/>
                <w:noProof/>
                <w:color w:val="000000" w:themeColor="text1"/>
                <w:sz w:val="16"/>
              </w:rPr>
              <w:t>Međuzbroj izvan NASLOVA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r>
      <w:tr w:rsidR="00717136" w:rsidRPr="00210DAC" w:rsidTr="00022CAC">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17136" w:rsidRPr="00210DAC" w:rsidRDefault="00717136" w:rsidP="00717136">
            <w:pPr>
              <w:spacing w:before="0" w:after="0"/>
              <w:jc w:val="left"/>
              <w:rPr>
                <w:noProof/>
                <w:color w:val="000000" w:themeColor="text1"/>
                <w:sz w:val="16"/>
                <w:szCs w:val="16"/>
              </w:rPr>
            </w:pPr>
            <w:r w:rsidRPr="00210DAC">
              <w:rPr>
                <w:noProof/>
                <w:sz w:val="16"/>
              </w:rPr>
              <w:t>*Korporativni rashodi za informacijske tehnologije za operativne programe koji se financiraju iz 13.01.03.01 – Rashodi za potporu vojnoj mobilnosti</w:t>
            </w:r>
          </w:p>
        </w:tc>
      </w:tr>
      <w:tr w:rsidR="00717136" w:rsidRPr="00210DAC" w:rsidTr="00022CAC">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717136" w:rsidRPr="00210DAC" w:rsidRDefault="00717136" w:rsidP="00717136">
            <w:pPr>
              <w:spacing w:before="0" w:after="0"/>
              <w:jc w:val="center"/>
              <w:rPr>
                <w:b/>
                <w:bCs/>
                <w:noProof/>
                <w:color w:val="000000" w:themeColor="text1"/>
                <w:sz w:val="16"/>
                <w:szCs w:val="16"/>
              </w:rPr>
            </w:pPr>
            <w:r w:rsidRPr="00210DAC">
              <w:rPr>
                <w:b/>
                <w:noProof/>
                <w:color w:val="000000" w:themeColor="text1"/>
                <w:sz w:val="16"/>
              </w:rPr>
              <w:t>UKUPNO</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17136" w:rsidRPr="00210DAC" w:rsidRDefault="00717136" w:rsidP="00717136">
            <w:pPr>
              <w:spacing w:before="0" w:after="0"/>
              <w:jc w:val="right"/>
              <w:rPr>
                <w:b/>
                <w:bCs/>
                <w:noProof/>
                <w:color w:val="000000" w:themeColor="text1"/>
                <w:sz w:val="16"/>
                <w:szCs w:val="16"/>
              </w:rPr>
            </w:pPr>
            <w:r w:rsidRPr="00210DAC">
              <w:rPr>
                <w:b/>
                <w:noProof/>
                <w:color w:val="000000" w:themeColor="text1"/>
                <w:sz w:val="16"/>
              </w:rPr>
              <w:t>PM</w:t>
            </w:r>
          </w:p>
        </w:tc>
      </w:tr>
    </w:tbl>
    <w:p w:rsidR="00717136" w:rsidRPr="00210DAC" w:rsidRDefault="00717136" w:rsidP="00717136">
      <w:pPr>
        <w:spacing w:line="259" w:lineRule="auto"/>
        <w:ind w:left="850"/>
        <w:rPr>
          <w:noProof/>
        </w:rPr>
      </w:pPr>
    </w:p>
    <w:p w:rsidR="00717136" w:rsidRPr="00210DAC" w:rsidRDefault="00717136" w:rsidP="00717136">
      <w:pPr>
        <w:keepNext/>
        <w:tabs>
          <w:tab w:val="left" w:pos="850"/>
        </w:tabs>
        <w:ind w:left="850" w:hanging="850"/>
        <w:outlineLvl w:val="2"/>
        <w:rPr>
          <w:i/>
          <w:noProof/>
        </w:rPr>
      </w:pPr>
      <w:bookmarkStart w:id="153" w:name="_Toc514938056"/>
      <w:bookmarkStart w:id="154" w:name="_Toc520485055"/>
      <w:bookmarkStart w:id="155" w:name="_Toc160804599"/>
      <w:bookmarkStart w:id="156" w:name="_Toc167220298"/>
      <w:bookmarkStart w:id="157" w:name="_Toc177549032"/>
      <w:bookmarkEnd w:id="152"/>
      <w:r w:rsidRPr="00210DAC">
        <w:rPr>
          <w:i/>
          <w:noProof/>
        </w:rPr>
        <w:t>3.2.6.</w:t>
      </w:r>
      <w:r w:rsidRPr="00210DAC">
        <w:rPr>
          <w:i/>
          <w:noProof/>
        </w:rPr>
        <w:tab/>
        <w:t>Usklađenost s aktualnim višegodišnjim financijskim okvirom</w:t>
      </w:r>
      <w:bookmarkEnd w:id="153"/>
      <w:bookmarkEnd w:id="154"/>
      <w:bookmarkEnd w:id="155"/>
      <w:bookmarkEnd w:id="156"/>
      <w:bookmarkEnd w:id="157"/>
      <w:r w:rsidRPr="00210DAC">
        <w:rPr>
          <w:i/>
          <w:noProof/>
        </w:rPr>
        <w:t xml:space="preserve"> </w:t>
      </w:r>
    </w:p>
    <w:p w:rsidR="00717136" w:rsidRPr="00210DAC" w:rsidRDefault="00717136" w:rsidP="00717136">
      <w:pPr>
        <w:ind w:left="850"/>
        <w:rPr>
          <w:noProof/>
        </w:rPr>
      </w:pPr>
      <w:r w:rsidRPr="00210DAC">
        <w:rPr>
          <w:noProof/>
        </w:rPr>
        <w:t>Prijedlog/inicijativa:</w:t>
      </w:r>
    </w:p>
    <w:p w:rsidR="00717136" w:rsidRPr="00210DAC" w:rsidRDefault="00717136" w:rsidP="00E10716">
      <w:pPr>
        <w:pStyle w:val="Tiret0"/>
        <w:rPr>
          <w:noProof/>
        </w:rPr>
      </w:pPr>
      <w:r w:rsidRPr="00210DAC">
        <w:rPr>
          <w:rFonts w:ascii="Wingdings" w:hAnsi="Wingdings"/>
          <w:noProof/>
        </w:rPr>
        <w:t></w:t>
      </w:r>
      <w:r w:rsidRPr="00210DAC">
        <w:rPr>
          <w:noProof/>
        </w:rPr>
        <w:tab/>
        <w:t>može se u potpunosti financirati preraspodjelom unutar relevantnog naslova višegodišnjeg financijskog okvira (VFO).</w:t>
      </w:r>
    </w:p>
    <w:p w:rsidR="00717136" w:rsidRPr="00210DAC" w:rsidRDefault="00717136" w:rsidP="00140E38">
      <w:pPr>
        <w:pBdr>
          <w:top w:val="single" w:sz="4" w:space="1" w:color="auto"/>
          <w:left w:val="single" w:sz="4" w:space="4" w:color="auto"/>
          <w:bottom w:val="single" w:sz="4" w:space="1" w:color="auto"/>
          <w:right w:val="single" w:sz="4" w:space="4" w:color="auto"/>
        </w:pBdr>
        <w:ind w:left="850"/>
        <w:rPr>
          <w:rFonts w:eastAsia="Arial Unicode MS"/>
          <w:noProof/>
        </w:rPr>
      </w:pPr>
      <w:r w:rsidRPr="00210DAC">
        <w:rPr>
          <w:noProof/>
        </w:rPr>
        <w:t xml:space="preserve"> Ova inicijativa financirat će se iz postojećih sredstava, u okviru dogovorenih omotnica dotičnih programa i dodijeljenih ljudskih resursa. Prijedlog će povećati omotnicu EIC-a za 210 milijuna EUR iz neiskorištenih iznosa i vraćenih sredstava iz pilot-projekta EIC-a u okviru programa Obzor 2020. Za reprogramiranje će biti nužna preraspodjela među naslovima VFO-a kako je predviđeno uredbama o kohezijskom programu i Instrumentu za povezivanje Europe te u preispitivanju kohezijskog programa na sredini provedbenog razdoblja.</w:t>
      </w:r>
    </w:p>
    <w:p w:rsidR="00717136" w:rsidRPr="00210DAC" w:rsidRDefault="00717136" w:rsidP="00717136">
      <w:pPr>
        <w:keepNext/>
        <w:tabs>
          <w:tab w:val="left" w:pos="850"/>
        </w:tabs>
        <w:ind w:left="850" w:hanging="850"/>
        <w:outlineLvl w:val="2"/>
        <w:rPr>
          <w:i/>
          <w:noProof/>
        </w:rPr>
      </w:pPr>
      <w:bookmarkStart w:id="158" w:name="_Toc514938058"/>
      <w:bookmarkStart w:id="159" w:name="_Toc520485056"/>
      <w:bookmarkStart w:id="160" w:name="_Toc160804600"/>
      <w:bookmarkStart w:id="161" w:name="_Toc167220299"/>
      <w:bookmarkStart w:id="162" w:name="_Toc177549033"/>
      <w:r w:rsidRPr="00210DAC">
        <w:rPr>
          <w:i/>
          <w:noProof/>
        </w:rPr>
        <w:t>3.2.7.</w:t>
      </w:r>
      <w:r w:rsidRPr="00210DAC">
        <w:rPr>
          <w:i/>
          <w:noProof/>
        </w:rPr>
        <w:tab/>
        <w:t>Doprinos trećih strana</w:t>
      </w:r>
      <w:bookmarkEnd w:id="158"/>
      <w:bookmarkEnd w:id="159"/>
      <w:bookmarkEnd w:id="160"/>
      <w:bookmarkEnd w:id="161"/>
      <w:bookmarkEnd w:id="162"/>
      <w:r w:rsidRPr="00210DAC">
        <w:rPr>
          <w:i/>
          <w:noProof/>
        </w:rPr>
        <w:t xml:space="preserve"> </w:t>
      </w:r>
    </w:p>
    <w:p w:rsidR="00717136" w:rsidRPr="00210DAC" w:rsidRDefault="00717136" w:rsidP="00717136">
      <w:pPr>
        <w:ind w:left="850"/>
        <w:rPr>
          <w:noProof/>
        </w:rPr>
      </w:pPr>
      <w:r w:rsidRPr="00210DAC">
        <w:rPr>
          <w:noProof/>
        </w:rPr>
        <w:t>Prijedlog/inicijativa:</w:t>
      </w:r>
    </w:p>
    <w:p w:rsidR="00717136" w:rsidRPr="00210DAC" w:rsidRDefault="00717136" w:rsidP="00717136">
      <w:pPr>
        <w:outlineLvl w:val="1"/>
        <w:rPr>
          <w:noProof/>
          <w:szCs w:val="24"/>
        </w:rPr>
      </w:pPr>
      <w:r w:rsidRPr="00210DAC">
        <w:rPr>
          <w:rFonts w:ascii="Wingdings" w:hAnsi="Wingdings"/>
          <w:noProof/>
        </w:rPr>
        <w:t></w:t>
      </w:r>
      <w:r w:rsidRPr="00210DAC">
        <w:rPr>
          <w:noProof/>
        </w:rPr>
        <w:tab/>
        <w:t>ne predviđa se sudjelovanje trećih strana u financiranju.</w:t>
      </w:r>
      <w:r w:rsidRPr="00210DAC">
        <w:rPr>
          <w:noProof/>
        </w:rPr>
        <w:br/>
      </w:r>
      <w:bookmarkStart w:id="163" w:name="_Toc514938059"/>
      <w:bookmarkStart w:id="164" w:name="_Toc520485057"/>
      <w:bookmarkStart w:id="165" w:name="_Toc160804602"/>
      <w:bookmarkStart w:id="166" w:name="_Toc167220300"/>
      <w:bookmarkStart w:id="167" w:name="_Toc177549034"/>
      <w:bookmarkStart w:id="168" w:name="_Hlk166860179"/>
      <w:r w:rsidRPr="00210DAC">
        <w:rPr>
          <w:noProof/>
        </w:rPr>
        <w:t>3.3.</w:t>
      </w:r>
      <w:r w:rsidRPr="00210DAC">
        <w:rPr>
          <w:noProof/>
        </w:rPr>
        <w:tab/>
        <w:t>Procijenjeni učinak na prihode</w:t>
      </w:r>
      <w:bookmarkEnd w:id="163"/>
      <w:bookmarkEnd w:id="164"/>
      <w:bookmarkEnd w:id="165"/>
      <w:bookmarkEnd w:id="166"/>
      <w:bookmarkEnd w:id="167"/>
      <w:r w:rsidRPr="00210DAC">
        <w:rPr>
          <w:noProof/>
        </w:rPr>
        <w:t xml:space="preserve"> </w:t>
      </w:r>
    </w:p>
    <w:bookmarkEnd w:id="168"/>
    <w:p w:rsidR="00717136" w:rsidRPr="00210DAC" w:rsidRDefault="00717136" w:rsidP="00E10716">
      <w:pPr>
        <w:pStyle w:val="Tiret0"/>
        <w:rPr>
          <w:noProof/>
        </w:rPr>
      </w:pPr>
      <w:r w:rsidRPr="00210DAC">
        <w:rPr>
          <w:rFonts w:ascii="Wingdings" w:hAnsi="Wingdings"/>
          <w:noProof/>
        </w:rPr>
        <w:t></w:t>
      </w:r>
      <w:r w:rsidRPr="00210DAC">
        <w:rPr>
          <w:noProof/>
        </w:rPr>
        <w:tab/>
        <w:t>Prijedlog/inicijativa nema financijski učinak na prihode.</w:t>
      </w:r>
    </w:p>
    <w:p w:rsidR="00717136" w:rsidRPr="00210DAC" w:rsidRDefault="00717136" w:rsidP="00E10716">
      <w:pPr>
        <w:pStyle w:val="Tiret0"/>
        <w:rPr>
          <w:noProof/>
        </w:rPr>
      </w:pPr>
      <w:r w:rsidRPr="00210DAC">
        <w:rPr>
          <w:rFonts w:ascii="Wingdings" w:hAnsi="Wingdings"/>
          <w:noProof/>
        </w:rPr>
        <w:t></w:t>
      </w:r>
      <w:r w:rsidRPr="00210DAC">
        <w:rPr>
          <w:noProof/>
        </w:rPr>
        <w:tab/>
        <w:t>Prijedlog/inicijativa ima sljedeći financijski učinak:</w:t>
      </w:r>
    </w:p>
    <w:p w:rsidR="00717136" w:rsidRPr="00210DAC" w:rsidRDefault="00717136" w:rsidP="00047793">
      <w:pPr>
        <w:pStyle w:val="Tiret1"/>
        <w:rPr>
          <w:noProof/>
        </w:rPr>
      </w:pPr>
      <w:r w:rsidRPr="00210DAC">
        <w:rPr>
          <w:rFonts w:ascii="Wingdings" w:hAnsi="Wingdings"/>
          <w:noProof/>
        </w:rPr>
        <w:t></w:t>
      </w:r>
      <w:r w:rsidRPr="00210DAC">
        <w:rPr>
          <w:noProof/>
        </w:rPr>
        <w:tab/>
        <w:t xml:space="preserve">na vlastita sredstva </w:t>
      </w:r>
    </w:p>
    <w:p w:rsidR="00717136" w:rsidRPr="00210DAC" w:rsidRDefault="00717136" w:rsidP="00047793">
      <w:pPr>
        <w:pStyle w:val="Tiret1"/>
        <w:rPr>
          <w:noProof/>
        </w:rPr>
      </w:pPr>
      <w:r w:rsidRPr="00210DAC">
        <w:rPr>
          <w:rFonts w:ascii="Wingdings" w:hAnsi="Wingdings"/>
          <w:noProof/>
        </w:rPr>
        <w:t></w:t>
      </w:r>
      <w:r w:rsidRPr="00210DAC">
        <w:rPr>
          <w:noProof/>
        </w:rPr>
        <w:tab/>
        <w:t>na ostale prihode</w:t>
      </w:r>
    </w:p>
    <w:p w:rsidR="00717136" w:rsidRPr="00210DAC" w:rsidRDefault="00717136" w:rsidP="00047793">
      <w:pPr>
        <w:pStyle w:val="Tiret1"/>
        <w:rPr>
          <w:noProof/>
        </w:rPr>
      </w:pPr>
      <w:r w:rsidRPr="00210DAC">
        <w:rPr>
          <w:rFonts w:ascii="Wingdings" w:hAnsi="Wingdings"/>
          <w:noProof/>
        </w:rPr>
        <w:t></w:t>
      </w:r>
      <w:r w:rsidRPr="00210DAC">
        <w:rPr>
          <w:rFonts w:ascii="Wingdings" w:hAnsi="Wingdings"/>
          <w:noProof/>
        </w:rPr>
        <w:tab/>
      </w:r>
      <w:r w:rsidRPr="00210DAC">
        <w:rPr>
          <w:noProof/>
        </w:rPr>
        <w:t>navesti jesu li prihodi namijenjeni proračunskim linijama rashoda</w:t>
      </w:r>
    </w:p>
    <w:p w:rsidR="00717136" w:rsidRPr="00210DAC" w:rsidRDefault="00717136" w:rsidP="00717136">
      <w:pPr>
        <w:ind w:left="5760"/>
        <w:rPr>
          <w:rFonts w:eastAsia="Times New Roman"/>
          <w:noProof/>
          <w:sz w:val="18"/>
          <w:szCs w:val="16"/>
        </w:rPr>
      </w:pPr>
      <w:r w:rsidRPr="00210DAC">
        <w:rPr>
          <w:noProof/>
          <w:sz w:val="18"/>
        </w:rPr>
        <w:t xml:space="preserve">            u milijunima EUR (na tri decimale)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1614"/>
        <w:gridCol w:w="1692"/>
        <w:gridCol w:w="1044"/>
        <w:gridCol w:w="1035"/>
        <w:gridCol w:w="1259"/>
      </w:tblGrid>
      <w:tr w:rsidR="00717136" w:rsidRPr="00210DAC" w:rsidTr="00022CAC">
        <w:trPr>
          <w:trHeight w:val="388"/>
        </w:trPr>
        <w:tc>
          <w:tcPr>
            <w:tcW w:w="1423" w:type="pct"/>
            <w:vMerge w:val="restart"/>
            <w:vAlign w:val="center"/>
          </w:tcPr>
          <w:p w:rsidR="00717136" w:rsidRPr="00210DAC" w:rsidRDefault="00717136" w:rsidP="00717136">
            <w:pPr>
              <w:spacing w:before="40" w:after="40"/>
              <w:rPr>
                <w:noProof/>
                <w:sz w:val="18"/>
              </w:rPr>
            </w:pPr>
            <w:r w:rsidRPr="00210DAC">
              <w:rPr>
                <w:noProof/>
                <w:sz w:val="18"/>
              </w:rPr>
              <w:t>Proračunska linija prihoda:</w:t>
            </w:r>
          </w:p>
        </w:tc>
        <w:tc>
          <w:tcPr>
            <w:tcW w:w="869" w:type="pct"/>
            <w:vMerge w:val="restart"/>
            <w:vAlign w:val="center"/>
          </w:tcPr>
          <w:p w:rsidR="00717136" w:rsidRPr="00210DAC" w:rsidRDefault="00717136" w:rsidP="00717136">
            <w:pPr>
              <w:jc w:val="center"/>
              <w:rPr>
                <w:noProof/>
                <w:sz w:val="18"/>
              </w:rPr>
            </w:pPr>
            <w:r w:rsidRPr="00210DAC">
              <w:rPr>
                <w:noProof/>
                <w:sz w:val="18"/>
              </w:rPr>
              <w:t>Odobrena sredstva dostupna za tekuću financijsku godinu</w:t>
            </w:r>
          </w:p>
        </w:tc>
        <w:tc>
          <w:tcPr>
            <w:tcW w:w="2708" w:type="pct"/>
            <w:gridSpan w:val="4"/>
            <w:vAlign w:val="center"/>
          </w:tcPr>
          <w:p w:rsidR="00717136" w:rsidRPr="00210DAC" w:rsidRDefault="00717136" w:rsidP="00717136">
            <w:pPr>
              <w:jc w:val="center"/>
              <w:rPr>
                <w:noProof/>
                <w:sz w:val="18"/>
              </w:rPr>
            </w:pPr>
            <w:r w:rsidRPr="00210DAC">
              <w:rPr>
                <w:noProof/>
                <w:sz w:val="18"/>
              </w:rPr>
              <w:t>Učinak prijedloga/inicijative</w:t>
            </w:r>
            <w:r w:rsidRPr="00210DAC">
              <w:rPr>
                <w:rStyle w:val="FootnoteReference"/>
                <w:noProof/>
              </w:rPr>
              <w:footnoteReference w:id="21"/>
            </w:r>
          </w:p>
        </w:tc>
      </w:tr>
      <w:tr w:rsidR="00717136" w:rsidRPr="00210DAC" w:rsidTr="00022CAC">
        <w:trPr>
          <w:trHeight w:val="388"/>
        </w:trPr>
        <w:tc>
          <w:tcPr>
            <w:tcW w:w="1423" w:type="pct"/>
            <w:vMerge/>
          </w:tcPr>
          <w:p w:rsidR="00717136" w:rsidRPr="00210DAC" w:rsidRDefault="00717136" w:rsidP="00717136">
            <w:pPr>
              <w:spacing w:before="40" w:after="40"/>
              <w:rPr>
                <w:noProof/>
                <w:sz w:val="18"/>
              </w:rPr>
            </w:pPr>
          </w:p>
        </w:tc>
        <w:tc>
          <w:tcPr>
            <w:tcW w:w="869" w:type="pct"/>
            <w:vMerge/>
          </w:tcPr>
          <w:p w:rsidR="00717136" w:rsidRPr="00210DAC" w:rsidRDefault="00717136" w:rsidP="00717136">
            <w:pPr>
              <w:spacing w:beforeLines="40" w:before="96" w:afterLines="40" w:after="96"/>
              <w:rPr>
                <w:i/>
                <w:noProof/>
                <w:sz w:val="18"/>
              </w:rPr>
            </w:pPr>
          </w:p>
        </w:tc>
        <w:tc>
          <w:tcPr>
            <w:tcW w:w="911" w:type="pct"/>
            <w:vAlign w:val="center"/>
          </w:tcPr>
          <w:p w:rsidR="00717136" w:rsidRPr="00210DAC" w:rsidRDefault="00717136" w:rsidP="00717136">
            <w:pPr>
              <w:jc w:val="center"/>
              <w:rPr>
                <w:noProof/>
                <w:sz w:val="18"/>
              </w:rPr>
            </w:pPr>
            <w:r w:rsidRPr="00210DAC">
              <w:rPr>
                <w:noProof/>
                <w:sz w:val="18"/>
              </w:rPr>
              <w:t xml:space="preserve">Godina </w:t>
            </w:r>
            <w:r w:rsidRPr="00210DAC">
              <w:rPr>
                <w:b/>
                <w:noProof/>
                <w:sz w:val="18"/>
              </w:rPr>
              <w:t>2024.</w:t>
            </w:r>
          </w:p>
        </w:tc>
        <w:tc>
          <w:tcPr>
            <w:tcW w:w="562" w:type="pct"/>
            <w:vAlign w:val="center"/>
          </w:tcPr>
          <w:p w:rsidR="00717136" w:rsidRPr="00210DAC" w:rsidRDefault="00717136" w:rsidP="00717136">
            <w:pPr>
              <w:jc w:val="center"/>
              <w:rPr>
                <w:noProof/>
                <w:sz w:val="18"/>
              </w:rPr>
            </w:pPr>
            <w:r w:rsidRPr="00210DAC">
              <w:rPr>
                <w:noProof/>
                <w:sz w:val="18"/>
              </w:rPr>
              <w:t xml:space="preserve">Godina </w:t>
            </w:r>
            <w:r w:rsidRPr="00210DAC">
              <w:rPr>
                <w:b/>
                <w:noProof/>
                <w:sz w:val="18"/>
              </w:rPr>
              <w:t>2025.</w:t>
            </w:r>
          </w:p>
        </w:tc>
        <w:tc>
          <w:tcPr>
            <w:tcW w:w="557" w:type="pct"/>
            <w:vAlign w:val="center"/>
          </w:tcPr>
          <w:p w:rsidR="00717136" w:rsidRPr="00210DAC" w:rsidRDefault="00717136" w:rsidP="00717136">
            <w:pPr>
              <w:jc w:val="center"/>
              <w:rPr>
                <w:noProof/>
                <w:sz w:val="18"/>
              </w:rPr>
            </w:pPr>
            <w:r w:rsidRPr="00210DAC">
              <w:rPr>
                <w:noProof/>
                <w:sz w:val="18"/>
              </w:rPr>
              <w:t xml:space="preserve">Godina </w:t>
            </w:r>
            <w:r w:rsidRPr="00210DAC">
              <w:rPr>
                <w:b/>
                <w:noProof/>
                <w:sz w:val="18"/>
              </w:rPr>
              <w:t>2026.</w:t>
            </w:r>
          </w:p>
        </w:tc>
        <w:tc>
          <w:tcPr>
            <w:tcW w:w="678" w:type="pct"/>
            <w:vAlign w:val="center"/>
          </w:tcPr>
          <w:p w:rsidR="00717136" w:rsidRPr="00210DAC" w:rsidRDefault="00717136" w:rsidP="00717136">
            <w:pPr>
              <w:jc w:val="center"/>
              <w:rPr>
                <w:noProof/>
                <w:sz w:val="18"/>
              </w:rPr>
            </w:pPr>
            <w:r w:rsidRPr="00210DAC">
              <w:rPr>
                <w:noProof/>
                <w:sz w:val="18"/>
              </w:rPr>
              <w:t xml:space="preserve">Godina </w:t>
            </w:r>
            <w:r w:rsidRPr="00210DAC">
              <w:rPr>
                <w:b/>
                <w:noProof/>
                <w:sz w:val="18"/>
              </w:rPr>
              <w:t>2027.</w:t>
            </w:r>
          </w:p>
        </w:tc>
      </w:tr>
      <w:tr w:rsidR="00717136" w:rsidRPr="00210DAC" w:rsidTr="00022CAC">
        <w:trPr>
          <w:trHeight w:val="388"/>
        </w:trPr>
        <w:tc>
          <w:tcPr>
            <w:tcW w:w="1423" w:type="pct"/>
            <w:vAlign w:val="center"/>
          </w:tcPr>
          <w:p w:rsidR="00717136" w:rsidRPr="00210DAC" w:rsidRDefault="00717136" w:rsidP="00717136">
            <w:pPr>
              <w:spacing w:before="40" w:after="40"/>
              <w:rPr>
                <w:noProof/>
                <w:sz w:val="18"/>
              </w:rPr>
            </w:pPr>
          </w:p>
        </w:tc>
        <w:tc>
          <w:tcPr>
            <w:tcW w:w="869" w:type="pct"/>
          </w:tcPr>
          <w:p w:rsidR="00717136" w:rsidRPr="00210DAC" w:rsidRDefault="00717136" w:rsidP="00717136">
            <w:pPr>
              <w:spacing w:beforeLines="40" w:before="96" w:afterLines="40" w:after="96"/>
              <w:jc w:val="center"/>
              <w:rPr>
                <w:i/>
                <w:noProof/>
                <w:sz w:val="18"/>
              </w:rPr>
            </w:pPr>
          </w:p>
        </w:tc>
        <w:tc>
          <w:tcPr>
            <w:tcW w:w="911" w:type="pct"/>
          </w:tcPr>
          <w:p w:rsidR="00717136" w:rsidRPr="00210DAC" w:rsidRDefault="00717136" w:rsidP="00717136">
            <w:pPr>
              <w:spacing w:beforeLines="40" w:before="96" w:afterLines="40" w:after="96"/>
              <w:jc w:val="center"/>
              <w:rPr>
                <w:noProof/>
                <w:sz w:val="18"/>
              </w:rPr>
            </w:pPr>
          </w:p>
        </w:tc>
        <w:tc>
          <w:tcPr>
            <w:tcW w:w="562" w:type="pct"/>
          </w:tcPr>
          <w:p w:rsidR="00717136" w:rsidRPr="00210DAC" w:rsidRDefault="00717136" w:rsidP="00717136">
            <w:pPr>
              <w:spacing w:beforeLines="40" w:before="96" w:afterLines="40" w:after="96"/>
              <w:jc w:val="center"/>
              <w:rPr>
                <w:noProof/>
                <w:sz w:val="18"/>
              </w:rPr>
            </w:pPr>
          </w:p>
        </w:tc>
        <w:tc>
          <w:tcPr>
            <w:tcW w:w="557" w:type="pct"/>
          </w:tcPr>
          <w:p w:rsidR="00717136" w:rsidRPr="00210DAC" w:rsidRDefault="00717136" w:rsidP="00717136">
            <w:pPr>
              <w:spacing w:beforeLines="40" w:before="96" w:afterLines="40" w:after="96"/>
              <w:jc w:val="center"/>
              <w:rPr>
                <w:noProof/>
                <w:sz w:val="18"/>
              </w:rPr>
            </w:pPr>
          </w:p>
        </w:tc>
        <w:tc>
          <w:tcPr>
            <w:tcW w:w="678" w:type="pct"/>
          </w:tcPr>
          <w:p w:rsidR="00717136" w:rsidRPr="00210DAC" w:rsidRDefault="00717136" w:rsidP="00717136">
            <w:pPr>
              <w:spacing w:beforeLines="40" w:before="96" w:afterLines="40" w:after="96"/>
              <w:jc w:val="center"/>
              <w:rPr>
                <w:noProof/>
                <w:sz w:val="18"/>
              </w:rPr>
            </w:pPr>
          </w:p>
        </w:tc>
      </w:tr>
    </w:tbl>
    <w:p w:rsidR="00717136" w:rsidRPr="00210DAC" w:rsidRDefault="00717136" w:rsidP="00717136">
      <w:pPr>
        <w:rPr>
          <w:rFonts w:eastAsia="Times New Roman"/>
          <w:noProof/>
          <w:lang w:eastAsia="de-DE"/>
        </w:rPr>
      </w:pPr>
    </w:p>
    <w:p w:rsidR="00717136" w:rsidRPr="00210DAC" w:rsidRDefault="00717136" w:rsidP="00E10716">
      <w:pPr>
        <w:pStyle w:val="Tiret0"/>
        <w:rPr>
          <w:noProof/>
        </w:rPr>
      </w:pPr>
      <w:r w:rsidRPr="00210DAC">
        <w:rPr>
          <w:noProof/>
        </w:rPr>
        <w:t>Za namjenske prihode navesti odgovarajuće proračunske linije rashoda.</w:t>
      </w:r>
    </w:p>
    <w:p w:rsidR="00140E38" w:rsidRPr="00210DAC" w:rsidRDefault="00717136" w:rsidP="00D938EA">
      <w:pPr>
        <w:pBdr>
          <w:top w:val="nil"/>
          <w:left w:val="nil"/>
          <w:bottom w:val="nil"/>
          <w:right w:val="nil"/>
          <w:between w:val="nil"/>
          <w:bar w:val="nil"/>
        </w:pBdr>
        <w:spacing w:before="0" w:after="240"/>
        <w:rPr>
          <w:rFonts w:eastAsia="Arial Unicode MS"/>
          <w:noProof/>
        </w:rPr>
      </w:pPr>
      <w:r w:rsidRPr="00210DAC">
        <w:rPr>
          <w:noProof/>
        </w:rPr>
        <w:t xml:space="preserve">Ova inicijativa financirat će se iz postojećih sredstava, u okviru dogovorenih omotnica dotičnih programa i dodijeljenih ljudskih resursa. </w:t>
      </w:r>
      <w:bookmarkStart w:id="169" w:name="_Toc167220301"/>
      <w:bookmarkStart w:id="170" w:name="_Toc177549035"/>
      <w:r w:rsidRPr="00210DAC">
        <w:rPr>
          <w:noProof/>
        </w:rPr>
        <w:t>Prijedlog će povećati omotnicu EIC-a za 210 milijuna EUR iz neiskorištenih iznosa i vraćenih sredstava iz pilot-projekta EIC-a u okviru programa Obzor 2020.</w:t>
      </w:r>
    </w:p>
    <w:p w:rsidR="00717136" w:rsidRPr="00210DAC" w:rsidRDefault="00717136" w:rsidP="00BB0684">
      <w:pPr>
        <w:pStyle w:val="Tiret0"/>
        <w:rPr>
          <w:b/>
          <w:caps/>
          <w:smallCaps/>
          <w:noProof/>
        </w:rPr>
      </w:pPr>
      <w:r w:rsidRPr="00210DAC">
        <w:rPr>
          <w:b/>
          <w:smallCaps/>
          <w:noProof/>
        </w:rPr>
        <w:t>4.</w:t>
      </w:r>
      <w:r w:rsidRPr="00210DAC">
        <w:rPr>
          <w:b/>
          <w:smallCaps/>
          <w:noProof/>
        </w:rPr>
        <w:tab/>
      </w:r>
      <w:bookmarkStart w:id="171" w:name="_Hlk167692977"/>
      <w:r w:rsidRPr="00210DAC">
        <w:rPr>
          <w:b/>
          <w:caps/>
          <w:smallCaps/>
          <w:noProof/>
        </w:rPr>
        <w:t>Digitalni aspekti</w:t>
      </w:r>
      <w:bookmarkEnd w:id="169"/>
      <w:bookmarkEnd w:id="170"/>
    </w:p>
    <w:p w:rsidR="00717136" w:rsidRPr="00210DAC" w:rsidRDefault="00717136" w:rsidP="00717136">
      <w:pPr>
        <w:keepNext/>
        <w:tabs>
          <w:tab w:val="left" w:pos="850"/>
        </w:tabs>
        <w:ind w:left="850" w:hanging="850"/>
        <w:outlineLvl w:val="1"/>
        <w:rPr>
          <w:b/>
          <w:noProof/>
        </w:rPr>
      </w:pPr>
      <w:bookmarkStart w:id="172" w:name="_Toc167220302"/>
      <w:bookmarkStart w:id="173" w:name="_Toc177549037"/>
      <w:r w:rsidRPr="00210DAC">
        <w:rPr>
          <w:b/>
          <w:noProof/>
        </w:rPr>
        <w:t>4.1.</w:t>
      </w:r>
      <w:r w:rsidRPr="00210DAC">
        <w:rPr>
          <w:b/>
          <w:noProof/>
        </w:rPr>
        <w:tab/>
        <w:t>Zahtjevi relevantni za digitalizaciju</w:t>
      </w:r>
      <w:bookmarkEnd w:id="172"/>
      <w:bookmarkEnd w:id="173"/>
    </w:p>
    <w:tbl>
      <w:tblPr>
        <w:tblStyle w:val="TableGrid"/>
        <w:tblW w:w="9072" w:type="dxa"/>
        <w:tblInd w:w="-5" w:type="dxa"/>
        <w:tblLayout w:type="fixed"/>
        <w:tblLook w:val="06A0" w:firstRow="1" w:lastRow="0" w:firstColumn="1" w:lastColumn="0" w:noHBand="1" w:noVBand="1"/>
      </w:tblPr>
      <w:tblGrid>
        <w:gridCol w:w="9072"/>
      </w:tblGrid>
      <w:tr w:rsidR="00717136" w:rsidRPr="00210DAC" w:rsidTr="00022CAC">
        <w:trPr>
          <w:trHeight w:val="300"/>
        </w:trPr>
        <w:tc>
          <w:tcPr>
            <w:tcW w:w="9072" w:type="dxa"/>
          </w:tcPr>
          <w:p w:rsidR="00717136" w:rsidRPr="00210DAC" w:rsidRDefault="00717136" w:rsidP="00717136">
            <w:pPr>
              <w:rPr>
                <w:noProof/>
              </w:rPr>
            </w:pPr>
            <w:r w:rsidRPr="00210DAC">
              <w:rPr>
                <w:noProof/>
              </w:rPr>
              <w:t>Predloženim izmjenama ne uvode se novi zahtjevi od digitalne važnosti. Procjena digitalne važnosti već je provedena za svaki od programa na koji izmjene utječu, a predloženim izmjenama ne uvode se nikakve dodatne obveze ni odredbe povezane s prikupljanjem, obradom, generiranjem, razmjenom ili razmjenom podataka, automatizacijom ili digitalizacijom postupaka dionika, primjenom novih ili postojećih digitalnih rješenja ni digitalnih javnih usluga. Stoga u ovom prijedlogu nisu utvrđeni dodatni zahtjevi od digitalne važnosti.</w:t>
            </w:r>
          </w:p>
        </w:tc>
      </w:tr>
      <w:bookmarkEnd w:id="171"/>
    </w:tbl>
    <w:p w:rsidR="00717136" w:rsidRPr="00210DAC" w:rsidRDefault="00717136" w:rsidP="00717136">
      <w:pPr>
        <w:keepNext/>
        <w:tabs>
          <w:tab w:val="left" w:pos="850"/>
        </w:tabs>
        <w:outlineLvl w:val="1"/>
        <w:rPr>
          <w:b/>
          <w:noProof/>
          <w:color w:val="008000"/>
        </w:rPr>
      </w:pPr>
    </w:p>
    <w:p w:rsidR="00717136" w:rsidRPr="00210DAC" w:rsidRDefault="00717136" w:rsidP="00717136">
      <w:pPr>
        <w:keepNext/>
        <w:tabs>
          <w:tab w:val="left" w:pos="850"/>
        </w:tabs>
        <w:spacing w:before="360"/>
        <w:ind w:left="850" w:hanging="850"/>
        <w:outlineLvl w:val="0"/>
        <w:rPr>
          <w:b/>
          <w:smallCaps/>
          <w:noProof/>
          <w:color w:val="008000"/>
        </w:rPr>
      </w:pPr>
    </w:p>
    <w:p w:rsidR="00717136" w:rsidRPr="00210DAC" w:rsidRDefault="00717136" w:rsidP="00717136">
      <w:pPr>
        <w:rPr>
          <w:noProof/>
        </w:rPr>
      </w:pPr>
    </w:p>
    <w:sectPr w:rsidR="00717136" w:rsidRPr="00210DAC" w:rsidSect="005F779D">
      <w:headerReference w:type="default" r:id="rId21"/>
      <w:footerReference w:type="default" r:id="rId22"/>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A82" w:rsidRDefault="004F5A82" w:rsidP="003F4F48">
      <w:pPr>
        <w:spacing w:before="0" w:after="0"/>
      </w:pPr>
      <w:r>
        <w:separator/>
      </w:r>
    </w:p>
  </w:endnote>
  <w:endnote w:type="continuationSeparator" w:id="0">
    <w:p w:rsidR="004F5A82" w:rsidRDefault="004F5A82" w:rsidP="003F4F48">
      <w:pPr>
        <w:spacing w:before="0" w:after="0"/>
      </w:pPr>
      <w:r>
        <w:continuationSeparator/>
      </w:r>
    </w:p>
  </w:endnote>
  <w:endnote w:type="continuationNotice" w:id="1">
    <w:p w:rsidR="004F5A82" w:rsidRDefault="004F5A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Footer"/>
      <w:rPr>
        <w:rFonts w:ascii="Arial" w:hAnsi="Arial" w:cs="Arial"/>
        <w:b/>
        <w:sz w:val="48"/>
      </w:rPr>
    </w:pPr>
    <w:r w:rsidRPr="005F779D">
      <w:rPr>
        <w:rFonts w:ascii="Arial" w:hAnsi="Arial" w:cs="Arial"/>
        <w:b/>
        <w:sz w:val="48"/>
      </w:rPr>
      <w:t>HR</w:t>
    </w:r>
    <w:r w:rsidRPr="005F779D">
      <w:rPr>
        <w:rFonts w:ascii="Arial" w:hAnsi="Arial" w:cs="Arial"/>
        <w:b/>
        <w:sz w:val="48"/>
      </w:rPr>
      <w:tab/>
    </w:r>
    <w:r w:rsidRPr="005F779D">
      <w:rPr>
        <w:rFonts w:ascii="Arial" w:hAnsi="Arial" w:cs="Arial"/>
        <w:b/>
        <w:sz w:val="48"/>
      </w:rPr>
      <w:tab/>
    </w:r>
    <w:r w:rsidRPr="005F779D">
      <w:tab/>
    </w:r>
    <w:r w:rsidRPr="005F779D">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Footer"/>
      <w:rPr>
        <w:rFonts w:ascii="Arial" w:hAnsi="Arial" w:cs="Arial"/>
        <w:b/>
        <w:sz w:val="48"/>
      </w:rPr>
    </w:pPr>
    <w:r w:rsidRPr="005F779D">
      <w:rPr>
        <w:rFonts w:ascii="Arial" w:hAnsi="Arial" w:cs="Arial"/>
        <w:b/>
        <w:sz w:val="48"/>
      </w:rPr>
      <w:t>HR</w:t>
    </w:r>
    <w:r w:rsidRPr="005F779D">
      <w:rPr>
        <w:rFonts w:ascii="Arial" w:hAnsi="Arial" w:cs="Arial"/>
        <w:b/>
        <w:sz w:val="48"/>
      </w:rPr>
      <w:tab/>
    </w:r>
    <w:r w:rsidRPr="005F779D">
      <w:rPr>
        <w:rFonts w:ascii="Arial" w:hAnsi="Arial" w:cs="Arial"/>
        <w:b/>
        <w:sz w:val="48"/>
      </w:rPr>
      <w:tab/>
    </w:r>
    <w:r w:rsidRPr="005F779D">
      <w:tab/>
    </w:r>
    <w:r w:rsidRPr="005F779D">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Default="005F7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Footer"/>
      <w:rPr>
        <w:rFonts w:ascii="Arial" w:hAnsi="Arial" w:cs="Arial"/>
        <w:b/>
        <w:sz w:val="48"/>
      </w:rPr>
    </w:pPr>
    <w:r w:rsidRPr="005F779D">
      <w:rPr>
        <w:rFonts w:ascii="Arial" w:hAnsi="Arial" w:cs="Arial"/>
        <w:b/>
        <w:sz w:val="48"/>
      </w:rPr>
      <w:t>HR</w:t>
    </w:r>
    <w:r w:rsidRPr="005F779D">
      <w:rPr>
        <w:rFonts w:ascii="Arial" w:hAnsi="Arial" w:cs="Arial"/>
        <w:b/>
        <w:sz w:val="48"/>
      </w:rPr>
      <w:tab/>
    </w:r>
    <w:r>
      <w:fldChar w:fldCharType="begin"/>
    </w:r>
    <w:r>
      <w:instrText xml:space="preserve"> PAGE  \* MERGEFORMAT </w:instrText>
    </w:r>
    <w:r>
      <w:fldChar w:fldCharType="separate"/>
    </w:r>
    <w:r w:rsidR="00C057BC">
      <w:rPr>
        <w:noProof/>
      </w:rPr>
      <w:t>1</w:t>
    </w:r>
    <w:r>
      <w:fldChar w:fldCharType="end"/>
    </w:r>
    <w:r>
      <w:tab/>
    </w:r>
    <w:r w:rsidRPr="005F779D">
      <w:tab/>
    </w:r>
    <w:r w:rsidRPr="005F779D">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Default="005F779D" w:rsidP="005F77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FooterLandscape"/>
      <w:rPr>
        <w:rFonts w:ascii="Arial" w:hAnsi="Arial" w:cs="Arial"/>
        <w:b/>
        <w:sz w:val="48"/>
      </w:rPr>
    </w:pPr>
    <w:r w:rsidRPr="005F779D">
      <w:rPr>
        <w:rFonts w:ascii="Arial" w:hAnsi="Arial" w:cs="Arial"/>
        <w:b/>
        <w:sz w:val="48"/>
      </w:rPr>
      <w:t>HR</w:t>
    </w:r>
    <w:r w:rsidRPr="005F779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F779D">
      <w:tab/>
    </w:r>
    <w:r w:rsidRPr="005F779D">
      <w:rPr>
        <w:rFonts w:ascii="Arial" w:hAnsi="Arial" w:cs="Arial"/>
        <w:b/>
        <w:sz w:val="48"/>
      </w:rPr>
      <w:t>HR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Footer"/>
      <w:rPr>
        <w:rFonts w:ascii="Arial" w:hAnsi="Arial" w:cs="Arial"/>
        <w:b/>
        <w:sz w:val="48"/>
      </w:rPr>
    </w:pPr>
    <w:r w:rsidRPr="005F779D">
      <w:rPr>
        <w:rFonts w:ascii="Arial" w:hAnsi="Arial" w:cs="Arial"/>
        <w:b/>
        <w:sz w:val="48"/>
      </w:rPr>
      <w:t>HR</w:t>
    </w:r>
    <w:r w:rsidRPr="005F779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F779D">
      <w:tab/>
    </w:r>
    <w:r w:rsidRPr="005F779D">
      <w:rPr>
        <w:rFonts w:ascii="Arial" w:hAnsi="Arial" w:cs="Arial"/>
        <w:b/>
        <w:sz w:val="48"/>
      </w:rPr>
      <w:t>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A82" w:rsidRDefault="004F5A82" w:rsidP="003F4F48">
      <w:pPr>
        <w:spacing w:before="0" w:after="0"/>
      </w:pPr>
      <w:r>
        <w:separator/>
      </w:r>
    </w:p>
  </w:footnote>
  <w:footnote w:type="continuationSeparator" w:id="0">
    <w:p w:rsidR="004F5A82" w:rsidRDefault="004F5A82" w:rsidP="003F4F48">
      <w:pPr>
        <w:spacing w:before="0" w:after="0"/>
      </w:pPr>
      <w:r>
        <w:continuationSeparator/>
      </w:r>
    </w:p>
  </w:footnote>
  <w:footnote w:type="continuationNotice" w:id="1">
    <w:p w:rsidR="004F5A82" w:rsidRDefault="004F5A82">
      <w:pPr>
        <w:spacing w:before="0" w:after="0"/>
      </w:pPr>
    </w:p>
  </w:footnote>
  <w:footnote w:id="2">
    <w:p w:rsidR="00594762" w:rsidRPr="00C26DA5" w:rsidRDefault="00594762">
      <w:pPr>
        <w:pStyle w:val="FootnoteText"/>
      </w:pPr>
      <w:r>
        <w:rPr>
          <w:rStyle w:val="FootnoteReference"/>
        </w:rPr>
        <w:footnoteRef/>
      </w:r>
      <w:r>
        <w:tab/>
        <w:t>Pečat STEP-a je pečat suverenosti iz Uredbe (EU) 2024/795.</w:t>
      </w:r>
    </w:p>
  </w:footnote>
  <w:footnote w:id="3">
    <w:p w:rsidR="003F4F48" w:rsidRDefault="003F4F48">
      <w:pPr>
        <w:pStyle w:val="FootnoteText"/>
      </w:pPr>
      <w:r>
        <w:rPr>
          <w:rStyle w:val="FootnoteReference"/>
        </w:rPr>
        <w:footnoteRef/>
      </w:r>
      <w:r>
        <w:tab/>
        <w:t>SL C , , str. .</w:t>
      </w:r>
    </w:p>
  </w:footnote>
  <w:footnote w:id="4">
    <w:p w:rsidR="003F4F48" w:rsidRDefault="003F4F48">
      <w:pPr>
        <w:pStyle w:val="FootnoteText"/>
      </w:pPr>
      <w:r>
        <w:rPr>
          <w:rStyle w:val="FootnoteReference"/>
        </w:rPr>
        <w:footnoteRef/>
      </w:r>
      <w:r>
        <w:tab/>
        <w:t>SL C , , str. .</w:t>
      </w:r>
    </w:p>
  </w:footnote>
  <w:footnote w:id="5">
    <w:p w:rsidR="003069FC" w:rsidRPr="003069FC" w:rsidRDefault="003069FC">
      <w:pPr>
        <w:pStyle w:val="FootnoteText"/>
      </w:pPr>
      <w:r>
        <w:rPr>
          <w:rStyle w:val="FootnoteReference"/>
        </w:rPr>
        <w:footnoteRef/>
      </w:r>
      <w:r>
        <w:tab/>
        <w:t xml:space="preserve">Uredba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(SL L, 2024/795, 29.2.2024., ELI: </w:t>
      </w:r>
      <w:hyperlink r:id="rId1" w:tgtFrame="_blank" w:tooltip="ELI URI za pristup dokumentu." w:history="1">
        <w:r>
          <w:t>http://data.europa.eu/eli/reg/2024/795/oj</w:t>
        </w:r>
      </w:hyperlink>
      <w:r>
        <w:t>).</w:t>
      </w:r>
    </w:p>
  </w:footnote>
  <w:footnote w:id="6">
    <w:p w:rsidR="003C07A7" w:rsidRPr="0070434C" w:rsidRDefault="003C07A7" w:rsidP="003C07A7">
      <w:pPr>
        <w:pStyle w:val="FootnoteText"/>
      </w:pPr>
      <w:r>
        <w:rPr>
          <w:rStyle w:val="FootnoteReference"/>
        </w:rPr>
        <w:footnoteRef/>
      </w:r>
      <w:r>
        <w:tab/>
        <w:t>Uredba (EU) 2021/695 Europskog parlamenta i Vijeća od 28. travnja 2021. o uspostavi Okvirnog programa za istraživanja i inovacije Obzor Europa, o utvrđivanju pravila za sudjelovanje i širenje rezultata te o stavljanju izvan snage uredbi (EU) br. 1290/2013 i (EU) br. 1291/2013 (SL L 170, 12.5.2021., str. 1., ELI: </w:t>
      </w:r>
      <w:hyperlink r:id="rId2" w:tooltip="ELI URI za pristup dokumentu." w:history="1">
        <w:r>
          <w:rPr>
            <w:rStyle w:val="Hyperlink"/>
          </w:rPr>
          <w:t>http://data.europa.eu/eli/reg/2021/695/2024-03-01</w:t>
        </w:r>
      </w:hyperlink>
      <w:r>
        <w:t>)</w:t>
      </w:r>
    </w:p>
  </w:footnote>
  <w:footnote w:id="7">
    <w:p w:rsidR="003C07A7" w:rsidRPr="0070434C" w:rsidRDefault="003C07A7">
      <w:pPr>
        <w:pStyle w:val="FootnoteText"/>
      </w:pPr>
      <w:r>
        <w:rPr>
          <w:rStyle w:val="FootnoteReference"/>
        </w:rPr>
        <w:footnoteRef/>
      </w:r>
      <w:r>
        <w:tab/>
        <w:t>Uredba (EU) 2021/697 Europskog parlamenta i Vijeća od 29. travnja 2021. o uspostavi Europskog fonda za obranu i stavljanju izvan snage Uredbe (EU) 2018/1092 (SL L 170, 12.5.2021., str. 149., ELI: </w:t>
      </w:r>
      <w:hyperlink r:id="rId3" w:tooltip="ELI URI za pristup dokumentu." w:history="1">
        <w:r>
          <w:rPr>
            <w:rStyle w:val="Hyperlink"/>
          </w:rPr>
          <w:t>http://data.europa.eu/eli/reg/2021/697/2024-03-01</w:t>
        </w:r>
      </w:hyperlink>
      <w:r>
        <w:t xml:space="preserve">). </w:t>
      </w:r>
    </w:p>
  </w:footnote>
  <w:footnote w:id="8">
    <w:p w:rsidR="003069FC" w:rsidRPr="0070434C" w:rsidRDefault="003069FC">
      <w:pPr>
        <w:pStyle w:val="FootnoteText"/>
      </w:pPr>
      <w:r>
        <w:rPr>
          <w:rStyle w:val="FootnoteReference"/>
        </w:rPr>
        <w:footnoteRef/>
      </w:r>
      <w:r>
        <w:tab/>
        <w:t>Uredba (EU) 2021/694 Europskog parlamenta i Vijeća od 29. travnja 2021. o uspostavi programa Digitalna Europa te o stavljanju izvan snage Odluke (EU) 2015/2240 (SL L 166, 11.5.2021., str. 1., ELI: </w:t>
      </w:r>
      <w:hyperlink r:id="rId4" w:tooltip="ELI URI za pristup dokumentu." w:history="1">
        <w:r>
          <w:rPr>
            <w:rStyle w:val="Hyperlink"/>
          </w:rPr>
          <w:t>http://data.europa.eu/eli/reg/2021/694/2023-09-21</w:t>
        </w:r>
      </w:hyperlink>
      <w:r>
        <w:t>).</w:t>
      </w:r>
    </w:p>
  </w:footnote>
  <w:footnote w:id="9">
    <w:p w:rsidR="003069FC" w:rsidRPr="0070434C" w:rsidRDefault="003069FC" w:rsidP="003069FC">
      <w:pPr>
        <w:pStyle w:val="FootnoteText"/>
      </w:pPr>
      <w:r>
        <w:rPr>
          <w:rStyle w:val="FootnoteReference"/>
        </w:rPr>
        <w:footnoteRef/>
      </w:r>
      <w:r>
        <w:tab/>
        <w:t>Uredba (EU) 2023/1525 Europskog parlamenta i Vijeća od 20. srpnja 2023. o podupiranju proizvodnje streljiva (ASAP) (SL L 185, 24.7.2023., str. 7., ELI: </w:t>
      </w:r>
      <w:hyperlink r:id="rId5" w:tooltip="ELI URI za pristup dokumentu." w:history="1">
        <w:r>
          <w:rPr>
            <w:rStyle w:val="Hyperlink"/>
          </w:rPr>
          <w:t>http://data.europa.eu/eli/reg/2023/1525/oj</w:t>
        </w:r>
      </w:hyperlink>
      <w:r>
        <w:t>).</w:t>
      </w:r>
    </w:p>
  </w:footnote>
  <w:footnote w:id="10">
    <w:p w:rsidR="003069FC" w:rsidRPr="0070434C" w:rsidRDefault="003069FC">
      <w:pPr>
        <w:pStyle w:val="FootnoteText"/>
      </w:pPr>
      <w:r>
        <w:rPr>
          <w:rStyle w:val="FootnoteReference"/>
        </w:rPr>
        <w:footnoteRef/>
      </w:r>
      <w:r>
        <w:tab/>
        <w:t>Uredba (EU) 2021/1153 Europskog parlamenta i Vijeća od 7. srpnja 2021. o uspostavi Instrumenta za povezivanje Europe i stavljanju izvan snage uredaba (EU) br. 1316/2013 i (EU) br. 283/2014 (SL L 249, 14.7.2021., str. 38., ELI: </w:t>
      </w:r>
      <w:hyperlink r:id="rId6" w:tooltip="ELI URI za pristup dokumentu." w:history="1">
        <w:r>
          <w:rPr>
            <w:rStyle w:val="Hyperlink"/>
          </w:rPr>
          <w:t>http://data.europa.eu/eli/reg/2021/1153/2024-07-18</w:t>
        </w:r>
      </w:hyperlink>
      <w:r>
        <w:t>).</w:t>
      </w:r>
    </w:p>
  </w:footnote>
  <w:footnote w:id="11">
    <w:p w:rsidR="003069FC" w:rsidRPr="0070434C" w:rsidRDefault="003069FC">
      <w:pPr>
        <w:pStyle w:val="FootnoteText"/>
      </w:pPr>
      <w:r>
        <w:rPr>
          <w:rStyle w:val="FootnoteReference"/>
        </w:rPr>
        <w:footnoteRef/>
      </w:r>
      <w:r>
        <w:tab/>
        <w:t>Uredba (EU) 2021/1058 Europskog parlamenta i Vijeća od 24. lipnja 2021. o Europskom fondu za regionalni razvoj i Kohezijskom fondu (SL L 231, 30.6.2021., str. 60., ELI: </w:t>
      </w:r>
      <w:hyperlink r:id="rId7" w:tooltip="ELI URI za pristup dokumentu." w:history="1">
        <w:r>
          <w:rPr>
            <w:rStyle w:val="Hyperlink"/>
          </w:rPr>
          <w:t>http://data.europa.eu/eli/reg/2021/1058/2024-12-24</w:t>
        </w:r>
      </w:hyperlink>
      <w:r>
        <w:t xml:space="preserve">). </w:t>
      </w:r>
    </w:p>
  </w:footnote>
  <w:footnote w:id="12">
    <w:p w:rsidR="00717136" w:rsidRDefault="00717136" w:rsidP="00717136">
      <w:pPr>
        <w:pStyle w:val="FootnoteText"/>
      </w:pPr>
      <w:r>
        <w:rPr>
          <w:rStyle w:val="FootnoteReference"/>
        </w:rPr>
        <w:footnoteRef/>
      </w:r>
      <w:r>
        <w:tab/>
        <w:t>U smislu članka 58. stavka 2. točke (a) ili (b) Financijske uredbe.</w:t>
      </w:r>
    </w:p>
  </w:footnote>
  <w:footnote w:id="13">
    <w:p w:rsidR="00717136" w:rsidRDefault="00717136" w:rsidP="00717136">
      <w:pPr>
        <w:pStyle w:val="FootnoteText"/>
        <w:jc w:val="left"/>
        <w:rPr>
          <w:szCs w:val="24"/>
        </w:rPr>
      </w:pPr>
      <w:r>
        <w:rPr>
          <w:rStyle w:val="FootnoteReference"/>
        </w:rPr>
        <w:footnoteRef/>
      </w:r>
      <w:r>
        <w:tab/>
        <w:t xml:space="preserve">Informacije o načinima izvršenja proračuna i upućivanja na Financijsku uredbu dostupni su na stranicama BUDGpedia: </w:t>
      </w:r>
      <w:hyperlink r:id="rId8" w:history="1">
        <w:r>
          <w:rPr>
            <w:rStyle w:val="Hyperlink"/>
          </w:rPr>
          <w:t>https://myintracomm.ec.europa.eu/corp/budget/financial-rules/budget-implementation/Pages/implementation-methods.aspx</w:t>
        </w:r>
      </w:hyperlink>
      <w:r>
        <w:rPr>
          <w:rStyle w:val="Hyperlink"/>
        </w:rPr>
        <w:t>.</w:t>
      </w:r>
    </w:p>
  </w:footnote>
  <w:footnote w:id="14">
    <w:p w:rsidR="00717136" w:rsidRDefault="00717136" w:rsidP="00717136">
      <w:pPr>
        <w:pStyle w:val="FootnoteText"/>
        <w:rPr>
          <w:szCs w:val="24"/>
        </w:rPr>
      </w:pPr>
      <w:r>
        <w:rPr>
          <w:rStyle w:val="FootnoteReference"/>
        </w:rPr>
        <w:footnoteRef/>
      </w:r>
      <w:r>
        <w:tab/>
        <w:t>Dif. = diferencirana odobrena sredstva; nedif. = nediferencirana odobrena sredstva.</w:t>
      </w:r>
    </w:p>
  </w:footnote>
  <w:footnote w:id="15">
    <w:p w:rsidR="00717136" w:rsidRDefault="00717136" w:rsidP="00717136">
      <w:pPr>
        <w:pStyle w:val="FootnoteText"/>
        <w:rPr>
          <w:szCs w:val="24"/>
        </w:rPr>
      </w:pPr>
      <w:r>
        <w:rPr>
          <w:rStyle w:val="FootnoteReference"/>
        </w:rPr>
        <w:footnoteRef/>
      </w:r>
      <w:r>
        <w:tab/>
        <w:t xml:space="preserve">EFTA: Europsko udruženje slobodne trgovine. </w:t>
      </w:r>
    </w:p>
  </w:footnote>
  <w:footnote w:id="16">
    <w:p w:rsidR="00717136" w:rsidRDefault="00717136" w:rsidP="00717136">
      <w:pPr>
        <w:pStyle w:val="FootnoteText"/>
        <w:rPr>
          <w:szCs w:val="24"/>
        </w:rPr>
      </w:pPr>
      <w:r>
        <w:rPr>
          <w:rStyle w:val="FootnoteReference"/>
        </w:rPr>
        <w:footnoteRef/>
      </w:r>
      <w:r>
        <w:tab/>
        <w:t>Zemlje kandidatkinje i, ako je primjenjivo, potencijalni kandidati sa zapadnog Balkana.</w:t>
      </w:r>
    </w:p>
  </w:footnote>
  <w:footnote w:id="17">
    <w:p w:rsidR="00717136" w:rsidRDefault="00717136" w:rsidP="00717136">
      <w:pPr>
        <w:pStyle w:val="FootnoteText"/>
      </w:pPr>
      <w:r>
        <w:rPr>
          <w:rStyle w:val="FootnoteReference"/>
        </w:rPr>
        <w:footnoteRef/>
      </w:r>
      <w:r>
        <w:rPr>
          <w:sz w:val="18"/>
        </w:rPr>
        <w:tab/>
        <w:t xml:space="preserve">Tehnička i/ili administrativna pomoć i rashodi nisu detaljno navedeni, ali su uključeni u ukupne iznose navedene u operativnim linijama. Približno bi trebali odgovarati istim postocima u usporedbi s administrativnim linijama kao oni iz razdoblja od 2021. do 2024.   </w:t>
      </w:r>
    </w:p>
  </w:footnote>
  <w:footnote w:id="18">
    <w:p w:rsidR="00717136" w:rsidRPr="00C2043F" w:rsidRDefault="00717136" w:rsidP="00717136">
      <w:pPr>
        <w:pStyle w:val="FootnoteText"/>
      </w:pPr>
      <w:r>
        <w:rPr>
          <w:rStyle w:val="FootnoteReference"/>
        </w:rPr>
        <w:footnoteRef/>
      </w:r>
      <w:r>
        <w:tab/>
      </w:r>
      <w:r>
        <w:rPr>
          <w:sz w:val="18"/>
        </w:rPr>
        <w:t>Tehnička i/ili administrativna pomoć i rashodi za potporu provedbi programa i/ili djelovanja EU-a (prijašnje linije „BA”), neizravno istraživanje, izravno istraživanje.</w:t>
      </w:r>
    </w:p>
  </w:footnote>
  <w:footnote w:id="19">
    <w:p w:rsidR="00717136" w:rsidRPr="001004A6" w:rsidRDefault="00717136" w:rsidP="00717136">
      <w:pPr>
        <w:pStyle w:val="FootnoteText"/>
      </w:pPr>
      <w:r>
        <w:rPr>
          <w:rStyle w:val="FootnoteReference"/>
        </w:rPr>
        <w:footnoteRef/>
      </w:r>
      <w:r>
        <w:tab/>
      </w:r>
      <w:r>
        <w:rPr>
          <w:color w:val="374151"/>
          <w:sz w:val="18"/>
        </w:rPr>
        <w:t>Potrebna odobrena sredstva trebaju se odrediti na temelju podataka o godišnjim prosječnim troškovima dostupnih na odgovarajućoj stranici BUDGpedije</w:t>
      </w:r>
      <w:r>
        <w:rPr>
          <w:rFonts w:ascii="Segoe UI" w:hAnsi="Segoe UI"/>
          <w:color w:val="374151"/>
        </w:rPr>
        <w:t>.</w:t>
      </w:r>
    </w:p>
  </w:footnote>
  <w:footnote w:id="20">
    <w:p w:rsidR="00717136" w:rsidRPr="001004A6" w:rsidRDefault="00717136" w:rsidP="00717136">
      <w:pPr>
        <w:pStyle w:val="FootnoteText"/>
      </w:pPr>
      <w:r>
        <w:rPr>
          <w:rStyle w:val="FootnoteReference"/>
        </w:rPr>
        <w:footnoteRef/>
      </w:r>
      <w:r>
        <w:tab/>
      </w:r>
      <w:r>
        <w:rPr>
          <w:color w:val="374151"/>
          <w:sz w:val="18"/>
        </w:rPr>
        <w:t>Potrebna odobrena sredstva trebaju se odrediti na temelju podataka o godišnjim prosječnim troškovima dostupnih na odgovarajućoj stranici BUDGpedije.</w:t>
      </w:r>
    </w:p>
  </w:footnote>
  <w:footnote w:id="21">
    <w:p w:rsidR="00717136" w:rsidRDefault="00717136" w:rsidP="00717136">
      <w:pPr>
        <w:pStyle w:val="FootnoteText"/>
        <w:rPr>
          <w:szCs w:val="24"/>
        </w:rPr>
      </w:pPr>
      <w:r>
        <w:rPr>
          <w:rStyle w:val="FootnoteReference"/>
        </w:rPr>
        <w:footnoteRef/>
      </w:r>
      <w:r>
        <w:tab/>
        <w:t>Kad je riječ o tradicionalnim vlastitim sredstvima (carine, pristojbe na šećer), moraju se navesti neto iznosi, to jest bruto iznosi nakon odbitka od 20 % za troškove 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Default="005F7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Default="005F779D" w:rsidP="005F7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9D" w:rsidRPr="005F779D" w:rsidRDefault="005F779D" w:rsidP="005F7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num>
  <w:num w:numId="26">
    <w:abstractNumId w:val="12"/>
    <w:lvlOverride w:ilvl="0">
      <w:startOverride w:val="1"/>
    </w:lvlOverride>
  </w:num>
  <w:num w:numId="27">
    <w:abstractNumId w:val="15"/>
    <w:lvlOverride w:ilvl="0">
      <w:startOverride w:val="1"/>
    </w:lvlOverride>
  </w:num>
  <w:num w:numId="28">
    <w:abstractNumId w:val="23"/>
    <w:lvlOverride w:ilvl="0">
      <w:startOverride w:val="1"/>
    </w:lvlOverride>
  </w:num>
  <w:num w:numId="29">
    <w:abstractNumId w:val="23"/>
  </w:num>
  <w:num w:numId="30">
    <w:abstractNumId w:val="12"/>
  </w:num>
  <w:num w:numId="31">
    <w:abstractNumId w:val="26"/>
  </w:num>
  <w:num w:numId="32">
    <w:abstractNumId w:val="6"/>
  </w:num>
  <w:num w:numId="33">
    <w:abstractNumId w:val="13"/>
  </w:num>
  <w:num w:numId="34">
    <w:abstractNumId w:val="14"/>
  </w:num>
  <w:num w:numId="35">
    <w:abstractNumId w:val="4"/>
  </w:num>
  <w:num w:numId="36">
    <w:abstractNumId w:val="25"/>
  </w:num>
  <w:num w:numId="37">
    <w:abstractNumId w:val="3"/>
  </w:num>
  <w:num w:numId="38">
    <w:abstractNumId w:val="15"/>
  </w:num>
  <w:num w:numId="39">
    <w:abstractNumId w:val="21"/>
  </w:num>
  <w:num w:numId="40">
    <w:abstractNumId w:val="22"/>
  </w:num>
  <w:num w:numId="41">
    <w:abstractNumId w:val="5"/>
  </w:num>
  <w:num w:numId="42">
    <w:abstractNumId w:val="19"/>
  </w:num>
  <w:num w:numId="4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03 07:43: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AB995C2-4CFA-489B-B93A-5334F2735100"/>
    <w:docVar w:name="LW_COVERPAGE_TYPE" w:val="1"/>
    <w:docVar w:name="LW_CreatedUtc" w:val="2025-04-08T13:13:55.1493568Z"/>
    <w:docVar w:name="LW_CROSSREFERENCE" w:val="&lt;UNUSED&gt;"/>
    <w:docVar w:name="LW_DocType" w:val="COM"/>
    <w:docVar w:name="LW_EMISSION" w:val="22.4.2025."/>
    <w:docVar w:name="LW_EMISSION_ISODATE" w:val="2025-04-22"/>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zna\u269?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03"/>
    <w:docVar w:name="LW_REF.II.NEW.CP_YEAR" w:val="2025"/>
    <w:docVar w:name="LW_REF.INST.NEW" w:val="COM"/>
    <w:docVar w:name="LW_REF.INST.NEW_ADOPTED" w:val="final"/>
    <w:docVar w:name="LW_REF.INST.NEW_TEXT" w:val="(2025) 18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aba (EU) 2021/694, (EU) 2021/695, (EU) 2021/697, (EU) 2021/1153, (EU) 2023/1525 i (EU) 2024/795 u pogledu poticanja ulaganja u obranu u okviru prora\u269?una EU-a radi provedbe plana ReArm Europe"/>
    <w:docVar w:name="LW_TYPE.DOC.CP" w:val="UREDBE EUROPSKOG PARLAMENTA I VIJE\u262?A"/>
    <w:docVar w:name="LwApiVersions" w:val="LW4CoDe 1.24.5.0; LW 9.0, Build 20240221"/>
  </w:docVars>
  <w:rsids>
    <w:rsidRoot w:val="003F4F48"/>
    <w:rsid w:val="00001D96"/>
    <w:rsid w:val="00003239"/>
    <w:rsid w:val="000047D2"/>
    <w:rsid w:val="00004D1E"/>
    <w:rsid w:val="00005E18"/>
    <w:rsid w:val="00006EC1"/>
    <w:rsid w:val="00012564"/>
    <w:rsid w:val="0002010E"/>
    <w:rsid w:val="00024930"/>
    <w:rsid w:val="00024956"/>
    <w:rsid w:val="0003195F"/>
    <w:rsid w:val="0003440C"/>
    <w:rsid w:val="000379B9"/>
    <w:rsid w:val="00041EAE"/>
    <w:rsid w:val="00047793"/>
    <w:rsid w:val="0006251B"/>
    <w:rsid w:val="000668C0"/>
    <w:rsid w:val="00066B55"/>
    <w:rsid w:val="00066E0B"/>
    <w:rsid w:val="00074618"/>
    <w:rsid w:val="00074D8A"/>
    <w:rsid w:val="00081112"/>
    <w:rsid w:val="00081755"/>
    <w:rsid w:val="000820E2"/>
    <w:rsid w:val="000838CC"/>
    <w:rsid w:val="00094B7B"/>
    <w:rsid w:val="000B3BA6"/>
    <w:rsid w:val="000B4446"/>
    <w:rsid w:val="000C0A90"/>
    <w:rsid w:val="000C2D73"/>
    <w:rsid w:val="000C3AF8"/>
    <w:rsid w:val="000C70FF"/>
    <w:rsid w:val="000C76AE"/>
    <w:rsid w:val="000C7E85"/>
    <w:rsid w:val="000D3828"/>
    <w:rsid w:val="000D4992"/>
    <w:rsid w:val="000D7756"/>
    <w:rsid w:val="000E0345"/>
    <w:rsid w:val="000F281C"/>
    <w:rsid w:val="000F2A35"/>
    <w:rsid w:val="000F5283"/>
    <w:rsid w:val="000F55F4"/>
    <w:rsid w:val="00102202"/>
    <w:rsid w:val="00102EAB"/>
    <w:rsid w:val="001065F5"/>
    <w:rsid w:val="001122A1"/>
    <w:rsid w:val="00114537"/>
    <w:rsid w:val="001238EF"/>
    <w:rsid w:val="001243C6"/>
    <w:rsid w:val="0013291C"/>
    <w:rsid w:val="001329B9"/>
    <w:rsid w:val="00140E38"/>
    <w:rsid w:val="00144EA9"/>
    <w:rsid w:val="00145041"/>
    <w:rsid w:val="001560D3"/>
    <w:rsid w:val="00157154"/>
    <w:rsid w:val="001644A7"/>
    <w:rsid w:val="00166C82"/>
    <w:rsid w:val="0016BA87"/>
    <w:rsid w:val="0017344E"/>
    <w:rsid w:val="00174B91"/>
    <w:rsid w:val="00180560"/>
    <w:rsid w:val="00182E11"/>
    <w:rsid w:val="0018623A"/>
    <w:rsid w:val="00190043"/>
    <w:rsid w:val="00191851"/>
    <w:rsid w:val="00191B98"/>
    <w:rsid w:val="00196E39"/>
    <w:rsid w:val="00197613"/>
    <w:rsid w:val="001A2185"/>
    <w:rsid w:val="001A2F1C"/>
    <w:rsid w:val="001A5938"/>
    <w:rsid w:val="001A6D55"/>
    <w:rsid w:val="001B3A1E"/>
    <w:rsid w:val="001B5B3D"/>
    <w:rsid w:val="001B7124"/>
    <w:rsid w:val="001B7452"/>
    <w:rsid w:val="001C3C29"/>
    <w:rsid w:val="001D365D"/>
    <w:rsid w:val="001D4B72"/>
    <w:rsid w:val="001E0A0F"/>
    <w:rsid w:val="001E57C0"/>
    <w:rsid w:val="001F11DF"/>
    <w:rsid w:val="001F40A7"/>
    <w:rsid w:val="001F707F"/>
    <w:rsid w:val="00204B9C"/>
    <w:rsid w:val="0021056E"/>
    <w:rsid w:val="00210DAC"/>
    <w:rsid w:val="00211287"/>
    <w:rsid w:val="0021388D"/>
    <w:rsid w:val="00217F9C"/>
    <w:rsid w:val="00224854"/>
    <w:rsid w:val="00232DC8"/>
    <w:rsid w:val="00233DC7"/>
    <w:rsid w:val="00234B3D"/>
    <w:rsid w:val="002365C7"/>
    <w:rsid w:val="002439DF"/>
    <w:rsid w:val="00245904"/>
    <w:rsid w:val="00247779"/>
    <w:rsid w:val="00250C44"/>
    <w:rsid w:val="00260BCD"/>
    <w:rsid w:val="00276DFD"/>
    <w:rsid w:val="0027768F"/>
    <w:rsid w:val="002800BA"/>
    <w:rsid w:val="00281347"/>
    <w:rsid w:val="00282922"/>
    <w:rsid w:val="00282999"/>
    <w:rsid w:val="00282AE6"/>
    <w:rsid w:val="0028528E"/>
    <w:rsid w:val="00285BEE"/>
    <w:rsid w:val="00293D5F"/>
    <w:rsid w:val="00294A1D"/>
    <w:rsid w:val="0029533F"/>
    <w:rsid w:val="00297E63"/>
    <w:rsid w:val="002A2A61"/>
    <w:rsid w:val="002A7DA4"/>
    <w:rsid w:val="002B0DBC"/>
    <w:rsid w:val="002B2B5F"/>
    <w:rsid w:val="002B30AF"/>
    <w:rsid w:val="002B4D79"/>
    <w:rsid w:val="002C0A30"/>
    <w:rsid w:val="002D11FD"/>
    <w:rsid w:val="002D3D2A"/>
    <w:rsid w:val="002E02E0"/>
    <w:rsid w:val="002E1A7A"/>
    <w:rsid w:val="002E21EA"/>
    <w:rsid w:val="002E30F1"/>
    <w:rsid w:val="002F5C8E"/>
    <w:rsid w:val="00301AA3"/>
    <w:rsid w:val="003069FC"/>
    <w:rsid w:val="003115A4"/>
    <w:rsid w:val="003145A7"/>
    <w:rsid w:val="00314CE0"/>
    <w:rsid w:val="003204E9"/>
    <w:rsid w:val="00320F89"/>
    <w:rsid w:val="00321029"/>
    <w:rsid w:val="00322D11"/>
    <w:rsid w:val="00327CFD"/>
    <w:rsid w:val="003319E5"/>
    <w:rsid w:val="0033204F"/>
    <w:rsid w:val="00332FAC"/>
    <w:rsid w:val="0033311D"/>
    <w:rsid w:val="0033344A"/>
    <w:rsid w:val="00334BF3"/>
    <w:rsid w:val="003369E9"/>
    <w:rsid w:val="00341B0F"/>
    <w:rsid w:val="003461A1"/>
    <w:rsid w:val="003476CC"/>
    <w:rsid w:val="0034775C"/>
    <w:rsid w:val="00350BFB"/>
    <w:rsid w:val="00351CE4"/>
    <w:rsid w:val="00353B44"/>
    <w:rsid w:val="003573CF"/>
    <w:rsid w:val="00372433"/>
    <w:rsid w:val="00377775"/>
    <w:rsid w:val="00384703"/>
    <w:rsid w:val="00385CCC"/>
    <w:rsid w:val="00390D73"/>
    <w:rsid w:val="00394EE3"/>
    <w:rsid w:val="003964DF"/>
    <w:rsid w:val="00397301"/>
    <w:rsid w:val="003A0534"/>
    <w:rsid w:val="003A45AD"/>
    <w:rsid w:val="003A6518"/>
    <w:rsid w:val="003B0BAE"/>
    <w:rsid w:val="003B0EB8"/>
    <w:rsid w:val="003B137D"/>
    <w:rsid w:val="003B49AC"/>
    <w:rsid w:val="003B717F"/>
    <w:rsid w:val="003C07A7"/>
    <w:rsid w:val="003C143E"/>
    <w:rsid w:val="003C1CB5"/>
    <w:rsid w:val="003C2985"/>
    <w:rsid w:val="003C72E4"/>
    <w:rsid w:val="003C7B74"/>
    <w:rsid w:val="003D01DC"/>
    <w:rsid w:val="003D1C02"/>
    <w:rsid w:val="003D2565"/>
    <w:rsid w:val="003E15BB"/>
    <w:rsid w:val="003F27DB"/>
    <w:rsid w:val="003F3E44"/>
    <w:rsid w:val="003F4F48"/>
    <w:rsid w:val="003F6F7D"/>
    <w:rsid w:val="004031BD"/>
    <w:rsid w:val="00404303"/>
    <w:rsid w:val="00406F9D"/>
    <w:rsid w:val="004121E9"/>
    <w:rsid w:val="004205EA"/>
    <w:rsid w:val="00421253"/>
    <w:rsid w:val="004227A6"/>
    <w:rsid w:val="00425D42"/>
    <w:rsid w:val="0042648E"/>
    <w:rsid w:val="00427950"/>
    <w:rsid w:val="00427B25"/>
    <w:rsid w:val="00432DCC"/>
    <w:rsid w:val="004332EA"/>
    <w:rsid w:val="00436EEA"/>
    <w:rsid w:val="004426EB"/>
    <w:rsid w:val="00442A6D"/>
    <w:rsid w:val="00444B2A"/>
    <w:rsid w:val="00450764"/>
    <w:rsid w:val="0045559C"/>
    <w:rsid w:val="004624CC"/>
    <w:rsid w:val="00464ADD"/>
    <w:rsid w:val="0047027B"/>
    <w:rsid w:val="004731E1"/>
    <w:rsid w:val="00477268"/>
    <w:rsid w:val="00477D20"/>
    <w:rsid w:val="00481F42"/>
    <w:rsid w:val="00482A23"/>
    <w:rsid w:val="00482E62"/>
    <w:rsid w:val="004873DF"/>
    <w:rsid w:val="00491F85"/>
    <w:rsid w:val="004921AF"/>
    <w:rsid w:val="004928C2"/>
    <w:rsid w:val="004936D2"/>
    <w:rsid w:val="00493899"/>
    <w:rsid w:val="00496AAC"/>
    <w:rsid w:val="004977C6"/>
    <w:rsid w:val="004A07C0"/>
    <w:rsid w:val="004A0F10"/>
    <w:rsid w:val="004A0F15"/>
    <w:rsid w:val="004A1603"/>
    <w:rsid w:val="004A2501"/>
    <w:rsid w:val="004A3E75"/>
    <w:rsid w:val="004A7371"/>
    <w:rsid w:val="004A7491"/>
    <w:rsid w:val="004A7B03"/>
    <w:rsid w:val="004B045A"/>
    <w:rsid w:val="004B1F7F"/>
    <w:rsid w:val="004B71CF"/>
    <w:rsid w:val="004C06C0"/>
    <w:rsid w:val="004C2CF3"/>
    <w:rsid w:val="004C35D3"/>
    <w:rsid w:val="004C387D"/>
    <w:rsid w:val="004C549F"/>
    <w:rsid w:val="004C563B"/>
    <w:rsid w:val="004C683A"/>
    <w:rsid w:val="004C75CA"/>
    <w:rsid w:val="004D1C5E"/>
    <w:rsid w:val="004D23E5"/>
    <w:rsid w:val="004D2473"/>
    <w:rsid w:val="004D5E28"/>
    <w:rsid w:val="004E29B8"/>
    <w:rsid w:val="004E36A0"/>
    <w:rsid w:val="004E3829"/>
    <w:rsid w:val="004E3EB0"/>
    <w:rsid w:val="004E4EE3"/>
    <w:rsid w:val="004E6D19"/>
    <w:rsid w:val="004E6FC2"/>
    <w:rsid w:val="004F3F34"/>
    <w:rsid w:val="004F58DA"/>
    <w:rsid w:val="004F5A82"/>
    <w:rsid w:val="004F679B"/>
    <w:rsid w:val="004F6A5C"/>
    <w:rsid w:val="00501D5C"/>
    <w:rsid w:val="00504BEA"/>
    <w:rsid w:val="00507BEE"/>
    <w:rsid w:val="00507D32"/>
    <w:rsid w:val="00512A5E"/>
    <w:rsid w:val="00517C91"/>
    <w:rsid w:val="00520571"/>
    <w:rsid w:val="00523867"/>
    <w:rsid w:val="00524BDC"/>
    <w:rsid w:val="0052634A"/>
    <w:rsid w:val="00531D5B"/>
    <w:rsid w:val="00532E19"/>
    <w:rsid w:val="00536190"/>
    <w:rsid w:val="00542DA5"/>
    <w:rsid w:val="00543A58"/>
    <w:rsid w:val="0054557A"/>
    <w:rsid w:val="00546023"/>
    <w:rsid w:val="00546FE1"/>
    <w:rsid w:val="0055268F"/>
    <w:rsid w:val="00554670"/>
    <w:rsid w:val="005552DF"/>
    <w:rsid w:val="00562AC0"/>
    <w:rsid w:val="00563527"/>
    <w:rsid w:val="005660E1"/>
    <w:rsid w:val="00567A7A"/>
    <w:rsid w:val="00570823"/>
    <w:rsid w:val="005755C2"/>
    <w:rsid w:val="0057608D"/>
    <w:rsid w:val="00576D5D"/>
    <w:rsid w:val="005802D6"/>
    <w:rsid w:val="0058092E"/>
    <w:rsid w:val="005858BA"/>
    <w:rsid w:val="00585B35"/>
    <w:rsid w:val="00585E20"/>
    <w:rsid w:val="005902BE"/>
    <w:rsid w:val="00594762"/>
    <w:rsid w:val="005952BE"/>
    <w:rsid w:val="005A2A57"/>
    <w:rsid w:val="005A3F1A"/>
    <w:rsid w:val="005A7494"/>
    <w:rsid w:val="005A781C"/>
    <w:rsid w:val="005B0803"/>
    <w:rsid w:val="005B0D9D"/>
    <w:rsid w:val="005B1B4F"/>
    <w:rsid w:val="005B1EB6"/>
    <w:rsid w:val="005B2842"/>
    <w:rsid w:val="005B307B"/>
    <w:rsid w:val="005B463F"/>
    <w:rsid w:val="005B4AB2"/>
    <w:rsid w:val="005C00EF"/>
    <w:rsid w:val="005C18CE"/>
    <w:rsid w:val="005C1C9E"/>
    <w:rsid w:val="005C4430"/>
    <w:rsid w:val="005D1A41"/>
    <w:rsid w:val="005D4BEF"/>
    <w:rsid w:val="005D6EFA"/>
    <w:rsid w:val="005E00CC"/>
    <w:rsid w:val="005E00F1"/>
    <w:rsid w:val="005E014C"/>
    <w:rsid w:val="005E081E"/>
    <w:rsid w:val="005E12B2"/>
    <w:rsid w:val="005E257D"/>
    <w:rsid w:val="005E43FE"/>
    <w:rsid w:val="005F779D"/>
    <w:rsid w:val="005F7E13"/>
    <w:rsid w:val="00600A2B"/>
    <w:rsid w:val="00604B31"/>
    <w:rsid w:val="00606443"/>
    <w:rsid w:val="00606D88"/>
    <w:rsid w:val="00613CEC"/>
    <w:rsid w:val="006162D3"/>
    <w:rsid w:val="0062204E"/>
    <w:rsid w:val="006228BB"/>
    <w:rsid w:val="006261A9"/>
    <w:rsid w:val="006377A1"/>
    <w:rsid w:val="006463C7"/>
    <w:rsid w:val="00667760"/>
    <w:rsid w:val="006740FC"/>
    <w:rsid w:val="00677C5A"/>
    <w:rsid w:val="00680E2B"/>
    <w:rsid w:val="00681EEB"/>
    <w:rsid w:val="00690BD0"/>
    <w:rsid w:val="006926C6"/>
    <w:rsid w:val="00694040"/>
    <w:rsid w:val="0069432A"/>
    <w:rsid w:val="006A1318"/>
    <w:rsid w:val="006A14B1"/>
    <w:rsid w:val="006A319F"/>
    <w:rsid w:val="006A3370"/>
    <w:rsid w:val="006A6295"/>
    <w:rsid w:val="006A7C83"/>
    <w:rsid w:val="006A7DF1"/>
    <w:rsid w:val="006B1227"/>
    <w:rsid w:val="006B147B"/>
    <w:rsid w:val="006B27C2"/>
    <w:rsid w:val="006C0B69"/>
    <w:rsid w:val="006C525F"/>
    <w:rsid w:val="006C5CD0"/>
    <w:rsid w:val="006D1026"/>
    <w:rsid w:val="006D1F2A"/>
    <w:rsid w:val="006D2553"/>
    <w:rsid w:val="006D35F9"/>
    <w:rsid w:val="006D67A6"/>
    <w:rsid w:val="006D7A9C"/>
    <w:rsid w:val="006E0A9A"/>
    <w:rsid w:val="006E0C59"/>
    <w:rsid w:val="006E799C"/>
    <w:rsid w:val="006F1098"/>
    <w:rsid w:val="006F7386"/>
    <w:rsid w:val="007000CF"/>
    <w:rsid w:val="00701E52"/>
    <w:rsid w:val="00702A51"/>
    <w:rsid w:val="0070434C"/>
    <w:rsid w:val="007059DF"/>
    <w:rsid w:val="0071004E"/>
    <w:rsid w:val="00711F27"/>
    <w:rsid w:val="00714FDC"/>
    <w:rsid w:val="0071641D"/>
    <w:rsid w:val="00717136"/>
    <w:rsid w:val="007228A5"/>
    <w:rsid w:val="00733321"/>
    <w:rsid w:val="00740FEE"/>
    <w:rsid w:val="00741379"/>
    <w:rsid w:val="00742465"/>
    <w:rsid w:val="00745DC2"/>
    <w:rsid w:val="0075243B"/>
    <w:rsid w:val="00752F6B"/>
    <w:rsid w:val="00772294"/>
    <w:rsid w:val="00773331"/>
    <w:rsid w:val="007760F0"/>
    <w:rsid w:val="007761F9"/>
    <w:rsid w:val="00781C05"/>
    <w:rsid w:val="00782684"/>
    <w:rsid w:val="00786811"/>
    <w:rsid w:val="007877BC"/>
    <w:rsid w:val="007912CB"/>
    <w:rsid w:val="007915FE"/>
    <w:rsid w:val="007932EF"/>
    <w:rsid w:val="00793941"/>
    <w:rsid w:val="007944E9"/>
    <w:rsid w:val="007B58A4"/>
    <w:rsid w:val="007B67E0"/>
    <w:rsid w:val="007C005E"/>
    <w:rsid w:val="007C266D"/>
    <w:rsid w:val="007C5559"/>
    <w:rsid w:val="007C714D"/>
    <w:rsid w:val="007D0708"/>
    <w:rsid w:val="007D2B74"/>
    <w:rsid w:val="007D4B5F"/>
    <w:rsid w:val="007D514B"/>
    <w:rsid w:val="007D6F34"/>
    <w:rsid w:val="007D7008"/>
    <w:rsid w:val="007E05B0"/>
    <w:rsid w:val="007E42FC"/>
    <w:rsid w:val="007E58CC"/>
    <w:rsid w:val="007E6A66"/>
    <w:rsid w:val="007F3C0B"/>
    <w:rsid w:val="007F3F8B"/>
    <w:rsid w:val="007F4C8E"/>
    <w:rsid w:val="007F5421"/>
    <w:rsid w:val="007F66CF"/>
    <w:rsid w:val="007F6C5D"/>
    <w:rsid w:val="007F7759"/>
    <w:rsid w:val="0080001C"/>
    <w:rsid w:val="00816EE8"/>
    <w:rsid w:val="0081748D"/>
    <w:rsid w:val="00821BED"/>
    <w:rsid w:val="008229A4"/>
    <w:rsid w:val="00824452"/>
    <w:rsid w:val="008252E9"/>
    <w:rsid w:val="00844E93"/>
    <w:rsid w:val="00852741"/>
    <w:rsid w:val="008560F3"/>
    <w:rsid w:val="0085696E"/>
    <w:rsid w:val="0086134A"/>
    <w:rsid w:val="008632F7"/>
    <w:rsid w:val="008656AC"/>
    <w:rsid w:val="0086590B"/>
    <w:rsid w:val="008664E9"/>
    <w:rsid w:val="00871F5A"/>
    <w:rsid w:val="00871F8E"/>
    <w:rsid w:val="00874D22"/>
    <w:rsid w:val="0087614C"/>
    <w:rsid w:val="008771F0"/>
    <w:rsid w:val="00884319"/>
    <w:rsid w:val="00884378"/>
    <w:rsid w:val="008867DE"/>
    <w:rsid w:val="008937D5"/>
    <w:rsid w:val="008942DD"/>
    <w:rsid w:val="008A2914"/>
    <w:rsid w:val="008A48A3"/>
    <w:rsid w:val="008A4E4E"/>
    <w:rsid w:val="008B02FA"/>
    <w:rsid w:val="008B0BE3"/>
    <w:rsid w:val="008B1E68"/>
    <w:rsid w:val="008B2896"/>
    <w:rsid w:val="008B640C"/>
    <w:rsid w:val="008B71D6"/>
    <w:rsid w:val="008C2E98"/>
    <w:rsid w:val="008C7A3F"/>
    <w:rsid w:val="008D1975"/>
    <w:rsid w:val="008D2837"/>
    <w:rsid w:val="008D3683"/>
    <w:rsid w:val="008D6A5C"/>
    <w:rsid w:val="008E1B22"/>
    <w:rsid w:val="008E4D8E"/>
    <w:rsid w:val="008E6045"/>
    <w:rsid w:val="008F2AD8"/>
    <w:rsid w:val="008F3413"/>
    <w:rsid w:val="008F6D82"/>
    <w:rsid w:val="008F70FC"/>
    <w:rsid w:val="00911462"/>
    <w:rsid w:val="00911E58"/>
    <w:rsid w:val="009121B8"/>
    <w:rsid w:val="00912F7B"/>
    <w:rsid w:val="009143E6"/>
    <w:rsid w:val="00915988"/>
    <w:rsid w:val="0092021B"/>
    <w:rsid w:val="009202FE"/>
    <w:rsid w:val="009219B0"/>
    <w:rsid w:val="0092269F"/>
    <w:rsid w:val="0093660F"/>
    <w:rsid w:val="00940294"/>
    <w:rsid w:val="0094132E"/>
    <w:rsid w:val="009468B2"/>
    <w:rsid w:val="00950B43"/>
    <w:rsid w:val="00952A1F"/>
    <w:rsid w:val="00960163"/>
    <w:rsid w:val="00960E67"/>
    <w:rsid w:val="00961B90"/>
    <w:rsid w:val="009634BC"/>
    <w:rsid w:val="00964EFE"/>
    <w:rsid w:val="009658A2"/>
    <w:rsid w:val="00975D4D"/>
    <w:rsid w:val="00976433"/>
    <w:rsid w:val="009765AF"/>
    <w:rsid w:val="00980558"/>
    <w:rsid w:val="009848FE"/>
    <w:rsid w:val="00984954"/>
    <w:rsid w:val="0099360F"/>
    <w:rsid w:val="00995940"/>
    <w:rsid w:val="009A04B3"/>
    <w:rsid w:val="009A1D67"/>
    <w:rsid w:val="009A220C"/>
    <w:rsid w:val="009A2F2F"/>
    <w:rsid w:val="009A3CB2"/>
    <w:rsid w:val="009A4C4B"/>
    <w:rsid w:val="009B229B"/>
    <w:rsid w:val="009B5E03"/>
    <w:rsid w:val="009B671C"/>
    <w:rsid w:val="009C1585"/>
    <w:rsid w:val="009D0C29"/>
    <w:rsid w:val="009D5E80"/>
    <w:rsid w:val="009D6901"/>
    <w:rsid w:val="009D7D1D"/>
    <w:rsid w:val="009E7D76"/>
    <w:rsid w:val="009E7E3B"/>
    <w:rsid w:val="009F0131"/>
    <w:rsid w:val="009F157B"/>
    <w:rsid w:val="009F2BB4"/>
    <w:rsid w:val="009F7726"/>
    <w:rsid w:val="00A005D4"/>
    <w:rsid w:val="00A05260"/>
    <w:rsid w:val="00A07C76"/>
    <w:rsid w:val="00A1087F"/>
    <w:rsid w:val="00A11FAA"/>
    <w:rsid w:val="00A120DA"/>
    <w:rsid w:val="00A14A88"/>
    <w:rsid w:val="00A24742"/>
    <w:rsid w:val="00A248B9"/>
    <w:rsid w:val="00A27E38"/>
    <w:rsid w:val="00A30D10"/>
    <w:rsid w:val="00A32305"/>
    <w:rsid w:val="00A32C34"/>
    <w:rsid w:val="00A3382F"/>
    <w:rsid w:val="00A3457E"/>
    <w:rsid w:val="00A374E6"/>
    <w:rsid w:val="00A444A7"/>
    <w:rsid w:val="00A46350"/>
    <w:rsid w:val="00A53BCE"/>
    <w:rsid w:val="00A53CB3"/>
    <w:rsid w:val="00A63579"/>
    <w:rsid w:val="00A65A6C"/>
    <w:rsid w:val="00A671A6"/>
    <w:rsid w:val="00A75FBF"/>
    <w:rsid w:val="00A76E76"/>
    <w:rsid w:val="00A96D75"/>
    <w:rsid w:val="00A97847"/>
    <w:rsid w:val="00AA383B"/>
    <w:rsid w:val="00AA3B93"/>
    <w:rsid w:val="00AA493B"/>
    <w:rsid w:val="00AA7F5A"/>
    <w:rsid w:val="00AB08C9"/>
    <w:rsid w:val="00AB321C"/>
    <w:rsid w:val="00AB51E3"/>
    <w:rsid w:val="00AC06FF"/>
    <w:rsid w:val="00AC4CC0"/>
    <w:rsid w:val="00AD40FF"/>
    <w:rsid w:val="00AD490B"/>
    <w:rsid w:val="00AD731B"/>
    <w:rsid w:val="00AE2053"/>
    <w:rsid w:val="00AF0D93"/>
    <w:rsid w:val="00AF2178"/>
    <w:rsid w:val="00B00B54"/>
    <w:rsid w:val="00B01B4B"/>
    <w:rsid w:val="00B0323C"/>
    <w:rsid w:val="00B05E17"/>
    <w:rsid w:val="00B1049B"/>
    <w:rsid w:val="00B13601"/>
    <w:rsid w:val="00B14260"/>
    <w:rsid w:val="00B15B24"/>
    <w:rsid w:val="00B2073D"/>
    <w:rsid w:val="00B23A29"/>
    <w:rsid w:val="00B24363"/>
    <w:rsid w:val="00B249E8"/>
    <w:rsid w:val="00B25098"/>
    <w:rsid w:val="00B324C0"/>
    <w:rsid w:val="00B32DAD"/>
    <w:rsid w:val="00B36354"/>
    <w:rsid w:val="00B37F34"/>
    <w:rsid w:val="00B40ACC"/>
    <w:rsid w:val="00B531FD"/>
    <w:rsid w:val="00B61186"/>
    <w:rsid w:val="00B64991"/>
    <w:rsid w:val="00B67C43"/>
    <w:rsid w:val="00B67E31"/>
    <w:rsid w:val="00B743C2"/>
    <w:rsid w:val="00B77B4C"/>
    <w:rsid w:val="00B9318F"/>
    <w:rsid w:val="00B93525"/>
    <w:rsid w:val="00B94715"/>
    <w:rsid w:val="00B967A3"/>
    <w:rsid w:val="00BA0C41"/>
    <w:rsid w:val="00BA15B2"/>
    <w:rsid w:val="00BB01DC"/>
    <w:rsid w:val="00BB0684"/>
    <w:rsid w:val="00BB30CD"/>
    <w:rsid w:val="00BC36E5"/>
    <w:rsid w:val="00BC415E"/>
    <w:rsid w:val="00BC7D4F"/>
    <w:rsid w:val="00BD6EF9"/>
    <w:rsid w:val="00BE0570"/>
    <w:rsid w:val="00BE17C5"/>
    <w:rsid w:val="00BF083B"/>
    <w:rsid w:val="00BF34BF"/>
    <w:rsid w:val="00BF3A2F"/>
    <w:rsid w:val="00BF649B"/>
    <w:rsid w:val="00C00DAB"/>
    <w:rsid w:val="00C015DA"/>
    <w:rsid w:val="00C02191"/>
    <w:rsid w:val="00C03678"/>
    <w:rsid w:val="00C04153"/>
    <w:rsid w:val="00C049F6"/>
    <w:rsid w:val="00C057BC"/>
    <w:rsid w:val="00C12301"/>
    <w:rsid w:val="00C14638"/>
    <w:rsid w:val="00C20158"/>
    <w:rsid w:val="00C26DA5"/>
    <w:rsid w:val="00C306A5"/>
    <w:rsid w:val="00C35234"/>
    <w:rsid w:val="00C3574C"/>
    <w:rsid w:val="00C36445"/>
    <w:rsid w:val="00C406FA"/>
    <w:rsid w:val="00C418CC"/>
    <w:rsid w:val="00C41ABA"/>
    <w:rsid w:val="00C4629D"/>
    <w:rsid w:val="00C50BD1"/>
    <w:rsid w:val="00C51B41"/>
    <w:rsid w:val="00C5659A"/>
    <w:rsid w:val="00C62513"/>
    <w:rsid w:val="00C62A22"/>
    <w:rsid w:val="00C63355"/>
    <w:rsid w:val="00C65CB8"/>
    <w:rsid w:val="00C67288"/>
    <w:rsid w:val="00C70836"/>
    <w:rsid w:val="00C7611B"/>
    <w:rsid w:val="00C826B1"/>
    <w:rsid w:val="00C82BD4"/>
    <w:rsid w:val="00C840C8"/>
    <w:rsid w:val="00C92CF7"/>
    <w:rsid w:val="00C9452F"/>
    <w:rsid w:val="00CA2398"/>
    <w:rsid w:val="00CA2F6A"/>
    <w:rsid w:val="00CA515E"/>
    <w:rsid w:val="00CA5DE6"/>
    <w:rsid w:val="00CC1121"/>
    <w:rsid w:val="00CC3275"/>
    <w:rsid w:val="00CC7E30"/>
    <w:rsid w:val="00CD1CE6"/>
    <w:rsid w:val="00CD5538"/>
    <w:rsid w:val="00CE4E2B"/>
    <w:rsid w:val="00CE4F71"/>
    <w:rsid w:val="00CF1667"/>
    <w:rsid w:val="00CF203E"/>
    <w:rsid w:val="00CF3D18"/>
    <w:rsid w:val="00CF6DB8"/>
    <w:rsid w:val="00D01BAD"/>
    <w:rsid w:val="00D06877"/>
    <w:rsid w:val="00D079D0"/>
    <w:rsid w:val="00D17771"/>
    <w:rsid w:val="00D20381"/>
    <w:rsid w:val="00D21117"/>
    <w:rsid w:val="00D215AA"/>
    <w:rsid w:val="00D25BE6"/>
    <w:rsid w:val="00D26812"/>
    <w:rsid w:val="00D35DE1"/>
    <w:rsid w:val="00D41F02"/>
    <w:rsid w:val="00D46430"/>
    <w:rsid w:val="00D46EF6"/>
    <w:rsid w:val="00D477E5"/>
    <w:rsid w:val="00D47B0F"/>
    <w:rsid w:val="00D53D2B"/>
    <w:rsid w:val="00D53DFD"/>
    <w:rsid w:val="00D540EF"/>
    <w:rsid w:val="00D54486"/>
    <w:rsid w:val="00D56B33"/>
    <w:rsid w:val="00D61B78"/>
    <w:rsid w:val="00D66A23"/>
    <w:rsid w:val="00D76470"/>
    <w:rsid w:val="00D861C5"/>
    <w:rsid w:val="00D90278"/>
    <w:rsid w:val="00D938EA"/>
    <w:rsid w:val="00D96DFC"/>
    <w:rsid w:val="00D97DC9"/>
    <w:rsid w:val="00DA1833"/>
    <w:rsid w:val="00DA2115"/>
    <w:rsid w:val="00DA5FF1"/>
    <w:rsid w:val="00DA6459"/>
    <w:rsid w:val="00DC0421"/>
    <w:rsid w:val="00DC20BE"/>
    <w:rsid w:val="00DC2E64"/>
    <w:rsid w:val="00DC36D5"/>
    <w:rsid w:val="00DC3AB5"/>
    <w:rsid w:val="00DC5ACB"/>
    <w:rsid w:val="00DC68A4"/>
    <w:rsid w:val="00DD1CB0"/>
    <w:rsid w:val="00DD5314"/>
    <w:rsid w:val="00DD6A5A"/>
    <w:rsid w:val="00DD6B63"/>
    <w:rsid w:val="00DE7078"/>
    <w:rsid w:val="00DF3D9F"/>
    <w:rsid w:val="00DF5A65"/>
    <w:rsid w:val="00E00AA6"/>
    <w:rsid w:val="00E044F3"/>
    <w:rsid w:val="00E10716"/>
    <w:rsid w:val="00E14086"/>
    <w:rsid w:val="00E14F34"/>
    <w:rsid w:val="00E21413"/>
    <w:rsid w:val="00E21659"/>
    <w:rsid w:val="00E269DF"/>
    <w:rsid w:val="00E323CE"/>
    <w:rsid w:val="00E32A23"/>
    <w:rsid w:val="00E354C6"/>
    <w:rsid w:val="00E369E7"/>
    <w:rsid w:val="00E37301"/>
    <w:rsid w:val="00E37EFB"/>
    <w:rsid w:val="00E43044"/>
    <w:rsid w:val="00E4675E"/>
    <w:rsid w:val="00E509CA"/>
    <w:rsid w:val="00E51164"/>
    <w:rsid w:val="00E51833"/>
    <w:rsid w:val="00E5410C"/>
    <w:rsid w:val="00E552D0"/>
    <w:rsid w:val="00E56670"/>
    <w:rsid w:val="00E6293A"/>
    <w:rsid w:val="00E64360"/>
    <w:rsid w:val="00E66007"/>
    <w:rsid w:val="00E66160"/>
    <w:rsid w:val="00E70D49"/>
    <w:rsid w:val="00E70F67"/>
    <w:rsid w:val="00E75314"/>
    <w:rsid w:val="00E83A4A"/>
    <w:rsid w:val="00E90C0F"/>
    <w:rsid w:val="00E95468"/>
    <w:rsid w:val="00E96B87"/>
    <w:rsid w:val="00E97077"/>
    <w:rsid w:val="00EA3904"/>
    <w:rsid w:val="00EA4F53"/>
    <w:rsid w:val="00EB1D30"/>
    <w:rsid w:val="00EB71E4"/>
    <w:rsid w:val="00EC3206"/>
    <w:rsid w:val="00EC41C5"/>
    <w:rsid w:val="00EC4E3C"/>
    <w:rsid w:val="00EC5614"/>
    <w:rsid w:val="00EC7023"/>
    <w:rsid w:val="00EE05B6"/>
    <w:rsid w:val="00EE0B6E"/>
    <w:rsid w:val="00EE3BE7"/>
    <w:rsid w:val="00EE60A7"/>
    <w:rsid w:val="00EF0D21"/>
    <w:rsid w:val="00EF22BF"/>
    <w:rsid w:val="00F10F8B"/>
    <w:rsid w:val="00F11B02"/>
    <w:rsid w:val="00F11B66"/>
    <w:rsid w:val="00F144CE"/>
    <w:rsid w:val="00F17BEA"/>
    <w:rsid w:val="00F20EE9"/>
    <w:rsid w:val="00F243DB"/>
    <w:rsid w:val="00F24B1A"/>
    <w:rsid w:val="00F26387"/>
    <w:rsid w:val="00F27BF8"/>
    <w:rsid w:val="00F33F69"/>
    <w:rsid w:val="00F36D56"/>
    <w:rsid w:val="00F37CA7"/>
    <w:rsid w:val="00F41561"/>
    <w:rsid w:val="00F41B99"/>
    <w:rsid w:val="00F44F12"/>
    <w:rsid w:val="00F45C3F"/>
    <w:rsid w:val="00F46448"/>
    <w:rsid w:val="00F479AD"/>
    <w:rsid w:val="00F50B74"/>
    <w:rsid w:val="00F51094"/>
    <w:rsid w:val="00F53862"/>
    <w:rsid w:val="00F669CB"/>
    <w:rsid w:val="00F67D6F"/>
    <w:rsid w:val="00F8189B"/>
    <w:rsid w:val="00F862E2"/>
    <w:rsid w:val="00F91267"/>
    <w:rsid w:val="00F91A57"/>
    <w:rsid w:val="00F92B2E"/>
    <w:rsid w:val="00F93A25"/>
    <w:rsid w:val="00F96B6A"/>
    <w:rsid w:val="00F97417"/>
    <w:rsid w:val="00FA11AE"/>
    <w:rsid w:val="00FA4C64"/>
    <w:rsid w:val="00FA5636"/>
    <w:rsid w:val="00FB0FAF"/>
    <w:rsid w:val="00FB4AF2"/>
    <w:rsid w:val="00FC0146"/>
    <w:rsid w:val="00FC38F8"/>
    <w:rsid w:val="00FC3909"/>
    <w:rsid w:val="00FC3C42"/>
    <w:rsid w:val="00FC47F2"/>
    <w:rsid w:val="00FC5978"/>
    <w:rsid w:val="00FE1386"/>
    <w:rsid w:val="00FE1B8F"/>
    <w:rsid w:val="00FE28F7"/>
    <w:rsid w:val="00FE4DE2"/>
    <w:rsid w:val="00FE4EB1"/>
    <w:rsid w:val="00FE6207"/>
    <w:rsid w:val="00FF07A7"/>
    <w:rsid w:val="00FF10CE"/>
    <w:rsid w:val="00FF346D"/>
    <w:rsid w:val="00FF5C3A"/>
    <w:rsid w:val="025F1B49"/>
    <w:rsid w:val="02D41FAC"/>
    <w:rsid w:val="0444D8C7"/>
    <w:rsid w:val="053BD95B"/>
    <w:rsid w:val="062453D1"/>
    <w:rsid w:val="066ECDEB"/>
    <w:rsid w:val="07D440B4"/>
    <w:rsid w:val="080619D7"/>
    <w:rsid w:val="08390C3C"/>
    <w:rsid w:val="08ADCC64"/>
    <w:rsid w:val="09021CC4"/>
    <w:rsid w:val="09742533"/>
    <w:rsid w:val="0977A4BB"/>
    <w:rsid w:val="09E9E2E0"/>
    <w:rsid w:val="0AED2B78"/>
    <w:rsid w:val="0B49E291"/>
    <w:rsid w:val="0B72CEA8"/>
    <w:rsid w:val="0BEEE914"/>
    <w:rsid w:val="0CF2364E"/>
    <w:rsid w:val="1069444F"/>
    <w:rsid w:val="11029650"/>
    <w:rsid w:val="11742EF5"/>
    <w:rsid w:val="119A47BD"/>
    <w:rsid w:val="11E57CD5"/>
    <w:rsid w:val="1241114A"/>
    <w:rsid w:val="12BB2C54"/>
    <w:rsid w:val="153A300C"/>
    <w:rsid w:val="15653E01"/>
    <w:rsid w:val="17BAE154"/>
    <w:rsid w:val="17F0B04E"/>
    <w:rsid w:val="18A873CF"/>
    <w:rsid w:val="18B566C1"/>
    <w:rsid w:val="1A0F4F45"/>
    <w:rsid w:val="1A8426F3"/>
    <w:rsid w:val="1AB0EFD6"/>
    <w:rsid w:val="1BA46921"/>
    <w:rsid w:val="1C9D6433"/>
    <w:rsid w:val="1E11B3AC"/>
    <w:rsid w:val="20925014"/>
    <w:rsid w:val="20B43EC3"/>
    <w:rsid w:val="20CB430D"/>
    <w:rsid w:val="2132C931"/>
    <w:rsid w:val="22ED32BD"/>
    <w:rsid w:val="230DF95E"/>
    <w:rsid w:val="248865A9"/>
    <w:rsid w:val="24B891F6"/>
    <w:rsid w:val="2540262D"/>
    <w:rsid w:val="27F4ED4A"/>
    <w:rsid w:val="28D60F4E"/>
    <w:rsid w:val="291F3C0C"/>
    <w:rsid w:val="294C8284"/>
    <w:rsid w:val="2A02312C"/>
    <w:rsid w:val="2B655F69"/>
    <w:rsid w:val="2CFF127B"/>
    <w:rsid w:val="2D34601B"/>
    <w:rsid w:val="2DB63099"/>
    <w:rsid w:val="2DDBF0F4"/>
    <w:rsid w:val="2E85FA60"/>
    <w:rsid w:val="2EEE28E6"/>
    <w:rsid w:val="303B9568"/>
    <w:rsid w:val="3238BD0A"/>
    <w:rsid w:val="3344892F"/>
    <w:rsid w:val="33554CCB"/>
    <w:rsid w:val="3370F143"/>
    <w:rsid w:val="3456EE46"/>
    <w:rsid w:val="3480401C"/>
    <w:rsid w:val="348BE113"/>
    <w:rsid w:val="3522EBCE"/>
    <w:rsid w:val="35ED83B9"/>
    <w:rsid w:val="36A6C7B7"/>
    <w:rsid w:val="381280A9"/>
    <w:rsid w:val="3948F43E"/>
    <w:rsid w:val="3A0E28B2"/>
    <w:rsid w:val="3BE068E1"/>
    <w:rsid w:val="3BF63A8D"/>
    <w:rsid w:val="3C65D8D9"/>
    <w:rsid w:val="3E9FEFEB"/>
    <w:rsid w:val="40AE30AA"/>
    <w:rsid w:val="4141E590"/>
    <w:rsid w:val="42CE2D18"/>
    <w:rsid w:val="43113583"/>
    <w:rsid w:val="44497F83"/>
    <w:rsid w:val="45F594F5"/>
    <w:rsid w:val="463BA590"/>
    <w:rsid w:val="46831D7E"/>
    <w:rsid w:val="469EA717"/>
    <w:rsid w:val="485EFD95"/>
    <w:rsid w:val="4951B40C"/>
    <w:rsid w:val="495BAA1B"/>
    <w:rsid w:val="4A159747"/>
    <w:rsid w:val="4E428ACF"/>
    <w:rsid w:val="4F85B7AF"/>
    <w:rsid w:val="4FFA6E11"/>
    <w:rsid w:val="50C60EBC"/>
    <w:rsid w:val="50D09874"/>
    <w:rsid w:val="50E56436"/>
    <w:rsid w:val="52305A84"/>
    <w:rsid w:val="5582539A"/>
    <w:rsid w:val="55D45C17"/>
    <w:rsid w:val="55D5E969"/>
    <w:rsid w:val="5613DBAB"/>
    <w:rsid w:val="57B536EB"/>
    <w:rsid w:val="582BBA66"/>
    <w:rsid w:val="5A09F138"/>
    <w:rsid w:val="5A302A7D"/>
    <w:rsid w:val="5BC069D8"/>
    <w:rsid w:val="5C274726"/>
    <w:rsid w:val="5D44B4C9"/>
    <w:rsid w:val="5D49A8E9"/>
    <w:rsid w:val="5DF084FD"/>
    <w:rsid w:val="5E0445F0"/>
    <w:rsid w:val="5EA3C954"/>
    <w:rsid w:val="5F0DA78B"/>
    <w:rsid w:val="5F8BB9A4"/>
    <w:rsid w:val="60025D80"/>
    <w:rsid w:val="6071F58D"/>
    <w:rsid w:val="63102003"/>
    <w:rsid w:val="64777BB2"/>
    <w:rsid w:val="6683CC35"/>
    <w:rsid w:val="66B5C4A0"/>
    <w:rsid w:val="67805A51"/>
    <w:rsid w:val="6821F83F"/>
    <w:rsid w:val="689D9AFF"/>
    <w:rsid w:val="6968347F"/>
    <w:rsid w:val="697B08E7"/>
    <w:rsid w:val="6A350E1C"/>
    <w:rsid w:val="6A788FE6"/>
    <w:rsid w:val="6B6EAEE8"/>
    <w:rsid w:val="6C16A52D"/>
    <w:rsid w:val="6DA510A3"/>
    <w:rsid w:val="6E194BE3"/>
    <w:rsid w:val="6F305A38"/>
    <w:rsid w:val="6FAF494B"/>
    <w:rsid w:val="706304C0"/>
    <w:rsid w:val="7112742F"/>
    <w:rsid w:val="72BE3AAA"/>
    <w:rsid w:val="735E546F"/>
    <w:rsid w:val="739B70B6"/>
    <w:rsid w:val="7740FB51"/>
    <w:rsid w:val="7773A1AD"/>
    <w:rsid w:val="7AC529AA"/>
    <w:rsid w:val="7D16E4C4"/>
    <w:rsid w:val="7D431117"/>
    <w:rsid w:val="7D5D56CE"/>
    <w:rsid w:val="7D932EFA"/>
    <w:rsid w:val="7D9403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D8224E28-CAD1-4DBD-B5D6-E3701630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3F4F48"/>
    <w:pPr>
      <w:numPr>
        <w:numId w:val="2"/>
      </w:numPr>
      <w:tabs>
        <w:tab w:val="num" w:pos="360"/>
      </w:tabs>
      <w:ind w:left="0" w:firstLine="0"/>
    </w:pPr>
    <w:rPr>
      <w:rFonts w:eastAsia="Times New Roman"/>
      <w:lang w:eastAsia="de-DE"/>
    </w:rPr>
  </w:style>
  <w:style w:type="paragraph" w:styleId="ListNumber">
    <w:name w:val="List Number"/>
    <w:basedOn w:val="Normal"/>
    <w:rsid w:val="003F4F48"/>
    <w:pPr>
      <w:numPr>
        <w:numId w:val="6"/>
      </w:numPr>
    </w:pPr>
    <w:rPr>
      <w:rFonts w:eastAsia="Times New Roman"/>
      <w:lang w:eastAsia="de-DE"/>
    </w:rPr>
  </w:style>
  <w:style w:type="paragraph" w:customStyle="1" w:styleId="ListBullet1">
    <w:name w:val="List Bullet 1"/>
    <w:basedOn w:val="Normal"/>
    <w:rsid w:val="003F4F48"/>
    <w:pPr>
      <w:numPr>
        <w:numId w:val="1"/>
      </w:numPr>
    </w:pPr>
    <w:rPr>
      <w:rFonts w:eastAsia="Times New Roman"/>
      <w:lang w:eastAsia="de-DE"/>
    </w:rPr>
  </w:style>
  <w:style w:type="paragraph" w:customStyle="1" w:styleId="ListDash">
    <w:name w:val="List Dash"/>
    <w:basedOn w:val="Normal"/>
    <w:rsid w:val="003F4F48"/>
    <w:pPr>
      <w:numPr>
        <w:numId w:val="3"/>
      </w:numPr>
    </w:pPr>
    <w:rPr>
      <w:rFonts w:eastAsia="Times New Roman"/>
      <w:lang w:eastAsia="de-DE"/>
    </w:rPr>
  </w:style>
  <w:style w:type="paragraph" w:customStyle="1" w:styleId="ListDash1">
    <w:name w:val="List Dash 1"/>
    <w:basedOn w:val="Normal"/>
    <w:rsid w:val="003F4F48"/>
    <w:pPr>
      <w:numPr>
        <w:numId w:val="4"/>
      </w:numPr>
    </w:pPr>
    <w:rPr>
      <w:rFonts w:eastAsia="Times New Roman"/>
      <w:lang w:eastAsia="de-DE"/>
    </w:rPr>
  </w:style>
  <w:style w:type="paragraph" w:customStyle="1" w:styleId="ListDash2">
    <w:name w:val="List Dash 2"/>
    <w:basedOn w:val="Normal"/>
    <w:rsid w:val="003F4F48"/>
    <w:pPr>
      <w:numPr>
        <w:numId w:val="5"/>
      </w:numPr>
    </w:pPr>
    <w:rPr>
      <w:rFonts w:eastAsia="Times New Roman"/>
      <w:lang w:eastAsia="de-DE"/>
    </w:rPr>
  </w:style>
  <w:style w:type="paragraph" w:customStyle="1" w:styleId="ListNumberLevel2">
    <w:name w:val="List Number (Level 2)"/>
    <w:basedOn w:val="Normal"/>
    <w:rsid w:val="003F4F48"/>
    <w:pPr>
      <w:numPr>
        <w:ilvl w:val="1"/>
        <w:numId w:val="6"/>
      </w:numPr>
    </w:pPr>
    <w:rPr>
      <w:rFonts w:eastAsia="Times New Roman"/>
      <w:lang w:eastAsia="de-DE"/>
    </w:rPr>
  </w:style>
  <w:style w:type="paragraph" w:customStyle="1" w:styleId="ListNumberLevel3">
    <w:name w:val="List Number (Level 3)"/>
    <w:basedOn w:val="Normal"/>
    <w:rsid w:val="003F4F48"/>
    <w:pPr>
      <w:numPr>
        <w:ilvl w:val="2"/>
        <w:numId w:val="6"/>
      </w:numPr>
    </w:pPr>
    <w:rPr>
      <w:rFonts w:eastAsia="Times New Roman"/>
      <w:lang w:eastAsia="de-DE"/>
    </w:rPr>
  </w:style>
  <w:style w:type="paragraph" w:customStyle="1" w:styleId="ListNumberLevel4">
    <w:name w:val="List Number (Level 4)"/>
    <w:basedOn w:val="Normal"/>
    <w:rsid w:val="003F4F48"/>
    <w:pPr>
      <w:numPr>
        <w:ilvl w:val="3"/>
        <w:numId w:val="6"/>
      </w:numPr>
    </w:pPr>
    <w:rPr>
      <w:rFonts w:eastAsia="Times New Roman"/>
      <w:lang w:eastAsia="de-DE"/>
    </w:rPr>
  </w:style>
  <w:style w:type="table" w:styleId="TableGrid">
    <w:name w:val="Table Grid"/>
    <w:basedOn w:val="TableNormal"/>
    <w:uiPriority w:val="39"/>
    <w:rsid w:val="003F4F48"/>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4F48"/>
    <w:rPr>
      <w:color w:val="0000FF"/>
      <w:u w:val="single"/>
    </w:rPr>
  </w:style>
  <w:style w:type="paragraph" w:styleId="ListBullet">
    <w:name w:val="List Bullet"/>
    <w:basedOn w:val="Normal"/>
    <w:rsid w:val="003F4F48"/>
    <w:pPr>
      <w:numPr>
        <w:numId w:val="7"/>
      </w:numPr>
    </w:pPr>
    <w:rPr>
      <w:rFonts w:eastAsia="Times New Roman"/>
      <w:lang w:eastAsia="en-GB"/>
    </w:rPr>
  </w:style>
  <w:style w:type="paragraph" w:styleId="ListBullet2">
    <w:name w:val="List Bullet 2"/>
    <w:basedOn w:val="Normal"/>
    <w:rsid w:val="003F4F48"/>
    <w:pPr>
      <w:numPr>
        <w:numId w:val="8"/>
      </w:numPr>
    </w:pPr>
    <w:rPr>
      <w:rFonts w:eastAsia="Times New Roman"/>
      <w:lang w:eastAsia="en-GB"/>
    </w:rPr>
  </w:style>
  <w:style w:type="paragraph" w:styleId="ListBullet3">
    <w:name w:val="List Bullet 3"/>
    <w:basedOn w:val="Normal"/>
    <w:rsid w:val="003F4F48"/>
    <w:pPr>
      <w:numPr>
        <w:numId w:val="9"/>
      </w:numPr>
    </w:pPr>
    <w:rPr>
      <w:rFonts w:eastAsia="Times New Roman"/>
      <w:lang w:eastAsia="en-GB"/>
    </w:rPr>
  </w:style>
  <w:style w:type="paragraph" w:styleId="ListNumber2">
    <w:name w:val="List Number 2"/>
    <w:basedOn w:val="Normal"/>
    <w:rsid w:val="003F4F48"/>
    <w:pPr>
      <w:numPr>
        <w:numId w:val="13"/>
      </w:numPr>
    </w:pPr>
    <w:rPr>
      <w:rFonts w:eastAsia="Times New Roman"/>
      <w:lang w:eastAsia="en-GB"/>
    </w:rPr>
  </w:style>
  <w:style w:type="paragraph" w:styleId="ListNumber3">
    <w:name w:val="List Number 3"/>
    <w:basedOn w:val="Normal"/>
    <w:rsid w:val="003F4F48"/>
    <w:pPr>
      <w:numPr>
        <w:numId w:val="14"/>
      </w:numPr>
    </w:pPr>
    <w:rPr>
      <w:rFonts w:eastAsia="Times New Roman"/>
      <w:lang w:eastAsia="en-GB"/>
    </w:rPr>
  </w:style>
  <w:style w:type="paragraph" w:styleId="ListNumber4">
    <w:name w:val="List Number 4"/>
    <w:basedOn w:val="Normal"/>
    <w:rsid w:val="003F4F48"/>
    <w:pPr>
      <w:numPr>
        <w:numId w:val="15"/>
      </w:numPr>
    </w:pPr>
    <w:rPr>
      <w:rFonts w:eastAsia="Times New Roman"/>
      <w:lang w:eastAsia="en-GB"/>
    </w:rPr>
  </w:style>
  <w:style w:type="paragraph" w:customStyle="1" w:styleId="ListDash3">
    <w:name w:val="List Dash 3"/>
    <w:basedOn w:val="Normal"/>
    <w:rsid w:val="003F4F48"/>
    <w:pPr>
      <w:numPr>
        <w:numId w:val="10"/>
      </w:numPr>
    </w:pPr>
    <w:rPr>
      <w:rFonts w:eastAsia="Times New Roman"/>
      <w:lang w:eastAsia="en-GB"/>
    </w:rPr>
  </w:style>
  <w:style w:type="paragraph" w:customStyle="1" w:styleId="ListDash4">
    <w:name w:val="List Dash 4"/>
    <w:basedOn w:val="Normal"/>
    <w:rsid w:val="003F4F48"/>
    <w:pPr>
      <w:numPr>
        <w:numId w:val="11"/>
      </w:numPr>
    </w:pPr>
    <w:rPr>
      <w:rFonts w:eastAsia="Times New Roman"/>
      <w:lang w:eastAsia="en-GB"/>
    </w:rPr>
  </w:style>
  <w:style w:type="paragraph" w:customStyle="1" w:styleId="ListNumber1">
    <w:name w:val="List Number 1"/>
    <w:basedOn w:val="Text1"/>
    <w:rsid w:val="003F4F48"/>
    <w:pPr>
      <w:numPr>
        <w:numId w:val="12"/>
      </w:numPr>
    </w:pPr>
    <w:rPr>
      <w:rFonts w:eastAsia="Times New Roman"/>
      <w:lang w:eastAsia="en-GB"/>
    </w:rPr>
  </w:style>
  <w:style w:type="paragraph" w:customStyle="1" w:styleId="ListNumber1Level2">
    <w:name w:val="List Number 1 (Level 2)"/>
    <w:basedOn w:val="Text1"/>
    <w:rsid w:val="003F4F48"/>
    <w:pPr>
      <w:numPr>
        <w:ilvl w:val="1"/>
        <w:numId w:val="12"/>
      </w:numPr>
    </w:pPr>
    <w:rPr>
      <w:rFonts w:eastAsia="Times New Roman"/>
      <w:lang w:eastAsia="en-GB"/>
    </w:rPr>
  </w:style>
  <w:style w:type="paragraph" w:customStyle="1" w:styleId="ListNumber2Level2">
    <w:name w:val="List Number 2 (Level 2)"/>
    <w:basedOn w:val="Text2"/>
    <w:rsid w:val="003F4F48"/>
    <w:pPr>
      <w:numPr>
        <w:ilvl w:val="1"/>
        <w:numId w:val="13"/>
      </w:numPr>
    </w:pPr>
    <w:rPr>
      <w:rFonts w:eastAsia="Times New Roman"/>
      <w:lang w:eastAsia="en-GB"/>
    </w:rPr>
  </w:style>
  <w:style w:type="paragraph" w:customStyle="1" w:styleId="ListNumber3Level2">
    <w:name w:val="List Number 3 (Level 2)"/>
    <w:basedOn w:val="Text3"/>
    <w:rsid w:val="003F4F48"/>
    <w:pPr>
      <w:numPr>
        <w:ilvl w:val="1"/>
        <w:numId w:val="14"/>
      </w:numPr>
    </w:pPr>
    <w:rPr>
      <w:rFonts w:eastAsia="Times New Roman"/>
      <w:lang w:eastAsia="en-GB"/>
    </w:rPr>
  </w:style>
  <w:style w:type="paragraph" w:customStyle="1" w:styleId="ListNumber4Level2">
    <w:name w:val="List Number 4 (Level 2)"/>
    <w:basedOn w:val="Text4"/>
    <w:rsid w:val="003F4F48"/>
    <w:pPr>
      <w:numPr>
        <w:ilvl w:val="1"/>
        <w:numId w:val="15"/>
      </w:numPr>
    </w:pPr>
    <w:rPr>
      <w:rFonts w:eastAsia="Times New Roman"/>
      <w:lang w:eastAsia="en-GB"/>
    </w:rPr>
  </w:style>
  <w:style w:type="paragraph" w:customStyle="1" w:styleId="ListNumber1Level3">
    <w:name w:val="List Number 1 (Level 3)"/>
    <w:basedOn w:val="Text1"/>
    <w:rsid w:val="003F4F48"/>
    <w:pPr>
      <w:numPr>
        <w:ilvl w:val="2"/>
        <w:numId w:val="12"/>
      </w:numPr>
    </w:pPr>
    <w:rPr>
      <w:rFonts w:eastAsia="Times New Roman"/>
      <w:lang w:eastAsia="en-GB"/>
    </w:rPr>
  </w:style>
  <w:style w:type="paragraph" w:customStyle="1" w:styleId="ListNumber2Level3">
    <w:name w:val="List Number 2 (Level 3)"/>
    <w:basedOn w:val="Text2"/>
    <w:rsid w:val="003F4F48"/>
    <w:pPr>
      <w:numPr>
        <w:ilvl w:val="2"/>
        <w:numId w:val="13"/>
      </w:numPr>
    </w:pPr>
    <w:rPr>
      <w:rFonts w:eastAsia="Times New Roman"/>
      <w:lang w:eastAsia="en-GB"/>
    </w:rPr>
  </w:style>
  <w:style w:type="paragraph" w:customStyle="1" w:styleId="ListNumber3Level3">
    <w:name w:val="List Number 3 (Level 3)"/>
    <w:basedOn w:val="Text3"/>
    <w:rsid w:val="003F4F48"/>
    <w:pPr>
      <w:numPr>
        <w:ilvl w:val="2"/>
        <w:numId w:val="14"/>
      </w:numPr>
    </w:pPr>
    <w:rPr>
      <w:rFonts w:eastAsia="Times New Roman"/>
      <w:lang w:eastAsia="en-GB"/>
    </w:rPr>
  </w:style>
  <w:style w:type="paragraph" w:customStyle="1" w:styleId="ListNumber4Level3">
    <w:name w:val="List Number 4 (Level 3)"/>
    <w:basedOn w:val="Text4"/>
    <w:rsid w:val="003F4F48"/>
    <w:pPr>
      <w:numPr>
        <w:ilvl w:val="2"/>
        <w:numId w:val="15"/>
      </w:numPr>
    </w:pPr>
    <w:rPr>
      <w:rFonts w:eastAsia="Times New Roman"/>
      <w:lang w:eastAsia="en-GB"/>
    </w:rPr>
  </w:style>
  <w:style w:type="paragraph" w:customStyle="1" w:styleId="ListNumber1Level4">
    <w:name w:val="List Number 1 (Level 4)"/>
    <w:basedOn w:val="Text1"/>
    <w:rsid w:val="003F4F48"/>
    <w:pPr>
      <w:numPr>
        <w:ilvl w:val="3"/>
        <w:numId w:val="12"/>
      </w:numPr>
    </w:pPr>
    <w:rPr>
      <w:rFonts w:eastAsia="Times New Roman"/>
      <w:lang w:eastAsia="en-GB"/>
    </w:rPr>
  </w:style>
  <w:style w:type="paragraph" w:customStyle="1" w:styleId="ListNumber2Level4">
    <w:name w:val="List Number 2 (Level 4)"/>
    <w:basedOn w:val="Text2"/>
    <w:rsid w:val="003F4F48"/>
    <w:pPr>
      <w:numPr>
        <w:ilvl w:val="3"/>
        <w:numId w:val="13"/>
      </w:numPr>
    </w:pPr>
    <w:rPr>
      <w:rFonts w:eastAsia="Times New Roman"/>
      <w:lang w:eastAsia="en-GB"/>
    </w:rPr>
  </w:style>
  <w:style w:type="paragraph" w:customStyle="1" w:styleId="ListNumber3Level4">
    <w:name w:val="List Number 3 (Level 4)"/>
    <w:basedOn w:val="Text3"/>
    <w:rsid w:val="003F4F48"/>
    <w:pPr>
      <w:numPr>
        <w:ilvl w:val="3"/>
        <w:numId w:val="14"/>
      </w:numPr>
    </w:pPr>
    <w:rPr>
      <w:rFonts w:eastAsia="Times New Roman"/>
      <w:lang w:eastAsia="en-GB"/>
    </w:rPr>
  </w:style>
  <w:style w:type="paragraph" w:customStyle="1" w:styleId="ListNumber4Level4">
    <w:name w:val="List Number 4 (Level 4)"/>
    <w:basedOn w:val="Text4"/>
    <w:rsid w:val="003F4F48"/>
    <w:pPr>
      <w:numPr>
        <w:ilvl w:val="3"/>
        <w:numId w:val="15"/>
      </w:numPr>
    </w:pPr>
    <w:rPr>
      <w:rFonts w:eastAsia="Times New Roman"/>
      <w:lang w:eastAsia="en-GB"/>
    </w:rPr>
  </w:style>
  <w:style w:type="paragraph" w:customStyle="1" w:styleId="Annexetitreacte">
    <w:name w:val="Annexe titre (acte)"/>
    <w:basedOn w:val="Normal"/>
    <w:next w:val="Normal"/>
    <w:rsid w:val="003F4F48"/>
    <w:pPr>
      <w:jc w:val="center"/>
    </w:pPr>
    <w:rPr>
      <w:rFonts w:eastAsia="Times New Roman"/>
      <w:b/>
      <w:u w:val="single"/>
      <w:lang w:eastAsia="en-GB"/>
    </w:rPr>
  </w:style>
  <w:style w:type="paragraph" w:customStyle="1" w:styleId="Annexetitreexposglobal">
    <w:name w:val="Annexe titre (exposé global)"/>
    <w:basedOn w:val="Normal"/>
    <w:next w:val="Normal"/>
    <w:rsid w:val="003F4F48"/>
    <w:pPr>
      <w:jc w:val="center"/>
    </w:pPr>
    <w:rPr>
      <w:rFonts w:eastAsia="Times New Roman"/>
      <w:b/>
      <w:u w:val="single"/>
      <w:lang w:eastAsia="en-GB"/>
    </w:rPr>
  </w:style>
  <w:style w:type="paragraph" w:customStyle="1" w:styleId="Annexetitrefichefinacte">
    <w:name w:val="Annexe titre (fiche fin. acte)"/>
    <w:basedOn w:val="Normal"/>
    <w:next w:val="Normal"/>
    <w:rsid w:val="003F4F48"/>
    <w:pPr>
      <w:jc w:val="center"/>
    </w:pPr>
    <w:rPr>
      <w:rFonts w:eastAsia="Times New Roman"/>
      <w:b/>
      <w:u w:val="single"/>
      <w:lang w:eastAsia="en-GB"/>
    </w:rPr>
  </w:style>
  <w:style w:type="paragraph" w:customStyle="1" w:styleId="Annexetitrefichefinglobale">
    <w:name w:val="Annexe titre (fiche fin. globale)"/>
    <w:basedOn w:val="Normal"/>
    <w:next w:val="Normal"/>
    <w:rsid w:val="003F4F48"/>
    <w:pPr>
      <w:jc w:val="center"/>
    </w:pPr>
    <w:rPr>
      <w:rFonts w:eastAsia="Times New Roman"/>
      <w:b/>
      <w:u w:val="single"/>
      <w:lang w:eastAsia="en-GB"/>
    </w:rPr>
  </w:style>
  <w:style w:type="paragraph" w:customStyle="1" w:styleId="Annexetitreglobale">
    <w:name w:val="Annexe titre (globale)"/>
    <w:basedOn w:val="Normal"/>
    <w:next w:val="Normal"/>
    <w:rsid w:val="003F4F48"/>
    <w:pPr>
      <w:jc w:val="center"/>
    </w:pPr>
    <w:rPr>
      <w:rFonts w:eastAsia="Times New Roman"/>
      <w:b/>
      <w:u w:val="single"/>
      <w:lang w:eastAsia="en-GB"/>
    </w:rPr>
  </w:style>
  <w:style w:type="paragraph" w:customStyle="1" w:styleId="Exposdesmotifstitreglobal">
    <w:name w:val="Exposé des motifs titre (global)"/>
    <w:basedOn w:val="Normal"/>
    <w:next w:val="Normal"/>
    <w:rsid w:val="003F4F48"/>
    <w:pPr>
      <w:jc w:val="center"/>
    </w:pPr>
    <w:rPr>
      <w:rFonts w:eastAsia="Times New Roman"/>
      <w:b/>
      <w:u w:val="single"/>
      <w:lang w:eastAsia="en-GB"/>
    </w:rPr>
  </w:style>
  <w:style w:type="paragraph" w:customStyle="1" w:styleId="Langueoriginale">
    <w:name w:val="Langue originale"/>
    <w:basedOn w:val="Normal"/>
    <w:rsid w:val="003F4F48"/>
    <w:pPr>
      <w:spacing w:before="360"/>
      <w:jc w:val="center"/>
    </w:pPr>
    <w:rPr>
      <w:rFonts w:eastAsia="Times New Roman"/>
      <w:caps/>
      <w:lang w:eastAsia="en-GB"/>
    </w:rPr>
  </w:style>
  <w:style w:type="paragraph" w:customStyle="1" w:styleId="Phrasefinale">
    <w:name w:val="Phrase finale"/>
    <w:basedOn w:val="Normal"/>
    <w:next w:val="Normal"/>
    <w:rsid w:val="003F4F48"/>
    <w:pPr>
      <w:spacing w:before="360" w:after="0"/>
      <w:jc w:val="center"/>
    </w:pPr>
    <w:rPr>
      <w:rFonts w:eastAsia="Times New Roman"/>
      <w:lang w:eastAsia="en-GB"/>
    </w:rPr>
  </w:style>
  <w:style w:type="paragraph" w:customStyle="1" w:styleId="Prliminairetitre">
    <w:name w:val="Préliminaire titre"/>
    <w:basedOn w:val="Normal"/>
    <w:next w:val="Normal"/>
    <w:rsid w:val="003F4F48"/>
    <w:pPr>
      <w:spacing w:before="360" w:after="360"/>
      <w:jc w:val="center"/>
    </w:pPr>
    <w:rPr>
      <w:rFonts w:eastAsia="Times New Roman"/>
      <w:b/>
      <w:lang w:eastAsia="en-GB"/>
    </w:rPr>
  </w:style>
  <w:style w:type="paragraph" w:customStyle="1" w:styleId="Prliminairetype">
    <w:name w:val="Préliminaire type"/>
    <w:basedOn w:val="Normal"/>
    <w:next w:val="Normal"/>
    <w:rsid w:val="003F4F48"/>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3F4F48"/>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3F4F4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3F4F48"/>
    <w:pPr>
      <w:spacing w:before="0" w:after="0"/>
      <w:ind w:left="5103"/>
      <w:jc w:val="left"/>
    </w:pPr>
    <w:rPr>
      <w:rFonts w:eastAsia="Times New Roman"/>
      <w:lang w:eastAsia="en-GB"/>
    </w:rPr>
  </w:style>
  <w:style w:type="paragraph" w:customStyle="1" w:styleId="Sous-titreobjetprliminaire">
    <w:name w:val="Sous-titre objet (préliminaire)"/>
    <w:basedOn w:val="Normal"/>
    <w:rsid w:val="003F4F48"/>
    <w:pPr>
      <w:spacing w:before="0" w:after="0"/>
      <w:jc w:val="center"/>
    </w:pPr>
    <w:rPr>
      <w:rFonts w:eastAsia="Times New Roman"/>
      <w:b/>
      <w:lang w:eastAsia="en-GB"/>
    </w:rPr>
  </w:style>
  <w:style w:type="paragraph" w:customStyle="1" w:styleId="Statutprliminaire">
    <w:name w:val="Statut (préliminaire)"/>
    <w:basedOn w:val="Normal"/>
    <w:next w:val="Normal"/>
    <w:rsid w:val="003F4F48"/>
    <w:pPr>
      <w:spacing w:before="360" w:after="0"/>
      <w:jc w:val="center"/>
    </w:pPr>
    <w:rPr>
      <w:rFonts w:eastAsia="Times New Roman"/>
      <w:lang w:eastAsia="en-GB"/>
    </w:rPr>
  </w:style>
  <w:style w:type="paragraph" w:customStyle="1" w:styleId="Titreobjetprliminaire">
    <w:name w:val="Titre objet (préliminaire)"/>
    <w:basedOn w:val="Normal"/>
    <w:next w:val="Normal"/>
    <w:rsid w:val="003F4F48"/>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3F4F48"/>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3F4F48"/>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3F4F48"/>
    <w:pPr>
      <w:jc w:val="center"/>
    </w:pPr>
    <w:rPr>
      <w:rFonts w:eastAsia="Times New Roman"/>
      <w:b/>
      <w:u w:val="single"/>
      <w:lang w:eastAsia="en-GB"/>
    </w:rPr>
  </w:style>
  <w:style w:type="paragraph" w:customStyle="1" w:styleId="Fichefinanciretravailtitre">
    <w:name w:val="Fiche financière (travail) titre"/>
    <w:basedOn w:val="Normal"/>
    <w:next w:val="Normal"/>
    <w:rsid w:val="003F4F48"/>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3F4F48"/>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3F4F48"/>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3F4F48"/>
    <w:pPr>
      <w:jc w:val="center"/>
    </w:pPr>
    <w:rPr>
      <w:rFonts w:eastAsia="Times New Roman"/>
      <w:b/>
      <w:u w:val="single"/>
      <w:lang w:eastAsia="en-GB"/>
    </w:rPr>
  </w:style>
  <w:style w:type="character" w:styleId="CommentReference">
    <w:name w:val="annotation reference"/>
    <w:rsid w:val="003F4F48"/>
    <w:rPr>
      <w:rFonts w:cs="Times New Roman"/>
      <w:sz w:val="16"/>
      <w:szCs w:val="16"/>
    </w:rPr>
  </w:style>
  <w:style w:type="paragraph" w:styleId="CommentText">
    <w:name w:val="annotation text"/>
    <w:basedOn w:val="Normal"/>
    <w:link w:val="CommentTextChar"/>
    <w:rsid w:val="003F4F48"/>
    <w:rPr>
      <w:rFonts w:eastAsia="Times New Roman"/>
      <w:sz w:val="20"/>
      <w:szCs w:val="20"/>
      <w:lang w:eastAsia="en-GB"/>
    </w:rPr>
  </w:style>
  <w:style w:type="character" w:customStyle="1" w:styleId="CommentTextChar">
    <w:name w:val="Comment Text Char"/>
    <w:basedOn w:val="DefaultParagraphFont"/>
    <w:link w:val="CommentText"/>
    <w:rsid w:val="003F4F48"/>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sid w:val="003F4F48"/>
    <w:rPr>
      <w:b/>
      <w:bCs/>
    </w:rPr>
  </w:style>
  <w:style w:type="character" w:customStyle="1" w:styleId="CommentSubjectChar">
    <w:name w:val="Comment Subject Char"/>
    <w:basedOn w:val="CommentTextChar"/>
    <w:link w:val="CommentSubject"/>
    <w:rsid w:val="003F4F48"/>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sid w:val="003F4F48"/>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3F4F48"/>
    <w:rPr>
      <w:rFonts w:ascii="Tahoma" w:eastAsia="Times New Roman" w:hAnsi="Tahoma" w:cs="Tahoma"/>
      <w:sz w:val="16"/>
      <w:szCs w:val="16"/>
      <w:lang w:val="hr-HR" w:eastAsia="en-GB"/>
    </w:rPr>
  </w:style>
  <w:style w:type="paragraph" w:styleId="Caption">
    <w:name w:val="caption"/>
    <w:basedOn w:val="Normal"/>
    <w:next w:val="Normal"/>
    <w:qFormat/>
    <w:rsid w:val="003F4F48"/>
    <w:rPr>
      <w:rFonts w:eastAsia="Times New Roman"/>
      <w:b/>
      <w:bCs/>
      <w:sz w:val="20"/>
      <w:szCs w:val="20"/>
      <w:lang w:eastAsia="en-GB"/>
    </w:rPr>
  </w:style>
  <w:style w:type="paragraph" w:styleId="TableofFigures">
    <w:name w:val="table of figures"/>
    <w:basedOn w:val="Normal"/>
    <w:next w:val="Normal"/>
    <w:rsid w:val="003F4F48"/>
    <w:rPr>
      <w:rFonts w:eastAsia="Times New Roman"/>
      <w:lang w:eastAsia="en-GB"/>
    </w:rPr>
  </w:style>
  <w:style w:type="character" w:styleId="PageNumber">
    <w:name w:val="page number"/>
    <w:rsid w:val="003F4F48"/>
  </w:style>
  <w:style w:type="character" w:customStyle="1" w:styleId="tw4winMark">
    <w:name w:val="tw4winMark"/>
    <w:rsid w:val="003F4F48"/>
    <w:rPr>
      <w:vanish/>
      <w:color w:val="800080"/>
      <w:vertAlign w:val="subscript"/>
    </w:rPr>
  </w:style>
  <w:style w:type="character" w:styleId="FollowedHyperlink">
    <w:name w:val="FollowedHyperlink"/>
    <w:rsid w:val="003F4F48"/>
    <w:rPr>
      <w:color w:val="800080"/>
      <w:u w:val="single"/>
    </w:rPr>
  </w:style>
  <w:style w:type="paragraph" w:customStyle="1" w:styleId="Sous-titreobjet">
    <w:name w:val="Sous-titre objet"/>
    <w:basedOn w:val="Normal"/>
    <w:rsid w:val="003F4F4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3F4F48"/>
  </w:style>
  <w:style w:type="paragraph" w:styleId="Revision">
    <w:name w:val="Revision"/>
    <w:hidden/>
    <w:uiPriority w:val="99"/>
    <w:semiHidden/>
    <w:rsid w:val="003F4F48"/>
    <w:rPr>
      <w:rFonts w:ascii="Calibri" w:eastAsia="Calibri" w:hAnsi="Calibri" w:cs="Times New Roman"/>
      <w:sz w:val="24"/>
      <w:lang w:eastAsia="en-GB"/>
    </w:rPr>
  </w:style>
  <w:style w:type="paragraph" w:customStyle="1" w:styleId="FooterCoverPage">
    <w:name w:val="Footer Cover Page"/>
    <w:basedOn w:val="Normal"/>
    <w:link w:val="FooterCoverPageChar"/>
    <w:rsid w:val="003F4F4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3F4F48"/>
    <w:rPr>
      <w:rFonts w:ascii="Times New Roman" w:hAnsi="Times New Roman" w:cs="Times New Roman"/>
      <w:b/>
      <w:sz w:val="28"/>
      <w:lang w:val="hr-HR"/>
    </w:rPr>
  </w:style>
  <w:style w:type="character" w:customStyle="1" w:styleId="FooterCoverPageChar">
    <w:name w:val="Footer Cover Page Char"/>
    <w:link w:val="FooterCoverPage"/>
    <w:rsid w:val="003F4F48"/>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3F4F4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3F4F48"/>
    <w:rPr>
      <w:rFonts w:ascii="Times New Roman" w:eastAsia="Calibri" w:hAnsi="Times New Roman" w:cs="Times New Roman"/>
      <w:sz w:val="24"/>
      <w:lang w:val="hr-HR" w:eastAsia="en-GB"/>
    </w:rPr>
  </w:style>
  <w:style w:type="character" w:customStyle="1" w:styleId="FooterSensitivityChar">
    <w:name w:val="Footer Sensitivity Char"/>
    <w:rsid w:val="003F4F48"/>
    <w:rPr>
      <w:rFonts w:ascii="Times New Roman" w:hAnsi="Times New Roman" w:cs="Times New Roman"/>
      <w:b/>
      <w:sz w:val="32"/>
      <w:lang w:val="hr-HR"/>
    </w:rPr>
  </w:style>
  <w:style w:type="character" w:customStyle="1" w:styleId="HeaderSensitivityChar">
    <w:name w:val="Header Sensitivity Char"/>
    <w:rsid w:val="003F4F48"/>
    <w:rPr>
      <w:rFonts w:ascii="Times New Roman" w:hAnsi="Times New Roman" w:cs="Times New Roman"/>
      <w:b/>
      <w:sz w:val="32"/>
      <w:lang w:val="hr-HR"/>
    </w:rPr>
  </w:style>
  <w:style w:type="character" w:customStyle="1" w:styleId="HeaderSensitivityRightChar">
    <w:name w:val="Header Sensitivity Right Char"/>
    <w:rsid w:val="003F4F48"/>
    <w:rPr>
      <w:rFonts w:ascii="Times New Roman" w:hAnsi="Times New Roman" w:cs="Times New Roman"/>
      <w:sz w:val="28"/>
      <w:lang w:val="hr-HR"/>
    </w:rPr>
  </w:style>
  <w:style w:type="paragraph" w:customStyle="1" w:styleId="LegalNumPar">
    <w:name w:val="LegalNumPar"/>
    <w:basedOn w:val="Normal"/>
    <w:rsid w:val="003F4F48"/>
    <w:pPr>
      <w:numPr>
        <w:numId w:val="16"/>
      </w:numPr>
      <w:spacing w:line="360" w:lineRule="auto"/>
    </w:pPr>
    <w:rPr>
      <w:rFonts w:eastAsia="Times New Roman"/>
      <w:lang w:eastAsia="en-GB"/>
    </w:rPr>
  </w:style>
  <w:style w:type="paragraph" w:customStyle="1" w:styleId="LegalNumPar2">
    <w:name w:val="LegalNumPar2"/>
    <w:basedOn w:val="Normal"/>
    <w:rsid w:val="003F4F48"/>
    <w:pPr>
      <w:numPr>
        <w:ilvl w:val="1"/>
        <w:numId w:val="16"/>
      </w:numPr>
      <w:spacing w:line="360" w:lineRule="auto"/>
    </w:pPr>
    <w:rPr>
      <w:rFonts w:eastAsia="Times New Roman"/>
      <w:lang w:eastAsia="en-GB"/>
    </w:rPr>
  </w:style>
  <w:style w:type="paragraph" w:customStyle="1" w:styleId="LegalNumPar3">
    <w:name w:val="LegalNumPar3"/>
    <w:basedOn w:val="Normal"/>
    <w:rsid w:val="003F4F48"/>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3F4F48"/>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3F4F48"/>
    <w:rPr>
      <w:color w:val="605E5C"/>
      <w:shd w:val="clear" w:color="auto" w:fill="E1DFDD"/>
    </w:rPr>
  </w:style>
  <w:style w:type="character" w:styleId="Strong">
    <w:name w:val="Strong"/>
    <w:basedOn w:val="DefaultParagraphFont"/>
    <w:qFormat/>
    <w:rsid w:val="003F4F48"/>
    <w:rPr>
      <w:b/>
      <w:bCs/>
    </w:rPr>
  </w:style>
  <w:style w:type="character" w:styleId="Emphasis">
    <w:name w:val="Emphasis"/>
    <w:basedOn w:val="DefaultParagraphFont"/>
    <w:qFormat/>
    <w:rsid w:val="003F4F48"/>
    <w:rPr>
      <w:i/>
      <w:iCs/>
    </w:rPr>
  </w:style>
  <w:style w:type="character" w:customStyle="1" w:styleId="Mention">
    <w:name w:val="Mention"/>
    <w:basedOn w:val="DefaultParagraphFont"/>
    <w:uiPriority w:val="99"/>
    <w:unhideWhenUsed/>
    <w:rsid w:val="003F4F48"/>
    <w:rPr>
      <w:color w:val="2B579A"/>
      <w:shd w:val="clear" w:color="auto" w:fill="E1DFDD"/>
    </w:rPr>
  </w:style>
  <w:style w:type="character" w:customStyle="1" w:styleId="normaltextrun">
    <w:name w:val="normaltextrun"/>
    <w:basedOn w:val="DefaultParagraphFont"/>
    <w:rsid w:val="003F4F48"/>
  </w:style>
  <w:style w:type="character" w:customStyle="1" w:styleId="eop">
    <w:name w:val="eop"/>
    <w:basedOn w:val="DefaultParagraphFont"/>
    <w:rsid w:val="003F4F48"/>
  </w:style>
  <w:style w:type="character" w:customStyle="1" w:styleId="cf01">
    <w:name w:val="cf01"/>
    <w:basedOn w:val="DefaultParagraphFont"/>
    <w:rsid w:val="00741379"/>
    <w:rPr>
      <w:rFonts w:ascii="Segoe UI" w:hAnsi="Segoe UI" w:cs="Segoe UI" w:hint="default"/>
      <w:sz w:val="18"/>
      <w:szCs w:val="18"/>
    </w:rPr>
  </w:style>
  <w:style w:type="character" w:customStyle="1" w:styleId="Text1Char">
    <w:name w:val="Text 1 Char"/>
    <w:uiPriority w:val="1"/>
    <w:rsid w:val="00DC36D5"/>
    <w:rPr>
      <w:rFonts w:ascii="Times New Roman" w:hAnsi="Times New Roman" w:cs="Times New Roman"/>
      <w:sz w:val="24"/>
      <w:lang w:val="hr-H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17136"/>
    <w:pPr>
      <w:spacing w:before="0" w:after="160" w:line="240" w:lineRule="exac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5F779D"/>
    <w:rPr>
      <w:rFonts w:ascii="Times New Roman" w:hAnsi="Times New Roman" w:cs="Times New Roman"/>
      <w:sz w:val="24"/>
      <w:lang w:val="hr-HR"/>
    </w:rPr>
  </w:style>
  <w:style w:type="character" w:customStyle="1" w:styleId="FooterChar">
    <w:name w:val="Footer Char"/>
    <w:basedOn w:val="DefaultParagraphFont"/>
    <w:link w:val="Footer"/>
    <w:uiPriority w:val="99"/>
    <w:rsid w:val="005F779D"/>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5F779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F779D"/>
    <w:pPr>
      <w:spacing w:before="0"/>
      <w:jc w:val="right"/>
    </w:pPr>
    <w:rPr>
      <w:sz w:val="28"/>
    </w:rPr>
  </w:style>
  <w:style w:type="paragraph" w:customStyle="1" w:styleId="FooterSensitivity">
    <w:name w:val="Footer Sensitivity"/>
    <w:basedOn w:val="Normal"/>
    <w:rsid w:val="005F779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Tiret5">
    <w:name w:val="Tiret 5"/>
    <w:basedOn w:val="Point5"/>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NumPar5">
    <w:name w:val="NumPar 5"/>
    <w:basedOn w:val="Normal"/>
    <w:next w:val="Text2"/>
    <w:pPr>
      <w:numPr>
        <w:ilvl w:val="4"/>
        <w:numId w:val="35"/>
      </w:numPr>
    </w:pPr>
  </w:style>
  <w:style w:type="paragraph" w:customStyle="1" w:styleId="NumPar6">
    <w:name w:val="NumPar 6"/>
    <w:basedOn w:val="Normal"/>
    <w:next w:val="Text2"/>
    <w:pPr>
      <w:numPr>
        <w:ilvl w:val="5"/>
        <w:numId w:val="35"/>
      </w:numPr>
    </w:pPr>
  </w:style>
  <w:style w:type="paragraph" w:customStyle="1" w:styleId="NumPar7">
    <w:name w:val="NumPar 7"/>
    <w:basedOn w:val="Normal"/>
    <w:next w:val="Text2"/>
    <w:pPr>
      <w:numPr>
        <w:ilvl w:val="6"/>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F779D"/>
    <w:pPr>
      <w:tabs>
        <w:tab w:val="center" w:pos="4535"/>
        <w:tab w:val="right" w:pos="9071"/>
      </w:tabs>
      <w:spacing w:before="0"/>
    </w:pPr>
  </w:style>
  <w:style w:type="paragraph" w:customStyle="1" w:styleId="HeaderLandscape">
    <w:name w:val="HeaderLandscape"/>
    <w:basedOn w:val="Normal"/>
    <w:rsid w:val="005F779D"/>
    <w:pPr>
      <w:tabs>
        <w:tab w:val="center" w:pos="7285"/>
        <w:tab w:val="right" w:pos="14003"/>
      </w:tabs>
      <w:spacing w:before="0"/>
    </w:pPr>
  </w:style>
  <w:style w:type="paragraph" w:styleId="Footer">
    <w:name w:val="footer"/>
    <w:basedOn w:val="Normal"/>
    <w:link w:val="FooterChar"/>
    <w:uiPriority w:val="99"/>
    <w:unhideWhenUsed/>
    <w:rsid w:val="005F779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F779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52114">
      <w:bodyDiv w:val="1"/>
      <w:marLeft w:val="0"/>
      <w:marRight w:val="0"/>
      <w:marTop w:val="0"/>
      <w:marBottom w:val="0"/>
      <w:divBdr>
        <w:top w:val="none" w:sz="0" w:space="0" w:color="auto"/>
        <w:left w:val="none" w:sz="0" w:space="0" w:color="auto"/>
        <w:bottom w:val="none" w:sz="0" w:space="0" w:color="auto"/>
        <w:right w:val="none" w:sz="0" w:space="0" w:color="auto"/>
      </w:divBdr>
    </w:div>
    <w:div w:id="16114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corp/budget/financial-rules/budget-implementation/Pages/implementation-methods.aspx" TargetMode="External"/><Relationship Id="rId3" Type="http://schemas.openxmlformats.org/officeDocument/2006/relationships/hyperlink" Target="http://data.europa.eu/eli/reg/2021/697/2024-03-01" TargetMode="External"/><Relationship Id="rId7" Type="http://schemas.openxmlformats.org/officeDocument/2006/relationships/hyperlink" Target="http://data.europa.eu/eli/reg/2021/1058/2024-12-24" TargetMode="External"/><Relationship Id="rId2" Type="http://schemas.openxmlformats.org/officeDocument/2006/relationships/hyperlink" Target="http://data.europa.eu/eli/reg/2021/695/2024-03-01" TargetMode="External"/><Relationship Id="rId1" Type="http://schemas.openxmlformats.org/officeDocument/2006/relationships/hyperlink" Target="http://data.europa.eu/eli/reg/2024/795/oj" TargetMode="External"/><Relationship Id="rId6" Type="http://schemas.openxmlformats.org/officeDocument/2006/relationships/hyperlink" Target="http://data.europa.eu/eli/reg/2021/1153/2024-07-18" TargetMode="External"/><Relationship Id="rId5" Type="http://schemas.openxmlformats.org/officeDocument/2006/relationships/hyperlink" Target="http://data.europa.eu/eli/reg/2023/1525/oj" TargetMode="External"/><Relationship Id="rId4" Type="http://schemas.openxmlformats.org/officeDocument/2006/relationships/hyperlink" Target="http://data.europa.eu/eli/reg/2021/694/2023-09-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3B2E916E6904188272E2F20C1BAD7" ma:contentTypeVersion="6" ma:contentTypeDescription="Create a new document." ma:contentTypeScope="" ma:versionID="5ea1a0c96d0062ef89936766832e91b9">
  <xsd:schema xmlns:xsd="http://www.w3.org/2001/XMLSchema" xmlns:xs="http://www.w3.org/2001/XMLSchema" xmlns:p="http://schemas.microsoft.com/office/2006/metadata/properties" xmlns:ns2="994aca8e-2a71-466d-9f88-e7060bf4dced" xmlns:ns3="7058b7d0-6f54-43d0-ac9b-f95b90dfb0dc" targetNamespace="http://schemas.microsoft.com/office/2006/metadata/properties" ma:root="true" ma:fieldsID="76e1ca3920eb322ea55564cd1653970a" ns2:_="" ns3:_="">
    <xsd:import namespace="994aca8e-2a71-466d-9f88-e7060bf4dced"/>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aca8e-2a71-466d-9f88-e7060bf4d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F9F35-0030-4249-BC45-1C01E74C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aca8e-2a71-466d-9f88-e7060bf4dced"/>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A964E-AB0E-43CC-8230-5A3F108B7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8BE87-CB6B-4050-8201-0C7CE37F3D02}">
  <ds:schemaRefs>
    <ds:schemaRef ds:uri="http://schemas.microsoft.com/sharepoint/v3/contenttype/forms"/>
  </ds:schemaRefs>
</ds:datastoreItem>
</file>

<file path=customXml/itemProps4.xml><?xml version="1.0" encoding="utf-8"?>
<ds:datastoreItem xmlns:ds="http://schemas.openxmlformats.org/officeDocument/2006/customXml" ds:itemID="{2B323F3D-8351-4E1F-A77C-22B3D54C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17</Pages>
  <Words>10832</Words>
  <Characters>61744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2025-04-15T13:37:00Z</dcterms:created>
  <dcterms:modified xsi:type="dcterms:W3CDTF">2025-06-03T05:44:00Z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2025-04-08T13:27:06Z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fa27efc0-5c3d-4cd4-ab34-d070f692d338</vt:lpwstr>
  </property>
  <property fmtid="{D5CDD505-2E9C-101B-9397-08002B2CF9AE}" pid="16" name="MSIP_Label_6bd9ddd1-4d20-43f6-abfa-fc3c07406f94_ContentBits">
    <vt:lpwstr>0</vt:lpwstr>
  </property>
  <property fmtid="{D5CDD505-2E9C-101B-9397-08002B2CF9AE}" pid="17" name="ContentTypeId">
    <vt:lpwstr>0x0101006233B2E916E6904188272E2F20C1BAD7</vt:lpwstr>
  </property>
  <property fmtid="{D5CDD505-2E9C-101B-9397-08002B2CF9AE}" pid="18" name="DQCStatus">
    <vt:lpwstr>Green (DQC version 03)</vt:lpwstr>
  </property>
</Properties>
</file>