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BF2" w:rsidRPr="00CF256F" w:rsidRDefault="008B497F" w:rsidP="008B497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F71F0BC-8025-4681-8FE2-E360D9859A7C" style="width:455.25pt;height:369.75pt">
            <v:imagedata r:id="rId11" o:title=""/>
          </v:shape>
        </w:pict>
      </w:r>
    </w:p>
    <w:p w:rsidR="00A93BF2" w:rsidRPr="00CF256F" w:rsidRDefault="00A93BF2" w:rsidP="00A93BF2">
      <w:pPr>
        <w:rPr>
          <w:noProof/>
        </w:rPr>
        <w:sectPr w:rsidR="00A93BF2" w:rsidRPr="00CF256F" w:rsidSect="008B497F">
          <w:footerReference w:type="even" r:id="rId12"/>
          <w:footerReference w:type="default" r:id="rId13"/>
          <w:pgSz w:w="11907" w:h="16839"/>
          <w:pgMar w:top="1134" w:right="1417" w:bottom="1134" w:left="1417" w:header="709" w:footer="709" w:gutter="0"/>
          <w:pgNumType w:start="0"/>
          <w:cols w:space="720"/>
          <w:docGrid w:linePitch="360"/>
        </w:sectPr>
      </w:pPr>
    </w:p>
    <w:p w:rsidR="00A93BF2" w:rsidRPr="00CF256F" w:rsidRDefault="00A93BF2">
      <w:pPr>
        <w:pStyle w:val="Exposdesmotifstitre"/>
        <w:rPr>
          <w:noProof/>
        </w:rPr>
      </w:pPr>
      <w:bookmarkStart w:id="0" w:name="_GoBack"/>
      <w:bookmarkEnd w:id="0"/>
      <w:r w:rsidRPr="00CF256F">
        <w:rPr>
          <w:noProof/>
        </w:rPr>
        <w:lastRenderedPageBreak/>
        <w:t>OBRAZLOŽENJE</w:t>
      </w:r>
    </w:p>
    <w:p w:rsidR="00A93BF2" w:rsidRPr="00CF256F" w:rsidRDefault="00521148" w:rsidP="00521148">
      <w:pPr>
        <w:pStyle w:val="ManualHeading1"/>
        <w:rPr>
          <w:rFonts w:eastAsia="Arial Unicode MS"/>
          <w:noProof/>
        </w:rPr>
      </w:pPr>
      <w:r w:rsidRPr="00521148">
        <w:rPr>
          <w:noProof/>
        </w:rPr>
        <w:t>1.</w:t>
      </w:r>
      <w:r w:rsidRPr="00521148">
        <w:rPr>
          <w:noProof/>
        </w:rPr>
        <w:tab/>
      </w:r>
      <w:r w:rsidR="00A93BF2" w:rsidRPr="00CF256F">
        <w:rPr>
          <w:noProof/>
        </w:rPr>
        <w:t>Predmet prijedloga</w:t>
      </w:r>
    </w:p>
    <w:p w:rsidR="002F4C1C" w:rsidRPr="00CF256F" w:rsidRDefault="002F4C1C" w:rsidP="002F4C1C">
      <w:pPr>
        <w:rPr>
          <w:rFonts w:eastAsia="Arial Unicode MS"/>
          <w:noProof/>
        </w:rPr>
      </w:pPr>
      <w:r w:rsidRPr="00CF256F">
        <w:rPr>
          <w:noProof/>
        </w:rPr>
        <w:t>Ovaj se prijedlog odnosi na odluku kojom se utvrđuje stajalište koje treba zauzeti u ime Unije u okviru Međunarodnog vijeća za žitarice (IGC) u vezi s predviđenom izmjenom Poslovnika Konvencije o trgovini žitaricama iz 1995. („Konvencija”) u pogledu utvrđivanja novih pravila o donošenju odluka pisanim postupkom i pristupu članova arhivu IGC-a.</w:t>
      </w:r>
    </w:p>
    <w:p w:rsidR="00A93BF2" w:rsidRPr="00CF256F" w:rsidRDefault="00521148" w:rsidP="00521148">
      <w:pPr>
        <w:pStyle w:val="ManualHeading1"/>
        <w:rPr>
          <w:noProof/>
        </w:rPr>
      </w:pPr>
      <w:r w:rsidRPr="00521148">
        <w:rPr>
          <w:noProof/>
        </w:rPr>
        <w:t>2.</w:t>
      </w:r>
      <w:r w:rsidRPr="00521148">
        <w:rPr>
          <w:noProof/>
        </w:rPr>
        <w:tab/>
      </w:r>
      <w:r w:rsidR="00A93BF2" w:rsidRPr="00CF256F">
        <w:rPr>
          <w:noProof/>
        </w:rPr>
        <w:t>Kontekst prijedloga</w:t>
      </w:r>
    </w:p>
    <w:p w:rsidR="00A93BF2" w:rsidRPr="00CF256F" w:rsidRDefault="00521148" w:rsidP="00521148">
      <w:pPr>
        <w:pStyle w:val="ManualHeading2"/>
        <w:rPr>
          <w:noProof/>
        </w:rPr>
      </w:pPr>
      <w:r w:rsidRPr="00521148">
        <w:rPr>
          <w:noProof/>
        </w:rPr>
        <w:t>2.1.</w:t>
      </w:r>
      <w:r w:rsidRPr="00521148">
        <w:rPr>
          <w:noProof/>
        </w:rPr>
        <w:tab/>
      </w:r>
      <w:r w:rsidR="00A93BF2" w:rsidRPr="00CF256F">
        <w:rPr>
          <w:noProof/>
        </w:rPr>
        <w:t>Konvencija o trgovini žitaricama iz 1995.</w:t>
      </w:r>
    </w:p>
    <w:p w:rsidR="002F4C1C" w:rsidRPr="00CF256F" w:rsidRDefault="002F4C1C" w:rsidP="002F4C1C">
      <w:pPr>
        <w:rPr>
          <w:rFonts w:eastAsia="Arial Unicode MS"/>
          <w:noProof/>
        </w:rPr>
      </w:pPr>
      <w:r w:rsidRPr="00CF256F">
        <w:rPr>
          <w:noProof/>
        </w:rPr>
        <w:t>Cilj je Konvencije unaprijediti međunarodnu suradnju u svim aspektima trgovine žitaricama, promicati širenje međunarodne trgovine žitaricama i osigurati najveću moguću slobodu tih trgovinskih tokova. Osim toga, cilj je Konvencije u najvećoj mogućoj mjeri pridonijeti stabilnosti međunarodnih tržišta žitarica u interesu svih članova, poboljšati svjetsku sigurnost opskrbe hranom te djelovati kao forum za razmjenu informacija i raspravu o problemima povezanima s trgovinom žitaricama koje iznesu članovi.</w:t>
      </w:r>
    </w:p>
    <w:p w:rsidR="002F4C1C" w:rsidRPr="00CF256F" w:rsidRDefault="002F4C1C" w:rsidP="002F4C1C">
      <w:pPr>
        <w:rPr>
          <w:rFonts w:eastAsia="Arial Unicode MS"/>
          <w:noProof/>
        </w:rPr>
      </w:pPr>
      <w:r w:rsidRPr="00CF256F">
        <w:rPr>
          <w:noProof/>
        </w:rPr>
        <w:t xml:space="preserve">Konvencija je stupila na snagu 1. srpnja 1995. </w:t>
      </w:r>
    </w:p>
    <w:p w:rsidR="002F4C1C" w:rsidRPr="00CF256F" w:rsidRDefault="002F4C1C" w:rsidP="002F4C1C">
      <w:pPr>
        <w:rPr>
          <w:rFonts w:eastAsia="Arial Unicode MS"/>
          <w:noProof/>
        </w:rPr>
      </w:pPr>
      <w:r w:rsidRPr="00CF256F">
        <w:rPr>
          <w:noProof/>
        </w:rPr>
        <w:t>Europska unija je stranka Konvencije</w:t>
      </w:r>
      <w:r w:rsidRPr="00CF256F">
        <w:rPr>
          <w:rStyle w:val="FootnoteReference"/>
          <w:rFonts w:eastAsia="Arial Unicode MS"/>
          <w:noProof/>
        </w:rPr>
        <w:footnoteReference w:id="2"/>
      </w:r>
      <w:r w:rsidRPr="00CF256F">
        <w:rPr>
          <w:noProof/>
        </w:rPr>
        <w:t>.</w:t>
      </w:r>
    </w:p>
    <w:p w:rsidR="002F4C1C" w:rsidRPr="00CF256F" w:rsidRDefault="002F4C1C" w:rsidP="002F4C1C">
      <w:pPr>
        <w:rPr>
          <w:rFonts w:eastAsia="Arial Unicode MS"/>
          <w:noProof/>
        </w:rPr>
      </w:pPr>
      <w:r w:rsidRPr="00CF256F">
        <w:rPr>
          <w:noProof/>
        </w:rPr>
        <w:t xml:space="preserve">Konvencija je sklopljena na razdoblje od tri godine, do 30. lipnja 1998., i otad je IGC redovito produljuje. Konvencija se svaki put produljuje za najviše dvije godine u skladu s njezinim člankom 33. Zadnji je put produljena odlukom Međunarodnog vijeća za žitarice 14. lipnja 2023. i na snazi je do 30. lipnja 2025. </w:t>
      </w:r>
    </w:p>
    <w:p w:rsidR="002F4C1C" w:rsidRPr="00CF256F" w:rsidRDefault="002F4C1C" w:rsidP="002F4C1C">
      <w:pPr>
        <w:rPr>
          <w:rFonts w:eastAsia="Arial Unicode MS"/>
          <w:noProof/>
        </w:rPr>
      </w:pPr>
      <w:r w:rsidRPr="00CF256F">
        <w:rPr>
          <w:noProof/>
        </w:rPr>
        <w:t>Daljnje produljenje Konvencije do 30. lipnja 2027. planirano je za 12. lipnja 2025.</w:t>
      </w:r>
    </w:p>
    <w:p w:rsidR="002F4C1C" w:rsidRPr="00CF256F" w:rsidRDefault="002F4C1C" w:rsidP="002F4C1C">
      <w:pPr>
        <w:rPr>
          <w:rFonts w:eastAsia="Arial Unicode MS"/>
          <w:noProof/>
        </w:rPr>
      </w:pPr>
      <w:r w:rsidRPr="00CF256F">
        <w:rPr>
          <w:noProof/>
        </w:rPr>
        <w:t>U Poslovniku Konvencije utvrđena su detaljna pravila za provedbu Konvencije i rad Međunarodnog vijeća za žitarice.</w:t>
      </w:r>
    </w:p>
    <w:p w:rsidR="002F4C1C" w:rsidRPr="00CF256F" w:rsidRDefault="002F4C1C" w:rsidP="002F4C1C">
      <w:pPr>
        <w:rPr>
          <w:rFonts w:eastAsia="Arial Unicode MS"/>
          <w:noProof/>
        </w:rPr>
      </w:pPr>
    </w:p>
    <w:p w:rsidR="00A93BF2" w:rsidRPr="00CF256F" w:rsidRDefault="00521148" w:rsidP="00521148">
      <w:pPr>
        <w:pStyle w:val="ManualHeading2"/>
        <w:rPr>
          <w:noProof/>
        </w:rPr>
      </w:pPr>
      <w:r w:rsidRPr="00521148">
        <w:rPr>
          <w:noProof/>
        </w:rPr>
        <w:t>2.2.</w:t>
      </w:r>
      <w:r w:rsidRPr="00521148">
        <w:rPr>
          <w:noProof/>
        </w:rPr>
        <w:tab/>
      </w:r>
      <w:r w:rsidR="00A93BF2" w:rsidRPr="00CF256F">
        <w:rPr>
          <w:noProof/>
        </w:rPr>
        <w:t>Međunarodno vijeće za žitarice</w:t>
      </w:r>
    </w:p>
    <w:p w:rsidR="002F4C1C" w:rsidRPr="00CF256F" w:rsidRDefault="002F4C1C" w:rsidP="002F4C1C">
      <w:pPr>
        <w:rPr>
          <w:rFonts w:eastAsia="Arial Unicode MS"/>
          <w:noProof/>
        </w:rPr>
      </w:pPr>
      <w:r w:rsidRPr="00CF256F">
        <w:rPr>
          <w:noProof/>
        </w:rPr>
        <w:t>IGC je međuvladina organizacija koja nastoji ostvariti ciljeve utvrđene u članku 1. Konvencije. IGC je posebno usmjeren na:</w:t>
      </w:r>
    </w:p>
    <w:p w:rsidR="002F4C1C" w:rsidRPr="00CF256F" w:rsidRDefault="002F4C1C" w:rsidP="00DC63D9">
      <w:pPr>
        <w:pStyle w:val="Bullet0"/>
        <w:numPr>
          <w:ilvl w:val="0"/>
          <w:numId w:val="1"/>
        </w:numPr>
        <w:rPr>
          <w:noProof/>
        </w:rPr>
      </w:pPr>
      <w:r w:rsidRPr="00CF256F">
        <w:rPr>
          <w:noProof/>
        </w:rPr>
        <w:t>unapređenje međunarodne suradnje u svim aspektima trgovine žitaricama;</w:t>
      </w:r>
    </w:p>
    <w:p w:rsidR="002F4C1C" w:rsidRPr="00CF256F" w:rsidRDefault="002F4C1C" w:rsidP="00DC63D9">
      <w:pPr>
        <w:pStyle w:val="Bullet0"/>
        <w:numPr>
          <w:ilvl w:val="0"/>
          <w:numId w:val="1"/>
        </w:numPr>
        <w:rPr>
          <w:noProof/>
        </w:rPr>
      </w:pPr>
      <w:r w:rsidRPr="00CF256F">
        <w:rPr>
          <w:noProof/>
        </w:rPr>
        <w:t>promicanje širenja, otvorenosti i pravičnosti međunarodne trgovine žitaricama;</w:t>
      </w:r>
    </w:p>
    <w:p w:rsidR="002F4C1C" w:rsidRPr="00CF256F" w:rsidRDefault="002F4C1C" w:rsidP="00DC63D9">
      <w:pPr>
        <w:pStyle w:val="Bullet0"/>
        <w:numPr>
          <w:ilvl w:val="0"/>
          <w:numId w:val="1"/>
        </w:numPr>
        <w:rPr>
          <w:noProof/>
        </w:rPr>
      </w:pPr>
      <w:r w:rsidRPr="00CF256F">
        <w:rPr>
          <w:noProof/>
        </w:rPr>
        <w:t>doprinos stabilnosti međunarodnog tržišta žitarica, poboljšanje svjetske sigurnosti opskrbe hranom i doprinos razvoju zemalja čija gospodarstva ovise o komercijalnoj prodaji žitarica.</w:t>
      </w:r>
    </w:p>
    <w:p w:rsidR="002F4C1C" w:rsidRPr="00CF256F" w:rsidRDefault="002F4C1C" w:rsidP="002F4C1C">
      <w:pPr>
        <w:rPr>
          <w:rFonts w:eastAsia="Arial Unicode MS"/>
          <w:noProof/>
        </w:rPr>
      </w:pPr>
      <w:r w:rsidRPr="00CF256F">
        <w:rPr>
          <w:noProof/>
        </w:rPr>
        <w:t>Ti se ciljevi nastoje postići povećanjem transparentnosti tržišta putem razmjene informacija, analiza i savjetovanja o razvoju tržišta i politika.</w:t>
      </w:r>
    </w:p>
    <w:p w:rsidR="002F4C1C" w:rsidRPr="00CF256F" w:rsidRDefault="002F4C1C" w:rsidP="002F4C1C">
      <w:pPr>
        <w:rPr>
          <w:noProof/>
        </w:rPr>
      </w:pPr>
      <w:r w:rsidRPr="00CF256F">
        <w:rPr>
          <w:noProof/>
        </w:rPr>
        <w:t xml:space="preserve">IGC ima 30 članova, među kojima su mnogi od najvećih svjetskih proizvođača i uvoznika žitarica. Uz Europsku uniju među njegovim su članovima Argentina, Australija, Kanada, Indija, Japan, Rusija, Ukrajina, Ujedinjena Kraljevina i Sjedinjene Američke Države. S druge strane, Kina i Brazil nisu članovi. </w:t>
      </w:r>
    </w:p>
    <w:p w:rsidR="002F4C1C" w:rsidRPr="00CF256F" w:rsidRDefault="002F4C1C" w:rsidP="002F4C1C">
      <w:pPr>
        <w:rPr>
          <w:noProof/>
        </w:rPr>
      </w:pPr>
      <w:r w:rsidRPr="00CF256F">
        <w:rPr>
          <w:noProof/>
        </w:rPr>
        <w:t xml:space="preserve">Svih 30 članova IGC-a ima ukupno 2000 glasova. </w:t>
      </w:r>
    </w:p>
    <w:p w:rsidR="002F4C1C" w:rsidRPr="00CF256F" w:rsidRDefault="002F4C1C" w:rsidP="002F4C1C">
      <w:pPr>
        <w:rPr>
          <w:noProof/>
        </w:rPr>
      </w:pPr>
      <w:r w:rsidRPr="00CF256F">
        <w:rPr>
          <w:noProof/>
        </w:rPr>
        <w:t>Kad je riječ o proračunskim postupcima (vidjeti članak 11. Konvencije), tj. utvrđivanju godišnjih financijskih doprinosa članova, Unija u 2024./2025.</w:t>
      </w:r>
      <w:r w:rsidRPr="00CF256F">
        <w:rPr>
          <w:rStyle w:val="FootnoteReference"/>
          <w:noProof/>
        </w:rPr>
        <w:footnoteReference w:id="3"/>
      </w:r>
      <w:r w:rsidRPr="00CF256F">
        <w:rPr>
          <w:noProof/>
        </w:rPr>
        <w:t xml:space="preserve"> ima 375 glasova. </w:t>
      </w:r>
    </w:p>
    <w:p w:rsidR="002F4C1C" w:rsidRPr="00CF256F" w:rsidRDefault="002F4C1C" w:rsidP="002F4C1C">
      <w:pPr>
        <w:rPr>
          <w:noProof/>
        </w:rPr>
      </w:pPr>
      <w:r w:rsidRPr="00CF256F">
        <w:rPr>
          <w:noProof/>
        </w:rPr>
        <w:t>Za donošenje odluka, tj. za glasovanje (vidjeti članak 12. Konvencije), 1000 glasova dijeli se na 11 članova izvoznika (uključujući Uniju s 240 glasova), a preostalih 1000 glasova na 19 članova uvoznika. Treba naglasiti da IGC u načelu djeluje na temelju konsenzusa i da je glasovanje zapravo vrlo rijetko.</w:t>
      </w:r>
    </w:p>
    <w:p w:rsidR="002F4C1C" w:rsidRPr="00CF256F" w:rsidRDefault="002F4C1C" w:rsidP="002F4C1C">
      <w:pPr>
        <w:rPr>
          <w:noProof/>
        </w:rPr>
      </w:pPr>
      <w:r w:rsidRPr="00CF256F">
        <w:rPr>
          <w:noProof/>
        </w:rPr>
        <w:t>Na sastancima Međunarodnog vijeća za žitarice Europsku uniju zastupa Europska komisija. Države članice mogu prisustvovati sastancima IGC-a, a posebno njegovim sjednicama.</w:t>
      </w:r>
    </w:p>
    <w:p w:rsidR="00A93BF2" w:rsidRPr="00CF256F" w:rsidRDefault="00521148" w:rsidP="00521148">
      <w:pPr>
        <w:pStyle w:val="ManualHeading2"/>
        <w:rPr>
          <w:noProof/>
        </w:rPr>
      </w:pPr>
      <w:r w:rsidRPr="00521148">
        <w:rPr>
          <w:noProof/>
        </w:rPr>
        <w:t>2.3.</w:t>
      </w:r>
      <w:r w:rsidRPr="00521148">
        <w:rPr>
          <w:noProof/>
        </w:rPr>
        <w:tab/>
      </w:r>
      <w:r w:rsidR="00A93BF2" w:rsidRPr="00CF256F">
        <w:rPr>
          <w:noProof/>
        </w:rPr>
        <w:t>Predviđeni akti Međunarodnog vijeća za žitarice</w:t>
      </w:r>
    </w:p>
    <w:p w:rsidR="008D2095" w:rsidRPr="00CF256F" w:rsidRDefault="00521148" w:rsidP="00521148">
      <w:pPr>
        <w:pStyle w:val="ManualHeading3"/>
        <w:rPr>
          <w:noProof/>
        </w:rPr>
      </w:pPr>
      <w:r w:rsidRPr="00521148">
        <w:rPr>
          <w:noProof/>
        </w:rPr>
        <w:t>2.3.1.</w:t>
      </w:r>
      <w:r w:rsidRPr="00521148">
        <w:rPr>
          <w:noProof/>
        </w:rPr>
        <w:tab/>
      </w:r>
      <w:r w:rsidR="00A93BF2" w:rsidRPr="00CF256F">
        <w:rPr>
          <w:noProof/>
        </w:rPr>
        <w:t xml:space="preserve"> Donošenje odluka Vijeća pisanim postupkom</w:t>
      </w:r>
    </w:p>
    <w:p w:rsidR="008D2095" w:rsidRPr="00CF256F" w:rsidRDefault="008D2095" w:rsidP="008D2095">
      <w:pPr>
        <w:rPr>
          <w:rFonts w:eastAsia="Arial Unicode MS"/>
          <w:noProof/>
        </w:rPr>
      </w:pPr>
      <w:r w:rsidRPr="00CF256F">
        <w:rPr>
          <w:noProof/>
        </w:rPr>
        <w:t xml:space="preserve">Proteklih godina nekoliko je odluka IGC-a doneseno pisanim postupkom, no u Poslovniku nisu utvrđena jasna pravila za to. Stoga je na sastanku Upravnog odbora IGC-a 2. svibnja 2024. EU zatražio da se utvrdi postupak za donošenje odluka Vijeća pisanim postupkom.   </w:t>
      </w:r>
    </w:p>
    <w:p w:rsidR="008D2095" w:rsidRPr="00CF256F" w:rsidRDefault="008D2095" w:rsidP="008D2095">
      <w:pPr>
        <w:rPr>
          <w:rFonts w:eastAsia="Arial Unicode MS"/>
          <w:noProof/>
        </w:rPr>
      </w:pPr>
      <w:r w:rsidRPr="00CF256F">
        <w:rPr>
          <w:noProof/>
        </w:rPr>
        <w:t>Tajništvo IGC-a predstavilo je prvi nacrt prijedloga</w:t>
      </w:r>
      <w:r w:rsidRPr="00CF256F">
        <w:rPr>
          <w:rStyle w:val="FootnoteReference"/>
          <w:rFonts w:eastAsia="Arial Unicode MS"/>
          <w:noProof/>
        </w:rPr>
        <w:footnoteReference w:id="4"/>
      </w:r>
      <w:r w:rsidRPr="00CF256F">
        <w:rPr>
          <w:noProof/>
        </w:rPr>
        <w:t xml:space="preserve"> na sastanku Upravnog odbora održanom 11. prosinca 2024. Upravni odbor odobrio je prosljeđivanje nacrta prijedloga</w:t>
      </w:r>
      <w:r w:rsidRPr="00CF256F">
        <w:rPr>
          <w:rStyle w:val="FootnoteReference"/>
          <w:rFonts w:eastAsia="Arial Unicode MS"/>
          <w:noProof/>
        </w:rPr>
        <w:footnoteReference w:id="5"/>
      </w:r>
      <w:r w:rsidRPr="00CF256F">
        <w:rPr>
          <w:noProof/>
        </w:rPr>
        <w:t xml:space="preserve"> u informativne svrhe na 61. sjednici IGC-a zakazanoj za 23. siječnja 2025. </w:t>
      </w:r>
    </w:p>
    <w:p w:rsidR="008D2095" w:rsidRPr="00CF256F" w:rsidRDefault="008D2095" w:rsidP="008D2095">
      <w:pPr>
        <w:rPr>
          <w:rFonts w:eastAsia="Arial Unicode MS"/>
          <w:noProof/>
        </w:rPr>
      </w:pPr>
      <w:r w:rsidRPr="00CF256F">
        <w:rPr>
          <w:noProof/>
        </w:rPr>
        <w:t xml:space="preserve">Prijedlog („predviđeni akt”), koji se prema potrebi može preispitati, uvrstit će se na dnevni red 62. sjednice IGC-a zakazane za 12. lipnja 2025. radi donošenja odluke.  </w:t>
      </w:r>
    </w:p>
    <w:p w:rsidR="008D2095" w:rsidRPr="00CF256F" w:rsidRDefault="008D2095" w:rsidP="008D2095">
      <w:pPr>
        <w:rPr>
          <w:rFonts w:eastAsia="Arial Unicode MS"/>
          <w:noProof/>
        </w:rPr>
      </w:pPr>
      <w:r w:rsidRPr="00CF256F">
        <w:rPr>
          <w:noProof/>
        </w:rPr>
        <w:t xml:space="preserve">U skladu s prijedlogom, koji se temelji na članku 14. (Odluke) Konvencije, izmijenit će se pravilo 19. (Sjednice Vijeća: glasovanje) i pravilo 20. (Upravni odbor) Poslovnika.  </w:t>
      </w:r>
    </w:p>
    <w:p w:rsidR="008D2095" w:rsidRPr="00CF256F" w:rsidRDefault="008D2095" w:rsidP="008D2095">
      <w:pPr>
        <w:rPr>
          <w:rFonts w:eastAsia="Arial Unicode MS"/>
          <w:noProof/>
        </w:rPr>
      </w:pPr>
      <w:r w:rsidRPr="00CF256F">
        <w:rPr>
          <w:noProof/>
        </w:rPr>
        <w:t xml:space="preserve">U pravilo 19. umetnut će se nova točka </w:t>
      </w:r>
      <w:r w:rsidRPr="00CF256F">
        <w:rPr>
          <w:i/>
          <w:noProof/>
        </w:rPr>
        <w:t>(c) Donošenje odluka pisanim postupkom</w:t>
      </w:r>
      <w:r w:rsidRPr="00CF256F">
        <w:rPr>
          <w:noProof/>
        </w:rPr>
        <w:t xml:space="preserve">, a pravilu 20. dodat će se nova točka </w:t>
      </w:r>
      <w:r w:rsidRPr="00CF256F">
        <w:rPr>
          <w:i/>
          <w:noProof/>
        </w:rPr>
        <w:t>(d) Donošenje odluke pisanim postupkom</w:t>
      </w:r>
      <w:r w:rsidRPr="00CF256F">
        <w:rPr>
          <w:noProof/>
        </w:rPr>
        <w:t xml:space="preserve">.  </w:t>
      </w:r>
    </w:p>
    <w:p w:rsidR="008D2095" w:rsidRPr="00CF256F" w:rsidRDefault="008D2095" w:rsidP="008D2095">
      <w:pPr>
        <w:rPr>
          <w:rFonts w:eastAsia="Arial Unicode MS"/>
          <w:noProof/>
        </w:rPr>
      </w:pPr>
      <w:r w:rsidRPr="00CF256F">
        <w:rPr>
          <w:noProof/>
        </w:rPr>
        <w:t>Predviđenim aktom, koji se nadovezuje na zahtjev EU-a, utvrdit će se jasna pravila o uvjetima za donošenje odluka IGC-a pisanim postupkom.</w:t>
      </w:r>
    </w:p>
    <w:p w:rsidR="000B096D" w:rsidRPr="00CF256F" w:rsidRDefault="000B096D">
      <w:pPr>
        <w:rPr>
          <w:rFonts w:eastAsia="Arial Unicode MS"/>
          <w:noProof/>
        </w:rPr>
      </w:pPr>
    </w:p>
    <w:p w:rsidR="00FA3698" w:rsidRPr="00CF256F" w:rsidRDefault="00521148" w:rsidP="00521148">
      <w:pPr>
        <w:pStyle w:val="ManualHeading3"/>
        <w:rPr>
          <w:rFonts w:eastAsia="Arial Unicode MS"/>
          <w:noProof/>
        </w:rPr>
      </w:pPr>
      <w:bookmarkStart w:id="1" w:name="_Hlk189220537"/>
      <w:r w:rsidRPr="00521148">
        <w:rPr>
          <w:noProof/>
        </w:rPr>
        <w:t>2.3.2.</w:t>
      </w:r>
      <w:r w:rsidRPr="00521148">
        <w:rPr>
          <w:noProof/>
        </w:rPr>
        <w:tab/>
      </w:r>
      <w:r w:rsidR="00FA3698" w:rsidRPr="00CF256F">
        <w:rPr>
          <w:noProof/>
        </w:rPr>
        <w:t>Pristup članova arhivu IGC-a</w:t>
      </w:r>
    </w:p>
    <w:bookmarkEnd w:id="1"/>
    <w:p w:rsidR="00FA3698" w:rsidRPr="00CF256F" w:rsidRDefault="00FA3698" w:rsidP="00FA3698">
      <w:pPr>
        <w:rPr>
          <w:noProof/>
        </w:rPr>
      </w:pPr>
    </w:p>
    <w:p w:rsidR="00FA3698" w:rsidRPr="00CF256F" w:rsidRDefault="00FA3698" w:rsidP="00FA3698">
      <w:pPr>
        <w:pStyle w:val="Text1"/>
        <w:ind w:left="0"/>
        <w:rPr>
          <w:noProof/>
        </w:rPr>
      </w:pPr>
      <w:r w:rsidRPr="00CF256F">
        <w:rPr>
          <w:noProof/>
        </w:rPr>
        <w:t>U skladu s člankom 20. (Povlastice i imuniteti) Konvencije „status, povlastice i imunitete Vijeća na području Ujedinjene Kraljevine uređuje Sporazum o sjedištu između vlade Ujedinjene Kraljevine Velike Britanije i Sjeverne Irske i Međunarodnog vijeća za pšenicu”.</w:t>
      </w:r>
      <w:r w:rsidRPr="00CF256F">
        <w:rPr>
          <w:i/>
          <w:noProof/>
        </w:rPr>
        <w:t xml:space="preserve"> </w:t>
      </w:r>
      <w:r w:rsidRPr="00CF256F">
        <w:rPr>
          <w:noProof/>
        </w:rPr>
        <w:t>U skladu s člankom 6. Sporazuma o sjedištu arhiv Organizacije (IGC) je nepovrediv.</w:t>
      </w:r>
    </w:p>
    <w:p w:rsidR="00FA3698" w:rsidRPr="00CF256F" w:rsidRDefault="00FA3698" w:rsidP="00FA3698">
      <w:pPr>
        <w:pStyle w:val="Text1"/>
        <w:ind w:left="0"/>
        <w:rPr>
          <w:noProof/>
        </w:rPr>
      </w:pPr>
      <w:r w:rsidRPr="00CF256F">
        <w:rPr>
          <w:noProof/>
        </w:rPr>
        <w:t xml:space="preserve">Zbog slučaja neovlaštenog pristupa internetskim stranicama članova IGC-a zabilježenog 2024. i nakon što je potvrdilo da bi u određenim slučajevima trebalo razmotriti iznimke od nepovredivosti arhiva IGC-a, Tajništvo IGC-a predložilo je da se u Poslovnik umetne novo pravilo 26. </w:t>
      </w:r>
    </w:p>
    <w:p w:rsidR="00FA3698" w:rsidRPr="00CF256F" w:rsidRDefault="00FA3698" w:rsidP="00FA3698">
      <w:pPr>
        <w:pStyle w:val="Text1"/>
        <w:ind w:left="0"/>
        <w:rPr>
          <w:noProof/>
        </w:rPr>
      </w:pPr>
      <w:r w:rsidRPr="00CF256F">
        <w:rPr>
          <w:noProof/>
        </w:rPr>
        <w:t>Prvi nacrt prijedloga</w:t>
      </w:r>
      <w:r w:rsidRPr="00CF256F">
        <w:rPr>
          <w:rStyle w:val="FootnoteReference"/>
          <w:noProof/>
        </w:rPr>
        <w:footnoteReference w:id="6"/>
      </w:r>
      <w:r w:rsidRPr="00CF256F">
        <w:rPr>
          <w:noProof/>
        </w:rPr>
        <w:t xml:space="preserve"> predočen je u informativne svrhe na 61. sjednici IGC-a 23. siječnja 2025. </w:t>
      </w:r>
    </w:p>
    <w:p w:rsidR="00FA3698" w:rsidRPr="00CF256F" w:rsidRDefault="00FA3698" w:rsidP="00FA3698">
      <w:pPr>
        <w:pStyle w:val="Text1"/>
        <w:ind w:left="0"/>
        <w:rPr>
          <w:noProof/>
        </w:rPr>
      </w:pPr>
      <w:r w:rsidRPr="00CF256F">
        <w:rPr>
          <w:noProof/>
        </w:rPr>
        <w:t xml:space="preserve">Prijedlog („predviđeni akt”), koji se prema potrebi može preispitati, uvrstit će se na dnevni red 62. sjednice IGC-a zakazane za 12. lipnja 2025. radi donošenja odluke.  </w:t>
      </w:r>
    </w:p>
    <w:p w:rsidR="00FA3698" w:rsidRPr="00CF256F" w:rsidRDefault="00FA3698" w:rsidP="00FA3698">
      <w:pPr>
        <w:pStyle w:val="Text1"/>
        <w:ind w:left="0"/>
        <w:rPr>
          <w:noProof/>
        </w:rPr>
      </w:pPr>
      <w:r w:rsidRPr="00CF256F">
        <w:rPr>
          <w:noProof/>
        </w:rPr>
        <w:t xml:space="preserve">U skladu s prijedlogom, koji se temelji na članku 20. Konvencije, u Poslovnik će se dodati novo </w:t>
      </w:r>
      <w:r w:rsidRPr="00CF256F">
        <w:rPr>
          <w:i/>
          <w:noProof/>
        </w:rPr>
        <w:t>pravilo 26. o pristupu članova arhivu IGC-a</w:t>
      </w:r>
      <w:r w:rsidRPr="00CF256F">
        <w:rPr>
          <w:noProof/>
        </w:rPr>
        <w:t xml:space="preserve">. </w:t>
      </w:r>
    </w:p>
    <w:p w:rsidR="000B096D" w:rsidRPr="00CF256F" w:rsidRDefault="00FA3698" w:rsidP="00FA3698">
      <w:pPr>
        <w:rPr>
          <w:rFonts w:eastAsia="Arial Unicode MS"/>
          <w:noProof/>
        </w:rPr>
      </w:pPr>
      <w:r w:rsidRPr="00CF256F">
        <w:rPr>
          <w:noProof/>
        </w:rPr>
        <w:t>Novo pravilo 26. pojasnit će uvjete i postupak za pristup arhivu IGC-a. Konkretnije, svi se zahtjevi za pristup arhivu IGC-a podnose u pisanom obliku, a podnositelj zahtjeva mora biti jasno naznačen.</w:t>
      </w:r>
    </w:p>
    <w:p w:rsidR="00A93BF2" w:rsidRPr="00CF256F" w:rsidRDefault="00521148" w:rsidP="00521148">
      <w:pPr>
        <w:pStyle w:val="ManualHeading1"/>
        <w:rPr>
          <w:rFonts w:eastAsia="Arial Unicode MS"/>
          <w:noProof/>
        </w:rPr>
      </w:pPr>
      <w:r w:rsidRPr="00521148">
        <w:rPr>
          <w:noProof/>
        </w:rPr>
        <w:t>3.</w:t>
      </w:r>
      <w:r w:rsidRPr="00521148">
        <w:rPr>
          <w:noProof/>
        </w:rPr>
        <w:tab/>
      </w:r>
      <w:r w:rsidR="00A93BF2" w:rsidRPr="00CF256F">
        <w:rPr>
          <w:noProof/>
        </w:rPr>
        <w:t>Stajalište koje treba zauzeti u ime Unije</w:t>
      </w:r>
    </w:p>
    <w:p w:rsidR="00FA3698" w:rsidRPr="00CF256F" w:rsidRDefault="00FA3698" w:rsidP="00FA3698">
      <w:pPr>
        <w:pBdr>
          <w:top w:val="nil"/>
          <w:left w:val="nil"/>
          <w:bottom w:val="nil"/>
          <w:right w:val="nil"/>
          <w:between w:val="nil"/>
          <w:bar w:val="nil"/>
        </w:pBdr>
        <w:spacing w:before="0" w:after="240"/>
        <w:rPr>
          <w:rFonts w:eastAsia="Arial Unicode MS"/>
          <w:noProof/>
        </w:rPr>
      </w:pPr>
      <w:r w:rsidRPr="00CF256F">
        <w:rPr>
          <w:noProof/>
        </w:rPr>
        <w:t>Predložena nova pravila o pisanom postupku zatražio je EU i ona će pojasniti uvjete donošenja odluka IGC-a pisanim postupkom.</w:t>
      </w:r>
    </w:p>
    <w:p w:rsidR="00FA3698" w:rsidRPr="00CF256F" w:rsidRDefault="00FA3698" w:rsidP="00FA3698">
      <w:pPr>
        <w:pBdr>
          <w:top w:val="nil"/>
          <w:left w:val="nil"/>
          <w:bottom w:val="nil"/>
          <w:right w:val="nil"/>
          <w:between w:val="nil"/>
          <w:bar w:val="nil"/>
        </w:pBdr>
        <w:spacing w:before="0" w:after="240"/>
        <w:rPr>
          <w:rFonts w:eastAsia="Arial Unicode MS"/>
          <w:noProof/>
        </w:rPr>
      </w:pPr>
      <w:r w:rsidRPr="00CF256F">
        <w:rPr>
          <w:noProof/>
        </w:rPr>
        <w:t>Tajništvo IGC-a podnijelo je prijedlog za utvrđivanje novog pravila o pristupu arhivu IGC-a, koje će pojasniti uvjete za pristup arhivu IGC-a.</w:t>
      </w:r>
    </w:p>
    <w:p w:rsidR="00FA3698" w:rsidRPr="00CF256F" w:rsidRDefault="00FA3698" w:rsidP="00FA3698">
      <w:pPr>
        <w:pBdr>
          <w:top w:val="nil"/>
          <w:left w:val="nil"/>
          <w:bottom w:val="nil"/>
          <w:right w:val="nil"/>
          <w:between w:val="nil"/>
          <w:bar w:val="nil"/>
        </w:pBdr>
        <w:spacing w:before="0" w:after="240"/>
        <w:rPr>
          <w:rFonts w:eastAsia="Arial Unicode MS"/>
          <w:noProof/>
        </w:rPr>
      </w:pPr>
      <w:r w:rsidRPr="00CF256F">
        <w:rPr>
          <w:noProof/>
        </w:rPr>
        <w:t>Europska unija oduvijek je bila aktivna članica IGC-a, a očekuje se da će se predloženim novim pravilima dodatno pojasniti funkcioniranje organizacije i povećati transparentnost IGC-a.</w:t>
      </w:r>
    </w:p>
    <w:p w:rsidR="00FA3698" w:rsidRPr="00CF256F" w:rsidRDefault="00FA3698" w:rsidP="00FA3698">
      <w:pPr>
        <w:rPr>
          <w:noProof/>
        </w:rPr>
      </w:pPr>
      <w:r w:rsidRPr="00CF256F">
        <w:rPr>
          <w:noProof/>
        </w:rPr>
        <w:t>Svrha je ovog prijedloga zatražiti od Vijeća da Komisiju ovlasti da u ime Europske unije glasuje za predložene izmjene Poslovnika IGC-a. Donošenje službenih odluka o prijedlozima planirano je za 62. sjednicu IGC-a, koja će se održati 12. lipnja 2025.</w:t>
      </w:r>
    </w:p>
    <w:p w:rsidR="00A93BF2" w:rsidRPr="00CF256F" w:rsidRDefault="00521148" w:rsidP="00521148">
      <w:pPr>
        <w:pStyle w:val="ManualHeading1"/>
        <w:rPr>
          <w:noProof/>
        </w:rPr>
      </w:pPr>
      <w:r w:rsidRPr="00521148">
        <w:rPr>
          <w:noProof/>
        </w:rPr>
        <w:t>4.</w:t>
      </w:r>
      <w:r w:rsidRPr="00521148">
        <w:rPr>
          <w:noProof/>
        </w:rPr>
        <w:tab/>
      </w:r>
      <w:r w:rsidR="00A93BF2" w:rsidRPr="00CF256F">
        <w:rPr>
          <w:noProof/>
        </w:rPr>
        <w:t>Pravna osnova</w:t>
      </w:r>
    </w:p>
    <w:p w:rsidR="00A93BF2" w:rsidRPr="00CF256F" w:rsidRDefault="00521148" w:rsidP="00521148">
      <w:pPr>
        <w:pStyle w:val="ManualHeading2"/>
        <w:rPr>
          <w:noProof/>
        </w:rPr>
      </w:pPr>
      <w:r w:rsidRPr="00521148">
        <w:rPr>
          <w:noProof/>
        </w:rPr>
        <w:t>4.1.</w:t>
      </w:r>
      <w:r w:rsidRPr="00521148">
        <w:rPr>
          <w:noProof/>
        </w:rPr>
        <w:tab/>
      </w:r>
      <w:r w:rsidR="00A93BF2" w:rsidRPr="00CF256F">
        <w:rPr>
          <w:noProof/>
        </w:rPr>
        <w:t>Postupovna pravna osnova</w:t>
      </w:r>
    </w:p>
    <w:p w:rsidR="00FA3698" w:rsidRPr="00CF256F" w:rsidRDefault="00FA3698" w:rsidP="00FA3698">
      <w:pPr>
        <w:pStyle w:val="Text1"/>
        <w:rPr>
          <w:noProof/>
        </w:rPr>
      </w:pPr>
    </w:p>
    <w:p w:rsidR="00A93BF2" w:rsidRPr="00CF256F" w:rsidRDefault="00521148" w:rsidP="00521148">
      <w:pPr>
        <w:pStyle w:val="ManualHeading3"/>
        <w:rPr>
          <w:noProof/>
        </w:rPr>
      </w:pPr>
      <w:r w:rsidRPr="00521148">
        <w:rPr>
          <w:noProof/>
        </w:rPr>
        <w:t>4.1.1.</w:t>
      </w:r>
      <w:r w:rsidRPr="00521148">
        <w:rPr>
          <w:noProof/>
        </w:rPr>
        <w:tab/>
      </w:r>
      <w:r w:rsidR="00A93BF2" w:rsidRPr="00CF256F">
        <w:rPr>
          <w:noProof/>
        </w:rPr>
        <w:t>Načela</w:t>
      </w:r>
    </w:p>
    <w:p w:rsidR="00FA3698" w:rsidRPr="00CF256F" w:rsidRDefault="00FA3698" w:rsidP="00FA3698">
      <w:pPr>
        <w:rPr>
          <w:noProof/>
        </w:rPr>
      </w:pPr>
      <w:r w:rsidRPr="00CF256F">
        <w:rPr>
          <w:noProof/>
        </w:rPr>
        <w:t>Člankom 218. stavkom 9. Ugovora o funkcioniranju Europske unije (UFEU) predviđeno je donošenje odluka kojima se utvrđuju „stajališta koja u ime Unije treba donijeti tijelo osnovano na temelju sporazuma kada je to tijelo pozvano donositi akte koji proizvode pravne učinke, uz iznimku akata kojima se dopunjuje ili mijenja institucionalni okvir sporazuma.”</w:t>
      </w:r>
    </w:p>
    <w:p w:rsidR="00FA3698" w:rsidRPr="00CF256F" w:rsidRDefault="00FA3698" w:rsidP="00FA3698">
      <w:pPr>
        <w:rPr>
          <w:noProof/>
        </w:rPr>
      </w:pPr>
      <w:r w:rsidRPr="00CF256F">
        <w:rPr>
          <w:noProof/>
        </w:rPr>
        <w:t>Pojam „akti koji proizvode pravne učinke” obuhvaća akte koji proizvode pravne učinke na temelju pravila međunarodnog prava kojima se uređuje predmetno tijelo. Obuhvaća i instrumente koji nemaju obvezujući učinak na temelju međunarodnog prava, ali postoji mogućnost da „presudno utječu na sadržaj propisa koje donese zakonodavac Unije”</w:t>
      </w:r>
      <w:r w:rsidRPr="00CF256F">
        <w:rPr>
          <w:rStyle w:val="FootnoteReference"/>
          <w:noProof/>
        </w:rPr>
        <w:footnoteReference w:id="7"/>
      </w:r>
      <w:r w:rsidRPr="00CF256F">
        <w:rPr>
          <w:noProof/>
        </w:rPr>
        <w:t>.</w:t>
      </w:r>
    </w:p>
    <w:p w:rsidR="00FA3698" w:rsidRPr="00CF256F" w:rsidRDefault="00FA3698">
      <w:pPr>
        <w:rPr>
          <w:noProof/>
        </w:rPr>
      </w:pPr>
    </w:p>
    <w:p w:rsidR="00A93BF2" w:rsidRPr="00CF256F" w:rsidRDefault="00521148" w:rsidP="00521148">
      <w:pPr>
        <w:pStyle w:val="ManualHeading3"/>
        <w:rPr>
          <w:noProof/>
        </w:rPr>
      </w:pPr>
      <w:r w:rsidRPr="00521148">
        <w:rPr>
          <w:noProof/>
        </w:rPr>
        <w:t>4.1.2.</w:t>
      </w:r>
      <w:r w:rsidRPr="00521148">
        <w:rPr>
          <w:noProof/>
        </w:rPr>
        <w:tab/>
      </w:r>
      <w:r w:rsidR="00A93BF2" w:rsidRPr="00CF256F">
        <w:rPr>
          <w:noProof/>
        </w:rPr>
        <w:t>Primjena na ovaj predmet</w:t>
      </w:r>
    </w:p>
    <w:p w:rsidR="00FA3698" w:rsidRPr="00CF256F" w:rsidRDefault="00FA3698">
      <w:pPr>
        <w:rPr>
          <w:noProof/>
        </w:rPr>
      </w:pPr>
    </w:p>
    <w:p w:rsidR="00FA3698" w:rsidRPr="00CF256F" w:rsidRDefault="00FA3698" w:rsidP="00FA3698">
      <w:pPr>
        <w:rPr>
          <w:noProof/>
          <w:szCs w:val="24"/>
        </w:rPr>
      </w:pPr>
      <w:r w:rsidRPr="00CF256F">
        <w:rPr>
          <w:noProof/>
        </w:rPr>
        <w:t>Predviđeni akti IGC-a imaju učinak izmjene Poslovnika utvrđivanjem novih pravila o donošenju odluka pisanim postupkom i o pristupu članova arhivu IGC-a.</w:t>
      </w:r>
    </w:p>
    <w:p w:rsidR="00FA3698" w:rsidRPr="00CF256F" w:rsidRDefault="00FA3698" w:rsidP="00FA3698">
      <w:pPr>
        <w:rPr>
          <w:noProof/>
          <w:szCs w:val="24"/>
          <w:highlight w:val="yellow"/>
        </w:rPr>
      </w:pPr>
      <w:r w:rsidRPr="00CF256F">
        <w:rPr>
          <w:noProof/>
        </w:rPr>
        <w:t xml:space="preserve">Poslovnikom se predviđaju detaljna pravila za upravljanje Konvencijom, koja je međunarodni sporazum obvezujući za Uniju. Predviđeni akti stoga proizvode pravne učinke. </w:t>
      </w:r>
    </w:p>
    <w:p w:rsidR="00FA3698" w:rsidRPr="00CF256F" w:rsidRDefault="00FA3698" w:rsidP="00FA3698">
      <w:pPr>
        <w:rPr>
          <w:noProof/>
          <w:szCs w:val="24"/>
        </w:rPr>
      </w:pPr>
      <w:r w:rsidRPr="00CF256F">
        <w:rPr>
          <w:noProof/>
        </w:rPr>
        <w:t>Predviđenim aktima ne dopunjuje se niti mijenja institucionalni okvir Konvencije.</w:t>
      </w:r>
    </w:p>
    <w:p w:rsidR="00FA3698" w:rsidRPr="00CF256F" w:rsidRDefault="00FA3698" w:rsidP="00FA3698">
      <w:pPr>
        <w:rPr>
          <w:noProof/>
          <w:szCs w:val="24"/>
        </w:rPr>
      </w:pPr>
      <w:r w:rsidRPr="00CF256F">
        <w:rPr>
          <w:noProof/>
        </w:rPr>
        <w:t>Stoga je postupovna pravna osnova za predloženu odluku članak 218. stavak 9. UFEU-a.</w:t>
      </w:r>
    </w:p>
    <w:p w:rsidR="00FA3698" w:rsidRPr="00CF256F" w:rsidRDefault="00FA3698">
      <w:pPr>
        <w:rPr>
          <w:noProof/>
        </w:rPr>
      </w:pPr>
    </w:p>
    <w:p w:rsidR="00A93BF2" w:rsidRPr="00CF256F" w:rsidRDefault="00521148" w:rsidP="00521148">
      <w:pPr>
        <w:pStyle w:val="ManualHeading2"/>
        <w:rPr>
          <w:noProof/>
        </w:rPr>
      </w:pPr>
      <w:r w:rsidRPr="00521148">
        <w:rPr>
          <w:noProof/>
        </w:rPr>
        <w:t>4.2.</w:t>
      </w:r>
      <w:r w:rsidRPr="00521148">
        <w:rPr>
          <w:noProof/>
        </w:rPr>
        <w:tab/>
      </w:r>
      <w:r w:rsidR="00A93BF2" w:rsidRPr="00CF256F">
        <w:rPr>
          <w:noProof/>
        </w:rPr>
        <w:t>Materijalna pravna osnova</w:t>
      </w:r>
    </w:p>
    <w:p w:rsidR="00FA3698" w:rsidRPr="00CF256F" w:rsidRDefault="00FA3698" w:rsidP="00223BF4">
      <w:pPr>
        <w:keepNext/>
        <w:outlineLvl w:val="2"/>
        <w:rPr>
          <w:rFonts w:eastAsiaTheme="majorEastAsia"/>
          <w:bCs/>
          <w:i/>
          <w:noProof/>
        </w:rPr>
      </w:pPr>
      <w:bookmarkStart w:id="2" w:name="_Hlk189220935"/>
      <w:r w:rsidRPr="00CF256F">
        <w:rPr>
          <w:i/>
          <w:noProof/>
        </w:rPr>
        <w:t>Načela</w:t>
      </w:r>
    </w:p>
    <w:p w:rsidR="00FA3698" w:rsidRPr="00CF256F" w:rsidRDefault="00FA3698" w:rsidP="00FA3698">
      <w:pPr>
        <w:rPr>
          <w:noProof/>
        </w:rPr>
      </w:pPr>
      <w:r w:rsidRPr="00CF256F">
        <w:rPr>
          <w:noProof/>
        </w:rPr>
        <w:t>Materijalna pravna osnova za odluku na temelju članka 218. stavka 9. UFEU-a prije svega ovisi o cilju i sadržaju predviđenog akta o kojemu se zauzima stajalište u ime Europske unije. Ako predviđeni akt ima dva cilja ili elementa te ako se može utvrditi da je jedan od ta dva cilja ili elementa glavni, a drugi samo sporedan, odluka na temelju članka 218. stavka 9. UFEU-a mora se temeljiti na samo jednoj materijalnoj pravnoj osnovi, naime onoj koju zahtijeva glavni ili prevladavajući cilj ili element.</w:t>
      </w:r>
    </w:p>
    <w:p w:rsidR="00FA3698" w:rsidRPr="00CF256F" w:rsidRDefault="00FA3698" w:rsidP="00223BF4">
      <w:pPr>
        <w:keepNext/>
        <w:outlineLvl w:val="2"/>
        <w:rPr>
          <w:rFonts w:eastAsiaTheme="majorEastAsia"/>
          <w:bCs/>
          <w:i/>
          <w:noProof/>
        </w:rPr>
      </w:pPr>
      <w:r w:rsidRPr="00CF256F">
        <w:rPr>
          <w:i/>
          <w:noProof/>
        </w:rPr>
        <w:t>Primjena na ovaj predmet</w:t>
      </w:r>
    </w:p>
    <w:p w:rsidR="00FA3698" w:rsidRPr="00CF256F" w:rsidRDefault="00FA3698" w:rsidP="00FA3698">
      <w:pPr>
        <w:rPr>
          <w:noProof/>
        </w:rPr>
      </w:pPr>
      <w:r w:rsidRPr="00CF256F">
        <w:rPr>
          <w:noProof/>
        </w:rPr>
        <w:t xml:space="preserve">Glavni cilj i sadržaj predviđenog akta odnose se na trgovinu poljoprivrednim proizvodima. </w:t>
      </w:r>
    </w:p>
    <w:p w:rsidR="00FA3698" w:rsidRPr="00CF256F" w:rsidRDefault="00FA3698" w:rsidP="00FA3698">
      <w:pPr>
        <w:rPr>
          <w:noProof/>
        </w:rPr>
      </w:pPr>
      <w:r w:rsidRPr="00CF256F">
        <w:rPr>
          <w:noProof/>
        </w:rPr>
        <w:t>Stoga je materijalna pravna osnova predložene odluke članak 207. stavak 4. prvi podstavak UFEU-a (zajednička trgovinska politika).</w:t>
      </w:r>
    </w:p>
    <w:bookmarkEnd w:id="2"/>
    <w:p w:rsidR="00A93BF2" w:rsidRPr="00CF256F" w:rsidRDefault="00A93BF2">
      <w:pPr>
        <w:rPr>
          <w:noProof/>
        </w:rPr>
      </w:pPr>
    </w:p>
    <w:p w:rsidR="00A93BF2" w:rsidRPr="00CF256F" w:rsidRDefault="00521148" w:rsidP="00521148">
      <w:pPr>
        <w:pStyle w:val="ManualHeading2"/>
        <w:rPr>
          <w:noProof/>
        </w:rPr>
      </w:pPr>
      <w:r w:rsidRPr="00521148">
        <w:rPr>
          <w:noProof/>
        </w:rPr>
        <w:t>4.3.</w:t>
      </w:r>
      <w:r w:rsidRPr="00521148">
        <w:rPr>
          <w:noProof/>
        </w:rPr>
        <w:tab/>
      </w:r>
      <w:r w:rsidR="00A93BF2" w:rsidRPr="00CF256F">
        <w:rPr>
          <w:noProof/>
        </w:rPr>
        <w:t>Zaključak</w:t>
      </w:r>
    </w:p>
    <w:p w:rsidR="00597D90" w:rsidRPr="00CF256F" w:rsidRDefault="00597D90" w:rsidP="00597D90">
      <w:pPr>
        <w:rPr>
          <w:noProof/>
        </w:rPr>
      </w:pPr>
      <w:r w:rsidRPr="00CF256F">
        <w:rPr>
          <w:noProof/>
        </w:rPr>
        <w:t>Pravna osnova predložene odluke trebao bi biti članak 207. stavak 4. prvi podstavak UFEU-a u vezi s člankom 218. stavkom 9. UFEU-a.</w:t>
      </w:r>
    </w:p>
    <w:p w:rsidR="00597D90" w:rsidRPr="00CF256F" w:rsidRDefault="00521148" w:rsidP="00521148">
      <w:pPr>
        <w:pStyle w:val="ManualHeading1"/>
        <w:rPr>
          <w:noProof/>
        </w:rPr>
      </w:pPr>
      <w:r w:rsidRPr="00521148">
        <w:rPr>
          <w:noProof/>
        </w:rPr>
        <w:t>5.</w:t>
      </w:r>
      <w:r w:rsidRPr="00521148">
        <w:rPr>
          <w:noProof/>
        </w:rPr>
        <w:tab/>
      </w:r>
      <w:r w:rsidR="00597D90" w:rsidRPr="00CF256F">
        <w:rPr>
          <w:noProof/>
        </w:rPr>
        <w:t>Usklađenost s načelom „digitalizacija kao standard”</w:t>
      </w:r>
    </w:p>
    <w:p w:rsidR="00597D90" w:rsidRPr="00CF256F" w:rsidRDefault="00597D90" w:rsidP="00597D90">
      <w:pPr>
        <w:rPr>
          <w:noProof/>
        </w:rPr>
      </w:pPr>
      <w:r w:rsidRPr="00CF256F">
        <w:rPr>
          <w:noProof/>
        </w:rPr>
        <w:t xml:space="preserve">Prema provedenom digitalnom vrednovanju, ovaj prijedlog nema digitalne dimenzije jer nije relevantan za digitalizaciju. </w:t>
      </w:r>
    </w:p>
    <w:p w:rsidR="00597D90" w:rsidRPr="00CF256F" w:rsidRDefault="00597D90" w:rsidP="00597D90">
      <w:pPr>
        <w:rPr>
          <w:noProof/>
        </w:rPr>
      </w:pPr>
      <w:r w:rsidRPr="00CF256F">
        <w:rPr>
          <w:noProof/>
        </w:rPr>
        <w:t>U prijedlogu se utvrđuje stajalište EU-a u pogledu izmjene Poslovnika Konvencije. Izmjenama će se utvrditi nova pravila o donošenju odluka IGC-a pisanim postupkom i pristupu članova arhivu IGC-a.</w:t>
      </w:r>
    </w:p>
    <w:p w:rsidR="00597D90" w:rsidRPr="00CF256F" w:rsidRDefault="00597D90" w:rsidP="00597D90">
      <w:pPr>
        <w:rPr>
          <w:noProof/>
        </w:rPr>
      </w:pPr>
      <w:r w:rsidRPr="00CF256F">
        <w:rPr>
          <w:noProof/>
        </w:rPr>
        <w:t>Područje primjene prijedloga ne obuhvaća digitalna sredstva i razmjenu podataka.</w:t>
      </w:r>
    </w:p>
    <w:p w:rsidR="00597D90" w:rsidRPr="00CF256F" w:rsidRDefault="00597D90">
      <w:pPr>
        <w:rPr>
          <w:noProof/>
        </w:rPr>
      </w:pPr>
    </w:p>
    <w:p w:rsidR="00A93BF2" w:rsidRPr="00CF256F" w:rsidRDefault="00521148" w:rsidP="00521148">
      <w:pPr>
        <w:pStyle w:val="ManualHeading1"/>
        <w:rPr>
          <w:noProof/>
        </w:rPr>
      </w:pPr>
      <w:r w:rsidRPr="00521148">
        <w:rPr>
          <w:noProof/>
        </w:rPr>
        <w:t>6.</w:t>
      </w:r>
      <w:r w:rsidRPr="00521148">
        <w:rPr>
          <w:noProof/>
        </w:rPr>
        <w:tab/>
      </w:r>
      <w:r w:rsidR="00A93BF2" w:rsidRPr="00CF256F">
        <w:rPr>
          <w:noProof/>
        </w:rPr>
        <w:t>Objava predviđenog akta</w:t>
      </w:r>
    </w:p>
    <w:p w:rsidR="00597D90" w:rsidRPr="00CF256F" w:rsidRDefault="00597D90" w:rsidP="00597D90">
      <w:pPr>
        <w:rPr>
          <w:noProof/>
        </w:rPr>
      </w:pPr>
      <w:r w:rsidRPr="00CF256F">
        <w:rPr>
          <w:noProof/>
        </w:rPr>
        <w:t xml:space="preserve">Budući da će se aktima IGC-a izmijeniti Poslovnik Konvencije, primjereno ih je objaviti na službenim internetskim stranicama IGC-a. </w:t>
      </w:r>
    </w:p>
    <w:p w:rsidR="00A93BF2" w:rsidRPr="00CF256F" w:rsidRDefault="00A93BF2">
      <w:pPr>
        <w:rPr>
          <w:noProof/>
        </w:rPr>
      </w:pPr>
    </w:p>
    <w:p w:rsidR="00A93BF2" w:rsidRPr="00CF256F" w:rsidRDefault="00A93BF2">
      <w:pPr>
        <w:rPr>
          <w:noProof/>
        </w:rPr>
        <w:sectPr w:rsidR="00A93BF2" w:rsidRPr="00CF256F" w:rsidSect="008B497F">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8430B1" w:rsidRDefault="00F37C3E">
      <w:pPr>
        <w:pStyle w:val="Rfrenceinterinstitutionnelle"/>
        <w:rPr>
          <w:noProof/>
        </w:rPr>
      </w:pPr>
      <w:r>
        <w:rPr>
          <w:noProof/>
        </w:rPr>
        <w:t>2025/0072 (NLE)</w:t>
      </w:r>
    </w:p>
    <w:p w:rsidR="00A93BF2" w:rsidRPr="00CF256F" w:rsidRDefault="00494259" w:rsidP="00494259">
      <w:pPr>
        <w:pStyle w:val="Statut"/>
        <w:rPr>
          <w:noProof/>
        </w:rPr>
      </w:pPr>
      <w:r w:rsidRPr="00494259">
        <w:rPr>
          <w:noProof/>
        </w:rPr>
        <w:t>Prijedlog</w:t>
      </w:r>
    </w:p>
    <w:p w:rsidR="00A93BF2" w:rsidRPr="00CF256F" w:rsidRDefault="00494259" w:rsidP="00494259">
      <w:pPr>
        <w:pStyle w:val="Typedudocument"/>
        <w:rPr>
          <w:noProof/>
        </w:rPr>
      </w:pPr>
      <w:r w:rsidRPr="00494259">
        <w:rPr>
          <w:noProof/>
        </w:rPr>
        <w:t>ODLUKE VIJEĆA</w:t>
      </w:r>
    </w:p>
    <w:p w:rsidR="00A93BF2" w:rsidRPr="00CF256F" w:rsidRDefault="00494259" w:rsidP="00494259">
      <w:pPr>
        <w:pStyle w:val="Titreobjet"/>
        <w:rPr>
          <w:noProof/>
        </w:rPr>
      </w:pPr>
      <w:r w:rsidRPr="00494259">
        <w:rPr>
          <w:noProof/>
        </w:rPr>
        <w:t>o stajalištu koje treba zauzeti u ime Europske unije u okviru Međunarodnog vijeća za žitarice u vezi s utvrđivanjem novih pravila o pisanom postupku i pristupu članova arhivu Međunarodnog vijeća za žitarice</w:t>
      </w:r>
    </w:p>
    <w:p w:rsidR="00A93BF2" w:rsidRPr="00CF256F" w:rsidRDefault="00A93BF2">
      <w:pPr>
        <w:pStyle w:val="Institutionquiagit"/>
        <w:rPr>
          <w:noProof/>
        </w:rPr>
      </w:pPr>
      <w:r w:rsidRPr="00CF256F">
        <w:rPr>
          <w:noProof/>
        </w:rPr>
        <w:t>VIJEĆE EUROPSKE UNIJE,</w:t>
      </w:r>
    </w:p>
    <w:p w:rsidR="00B44FEB" w:rsidRPr="00CF256F" w:rsidRDefault="00B44FEB" w:rsidP="000023F8">
      <w:pPr>
        <w:rPr>
          <w:noProof/>
        </w:rPr>
      </w:pPr>
    </w:p>
    <w:p w:rsidR="00A93BF2" w:rsidRPr="00CF256F" w:rsidRDefault="00A93BF2">
      <w:pPr>
        <w:rPr>
          <w:noProof/>
        </w:rPr>
      </w:pPr>
      <w:r w:rsidRPr="00CF256F">
        <w:rPr>
          <w:noProof/>
        </w:rPr>
        <w:t>uzimajući u obzir Ugovor o funkcioniranju Europske unije, a posebno njegov članak 207. stavak 4. prvi podstavak u vezi s člankom 218. stavkom 9.,</w:t>
      </w:r>
    </w:p>
    <w:p w:rsidR="00A93BF2" w:rsidRPr="00CF256F" w:rsidRDefault="00A93BF2">
      <w:pPr>
        <w:rPr>
          <w:noProof/>
        </w:rPr>
      </w:pPr>
      <w:r w:rsidRPr="00CF256F">
        <w:rPr>
          <w:noProof/>
        </w:rPr>
        <w:t>uzimajući u obzir prijedlog Europske komisije,</w:t>
      </w:r>
    </w:p>
    <w:p w:rsidR="00A93BF2" w:rsidRPr="00CF256F" w:rsidRDefault="00A93BF2">
      <w:pPr>
        <w:rPr>
          <w:noProof/>
        </w:rPr>
      </w:pPr>
      <w:r w:rsidRPr="00CF256F">
        <w:rPr>
          <w:noProof/>
        </w:rPr>
        <w:t>budući da:</w:t>
      </w:r>
    </w:p>
    <w:p w:rsidR="00A93BF2" w:rsidRPr="00CF256F" w:rsidRDefault="00521148" w:rsidP="00521148">
      <w:pPr>
        <w:pStyle w:val="ManualConsidrant"/>
        <w:rPr>
          <w:noProof/>
        </w:rPr>
      </w:pPr>
      <w:r w:rsidRPr="00521148">
        <w:rPr>
          <w:noProof/>
        </w:rPr>
        <w:t>(1)</w:t>
      </w:r>
      <w:r w:rsidRPr="00521148">
        <w:rPr>
          <w:noProof/>
        </w:rPr>
        <w:tab/>
      </w:r>
      <w:r w:rsidR="00597D90" w:rsidRPr="00CF256F">
        <w:rPr>
          <w:noProof/>
        </w:rPr>
        <w:t>Unija je Konvenciju o trgovini žitaricama iz 1995. („Konvencija”) sklopila Odlukom Vijeća 96/88/EZ</w:t>
      </w:r>
      <w:r w:rsidR="00454589" w:rsidRPr="00CF256F">
        <w:rPr>
          <w:rStyle w:val="FootnoteReference"/>
          <w:noProof/>
        </w:rPr>
        <w:footnoteReference w:id="8"/>
      </w:r>
      <w:r w:rsidR="00597D90" w:rsidRPr="00CF256F">
        <w:rPr>
          <w:noProof/>
        </w:rPr>
        <w:t xml:space="preserve"> i Konvencija je stupila na snagu 1. srpnja 1995. Konvencija je sklopljena na razdoblje od tri godine i otad se redovito produljuje.  </w:t>
      </w:r>
    </w:p>
    <w:p w:rsidR="00A93BF2" w:rsidRPr="00CF256F" w:rsidRDefault="00521148" w:rsidP="00521148">
      <w:pPr>
        <w:pStyle w:val="ManualConsidrant"/>
        <w:rPr>
          <w:noProof/>
        </w:rPr>
      </w:pPr>
      <w:r w:rsidRPr="00521148">
        <w:rPr>
          <w:noProof/>
        </w:rPr>
        <w:t>(2)</w:t>
      </w:r>
      <w:r w:rsidRPr="00521148">
        <w:rPr>
          <w:noProof/>
        </w:rPr>
        <w:tab/>
      </w:r>
      <w:r w:rsidR="00597D90" w:rsidRPr="00CF256F">
        <w:rPr>
          <w:noProof/>
        </w:rPr>
        <w:t xml:space="preserve">Međunarodno vijeće za žitarice odobrilo je Poslovnik Konvencije 6. srpnja 1995. </w:t>
      </w:r>
    </w:p>
    <w:p w:rsidR="00A93BF2" w:rsidRPr="00CF256F" w:rsidRDefault="00521148" w:rsidP="00521148">
      <w:pPr>
        <w:pStyle w:val="ManualConsidrant"/>
        <w:rPr>
          <w:noProof/>
        </w:rPr>
      </w:pPr>
      <w:r w:rsidRPr="00521148">
        <w:rPr>
          <w:noProof/>
        </w:rPr>
        <w:t>(3)</w:t>
      </w:r>
      <w:r w:rsidRPr="00521148">
        <w:rPr>
          <w:noProof/>
        </w:rPr>
        <w:tab/>
      </w:r>
      <w:r w:rsidR="00597D90" w:rsidRPr="00CF256F">
        <w:rPr>
          <w:noProof/>
        </w:rPr>
        <w:t>U članku 14. Konvencije i pravilu 19. Poslovnika utvrđena su pravila o donošenju odluka Međunarodnog vijeća za žitarice. Međutim, donošenje odluka pisanim postupkom nije jasno definirano.</w:t>
      </w:r>
    </w:p>
    <w:p w:rsidR="00A93BF2" w:rsidRPr="00CF256F" w:rsidRDefault="00521148" w:rsidP="00521148">
      <w:pPr>
        <w:pStyle w:val="ManualConsidrant"/>
        <w:rPr>
          <w:noProof/>
        </w:rPr>
      </w:pPr>
      <w:r w:rsidRPr="00521148">
        <w:rPr>
          <w:noProof/>
        </w:rPr>
        <w:t>(4)</w:t>
      </w:r>
      <w:r w:rsidRPr="00521148">
        <w:rPr>
          <w:noProof/>
        </w:rPr>
        <w:tab/>
      </w:r>
      <w:r w:rsidR="008876D6" w:rsidRPr="00CF256F">
        <w:rPr>
          <w:noProof/>
        </w:rPr>
        <w:t xml:space="preserve">Tajništvo Međunarodnog vijeća za žitarice 16. prosinca 2024. predložilo je izmjenu pravila 19. i 20. Poslovnika s ciljem utvrđivanja novih pravila o donošenju odluka pisanim postupkom u Vijeću i Upravnom odboru. Cilj je izmjena jasno definirati uvjete za donošenje odluka pisanim postupkom. </w:t>
      </w:r>
    </w:p>
    <w:p w:rsidR="00A93BF2" w:rsidRPr="00CF256F" w:rsidRDefault="00521148" w:rsidP="00521148">
      <w:pPr>
        <w:pStyle w:val="ManualConsidrant"/>
        <w:rPr>
          <w:noProof/>
        </w:rPr>
      </w:pPr>
      <w:r w:rsidRPr="00521148">
        <w:rPr>
          <w:noProof/>
        </w:rPr>
        <w:t>(5)</w:t>
      </w:r>
      <w:r w:rsidRPr="00521148">
        <w:rPr>
          <w:noProof/>
        </w:rPr>
        <w:tab/>
      </w:r>
      <w:r w:rsidR="008876D6" w:rsidRPr="00CF256F">
        <w:rPr>
          <w:noProof/>
        </w:rPr>
        <w:t>U skladu s člankom 20. Konvencije status, povlastice i imuniteti Vijeća na području Ujedinjene Kraljevine uređeni su Sporazumom o sjedištu između vlade Ujedinjene Kraljevine Velike Britanije i Sjeverne Irske i Međunarodnog vijeća za pšenicu, koje je pravni prednik Međunarodnog vijeća za žitarice. U tom je sporazumu utvrđeno da je arhiv Međunarodnog vijeća za žitarice nepovrediv.</w:t>
      </w:r>
    </w:p>
    <w:p w:rsidR="00A93BF2" w:rsidRPr="00CF256F" w:rsidRDefault="00521148" w:rsidP="00521148">
      <w:pPr>
        <w:pStyle w:val="ManualConsidrant"/>
        <w:rPr>
          <w:noProof/>
        </w:rPr>
      </w:pPr>
      <w:r w:rsidRPr="00521148">
        <w:rPr>
          <w:noProof/>
        </w:rPr>
        <w:t>(6)</w:t>
      </w:r>
      <w:r w:rsidRPr="00521148">
        <w:rPr>
          <w:noProof/>
        </w:rPr>
        <w:tab/>
      </w:r>
      <w:r w:rsidR="008876D6" w:rsidRPr="00CF256F">
        <w:rPr>
          <w:noProof/>
        </w:rPr>
        <w:t>Tajništvo Međunarodnog vijeća za žitarice predložilo je 16. prosinca 2024. da se u Poslovnik doda novo pravilo 26. o pristupu članova arhivu Međunarodnog vijeća za žitarice. Cilj predloženog novog pravila je utvrditi jasne uvjete i postupak za pristup arhivu Međunarodnog vijeća za žitarice. Konkretnije, svi se zahtjevi za pristup arhivu IGC-a podnose u pisanom obliku, a podnositelj zahtjeva mora biti jasno naznačen.</w:t>
      </w:r>
    </w:p>
    <w:p w:rsidR="008876D6" w:rsidRPr="00CF256F" w:rsidRDefault="00521148" w:rsidP="00521148">
      <w:pPr>
        <w:pStyle w:val="ManualConsidrant"/>
        <w:rPr>
          <w:noProof/>
        </w:rPr>
      </w:pPr>
      <w:r w:rsidRPr="00521148">
        <w:rPr>
          <w:noProof/>
        </w:rPr>
        <w:t>(7)</w:t>
      </w:r>
      <w:r w:rsidRPr="00521148">
        <w:rPr>
          <w:noProof/>
        </w:rPr>
        <w:tab/>
      </w:r>
      <w:r w:rsidR="008876D6" w:rsidRPr="00CF256F">
        <w:rPr>
          <w:noProof/>
        </w:rPr>
        <w:t>Primjereno je utvrditi stajališta koja treba zauzeti u ime Unije na 62. sjednici Međunarodnog vijeća za žitarice u pogledu izmjene Poslovnika Konvencije u vezi s uvođenjem novih pravila o donošenju odluka pisanim postupkom i uvjetima za pristup arhivu Međunarodnog vijeća za žitarice. Predloženim izmjenama nastoji se dodatno pojasniti funkcioniranje organizacije i povećati transparentnost Međunarodnog vijeća za žitarice te su one stoga u interesu Unije,</w:t>
      </w:r>
    </w:p>
    <w:p w:rsidR="00A93BF2" w:rsidRPr="00CF256F" w:rsidRDefault="00A93BF2">
      <w:pPr>
        <w:pStyle w:val="Formuledadoption"/>
        <w:rPr>
          <w:noProof/>
        </w:rPr>
      </w:pPr>
      <w:r w:rsidRPr="00CF256F">
        <w:rPr>
          <w:noProof/>
        </w:rPr>
        <w:t>DONIJELO JE OVU ODLUKU:</w:t>
      </w:r>
    </w:p>
    <w:p w:rsidR="00A93BF2" w:rsidRPr="00CF256F" w:rsidRDefault="00A93BF2">
      <w:pPr>
        <w:pStyle w:val="Titrearticle"/>
        <w:rPr>
          <w:noProof/>
        </w:rPr>
      </w:pPr>
      <w:r w:rsidRPr="00CF256F">
        <w:rPr>
          <w:noProof/>
        </w:rPr>
        <w:t>Članak 1.</w:t>
      </w:r>
    </w:p>
    <w:p w:rsidR="008876D6" w:rsidRPr="00CF256F" w:rsidRDefault="008876D6" w:rsidP="008876D6">
      <w:pPr>
        <w:rPr>
          <w:noProof/>
        </w:rPr>
      </w:pPr>
      <w:r w:rsidRPr="00CF256F">
        <w:rPr>
          <w:noProof/>
        </w:rPr>
        <w:t>Stajalište koje treba zauzeti u ime Unije na 62. sjednici Međunarodnog vijeća za žitarice jest da se glasuje za umetanje nove točke (c) u pravilu 19. i nove točke (d) u pravilu 20. Poslovnika Konvencije o trgovini žitaricama iz 1995., u skladu s prijedlogom koji je Tajništvo Međunarodnog vijeća za žitarice podnijelo 16. prosinca 2024., kako bi se utvrdili postupci za donošenje odluka Međunarodnog vijeća za žitarice pisanim postupkom.</w:t>
      </w:r>
    </w:p>
    <w:p w:rsidR="008876D6" w:rsidRPr="00CF256F" w:rsidRDefault="008876D6">
      <w:pPr>
        <w:jc w:val="left"/>
        <w:rPr>
          <w:i/>
          <w:noProof/>
        </w:rPr>
      </w:pPr>
    </w:p>
    <w:p w:rsidR="00A93BF2" w:rsidRPr="00CF256F" w:rsidRDefault="00A93BF2">
      <w:pPr>
        <w:pStyle w:val="Titrearticle"/>
        <w:rPr>
          <w:noProof/>
        </w:rPr>
      </w:pPr>
      <w:r w:rsidRPr="00CF256F">
        <w:rPr>
          <w:noProof/>
        </w:rPr>
        <w:t>Članak 2.</w:t>
      </w:r>
    </w:p>
    <w:p w:rsidR="008876D6" w:rsidRPr="00CF256F" w:rsidRDefault="008876D6" w:rsidP="008876D6">
      <w:pPr>
        <w:rPr>
          <w:noProof/>
        </w:rPr>
      </w:pPr>
    </w:p>
    <w:p w:rsidR="008876D6" w:rsidRPr="00CF256F" w:rsidRDefault="008876D6" w:rsidP="008876D6">
      <w:pPr>
        <w:rPr>
          <w:noProof/>
        </w:rPr>
      </w:pPr>
      <w:r w:rsidRPr="00CF256F">
        <w:rPr>
          <w:noProof/>
        </w:rPr>
        <w:t xml:space="preserve">Stajalište koje treba zauzeti u ime Unije na 62. sjednici Međunarodnog vijeća za žitarice jest da se glasuje za dodavanje novog pravila 26. u Poslovnik Konvencije o trgovini žitaricama iz 1995., u skladu s prijedlogom koji je Tajništvo Međunarodnog vijeća za žitarice podnijelo 16. prosinca 2024., kako bi se pojasnili uvjeti za pristup arhivu Međunarodnog vijeća za žitarice. </w:t>
      </w:r>
    </w:p>
    <w:p w:rsidR="008876D6" w:rsidRPr="00CF256F" w:rsidRDefault="008876D6" w:rsidP="008876D6">
      <w:pPr>
        <w:pStyle w:val="Titrearticle"/>
        <w:rPr>
          <w:noProof/>
        </w:rPr>
      </w:pPr>
      <w:r w:rsidRPr="00CF256F">
        <w:rPr>
          <w:noProof/>
        </w:rPr>
        <w:t>Članak 3.</w:t>
      </w:r>
    </w:p>
    <w:p w:rsidR="008876D6" w:rsidRPr="00CF256F" w:rsidRDefault="008876D6" w:rsidP="008876D6">
      <w:pPr>
        <w:rPr>
          <w:noProof/>
        </w:rPr>
      </w:pPr>
    </w:p>
    <w:p w:rsidR="00A93BF2" w:rsidRPr="00CF256F" w:rsidRDefault="00A93BF2">
      <w:pPr>
        <w:rPr>
          <w:noProof/>
        </w:rPr>
      </w:pPr>
      <w:r w:rsidRPr="00CF256F">
        <w:rPr>
          <w:noProof/>
        </w:rPr>
        <w:t>Ova je Odluka upućena Komisiji.</w:t>
      </w:r>
    </w:p>
    <w:p w:rsidR="00A93BF2" w:rsidRPr="00CF256F" w:rsidRDefault="00494259" w:rsidP="00FE7643">
      <w:pPr>
        <w:pStyle w:val="Fait"/>
        <w:rPr>
          <w:noProof/>
        </w:rPr>
      </w:pPr>
      <w:r>
        <w:rPr>
          <w:noProof/>
        </w:rPr>
        <w:t>Sastavljeno u Bruxellesu,</w:t>
      </w:r>
    </w:p>
    <w:p w:rsidR="00A93BF2" w:rsidRPr="00CF256F" w:rsidRDefault="00A93BF2" w:rsidP="00FE7643">
      <w:pPr>
        <w:pStyle w:val="Institutionquisigne"/>
        <w:rPr>
          <w:noProof/>
        </w:rPr>
      </w:pPr>
      <w:r w:rsidRPr="00CF256F">
        <w:rPr>
          <w:noProof/>
        </w:rPr>
        <w:tab/>
        <w:t>Za Vijeće</w:t>
      </w:r>
    </w:p>
    <w:p w:rsidR="00A93BF2" w:rsidRPr="00CF256F" w:rsidRDefault="00A93BF2" w:rsidP="00A93BF2">
      <w:pPr>
        <w:pStyle w:val="Personnequisigne"/>
        <w:rPr>
          <w:noProof/>
        </w:rPr>
      </w:pPr>
      <w:r w:rsidRPr="00CF256F">
        <w:rPr>
          <w:noProof/>
        </w:rPr>
        <w:tab/>
        <w:t>Predsjednik</w:t>
      </w:r>
    </w:p>
    <w:sectPr w:rsidR="00A93BF2" w:rsidRPr="00CF256F" w:rsidSect="008B497F">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06D" w:rsidRDefault="007B606D" w:rsidP="00A93BF2">
      <w:pPr>
        <w:spacing w:before="0" w:after="0"/>
      </w:pPr>
      <w:r>
        <w:separator/>
      </w:r>
    </w:p>
  </w:endnote>
  <w:endnote w:type="continuationSeparator" w:id="0">
    <w:p w:rsidR="007B606D" w:rsidRDefault="007B606D" w:rsidP="00A93BF2">
      <w:pPr>
        <w:spacing w:before="0" w:after="0"/>
      </w:pPr>
      <w:r>
        <w:continuationSeparator/>
      </w:r>
    </w:p>
  </w:endnote>
  <w:endnote w:type="continuationNotice" w:id="1">
    <w:p w:rsidR="007B606D" w:rsidRDefault="007B60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7F" w:rsidRPr="008B497F" w:rsidRDefault="008B497F" w:rsidP="008B497F">
    <w:pPr>
      <w:pStyle w:val="Footer"/>
      <w:rPr>
        <w:rFonts w:ascii="Arial" w:hAnsi="Arial" w:cs="Arial"/>
        <w:b/>
        <w:sz w:val="48"/>
      </w:rPr>
    </w:pPr>
    <w:r w:rsidRPr="008B497F">
      <w:rPr>
        <w:rFonts w:ascii="Arial" w:hAnsi="Arial" w:cs="Arial"/>
        <w:b/>
        <w:sz w:val="48"/>
      </w:rPr>
      <w:t>HR</w:t>
    </w:r>
    <w:r w:rsidRPr="008B497F">
      <w:rPr>
        <w:rFonts w:ascii="Arial" w:hAnsi="Arial" w:cs="Arial"/>
        <w:b/>
        <w:sz w:val="48"/>
      </w:rPr>
      <w:tab/>
    </w:r>
    <w:r w:rsidRPr="008B497F">
      <w:rPr>
        <w:rFonts w:ascii="Arial" w:hAnsi="Arial" w:cs="Arial"/>
        <w:b/>
        <w:sz w:val="48"/>
      </w:rPr>
      <w:tab/>
    </w:r>
    <w:r w:rsidRPr="008B497F">
      <w:tab/>
    </w:r>
    <w:r w:rsidRPr="008B497F">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7F" w:rsidRPr="008B497F" w:rsidRDefault="008B497F" w:rsidP="008B497F">
    <w:pPr>
      <w:pStyle w:val="Footer"/>
      <w:rPr>
        <w:rFonts w:ascii="Arial" w:hAnsi="Arial" w:cs="Arial"/>
        <w:b/>
        <w:sz w:val="48"/>
      </w:rPr>
    </w:pPr>
    <w:r w:rsidRPr="008B497F">
      <w:rPr>
        <w:rFonts w:ascii="Arial" w:hAnsi="Arial" w:cs="Arial"/>
        <w:b/>
        <w:sz w:val="48"/>
      </w:rPr>
      <w:t>HR</w:t>
    </w:r>
    <w:r w:rsidRPr="008B497F">
      <w:rPr>
        <w:rFonts w:ascii="Arial" w:hAnsi="Arial" w:cs="Arial"/>
        <w:b/>
        <w:sz w:val="48"/>
      </w:rPr>
      <w:tab/>
    </w:r>
    <w:r w:rsidRPr="008B497F">
      <w:rPr>
        <w:rFonts w:ascii="Arial" w:hAnsi="Arial" w:cs="Arial"/>
        <w:b/>
        <w:sz w:val="48"/>
      </w:rPr>
      <w:tab/>
    </w:r>
    <w:r w:rsidRPr="008B497F">
      <w:tab/>
    </w:r>
    <w:r w:rsidRPr="008B497F">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7F" w:rsidRDefault="008B49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7F" w:rsidRPr="008B497F" w:rsidRDefault="008B497F" w:rsidP="008B497F">
    <w:pPr>
      <w:pStyle w:val="Footer"/>
      <w:rPr>
        <w:rFonts w:ascii="Arial" w:hAnsi="Arial" w:cs="Arial"/>
        <w:b/>
        <w:sz w:val="48"/>
      </w:rPr>
    </w:pPr>
    <w:r w:rsidRPr="008B497F">
      <w:rPr>
        <w:rFonts w:ascii="Arial" w:hAnsi="Arial" w:cs="Arial"/>
        <w:b/>
        <w:sz w:val="48"/>
      </w:rPr>
      <w:t>HR</w:t>
    </w:r>
    <w:r w:rsidRPr="008B497F">
      <w:rPr>
        <w:rFonts w:ascii="Arial" w:hAnsi="Arial" w:cs="Arial"/>
        <w:b/>
        <w:sz w:val="48"/>
      </w:rPr>
      <w:tab/>
    </w:r>
    <w:r>
      <w:fldChar w:fldCharType="begin"/>
    </w:r>
    <w:r>
      <w:instrText xml:space="preserve"> PAGE  \* MERGEFORMAT </w:instrText>
    </w:r>
    <w:r>
      <w:fldChar w:fldCharType="separate"/>
    </w:r>
    <w:r w:rsidR="00F37C3E">
      <w:rPr>
        <w:noProof/>
      </w:rPr>
      <w:t>1</w:t>
    </w:r>
    <w:r>
      <w:fldChar w:fldCharType="end"/>
    </w:r>
    <w:r>
      <w:tab/>
    </w:r>
    <w:r w:rsidRPr="008B497F">
      <w:tab/>
    </w:r>
    <w:r w:rsidRPr="008B497F">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7F" w:rsidRDefault="008B497F" w:rsidP="008B4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06D" w:rsidRDefault="007B606D" w:rsidP="00A93BF2">
      <w:pPr>
        <w:spacing w:before="0" w:after="0"/>
      </w:pPr>
      <w:r>
        <w:separator/>
      </w:r>
    </w:p>
  </w:footnote>
  <w:footnote w:type="continuationSeparator" w:id="0">
    <w:p w:rsidR="007B606D" w:rsidRDefault="007B606D" w:rsidP="00A93BF2">
      <w:pPr>
        <w:spacing w:before="0" w:after="0"/>
      </w:pPr>
      <w:r>
        <w:continuationSeparator/>
      </w:r>
    </w:p>
  </w:footnote>
  <w:footnote w:type="continuationNotice" w:id="1">
    <w:p w:rsidR="007B606D" w:rsidRDefault="007B606D">
      <w:pPr>
        <w:spacing w:before="0" w:after="0"/>
      </w:pPr>
    </w:p>
  </w:footnote>
  <w:footnote w:id="2">
    <w:p w:rsidR="002F4C1C" w:rsidRPr="00B035F8" w:rsidRDefault="002F4C1C" w:rsidP="002F4C1C">
      <w:pPr>
        <w:pStyle w:val="FootnoteText"/>
      </w:pPr>
      <w:r>
        <w:rPr>
          <w:rStyle w:val="FootnoteReference"/>
        </w:rPr>
        <w:footnoteRef/>
      </w:r>
      <w:r>
        <w:tab/>
        <w:t>SL L 21, 27.1.1996., str. 47.</w:t>
      </w:r>
    </w:p>
  </w:footnote>
  <w:footnote w:id="3">
    <w:p w:rsidR="002F4C1C" w:rsidRPr="00C47F97" w:rsidRDefault="002F4C1C" w:rsidP="002F4C1C">
      <w:pPr>
        <w:pStyle w:val="FootnoteText"/>
      </w:pPr>
      <w:r>
        <w:rPr>
          <w:rStyle w:val="FootnoteReference"/>
        </w:rPr>
        <w:footnoteRef/>
      </w:r>
      <w:r>
        <w:tab/>
        <w:t>Međunarodno vijeće za žitarice posluje na osnovi fiskalne godine koja traje od 1. srpnja do 30. lipnja.</w:t>
      </w:r>
    </w:p>
  </w:footnote>
  <w:footnote w:id="4">
    <w:p w:rsidR="008D2095" w:rsidRPr="0003536B" w:rsidRDefault="008D2095" w:rsidP="008D2095">
      <w:pPr>
        <w:pStyle w:val="FootnoteText"/>
      </w:pPr>
      <w:r>
        <w:rPr>
          <w:rStyle w:val="FootnoteReference"/>
        </w:rPr>
        <w:footnoteRef/>
      </w:r>
      <w:r>
        <w:tab/>
        <w:t>Dokument IGC-a AC(24/25)1/8 od 11. studenog 2024.</w:t>
      </w:r>
    </w:p>
  </w:footnote>
  <w:footnote w:id="5">
    <w:p w:rsidR="008D2095" w:rsidRPr="00D16B2A" w:rsidRDefault="008D2095" w:rsidP="008D2095">
      <w:pPr>
        <w:pStyle w:val="FootnoteText"/>
      </w:pPr>
      <w:r>
        <w:rPr>
          <w:rStyle w:val="FootnoteReference"/>
        </w:rPr>
        <w:footnoteRef/>
      </w:r>
      <w:r>
        <w:tab/>
        <w:t>Dokument IGC-a GC61/6 od 16. prosinca 2024.</w:t>
      </w:r>
    </w:p>
  </w:footnote>
  <w:footnote w:id="6">
    <w:p w:rsidR="00FA3698" w:rsidRPr="00FF3C6F" w:rsidRDefault="00FA3698" w:rsidP="00FA3698">
      <w:pPr>
        <w:pStyle w:val="FootnoteText"/>
      </w:pPr>
      <w:r>
        <w:rPr>
          <w:rStyle w:val="FootnoteReference"/>
        </w:rPr>
        <w:footnoteRef/>
      </w:r>
      <w:r>
        <w:tab/>
        <w:t>Dokument IGC-a GC61/7 od 16. prosinca 2024.</w:t>
      </w:r>
    </w:p>
  </w:footnote>
  <w:footnote w:id="7">
    <w:p w:rsidR="00FA3698" w:rsidRPr="00B035F8" w:rsidRDefault="00FA3698" w:rsidP="00FA3698">
      <w:pPr>
        <w:pStyle w:val="FootnoteText"/>
      </w:pPr>
      <w:r>
        <w:rPr>
          <w:rStyle w:val="FootnoteReference"/>
        </w:rPr>
        <w:footnoteRef/>
      </w:r>
      <w:r>
        <w:tab/>
        <w:t>Presuda Suda od 7. listopada 2014., Njemačka protiv Vijeća, C-399/12, ECLI:EU:C:2014:2258, t. 63. i 64.</w:t>
      </w:r>
    </w:p>
  </w:footnote>
  <w:footnote w:id="8">
    <w:p w:rsidR="00454589" w:rsidRPr="00454589" w:rsidRDefault="007F6706" w:rsidP="000B074E">
      <w:pPr>
        <w:pStyle w:val="FootnoteText"/>
        <w:ind w:left="709" w:hanging="709"/>
      </w:pPr>
      <w:r>
        <w:rPr>
          <w:rStyle w:val="FootnoteReference"/>
        </w:rPr>
        <w:footnoteRef/>
      </w:r>
      <w:r>
        <w:tab/>
        <w:t>Odluka Vijeća 96/88/EZ od 19. prosinca 1995. o odobravanju od strane Europske zajednice Konvencije o trgovini žitaricama i Konvencije o pomoći u hrani, koje čine Međunarodni sporazum o žitaricama iz 1995. (SL L 21, 27.1.1996., str. 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7F" w:rsidRDefault="008B4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97F" w:rsidRDefault="008B4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5"/>
    <w:lvlOverride w:ilvl="0">
      <w:startOverride w:val="1"/>
    </w:lvlOverride>
  </w:num>
  <w:num w:numId="2">
    <w:abstractNumId w:val="0"/>
  </w:num>
  <w:num w:numId="3">
    <w:abstractNumId w:val="20"/>
  </w:num>
  <w:num w:numId="4">
    <w:abstractNumId w:val="8"/>
  </w:num>
  <w:num w:numId="5">
    <w:abstractNumId w:val="17"/>
  </w:num>
  <w:num w:numId="6">
    <w:abstractNumId w:val="16"/>
  </w:num>
  <w:num w:numId="7">
    <w:abstractNumId w:val="27"/>
  </w:num>
  <w:num w:numId="8">
    <w:abstractNumId w:val="24"/>
  </w:num>
  <w:num w:numId="9">
    <w:abstractNumId w:val="28"/>
  </w:num>
  <w:num w:numId="10">
    <w:abstractNumId w:val="29"/>
  </w:num>
  <w:num w:numId="11">
    <w:abstractNumId w:val="1"/>
  </w:num>
  <w:num w:numId="12">
    <w:abstractNumId w:val="10"/>
  </w:num>
  <w:num w:numId="13">
    <w:abstractNumId w:val="2"/>
  </w:num>
  <w:num w:numId="14">
    <w:abstractNumId w:val="11"/>
  </w:num>
  <w:num w:numId="15">
    <w:abstractNumId w:val="9"/>
  </w:num>
  <w:num w:numId="16">
    <w:abstractNumId w:val="18"/>
  </w:num>
  <w:num w:numId="17">
    <w:abstractNumId w:val="7"/>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num>
  <w:num w:numId="20">
    <w:abstractNumId w:val="23"/>
  </w:num>
  <w:num w:numId="21">
    <w:abstractNumId w:val="12"/>
  </w:num>
  <w:num w:numId="22">
    <w:abstractNumId w:val="26"/>
  </w:num>
  <w:num w:numId="23">
    <w:abstractNumId w:val="6"/>
  </w:num>
  <w:num w:numId="24">
    <w:abstractNumId w:val="13"/>
  </w:num>
  <w:num w:numId="25">
    <w:abstractNumId w:val="14"/>
  </w:num>
  <w:num w:numId="26">
    <w:abstractNumId w:val="4"/>
  </w:num>
  <w:num w:numId="27">
    <w:abstractNumId w:val="25"/>
  </w:num>
  <w:num w:numId="28">
    <w:abstractNumId w:val="3"/>
  </w:num>
  <w:num w:numId="29">
    <w:abstractNumId w:val="15"/>
  </w:num>
  <w:num w:numId="30">
    <w:abstractNumId w:val="21"/>
  </w:num>
  <w:num w:numId="31">
    <w:abstractNumId w:val="22"/>
  </w:num>
  <w:num w:numId="32">
    <w:abstractNumId w:val="5"/>
  </w:num>
  <w:num w:numId="33">
    <w:abstractNumId w:val="19"/>
  </w:num>
  <w:num w:numId="34">
    <w:abstractNumId w:val="30"/>
  </w:num>
  <w:num w:numId="35">
    <w:abstractNumId w:val="23"/>
  </w:num>
  <w:num w:numId="36">
    <w:abstractNumId w:val="12"/>
  </w:num>
  <w:num w:numId="37">
    <w:abstractNumId w:val="26"/>
  </w:num>
  <w:num w:numId="38">
    <w:abstractNumId w:val="6"/>
  </w:num>
  <w:num w:numId="39">
    <w:abstractNumId w:val="13"/>
  </w:num>
  <w:num w:numId="40">
    <w:abstractNumId w:val="14"/>
  </w:num>
  <w:num w:numId="41">
    <w:abstractNumId w:val="4"/>
  </w:num>
  <w:num w:numId="42">
    <w:abstractNumId w:val="25"/>
  </w:num>
  <w:num w:numId="43">
    <w:abstractNumId w:val="3"/>
  </w:num>
  <w:num w:numId="44">
    <w:abstractNumId w:val="15"/>
  </w:num>
  <w:num w:numId="45">
    <w:abstractNumId w:val="21"/>
  </w:num>
  <w:num w:numId="46">
    <w:abstractNumId w:val="22"/>
  </w:num>
  <w:num w:numId="47">
    <w:abstractNumId w:val="5"/>
  </w:num>
  <w:num w:numId="48">
    <w:abstractNumId w:val="19"/>
  </w:num>
  <w:num w:numId="49">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4-02 09:23:4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F71F0BC-8025-4681-8FE2-E360D9859A7C"/>
    <w:docVar w:name="LW_COVERPAGE_TYPE" w:val="1"/>
    <w:docVar w:name="LW_CreatedUtc" w:val="2025-01-28T15:33:47.3362563Z"/>
    <w:docVar w:name="LW_CROSSREFERENCE" w:val="&lt;UNUSED&gt;"/>
    <w:docVar w:name="LW_DocType" w:val="COM"/>
    <w:docVar w:name="LW_EMISSION" w:val="2.4.2025."/>
    <w:docVar w:name="LW_EMISSION_ISODATE" w:val="2025-04-02"/>
    <w:docVar w:name="LW_EMISSION_LOCATION" w:val="BRX"/>
    <w:docVar w:name="LW_EMISSION_PREFIX" w:val="Bruxelles, "/>
    <w:docVar w:name="LW_EMISSION_SUFFIX" w:val="&lt;EMPTY&gt;"/>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NLE"/>
    <w:docVar w:name="LW_REF.II.NEW.CP_NUMBER" w:val="0072"/>
    <w:docVar w:name="LW_REF.II.NEW.CP_YEAR" w:val="2025"/>
    <w:docVar w:name="LW_REF.INST.NEW" w:val="COM"/>
    <w:docVar w:name="LW_REF.INST.NEW_ADOPTED" w:val="final"/>
    <w:docVar w:name="LW_REF.INST.NEW_TEXT" w:val="(2025) 13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stajali\u353?tu koje treba zauzeti u ime Europske unije u okviru Me\u273?unarodnog vije\u263?a za \u382?itarice u vezi s utvr\u273?ivanjem novih pravila o pisanom postupku i pristupu \u269?lanova arhivu Me\u273?unarodnog vije\u263?a za \u382?itarice"/>
    <w:docVar w:name="LW_TYPE.DOC.CP" w:val="ODLUKE VIJE\u262?A"/>
    <w:docVar w:name="LwApiVersions" w:val="LW4CoDe 1.24.5.0; LW 9.0, Build 20240221"/>
  </w:docVars>
  <w:rsids>
    <w:rsidRoot w:val="00A93BF2"/>
    <w:rsid w:val="000023F8"/>
    <w:rsid w:val="0005504F"/>
    <w:rsid w:val="00056345"/>
    <w:rsid w:val="00072105"/>
    <w:rsid w:val="00077B66"/>
    <w:rsid w:val="000A050C"/>
    <w:rsid w:val="000B074E"/>
    <w:rsid w:val="000B096D"/>
    <w:rsid w:val="000B589D"/>
    <w:rsid w:val="000C2165"/>
    <w:rsid w:val="000D576B"/>
    <w:rsid w:val="000E7097"/>
    <w:rsid w:val="00102988"/>
    <w:rsid w:val="001065F5"/>
    <w:rsid w:val="001238EF"/>
    <w:rsid w:val="001460DB"/>
    <w:rsid w:val="00146425"/>
    <w:rsid w:val="001523B1"/>
    <w:rsid w:val="00155319"/>
    <w:rsid w:val="0015704B"/>
    <w:rsid w:val="001670EC"/>
    <w:rsid w:val="00185786"/>
    <w:rsid w:val="00197188"/>
    <w:rsid w:val="00197613"/>
    <w:rsid w:val="001A31CA"/>
    <w:rsid w:val="001A34D4"/>
    <w:rsid w:val="001B145D"/>
    <w:rsid w:val="001C01C3"/>
    <w:rsid w:val="001C6DC9"/>
    <w:rsid w:val="001F68D2"/>
    <w:rsid w:val="00203B31"/>
    <w:rsid w:val="00207D6E"/>
    <w:rsid w:val="00214501"/>
    <w:rsid w:val="00216DCC"/>
    <w:rsid w:val="00223BF4"/>
    <w:rsid w:val="00231F57"/>
    <w:rsid w:val="00233DC7"/>
    <w:rsid w:val="002345CE"/>
    <w:rsid w:val="002473FB"/>
    <w:rsid w:val="00247779"/>
    <w:rsid w:val="00254071"/>
    <w:rsid w:val="002824C7"/>
    <w:rsid w:val="00285BEE"/>
    <w:rsid w:val="002940E8"/>
    <w:rsid w:val="00294F12"/>
    <w:rsid w:val="00295234"/>
    <w:rsid w:val="0029533F"/>
    <w:rsid w:val="002B30AF"/>
    <w:rsid w:val="002B4B6F"/>
    <w:rsid w:val="002E7B9F"/>
    <w:rsid w:val="002F2D87"/>
    <w:rsid w:val="002F4C1C"/>
    <w:rsid w:val="0033344A"/>
    <w:rsid w:val="003611C1"/>
    <w:rsid w:val="00377936"/>
    <w:rsid w:val="00392D31"/>
    <w:rsid w:val="003A39B8"/>
    <w:rsid w:val="003A73BA"/>
    <w:rsid w:val="003C2010"/>
    <w:rsid w:val="003E00E5"/>
    <w:rsid w:val="003E07C6"/>
    <w:rsid w:val="003F0CE6"/>
    <w:rsid w:val="003F50EF"/>
    <w:rsid w:val="00402F75"/>
    <w:rsid w:val="00412546"/>
    <w:rsid w:val="00424C51"/>
    <w:rsid w:val="0042648E"/>
    <w:rsid w:val="00435AEF"/>
    <w:rsid w:val="00436C31"/>
    <w:rsid w:val="00454589"/>
    <w:rsid w:val="004936D2"/>
    <w:rsid w:val="00494259"/>
    <w:rsid w:val="004A491A"/>
    <w:rsid w:val="004C21AB"/>
    <w:rsid w:val="004C4662"/>
    <w:rsid w:val="004E2CDB"/>
    <w:rsid w:val="004E7C01"/>
    <w:rsid w:val="004F1B67"/>
    <w:rsid w:val="005001ED"/>
    <w:rsid w:val="005047D0"/>
    <w:rsid w:val="00514E49"/>
    <w:rsid w:val="00521148"/>
    <w:rsid w:val="00523C6D"/>
    <w:rsid w:val="00533AD8"/>
    <w:rsid w:val="00540B4B"/>
    <w:rsid w:val="00540E7E"/>
    <w:rsid w:val="00597D90"/>
    <w:rsid w:val="005A1763"/>
    <w:rsid w:val="005B1EB6"/>
    <w:rsid w:val="005B5C70"/>
    <w:rsid w:val="005E560E"/>
    <w:rsid w:val="00601C89"/>
    <w:rsid w:val="0060385E"/>
    <w:rsid w:val="00623618"/>
    <w:rsid w:val="0063326D"/>
    <w:rsid w:val="006D61B7"/>
    <w:rsid w:val="007048B4"/>
    <w:rsid w:val="00773331"/>
    <w:rsid w:val="007932EF"/>
    <w:rsid w:val="00794B7C"/>
    <w:rsid w:val="007B606D"/>
    <w:rsid w:val="007C5B02"/>
    <w:rsid w:val="007D0619"/>
    <w:rsid w:val="007D7A2E"/>
    <w:rsid w:val="007E05B0"/>
    <w:rsid w:val="007F6706"/>
    <w:rsid w:val="0080156D"/>
    <w:rsid w:val="00805698"/>
    <w:rsid w:val="00815FB9"/>
    <w:rsid w:val="008313F4"/>
    <w:rsid w:val="008325BE"/>
    <w:rsid w:val="008430B1"/>
    <w:rsid w:val="00851207"/>
    <w:rsid w:val="00856964"/>
    <w:rsid w:val="00874D22"/>
    <w:rsid w:val="008755B5"/>
    <w:rsid w:val="008779F4"/>
    <w:rsid w:val="008876D6"/>
    <w:rsid w:val="008A251E"/>
    <w:rsid w:val="008A2914"/>
    <w:rsid w:val="008B15DB"/>
    <w:rsid w:val="008B407C"/>
    <w:rsid w:val="008B497F"/>
    <w:rsid w:val="008D2095"/>
    <w:rsid w:val="008D717B"/>
    <w:rsid w:val="008E0A75"/>
    <w:rsid w:val="008E263B"/>
    <w:rsid w:val="008E4D8E"/>
    <w:rsid w:val="008E5E0F"/>
    <w:rsid w:val="009277B2"/>
    <w:rsid w:val="00931CCA"/>
    <w:rsid w:val="00932CFA"/>
    <w:rsid w:val="0095000B"/>
    <w:rsid w:val="009525C2"/>
    <w:rsid w:val="0095436C"/>
    <w:rsid w:val="00963D13"/>
    <w:rsid w:val="00976FA2"/>
    <w:rsid w:val="009C68CE"/>
    <w:rsid w:val="009C7CA0"/>
    <w:rsid w:val="00A0431E"/>
    <w:rsid w:val="00A302F7"/>
    <w:rsid w:val="00A31518"/>
    <w:rsid w:val="00A4066E"/>
    <w:rsid w:val="00A42B9B"/>
    <w:rsid w:val="00A579A4"/>
    <w:rsid w:val="00A61728"/>
    <w:rsid w:val="00A63A38"/>
    <w:rsid w:val="00A64EE8"/>
    <w:rsid w:val="00A82683"/>
    <w:rsid w:val="00A854A0"/>
    <w:rsid w:val="00A90380"/>
    <w:rsid w:val="00A93BF2"/>
    <w:rsid w:val="00AD0C20"/>
    <w:rsid w:val="00AE0C5C"/>
    <w:rsid w:val="00AE4A3D"/>
    <w:rsid w:val="00AE58FD"/>
    <w:rsid w:val="00AE6DA9"/>
    <w:rsid w:val="00B00FE8"/>
    <w:rsid w:val="00B0672A"/>
    <w:rsid w:val="00B16D84"/>
    <w:rsid w:val="00B44FEB"/>
    <w:rsid w:val="00B46A4B"/>
    <w:rsid w:val="00B6775E"/>
    <w:rsid w:val="00B70643"/>
    <w:rsid w:val="00B81EDD"/>
    <w:rsid w:val="00BD1088"/>
    <w:rsid w:val="00BE3029"/>
    <w:rsid w:val="00C12301"/>
    <w:rsid w:val="00C554F7"/>
    <w:rsid w:val="00C85598"/>
    <w:rsid w:val="00CB7FF8"/>
    <w:rsid w:val="00CC788C"/>
    <w:rsid w:val="00CD4234"/>
    <w:rsid w:val="00CD4464"/>
    <w:rsid w:val="00CE1A87"/>
    <w:rsid w:val="00CE1F6C"/>
    <w:rsid w:val="00CF256F"/>
    <w:rsid w:val="00CF3C40"/>
    <w:rsid w:val="00D20307"/>
    <w:rsid w:val="00D20381"/>
    <w:rsid w:val="00D46A3C"/>
    <w:rsid w:val="00D53652"/>
    <w:rsid w:val="00D5772F"/>
    <w:rsid w:val="00D651F2"/>
    <w:rsid w:val="00D840ED"/>
    <w:rsid w:val="00D8446C"/>
    <w:rsid w:val="00D87896"/>
    <w:rsid w:val="00D95253"/>
    <w:rsid w:val="00DA0D0C"/>
    <w:rsid w:val="00DA6C5B"/>
    <w:rsid w:val="00DC63D9"/>
    <w:rsid w:val="00DD2275"/>
    <w:rsid w:val="00DD3750"/>
    <w:rsid w:val="00DD403C"/>
    <w:rsid w:val="00E101DF"/>
    <w:rsid w:val="00E212BD"/>
    <w:rsid w:val="00E36E64"/>
    <w:rsid w:val="00E50D89"/>
    <w:rsid w:val="00E76C8D"/>
    <w:rsid w:val="00E801B5"/>
    <w:rsid w:val="00E83C62"/>
    <w:rsid w:val="00EA0E65"/>
    <w:rsid w:val="00EA2FCB"/>
    <w:rsid w:val="00EA330F"/>
    <w:rsid w:val="00EA6259"/>
    <w:rsid w:val="00EE6624"/>
    <w:rsid w:val="00F000B3"/>
    <w:rsid w:val="00F17E11"/>
    <w:rsid w:val="00F23C54"/>
    <w:rsid w:val="00F37C3E"/>
    <w:rsid w:val="00F571F6"/>
    <w:rsid w:val="00F66083"/>
    <w:rsid w:val="00F7730A"/>
    <w:rsid w:val="00F862B1"/>
    <w:rsid w:val="00F97B4A"/>
    <w:rsid w:val="00FA3698"/>
    <w:rsid w:val="00FC38F8"/>
    <w:rsid w:val="00FE0039"/>
    <w:rsid w:val="00FE21F3"/>
    <w:rsid w:val="00FE7643"/>
    <w:rsid w:val="1A6C8759"/>
    <w:rsid w:val="2EDE7CF9"/>
    <w:rsid w:val="483BE9A0"/>
    <w:rsid w:val="6838FF75"/>
    <w:rsid w:val="6AFA04AB"/>
    <w:rsid w:val="6C266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66E718B5-BB60-4DBB-A5EB-ED01C7DA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A93BF2"/>
    <w:pPr>
      <w:numPr>
        <w:numId w:val="3"/>
      </w:numPr>
      <w:tabs>
        <w:tab w:val="num" w:pos="360"/>
      </w:tabs>
      <w:ind w:left="0" w:firstLine="0"/>
    </w:pPr>
    <w:rPr>
      <w:rFonts w:eastAsia="Times New Roman"/>
      <w:lang w:eastAsia="de-DE"/>
    </w:rPr>
  </w:style>
  <w:style w:type="paragraph" w:styleId="ListNumber">
    <w:name w:val="List Number"/>
    <w:basedOn w:val="Normal"/>
    <w:rsid w:val="00A93BF2"/>
    <w:pPr>
      <w:numPr>
        <w:numId w:val="7"/>
      </w:numPr>
    </w:pPr>
    <w:rPr>
      <w:rFonts w:eastAsia="Times New Roman"/>
      <w:lang w:eastAsia="de-DE"/>
    </w:rPr>
  </w:style>
  <w:style w:type="paragraph" w:customStyle="1" w:styleId="ListBullet1">
    <w:name w:val="List Bullet 1"/>
    <w:basedOn w:val="Normal"/>
    <w:rsid w:val="00A93BF2"/>
    <w:pPr>
      <w:numPr>
        <w:numId w:val="2"/>
      </w:numPr>
    </w:pPr>
    <w:rPr>
      <w:rFonts w:eastAsia="Times New Roman"/>
      <w:lang w:eastAsia="de-DE"/>
    </w:rPr>
  </w:style>
  <w:style w:type="paragraph" w:customStyle="1" w:styleId="ListDash">
    <w:name w:val="List Dash"/>
    <w:basedOn w:val="Normal"/>
    <w:rsid w:val="00A93BF2"/>
    <w:pPr>
      <w:numPr>
        <w:numId w:val="4"/>
      </w:numPr>
    </w:pPr>
    <w:rPr>
      <w:rFonts w:eastAsia="Times New Roman"/>
      <w:lang w:eastAsia="de-DE"/>
    </w:rPr>
  </w:style>
  <w:style w:type="paragraph" w:customStyle="1" w:styleId="ListDash1">
    <w:name w:val="List Dash 1"/>
    <w:basedOn w:val="Normal"/>
    <w:rsid w:val="00A93BF2"/>
    <w:pPr>
      <w:numPr>
        <w:numId w:val="5"/>
      </w:numPr>
    </w:pPr>
    <w:rPr>
      <w:rFonts w:eastAsia="Times New Roman"/>
      <w:lang w:eastAsia="de-DE"/>
    </w:rPr>
  </w:style>
  <w:style w:type="paragraph" w:customStyle="1" w:styleId="ListDash2">
    <w:name w:val="List Dash 2"/>
    <w:basedOn w:val="Normal"/>
    <w:rsid w:val="00A93BF2"/>
    <w:pPr>
      <w:numPr>
        <w:numId w:val="6"/>
      </w:numPr>
    </w:pPr>
    <w:rPr>
      <w:rFonts w:eastAsia="Times New Roman"/>
      <w:lang w:eastAsia="de-DE"/>
    </w:rPr>
  </w:style>
  <w:style w:type="paragraph" w:customStyle="1" w:styleId="ListNumberLevel2">
    <w:name w:val="List Number (Level 2)"/>
    <w:basedOn w:val="Normal"/>
    <w:rsid w:val="00A93BF2"/>
    <w:pPr>
      <w:numPr>
        <w:ilvl w:val="1"/>
        <w:numId w:val="7"/>
      </w:numPr>
    </w:pPr>
    <w:rPr>
      <w:rFonts w:eastAsia="Times New Roman"/>
      <w:lang w:eastAsia="de-DE"/>
    </w:rPr>
  </w:style>
  <w:style w:type="paragraph" w:customStyle="1" w:styleId="ListNumberLevel3">
    <w:name w:val="List Number (Level 3)"/>
    <w:basedOn w:val="Normal"/>
    <w:rsid w:val="00A93BF2"/>
    <w:pPr>
      <w:numPr>
        <w:ilvl w:val="2"/>
        <w:numId w:val="7"/>
      </w:numPr>
    </w:pPr>
    <w:rPr>
      <w:rFonts w:eastAsia="Times New Roman"/>
      <w:lang w:eastAsia="de-DE"/>
    </w:rPr>
  </w:style>
  <w:style w:type="paragraph" w:customStyle="1" w:styleId="ListNumberLevel4">
    <w:name w:val="List Number (Level 4)"/>
    <w:basedOn w:val="Normal"/>
    <w:rsid w:val="00A93BF2"/>
    <w:pPr>
      <w:numPr>
        <w:ilvl w:val="3"/>
        <w:numId w:val="7"/>
      </w:numPr>
    </w:pPr>
    <w:rPr>
      <w:rFonts w:eastAsia="Times New Roman"/>
      <w:lang w:eastAsia="de-DE"/>
    </w:rPr>
  </w:style>
  <w:style w:type="table" w:styleId="TableGrid">
    <w:name w:val="Table Grid"/>
    <w:basedOn w:val="TableNormal"/>
    <w:rsid w:val="00A93BF2"/>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93BF2"/>
    <w:rPr>
      <w:color w:val="0000FF"/>
      <w:u w:val="single"/>
    </w:rPr>
  </w:style>
  <w:style w:type="paragraph" w:styleId="ListBullet">
    <w:name w:val="List Bullet"/>
    <w:basedOn w:val="Normal"/>
    <w:rsid w:val="00A93BF2"/>
    <w:pPr>
      <w:numPr>
        <w:numId w:val="8"/>
      </w:numPr>
    </w:pPr>
    <w:rPr>
      <w:rFonts w:eastAsia="Times New Roman"/>
      <w:lang w:eastAsia="en-GB"/>
    </w:rPr>
  </w:style>
  <w:style w:type="paragraph" w:styleId="ListBullet2">
    <w:name w:val="List Bullet 2"/>
    <w:basedOn w:val="Normal"/>
    <w:rsid w:val="00A93BF2"/>
    <w:pPr>
      <w:numPr>
        <w:numId w:val="9"/>
      </w:numPr>
    </w:pPr>
    <w:rPr>
      <w:rFonts w:eastAsia="Times New Roman"/>
      <w:lang w:eastAsia="en-GB"/>
    </w:rPr>
  </w:style>
  <w:style w:type="paragraph" w:styleId="ListBullet3">
    <w:name w:val="List Bullet 3"/>
    <w:basedOn w:val="Normal"/>
    <w:rsid w:val="00A93BF2"/>
    <w:pPr>
      <w:numPr>
        <w:numId w:val="10"/>
      </w:numPr>
    </w:pPr>
    <w:rPr>
      <w:rFonts w:eastAsia="Times New Roman"/>
      <w:lang w:eastAsia="en-GB"/>
    </w:rPr>
  </w:style>
  <w:style w:type="paragraph" w:styleId="ListNumber2">
    <w:name w:val="List Number 2"/>
    <w:basedOn w:val="Normal"/>
    <w:uiPriority w:val="99"/>
    <w:rsid w:val="00A93BF2"/>
    <w:pPr>
      <w:numPr>
        <w:numId w:val="14"/>
      </w:numPr>
    </w:pPr>
    <w:rPr>
      <w:rFonts w:eastAsia="Times New Roman"/>
      <w:lang w:eastAsia="en-GB"/>
    </w:rPr>
  </w:style>
  <w:style w:type="paragraph" w:styleId="ListNumber3">
    <w:name w:val="List Number 3"/>
    <w:basedOn w:val="Normal"/>
    <w:rsid w:val="00A93BF2"/>
    <w:pPr>
      <w:numPr>
        <w:numId w:val="15"/>
      </w:numPr>
    </w:pPr>
    <w:rPr>
      <w:rFonts w:eastAsia="Times New Roman"/>
      <w:lang w:eastAsia="en-GB"/>
    </w:rPr>
  </w:style>
  <w:style w:type="paragraph" w:styleId="ListNumber4">
    <w:name w:val="List Number 4"/>
    <w:basedOn w:val="Normal"/>
    <w:rsid w:val="00A93BF2"/>
    <w:pPr>
      <w:numPr>
        <w:numId w:val="16"/>
      </w:numPr>
    </w:pPr>
    <w:rPr>
      <w:rFonts w:eastAsia="Times New Roman"/>
      <w:lang w:eastAsia="en-GB"/>
    </w:rPr>
  </w:style>
  <w:style w:type="paragraph" w:customStyle="1" w:styleId="ListDash3">
    <w:name w:val="List Dash 3"/>
    <w:basedOn w:val="Normal"/>
    <w:rsid w:val="00A93BF2"/>
    <w:pPr>
      <w:numPr>
        <w:numId w:val="11"/>
      </w:numPr>
    </w:pPr>
    <w:rPr>
      <w:rFonts w:eastAsia="Times New Roman"/>
      <w:lang w:eastAsia="en-GB"/>
    </w:rPr>
  </w:style>
  <w:style w:type="paragraph" w:customStyle="1" w:styleId="ListDash4">
    <w:name w:val="List Dash 4"/>
    <w:basedOn w:val="Normal"/>
    <w:rsid w:val="00A93BF2"/>
    <w:pPr>
      <w:numPr>
        <w:numId w:val="12"/>
      </w:numPr>
    </w:pPr>
    <w:rPr>
      <w:rFonts w:eastAsia="Times New Roman"/>
      <w:lang w:eastAsia="en-GB"/>
    </w:rPr>
  </w:style>
  <w:style w:type="paragraph" w:customStyle="1" w:styleId="ListNumber1">
    <w:name w:val="List Number 1"/>
    <w:basedOn w:val="Text1"/>
    <w:rsid w:val="00A93BF2"/>
    <w:pPr>
      <w:numPr>
        <w:numId w:val="13"/>
      </w:numPr>
    </w:pPr>
    <w:rPr>
      <w:rFonts w:eastAsia="Times New Roman"/>
      <w:lang w:eastAsia="en-GB"/>
    </w:rPr>
  </w:style>
  <w:style w:type="paragraph" w:customStyle="1" w:styleId="ListNumber1Level2">
    <w:name w:val="List Number 1 (Level 2)"/>
    <w:basedOn w:val="Text1"/>
    <w:rsid w:val="00A93BF2"/>
    <w:pPr>
      <w:numPr>
        <w:ilvl w:val="1"/>
        <w:numId w:val="13"/>
      </w:numPr>
    </w:pPr>
    <w:rPr>
      <w:rFonts w:eastAsia="Times New Roman"/>
      <w:lang w:eastAsia="en-GB"/>
    </w:rPr>
  </w:style>
  <w:style w:type="paragraph" w:customStyle="1" w:styleId="ListNumber2Level2">
    <w:name w:val="List Number 2 (Level 2)"/>
    <w:basedOn w:val="Text2"/>
    <w:rsid w:val="00A93BF2"/>
    <w:pPr>
      <w:numPr>
        <w:ilvl w:val="1"/>
        <w:numId w:val="14"/>
      </w:numPr>
    </w:pPr>
    <w:rPr>
      <w:rFonts w:eastAsia="Times New Roman"/>
      <w:lang w:eastAsia="en-GB"/>
    </w:rPr>
  </w:style>
  <w:style w:type="paragraph" w:customStyle="1" w:styleId="ListNumber3Level2">
    <w:name w:val="List Number 3 (Level 2)"/>
    <w:basedOn w:val="Text3"/>
    <w:rsid w:val="00A93BF2"/>
    <w:pPr>
      <w:numPr>
        <w:ilvl w:val="1"/>
        <w:numId w:val="15"/>
      </w:numPr>
    </w:pPr>
    <w:rPr>
      <w:rFonts w:eastAsia="Times New Roman"/>
      <w:lang w:eastAsia="en-GB"/>
    </w:rPr>
  </w:style>
  <w:style w:type="paragraph" w:customStyle="1" w:styleId="ListNumber4Level2">
    <w:name w:val="List Number 4 (Level 2)"/>
    <w:basedOn w:val="Text4"/>
    <w:rsid w:val="00A93BF2"/>
    <w:pPr>
      <w:numPr>
        <w:ilvl w:val="1"/>
        <w:numId w:val="16"/>
      </w:numPr>
    </w:pPr>
    <w:rPr>
      <w:rFonts w:eastAsia="Times New Roman"/>
      <w:lang w:eastAsia="en-GB"/>
    </w:rPr>
  </w:style>
  <w:style w:type="paragraph" w:customStyle="1" w:styleId="ListNumber1Level3">
    <w:name w:val="List Number 1 (Level 3)"/>
    <w:basedOn w:val="Text1"/>
    <w:rsid w:val="00A93BF2"/>
    <w:pPr>
      <w:numPr>
        <w:ilvl w:val="2"/>
        <w:numId w:val="13"/>
      </w:numPr>
    </w:pPr>
    <w:rPr>
      <w:rFonts w:eastAsia="Times New Roman"/>
      <w:lang w:eastAsia="en-GB"/>
    </w:rPr>
  </w:style>
  <w:style w:type="paragraph" w:customStyle="1" w:styleId="ListNumber2Level3">
    <w:name w:val="List Number 2 (Level 3)"/>
    <w:basedOn w:val="Text2"/>
    <w:rsid w:val="00A93BF2"/>
    <w:pPr>
      <w:numPr>
        <w:ilvl w:val="2"/>
        <w:numId w:val="14"/>
      </w:numPr>
    </w:pPr>
    <w:rPr>
      <w:rFonts w:eastAsia="Times New Roman"/>
      <w:lang w:eastAsia="en-GB"/>
    </w:rPr>
  </w:style>
  <w:style w:type="paragraph" w:customStyle="1" w:styleId="ListNumber3Level3">
    <w:name w:val="List Number 3 (Level 3)"/>
    <w:basedOn w:val="Text3"/>
    <w:rsid w:val="00A93BF2"/>
    <w:pPr>
      <w:numPr>
        <w:ilvl w:val="2"/>
        <w:numId w:val="15"/>
      </w:numPr>
    </w:pPr>
    <w:rPr>
      <w:rFonts w:eastAsia="Times New Roman"/>
      <w:lang w:eastAsia="en-GB"/>
    </w:rPr>
  </w:style>
  <w:style w:type="paragraph" w:customStyle="1" w:styleId="ListNumber4Level3">
    <w:name w:val="List Number 4 (Level 3)"/>
    <w:basedOn w:val="Text4"/>
    <w:rsid w:val="00A93BF2"/>
    <w:pPr>
      <w:numPr>
        <w:ilvl w:val="2"/>
        <w:numId w:val="16"/>
      </w:numPr>
    </w:pPr>
    <w:rPr>
      <w:rFonts w:eastAsia="Times New Roman"/>
      <w:lang w:eastAsia="en-GB"/>
    </w:rPr>
  </w:style>
  <w:style w:type="paragraph" w:customStyle="1" w:styleId="ListNumber1Level4">
    <w:name w:val="List Number 1 (Level 4)"/>
    <w:basedOn w:val="Text1"/>
    <w:rsid w:val="00A93BF2"/>
    <w:pPr>
      <w:numPr>
        <w:ilvl w:val="3"/>
        <w:numId w:val="13"/>
      </w:numPr>
    </w:pPr>
    <w:rPr>
      <w:rFonts w:eastAsia="Times New Roman"/>
      <w:lang w:eastAsia="en-GB"/>
    </w:rPr>
  </w:style>
  <w:style w:type="paragraph" w:customStyle="1" w:styleId="ListNumber2Level4">
    <w:name w:val="List Number 2 (Level 4)"/>
    <w:basedOn w:val="Text2"/>
    <w:rsid w:val="00A93BF2"/>
    <w:pPr>
      <w:numPr>
        <w:ilvl w:val="3"/>
        <w:numId w:val="14"/>
      </w:numPr>
    </w:pPr>
    <w:rPr>
      <w:rFonts w:eastAsia="Times New Roman"/>
      <w:lang w:eastAsia="en-GB"/>
    </w:rPr>
  </w:style>
  <w:style w:type="paragraph" w:customStyle="1" w:styleId="ListNumber3Level4">
    <w:name w:val="List Number 3 (Level 4)"/>
    <w:basedOn w:val="Text3"/>
    <w:rsid w:val="00A93BF2"/>
    <w:pPr>
      <w:numPr>
        <w:ilvl w:val="3"/>
        <w:numId w:val="15"/>
      </w:numPr>
    </w:pPr>
    <w:rPr>
      <w:rFonts w:eastAsia="Times New Roman"/>
      <w:lang w:eastAsia="en-GB"/>
    </w:rPr>
  </w:style>
  <w:style w:type="paragraph" w:customStyle="1" w:styleId="ListNumber4Level4">
    <w:name w:val="List Number 4 (Level 4)"/>
    <w:basedOn w:val="Text4"/>
    <w:rsid w:val="00A93BF2"/>
    <w:pPr>
      <w:numPr>
        <w:ilvl w:val="3"/>
        <w:numId w:val="16"/>
      </w:numPr>
    </w:pPr>
    <w:rPr>
      <w:rFonts w:eastAsia="Times New Roman"/>
      <w:lang w:eastAsia="en-GB"/>
    </w:rPr>
  </w:style>
  <w:style w:type="paragraph" w:customStyle="1" w:styleId="Annexetitreacte">
    <w:name w:val="Annexe titre (acte)"/>
    <w:basedOn w:val="Normal"/>
    <w:next w:val="Normal"/>
    <w:rsid w:val="00A93BF2"/>
    <w:pPr>
      <w:jc w:val="center"/>
    </w:pPr>
    <w:rPr>
      <w:rFonts w:eastAsia="Times New Roman"/>
      <w:b/>
      <w:u w:val="single"/>
      <w:lang w:eastAsia="en-GB"/>
    </w:rPr>
  </w:style>
  <w:style w:type="paragraph" w:customStyle="1" w:styleId="Annexetitreexposglobal">
    <w:name w:val="Annexe titre (exposé global)"/>
    <w:basedOn w:val="Normal"/>
    <w:next w:val="Normal"/>
    <w:rsid w:val="00A93BF2"/>
    <w:pPr>
      <w:jc w:val="center"/>
    </w:pPr>
    <w:rPr>
      <w:rFonts w:eastAsia="Times New Roman"/>
      <w:b/>
      <w:u w:val="single"/>
      <w:lang w:eastAsia="en-GB"/>
    </w:rPr>
  </w:style>
  <w:style w:type="paragraph" w:customStyle="1" w:styleId="Annexetitrefichefinacte">
    <w:name w:val="Annexe titre (fiche fin. acte)"/>
    <w:basedOn w:val="Normal"/>
    <w:next w:val="Normal"/>
    <w:rsid w:val="00A93BF2"/>
    <w:pPr>
      <w:jc w:val="center"/>
    </w:pPr>
    <w:rPr>
      <w:rFonts w:eastAsia="Times New Roman"/>
      <w:b/>
      <w:u w:val="single"/>
      <w:lang w:eastAsia="en-GB"/>
    </w:rPr>
  </w:style>
  <w:style w:type="paragraph" w:customStyle="1" w:styleId="Annexetitrefichefinglobale">
    <w:name w:val="Annexe titre (fiche fin. globale)"/>
    <w:basedOn w:val="Normal"/>
    <w:next w:val="Normal"/>
    <w:rsid w:val="00A93BF2"/>
    <w:pPr>
      <w:jc w:val="center"/>
    </w:pPr>
    <w:rPr>
      <w:rFonts w:eastAsia="Times New Roman"/>
      <w:b/>
      <w:u w:val="single"/>
      <w:lang w:eastAsia="en-GB"/>
    </w:rPr>
  </w:style>
  <w:style w:type="paragraph" w:customStyle="1" w:styleId="Annexetitreglobale">
    <w:name w:val="Annexe titre (globale)"/>
    <w:basedOn w:val="Normal"/>
    <w:next w:val="Normal"/>
    <w:rsid w:val="00A93BF2"/>
    <w:pPr>
      <w:jc w:val="center"/>
    </w:pPr>
    <w:rPr>
      <w:rFonts w:eastAsia="Times New Roman"/>
      <w:b/>
      <w:u w:val="single"/>
      <w:lang w:eastAsia="en-GB"/>
    </w:rPr>
  </w:style>
  <w:style w:type="paragraph" w:customStyle="1" w:styleId="Exposdesmotifstitreglobal">
    <w:name w:val="Exposé des motifs titre (global)"/>
    <w:basedOn w:val="Normal"/>
    <w:next w:val="Normal"/>
    <w:rsid w:val="00A93BF2"/>
    <w:pPr>
      <w:jc w:val="center"/>
    </w:pPr>
    <w:rPr>
      <w:rFonts w:eastAsia="Times New Roman"/>
      <w:b/>
      <w:u w:val="single"/>
      <w:lang w:eastAsia="en-GB"/>
    </w:rPr>
  </w:style>
  <w:style w:type="paragraph" w:customStyle="1" w:styleId="Langueoriginale">
    <w:name w:val="Langue originale"/>
    <w:basedOn w:val="Normal"/>
    <w:rsid w:val="00A93BF2"/>
    <w:pPr>
      <w:spacing w:before="360"/>
      <w:jc w:val="center"/>
    </w:pPr>
    <w:rPr>
      <w:rFonts w:eastAsia="Times New Roman"/>
      <w:caps/>
      <w:lang w:eastAsia="en-GB"/>
    </w:rPr>
  </w:style>
  <w:style w:type="paragraph" w:customStyle="1" w:styleId="Phrasefinale">
    <w:name w:val="Phrase finale"/>
    <w:basedOn w:val="Normal"/>
    <w:next w:val="Normal"/>
    <w:rsid w:val="00A93BF2"/>
    <w:pPr>
      <w:spacing w:before="360" w:after="0"/>
      <w:jc w:val="center"/>
    </w:pPr>
    <w:rPr>
      <w:rFonts w:eastAsia="Times New Roman"/>
      <w:lang w:eastAsia="en-GB"/>
    </w:rPr>
  </w:style>
  <w:style w:type="paragraph" w:customStyle="1" w:styleId="Prliminairetitre">
    <w:name w:val="Préliminaire titre"/>
    <w:basedOn w:val="Normal"/>
    <w:next w:val="Normal"/>
    <w:rsid w:val="00A93BF2"/>
    <w:pPr>
      <w:spacing w:before="360" w:after="360"/>
      <w:jc w:val="center"/>
    </w:pPr>
    <w:rPr>
      <w:rFonts w:eastAsia="Times New Roman"/>
      <w:b/>
      <w:lang w:eastAsia="en-GB"/>
    </w:rPr>
  </w:style>
  <w:style w:type="paragraph" w:customStyle="1" w:styleId="Prliminairetype">
    <w:name w:val="Préliminaire type"/>
    <w:basedOn w:val="Normal"/>
    <w:next w:val="Normal"/>
    <w:rsid w:val="00A93BF2"/>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A93BF2"/>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A93BF2"/>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A93BF2"/>
    <w:pPr>
      <w:spacing w:before="0" w:after="0"/>
      <w:ind w:left="5103"/>
      <w:jc w:val="left"/>
    </w:pPr>
    <w:rPr>
      <w:rFonts w:eastAsia="Times New Roman"/>
      <w:lang w:eastAsia="en-GB"/>
    </w:rPr>
  </w:style>
  <w:style w:type="paragraph" w:customStyle="1" w:styleId="Sous-titreobjetprliminaire">
    <w:name w:val="Sous-titre objet (préliminaire)"/>
    <w:basedOn w:val="Normal"/>
    <w:rsid w:val="00A93BF2"/>
    <w:pPr>
      <w:spacing w:before="0" w:after="0"/>
      <w:jc w:val="center"/>
    </w:pPr>
    <w:rPr>
      <w:rFonts w:eastAsia="Times New Roman"/>
      <w:b/>
      <w:lang w:eastAsia="en-GB"/>
    </w:rPr>
  </w:style>
  <w:style w:type="paragraph" w:customStyle="1" w:styleId="Statutprliminaire">
    <w:name w:val="Statut (préliminaire)"/>
    <w:basedOn w:val="Normal"/>
    <w:next w:val="Normal"/>
    <w:rsid w:val="00A93BF2"/>
    <w:pPr>
      <w:spacing w:before="360" w:after="0"/>
      <w:jc w:val="center"/>
    </w:pPr>
    <w:rPr>
      <w:rFonts w:eastAsia="Times New Roman"/>
      <w:lang w:eastAsia="en-GB"/>
    </w:rPr>
  </w:style>
  <w:style w:type="paragraph" w:customStyle="1" w:styleId="Titreobjetprliminaire">
    <w:name w:val="Titre objet (préliminaire)"/>
    <w:basedOn w:val="Normal"/>
    <w:next w:val="Normal"/>
    <w:rsid w:val="00A93BF2"/>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A93BF2"/>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A93BF2"/>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A93BF2"/>
    <w:pPr>
      <w:jc w:val="center"/>
    </w:pPr>
    <w:rPr>
      <w:rFonts w:eastAsia="Times New Roman"/>
      <w:b/>
      <w:u w:val="single"/>
      <w:lang w:eastAsia="en-GB"/>
    </w:rPr>
  </w:style>
  <w:style w:type="paragraph" w:customStyle="1" w:styleId="Fichefinanciretravailtitre">
    <w:name w:val="Fiche financière (travail) titre"/>
    <w:basedOn w:val="Normal"/>
    <w:next w:val="Normal"/>
    <w:rsid w:val="00A93BF2"/>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A93BF2"/>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A93BF2"/>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A93BF2"/>
    <w:pPr>
      <w:jc w:val="center"/>
    </w:pPr>
    <w:rPr>
      <w:rFonts w:eastAsia="Times New Roman"/>
      <w:b/>
      <w:u w:val="single"/>
      <w:lang w:eastAsia="en-GB"/>
    </w:rPr>
  </w:style>
  <w:style w:type="character" w:styleId="CommentReference">
    <w:name w:val="annotation reference"/>
    <w:rsid w:val="00A93BF2"/>
    <w:rPr>
      <w:rFonts w:cs="Times New Roman"/>
      <w:sz w:val="16"/>
      <w:szCs w:val="16"/>
    </w:rPr>
  </w:style>
  <w:style w:type="paragraph" w:styleId="CommentText">
    <w:name w:val="annotation text"/>
    <w:basedOn w:val="Normal"/>
    <w:link w:val="CommentTextChar"/>
    <w:rsid w:val="00A93BF2"/>
    <w:rPr>
      <w:rFonts w:eastAsia="Times New Roman"/>
      <w:sz w:val="20"/>
      <w:szCs w:val="20"/>
      <w:lang w:eastAsia="en-GB"/>
    </w:rPr>
  </w:style>
  <w:style w:type="character" w:customStyle="1" w:styleId="CommentTextChar">
    <w:name w:val="Comment Text Char"/>
    <w:basedOn w:val="DefaultParagraphFont"/>
    <w:link w:val="CommentText"/>
    <w:rsid w:val="00A93BF2"/>
    <w:rPr>
      <w:rFonts w:ascii="Times New Roman" w:eastAsia="Times New Roman" w:hAnsi="Times New Roman" w:cs="Times New Roman"/>
      <w:sz w:val="20"/>
      <w:szCs w:val="20"/>
      <w:lang w:val="hr-HR" w:eastAsia="en-GB"/>
    </w:rPr>
  </w:style>
  <w:style w:type="paragraph" w:styleId="CommentSubject">
    <w:name w:val="annotation subject"/>
    <w:basedOn w:val="CommentText"/>
    <w:next w:val="CommentText"/>
    <w:link w:val="CommentSubjectChar"/>
    <w:rsid w:val="00A93BF2"/>
    <w:rPr>
      <w:b/>
      <w:bCs/>
    </w:rPr>
  </w:style>
  <w:style w:type="character" w:customStyle="1" w:styleId="CommentSubjectChar">
    <w:name w:val="Comment Subject Char"/>
    <w:basedOn w:val="CommentTextChar"/>
    <w:link w:val="CommentSubject"/>
    <w:rsid w:val="00A93BF2"/>
    <w:rPr>
      <w:rFonts w:ascii="Times New Roman" w:eastAsia="Times New Roman" w:hAnsi="Times New Roman" w:cs="Times New Roman"/>
      <w:b/>
      <w:bCs/>
      <w:sz w:val="20"/>
      <w:szCs w:val="20"/>
      <w:lang w:val="hr-HR" w:eastAsia="en-GB"/>
    </w:rPr>
  </w:style>
  <w:style w:type="paragraph" w:styleId="BalloonText">
    <w:name w:val="Balloon Text"/>
    <w:basedOn w:val="Normal"/>
    <w:link w:val="BalloonTextChar"/>
    <w:rsid w:val="00A93BF2"/>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A93BF2"/>
    <w:rPr>
      <w:rFonts w:ascii="Tahoma" w:eastAsia="Times New Roman" w:hAnsi="Tahoma" w:cs="Tahoma"/>
      <w:sz w:val="16"/>
      <w:szCs w:val="16"/>
      <w:lang w:val="hr-HR" w:eastAsia="en-GB"/>
    </w:rPr>
  </w:style>
  <w:style w:type="paragraph" w:styleId="Caption">
    <w:name w:val="caption"/>
    <w:basedOn w:val="Normal"/>
    <w:next w:val="Normal"/>
    <w:qFormat/>
    <w:rsid w:val="00A93BF2"/>
    <w:rPr>
      <w:rFonts w:eastAsia="Times New Roman"/>
      <w:b/>
      <w:bCs/>
      <w:sz w:val="20"/>
      <w:szCs w:val="20"/>
      <w:lang w:eastAsia="en-GB"/>
    </w:rPr>
  </w:style>
  <w:style w:type="paragraph" w:styleId="TableofFigures">
    <w:name w:val="table of figures"/>
    <w:basedOn w:val="Normal"/>
    <w:next w:val="Normal"/>
    <w:rsid w:val="00A93BF2"/>
    <w:rPr>
      <w:rFonts w:eastAsia="Times New Roman"/>
      <w:lang w:eastAsia="en-GB"/>
    </w:rPr>
  </w:style>
  <w:style w:type="character" w:styleId="PageNumber">
    <w:name w:val="page number"/>
    <w:rsid w:val="00A93BF2"/>
  </w:style>
  <w:style w:type="character" w:customStyle="1" w:styleId="tw4winMark">
    <w:name w:val="tw4winMark"/>
    <w:rsid w:val="00A93BF2"/>
    <w:rPr>
      <w:vanish/>
      <w:color w:val="800080"/>
      <w:vertAlign w:val="subscript"/>
    </w:rPr>
  </w:style>
  <w:style w:type="character" w:styleId="FollowedHyperlink">
    <w:name w:val="FollowedHyperlink"/>
    <w:rsid w:val="00A93BF2"/>
    <w:rPr>
      <w:color w:val="800080"/>
      <w:u w:val="single"/>
    </w:rPr>
  </w:style>
  <w:style w:type="paragraph" w:customStyle="1" w:styleId="Sous-titreobjet">
    <w:name w:val="Sous-titre objet"/>
    <w:basedOn w:val="Normal"/>
    <w:rsid w:val="00A93BF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A93BF2"/>
  </w:style>
  <w:style w:type="paragraph" w:styleId="Revision">
    <w:name w:val="Revision"/>
    <w:hidden/>
    <w:uiPriority w:val="99"/>
    <w:semiHidden/>
    <w:rsid w:val="00A93BF2"/>
    <w:rPr>
      <w:rFonts w:ascii="Calibri" w:eastAsia="Calibri" w:hAnsi="Calibri" w:cs="Times New Roman"/>
      <w:sz w:val="24"/>
      <w:lang w:eastAsia="en-GB"/>
    </w:rPr>
  </w:style>
  <w:style w:type="paragraph" w:customStyle="1" w:styleId="FooterCoverPage">
    <w:name w:val="Footer Cover Page"/>
    <w:basedOn w:val="Normal"/>
    <w:link w:val="FooterCoverPageChar"/>
    <w:rsid w:val="00A93BF2"/>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A93BF2"/>
    <w:rPr>
      <w:rFonts w:ascii="Times New Roman" w:hAnsi="Times New Roman" w:cs="Times New Roman"/>
      <w:b/>
      <w:sz w:val="28"/>
      <w:lang w:val="hr-HR"/>
    </w:rPr>
  </w:style>
  <w:style w:type="character" w:customStyle="1" w:styleId="FooterCoverPageChar">
    <w:name w:val="Footer Cover Page Char"/>
    <w:link w:val="FooterCoverPage"/>
    <w:rsid w:val="00A93BF2"/>
    <w:rPr>
      <w:rFonts w:ascii="Times New Roman" w:eastAsia="Calibri" w:hAnsi="Times New Roman" w:cs="Times New Roman"/>
      <w:sz w:val="24"/>
      <w:lang w:val="hr-HR" w:eastAsia="en-GB"/>
    </w:rPr>
  </w:style>
  <w:style w:type="paragraph" w:customStyle="1" w:styleId="HeaderCoverPage">
    <w:name w:val="Header Cover Page"/>
    <w:basedOn w:val="Normal"/>
    <w:link w:val="HeaderCoverPageChar"/>
    <w:rsid w:val="00A93BF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93BF2"/>
    <w:rPr>
      <w:rFonts w:ascii="Times New Roman" w:eastAsia="Calibri" w:hAnsi="Times New Roman" w:cs="Times New Roman"/>
      <w:sz w:val="24"/>
      <w:lang w:val="hr-HR" w:eastAsia="en-GB"/>
    </w:rPr>
  </w:style>
  <w:style w:type="character" w:customStyle="1" w:styleId="FooterSensitivityChar">
    <w:name w:val="Footer Sensitivity Char"/>
    <w:rsid w:val="00A93BF2"/>
    <w:rPr>
      <w:rFonts w:ascii="Times New Roman" w:hAnsi="Times New Roman" w:cs="Times New Roman"/>
      <w:b/>
      <w:sz w:val="32"/>
      <w:lang w:val="hr-HR"/>
    </w:rPr>
  </w:style>
  <w:style w:type="character" w:customStyle="1" w:styleId="HeaderSensitivityChar">
    <w:name w:val="Header Sensitivity Char"/>
    <w:rsid w:val="00A93BF2"/>
    <w:rPr>
      <w:rFonts w:ascii="Times New Roman" w:hAnsi="Times New Roman" w:cs="Times New Roman"/>
      <w:b/>
      <w:sz w:val="32"/>
      <w:lang w:val="hr-HR"/>
    </w:rPr>
  </w:style>
  <w:style w:type="character" w:customStyle="1" w:styleId="HeaderSensitivityRightChar">
    <w:name w:val="Header Sensitivity Right Char"/>
    <w:rsid w:val="00A93BF2"/>
    <w:rPr>
      <w:rFonts w:ascii="Times New Roman" w:hAnsi="Times New Roman" w:cs="Times New Roman"/>
      <w:sz w:val="28"/>
      <w:lang w:val="hr-HR"/>
    </w:rPr>
  </w:style>
  <w:style w:type="paragraph" w:customStyle="1" w:styleId="LegalNumPar">
    <w:name w:val="LegalNumPar"/>
    <w:basedOn w:val="Normal"/>
    <w:rsid w:val="00A93BF2"/>
    <w:pPr>
      <w:numPr>
        <w:numId w:val="17"/>
      </w:numPr>
      <w:spacing w:line="360" w:lineRule="auto"/>
    </w:pPr>
    <w:rPr>
      <w:rFonts w:eastAsia="Times New Roman"/>
      <w:lang w:eastAsia="en-GB"/>
    </w:rPr>
  </w:style>
  <w:style w:type="paragraph" w:customStyle="1" w:styleId="LegalNumPar2">
    <w:name w:val="LegalNumPar2"/>
    <w:basedOn w:val="Normal"/>
    <w:rsid w:val="00A93BF2"/>
    <w:pPr>
      <w:numPr>
        <w:ilvl w:val="1"/>
        <w:numId w:val="17"/>
      </w:numPr>
      <w:spacing w:line="360" w:lineRule="auto"/>
    </w:pPr>
    <w:rPr>
      <w:rFonts w:eastAsia="Times New Roman"/>
      <w:lang w:eastAsia="en-GB"/>
    </w:rPr>
  </w:style>
  <w:style w:type="paragraph" w:customStyle="1" w:styleId="LegalNumPar3">
    <w:name w:val="LegalNumPar3"/>
    <w:basedOn w:val="Normal"/>
    <w:rsid w:val="00A93BF2"/>
    <w:pPr>
      <w:numPr>
        <w:ilvl w:val="2"/>
        <w:numId w:val="17"/>
      </w:numPr>
      <w:spacing w:line="360" w:lineRule="auto"/>
    </w:pPr>
    <w:rPr>
      <w:rFonts w:eastAsia="Times New Roman"/>
      <w:lang w:eastAsia="en-GB"/>
    </w:rPr>
  </w:style>
  <w:style w:type="paragraph" w:styleId="ListParagraph">
    <w:name w:val="List Paragraph"/>
    <w:basedOn w:val="Normal"/>
    <w:uiPriority w:val="34"/>
    <w:qFormat/>
    <w:rsid w:val="00A93BF2"/>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A93BF2"/>
    <w:rPr>
      <w:color w:val="605E5C"/>
      <w:shd w:val="clear" w:color="auto" w:fill="E1DFDD"/>
    </w:rPr>
  </w:style>
  <w:style w:type="character" w:styleId="Strong">
    <w:name w:val="Strong"/>
    <w:basedOn w:val="DefaultParagraphFont"/>
    <w:qFormat/>
    <w:rsid w:val="00A93BF2"/>
    <w:rPr>
      <w:b/>
      <w:bCs/>
    </w:rPr>
  </w:style>
  <w:style w:type="character" w:styleId="Emphasis">
    <w:name w:val="Emphasis"/>
    <w:basedOn w:val="DefaultParagraphFont"/>
    <w:qFormat/>
    <w:rsid w:val="00A93BF2"/>
    <w:rPr>
      <w:i/>
      <w:iCs/>
    </w:rPr>
  </w:style>
  <w:style w:type="character" w:customStyle="1" w:styleId="Mention">
    <w:name w:val="Mention"/>
    <w:basedOn w:val="DefaultParagraphFont"/>
    <w:uiPriority w:val="99"/>
    <w:unhideWhenUsed/>
    <w:rsid w:val="00A93BF2"/>
    <w:rPr>
      <w:color w:val="2B579A"/>
      <w:shd w:val="clear" w:color="auto" w:fill="E1DFDD"/>
    </w:rPr>
  </w:style>
  <w:style w:type="character" w:customStyle="1" w:styleId="normaltextrun">
    <w:name w:val="normaltextrun"/>
    <w:basedOn w:val="DefaultParagraphFont"/>
    <w:rsid w:val="00A93BF2"/>
  </w:style>
  <w:style w:type="character" w:customStyle="1" w:styleId="eop">
    <w:name w:val="eop"/>
    <w:basedOn w:val="DefaultParagraphFont"/>
    <w:rsid w:val="00A93BF2"/>
  </w:style>
  <w:style w:type="character" w:customStyle="1" w:styleId="HeaderChar">
    <w:name w:val="Header Char"/>
    <w:basedOn w:val="DefaultParagraphFont"/>
    <w:link w:val="Header"/>
    <w:uiPriority w:val="99"/>
    <w:rsid w:val="008B497F"/>
    <w:rPr>
      <w:rFonts w:ascii="Times New Roman" w:hAnsi="Times New Roman" w:cs="Times New Roman"/>
      <w:sz w:val="24"/>
      <w:lang w:val="hr-HR"/>
    </w:rPr>
  </w:style>
  <w:style w:type="character" w:customStyle="1" w:styleId="FooterChar">
    <w:name w:val="Footer Char"/>
    <w:basedOn w:val="DefaultParagraphFont"/>
    <w:link w:val="Footer"/>
    <w:uiPriority w:val="99"/>
    <w:rsid w:val="008B497F"/>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B497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B497F"/>
    <w:pPr>
      <w:spacing w:before="0"/>
      <w:jc w:val="right"/>
    </w:pPr>
    <w:rPr>
      <w:sz w:val="28"/>
    </w:rPr>
  </w:style>
  <w:style w:type="paragraph" w:customStyle="1" w:styleId="FooterSensitivity">
    <w:name w:val="Footer Sensitivity"/>
    <w:basedOn w:val="Normal"/>
    <w:rsid w:val="008B497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B497F"/>
    <w:pPr>
      <w:tabs>
        <w:tab w:val="center" w:pos="4535"/>
        <w:tab w:val="right" w:pos="9071"/>
      </w:tabs>
      <w:spacing w:before="0"/>
    </w:pPr>
  </w:style>
  <w:style w:type="paragraph" w:customStyle="1" w:styleId="HeaderLandscape">
    <w:name w:val="HeaderLandscape"/>
    <w:basedOn w:val="Normal"/>
    <w:rsid w:val="008B497F"/>
    <w:pPr>
      <w:tabs>
        <w:tab w:val="center" w:pos="7285"/>
        <w:tab w:val="right" w:pos="14003"/>
      </w:tabs>
      <w:spacing w:before="0"/>
    </w:pPr>
  </w:style>
  <w:style w:type="paragraph" w:styleId="Footer">
    <w:name w:val="footer"/>
    <w:basedOn w:val="Normal"/>
    <w:link w:val="FooterChar"/>
    <w:uiPriority w:val="99"/>
    <w:unhideWhenUsed/>
    <w:rsid w:val="008B497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B497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AF79D-92DB-451E-930B-C340135C5361}">
  <ds:schemaRefs>
    <ds:schemaRef ds:uri="http://schemas.microsoft.com/sharepoint/v3/contenttype/forms"/>
  </ds:schemaRefs>
</ds:datastoreItem>
</file>

<file path=customXml/itemProps2.xml><?xml version="1.0" encoding="utf-8"?>
<ds:datastoreItem xmlns:ds="http://schemas.openxmlformats.org/officeDocument/2006/customXml" ds:itemID="{92B32823-3B7E-4DC7-AB61-8161F0D08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C038D-D066-4FE4-A42F-999552C54B96}">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sharepoint/v3/fields"/>
    <ds:schemaRef ds:uri="f7bb8512-91eb-4bfd-be42-d6f021407e9a"/>
    <ds:schemaRef ds:uri="144c03d0-0f03-451f-9d46-5279004462a4"/>
    <ds:schemaRef ds:uri="http://purl.org/dc/term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B246989A-5CB8-4E42-B212-C9E4215B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7</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27</cp:revision>
  <dcterms:created xsi:type="dcterms:W3CDTF">2025-03-10T08:23:00Z</dcterms:created>
  <dcterms:modified xsi:type="dcterms:W3CDTF">2025-04-02T07:23:00Z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2025-01-28T15:39:56Z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31759a29-e370-43df-8786-2b7ff5f4fc86</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