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8A1DE" w14:textId="7842C640" w:rsidR="000464B5" w:rsidRPr="00E91C04" w:rsidRDefault="008E5F61" w:rsidP="008E5F61">
      <w:pPr>
        <w:pStyle w:val="Pagedecouverture"/>
        <w:rPr>
          <w:noProof/>
          <w:u w:color="000000"/>
          <w:bdr w:val="nil"/>
        </w:rPr>
      </w:pPr>
      <w:bookmarkStart w:id="0" w:name="_Toc189995480"/>
      <w:bookmarkStart w:id="1" w:name="LW_BM_COVERPAGE"/>
      <w:r>
        <w:rPr>
          <w:noProof/>
          <w:u w:color="000000"/>
          <w:bdr w:val="nil"/>
        </w:rPr>
        <w:pict w14:anchorId="5AB7E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7AC593B-FF46-42CE-AAD3-7095C46C62BE" style="width:455.25pt;height:393pt">
            <v:imagedata r:id="rId8" o:title=""/>
          </v:shape>
        </w:pict>
      </w:r>
    </w:p>
    <w:bookmarkEnd w:id="1"/>
    <w:p w14:paraId="696DB749" w14:textId="77777777" w:rsidR="000464B5" w:rsidRPr="00E91C04" w:rsidRDefault="000464B5" w:rsidP="000464B5">
      <w:pPr>
        <w:rPr>
          <w:noProof/>
          <w:u w:color="000000"/>
          <w:bdr w:val="nil"/>
          <w:lang w:val="en-GB" w:eastAsia="en-IE"/>
        </w:rPr>
        <w:sectPr w:rsidR="000464B5" w:rsidRPr="00E91C04" w:rsidSect="008E5F6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DDA8E84" w14:textId="3E689493"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2" w:name="_GoBack"/>
      <w:bookmarkEnd w:id="2"/>
      <w:r>
        <w:rPr>
          <w:rFonts w:ascii="Times New Roman" w:hAnsi="Times New Roman"/>
          <w:b/>
          <w:smallCaps/>
          <w:noProof/>
          <w:color w:val="000000"/>
          <w:sz w:val="28"/>
          <w:u w:color="000000"/>
          <w:bdr w:val="nil"/>
        </w:rPr>
        <w:lastRenderedPageBreak/>
        <w:t>Uvod</w:t>
      </w:r>
      <w:bookmarkEnd w:id="0"/>
      <w:r>
        <w:rPr>
          <w:rFonts w:ascii="Times New Roman" w:hAnsi="Times New Roman"/>
          <w:b/>
          <w:smallCaps/>
          <w:noProof/>
          <w:color w:val="000000"/>
          <w:sz w:val="28"/>
          <w:u w:color="000000"/>
          <w:bdr w:val="nil"/>
        </w:rPr>
        <w:t xml:space="preserve"> </w:t>
      </w:r>
    </w:p>
    <w:p w14:paraId="649A1938" w14:textId="77777777" w:rsidR="00E8217E" w:rsidRPr="00E91C04" w:rsidRDefault="00E8217E" w:rsidP="00E8217E">
      <w:pPr>
        <w:spacing w:before="240" w:after="240"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color w:val="000000"/>
          <w:sz w:val="24"/>
        </w:rPr>
        <w:t>Energetsko tržište pokreće naše gospodarstvo, podupire naše društvo i povezuje naše zajednice. Zajedno smo izgradili otporne mreže, odvojili gospodarski rast od emisija stakleničkih plinova, smanjili ovisnosti i preuzeli vodeću ulogu u globalnoj energetskoj tranziciji. EU je prevladao nedavnu energetsku krizu zahvaljujući brzom uvođenju čiste energije, diversifikaciji opskrbe, povezanosti energetskih mreža ključnih za njegovu sigurnost i solidarnosti među državama članicama. </w:t>
      </w:r>
    </w:p>
    <w:p w14:paraId="06C66D30"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color w:val="000000"/>
          <w:sz w:val="24"/>
        </w:rPr>
        <w:t xml:space="preserve">Međutim, postoji </w:t>
      </w:r>
      <w:r>
        <w:rPr>
          <w:rFonts w:ascii="Times New Roman" w:hAnsi="Times New Roman"/>
          <w:b/>
          <w:noProof/>
          <w:color w:val="000000"/>
          <w:sz w:val="24"/>
        </w:rPr>
        <w:t>jasna i hitna potreba za jačanjem naše energetske unije</w:t>
      </w:r>
      <w:r>
        <w:rPr>
          <w:rFonts w:ascii="Times New Roman" w:hAnsi="Times New Roman"/>
          <w:noProof/>
          <w:color w:val="000000"/>
          <w:sz w:val="24"/>
        </w:rPr>
        <w:t xml:space="preserve">. Visoki troškovi energije opterećuju naše </w:t>
      </w:r>
      <w:r>
        <w:rPr>
          <w:rFonts w:ascii="Times New Roman" w:hAnsi="Times New Roman"/>
          <w:b/>
          <w:noProof/>
          <w:color w:val="000000"/>
          <w:sz w:val="24"/>
        </w:rPr>
        <w:t>građane i poduzeća.</w:t>
      </w:r>
      <w:r>
        <w:rPr>
          <w:rFonts w:ascii="Times New Roman" w:hAnsi="Times New Roman"/>
          <w:noProof/>
          <w:color w:val="000000"/>
          <w:sz w:val="24"/>
        </w:rPr>
        <w:t xml:space="preserve"> Više od 46 milijuna Europljana izloženo je energetskom siromaštvu koje nerazmjerno utječe na ranjive skupine</w:t>
      </w:r>
      <w:r w:rsidRPr="00E91C04">
        <w:rPr>
          <w:rFonts w:ascii="Times New Roman" w:eastAsia="Times New Roman" w:hAnsi="Times New Roman" w:cs="Times New Roman"/>
          <w:noProof/>
          <w:color w:val="000000"/>
          <w:kern w:val="0"/>
          <w:sz w:val="24"/>
          <w:szCs w:val="24"/>
          <w:vertAlign w:val="superscript"/>
          <w:lang w:val="en-GB" w:eastAsia="en-IE"/>
        </w:rPr>
        <w:footnoteReference w:id="1"/>
      </w:r>
      <w:r>
        <w:rPr>
          <w:rFonts w:ascii="Times New Roman" w:hAnsi="Times New Roman"/>
          <w:noProof/>
          <w:color w:val="000000"/>
          <w:sz w:val="24"/>
        </w:rPr>
        <w:t>.</w:t>
      </w:r>
      <w:r>
        <w:rPr>
          <w:rFonts w:ascii="Times New Roman" w:hAnsi="Times New Roman"/>
          <w:noProof/>
          <w:sz w:val="24"/>
        </w:rPr>
        <w:t xml:space="preserve"> Maloprodajne cijene električne energije za </w:t>
      </w:r>
      <w:r>
        <w:rPr>
          <w:rFonts w:ascii="Times New Roman" w:hAnsi="Times New Roman"/>
          <w:b/>
          <w:noProof/>
          <w:sz w:val="24"/>
        </w:rPr>
        <w:t>industriju</w:t>
      </w:r>
      <w:r>
        <w:rPr>
          <w:rFonts w:ascii="Times New Roman" w:hAnsi="Times New Roman"/>
          <w:noProof/>
          <w:sz w:val="24"/>
        </w:rPr>
        <w:t xml:space="preserve"> gotovo su se udvostručile: za industrijskog potrošača srednje veličine cijene 2023. bile su 97 % više od prosjeka za razdoblje 2014. – 2020.</w:t>
      </w:r>
      <w:r w:rsidRPr="00E91C04">
        <w:rPr>
          <w:rFonts w:ascii="Times New Roman" w:eastAsia="Times New Roman" w:hAnsi="Times New Roman" w:cs="Times New Roman"/>
          <w:noProof/>
          <w:kern w:val="0"/>
          <w:sz w:val="24"/>
          <w:szCs w:val="24"/>
          <w:vertAlign w:val="superscript"/>
          <w:lang w:val="en-GB" w:eastAsia="en-IE"/>
        </w:rPr>
        <w:footnoteReference w:id="2"/>
      </w:r>
      <w:r>
        <w:rPr>
          <w:rFonts w:ascii="Times New Roman" w:hAnsi="Times New Roman"/>
          <w:noProof/>
          <w:sz w:val="24"/>
        </w:rPr>
        <w:t xml:space="preserve"> </w:t>
      </w:r>
      <w:r>
        <w:rPr>
          <w:rFonts w:ascii="Times New Roman" w:hAnsi="Times New Roman"/>
          <w:b/>
          <w:noProof/>
          <w:color w:val="000000"/>
          <w:sz w:val="24"/>
        </w:rPr>
        <w:t>Razlika u cijenama energije</w:t>
      </w:r>
      <w:r>
        <w:rPr>
          <w:rFonts w:ascii="Times New Roman" w:hAnsi="Times New Roman"/>
          <w:noProof/>
          <w:color w:val="000000"/>
          <w:sz w:val="24"/>
        </w:rPr>
        <w:t xml:space="preserve"> između EU-a i naših glavnih konkurenata raste</w:t>
      </w:r>
      <w:r w:rsidRPr="00E91C04">
        <w:rPr>
          <w:rFonts w:ascii="Times New Roman" w:eastAsia="Times New Roman" w:hAnsi="Times New Roman" w:cs="Times New Roman"/>
          <w:noProof/>
          <w:color w:val="000000"/>
          <w:kern w:val="0"/>
          <w:sz w:val="24"/>
          <w:szCs w:val="24"/>
          <w:vertAlign w:val="superscript"/>
          <w:lang w:val="en-GB" w:eastAsia="en-IE"/>
        </w:rPr>
        <w:footnoteReference w:id="3"/>
      </w:r>
      <w:r>
        <w:rPr>
          <w:rFonts w:ascii="Times New Roman" w:hAnsi="Times New Roman"/>
          <w:noProof/>
          <w:color w:val="000000"/>
          <w:sz w:val="24"/>
        </w:rPr>
        <w:t>, a postoji i rizik da će nova ulaganja pogodovati zemljama izvan Europe i da će se postojeće industrije premjestiti, što može dovesti do odljeva ključnih industrija koje pokreću gospodarstvo i otpornost EU-a te stvaraju kvalitetna radna mjesta</w:t>
      </w:r>
      <w:r w:rsidRPr="00E91C04">
        <w:rPr>
          <w:rFonts w:ascii="Times New Roman" w:eastAsia="Times New Roman" w:hAnsi="Times New Roman" w:cs="Times New Roman"/>
          <w:noProof/>
          <w:color w:val="000000"/>
          <w:kern w:val="0"/>
          <w:sz w:val="24"/>
          <w:szCs w:val="24"/>
          <w:vertAlign w:val="superscript"/>
          <w:lang w:val="en-GB" w:eastAsia="en-IE"/>
        </w:rPr>
        <w:footnoteReference w:id="4"/>
      </w:r>
      <w:r>
        <w:rPr>
          <w:rFonts w:ascii="Times New Roman" w:hAnsi="Times New Roman"/>
          <w:noProof/>
          <w:color w:val="000000"/>
          <w:sz w:val="24"/>
        </w:rPr>
        <w:t>.</w:t>
      </w:r>
      <w:r>
        <w:rPr>
          <w:rFonts w:ascii="Times New Roman" w:hAnsi="Times New Roman"/>
          <w:noProof/>
          <w:sz w:val="24"/>
        </w:rPr>
        <w:t xml:space="preserve"> Sve to ugrožava </w:t>
      </w:r>
      <w:r>
        <w:rPr>
          <w:rFonts w:ascii="Times New Roman" w:hAnsi="Times New Roman"/>
          <w:b/>
          <w:noProof/>
          <w:sz w:val="24"/>
        </w:rPr>
        <w:t xml:space="preserve">međunarodni položaj </w:t>
      </w:r>
      <w:r>
        <w:rPr>
          <w:rFonts w:ascii="Times New Roman" w:hAnsi="Times New Roman"/>
          <w:noProof/>
          <w:sz w:val="24"/>
        </w:rPr>
        <w:t xml:space="preserve">EU-a i njegovu globalnu </w:t>
      </w:r>
      <w:r>
        <w:rPr>
          <w:rFonts w:ascii="Times New Roman" w:hAnsi="Times New Roman"/>
          <w:b/>
          <w:noProof/>
          <w:color w:val="000000"/>
          <w:sz w:val="24"/>
        </w:rPr>
        <w:t>konkurentnost</w:t>
      </w:r>
      <w:r>
        <w:rPr>
          <w:rFonts w:ascii="Times New Roman" w:hAnsi="Times New Roman"/>
          <w:noProof/>
          <w:sz w:val="24"/>
        </w:rPr>
        <w:t>.</w:t>
      </w:r>
      <w:r w:rsidRPr="00E91C04">
        <w:rPr>
          <w:rFonts w:ascii="Times New Roman" w:eastAsia="Times New Roman" w:hAnsi="Times New Roman" w:cs="Times New Roman"/>
          <w:noProof/>
          <w:kern w:val="0"/>
          <w:sz w:val="24"/>
          <w:szCs w:val="24"/>
          <w:vertAlign w:val="superscript"/>
          <w:lang w:val="en-GB" w:eastAsia="en-IE"/>
        </w:rPr>
        <w:footnoteReference w:id="5"/>
      </w:r>
    </w:p>
    <w:p w14:paraId="055776E0" w14:textId="118936D2" w:rsidR="00E8217E" w:rsidRPr="00E91C04" w:rsidRDefault="009B66B4" w:rsidP="00E8217E">
      <w:pPr>
        <w:keepNext/>
        <w:spacing w:before="240" w:after="60" w:line="240" w:lineRule="auto"/>
        <w:jc w:val="center"/>
        <w:rPr>
          <w:rFonts w:ascii="Times New Roman" w:eastAsia="Times New Roman" w:hAnsi="Times New Roman" w:cs="Times New Roman"/>
          <w:noProof/>
          <w:kern w:val="0"/>
          <w:sz w:val="24"/>
          <w:szCs w:val="24"/>
          <w14:ligatures w14:val="none"/>
        </w:rPr>
      </w:pPr>
      <w:r w:rsidRPr="009B66B4">
        <w:rPr>
          <w:noProof/>
          <w:lang w:val="en-GB" w:eastAsia="en-GB"/>
        </w:rPr>
        <w:drawing>
          <wp:inline distT="0" distB="0" distL="0" distR="0" wp14:anchorId="1C3496D1" wp14:editId="734DFA53">
            <wp:extent cx="4581525" cy="2752725"/>
            <wp:effectExtent l="0" t="0" r="0" b="0"/>
            <wp:docPr id="119834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077817D7" w14:textId="7A25B922" w:rsidR="00E8217E" w:rsidRPr="00E91C04" w:rsidRDefault="00E8217E" w:rsidP="00E8217E">
      <w:pPr>
        <w:spacing w:after="240" w:line="240" w:lineRule="auto"/>
        <w:jc w:val="center"/>
        <w:rPr>
          <w:rFonts w:ascii="Times New Roman" w:eastAsia="Times New Roman" w:hAnsi="Times New Roman" w:cs="Times New Roman"/>
          <w:noProof/>
          <w:kern w:val="0"/>
          <w:sz w:val="20"/>
          <w:szCs w:val="20"/>
          <w14:ligatures w14:val="none"/>
        </w:rPr>
      </w:pPr>
      <w:r>
        <w:rPr>
          <w:rFonts w:ascii="Times New Roman" w:hAnsi="Times New Roman"/>
          <w:b/>
          <w:noProof/>
          <w:sz w:val="20"/>
        </w:rPr>
        <w:t>Slika 1</w:t>
      </w:r>
      <w:r>
        <w:rPr>
          <w:rFonts w:ascii="Times New Roman" w:hAnsi="Times New Roman"/>
          <w:noProof/>
          <w:sz w:val="20"/>
        </w:rPr>
        <w:t xml:space="preserve">. </w:t>
      </w:r>
      <w:r w:rsidR="00ED6E66" w:rsidRPr="00ED6E66">
        <w:rPr>
          <w:rFonts w:ascii="Times New Roman" w:hAnsi="Times New Roman"/>
          <w:noProof/>
          <w:sz w:val="20"/>
        </w:rPr>
        <w:t>Omjeri maloprodajnih cijena električne energije za industriju na globalnim tržištima (</w:t>
      </w:r>
      <w:r w:rsidR="00ED6E66" w:rsidRPr="00ED6E66">
        <w:rPr>
          <w:rFonts w:ascii="Times New Roman" w:hAnsi="Times New Roman"/>
          <w:i/>
          <w:iCs/>
          <w:noProof/>
          <w:sz w:val="20"/>
        </w:rPr>
        <w:t>procjene Europske komisije)</w:t>
      </w:r>
      <w:r>
        <w:rPr>
          <w:rFonts w:ascii="Times New Roman" w:hAnsi="Times New Roman"/>
          <w:noProof/>
          <w:sz w:val="24"/>
        </w:rPr>
        <w:br/>
      </w:r>
      <w:r>
        <w:rPr>
          <w:rFonts w:ascii="Times New Roman" w:hAnsi="Times New Roman"/>
          <w:noProof/>
          <w:sz w:val="20"/>
        </w:rPr>
        <w:t>(Omjer veći od 1 znači da su cijene u EU-u više od cijena u relevantnoj trećoj zemlji)</w:t>
      </w:r>
    </w:p>
    <w:p w14:paraId="509CBF0D" w14:textId="77777777" w:rsidR="007427B4" w:rsidRPr="00E91C04" w:rsidRDefault="00E8217E" w:rsidP="007427B4">
      <w:pPr>
        <w:spacing w:before="100" w:beforeAutospacing="1"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Komisija stoga pokreće ambiciozan program za potporu našim građanima, poduzećima i industriji kojim će potaknuti rast i ulaganja i promicati rad na dekarbonizaciji. </w:t>
      </w:r>
    </w:p>
    <w:p w14:paraId="253749E1" w14:textId="36ED81E3" w:rsidR="00E8217E" w:rsidRPr="00E91C04" w:rsidDel="00EB5B7E"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Kompas konkurentnosti za EU</w:t>
      </w:r>
      <w:r w:rsidRPr="00E91C04">
        <w:rPr>
          <w:rFonts w:ascii="Times New Roman" w:eastAsia="Times New Roman" w:hAnsi="Times New Roman" w:cs="Times New Roman"/>
          <w:noProof/>
          <w:kern w:val="0"/>
          <w:sz w:val="24"/>
          <w:szCs w:val="24"/>
          <w:vertAlign w:val="superscript"/>
          <w:lang w:val="en-GB" w:eastAsia="en-IE"/>
        </w:rPr>
        <w:footnoteReference w:id="6"/>
      </w:r>
      <w:r>
        <w:rPr>
          <w:rFonts w:ascii="Times New Roman" w:hAnsi="Times New Roman"/>
          <w:noProof/>
          <w:sz w:val="24"/>
        </w:rPr>
        <w:t xml:space="preserve"> tijekom sljedećih pet godina usmjeravat će rad  na oživljavanju gospodarske dinamike u Europi. Središnji element mu je </w:t>
      </w:r>
      <w:r>
        <w:rPr>
          <w:rFonts w:ascii="Times New Roman" w:hAnsi="Times New Roman"/>
          <w:b/>
          <w:noProof/>
          <w:sz w:val="24"/>
        </w:rPr>
        <w:t>Plan za čistu industriju, odnosno naša strategija rasta i blagostanja koja objedinjuje klimu i konkurentnost</w:t>
      </w:r>
      <w:r>
        <w:rPr>
          <w:rFonts w:ascii="Times New Roman" w:hAnsi="Times New Roman"/>
          <w:noProof/>
          <w:sz w:val="24"/>
        </w:rPr>
        <w:t xml:space="preserve">, zajedno s </w:t>
      </w:r>
      <w:r>
        <w:rPr>
          <w:rFonts w:ascii="Times New Roman" w:hAnsi="Times New Roman"/>
          <w:b/>
          <w:noProof/>
          <w:sz w:val="24"/>
        </w:rPr>
        <w:t>Akcijskim planom za cjenovno pristupačnu energiju</w:t>
      </w:r>
      <w:r>
        <w:rPr>
          <w:rFonts w:ascii="Times New Roman" w:hAnsi="Times New Roman"/>
          <w:noProof/>
          <w:sz w:val="24"/>
        </w:rPr>
        <w:t xml:space="preserve"> usmjerenim na smanjenje troškova energije za građane, poduzeća, industriju i zajednice u cijelom EU-u</w:t>
      </w:r>
    </w:p>
    <w:p w14:paraId="551A0E1C"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U ovom Akcijskom planu predstavljene su </w:t>
      </w:r>
      <w:r>
        <w:rPr>
          <w:rFonts w:ascii="Times New Roman" w:hAnsi="Times New Roman"/>
          <w:b/>
          <w:noProof/>
          <w:sz w:val="24"/>
        </w:rPr>
        <w:t>mjere kojima će se brzo smanjiti računi za energiju</w:t>
      </w:r>
      <w:r>
        <w:rPr>
          <w:rFonts w:ascii="Times New Roman" w:hAnsi="Times New Roman"/>
          <w:noProof/>
          <w:sz w:val="24"/>
        </w:rPr>
        <w:t xml:space="preserve">, a </w:t>
      </w:r>
      <w:r>
        <w:rPr>
          <w:rFonts w:ascii="Times New Roman" w:hAnsi="Times New Roman"/>
          <w:b/>
          <w:noProof/>
          <w:sz w:val="24"/>
        </w:rPr>
        <w:t>istodobno ubrzati provedba prijeko potrebnih strukturnih reformi s ciljem uštede troškova</w:t>
      </w:r>
      <w:r>
        <w:rPr>
          <w:rFonts w:ascii="Times New Roman" w:hAnsi="Times New Roman"/>
          <w:noProof/>
          <w:sz w:val="24"/>
        </w:rPr>
        <w:t xml:space="preserve"> i </w:t>
      </w:r>
      <w:r>
        <w:rPr>
          <w:rFonts w:ascii="Times New Roman" w:hAnsi="Times New Roman"/>
          <w:b/>
          <w:noProof/>
          <w:sz w:val="24"/>
        </w:rPr>
        <w:t>ojačati naši energetski sustavi kako bi se ublažili budući cjenovni šokovi</w:t>
      </w:r>
      <w:r>
        <w:rPr>
          <w:rFonts w:ascii="Times New Roman" w:hAnsi="Times New Roman"/>
          <w:noProof/>
          <w:sz w:val="24"/>
        </w:rPr>
        <w:t xml:space="preserve">. Uz predano djelovanje država članica i svih relevantnih dionika tih </w:t>
      </w:r>
      <w:r>
        <w:rPr>
          <w:rFonts w:ascii="Times New Roman" w:hAnsi="Times New Roman"/>
          <w:b/>
          <w:noProof/>
          <w:sz w:val="24"/>
        </w:rPr>
        <w:t>osam mjera</w:t>
      </w:r>
      <w:r>
        <w:rPr>
          <w:rFonts w:ascii="Times New Roman" w:hAnsi="Times New Roman"/>
          <w:noProof/>
          <w:sz w:val="24"/>
        </w:rPr>
        <w:t xml:space="preserve"> omogućit će smanjenje troškova energije i pomoći u </w:t>
      </w:r>
      <w:r>
        <w:rPr>
          <w:rFonts w:ascii="Times New Roman" w:hAnsi="Times New Roman"/>
          <w:b/>
          <w:noProof/>
          <w:sz w:val="24"/>
        </w:rPr>
        <w:t>izgradnji</w:t>
      </w:r>
      <w:r>
        <w:rPr>
          <w:rFonts w:ascii="Times New Roman" w:hAnsi="Times New Roman"/>
          <w:noProof/>
          <w:sz w:val="24"/>
        </w:rPr>
        <w:t xml:space="preserve"> </w:t>
      </w:r>
      <w:r>
        <w:rPr>
          <w:rFonts w:ascii="Times New Roman" w:hAnsi="Times New Roman"/>
          <w:b/>
          <w:noProof/>
          <w:sz w:val="24"/>
        </w:rPr>
        <w:t>energetske unije u punom smislu te riječi</w:t>
      </w:r>
      <w:r>
        <w:rPr>
          <w:rFonts w:ascii="Times New Roman" w:hAnsi="Times New Roman"/>
          <w:noProof/>
          <w:sz w:val="24"/>
        </w:rPr>
        <w:t xml:space="preserve">, koja će donijeti konkurentnost, sigurnost, dekarbonizaciju i pravednu tranziciju, prenoseći koristi od jeftinije energije na sve krajnje korisnike. </w:t>
      </w:r>
    </w:p>
    <w:p w14:paraId="639C2C0D" w14:textId="665A92F5"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3" w:name="_Toc185333933"/>
      <w:bookmarkStart w:id="4" w:name="_Toc185334623"/>
      <w:bookmarkStart w:id="5" w:name="_Toc185334660"/>
      <w:bookmarkStart w:id="6" w:name="_Toc185335033"/>
      <w:bookmarkStart w:id="7" w:name="_Toc185335279"/>
      <w:bookmarkStart w:id="8" w:name="_Toc189995481"/>
      <w:bookmarkStart w:id="9" w:name="_Toc185346391"/>
      <w:bookmarkStart w:id="10" w:name="_Toc185346853"/>
      <w:bookmarkStart w:id="11" w:name="_Toc185348722"/>
      <w:bookmarkStart w:id="12" w:name="_Toc185435261"/>
      <w:bookmarkStart w:id="13" w:name="_Toc185497206"/>
      <w:bookmarkStart w:id="14" w:name="_Toc185497238"/>
      <w:bookmarkEnd w:id="3"/>
      <w:bookmarkEnd w:id="4"/>
      <w:bookmarkEnd w:id="5"/>
      <w:bookmarkEnd w:id="6"/>
      <w:bookmarkEnd w:id="7"/>
      <w:r>
        <w:rPr>
          <w:rFonts w:ascii="Times New Roman" w:hAnsi="Times New Roman"/>
          <w:b/>
          <w:smallCaps/>
          <w:noProof/>
          <w:color w:val="000000"/>
          <w:sz w:val="28"/>
          <w:u w:color="000000"/>
          <w:bdr w:val="nil"/>
        </w:rPr>
        <w:t>Što uzrokuje poskupljenja energije u EU-u?</w:t>
      </w:r>
      <w:bookmarkEnd w:id="8"/>
      <w:r>
        <w:rPr>
          <w:rFonts w:ascii="Times New Roman" w:hAnsi="Times New Roman"/>
          <w:b/>
          <w:smallCaps/>
          <w:noProof/>
          <w:color w:val="000000"/>
          <w:sz w:val="28"/>
          <w:u w:color="000000"/>
          <w:bdr w:val="nil"/>
        </w:rPr>
        <w:t xml:space="preserve"> </w:t>
      </w:r>
      <w:bookmarkEnd w:id="9"/>
      <w:bookmarkEnd w:id="10"/>
      <w:bookmarkEnd w:id="11"/>
      <w:bookmarkEnd w:id="12"/>
      <w:bookmarkEnd w:id="13"/>
      <w:bookmarkEnd w:id="14"/>
    </w:p>
    <w:p w14:paraId="7952CD6E"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Računi za energiju ovise o </w:t>
      </w:r>
      <w:r>
        <w:rPr>
          <w:rFonts w:ascii="Times New Roman" w:hAnsi="Times New Roman"/>
          <w:b/>
          <w:noProof/>
          <w:sz w:val="24"/>
        </w:rPr>
        <w:t>kombinaciji čimbenika</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troškovima opskrbe energijom, koji su povezani s ukupnom razinom potrošnje, troškovima mreže te trošarinama i porezima. Troškovi opskrbe energijom ovise o veleprodajnim cijenama, na koje pak utječu različiti čimbenici kao što su ponuda i potražnja, kombinacija izvora energije, međupovezanost, tržišno natjecanje, meteorološke i geopolitičke okolnosti te maloprodajno tržišno natjecanje među opskrbljivačima. Ti čimbenici ilustriraju </w:t>
      </w:r>
      <w:r>
        <w:rPr>
          <w:rFonts w:ascii="Times New Roman" w:hAnsi="Times New Roman"/>
          <w:b/>
          <w:noProof/>
          <w:sz w:val="24"/>
        </w:rPr>
        <w:t xml:space="preserve">strukturne izazove </w:t>
      </w:r>
      <w:r>
        <w:rPr>
          <w:rFonts w:ascii="Times New Roman" w:hAnsi="Times New Roman"/>
          <w:noProof/>
          <w:sz w:val="24"/>
        </w:rPr>
        <w:t>s kojima se suočava energetski sustav EU-a.</w:t>
      </w:r>
    </w:p>
    <w:p w14:paraId="789FE593"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rPr>
      </w:pPr>
      <w:r>
        <w:rPr>
          <w:rFonts w:ascii="Times New Roman" w:hAnsi="Times New Roman"/>
          <w:noProof/>
          <w:sz w:val="24"/>
        </w:rPr>
        <w:t xml:space="preserve">Prvo, europska ovisnost o </w:t>
      </w:r>
      <w:r>
        <w:rPr>
          <w:rFonts w:ascii="Times New Roman" w:hAnsi="Times New Roman"/>
          <w:b/>
          <w:noProof/>
          <w:sz w:val="24"/>
        </w:rPr>
        <w:t>uvozu fosilnih goriva</w:t>
      </w:r>
      <w:r>
        <w:rPr>
          <w:rFonts w:ascii="Times New Roman" w:hAnsi="Times New Roman"/>
          <w:noProof/>
          <w:sz w:val="24"/>
        </w:rPr>
        <w:t xml:space="preserve"> uzrokuje nestabilnost cijena energije i veće troškove opskrbe te čini EU izloženijim vanjskim pritiscima i nesigurnosti na globalnom tržištu. Iako se potražnja za prirodnim plinom smanjila za 18 % od kolovoza 2022. do svibnja 2024.</w:t>
      </w:r>
      <w:r w:rsidRPr="00E91C04">
        <w:rPr>
          <w:rFonts w:ascii="Times New Roman" w:eastAsia="Times New Roman" w:hAnsi="Times New Roman" w:cs="Times New Roman"/>
          <w:noProof/>
          <w:kern w:val="0"/>
          <w:sz w:val="24"/>
          <w:szCs w:val="24"/>
          <w:vertAlign w:val="superscript"/>
          <w:lang w:val="en-GB" w:eastAsia="en-IE"/>
        </w:rPr>
        <w:footnoteReference w:id="7"/>
      </w:r>
      <w:r>
        <w:rPr>
          <w:rFonts w:ascii="Times New Roman" w:hAnsi="Times New Roman"/>
          <w:noProof/>
          <w:sz w:val="24"/>
        </w:rPr>
        <w:t xml:space="preserve">, </w:t>
      </w:r>
      <w:bookmarkStart w:id="15" w:name="_Hlk187220562"/>
      <w:r>
        <w:rPr>
          <w:rFonts w:ascii="Times New Roman" w:hAnsi="Times New Roman"/>
          <w:noProof/>
          <w:sz w:val="24"/>
        </w:rPr>
        <w:t>EU je i dalje izložen globalnim fluktuacijama cijena fosilnih goriva jer se 90 % njegove potražnje za prirodnim plinom pokriva uvozom</w:t>
      </w:r>
      <w:r w:rsidRPr="00E91C04">
        <w:rPr>
          <w:rFonts w:ascii="Times New Roman" w:eastAsia="Times New Roman" w:hAnsi="Times New Roman" w:cs="Times New Roman"/>
          <w:noProof/>
          <w:kern w:val="0"/>
          <w:sz w:val="24"/>
          <w:szCs w:val="24"/>
          <w:vertAlign w:val="superscript"/>
          <w:lang w:val="en-GB" w:eastAsia="en-IE"/>
        </w:rPr>
        <w:footnoteReference w:id="8"/>
      </w:r>
      <w:r>
        <w:rPr>
          <w:rFonts w:ascii="Times New Roman" w:hAnsi="Times New Roman"/>
          <w:noProof/>
          <w:sz w:val="24"/>
        </w:rPr>
        <w:t>.</w:t>
      </w:r>
      <w:bookmarkEnd w:id="15"/>
      <w:r>
        <w:rPr>
          <w:rFonts w:ascii="Times New Roman" w:hAnsi="Times New Roman"/>
          <w:noProof/>
          <w:sz w:val="24"/>
        </w:rPr>
        <w:t xml:space="preserve"> Posljedice prekomjerne ovisnosti u opskrbi bile su očite tijekom nedavne energetske krize. Neprijateljska ruska instrumentalizacija izvoza plina dovela je do nesigurnosti u opskrbi i naglog porasta cijena. </w:t>
      </w:r>
      <w:r>
        <w:rPr>
          <w:rFonts w:ascii="Times New Roman" w:hAnsi="Times New Roman"/>
          <w:b/>
          <w:noProof/>
          <w:sz w:val="24"/>
        </w:rPr>
        <w:t xml:space="preserve">Troškovi EU-a </w:t>
      </w:r>
      <w:bookmarkStart w:id="16" w:name="_Hlk187220764"/>
      <w:r>
        <w:rPr>
          <w:rFonts w:ascii="Times New Roman" w:hAnsi="Times New Roman"/>
          <w:b/>
          <w:noProof/>
          <w:sz w:val="24"/>
        </w:rPr>
        <w:t>za uvoz energije iz fosilnih goriva 2022. dosegnuli su 604 milijarde eura</w:t>
      </w:r>
      <w:r>
        <w:rPr>
          <w:rFonts w:ascii="Times New Roman" w:hAnsi="Times New Roman"/>
          <w:noProof/>
          <w:sz w:val="24"/>
        </w:rPr>
        <w:t>, nakon povijesno niske razine od 163 milijarde eura iz 2020.</w:t>
      </w:r>
      <w:r w:rsidRPr="00E91C04">
        <w:rPr>
          <w:rFonts w:ascii="Times New Roman" w:eastAsia="Times New Roman" w:hAnsi="Times New Roman" w:cs="Times New Roman"/>
          <w:noProof/>
          <w:kern w:val="0"/>
          <w:sz w:val="24"/>
          <w:szCs w:val="24"/>
          <w:vertAlign w:val="superscript"/>
          <w:lang w:val="en-GB" w:eastAsia="en-IE"/>
        </w:rPr>
        <w:footnoteReference w:id="9"/>
      </w:r>
      <w:r>
        <w:rPr>
          <w:rFonts w:ascii="Times New Roman" w:hAnsi="Times New Roman"/>
          <w:noProof/>
          <w:sz w:val="24"/>
        </w:rPr>
        <w:t xml:space="preserve"> S obzirom na to da se znatan udio (28,9 %) prosječne kombinacije energenata za proizvodnju električne energije u EU-u i dalje temelji na fosilnim gorivima</w:t>
      </w:r>
      <w:r w:rsidRPr="00E91C04">
        <w:rPr>
          <w:rFonts w:ascii="Times New Roman" w:eastAsia="Times New Roman" w:hAnsi="Times New Roman" w:cs="Times New Roman"/>
          <w:noProof/>
          <w:kern w:val="0"/>
          <w:sz w:val="24"/>
          <w:szCs w:val="24"/>
          <w:vertAlign w:val="superscript"/>
          <w:lang w:val="en-GB" w:eastAsia="en-IE"/>
        </w:rPr>
        <w:footnoteReference w:id="10"/>
      </w:r>
      <w:r>
        <w:rPr>
          <w:rFonts w:ascii="Times New Roman" w:hAnsi="Times New Roman"/>
          <w:noProof/>
          <w:sz w:val="24"/>
        </w:rPr>
        <w:t xml:space="preserve">, a promet uglavnom ovisi o naftnim proizvodima, </w:t>
      </w:r>
      <w:r>
        <w:rPr>
          <w:rFonts w:ascii="Times New Roman" w:hAnsi="Times New Roman"/>
          <w:b/>
          <w:noProof/>
          <w:sz w:val="24"/>
        </w:rPr>
        <w:t>troškovi uvoza fosilnih goriva znatno utječu na račune potrošača za energiju</w:t>
      </w:r>
      <w:r>
        <w:rPr>
          <w:rFonts w:ascii="Times New Roman" w:hAnsi="Times New Roman"/>
          <w:noProof/>
          <w:sz w:val="24"/>
        </w:rPr>
        <w:t xml:space="preserve"> (vidjeti sliku 2).</w:t>
      </w:r>
      <w:bookmarkStart w:id="18" w:name="_Hlk187226564"/>
      <w:bookmarkEnd w:id="16"/>
    </w:p>
    <w:p w14:paraId="293738E8" w14:textId="5A7C8E5C" w:rsidR="00E8217E" w:rsidRPr="00E91C04" w:rsidRDefault="00BD4B17" w:rsidP="00E8217E">
      <w:pPr>
        <w:keepNext/>
        <w:spacing w:after="0" w:line="240" w:lineRule="auto"/>
        <w:jc w:val="both"/>
        <w:rPr>
          <w:rFonts w:ascii="Times New Roman" w:eastAsia="Times New Roman" w:hAnsi="Times New Roman" w:cs="Times New Roman"/>
          <w:noProof/>
          <w:kern w:val="0"/>
          <w:sz w:val="24"/>
          <w:szCs w:val="24"/>
          <w14:ligatures w14:val="none"/>
        </w:rPr>
      </w:pPr>
      <w:r w:rsidRPr="00BD4B17">
        <w:rPr>
          <w:noProof/>
          <w:lang w:val="en-GB" w:eastAsia="en-GB"/>
        </w:rPr>
        <w:drawing>
          <wp:anchor distT="0" distB="0" distL="114300" distR="114300" simplePos="0" relativeHeight="251657216" behindDoc="0" locked="0" layoutInCell="1" allowOverlap="1" wp14:anchorId="1C252B03" wp14:editId="003B38D0">
            <wp:simplePos x="0" y="0"/>
            <wp:positionH relativeFrom="column">
              <wp:posOffset>2971800</wp:posOffset>
            </wp:positionH>
            <wp:positionV relativeFrom="paragraph">
              <wp:posOffset>85725</wp:posOffset>
            </wp:positionV>
            <wp:extent cx="2915920" cy="1279525"/>
            <wp:effectExtent l="0" t="0" r="0" b="0"/>
            <wp:wrapSquare wrapText="bothSides"/>
            <wp:docPr id="18874584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5920"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4B17">
        <w:rPr>
          <w:noProof/>
          <w:lang w:val="en-GB" w:eastAsia="en-GB"/>
        </w:rPr>
        <w:drawing>
          <wp:inline distT="0" distB="0" distL="0" distR="0" wp14:anchorId="2F87F511" wp14:editId="2BD946AA">
            <wp:extent cx="3024000" cy="1485860"/>
            <wp:effectExtent l="0" t="0" r="0" b="0"/>
            <wp:docPr id="736217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4000" cy="1485860"/>
                    </a:xfrm>
                    <a:prstGeom prst="rect">
                      <a:avLst/>
                    </a:prstGeom>
                    <a:noFill/>
                    <a:ln>
                      <a:noFill/>
                    </a:ln>
                  </pic:spPr>
                </pic:pic>
              </a:graphicData>
            </a:graphic>
          </wp:inline>
        </w:drawing>
      </w:r>
    </w:p>
    <w:bookmarkEnd w:id="18"/>
    <w:p w14:paraId="468EE38A" w14:textId="77777777" w:rsidR="00E8217E" w:rsidRPr="00E91C04" w:rsidRDefault="00E8217E" w:rsidP="00E8217E">
      <w:pPr>
        <w:spacing w:before="60" w:after="100" w:afterAutospacing="1" w:line="240" w:lineRule="auto"/>
        <w:jc w:val="center"/>
        <w:rPr>
          <w:rFonts w:ascii="Times New Roman" w:eastAsia="Times New Roman" w:hAnsi="Times New Roman" w:cs="Times New Roman"/>
          <w:i/>
          <w:iCs/>
          <w:noProof/>
          <w:color w:val="44546A"/>
          <w:kern w:val="0"/>
          <w:sz w:val="18"/>
          <w:szCs w:val="18"/>
          <w14:ligatures w14:val="none"/>
        </w:rPr>
      </w:pPr>
      <w:r>
        <w:rPr>
          <w:rFonts w:ascii="Times New Roman" w:hAnsi="Times New Roman"/>
          <w:b/>
          <w:noProof/>
          <w:color w:val="000000"/>
          <w:sz w:val="20"/>
        </w:rPr>
        <w:t>Slika 2</w:t>
      </w:r>
      <w:r>
        <w:rPr>
          <w:rFonts w:ascii="Times New Roman" w:hAnsi="Times New Roman"/>
          <w:noProof/>
          <w:color w:val="44546A"/>
          <w:sz w:val="20"/>
        </w:rPr>
        <w:t>.</w:t>
      </w:r>
      <w:r>
        <w:rPr>
          <w:rFonts w:ascii="Times New Roman" w:hAnsi="Times New Roman"/>
          <w:i/>
          <w:noProof/>
          <w:color w:val="000000"/>
          <w:sz w:val="20"/>
        </w:rPr>
        <w:t xml:space="preserve"> </w:t>
      </w:r>
      <w:r>
        <w:rPr>
          <w:rFonts w:ascii="Times New Roman" w:hAnsi="Times New Roman"/>
          <w:noProof/>
          <w:color w:val="000000"/>
          <w:sz w:val="20"/>
        </w:rPr>
        <w:t>Računi EU-a za električnu energiju za kućanstva (raspon DD, lijevo) i industriju (raspon ID, desno) u realnim cijenama iz 2023</w:t>
      </w:r>
      <w:r w:rsidRPr="00E91C04">
        <w:rPr>
          <w:rFonts w:ascii="Times New Roman" w:eastAsia="Times New Roman" w:hAnsi="Times New Roman" w:cs="Times New Roman"/>
          <w:noProof/>
          <w:color w:val="000000"/>
          <w:kern w:val="0"/>
          <w:sz w:val="20"/>
          <w:szCs w:val="20"/>
          <w:vertAlign w:val="superscript"/>
          <w:lang w:val="en-GB" w:eastAsia="en-IE"/>
        </w:rPr>
        <w:footnoteReference w:id="11"/>
      </w:r>
      <w:r>
        <w:rPr>
          <w:rFonts w:ascii="Times New Roman" w:hAnsi="Times New Roman"/>
          <w:noProof/>
          <w:color w:val="000000"/>
          <w:sz w:val="20"/>
        </w:rPr>
        <w:t>.</w:t>
      </w:r>
    </w:p>
    <w:p w14:paraId="72BBF501"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Drugo, na račune za energiju utječu i </w:t>
      </w:r>
      <w:r>
        <w:rPr>
          <w:rFonts w:ascii="Times New Roman" w:hAnsi="Times New Roman"/>
          <w:b/>
          <w:noProof/>
          <w:sz w:val="24"/>
        </w:rPr>
        <w:t>neučinkovitost i nepotpuna integracija elektroenergetskog sustava</w:t>
      </w:r>
      <w:r>
        <w:rPr>
          <w:rFonts w:ascii="Times New Roman" w:hAnsi="Times New Roman"/>
          <w:noProof/>
          <w:sz w:val="24"/>
        </w:rPr>
        <w:t xml:space="preserve">. Europa ima najintegriraniju mrežu na svijetu, no potrebno je uraditi više u području </w:t>
      </w:r>
      <w:r>
        <w:rPr>
          <w:rFonts w:ascii="Times New Roman" w:hAnsi="Times New Roman"/>
          <w:b/>
          <w:noProof/>
          <w:sz w:val="24"/>
        </w:rPr>
        <w:t>interkonekcijskih vodova, mrežne infrastrukture, integracije energetskog sustava i fleksibilnosti sustava</w:t>
      </w:r>
      <w:r>
        <w:rPr>
          <w:rFonts w:ascii="Times New Roman" w:hAnsi="Times New Roman"/>
          <w:noProof/>
          <w:sz w:val="24"/>
        </w:rPr>
        <w:t xml:space="preserve"> kako bi se u većoj mjeri uključili jeftiniji i čišći izvori energije. </w:t>
      </w:r>
      <w:r>
        <w:rPr>
          <w:rFonts w:ascii="Times New Roman" w:hAnsi="Times New Roman"/>
          <w:b/>
          <w:noProof/>
          <w:sz w:val="24"/>
        </w:rPr>
        <w:t>Dugotrajni postupci izdavanja dozvola</w:t>
      </w:r>
      <w:r>
        <w:rPr>
          <w:rFonts w:ascii="Times New Roman" w:hAnsi="Times New Roman"/>
          <w:noProof/>
          <w:sz w:val="24"/>
        </w:rPr>
        <w:t xml:space="preserve"> za projekte u području čiste energije i mreže dodatno usporavaju napredak. Prema trenutačnim procjenama, do 2030. oko polovice potreba EU za novim prekograničnim kapacitetima za električnu energiju neće biti zadovoljeno</w:t>
      </w:r>
      <w:r w:rsidRPr="00E91C04">
        <w:rPr>
          <w:rFonts w:ascii="Times New Roman" w:eastAsia="Times New Roman" w:hAnsi="Times New Roman" w:cs="Times New Roman"/>
          <w:noProof/>
          <w:kern w:val="0"/>
          <w:sz w:val="24"/>
          <w:szCs w:val="24"/>
          <w:vertAlign w:val="superscript"/>
          <w:lang w:val="en-GB" w:eastAsia="en-IE"/>
        </w:rPr>
        <w:footnoteReference w:id="12"/>
      </w:r>
      <w:r>
        <w:rPr>
          <w:rFonts w:ascii="Times New Roman" w:hAnsi="Times New Roman"/>
          <w:noProof/>
          <w:sz w:val="24"/>
        </w:rPr>
        <w:t xml:space="preserve"> i to će usporiti potpunu integraciju našeg energetskog tržišta.   </w:t>
      </w:r>
    </w:p>
    <w:p w14:paraId="2FB31955" w14:textId="77777777" w:rsidR="00E8217E" w:rsidRPr="00E91C04" w:rsidRDefault="00E8217E" w:rsidP="00E8217E">
      <w:pPr>
        <w:spacing w:after="240" w:line="240" w:lineRule="auto"/>
        <w:jc w:val="both"/>
        <w:rPr>
          <w:rFonts w:ascii="Times New Roman" w:eastAsia="Times New Roman" w:hAnsi="Times New Roman" w:cs="Times New Roman"/>
          <w:noProof/>
          <w:color w:val="D13438"/>
          <w:kern w:val="0"/>
          <w:sz w:val="24"/>
          <w:szCs w:val="24"/>
          <w:u w:val="single"/>
          <w14:ligatures w14:val="none"/>
        </w:rPr>
      </w:pPr>
      <w:r>
        <w:rPr>
          <w:rFonts w:ascii="Times New Roman" w:hAnsi="Times New Roman"/>
          <w:noProof/>
          <w:sz w:val="24"/>
        </w:rPr>
        <w:t xml:space="preserve">Naposljetku, </w:t>
      </w:r>
      <w:r>
        <w:rPr>
          <w:rFonts w:ascii="Times New Roman" w:hAnsi="Times New Roman"/>
          <w:b/>
          <w:noProof/>
          <w:sz w:val="24"/>
        </w:rPr>
        <w:t>povećanje troškova sustava</w:t>
      </w:r>
      <w:r>
        <w:rPr>
          <w:rFonts w:ascii="Times New Roman" w:hAnsi="Times New Roman"/>
          <w:noProof/>
          <w:sz w:val="24"/>
        </w:rPr>
        <w:t xml:space="preserve"> koji se pokrivaju iz mrežnih naknada te poreza i pristojbi dodatno povećava cijene električne energije i čini znatan dio računa, a njihov bi utjecaj mogao postati još veći jer će naše mreže u narednim godinama trebati znatna ulaganja. </w:t>
      </w:r>
    </w:p>
    <w:p w14:paraId="04DF9000" w14:textId="7972918C"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19" w:name="_Toc189514732"/>
      <w:bookmarkStart w:id="20" w:name="_Toc189995482"/>
      <w:bookmarkStart w:id="21" w:name="_Toc185332643"/>
      <w:bookmarkStart w:id="22" w:name="_Toc185346395"/>
      <w:bookmarkStart w:id="23" w:name="_Toc185346857"/>
      <w:bookmarkStart w:id="24" w:name="_Toc185348726"/>
      <w:bookmarkStart w:id="25" w:name="_Toc185435265"/>
      <w:bookmarkStart w:id="26" w:name="_Toc185497210"/>
      <w:bookmarkStart w:id="27" w:name="_Toc185497242"/>
      <w:bookmarkEnd w:id="19"/>
      <w:r>
        <w:rPr>
          <w:rFonts w:ascii="Times New Roman" w:hAnsi="Times New Roman"/>
          <w:b/>
          <w:smallCaps/>
          <w:noProof/>
          <w:color w:val="000000"/>
          <w:sz w:val="28"/>
          <w:u w:color="000000"/>
          <w:bdr w:val="nil"/>
        </w:rPr>
        <w:t>Izgradnja istinske energetske unije radi cjenovno pristupačnije energije</w:t>
      </w:r>
      <w:bookmarkEnd w:id="20"/>
      <w:r>
        <w:rPr>
          <w:rFonts w:ascii="Times New Roman" w:hAnsi="Times New Roman"/>
          <w:b/>
          <w:smallCaps/>
          <w:noProof/>
          <w:color w:val="000000"/>
          <w:sz w:val="28"/>
          <w:u w:color="000000"/>
          <w:bdr w:val="nil"/>
        </w:rPr>
        <w:t xml:space="preserve"> </w:t>
      </w:r>
      <w:bookmarkEnd w:id="21"/>
      <w:bookmarkEnd w:id="22"/>
      <w:bookmarkEnd w:id="23"/>
      <w:bookmarkEnd w:id="24"/>
      <w:bookmarkEnd w:id="25"/>
      <w:bookmarkEnd w:id="26"/>
      <w:bookmarkEnd w:id="27"/>
    </w:p>
    <w:p w14:paraId="0FA3F35F" w14:textId="77777777" w:rsidR="00E8217E" w:rsidRPr="00E91C04" w:rsidRDefault="00E8217E" w:rsidP="00E8217E">
      <w:pPr>
        <w:keepNext/>
        <w:spacing w:before="240" w:after="240" w:line="240" w:lineRule="auto"/>
        <w:jc w:val="both"/>
        <w:rPr>
          <w:rFonts w:ascii="Times New Roman" w:eastAsia="Times New Roman" w:hAnsi="Times New Roman" w:cs="Times New Roman"/>
          <w:i/>
          <w:iCs/>
          <w:noProof/>
          <w:kern w:val="0"/>
          <w:sz w:val="24"/>
          <w:szCs w:val="24"/>
          <w:u w:val="single"/>
          <w14:ligatures w14:val="none"/>
        </w:rPr>
      </w:pPr>
      <w:r>
        <w:rPr>
          <w:rFonts w:ascii="Times New Roman" w:hAnsi="Times New Roman"/>
          <w:i/>
          <w:noProof/>
          <w:sz w:val="24"/>
          <w:u w:val="single"/>
        </w:rPr>
        <w:t>Energetska politika EU-a na prijelomnoj točki</w:t>
      </w:r>
    </w:p>
    <w:p w14:paraId="1FBC2CCD"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Energija je temelj i pokretačka snaga naše Unije. Iako smo izgradili snažno međusobno povezano tržište, to još uvijek nije </w:t>
      </w:r>
      <w:r>
        <w:rPr>
          <w:rFonts w:ascii="Times New Roman" w:hAnsi="Times New Roman"/>
          <w:b/>
          <w:noProof/>
          <w:sz w:val="24"/>
        </w:rPr>
        <w:t>energetska unija u punom smislu te riječi</w:t>
      </w:r>
      <w:r>
        <w:rPr>
          <w:rFonts w:ascii="Times New Roman" w:hAnsi="Times New Roman"/>
          <w:noProof/>
          <w:sz w:val="24"/>
        </w:rPr>
        <w:t xml:space="preserve">. Europska unija sada se nalazi na kritičnoj prekretnici. </w:t>
      </w:r>
      <w:r>
        <w:rPr>
          <w:rFonts w:ascii="Times New Roman" w:hAnsi="Times New Roman"/>
          <w:b/>
          <w:noProof/>
          <w:sz w:val="24"/>
        </w:rPr>
        <w:t>Izazovi pred nama su očiti i neodgodivi.</w:t>
      </w:r>
      <w:r>
        <w:rPr>
          <w:rFonts w:ascii="Times New Roman" w:hAnsi="Times New Roman"/>
          <w:noProof/>
          <w:sz w:val="24"/>
        </w:rPr>
        <w:t xml:space="preserve"> Troškovi energije u EU-u i dalje su relativno visoki što </w:t>
      </w:r>
      <w:r>
        <w:rPr>
          <w:rFonts w:ascii="Times New Roman" w:hAnsi="Times New Roman"/>
          <w:b/>
          <w:noProof/>
          <w:sz w:val="24"/>
        </w:rPr>
        <w:t>može dovesti do deindustrijalizacije</w:t>
      </w:r>
      <w:r>
        <w:rPr>
          <w:rFonts w:ascii="Times New Roman" w:hAnsi="Times New Roman"/>
          <w:noProof/>
          <w:sz w:val="24"/>
        </w:rPr>
        <w:t xml:space="preserve"> i prijetnja je našem gospodarstvu. </w:t>
      </w:r>
    </w:p>
    <w:p w14:paraId="110F6B2C"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Ako ne poduzmemo ništa, platit ćemo još veću cijenu.</w:t>
      </w:r>
      <w:r>
        <w:rPr>
          <w:rFonts w:ascii="Times New Roman" w:hAnsi="Times New Roman"/>
          <w:noProof/>
          <w:sz w:val="24"/>
        </w:rPr>
        <w:t xml:space="preserve"> Posustajanje na putu prema dekarbonizaciji opteretilo bi naša gospodarstva i industrijske kapacitete. Na primjer, ograničavanje puštanja u mrežu energije iz obnovljivih izvora 2023. u Njemačkoj koštalo je više od 3 milijarde eura, a potrošači i poduzeća nisu imali koristi od te proizvedene jeftine energije. Nadalje, kako elektroenergetski sustav postaje sve složeniji, isto je i s troškovima: troškovi upravljanja zagušenjem mreže, uglavnom zbog redispečiranja, dosegnuli su vrhunac od 5,2 milijarde eura 2022.</w:t>
      </w:r>
      <w:r w:rsidRPr="00E91C04">
        <w:rPr>
          <w:rFonts w:ascii="Times New Roman" w:eastAsia="Times New Roman" w:hAnsi="Times New Roman" w:cs="Times New Roman"/>
          <w:noProof/>
          <w:kern w:val="0"/>
          <w:sz w:val="24"/>
          <w:szCs w:val="24"/>
          <w:vertAlign w:val="superscript"/>
          <w:lang w:val="en-GB" w:eastAsia="en-IE"/>
        </w:rPr>
        <w:footnoteReference w:id="13"/>
      </w:r>
      <w:r>
        <w:rPr>
          <w:rFonts w:ascii="Times New Roman" w:hAnsi="Times New Roman"/>
          <w:noProof/>
          <w:sz w:val="24"/>
        </w:rPr>
        <w:t>, a mogli bi porasti na 26 milijardi eura do 2030</w:t>
      </w:r>
      <w:r w:rsidRPr="00E91C04">
        <w:rPr>
          <w:rFonts w:ascii="Times New Roman" w:eastAsia="Times New Roman" w:hAnsi="Times New Roman" w:cs="Times New Roman"/>
          <w:noProof/>
          <w:kern w:val="0"/>
          <w:sz w:val="24"/>
          <w:szCs w:val="24"/>
          <w:vertAlign w:val="superscript"/>
          <w:lang w:val="en-GB" w:eastAsia="en-IE"/>
        </w:rPr>
        <w:footnoteReference w:id="14"/>
      </w:r>
      <w:r>
        <w:rPr>
          <w:rFonts w:ascii="Times New Roman" w:hAnsi="Times New Roman"/>
          <w:noProof/>
          <w:sz w:val="24"/>
        </w:rPr>
        <w:t>. Najučinkovitiji način za kontrolu tih troškova su zajednička i strateška europska ulaganja uz istodobno osiguravanje tehnološke neutralnosti.</w:t>
      </w:r>
    </w:p>
    <w:p w14:paraId="178F4164" w14:textId="77777777" w:rsidR="00E8217E" w:rsidRPr="00E91C04" w:rsidRDefault="00E8217E" w:rsidP="00E8217E">
      <w:pPr>
        <w:spacing w:before="240" w:after="240" w:line="240" w:lineRule="auto"/>
        <w:jc w:val="both"/>
        <w:rPr>
          <w:rFonts w:ascii="Times New Roman" w:eastAsia="Times New Roman" w:hAnsi="Times New Roman" w:cs="Times New Roman"/>
          <w:i/>
          <w:iCs/>
          <w:noProof/>
          <w:kern w:val="0"/>
          <w:sz w:val="24"/>
          <w:szCs w:val="24"/>
          <w:u w:val="single"/>
          <w14:ligatures w14:val="none"/>
        </w:rPr>
      </w:pPr>
      <w:r>
        <w:rPr>
          <w:rFonts w:ascii="Times New Roman" w:hAnsi="Times New Roman"/>
          <w:noProof/>
          <w:sz w:val="24"/>
        </w:rPr>
        <w:t xml:space="preserve">Neuspjeh u dovršetku energetske tranzicije bit će još veći ako </w:t>
      </w:r>
      <w:r>
        <w:rPr>
          <w:rFonts w:ascii="Times New Roman" w:hAnsi="Times New Roman"/>
          <w:b/>
          <w:noProof/>
          <w:sz w:val="24"/>
        </w:rPr>
        <w:t>ne iskoristimo sve prednosti našeg jedinstvenog tržišta</w:t>
      </w:r>
      <w:r>
        <w:rPr>
          <w:rFonts w:ascii="Times New Roman" w:hAnsi="Times New Roman"/>
          <w:noProof/>
          <w:sz w:val="24"/>
        </w:rPr>
        <w:t xml:space="preserve"> i njegov potencijal za smanjenje cijena. Na primjer, u jugoistočnoj Europi prošlog ljeta dolazilo je do porasta cijena tijekom večernjih sati do više od 250 EUR/MWh, što je posljedica, među ostalim, nedostatka prekograničnih kapaciteta i nedovoljne fleksibilnosti, a to se moglo ublažiti međusobno povezanijim energetskim sustavom.</w:t>
      </w:r>
      <w:r>
        <w:rPr>
          <w:rFonts w:ascii="Times New Roman" w:hAnsi="Times New Roman"/>
          <w:noProof/>
          <w:color w:val="333333"/>
          <w:sz w:val="24"/>
        </w:rPr>
        <w:t xml:space="preserve"> </w:t>
      </w:r>
    </w:p>
    <w:p w14:paraId="6DCC5AF6" w14:textId="77777777" w:rsidR="00E8217E" w:rsidRPr="00E91C04" w:rsidRDefault="00E8217E" w:rsidP="00E8217E">
      <w:pPr>
        <w:keepNext/>
        <w:spacing w:before="240" w:after="240" w:line="240" w:lineRule="auto"/>
        <w:jc w:val="both"/>
        <w:rPr>
          <w:rFonts w:ascii="Times New Roman" w:eastAsia="Times New Roman" w:hAnsi="Times New Roman" w:cs="Times New Roman"/>
          <w:i/>
          <w:iCs/>
          <w:noProof/>
          <w:kern w:val="0"/>
          <w:sz w:val="24"/>
          <w:szCs w:val="24"/>
          <w:u w:val="single"/>
          <w14:ligatures w14:val="none"/>
        </w:rPr>
      </w:pPr>
      <w:r>
        <w:rPr>
          <w:rFonts w:ascii="Times New Roman" w:hAnsi="Times New Roman"/>
          <w:i/>
          <w:noProof/>
          <w:sz w:val="24"/>
          <w:u w:val="single"/>
        </w:rPr>
        <w:t>Realizacija plana za čistu industriju uz pomoć snažne energetske unije</w:t>
      </w:r>
    </w:p>
    <w:p w14:paraId="53CA9410"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Izazovi s kojima se suočavamo i uloga Europske unije u njihovu svladavanju jasni su.</w:t>
      </w:r>
      <w:r>
        <w:rPr>
          <w:rFonts w:ascii="Times New Roman" w:hAnsi="Times New Roman"/>
          <w:noProof/>
          <w:sz w:val="24"/>
        </w:rPr>
        <w:t xml:space="preserve"> Energetska kriza pokazala je da </w:t>
      </w:r>
      <w:r>
        <w:rPr>
          <w:rFonts w:ascii="Times New Roman" w:hAnsi="Times New Roman"/>
          <w:b/>
          <w:noProof/>
          <w:sz w:val="24"/>
        </w:rPr>
        <w:t>moramo i dalje jačati svoju infrastrukturu i produbljivati integraciju energetskog tržišta EU-a</w:t>
      </w:r>
      <w:r>
        <w:rPr>
          <w:rFonts w:ascii="Times New Roman" w:hAnsi="Times New Roman"/>
          <w:noProof/>
          <w:sz w:val="24"/>
        </w:rPr>
        <w:t>.</w:t>
      </w:r>
    </w:p>
    <w:p w14:paraId="1D9F1E07"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Već smo poduzeli velike korake. Planom REPowerEU povećali smo otpornost energetskog sustava tako što smo poboljšali energetsku učinkovitost, proširili čistu proizvodnju energije i diverzificirali opskrbu. Napredak je očigledan. U 2024. godini novoinstalirani kapaciteti za iskorištavanje vjetra i solarne energije dosegli su rekordnih 78 GW, a 2023. i 2024. prodano je po tri milijuna dizalica topline.</w:t>
      </w:r>
      <w:r>
        <w:rPr>
          <w:rFonts w:ascii="Segoe UI" w:hAnsi="Segoe UI"/>
          <w:noProof/>
          <w:sz w:val="18"/>
        </w:rPr>
        <w:t xml:space="preserve"> </w:t>
      </w:r>
      <w:r>
        <w:rPr>
          <w:rFonts w:ascii="Times New Roman" w:hAnsi="Times New Roman"/>
          <w:noProof/>
          <w:sz w:val="24"/>
        </w:rPr>
        <w:t xml:space="preserve">Iste godine iz obnovljivih izvora proizvedeno je rekordnih 48% električne energije u EU, u odnosu na 45% u 2023. i 41% u 2022. </w:t>
      </w:r>
      <w:r>
        <w:rPr>
          <w:rFonts w:ascii="Times New Roman" w:hAnsi="Times New Roman"/>
          <w:b/>
          <w:noProof/>
          <w:sz w:val="24"/>
        </w:rPr>
        <w:t>Uloženi napor je dao rezultate:</w:t>
      </w:r>
      <w:r>
        <w:rPr>
          <w:rFonts w:ascii="Times New Roman" w:hAnsi="Times New Roman"/>
          <w:noProof/>
          <w:sz w:val="24"/>
        </w:rPr>
        <w:t xml:space="preserve"> cijene plina znatno su se smanjile nakon proljeća 2023. Tijekom narednih tjedana, Komisija će dodatno potaknuti potpuni završetak implementacije REPowerEU-a kako bi se u potpunosti napustio uvoz energenata iz Rusije. Ipak, kako bismo pronašli trajna dugoročna rješenja, ne smijemo posustati. Moramo konačno stvoriti energetsku uniju u punom smislu te riječi i to kroz </w:t>
      </w:r>
      <w:r>
        <w:rPr>
          <w:rFonts w:ascii="Times New Roman" w:hAnsi="Times New Roman"/>
          <w:b/>
          <w:noProof/>
          <w:sz w:val="24"/>
        </w:rPr>
        <w:t>tri glavna aspekta.</w:t>
      </w:r>
      <w:r>
        <w:rPr>
          <w:rFonts w:ascii="Times New Roman" w:hAnsi="Times New Roman"/>
          <w:noProof/>
          <w:sz w:val="24"/>
        </w:rPr>
        <w:t xml:space="preserve"> </w:t>
      </w:r>
    </w:p>
    <w:p w14:paraId="7C4FC1D0"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Prvo, potrebno nam je </w:t>
      </w:r>
      <w:r>
        <w:rPr>
          <w:rFonts w:ascii="Times New Roman" w:hAnsi="Times New Roman"/>
          <w:b/>
          <w:noProof/>
          <w:sz w:val="24"/>
        </w:rPr>
        <w:t>potpuno integrirano energetsko tržište</w:t>
      </w:r>
      <w:r>
        <w:rPr>
          <w:rFonts w:ascii="Times New Roman" w:hAnsi="Times New Roman"/>
          <w:noProof/>
          <w:sz w:val="24"/>
        </w:rPr>
        <w:t xml:space="preserve"> koje djeluje uz potporu </w:t>
      </w:r>
      <w:r>
        <w:rPr>
          <w:rFonts w:ascii="Times New Roman" w:hAnsi="Times New Roman"/>
          <w:b/>
          <w:noProof/>
          <w:sz w:val="24"/>
        </w:rPr>
        <w:t>međusobno povezane i digitalizirane mreže</w:t>
      </w:r>
      <w:r>
        <w:rPr>
          <w:rFonts w:ascii="Times New Roman" w:hAnsi="Times New Roman"/>
          <w:noProof/>
          <w:sz w:val="24"/>
        </w:rPr>
        <w:t xml:space="preserve"> te kohezivnog </w:t>
      </w:r>
      <w:r>
        <w:rPr>
          <w:rFonts w:ascii="Times New Roman" w:hAnsi="Times New Roman"/>
          <w:b/>
          <w:noProof/>
          <w:sz w:val="24"/>
        </w:rPr>
        <w:t>regulatornog i upravljačkog sustava</w:t>
      </w:r>
      <w:r>
        <w:rPr>
          <w:rFonts w:ascii="Times New Roman" w:hAnsi="Times New Roman"/>
          <w:noProof/>
          <w:sz w:val="24"/>
        </w:rPr>
        <w:t>. Unutarnje energetsko tržište i integracija europskih tržišta električne energije potrošačima već donose koristi u vrijednosti od oko 34 milijarde eura godišnje</w:t>
      </w:r>
      <w:r w:rsidRPr="00E91C04">
        <w:rPr>
          <w:rFonts w:ascii="Times New Roman" w:eastAsia="Times New Roman" w:hAnsi="Times New Roman" w:cs="Times New Roman"/>
          <w:noProof/>
          <w:kern w:val="0"/>
          <w:sz w:val="24"/>
          <w:szCs w:val="24"/>
          <w:vertAlign w:val="superscript"/>
          <w:lang w:val="en-GB" w:eastAsia="en-IE"/>
        </w:rPr>
        <w:footnoteReference w:id="15"/>
      </w:r>
      <w:r>
        <w:rPr>
          <w:rFonts w:ascii="Times New Roman" w:hAnsi="Times New Roman"/>
          <w:noProof/>
          <w:sz w:val="24"/>
        </w:rPr>
        <w:t xml:space="preserve">. </w:t>
      </w:r>
      <w:r>
        <w:rPr>
          <w:rFonts w:ascii="Times New Roman" w:hAnsi="Times New Roman"/>
          <w:b/>
          <w:noProof/>
          <w:sz w:val="24"/>
        </w:rPr>
        <w:t>Daljnjom integracijom</w:t>
      </w:r>
      <w:r>
        <w:rPr>
          <w:rFonts w:ascii="Times New Roman" w:hAnsi="Times New Roman"/>
          <w:noProof/>
          <w:sz w:val="24"/>
        </w:rPr>
        <w:t xml:space="preserve"> te bi se koristi već do 2030. mogle povećati na </w:t>
      </w:r>
      <w:r>
        <w:rPr>
          <w:rFonts w:ascii="Times New Roman" w:hAnsi="Times New Roman"/>
          <w:b/>
          <w:noProof/>
          <w:sz w:val="24"/>
        </w:rPr>
        <w:t>40 – 43 milijarde eura godišnje</w:t>
      </w:r>
      <w:r w:rsidRPr="00E91C04">
        <w:rPr>
          <w:rFonts w:ascii="Times New Roman" w:eastAsia="Yu Gothic Light" w:hAnsi="Times New Roman" w:cs="Times New Roman"/>
          <w:noProof/>
          <w:kern w:val="0"/>
          <w:sz w:val="24"/>
          <w:szCs w:val="24"/>
          <w:vertAlign w:val="superscript"/>
          <w:lang w:val="en-GB" w:eastAsia="en-IE"/>
        </w:rPr>
        <w:footnoteReference w:id="16"/>
      </w:r>
      <w:r>
        <w:rPr>
          <w:rFonts w:ascii="Times New Roman" w:hAnsi="Times New Roman"/>
          <w:noProof/>
          <w:sz w:val="24"/>
        </w:rPr>
        <w:t>. Bit će potrebna opsežna nadogradnja mreže, što bi trebalo učiniti na najekonomičniji način: povećana primjena tehnologija za poboljšanje mreže te fleksibilno korištenje sustava mogla bi uštedjeti do 35 % u odnosu na troškove konvencionalnog širenja mreže. Regionalnom suradnjom na području cijele Europe, koja se temelji na boljoj međusobnoj povezanosti i boljoj koordinaciji</w:t>
      </w:r>
      <w:r w:rsidRPr="00E91C04">
        <w:rPr>
          <w:rFonts w:ascii="Times New Roman" w:eastAsia="Times New Roman" w:hAnsi="Times New Roman" w:cs="Times New Roman"/>
          <w:noProof/>
          <w:kern w:val="0"/>
          <w:sz w:val="24"/>
          <w:szCs w:val="24"/>
          <w:vertAlign w:val="superscript"/>
          <w:lang w:val="en-GB" w:eastAsia="en-IE"/>
        </w:rPr>
        <w:footnoteReference w:id="17"/>
      </w:r>
      <w:r>
        <w:rPr>
          <w:rFonts w:ascii="Times New Roman" w:hAnsi="Times New Roman"/>
          <w:noProof/>
          <w:sz w:val="24"/>
        </w:rPr>
        <w:t>, može se smanjiti potreba za ulaganjima u fleksibilnost za do 20 %</w:t>
      </w:r>
      <w:r>
        <w:rPr>
          <w:rFonts w:ascii="Times New Roman" w:eastAsia="Yu Gothic Light" w:hAnsi="Times New Roman" w:cs="Times New Roman"/>
          <w:noProof/>
          <w:kern w:val="0"/>
          <w:sz w:val="24"/>
          <w:szCs w:val="24"/>
          <w:vertAlign w:val="superscript"/>
          <w:lang w:val="en-GB" w:eastAsia="en-IE"/>
        </w:rPr>
        <w:footnoteReference w:id="18"/>
      </w:r>
      <w:r>
        <w:rPr>
          <w:rFonts w:ascii="Times New Roman" w:hAnsi="Times New Roman"/>
          <w:noProof/>
          <w:sz w:val="24"/>
        </w:rPr>
        <w:t>.</w:t>
      </w:r>
    </w:p>
    <w:p w14:paraId="1ACB4F83"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Drugo, potreban nam je </w:t>
      </w:r>
      <w:r>
        <w:rPr>
          <w:rFonts w:ascii="Times New Roman" w:hAnsi="Times New Roman"/>
          <w:b/>
          <w:noProof/>
          <w:sz w:val="24"/>
        </w:rPr>
        <w:t>dekarboniziran energetski sustav</w:t>
      </w:r>
      <w:r>
        <w:rPr>
          <w:rFonts w:ascii="Times New Roman" w:hAnsi="Times New Roman"/>
          <w:noProof/>
          <w:sz w:val="24"/>
        </w:rPr>
        <w:t xml:space="preserve"> koji počiva na velikom rastu udjela </w:t>
      </w:r>
      <w:r>
        <w:rPr>
          <w:rFonts w:ascii="Times New Roman" w:hAnsi="Times New Roman"/>
          <w:b/>
          <w:noProof/>
          <w:sz w:val="24"/>
        </w:rPr>
        <w:t>čiste energije i elektrifikaciji</w:t>
      </w:r>
      <w:r>
        <w:rPr>
          <w:rFonts w:ascii="Times New Roman" w:hAnsi="Times New Roman"/>
          <w:noProof/>
          <w:sz w:val="24"/>
        </w:rPr>
        <w:t xml:space="preserve">, a u čijem je središtu </w:t>
      </w:r>
      <w:r>
        <w:rPr>
          <w:rFonts w:ascii="Times New Roman" w:hAnsi="Times New Roman"/>
          <w:b/>
          <w:noProof/>
          <w:sz w:val="24"/>
        </w:rPr>
        <w:t>energetska učinkovitost</w:t>
      </w:r>
      <w:r>
        <w:rPr>
          <w:rFonts w:ascii="Times New Roman" w:hAnsi="Times New Roman"/>
          <w:noProof/>
          <w:sz w:val="24"/>
        </w:rPr>
        <w:t>. Svijet brže nego ikad prelazi na čistu energiju. Globalna ulaganja u čistu energiju prošle su godine dosegla rekordni iznos od 1,9 bilijuna eura. Za svaki euro uložen u fosilna goriva dva se ulažu u obnovljivu energiju. Postići ćemo dekarbonizaciju jer se njome osigurava ne samo čista energija, već i kvalitetna radna mjesta, rast i energetska sigurnost. Osim toga, smanjenjem udjela fosilnih goriva u europskom energetskom sustavu potrošače bi se dodatno zaštitilo od nestabilnosti tržišta.</w:t>
      </w:r>
    </w:p>
    <w:p w14:paraId="04B60D51"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Treće, budući da se prirodni plin i dalje koristi za energiju u Europi, potrebno nam je </w:t>
      </w:r>
      <w:r>
        <w:rPr>
          <w:rFonts w:ascii="Times New Roman" w:hAnsi="Times New Roman"/>
          <w:b/>
          <w:noProof/>
          <w:sz w:val="24"/>
        </w:rPr>
        <w:t>transparentnije i konkurentnije tržište plina koje dobro funkcionira</w:t>
      </w:r>
      <w:r>
        <w:rPr>
          <w:rFonts w:ascii="Times New Roman" w:hAnsi="Times New Roman"/>
          <w:noProof/>
          <w:sz w:val="24"/>
        </w:rPr>
        <w:t xml:space="preserve">, dok i dalje radimo na diversifikaciji i smanjenju potražnje. EU je i dalje izložen volatilnosti međunarodnih cijena plina. Moramo se pobrinuti za to da se plinom trguje pod poštenim uvjetima i iskoristiti našu zajedničku snagu. Na primjer, mehanizam agregiranja potražnje od 2023. obuhvatio je 42 milijarde kubičnih metara, što je 13 % potrošnje plina u EU-u u tom razdoblju. </w:t>
      </w:r>
    </w:p>
    <w:p w14:paraId="57297CCB"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Ukratko,</w:t>
      </w:r>
      <w:r>
        <w:rPr>
          <w:rFonts w:ascii="Times New Roman" w:hAnsi="Times New Roman"/>
          <w:b/>
          <w:noProof/>
          <w:sz w:val="24"/>
        </w:rPr>
        <w:t xml:space="preserve"> energija se može učiniti cjenovno pristupačnom samo ubrzavanjem ulaganja</w:t>
      </w:r>
      <w:r>
        <w:rPr>
          <w:rFonts w:ascii="Times New Roman" w:hAnsi="Times New Roman"/>
          <w:noProof/>
          <w:sz w:val="24"/>
        </w:rPr>
        <w:t xml:space="preserve"> u čistu energiju i infrastrukturu, brzom elektrifikacijom, povećanjem energetske učinkovitosti te osiguravanjem transparentnosti i pravednosti na tržištima plina. Zbog toga je </w:t>
      </w:r>
      <w:r>
        <w:rPr>
          <w:rFonts w:ascii="Times New Roman" w:hAnsi="Times New Roman"/>
          <w:b/>
          <w:noProof/>
          <w:sz w:val="24"/>
        </w:rPr>
        <w:t>Europi potreban ovaj akcijski plan</w:t>
      </w:r>
      <w:r>
        <w:rPr>
          <w:rFonts w:ascii="Times New Roman" w:hAnsi="Times New Roman"/>
          <w:noProof/>
          <w:sz w:val="24"/>
        </w:rPr>
        <w:t>: kako bi osigurala brzu i odlučnu reakciju koja će u kratkom roku smanjiti troškove energije, osigurati otpornost energetskog sustava na buduće izazove, privući investicije i garantirati rezultate. U tom smislu, pojednostavljenje našeg regulatornog okvira i smanjenje administrativnog opterećenja može pomoći poduzećima koja uvode čiste tehnologije. Usklađeno djelovanje i angažman europskih čelnika na najvišoj političkoj razini ključni su za provedbu ovog transformacijskog akcijskog plana.</w:t>
      </w:r>
    </w:p>
    <w:p w14:paraId="6DA56391"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Bez energetske tranzicije troškovi EU-a za uvoz fosilnih goriva u 2025. bili bi 45 milijardi eura veći</w:t>
      </w:r>
      <w:r>
        <w:rPr>
          <w:rFonts w:ascii="Times New Roman" w:hAnsi="Times New Roman"/>
          <w:noProof/>
          <w:sz w:val="24"/>
        </w:rPr>
        <w:t xml:space="preserve"> nego 2019., što je oko</w:t>
      </w:r>
      <w:r>
        <w:rPr>
          <w:rFonts w:ascii="Times New Roman" w:hAnsi="Times New Roman"/>
          <w:b/>
          <w:noProof/>
          <w:sz w:val="24"/>
        </w:rPr>
        <w:t xml:space="preserve"> 0,25 % BDP-a EU-a</w:t>
      </w:r>
      <w:r>
        <w:rPr>
          <w:rFonts w:ascii="Times New Roman" w:hAnsi="Times New Roman"/>
          <w:noProof/>
          <w:sz w:val="24"/>
        </w:rPr>
        <w:t xml:space="preserve">. </w:t>
      </w:r>
    </w:p>
    <w:p w14:paraId="7CE99A1F"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Provedba akcijskog plana omogućit će </w:t>
      </w:r>
      <w:r>
        <w:rPr>
          <w:rFonts w:ascii="Times New Roman" w:hAnsi="Times New Roman"/>
          <w:b/>
          <w:noProof/>
          <w:sz w:val="24"/>
        </w:rPr>
        <w:t>EU-u da brže ostvari koristi od prelaska na čistu energiju. Računi EU-a za uvoz fosilnih goriva iz godine u godinu smanjivat će se do 130 milijardi eura godišnje u 2030.</w:t>
      </w:r>
      <w:r>
        <w:rPr>
          <w:rFonts w:ascii="Times New Roman" w:hAnsi="Times New Roman"/>
          <w:noProof/>
          <w:sz w:val="24"/>
        </w:rPr>
        <w:t xml:space="preserve">, odnosno oko </w:t>
      </w:r>
      <w:r>
        <w:rPr>
          <w:rFonts w:ascii="Times New Roman" w:hAnsi="Times New Roman"/>
          <w:b/>
          <w:noProof/>
          <w:sz w:val="24"/>
        </w:rPr>
        <w:t>0,65 % BDP-a do 2030.</w:t>
      </w:r>
      <w:r w:rsidRPr="00E91C04">
        <w:rPr>
          <w:rFonts w:ascii="Times New Roman" w:eastAsia="Times New Roman" w:hAnsi="Times New Roman" w:cs="Times New Roman"/>
          <w:noProof/>
          <w:kern w:val="0"/>
          <w:sz w:val="24"/>
          <w:szCs w:val="24"/>
          <w:vertAlign w:val="superscript"/>
          <w:lang w:val="en-GB" w:eastAsia="en-IE"/>
        </w:rPr>
        <w:footnoteReference w:id="19"/>
      </w:r>
      <w:r>
        <w:rPr>
          <w:rFonts w:ascii="Times New Roman" w:hAnsi="Times New Roman"/>
          <w:noProof/>
          <w:sz w:val="24"/>
        </w:rPr>
        <w:t xml:space="preserve"> Te uštede zbog smanjenja upotrebe fosilnih goriva mogu se ugrubo raščlaniti na tri čimbenika: (i) povećanje </w:t>
      </w:r>
      <w:r>
        <w:rPr>
          <w:rFonts w:ascii="Times New Roman" w:hAnsi="Times New Roman"/>
          <w:b/>
          <w:noProof/>
          <w:sz w:val="24"/>
        </w:rPr>
        <w:t>elektrifikacije</w:t>
      </w:r>
      <w:r>
        <w:rPr>
          <w:rFonts w:ascii="Times New Roman" w:hAnsi="Times New Roman"/>
          <w:noProof/>
          <w:sz w:val="24"/>
        </w:rPr>
        <w:t xml:space="preserve"> i </w:t>
      </w:r>
      <w:r>
        <w:rPr>
          <w:rFonts w:ascii="Times New Roman" w:hAnsi="Times New Roman"/>
          <w:b/>
          <w:noProof/>
          <w:sz w:val="24"/>
        </w:rPr>
        <w:t>energetske učinkovitosti</w:t>
      </w:r>
      <w:r>
        <w:rPr>
          <w:rFonts w:ascii="Times New Roman" w:hAnsi="Times New Roman"/>
          <w:noProof/>
          <w:sz w:val="24"/>
        </w:rPr>
        <w:t xml:space="preserve">, što zauzvrat smanjuje ukupnu potražnju za fosilnim gorivima (25%), (ii) </w:t>
      </w:r>
      <w:r>
        <w:rPr>
          <w:rFonts w:ascii="Times New Roman" w:hAnsi="Times New Roman"/>
          <w:b/>
          <w:noProof/>
          <w:sz w:val="24"/>
        </w:rPr>
        <w:t>zamjenu kontinuirane potražnje za fosilnim gorivima</w:t>
      </w:r>
      <w:r>
        <w:rPr>
          <w:rFonts w:ascii="Times New Roman" w:hAnsi="Times New Roman"/>
          <w:noProof/>
          <w:sz w:val="24"/>
        </w:rPr>
        <w:t xml:space="preserve"> u proizvodnji električne energije čistom energijom (50%), potpomognute (iii) </w:t>
      </w:r>
      <w:r>
        <w:rPr>
          <w:rFonts w:ascii="Times New Roman" w:hAnsi="Times New Roman"/>
          <w:b/>
          <w:noProof/>
          <w:sz w:val="24"/>
        </w:rPr>
        <w:t>dostatnim kapacitetom mreže</w:t>
      </w:r>
      <w:r>
        <w:rPr>
          <w:rFonts w:ascii="Times New Roman" w:hAnsi="Times New Roman"/>
          <w:noProof/>
          <w:sz w:val="24"/>
        </w:rPr>
        <w:t xml:space="preserve">, </w:t>
      </w:r>
      <w:r>
        <w:rPr>
          <w:rFonts w:ascii="Times New Roman" w:hAnsi="Times New Roman"/>
          <w:b/>
          <w:noProof/>
          <w:sz w:val="24"/>
        </w:rPr>
        <w:t>pametnom mrežnom infrastrukturom</w:t>
      </w:r>
      <w:r>
        <w:rPr>
          <w:rFonts w:ascii="Times New Roman" w:hAnsi="Times New Roman"/>
          <w:noProof/>
          <w:sz w:val="24"/>
        </w:rPr>
        <w:t xml:space="preserve"> i </w:t>
      </w:r>
      <w:r>
        <w:rPr>
          <w:rFonts w:ascii="Times New Roman" w:hAnsi="Times New Roman"/>
          <w:b/>
          <w:noProof/>
          <w:sz w:val="24"/>
        </w:rPr>
        <w:t>fleksibilnošću energetskog sustava</w:t>
      </w:r>
      <w:r>
        <w:rPr>
          <w:rFonts w:ascii="Times New Roman" w:hAnsi="Times New Roman"/>
          <w:noProof/>
          <w:sz w:val="24"/>
        </w:rPr>
        <w:t xml:space="preserve"> (25%). Uštede na računu za uvoz fosilnih goriva EU-a </w:t>
      </w:r>
      <w:r>
        <w:rPr>
          <w:rFonts w:ascii="Times New Roman" w:hAnsi="Times New Roman"/>
          <w:b/>
          <w:noProof/>
          <w:sz w:val="24"/>
        </w:rPr>
        <w:t>povećavat će se</w:t>
      </w:r>
      <w:r>
        <w:rPr>
          <w:rFonts w:ascii="Times New Roman" w:hAnsi="Times New Roman"/>
          <w:noProof/>
          <w:sz w:val="24"/>
        </w:rPr>
        <w:t xml:space="preserve"> svake godine sve </w:t>
      </w:r>
      <w:r>
        <w:rPr>
          <w:rFonts w:ascii="Times New Roman" w:hAnsi="Times New Roman"/>
          <w:b/>
          <w:noProof/>
          <w:sz w:val="24"/>
        </w:rPr>
        <w:t>do 260 milijardi eura do 2040. godine.</w:t>
      </w:r>
      <w:r>
        <w:rPr>
          <w:rFonts w:ascii="Times New Roman" w:eastAsia="Times New Roman" w:hAnsi="Times New Roman" w:cs="Times New Roman"/>
          <w:noProof/>
          <w:kern w:val="0"/>
          <w:sz w:val="24"/>
          <w:szCs w:val="24"/>
          <w:vertAlign w:val="superscript"/>
          <w:lang w:val="en-GB" w:eastAsia="en-IE"/>
        </w:rPr>
        <w:footnoteReference w:id="20"/>
      </w:r>
    </w:p>
    <w:p w14:paraId="28CA9F8F" w14:textId="0B56D1BB"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28" w:name="_Toc189995483"/>
      <w:bookmarkStart w:id="29" w:name="_Toc185346396"/>
      <w:bookmarkStart w:id="30" w:name="_Toc185346858"/>
      <w:bookmarkStart w:id="31" w:name="_Toc185348727"/>
      <w:bookmarkStart w:id="32" w:name="_Toc185435266"/>
      <w:bookmarkStart w:id="33" w:name="_Toc185497211"/>
      <w:bookmarkStart w:id="34" w:name="_Toc185497243"/>
      <w:bookmarkStart w:id="35" w:name="_Hlk185112210"/>
      <w:r>
        <w:rPr>
          <w:rFonts w:ascii="Times New Roman" w:hAnsi="Times New Roman"/>
          <w:b/>
          <w:smallCaps/>
          <w:noProof/>
          <w:color w:val="000000"/>
          <w:sz w:val="28"/>
          <w:u w:color="000000"/>
          <w:bdr w:val="nil"/>
        </w:rPr>
        <w:t>Akcijski plan za cjenovno pristupačnu energiju za sve Europljane</w:t>
      </w:r>
      <w:bookmarkEnd w:id="28"/>
      <w:r>
        <w:rPr>
          <w:rFonts w:ascii="Times New Roman" w:hAnsi="Times New Roman"/>
          <w:b/>
          <w:smallCaps/>
          <w:noProof/>
          <w:color w:val="000000"/>
          <w:sz w:val="28"/>
          <w:u w:color="000000"/>
          <w:bdr w:val="nil"/>
        </w:rPr>
        <w:t xml:space="preserve"> </w:t>
      </w:r>
    </w:p>
    <w:p w14:paraId="0057F404"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 xml:space="preserve">Ovim se akcijskim planom predlaže </w:t>
      </w:r>
      <w:r>
        <w:rPr>
          <w:rFonts w:ascii="Times New Roman" w:hAnsi="Times New Roman"/>
          <w:b/>
          <w:noProof/>
          <w:sz w:val="24"/>
        </w:rPr>
        <w:t>hitno usklađeno djelovanje</w:t>
      </w:r>
      <w:r>
        <w:rPr>
          <w:rFonts w:ascii="Times New Roman" w:hAnsi="Times New Roman"/>
          <w:noProof/>
          <w:sz w:val="24"/>
        </w:rPr>
        <w:t xml:space="preserve"> Europske komisije, Europskog parlamenta, država članica i industrije kako bi se: (i) smanjili troškovi energije za sve (ii) dovršila energetska unija (iii) privukla ulaganja i (iv) pripremilo za potencijalne energetske krize Većina mjera </w:t>
      </w:r>
      <w:r>
        <w:rPr>
          <w:rFonts w:ascii="Times New Roman" w:hAnsi="Times New Roman"/>
          <w:b/>
          <w:noProof/>
          <w:sz w:val="24"/>
        </w:rPr>
        <w:t>provest će se tijekom 2025.</w:t>
      </w:r>
      <w:r>
        <w:rPr>
          <w:rFonts w:ascii="Times New Roman" w:hAnsi="Times New Roman"/>
          <w:noProof/>
          <w:sz w:val="24"/>
        </w:rPr>
        <w:t xml:space="preserve">, s naglaskom na mjerama koje </w:t>
      </w:r>
      <w:r>
        <w:rPr>
          <w:rFonts w:ascii="Times New Roman" w:hAnsi="Times New Roman"/>
          <w:b/>
          <w:noProof/>
          <w:sz w:val="24"/>
        </w:rPr>
        <w:t>potrošačima energije pomažu odmah</w:t>
      </w:r>
      <w:r>
        <w:rPr>
          <w:rFonts w:ascii="Times New Roman" w:hAnsi="Times New Roman"/>
          <w:noProof/>
          <w:sz w:val="24"/>
        </w:rPr>
        <w:t>.</w:t>
      </w:r>
    </w:p>
    <w:p w14:paraId="3579BBDB" w14:textId="77777777" w:rsidR="00BD4B17" w:rsidRDefault="00BD4B17" w:rsidP="00E8217E">
      <w:pPr>
        <w:keepNext/>
        <w:spacing w:after="0" w:line="240" w:lineRule="auto"/>
        <w:jc w:val="center"/>
        <w:rPr>
          <w:noProof/>
        </w:rPr>
      </w:pPr>
    </w:p>
    <w:p w14:paraId="4938E05F" w14:textId="230FF013" w:rsidR="00E8217E" w:rsidRPr="00E91C04" w:rsidRDefault="00BD4B17" w:rsidP="00E8217E">
      <w:pPr>
        <w:keepNext/>
        <w:spacing w:after="0" w:line="240" w:lineRule="auto"/>
        <w:jc w:val="center"/>
        <w:rPr>
          <w:rFonts w:ascii="Times New Roman" w:eastAsia="Times New Roman" w:hAnsi="Times New Roman" w:cs="Times New Roman"/>
          <w:noProof/>
          <w:kern w:val="0"/>
          <w:sz w:val="24"/>
          <w:szCs w:val="24"/>
          <w14:ligatures w14:val="none"/>
        </w:rPr>
      </w:pPr>
      <w:r w:rsidRPr="00BD4B17">
        <w:rPr>
          <w:noProof/>
          <w:lang w:val="en-GB" w:eastAsia="en-GB"/>
        </w:rPr>
        <w:drawing>
          <wp:inline distT="0" distB="0" distL="0" distR="0" wp14:anchorId="016CCE62" wp14:editId="02B634B0">
            <wp:extent cx="5731510" cy="3500755"/>
            <wp:effectExtent l="0" t="0" r="0" b="0"/>
            <wp:docPr id="204718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52115"/>
                    <a:stretch/>
                  </pic:blipFill>
                  <pic:spPr bwMode="auto">
                    <a:xfrm>
                      <a:off x="0" y="0"/>
                      <a:ext cx="5731510" cy="3500755"/>
                    </a:xfrm>
                    <a:prstGeom prst="rect">
                      <a:avLst/>
                    </a:prstGeom>
                    <a:noFill/>
                    <a:ln>
                      <a:noFill/>
                    </a:ln>
                    <a:extLst>
                      <a:ext uri="{53640926-AAD7-44D8-BBD7-CCE9431645EC}">
                        <a14:shadowObscured xmlns:a14="http://schemas.microsoft.com/office/drawing/2010/main"/>
                      </a:ext>
                    </a:extLst>
                  </pic:spPr>
                </pic:pic>
              </a:graphicData>
            </a:graphic>
          </wp:inline>
        </w:drawing>
      </w:r>
    </w:p>
    <w:p w14:paraId="260468B8" w14:textId="77777777" w:rsidR="00E8217E" w:rsidRPr="00E91C04" w:rsidDel="00591E36" w:rsidRDefault="00E8217E" w:rsidP="00E8217E">
      <w:pPr>
        <w:spacing w:before="60" w:after="100" w:afterAutospacing="1"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b/>
          <w:noProof/>
          <w:sz w:val="20"/>
        </w:rPr>
        <w:t>Slika 3</w:t>
      </w:r>
      <w:r>
        <w:rPr>
          <w:rFonts w:ascii="Times New Roman" w:hAnsi="Times New Roman"/>
          <w:noProof/>
          <w:sz w:val="20"/>
        </w:rPr>
        <w:t>. Četiri stupa akcijskog plana za cjenovno pristupačnu energiju</w:t>
      </w:r>
    </w:p>
    <w:p w14:paraId="1232124B" w14:textId="77777777" w:rsidR="00E8217E" w:rsidRPr="00E91C04" w:rsidRDefault="00E8217E" w:rsidP="00E8217E">
      <w:pPr>
        <w:keepNext/>
        <w:keepLines/>
        <w:spacing w:before="360" w:after="100" w:afterAutospacing="1" w:line="240" w:lineRule="auto"/>
        <w:jc w:val="both"/>
        <w:outlineLvl w:val="1"/>
        <w:rPr>
          <w:rFonts w:ascii="Times New Roman" w:eastAsia="Yu Gothic Light" w:hAnsi="Times New Roman" w:cs="Times New Roman"/>
          <w:b/>
          <w:bCs/>
          <w:noProof/>
          <w:color w:val="000000"/>
          <w:kern w:val="0"/>
          <w:sz w:val="28"/>
          <w:szCs w:val="28"/>
          <w14:ligatures w14:val="none"/>
        </w:rPr>
      </w:pPr>
      <w:r>
        <w:rPr>
          <w:rFonts w:ascii="Times New Roman" w:hAnsi="Times New Roman"/>
          <w:b/>
          <w:noProof/>
          <w:color w:val="000000"/>
          <w:sz w:val="28"/>
        </w:rPr>
        <w:t>Stup</w:t>
      </w:r>
      <w:bookmarkStart w:id="36" w:name="_Ref189733974"/>
      <w:bookmarkStart w:id="37" w:name="_Toc189995484"/>
      <w:r>
        <w:rPr>
          <w:rFonts w:ascii="Times New Roman" w:hAnsi="Times New Roman"/>
          <w:b/>
          <w:noProof/>
          <w:color w:val="000000"/>
          <w:sz w:val="28"/>
        </w:rPr>
        <w:t xml:space="preserve"> I.: Smanjenje troškova energije</w:t>
      </w:r>
      <w:bookmarkStart w:id="38" w:name="_Toc187751268"/>
      <w:bookmarkStart w:id="39" w:name="_Toc187751269"/>
      <w:bookmarkStart w:id="40" w:name="_Toc187751270"/>
      <w:bookmarkEnd w:id="29"/>
      <w:bookmarkEnd w:id="30"/>
      <w:bookmarkEnd w:id="31"/>
      <w:bookmarkEnd w:id="32"/>
      <w:bookmarkEnd w:id="33"/>
      <w:bookmarkEnd w:id="34"/>
      <w:bookmarkEnd w:id="36"/>
      <w:bookmarkEnd w:id="37"/>
      <w:bookmarkEnd w:id="38"/>
      <w:bookmarkEnd w:id="39"/>
      <w:bookmarkEnd w:id="40"/>
    </w:p>
    <w:bookmarkEnd w:id="35"/>
    <w:p w14:paraId="25F48A9C"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Da bi račun za energiju bio niži potrebno je djelovati na </w:t>
      </w:r>
      <w:r>
        <w:rPr>
          <w:rFonts w:ascii="Times New Roman" w:hAnsi="Times New Roman"/>
          <w:b/>
          <w:noProof/>
          <w:sz w:val="24"/>
        </w:rPr>
        <w:t>tri troškovne komponente</w:t>
      </w:r>
      <w:r>
        <w:rPr>
          <w:rFonts w:ascii="Times New Roman" w:hAnsi="Times New Roman"/>
          <w:noProof/>
          <w:sz w:val="24"/>
        </w:rPr>
        <w:t>:</w:t>
      </w:r>
      <w:r>
        <w:rPr>
          <w:rFonts w:ascii="Times New Roman" w:hAnsi="Times New Roman"/>
          <w:b/>
          <w:noProof/>
          <w:sz w:val="24"/>
        </w:rPr>
        <w:t xml:space="preserve"> troškove mreže i sustava, oporezivanje i cijenu opskrbe.</w:t>
      </w:r>
      <w:r>
        <w:rPr>
          <w:rFonts w:ascii="Times New Roman" w:hAnsi="Times New Roman"/>
          <w:noProof/>
          <w:sz w:val="24"/>
        </w:rPr>
        <w:t xml:space="preserve"> Osim toga, s obzirom na to da prirodni plin ima znatan udio u kombinaciji izvora električne energije, tržišta plina koja dobro funkcioniraju i nude tržišno utemeljene cijene pridonijet će i smanjenju računa za plin i električnu energiju. Nadalje, energetskom učinkovitošću i uštedama energije smanjit će se količina električne energije koju potrošači trebaju kupiti.</w:t>
      </w:r>
    </w:p>
    <w:p w14:paraId="31764177" w14:textId="77777777" w:rsidR="00E8217E" w:rsidRPr="00E91C04" w:rsidRDefault="00E8217E" w:rsidP="00E8217E">
      <w:pPr>
        <w:keepNext/>
        <w:keepLines/>
        <w:spacing w:before="240" w:after="100" w:afterAutospacing="1" w:line="240" w:lineRule="auto"/>
        <w:ind w:hanging="12"/>
        <w:outlineLvl w:val="2"/>
        <w:rPr>
          <w:rFonts w:ascii="Times New Roman" w:eastAsia="Yu Gothic Light" w:hAnsi="Times New Roman" w:cs="Times New Roman"/>
          <w:b/>
          <w:i/>
          <w:noProof/>
          <w:kern w:val="0"/>
          <w:sz w:val="24"/>
          <w:szCs w:val="24"/>
          <w:u w:val="single"/>
          <w14:ligatures w14:val="none"/>
        </w:rPr>
      </w:pPr>
      <w:bookmarkStart w:id="41" w:name="_Toc189995485"/>
      <w:r>
        <w:rPr>
          <w:rFonts w:ascii="Times New Roman" w:hAnsi="Times New Roman"/>
          <w:b/>
          <w:i/>
          <w:noProof/>
          <w:sz w:val="24"/>
          <w:u w:val="single"/>
        </w:rPr>
        <w:t>Mjera 1: Niži računi za električnu energiju</w:t>
      </w:r>
      <w:bookmarkEnd w:id="41"/>
    </w:p>
    <w:p w14:paraId="20BA2DF3"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Države članice mogu odmah smanjiti račune za električnu energiju. To zahtijeva hitno djelovanje i veće ambicije, posebno u području mrežnih naknada i oporezivanja.</w:t>
      </w:r>
    </w:p>
    <w:p w14:paraId="21819434" w14:textId="77777777" w:rsidR="00E8217E" w:rsidRPr="00E91C04" w:rsidRDefault="00E8217E" w:rsidP="00E8217E">
      <w:pPr>
        <w:keepNext/>
        <w:numPr>
          <w:ilvl w:val="0"/>
          <w:numId w:val="7"/>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Mrežne naknade</w:t>
      </w:r>
    </w:p>
    <w:p w14:paraId="031F48F7" w14:textId="2008BAF8" w:rsidR="00E8217E" w:rsidRPr="00E91C04" w:rsidRDefault="00E8217E" w:rsidP="00E8217E">
      <w:pPr>
        <w:spacing w:before="100" w:beforeAutospacing="1" w:after="100" w:afterAutospacing="1"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 xml:space="preserve">Mrežnim naknadama financira se fizička nadogradnja mreža i rad sustava. Za ulaganja u modernizaciju i širenje elektroenergetske mreže potreban je znatan kapital. To je ključno za olakšavanje uvođenja obnovljivih izvora energije, elektrifikacije i stvaranje nove industrijske i poslovne potražnje. Istodobno </w:t>
      </w:r>
      <w:r>
        <w:rPr>
          <w:rFonts w:ascii="Times New Roman" w:hAnsi="Times New Roman"/>
          <w:b/>
          <w:noProof/>
          <w:sz w:val="24"/>
        </w:rPr>
        <w:t>rastu troškovi rada elektroenergetskog sustava</w:t>
      </w:r>
      <w:r>
        <w:rPr>
          <w:rFonts w:ascii="Times New Roman" w:hAnsi="Times New Roman"/>
          <w:noProof/>
          <w:sz w:val="24"/>
        </w:rPr>
        <w:t>.</w:t>
      </w:r>
      <w:r w:rsidRPr="00E91C04">
        <w:rPr>
          <w:rFonts w:ascii="Times New Roman" w:eastAsia="Times New Roman" w:hAnsi="Times New Roman" w:cs="Times New Roman"/>
          <w:noProof/>
          <w:kern w:val="0"/>
          <w:sz w:val="24"/>
          <w:szCs w:val="24"/>
          <w:vertAlign w:val="superscript"/>
          <w:lang w:val="en-GB" w:eastAsia="en-IE"/>
        </w:rPr>
        <w:footnoteReference w:id="21"/>
      </w:r>
      <w:r>
        <w:rPr>
          <w:rFonts w:ascii="Times New Roman" w:hAnsi="Times New Roman"/>
          <w:noProof/>
          <w:sz w:val="24"/>
        </w:rPr>
        <w:t xml:space="preserve"> Mrežne naknade kojima se potiču učinkovitost sustava i upotreba jeftinije čiste električne energije mogle bi brzo smanjiti troškove rada cjelokupnog sustava, na primjer smanjenjem potreba i troškova redispečiranja, manjom vršnom potražnjom, a time i manjim potrebama za ulaganjima u mrežu te, u konačnici, smanjiti komponentu mrežnih naknada u </w:t>
      </w:r>
      <w:r w:rsidR="009B66B4">
        <w:rPr>
          <w:rFonts w:ascii="Times New Roman" w:hAnsi="Times New Roman"/>
          <w:noProof/>
          <w:sz w:val="24"/>
        </w:rPr>
        <w:t>računima</w:t>
      </w:r>
      <w:r>
        <w:rPr>
          <w:rFonts w:ascii="Times New Roman" w:hAnsi="Times New Roman"/>
          <w:noProof/>
          <w:sz w:val="24"/>
        </w:rPr>
        <w:t xml:space="preserve"> za energiju u usporedbi sa situacijom bez poduzimanja mjera.  </w:t>
      </w:r>
    </w:p>
    <w:p w14:paraId="623ED670" w14:textId="77777777" w:rsidR="00E8217E" w:rsidRPr="00E91C04" w:rsidRDefault="00E8217E" w:rsidP="00E8217E">
      <w:pPr>
        <w:spacing w:before="100" w:beforeAutospacing="1" w:after="100" w:afterAutospacing="1"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Osim toga, s obzirom na opseg potrebnih ulaganja, raspoređivanjem tih ulaganja na duži period može se osigurati da cijene za potrošače ostanu pod kontrolom. To je posebno važno kada se pri ulaganjima predviđa neizvjestan budući rast potražnje za električnom energijom zbog elektrifikacije, pri čemu bi naplaćivanje svih takvih ulaganja aktualnim korisnicima moglo nepravedno opteretiti korisnike koji rano prelaze na električnu energiju, što usporava elektrifikaciju.</w:t>
      </w:r>
      <w:r w:rsidRPr="00E91C04">
        <w:rPr>
          <w:rFonts w:ascii="Times New Roman" w:eastAsia="Yu Mincho" w:hAnsi="Times New Roman" w:cs="Times New Roman"/>
          <w:noProof/>
          <w:kern w:val="0"/>
          <w:sz w:val="24"/>
          <w:szCs w:val="24"/>
          <w:vertAlign w:val="superscript"/>
          <w:lang w:val="en-GB" w:eastAsia="en-IE"/>
        </w:rPr>
        <w:footnoteReference w:id="22"/>
      </w:r>
      <w:r>
        <w:rPr>
          <w:rFonts w:ascii="Calibri" w:hAnsi="Calibri"/>
          <w:noProof/>
          <w:sz w:val="24"/>
        </w:rPr>
        <w:t xml:space="preserve"> </w:t>
      </w:r>
    </w:p>
    <w:tbl>
      <w:tblPr>
        <w:tblStyle w:val="TableGrid"/>
        <w:tblW w:w="0" w:type="auto"/>
        <w:tblLook w:val="04A0" w:firstRow="1" w:lastRow="0" w:firstColumn="1" w:lastColumn="0" w:noHBand="0" w:noVBand="1"/>
      </w:tblPr>
      <w:tblGrid>
        <w:gridCol w:w="1608"/>
        <w:gridCol w:w="7634"/>
      </w:tblGrid>
      <w:tr w:rsidR="00E8217E" w:rsidRPr="00E91C04" w14:paraId="5609D035" w14:textId="77777777" w:rsidTr="00E8217E">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1FB57510"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F58A049"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42" w:name="_Ref188362688"/>
            <w:bookmarkStart w:id="43" w:name="_Ref191313339"/>
            <w:r>
              <w:rPr>
                <w:rFonts w:ascii="Times New Roman" w:hAnsi="Times New Roman"/>
                <w:b/>
                <w:noProof/>
              </w:rPr>
              <w:t>Učinkovitije mrežne naknade za smanjenje troškova energetskog sustava</w:t>
            </w:r>
            <w:bookmarkEnd w:id="42"/>
            <w:bookmarkEnd w:id="43"/>
          </w:p>
        </w:tc>
      </w:tr>
      <w:tr w:rsidR="00E8217E" w:rsidRPr="00E91C04" w14:paraId="0DB6ECAA" w14:textId="77777777" w:rsidTr="00E8217E">
        <w:trPr>
          <w:trHeight w:val="4122"/>
        </w:trPr>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51856A3A"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6491F45" w14:textId="77777777" w:rsidR="00E8217E" w:rsidRPr="00E91C04" w:rsidRDefault="00E8217E" w:rsidP="00E8217E">
            <w:pPr>
              <w:jc w:val="both"/>
              <w:rPr>
                <w:rFonts w:ascii="Times New Roman" w:eastAsia="Times New Roman" w:hAnsi="Times New Roman" w:cs="Times New Roman"/>
                <w:noProof/>
                <w:color w:val="000000"/>
                <w14:ligatures w14:val="none"/>
              </w:rPr>
            </w:pPr>
            <w:r>
              <w:rPr>
                <w:rFonts w:ascii="Times New Roman" w:hAnsi="Times New Roman"/>
                <w:noProof/>
                <w:color w:val="000000"/>
              </w:rPr>
              <w:t>Komisija će:</w:t>
            </w:r>
          </w:p>
          <w:p w14:paraId="3E4158A2" w14:textId="77777777" w:rsidR="00E8217E" w:rsidRPr="00E91C04" w:rsidRDefault="00E8217E" w:rsidP="00E8217E">
            <w:pPr>
              <w:numPr>
                <w:ilvl w:val="0"/>
                <w:numId w:val="12"/>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predložiti </w:t>
            </w:r>
            <w:r>
              <w:rPr>
                <w:rFonts w:ascii="Times New Roman" w:hAnsi="Times New Roman"/>
                <w:b/>
                <w:noProof/>
              </w:rPr>
              <w:t>tarifne metodologije za mrežne naknade</w:t>
            </w:r>
            <w:r>
              <w:rPr>
                <w:rFonts w:ascii="Times New Roman" w:hAnsi="Times New Roman"/>
                <w:noProof/>
              </w:rPr>
              <w:t xml:space="preserve"> kako bi se potaknula fleksibilnost i ulaganja u elektrifikaciju, uz zadržavanje poticaja za ulaganje u mrežu i osiguravanje jednakih uvjeta. To će korisnicima mreža omogućiti da prilagode svoju potrošnju energije ili da je premjeste na vrijeme i mjesta gdje su dostupni najjeftiniji izvori energije i kada je to najisplativije za cjelokupni sustav;</w:t>
            </w:r>
          </w:p>
          <w:p w14:paraId="6BF20C06" w14:textId="77777777" w:rsidR="00E8217E" w:rsidRPr="00E91C04" w:rsidRDefault="00E8217E" w:rsidP="00E8217E">
            <w:pPr>
              <w:numPr>
                <w:ilvl w:val="0"/>
                <w:numId w:val="12"/>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prema potrebi, izraditi zakonodavni prijedlog</w:t>
            </w:r>
            <w:r>
              <w:rPr>
                <w:rFonts w:ascii="Times New Roman" w:hAnsi="Times New Roman"/>
                <w:noProof/>
              </w:rPr>
              <w:t xml:space="preserve"> koji će postati pravno obvezujući; </w:t>
            </w:r>
          </w:p>
          <w:p w14:paraId="3FC445D4" w14:textId="77777777" w:rsidR="00E8217E" w:rsidRPr="00E91C04" w:rsidRDefault="00E8217E" w:rsidP="00E8217E">
            <w:pPr>
              <w:numPr>
                <w:ilvl w:val="0"/>
                <w:numId w:val="1"/>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iznijeti </w:t>
            </w:r>
            <w:r>
              <w:rPr>
                <w:rFonts w:ascii="Times New Roman" w:hAnsi="Times New Roman"/>
                <w:b/>
                <w:noProof/>
              </w:rPr>
              <w:t>smjernice</w:t>
            </w:r>
            <w:r>
              <w:rPr>
                <w:rFonts w:ascii="Times New Roman" w:hAnsi="Times New Roman"/>
                <w:noProof/>
              </w:rPr>
              <w:t xml:space="preserve"> na temelju kojih bi, prema potrebi u ciljanim slučajevima, države članice mogle iskoristiti svoj </w:t>
            </w:r>
            <w:r>
              <w:rPr>
                <w:rFonts w:ascii="Times New Roman" w:hAnsi="Times New Roman"/>
                <w:b/>
                <w:noProof/>
              </w:rPr>
              <w:t xml:space="preserve">javni proračun za smanjenje mrežnih naknada </w:t>
            </w:r>
            <w:r>
              <w:rPr>
                <w:rFonts w:ascii="Times New Roman" w:hAnsi="Times New Roman"/>
                <w:noProof/>
              </w:rPr>
              <w:t>kako bi pokrile dodatne troškove koji proizlaze iz mjera za ubrzanje dekarbonizacije i integracije tržišta, posebno među ostalim za interkonekcijske vodove, velike nadogradnje mreže ili infrastrukturu za priključivanje na odobalne mreže, u skladu s pravilima o državnim potporama i pravom tržišnog natjecanja. Na primjer, državni proračun može omogućiti bržu amortizaciju za ulagače u mrežu bez da pritom porastu cijene za potrošače;</w:t>
            </w:r>
          </w:p>
          <w:p w14:paraId="67B7B566" w14:textId="77777777" w:rsidR="00E8217E" w:rsidRPr="00E91C04" w:rsidRDefault="00E8217E" w:rsidP="00E8217E">
            <w:pPr>
              <w:numPr>
                <w:ilvl w:val="0"/>
                <w:numId w:val="1"/>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iznijeti </w:t>
            </w:r>
            <w:r>
              <w:rPr>
                <w:rFonts w:ascii="Times New Roman" w:hAnsi="Times New Roman"/>
                <w:b/>
                <w:noProof/>
              </w:rPr>
              <w:t>smjernice za anticipativna ulaganja u elektroenergetske mreže</w:t>
            </w:r>
            <w:r>
              <w:rPr>
                <w:rFonts w:ascii="Times New Roman" w:hAnsi="Times New Roman"/>
                <w:noProof/>
              </w:rPr>
              <w:t xml:space="preserve"> uz istodobno osiguravanje cjenovne pristupačnosti za potrošače kako bi se pružila dodatna potpora operatorima sustava, regulatornim tijelima i državama članicama.</w:t>
            </w:r>
          </w:p>
        </w:tc>
      </w:tr>
      <w:tr w:rsidR="00E8217E" w:rsidRPr="00E91C04" w14:paraId="106A3ECD" w14:textId="77777777" w:rsidTr="00E8217E">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3DA1EAB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7B6F1E3" w14:textId="47EA599D"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Drugo tromjesečje 2025</w:t>
            </w:r>
          </w:p>
        </w:tc>
      </w:tr>
      <w:tr w:rsidR="00E8217E" w:rsidRPr="00E91C04" w14:paraId="3E4E2BAE" w14:textId="77777777" w:rsidTr="00E8217E">
        <w:trPr>
          <w:trHeight w:val="495"/>
        </w:trPr>
        <w:tc>
          <w:tcPr>
            <w:tcW w:w="1619" w:type="dxa"/>
            <w:tcBorders>
              <w:top w:val="single" w:sz="4" w:space="0" w:color="FFFFFF"/>
              <w:left w:val="single" w:sz="4" w:space="0" w:color="FFFFFF"/>
              <w:bottom w:val="single" w:sz="4" w:space="0" w:color="FFFFFF"/>
              <w:right w:val="single" w:sz="4" w:space="0" w:color="FFFFFF"/>
            </w:tcBorders>
            <w:shd w:val="clear" w:color="auto" w:fill="8EAADB"/>
          </w:tcPr>
          <w:p w14:paraId="56F7EDD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7731" w:type="dxa"/>
            <w:tcBorders>
              <w:top w:val="single" w:sz="4" w:space="0" w:color="FFFFFF"/>
              <w:left w:val="single" w:sz="4" w:space="0" w:color="FFFFFF"/>
              <w:bottom w:val="single" w:sz="4" w:space="0" w:color="FFFFFF"/>
              <w:right w:val="single" w:sz="4" w:space="0" w:color="FFFFFF"/>
            </w:tcBorders>
            <w:shd w:val="clear" w:color="auto" w:fill="D9E2F3"/>
          </w:tcPr>
          <w:p w14:paraId="006BB011" w14:textId="77777777" w:rsidR="00E8217E" w:rsidRPr="00E91C04" w:rsidRDefault="00E8217E" w:rsidP="00E8217E">
            <w:pPr>
              <w:jc w:val="both"/>
              <w:rPr>
                <w:rFonts w:ascii="Times New Roman" w:eastAsia="Times New Roman" w:hAnsi="Times New Roman" w:cs="Times New Roman"/>
                <w:noProof/>
                <w:vertAlign w:val="superscript"/>
                <w14:ligatures w14:val="none"/>
              </w:rPr>
            </w:pPr>
            <w:r>
              <w:rPr>
                <w:rFonts w:ascii="Times New Roman" w:hAnsi="Times New Roman"/>
                <w:noProof/>
              </w:rPr>
              <w:t xml:space="preserve">Fleksibilnošću će se smanjiti vršna potražnja i tako </w:t>
            </w:r>
            <w:r>
              <w:rPr>
                <w:rFonts w:ascii="Times New Roman" w:hAnsi="Times New Roman"/>
                <w:b/>
                <w:noProof/>
              </w:rPr>
              <w:t>smanjiti i troškovi energetskog sustava i potrebe za novim ulaganjima u mrežu</w:t>
            </w:r>
            <w:r>
              <w:rPr>
                <w:rFonts w:ascii="Times New Roman" w:hAnsi="Times New Roman"/>
                <w:noProof/>
              </w:rPr>
              <w:t xml:space="preserve">. Izbjegavanjem nekontroliranog povećanja troškova upravljanja mrežom do 26 milijardi eura do 2030. smanjit će se mrežne naknade koje će potrošači plaćati u okviru računa za električnu energiju. </w:t>
            </w:r>
          </w:p>
        </w:tc>
      </w:tr>
    </w:tbl>
    <w:p w14:paraId="57EE9232" w14:textId="77777777" w:rsidR="00E8217E" w:rsidRPr="00E91C04" w:rsidRDefault="00E8217E" w:rsidP="00E8217E">
      <w:pPr>
        <w:keepNext/>
        <w:numPr>
          <w:ilvl w:val="0"/>
          <w:numId w:val="7"/>
        </w:numPr>
        <w:spacing w:before="100" w:beforeAutospacing="1" w:after="100" w:afterAutospacing="1" w:line="240" w:lineRule="auto"/>
        <w:jc w:val="both"/>
        <w:rPr>
          <w:rFonts w:ascii="Times New Roman" w:eastAsia="Times New Roman" w:hAnsi="Times New Roman" w:cs="Times New Roman"/>
          <w:i/>
          <w:noProof/>
          <w:kern w:val="0"/>
          <w:sz w:val="24"/>
          <w:szCs w:val="24"/>
          <w14:ligatures w14:val="none"/>
        </w:rPr>
      </w:pPr>
      <w:bookmarkStart w:id="44" w:name="_Toc185497212"/>
      <w:bookmarkStart w:id="45" w:name="_Toc185497244"/>
      <w:bookmarkStart w:id="46" w:name="_Toc185346397"/>
      <w:bookmarkStart w:id="47" w:name="_Toc185346859"/>
      <w:bookmarkStart w:id="48" w:name="_Toc185348729"/>
      <w:bookmarkStart w:id="49" w:name="_Toc185435267"/>
      <w:r>
        <w:rPr>
          <w:rFonts w:ascii="Times New Roman" w:hAnsi="Times New Roman"/>
          <w:i/>
          <w:noProof/>
          <w:sz w:val="24"/>
        </w:rPr>
        <w:t>Porezi i pristojbe</w:t>
      </w:r>
    </w:p>
    <w:p w14:paraId="766B614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Visoki porezi na električnu energiju povećavaju račune, a trenutačna struktura oporezivanja ne destimulira upotrebu fosilnih goriva u odnosu na električnu energiju, čime se usporava elektrifikacija i potražnja za jeftinom kućnom električnom energijom. Na električnu energiju ubiru se dva glavna poreza: PDV i porezi na energiju, dopunjeni drugim nacionalnim porezima. Direktivom o oporezivanju energije</w:t>
      </w:r>
      <w:r w:rsidRPr="00E91C04">
        <w:rPr>
          <w:rFonts w:ascii="Times New Roman" w:eastAsia="Times New Roman" w:hAnsi="Times New Roman" w:cs="Times New Roman"/>
          <w:noProof/>
          <w:kern w:val="0"/>
          <w:sz w:val="24"/>
          <w:szCs w:val="24"/>
          <w:vertAlign w:val="superscript"/>
          <w:lang w:val="en-GB" w:eastAsia="en-IE"/>
        </w:rPr>
        <w:footnoteReference w:id="23"/>
      </w:r>
      <w:r>
        <w:rPr>
          <w:rFonts w:ascii="Times New Roman" w:hAnsi="Times New Roman"/>
          <w:noProof/>
          <w:sz w:val="24"/>
        </w:rPr>
        <w:t xml:space="preserve"> predviđa se minimalno oporezivanje (trošarine) električne energije, a državama članicama omogućuje se da poreznu stopu smanje na nulu ako je to pravno moguće za energetski intenzivne industrije i kućanstva te za sve industrije u slučaju električne energije iz obnovljivih izvora. </w:t>
      </w:r>
    </w:p>
    <w:p w14:paraId="107ED355"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000000"/>
          <w:kern w:val="0"/>
          <w:sz w:val="24"/>
          <w:szCs w:val="24"/>
          <w14:ligatures w14:val="none"/>
        </w:rPr>
      </w:pPr>
      <w:r>
        <w:rPr>
          <w:rFonts w:ascii="Times New Roman" w:hAnsi="Times New Roman"/>
          <w:noProof/>
          <w:sz w:val="24"/>
        </w:rPr>
        <w:t xml:space="preserve">Niže oporezivanje </w:t>
      </w:r>
      <w:r>
        <w:rPr>
          <w:rFonts w:ascii="Times New Roman" w:hAnsi="Times New Roman"/>
          <w:b/>
          <w:noProof/>
          <w:sz w:val="24"/>
        </w:rPr>
        <w:t>pokazalo se vrlo djelotvornim u ograničavanju računa za energiju</w:t>
      </w:r>
      <w:r>
        <w:rPr>
          <w:rFonts w:ascii="Times New Roman" w:hAnsi="Times New Roman"/>
          <w:noProof/>
          <w:sz w:val="24"/>
        </w:rPr>
        <w:t xml:space="preserve"> tijekom energetske krize, kada su države članice provele smanjenja PDV-a i poreza na energiju te prijenos dohotka ranjivim skupinama</w:t>
      </w:r>
      <w:r w:rsidRPr="00E91C04">
        <w:rPr>
          <w:rFonts w:ascii="Times New Roman" w:eastAsia="Times New Roman" w:hAnsi="Times New Roman" w:cs="Times New Roman"/>
          <w:noProof/>
          <w:kern w:val="0"/>
          <w:sz w:val="24"/>
          <w:szCs w:val="24"/>
          <w:vertAlign w:val="superscript"/>
          <w:lang w:val="en-GB" w:eastAsia="en-IE"/>
        </w:rPr>
        <w:footnoteReference w:id="24"/>
      </w:r>
      <w:r>
        <w:rPr>
          <w:rFonts w:ascii="Times New Roman" w:hAnsi="Times New Roman"/>
          <w:noProof/>
          <w:sz w:val="24"/>
        </w:rPr>
        <w:t>.  Na primjer, u Francuskoj je porez na potrošnju električne energije smanjen s 22,5 EUR/MWh na 0,6 EUR/MWh</w:t>
      </w:r>
      <w:r w:rsidRPr="00E91C04">
        <w:rPr>
          <w:rFonts w:ascii="Times New Roman" w:eastAsia="Times New Roman" w:hAnsi="Times New Roman" w:cs="Times New Roman"/>
          <w:noProof/>
          <w:kern w:val="0"/>
          <w:sz w:val="24"/>
          <w:szCs w:val="24"/>
          <w:vertAlign w:val="superscript"/>
          <w:lang w:val="en-GB" w:eastAsia="en-IE"/>
        </w:rPr>
        <w:footnoteReference w:id="25"/>
      </w:r>
      <w:r>
        <w:rPr>
          <w:rFonts w:ascii="Times New Roman" w:hAnsi="Times New Roman"/>
          <w:noProof/>
          <w:sz w:val="24"/>
        </w:rPr>
        <w:t>. Takva bi potpora trebala biti posebno usmjerena na postizanje cilja uz istodobno smanjenje fiskalnih troškova na najmanju moguću mjeru</w:t>
      </w:r>
      <w:r w:rsidRPr="00E91C04">
        <w:rPr>
          <w:rFonts w:ascii="Times New Roman" w:eastAsia="Times New Roman" w:hAnsi="Times New Roman" w:cs="Times New Roman"/>
          <w:noProof/>
          <w:kern w:val="0"/>
          <w:sz w:val="24"/>
          <w:szCs w:val="24"/>
          <w:vertAlign w:val="superscript"/>
          <w:lang w:val="en-GB" w:eastAsia="en-IE"/>
        </w:rPr>
        <w:footnoteReference w:id="26"/>
      </w:r>
      <w:r>
        <w:rPr>
          <w:rFonts w:ascii="Times New Roman" w:hAnsi="Times New Roman"/>
          <w:noProof/>
          <w:sz w:val="24"/>
        </w:rPr>
        <w:t xml:space="preserve">. </w:t>
      </w:r>
    </w:p>
    <w:tbl>
      <w:tblPr>
        <w:tblStyle w:val="TableGrid"/>
        <w:tblW w:w="0" w:type="auto"/>
        <w:tblLook w:val="04A0" w:firstRow="1" w:lastRow="0" w:firstColumn="1" w:lastColumn="0" w:noHBand="0" w:noVBand="1"/>
      </w:tblPr>
      <w:tblGrid>
        <w:gridCol w:w="1267"/>
        <w:gridCol w:w="7975"/>
      </w:tblGrid>
      <w:tr w:rsidR="00E8217E" w:rsidRPr="00E91C04" w14:paraId="18C54EFA" w14:textId="77777777" w:rsidTr="00E8217E">
        <w:trPr>
          <w:trHeight w:val="205"/>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C7E19C0"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CAECB98"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0" w:name="_Ref189735218"/>
            <w:r>
              <w:rPr>
                <w:rFonts w:ascii="Times New Roman" w:hAnsi="Times New Roman"/>
                <w:b/>
                <w:noProof/>
              </w:rPr>
              <w:t>Niže oporezivanje električne energije i uklanjanje neenergetskih troškovnih komponenti s računa</w:t>
            </w:r>
            <w:bookmarkEnd w:id="50"/>
          </w:p>
        </w:tc>
      </w:tr>
      <w:tr w:rsidR="00E8217E" w:rsidRPr="00E91C04" w14:paraId="5CBF504C"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4738E9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032BC95" w14:textId="77777777" w:rsidR="00E8217E"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Vijeće bi trebalo </w:t>
            </w:r>
            <w:r>
              <w:rPr>
                <w:rFonts w:ascii="Times New Roman" w:hAnsi="Times New Roman"/>
                <w:b/>
                <w:noProof/>
              </w:rPr>
              <w:t>dovršiti reviziju Direktive o oporezivanju energije</w:t>
            </w:r>
            <w:r>
              <w:rPr>
                <w:rFonts w:ascii="Times New Roman" w:hAnsi="Times New Roman"/>
                <w:noProof/>
              </w:rPr>
              <w:t>, predloženu 2021., čiji je cilj: (i) uskladiti oporezivanje energenata s energetskom politikom EU-a i klimatskom politikom EU-a; (ii) promicati čiste tehnologije i (iii) ukinuti zastarjela izuzeća i snižene stope kojima se trenutačno potiče uporaba fosilnih goriva. Komisija je spremna i dalje podupirati njezino donošenje.</w:t>
            </w:r>
          </w:p>
          <w:p w14:paraId="757965A9"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Komisija podsjeća da države članice mogu (i) smanjiti nacionalne poreze i pristojbe na računima za električnu energiju prema </w:t>
            </w:r>
            <w:r>
              <w:rPr>
                <w:rFonts w:ascii="Times New Roman" w:hAnsi="Times New Roman"/>
                <w:b/>
                <w:noProof/>
              </w:rPr>
              <w:t>najnižim stopama trošarine</w:t>
            </w:r>
            <w:r>
              <w:rPr>
                <w:rFonts w:ascii="Times New Roman" w:hAnsi="Times New Roman"/>
                <w:noProof/>
              </w:rPr>
              <w:t xml:space="preserve"> predviđenima Direktivom o oporezivanju energije od </w:t>
            </w:r>
            <w:r>
              <w:rPr>
                <w:rFonts w:ascii="Times New Roman" w:hAnsi="Times New Roman"/>
                <w:b/>
                <w:noProof/>
              </w:rPr>
              <w:t>0,5 EUR/MWh za poduzeća</w:t>
            </w:r>
            <w:r>
              <w:rPr>
                <w:rFonts w:ascii="Times New Roman" w:hAnsi="Times New Roman"/>
                <w:noProof/>
              </w:rPr>
              <w:t>;</w:t>
            </w:r>
            <w:r w:rsidRPr="00E91C04">
              <w:rPr>
                <w:rFonts w:ascii="Times New Roman" w:eastAsia="Times New Roman" w:hAnsi="Times New Roman" w:cs="Times New Roman"/>
                <w:noProof/>
                <w:sz w:val="24"/>
                <w:szCs w:val="24"/>
                <w:vertAlign w:val="superscript"/>
                <w:lang w:val="en-GB" w:eastAsia="en-IE"/>
              </w:rPr>
              <w:footnoteReference w:id="27"/>
            </w:r>
            <w:r>
              <w:rPr>
                <w:rFonts w:ascii="Times New Roman" w:hAnsi="Times New Roman"/>
                <w:noProof/>
                <w:sz w:val="24"/>
              </w:rPr>
              <w:t xml:space="preserve"> </w:t>
            </w:r>
            <w:r>
              <w:rPr>
                <w:rFonts w:ascii="Times New Roman" w:hAnsi="Times New Roman"/>
                <w:noProof/>
              </w:rPr>
              <w:t xml:space="preserve">(ii) primijeniti </w:t>
            </w:r>
            <w:r>
              <w:rPr>
                <w:rFonts w:ascii="Times New Roman" w:hAnsi="Times New Roman"/>
                <w:b/>
                <w:noProof/>
              </w:rPr>
              <w:t>sniženu stopu PDV-a</w:t>
            </w:r>
            <w:r>
              <w:rPr>
                <w:rFonts w:ascii="Times New Roman" w:hAnsi="Times New Roman"/>
                <w:noProof/>
              </w:rPr>
              <w:t xml:space="preserve"> dopuštenu Direktivom o PDV-u i Direktivom Vijeća kojom je ta direktiva izmijenjena </w:t>
            </w:r>
            <w:r>
              <w:rPr>
                <w:rFonts w:ascii="Times New Roman" w:hAnsi="Times New Roman"/>
                <w:b/>
                <w:noProof/>
              </w:rPr>
              <w:t>od najmanje 5 %</w:t>
            </w:r>
            <w:r>
              <w:rPr>
                <w:rFonts w:ascii="Times New Roman" w:hAnsi="Times New Roman"/>
                <w:noProof/>
              </w:rPr>
              <w:t>;</w:t>
            </w:r>
            <w:r w:rsidRPr="00E91C04">
              <w:rPr>
                <w:rFonts w:ascii="Times New Roman" w:eastAsia="Times New Roman" w:hAnsi="Times New Roman" w:cs="Times New Roman"/>
                <w:noProof/>
                <w:sz w:val="24"/>
                <w:szCs w:val="24"/>
                <w:vertAlign w:val="superscript"/>
                <w:lang w:val="en-GB" w:eastAsia="en-IE"/>
              </w:rPr>
              <w:footnoteReference w:id="28"/>
            </w:r>
            <w:r>
              <w:rPr>
                <w:rFonts w:ascii="Times New Roman" w:hAnsi="Times New Roman"/>
                <w:noProof/>
              </w:rPr>
              <w:t xml:space="preserve"> (iii) ukinuti pristojbe koje nisu povezane s energijom;</w:t>
            </w:r>
            <w:r w:rsidRPr="00E91C04">
              <w:rPr>
                <w:rFonts w:ascii="Times New Roman" w:eastAsia="Times New Roman" w:hAnsi="Times New Roman" w:cs="Times New Roman"/>
                <w:noProof/>
                <w:sz w:val="24"/>
                <w:szCs w:val="24"/>
                <w:vertAlign w:val="superscript"/>
                <w:lang w:val="en-GB" w:eastAsia="en-IE"/>
              </w:rPr>
              <w:footnoteReference w:id="29"/>
            </w:r>
            <w:r>
              <w:rPr>
                <w:rFonts w:ascii="Times New Roman" w:hAnsi="Times New Roman"/>
                <w:noProof/>
              </w:rPr>
              <w:t xml:space="preserve"> i (iv) preusmjeriti pristojbe kojima se financiraju energetske politike u opći proračun.</w:t>
            </w:r>
            <w:r w:rsidRPr="00E91C04">
              <w:rPr>
                <w:rFonts w:ascii="Times New Roman" w:eastAsia="Times New Roman" w:hAnsi="Times New Roman" w:cs="Times New Roman"/>
                <w:noProof/>
                <w:sz w:val="24"/>
                <w:szCs w:val="24"/>
                <w:vertAlign w:val="superscript"/>
                <w:lang w:val="en-GB" w:eastAsia="en-IE"/>
              </w:rPr>
              <w:footnoteReference w:id="30"/>
            </w:r>
            <w:r>
              <w:rPr>
                <w:rFonts w:ascii="Times New Roman" w:hAnsi="Times New Roman"/>
                <w:noProof/>
              </w:rPr>
              <w:t xml:space="preserve"> </w:t>
            </w:r>
          </w:p>
          <w:p w14:paraId="4D3DF3D0"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U skladu s Direktivom o oporezivanju energije, kojom se </w:t>
            </w:r>
            <w:r>
              <w:rPr>
                <w:rFonts w:ascii="Times New Roman" w:hAnsi="Times New Roman"/>
                <w:b/>
                <w:noProof/>
              </w:rPr>
              <w:t>omogućuje smanjenje poreza na energiju koja se troši u kućanstvima i energetski intenzivnim industrijama na nulu</w:t>
            </w:r>
            <w:r>
              <w:rPr>
                <w:rFonts w:ascii="Times New Roman" w:hAnsi="Times New Roman"/>
                <w:noProof/>
              </w:rPr>
              <w:t xml:space="preserve">, Komisija će </w:t>
            </w:r>
            <w:r>
              <w:rPr>
                <w:rFonts w:ascii="Times New Roman" w:hAnsi="Times New Roman"/>
                <w:b/>
                <w:noProof/>
              </w:rPr>
              <w:t>izdati preporuku državama članicama</w:t>
            </w:r>
            <w:r>
              <w:rPr>
                <w:rFonts w:ascii="Times New Roman" w:hAnsi="Times New Roman"/>
                <w:noProof/>
              </w:rPr>
              <w:t xml:space="preserve"> o tome kako iskoristiti tu fleksibilnost i osigurati da se u svim sektorima električna energija oporezuje manje od drugih izvora energije uz istodobno ostvarivanje naših dugoročnih ciljeva dekarbonizacije.</w:t>
            </w:r>
          </w:p>
        </w:tc>
      </w:tr>
      <w:tr w:rsidR="00E8217E" w:rsidRPr="00E91C04" w14:paraId="11FF7C29"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278565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D96170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Od donošenja revidirane Direktive o oporezivanju energije. Dodatne preporuke Komisije u četvrtom tromjesečju 2025.</w:t>
            </w:r>
          </w:p>
        </w:tc>
      </w:tr>
      <w:tr w:rsidR="00E8217E" w:rsidRPr="00E91C04" w14:paraId="6E4F365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14ADEF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058EB80"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Trenutačno smanjenje računa za energiju, </w:t>
            </w:r>
            <w:r>
              <w:rPr>
                <w:rFonts w:ascii="Times New Roman" w:hAnsi="Times New Roman"/>
                <w:b/>
                <w:noProof/>
              </w:rPr>
              <w:t>s potencijalom da se porezna komponenta barem prepolovi</w:t>
            </w:r>
            <w:r>
              <w:rPr>
                <w:rFonts w:ascii="Times New Roman" w:hAnsi="Times New Roman"/>
                <w:noProof/>
              </w:rPr>
              <w:t xml:space="preserve"> (u EUR/MWh), na temelju iskustva sa smanjenjima oporezivanja u razdoblju 2022.–2023. (vidjeti sliku 2.). Ubrzati elektrifikaciju fiskalnim poticajima i smanjiti ovisnost o fosilnim gorivima.</w:t>
            </w:r>
          </w:p>
        </w:tc>
      </w:tr>
    </w:tbl>
    <w:p w14:paraId="6FE45ADB" w14:textId="77777777" w:rsidR="00E8217E" w:rsidRPr="00E91C04" w:rsidRDefault="00E8217E" w:rsidP="00E8217E">
      <w:pPr>
        <w:keepNext/>
        <w:spacing w:before="100" w:beforeAutospacing="1" w:after="100" w:afterAutospacing="1" w:line="240" w:lineRule="auto"/>
        <w:jc w:val="both"/>
        <w:rPr>
          <w:rFonts w:ascii="Times New Roman" w:eastAsia="Times New Roman" w:hAnsi="Times New Roman" w:cs="Times New Roman"/>
          <w:i/>
          <w:noProof/>
          <w:kern w:val="0"/>
          <w:sz w:val="24"/>
          <w:szCs w:val="24"/>
          <w14:ligatures w14:val="none"/>
        </w:rPr>
      </w:pPr>
      <w:r>
        <w:rPr>
          <w:rFonts w:ascii="Times New Roman" w:hAnsi="Times New Roman"/>
          <w:i/>
          <w:noProof/>
          <w:sz w:val="24"/>
        </w:rPr>
        <w:t>c) Niži troškovi opskrbe povećanjem tržišnog natjecanja u maloprodaji</w:t>
      </w:r>
    </w:p>
    <w:p w14:paraId="267E7514"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Trenutačno 73 % kućanstava u EU-u i znatan udio malih i srednjih poduzeća ima fiksne ugovore za opskrbu električnom energijom</w:t>
      </w:r>
      <w:r w:rsidRPr="00E91C04">
        <w:rPr>
          <w:rFonts w:ascii="Times New Roman" w:eastAsia="Yu Gothic Light" w:hAnsi="Times New Roman" w:cs="Times New Roman"/>
          <w:noProof/>
          <w:kern w:val="0"/>
          <w:sz w:val="24"/>
          <w:szCs w:val="24"/>
          <w:vertAlign w:val="superscript"/>
          <w:lang w:val="en-GB" w:eastAsia="en-IE"/>
        </w:rPr>
        <w:footnoteReference w:id="31"/>
      </w:r>
      <w:r>
        <w:rPr>
          <w:rFonts w:ascii="Times New Roman" w:hAnsi="Times New Roman"/>
          <w:noProof/>
          <w:sz w:val="24"/>
        </w:rPr>
        <w:t xml:space="preserve">. Mnogi bi mogli smanjiti svoje račune za električnu energiju prelaskom na konkurentnijeg opskrbljivača ili preusmjeravanjem potrošnje u razdoblja nižih cijena, ali se i dalje suočavaju s tržišnim preprekama. Posebnu pozornost treba posvetiti ranjivim potrošačima. U mjerama za povećanje cjenovne pristupačnosti trebalo bi uzeti u obzir posebne potrebe kućanstava s nižim dohotkom, uključujući fleksibilne mogućnosti obračuna kojima se sprječava isključivanje skupina u gospodarski nepovoljnom položaju. Također je potrebno ojačati energetske zajednice kako bi se lokalnim zajednicama, građanima i poduzećima omogućilo da udruže snage i ulažu u projekte čiste energije na lokalnoj razini, što bi im omogućilo da proizvode, prodaju i troše energiju iz obnovljivih izvora. Ključno je da EU nastavi osiguravati dostatna namjenska sredstva za potporu dovršetku energetske unije.  </w:t>
      </w:r>
    </w:p>
    <w:tbl>
      <w:tblPr>
        <w:tblStyle w:val="TableGrid"/>
        <w:tblW w:w="0" w:type="auto"/>
        <w:tblLook w:val="04A0" w:firstRow="1" w:lastRow="0" w:firstColumn="1" w:lastColumn="0" w:noHBand="0" w:noVBand="1"/>
      </w:tblPr>
      <w:tblGrid>
        <w:gridCol w:w="1267"/>
        <w:gridCol w:w="7975"/>
      </w:tblGrid>
      <w:tr w:rsidR="00E8217E" w:rsidRPr="00E91C04" w14:paraId="1328288F"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5C5E3AEF"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607C548" w14:textId="77777777" w:rsidR="00E8217E" w:rsidRPr="00E91C04" w:rsidRDefault="00E8217E" w:rsidP="00E8217E">
            <w:pPr>
              <w:spacing w:before="100" w:beforeAutospacing="1" w:after="100" w:afterAutospacing="1"/>
              <w:jc w:val="both"/>
              <w:outlineLvl w:val="3"/>
              <w:rPr>
                <w:rFonts w:ascii="Times New Roman" w:eastAsia="Times New Roman" w:hAnsi="Times New Roman" w:cs="Times New Roman"/>
                <w:b/>
                <w:bCs/>
                <w:noProof/>
                <w14:ligatures w14:val="none"/>
              </w:rPr>
            </w:pPr>
            <w:bookmarkStart w:id="51" w:name="_Ref189735222"/>
            <w:r>
              <w:rPr>
                <w:rFonts w:ascii="Times New Roman" w:hAnsi="Times New Roman"/>
                <w:b/>
                <w:noProof/>
                <w:color w:val="000000"/>
              </w:rPr>
              <w:t>Omogućivanje potrošačima da prijeđu na jeftinije dobavljače energije i da dobiju cjenovno pristupačnu energiju iz obnovljivih izvora, uz istodobno rješavanje problema energetskog siromaštva</w:t>
            </w:r>
            <w:bookmarkEnd w:id="51"/>
          </w:p>
        </w:tc>
      </w:tr>
      <w:tr w:rsidR="00E8217E" w:rsidRPr="00E91C04" w14:paraId="7282E69B"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6A8C1C8"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31EC23E" w14:textId="77777777" w:rsidR="00E8217E" w:rsidRPr="00E91C04" w:rsidRDefault="00E8217E" w:rsidP="00E8217E">
            <w:pPr>
              <w:jc w:val="both"/>
              <w:rPr>
                <w:rFonts w:ascii="Times New Roman" w:eastAsia="Times New Roman" w:hAnsi="Times New Roman" w:cs="Times New Roman"/>
                <w:b/>
                <w:bCs/>
                <w:noProof/>
                <w:color w:val="000000"/>
                <w14:ligatures w14:val="none"/>
              </w:rPr>
            </w:pPr>
            <w:r>
              <w:rPr>
                <w:rFonts w:ascii="Times New Roman" w:hAnsi="Times New Roman"/>
                <w:noProof/>
                <w:color w:val="000000"/>
              </w:rPr>
              <w:t xml:space="preserve">Komisija će predložiti </w:t>
            </w:r>
            <w:r>
              <w:rPr>
                <w:rFonts w:ascii="Times New Roman" w:hAnsi="Times New Roman"/>
                <w:b/>
                <w:noProof/>
                <w:color w:val="000000"/>
              </w:rPr>
              <w:t>energetski paket za građane</w:t>
            </w:r>
            <w:r>
              <w:rPr>
                <w:rFonts w:ascii="Times New Roman" w:hAnsi="Times New Roman"/>
                <w:noProof/>
                <w:color w:val="000000"/>
              </w:rPr>
              <w:t xml:space="preserve"> kako bi se povećalo sudjelovanje građana u energetskoj tranziciji i ojačala socijalna dimenzija energetske unije, pri čemu će među ostalim:</w:t>
            </w:r>
          </w:p>
          <w:p w14:paraId="1E0E7AEC" w14:textId="77777777" w:rsidR="00E8217E" w:rsidRPr="00E91C04" w:rsidRDefault="00E8217E" w:rsidP="00E8217E">
            <w:pPr>
              <w:numPr>
                <w:ilvl w:val="0"/>
                <w:numId w:val="10"/>
              </w:numPr>
              <w:spacing w:before="100" w:beforeAutospacing="1" w:afterAutospacing="1"/>
              <w:jc w:val="both"/>
              <w:rPr>
                <w:rFonts w:ascii="Times New Roman" w:eastAsia="Times New Roman" w:hAnsi="Times New Roman" w:cs="Times New Roman"/>
                <w:noProof/>
                <w:color w:val="000000"/>
                <w14:ligatures w14:val="none"/>
              </w:rPr>
            </w:pPr>
            <w:r>
              <w:rPr>
                <w:rFonts w:ascii="Times New Roman" w:hAnsi="Times New Roman"/>
                <w:noProof/>
                <w:color w:val="000000"/>
              </w:rPr>
              <w:t xml:space="preserve">pružiti </w:t>
            </w:r>
            <w:r>
              <w:rPr>
                <w:rFonts w:ascii="Times New Roman" w:hAnsi="Times New Roman"/>
                <w:b/>
                <w:noProof/>
                <w:color w:val="000000"/>
              </w:rPr>
              <w:t>smjernice državama članicama za uklanjanje postojećih prepreka</w:t>
            </w:r>
            <w:r>
              <w:rPr>
                <w:rFonts w:ascii="Times New Roman" w:hAnsi="Times New Roman"/>
                <w:noProof/>
                <w:color w:val="000000"/>
              </w:rPr>
              <w:t xml:space="preserve"> kako bi potrošači mogli smanjiti račune za energiju </w:t>
            </w:r>
            <w:r>
              <w:rPr>
                <w:rFonts w:ascii="Times New Roman" w:hAnsi="Times New Roman"/>
                <w:b/>
                <w:noProof/>
                <w:color w:val="000000"/>
              </w:rPr>
              <w:t>promjenom opskrbljivača ili ugovora</w:t>
            </w:r>
            <w:r>
              <w:rPr>
                <w:rFonts w:ascii="Times New Roman" w:hAnsi="Times New Roman"/>
                <w:noProof/>
                <w:color w:val="000000"/>
              </w:rPr>
              <w:t>. To bi podrazumijevalo osiguravanje da potrošači razumiju račun zahvaljujući jasnim informacijama i podacima o potrošnji energije i cijenama, što bi im omogućilo da svoju potrošnju prebace na sate kad su cijene niže;</w:t>
            </w:r>
            <w:r w:rsidRPr="00E91C04">
              <w:rPr>
                <w:rFonts w:ascii="Times New Roman" w:eastAsia="Times New Roman" w:hAnsi="Times New Roman" w:cs="Times New Roman"/>
                <w:noProof/>
                <w:color w:val="000000"/>
                <w:vertAlign w:val="superscript"/>
                <w:lang w:val="en-GB" w:eastAsia="en-IE"/>
              </w:rPr>
              <w:footnoteReference w:id="32"/>
            </w:r>
            <w:r>
              <w:rPr>
                <w:rFonts w:ascii="Times New Roman" w:hAnsi="Times New Roman"/>
                <w:noProof/>
                <w:color w:val="000000"/>
              </w:rPr>
              <w:t xml:space="preserve"> </w:t>
            </w:r>
          </w:p>
          <w:p w14:paraId="2C8E84A1" w14:textId="77777777" w:rsidR="00E8217E" w:rsidRPr="00E91C04" w:rsidRDefault="00E8217E" w:rsidP="00E8217E">
            <w:pPr>
              <w:numPr>
                <w:ilvl w:val="0"/>
                <w:numId w:val="9"/>
              </w:numPr>
              <w:spacing w:before="100" w:beforeAutospacing="1" w:afterAutospacing="1"/>
              <w:jc w:val="both"/>
              <w:rPr>
                <w:rFonts w:ascii="Times New Roman" w:eastAsia="Times New Roman" w:hAnsi="Times New Roman" w:cs="Times New Roman"/>
                <w:noProof/>
                <w:color w:val="000000"/>
                <w14:ligatures w14:val="none"/>
              </w:rPr>
            </w:pPr>
            <w:r>
              <w:rPr>
                <w:rFonts w:ascii="Times New Roman" w:hAnsi="Times New Roman"/>
                <w:noProof/>
                <w:color w:val="000000"/>
              </w:rPr>
              <w:t xml:space="preserve">utvrditi </w:t>
            </w:r>
            <w:r>
              <w:rPr>
                <w:rFonts w:ascii="Times New Roman" w:hAnsi="Times New Roman"/>
                <w:b/>
                <w:noProof/>
                <w:color w:val="000000"/>
              </w:rPr>
              <w:t>mjere za smanjenje energetskog siromaštva</w:t>
            </w:r>
            <w:r>
              <w:rPr>
                <w:rFonts w:ascii="Times New Roman" w:hAnsi="Times New Roman"/>
                <w:noProof/>
                <w:color w:val="000000"/>
              </w:rPr>
              <w:t xml:space="preserve">, među ostalim s pomoću energetske učinkovitosti, i </w:t>
            </w:r>
            <w:r>
              <w:rPr>
                <w:rFonts w:ascii="Times New Roman" w:hAnsi="Times New Roman"/>
                <w:b/>
                <w:noProof/>
                <w:color w:val="000000"/>
              </w:rPr>
              <w:t>omogućiti potrošačima i zajednicama da proizvode, koriste i prodaju energiju iz obnovljivih izvora</w:t>
            </w:r>
            <w:r>
              <w:rPr>
                <w:rFonts w:ascii="Times New Roman" w:hAnsi="Times New Roman"/>
                <w:noProof/>
                <w:color w:val="000000"/>
              </w:rPr>
              <w:t xml:space="preserve"> pod vlastitim uvjetima, među ostalim putem energetskih zajednica.</w:t>
            </w:r>
          </w:p>
        </w:tc>
      </w:tr>
      <w:tr w:rsidR="00E8217E" w:rsidRPr="00E91C04" w14:paraId="68781E39"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2D5CB8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EED1629" w14:textId="77777777" w:rsidR="00E8217E" w:rsidRPr="00E91C04" w:rsidRDefault="00E8217E" w:rsidP="00E8217E">
            <w:pPr>
              <w:jc w:val="both"/>
              <w:rPr>
                <w:rFonts w:ascii="Times New Roman" w:eastAsia="Times New Roman" w:hAnsi="Times New Roman" w:cs="Times New Roman"/>
                <w:noProof/>
                <w:color w:val="000000"/>
                <w14:ligatures w14:val="none"/>
              </w:rPr>
            </w:pPr>
            <w:r>
              <w:rPr>
                <w:rFonts w:ascii="Times New Roman" w:hAnsi="Times New Roman"/>
                <w:noProof/>
                <w:color w:val="000000"/>
              </w:rPr>
              <w:t>Treće tromjesečje 2025. (energetski paket za građane)</w:t>
            </w:r>
          </w:p>
        </w:tc>
      </w:tr>
      <w:tr w:rsidR="00E8217E" w:rsidRPr="00E91C04" w14:paraId="5BB8E9B0" w14:textId="77777777" w:rsidTr="00E8217E">
        <w:trPr>
          <w:trHeight w:val="698"/>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32C704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ADD6D5A" w14:textId="77777777" w:rsidR="00E8217E" w:rsidRPr="00E91C04" w:rsidRDefault="00E8217E" w:rsidP="00E8217E">
            <w:pPr>
              <w:jc w:val="both"/>
              <w:rPr>
                <w:rFonts w:ascii="Times New Roman" w:eastAsia="Times New Roman" w:hAnsi="Times New Roman" w:cs="Times New Roman"/>
                <w:b/>
                <w:bCs/>
                <w:noProof/>
                <w:color w:val="000000"/>
                <w14:ligatures w14:val="none"/>
              </w:rPr>
            </w:pPr>
            <w:r>
              <w:rPr>
                <w:rFonts w:ascii="Times New Roman" w:hAnsi="Times New Roman"/>
                <w:noProof/>
                <w:color w:val="000000"/>
              </w:rPr>
              <w:t xml:space="preserve">Prelaskom na opskrbljivača električnom energijom koji nudi najniže cijene kućanstva mogu uštedjeti </w:t>
            </w:r>
            <w:r>
              <w:rPr>
                <w:rFonts w:ascii="Times New Roman" w:hAnsi="Times New Roman"/>
                <w:b/>
                <w:noProof/>
                <w:color w:val="000000"/>
              </w:rPr>
              <w:t>150 do 200 eura godišnje</w:t>
            </w:r>
            <w:r w:rsidRPr="00E91C04">
              <w:rPr>
                <w:rFonts w:ascii="Times New Roman" w:eastAsia="Times New Roman" w:hAnsi="Times New Roman" w:cs="Times New Roman"/>
                <w:noProof/>
                <w:color w:val="000000"/>
                <w:vertAlign w:val="superscript"/>
                <w:lang w:val="en-GB" w:eastAsia="en-IE"/>
              </w:rPr>
              <w:footnoteReference w:id="33"/>
            </w:r>
            <w:r>
              <w:rPr>
                <w:rFonts w:ascii="Times New Roman" w:hAnsi="Times New Roman"/>
                <w:noProof/>
                <w:color w:val="000000"/>
              </w:rPr>
              <w:t xml:space="preserve">. </w:t>
            </w:r>
            <w:r>
              <w:rPr>
                <w:rFonts w:ascii="Times New Roman" w:hAnsi="Times New Roman"/>
                <w:b/>
                <w:noProof/>
                <w:color w:val="000000"/>
              </w:rPr>
              <w:t>Sudjelovanjem u energetskim zajednicama kućanstva mogu uštedjeti od 500 do 1100 eura godišnje</w:t>
            </w:r>
            <w:r>
              <w:rPr>
                <w:rFonts w:ascii="Times New Roman" w:hAnsi="Times New Roman"/>
                <w:noProof/>
                <w:color w:val="000000"/>
              </w:rPr>
              <w:t>.</w:t>
            </w:r>
            <w:r w:rsidRPr="00E91C04">
              <w:rPr>
                <w:rFonts w:ascii="Times New Roman" w:eastAsia="Times New Roman" w:hAnsi="Times New Roman" w:cs="Times New Roman"/>
                <w:noProof/>
                <w:color w:val="000000"/>
                <w:vertAlign w:val="superscript"/>
                <w:lang w:val="en-GB" w:eastAsia="en-IE"/>
              </w:rPr>
              <w:footnoteReference w:id="34"/>
            </w:r>
          </w:p>
        </w:tc>
      </w:tr>
    </w:tbl>
    <w:p w14:paraId="5FE9F687" w14:textId="77777777" w:rsidR="00E8217E" w:rsidRPr="00E91C04" w:rsidRDefault="00E8217E" w:rsidP="00E8217E">
      <w:pPr>
        <w:keepNext/>
        <w:keepLines/>
        <w:spacing w:before="240" w:after="100" w:afterAutospacing="1" w:line="240" w:lineRule="auto"/>
        <w:ind w:hanging="12"/>
        <w:outlineLvl w:val="2"/>
        <w:rPr>
          <w:rFonts w:ascii="Times New Roman" w:eastAsia="Yu Gothic Light" w:hAnsi="Times New Roman" w:cs="Times New Roman"/>
          <w:b/>
          <w:i/>
          <w:noProof/>
          <w:kern w:val="0"/>
          <w:sz w:val="24"/>
          <w:szCs w:val="24"/>
          <w:u w:val="single"/>
          <w14:ligatures w14:val="none"/>
        </w:rPr>
      </w:pPr>
      <w:bookmarkStart w:id="52" w:name="_Toc189995486"/>
      <w:r>
        <w:rPr>
          <w:rFonts w:ascii="Times New Roman" w:hAnsi="Times New Roman"/>
          <w:b/>
          <w:i/>
          <w:noProof/>
          <w:sz w:val="24"/>
          <w:u w:val="single"/>
        </w:rPr>
        <w:t>Mjera 2: niži troškovi opskrbe električnom energijom</w:t>
      </w:r>
      <w:bookmarkEnd w:id="52"/>
    </w:p>
    <w:bookmarkEnd w:id="44"/>
    <w:bookmarkEnd w:id="45"/>
    <w:bookmarkEnd w:id="46"/>
    <w:bookmarkEnd w:id="47"/>
    <w:bookmarkEnd w:id="48"/>
    <w:bookmarkEnd w:id="49"/>
    <w:p w14:paraId="2DA380F8"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000000"/>
          <w:kern w:val="0"/>
          <w:sz w:val="24"/>
          <w:szCs w:val="24"/>
          <w:shd w:val="clear" w:color="auto" w:fill="FFFFFF"/>
          <w14:ligatures w14:val="none"/>
        </w:rPr>
      </w:pPr>
      <w:r>
        <w:rPr>
          <w:rFonts w:ascii="Times New Roman" w:hAnsi="Times New Roman"/>
          <w:b/>
          <w:noProof/>
          <w:sz w:val="24"/>
        </w:rPr>
        <w:t>Brza i potpuna provedba postojećeg zakonodavstva EU-a o električnoj energiji</w:t>
      </w:r>
      <w:r>
        <w:rPr>
          <w:rFonts w:ascii="Times New Roman" w:hAnsi="Times New Roman"/>
          <w:noProof/>
          <w:sz w:val="24"/>
        </w:rPr>
        <w:t xml:space="preserve"> ključna je za smanjenje troškova opskrbe električnom energijom: nedavno donesenim pravilima o izdavanju dozvola, ugovorima, fleksibilnosti, omogućivanju većeg izbora za potrošače i nadzoru tržišta mogu se smanjiti troškovi.</w:t>
      </w:r>
      <w:r>
        <w:rPr>
          <w:rFonts w:ascii="Times New Roman" w:hAnsi="Times New Roman"/>
          <w:noProof/>
          <w:color w:val="000000"/>
          <w:sz w:val="24"/>
          <w:shd w:val="clear" w:color="auto" w:fill="FFFFFF"/>
        </w:rPr>
        <w:t xml:space="preserve"> To bi trebalo dopuniti sljedećim hitnim mjerama.</w:t>
      </w:r>
    </w:p>
    <w:p w14:paraId="74978175" w14:textId="77777777" w:rsidR="00E8217E" w:rsidRPr="00E91C04" w:rsidRDefault="00E8217E" w:rsidP="00E8217E">
      <w:pPr>
        <w:keepNext/>
        <w:numPr>
          <w:ilvl w:val="0"/>
          <w:numId w:val="5"/>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Dugoročni ugovori o opskrbi električnom energijom</w:t>
      </w:r>
    </w:p>
    <w:p w14:paraId="734E5DC3"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Cijene električne energije rastu zbog visokih i nestabilnih cijena plina. </w:t>
      </w:r>
      <w:r>
        <w:rPr>
          <w:rFonts w:ascii="Times New Roman" w:hAnsi="Times New Roman"/>
          <w:b/>
          <w:noProof/>
          <w:sz w:val="24"/>
        </w:rPr>
        <w:t>Ugovori o kupnji energije i dugoročni ugovori</w:t>
      </w:r>
      <w:r>
        <w:rPr>
          <w:rFonts w:ascii="Times New Roman" w:hAnsi="Times New Roman"/>
          <w:noProof/>
          <w:sz w:val="24"/>
        </w:rPr>
        <w:t xml:space="preserve"> između subjekata koji razvijaju čistu energiju i industrijskih potrošača i poduzeća omogućuju potonjima da dugoročno uživaju stabilne i niske cijene električne energije. Ugovori o kupnji energije mogu imati ulogu u smanjenju rizika projekata tako što će nositeljima projekata u području energije iz obnovljivih izvora omogućiti garantiranu dugoročnu cijenu za njihove proizvode, što olakšava odluke o ulaganju. Takvi ugovori također mogu osigurati dugoročnu stabilnost cijena za industrijske potrošače.  </w:t>
      </w:r>
      <w:r>
        <w:rPr>
          <w:rFonts w:ascii="Times New Roman" w:hAnsi="Times New Roman"/>
          <w:noProof/>
          <w:color w:val="000000"/>
          <w:sz w:val="24"/>
        </w:rPr>
        <w:t>Iako potražnja za ugovorima o kupnji energije raste</w:t>
      </w:r>
      <w:r w:rsidRPr="00E91C04">
        <w:rPr>
          <w:rFonts w:ascii="Times New Roman" w:eastAsia="Times New Roman" w:hAnsi="Times New Roman" w:cs="Times New Roman"/>
          <w:noProof/>
          <w:color w:val="000000"/>
          <w:kern w:val="0"/>
          <w:sz w:val="24"/>
          <w:szCs w:val="24"/>
          <w:vertAlign w:val="superscript"/>
          <w:lang w:val="en-GB" w:eastAsia="en-IE"/>
        </w:rPr>
        <w:footnoteReference w:id="35"/>
      </w:r>
      <w:r>
        <w:rPr>
          <w:rFonts w:ascii="Times New Roman" w:hAnsi="Times New Roman"/>
          <w:noProof/>
          <w:color w:val="000000"/>
          <w:sz w:val="24"/>
        </w:rPr>
        <w:t>, potrebno ih je dodatno poticati i promicati, među ostalim za energetski intenzivna poduzeća koja nemaju velik izbor tih ugovora i koja se i dalje suočavaju s preprekama.</w:t>
      </w:r>
      <w:r>
        <w:rPr>
          <w:rFonts w:ascii="Times New Roman" w:hAnsi="Times New Roman"/>
          <w:noProof/>
          <w:sz w:val="24"/>
        </w:rPr>
        <w:t xml:space="preserve"> Komisija će pojačati napore kako bi u skladu s pravilima o tržištu električne energije postigla da </w:t>
      </w:r>
      <w:r>
        <w:rPr>
          <w:rFonts w:ascii="Times New Roman" w:hAnsi="Times New Roman"/>
          <w:b/>
          <w:noProof/>
          <w:sz w:val="24"/>
        </w:rPr>
        <w:t>nestabilnost cijena ne utječe izravno na račune za energiju</w:t>
      </w:r>
      <w:r>
        <w:rPr>
          <w:rFonts w:ascii="Times New Roman" w:hAnsi="Times New Roman"/>
          <w:noProof/>
          <w:sz w:val="24"/>
        </w:rPr>
        <w:t xml:space="preserve"> tako što će poticati sklapanje dugoročnih ugovora o opskrbi električnom energijom. </w:t>
      </w:r>
    </w:p>
    <w:tbl>
      <w:tblPr>
        <w:tblStyle w:val="TableGrid"/>
        <w:tblW w:w="0" w:type="auto"/>
        <w:tblLook w:val="04A0" w:firstRow="1" w:lastRow="0" w:firstColumn="1" w:lastColumn="0" w:noHBand="0" w:noVBand="1"/>
      </w:tblPr>
      <w:tblGrid>
        <w:gridCol w:w="1267"/>
        <w:gridCol w:w="7975"/>
      </w:tblGrid>
      <w:tr w:rsidR="00E8217E" w:rsidRPr="00E91C04" w14:paraId="3709B467"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06FF036"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bookmarkStart w:id="53" w:name="_Ref188631732"/>
            <w:r>
              <w:rPr>
                <w:rFonts w:ascii="Times New Roman" w:hAnsi="Times New Roman"/>
                <w:noProof/>
                <w:color w:val="FFFFFF"/>
              </w:rPr>
              <w:t>Što?</w:t>
            </w:r>
            <w:bookmarkEnd w:id="53"/>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15F1087"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4" w:name="_Ref189735247"/>
            <w:r>
              <w:rPr>
                <w:rFonts w:ascii="Times New Roman" w:hAnsi="Times New Roman"/>
                <w:b/>
                <w:noProof/>
              </w:rPr>
              <w:t>Prekidanje ovisnosti maloprodajnih računa za električnu energiju od visokih i nestabilnih cijena plina</w:t>
            </w:r>
            <w:bookmarkEnd w:id="54"/>
            <w:r>
              <w:rPr>
                <w:rFonts w:ascii="Times New Roman" w:hAnsi="Times New Roman"/>
                <w:b/>
                <w:noProof/>
              </w:rPr>
              <w:t xml:space="preserve"> </w:t>
            </w:r>
          </w:p>
        </w:tc>
      </w:tr>
      <w:tr w:rsidR="00E8217E" w:rsidRPr="00E91C04" w14:paraId="7BDB15D6"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A5AB77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53C888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Smanjivanjem prepreka za nove aktere</w:t>
            </w:r>
            <w:r w:rsidRPr="00E91C04">
              <w:rPr>
                <w:rFonts w:ascii="Times New Roman" w:eastAsia="Times New Roman" w:hAnsi="Times New Roman" w:cs="Times New Roman"/>
                <w:noProof/>
                <w:vertAlign w:val="superscript"/>
                <w:lang w:val="en-GB" w:eastAsia="en-IE"/>
              </w:rPr>
              <w:footnoteReference w:id="36"/>
            </w:r>
            <w:r>
              <w:rPr>
                <w:rFonts w:ascii="Times New Roman" w:hAnsi="Times New Roman"/>
                <w:noProof/>
              </w:rPr>
              <w:t>, posebno u energetskim intenzivnim industrijama pri sklapanju dugoročnih ugovora o isporuci energije podupiranjem nacionalnih sustava i uvođenjem alata za smanjenje rizika. Komisija će:</w:t>
            </w:r>
          </w:p>
          <w:p w14:paraId="0E4E5D0A" w14:textId="77777777" w:rsidR="00E8217E" w:rsidRPr="00E91C04" w:rsidRDefault="00E8217E" w:rsidP="00E8217E">
            <w:pPr>
              <w:numPr>
                <w:ilvl w:val="0"/>
                <w:numId w:val="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s </w:t>
            </w:r>
            <w:r>
              <w:rPr>
                <w:rFonts w:ascii="Times New Roman" w:hAnsi="Times New Roman"/>
                <w:b/>
                <w:noProof/>
              </w:rPr>
              <w:t>Europskom investicijskom bankom (EIB)</w:t>
            </w:r>
            <w:r>
              <w:rPr>
                <w:rFonts w:ascii="Times New Roman" w:hAnsi="Times New Roman"/>
                <w:noProof/>
              </w:rPr>
              <w:t xml:space="preserve"> pokrenuti </w:t>
            </w:r>
            <w:r>
              <w:rPr>
                <w:rFonts w:ascii="Times New Roman" w:hAnsi="Times New Roman"/>
                <w:b/>
                <w:noProof/>
              </w:rPr>
              <w:t>pilot-program</w:t>
            </w:r>
            <w:r>
              <w:rPr>
                <w:rFonts w:ascii="Times New Roman" w:hAnsi="Times New Roman"/>
                <w:noProof/>
              </w:rPr>
              <w:t xml:space="preserve"> za stranke u ugovorima o kupnji električne energije koje su sklopila poduzeća za dugoročnu kupnju električne energije u okvirnom iznosu od 500 milijuna eura. U skladu s pristupom primijenjenim u modelu tržišta električne energije Komisija će surađivati s EIB-om kako bi se ugovori o kupnji energije, uključujući i prekogranične, promicali na tehnološki neutralan način. </w:t>
            </w:r>
          </w:p>
          <w:p w14:paraId="6F5412BC" w14:textId="77777777" w:rsidR="00E8217E" w:rsidRPr="00E91C04" w:rsidRDefault="00E8217E" w:rsidP="00E8217E">
            <w:pPr>
              <w:numPr>
                <w:ilvl w:val="0"/>
                <w:numId w:val="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pružiti </w:t>
            </w:r>
            <w:r>
              <w:rPr>
                <w:rFonts w:ascii="Times New Roman" w:hAnsi="Times New Roman"/>
                <w:b/>
                <w:noProof/>
              </w:rPr>
              <w:t>smjernice</w:t>
            </w:r>
            <w:r>
              <w:rPr>
                <w:rFonts w:ascii="Times New Roman" w:hAnsi="Times New Roman"/>
                <w:noProof/>
              </w:rPr>
              <w:t xml:space="preserve"> državama članicama o</w:t>
            </w:r>
            <w:r>
              <w:rPr>
                <w:rFonts w:ascii="Times New Roman" w:hAnsi="Times New Roman"/>
                <w:b/>
                <w:noProof/>
              </w:rPr>
              <w:t xml:space="preserve"> oblikovanju djelotvornih ugovora za kompenzaciju razlike</w:t>
            </w:r>
            <w:r>
              <w:rPr>
                <w:rFonts w:ascii="Times New Roman" w:hAnsi="Times New Roman"/>
                <w:noProof/>
              </w:rPr>
              <w:t>, uključujući kako ih kombinirati s ugovorima o kupnji energije;</w:t>
            </w:r>
          </w:p>
          <w:p w14:paraId="075FA8CB" w14:textId="77777777" w:rsidR="00E8217E" w:rsidRPr="00E91C04" w:rsidRDefault="00E8217E" w:rsidP="00E8217E">
            <w:pPr>
              <w:numPr>
                <w:ilvl w:val="0"/>
                <w:numId w:val="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donijeti </w:t>
            </w:r>
            <w:r>
              <w:rPr>
                <w:rFonts w:ascii="Times New Roman" w:hAnsi="Times New Roman"/>
                <w:b/>
                <w:noProof/>
              </w:rPr>
              <w:t>nova pravila</w:t>
            </w:r>
            <w:r>
              <w:rPr>
                <w:rFonts w:ascii="Times New Roman" w:hAnsi="Times New Roman"/>
                <w:noProof/>
              </w:rPr>
              <w:t xml:space="preserve"> za potporu daljnjem razvoju europskih dugoročnih tržišta i povećanje mogućnosti zaštite od rizika.</w:t>
            </w:r>
          </w:p>
        </w:tc>
      </w:tr>
      <w:tr w:rsidR="00E8217E" w:rsidRPr="00E91C04" w14:paraId="03B71EF7"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EE1A56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1927725"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Uklanjanje regulatornih prepreka treba početi odmah. </w:t>
            </w:r>
          </w:p>
          <w:p w14:paraId="7AF1986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Drugo tromjesečje 2025.</w:t>
            </w:r>
            <w:r>
              <w:rPr>
                <w:rFonts w:ascii="Times New Roman" w:hAnsi="Times New Roman"/>
                <w:noProof/>
              </w:rPr>
              <w:t>: koordinacija s EIB-om</w:t>
            </w:r>
          </w:p>
          <w:p w14:paraId="2170E96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Do četvrtog tromjesečja 2025.</w:t>
            </w:r>
            <w:r>
              <w:rPr>
                <w:rFonts w:ascii="Times New Roman" w:hAnsi="Times New Roman"/>
                <w:noProof/>
              </w:rPr>
              <w:t>: smjernice za države članice o oblikovanju ugovora za kompenzaciju razlike</w:t>
            </w:r>
          </w:p>
        </w:tc>
      </w:tr>
      <w:tr w:rsidR="00E8217E" w:rsidRPr="00E91C04" w14:paraId="2B0D16B0"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32B979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A6335A0"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Stabilnije cijene za kupce tako što će se pomoći europskim poduzećima da se nose s nestabilnošću troškova energije i da dobiju pristup boljim prekograničnim mogućnostima zaštite od rizika. Dugoročnim ugovorima proizvođačima energije iz obnovljivih izvora osigurat će se i zajamčeni prihodi potrebni za smanjenje troškova kapitala, čime će se smanjiti pritisak na potrošače i porezne obveznike.</w:t>
            </w:r>
            <w:r w:rsidRPr="00E91C04">
              <w:rPr>
                <w:rFonts w:ascii="Times New Roman" w:eastAsia="Times New Roman" w:hAnsi="Times New Roman" w:cs="Times New Roman"/>
                <w:noProof/>
                <w:vertAlign w:val="superscript"/>
                <w:lang w:val="en-GB" w:eastAsia="en-IE"/>
              </w:rPr>
              <w:footnoteReference w:id="37"/>
            </w:r>
          </w:p>
        </w:tc>
      </w:tr>
    </w:tbl>
    <w:p w14:paraId="302C366E" w14:textId="77777777" w:rsidR="00E8217E" w:rsidRPr="00E91C04" w:rsidRDefault="00E8217E" w:rsidP="00E8217E">
      <w:pPr>
        <w:keepNext/>
        <w:numPr>
          <w:ilvl w:val="0"/>
          <w:numId w:val="5"/>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bookmarkStart w:id="55" w:name="_Hlk189935356"/>
      <w:r>
        <w:rPr>
          <w:rFonts w:ascii="Times New Roman" w:hAnsi="Times New Roman"/>
          <w:i/>
          <w:noProof/>
          <w:sz w:val="24"/>
        </w:rPr>
        <w:t>Kraće vrijeme za izdavanje dozvola za novu infrastrukturu za opskrbu čistom energijom i energetsku infrastrukturu</w:t>
      </w:r>
    </w:p>
    <w:p w14:paraId="2B30E14B"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Obnovljivi izvori</w:t>
      </w:r>
      <w:r>
        <w:rPr>
          <w:rFonts w:ascii="Times New Roman" w:hAnsi="Times New Roman"/>
          <w:noProof/>
          <w:sz w:val="24"/>
        </w:rPr>
        <w:t xml:space="preserve"> sada su glavni izbor za novu proizvodnju energije s </w:t>
      </w:r>
      <w:r>
        <w:rPr>
          <w:rFonts w:ascii="Times New Roman" w:hAnsi="Times New Roman"/>
          <w:b/>
          <w:noProof/>
          <w:sz w:val="24"/>
        </w:rPr>
        <w:t>najnižim troškovima</w:t>
      </w:r>
      <w:r w:rsidRPr="00E91C04">
        <w:rPr>
          <w:rFonts w:ascii="Times New Roman" w:eastAsia="Yu Gothic Light" w:hAnsi="Times New Roman" w:cs="Times New Roman"/>
          <w:noProof/>
          <w:kern w:val="0"/>
          <w:sz w:val="24"/>
          <w:szCs w:val="24"/>
          <w:vertAlign w:val="superscript"/>
          <w:lang w:val="en-GB" w:eastAsia="en-IE"/>
        </w:rPr>
        <w:footnoteReference w:id="38"/>
      </w:r>
      <w:r w:rsidRPr="00E91C04">
        <w:rPr>
          <w:rFonts w:ascii="Times New Roman" w:eastAsia="Times New Roman" w:hAnsi="Times New Roman" w:cs="Times New Roman"/>
          <w:bCs/>
          <w:noProof/>
          <w:kern w:val="0"/>
          <w:sz w:val="24"/>
          <w:szCs w:val="24"/>
          <w:vertAlign w:val="superscript"/>
          <w:lang w:val="en-GB" w:eastAsia="en-IE"/>
        </w:rPr>
        <w:footnoteReference w:id="39"/>
      </w:r>
      <w:r>
        <w:rPr>
          <w:rFonts w:ascii="Times New Roman" w:hAnsi="Times New Roman"/>
          <w:noProof/>
          <w:sz w:val="24"/>
        </w:rPr>
        <w:t>. Međutim, rokovi za nove projekte mogu biti između sedam i deset godina za projekte energije vjetra, osam do deset godina za projekte distribucijske mreže</w:t>
      </w:r>
      <w:r w:rsidRPr="00E91C04">
        <w:rPr>
          <w:rFonts w:ascii="Times New Roman" w:eastAsia="Times New Roman" w:hAnsi="Times New Roman" w:cs="Times New Roman"/>
          <w:noProof/>
          <w:kern w:val="0"/>
          <w:sz w:val="24"/>
          <w:szCs w:val="24"/>
          <w:vertAlign w:val="superscript"/>
          <w:lang w:val="en-GB" w:eastAsia="en-IE"/>
        </w:rPr>
        <w:footnoteReference w:id="40"/>
      </w:r>
      <w:r>
        <w:rPr>
          <w:rFonts w:ascii="Times New Roman" w:hAnsi="Times New Roman"/>
          <w:noProof/>
          <w:sz w:val="24"/>
        </w:rPr>
        <w:t>, a ponekad čak i do 17 godina za projekte prijenosne mreže</w:t>
      </w:r>
      <w:r w:rsidRPr="00E91C04">
        <w:rPr>
          <w:rFonts w:ascii="Times New Roman" w:eastAsia="Times New Roman" w:hAnsi="Times New Roman" w:cs="Times New Roman"/>
          <w:noProof/>
          <w:kern w:val="0"/>
          <w:sz w:val="24"/>
          <w:szCs w:val="24"/>
          <w:vertAlign w:val="superscript"/>
          <w:lang w:val="en-GB" w:eastAsia="en-IE"/>
        </w:rPr>
        <w:footnoteReference w:id="41"/>
      </w:r>
      <w:r>
        <w:rPr>
          <w:rFonts w:ascii="Times New Roman" w:hAnsi="Times New Roman"/>
          <w:noProof/>
          <w:sz w:val="24"/>
        </w:rPr>
        <w:t xml:space="preserve">. To ozbiljno otežava široko uvođenje energije iz obnovljivih izvora i može utjecati na ekonomski model projekata. </w:t>
      </w:r>
    </w:p>
    <w:p w14:paraId="0D3FD117" w14:textId="77777777" w:rsidR="00E8217E" w:rsidRPr="0085545F" w:rsidRDefault="00E8217E" w:rsidP="00E8217E">
      <w:pPr>
        <w:spacing w:before="240" w:after="240" w:line="240" w:lineRule="auto"/>
        <w:jc w:val="both"/>
        <w:rPr>
          <w:rFonts w:ascii="Times New Roman" w:eastAsia="Times New Roman" w:hAnsi="Times New Roman" w:cs="Times New Roman"/>
          <w:b/>
          <w:noProof/>
          <w:kern w:val="0"/>
          <w:sz w:val="24"/>
          <w:szCs w:val="24"/>
          <w14:ligatures w14:val="none"/>
        </w:rPr>
      </w:pPr>
      <w:r>
        <w:rPr>
          <w:rFonts w:ascii="Times New Roman" w:hAnsi="Times New Roman"/>
          <w:b/>
          <w:noProof/>
          <w:sz w:val="24"/>
        </w:rPr>
        <w:t>Na svim razinama</w:t>
      </w:r>
      <w:r>
        <w:rPr>
          <w:rFonts w:ascii="Times New Roman" w:hAnsi="Times New Roman"/>
          <w:noProof/>
          <w:sz w:val="24"/>
        </w:rPr>
        <w:t xml:space="preserve"> – na razini EU-a te na nacionalnoj, regionalnoj i lokalnoj razini – </w:t>
      </w:r>
      <w:r>
        <w:rPr>
          <w:rFonts w:ascii="Times New Roman" w:hAnsi="Times New Roman"/>
          <w:b/>
          <w:noProof/>
          <w:sz w:val="24"/>
        </w:rPr>
        <w:t>nadležna tijela moraju uložiti znatno više truda kako bi se ubrzali postupci izdavanja dozvola</w:t>
      </w:r>
      <w:r>
        <w:rPr>
          <w:rFonts w:ascii="Times New Roman" w:hAnsi="Times New Roman"/>
          <w:noProof/>
          <w:sz w:val="24"/>
        </w:rPr>
        <w:t xml:space="preserve"> za projekte povezane s mrežom, skladištenjem i čistom energijom, kako je navedeno u Draghijevu izvješću.</w:t>
      </w:r>
      <w:r>
        <w:rPr>
          <w:rFonts w:ascii="Times New Roman" w:hAnsi="Times New Roman"/>
          <w:b/>
          <w:noProof/>
          <w:sz w:val="24"/>
        </w:rPr>
        <w:t xml:space="preserve"> </w:t>
      </w:r>
      <w:r>
        <w:rPr>
          <w:rFonts w:ascii="Times New Roman" w:hAnsi="Times New Roman"/>
          <w:noProof/>
          <w:sz w:val="24"/>
        </w:rPr>
        <w:t xml:space="preserve">To uključuje izdavanje dozvola za infrastrukturu koja može povećati fleksibilnost elektroenergetskog sustava, na primjer mjesta za punjenje električnih vozila. Komisija poziva </w:t>
      </w:r>
      <w:r>
        <w:rPr>
          <w:rFonts w:ascii="Times New Roman" w:hAnsi="Times New Roman"/>
          <w:b/>
          <w:noProof/>
          <w:sz w:val="24"/>
        </w:rPr>
        <w:t>države članice da brzo provedu</w:t>
      </w:r>
      <w:r>
        <w:rPr>
          <w:rFonts w:ascii="Times New Roman" w:hAnsi="Times New Roman"/>
          <w:noProof/>
          <w:sz w:val="24"/>
        </w:rPr>
        <w:t xml:space="preserve"> nedavno doneseni zakonodavni okvir za izdavanje dozvola za projekte čiste energije</w:t>
      </w:r>
      <w:r w:rsidRPr="00E91C04">
        <w:rPr>
          <w:rFonts w:ascii="Times New Roman" w:eastAsia="Times New Roman" w:hAnsi="Times New Roman" w:cs="Times New Roman"/>
          <w:noProof/>
          <w:kern w:val="0"/>
          <w:sz w:val="24"/>
          <w:szCs w:val="24"/>
          <w:vertAlign w:val="superscript"/>
          <w:lang w:val="en-GB" w:eastAsia="en-IE"/>
        </w:rPr>
        <w:footnoteReference w:id="42"/>
      </w:r>
      <w:r>
        <w:rPr>
          <w:rFonts w:ascii="Times New Roman" w:hAnsi="Times New Roman"/>
          <w:noProof/>
          <w:sz w:val="24"/>
        </w:rPr>
        <w:t xml:space="preserve">. </w:t>
      </w:r>
      <w:r>
        <w:rPr>
          <w:rFonts w:ascii="Times New Roman" w:hAnsi="Times New Roman"/>
          <w:b/>
          <w:noProof/>
          <w:sz w:val="24"/>
        </w:rPr>
        <w:t>Učinak nedavnih reformi izdavanja dozvola već je vidljiv</w:t>
      </w:r>
      <w:r>
        <w:rPr>
          <w:rFonts w:ascii="Times New Roman" w:hAnsi="Times New Roman"/>
          <w:noProof/>
          <w:sz w:val="24"/>
        </w:rPr>
        <w:t xml:space="preserve"> u državama članicama koje su u velikoj mjeri primjenjivale krizne propise. Na primjer, zahvaljujući bržem izdavanju dozvola tijekom energetske krize u Njemačkoj, </w:t>
      </w:r>
      <w:r>
        <w:rPr>
          <w:rFonts w:ascii="Times New Roman" w:hAnsi="Times New Roman"/>
          <w:b/>
          <w:noProof/>
          <w:sz w:val="24"/>
        </w:rPr>
        <w:t xml:space="preserve">broj dozvola za nove projekte u području energije vjetra </w:t>
      </w:r>
      <w:r>
        <w:rPr>
          <w:rFonts w:ascii="Times New Roman" w:hAnsi="Times New Roman"/>
          <w:noProof/>
          <w:sz w:val="24"/>
        </w:rPr>
        <w:t xml:space="preserve">na kopnu od 2022. više se nego </w:t>
      </w:r>
      <w:r>
        <w:rPr>
          <w:rFonts w:ascii="Times New Roman" w:hAnsi="Times New Roman"/>
          <w:b/>
          <w:noProof/>
          <w:sz w:val="24"/>
        </w:rPr>
        <w:t>utrostručio</w:t>
      </w:r>
      <w:r>
        <w:rPr>
          <w:rFonts w:ascii="Times New Roman" w:hAnsi="Times New Roman"/>
          <w:noProof/>
          <w:sz w:val="24"/>
        </w:rPr>
        <w:t xml:space="preserve">, čime se </w:t>
      </w:r>
      <w:r>
        <w:rPr>
          <w:rFonts w:ascii="Times New Roman" w:hAnsi="Times New Roman"/>
          <w:b/>
          <w:noProof/>
          <w:sz w:val="24"/>
        </w:rPr>
        <w:t>broj postrojenja povećao za 48 % u jednoj godini</w:t>
      </w:r>
      <w:r>
        <w:rPr>
          <w:rFonts w:ascii="Times New Roman" w:hAnsi="Times New Roman"/>
          <w:noProof/>
          <w:sz w:val="24"/>
        </w:rPr>
        <w:t xml:space="preserve"> (2023.)</w:t>
      </w:r>
      <w:r w:rsidRPr="00E91C04">
        <w:rPr>
          <w:rFonts w:ascii="Times New Roman" w:eastAsia="Times New Roman" w:hAnsi="Times New Roman" w:cs="Times New Roman"/>
          <w:noProof/>
          <w:color w:val="000000"/>
          <w:kern w:val="0"/>
          <w:sz w:val="24"/>
          <w:szCs w:val="24"/>
          <w:vertAlign w:val="superscript"/>
          <w:lang w:val="en-GB" w:eastAsia="en-IE"/>
        </w:rPr>
        <w:footnoteReference w:id="43"/>
      </w:r>
      <w:r>
        <w:rPr>
          <w:rFonts w:ascii="Times New Roman" w:hAnsi="Times New Roman"/>
          <w:noProof/>
          <w:sz w:val="24"/>
        </w:rPr>
        <w:t xml:space="preserve">, a od drugog tromjesečja 2023. </w:t>
      </w:r>
      <w:r>
        <w:rPr>
          <w:rFonts w:ascii="Times New Roman" w:hAnsi="Times New Roman"/>
          <w:b/>
          <w:noProof/>
          <w:sz w:val="24"/>
        </w:rPr>
        <w:t>odobreno je oko 3 300 km prijenosnih mreža</w:t>
      </w:r>
      <w:r>
        <w:rPr>
          <w:rFonts w:ascii="Times New Roman" w:hAnsi="Times New Roman"/>
          <w:noProof/>
          <w:sz w:val="24"/>
        </w:rPr>
        <w:t xml:space="preserve"> te se vrijeme za izdavanje dozvola </w:t>
      </w:r>
      <w:r>
        <w:rPr>
          <w:rFonts w:ascii="Times New Roman" w:hAnsi="Times New Roman"/>
          <w:b/>
          <w:noProof/>
          <w:sz w:val="24"/>
        </w:rPr>
        <w:t>smanjilo za 1-3 godine</w:t>
      </w:r>
      <w:r>
        <w:rPr>
          <w:rFonts w:ascii="Times New Roman" w:hAnsi="Times New Roman"/>
          <w:noProof/>
          <w:sz w:val="24"/>
        </w:rPr>
        <w:t xml:space="preserve">. </w:t>
      </w:r>
    </w:p>
    <w:p w14:paraId="644526D6"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Osim toga, velik dio vremena potrebnog za izdavanje dozvola za ulaganja u čistu energiju, skladištenje i mreže odlazi na procjene utjecaja na okoliš.</w:t>
      </w:r>
      <w:r>
        <w:rPr>
          <w:rFonts w:ascii="Times New Roman" w:hAnsi="Times New Roman"/>
          <w:b/>
          <w:noProof/>
          <w:sz w:val="24"/>
        </w:rPr>
        <w:t xml:space="preserve"> Potrebno je ciljano ažurirati zakonodavni okvir o procjenama utjecaja na okoliš</w:t>
      </w:r>
      <w:r>
        <w:rPr>
          <w:rFonts w:ascii="Times New Roman" w:hAnsi="Times New Roman"/>
          <w:noProof/>
          <w:sz w:val="24"/>
        </w:rPr>
        <w:t xml:space="preserve"> kako bi se znatno pojednostavnili i skratili postupci izdavanja dozvola za takve projekte, uz </w:t>
      </w:r>
      <w:r>
        <w:rPr>
          <w:rFonts w:ascii="Times New Roman" w:hAnsi="Times New Roman"/>
          <w:b/>
          <w:noProof/>
          <w:sz w:val="24"/>
        </w:rPr>
        <w:t>istodobno zadržavanje mjera zaštite okoliša i zaštitu zdravlja ljudi.</w:t>
      </w:r>
      <w:r>
        <w:rPr>
          <w:rFonts w:ascii="Times New Roman" w:hAnsi="Times New Roman"/>
          <w:noProof/>
          <w:sz w:val="24"/>
        </w:rPr>
        <w:t xml:space="preserve"> Za smanjenje troškova energije ključni su i </w:t>
      </w:r>
      <w:r>
        <w:rPr>
          <w:rFonts w:ascii="Times New Roman" w:hAnsi="Times New Roman"/>
          <w:b/>
          <w:noProof/>
          <w:sz w:val="24"/>
        </w:rPr>
        <w:t>kraći rokovi za izdavanje dozvola za energetsku infrastrukturu na nacionalnoj razini</w:t>
      </w:r>
      <w:r>
        <w:rPr>
          <w:rFonts w:ascii="Times New Roman" w:hAnsi="Times New Roman"/>
          <w:noProof/>
          <w:sz w:val="24"/>
        </w:rPr>
        <w:t>. To se može ubrzati mjerama kao što su prešutna odobrenja za određene administrativne odluke u postupku izdavanja dozvola ako to načelo postoji u nacionalnom pravnom sustavu i uvođenjem jedinstvene kontaktne točke za ulagače.</w:t>
      </w:r>
    </w:p>
    <w:p w14:paraId="4BEFC485"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U Draghijevu izvješću zaključuje se i da je potrebno staviti veći naglasak na digitalizaciju nacionalnih postupaka izdavanja dozvola u cijelom EU-u i riješiti problem nedostatka resursa tijela za izdavanje dozvola. </w:t>
      </w:r>
      <w:r>
        <w:rPr>
          <w:rFonts w:ascii="Times New Roman" w:hAnsi="Times New Roman"/>
          <w:b/>
          <w:noProof/>
          <w:sz w:val="24"/>
        </w:rPr>
        <w:t>Postupak</w:t>
      </w:r>
      <w:r>
        <w:rPr>
          <w:rFonts w:ascii="Times New Roman" w:hAnsi="Times New Roman"/>
          <w:noProof/>
          <w:sz w:val="24"/>
        </w:rPr>
        <w:t xml:space="preserve"> izdavanja dozvola te okolišni i geološki podaci potrebni za ulaganja u čistu energiju morat će se </w:t>
      </w:r>
      <w:r>
        <w:rPr>
          <w:rFonts w:ascii="Times New Roman" w:hAnsi="Times New Roman"/>
          <w:b/>
          <w:noProof/>
          <w:sz w:val="24"/>
        </w:rPr>
        <w:t>digitalizirati</w:t>
      </w:r>
      <w:r>
        <w:rPr>
          <w:rFonts w:ascii="Times New Roman" w:hAnsi="Times New Roman"/>
          <w:noProof/>
          <w:sz w:val="24"/>
        </w:rPr>
        <w:t>.</w:t>
      </w:r>
      <w:r>
        <w:rPr>
          <w:rFonts w:ascii="Times New Roman" w:hAnsi="Times New Roman"/>
          <w:b/>
          <w:noProof/>
          <w:sz w:val="24"/>
        </w:rPr>
        <w:t xml:space="preserve"> Nadalje, detaljniji podaci </w:t>
      </w:r>
      <w:r>
        <w:rPr>
          <w:rFonts w:ascii="Times New Roman" w:hAnsi="Times New Roman"/>
          <w:noProof/>
          <w:sz w:val="24"/>
        </w:rPr>
        <w:t>o potencijalu resursa za energiju vjetra i solarnu energiju u cijelom EU-u pomoći će državama članicama u mapiranju područja potrebnih za postizanje njihovih nacionalnih ciljeva, kao i u određivanju</w:t>
      </w:r>
      <w:r>
        <w:rPr>
          <w:rFonts w:ascii="Times New Roman" w:hAnsi="Times New Roman"/>
          <w:b/>
          <w:noProof/>
          <w:sz w:val="24"/>
        </w:rPr>
        <w:t xml:space="preserve"> područja za brži razvoj obnovljivih izvora energije</w:t>
      </w:r>
      <w:r>
        <w:rPr>
          <w:rFonts w:ascii="Times New Roman" w:hAnsi="Times New Roman"/>
          <w:noProof/>
          <w:sz w:val="24"/>
        </w:rPr>
        <w:t xml:space="preserve">, kako je predviđeno Direktivom o energiji iz obnovljivih izvora. </w:t>
      </w:r>
      <w:r>
        <w:rPr>
          <w:rFonts w:ascii="Times New Roman" w:hAnsi="Times New Roman"/>
          <w:b/>
          <w:noProof/>
          <w:sz w:val="24"/>
        </w:rPr>
        <w:t>Pojednostavnjeno izdavanje dozvola obuhvatit će hibridne energetske projekte</w:t>
      </w:r>
      <w:r>
        <w:rPr>
          <w:rFonts w:ascii="Times New Roman" w:hAnsi="Times New Roman"/>
          <w:noProof/>
          <w:sz w:val="24"/>
        </w:rPr>
        <w:t xml:space="preserve"> s nekoliko tehnologija, kao što su proizvodnja i skladištenje energije iz obnovljivih izvora, koji koriste isti priključak na mrežu. Naposljetku, Komisija će procijeniti mogućnost pojednostavnjenja postojećih praksi izdavanja dozvola i licenciranja za uvođenje novih tehnologija nuklearne energije kao što su </w:t>
      </w:r>
      <w:r>
        <w:rPr>
          <w:rFonts w:ascii="Times New Roman" w:hAnsi="Times New Roman"/>
          <w:b/>
          <w:noProof/>
          <w:sz w:val="24"/>
        </w:rPr>
        <w:t>mali modularni reaktori</w:t>
      </w:r>
      <w:r>
        <w:rPr>
          <w:rFonts w:ascii="Times New Roman" w:hAnsi="Times New Roman"/>
          <w:noProof/>
          <w:sz w:val="24"/>
        </w:rPr>
        <w:t>.</w:t>
      </w:r>
    </w:p>
    <w:tbl>
      <w:tblPr>
        <w:tblStyle w:val="TableGrid"/>
        <w:tblW w:w="0" w:type="auto"/>
        <w:tblCellMar>
          <w:top w:w="28" w:type="dxa"/>
          <w:bottom w:w="28" w:type="dxa"/>
        </w:tblCellMar>
        <w:tblLook w:val="04A0" w:firstRow="1" w:lastRow="0" w:firstColumn="1" w:lastColumn="0" w:noHBand="0" w:noVBand="1"/>
      </w:tblPr>
      <w:tblGrid>
        <w:gridCol w:w="1266"/>
        <w:gridCol w:w="7976"/>
      </w:tblGrid>
      <w:tr w:rsidR="00E8217E" w:rsidRPr="00E91C04" w14:paraId="6E2D011D" w14:textId="77777777" w:rsidTr="0085545F">
        <w:trPr>
          <w:cantSplit/>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85307EB"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463A7E6"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6" w:name="_Ref189735278"/>
            <w:r>
              <w:rPr>
                <w:rFonts w:ascii="Times New Roman" w:hAnsi="Times New Roman"/>
                <w:b/>
                <w:noProof/>
              </w:rPr>
              <w:t>Brže izdavanje dozvola za bržu energetsku tranziciju</w:t>
            </w:r>
            <w:bookmarkEnd w:id="56"/>
            <w:r>
              <w:rPr>
                <w:rFonts w:ascii="Times New Roman" w:hAnsi="Times New Roman"/>
                <w:b/>
                <w:noProof/>
              </w:rPr>
              <w:t xml:space="preserve"> </w:t>
            </w:r>
          </w:p>
        </w:tc>
      </w:tr>
      <w:tr w:rsidR="00E8217E" w:rsidRPr="00E91C04" w14:paraId="7679FA30" w14:textId="77777777" w:rsidTr="0085545F">
        <w:trPr>
          <w:cantSplit/>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F909837" w14:textId="77777777" w:rsidR="00E8217E" w:rsidRPr="00E91C04" w:rsidRDefault="00E8217E" w:rsidP="00E8217E">
            <w:pPr>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92C585C"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Države članice trebale bi:</w:t>
            </w:r>
          </w:p>
          <w:p w14:paraId="3546AE38" w14:textId="77777777" w:rsidR="00E8217E" w:rsidRPr="00E91C04" w:rsidRDefault="00E8217E" w:rsidP="0085545F">
            <w:pPr>
              <w:numPr>
                <w:ilvl w:val="0"/>
                <w:numId w:val="13"/>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b/>
                <w:noProof/>
              </w:rPr>
              <w:t>ubrzati postupke izdavanja dozvola i regulatorne postupke</w:t>
            </w:r>
            <w:r>
              <w:rPr>
                <w:rFonts w:ascii="Times New Roman" w:hAnsi="Times New Roman"/>
                <w:noProof/>
              </w:rPr>
              <w:t xml:space="preserve"> brzim prenošenjem i implementacijom zakonodavstva;</w:t>
            </w:r>
          </w:p>
          <w:p w14:paraId="73966A4A" w14:textId="77777777" w:rsidR="00E8217E" w:rsidRPr="00E91C04" w:rsidRDefault="00E8217E" w:rsidP="00E8217E">
            <w:pPr>
              <w:numPr>
                <w:ilvl w:val="0"/>
                <w:numId w:val="13"/>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ojačati nacionalna tijela za izdavanje dozvola</w:t>
            </w:r>
            <w:r>
              <w:rPr>
                <w:rFonts w:ascii="Times New Roman" w:hAnsi="Times New Roman"/>
                <w:noProof/>
              </w:rPr>
              <w:t>, među ostalim javnim sredstvima i dostatnim ljudskim kapitalom, te istražiti jedinstvene pristupe za digitalizaciju izdavanja dozvola i procjena utjecaja na okoliš.</w:t>
            </w:r>
          </w:p>
          <w:p w14:paraId="6C7891D1"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Europska komisija pomoći će državama članicama tako što će: </w:t>
            </w:r>
          </w:p>
          <w:p w14:paraId="687EDF5B" w14:textId="77777777" w:rsidR="00E8217E" w:rsidRPr="00E91C04" w:rsidRDefault="00E8217E" w:rsidP="0085545F">
            <w:pPr>
              <w:numPr>
                <w:ilvl w:val="0"/>
                <w:numId w:val="8"/>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noProof/>
              </w:rPr>
              <w:t xml:space="preserve">izraditi namjenske </w:t>
            </w:r>
            <w:r>
              <w:rPr>
                <w:rFonts w:ascii="Times New Roman" w:hAnsi="Times New Roman"/>
                <w:b/>
                <w:noProof/>
              </w:rPr>
              <w:t xml:space="preserve">smjernice </w:t>
            </w:r>
            <w:r>
              <w:rPr>
                <w:rFonts w:ascii="Times New Roman" w:hAnsi="Times New Roman"/>
                <w:noProof/>
              </w:rPr>
              <w:t>na temu uvođenja</w:t>
            </w:r>
            <w:r>
              <w:rPr>
                <w:rFonts w:ascii="Times New Roman" w:hAnsi="Times New Roman"/>
                <w:b/>
                <w:noProof/>
              </w:rPr>
              <w:t xml:space="preserve"> inovativnih oblika obnovljivih izvora energije</w:t>
            </w:r>
            <w:r w:rsidRPr="00E91C04">
              <w:rPr>
                <w:rFonts w:ascii="Times New Roman" w:eastAsia="Times New Roman" w:hAnsi="Times New Roman" w:cs="Times New Roman"/>
                <w:noProof/>
                <w:vertAlign w:val="superscript"/>
                <w:lang w:val="en-GB" w:eastAsia="en-IE"/>
              </w:rPr>
              <w:footnoteReference w:id="44"/>
            </w:r>
            <w:r>
              <w:rPr>
                <w:rFonts w:ascii="Times New Roman" w:hAnsi="Times New Roman"/>
                <w:noProof/>
              </w:rPr>
              <w:t xml:space="preserve"> te na temu </w:t>
            </w:r>
            <w:r>
              <w:rPr>
                <w:rFonts w:ascii="Times New Roman" w:hAnsi="Times New Roman"/>
                <w:b/>
                <w:noProof/>
              </w:rPr>
              <w:t>namjenskih mrežnih i skladišnih područja</w:t>
            </w:r>
            <w:r>
              <w:rPr>
                <w:rFonts w:ascii="Times New Roman" w:hAnsi="Times New Roman"/>
                <w:noProof/>
              </w:rPr>
              <w:t xml:space="preserve">; </w:t>
            </w:r>
          </w:p>
          <w:p w14:paraId="664B9D91"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uvesti namjenske potpore provedbi </w:t>
            </w:r>
            <w:r>
              <w:rPr>
                <w:rFonts w:ascii="Times New Roman" w:hAnsi="Times New Roman"/>
                <w:b/>
                <w:noProof/>
              </w:rPr>
              <w:t>proširenjem provedbenog plana Accele-RES</w:t>
            </w:r>
            <w:r>
              <w:rPr>
                <w:rFonts w:ascii="Times New Roman" w:hAnsi="Times New Roman"/>
                <w:noProof/>
              </w:rPr>
              <w:t xml:space="preserve"> i među ostalim, maksimalno iskoristiti potencijal </w:t>
            </w:r>
            <w:r>
              <w:rPr>
                <w:rFonts w:ascii="Times New Roman" w:hAnsi="Times New Roman"/>
                <w:b/>
                <w:noProof/>
              </w:rPr>
              <w:t>stručne skupine za izdavanje dozvola</w:t>
            </w:r>
            <w:r>
              <w:rPr>
                <w:rFonts w:ascii="Times New Roman" w:hAnsi="Times New Roman"/>
                <w:noProof/>
              </w:rPr>
              <w:t xml:space="preserve"> i usklađenog djelovanja (</w:t>
            </w:r>
            <w:r>
              <w:rPr>
                <w:rFonts w:ascii="Times New Roman" w:hAnsi="Times New Roman"/>
                <w:b/>
                <w:noProof/>
              </w:rPr>
              <w:t>CA-RES</w:t>
            </w:r>
            <w:r>
              <w:rPr>
                <w:rFonts w:ascii="Times New Roman" w:hAnsi="Times New Roman"/>
                <w:noProof/>
              </w:rPr>
              <w:t>);</w:t>
            </w:r>
            <w:r w:rsidRPr="00E91C04">
              <w:rPr>
                <w:rFonts w:ascii="Times New Roman" w:eastAsia="Times New Roman" w:hAnsi="Times New Roman" w:cs="Times New Roman"/>
                <w:noProof/>
                <w:vertAlign w:val="superscript"/>
                <w:lang w:val="en-GB" w:eastAsia="en-IE"/>
              </w:rPr>
              <w:footnoteReference w:id="45"/>
            </w:r>
            <w:r>
              <w:rPr>
                <w:rFonts w:ascii="Times New Roman" w:hAnsi="Times New Roman"/>
                <w:noProof/>
              </w:rPr>
              <w:t xml:space="preserve"> to će se dopuniti </w:t>
            </w:r>
            <w:r>
              <w:rPr>
                <w:rFonts w:ascii="Times New Roman" w:hAnsi="Times New Roman"/>
                <w:b/>
                <w:noProof/>
              </w:rPr>
              <w:t xml:space="preserve">dijalogom o provedbi </w:t>
            </w:r>
            <w:r>
              <w:rPr>
                <w:rFonts w:ascii="Times New Roman" w:hAnsi="Times New Roman"/>
                <w:noProof/>
              </w:rPr>
              <w:t>kako bi se utvrdile preostale prepreke izdavanju dozvola i mogući daljnji koraci;</w:t>
            </w:r>
          </w:p>
          <w:p w14:paraId="7DE8B903"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b/>
                <w:bCs/>
                <w:noProof/>
                <w14:ligatures w14:val="none"/>
              </w:rPr>
            </w:pPr>
            <w:r>
              <w:rPr>
                <w:rFonts w:ascii="Times New Roman" w:hAnsi="Times New Roman"/>
                <w:noProof/>
              </w:rPr>
              <w:t xml:space="preserve">intenzivirati razmjenu </w:t>
            </w:r>
            <w:r>
              <w:rPr>
                <w:rFonts w:ascii="Times New Roman" w:hAnsi="Times New Roman"/>
                <w:b/>
                <w:noProof/>
              </w:rPr>
              <w:t>najboljih praksi</w:t>
            </w:r>
            <w:r>
              <w:rPr>
                <w:rFonts w:ascii="Times New Roman" w:hAnsi="Times New Roman"/>
                <w:noProof/>
              </w:rPr>
              <w:t xml:space="preserve"> i </w:t>
            </w:r>
            <w:r>
              <w:rPr>
                <w:rFonts w:ascii="Times New Roman" w:hAnsi="Times New Roman"/>
                <w:b/>
                <w:noProof/>
              </w:rPr>
              <w:t>utvrđivanje prepreka</w:t>
            </w:r>
            <w:r>
              <w:rPr>
                <w:rFonts w:ascii="Times New Roman" w:hAnsi="Times New Roman"/>
                <w:noProof/>
              </w:rPr>
              <w:t xml:space="preserve"> i rješenja putem mreža i stručnih skupina </w:t>
            </w:r>
            <w:r>
              <w:rPr>
                <w:rFonts w:ascii="Times New Roman" w:hAnsi="Times New Roman"/>
                <w:b/>
                <w:noProof/>
              </w:rPr>
              <w:t>nacionalnih tijela nadležnih za izdavanje dozvola</w:t>
            </w:r>
            <w:r>
              <w:rPr>
                <w:rFonts w:ascii="Times New Roman" w:hAnsi="Times New Roman"/>
                <w:noProof/>
              </w:rPr>
              <w:t xml:space="preserve"> i dijaloga s regionalnim, nacionalnim i lokalnim dionicima;</w:t>
            </w:r>
          </w:p>
          <w:p w14:paraId="640E9329"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proširiti </w:t>
            </w:r>
            <w:r>
              <w:rPr>
                <w:rFonts w:ascii="Times New Roman" w:hAnsi="Times New Roman"/>
                <w:b/>
                <w:noProof/>
              </w:rPr>
              <w:t>internetski alat sa smjernicama</w:t>
            </w:r>
            <w:r>
              <w:rPr>
                <w:rFonts w:ascii="Times New Roman" w:hAnsi="Times New Roman"/>
                <w:noProof/>
              </w:rPr>
              <w:t xml:space="preserve"> o izdavanju dozvola za države članice;</w:t>
            </w:r>
            <w:r>
              <w:rPr>
                <w:rFonts w:ascii="Times New Roman" w:hAnsi="Times New Roman"/>
                <w:noProof/>
                <w:vertAlign w:val="superscript"/>
              </w:rPr>
              <w:t xml:space="preserve"> </w:t>
            </w:r>
            <w:r w:rsidRPr="00E91C04">
              <w:rPr>
                <w:rFonts w:ascii="Times New Roman" w:eastAsia="Times New Roman" w:hAnsi="Times New Roman" w:cs="Times New Roman"/>
                <w:noProof/>
                <w:vertAlign w:val="superscript"/>
                <w:lang w:val="en-GB" w:eastAsia="en-IE"/>
              </w:rPr>
              <w:footnoteReference w:id="46"/>
            </w:r>
          </w:p>
          <w:p w14:paraId="1E307B77"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pružati potporu iz </w:t>
            </w:r>
            <w:r>
              <w:rPr>
                <w:rFonts w:ascii="Times New Roman" w:hAnsi="Times New Roman"/>
                <w:b/>
                <w:noProof/>
              </w:rPr>
              <w:t>Instrumenta za tehničku potporu</w:t>
            </w:r>
            <w:r w:rsidRPr="00E91C04">
              <w:rPr>
                <w:rFonts w:ascii="Times New Roman" w:eastAsia="Times New Roman" w:hAnsi="Times New Roman" w:cs="Times New Roman"/>
                <w:noProof/>
                <w:vertAlign w:val="superscript"/>
                <w:lang w:val="en-GB" w:eastAsia="en-IE"/>
              </w:rPr>
              <w:footnoteReference w:id="47"/>
            </w:r>
            <w:r>
              <w:rPr>
                <w:rFonts w:ascii="Times New Roman" w:hAnsi="Times New Roman"/>
                <w:noProof/>
              </w:rPr>
              <w:t xml:space="preserve">, informirati države članice o pozivu na podnošenje prijedloga za 2025. i pokrenuti novu vodeću inicijativu Instrumenta za tehničku potporu u 2026. </w:t>
            </w:r>
          </w:p>
          <w:p w14:paraId="44FD4977"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Komisija će:</w:t>
            </w:r>
          </w:p>
          <w:p w14:paraId="43F82DC7" w14:textId="77777777" w:rsidR="00E8217E" w:rsidRPr="00E91C04" w:rsidRDefault="00E8217E" w:rsidP="0085545F">
            <w:pPr>
              <w:numPr>
                <w:ilvl w:val="0"/>
                <w:numId w:val="8"/>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b/>
                <w:noProof/>
              </w:rPr>
              <w:t>iznijeti zakonodavne prijedloge</w:t>
            </w:r>
            <w:r>
              <w:rPr>
                <w:rFonts w:ascii="Times New Roman" w:hAnsi="Times New Roman"/>
                <w:noProof/>
              </w:rPr>
              <w:t xml:space="preserve"> za ubrzavanje izdavanja dozvola za mreže, skladištenje i obnovljive izvore energije, uključujući pojednostavnjenje procjena utjecaja na okoliš i skraćivanje rokova za dozvole u okviru europskog paketa za mreže;</w:t>
            </w:r>
          </w:p>
          <w:p w14:paraId="2300F314"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sz w:val="24"/>
                <w:szCs w:val="24"/>
                <w14:ligatures w14:val="none"/>
              </w:rPr>
            </w:pPr>
            <w:r>
              <w:rPr>
                <w:rFonts w:ascii="Times New Roman" w:hAnsi="Times New Roman"/>
                <w:noProof/>
              </w:rPr>
              <w:t>procijeniti pojednostavnjenje praksi licenciranja za</w:t>
            </w:r>
            <w:r>
              <w:rPr>
                <w:rFonts w:ascii="Times New Roman" w:hAnsi="Times New Roman"/>
                <w:b/>
                <w:noProof/>
              </w:rPr>
              <w:t xml:space="preserve"> nove tehnologije nuklearne energije</w:t>
            </w:r>
            <w:r>
              <w:rPr>
                <w:rFonts w:ascii="Times New Roman" w:hAnsi="Times New Roman"/>
                <w:noProof/>
              </w:rPr>
              <w:t xml:space="preserve"> i objaviti </w:t>
            </w:r>
            <w:r>
              <w:rPr>
                <w:rFonts w:ascii="Times New Roman" w:hAnsi="Times New Roman"/>
                <w:b/>
                <w:noProof/>
              </w:rPr>
              <w:t>Komunikaciju o malim modularnim reaktorima</w:t>
            </w:r>
            <w:r>
              <w:rPr>
                <w:rFonts w:ascii="Times New Roman" w:hAnsi="Times New Roman"/>
                <w:noProof/>
              </w:rPr>
              <w:t>.</w:t>
            </w:r>
          </w:p>
        </w:tc>
      </w:tr>
      <w:tr w:rsidR="00E8217E" w:rsidRPr="00E91C04" w14:paraId="22C6E14E" w14:textId="77777777" w:rsidTr="0085545F">
        <w:trPr>
          <w:cantSplit/>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07FFEEB" w14:textId="77777777" w:rsidR="00E8217E" w:rsidRPr="00E91C04" w:rsidRDefault="00E8217E" w:rsidP="00E8217E">
            <w:pPr>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 xml:space="preserve">Kada? </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9636467" w14:textId="77777777" w:rsidR="00E8217E" w:rsidRPr="00E91C04" w:rsidRDefault="00E8217E" w:rsidP="00E8217E">
            <w:pPr>
              <w:jc w:val="both"/>
              <w:rPr>
                <w:rFonts w:ascii="Times New Roman" w:eastAsia="Times New Roman" w:hAnsi="Times New Roman" w:cs="Times New Roman"/>
                <w:noProof/>
                <w14:ligatures w14:val="none"/>
              </w:rPr>
            </w:pPr>
            <w:bookmarkStart w:id="57" w:name="_Ref188631796"/>
            <w:r>
              <w:rPr>
                <w:rFonts w:ascii="Times New Roman" w:hAnsi="Times New Roman"/>
                <w:b/>
                <w:noProof/>
              </w:rPr>
              <w:t>U najkraćem mogućem roku</w:t>
            </w:r>
            <w:r>
              <w:rPr>
                <w:rFonts w:ascii="Times New Roman" w:hAnsi="Times New Roman"/>
                <w:noProof/>
              </w:rPr>
              <w:t>: prilagodba nacionalnih sustava izdavanja dozvola.</w:t>
            </w:r>
          </w:p>
          <w:p w14:paraId="450F6D87"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b/>
                <w:noProof/>
              </w:rPr>
              <w:t>Sredina 2025.</w:t>
            </w:r>
            <w:r>
              <w:rPr>
                <w:rFonts w:ascii="Times New Roman" w:hAnsi="Times New Roman"/>
                <w:noProof/>
              </w:rPr>
              <w:t xml:space="preserve">: </w:t>
            </w:r>
          </w:p>
          <w:p w14:paraId="7BE9B107" w14:textId="77777777" w:rsidR="00E8217E" w:rsidRPr="00E91C04" w:rsidRDefault="00E8217E" w:rsidP="0085545F">
            <w:pPr>
              <w:numPr>
                <w:ilvl w:val="0"/>
                <w:numId w:val="11"/>
              </w:numPr>
              <w:spacing w:before="120" w:after="100" w:afterAutospacing="1"/>
              <w:ind w:left="714" w:hanging="357"/>
              <w:jc w:val="both"/>
              <w:rPr>
                <w:rFonts w:ascii="Times New Roman" w:eastAsia="Times New Roman" w:hAnsi="Times New Roman" w:cs="Times New Roman"/>
                <w:noProof/>
                <w14:ligatures w14:val="none"/>
              </w:rPr>
            </w:pPr>
            <w:r>
              <w:rPr>
                <w:rFonts w:ascii="Times New Roman" w:hAnsi="Times New Roman"/>
                <w:noProof/>
              </w:rPr>
              <w:t>objava novih, detaljnijih podataka o potencijalima za energiju vjetra na moru i solarnu fotonaponsku energiju u bazi za geoprostorne podatke o energiji i industriji (</w:t>
            </w:r>
            <w:r>
              <w:rPr>
                <w:rFonts w:ascii="Times New Roman" w:hAnsi="Times New Roman"/>
                <w:i/>
                <w:noProof/>
              </w:rPr>
              <w:t>Energy and Industry Geography Lab</w:t>
            </w:r>
            <w:r>
              <w:rPr>
                <w:rFonts w:ascii="Times New Roman" w:hAnsi="Times New Roman"/>
                <w:noProof/>
              </w:rPr>
              <w:t>) (travanj 2025.);</w:t>
            </w:r>
          </w:p>
          <w:p w14:paraId="4F394357" w14:textId="77777777" w:rsidR="00E8217E" w:rsidRPr="00E91C04" w:rsidRDefault="00E8217E" w:rsidP="0085545F">
            <w:pPr>
              <w:numPr>
                <w:ilvl w:val="0"/>
                <w:numId w:val="11"/>
              </w:numPr>
              <w:spacing w:before="100" w:beforeAutospacing="1" w:after="100" w:afterAutospacing="1"/>
              <w:ind w:left="714" w:hanging="357"/>
              <w:contextualSpacing/>
              <w:jc w:val="both"/>
              <w:rPr>
                <w:rFonts w:ascii="Times New Roman" w:eastAsia="Times New Roman" w:hAnsi="Times New Roman" w:cs="Times New Roman"/>
                <w:noProof/>
                <w14:ligatures w14:val="none"/>
              </w:rPr>
            </w:pPr>
            <w:r>
              <w:rPr>
                <w:rFonts w:ascii="Times New Roman" w:hAnsi="Times New Roman"/>
                <w:noProof/>
              </w:rPr>
              <w:t xml:space="preserve">smjernice na temu inovativnih oblika uvođenja obnovljivih izvora energije te na temu područja za brži razvoj mreže i skladištenja; </w:t>
            </w:r>
          </w:p>
          <w:p w14:paraId="62D94CBA" w14:textId="77777777" w:rsidR="00E8217E" w:rsidRPr="00E91C04" w:rsidRDefault="00E8217E" w:rsidP="0085545F">
            <w:pPr>
              <w:numPr>
                <w:ilvl w:val="0"/>
                <w:numId w:val="8"/>
              </w:numPr>
              <w:spacing w:after="100" w:afterAutospacing="1"/>
              <w:ind w:left="714" w:hanging="357"/>
              <w:jc w:val="both"/>
              <w:rPr>
                <w:rFonts w:ascii="Times New Roman" w:eastAsia="Times New Roman" w:hAnsi="Times New Roman" w:cs="Times New Roman"/>
                <w:noProof/>
                <w14:ligatures w14:val="none"/>
              </w:rPr>
            </w:pPr>
            <w:r>
              <w:rPr>
                <w:rFonts w:ascii="Times New Roman" w:hAnsi="Times New Roman"/>
                <w:noProof/>
              </w:rPr>
              <w:t>potpora provedbi.</w:t>
            </w:r>
          </w:p>
          <w:p w14:paraId="45615988" w14:textId="77777777" w:rsidR="00E8217E" w:rsidRPr="00E91C04" w:rsidRDefault="00E8217E" w:rsidP="00E8217E">
            <w:pPr>
              <w:jc w:val="both"/>
              <w:rPr>
                <w:rFonts w:ascii="Times New Roman" w:eastAsia="Times New Roman" w:hAnsi="Times New Roman" w:cs="Times New Roman"/>
                <w:noProof/>
                <w:sz w:val="24"/>
                <w:szCs w:val="24"/>
                <w14:ligatures w14:val="none"/>
              </w:rPr>
            </w:pPr>
            <w:r>
              <w:rPr>
                <w:rFonts w:ascii="Times New Roman" w:hAnsi="Times New Roman"/>
                <w:b/>
                <w:noProof/>
              </w:rPr>
              <w:t>Zajedno s paketom mjera za mreže:</w:t>
            </w:r>
            <w:r>
              <w:rPr>
                <w:rFonts w:ascii="Times New Roman" w:hAnsi="Times New Roman"/>
                <w:noProof/>
              </w:rPr>
              <w:t xml:space="preserve"> zakonodavni prijedlozi za ubrzavanje postupaka izdavanja dozvola za projekte u području mreže, skladištenja i energije iz obnovljivih izvora.</w:t>
            </w:r>
          </w:p>
          <w:p w14:paraId="42B487B4"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2026.</w:t>
            </w:r>
            <w:r>
              <w:rPr>
                <w:rFonts w:ascii="Times New Roman" w:hAnsi="Times New Roman"/>
                <w:noProof/>
              </w:rPr>
              <w:t>: novi poziv na podnošenje prijedloga za vodeće projekte Instrumenta za tehničku potporu Komunikacija o malim modularnim reaktorima</w:t>
            </w:r>
            <w:bookmarkEnd w:id="57"/>
          </w:p>
        </w:tc>
      </w:tr>
      <w:tr w:rsidR="00E8217E" w:rsidRPr="00E91C04" w14:paraId="57878311" w14:textId="77777777" w:rsidTr="0085545F">
        <w:trPr>
          <w:cantSplit/>
          <w:trHeight w:val="69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2BE29CE" w14:textId="77777777" w:rsidR="00E8217E" w:rsidRPr="00E91C04" w:rsidRDefault="00E8217E" w:rsidP="00E8217E">
            <w:pPr>
              <w:spacing w:before="100" w:beforeAutospacing="1" w:after="100" w:afterAutospacing="1"/>
              <w:jc w:val="both"/>
              <w:rPr>
                <w:rFonts w:ascii="Times New Roman" w:eastAsia="Times New Roman" w:hAnsi="Times New Roman" w:cs="Times New Roman"/>
                <w:bCs/>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4568DB8"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Provedbom postojećeg zakonodavstva EU-a u državama članicama i novim mjerama </w:t>
            </w:r>
            <w:r>
              <w:rPr>
                <w:rFonts w:ascii="Times New Roman" w:hAnsi="Times New Roman"/>
                <w:b/>
                <w:noProof/>
              </w:rPr>
              <w:t>trajanje postupaka izdavanja dozvola može se smanjiti na manje od šest mjeseci za jednostavnije projekte</w:t>
            </w:r>
            <w:r>
              <w:rPr>
                <w:rFonts w:ascii="Times New Roman" w:hAnsi="Times New Roman"/>
                <w:noProof/>
              </w:rPr>
              <w:t xml:space="preserve"> kao što je obnova kapaciteta u područjima za brži razvoj obnovljivih izvora energije i 12 mjeseci za druge projekte; </w:t>
            </w:r>
            <w:r>
              <w:rPr>
                <w:rFonts w:ascii="Times New Roman" w:hAnsi="Times New Roman"/>
                <w:b/>
                <w:noProof/>
              </w:rPr>
              <w:t>manje od 12 mjeseci ili dvije godine za projekte u području energije iz obnovljivih izvora</w:t>
            </w:r>
            <w:r>
              <w:rPr>
                <w:rFonts w:ascii="Times New Roman" w:hAnsi="Times New Roman"/>
                <w:noProof/>
              </w:rPr>
              <w:t xml:space="preserve"> (u područjima za brži razvoj ili izvan njih), i </w:t>
            </w:r>
            <w:r>
              <w:rPr>
                <w:rFonts w:ascii="Times New Roman" w:hAnsi="Times New Roman"/>
                <w:b/>
                <w:noProof/>
              </w:rPr>
              <w:t>za složene projekte kao što su vjetroelektrane na moru, na manje od dvije godine</w:t>
            </w:r>
            <w:r>
              <w:rPr>
                <w:rFonts w:ascii="Times New Roman" w:hAnsi="Times New Roman"/>
                <w:noProof/>
              </w:rPr>
              <w:t xml:space="preserve"> u područjima za brži razvoj energije iz obnovljivih izvora i  na</w:t>
            </w:r>
            <w:r>
              <w:rPr>
                <w:rFonts w:ascii="Times New Roman" w:hAnsi="Times New Roman"/>
                <w:b/>
                <w:noProof/>
              </w:rPr>
              <w:t xml:space="preserve"> tri godine</w:t>
            </w:r>
            <w:r>
              <w:rPr>
                <w:rFonts w:ascii="Times New Roman" w:hAnsi="Times New Roman"/>
                <w:noProof/>
              </w:rPr>
              <w:t xml:space="preserve"> izvan njih. Nadalje, ojačanim zakonodavnim okvirom uklonit će se postojeći nedostaci. </w:t>
            </w:r>
          </w:p>
        </w:tc>
      </w:tr>
    </w:tbl>
    <w:bookmarkEnd w:id="55"/>
    <w:p w14:paraId="04BBF800" w14:textId="77777777" w:rsidR="00E8217E" w:rsidRPr="00E91C04" w:rsidRDefault="00E8217E" w:rsidP="00E8217E">
      <w:pPr>
        <w:keepNext/>
        <w:numPr>
          <w:ilvl w:val="0"/>
          <w:numId w:val="5"/>
        </w:numPr>
        <w:tabs>
          <w:tab w:val="left" w:pos="4962"/>
        </w:tabs>
        <w:spacing w:before="100" w:beforeAutospacing="1" w:after="100" w:afterAutospacing="1" w:line="240" w:lineRule="auto"/>
        <w:jc w:val="both"/>
        <w:rPr>
          <w:rFonts w:ascii="Times New Roman" w:eastAsia="Times New Roman" w:hAnsi="Times New Roman" w:cs="Times New Roman"/>
          <w:i/>
          <w:noProof/>
          <w:kern w:val="0"/>
          <w:sz w:val="24"/>
          <w:szCs w:val="24"/>
          <w14:ligatures w14:val="none"/>
        </w:rPr>
      </w:pPr>
      <w:r>
        <w:rPr>
          <w:rFonts w:ascii="Times New Roman" w:hAnsi="Times New Roman"/>
          <w:i/>
          <w:noProof/>
          <w:sz w:val="24"/>
        </w:rPr>
        <w:t>Mreže i interkonekcijski vodovi kao pokretači energetske tranzicije i dekarbonizacije industrije</w:t>
      </w:r>
    </w:p>
    <w:p w14:paraId="3A25BCCA" w14:textId="77777777" w:rsidR="00E8217E" w:rsidRPr="00E91C04"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Učinkovita mreža osigurava protok energije od mjesta proizvodnje do mjesta gdje je potrebna. Njome se ublažavaju razdoblja vršne cijene i osigurava da svi dobiju energiju po najpovoljnijoj cijeni. Stoga je važno međusobno povezati područja s velikim dostupnim potencijalom za čistu energiju s europskim regijama s visokom potražnjom za energijom kako bi se cjenovno pristupačna energija mogla isporučiti tamo gdje je najpotrebnija.</w:t>
      </w:r>
    </w:p>
    <w:p w14:paraId="54C87257" w14:textId="77777777" w:rsidR="00E8217E" w:rsidRPr="00E91C04" w:rsidRDefault="00E8217E" w:rsidP="00E8217E">
      <w:pPr>
        <w:spacing w:before="100" w:beforeAutospacing="1" w:after="6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Za ulaganja u elektroenergetske mreže u ovom desetljeću potrebne su 584 milijarde eura</w:t>
      </w:r>
      <w:r w:rsidRPr="00E91C04">
        <w:rPr>
          <w:rFonts w:ascii="Times New Roman" w:eastAsia="Times New Roman" w:hAnsi="Times New Roman" w:cs="Times New Roman"/>
          <w:noProof/>
          <w:kern w:val="0"/>
          <w:sz w:val="24"/>
          <w:szCs w:val="24"/>
          <w:vertAlign w:val="superscript"/>
          <w:lang w:val="en-GB" w:eastAsia="en-IE"/>
        </w:rPr>
        <w:footnoteReference w:id="48"/>
      </w:r>
      <w:r w:rsidRPr="00E91C04">
        <w:rPr>
          <w:rFonts w:ascii="Times New Roman" w:eastAsia="Times New Roman" w:hAnsi="Times New Roman" w:cs="Times New Roman"/>
          <w:noProof/>
          <w:kern w:val="0"/>
          <w:sz w:val="24"/>
          <w:szCs w:val="24"/>
          <w:vertAlign w:val="superscript"/>
          <w:lang w:val="en-GB" w:eastAsia="en-IE"/>
        </w:rPr>
        <w:footnoteReference w:id="49"/>
      </w:r>
      <w:r>
        <w:rPr>
          <w:rFonts w:ascii="Times New Roman" w:hAnsi="Times New Roman"/>
          <w:noProof/>
          <w:sz w:val="24"/>
        </w:rPr>
        <w:t xml:space="preserve">. </w:t>
      </w:r>
      <w:r>
        <w:rPr>
          <w:rFonts w:ascii="Times New Roman" w:hAnsi="Times New Roman"/>
          <w:b/>
          <w:noProof/>
          <w:sz w:val="24"/>
        </w:rPr>
        <w:t>Za prekogranične infrastrukturne potrebe često ne postoje konkretni projekti</w:t>
      </w:r>
      <w:r>
        <w:rPr>
          <w:rFonts w:ascii="Times New Roman" w:hAnsi="Times New Roman"/>
          <w:noProof/>
          <w:sz w:val="24"/>
        </w:rPr>
        <w:t xml:space="preserve">, što dovodi do neopravdanih razlika u cijenama među nekim regijama, kao što je nedavno primijećeno u jugoistočnoj Europi. Agencija za suradnju energetskih regulatora (ACER) smatra da i dalje nije riješeno pitanje </w:t>
      </w:r>
      <w:r>
        <w:rPr>
          <w:rFonts w:ascii="Times New Roman" w:hAnsi="Times New Roman"/>
          <w:b/>
          <w:noProof/>
          <w:sz w:val="24"/>
        </w:rPr>
        <w:t>32 GW prekograničnih kapaciteta potrebnih do 2030.</w:t>
      </w:r>
      <w:r w:rsidRPr="00E91C04">
        <w:rPr>
          <w:rFonts w:ascii="Times New Roman" w:eastAsia="Times New Roman" w:hAnsi="Times New Roman" w:cs="Times New Roman"/>
          <w:noProof/>
          <w:kern w:val="0"/>
          <w:sz w:val="24"/>
          <w:szCs w:val="24"/>
          <w:vertAlign w:val="superscript"/>
          <w:lang w:val="en-GB" w:eastAsia="en-IE"/>
        </w:rPr>
        <w:footnoteReference w:id="50"/>
      </w:r>
      <w:r>
        <w:rPr>
          <w:rFonts w:ascii="Times New Roman" w:hAnsi="Times New Roman"/>
          <w:noProof/>
          <w:sz w:val="24"/>
        </w:rPr>
        <w:t xml:space="preserve"> Veliki infrastrukturni projekti od regionalne važnosti ili od važnosti za EU suočavaju se s izazovima povezanima s povećanjem troškova projekata</w:t>
      </w:r>
      <w:r w:rsidRPr="00E91C04">
        <w:rPr>
          <w:rFonts w:ascii="Times New Roman" w:eastAsia="Times New Roman" w:hAnsi="Times New Roman" w:cs="Times New Roman"/>
          <w:noProof/>
          <w:kern w:val="0"/>
          <w:sz w:val="24"/>
          <w:szCs w:val="24"/>
          <w:vertAlign w:val="superscript"/>
          <w:lang w:val="en-GB" w:eastAsia="en-IE"/>
        </w:rPr>
        <w:footnoteReference w:id="51"/>
      </w:r>
      <w:r>
        <w:rPr>
          <w:rFonts w:ascii="Times New Roman" w:hAnsi="Times New Roman"/>
          <w:noProof/>
          <w:sz w:val="24"/>
        </w:rPr>
        <w:t xml:space="preserve"> i pravednom raspodjelom troškova i koristi</w:t>
      </w:r>
      <w:r w:rsidRPr="00E91C04">
        <w:rPr>
          <w:rFonts w:ascii="Times New Roman" w:eastAsia="Times New Roman" w:hAnsi="Times New Roman" w:cs="Times New Roman"/>
          <w:noProof/>
          <w:kern w:val="0"/>
          <w:sz w:val="24"/>
          <w:szCs w:val="24"/>
          <w:vertAlign w:val="superscript"/>
          <w:lang w:val="en-GB" w:eastAsia="en-IE"/>
        </w:rPr>
        <w:footnoteReference w:id="52"/>
      </w:r>
      <w:r>
        <w:rPr>
          <w:rFonts w:ascii="Times New Roman" w:hAnsi="Times New Roman"/>
          <w:noProof/>
          <w:sz w:val="24"/>
        </w:rPr>
        <w:t xml:space="preserve">. U nastavku su navedena četiri primjera takvih nedostataka: </w:t>
      </w:r>
    </w:p>
    <w:p w14:paraId="28D74F18" w14:textId="77777777" w:rsidR="00E8217E" w:rsidRPr="00E91C04" w:rsidRDefault="00E8217E" w:rsidP="00E8217E">
      <w:pPr>
        <w:numPr>
          <w:ilvl w:val="0"/>
          <w:numId w:val="2"/>
        </w:numPr>
        <w:spacing w:before="60" w:beforeAutospacing="1" w:after="6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Stvaranje integrirane odobalne mreže u Sjevernim morima;</w:t>
      </w:r>
    </w:p>
    <w:p w14:paraId="67021D3D" w14:textId="77777777" w:rsidR="00E8217E" w:rsidRPr="00E91C04" w:rsidRDefault="00E8217E" w:rsidP="00E8217E">
      <w:pPr>
        <w:numPr>
          <w:ilvl w:val="0"/>
          <w:numId w:val="2"/>
        </w:numPr>
        <w:spacing w:before="100" w:beforeAutospacing="1" w:after="6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daljnje jačanje fizičke integracije baltičkih država sa središnjom i sjevernom Europom nakon baltičke sinkronizacije i jamčenje sigurnosti prekogranične infrastrukture u regiji Baltičkog mora;</w:t>
      </w:r>
    </w:p>
    <w:p w14:paraId="57289EFA" w14:textId="77777777" w:rsidR="00E8217E" w:rsidRPr="00E91C04" w:rsidRDefault="00E8217E" w:rsidP="00E8217E">
      <w:pPr>
        <w:numPr>
          <w:ilvl w:val="0"/>
          <w:numId w:val="2"/>
        </w:numPr>
        <w:spacing w:before="100" w:beforeAutospacing="1" w:after="6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jačanje međupovezanosti energetskih mreža Pirenejskog poluotoka s ostatkom Europe;  </w:t>
      </w:r>
    </w:p>
    <w:p w14:paraId="4C67B34A" w14:textId="77777777" w:rsidR="00E8217E" w:rsidRPr="00E91C04" w:rsidRDefault="00E8217E" w:rsidP="00E8217E">
      <w:pPr>
        <w:numPr>
          <w:ilvl w:val="0"/>
          <w:numId w:val="2"/>
        </w:num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jačanje međupovezanosti energetskih mreža i integracije tržišta između jugoistočne i središnje Europe.</w:t>
      </w:r>
    </w:p>
    <w:p w14:paraId="4155E8E3" w14:textId="77777777" w:rsidR="00E8217E" w:rsidRPr="00E91C04"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Koristi od tih </w:t>
      </w:r>
      <w:r>
        <w:rPr>
          <w:rFonts w:ascii="Times New Roman" w:hAnsi="Times New Roman"/>
          <w:b/>
          <w:noProof/>
          <w:sz w:val="24"/>
        </w:rPr>
        <w:t>vodećih projekata</w:t>
      </w:r>
      <w:r>
        <w:rPr>
          <w:rFonts w:ascii="Times New Roman" w:hAnsi="Times New Roman"/>
          <w:noProof/>
          <w:sz w:val="24"/>
        </w:rPr>
        <w:t xml:space="preserve"> proširit će se izvan država članica koje su domaćini projekata. To znači da se energetska unija može ostvariti samo osmišljavanjem novih projekata te ubrzanjem i dovršetkom postojećih projekata. S obzirom na opseg i učinak tih projekata,</w:t>
      </w:r>
      <w:r>
        <w:rPr>
          <w:rFonts w:ascii="Times New Roman" w:hAnsi="Times New Roman"/>
          <w:b/>
          <w:noProof/>
          <w:sz w:val="24"/>
        </w:rPr>
        <w:t xml:space="preserve"> ključno je da EU nastavi osiguravati dostatna financijska sredstva</w:t>
      </w:r>
      <w:r>
        <w:rPr>
          <w:rFonts w:ascii="Times New Roman" w:hAnsi="Times New Roman"/>
          <w:noProof/>
          <w:sz w:val="24"/>
        </w:rPr>
        <w:t xml:space="preserve"> za potporu dovršetku interkonekcijskih vodova energetske unije na prekograničnoj i nacionalnoj razini. Ulaganje u postizanje ciljeva dekarbonizacije EU-a i uklanjanje prepreka za energetsku uniju Europi pruža priliku da smanji cijene energije, poveća svoju energetsku sigurnost i preuzme vodeću ulogu u području čistih tehnologija</w:t>
      </w:r>
      <w:r w:rsidRPr="00E91C04">
        <w:rPr>
          <w:rFonts w:ascii="Times New Roman" w:eastAsia="Times New Roman" w:hAnsi="Times New Roman" w:cs="Times New Roman"/>
          <w:noProof/>
          <w:kern w:val="0"/>
          <w:sz w:val="24"/>
          <w:szCs w:val="24"/>
          <w:vertAlign w:val="superscript"/>
          <w:lang w:val="en-GB" w:eastAsia="en-IE"/>
        </w:rPr>
        <w:footnoteReference w:id="53"/>
      </w:r>
      <w:r>
        <w:rPr>
          <w:rFonts w:ascii="Times New Roman" w:hAnsi="Times New Roman"/>
          <w:noProof/>
          <w:sz w:val="24"/>
        </w:rPr>
        <w:t>. Osim toga, u Komunikaciji o putu prema sljedećem višegodišnjem financijskom okviru</w:t>
      </w:r>
      <w:r w:rsidRPr="00E91C04">
        <w:rPr>
          <w:rFonts w:ascii="Times New Roman" w:eastAsia="Times New Roman" w:hAnsi="Times New Roman" w:cs="Times New Roman"/>
          <w:noProof/>
          <w:kern w:val="0"/>
          <w:sz w:val="24"/>
          <w:szCs w:val="24"/>
          <w:vertAlign w:val="superscript"/>
          <w:lang w:val="en-GB" w:eastAsia="en-IE"/>
        </w:rPr>
        <w:footnoteReference w:id="54"/>
      </w:r>
      <w:r>
        <w:rPr>
          <w:rFonts w:ascii="Times New Roman" w:hAnsi="Times New Roman"/>
          <w:noProof/>
          <w:sz w:val="24"/>
        </w:rPr>
        <w:t xml:space="preserve"> potvrđeno je da moramo osigurati da se proračunom EU-a podupiru europska javna dobra, posebno prekogranični projekti.</w:t>
      </w:r>
    </w:p>
    <w:p w14:paraId="17D41F7D" w14:textId="77777777" w:rsidR="00B01073"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Istodobno je potrebno učinkovito koristiti postojeću infrastrukturu. Na primjer, najmanje 70 % kapaciteta interkonekcijskih vodova trebalo bi biti dostupno za prekogranično trgovanje električnom energijom, ali većina država članica i dalje je daleko od tog cilja</w:t>
      </w:r>
      <w:r>
        <w:rPr>
          <w:rFonts w:ascii="Times New Roman" w:eastAsia="Times New Roman" w:hAnsi="Times New Roman" w:cs="Times New Roman"/>
          <w:noProof/>
          <w:kern w:val="0"/>
          <w:sz w:val="24"/>
          <w:szCs w:val="24"/>
          <w:vertAlign w:val="superscript"/>
          <w:lang w:val="en-GB" w:eastAsia="en-IE"/>
        </w:rPr>
        <w:footnoteReference w:id="55"/>
      </w:r>
      <w:r>
        <w:rPr>
          <w:rFonts w:ascii="Times New Roman" w:hAnsi="Times New Roman"/>
          <w:noProof/>
          <w:sz w:val="24"/>
        </w:rPr>
        <w:t>.</w:t>
      </w:r>
    </w:p>
    <w:p w14:paraId="12D89212" w14:textId="77777777" w:rsidR="00E8217E" w:rsidRPr="00E91C04" w:rsidRDefault="00E8217E" w:rsidP="00E8217E">
      <w:pPr>
        <w:tabs>
          <w:tab w:val="left" w:pos="4962"/>
        </w:tabs>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Na nacionalnoj razini </w:t>
      </w:r>
      <w:r>
        <w:rPr>
          <w:rFonts w:ascii="Times New Roman" w:hAnsi="Times New Roman"/>
          <w:b/>
          <w:noProof/>
          <w:sz w:val="24"/>
        </w:rPr>
        <w:t xml:space="preserve">zahtjevi za priključivanje na distribucijske mreže eksponencijalno rastu </w:t>
      </w:r>
      <w:r>
        <w:rPr>
          <w:rFonts w:ascii="Times New Roman" w:hAnsi="Times New Roman"/>
          <w:noProof/>
          <w:sz w:val="24"/>
        </w:rPr>
        <w:t xml:space="preserve">u svim dijelovima Europe što uzrokuje duga čekanja, usporava prelazak na obnovljive izvore energije, elektrifikaciju i uspostavu industrijskih klastera te otežava ulaganja. Osim električne energije potrebne su nove </w:t>
      </w:r>
      <w:r>
        <w:rPr>
          <w:rFonts w:ascii="Times New Roman" w:hAnsi="Times New Roman"/>
          <w:b/>
          <w:noProof/>
          <w:sz w:val="24"/>
        </w:rPr>
        <w:t>mreže vodika i ugljika i lokalne toplinske mreže</w:t>
      </w:r>
      <w:r>
        <w:rPr>
          <w:rFonts w:ascii="Times New Roman" w:hAnsi="Times New Roman"/>
          <w:noProof/>
          <w:sz w:val="24"/>
        </w:rPr>
        <w:t xml:space="preserve">. </w:t>
      </w:r>
    </w:p>
    <w:tbl>
      <w:tblPr>
        <w:tblStyle w:val="TableGrid"/>
        <w:tblW w:w="0" w:type="auto"/>
        <w:tblLook w:val="04A0" w:firstRow="1" w:lastRow="0" w:firstColumn="1" w:lastColumn="0" w:noHBand="0" w:noVBand="1"/>
      </w:tblPr>
      <w:tblGrid>
        <w:gridCol w:w="1267"/>
        <w:gridCol w:w="7975"/>
      </w:tblGrid>
      <w:tr w:rsidR="00E8217E" w:rsidRPr="00E91C04" w14:paraId="538EEABB"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96868AD"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58467CC"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58" w:name="_Ref189735272"/>
            <w:bookmarkStart w:id="59" w:name="_Ref188362758"/>
            <w:r>
              <w:rPr>
                <w:rFonts w:ascii="Times New Roman" w:hAnsi="Times New Roman"/>
                <w:b/>
                <w:noProof/>
              </w:rPr>
              <w:t>Ubrzavanje širenja, modernizacije i digitalizacije mreža</w:t>
            </w:r>
            <w:bookmarkEnd w:id="58"/>
            <w:r>
              <w:rPr>
                <w:rFonts w:ascii="Times New Roman" w:hAnsi="Times New Roman"/>
                <w:b/>
                <w:noProof/>
              </w:rPr>
              <w:t xml:space="preserve"> </w:t>
            </w:r>
            <w:bookmarkEnd w:id="59"/>
          </w:p>
        </w:tc>
      </w:tr>
      <w:tr w:rsidR="00E8217E" w:rsidRPr="00E91C04" w14:paraId="462BA980" w14:textId="77777777" w:rsidTr="00E8217E">
        <w:trPr>
          <w:trHeight w:val="69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CCFD7C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C96EBCD"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Nadovezujući se na mjere iz Akcijskog plana za mreže donesenog 2023., Komisija će predložiti </w:t>
            </w:r>
            <w:r>
              <w:rPr>
                <w:rFonts w:ascii="Times New Roman" w:hAnsi="Times New Roman"/>
                <w:b/>
                <w:noProof/>
              </w:rPr>
              <w:t>Paket za europske mreže</w:t>
            </w:r>
            <w:r>
              <w:rPr>
                <w:rFonts w:ascii="Times New Roman" w:hAnsi="Times New Roman"/>
                <w:noProof/>
              </w:rPr>
              <w:t xml:space="preserve"> koji se sastoji od zakonodavnih prijedloga i nezakonodavnih mjera za, među ostalim, pojednostavnjenje transeuropskih energetskih mreža (Uredba TEN-E), osiguravanje prekograničnog integriranog planiranja i isporuke projekata, posebno u vezi s interkonekcijskim vodovima, pojednostavnjenje izdavanja dozvola, poboljšanje planiranja distribucijskih mreža, poticanje digitalizacije i inovacija te povećanje vidljivosti potreba kad je riječ o proizvođačkoj industriji. Planirat će se odozgo prema dolje, integrirajući regionalne interese i interese EU-a te razviti učinkovit mehanizam podjele troškova (npr. za prekogranične projekte) kako bi se stvorio optimizirani energetski sustav. </w:t>
            </w:r>
          </w:p>
          <w:p w14:paraId="04E0FBE1"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b/>
                <w:noProof/>
              </w:rPr>
              <w:t>EIB</w:t>
            </w:r>
            <w:r>
              <w:rPr>
                <w:rFonts w:ascii="Times New Roman" w:hAnsi="Times New Roman"/>
                <w:noProof/>
              </w:rPr>
              <w:t xml:space="preserve"> će predstaviti i „</w:t>
            </w:r>
            <w:r>
              <w:rPr>
                <w:rFonts w:ascii="Times New Roman" w:hAnsi="Times New Roman"/>
                <w:b/>
                <w:noProof/>
              </w:rPr>
              <w:t>paket za proizvođače mrežnih komponenti</w:t>
            </w:r>
            <w:r>
              <w:rPr>
                <w:rFonts w:ascii="Times New Roman" w:hAnsi="Times New Roman"/>
                <w:noProof/>
              </w:rPr>
              <w:t xml:space="preserve">” za europski lanac opskrbe, po uzoru na paket mjera za energiju vjetra, kako bi se proizvođačima mrežnih komponenti pružila </w:t>
            </w:r>
            <w:r>
              <w:rPr>
                <w:rFonts w:ascii="Times New Roman" w:hAnsi="Times New Roman"/>
                <w:b/>
                <w:noProof/>
              </w:rPr>
              <w:t>protujamstva</w:t>
            </w:r>
            <w:r>
              <w:rPr>
                <w:rFonts w:ascii="Times New Roman" w:hAnsi="Times New Roman"/>
                <w:noProof/>
              </w:rPr>
              <w:t xml:space="preserve"> u okvirnom iznosu od najmanje </w:t>
            </w:r>
            <w:r>
              <w:rPr>
                <w:rFonts w:ascii="Times New Roman" w:hAnsi="Times New Roman"/>
                <w:b/>
                <w:noProof/>
              </w:rPr>
              <w:t>1,5 milijardi eura</w:t>
            </w:r>
            <w:r>
              <w:rPr>
                <w:rFonts w:ascii="Times New Roman" w:hAnsi="Times New Roman"/>
                <w:noProof/>
              </w:rPr>
              <w:t xml:space="preserve">.  </w:t>
            </w:r>
          </w:p>
        </w:tc>
      </w:tr>
      <w:tr w:rsidR="00E8217E" w:rsidRPr="00E91C04" w14:paraId="15A7200B"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4126746"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1109EC1" w14:textId="77777777" w:rsidR="00E8217E" w:rsidRPr="00E91C04" w:rsidRDefault="00E8217E" w:rsidP="00E8217E">
            <w:pPr>
              <w:spacing w:before="100" w:beforeAutospacing="1" w:after="100" w:afterAutospacing="1"/>
              <w:rPr>
                <w:rFonts w:ascii="Times New Roman" w:eastAsia="Times New Roman" w:hAnsi="Times New Roman" w:cs="Times New Roman"/>
                <w:noProof/>
                <w14:ligatures w14:val="none"/>
              </w:rPr>
            </w:pPr>
            <w:r>
              <w:rPr>
                <w:rFonts w:ascii="Times New Roman" w:hAnsi="Times New Roman"/>
                <w:noProof/>
              </w:rPr>
              <w:t>Paket za europske mreže bit će predstavljen do prvog tromjesečja 2026.</w:t>
            </w:r>
          </w:p>
        </w:tc>
      </w:tr>
      <w:tr w:rsidR="00E8217E" w:rsidRPr="00E91C04" w14:paraId="4B18993B" w14:textId="77777777" w:rsidTr="00E8217E">
        <w:trPr>
          <w:trHeight w:val="69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784F5E0"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2D96ED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 xml:space="preserve">Godišnjim ulaganjem 2 milijarde eura u prekogranične mreže građanima se osigurava vrijednost od 5 milijardi eura </w:t>
            </w:r>
            <w:r>
              <w:rPr>
                <w:rFonts w:ascii="Times New Roman" w:hAnsi="Times New Roman"/>
                <w:noProof/>
              </w:rPr>
              <w:t>godišnje</w:t>
            </w:r>
            <w:r w:rsidRPr="00E91C04">
              <w:rPr>
                <w:rFonts w:ascii="Times New Roman" w:eastAsia="Times New Roman" w:hAnsi="Times New Roman" w:cs="Times New Roman"/>
                <w:noProof/>
                <w:vertAlign w:val="superscript"/>
                <w:lang w:val="en-GB" w:eastAsia="en-IE"/>
              </w:rPr>
              <w:footnoteReference w:id="56"/>
            </w:r>
            <w:r>
              <w:rPr>
                <w:rFonts w:ascii="Times New Roman" w:hAnsi="Times New Roman"/>
                <w:noProof/>
              </w:rPr>
              <w:t xml:space="preserve">. Anticipativna ulaganja, dobri povrati investicija i fleksibilnost koja pogoduje mreži mogli bi </w:t>
            </w:r>
            <w:r>
              <w:rPr>
                <w:rFonts w:ascii="Times New Roman" w:hAnsi="Times New Roman"/>
                <w:b/>
                <w:noProof/>
              </w:rPr>
              <w:t>smanjiti potrebe za ulaganjima u distribucijske mreže za 12 milijardi eura godišnje</w:t>
            </w:r>
            <w:r w:rsidRPr="00E91C04">
              <w:rPr>
                <w:rFonts w:ascii="Times New Roman" w:eastAsia="Times New Roman" w:hAnsi="Times New Roman" w:cs="Times New Roman"/>
                <w:noProof/>
                <w:vertAlign w:val="superscript"/>
                <w:lang w:val="en-GB" w:eastAsia="en-IE"/>
              </w:rPr>
              <w:footnoteReference w:id="57"/>
            </w:r>
            <w:r>
              <w:rPr>
                <w:rFonts w:ascii="Times New Roman" w:hAnsi="Times New Roman"/>
                <w:noProof/>
              </w:rPr>
              <w:t>, što predstavlja 18 % ukupnih potreba za ulaganjima</w:t>
            </w:r>
            <w:r w:rsidRPr="00E91C04">
              <w:rPr>
                <w:rFonts w:ascii="Times New Roman" w:eastAsia="Times New Roman" w:hAnsi="Times New Roman" w:cs="Times New Roman"/>
                <w:noProof/>
                <w:vertAlign w:val="superscript"/>
                <w:lang w:val="en-GB" w:eastAsia="en-IE"/>
              </w:rPr>
              <w:footnoteReference w:id="58"/>
            </w:r>
            <w:r>
              <w:rPr>
                <w:rFonts w:ascii="Times New Roman" w:hAnsi="Times New Roman"/>
                <w:noProof/>
              </w:rPr>
              <w:t>. Davanje prednosti regionalnim koristima ili koristima za cijeli EU u nacionalnim planovima smanjuje neučinkovitost i nepotrebne troškove koje snose potrošači.</w:t>
            </w:r>
          </w:p>
          <w:p w14:paraId="7A7DE71F"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Uvođenje </w:t>
            </w:r>
            <w:r>
              <w:rPr>
                <w:rFonts w:ascii="Times New Roman" w:hAnsi="Times New Roman"/>
                <w:b/>
                <w:noProof/>
              </w:rPr>
              <w:t>tehnologija za poboljšanje mreže</w:t>
            </w:r>
            <w:r>
              <w:rPr>
                <w:rFonts w:ascii="Times New Roman" w:hAnsi="Times New Roman"/>
                <w:noProof/>
              </w:rPr>
              <w:t xml:space="preserve"> nije rašireno, iako bi se njima </w:t>
            </w:r>
            <w:r>
              <w:rPr>
                <w:rFonts w:ascii="Times New Roman" w:hAnsi="Times New Roman"/>
                <w:b/>
                <w:noProof/>
              </w:rPr>
              <w:t>kapacitet mreže mogao povećati za 20 – 40 % do 2040</w:t>
            </w:r>
            <w:r>
              <w:rPr>
                <w:rFonts w:ascii="Times New Roman" w:hAnsi="Times New Roman"/>
                <w:noProof/>
              </w:rPr>
              <w:t>. i uštedjeti do 35 % u odnosu na troškove uobičajenih metoda proširenja mreže</w:t>
            </w:r>
            <w:r w:rsidRPr="00E91C04">
              <w:rPr>
                <w:rFonts w:ascii="Times New Roman" w:eastAsia="Times New Roman" w:hAnsi="Times New Roman" w:cs="Times New Roman"/>
                <w:noProof/>
                <w:vertAlign w:val="superscript"/>
                <w:lang w:val="en-GB" w:eastAsia="en-IE"/>
              </w:rPr>
              <w:footnoteReference w:id="59"/>
            </w:r>
            <w:r>
              <w:rPr>
                <w:rFonts w:ascii="Times New Roman" w:hAnsi="Times New Roman"/>
                <w:noProof/>
              </w:rPr>
              <w:t>.</w:t>
            </w:r>
          </w:p>
        </w:tc>
      </w:tr>
    </w:tbl>
    <w:p w14:paraId="09BB47C6" w14:textId="77777777" w:rsidR="00E8217E" w:rsidRPr="00E91C04" w:rsidRDefault="00E8217E" w:rsidP="00E8217E">
      <w:pPr>
        <w:keepNext/>
        <w:numPr>
          <w:ilvl w:val="0"/>
          <w:numId w:val="5"/>
        </w:numPr>
        <w:spacing w:before="100" w:beforeAutospacing="1" w:after="100" w:afterAutospacing="1"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Veća fleksibilnost</w:t>
      </w:r>
    </w:p>
    <w:p w14:paraId="70BD3A83" w14:textId="77777777" w:rsidR="00E8217E" w:rsidRPr="00E91C04" w:rsidRDefault="00E8217E" w:rsidP="00E8217E">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Veća fleksibilnost sustava, među ostalim </w:t>
      </w:r>
      <w:r>
        <w:rPr>
          <w:rFonts w:ascii="Times New Roman" w:hAnsi="Times New Roman"/>
          <w:b/>
          <w:noProof/>
          <w:sz w:val="24"/>
        </w:rPr>
        <w:t>skladištenjem i upravljanjem potrošnjom</w:t>
      </w:r>
      <w:r>
        <w:rPr>
          <w:rFonts w:ascii="Times New Roman" w:hAnsi="Times New Roman"/>
          <w:noProof/>
          <w:sz w:val="24"/>
        </w:rPr>
        <w:t xml:space="preserve">, pomaže u upravljanju neravnotežama u ponudi i potražnji tako što potiče kupce da troše električnu energiju u razdobljima u kojima je proizvodnja veća ili je potražnja manja, to jest kada je električna energija jeftinija. Na taj se način smanjuje mogućnost pojave ekstrema, bilo da je riječ o </w:t>
      </w:r>
      <w:r>
        <w:rPr>
          <w:rFonts w:ascii="Times New Roman" w:hAnsi="Times New Roman"/>
          <w:b/>
          <w:noProof/>
          <w:sz w:val="24"/>
        </w:rPr>
        <w:t>vrlo visokim ili negativnim cijenama</w:t>
      </w:r>
      <w:r>
        <w:rPr>
          <w:rFonts w:ascii="Times New Roman" w:hAnsi="Times New Roman"/>
          <w:noProof/>
          <w:sz w:val="24"/>
        </w:rPr>
        <w:t>, smanjuje volatilnost i općenito pridonosi nižim i stabilnijim cijenama električne energije. Elektrificirana potražnja, kao što su novi vozni parkovi na električni pogon, može imati ulogu u toj fleksibilnosti.</w:t>
      </w:r>
    </w:p>
    <w:p w14:paraId="267AADA6" w14:textId="77777777" w:rsidR="00E8217E" w:rsidRPr="00E91C04" w:rsidRDefault="00E8217E" w:rsidP="00E8217E">
      <w:pPr>
        <w:spacing w:after="24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U mnogim državama članicama upravljanje potrošnjom i skladištenje otežano je zbog prepreka</w:t>
      </w:r>
      <w:r w:rsidRPr="00E91C04">
        <w:rPr>
          <w:rFonts w:ascii="Times New Roman" w:eastAsia="Times New Roman" w:hAnsi="Times New Roman" w:cs="Times New Roman"/>
          <w:noProof/>
          <w:kern w:val="0"/>
          <w:sz w:val="24"/>
          <w:szCs w:val="24"/>
          <w:vertAlign w:val="superscript"/>
          <w:lang w:val="en-GB" w:eastAsia="en-IE"/>
        </w:rPr>
        <w:footnoteReference w:id="60"/>
      </w:r>
      <w:r>
        <w:rPr>
          <w:rFonts w:ascii="Times New Roman" w:hAnsi="Times New Roman"/>
          <w:noProof/>
          <w:sz w:val="24"/>
        </w:rPr>
        <w:t xml:space="preserve"> pristupu veleprodajnim tržištima ili sudjelovanju u pomoćnim uslugama i uslugama upravljanja zagušenjima. U deset država članica nije dovoljno definiran pravni okvir za agregatore, što ih sprečava da sudjeluju u uslugama koje bi mogle pomoći potrošačima. Nadalje, u deset država članica manje od 30 % kućanstava ima </w:t>
      </w:r>
      <w:r>
        <w:rPr>
          <w:rFonts w:ascii="Times New Roman" w:hAnsi="Times New Roman"/>
          <w:b/>
          <w:noProof/>
          <w:sz w:val="24"/>
        </w:rPr>
        <w:t>pametna mjerila</w:t>
      </w:r>
      <w:r>
        <w:rPr>
          <w:rFonts w:ascii="Times New Roman" w:hAnsi="Times New Roman"/>
          <w:noProof/>
          <w:sz w:val="24"/>
        </w:rPr>
        <w:t xml:space="preserve"> (koja pružaju informacije o potrošnji energije u stvarnom vremenu). Potrebno je ubrzati uvođenje takvih rješenja.</w:t>
      </w:r>
      <w:r w:rsidRPr="00E91C04">
        <w:rPr>
          <w:rFonts w:ascii="Times New Roman" w:eastAsia="Times New Roman" w:hAnsi="Times New Roman" w:cs="Times New Roman"/>
          <w:noProof/>
          <w:kern w:val="0"/>
          <w:sz w:val="24"/>
          <w:szCs w:val="24"/>
          <w:vertAlign w:val="superscript"/>
          <w:lang w:val="en-GB" w:eastAsia="en-IE"/>
        </w:rPr>
        <w:footnoteReference w:id="61"/>
      </w:r>
      <w:r>
        <w:rPr>
          <w:rFonts w:ascii="Times New Roman" w:hAnsi="Times New Roman"/>
          <w:b/>
          <w:noProof/>
          <w:sz w:val="24"/>
        </w:rPr>
        <w:t xml:space="preserve"> </w:t>
      </w:r>
      <w:r>
        <w:rPr>
          <w:rFonts w:ascii="Times New Roman" w:hAnsi="Times New Roman"/>
          <w:noProof/>
          <w:sz w:val="24"/>
        </w:rPr>
        <w:t>Neki industrijski potrošači mogu znatno doprinijeti fleksibilnosti mreže preusmjeravanjem svoje potrošnje energije na razdoblja niske potražnje, čime se smanjuju troškovi i poboljšava stabilnost sustava.</w:t>
      </w:r>
    </w:p>
    <w:tbl>
      <w:tblPr>
        <w:tblStyle w:val="TableGrid"/>
        <w:tblW w:w="0" w:type="auto"/>
        <w:tblLook w:val="04A0" w:firstRow="1" w:lastRow="0" w:firstColumn="1" w:lastColumn="0" w:noHBand="0" w:noVBand="1"/>
      </w:tblPr>
      <w:tblGrid>
        <w:gridCol w:w="1266"/>
        <w:gridCol w:w="7976"/>
      </w:tblGrid>
      <w:tr w:rsidR="00E8217E" w:rsidRPr="00E91C04" w14:paraId="072F0FD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B648F19"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6BD28B18"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60" w:name="_Ref189735310"/>
            <w:r>
              <w:rPr>
                <w:rFonts w:ascii="Times New Roman" w:hAnsi="Times New Roman"/>
                <w:b/>
                <w:noProof/>
              </w:rPr>
              <w:t>Povećavanje fleksibilnosti sustava skladištenjem i upravljanjem potrošnjom</w:t>
            </w:r>
            <w:bookmarkEnd w:id="60"/>
            <w:r>
              <w:rPr>
                <w:rFonts w:ascii="Times New Roman" w:hAnsi="Times New Roman"/>
                <w:b/>
                <w:noProof/>
              </w:rPr>
              <w:t xml:space="preserve"> </w:t>
            </w:r>
          </w:p>
        </w:tc>
      </w:tr>
      <w:tr w:rsidR="00E8217E" w:rsidRPr="00E91C04" w14:paraId="17C2AAAE"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37F187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DD9C4DA"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Države članice trebaju:</w:t>
            </w:r>
          </w:p>
          <w:p w14:paraId="1661A734"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brzo </w:t>
            </w:r>
            <w:r>
              <w:rPr>
                <w:rFonts w:ascii="Times New Roman" w:hAnsi="Times New Roman"/>
                <w:b/>
                <w:noProof/>
              </w:rPr>
              <w:t>provesti pravila EU-a o pristupu tržištu</w:t>
            </w:r>
            <w:r>
              <w:rPr>
                <w:rFonts w:ascii="Times New Roman" w:hAnsi="Times New Roman"/>
                <w:noProof/>
              </w:rPr>
              <w:t xml:space="preserve"> za skladištenje i upravljanje potrošnjom te </w:t>
            </w:r>
            <w:r>
              <w:rPr>
                <w:rFonts w:ascii="Times New Roman" w:hAnsi="Times New Roman"/>
                <w:b/>
                <w:noProof/>
              </w:rPr>
              <w:t>ukloniti nacionalne prepreke</w:t>
            </w:r>
            <w:r>
              <w:rPr>
                <w:rFonts w:ascii="Times New Roman" w:hAnsi="Times New Roman"/>
                <w:noProof/>
              </w:rPr>
              <w:t xml:space="preserve">. </w:t>
            </w:r>
          </w:p>
          <w:p w14:paraId="3B583EB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Komisija će:</w:t>
            </w:r>
          </w:p>
          <w:p w14:paraId="436B07F6"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pojasniti pravila o državnim potporama za programe nefosilnih rješenja za fleksibilnost</w:t>
            </w:r>
            <w:r>
              <w:rPr>
                <w:rFonts w:ascii="Times New Roman" w:hAnsi="Times New Roman"/>
                <w:noProof/>
              </w:rPr>
              <w:t xml:space="preserve"> u novom okviru za državne potpore, čime bi se državama članicama olakšalo osmišljavanje mehanizama potpore koji bi potrošače poticali da omoguće fleksibilnost sustava;</w:t>
            </w:r>
          </w:p>
          <w:p w14:paraId="7C1D5084"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donijeti nova pravila o upravljanju potrošnjom</w:t>
            </w:r>
            <w:r>
              <w:rPr>
                <w:rFonts w:ascii="Times New Roman" w:hAnsi="Times New Roman"/>
                <w:noProof/>
              </w:rPr>
              <w:t xml:space="preserve"> kako bi se osiguralo da potrošači mogu u potpunosti iskoristiti financijsku prednost fleksibilnosti. Tim će se pravilima ukloniti preostale prepreke koje otežavaju upravljanje potrošnjom i usluge skladištenja na unutarnjem tržištu električne energije;</w:t>
            </w:r>
          </w:p>
          <w:p w14:paraId="0BA6C43A" w14:textId="77777777" w:rsidR="00E8217E" w:rsidRPr="00E91C04" w:rsidRDefault="00E8217E" w:rsidP="00E8217E">
            <w:pPr>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zatražiti mišljenja država članica o instrumentu fleksibilnosti za čistu električnu energiju</w:t>
            </w:r>
            <w:r>
              <w:rPr>
                <w:rFonts w:ascii="Times New Roman" w:hAnsi="Times New Roman"/>
                <w:noProof/>
              </w:rPr>
              <w:t xml:space="preserve"> koji se temelji na ugovorima o kupnji energije i o predanosti industrije potrošnji čiste električne energije, pri čemu će osmisliti instrument tako da se u dovoljnoj mjeri ograniče rizici od narušavanja tržišnog natjecanja i utrka za subvencije na jedinstvenom tržištu, kako je propisano pravilima o državnim potporama.</w:t>
            </w:r>
          </w:p>
        </w:tc>
      </w:tr>
      <w:tr w:rsidR="00E8217E" w:rsidRPr="00E91C04" w14:paraId="3DAF6768"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21AA53D"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341C855"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Države članice trebale bi odmah ukloniti nacionalne prepreke. Revidirani okvir Komisije na temelju pravila o državnim potporama do drugog tromjesečja 2025.; nova pravila o upravljanju potrošnjom do prvog tromjesečja 2026.</w:t>
            </w:r>
          </w:p>
        </w:tc>
      </w:tr>
      <w:tr w:rsidR="00E8217E" w:rsidRPr="00E91C04" w14:paraId="20AC2714"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D1EC472"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062FDB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Potpuno ostvarenje elektroenergetskog sustava koji se temelji na integraciji tržišta, proizvodnji iz obnovljivih izvora i fleksibilnim kapacitetima moglo bi dovesti do </w:t>
            </w:r>
            <w:r>
              <w:rPr>
                <w:rFonts w:ascii="Times New Roman" w:hAnsi="Times New Roman"/>
                <w:b/>
                <w:noProof/>
              </w:rPr>
              <w:t>40 % nižih veleprodajnih cijena električne energije u EU-u</w:t>
            </w:r>
            <w:r>
              <w:rPr>
                <w:rFonts w:ascii="Times New Roman" w:hAnsi="Times New Roman"/>
                <w:noProof/>
              </w:rPr>
              <w:t>.</w:t>
            </w:r>
            <w:r w:rsidRPr="00E91C04">
              <w:rPr>
                <w:rFonts w:ascii="Times New Roman" w:eastAsia="Times New Roman" w:hAnsi="Times New Roman" w:cs="Times New Roman"/>
                <w:noProof/>
                <w:vertAlign w:val="superscript"/>
                <w:lang w:val="en-GB" w:eastAsia="en-IE"/>
              </w:rPr>
              <w:footnoteReference w:id="62"/>
            </w:r>
            <w:r>
              <w:rPr>
                <w:rFonts w:ascii="Times New Roman" w:hAnsi="Times New Roman"/>
                <w:noProof/>
              </w:rPr>
              <w:t xml:space="preserve"> Veća fleksibilnost može omogućiti znatne uštede troškova; procjene industrije pokazuju da bi se na taj način </w:t>
            </w:r>
            <w:r>
              <w:rPr>
                <w:rFonts w:ascii="Times New Roman" w:hAnsi="Times New Roman"/>
                <w:b/>
                <w:noProof/>
              </w:rPr>
              <w:t>štedjelo 2,7 milijardi eura godišnje do 2030. zbog smanjene potrebe za kapacitetima za vršnu proizvodnju.</w:t>
            </w:r>
            <w:r w:rsidRPr="00E91C04">
              <w:rPr>
                <w:rFonts w:ascii="Times New Roman" w:eastAsia="Times New Roman" w:hAnsi="Times New Roman" w:cs="Times New Roman"/>
                <w:noProof/>
                <w:vertAlign w:val="superscript"/>
                <w:lang w:val="en-GB" w:eastAsia="en-IE"/>
              </w:rPr>
              <w:footnoteReference w:id="63"/>
            </w:r>
            <w:r>
              <w:rPr>
                <w:rFonts w:ascii="Times New Roman" w:hAnsi="Times New Roman"/>
                <w:noProof/>
              </w:rPr>
              <w:t xml:space="preserve"> </w:t>
            </w:r>
          </w:p>
        </w:tc>
      </w:tr>
    </w:tbl>
    <w:p w14:paraId="0763FCC4" w14:textId="77777777" w:rsidR="00E8217E" w:rsidRPr="00E91C04" w:rsidRDefault="00E8217E" w:rsidP="00E8217E">
      <w:pPr>
        <w:keepNext/>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bookmarkStart w:id="61" w:name="_Toc185497213"/>
      <w:bookmarkStart w:id="62" w:name="_Toc185497245"/>
      <w:bookmarkStart w:id="63" w:name="_Toc189995487"/>
      <w:bookmarkStart w:id="64" w:name="_Toc185346398"/>
      <w:bookmarkStart w:id="65" w:name="_Toc185346860"/>
      <w:bookmarkStart w:id="66" w:name="_Toc185348730"/>
      <w:r>
        <w:rPr>
          <w:rFonts w:ascii="Times New Roman" w:hAnsi="Times New Roman"/>
          <w:noProof/>
          <w:sz w:val="24"/>
        </w:rPr>
        <w:t>Fleksibilnost potražnje trebala bi se promicati i na maloprodajnom tržištu kao aranžman u čijem se okviru nude niže cijene industrijama i potrošačima koji žele sudjelovati u integraciji energetskog sustava.</w:t>
      </w:r>
    </w:p>
    <w:tbl>
      <w:tblPr>
        <w:tblStyle w:val="TableGrid"/>
        <w:tblW w:w="0" w:type="auto"/>
        <w:tblLook w:val="04A0" w:firstRow="1" w:lastRow="0" w:firstColumn="1" w:lastColumn="0" w:noHBand="0" w:noVBand="1"/>
      </w:tblPr>
      <w:tblGrid>
        <w:gridCol w:w="1266"/>
        <w:gridCol w:w="7976"/>
      </w:tblGrid>
      <w:tr w:rsidR="00E8217E" w:rsidRPr="00E91C04" w14:paraId="0160B443"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1E49E28"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A942BC9"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r>
              <w:rPr>
                <w:rFonts w:ascii="Times New Roman" w:hAnsi="Times New Roman"/>
                <w:b/>
                <w:noProof/>
              </w:rPr>
              <w:t>Smjernice za promicanje naknade za fleksibilnost u maloprodajnim ugovorima</w:t>
            </w:r>
            <w:r>
              <w:rPr>
                <w:rFonts w:ascii="Times New Roman" w:hAnsi="Times New Roman"/>
                <w:noProof/>
              </w:rPr>
              <w:t> </w:t>
            </w:r>
          </w:p>
        </w:tc>
      </w:tr>
      <w:tr w:rsidR="00E8217E" w:rsidRPr="00E91C04" w14:paraId="2C96DC62"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5F0139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62BF92C"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noProof/>
              </w:rPr>
              <w:t>Komisija će:</w:t>
            </w:r>
          </w:p>
          <w:p w14:paraId="3002DB49" w14:textId="77777777" w:rsidR="00E8217E" w:rsidRPr="00E91C04" w:rsidRDefault="00E8217E" w:rsidP="00E8217E">
            <w:pPr>
              <w:keepNext/>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razviti </w:t>
            </w:r>
            <w:r>
              <w:rPr>
                <w:rFonts w:ascii="Times New Roman" w:hAnsi="Times New Roman"/>
                <w:b/>
                <w:noProof/>
              </w:rPr>
              <w:t>smjernice za promicanje naknade za fleksibilnost u maloprodajnim ugovorima</w:t>
            </w:r>
          </w:p>
          <w:p w14:paraId="78A3523D" w14:textId="77777777" w:rsidR="00E8217E" w:rsidRPr="00E91C04" w:rsidRDefault="00E8217E" w:rsidP="00E8217E">
            <w:pPr>
              <w:keepNext/>
              <w:numPr>
                <w:ilvl w:val="0"/>
                <w:numId w:val="14"/>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predložiti niz </w:t>
            </w:r>
            <w:r>
              <w:rPr>
                <w:rFonts w:ascii="Times New Roman" w:hAnsi="Times New Roman"/>
                <w:b/>
                <w:noProof/>
              </w:rPr>
              <w:t>standardiziranih tržišno utemeljenih sustava</w:t>
            </w:r>
            <w:r>
              <w:rPr>
                <w:rFonts w:ascii="Times New Roman" w:hAnsi="Times New Roman"/>
                <w:noProof/>
              </w:rPr>
              <w:t xml:space="preserve"> prilagođenih različitim industrijskim i drugim potrebama potrošača, nadovezujući se na sustave koji su već uspostavljeni u nekim državama članicama. </w:t>
            </w:r>
          </w:p>
        </w:tc>
      </w:tr>
      <w:tr w:rsidR="00E8217E" w:rsidRPr="00E91C04" w14:paraId="48BAC4A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2915692"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CB2F702" w14:textId="77777777" w:rsidR="00E8217E" w:rsidRPr="00E91C04" w:rsidRDefault="00E8217E" w:rsidP="00E8217E">
            <w:pPr>
              <w:jc w:val="both"/>
              <w:rPr>
                <w:rFonts w:ascii="Times New Roman" w:eastAsia="Times New Roman" w:hAnsi="Times New Roman" w:cs="Times New Roman"/>
                <w:noProof/>
                <w:color w:val="000000"/>
                <w:szCs w:val="24"/>
                <w14:ligatures w14:val="none"/>
              </w:rPr>
            </w:pPr>
            <w:r>
              <w:rPr>
                <w:rFonts w:ascii="Times New Roman" w:hAnsi="Times New Roman"/>
                <w:noProof/>
                <w:color w:val="000000"/>
              </w:rPr>
              <w:t>Četvrto tromjesečje 2025.</w:t>
            </w:r>
          </w:p>
        </w:tc>
      </w:tr>
      <w:tr w:rsidR="00E8217E" w:rsidRPr="00E91C04" w14:paraId="7F7EFD29" w14:textId="77777777" w:rsidTr="00E8217E">
        <w:trPr>
          <w:trHeight w:val="367"/>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016BB4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bookmarkStart w:id="67" w:name="_Hlk191224147"/>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1B0AED"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Pravedna </w:t>
            </w:r>
            <w:r>
              <w:rPr>
                <w:rFonts w:ascii="Times New Roman" w:hAnsi="Times New Roman"/>
                <w:b/>
                <w:noProof/>
              </w:rPr>
              <w:t>naknada potrošačima u maloprodajnim ugovorima za fleksibilnost može smanjiti njihove račune za električnu energiju za 12 do čak 42 %</w:t>
            </w:r>
            <w:r w:rsidRPr="00E91C04">
              <w:rPr>
                <w:rFonts w:ascii="Times New Roman" w:eastAsia="Times New Roman" w:hAnsi="Times New Roman" w:cs="Times New Roman"/>
                <w:noProof/>
                <w:vertAlign w:val="superscript"/>
                <w:lang w:val="en-GB" w:eastAsia="en-IE"/>
              </w:rPr>
              <w:footnoteReference w:id="64"/>
            </w:r>
            <w:r>
              <w:rPr>
                <w:rFonts w:ascii="Times New Roman" w:hAnsi="Times New Roman"/>
                <w:noProof/>
                <w:vertAlign w:val="superscript"/>
              </w:rPr>
              <w:t>,</w:t>
            </w:r>
            <w:r w:rsidRPr="00E91C04">
              <w:rPr>
                <w:rFonts w:ascii="Times New Roman" w:eastAsia="Times New Roman" w:hAnsi="Times New Roman" w:cs="Times New Roman"/>
                <w:noProof/>
                <w:vertAlign w:val="superscript"/>
                <w:lang w:val="en-GB" w:eastAsia="en-IE"/>
              </w:rPr>
              <w:footnoteReference w:id="65"/>
            </w:r>
            <w:r>
              <w:rPr>
                <w:rFonts w:ascii="Times New Roman" w:hAnsi="Times New Roman"/>
                <w:noProof/>
              </w:rPr>
              <w:t xml:space="preserve"> i donijeti </w:t>
            </w:r>
            <w:r>
              <w:rPr>
                <w:rFonts w:ascii="Times New Roman" w:hAnsi="Times New Roman"/>
                <w:b/>
                <w:noProof/>
              </w:rPr>
              <w:t>od 10 do 29 milijardi eura koristi</w:t>
            </w:r>
            <w:r>
              <w:rPr>
                <w:rFonts w:ascii="Times New Roman" w:hAnsi="Times New Roman"/>
                <w:noProof/>
              </w:rPr>
              <w:t xml:space="preserve"> zbog fleksibilnosti i integracije sustava.</w:t>
            </w:r>
            <w:r w:rsidRPr="00E91C04">
              <w:rPr>
                <w:rFonts w:ascii="Times New Roman" w:eastAsia="Times New Roman" w:hAnsi="Times New Roman" w:cs="Times New Roman"/>
                <w:noProof/>
                <w:vertAlign w:val="superscript"/>
                <w:lang w:val="en-GB" w:eastAsia="en-IE"/>
              </w:rPr>
              <w:footnoteReference w:id="66"/>
            </w:r>
            <w:r>
              <w:rPr>
                <w:rFonts w:ascii="Times New Roman" w:hAnsi="Times New Roman"/>
                <w:noProof/>
                <w:vertAlign w:val="superscript"/>
              </w:rPr>
              <w:t>,</w:t>
            </w:r>
            <w:r w:rsidRPr="00E91C04">
              <w:rPr>
                <w:rFonts w:ascii="Times New Roman" w:eastAsia="Times New Roman" w:hAnsi="Times New Roman" w:cs="Times New Roman"/>
                <w:noProof/>
                <w:vertAlign w:val="superscript"/>
                <w:lang w:val="en-GB" w:eastAsia="en-IE"/>
              </w:rPr>
              <w:footnoteReference w:id="67"/>
            </w:r>
          </w:p>
        </w:tc>
      </w:tr>
    </w:tbl>
    <w:bookmarkEnd w:id="67"/>
    <w:p w14:paraId="45C310A5"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r>
        <w:rPr>
          <w:rFonts w:ascii="Times New Roman" w:hAnsi="Times New Roman"/>
          <w:b/>
          <w:i/>
          <w:noProof/>
          <w:sz w:val="24"/>
          <w:u w:val="single"/>
        </w:rPr>
        <w:t>Mjera 3: Osiguravanje dobrog funkcioniranja tržišta plina</w:t>
      </w:r>
      <w:bookmarkEnd w:id="61"/>
      <w:bookmarkEnd w:id="62"/>
      <w:bookmarkEnd w:id="63"/>
      <w:bookmarkEnd w:id="64"/>
      <w:bookmarkEnd w:id="65"/>
      <w:bookmarkEnd w:id="66"/>
    </w:p>
    <w:p w14:paraId="6762626E"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Cijena uvezenog prirodnog plina izravno utječe na cijene električne energije i povećava volatilnost tržišta.  Veleprodajne cijene plina u EU-u još uvijek se nisu vratile na razine prije krize i u prosjeku su gotovo pet puta veće od onih u SAD-u, dok su prije krize bile dva ili tri puta veće.</w:t>
      </w:r>
      <w:r w:rsidRPr="00E91C04">
        <w:rPr>
          <w:rFonts w:ascii="Times New Roman" w:eastAsia="Yu Gothic Light" w:hAnsi="Times New Roman" w:cs="Times New Roman"/>
          <w:noProof/>
          <w:kern w:val="0"/>
          <w:sz w:val="24"/>
          <w:szCs w:val="24"/>
          <w:vertAlign w:val="superscript"/>
          <w:lang w:val="en-GB" w:eastAsia="en-IE"/>
        </w:rPr>
        <w:footnoteReference w:id="68"/>
      </w:r>
      <w:r>
        <w:rPr>
          <w:rFonts w:ascii="Times New Roman" w:hAnsi="Times New Roman"/>
          <w:noProof/>
          <w:sz w:val="24"/>
        </w:rPr>
        <w:t xml:space="preserve"> Ta razlika u cijenama utječe na konkurentnost europske industrije.  </w:t>
      </w:r>
    </w:p>
    <w:p w14:paraId="446703A8" w14:textId="55A0CF2E"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D13438"/>
          <w:kern w:val="0"/>
          <w:sz w:val="24"/>
          <w:szCs w:val="24"/>
          <w:u w:val="single"/>
          <w14:ligatures w14:val="none"/>
        </w:rPr>
      </w:pPr>
      <w:r>
        <w:rPr>
          <w:rFonts w:ascii="Times New Roman" w:hAnsi="Times New Roman"/>
          <w:noProof/>
          <w:sz w:val="24"/>
        </w:rPr>
        <w:t>Zbog važnosti tržišta plina za naše gospodarstvo ključno je osigurati njihovo optimalno funkcioniranje. Potpuni regulatorni nadzor i bliska suradnja energetskih i financijskih regulatora potrebni su kako bi se spriječilo manipuliranje tržištem i otklonile sve moguće rupe u zakonu povezane s bilo kakvim nedostatkom transparentnosti, asimetrijom informacija i rizikom od tržišne koncentracije. Stoga je početkom mjeseca Komisija osnovala radnu skupinu za tržište plina radi sveobuhvatnog nadzora tržišta prirodnog plina u EU-u i, prema potrebi, poduzimanja mjera kako bi se osiguralo njihovo optimalno funkcioniranje i spriječile poslovne prakse kojima se narušava tržišno određivanje cijena, na temelju iskustva stečenog tijekom energetske krize.</w:t>
      </w:r>
    </w:p>
    <w:p w14:paraId="3F041AE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Kako bi se brzo moglo riješiti problem nezakonitog ponašanja na tržištima plina, energetski i financijski regulatori trebali bi biti dovoljno opremljeni za praćenje tržišnih kretanja, otkrivanje i rješavanje svih mogućih slučajeva zlouporabe tržišta (tj. manipuliranja tržištem i trgovanja na temelju povlaštenih informacija). Suradnju u izvršavanju zakonodavstva i razmjeni podataka između nacionalnih energetskih i financijskih regulatora te između ACER-a i ESMA-e potrebno je poboljšati i podići na višu razinu. Države članice moraju osigurati da regulatorna tijela imaju sve potrebne ovlasti za provođenje i sankcioniranje zlouporabe tržišta te im osigurati resurse kako bi im istrage u tom području bile prioritet. Nadalje, ACER bi trebao u potpunosti iskoristiti svoje nove prekogranične istražne ovlasti kako bi pomogao nacionalnim energetskim regulatorima.  </w:t>
      </w:r>
    </w:p>
    <w:tbl>
      <w:tblPr>
        <w:tblStyle w:val="TableGrid"/>
        <w:tblW w:w="0" w:type="auto"/>
        <w:tblCellMar>
          <w:top w:w="28" w:type="dxa"/>
          <w:bottom w:w="28" w:type="dxa"/>
        </w:tblCellMar>
        <w:tblLook w:val="04A0" w:firstRow="1" w:lastRow="0" w:firstColumn="1" w:lastColumn="0" w:noHBand="0" w:noVBand="1"/>
      </w:tblPr>
      <w:tblGrid>
        <w:gridCol w:w="1267"/>
        <w:gridCol w:w="7975"/>
      </w:tblGrid>
      <w:tr w:rsidR="00E8217E" w:rsidRPr="00E91C04" w14:paraId="577880D8"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B87CADC"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7E1856"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r>
              <w:rPr>
                <w:rFonts w:ascii="Times New Roman" w:hAnsi="Times New Roman"/>
                <w:b/>
                <w:noProof/>
              </w:rPr>
              <w:t>Osiguravanje dobrog funkcioniranja tržišta plina</w:t>
            </w:r>
          </w:p>
        </w:tc>
      </w:tr>
      <w:tr w:rsidR="00E8217E" w:rsidRPr="00E91C04" w14:paraId="291C1CD9"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4F3C3F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6B2EC32" w14:textId="77777777" w:rsidR="00E8217E" w:rsidRPr="00E91C04" w:rsidRDefault="00E8217E" w:rsidP="00E8217E">
            <w:pPr>
              <w:keepNext/>
              <w:spacing w:after="60"/>
              <w:jc w:val="both"/>
              <w:rPr>
                <w:rFonts w:ascii="Times New Roman" w:eastAsia="Times New Roman" w:hAnsi="Times New Roman" w:cs="Times New Roman"/>
                <w:noProof/>
                <w14:ligatures w14:val="none"/>
              </w:rPr>
            </w:pPr>
            <w:r>
              <w:rPr>
                <w:rFonts w:ascii="Times New Roman" w:hAnsi="Times New Roman"/>
                <w:noProof/>
              </w:rPr>
              <w:t xml:space="preserve">Početkom mjeseca Komisija je osnovala </w:t>
            </w:r>
            <w:r>
              <w:rPr>
                <w:rFonts w:ascii="Times New Roman" w:hAnsi="Times New Roman"/>
                <w:b/>
                <w:noProof/>
              </w:rPr>
              <w:t>radnu skupinu za tržište plina</w:t>
            </w:r>
            <w:r>
              <w:rPr>
                <w:rFonts w:ascii="Times New Roman" w:hAnsi="Times New Roman"/>
                <w:noProof/>
              </w:rPr>
              <w:t xml:space="preserve"> radi sveobuhvatnog nadzora tržišta prirodnog plina u EU-u i, prema potrebi, poduzimanja mjera kako bi se osiguralo njihovo optimalno funkcioniranje i spriječile poslovne prakse kojima se narušava tržišno određivanje cijena, na temelju iskustva stečenog tijekom energetske krize. Komisija će pokrenuti </w:t>
            </w:r>
            <w:r>
              <w:rPr>
                <w:rFonts w:ascii="Times New Roman" w:hAnsi="Times New Roman"/>
                <w:b/>
                <w:noProof/>
              </w:rPr>
              <w:t>opsežno savjetovanje s dionicima</w:t>
            </w:r>
            <w:r>
              <w:rPr>
                <w:rFonts w:ascii="Times New Roman" w:hAnsi="Times New Roman"/>
                <w:noProof/>
              </w:rPr>
              <w:t xml:space="preserve"> radi procjene potrebe za </w:t>
            </w:r>
            <w:r>
              <w:rPr>
                <w:rFonts w:ascii="Times New Roman" w:hAnsi="Times New Roman"/>
                <w:b/>
                <w:noProof/>
              </w:rPr>
              <w:t>daljnjim zakonodavnim izmjenama</w:t>
            </w:r>
            <w:r>
              <w:rPr>
                <w:rFonts w:ascii="Times New Roman" w:hAnsi="Times New Roman"/>
                <w:noProof/>
              </w:rPr>
              <w:t xml:space="preserve"> kako bi se osigurao potpun i neometan regulatorni nadzor, uskladila i ojačala pravila o energiji i financijskom tržištu (MiFID/REMIT) te smanjilo administrativno opterećenje poduzeća koja trguju na financijskim tržištima energije (jedinstveno izvješćivanje). Obuhvatit će razne aspekte regulatornog okvira</w:t>
            </w:r>
            <w:r w:rsidRPr="00E91C04">
              <w:rPr>
                <w:rFonts w:ascii="Times New Roman" w:eastAsia="Times New Roman" w:hAnsi="Times New Roman" w:cs="Times New Roman"/>
                <w:noProof/>
                <w:vertAlign w:val="superscript"/>
                <w:lang w:val="en-GB" w:eastAsia="en-IE"/>
              </w:rPr>
              <w:footnoteReference w:id="69"/>
            </w:r>
            <w:r>
              <w:rPr>
                <w:rFonts w:ascii="Times New Roman" w:hAnsi="Times New Roman"/>
                <w:noProof/>
              </w:rPr>
              <w:t xml:space="preserve">, zajednički nadzorni pristup energetskih i financijskih regulatora te stvaranje zajedničke usklađene baze podataka svih relevantnih tržišnih podataka s punim pristupom svim regulatornim tijelima. Obuhvatit će i određene aspekte funkcioniranja promptnih tržišta, kao što je primjena zahtjeva sličnih onima iz financijskih pravila za promptne burze energije. </w:t>
            </w:r>
          </w:p>
        </w:tc>
      </w:tr>
      <w:tr w:rsidR="00E8217E" w:rsidRPr="00E91C04" w14:paraId="215A5F8C"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68B6CC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DD8CDC2"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Radna skupine za tržište plina završit će s radom do četvrtog tromjesečja 2025.</w:t>
            </w:r>
          </w:p>
        </w:tc>
      </w:tr>
      <w:tr w:rsidR="00E8217E" w:rsidRPr="00E91C04" w14:paraId="6BE75E91" w14:textId="77777777" w:rsidTr="0085545F">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310500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DC0CE4"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 xml:space="preserve">Razvoj ugovora za uvoz plina, napuštanjem naftne indeksacije i </w:t>
            </w:r>
            <w:r>
              <w:rPr>
                <w:rFonts w:ascii="Times New Roman" w:hAnsi="Times New Roman"/>
                <w:b/>
                <w:noProof/>
              </w:rPr>
              <w:t xml:space="preserve">određivanjem cijena plina po tzv. </w:t>
            </w:r>
            <w:r>
              <w:rPr>
                <w:rFonts w:ascii="Times New Roman" w:hAnsi="Times New Roman"/>
                <w:b/>
                <w:i/>
                <w:noProof/>
              </w:rPr>
              <w:t>gas-on-gas</w:t>
            </w:r>
            <w:r>
              <w:rPr>
                <w:rFonts w:ascii="Times New Roman" w:hAnsi="Times New Roman"/>
                <w:b/>
                <w:noProof/>
              </w:rPr>
              <w:t xml:space="preserve"> načelu, već je u posljednjih deset godina donio uštede za EU oko 67 milijardi eura</w:t>
            </w:r>
            <w:r>
              <w:rPr>
                <w:rFonts w:ascii="Times New Roman" w:hAnsi="Times New Roman"/>
                <w:noProof/>
              </w:rPr>
              <w:t>.</w:t>
            </w:r>
            <w:r w:rsidRPr="00E91C04">
              <w:rPr>
                <w:rFonts w:ascii="Times New Roman" w:eastAsia="Times New Roman" w:hAnsi="Times New Roman" w:cs="Times New Roman"/>
                <w:noProof/>
                <w:vertAlign w:val="superscript"/>
                <w:lang w:val="en-GB" w:eastAsia="en-IE"/>
              </w:rPr>
              <w:footnoteReference w:id="70"/>
            </w:r>
            <w:r>
              <w:rPr>
                <w:rFonts w:ascii="Times New Roman" w:hAnsi="Times New Roman"/>
                <w:noProof/>
              </w:rPr>
              <w:t xml:space="preserve"> Integracija tržišta plina u EU-u stvara neto koristi zbog konvergencije cijena i transparentnosti.</w:t>
            </w:r>
            <w:r w:rsidRPr="00E91C04">
              <w:rPr>
                <w:rFonts w:ascii="Times New Roman" w:eastAsia="Times New Roman" w:hAnsi="Times New Roman" w:cs="Times New Roman"/>
                <w:noProof/>
                <w:vertAlign w:val="superscript"/>
                <w:lang w:val="en-GB" w:eastAsia="en-IE"/>
              </w:rPr>
              <w:footnoteReference w:id="71"/>
            </w:r>
            <w:r>
              <w:rPr>
                <w:rFonts w:ascii="Times New Roman" w:hAnsi="Times New Roman"/>
                <w:noProof/>
              </w:rPr>
              <w:t xml:space="preserve"> Radna skupina za tržište plina usredotočit će se na osiguravanje da tržišta plina dobro funkcioniraju i da se cijene na tim tržištima formiraju na tržišnim načelima.</w:t>
            </w:r>
          </w:p>
        </w:tc>
      </w:tr>
    </w:tbl>
    <w:p w14:paraId="2623D56A"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U slučajevima kad je to moguće trebalo bi razmotriti alternative uvozu prirodnog plina, posebno u obliku elektrifikacije ili poticanja proizvodnje bioplina i biometana u skladu s planom REPowerEU. </w:t>
      </w:r>
      <w:bookmarkStart w:id="68" w:name="_Toc189995488"/>
      <w:bookmarkStart w:id="69" w:name="_Toc185497215"/>
      <w:bookmarkStart w:id="70" w:name="_Toc185497247"/>
      <w:bookmarkStart w:id="71" w:name="_Toc185346400"/>
      <w:bookmarkStart w:id="72" w:name="_Toc185346862"/>
      <w:bookmarkStart w:id="73" w:name="_Toc185348732"/>
      <w:r>
        <w:rPr>
          <w:rFonts w:ascii="Times New Roman" w:hAnsi="Times New Roman"/>
          <w:noProof/>
          <w:sz w:val="24"/>
        </w:rPr>
        <w:t xml:space="preserve">Agregiranje potražnje i zajednička nabava mogu imati važnu ulogu u bržem stvaranju tržišta za izvore energije i materijale potrebne za proizvodnju čiste energije. Objedinjavanjem svoje potražnje i donošenjem strategija zajedničke nabave u skladu s pravilima EU-a o tržišnom natjecanju kupci iz EU-a mogu iskoristiti svoju zajedničku ekonomsku snagu, ojačati svoj pregovarački položaj i dogovoriti bolje uvjete s dobavljačima. Taj je pristup usvojio i Japan, koji ima dugogodišnju politiku podupiranja ulaganja u izvoznu infrastrukturu u zemljama koje proizvode ukapljeni prirodni plin (UPP). Zajedničku kupovnu moć EU-a trebalo bi iskoristiti i ispitati mogućnosti dugoročnijih ugovornih aranžmana kako bi cijene bile stabilnije, primjerice osiguravanjem prava na ukapljivanje plina ili opcijskim ugovorima. Imajući na umu konkurentnost EU-a, geopolitička pitanja i klimatske ciljeve, EU i/ili države članice također bi mogli pomoći uvoznicima iz EU-a da izravno ulažu u izvoznu infrastrukturu u inozemstvu, pružajući povlaštene zajmove privatnim ulagačima. </w:t>
      </w:r>
    </w:p>
    <w:p w14:paraId="47BF1D59"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bookmarkStart w:id="74" w:name="_Hlk190463636"/>
      <w:r>
        <w:rPr>
          <w:rFonts w:ascii="Times New Roman" w:hAnsi="Times New Roman"/>
          <w:noProof/>
          <w:sz w:val="24"/>
        </w:rPr>
        <w:t>Osim toga, bolja koordinacija među državama članicama i više fleksibilnosti u punjenju, uz potporu Komisije, mogu doprinijeti smanjenju opterećenja sustava i sprečavanju tržišne neravnoteže povezane s ponovnim punjenjem skladišta plina; time se promiče ponovno punjenje pri nižim cijenama</w:t>
      </w:r>
      <w:bookmarkEnd w:id="74"/>
      <w:r>
        <w:rPr>
          <w:rFonts w:ascii="Times New Roman" w:hAnsi="Times New Roman"/>
          <w:noProof/>
          <w:sz w:val="24"/>
        </w:rPr>
        <w:t xml:space="preserve"> i sigurnost opskrbe</w:t>
      </w:r>
      <w:r>
        <w:rPr>
          <w:rFonts w:ascii="Times New Roman" w:hAnsi="Times New Roman"/>
          <w:i/>
          <w:noProof/>
          <w:sz w:val="24"/>
        </w:rPr>
        <w:t>.</w:t>
      </w:r>
    </w:p>
    <w:tbl>
      <w:tblPr>
        <w:tblStyle w:val="TableGrid"/>
        <w:tblW w:w="9320" w:type="dxa"/>
        <w:tblLook w:val="04A0" w:firstRow="1" w:lastRow="0" w:firstColumn="1" w:lastColumn="0" w:noHBand="0" w:noVBand="1"/>
      </w:tblPr>
      <w:tblGrid>
        <w:gridCol w:w="1250"/>
        <w:gridCol w:w="8070"/>
      </w:tblGrid>
      <w:tr w:rsidR="00E8217E" w:rsidRPr="00E91C04" w14:paraId="68315656"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09D5B102"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65F44CC0" w14:textId="77777777" w:rsidR="00E8217E" w:rsidRPr="00E91C04" w:rsidRDefault="00E8217E" w:rsidP="00E8217E">
            <w:pPr>
              <w:spacing w:before="100" w:beforeAutospacing="1" w:after="100" w:afterAutospacing="1"/>
              <w:jc w:val="both"/>
              <w:outlineLvl w:val="3"/>
              <w:rPr>
                <w:rFonts w:ascii="Times New Roman" w:eastAsia="Times New Roman" w:hAnsi="Times New Roman" w:cs="Times New Roman"/>
                <w:b/>
                <w:bCs/>
                <w:noProof/>
                <w14:ligatures w14:val="none"/>
              </w:rPr>
            </w:pPr>
            <w:bookmarkStart w:id="75" w:name="_Ref185508937"/>
            <w:r>
              <w:rPr>
                <w:rFonts w:ascii="Times New Roman" w:hAnsi="Times New Roman"/>
                <w:b/>
                <w:noProof/>
              </w:rPr>
              <w:t>Iskorištavanje kupovne moći EU-a kako bi se prirodni plin uvozio po povoljnijoj cijeni</w:t>
            </w:r>
            <w:bookmarkEnd w:id="75"/>
          </w:p>
        </w:tc>
      </w:tr>
      <w:tr w:rsidR="00E8217E" w:rsidRPr="00E91C04" w14:paraId="466F8122"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47CA135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2E557C67"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noProof/>
              </w:rPr>
              <w:t>Komisija će:</w:t>
            </w:r>
          </w:p>
          <w:p w14:paraId="209235F0" w14:textId="77777777" w:rsidR="00E8217E" w:rsidRPr="00E91C04" w:rsidRDefault="00E8217E" w:rsidP="00E8217E">
            <w:pPr>
              <w:numPr>
                <w:ilvl w:val="0"/>
                <w:numId w:val="15"/>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odmah </w:t>
            </w:r>
            <w:r>
              <w:rPr>
                <w:rFonts w:ascii="Times New Roman" w:hAnsi="Times New Roman"/>
                <w:b/>
                <w:noProof/>
              </w:rPr>
              <w:t>pokrenuti suradnju s pouzdanim dobavljačima UPP-a kako bi se pronašli dodatni troškovno konkurentni izvori</w:t>
            </w:r>
            <w:r>
              <w:rPr>
                <w:rFonts w:ascii="Times New Roman" w:hAnsi="Times New Roman"/>
                <w:noProof/>
              </w:rPr>
              <w:t xml:space="preserve"> među postojećim i budućim projektima izvoznika UPP-a; </w:t>
            </w:r>
          </w:p>
          <w:p w14:paraId="242C0CB5" w14:textId="77777777" w:rsidR="00E8217E" w:rsidRPr="00E91C04" w:rsidRDefault="00E8217E" w:rsidP="00E8217E">
            <w:pPr>
              <w:numPr>
                <w:ilvl w:val="0"/>
                <w:numId w:val="15"/>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predložiti, među ostalim, </w:t>
            </w:r>
            <w:r>
              <w:rPr>
                <w:rFonts w:ascii="Times New Roman" w:hAnsi="Times New Roman"/>
                <w:b/>
                <w:noProof/>
              </w:rPr>
              <w:t>agregiranje potražnje za poduzeća iz EU-a</w:t>
            </w:r>
            <w:r>
              <w:rPr>
                <w:rFonts w:ascii="Times New Roman" w:hAnsi="Times New Roman"/>
                <w:noProof/>
              </w:rPr>
              <w:t xml:space="preserve"> koja sklapaju ugovore o preradi u postrojenjima za UPP širom svijeta i ugovore o opciji za isporuku UPP-a s pouzdanim proizvođačima UPP-a;</w:t>
            </w:r>
          </w:p>
          <w:p w14:paraId="48F05166" w14:textId="153907BB" w:rsidR="00E8217E" w:rsidRPr="00E91C04" w:rsidRDefault="00E8217E" w:rsidP="00E8217E">
            <w:pPr>
              <w:numPr>
                <w:ilvl w:val="0"/>
                <w:numId w:val="15"/>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osim agregiranja potražnje, razmo</w:t>
            </w:r>
            <w:r w:rsidR="009B66B4">
              <w:rPr>
                <w:rFonts w:ascii="Times New Roman" w:hAnsi="Times New Roman"/>
                <w:b/>
                <w:noProof/>
              </w:rPr>
              <w:t>t</w:t>
            </w:r>
            <w:r>
              <w:rPr>
                <w:rFonts w:ascii="Times New Roman" w:hAnsi="Times New Roman"/>
                <w:b/>
                <w:noProof/>
              </w:rPr>
              <w:t>riti i druge mogućnosti</w:t>
            </w:r>
            <w:r>
              <w:rPr>
                <w:rFonts w:ascii="Times New Roman" w:hAnsi="Times New Roman"/>
                <w:noProof/>
              </w:rPr>
              <w:t xml:space="preserve"> (npr. japanski model).</w:t>
            </w:r>
          </w:p>
        </w:tc>
      </w:tr>
      <w:tr w:rsidR="00E8217E" w:rsidRPr="00E91C04" w14:paraId="2ACB3B21"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3EB9CF5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79541C3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Prvo i drugo tromjesečje 2025.</w:t>
            </w:r>
          </w:p>
        </w:tc>
      </w:tr>
      <w:tr w:rsidR="00E8217E" w:rsidRPr="00E91C04" w14:paraId="26E9B113" w14:textId="77777777" w:rsidTr="00E8217E">
        <w:trPr>
          <w:trHeight w:val="300"/>
        </w:trPr>
        <w:tc>
          <w:tcPr>
            <w:tcW w:w="1250" w:type="dxa"/>
            <w:tcBorders>
              <w:top w:val="single" w:sz="4" w:space="0" w:color="FFFFFF"/>
              <w:left w:val="single" w:sz="4" w:space="0" w:color="FFFFFF"/>
              <w:bottom w:val="single" w:sz="4" w:space="0" w:color="FFFFFF"/>
              <w:right w:val="single" w:sz="4" w:space="0" w:color="FFFFFF"/>
            </w:tcBorders>
            <w:shd w:val="clear" w:color="auto" w:fill="8EAADB"/>
            <w:hideMark/>
          </w:tcPr>
          <w:p w14:paraId="51A83009"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0" w:type="dxa"/>
            <w:tcBorders>
              <w:top w:val="single" w:sz="4" w:space="0" w:color="FFFFFF"/>
              <w:left w:val="single" w:sz="4" w:space="0" w:color="FFFFFF"/>
              <w:bottom w:val="single" w:sz="4" w:space="0" w:color="FFFFFF"/>
              <w:right w:val="single" w:sz="4" w:space="0" w:color="FFFFFF"/>
            </w:tcBorders>
            <w:shd w:val="clear" w:color="auto" w:fill="D9E2F3"/>
            <w:hideMark/>
          </w:tcPr>
          <w:p w14:paraId="3C47BB50"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Bolje mogućnosti za kupce iz EU-a da osiguraju potrebne količine UPP-a u okviru dugoročnih ugovora mogu ih zaštititi od nestabilnosti cijena i omogućiti niže cijene, bliže onima na svjetskom tržištu. Zaštita potrošača u EU-u od nestabilnosti cijena fosilnih goriva može dovesti do znatnog </w:t>
            </w:r>
            <w:r>
              <w:rPr>
                <w:rFonts w:ascii="Times New Roman" w:hAnsi="Times New Roman"/>
                <w:b/>
                <w:noProof/>
              </w:rPr>
              <w:t>kratkoročnog smanjenja maloprodajnih cijena</w:t>
            </w:r>
            <w:r>
              <w:rPr>
                <w:rFonts w:ascii="Times New Roman" w:hAnsi="Times New Roman"/>
                <w:noProof/>
              </w:rPr>
              <w:t>.</w:t>
            </w:r>
          </w:p>
        </w:tc>
      </w:tr>
    </w:tbl>
    <w:p w14:paraId="6E3AE48A"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r>
        <w:rPr>
          <w:rFonts w:ascii="Times New Roman" w:hAnsi="Times New Roman"/>
          <w:b/>
          <w:i/>
          <w:noProof/>
          <w:sz w:val="24"/>
          <w:u w:val="single"/>
        </w:rPr>
        <w:t>Mjera 4: Energetska učinkovitost i uštede energije</w:t>
      </w:r>
      <w:bookmarkEnd w:id="68"/>
    </w:p>
    <w:p w14:paraId="645E7CA4"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Energetska učinkovitost ključni je čimbenik koji pomaže da energija za industriju i kućanstva bude cjenovno pristupačna, a industrija konkurentna. Energetska učinkovitost ublažava učinak visokih i nestabilnih cijena energije na račune potrošača.  Industrija EU-a smanjila je svoju potrošnju energije za otprilike 20 % u usporedbi s 2000., a istodobno povećala industrijsku proizvodnju. Kako bi se EU lakše nosio s aktualnim problemima, trebalo bi maksimalno iskoristiti rješenja za energetsku učinkovitost. Poticanje jedinstvenog tržišta usluga energetske učinkovitosti pomoći će Europljanima da pronađu najbolje rješenje kako bi smanjili svoje račune za energiju, posebno u slučajevima kada su početni troškovi visoki.</w:t>
      </w:r>
      <w:r w:rsidRPr="00E91C04">
        <w:rPr>
          <w:rFonts w:ascii="Times New Roman" w:eastAsia="Times New Roman" w:hAnsi="Times New Roman" w:cs="Times New Roman"/>
          <w:noProof/>
          <w:kern w:val="0"/>
          <w:sz w:val="24"/>
          <w:szCs w:val="24"/>
          <w:vertAlign w:val="superscript"/>
          <w:lang w:val="en-GB" w:eastAsia="en-IE"/>
        </w:rPr>
        <w:footnoteReference w:id="72"/>
      </w:r>
      <w:r>
        <w:rPr>
          <w:rFonts w:ascii="Times New Roman" w:hAnsi="Times New Roman"/>
          <w:noProof/>
          <w:sz w:val="24"/>
        </w:rPr>
        <w:t xml:space="preserve"> Poboljšano tržište za pružatelje energetske učinkovitosti može pomoći većem broju poduzeća da dobiju savjete o učinkovitim rješenjima, na primjer za ponovnu uporabu procesne topline. </w:t>
      </w:r>
    </w:p>
    <w:tbl>
      <w:tblPr>
        <w:tblW w:w="0" w:type="auto"/>
        <w:tblCellMar>
          <w:left w:w="0" w:type="dxa"/>
          <w:right w:w="0" w:type="dxa"/>
        </w:tblCellMar>
        <w:tblLook w:val="04A0" w:firstRow="1" w:lastRow="0" w:firstColumn="1" w:lastColumn="0" w:noHBand="0" w:noVBand="1"/>
      </w:tblPr>
      <w:tblGrid>
        <w:gridCol w:w="1266"/>
        <w:gridCol w:w="7976"/>
      </w:tblGrid>
      <w:tr w:rsidR="00E8217E" w:rsidRPr="00E91C04" w14:paraId="0A5991C4" w14:textId="77777777" w:rsidTr="00E8217E">
        <w:trPr>
          <w:trHeight w:val="300"/>
        </w:trPr>
        <w:tc>
          <w:tcPr>
            <w:tcW w:w="1270" w:type="dxa"/>
            <w:tcBorders>
              <w:top w:val="single" w:sz="8" w:space="0" w:color="FFFFFF"/>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17E078D2" w14:textId="77777777" w:rsidR="00E8217E" w:rsidRPr="00E91C04" w:rsidRDefault="00E8217E" w:rsidP="00E8217E">
            <w:pPr>
              <w:keepNext/>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bookmarkStart w:id="76" w:name="_Ref189735444"/>
            <w:r>
              <w:rPr>
                <w:rFonts w:ascii="Times New Roman" w:hAnsi="Times New Roman"/>
                <w:noProof/>
                <w:color w:val="FFFFFF"/>
              </w:rPr>
              <w:t>Što?</w:t>
            </w:r>
            <w:bookmarkEnd w:id="76"/>
          </w:p>
        </w:tc>
        <w:tc>
          <w:tcPr>
            <w:tcW w:w="8070" w:type="dxa"/>
            <w:tcBorders>
              <w:top w:val="single" w:sz="8" w:space="0" w:color="FFFFFF"/>
              <w:left w:val="nil"/>
              <w:bottom w:val="single" w:sz="8" w:space="0" w:color="FFFFFF"/>
              <w:right w:val="single" w:sz="8" w:space="0" w:color="FFFFFF"/>
            </w:tcBorders>
            <w:shd w:val="clear" w:color="auto" w:fill="D9E2F3"/>
            <w:tcMar>
              <w:top w:w="0" w:type="dxa"/>
              <w:left w:w="108" w:type="dxa"/>
              <w:bottom w:w="0" w:type="dxa"/>
              <w:right w:w="108" w:type="dxa"/>
            </w:tcMar>
            <w:hideMark/>
          </w:tcPr>
          <w:p w14:paraId="1987D095" w14:textId="77777777" w:rsidR="00E8217E" w:rsidRPr="00E91C04" w:rsidRDefault="00E8217E" w:rsidP="00E8217E">
            <w:pPr>
              <w:keepNext/>
              <w:spacing w:before="100" w:beforeAutospacing="1" w:after="100" w:afterAutospacing="1" w:line="240" w:lineRule="auto"/>
              <w:jc w:val="both"/>
              <w:outlineLvl w:val="3"/>
              <w:rPr>
                <w:rFonts w:ascii="Times New Roman" w:eastAsia="Times New Roman" w:hAnsi="Times New Roman" w:cs="Times New Roman"/>
                <w:b/>
                <w:bCs/>
                <w:noProof/>
                <w:kern w:val="0"/>
                <w14:ligatures w14:val="none"/>
              </w:rPr>
            </w:pPr>
            <w:bookmarkStart w:id="77" w:name="_Ref189735449"/>
            <w:r>
              <w:rPr>
                <w:rFonts w:ascii="Times New Roman" w:hAnsi="Times New Roman"/>
                <w:b/>
                <w:noProof/>
              </w:rPr>
              <w:t>Tržište energetske učinkovitosti s europskom dimenzijom</w:t>
            </w:r>
            <w:bookmarkEnd w:id="77"/>
          </w:p>
        </w:tc>
      </w:tr>
      <w:tr w:rsidR="00E8217E" w:rsidRPr="00E91C04" w14:paraId="6356D275" w14:textId="77777777" w:rsidTr="00E8217E">
        <w:trPr>
          <w:trHeight w:val="990"/>
        </w:trPr>
        <w:tc>
          <w:tcPr>
            <w:tcW w:w="1270" w:type="dxa"/>
            <w:tcBorders>
              <w:top w:val="nil"/>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2939B112"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r>
              <w:rPr>
                <w:rFonts w:ascii="Times New Roman" w:hAnsi="Times New Roman"/>
                <w:noProof/>
                <w:color w:val="FFFFFF"/>
              </w:rPr>
              <w:t>Kako?</w:t>
            </w:r>
          </w:p>
        </w:tc>
        <w:tc>
          <w:tcPr>
            <w:tcW w:w="807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54AC11A" w14:textId="77777777" w:rsidR="00E8217E" w:rsidRPr="00E91C04" w:rsidRDefault="00E8217E" w:rsidP="00E8217E">
            <w:pPr>
              <w:spacing w:after="60" w:line="240" w:lineRule="auto"/>
              <w:jc w:val="both"/>
              <w:rPr>
                <w:rFonts w:ascii="Times New Roman" w:eastAsia="Times New Roman" w:hAnsi="Times New Roman" w:cs="Times New Roman"/>
                <w:noProof/>
                <w:kern w:val="0"/>
                <w14:ligatures w14:val="none"/>
              </w:rPr>
            </w:pPr>
            <w:r>
              <w:rPr>
                <w:rFonts w:ascii="Times New Roman" w:hAnsi="Times New Roman"/>
                <w:noProof/>
              </w:rPr>
              <w:t xml:space="preserve">U okviru </w:t>
            </w:r>
            <w:r>
              <w:rPr>
                <w:rFonts w:ascii="Times New Roman" w:hAnsi="Times New Roman"/>
                <w:b/>
                <w:noProof/>
              </w:rPr>
              <w:t>Europske koalicije za financiranje energetske učinkovitosti</w:t>
            </w:r>
            <w:r>
              <w:rPr>
                <w:rFonts w:ascii="Times New Roman" w:hAnsi="Times New Roman"/>
                <w:noProof/>
              </w:rPr>
              <w:t xml:space="preserve"> Komisija će poboljšati pristup kapitalu i pružiti financijske poticaje sudionicima na tržištu koji poduzećima nude rješenja za energetsku učinkovitost. </w:t>
            </w:r>
          </w:p>
          <w:p w14:paraId="3FDED9D0" w14:textId="77777777" w:rsidR="00E8217E" w:rsidRPr="00E91C04" w:rsidRDefault="00E8217E" w:rsidP="00E8217E">
            <w:pPr>
              <w:keepNext/>
              <w:spacing w:after="60" w:line="240" w:lineRule="auto"/>
              <w:jc w:val="both"/>
              <w:rPr>
                <w:rFonts w:ascii="Calibri" w:eastAsia="Yu Mincho" w:hAnsi="Calibri" w:cs="Arial"/>
                <w:noProof/>
                <w:kern w:val="0"/>
                <w14:ligatures w14:val="none"/>
              </w:rPr>
            </w:pPr>
            <w:r>
              <w:rPr>
                <w:rFonts w:ascii="Times New Roman" w:hAnsi="Times New Roman"/>
                <w:noProof/>
              </w:rPr>
              <w:t xml:space="preserve">Komisija će </w:t>
            </w:r>
            <w:r>
              <w:rPr>
                <w:rFonts w:ascii="Times New Roman" w:hAnsi="Times New Roman"/>
                <w:b/>
                <w:noProof/>
              </w:rPr>
              <w:t>ispitati mogućnost daljnje potpore programu Grupe EIB-a za energetsku učinkovitost u malim i srednjim poduzećima</w:t>
            </w:r>
            <w:r>
              <w:rPr>
                <w:rFonts w:ascii="Times New Roman" w:hAnsi="Times New Roman"/>
                <w:noProof/>
              </w:rPr>
              <w:t>, s ciljem povećanja konkurentnosti europskih MSP-ova, promicanja donošenja energetski učinkovitih rješenja uz pomoć energije iz obnovljivih izvora te jačanja otpornosti na klimatske promjene.</w:t>
            </w:r>
            <w:r>
              <w:rPr>
                <w:rFonts w:ascii="Aptos" w:hAnsi="Aptos"/>
                <w:i/>
                <w:noProof/>
                <w:sz w:val="24"/>
              </w:rPr>
              <w:t xml:space="preserve"> </w:t>
            </w:r>
            <w:r>
              <w:rPr>
                <w:rFonts w:ascii="Times New Roman" w:hAnsi="Times New Roman"/>
                <w:noProof/>
              </w:rPr>
              <w:t xml:space="preserve">Komisija će u suradnji s Grupom EIB-a </w:t>
            </w:r>
            <w:r>
              <w:rPr>
                <w:rFonts w:ascii="Times New Roman" w:hAnsi="Times New Roman"/>
                <w:b/>
                <w:noProof/>
              </w:rPr>
              <w:t>ispitati mogućnost uspostave sustava jamstava EU-a</w:t>
            </w:r>
            <w:r>
              <w:rPr>
                <w:rFonts w:ascii="Times New Roman" w:hAnsi="Times New Roman"/>
                <w:noProof/>
              </w:rPr>
              <w:t xml:space="preserve"> s ciljem udvostručavanja usluga energetske učinkovitosti. </w:t>
            </w:r>
            <w:r>
              <w:rPr>
                <w:rFonts w:ascii="Times New Roman" w:hAnsi="Times New Roman"/>
                <w:b/>
                <w:noProof/>
              </w:rPr>
              <w:t>Pilot-projekt</w:t>
            </w:r>
            <w:r>
              <w:rPr>
                <w:rFonts w:ascii="Times New Roman" w:hAnsi="Times New Roman"/>
                <w:noProof/>
              </w:rPr>
              <w:t xml:space="preserve">, potencijalno kao dio operacije mješovitog financiranja u okviru programa InvestEU s programom LIFE CET za tehničku pomoć, predviđen je za 2026. Za to će biti potrebna dodatna sredstva iz programa InvestEU, koja će se dobiti optimizacijom upotrebe jamstva EU-a koje je trenutačno dostupno u različitim mandatima EU-a, uključujući mandate iz prethodnog programskog razdoblja.  </w:t>
            </w:r>
          </w:p>
        </w:tc>
      </w:tr>
      <w:tr w:rsidR="00E8217E" w:rsidRPr="00E91C04" w14:paraId="15E2E0AD" w14:textId="77777777" w:rsidTr="00E8217E">
        <w:trPr>
          <w:trHeight w:val="300"/>
        </w:trPr>
        <w:tc>
          <w:tcPr>
            <w:tcW w:w="1270" w:type="dxa"/>
            <w:tcBorders>
              <w:top w:val="nil"/>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14D4C0CD"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r>
              <w:rPr>
                <w:rFonts w:ascii="Times New Roman" w:hAnsi="Times New Roman"/>
                <w:noProof/>
                <w:color w:val="FFFFFF"/>
              </w:rPr>
              <w:t>Kada?</w:t>
            </w:r>
          </w:p>
        </w:tc>
        <w:tc>
          <w:tcPr>
            <w:tcW w:w="807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0F53A56" w14:textId="77777777" w:rsidR="00E8217E" w:rsidRPr="00E91C04" w:rsidRDefault="00E8217E" w:rsidP="00E8217E">
            <w:pPr>
              <w:spacing w:after="0" w:line="240" w:lineRule="auto"/>
              <w:jc w:val="both"/>
              <w:rPr>
                <w:rFonts w:ascii="Times New Roman" w:eastAsia="Times New Roman" w:hAnsi="Times New Roman" w:cs="Times New Roman"/>
                <w:noProof/>
                <w:kern w:val="0"/>
                <w14:ligatures w14:val="none"/>
              </w:rPr>
            </w:pPr>
            <w:r>
              <w:rPr>
                <w:rFonts w:ascii="Times New Roman" w:hAnsi="Times New Roman"/>
                <w:noProof/>
                <w:color w:val="000000"/>
              </w:rPr>
              <w:t>Prvi nacrt programa jamstava: u četvrtom tromjesečju 2025. Pokretanje partnerstva: u trećem tromjesečju 2025.</w:t>
            </w:r>
          </w:p>
          <w:p w14:paraId="1ACBC21F" w14:textId="77777777" w:rsidR="00E8217E" w:rsidRPr="00E91C04" w:rsidRDefault="00E8217E" w:rsidP="00E8217E">
            <w:pPr>
              <w:spacing w:after="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Procjena tržišta na razini EU-a za program certificiranja uštede energije: do četvrtog tromjesečja 2025.</w:t>
            </w:r>
          </w:p>
        </w:tc>
      </w:tr>
      <w:tr w:rsidR="00E8217E" w:rsidRPr="00E91C04" w14:paraId="6B784701" w14:textId="77777777" w:rsidTr="00E8217E">
        <w:trPr>
          <w:trHeight w:val="300"/>
        </w:trPr>
        <w:tc>
          <w:tcPr>
            <w:tcW w:w="1270" w:type="dxa"/>
            <w:tcBorders>
              <w:top w:val="nil"/>
              <w:left w:val="single" w:sz="8" w:space="0" w:color="FFFFFF"/>
              <w:bottom w:val="single" w:sz="8" w:space="0" w:color="FFFFFF"/>
              <w:right w:val="single" w:sz="8" w:space="0" w:color="FFFFFF"/>
            </w:tcBorders>
            <w:shd w:val="clear" w:color="auto" w:fill="8EAADB"/>
            <w:tcMar>
              <w:top w:w="0" w:type="dxa"/>
              <w:left w:w="108" w:type="dxa"/>
              <w:bottom w:w="0" w:type="dxa"/>
              <w:right w:w="108" w:type="dxa"/>
            </w:tcMar>
            <w:hideMark/>
          </w:tcPr>
          <w:p w14:paraId="3BD21647"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FFFFFF"/>
                <w:kern w:val="0"/>
                <w14:ligatures w14:val="none"/>
              </w:rPr>
            </w:pPr>
            <w:r>
              <w:rPr>
                <w:rFonts w:ascii="Times New Roman" w:hAnsi="Times New Roman"/>
                <w:noProof/>
                <w:color w:val="FFFFFF"/>
              </w:rPr>
              <w:t>Rezultati</w:t>
            </w:r>
          </w:p>
        </w:tc>
        <w:tc>
          <w:tcPr>
            <w:tcW w:w="8070"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05AD7BF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rPr>
              <w:t>Povećanje ponude mogućnosti za financiranje proizvoda energetske učinkovitosti.</w:t>
            </w:r>
            <w:r>
              <w:rPr>
                <w:rFonts w:ascii="Times New Roman" w:hAnsi="Times New Roman"/>
                <w:noProof/>
                <w:color w:val="000000"/>
              </w:rPr>
              <w:t xml:space="preserve"> To se želi postići putem poduzeća za energetske usluge (ESCO)</w:t>
            </w:r>
            <w:r>
              <w:rPr>
                <w:rFonts w:ascii="Times New Roman" w:eastAsia="Times New Roman" w:hAnsi="Times New Roman" w:cs="Times New Roman"/>
                <w:noProof/>
                <w:kern w:val="0"/>
                <w:vertAlign w:val="superscript"/>
                <w:lang w:eastAsia="en-IE"/>
              </w:rPr>
              <w:footnoteReference w:id="73"/>
            </w:r>
            <w:r>
              <w:rPr>
                <w:rFonts w:ascii="Times New Roman" w:hAnsi="Times New Roman"/>
                <w:noProof/>
                <w:color w:val="000000"/>
              </w:rPr>
              <w:t xml:space="preserve">, </w:t>
            </w:r>
            <w:r>
              <w:rPr>
                <w:rFonts w:ascii="Times New Roman" w:hAnsi="Times New Roman"/>
                <w:b/>
                <w:noProof/>
                <w:color w:val="000000"/>
              </w:rPr>
              <w:t>a cilj je udvostručenje tržišta ESCO-a na 4 – 6 milijardi eura godišnje</w:t>
            </w:r>
            <w:r>
              <w:rPr>
                <w:rFonts w:ascii="Times New Roman" w:hAnsi="Times New Roman"/>
                <w:noProof/>
                <w:color w:val="000000"/>
              </w:rPr>
              <w:t xml:space="preserve"> i mogućnost da potrošači uštede od 25 – 30 % za obnovu zgrada i do 70 – 80 %</w:t>
            </w:r>
            <w:r w:rsidRPr="00E91C04">
              <w:rPr>
                <w:rFonts w:ascii="Times New Roman" w:eastAsia="Times New Roman" w:hAnsi="Times New Roman" w:cs="Times New Roman"/>
                <w:noProof/>
                <w:color w:val="000000"/>
                <w:kern w:val="0"/>
                <w:vertAlign w:val="superscript"/>
                <w:lang w:val="en-GB" w:eastAsia="en-IE"/>
              </w:rPr>
              <w:footnoteReference w:id="74"/>
            </w:r>
            <w:r>
              <w:rPr>
                <w:rFonts w:ascii="Times New Roman" w:hAnsi="Times New Roman"/>
                <w:noProof/>
                <w:color w:val="000000"/>
              </w:rPr>
              <w:t xml:space="preserve"> za javnu rasvjetu.</w:t>
            </w:r>
          </w:p>
        </w:tc>
      </w:tr>
    </w:tbl>
    <w:p w14:paraId="0048E0A3"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Nadalje, </w:t>
      </w:r>
      <w:r>
        <w:rPr>
          <w:rFonts w:ascii="Times New Roman" w:hAnsi="Times New Roman"/>
          <w:b/>
          <w:noProof/>
          <w:sz w:val="24"/>
        </w:rPr>
        <w:t>energetski učinkoviti proizvodi odmah smanjuju račune za energiju</w:t>
      </w:r>
      <w:r>
        <w:rPr>
          <w:rFonts w:ascii="Times New Roman" w:hAnsi="Times New Roman"/>
          <w:noProof/>
          <w:sz w:val="24"/>
        </w:rPr>
        <w:t xml:space="preserve">. Međutim, uvoz velikog broja nesukladnih proizvoda  iz trećih zemalja narušava konkurentnost dobavljača iz EU-a i smanjuje koristi za građane i poduzeća. </w:t>
      </w:r>
    </w:p>
    <w:tbl>
      <w:tblPr>
        <w:tblStyle w:val="TableGrid"/>
        <w:tblW w:w="0" w:type="auto"/>
        <w:tblLook w:val="04A0" w:firstRow="1" w:lastRow="0" w:firstColumn="1" w:lastColumn="0" w:noHBand="0" w:noVBand="1"/>
      </w:tblPr>
      <w:tblGrid>
        <w:gridCol w:w="1267"/>
        <w:gridCol w:w="7975"/>
      </w:tblGrid>
      <w:tr w:rsidR="00E8217E" w:rsidRPr="00E91C04" w14:paraId="3FBDE5E0"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6DE76A7"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F7AA94E"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78" w:name="_Ref189735457"/>
            <w:r>
              <w:rPr>
                <w:rFonts w:ascii="Times New Roman" w:hAnsi="Times New Roman"/>
                <w:b/>
                <w:noProof/>
              </w:rPr>
              <w:t>Potrošačima omogućiti pristup učinkovitijim uređajima i proizvodima s duljim životnim vijekom</w:t>
            </w:r>
            <w:bookmarkEnd w:id="78"/>
          </w:p>
        </w:tc>
      </w:tr>
      <w:tr w:rsidR="00E8217E" w:rsidRPr="00E91C04" w14:paraId="3A8FFFCE"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328971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738D48C"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Države članice, nacionalna tijela za nadzor tržišta i carinska tijela trebali bi poboljšati </w:t>
            </w:r>
            <w:r>
              <w:rPr>
                <w:rFonts w:ascii="Times New Roman" w:hAnsi="Times New Roman"/>
                <w:b/>
                <w:noProof/>
              </w:rPr>
              <w:t>nacionalni nadzor tržišta i izvršavanje zakonodavstva</w:t>
            </w:r>
            <w:r>
              <w:rPr>
                <w:rFonts w:ascii="Times New Roman" w:hAnsi="Times New Roman"/>
                <w:noProof/>
              </w:rPr>
              <w:t xml:space="preserve">, uključujući carinu i internetska tržišta. U skladu s Komunikacijom o e-trgovini EU podupire njihovo djelovanje i daljnju suradnju s internetskim tržištima. </w:t>
            </w:r>
          </w:p>
          <w:p w14:paraId="5A3EE97B"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noProof/>
              </w:rPr>
              <w:t xml:space="preserve">Komisija će </w:t>
            </w:r>
            <w:r>
              <w:rPr>
                <w:rFonts w:ascii="Times New Roman" w:hAnsi="Times New Roman"/>
                <w:b/>
                <w:noProof/>
              </w:rPr>
              <w:t>ažurirati pravila EU-a o označivanju energetske učinkovitosti i ekološkom dizajnu</w:t>
            </w:r>
            <w:r>
              <w:rPr>
                <w:rFonts w:ascii="Times New Roman" w:hAnsi="Times New Roman"/>
                <w:noProof/>
              </w:rPr>
              <w:t>, razmjenjivati najbolje prakse, poboljšavati informatičke alate</w:t>
            </w:r>
            <w:r>
              <w:rPr>
                <w:rFonts w:ascii="Times New Roman" w:eastAsia="Yu Gothic Light" w:hAnsi="Times New Roman" w:cs="Times New Roman"/>
                <w:noProof/>
                <w:vertAlign w:val="superscript"/>
                <w:lang w:val="en-GB" w:eastAsia="en-IE"/>
              </w:rPr>
              <w:footnoteReference w:id="75"/>
            </w:r>
            <w:r>
              <w:rPr>
                <w:rFonts w:ascii="Times New Roman" w:hAnsi="Times New Roman"/>
                <w:noProof/>
              </w:rPr>
              <w:t xml:space="preserve"> i olakšavati usklađenost operatora pružanjem jasnijih informacija i smjernica. Države članice trebale bi razmotriti mogućnost uvođenja poticaja za potrošače da stare kućanske uređaje zamijene energetski učinkovitim alternativama.</w:t>
            </w:r>
          </w:p>
        </w:tc>
      </w:tr>
      <w:tr w:rsidR="00E8217E" w:rsidRPr="00E91C04" w14:paraId="1EBC00B2"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1555FC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348E669"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Odmah</w:t>
            </w:r>
          </w:p>
        </w:tc>
      </w:tr>
      <w:tr w:rsidR="00E8217E" w:rsidRPr="00E91C04" w14:paraId="56B5B851"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D73692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F951E3C"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Procjenjuje se da su pravila jedinstvenog tržišta EU-a za energetski učinkovite uređaje i proizvode </w:t>
            </w:r>
            <w:r>
              <w:rPr>
                <w:rFonts w:ascii="Times New Roman" w:hAnsi="Times New Roman"/>
                <w:b/>
                <w:noProof/>
              </w:rPr>
              <w:t>2023. donijela uštede od oko 120 milijardi eura na računima za energiju</w:t>
            </w:r>
            <w:r>
              <w:rPr>
                <w:rFonts w:ascii="Times New Roman" w:hAnsi="Times New Roman"/>
                <w:noProof/>
              </w:rPr>
              <w:t xml:space="preserve">, a procjenjuje se da će do </w:t>
            </w:r>
            <w:r>
              <w:rPr>
                <w:rFonts w:ascii="Times New Roman" w:hAnsi="Times New Roman"/>
                <w:b/>
                <w:noProof/>
              </w:rPr>
              <w:t>2030. te uštede porasti na oko 162 milijarde eura</w:t>
            </w:r>
            <w:r>
              <w:rPr>
                <w:rFonts w:ascii="Times New Roman" w:hAnsi="Times New Roman"/>
                <w:noProof/>
              </w:rPr>
              <w:t>.</w:t>
            </w:r>
            <w:r>
              <w:rPr>
                <w:rFonts w:ascii="Times New Roman" w:eastAsia="Times New Roman" w:hAnsi="Times New Roman" w:cs="Times New Roman"/>
                <w:noProof/>
                <w:vertAlign w:val="superscript"/>
                <w:lang w:val="en-GB" w:eastAsia="en-IE"/>
              </w:rPr>
              <w:footnoteReference w:id="76"/>
            </w:r>
            <w:r>
              <w:rPr>
                <w:rFonts w:ascii="Times New Roman" w:hAnsi="Times New Roman"/>
                <w:noProof/>
              </w:rPr>
              <w:t xml:space="preserve"> Međutim, oko 1</w:t>
            </w:r>
            <w:r>
              <w:rPr>
                <w:rFonts w:ascii="Times New Roman" w:hAnsi="Times New Roman"/>
                <w:noProof/>
                <w:sz w:val="24"/>
              </w:rPr>
              <w:t>0</w:t>
            </w:r>
            <w:r>
              <w:rPr>
                <w:rFonts w:ascii="Times New Roman" w:hAnsi="Times New Roman"/>
                <w:noProof/>
              </w:rPr>
              <w:t xml:space="preserve"> % (tj. više od </w:t>
            </w:r>
            <w:r>
              <w:rPr>
                <w:rFonts w:ascii="Times New Roman" w:hAnsi="Times New Roman"/>
                <w:b/>
                <w:noProof/>
              </w:rPr>
              <w:t>1</w:t>
            </w:r>
            <w:r>
              <w:rPr>
                <w:rFonts w:ascii="Times New Roman" w:hAnsi="Times New Roman"/>
                <w:b/>
                <w:noProof/>
                <w:sz w:val="24"/>
              </w:rPr>
              <w:t>0</w:t>
            </w:r>
            <w:r>
              <w:rPr>
                <w:rFonts w:ascii="Times New Roman" w:hAnsi="Times New Roman"/>
                <w:b/>
                <w:noProof/>
              </w:rPr>
              <w:t xml:space="preserve"> milijardi eura</w:t>
            </w:r>
            <w:r>
              <w:rPr>
                <w:rFonts w:ascii="Times New Roman" w:hAnsi="Times New Roman"/>
                <w:noProof/>
              </w:rPr>
              <w:t>) izgubi se svake godine zbog prodaje nesukladnih proizvoda.</w:t>
            </w:r>
            <w:r>
              <w:rPr>
                <w:rFonts w:ascii="Times New Roman" w:eastAsia="Times New Roman" w:hAnsi="Times New Roman" w:cs="Times New Roman"/>
                <w:noProof/>
                <w:vertAlign w:val="superscript"/>
                <w:lang w:val="en-GB" w:eastAsia="en-IE"/>
              </w:rPr>
              <w:footnoteReference w:id="77"/>
            </w:r>
            <w:r>
              <w:rPr>
                <w:rFonts w:ascii="Times New Roman" w:hAnsi="Times New Roman"/>
                <w:noProof/>
              </w:rPr>
              <w:t xml:space="preserve"> </w:t>
            </w:r>
          </w:p>
        </w:tc>
      </w:tr>
    </w:tbl>
    <w:p w14:paraId="146CD112" w14:textId="77777777" w:rsidR="00E8217E" w:rsidRPr="00E91C04" w:rsidRDefault="00E8217E" w:rsidP="00E8217E">
      <w:pPr>
        <w:keepNext/>
        <w:keepLines/>
        <w:spacing w:before="360" w:after="100" w:afterAutospacing="1" w:line="240" w:lineRule="auto"/>
        <w:jc w:val="both"/>
        <w:outlineLvl w:val="1"/>
        <w:rPr>
          <w:rFonts w:ascii="Times New Roman" w:eastAsia="Yu Gothic Light" w:hAnsi="Times New Roman" w:cs="Times New Roman"/>
          <w:b/>
          <w:iCs/>
          <w:noProof/>
          <w:color w:val="000000"/>
          <w:kern w:val="0"/>
          <w:sz w:val="28"/>
          <w:szCs w:val="28"/>
          <w14:ligatures w14:val="none"/>
        </w:rPr>
      </w:pPr>
      <w:bookmarkStart w:id="79" w:name="_Toc189229473"/>
      <w:bookmarkStart w:id="80" w:name="_Toc189995489"/>
      <w:bookmarkEnd w:id="79"/>
      <w:r>
        <w:rPr>
          <w:rFonts w:ascii="Times New Roman" w:hAnsi="Times New Roman"/>
          <w:b/>
          <w:noProof/>
          <w:color w:val="000000"/>
          <w:sz w:val="28"/>
        </w:rPr>
        <w:t>Stup II.: Dovršetak energetske unije</w:t>
      </w:r>
      <w:bookmarkEnd w:id="80"/>
    </w:p>
    <w:p w14:paraId="2D9D6A9E"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Bez obzira na naše uspjehe u izgradnji međusobno povezanog energetskog tržišta, potpuna energetska unija još nije dovršena. Budući da se EU suočava s rastućim troškovima energije koji opterećuju kućanstva i štete konkurentnosti industrije, posebno u energetski intenzivnim sektorima, očita je potreba za transformativnim pristupom. Zato moramo nastaviti raditi na dugoročnijim, strukturnim mjerama koje će nam donijeti čišću i jeftiniju energiju koja nam je potrebna i koje će nas približiti potpunoj energetskoj uniji, uključujući povećanje ulaganja u istraživanje i inovacije usmjerene na rješenja za čistu energiju. EU mora napredovati prema elektrifikaciji i potpuno integriranom jedinstvenom energetskom tržištu, postići ciljeve međupovezanosti i iskoristiti komplementarnosti među državama članicama kako bi se stvorila potpuna energetska unija od koje svi imaju koristi.</w:t>
      </w:r>
    </w:p>
    <w:p w14:paraId="0B100964"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Ovaj Akcijski plan prvi je korak prema većoj međusobnoj povezanosti i integraciji. Komisija će u narednim mjesecima pokrenuti niz inicijativa usmjerenih na bolje upravljanje energetskom unijom, uvođenje čiste energije, veću sigurnost opskrbe i smanjenje računa građana i poduzeća.</w:t>
      </w:r>
    </w:p>
    <w:p w14:paraId="0144FA94"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1" w:name="_Toc189995490"/>
      <w:r>
        <w:rPr>
          <w:rFonts w:ascii="Times New Roman" w:hAnsi="Times New Roman"/>
          <w:b/>
          <w:i/>
          <w:noProof/>
          <w:sz w:val="24"/>
          <w:u w:val="single"/>
        </w:rPr>
        <w:t>Mjera 5: Dovršetak energetske unije</w:t>
      </w:r>
      <w:bookmarkEnd w:id="81"/>
      <w:r>
        <w:rPr>
          <w:rFonts w:ascii="Times New Roman" w:hAnsi="Times New Roman"/>
          <w:b/>
          <w:i/>
          <w:noProof/>
          <w:sz w:val="24"/>
          <w:u w:val="single"/>
        </w:rPr>
        <w:t xml:space="preserve"> </w:t>
      </w:r>
    </w:p>
    <w:p w14:paraId="4E4DAA8D"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Nadovezujući se na uspjeh plana REPowerEU, koji je potaknuo proizvodnju čiste energije i diversificiranu opskrbu energijom, ti će se ciljevi dodatno poduprijeti novim </w:t>
      </w:r>
      <w:r>
        <w:rPr>
          <w:rFonts w:ascii="Times New Roman" w:hAnsi="Times New Roman"/>
          <w:b/>
          <w:noProof/>
          <w:sz w:val="24"/>
        </w:rPr>
        <w:t>Akcijskim planom za elektrifikaciju</w:t>
      </w:r>
      <w:r>
        <w:rPr>
          <w:rFonts w:ascii="Times New Roman" w:hAnsi="Times New Roman"/>
          <w:noProof/>
          <w:sz w:val="24"/>
        </w:rPr>
        <w:t xml:space="preserve"> (prvo tromjesečje 2026.) i </w:t>
      </w:r>
      <w:r>
        <w:rPr>
          <w:rFonts w:ascii="Times New Roman" w:hAnsi="Times New Roman"/>
          <w:b/>
          <w:noProof/>
          <w:sz w:val="24"/>
        </w:rPr>
        <w:t>Strategijom za grijanje i hlađenje</w:t>
      </w:r>
      <w:r>
        <w:rPr>
          <w:rFonts w:ascii="Times New Roman" w:hAnsi="Times New Roman"/>
          <w:noProof/>
          <w:sz w:val="24"/>
        </w:rPr>
        <w:t xml:space="preserve"> (prvo tromjesečje 2026.). Ambiciozna </w:t>
      </w:r>
      <w:r>
        <w:rPr>
          <w:rFonts w:ascii="Times New Roman" w:hAnsi="Times New Roman"/>
          <w:b/>
          <w:noProof/>
          <w:sz w:val="24"/>
        </w:rPr>
        <w:t>elektrifikacija</w:t>
      </w:r>
      <w:r>
        <w:rPr>
          <w:rFonts w:ascii="Times New Roman" w:hAnsi="Times New Roman"/>
          <w:noProof/>
          <w:sz w:val="24"/>
        </w:rPr>
        <w:t xml:space="preserve"> energetskog sustava i povećavanje proizvodnje iz čistih izvora </w:t>
      </w:r>
      <w:r>
        <w:rPr>
          <w:rFonts w:ascii="Times New Roman" w:hAnsi="Times New Roman"/>
          <w:b/>
          <w:noProof/>
          <w:sz w:val="24"/>
        </w:rPr>
        <w:t>povećat će energetsku učinkovitost energetskog sektora</w:t>
      </w:r>
      <w:r>
        <w:rPr>
          <w:rFonts w:ascii="Times New Roman" w:hAnsi="Times New Roman"/>
          <w:noProof/>
          <w:sz w:val="24"/>
        </w:rPr>
        <w:t xml:space="preserve"> u cjelini, </w:t>
      </w:r>
      <w:r>
        <w:rPr>
          <w:rFonts w:ascii="Times New Roman" w:hAnsi="Times New Roman"/>
          <w:b/>
          <w:noProof/>
          <w:sz w:val="24"/>
        </w:rPr>
        <w:t>pomoći u dekarbonizaciji</w:t>
      </w:r>
      <w:r>
        <w:rPr>
          <w:rFonts w:ascii="Times New Roman" w:hAnsi="Times New Roman"/>
          <w:noProof/>
          <w:sz w:val="24"/>
        </w:rPr>
        <w:t xml:space="preserve"> industrije, mobilnosti i sektora grijanja i hlađenja te </w:t>
      </w:r>
      <w:r>
        <w:rPr>
          <w:rFonts w:ascii="Times New Roman" w:hAnsi="Times New Roman"/>
          <w:b/>
          <w:noProof/>
          <w:sz w:val="24"/>
        </w:rPr>
        <w:t>povećati udio čiste i domaće proizvodnje energije</w:t>
      </w:r>
      <w:r>
        <w:rPr>
          <w:rFonts w:ascii="Times New Roman" w:hAnsi="Times New Roman"/>
          <w:noProof/>
          <w:sz w:val="24"/>
        </w:rPr>
        <w:t>. Tim će se inicijativama do 2030. smanjiti naša ovisnost o fosilnim gorivima i godišnje uštedjeti milijarde. Poreznim olakšicama za industrijsku elektrifikaciju može se promicati elektrifikacija i pomoći industriji EU-a da postane konkurentnija jer bi to smanjilo cijenu takve opreme i povećalo njezinu prodaju i prihvaćanje kod potrošača.</w:t>
      </w:r>
    </w:p>
    <w:p w14:paraId="1494B234"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Digitalizacija je još jedan izvor uštede za potrošače, ali i potencijalna ranjivost. Komisija će 2026. donijeti </w:t>
      </w:r>
      <w:r>
        <w:rPr>
          <w:rFonts w:ascii="Times New Roman" w:hAnsi="Times New Roman"/>
          <w:b/>
          <w:noProof/>
          <w:sz w:val="24"/>
        </w:rPr>
        <w:t>Strateški plan za digitalizaciju i umjetnu inteligenciju za energetski sektor</w:t>
      </w:r>
      <w:r>
        <w:rPr>
          <w:rFonts w:ascii="Times New Roman" w:hAnsi="Times New Roman"/>
          <w:noProof/>
          <w:sz w:val="24"/>
        </w:rPr>
        <w:t xml:space="preserve"> kako bi se ubrzalo uvođenje europskih rješenja umjetne inteligencije u područjima kao što su optimizacija elektroenergetske mreže, energetska učinkovitost zgrada i industrije te fleksibilnost potražnje. Osim toga, poticat će istraživanja i inovacije koji se temelje na umjetnoj inteligenciji povezivanjem start-up poduzeća s energetskim poduzećima uz istodobno osiguravanje snažnih zaštitnih mjera za kibersigurnost, privatnost i sigurnost podataka. Komisija će </w:t>
      </w:r>
      <w:r>
        <w:rPr>
          <w:rFonts w:ascii="Times New Roman" w:hAnsi="Times New Roman"/>
          <w:b/>
          <w:noProof/>
          <w:sz w:val="24"/>
        </w:rPr>
        <w:t>ispitati i sve veću potrošnju energije u podatkovnim centrima</w:t>
      </w:r>
      <w:r w:rsidRPr="00E91C04">
        <w:rPr>
          <w:rFonts w:ascii="Times New Roman" w:eastAsia="Times New Roman" w:hAnsi="Times New Roman" w:cs="Times New Roman"/>
          <w:noProof/>
          <w:kern w:val="0"/>
          <w:sz w:val="24"/>
          <w:szCs w:val="24"/>
          <w:vertAlign w:val="superscript"/>
          <w:lang w:val="en-GB" w:eastAsia="en-IE"/>
        </w:rPr>
        <w:footnoteReference w:id="78"/>
      </w:r>
      <w:r>
        <w:rPr>
          <w:rFonts w:ascii="Times New Roman" w:hAnsi="Times New Roman"/>
          <w:noProof/>
          <w:sz w:val="24"/>
          <w:vertAlign w:val="superscript"/>
        </w:rPr>
        <w:t>,</w:t>
      </w:r>
      <w:r>
        <w:rPr>
          <w:rFonts w:ascii="Times New Roman" w:eastAsia="Times New Roman" w:hAnsi="Times New Roman" w:cs="Times New Roman"/>
          <w:noProof/>
          <w:kern w:val="0"/>
          <w:sz w:val="24"/>
          <w:szCs w:val="24"/>
          <w:vertAlign w:val="superscript"/>
          <w:lang w:val="en-GB" w:eastAsia="en-IE"/>
        </w:rPr>
        <w:footnoteReference w:id="79"/>
      </w:r>
      <w:r>
        <w:rPr>
          <w:rFonts w:ascii="Times New Roman" w:hAnsi="Times New Roman"/>
          <w:noProof/>
          <w:sz w:val="24"/>
        </w:rPr>
        <w:t xml:space="preserve"> te promicati njihovu održivu integraciju u energetski sustav. Podatkovni centri mogli bi povećati pritisak na energetski sustav i povećati cijene energije, posebno uzimajući u obzir sposobnost podatkovnih centara da u nadmetanju za energiju ponude višu cijenu nego drugi potrošači. </w:t>
      </w:r>
    </w:p>
    <w:p w14:paraId="27851EB4" w14:textId="77777777" w:rsidR="00E8217E" w:rsidRPr="00E91C04" w:rsidRDefault="00E8217E" w:rsidP="00E8217E">
      <w:pPr>
        <w:spacing w:before="240" w:after="240" w:line="240" w:lineRule="auto"/>
        <w:jc w:val="both"/>
        <w:rPr>
          <w:rFonts w:ascii="Times New Roman" w:eastAsia="Times New Roman" w:hAnsi="Times New Roman" w:cs="Times New Roman"/>
          <w:b/>
          <w:noProof/>
          <w:color w:val="000000"/>
          <w:kern w:val="0"/>
          <w:sz w:val="24"/>
          <w:szCs w:val="24"/>
          <w14:ligatures w14:val="none"/>
        </w:rPr>
      </w:pPr>
      <w:r>
        <w:rPr>
          <w:rFonts w:ascii="Times New Roman" w:hAnsi="Times New Roman"/>
          <w:noProof/>
          <w:sz w:val="24"/>
        </w:rPr>
        <w:t>S druge strane,</w:t>
      </w:r>
      <w:r>
        <w:rPr>
          <w:rFonts w:ascii="Times New Roman" w:hAnsi="Times New Roman"/>
          <w:b/>
          <w:noProof/>
          <w:sz w:val="24"/>
        </w:rPr>
        <w:t xml:space="preserve"> Strateški plan EU-a za energetsku tehnologiju</w:t>
      </w:r>
      <w:r>
        <w:rPr>
          <w:rFonts w:ascii="Times New Roman" w:hAnsi="Times New Roman"/>
          <w:noProof/>
          <w:sz w:val="24"/>
        </w:rPr>
        <w:t xml:space="preserve"> (plan SET) pomaže u rješavanju aktualnog problema rascjepkanosti portfelja istraživanja i inovacija u EU-a u području čiste energije i elektrifikacije.</w:t>
      </w:r>
      <w:r>
        <w:rPr>
          <w:rFonts w:ascii="Times New Roman" w:hAnsi="Times New Roman"/>
          <w:noProof/>
          <w:color w:val="000000"/>
          <w:sz w:val="24"/>
        </w:rPr>
        <w:t xml:space="preserve"> Potrebno je učiniti više kako bi EU dostigao cilj u smislu javnih i privatnih ulaganja u istraživanja i inovacije u iznosu od 3 % BDP-a.</w:t>
      </w:r>
      <w:r w:rsidRPr="00E91C04">
        <w:rPr>
          <w:rFonts w:ascii="Times New Roman" w:eastAsia="Times New Roman" w:hAnsi="Times New Roman" w:cs="Times New Roman"/>
          <w:noProof/>
          <w:color w:val="000000"/>
          <w:kern w:val="0"/>
          <w:sz w:val="24"/>
          <w:szCs w:val="24"/>
          <w:vertAlign w:val="superscript"/>
          <w:lang w:val="en-GB" w:eastAsia="en-IE"/>
        </w:rPr>
        <w:footnoteReference w:id="80"/>
      </w:r>
      <w:r>
        <w:rPr>
          <w:rFonts w:ascii="Times New Roman" w:hAnsi="Times New Roman"/>
          <w:noProof/>
          <w:color w:val="000000"/>
          <w:sz w:val="24"/>
          <w:vertAlign w:val="superscript"/>
        </w:rPr>
        <w:t>,</w:t>
      </w:r>
      <w:r w:rsidRPr="00E91C04">
        <w:rPr>
          <w:rFonts w:ascii="Times New Roman" w:eastAsia="Times New Roman" w:hAnsi="Times New Roman" w:cs="Times New Roman"/>
          <w:noProof/>
          <w:color w:val="000000"/>
          <w:kern w:val="0"/>
          <w:sz w:val="24"/>
          <w:szCs w:val="24"/>
          <w:vertAlign w:val="superscript"/>
          <w:lang w:val="en-GB" w:eastAsia="en-IE"/>
        </w:rPr>
        <w:footnoteReference w:id="81"/>
      </w:r>
      <w:r>
        <w:rPr>
          <w:rFonts w:ascii="Times New Roman" w:hAnsi="Times New Roman"/>
          <w:noProof/>
          <w:color w:val="000000"/>
          <w:sz w:val="24"/>
        </w:rPr>
        <w:t xml:space="preserve"> Komisija će poticati inovacije, posebno koordinacijom s državama članicama putem Upravljačke skupine za plan SET osnovane Aktom o industriji s nultom neto stopom emisija.</w:t>
      </w:r>
      <w:r w:rsidRPr="00E91C04">
        <w:rPr>
          <w:rFonts w:ascii="Times New Roman" w:eastAsia="Times New Roman" w:hAnsi="Times New Roman" w:cs="Times New Roman"/>
          <w:noProof/>
          <w:color w:val="000000"/>
          <w:kern w:val="0"/>
          <w:sz w:val="24"/>
          <w:szCs w:val="24"/>
          <w:vertAlign w:val="superscript"/>
          <w:lang w:val="en-GB" w:eastAsia="en-IE"/>
        </w:rPr>
        <w:footnoteReference w:id="82"/>
      </w:r>
      <w:r>
        <w:rPr>
          <w:rFonts w:ascii="Times New Roman" w:hAnsi="Times New Roman"/>
          <w:noProof/>
          <w:color w:val="000000"/>
          <w:sz w:val="24"/>
        </w:rPr>
        <w:t xml:space="preserve"> Osim toga, predložit će se</w:t>
      </w:r>
      <w:r>
        <w:rPr>
          <w:rFonts w:ascii="Times New Roman" w:hAnsi="Times New Roman"/>
          <w:b/>
          <w:noProof/>
          <w:color w:val="000000"/>
          <w:sz w:val="24"/>
        </w:rPr>
        <w:t xml:space="preserve"> strategija za fuziju</w:t>
      </w:r>
      <w:r>
        <w:rPr>
          <w:rFonts w:ascii="Times New Roman" w:hAnsi="Times New Roman"/>
          <w:noProof/>
          <w:color w:val="000000"/>
          <w:sz w:val="24"/>
        </w:rPr>
        <w:t>, uključujući stvaranje javno-privatnih partnerstava kako bi se ubrzala komercijalizacija, za potporu fuziji kao inovativnom, dekarboniziranom izvoru energije za budućnost.</w:t>
      </w:r>
    </w:p>
    <w:p w14:paraId="38F7A081"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Kako bi ostvario svoje energetske i klimatske ciljeve, EU-u je od 2021. do 2030. potrebno više od 570 milijardi EUR godišnje, a od 2031. do 2040. 690 milijardi EUR godišnje za ulaganja u energiju iz obnovljivih izvora, uključujući solarnu energiju, energiju vjetra i biomasu, energetsku učinkovitost i kapacitet mreže. Komisija će procijeniti i potrebe za ulaganjima u nuklearnu energiju</w:t>
      </w:r>
      <w:r w:rsidRPr="00E91C04">
        <w:rPr>
          <w:rFonts w:ascii="Times New Roman" w:eastAsia="Times New Roman" w:hAnsi="Times New Roman" w:cs="Times New Roman"/>
          <w:noProof/>
          <w:kern w:val="0"/>
          <w:sz w:val="24"/>
          <w:szCs w:val="24"/>
          <w:vertAlign w:val="superscript"/>
          <w:lang w:val="en-GB" w:eastAsia="en-IE"/>
        </w:rPr>
        <w:footnoteReference w:id="83"/>
      </w:r>
      <w:r>
        <w:rPr>
          <w:rFonts w:ascii="Times New Roman" w:hAnsi="Times New Roman"/>
          <w:noProof/>
          <w:sz w:val="24"/>
        </w:rPr>
        <w:t xml:space="preserve"> i poticati ulaganja u tehnologije čiste energije sljedeće generacije, kao što su nuklearna fuzija, napredni geotermalni sustavi i čvrste baterije, kao i u postojeće kapacitete uključujući obnovu. Većina ulaganja će morati biti privatna, a javno financiranje potrebno je bolje usmjeriti kako bi se poticala privatna ulaganja, i to smanjenjem rizika strateških projekata, posebno s pomoću jamstvenih i vlasničkih instrumenata. Komisija će rješavati problem nedostatka ulaganja i mobilizirati privatni kapital za energetsku tranziciju </w:t>
      </w:r>
      <w:r>
        <w:rPr>
          <w:rFonts w:ascii="Times New Roman" w:hAnsi="Times New Roman"/>
          <w:b/>
          <w:noProof/>
          <w:sz w:val="24"/>
        </w:rPr>
        <w:t>Strategijom ulaganja u čistu energiju</w:t>
      </w:r>
      <w:r>
        <w:rPr>
          <w:rFonts w:ascii="Times New Roman" w:hAnsi="Times New Roman"/>
          <w:noProof/>
          <w:sz w:val="24"/>
        </w:rPr>
        <w:t xml:space="preserve"> te će predstaviti ažurirani </w:t>
      </w:r>
      <w:r>
        <w:rPr>
          <w:rFonts w:ascii="Times New Roman" w:hAnsi="Times New Roman"/>
          <w:b/>
          <w:noProof/>
          <w:sz w:val="24"/>
        </w:rPr>
        <w:t>Ogledni nuklearni program</w:t>
      </w:r>
      <w:r>
        <w:rPr>
          <w:rFonts w:ascii="Times New Roman" w:hAnsi="Times New Roman"/>
          <w:noProof/>
          <w:sz w:val="24"/>
        </w:rPr>
        <w:t xml:space="preserve"> (PINC).</w:t>
      </w:r>
    </w:p>
    <w:p w14:paraId="0ED548C9"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Prije svega, za dovršetak energetske unije potrebno je </w:t>
      </w:r>
      <w:r>
        <w:rPr>
          <w:rFonts w:ascii="Times New Roman" w:hAnsi="Times New Roman"/>
          <w:b/>
          <w:noProof/>
          <w:sz w:val="24"/>
        </w:rPr>
        <w:t>potpuno integrirano energetsko tržište</w:t>
      </w:r>
      <w:r>
        <w:rPr>
          <w:rFonts w:ascii="Times New Roman" w:hAnsi="Times New Roman"/>
          <w:noProof/>
          <w:sz w:val="24"/>
        </w:rPr>
        <w:t xml:space="preserve"> s </w:t>
      </w:r>
      <w:r>
        <w:rPr>
          <w:rFonts w:ascii="Times New Roman" w:hAnsi="Times New Roman"/>
          <w:b/>
          <w:noProof/>
          <w:sz w:val="24"/>
        </w:rPr>
        <w:t>kohezivnim okvirom upravljanja</w:t>
      </w:r>
      <w:r>
        <w:rPr>
          <w:rFonts w:ascii="Times New Roman" w:hAnsi="Times New Roman"/>
          <w:noProof/>
          <w:sz w:val="24"/>
        </w:rPr>
        <w:t xml:space="preserve"> u kojem se usklađuju ciljevi na nacionalnoj razini i na razini EU-a te osigurava da se odluke koje su prekogranične i važne za EU donose na odgovarajućoj razini. U tu će svrhu Komisija do početka 2026. objaviti </w:t>
      </w:r>
      <w:r>
        <w:rPr>
          <w:rFonts w:ascii="Times New Roman" w:hAnsi="Times New Roman"/>
          <w:b/>
          <w:noProof/>
          <w:sz w:val="24"/>
        </w:rPr>
        <w:t>Bijelu knjigu o dubljoj integraciji tržišta električne energije</w:t>
      </w:r>
      <w:r>
        <w:rPr>
          <w:rFonts w:ascii="Times New Roman" w:hAnsi="Times New Roman"/>
          <w:noProof/>
          <w:sz w:val="24"/>
        </w:rPr>
        <w:t>.</w:t>
      </w:r>
    </w:p>
    <w:p w14:paraId="27560B48"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Osim toga, </w:t>
      </w:r>
      <w:r>
        <w:rPr>
          <w:rFonts w:ascii="Times New Roman" w:hAnsi="Times New Roman"/>
          <w:b/>
          <w:noProof/>
          <w:sz w:val="24"/>
        </w:rPr>
        <w:t>nacionalni energetski i klimatski planovi</w:t>
      </w:r>
      <w:r>
        <w:rPr>
          <w:rFonts w:ascii="Times New Roman" w:hAnsi="Times New Roman"/>
          <w:noProof/>
          <w:sz w:val="24"/>
        </w:rPr>
        <w:t xml:space="preserve"> (NECP) moraju se transformirati u strateške planove ulaganja kojima se potiču predvidljivost ulaganja, povjerenje potrošača, inovacije i rast tržišta čistih tehnologija.  Komisija će predložiti reviziju Uredbe o upravljanju kako bi se pojednostavnilo, ojačalo i moderniziralo </w:t>
      </w:r>
      <w:r>
        <w:rPr>
          <w:rFonts w:ascii="Times New Roman" w:hAnsi="Times New Roman"/>
          <w:b/>
          <w:noProof/>
          <w:sz w:val="24"/>
        </w:rPr>
        <w:t>upravljanje energetskom unijom i djelovanjem u području klime</w:t>
      </w:r>
      <w:r w:rsidRPr="00E91C04">
        <w:rPr>
          <w:rFonts w:ascii="Times New Roman" w:eastAsia="Times New Roman" w:hAnsi="Times New Roman" w:cs="Times New Roman"/>
          <w:noProof/>
          <w:kern w:val="0"/>
          <w:sz w:val="24"/>
          <w:szCs w:val="24"/>
          <w:vertAlign w:val="superscript"/>
          <w:lang w:val="en-GB" w:eastAsia="en-IE"/>
        </w:rPr>
        <w:footnoteReference w:id="84"/>
      </w:r>
      <w:r>
        <w:rPr>
          <w:rFonts w:ascii="Times New Roman" w:hAnsi="Times New Roman"/>
          <w:noProof/>
          <w:sz w:val="24"/>
        </w:rPr>
        <w:t xml:space="preserve"> i Europa pripremila za okvir energetske i klimatske politike za razdoblje nakon 2030. Osim toga, regionalne inicijative kao što je Transmediteranska inicijativa za suradnju u području energije i čiste tehnologije mogle bi imati ulogu u podupiranju proizvodnje čistih tehnologija.</w:t>
      </w:r>
    </w:p>
    <w:p w14:paraId="2AFB8ED7" w14:textId="77777777" w:rsidR="00E8217E" w:rsidRPr="00E91C04" w:rsidRDefault="00E8217E" w:rsidP="00E8217E">
      <w:pPr>
        <w:spacing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Cijene energije mogu se znatno razlikovati među državama članicama. Kako bi se poboljšala koordinacija u cijeloj energetskoj uniji i bolje upravljalo elektroenergetskim sustavom, Komisija će osnovati</w:t>
      </w:r>
      <w:r>
        <w:rPr>
          <w:rFonts w:ascii="Times New Roman" w:hAnsi="Times New Roman"/>
          <w:b/>
          <w:noProof/>
          <w:sz w:val="24"/>
        </w:rPr>
        <w:t xml:space="preserve"> radnu skupinu za energetsku uniju</w:t>
      </w:r>
      <w:r>
        <w:rPr>
          <w:rFonts w:ascii="Times New Roman" w:hAnsi="Times New Roman"/>
          <w:noProof/>
          <w:sz w:val="24"/>
        </w:rPr>
        <w:t>. Ta radna skupina, koja će se prema potrebi sastojati od predstavnika na visokoj razini iz Komisije, relevantnih tijela EU-a, država članica i dionika, ispitat će kakve su tehničke i regulatorne prilagodbe potrebne i redovito izvješćivati predsjednika Komisije, Europsko vijeće, Vijeće za energetiku i Europski parlament.</w:t>
      </w:r>
    </w:p>
    <w:p w14:paraId="0FA3A51A" w14:textId="77777777" w:rsidR="00E8217E" w:rsidRPr="00E91C04" w:rsidRDefault="00E8217E" w:rsidP="00E8217E">
      <w:pPr>
        <w:spacing w:line="240" w:lineRule="auto"/>
        <w:jc w:val="both"/>
        <w:rPr>
          <w:rFonts w:ascii="Times New Roman" w:eastAsia="Yu Mincho" w:hAnsi="Times New Roman" w:cs="Times New Roman"/>
          <w:noProof/>
          <w:kern w:val="0"/>
          <w:sz w:val="24"/>
          <w:szCs w:val="24"/>
          <w14:ligatures w14:val="none"/>
        </w:rPr>
      </w:pPr>
      <w:r>
        <w:rPr>
          <w:rFonts w:ascii="Times New Roman" w:hAnsi="Times New Roman"/>
          <w:noProof/>
          <w:sz w:val="24"/>
        </w:rPr>
        <w:t xml:space="preserve">Kako bi u tome pomogla, Komisija će posvetiti dodatnu </w:t>
      </w:r>
      <w:r>
        <w:rPr>
          <w:rFonts w:ascii="Times New Roman" w:hAnsi="Times New Roman"/>
          <w:b/>
          <w:noProof/>
          <w:sz w:val="24"/>
        </w:rPr>
        <w:t>pažnju procjeni posljedica relevantnih inicijativa na cjenovnu pristupačnost energije za kućanstva i poduzeća</w:t>
      </w:r>
      <w:r>
        <w:rPr>
          <w:rFonts w:ascii="Times New Roman" w:hAnsi="Times New Roman"/>
          <w:noProof/>
          <w:sz w:val="24"/>
        </w:rPr>
        <w:t>. Ishod relevantnih analiza, uključujući, kad god je to moguće, vanjske stručnjake, na odgovarajući će se način uzeti u obzir u procjenama učinka novih zakonodavnih inicijativa i preispitivanju postojećeg zakonodavstva Time će se dopuniti informacije o učinku inicijativa Komisije koje se redovito objavljuju u publikacijama kao što su Izvješće o stanju energetske unije</w:t>
      </w:r>
      <w:r w:rsidRPr="00E91C04">
        <w:rPr>
          <w:rFonts w:ascii="Times New Roman" w:eastAsia="Times New Roman" w:hAnsi="Times New Roman" w:cs="Times New Roman"/>
          <w:noProof/>
          <w:kern w:val="0"/>
          <w:sz w:val="24"/>
          <w:szCs w:val="24"/>
          <w:vertAlign w:val="superscript"/>
          <w:lang w:val="en-GB" w:eastAsia="en-IE"/>
        </w:rPr>
        <w:footnoteReference w:id="85"/>
      </w:r>
      <w:r>
        <w:rPr>
          <w:rFonts w:ascii="Times New Roman" w:hAnsi="Times New Roman"/>
          <w:noProof/>
          <w:sz w:val="24"/>
        </w:rPr>
        <w:t xml:space="preserve"> i izvješća o cijenama i troškovima energije</w:t>
      </w:r>
      <w:r w:rsidRPr="00E91C04">
        <w:rPr>
          <w:rFonts w:ascii="Times New Roman" w:eastAsia="Times New Roman" w:hAnsi="Times New Roman" w:cs="Times New Roman"/>
          <w:noProof/>
          <w:kern w:val="0"/>
          <w:sz w:val="24"/>
          <w:szCs w:val="24"/>
          <w:vertAlign w:val="superscript"/>
          <w:lang w:val="en-GB" w:eastAsia="en-IE"/>
        </w:rPr>
        <w:footnoteReference w:id="86"/>
      </w:r>
      <w:r>
        <w:rPr>
          <w:rFonts w:ascii="Times New Roman" w:hAnsi="Times New Roman"/>
          <w:noProof/>
          <w:sz w:val="24"/>
        </w:rPr>
        <w:t>.</w:t>
      </w:r>
    </w:p>
    <w:tbl>
      <w:tblPr>
        <w:tblStyle w:val="TableGrid"/>
        <w:tblW w:w="0" w:type="auto"/>
        <w:tblLook w:val="04A0" w:firstRow="1" w:lastRow="0" w:firstColumn="1" w:lastColumn="0" w:noHBand="0" w:noVBand="1"/>
      </w:tblPr>
      <w:tblGrid>
        <w:gridCol w:w="1266"/>
        <w:gridCol w:w="7976"/>
      </w:tblGrid>
      <w:tr w:rsidR="00E8217E" w:rsidRPr="00E91C04" w14:paraId="46B6AB9F"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4018581"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196B5C0A" w14:textId="77777777" w:rsidR="00E8217E" w:rsidRPr="00E91C04" w:rsidRDefault="00E8217E" w:rsidP="00E8217E">
            <w:pPr>
              <w:keepNext/>
              <w:jc w:val="both"/>
              <w:rPr>
                <w:rFonts w:ascii="Times New Roman" w:eastAsia="Times New Roman" w:hAnsi="Times New Roman" w:cs="Times New Roman"/>
                <w:b/>
                <w:bCs/>
                <w:noProof/>
                <w14:ligatures w14:val="none"/>
              </w:rPr>
            </w:pPr>
            <w:r>
              <w:rPr>
                <w:rFonts w:ascii="Times New Roman" w:hAnsi="Times New Roman"/>
                <w:b/>
                <w:noProof/>
              </w:rPr>
              <w:t>Potpuna energetska unija</w:t>
            </w:r>
          </w:p>
        </w:tc>
      </w:tr>
      <w:tr w:rsidR="00E8217E" w:rsidRPr="00E91C04" w14:paraId="1D18BD6C"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8E2D13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60823999"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Komisija će:</w:t>
            </w:r>
          </w:p>
          <w:p w14:paraId="7EE88901"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pokrenuti radnu skupinu za energetsku uniju;</w:t>
            </w:r>
          </w:p>
          <w:p w14:paraId="39DCF72E"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objaviti </w:t>
            </w:r>
            <w:r>
              <w:rPr>
                <w:rFonts w:ascii="Times New Roman" w:hAnsi="Times New Roman"/>
                <w:b/>
                <w:noProof/>
              </w:rPr>
              <w:t>Bijelu knjigu o dubljoj integraciji tržišta električne energije</w:t>
            </w:r>
            <w:r>
              <w:rPr>
                <w:rFonts w:ascii="Times New Roman" w:hAnsi="Times New Roman"/>
                <w:noProof/>
              </w:rPr>
              <w:t>;</w:t>
            </w:r>
          </w:p>
          <w:p w14:paraId="6D037773"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revidirati </w:t>
            </w:r>
            <w:r>
              <w:rPr>
                <w:rFonts w:ascii="Times New Roman" w:hAnsi="Times New Roman"/>
                <w:b/>
                <w:noProof/>
              </w:rPr>
              <w:t>Uredbu o upravljanju energetskom unijom</w:t>
            </w:r>
            <w:r>
              <w:rPr>
                <w:rFonts w:ascii="Times New Roman" w:hAnsi="Times New Roman"/>
                <w:noProof/>
              </w:rPr>
              <w:t>;</w:t>
            </w:r>
          </w:p>
          <w:p w14:paraId="390A6B84"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bCs/>
                <w:noProof/>
                <w14:ligatures w14:val="none"/>
              </w:rPr>
            </w:pPr>
            <w:r>
              <w:rPr>
                <w:rFonts w:ascii="Times New Roman" w:hAnsi="Times New Roman"/>
                <w:noProof/>
              </w:rPr>
              <w:t xml:space="preserve">predstaviti </w:t>
            </w:r>
            <w:r>
              <w:rPr>
                <w:rFonts w:ascii="Times New Roman" w:hAnsi="Times New Roman"/>
                <w:b/>
                <w:noProof/>
              </w:rPr>
              <w:t>Strategiju ulaganja u čistu energiju</w:t>
            </w:r>
            <w:r>
              <w:rPr>
                <w:rFonts w:ascii="Times New Roman" w:hAnsi="Times New Roman"/>
                <w:noProof/>
              </w:rPr>
              <w:t xml:space="preserve">, ažurirani </w:t>
            </w:r>
            <w:r>
              <w:rPr>
                <w:rFonts w:ascii="Times New Roman" w:hAnsi="Times New Roman"/>
                <w:b/>
                <w:noProof/>
              </w:rPr>
              <w:t>Ogledni nuklearni program</w:t>
            </w:r>
            <w:r>
              <w:rPr>
                <w:rFonts w:ascii="Times New Roman" w:hAnsi="Times New Roman"/>
                <w:noProof/>
              </w:rPr>
              <w:t xml:space="preserve"> (PINC) i </w:t>
            </w:r>
            <w:r>
              <w:rPr>
                <w:rFonts w:ascii="Times New Roman" w:hAnsi="Times New Roman"/>
                <w:b/>
                <w:noProof/>
              </w:rPr>
              <w:t>strategiju za fuziju</w:t>
            </w:r>
            <w:r>
              <w:rPr>
                <w:rFonts w:ascii="Times New Roman" w:hAnsi="Times New Roman"/>
                <w:noProof/>
              </w:rPr>
              <w:t>;</w:t>
            </w:r>
          </w:p>
          <w:p w14:paraId="5FCB80CA"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noProof/>
              </w:rPr>
              <w:t xml:space="preserve">predstaviti </w:t>
            </w:r>
            <w:r>
              <w:rPr>
                <w:rFonts w:ascii="Times New Roman" w:hAnsi="Times New Roman"/>
                <w:b/>
                <w:noProof/>
              </w:rPr>
              <w:t>Akcijski plan za elektrifikaciju</w:t>
            </w:r>
            <w:r>
              <w:rPr>
                <w:rFonts w:ascii="Times New Roman" w:hAnsi="Times New Roman"/>
                <w:noProof/>
              </w:rPr>
              <w:t xml:space="preserve">, </w:t>
            </w:r>
            <w:r>
              <w:rPr>
                <w:rFonts w:ascii="Times New Roman" w:hAnsi="Times New Roman"/>
                <w:b/>
                <w:noProof/>
              </w:rPr>
              <w:t>Strateški plan za digitalizaciju i umjetnu inteligenciju za energetski sektor</w:t>
            </w:r>
            <w:r>
              <w:rPr>
                <w:rFonts w:ascii="Times New Roman" w:hAnsi="Times New Roman"/>
                <w:noProof/>
              </w:rPr>
              <w:t xml:space="preserve"> te </w:t>
            </w:r>
            <w:r>
              <w:rPr>
                <w:rFonts w:ascii="Times New Roman" w:hAnsi="Times New Roman"/>
                <w:b/>
                <w:noProof/>
              </w:rPr>
              <w:t>Strategiju za grijanje i hlađenje</w:t>
            </w:r>
            <w:r>
              <w:rPr>
                <w:rFonts w:ascii="Times New Roman" w:hAnsi="Times New Roman"/>
                <w:noProof/>
              </w:rPr>
              <w:t>.</w:t>
            </w:r>
          </w:p>
        </w:tc>
      </w:tr>
      <w:tr w:rsidR="00E8217E" w:rsidRPr="00E91C04" w14:paraId="145144F1"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59278B42"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D165790"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2025.</w:t>
            </w:r>
            <w:r>
              <w:rPr>
                <w:rFonts w:ascii="Times New Roman" w:hAnsi="Times New Roman"/>
                <w:noProof/>
              </w:rPr>
              <w:t xml:space="preserve">: Radna skupina za energetsku uniju, Strategija ulaganja u čistu energiju i PINC. </w:t>
            </w:r>
          </w:p>
          <w:p w14:paraId="3D2A216E"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 xml:space="preserve">Do sredine 2027. </w:t>
            </w:r>
            <w:r>
              <w:rPr>
                <w:rFonts w:ascii="Times New Roman" w:hAnsi="Times New Roman"/>
                <w:noProof/>
              </w:rPr>
              <w:t>za druge inicijative.</w:t>
            </w:r>
          </w:p>
        </w:tc>
      </w:tr>
      <w:tr w:rsidR="00E8217E" w:rsidRPr="00E91C04" w14:paraId="5AD0961F"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CCE8C13"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6AE0630E" w14:textId="77777777" w:rsidR="00E8217E" w:rsidRPr="00E91C04" w:rsidRDefault="00E8217E" w:rsidP="00E8217E">
            <w:pPr>
              <w:spacing w:after="60"/>
              <w:jc w:val="both"/>
              <w:rPr>
                <w:rFonts w:ascii="Times New Roman" w:eastAsia="Times New Roman" w:hAnsi="Times New Roman" w:cs="Times New Roman"/>
                <w:b/>
                <w:bCs/>
                <w:noProof/>
                <w14:ligatures w14:val="none"/>
              </w:rPr>
            </w:pPr>
            <w:r>
              <w:rPr>
                <w:rFonts w:ascii="Times New Roman" w:hAnsi="Times New Roman"/>
                <w:noProof/>
              </w:rPr>
              <w:t xml:space="preserve">Dublja integracija tržišta električne energije kroz pokretanje dijaloga o budućem razvoju tržišta i </w:t>
            </w:r>
            <w:r>
              <w:rPr>
                <w:rFonts w:ascii="Times New Roman" w:hAnsi="Times New Roman"/>
                <w:b/>
                <w:noProof/>
              </w:rPr>
              <w:t>osnivanjem radne skupine za energetsku uniju</w:t>
            </w:r>
            <w:r>
              <w:rPr>
                <w:rFonts w:ascii="Times New Roman" w:hAnsi="Times New Roman"/>
                <w:noProof/>
              </w:rPr>
              <w:t>.</w:t>
            </w:r>
            <w:r>
              <w:rPr>
                <w:rFonts w:ascii="Times New Roman" w:hAnsi="Times New Roman"/>
                <w:b/>
                <w:noProof/>
              </w:rPr>
              <w:t xml:space="preserve"> </w:t>
            </w:r>
          </w:p>
          <w:p w14:paraId="3D450C18" w14:textId="77777777" w:rsidR="00E8217E" w:rsidRPr="00E91C04" w:rsidRDefault="00E8217E" w:rsidP="00E8217E">
            <w:pPr>
              <w:spacing w:after="60"/>
              <w:jc w:val="both"/>
              <w:rPr>
                <w:rFonts w:ascii="Times New Roman" w:eastAsia="Times New Roman" w:hAnsi="Times New Roman" w:cs="Times New Roman"/>
                <w:noProof/>
                <w14:ligatures w14:val="none"/>
              </w:rPr>
            </w:pPr>
            <w:r>
              <w:rPr>
                <w:rFonts w:ascii="Times New Roman" w:hAnsi="Times New Roman"/>
                <w:b/>
                <w:noProof/>
              </w:rPr>
              <w:t>Sprečavanje naglih povećanja troškova sustava koji bi se do 2040. mogli popeti do 103 milijarde eura</w:t>
            </w:r>
            <w:r>
              <w:rPr>
                <w:rFonts w:ascii="Times New Roman" w:hAnsi="Times New Roman"/>
                <w:noProof/>
              </w:rPr>
              <w:t xml:space="preserve"> ako se ništa ne poduzme.</w:t>
            </w:r>
            <w:r w:rsidRPr="00E91C04">
              <w:rPr>
                <w:rFonts w:ascii="Times New Roman" w:eastAsia="Times New Roman" w:hAnsi="Times New Roman" w:cs="Times New Roman"/>
                <w:noProof/>
                <w:vertAlign w:val="superscript"/>
                <w:lang w:val="en-GB" w:eastAsia="en-IE"/>
              </w:rPr>
              <w:footnoteReference w:id="87"/>
            </w:r>
          </w:p>
          <w:p w14:paraId="1CEDBFE0"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Poticanje ulaganja i smanjenje troškova</w:t>
            </w:r>
            <w:r>
              <w:rPr>
                <w:rFonts w:ascii="Times New Roman" w:hAnsi="Times New Roman"/>
                <w:noProof/>
              </w:rPr>
              <w:t xml:space="preserve"> smanjenjem rizika za kapital, tj. smanjenjem potencijalnih rizika povezanih s ulaganjima, smanjenjem administrativnog opterećenja za planiranje i izvješćivanje te poboljšanjem koordinacije država članica u utvrđivanju politika, čime bi se osigurala sigurnost ulaganja za 2040. i </w:t>
            </w:r>
            <w:r>
              <w:rPr>
                <w:rFonts w:ascii="Times New Roman" w:hAnsi="Times New Roman"/>
                <w:b/>
                <w:noProof/>
              </w:rPr>
              <w:t>nacionalni energetski i klimatski planovi postali pravi planovi za ulaganja</w:t>
            </w:r>
            <w:r>
              <w:rPr>
                <w:rFonts w:ascii="Times New Roman" w:hAnsi="Times New Roman"/>
                <w:noProof/>
              </w:rPr>
              <w:t xml:space="preserve">. </w:t>
            </w:r>
          </w:p>
          <w:p w14:paraId="67E6AEF8"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Ubrzanje elektrifikacije</w:t>
            </w:r>
            <w:r>
              <w:rPr>
                <w:rFonts w:ascii="Times New Roman" w:hAnsi="Times New Roman"/>
                <w:noProof/>
              </w:rPr>
              <w:t xml:space="preserve"> za 40 % u 2030.</w:t>
            </w:r>
            <w:r w:rsidRPr="00E91C04">
              <w:rPr>
                <w:rFonts w:ascii="Times New Roman" w:eastAsia="Times New Roman" w:hAnsi="Times New Roman" w:cs="Times New Roman"/>
                <w:noProof/>
                <w:vertAlign w:val="superscript"/>
                <w:lang w:val="en-GB" w:eastAsia="en-IE"/>
              </w:rPr>
              <w:footnoteReference w:id="88"/>
            </w:r>
            <w:r>
              <w:rPr>
                <w:rFonts w:ascii="Times New Roman" w:hAnsi="Times New Roman"/>
                <w:noProof/>
              </w:rPr>
              <w:t xml:space="preserve">; iskorištavanje fleksibilnosti iz elektrifikacije sektora grijanja, prometa i vodika može donijeti godišnje </w:t>
            </w:r>
            <w:r>
              <w:rPr>
                <w:rFonts w:ascii="Times New Roman" w:hAnsi="Times New Roman"/>
                <w:b/>
                <w:noProof/>
              </w:rPr>
              <w:t>uštede troškova energetskog sustava od 32 milijarde eura</w:t>
            </w:r>
            <w:r>
              <w:rPr>
                <w:rFonts w:ascii="Times New Roman" w:hAnsi="Times New Roman"/>
                <w:noProof/>
              </w:rPr>
              <w:t xml:space="preserve"> u 2030.</w:t>
            </w:r>
            <w:r w:rsidRPr="00E91C04">
              <w:rPr>
                <w:rFonts w:ascii="Times New Roman" w:eastAsia="Times New Roman" w:hAnsi="Times New Roman" w:cs="Times New Roman"/>
                <w:noProof/>
                <w:vertAlign w:val="superscript"/>
                <w:lang w:val="en-GB" w:eastAsia="en-IE"/>
              </w:rPr>
              <w:footnoteReference w:id="89"/>
            </w:r>
            <w:r>
              <w:rPr>
                <w:rFonts w:ascii="Times New Roman" w:hAnsi="Times New Roman"/>
                <w:noProof/>
              </w:rPr>
              <w:t xml:space="preserve"> Samo dvosmjernim punjenjem električnih vozila moglo bi se uštedjeti </w:t>
            </w:r>
            <w:r>
              <w:rPr>
                <w:rFonts w:ascii="Times New Roman" w:hAnsi="Times New Roman"/>
                <w:b/>
                <w:noProof/>
              </w:rPr>
              <w:t>9,7 milijardi eura</w:t>
            </w:r>
            <w:r>
              <w:rPr>
                <w:rFonts w:ascii="Times New Roman" w:hAnsi="Times New Roman"/>
                <w:noProof/>
              </w:rPr>
              <w:t>.</w:t>
            </w:r>
            <w:r w:rsidRPr="00E91C04">
              <w:rPr>
                <w:rFonts w:ascii="Times New Roman" w:eastAsia="Times New Roman" w:hAnsi="Times New Roman" w:cs="Times New Roman"/>
                <w:noProof/>
                <w:vertAlign w:val="superscript"/>
                <w:lang w:val="en-GB" w:eastAsia="en-IE"/>
              </w:rPr>
              <w:footnoteReference w:id="90"/>
            </w:r>
            <w:r>
              <w:rPr>
                <w:rFonts w:ascii="Times New Roman" w:hAnsi="Times New Roman"/>
                <w:noProof/>
              </w:rPr>
              <w:t xml:space="preserve"> </w:t>
            </w:r>
          </w:p>
          <w:p w14:paraId="17D33B95"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b/>
                <w:noProof/>
              </w:rPr>
              <w:t>Povećanje učinkovitosti grijanja i hlađenja</w:t>
            </w:r>
            <w:r>
              <w:rPr>
                <w:rFonts w:ascii="Times New Roman" w:hAnsi="Times New Roman"/>
                <w:noProof/>
              </w:rPr>
              <w:t xml:space="preserve"> povećanjem oporabe topline, ponovne uporabe i uvođenja dizalica topline. Šira oporaba otpadne topline u industrijskim procesima i energetskim uslugama može poboljšati učinkovitost sustava i smanjiti troškove. Šire </w:t>
            </w:r>
            <w:r>
              <w:rPr>
                <w:rFonts w:ascii="Times New Roman" w:hAnsi="Times New Roman"/>
                <w:b/>
                <w:noProof/>
              </w:rPr>
              <w:t>uvođenje dizalica topline</w:t>
            </w:r>
            <w:r>
              <w:rPr>
                <w:rFonts w:ascii="Times New Roman" w:hAnsi="Times New Roman"/>
                <w:noProof/>
              </w:rPr>
              <w:t xml:space="preserve"> i bolja </w:t>
            </w:r>
            <w:r>
              <w:rPr>
                <w:rFonts w:ascii="Times New Roman" w:hAnsi="Times New Roman"/>
                <w:b/>
                <w:noProof/>
              </w:rPr>
              <w:t>učinkovitost u kućanstvima mogli bi do 2030. smanjiti troškove uvoza fosilnih goriva za 60 milijardi eura</w:t>
            </w:r>
            <w:r>
              <w:rPr>
                <w:rFonts w:ascii="Times New Roman" w:hAnsi="Times New Roman"/>
                <w:noProof/>
              </w:rPr>
              <w:t xml:space="preserve">, a istodobno smanjiti potražnju za drugim energentima i stabilizirati cijene. </w:t>
            </w:r>
          </w:p>
          <w:p w14:paraId="1DA194A7" w14:textId="77777777" w:rsidR="00E8217E" w:rsidRPr="00E91C04" w:rsidRDefault="00E8217E" w:rsidP="00E8217E">
            <w:pPr>
              <w:jc w:val="both"/>
              <w:rPr>
                <w:rFonts w:ascii="Times New Roman" w:eastAsia="Times New Roman" w:hAnsi="Times New Roman" w:cs="Times New Roman"/>
                <w:b/>
                <w:noProof/>
                <w14:ligatures w14:val="none"/>
              </w:rPr>
            </w:pPr>
            <w:r>
              <w:rPr>
                <w:rFonts w:ascii="Times New Roman" w:hAnsi="Times New Roman"/>
                <w:b/>
                <w:noProof/>
              </w:rPr>
              <w:t>Iskorištavanje digitalizacije</w:t>
            </w:r>
            <w:r>
              <w:rPr>
                <w:rFonts w:ascii="Times New Roman" w:hAnsi="Times New Roman"/>
                <w:noProof/>
              </w:rPr>
              <w:t xml:space="preserve"> kako bi se smanjili troškovi energetskog sektora</w:t>
            </w:r>
            <w:r>
              <w:rPr>
                <w:rFonts w:ascii="Times New Roman" w:eastAsia="Times New Roman" w:hAnsi="Times New Roman" w:cs="Times New Roman"/>
                <w:noProof/>
                <w:vertAlign w:val="superscript"/>
                <w:lang w:val="en-GB" w:eastAsia="en-IE"/>
              </w:rPr>
              <w:footnoteReference w:id="91"/>
            </w:r>
            <w:r>
              <w:rPr>
                <w:rFonts w:ascii="Times New Roman" w:hAnsi="Times New Roman"/>
                <w:noProof/>
              </w:rPr>
              <w:t>, čime bi se povećala učinkovitost, s procijenjenim uštedama od 5 % u radu i održavanju, 5 % u proizvodnji električne energije i 5 % zbog smanjenja gubitaka u mreži.</w:t>
            </w:r>
            <w:r>
              <w:rPr>
                <w:rFonts w:ascii="Times New Roman" w:eastAsia="Times New Roman" w:hAnsi="Times New Roman" w:cs="Times New Roman"/>
                <w:noProof/>
                <w:vertAlign w:val="superscript"/>
                <w:lang w:val="en-GB" w:eastAsia="en-IE"/>
              </w:rPr>
              <w:footnoteReference w:id="92"/>
            </w:r>
            <w:r>
              <w:rPr>
                <w:rFonts w:ascii="Times New Roman" w:hAnsi="Times New Roman"/>
                <w:noProof/>
              </w:rPr>
              <w:t xml:space="preserve"> </w:t>
            </w:r>
          </w:p>
        </w:tc>
      </w:tr>
    </w:tbl>
    <w:p w14:paraId="0F1BF9BB" w14:textId="77777777" w:rsidR="00E8217E" w:rsidRPr="00E91C04" w:rsidRDefault="00E8217E" w:rsidP="00E8217E">
      <w:pPr>
        <w:keepNext/>
        <w:keepLines/>
        <w:spacing w:before="360" w:after="100" w:afterAutospacing="1" w:line="240" w:lineRule="auto"/>
        <w:jc w:val="both"/>
        <w:outlineLvl w:val="1"/>
        <w:rPr>
          <w:rFonts w:ascii="Times New Roman" w:eastAsia="Yu Gothic Light" w:hAnsi="Times New Roman" w:cs="Times New Roman"/>
          <w:b/>
          <w:iCs/>
          <w:noProof/>
          <w:color w:val="000000"/>
          <w:kern w:val="0"/>
          <w:sz w:val="28"/>
          <w:szCs w:val="28"/>
          <w14:ligatures w14:val="none"/>
        </w:rPr>
      </w:pPr>
      <w:bookmarkStart w:id="82" w:name="_Toc189995491"/>
      <w:r>
        <w:rPr>
          <w:rFonts w:ascii="Times New Roman" w:hAnsi="Times New Roman"/>
          <w:b/>
          <w:noProof/>
          <w:color w:val="000000"/>
          <w:sz w:val="28"/>
        </w:rPr>
        <w:t>Stup III.: Privlačenje ulaganja i osiguravanje rezultata</w:t>
      </w:r>
      <w:bookmarkEnd w:id="82"/>
    </w:p>
    <w:p w14:paraId="3F4845F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Kako bi se ostvarila potpuna energetska unija koja se temelji na domaćoj čistoj i cjenovno pristupačnoj energiji za sve europske potrošače potrebna su znatna ulaganja tijekom sljedećeg desetljeća i snažno upravljanje. Za brzu zajedničku provedbu ovog Akcijskog plana potrebni su snažno političko vodstvo i predanost te uključiv angažman svih aktera u energetskom vrijednosnom lancu. </w:t>
      </w:r>
    </w:p>
    <w:p w14:paraId="52AFDB35"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3" w:name="_Toc189995492"/>
      <w:r>
        <w:rPr>
          <w:rFonts w:ascii="Times New Roman" w:hAnsi="Times New Roman"/>
          <w:b/>
          <w:i/>
          <w:noProof/>
          <w:sz w:val="24"/>
          <w:u w:val="single"/>
        </w:rPr>
        <w:t>Mjera 6: Uspostava trostranog ugovora za cjenovno pristupačnu energiju za europsku industriju</w:t>
      </w:r>
      <w:bookmarkEnd w:id="83"/>
      <w:r>
        <w:rPr>
          <w:rFonts w:ascii="Times New Roman" w:hAnsi="Times New Roman"/>
          <w:b/>
          <w:i/>
          <w:noProof/>
          <w:sz w:val="24"/>
          <w:u w:val="single"/>
        </w:rPr>
        <w:t xml:space="preserve"> </w:t>
      </w:r>
    </w:p>
    <w:p w14:paraId="3F7963FC"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Sve veća nesigurnost na tržištu može stvoriti probleme za nositelje projekata i može odgoditi ili odvratiti ulaganja. Kako bi se to riješilo, vlade, proizvođači energije i industrije koje troše energiju mogu zajedno stvoriti povoljnu ulagačku klimu za cjenovno pristupačan i održiv energetski sustav i konkurentan industrijski sektor, uz istodobno osiguravanje zadržavanja i stvaranja kvalitetnih radnih mjesta, kako je istaknuto u Deklaraciji iz Antwerpena.  </w:t>
      </w:r>
    </w:p>
    <w:p w14:paraId="2EFD8B52" w14:textId="77777777" w:rsidR="00E8217E" w:rsidRPr="00E91C04" w:rsidRDefault="00E8217E" w:rsidP="00E8217E">
      <w:pPr>
        <w:numPr>
          <w:ilvl w:val="0"/>
          <w:numId w:val="6"/>
        </w:numPr>
        <w:spacing w:before="100" w:beforeAutospacing="1" w:after="12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Proizvođačima čiste energije potrebna je velika i garantirana potražnja</w:t>
      </w:r>
      <w:r>
        <w:rPr>
          <w:rFonts w:ascii="Times New Roman" w:hAnsi="Times New Roman"/>
          <w:noProof/>
          <w:sz w:val="24"/>
        </w:rPr>
        <w:t xml:space="preserve"> kako bi se omogućilo dugoročno planiranje i tako smanjili rizici za ulagače i troškovi projekata. To bi koristilo i </w:t>
      </w:r>
      <w:r>
        <w:rPr>
          <w:rFonts w:ascii="Times New Roman" w:hAnsi="Times New Roman"/>
          <w:b/>
          <w:noProof/>
          <w:sz w:val="24"/>
        </w:rPr>
        <w:t>proizvođačima u lancu opskrbe</w:t>
      </w:r>
      <w:r>
        <w:rPr>
          <w:rFonts w:ascii="Times New Roman" w:hAnsi="Times New Roman"/>
          <w:noProof/>
          <w:sz w:val="24"/>
        </w:rPr>
        <w:t>, na primjer proizvođačima trafostanica ili kabela za mrežne projekte, jer bi tada mogli ulagati u nove proizvodne kapacitete u Europi i nuditi niže cijene. Velikim nositeljima projekata iskorištavanja solarne energije ili energije vjetra na moru to bi na primjer omogućilo niže troškove nabave i osiguravanje lanaca opskrbe.</w:t>
      </w:r>
    </w:p>
    <w:p w14:paraId="4FD69B49" w14:textId="77777777" w:rsidR="00E8217E" w:rsidRPr="00E91C04" w:rsidRDefault="00E8217E" w:rsidP="00E8217E">
      <w:pPr>
        <w:numPr>
          <w:ilvl w:val="0"/>
          <w:numId w:val="6"/>
        </w:numPr>
        <w:spacing w:before="100" w:beforeAutospacing="1" w:after="12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Industriji koja troši energiju</w:t>
      </w:r>
      <w:r>
        <w:rPr>
          <w:rFonts w:ascii="Times New Roman" w:hAnsi="Times New Roman"/>
          <w:noProof/>
          <w:sz w:val="24"/>
        </w:rPr>
        <w:t>, a posebno</w:t>
      </w:r>
      <w:r>
        <w:rPr>
          <w:rFonts w:ascii="Times New Roman" w:hAnsi="Times New Roman"/>
          <w:b/>
          <w:noProof/>
          <w:sz w:val="24"/>
        </w:rPr>
        <w:t xml:space="preserve"> energetski intenzivnoj industriji</w:t>
      </w:r>
      <w:r>
        <w:rPr>
          <w:rFonts w:ascii="Times New Roman" w:hAnsi="Times New Roman"/>
          <w:noProof/>
          <w:sz w:val="24"/>
        </w:rPr>
        <w:t xml:space="preserve">, potrebna je </w:t>
      </w:r>
      <w:r>
        <w:rPr>
          <w:rFonts w:ascii="Times New Roman" w:hAnsi="Times New Roman"/>
          <w:b/>
          <w:noProof/>
          <w:sz w:val="24"/>
        </w:rPr>
        <w:t>sigurnost opskrbe i cijena energije</w:t>
      </w:r>
      <w:r>
        <w:rPr>
          <w:rFonts w:ascii="Times New Roman" w:hAnsi="Times New Roman"/>
          <w:noProof/>
          <w:sz w:val="24"/>
        </w:rPr>
        <w:t xml:space="preserve"> kako bi mogle planirati svoju proizvodnju i donositi odluke o ulaganjima koje će odrediti njihovu budućnost. Na primjer, industriji čelika potrebna je dugoročna sigurnost opskrbe električnom energijom i cijena električne energije kako bi mogli ulagati u elektrifikaciju proizvodnih procesa. Zauzvrat, energetski intenzivna industrija može proizvođačima energije jamčiti potrošnju sklapanjem dugoročnih ugovora.</w:t>
      </w:r>
    </w:p>
    <w:p w14:paraId="771018D5" w14:textId="77777777" w:rsidR="00E8217E" w:rsidRPr="00E91C04" w:rsidRDefault="00E8217E" w:rsidP="00E8217E">
      <w:pPr>
        <w:numPr>
          <w:ilvl w:val="0"/>
          <w:numId w:val="6"/>
        </w:numPr>
        <w:spacing w:before="100" w:beforeAutospacing="1" w:after="120" w:afterAutospacing="1" w:line="240" w:lineRule="auto"/>
        <w:ind w:left="714" w:hanging="357"/>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EU i vlade država članica</w:t>
      </w:r>
      <w:r>
        <w:rPr>
          <w:rFonts w:ascii="Times New Roman" w:hAnsi="Times New Roman"/>
          <w:noProof/>
          <w:sz w:val="24"/>
        </w:rPr>
        <w:t xml:space="preserve"> </w:t>
      </w:r>
      <w:r>
        <w:rPr>
          <w:rFonts w:ascii="Times New Roman" w:hAnsi="Times New Roman"/>
          <w:b/>
          <w:noProof/>
          <w:sz w:val="24"/>
        </w:rPr>
        <w:t>mogu smanjiti rizike stabilnim regulatornim okvirima i mjerama za olakšavanje ulaganja</w:t>
      </w:r>
      <w:r>
        <w:rPr>
          <w:rFonts w:ascii="Times New Roman" w:hAnsi="Times New Roman"/>
          <w:noProof/>
          <w:sz w:val="24"/>
        </w:rPr>
        <w:t xml:space="preserve">. Osiguravanjem te </w:t>
      </w:r>
      <w:r>
        <w:rPr>
          <w:rFonts w:ascii="Times New Roman" w:hAnsi="Times New Roman"/>
          <w:b/>
          <w:noProof/>
          <w:sz w:val="24"/>
        </w:rPr>
        <w:t>predvidljivosti</w:t>
      </w:r>
      <w:r>
        <w:rPr>
          <w:rFonts w:ascii="Times New Roman" w:hAnsi="Times New Roman"/>
          <w:noProof/>
          <w:sz w:val="24"/>
        </w:rPr>
        <w:t xml:space="preserve"> za nositelje projekata i lance opskrbe pridonosi se smanjenju rizika za ulaganja i smanjenju troškova za poduzeća i kućanstva.</w:t>
      </w:r>
      <w:r>
        <w:rPr>
          <w:rFonts w:ascii="Times New Roman" w:hAnsi="Times New Roman"/>
          <w:b/>
          <w:noProof/>
          <w:sz w:val="24"/>
        </w:rPr>
        <w:t xml:space="preserve"> </w:t>
      </w:r>
      <w:r>
        <w:rPr>
          <w:rFonts w:ascii="Times New Roman" w:hAnsi="Times New Roman"/>
          <w:noProof/>
          <w:sz w:val="24"/>
        </w:rPr>
        <w:t>To bi se moglo postići, na primjer,</w:t>
      </w:r>
      <w:r>
        <w:rPr>
          <w:rFonts w:ascii="Times New Roman" w:hAnsi="Times New Roman"/>
          <w:b/>
          <w:noProof/>
          <w:sz w:val="24"/>
        </w:rPr>
        <w:t xml:space="preserve"> obvezivanjem na dugoročniji, pouzdan i detaljan vremenski okvir dražbi</w:t>
      </w:r>
      <w:r>
        <w:rPr>
          <w:rFonts w:ascii="Times New Roman" w:hAnsi="Times New Roman"/>
          <w:noProof/>
          <w:sz w:val="24"/>
        </w:rPr>
        <w:t xml:space="preserve"> za projekte u području čiste energije i oslanjanjem na </w:t>
      </w:r>
      <w:r>
        <w:rPr>
          <w:rFonts w:ascii="Times New Roman" w:hAnsi="Times New Roman"/>
          <w:b/>
          <w:noProof/>
          <w:sz w:val="24"/>
        </w:rPr>
        <w:t>pristupačne natječaje</w:t>
      </w:r>
      <w:r>
        <w:rPr>
          <w:rFonts w:ascii="Times New Roman" w:hAnsi="Times New Roman"/>
          <w:noProof/>
          <w:sz w:val="24"/>
        </w:rPr>
        <w:t xml:space="preserve"> na načelima</w:t>
      </w:r>
      <w:r>
        <w:rPr>
          <w:rFonts w:ascii="Times New Roman" w:hAnsi="Times New Roman"/>
          <w:b/>
          <w:noProof/>
          <w:sz w:val="24"/>
        </w:rPr>
        <w:t xml:space="preserve"> otpornosti, sigurnosti i održivosti</w:t>
      </w:r>
      <w:r>
        <w:rPr>
          <w:rFonts w:ascii="Times New Roman" w:hAnsi="Times New Roman"/>
          <w:noProof/>
          <w:sz w:val="24"/>
        </w:rPr>
        <w:t xml:space="preserve"> iz Akta o industriji s nultom neto stopom emisija. </w:t>
      </w:r>
    </w:p>
    <w:p w14:paraId="3F959100"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U tom pogledu iskustvo iz Povelje o energiji vjetra</w:t>
      </w:r>
      <w:r w:rsidRPr="00E91C04">
        <w:rPr>
          <w:rFonts w:ascii="Times New Roman" w:eastAsia="Times New Roman" w:hAnsi="Times New Roman" w:cs="Times New Roman"/>
          <w:noProof/>
          <w:kern w:val="0"/>
          <w:sz w:val="24"/>
          <w:szCs w:val="24"/>
          <w:vertAlign w:val="superscript"/>
          <w:lang w:val="en-GB" w:eastAsia="en-IE"/>
        </w:rPr>
        <w:footnoteReference w:id="93"/>
      </w:r>
      <w:r>
        <w:rPr>
          <w:rFonts w:ascii="Times New Roman" w:hAnsi="Times New Roman"/>
          <w:noProof/>
          <w:sz w:val="24"/>
        </w:rPr>
        <w:t xml:space="preserve"> i Povelje o solarnoj energiji</w:t>
      </w:r>
      <w:r w:rsidRPr="00E91C04">
        <w:rPr>
          <w:rFonts w:ascii="Times New Roman" w:eastAsia="Times New Roman" w:hAnsi="Times New Roman" w:cs="Times New Roman"/>
          <w:noProof/>
          <w:kern w:val="0"/>
          <w:sz w:val="24"/>
          <w:szCs w:val="24"/>
          <w:vertAlign w:val="superscript"/>
          <w:lang w:val="en-GB" w:eastAsia="en-IE"/>
        </w:rPr>
        <w:footnoteReference w:id="94"/>
      </w:r>
      <w:r>
        <w:rPr>
          <w:rFonts w:ascii="Times New Roman" w:hAnsi="Times New Roman"/>
          <w:noProof/>
          <w:sz w:val="24"/>
        </w:rPr>
        <w:t xml:space="preserve"> pokazalo je dodanu vrijednost okupljanja institucionalnih i gospodarskih aktera kako bi se poduzeli odlučni koraci u izgradnji konkurentnog lanca vrijednosti u ključnim sektorima za prelazak na čistu energiju. </w:t>
      </w:r>
    </w:p>
    <w:p w14:paraId="67E87CF2"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Nadovezujući se na ta iskustva, </w:t>
      </w:r>
      <w:r>
        <w:rPr>
          <w:rFonts w:ascii="Times New Roman" w:hAnsi="Times New Roman"/>
          <w:b/>
          <w:noProof/>
          <w:sz w:val="24"/>
        </w:rPr>
        <w:t>širi trostrani ugovor za cjenovno pristupačnu energiju može objediniti te obveze</w:t>
      </w:r>
      <w:r>
        <w:rPr>
          <w:rFonts w:ascii="Times New Roman" w:hAnsi="Times New Roman"/>
          <w:noProof/>
          <w:sz w:val="24"/>
        </w:rPr>
        <w:t xml:space="preserve"> i stvoriti ulagačku klimu kojom se podupire troškovno učinkovita proizvodnja energije, pouzdana opskrba energijom i dugoročni gospodarski rast za sve dionike. </w:t>
      </w:r>
    </w:p>
    <w:p w14:paraId="5D0E48D9" w14:textId="6121F019" w:rsidR="00E8217E" w:rsidRPr="00E91C04" w:rsidRDefault="00D370D3">
      <w:pPr>
        <w:keepNext/>
        <w:spacing w:before="240" w:after="0" w:line="240" w:lineRule="auto"/>
        <w:jc w:val="center"/>
        <w:rPr>
          <w:rFonts w:ascii="Times New Roman" w:eastAsia="Times New Roman" w:hAnsi="Times New Roman" w:cs="Times New Roman"/>
          <w:noProof/>
          <w:kern w:val="0"/>
          <w:sz w:val="24"/>
          <w:szCs w:val="24"/>
          <w14:ligatures w14:val="none"/>
        </w:rPr>
      </w:pPr>
      <w:r w:rsidRPr="00D370D3">
        <w:rPr>
          <w:noProof/>
          <w:lang w:val="en-GB" w:eastAsia="en-GB"/>
        </w:rPr>
        <w:drawing>
          <wp:inline distT="0" distB="0" distL="0" distR="0" wp14:anchorId="7D165DB4" wp14:editId="5B6ECC8C">
            <wp:extent cx="5731510" cy="4058285"/>
            <wp:effectExtent l="0" t="0" r="0" b="0"/>
            <wp:docPr id="12586426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4058285"/>
                    </a:xfrm>
                    <a:prstGeom prst="rect">
                      <a:avLst/>
                    </a:prstGeom>
                    <a:noFill/>
                    <a:ln>
                      <a:noFill/>
                    </a:ln>
                  </pic:spPr>
                </pic:pic>
              </a:graphicData>
            </a:graphic>
          </wp:inline>
        </w:drawing>
      </w:r>
    </w:p>
    <w:p w14:paraId="080D8D1E" w14:textId="77777777" w:rsidR="00E8217E" w:rsidRPr="00E91C04" w:rsidRDefault="00E8217E" w:rsidP="00E8217E">
      <w:pPr>
        <w:spacing w:before="120" w:after="240" w:line="240" w:lineRule="auto"/>
        <w:jc w:val="center"/>
        <w:rPr>
          <w:rFonts w:ascii="Times New Roman" w:eastAsia="Times New Roman" w:hAnsi="Times New Roman" w:cs="Times New Roman"/>
          <w:noProof/>
          <w:kern w:val="0"/>
          <w:sz w:val="20"/>
          <w:szCs w:val="20"/>
          <w14:ligatures w14:val="none"/>
        </w:rPr>
      </w:pPr>
      <w:r>
        <w:rPr>
          <w:rFonts w:ascii="Times New Roman" w:hAnsi="Times New Roman"/>
          <w:b/>
          <w:noProof/>
          <w:sz w:val="20"/>
        </w:rPr>
        <w:t>Slika 4.</w:t>
      </w:r>
      <w:r>
        <w:rPr>
          <w:rFonts w:ascii="Times New Roman" w:hAnsi="Times New Roman"/>
          <w:noProof/>
          <w:sz w:val="20"/>
        </w:rPr>
        <w:t xml:space="preserve"> Trostrani ugovor za cjenovno pristupačnu energiju za europsku industriju</w:t>
      </w:r>
    </w:p>
    <w:tbl>
      <w:tblPr>
        <w:tblStyle w:val="TableGrid"/>
        <w:tblW w:w="0" w:type="auto"/>
        <w:tblLook w:val="04A0" w:firstRow="1" w:lastRow="0" w:firstColumn="1" w:lastColumn="0" w:noHBand="0" w:noVBand="1"/>
      </w:tblPr>
      <w:tblGrid>
        <w:gridCol w:w="1266"/>
        <w:gridCol w:w="7976"/>
      </w:tblGrid>
      <w:tr w:rsidR="00E8217E" w:rsidRPr="00E91C04" w14:paraId="3B0E2E66"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AEB7B0A"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6DBD886" w14:textId="77777777" w:rsidR="00E8217E" w:rsidRPr="00E91C04" w:rsidRDefault="00E8217E" w:rsidP="00E8217E">
            <w:pPr>
              <w:keepNext/>
              <w:jc w:val="both"/>
              <w:rPr>
                <w:rFonts w:ascii="Times New Roman" w:eastAsia="Times New Roman" w:hAnsi="Times New Roman" w:cs="Times New Roman"/>
                <w:noProof/>
                <w14:ligatures w14:val="none"/>
              </w:rPr>
            </w:pPr>
            <w:r>
              <w:rPr>
                <w:rFonts w:ascii="Times New Roman" w:hAnsi="Times New Roman"/>
                <w:b/>
                <w:noProof/>
              </w:rPr>
              <w:t>Trostrani ugovor za cjenovno pristupačnu energiju</w:t>
            </w:r>
            <w:r>
              <w:rPr>
                <w:rFonts w:ascii="Times New Roman" w:hAnsi="Times New Roman"/>
                <w:noProof/>
              </w:rPr>
              <w:t xml:space="preserve"> između javnog sektora, uključujući financijske institucije, subjekata koji razvijaju čistu energiju i industrije koja troši energiju.</w:t>
            </w:r>
          </w:p>
        </w:tc>
      </w:tr>
      <w:tr w:rsidR="00E8217E" w:rsidRPr="00E91C04" w14:paraId="46E9E78C"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2A16CED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80A6C31" w14:textId="77777777" w:rsidR="00E8217E" w:rsidRPr="00E91C04" w:rsidRDefault="00E8217E">
            <w:pPr>
              <w:keepNext/>
              <w:jc w:val="both"/>
              <w:rPr>
                <w:rFonts w:ascii="Times New Roman" w:eastAsia="Times New Roman" w:hAnsi="Times New Roman" w:cs="Times New Roman"/>
                <w:noProof/>
                <w14:ligatures w14:val="none"/>
              </w:rPr>
            </w:pPr>
            <w:r>
              <w:rPr>
                <w:rFonts w:ascii="Times New Roman" w:hAnsi="Times New Roman"/>
                <w:noProof/>
              </w:rPr>
              <w:t>Široki tripartitni ugovor će:</w:t>
            </w:r>
          </w:p>
          <w:p w14:paraId="52E57C53"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omogućiti predvidljivost</w:t>
            </w:r>
            <w:r>
              <w:rPr>
                <w:rFonts w:ascii="Times New Roman" w:hAnsi="Times New Roman"/>
                <w:noProof/>
              </w:rPr>
              <w:t xml:space="preserve"> i ekonomiju razmjera proizvođačima energije, koji će imati sigurnog otkupljivača za svoju proizvodnju, i kupcima energije, koji će imati cjenovno pristupačnu i stabilnu opskrbu energijom;</w:t>
            </w:r>
          </w:p>
          <w:p w14:paraId="48DF64E7" w14:textId="77777777" w:rsidR="00E8217E" w:rsidRPr="00E91C04" w:rsidRDefault="00E8217E" w:rsidP="00E8217E">
            <w:pPr>
              <w:numPr>
                <w:ilvl w:val="0"/>
                <w:numId w:val="8"/>
              </w:numPr>
              <w:spacing w:before="100" w:beforeAutospacing="1" w:afterAutospacing="1"/>
              <w:jc w:val="both"/>
              <w:rPr>
                <w:rFonts w:ascii="Times New Roman" w:eastAsia="Times New Roman" w:hAnsi="Times New Roman" w:cs="Times New Roman"/>
                <w:noProof/>
                <w14:ligatures w14:val="none"/>
              </w:rPr>
            </w:pPr>
            <w:r>
              <w:rPr>
                <w:rFonts w:ascii="Times New Roman" w:hAnsi="Times New Roman"/>
                <w:b/>
                <w:noProof/>
              </w:rPr>
              <w:t>podupirati poslovne modele</w:t>
            </w:r>
            <w:r>
              <w:rPr>
                <w:rFonts w:ascii="Times New Roman" w:hAnsi="Times New Roman"/>
                <w:noProof/>
              </w:rPr>
              <w:t xml:space="preserve"> u tom sektoru zahvaljujući potpori Komisije, Europske investicijske banke i država članica koja će im omogućiti smanjenje rizika ulaganja i rast.</w:t>
            </w:r>
          </w:p>
          <w:p w14:paraId="3D2EC936"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To bi uključivalo sektorske ugovore za određene sektore (npr. vodik, sintetička goriva, baterije, energija vjetra na moru, solarna energija, mreže).</w:t>
            </w:r>
          </w:p>
        </w:tc>
      </w:tr>
      <w:tr w:rsidR="00E8217E" w:rsidRPr="00E91C04" w14:paraId="0F671B8A"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664B1EA"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00A1F7F" w14:textId="77777777" w:rsidR="00E8217E" w:rsidRPr="00E91C04" w:rsidRDefault="00E8217E" w:rsidP="00E8217E">
            <w:pPr>
              <w:jc w:val="both"/>
              <w:rPr>
                <w:rFonts w:ascii="Times New Roman" w:eastAsia="Times New Roman" w:hAnsi="Times New Roman" w:cs="Times New Roman"/>
                <w:noProof/>
                <w14:ligatures w14:val="none"/>
              </w:rPr>
            </w:pPr>
            <w:r>
              <w:rPr>
                <w:rFonts w:ascii="Times New Roman" w:hAnsi="Times New Roman"/>
                <w:noProof/>
              </w:rPr>
              <w:t>2025.</w:t>
            </w:r>
          </w:p>
        </w:tc>
      </w:tr>
      <w:tr w:rsidR="00E8217E" w:rsidRPr="00E91C04" w14:paraId="4A92CAEF"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1982CC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5FB08F0" w14:textId="77777777" w:rsidR="00E8217E" w:rsidRPr="00E91C04" w:rsidRDefault="00E8217E" w:rsidP="00E8217E">
            <w:pPr>
              <w:jc w:val="both"/>
              <w:rPr>
                <w:rFonts w:ascii="Times New Roman" w:eastAsia="Times New Roman" w:hAnsi="Times New Roman" w:cs="Times New Roman"/>
                <w:i/>
                <w:noProof/>
                <w14:ligatures w14:val="none"/>
              </w:rPr>
            </w:pPr>
            <w:r>
              <w:rPr>
                <w:rFonts w:ascii="Times New Roman" w:hAnsi="Times New Roman"/>
                <w:noProof/>
              </w:rPr>
              <w:t>Povećanje transparentnosti, vidljivosti i sigurnosti za proizvođače i industriju koja troši energiju, podupiranje odluka o ulaganjima te smanjenje troškova i cijena energije</w:t>
            </w:r>
            <w:r>
              <w:rPr>
                <w:rFonts w:ascii="Times New Roman" w:hAnsi="Times New Roman"/>
                <w:i/>
                <w:noProof/>
              </w:rPr>
              <w:t xml:space="preserve"> </w:t>
            </w:r>
          </w:p>
        </w:tc>
      </w:tr>
    </w:tbl>
    <w:p w14:paraId="7C801FC4" w14:textId="77777777" w:rsidR="00B01073" w:rsidRDefault="00E8217E" w:rsidP="00E8217E">
      <w:pPr>
        <w:keepNext/>
        <w:keepLines/>
        <w:spacing w:before="360" w:after="100" w:afterAutospacing="1" w:line="240" w:lineRule="auto"/>
        <w:jc w:val="both"/>
        <w:outlineLvl w:val="1"/>
        <w:rPr>
          <w:rFonts w:ascii="Times New Roman" w:eastAsia="Yu Gothic Light" w:hAnsi="Times New Roman" w:cs="Times New Roman"/>
          <w:b/>
          <w:iCs/>
          <w:noProof/>
          <w:color w:val="000000"/>
          <w:kern w:val="0"/>
          <w:sz w:val="28"/>
          <w:szCs w:val="28"/>
          <w14:ligatures w14:val="none"/>
        </w:rPr>
      </w:pPr>
      <w:bookmarkStart w:id="84" w:name="_Toc189995493"/>
      <w:r>
        <w:rPr>
          <w:rFonts w:ascii="Times New Roman" w:hAnsi="Times New Roman"/>
          <w:b/>
          <w:noProof/>
          <w:color w:val="000000"/>
          <w:sz w:val="28"/>
        </w:rPr>
        <w:t>Stup IV.: Spremnost za potencijalne energetske krize</w:t>
      </w:r>
      <w:bookmarkEnd w:id="84"/>
    </w:p>
    <w:p w14:paraId="2CB3FC79"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Nedavna energetska kriza, najozbiljnija koju je Europa doživjela, pokazala je važnost koordinacije na razini EU-a za kontrolu ekstremnih porasta cijena na unutarnjem tržištu. Kako bi se povećala otpornost na moguće buduće energetske krize državama članicama potrebna su sredstva za učinkovito djelovanje te je potrebno ojačati okvir za sigurnost opskrbe na temelju iskustava stečenih iz nedavnih zbivanja. </w:t>
      </w:r>
    </w:p>
    <w:p w14:paraId="0FE97BD0"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5" w:name="_Toc189995494"/>
      <w:bookmarkStart w:id="86" w:name="_Toc185435272"/>
      <w:r>
        <w:rPr>
          <w:rFonts w:ascii="Times New Roman" w:hAnsi="Times New Roman"/>
          <w:b/>
          <w:i/>
          <w:noProof/>
          <w:sz w:val="24"/>
          <w:u w:val="single"/>
        </w:rPr>
        <w:t>Mjera 7: Jamčenje sigurnosti opskrbe radi stabilnosti cijena</w:t>
      </w:r>
      <w:bookmarkEnd w:id="85"/>
    </w:p>
    <w:p w14:paraId="0B3F837A"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Stabilna opskrba EU-a energijom presudna je za našu gospodarsku otpornost, pristup cjenovno pristupačnoj energiji i izbjegavanje ekstremne nestabilnosti cijena. Poremećaji u opskrbi energijom uzrokovani geopolitičkim napetostima, kibernetičkim i drugim namjernim napadima ili ekstremnim vremenskim uvjetima ugrožavaju cjenovnu pristupačnost. Potreban je novi regulatorni okvir kako bi se povećala otpornost energetskog sustava EU-a i ograničila nestabilnost cijena energije. </w:t>
      </w:r>
    </w:p>
    <w:tbl>
      <w:tblPr>
        <w:tblStyle w:val="TableGrid"/>
        <w:tblW w:w="0" w:type="auto"/>
        <w:tblLook w:val="04A0" w:firstRow="1" w:lastRow="0" w:firstColumn="1" w:lastColumn="0" w:noHBand="0" w:noVBand="1"/>
      </w:tblPr>
      <w:tblGrid>
        <w:gridCol w:w="1267"/>
        <w:gridCol w:w="7975"/>
      </w:tblGrid>
      <w:tr w:rsidR="00E8217E" w:rsidRPr="00E91C04" w14:paraId="6E98A534"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EA3998B"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b/>
                <w:bCs/>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5462225"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87" w:name="_Ref185509215"/>
            <w:r>
              <w:rPr>
                <w:rFonts w:ascii="Times New Roman" w:hAnsi="Times New Roman"/>
                <w:b/>
                <w:noProof/>
              </w:rPr>
              <w:t>Pridonijeti stabilnosti cijena s pomoću okvira za energetsku sigurnost uz obuhvaćanje iskustava iz energetske krize</w:t>
            </w:r>
            <w:bookmarkEnd w:id="87"/>
            <w:r>
              <w:rPr>
                <w:rFonts w:ascii="Times New Roman" w:hAnsi="Times New Roman"/>
                <w:b/>
                <w:noProof/>
              </w:rPr>
              <w:t xml:space="preserve"> </w:t>
            </w:r>
          </w:p>
        </w:tc>
      </w:tr>
      <w:tr w:rsidR="00E8217E" w:rsidRPr="00E91C04" w14:paraId="6139F142"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106ABD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7FAF29B"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Komisija će iznijeti zakonodavni prijedlog za reviziju postojećeg regulatornog okvira EU-a za energetsku sigurnost. </w:t>
            </w:r>
          </w:p>
        </w:tc>
      </w:tr>
      <w:tr w:rsidR="00E8217E" w:rsidRPr="00E91C04" w14:paraId="14E8FF78"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06E95FB9"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20A018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Početak 2026.</w:t>
            </w:r>
          </w:p>
        </w:tc>
      </w:tr>
      <w:tr w:rsidR="00E8217E" w:rsidRPr="00E91C04" w14:paraId="68C89F63" w14:textId="77777777" w:rsidTr="00E8217E">
        <w:trPr>
          <w:trHeight w:val="300"/>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99D6241"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5CF3247"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Dostupnija opskrba energijom u svakom trenutku i bolja pripremljenost za stresna razdoblja u opskrbi mogu pomoći u </w:t>
            </w:r>
            <w:r>
              <w:rPr>
                <w:rFonts w:ascii="Times New Roman" w:hAnsi="Times New Roman"/>
                <w:b/>
                <w:noProof/>
              </w:rPr>
              <w:t>smanjenju nestabilnosti cijena</w:t>
            </w:r>
            <w:r>
              <w:rPr>
                <w:rFonts w:ascii="Times New Roman" w:hAnsi="Times New Roman"/>
                <w:noProof/>
              </w:rPr>
              <w:t xml:space="preserve"> i smanjiti cijene</w:t>
            </w:r>
          </w:p>
        </w:tc>
      </w:tr>
    </w:tbl>
    <w:p w14:paraId="739791BF" w14:textId="77777777" w:rsidR="00E8217E" w:rsidRPr="00E91C04" w:rsidRDefault="00E8217E" w:rsidP="00E8217E">
      <w:pPr>
        <w:keepNext/>
        <w:keepLines/>
        <w:spacing w:before="240" w:after="100" w:afterAutospacing="1" w:line="240" w:lineRule="auto"/>
        <w:outlineLvl w:val="2"/>
        <w:rPr>
          <w:rFonts w:ascii="Times New Roman" w:eastAsia="Yu Gothic Light" w:hAnsi="Times New Roman" w:cs="Times New Roman"/>
          <w:b/>
          <w:i/>
          <w:noProof/>
          <w:kern w:val="0"/>
          <w:sz w:val="24"/>
          <w:szCs w:val="24"/>
          <w:u w:val="single"/>
          <w14:ligatures w14:val="none"/>
        </w:rPr>
      </w:pPr>
      <w:bookmarkStart w:id="88" w:name="_Toc189995495"/>
      <w:bookmarkEnd w:id="86"/>
      <w:r>
        <w:rPr>
          <w:rFonts w:ascii="Times New Roman" w:hAnsi="Times New Roman"/>
          <w:b/>
          <w:i/>
          <w:noProof/>
          <w:sz w:val="24"/>
          <w:u w:val="single"/>
        </w:rPr>
        <w:t xml:space="preserve">Mjera 8:  </w:t>
      </w:r>
      <w:bookmarkEnd w:id="69"/>
      <w:bookmarkEnd w:id="70"/>
      <w:bookmarkEnd w:id="71"/>
      <w:bookmarkEnd w:id="72"/>
      <w:bookmarkEnd w:id="73"/>
      <w:r>
        <w:rPr>
          <w:rFonts w:ascii="Times New Roman" w:hAnsi="Times New Roman"/>
          <w:b/>
          <w:i/>
          <w:noProof/>
          <w:sz w:val="24"/>
          <w:u w:val="single"/>
        </w:rPr>
        <w:t>Pripremljenost za krize cijena</w:t>
      </w:r>
      <w:bookmarkEnd w:id="88"/>
    </w:p>
    <w:p w14:paraId="18BF4519"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Direktiva o električnoj energiji i Direktiva o plinu sadržavaju odredbe kojima se Vijeću omogućuje da proglasi krizu cijena na prijedlog Komisije ako su ispunjeni određeni izvanredni uvjeti.</w:t>
      </w:r>
      <w:r>
        <w:rPr>
          <w:rFonts w:ascii="Times New Roman" w:hAnsi="Times New Roman"/>
          <w:b/>
          <w:noProof/>
          <w:sz w:val="24"/>
        </w:rPr>
        <w:t xml:space="preserve"> </w:t>
      </w:r>
      <w:r>
        <w:rPr>
          <w:rFonts w:ascii="Times New Roman" w:hAnsi="Times New Roman"/>
          <w:noProof/>
          <w:sz w:val="24"/>
        </w:rPr>
        <w:t xml:space="preserve">U takvim situacijama smanjenje potražnje u određenim satima ima glavnu ulogu u ublažavanju učinaka energetskih kriza. I izvan kriznih razdoblja već se danas mogu osmisliti i aktivirati </w:t>
      </w:r>
      <w:r>
        <w:rPr>
          <w:rFonts w:ascii="Times New Roman" w:hAnsi="Times New Roman"/>
          <w:b/>
          <w:noProof/>
          <w:sz w:val="24"/>
        </w:rPr>
        <w:t>programi za smanjenje vršne potražnje prema kojima opskrbljivač plaća potrošače kako bi smanjili potrošnju u određenim satima</w:t>
      </w:r>
      <w:r>
        <w:rPr>
          <w:rFonts w:ascii="Times New Roman" w:hAnsi="Times New Roman"/>
          <w:noProof/>
          <w:sz w:val="24"/>
        </w:rPr>
        <w:t xml:space="preserve">. Iskustvo u nekoliko država članica pokazuje da su u iznimnim razdobljima opterećenja sustava i visokih cijena potrošači spremni dobrovoljno smanjiti potražnju. </w:t>
      </w:r>
    </w:p>
    <w:tbl>
      <w:tblPr>
        <w:tblStyle w:val="TableGrid"/>
        <w:tblW w:w="0" w:type="auto"/>
        <w:tblLook w:val="04A0" w:firstRow="1" w:lastRow="0" w:firstColumn="1" w:lastColumn="0" w:noHBand="0" w:noVBand="1"/>
      </w:tblPr>
      <w:tblGrid>
        <w:gridCol w:w="1267"/>
        <w:gridCol w:w="7975"/>
      </w:tblGrid>
      <w:tr w:rsidR="00E8217E" w:rsidRPr="00E91C04" w14:paraId="1EABC851"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7CCA9B88"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03BDAD3E"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89" w:name="_Ref185509020"/>
            <w:r>
              <w:rPr>
                <w:rFonts w:ascii="Times New Roman" w:hAnsi="Times New Roman"/>
                <w:b/>
                <w:noProof/>
              </w:rPr>
              <w:t>Izbjegavanje cjenovnih ekstrema tijekom energetskih kriza</w:t>
            </w:r>
            <w:bookmarkEnd w:id="89"/>
          </w:p>
        </w:tc>
      </w:tr>
      <w:tr w:rsidR="00E8217E" w:rsidRPr="00E91C04" w14:paraId="5E1306DB" w14:textId="77777777" w:rsidTr="00E8217E">
        <w:trPr>
          <w:trHeight w:val="369"/>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F30860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392494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b/>
                <w:noProof/>
              </w:rPr>
              <w:t>Smjernice</w:t>
            </w:r>
            <w:r>
              <w:rPr>
                <w:rFonts w:ascii="Times New Roman" w:hAnsi="Times New Roman"/>
                <w:noProof/>
              </w:rPr>
              <w:t xml:space="preserve"> Komisije za države članice za </w:t>
            </w:r>
            <w:r>
              <w:rPr>
                <w:rFonts w:ascii="Times New Roman" w:hAnsi="Times New Roman"/>
                <w:b/>
                <w:noProof/>
              </w:rPr>
              <w:t>razvoj i provedbu programa za smanjenje vršne potražnje</w:t>
            </w:r>
            <w:r>
              <w:rPr>
                <w:rFonts w:ascii="Times New Roman" w:hAnsi="Times New Roman"/>
                <w:noProof/>
              </w:rPr>
              <w:t xml:space="preserve"> uvođenjem naknada za potrošače. Operatori prijenosnih sustava trebaju uvesti </w:t>
            </w:r>
            <w:r>
              <w:rPr>
                <w:rFonts w:ascii="Times New Roman" w:hAnsi="Times New Roman"/>
                <w:b/>
                <w:noProof/>
              </w:rPr>
              <w:t>mjere za smanjenje potražnje za energijom tijekom razdoblja vršne potražnje</w:t>
            </w:r>
            <w:r>
              <w:rPr>
                <w:rFonts w:ascii="Times New Roman" w:hAnsi="Times New Roman"/>
                <w:noProof/>
              </w:rPr>
              <w:t xml:space="preserve"> i stimuliranje potrošnje u kasnijim satima. </w:t>
            </w:r>
          </w:p>
        </w:tc>
      </w:tr>
      <w:tr w:rsidR="00E8217E" w:rsidRPr="00E91C04" w14:paraId="4067E8F9"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AFAF161"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280AC658"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Tekuća mjera, posebno tijekom vršnih cijena/razdoblja opterećenja sustava</w:t>
            </w:r>
          </w:p>
        </w:tc>
      </w:tr>
      <w:tr w:rsidR="00E8217E" w:rsidRPr="00E91C04" w14:paraId="3865C292"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6D616B7A"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4D650B0D"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Niže cijene tijekom razdoblja vršne potražnje za energijom, smanjenje nestabilnosti cijena i razumni konačni računi za energiju</w:t>
            </w:r>
          </w:p>
        </w:tc>
      </w:tr>
    </w:tbl>
    <w:p w14:paraId="32E63481"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Nadalje, u slučajevima u kojima </w:t>
      </w:r>
      <w:r>
        <w:rPr>
          <w:rFonts w:ascii="Times New Roman" w:hAnsi="Times New Roman"/>
          <w:b/>
          <w:noProof/>
          <w:sz w:val="24"/>
        </w:rPr>
        <w:t xml:space="preserve">uska grla u mreži </w:t>
      </w:r>
      <w:r>
        <w:rPr>
          <w:rFonts w:ascii="Times New Roman" w:hAnsi="Times New Roman"/>
          <w:noProof/>
          <w:sz w:val="24"/>
        </w:rPr>
        <w:t xml:space="preserve">ili zagušenje ozbiljno ometaju protok energije, potrebna je bliska suradnja s operatorima prijenosnih sustava i nacionalnim regulatornim tijelima kako bi se </w:t>
      </w:r>
      <w:r>
        <w:rPr>
          <w:rFonts w:ascii="Times New Roman" w:hAnsi="Times New Roman"/>
          <w:b/>
          <w:noProof/>
          <w:sz w:val="24"/>
        </w:rPr>
        <w:t>privremeno povećali dostupni prekogranični interkonekcijski kapaciteti u određenim situacijama</w:t>
      </w:r>
      <w:r>
        <w:rPr>
          <w:rFonts w:ascii="Times New Roman" w:hAnsi="Times New Roman"/>
          <w:noProof/>
          <w:sz w:val="24"/>
        </w:rPr>
        <w:t xml:space="preserve"> (npr. regionalna kriza cijena u jugoistočnoj Europi 2024.) i tako osiguralo da energija stigne do najpogođenijih područja.</w:t>
      </w:r>
      <w:r>
        <w:rPr>
          <w:rFonts w:ascii="Times New Roman" w:hAnsi="Times New Roman"/>
          <w:b/>
          <w:noProof/>
          <w:sz w:val="24"/>
        </w:rPr>
        <w:t xml:space="preserve"> Prekidi zbog održavanja moraju se na odgovarajući način koordinirati </w:t>
      </w:r>
      <w:r>
        <w:rPr>
          <w:rFonts w:ascii="Times New Roman" w:hAnsi="Times New Roman"/>
          <w:noProof/>
          <w:sz w:val="24"/>
        </w:rPr>
        <w:t>na unutarnjem energetskom tržištu kako bi se izbjegli nepotrebni učinci takvih prekida na susjedne države članice.</w:t>
      </w:r>
    </w:p>
    <w:tbl>
      <w:tblPr>
        <w:tblStyle w:val="TableGrid"/>
        <w:tblW w:w="0" w:type="auto"/>
        <w:tblLook w:val="04A0" w:firstRow="1" w:lastRow="0" w:firstColumn="1" w:lastColumn="0" w:noHBand="0" w:noVBand="1"/>
      </w:tblPr>
      <w:tblGrid>
        <w:gridCol w:w="1267"/>
        <w:gridCol w:w="7975"/>
      </w:tblGrid>
      <w:tr w:rsidR="00E8217E" w:rsidRPr="00E91C04" w14:paraId="3EF17AFB"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44790E0F" w14:textId="77777777" w:rsidR="00E8217E" w:rsidRPr="00E91C04" w:rsidRDefault="00E8217E" w:rsidP="00E8217E">
            <w:pPr>
              <w:keepNext/>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Što?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31D1D14" w14:textId="77777777" w:rsidR="00E8217E" w:rsidRPr="00E91C04" w:rsidRDefault="00E8217E" w:rsidP="00E8217E">
            <w:pPr>
              <w:keepNext/>
              <w:spacing w:before="100" w:beforeAutospacing="1" w:after="100" w:afterAutospacing="1"/>
              <w:jc w:val="both"/>
              <w:outlineLvl w:val="3"/>
              <w:rPr>
                <w:rFonts w:ascii="Times New Roman" w:eastAsia="Times New Roman" w:hAnsi="Times New Roman" w:cs="Times New Roman"/>
                <w:b/>
                <w:bCs/>
                <w:noProof/>
                <w14:ligatures w14:val="none"/>
              </w:rPr>
            </w:pPr>
            <w:bookmarkStart w:id="90" w:name="_Ref185509027"/>
            <w:r>
              <w:rPr>
                <w:rFonts w:ascii="Times New Roman" w:hAnsi="Times New Roman"/>
                <w:b/>
                <w:noProof/>
              </w:rPr>
              <w:t>Bolji prekogranični pristup jeftinoj električnoj energiji</w:t>
            </w:r>
            <w:bookmarkEnd w:id="90"/>
          </w:p>
        </w:tc>
      </w:tr>
      <w:tr w:rsidR="00E8217E" w:rsidRPr="00E91C04" w14:paraId="7B08AB55"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5107CC9E"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Kako?</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3341B6A5"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 xml:space="preserve">Surađivati s operatorima prijenosnih sustava i nacionalnim regulatornim tijelima kako bi se osigurala </w:t>
            </w:r>
            <w:r>
              <w:rPr>
                <w:rFonts w:ascii="Times New Roman" w:hAnsi="Times New Roman"/>
                <w:b/>
                <w:noProof/>
              </w:rPr>
              <w:t>privremena povećanja dostupnih prekograničnih kapaciteta</w:t>
            </w:r>
            <w:r>
              <w:rPr>
                <w:rFonts w:ascii="Times New Roman" w:hAnsi="Times New Roman"/>
                <w:noProof/>
              </w:rPr>
              <w:t xml:space="preserve"> u određenim situacijama te pravilna koordinacija i planiranje prekida zbog održavanja kako bi se izbjegla ograničenja prekograničnog protoka električne energije</w:t>
            </w:r>
          </w:p>
        </w:tc>
      </w:tr>
      <w:tr w:rsidR="00E8217E" w:rsidRPr="00E91C04" w14:paraId="54720311" w14:textId="77777777" w:rsidTr="00E8217E">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16A1E27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Kada?</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5B79384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Prema potrebi, npr. u određenim regionalnim krizama cijena</w:t>
            </w:r>
          </w:p>
        </w:tc>
      </w:tr>
      <w:tr w:rsidR="00E8217E" w:rsidRPr="00E91C04" w14:paraId="240E577F" w14:textId="77777777" w:rsidTr="00E8217E">
        <w:trPr>
          <w:trHeight w:val="581"/>
        </w:trPr>
        <w:tc>
          <w:tcPr>
            <w:tcW w:w="1271" w:type="dxa"/>
            <w:tcBorders>
              <w:top w:val="single" w:sz="4" w:space="0" w:color="FFFFFF"/>
              <w:left w:val="single" w:sz="4" w:space="0" w:color="FFFFFF"/>
              <w:bottom w:val="single" w:sz="4" w:space="0" w:color="FFFFFF"/>
              <w:right w:val="single" w:sz="4" w:space="0" w:color="FFFFFF"/>
            </w:tcBorders>
            <w:shd w:val="clear" w:color="auto" w:fill="8EAADB"/>
          </w:tcPr>
          <w:p w14:paraId="34EC913F"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color w:val="FFFFFF"/>
                <w14:ligatures w14:val="none"/>
              </w:rPr>
            </w:pPr>
            <w:r>
              <w:rPr>
                <w:rFonts w:ascii="Times New Roman" w:hAnsi="Times New Roman"/>
                <w:noProof/>
                <w:color w:val="FFFFFF"/>
              </w:rPr>
              <w:t>Rezultati</w:t>
            </w:r>
          </w:p>
        </w:tc>
        <w:tc>
          <w:tcPr>
            <w:tcW w:w="8079" w:type="dxa"/>
            <w:tcBorders>
              <w:top w:val="single" w:sz="4" w:space="0" w:color="FFFFFF"/>
              <w:left w:val="single" w:sz="4" w:space="0" w:color="FFFFFF"/>
              <w:bottom w:val="single" w:sz="4" w:space="0" w:color="FFFFFF"/>
              <w:right w:val="single" w:sz="4" w:space="0" w:color="FFFFFF"/>
            </w:tcBorders>
            <w:shd w:val="clear" w:color="auto" w:fill="D9E2F3"/>
          </w:tcPr>
          <w:p w14:paraId="728CF134" w14:textId="77777777" w:rsidR="00E8217E" w:rsidRPr="00E91C04" w:rsidRDefault="00E8217E" w:rsidP="00E8217E">
            <w:pPr>
              <w:spacing w:before="100" w:beforeAutospacing="1" w:after="100" w:afterAutospacing="1"/>
              <w:jc w:val="both"/>
              <w:rPr>
                <w:rFonts w:ascii="Times New Roman" w:eastAsia="Times New Roman" w:hAnsi="Times New Roman" w:cs="Times New Roman"/>
                <w:noProof/>
                <w14:ligatures w14:val="none"/>
              </w:rPr>
            </w:pPr>
            <w:r>
              <w:rPr>
                <w:rFonts w:ascii="Times New Roman" w:hAnsi="Times New Roman"/>
                <w:noProof/>
              </w:rPr>
              <w:t>Osiguravanje maksimalnog povećanja prekogranične trgovine električnom energijom u kriznim situacijama kako bi se ublažili lokalni porasti cijena na određenim tržištima</w:t>
            </w:r>
          </w:p>
        </w:tc>
      </w:tr>
    </w:tbl>
    <w:p w14:paraId="553F6380" w14:textId="77777777" w:rsidR="00E8217E"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Naposljetku, s obzirom na to da se očekuje da će prirodni plin i dalje uglavnom biti glavni čimbenik u određivanju cijena električne energije u EU-u, Komisija je spremna poduprijeti države članice u osmišljavanju mjera državne potpore, na temelju dokazanih modela u izvanrednim situacijama, kako bi se mogle bolje nositi s ekstremnim porastima cijena i izvanrednim cjenovnim okruženjima, a cijene električne energije manje ovisile o visokim cijenama plina.</w:t>
      </w:r>
    </w:p>
    <w:p w14:paraId="7BD90076" w14:textId="6DD5F941" w:rsidR="00E8217E" w:rsidRPr="00E91C04" w:rsidRDefault="00E8217E" w:rsidP="00E8217E">
      <w:pPr>
        <w:pStyle w:val="ListParagraph"/>
        <w:keepNext/>
        <w:numPr>
          <w:ilvl w:val="0"/>
          <w:numId w:val="16"/>
        </w:numPr>
        <w:pBdr>
          <w:top w:val="nil"/>
          <w:left w:val="nil"/>
          <w:bottom w:val="nil"/>
          <w:right w:val="nil"/>
          <w:between w:val="nil"/>
          <w:bar w:val="nil"/>
        </w:pBdr>
        <w:spacing w:before="360" w:after="240" w:line="240" w:lineRule="auto"/>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91" w:name="_Toc189990211"/>
      <w:bookmarkStart w:id="92" w:name="_Toc189991796"/>
      <w:bookmarkStart w:id="93" w:name="_Toc189995496"/>
      <w:bookmarkStart w:id="94" w:name="_Toc185435271"/>
      <w:bookmarkStart w:id="95" w:name="_Toc187158323"/>
      <w:bookmarkStart w:id="96" w:name="_Toc187184329"/>
      <w:bookmarkStart w:id="97" w:name="_Toc187230354"/>
      <w:bookmarkStart w:id="98" w:name="_Toc187230408"/>
      <w:bookmarkStart w:id="99" w:name="_Toc187258301"/>
      <w:bookmarkStart w:id="100" w:name="_Toc187158335"/>
      <w:bookmarkStart w:id="101" w:name="_Toc187184341"/>
      <w:bookmarkStart w:id="102" w:name="_Toc187230366"/>
      <w:bookmarkStart w:id="103" w:name="_Toc187230420"/>
      <w:bookmarkStart w:id="104" w:name="_Toc187258313"/>
      <w:bookmarkStart w:id="105" w:name="_Toc185435286"/>
      <w:bookmarkStart w:id="106" w:name="_Toc185497229"/>
      <w:bookmarkStart w:id="107" w:name="_Toc185497261"/>
      <w:bookmarkStart w:id="108" w:name="_Toc189995497"/>
      <w:bookmarkStart w:id="109" w:name="_Toc185346413"/>
      <w:bookmarkStart w:id="110" w:name="_Toc185346875"/>
      <w:bookmarkStart w:id="111" w:name="_Toc185348746"/>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b/>
          <w:smallCaps/>
          <w:noProof/>
          <w:color w:val="000000"/>
          <w:sz w:val="28"/>
          <w:u w:color="000000"/>
          <w:bdr w:val="nil"/>
        </w:rPr>
        <w:t>Zaključci i daljnji koraci</w:t>
      </w:r>
      <w:bookmarkEnd w:id="105"/>
      <w:bookmarkEnd w:id="106"/>
      <w:bookmarkEnd w:id="107"/>
      <w:bookmarkEnd w:id="108"/>
      <w:r>
        <w:rPr>
          <w:rFonts w:ascii="Times New Roman" w:hAnsi="Times New Roman"/>
          <w:b/>
          <w:smallCaps/>
          <w:noProof/>
          <w:color w:val="000000"/>
          <w:sz w:val="28"/>
          <w:u w:color="000000"/>
          <w:bdr w:val="nil"/>
        </w:rPr>
        <w:t xml:space="preserve"> </w:t>
      </w:r>
      <w:bookmarkEnd w:id="109"/>
      <w:bookmarkEnd w:id="110"/>
      <w:bookmarkEnd w:id="111"/>
    </w:p>
    <w:p w14:paraId="4EF39C56"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 xml:space="preserve">U Akcijskom planu za priuštivu energiju utvrđeno je osam konkretnih kratkoročnih mjera za </w:t>
      </w:r>
      <w:r>
        <w:rPr>
          <w:rFonts w:ascii="Times New Roman" w:hAnsi="Times New Roman"/>
          <w:b/>
          <w:noProof/>
          <w:sz w:val="24"/>
        </w:rPr>
        <w:t>ostvarenje potpune energetske unije s ciljem konkurentnosti, cjenovne pristupačnosti, sigurnosti i održivosti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Za ostvarivanje rezultata i preobrazbu bit će potrebno sudjelovanje svih dionika: i. koordinacija u EU-u uz ključnu potporu Europskog parlamenta i Vijeća kako bi se osigurao djelotvoran i pragmatičan zakonodavni okvir; ii. bliska suradnja država članica u provedbi mjera na terenu i osiguravanju ostvarivanja punog potencijala plana u korist građana; iii. aktivno uključivanje dionika: naše industrije i poduzeća, naših radnika, inovatora i građana; i iv. angažman na najvišoj političkoj razini putem radne skupine za energetsku uniju.</w:t>
      </w:r>
    </w:p>
    <w:p w14:paraId="72C1779D" w14:textId="77777777" w:rsidR="00E8217E" w:rsidRPr="00E91C04" w:rsidRDefault="00E8217E" w:rsidP="00E8217E">
      <w:pPr>
        <w:spacing w:before="100" w:beforeAutospacing="1" w:after="100" w:afterAutospacing="1"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Komisija će provoditi Akcijski plan, pratiti napredak</w:t>
      </w:r>
      <w:r>
        <w:rPr>
          <w:rFonts w:ascii="Times New Roman" w:hAnsi="Times New Roman"/>
          <w:noProof/>
          <w:sz w:val="24"/>
        </w:rPr>
        <w:t xml:space="preserve"> u njegovu ostvarivanju i izvješćivati o tome u budućim </w:t>
      </w:r>
      <w:r>
        <w:rPr>
          <w:rFonts w:ascii="Times New Roman" w:hAnsi="Times New Roman"/>
          <w:b/>
          <w:noProof/>
          <w:sz w:val="24"/>
        </w:rPr>
        <w:t>izvješćima o stanju energetske unije</w:t>
      </w:r>
      <w:r>
        <w:rPr>
          <w:rFonts w:ascii="Times New Roman" w:hAnsi="Times New Roman"/>
          <w:noProof/>
          <w:sz w:val="24"/>
        </w:rPr>
        <w:t>. Komisija će redovito obavješćivati Europski parlament i Vijeće ministara za energetiku o napretku i raspravljati o učincima.</w:t>
      </w:r>
    </w:p>
    <w:p w14:paraId="0316C337" w14:textId="77777777" w:rsidR="00E8217E" w:rsidRPr="00E91C04" w:rsidRDefault="00E8217E" w:rsidP="00E8217E">
      <w:pPr>
        <w:spacing w:before="240" w:after="24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noProof/>
          <w:sz w:val="24"/>
        </w:rPr>
        <w:t>Suočavamo se s velikim izazovima, no i naše sposobnosti su velike. Zajedno smo izgradili otporne mreže i najintegriraniju energetsku mrežu na svijetu. Imamo snažnu proizvodnu bazu, visokokvalificiranu radnu snagu, napredne tehnologije i snažan regulatorni okvir. Ustrajali smo i napredovali na našem putu prema dekarbonizaciji, omogućili gospodarski rast bez rasta emisija CO</w:t>
      </w:r>
      <w:r>
        <w:rPr>
          <w:rFonts w:ascii="Times New Roman" w:hAnsi="Times New Roman"/>
          <w:noProof/>
          <w:sz w:val="24"/>
          <w:vertAlign w:val="subscript"/>
        </w:rPr>
        <w:t>2</w:t>
      </w:r>
      <w:r>
        <w:rPr>
          <w:rFonts w:ascii="Times New Roman" w:hAnsi="Times New Roman"/>
          <w:noProof/>
          <w:sz w:val="24"/>
        </w:rPr>
        <w:t xml:space="preserve"> i preuzeli vodeću ulogu u globalnoj energetskoj tranziciji. </w:t>
      </w:r>
      <w:r>
        <w:rPr>
          <w:rFonts w:ascii="Times New Roman" w:hAnsi="Times New Roman"/>
          <w:b/>
          <w:noProof/>
          <w:sz w:val="24"/>
        </w:rPr>
        <w:t>Te nam prednosti omogućuju rješavanje problema s kojima se Europa trenutačno suočava</w:t>
      </w:r>
      <w:r>
        <w:rPr>
          <w:rFonts w:ascii="Times New Roman" w:hAnsi="Times New Roman"/>
          <w:noProof/>
          <w:sz w:val="24"/>
        </w:rPr>
        <w:t>.</w:t>
      </w:r>
    </w:p>
    <w:p w14:paraId="1B4BCE27" w14:textId="77777777" w:rsidR="00E8217E" w:rsidRPr="00E91C04" w:rsidRDefault="00E8217E" w:rsidP="00E8217E">
      <w:pPr>
        <w:spacing w:before="240"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noProof/>
          <w:sz w:val="24"/>
        </w:rPr>
        <w:t>Jasno je zašto treba riješiti te probleme.</w:t>
      </w:r>
      <w:r>
        <w:rPr>
          <w:rFonts w:ascii="Times New Roman" w:hAnsi="Times New Roman"/>
          <w:noProof/>
          <w:sz w:val="24"/>
        </w:rPr>
        <w:t xml:space="preserve"> Energija je temelj našeg gospodarstva i društva. Ona čini mali dio naših rashoda BDP-a,</w:t>
      </w:r>
      <w:r>
        <w:rPr>
          <w:rFonts w:ascii="Times New Roman" w:eastAsia="Times New Roman" w:hAnsi="Times New Roman" w:cs="Times New Roman"/>
          <w:noProof/>
          <w:kern w:val="0"/>
          <w:sz w:val="24"/>
          <w:szCs w:val="24"/>
          <w:vertAlign w:val="superscript"/>
          <w:lang w:val="en-GB" w:eastAsia="en-IE"/>
        </w:rPr>
        <w:footnoteReference w:id="95"/>
      </w:r>
      <w:r>
        <w:rPr>
          <w:rFonts w:ascii="Times New Roman" w:hAnsi="Times New Roman"/>
          <w:noProof/>
          <w:sz w:val="24"/>
          <w:vertAlign w:val="superscript"/>
        </w:rPr>
        <w:t>,</w:t>
      </w:r>
      <w:r w:rsidRPr="00E91C04">
        <w:rPr>
          <w:rFonts w:ascii="Times New Roman" w:eastAsia="Times New Roman" w:hAnsi="Times New Roman" w:cs="Times New Roman"/>
          <w:noProof/>
          <w:kern w:val="0"/>
          <w:sz w:val="24"/>
          <w:szCs w:val="24"/>
          <w:vertAlign w:val="superscript"/>
          <w:lang w:val="en-GB" w:eastAsia="en-IE"/>
        </w:rPr>
        <w:footnoteReference w:id="96"/>
      </w:r>
      <w:r>
        <w:rPr>
          <w:rFonts w:ascii="Times New Roman" w:hAnsi="Times New Roman"/>
          <w:noProof/>
          <w:sz w:val="24"/>
        </w:rPr>
        <w:t xml:space="preserve"> ali pokreće cijelo gospodarstvo. Pokreće vlakove koji nas prevoze, zagrijava kuće u kojima živimo i pogoni strojeve koji proizvode robu kojom se svakodnevno koristimo. On je i jedan od temelja našeg EU-a, još otkad su ugljen i čelik bili stupovi obnove Europe, podupirala je rast našeg gospodarstva i poboljšavala svakodnevni život Europljana. </w:t>
      </w:r>
    </w:p>
    <w:p w14:paraId="5E2AF5B1" w14:textId="03B75CF0" w:rsidR="00D370D3" w:rsidRDefault="00E8217E" w:rsidP="00E8217E">
      <w:pPr>
        <w:spacing w:before="240" w:after="240" w:line="240" w:lineRule="auto"/>
        <w:jc w:val="both"/>
        <w:rPr>
          <w:rFonts w:ascii="Times New Roman" w:hAnsi="Times New Roman"/>
          <w:noProof/>
          <w:sz w:val="24"/>
        </w:rPr>
      </w:pPr>
      <w:r>
        <w:rPr>
          <w:rFonts w:ascii="Times New Roman" w:hAnsi="Times New Roman"/>
          <w:b/>
          <w:noProof/>
          <w:sz w:val="24"/>
        </w:rPr>
        <w:t>Proizvodnja energije</w:t>
      </w:r>
      <w:r>
        <w:rPr>
          <w:rFonts w:ascii="Times New Roman" w:hAnsi="Times New Roman"/>
          <w:noProof/>
          <w:sz w:val="24"/>
        </w:rPr>
        <w:t xml:space="preserve"> i </w:t>
      </w:r>
      <w:r>
        <w:rPr>
          <w:rFonts w:ascii="Times New Roman" w:hAnsi="Times New Roman"/>
          <w:b/>
          <w:noProof/>
          <w:sz w:val="24"/>
        </w:rPr>
        <w:t>integracija naših energetskih tržišta</w:t>
      </w:r>
      <w:r>
        <w:rPr>
          <w:rFonts w:ascii="Times New Roman" w:hAnsi="Times New Roman"/>
          <w:noProof/>
          <w:sz w:val="24"/>
        </w:rPr>
        <w:t xml:space="preserve"> oduvijek su bili ključni za </w:t>
      </w:r>
      <w:r>
        <w:rPr>
          <w:rFonts w:ascii="Times New Roman" w:hAnsi="Times New Roman"/>
          <w:b/>
          <w:noProof/>
          <w:sz w:val="24"/>
        </w:rPr>
        <w:t>europsko jedinstvo</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Od Europske zajednice za ugljen i čelik do razvoja energetske unije, energija je bila </w:t>
      </w:r>
      <w:r>
        <w:rPr>
          <w:rFonts w:ascii="Times New Roman" w:hAnsi="Times New Roman"/>
          <w:b/>
          <w:noProof/>
          <w:sz w:val="24"/>
        </w:rPr>
        <w:t>ključna za našu gospodarsku stabilnost</w:t>
      </w:r>
      <w:r>
        <w:rPr>
          <w:rFonts w:ascii="Times New Roman" w:hAnsi="Times New Roman"/>
          <w:noProof/>
          <w:sz w:val="24"/>
        </w:rPr>
        <w:t xml:space="preserve"> i </w:t>
      </w:r>
      <w:r>
        <w:rPr>
          <w:rFonts w:ascii="Times New Roman" w:hAnsi="Times New Roman"/>
          <w:b/>
          <w:noProof/>
          <w:sz w:val="24"/>
        </w:rPr>
        <w:t>pokretač integracije EU-a</w:t>
      </w:r>
      <w:r>
        <w:rPr>
          <w:rFonts w:ascii="Times New Roman" w:hAnsi="Times New Roman"/>
          <w:noProof/>
          <w:sz w:val="24"/>
        </w:rPr>
        <w:t xml:space="preserve">. Vodeći se </w:t>
      </w:r>
      <w:r>
        <w:rPr>
          <w:rFonts w:ascii="Times New Roman" w:hAnsi="Times New Roman"/>
          <w:b/>
          <w:noProof/>
          <w:sz w:val="24"/>
        </w:rPr>
        <w:t>Kompasom konkurentnosti</w:t>
      </w:r>
      <w:r>
        <w:rPr>
          <w:rFonts w:ascii="Times New Roman" w:hAnsi="Times New Roman"/>
          <w:noProof/>
          <w:sz w:val="24"/>
        </w:rPr>
        <w:t xml:space="preserve"> i zajedno s </w:t>
      </w:r>
      <w:r>
        <w:rPr>
          <w:rFonts w:ascii="Times New Roman" w:hAnsi="Times New Roman"/>
          <w:b/>
          <w:noProof/>
          <w:sz w:val="24"/>
        </w:rPr>
        <w:t>Planom za čistu industriju</w:t>
      </w:r>
      <w:r>
        <w:rPr>
          <w:rFonts w:ascii="Times New Roman" w:hAnsi="Times New Roman"/>
          <w:noProof/>
          <w:sz w:val="24"/>
        </w:rPr>
        <w:t xml:space="preserve">, ovaj </w:t>
      </w:r>
      <w:r>
        <w:rPr>
          <w:rFonts w:ascii="Times New Roman" w:hAnsi="Times New Roman"/>
          <w:b/>
          <w:noProof/>
          <w:sz w:val="24"/>
        </w:rPr>
        <w:t>Akcijski plan za priuštivu energiju</w:t>
      </w:r>
      <w:r>
        <w:rPr>
          <w:rFonts w:ascii="Times New Roman" w:hAnsi="Times New Roman"/>
          <w:noProof/>
          <w:sz w:val="24"/>
        </w:rPr>
        <w:t xml:space="preserve"> omogućit će nam da iskoristimo svoje prednosti, dokažemo </w:t>
      </w:r>
      <w:r>
        <w:rPr>
          <w:rFonts w:ascii="Times New Roman" w:hAnsi="Times New Roman"/>
          <w:b/>
          <w:noProof/>
          <w:sz w:val="24"/>
        </w:rPr>
        <w:t>pravu vrijednost naše energetske unije</w:t>
      </w:r>
      <w:r>
        <w:rPr>
          <w:rFonts w:ascii="Times New Roman" w:hAnsi="Times New Roman"/>
          <w:noProof/>
          <w:sz w:val="24"/>
        </w:rPr>
        <w:t xml:space="preserve"> i ponovno potvrdimo predanost EU-a uključivoj energetskoj tranziciji </w:t>
      </w:r>
      <w:r>
        <w:rPr>
          <w:rFonts w:ascii="Times New Roman" w:hAnsi="Times New Roman"/>
          <w:b/>
          <w:noProof/>
          <w:sz w:val="24"/>
        </w:rPr>
        <w:t>u kojoj nijedan pojedinac ili zajednica nije zapostavljen</w:t>
      </w:r>
      <w:r>
        <w:rPr>
          <w:rFonts w:ascii="Times New Roman" w:hAnsi="Times New Roman"/>
          <w:noProof/>
          <w:sz w:val="24"/>
        </w:rPr>
        <w:t>.</w:t>
      </w:r>
    </w:p>
    <w:p w14:paraId="2C750D39" w14:textId="77777777" w:rsidR="00D370D3" w:rsidRDefault="00D370D3">
      <w:pPr>
        <w:rPr>
          <w:rFonts w:ascii="Times New Roman" w:hAnsi="Times New Roman"/>
          <w:noProof/>
          <w:sz w:val="24"/>
        </w:rPr>
      </w:pPr>
      <w:r>
        <w:rPr>
          <w:rFonts w:ascii="Times New Roman" w:hAnsi="Times New Roman"/>
          <w:noProof/>
          <w:sz w:val="24"/>
        </w:rPr>
        <w:br w:type="page"/>
      </w:r>
    </w:p>
    <w:p w14:paraId="31208076" w14:textId="77777777" w:rsidR="00E8217E" w:rsidRPr="00E91C04" w:rsidRDefault="00E8217E" w:rsidP="00E8217E">
      <w:pPr>
        <w:keepNext/>
        <w:pBdr>
          <w:top w:val="nil"/>
          <w:left w:val="nil"/>
          <w:bottom w:val="nil"/>
          <w:right w:val="nil"/>
          <w:between w:val="nil"/>
          <w:bar w:val="nil"/>
        </w:pBdr>
        <w:spacing w:before="360" w:after="240" w:line="240" w:lineRule="auto"/>
        <w:ind w:left="141"/>
        <w:outlineLvl w:val="0"/>
        <w:rPr>
          <w:rFonts w:ascii="Times New Roman" w:eastAsia="Arial Unicode MS" w:hAnsi="Times New Roman" w:cs="Arial Unicode MS"/>
          <w:b/>
          <w:bCs/>
          <w:smallCaps/>
          <w:noProof/>
          <w:color w:val="000000"/>
          <w:kern w:val="0"/>
          <w:sz w:val="28"/>
          <w:szCs w:val="28"/>
          <w:u w:color="000000"/>
          <w:bdr w:val="nil"/>
          <w14:ligatures w14:val="none"/>
        </w:rPr>
      </w:pPr>
      <w:bookmarkStart w:id="112" w:name="_Toc188546699"/>
      <w:bookmarkStart w:id="113" w:name="_Toc185346414"/>
      <w:bookmarkStart w:id="114" w:name="_Toc185346876"/>
      <w:bookmarkStart w:id="115" w:name="_Toc185348747"/>
      <w:bookmarkStart w:id="116" w:name="_Toc185435287"/>
      <w:bookmarkStart w:id="117" w:name="_Toc185497230"/>
      <w:bookmarkStart w:id="118" w:name="_Toc185497262"/>
      <w:bookmarkStart w:id="119" w:name="_Toc189995498"/>
      <w:r>
        <w:rPr>
          <w:rFonts w:ascii="Times New Roman" w:hAnsi="Times New Roman"/>
          <w:b/>
          <w:smallCaps/>
          <w:noProof/>
          <w:color w:val="000000"/>
          <w:sz w:val="28"/>
          <w:u w:color="000000"/>
          <w:bdr w:val="nil"/>
        </w:rPr>
        <w:t>Prilog I.: popis mjera i rokovi</w:t>
      </w:r>
      <w:bookmarkEnd w:id="112"/>
      <w:r>
        <w:rPr>
          <w:rFonts w:ascii="Times New Roman" w:hAnsi="Times New Roman"/>
          <w:b/>
          <w:smallCaps/>
          <w:noProof/>
          <w:color w:val="000000"/>
          <w:sz w:val="28"/>
          <w:u w:color="000000"/>
          <w:bdr w:val="nil"/>
        </w:rPr>
        <w:t xml:space="preserve"> </w:t>
      </w:r>
      <w:bookmarkEnd w:id="113"/>
      <w:bookmarkEnd w:id="114"/>
      <w:bookmarkEnd w:id="115"/>
      <w:bookmarkEnd w:id="116"/>
      <w:bookmarkEnd w:id="117"/>
      <w:bookmarkEnd w:id="118"/>
      <w:bookmarkEnd w:id="119"/>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7"/>
        <w:gridCol w:w="6"/>
        <w:gridCol w:w="1841"/>
        <w:gridCol w:w="2110"/>
        <w:gridCol w:w="8"/>
      </w:tblGrid>
      <w:tr w:rsidR="00E8217E" w:rsidRPr="00E91C04" w14:paraId="2BF8C155"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2F2F2"/>
            <w:hideMark/>
          </w:tcPr>
          <w:p w14:paraId="46ECFDB1"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Što?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0CCD4C71"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Kada?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3AFA360F"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Tko? </w:t>
            </w:r>
          </w:p>
        </w:tc>
      </w:tr>
      <w:tr w:rsidR="00E8217E" w:rsidRPr="00E91C04" w14:paraId="667F8552" w14:textId="77777777" w:rsidTr="006274CA">
        <w:trPr>
          <w:gridAfter w:val="1"/>
          <w:wAfter w:w="8" w:type="dxa"/>
          <w:trHeight w:val="499"/>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011D923B"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Stup I.: Smanjenje troškova energije</w:t>
            </w:r>
          </w:p>
        </w:tc>
      </w:tr>
      <w:tr w:rsidR="00E8217E" w:rsidRPr="00E91C04" w14:paraId="0E917F06"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452A9B38"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1: niži računi za električnu energiju</w:t>
            </w:r>
            <w:r>
              <w:rPr>
                <w:rFonts w:ascii="Times New Roman" w:hAnsi="Times New Roman"/>
                <w:noProof/>
                <w:sz w:val="24"/>
              </w:rPr>
              <w:t> </w:t>
            </w:r>
          </w:p>
        </w:tc>
      </w:tr>
      <w:tr w:rsidR="00E8217E" w:rsidRPr="00E91C04" w14:paraId="55977A54"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7EC2CE2F" w14:textId="29E7EC7C"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sidRPr="00E91C04">
              <w:rPr>
                <w:rFonts w:ascii="Times New Roman" w:eastAsia="Times New Roman" w:hAnsi="Times New Roman" w:cs="Times New Roman"/>
                <w:noProof/>
                <w:sz w:val="24"/>
              </w:rPr>
              <w:fldChar w:fldCharType="begin"/>
            </w:r>
            <w:r w:rsidRPr="00E91C04">
              <w:rPr>
                <w:rFonts w:ascii="Times New Roman" w:eastAsia="Times New Roman" w:hAnsi="Times New Roman" w:cs="Times New Roman"/>
                <w:noProof/>
                <w:sz w:val="24"/>
              </w:rPr>
              <w:instrText xml:space="preserve"> REF _Ref191313339 \h </w:instrText>
            </w:r>
            <w:r w:rsidR="00E91C04">
              <w:rPr>
                <w:rFonts w:ascii="Times New Roman" w:eastAsia="Times New Roman" w:hAnsi="Times New Roman" w:cs="Times New Roman"/>
                <w:noProof/>
                <w:sz w:val="24"/>
              </w:rPr>
              <w:instrText xml:space="preserve"> \* MERGEFORMAT </w:instrText>
            </w:r>
            <w:r w:rsidRPr="00E91C04">
              <w:rPr>
                <w:rFonts w:ascii="Times New Roman" w:eastAsia="Times New Roman" w:hAnsi="Times New Roman" w:cs="Times New Roman"/>
                <w:noProof/>
                <w:sz w:val="24"/>
              </w:rPr>
            </w:r>
            <w:r w:rsidRPr="00E91C04">
              <w:rPr>
                <w:rFonts w:ascii="Times New Roman" w:eastAsia="Times New Roman" w:hAnsi="Times New Roman" w:cs="Times New Roman"/>
                <w:noProof/>
                <w:sz w:val="24"/>
              </w:rPr>
              <w:fldChar w:fldCharType="separate"/>
            </w:r>
            <w:r w:rsidR="00D9416B" w:rsidRPr="00D9416B">
              <w:rPr>
                <w:rFonts w:ascii="Times New Roman" w:eastAsia="Times New Roman" w:hAnsi="Times New Roman" w:cs="Times New Roman"/>
                <w:noProof/>
                <w:sz w:val="24"/>
              </w:rPr>
              <w:t>More efficient network charges to reduce energy system costs</w:t>
            </w:r>
            <w:r w:rsidRPr="00E91C04">
              <w:rPr>
                <w:rFonts w:ascii="Times New Roman" w:eastAsia="Times New Roman" w:hAnsi="Times New Roman" w:cs="Times New Roman"/>
                <w:noProof/>
                <w:sz w:val="24"/>
              </w:rPr>
              <w:fldChar w:fldCharType="end"/>
            </w:r>
            <w:r>
              <w:rPr>
                <w:rFonts w:ascii="Times New Roman" w:hAnsi="Times New Roman"/>
                <w:noProof/>
                <w:sz w:val="24"/>
              </w:rPr>
              <w:t>Učinkovitije mrežne naknade radi smanjenja troškova energetskog sustava</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6CEC72" w14:textId="09F9762B"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Drugo tromjesečje 2025.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7B77F3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nacionalna regulatorna tijela </w:t>
            </w:r>
          </w:p>
        </w:tc>
      </w:tr>
      <w:tr w:rsidR="00E8217E" w:rsidRPr="00E91C04" w14:paraId="370E2F9A"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2F3CC85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Niže oporezivanje električne energije i uklanjanje neenergetskih troškovnih komponenti s računa</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49DEE46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Od donošenja</w:t>
            </w:r>
            <w:r>
              <w:rPr>
                <w:rFonts w:ascii="Times New Roman" w:hAnsi="Times New Roman"/>
                <w:noProof/>
                <w:sz w:val="24"/>
              </w:rPr>
              <w:br/>
              <w:t>Četvrto tromjesečje 2025. (preporuka)</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6EC6C9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Države članice, uz potporu Europske komisije </w:t>
            </w:r>
          </w:p>
        </w:tc>
      </w:tr>
      <w:tr w:rsidR="00E8217E" w:rsidRPr="00E91C04" w14:paraId="2F4C3DB8" w14:textId="77777777" w:rsidTr="006274CA">
        <w:trPr>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3644E583"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Omogućiti potrošačima da izaberu jeftinije dobavljače energije uz istodobno rješavanje problema energetskog siromaštva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C259FC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Treće tromjesečje 2025. </w:t>
            </w:r>
          </w:p>
        </w:tc>
        <w:tc>
          <w:tcPr>
            <w:tcW w:w="2118"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A6EFF7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nacionalna regulatorna tijela </w:t>
            </w:r>
          </w:p>
        </w:tc>
      </w:tr>
      <w:tr w:rsidR="00E8217E" w:rsidRPr="00E91C04" w14:paraId="68082924"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1AE8977C"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2: smanjivanje troškova opskrbe električnom energijom</w:t>
            </w:r>
            <w:r>
              <w:rPr>
                <w:rFonts w:ascii="Times New Roman" w:hAnsi="Times New Roman"/>
                <w:noProof/>
                <w:sz w:val="24"/>
              </w:rPr>
              <w:t> </w:t>
            </w:r>
          </w:p>
        </w:tc>
      </w:tr>
      <w:tr w:rsidR="00E8217E" w:rsidRPr="00E91C04" w14:paraId="0A2351D9"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C1F33A8"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Prekidanje ovisnosti maloprodajnih računa za električnu energiju od visokih i nestabilnih cijena plina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740D64E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Drugo tromjesečje 2025. (EIB) i četvrto tromjesečje 2025. (Smjernice CfD-a)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40E41C6D"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EIB, države članice </w:t>
            </w:r>
          </w:p>
        </w:tc>
      </w:tr>
      <w:tr w:rsidR="00E8217E" w:rsidRPr="00E91C04" w14:paraId="769055E7"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0807B9E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Brže izdavanje dozvola za bržu energetsku tranziciju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7415C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Od donošenja i u razdoblju 2025.–2026.</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1F756AD6"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nacionalna nadležna tijela </w:t>
            </w:r>
          </w:p>
        </w:tc>
      </w:tr>
      <w:tr w:rsidR="00E8217E" w:rsidRPr="00E91C04" w14:paraId="2B77B386"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A3C67A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Ubrzavanje širenja, modernizacije i digitalizacije mreža</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61E29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Prvo tromjesečje 2026.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383D872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operatori prijenosnih sustava </w:t>
            </w:r>
          </w:p>
        </w:tc>
      </w:tr>
      <w:tr w:rsidR="00E8217E" w:rsidRPr="00E91C04" w14:paraId="76B4999A"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A2EDDE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Povećavanje fleksibilnosti sustava uz pomoć skladištenja i upravljanja potrošnjom</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0449B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Od donošenja</w:t>
            </w:r>
          </w:p>
          <w:p w14:paraId="368D37B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Drugo tromjesečje 2025. (okvir za državne potpore)</w:t>
            </w:r>
          </w:p>
          <w:p w14:paraId="62A03F53"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Prvo tromjesečje 2026. (nova pravila o upravljanju potrošnjom)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38AA420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w:t>
            </w:r>
          </w:p>
        </w:tc>
      </w:tr>
      <w:tr w:rsidR="00E8217E" w:rsidRPr="00E91C04" w14:paraId="336268A6"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tcPr>
          <w:p w14:paraId="0975A19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Smjernice za promicanje naknade za fleksibilnost u maloprodajnim ugovorima</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tcPr>
          <w:p w14:paraId="00C495B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Četvrto tromjesečje 2025.</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10AF627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w:t>
            </w:r>
          </w:p>
        </w:tc>
      </w:tr>
      <w:tr w:rsidR="00E8217E" w:rsidRPr="00E91C04" w14:paraId="23F7FA86"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6155645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3: pravednija tržišta plina i cijene energije</w:t>
            </w:r>
            <w:r>
              <w:rPr>
                <w:rFonts w:ascii="Times New Roman" w:hAnsi="Times New Roman"/>
                <w:noProof/>
                <w:sz w:val="24"/>
              </w:rPr>
              <w:t>  </w:t>
            </w:r>
          </w:p>
        </w:tc>
      </w:tr>
      <w:tr w:rsidR="00E8217E" w:rsidRPr="0085545F" w14:paraId="761EC1EB" w14:textId="77777777" w:rsidTr="006274CA">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7B52A16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Osigurati pošteno tržišno natjecanje na tržištima plina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0795A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Četvrto tromjesečje 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3A053DC0"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ACER, ESMA, nacionalna regulatorna tijela </w:t>
            </w:r>
          </w:p>
        </w:tc>
      </w:tr>
      <w:tr w:rsidR="00E8217E" w:rsidRPr="00E91C04" w14:paraId="18E65D07"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1502460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Iskorištavanje kupovne moći EU-a kako bi se prirodni plin uvozio po povoljnijoj cijeni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45B63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prvo i drugo tromjesečje 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746D1C5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s </w:t>
            </w:r>
            <w:r>
              <w:rPr>
                <w:rFonts w:ascii="Times New Roman" w:hAnsi="Times New Roman"/>
                <w:noProof/>
                <w:sz w:val="24"/>
              </w:rPr>
              <w:br/>
              <w:t>međunarodnim partnerima  </w:t>
            </w:r>
          </w:p>
        </w:tc>
      </w:tr>
      <w:tr w:rsidR="00E8217E" w:rsidRPr="00E91C04" w14:paraId="7EAF387B"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588B9A67"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4: energetska učinkovitost za uštede energije</w:t>
            </w:r>
            <w:r>
              <w:rPr>
                <w:rFonts w:ascii="Times New Roman" w:hAnsi="Times New Roman"/>
                <w:noProof/>
                <w:sz w:val="24"/>
              </w:rPr>
              <w:t> </w:t>
            </w:r>
          </w:p>
        </w:tc>
      </w:tr>
      <w:tr w:rsidR="00E8217E" w:rsidRPr="00E91C04" w14:paraId="408286D2"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316C970"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Tržište energetske učinkovitosti s europskom dimenzijom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3A7FD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Treće i četvrto tromjesečje 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2B463C4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EIB, financijske institucije, europska industrija  </w:t>
            </w:r>
          </w:p>
        </w:tc>
      </w:tr>
      <w:tr w:rsidR="00E8217E" w:rsidRPr="00E91C04" w14:paraId="01D84292" w14:textId="77777777" w:rsidTr="00FD7A64">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6A7AEDC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Potrošačima omogućiti pristup učinkovitijim uređajima i proizvodima s duljim životnim vijekom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00835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Od donošenja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73BBAC9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nacionalna tijela za nadzor tržišta i carinska tijela  </w:t>
            </w:r>
          </w:p>
        </w:tc>
      </w:tr>
      <w:tr w:rsidR="00E8217E" w:rsidRPr="00E91C04" w14:paraId="72E62759" w14:textId="77777777" w:rsidTr="006274CA">
        <w:trPr>
          <w:gridAfter w:val="1"/>
          <w:wAfter w:w="8" w:type="dxa"/>
          <w:trHeight w:val="570"/>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607E934F"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Stup II.: Izgradnja potpune energetske unije</w:t>
            </w:r>
            <w:r>
              <w:rPr>
                <w:rFonts w:ascii="Times New Roman" w:hAnsi="Times New Roman"/>
                <w:noProof/>
                <w:color w:val="FFFFFF"/>
                <w:sz w:val="24"/>
              </w:rPr>
              <w:t> </w:t>
            </w:r>
          </w:p>
        </w:tc>
      </w:tr>
      <w:tr w:rsidR="00E8217E" w:rsidRPr="00E91C04" w14:paraId="154FA975"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tcPr>
          <w:p w14:paraId="02807686" w14:textId="77777777" w:rsidR="00E8217E" w:rsidRPr="00E91C04" w:rsidRDefault="00E8217E" w:rsidP="00E8217E">
            <w:pPr>
              <w:keepNext/>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b/>
                <w:noProof/>
                <w:sz w:val="24"/>
              </w:rPr>
              <w:t>Mjera 5: dovršetak energetske unije</w:t>
            </w:r>
            <w:r>
              <w:rPr>
                <w:rFonts w:ascii="Times New Roman" w:hAnsi="Times New Roman"/>
                <w:noProof/>
                <w:sz w:val="24"/>
              </w:rPr>
              <w:t> </w:t>
            </w:r>
          </w:p>
        </w:tc>
      </w:tr>
      <w:tr w:rsidR="00E8217E" w:rsidRPr="0085545F" w14:paraId="0D4B0E07"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2C24988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Pokrenuti radnu skupinu za energetsku uniju </w:t>
            </w:r>
          </w:p>
        </w:tc>
        <w:tc>
          <w:tcPr>
            <w:tcW w:w="1841" w:type="dxa"/>
            <w:tcBorders>
              <w:top w:val="single" w:sz="6" w:space="0" w:color="auto"/>
              <w:left w:val="single" w:sz="6" w:space="0" w:color="auto"/>
              <w:bottom w:val="single" w:sz="6" w:space="0" w:color="auto"/>
              <w:right w:val="single" w:sz="6" w:space="0" w:color="auto"/>
            </w:tcBorders>
            <w:shd w:val="clear" w:color="auto" w:fill="auto"/>
          </w:tcPr>
          <w:p w14:paraId="12FBD47A"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2025.</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6212FB99" w14:textId="77777777" w:rsidR="00E8217E" w:rsidRDefault="00E8217E" w:rsidP="00E8217E">
            <w:pPr>
              <w:spacing w:after="0" w:line="240" w:lineRule="auto"/>
              <w:textAlignment w:val="baseline"/>
              <w:rPr>
                <w:rFonts w:ascii="Times New Roman" w:eastAsia="Times New Roman" w:hAnsi="Times New Roman" w:cs="Times New Roman"/>
                <w:b/>
                <w:noProof/>
                <w:kern w:val="0"/>
                <w:sz w:val="24"/>
                <w:szCs w:val="24"/>
                <w14:ligatures w14:val="none"/>
              </w:rPr>
            </w:pPr>
            <w:r>
              <w:rPr>
                <w:rFonts w:ascii="Times New Roman" w:hAnsi="Times New Roman"/>
                <w:noProof/>
                <w:sz w:val="24"/>
              </w:rPr>
              <w:t>Europska komisija, države članice, relevantna tijela EU-a, stručnjaci</w:t>
            </w:r>
          </w:p>
        </w:tc>
      </w:tr>
      <w:tr w:rsidR="00E8217E" w:rsidRPr="00E91C04" w14:paraId="6F15F21A"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1365D62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Rješavanje problema investicijskog jaza i mobilizacija privatnog kapitala</w:t>
            </w:r>
          </w:p>
        </w:tc>
        <w:tc>
          <w:tcPr>
            <w:tcW w:w="1841" w:type="dxa"/>
            <w:tcBorders>
              <w:top w:val="single" w:sz="6" w:space="0" w:color="auto"/>
              <w:left w:val="single" w:sz="6" w:space="0" w:color="auto"/>
              <w:right w:val="single" w:sz="6" w:space="0" w:color="auto"/>
            </w:tcBorders>
            <w:shd w:val="clear" w:color="auto" w:fill="auto"/>
          </w:tcPr>
          <w:p w14:paraId="44D60F3B" w14:textId="42371155"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Drugo tromjesečje 2025.</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63131B9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EIB, InvestEU</w:t>
            </w:r>
          </w:p>
        </w:tc>
      </w:tr>
      <w:tr w:rsidR="00E8217E" w:rsidRPr="00E91C04" w14:paraId="044B0412"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37F5BA85"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Izgradnja integriranijeg energetskog tržišta  </w:t>
            </w:r>
          </w:p>
        </w:tc>
        <w:tc>
          <w:tcPr>
            <w:tcW w:w="1841" w:type="dxa"/>
            <w:vMerge w:val="restart"/>
            <w:tcBorders>
              <w:top w:val="single" w:sz="6" w:space="0" w:color="auto"/>
              <w:left w:val="single" w:sz="6" w:space="0" w:color="auto"/>
              <w:right w:val="single" w:sz="6" w:space="0" w:color="auto"/>
            </w:tcBorders>
            <w:shd w:val="clear" w:color="auto" w:fill="auto"/>
          </w:tcPr>
          <w:p w14:paraId="69014985"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lang w:val="en-GB" w:eastAsia="en-IE"/>
                <w14:ligatures w14:val="none"/>
              </w:rPr>
            </w:pPr>
          </w:p>
          <w:p w14:paraId="716E5EE9"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lang w:val="en-GB" w:eastAsia="en-IE"/>
                <w14:ligatures w14:val="none"/>
              </w:rPr>
            </w:pPr>
          </w:p>
          <w:p w14:paraId="323C0A8E"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lang w:val="en-GB" w:eastAsia="en-IE"/>
                <w14:ligatures w14:val="none"/>
              </w:rPr>
            </w:pPr>
          </w:p>
          <w:p w14:paraId="446DB171" w14:textId="77777777" w:rsidR="00E8217E" w:rsidRDefault="00E8217E" w:rsidP="00E8217E">
            <w:pPr>
              <w:spacing w:after="0" w:line="240" w:lineRule="auto"/>
              <w:textAlignment w:val="baseline"/>
              <w:rPr>
                <w:rFonts w:ascii="Times New Roman" w:eastAsia="Times New Roman" w:hAnsi="Times New Roman" w:cs="Times New Roman"/>
                <w:noProof/>
                <w:kern w:val="0"/>
                <w:sz w:val="24"/>
                <w:szCs w:val="24"/>
                <w:lang w:val="en-GB" w:eastAsia="en-IE"/>
                <w14:ligatures w14:val="none"/>
              </w:rPr>
            </w:pPr>
          </w:p>
          <w:p w14:paraId="3F3D1D4F" w14:textId="77777777" w:rsidR="00E8217E" w:rsidRDefault="00E8217E" w:rsidP="00E8217E">
            <w:pPr>
              <w:spacing w:beforeAutospacing="1" w:after="0" w:afterAutospacing="1"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Od 2026. do sredine 2027.</w:t>
            </w: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269A30B3"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Europski parlament i dionici</w:t>
            </w:r>
          </w:p>
        </w:tc>
      </w:tr>
      <w:tr w:rsidR="00E8217E" w:rsidRPr="00E91C04" w14:paraId="230DBAE1" w14:textId="77777777" w:rsidTr="006274CA">
        <w:trPr>
          <w:gridAfter w:val="1"/>
          <w:wAfter w:w="8" w:type="dxa"/>
          <w:trHeight w:val="615"/>
        </w:trPr>
        <w:tc>
          <w:tcPr>
            <w:tcW w:w="5393" w:type="dxa"/>
            <w:gridSpan w:val="2"/>
            <w:tcBorders>
              <w:top w:val="single" w:sz="6" w:space="0" w:color="auto"/>
              <w:left w:val="single" w:sz="6" w:space="0" w:color="auto"/>
              <w:right w:val="single" w:sz="6" w:space="0" w:color="auto"/>
            </w:tcBorders>
            <w:shd w:val="clear" w:color="auto" w:fill="auto"/>
          </w:tcPr>
          <w:p w14:paraId="4CE7CD20"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Pružanje sigurnosti za ulaganja i pojednostavnjenje sustava upravljanja za snažnu energetsku uniju </w:t>
            </w:r>
          </w:p>
        </w:tc>
        <w:tc>
          <w:tcPr>
            <w:tcW w:w="1841" w:type="dxa"/>
            <w:vMerge/>
            <w:tcBorders>
              <w:left w:val="single" w:sz="6" w:space="0" w:color="auto"/>
              <w:right w:val="single" w:sz="6" w:space="0" w:color="auto"/>
            </w:tcBorders>
            <w:shd w:val="clear" w:color="auto" w:fill="auto"/>
          </w:tcPr>
          <w:p w14:paraId="73B5335E" w14:textId="77777777" w:rsidR="00E8217E" w:rsidRPr="00ED6E66" w:rsidRDefault="00E8217E" w:rsidP="00E8217E">
            <w:pPr>
              <w:spacing w:after="0" w:line="240" w:lineRule="auto"/>
              <w:textAlignment w:val="baseline"/>
              <w:rPr>
                <w:rFonts w:ascii="Times New Roman" w:eastAsia="Times New Roman" w:hAnsi="Times New Roman" w:cs="Times New Roman"/>
                <w:b/>
                <w:bCs/>
                <w:noProof/>
                <w:kern w:val="0"/>
                <w:sz w:val="24"/>
                <w:szCs w:val="24"/>
                <w:lang w:eastAsia="en-IE"/>
                <w14:ligatures w14:val="none"/>
              </w:rPr>
            </w:pPr>
          </w:p>
        </w:tc>
        <w:tc>
          <w:tcPr>
            <w:tcW w:w="2110" w:type="dxa"/>
            <w:tcBorders>
              <w:top w:val="single" w:sz="6" w:space="0" w:color="auto"/>
              <w:left w:val="single" w:sz="6" w:space="0" w:color="auto"/>
              <w:right w:val="single" w:sz="6" w:space="0" w:color="auto"/>
            </w:tcBorders>
            <w:shd w:val="clear" w:color="auto" w:fill="auto"/>
          </w:tcPr>
          <w:p w14:paraId="098088D3"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Europska komisija </w:t>
            </w:r>
          </w:p>
        </w:tc>
      </w:tr>
      <w:tr w:rsidR="00E8217E" w:rsidRPr="00E91C04" w14:paraId="7354F454"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60C7145D"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Povećanje elektrifikacije </w:t>
            </w:r>
          </w:p>
        </w:tc>
        <w:tc>
          <w:tcPr>
            <w:tcW w:w="1841" w:type="dxa"/>
            <w:vMerge/>
            <w:tcBorders>
              <w:left w:val="single" w:sz="6" w:space="0" w:color="auto"/>
              <w:right w:val="single" w:sz="6" w:space="0" w:color="auto"/>
            </w:tcBorders>
            <w:shd w:val="clear" w:color="auto" w:fill="auto"/>
          </w:tcPr>
          <w:p w14:paraId="506530B1" w14:textId="77777777" w:rsidR="00E8217E" w:rsidRPr="00E91C04" w:rsidRDefault="00E8217E" w:rsidP="00E8217E">
            <w:pPr>
              <w:spacing w:after="0" w:line="240" w:lineRule="auto"/>
              <w:textAlignment w:val="baseline"/>
              <w:rPr>
                <w:rFonts w:ascii="Times New Roman" w:eastAsia="Times New Roman" w:hAnsi="Times New Roman" w:cs="Times New Roman"/>
                <w:b/>
                <w:noProof/>
                <w:kern w:val="0"/>
                <w:sz w:val="24"/>
                <w:szCs w:val="24"/>
                <w:lang w:val="en-GB" w:eastAsia="en-IE"/>
                <w14:ligatures w14:val="none"/>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5509C845"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Europska komisija, države članice</w:t>
            </w:r>
          </w:p>
        </w:tc>
      </w:tr>
      <w:tr w:rsidR="00E8217E" w:rsidRPr="00E91C04" w14:paraId="36D2A528"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tcPr>
          <w:p w14:paraId="1D2E1E9F"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Povećanje digitalizacije i korištenja umjetne inteligencije u energetskom sektoru </w:t>
            </w:r>
          </w:p>
        </w:tc>
        <w:tc>
          <w:tcPr>
            <w:tcW w:w="1841" w:type="dxa"/>
            <w:vMerge/>
            <w:tcBorders>
              <w:left w:val="single" w:sz="6" w:space="0" w:color="auto"/>
              <w:right w:val="single" w:sz="6" w:space="0" w:color="auto"/>
            </w:tcBorders>
            <w:shd w:val="clear" w:color="auto" w:fill="auto"/>
          </w:tcPr>
          <w:p w14:paraId="0D598704" w14:textId="77777777" w:rsidR="00E8217E" w:rsidRPr="00ED6E66" w:rsidRDefault="00E8217E" w:rsidP="00E8217E">
            <w:pPr>
              <w:spacing w:after="0" w:line="240" w:lineRule="auto"/>
              <w:textAlignment w:val="baseline"/>
              <w:rPr>
                <w:rFonts w:ascii="Times New Roman" w:eastAsia="Times New Roman" w:hAnsi="Times New Roman" w:cs="Times New Roman"/>
                <w:b/>
                <w:noProof/>
                <w:kern w:val="0"/>
                <w:sz w:val="24"/>
                <w:szCs w:val="24"/>
                <w:lang w:eastAsia="en-IE"/>
                <w14:ligatures w14:val="none"/>
              </w:rPr>
            </w:pPr>
          </w:p>
        </w:tc>
        <w:tc>
          <w:tcPr>
            <w:tcW w:w="2110" w:type="dxa"/>
            <w:tcBorders>
              <w:top w:val="single" w:sz="6" w:space="0" w:color="auto"/>
              <w:left w:val="single" w:sz="6" w:space="0" w:color="auto"/>
              <w:bottom w:val="single" w:sz="6" w:space="0" w:color="auto"/>
              <w:right w:val="single" w:sz="6" w:space="0" w:color="auto"/>
            </w:tcBorders>
            <w:shd w:val="clear" w:color="auto" w:fill="auto"/>
          </w:tcPr>
          <w:p w14:paraId="3E9D6258" w14:textId="77777777" w:rsidR="00E8217E" w:rsidRDefault="00E8217E" w:rsidP="00E8217E">
            <w:pPr>
              <w:spacing w:after="0" w:line="240" w:lineRule="auto"/>
              <w:textAlignment w:val="baseline"/>
              <w:rPr>
                <w:rFonts w:ascii="Times New Roman" w:eastAsia="Times New Roman" w:hAnsi="Times New Roman" w:cs="Times New Roman"/>
                <w:b/>
                <w:bCs/>
                <w:noProof/>
                <w:kern w:val="0"/>
                <w:sz w:val="24"/>
                <w:szCs w:val="24"/>
                <w14:ligatures w14:val="none"/>
              </w:rPr>
            </w:pPr>
            <w:r>
              <w:rPr>
                <w:rFonts w:ascii="Times New Roman" w:hAnsi="Times New Roman"/>
                <w:noProof/>
                <w:sz w:val="24"/>
              </w:rPr>
              <w:t>Europska komisija</w:t>
            </w:r>
          </w:p>
        </w:tc>
      </w:tr>
      <w:tr w:rsidR="00E8217E" w:rsidRPr="00E91C04" w14:paraId="62E37856" w14:textId="77777777" w:rsidTr="006274CA">
        <w:trPr>
          <w:trHeight w:val="703"/>
        </w:trPr>
        <w:tc>
          <w:tcPr>
            <w:tcW w:w="5393" w:type="dxa"/>
            <w:gridSpan w:val="2"/>
            <w:tcBorders>
              <w:top w:val="single" w:sz="6" w:space="0" w:color="auto"/>
              <w:left w:val="single" w:sz="6" w:space="0" w:color="auto"/>
              <w:right w:val="single" w:sz="6" w:space="0" w:color="auto"/>
            </w:tcBorders>
            <w:shd w:val="clear" w:color="auto" w:fill="auto"/>
          </w:tcPr>
          <w:p w14:paraId="4A16CB8B"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Dekarbonizacija i integracija sektora grijanja i hlađenja, čime se omogućuje zamjena plina drugim izvorima energije</w:t>
            </w:r>
          </w:p>
        </w:tc>
        <w:tc>
          <w:tcPr>
            <w:tcW w:w="1841" w:type="dxa"/>
            <w:vMerge/>
            <w:tcBorders>
              <w:left w:val="single" w:sz="6" w:space="0" w:color="auto"/>
              <w:right w:val="single" w:sz="6" w:space="0" w:color="auto"/>
            </w:tcBorders>
            <w:shd w:val="clear" w:color="auto" w:fill="auto"/>
          </w:tcPr>
          <w:p w14:paraId="678B6F6E" w14:textId="77777777" w:rsidR="00E8217E" w:rsidRPr="00ED6E66" w:rsidRDefault="00E8217E" w:rsidP="00E8217E">
            <w:pPr>
              <w:spacing w:after="0" w:line="240" w:lineRule="auto"/>
              <w:textAlignment w:val="baseline"/>
              <w:rPr>
                <w:rFonts w:ascii="Times New Roman" w:eastAsia="Times New Roman" w:hAnsi="Times New Roman" w:cs="Times New Roman"/>
                <w:noProof/>
                <w:kern w:val="0"/>
                <w:sz w:val="24"/>
                <w:szCs w:val="24"/>
                <w:lang w:eastAsia="en-IE"/>
                <w14:ligatures w14:val="none"/>
              </w:rPr>
            </w:pPr>
          </w:p>
        </w:tc>
        <w:tc>
          <w:tcPr>
            <w:tcW w:w="2118" w:type="dxa"/>
            <w:gridSpan w:val="2"/>
            <w:tcBorders>
              <w:top w:val="single" w:sz="6" w:space="0" w:color="auto"/>
              <w:left w:val="single" w:sz="6" w:space="0" w:color="auto"/>
              <w:right w:val="single" w:sz="6" w:space="0" w:color="auto"/>
            </w:tcBorders>
            <w:shd w:val="clear" w:color="auto" w:fill="auto"/>
          </w:tcPr>
          <w:p w14:paraId="6B3ECA4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w:t>
            </w:r>
          </w:p>
        </w:tc>
      </w:tr>
      <w:tr w:rsidR="00E8217E" w:rsidRPr="00E91C04" w14:paraId="61809A1C" w14:textId="77777777" w:rsidTr="006274CA">
        <w:trPr>
          <w:gridAfter w:val="1"/>
          <w:wAfter w:w="8" w:type="dxa"/>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4B8C5408"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Stup III.: Privlačenje ulaganja i osiguravanje rezultata</w:t>
            </w:r>
            <w:r>
              <w:rPr>
                <w:rFonts w:ascii="Times New Roman" w:hAnsi="Times New Roman"/>
                <w:noProof/>
                <w:color w:val="FFFFFF"/>
                <w:sz w:val="24"/>
              </w:rPr>
              <w:t> </w:t>
            </w:r>
          </w:p>
        </w:tc>
      </w:tr>
      <w:tr w:rsidR="00E8217E" w:rsidRPr="00E91C04" w14:paraId="6085EA2B"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1DA510E5"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6: trostrani ugovor za cjenovno pristupačnu energiju za europsku industriju</w:t>
            </w:r>
            <w:r>
              <w:rPr>
                <w:rFonts w:ascii="Times New Roman" w:hAnsi="Times New Roman"/>
                <w:noProof/>
                <w:sz w:val="24"/>
              </w:rPr>
              <w:t> </w:t>
            </w:r>
          </w:p>
        </w:tc>
      </w:tr>
      <w:tr w:rsidR="00E8217E" w:rsidRPr="00E91C04" w14:paraId="27592E35"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7570AE"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Trostrani ugovor za cjenovno pristupačnu energiju </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10707CC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2025.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466EE522"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EIB, proizvođači i industrija energije  </w:t>
            </w:r>
          </w:p>
        </w:tc>
      </w:tr>
      <w:tr w:rsidR="00E8217E" w:rsidRPr="00E91C04" w14:paraId="12CA2947" w14:textId="77777777" w:rsidTr="006274CA">
        <w:trPr>
          <w:gridAfter w:val="1"/>
          <w:wAfter w:w="8" w:type="dxa"/>
          <w:trHeight w:val="484"/>
        </w:trPr>
        <w:tc>
          <w:tcPr>
            <w:tcW w:w="9344" w:type="dxa"/>
            <w:gridSpan w:val="4"/>
            <w:tcBorders>
              <w:top w:val="single" w:sz="6" w:space="0" w:color="auto"/>
              <w:left w:val="single" w:sz="6" w:space="0" w:color="auto"/>
              <w:bottom w:val="single" w:sz="6" w:space="0" w:color="auto"/>
              <w:right w:val="single" w:sz="6" w:space="0" w:color="auto"/>
            </w:tcBorders>
            <w:shd w:val="clear" w:color="auto" w:fill="2F5496"/>
            <w:vAlign w:val="center"/>
            <w:hideMark/>
          </w:tcPr>
          <w:p w14:paraId="234E6D77" w14:textId="77777777" w:rsidR="00E8217E" w:rsidRPr="00E91C04" w:rsidRDefault="00E8217E" w:rsidP="00E8217E">
            <w:pPr>
              <w:keepNext/>
              <w:spacing w:after="0" w:line="240" w:lineRule="auto"/>
              <w:jc w:val="center"/>
              <w:textAlignment w:val="baseline"/>
              <w:rPr>
                <w:rFonts w:ascii="Times New Roman" w:eastAsia="Times New Roman" w:hAnsi="Times New Roman" w:cs="Times New Roman"/>
                <w:noProof/>
                <w:color w:val="FFFFFF"/>
                <w:kern w:val="0"/>
                <w:sz w:val="24"/>
                <w:szCs w:val="24"/>
                <w14:ligatures w14:val="none"/>
              </w:rPr>
            </w:pPr>
            <w:r>
              <w:rPr>
                <w:rFonts w:ascii="Times New Roman" w:hAnsi="Times New Roman"/>
                <w:b/>
                <w:noProof/>
                <w:color w:val="FFFFFF"/>
                <w:sz w:val="24"/>
              </w:rPr>
              <w:t>Stup IV.: Spremnost za potencijalne energetske krize</w:t>
            </w:r>
          </w:p>
        </w:tc>
      </w:tr>
      <w:tr w:rsidR="00E8217E" w:rsidRPr="00E91C04" w14:paraId="023E6BF3"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709E415C"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7: sigurnost opskrbe radi stabilnosti cijena</w:t>
            </w:r>
            <w:r>
              <w:rPr>
                <w:rFonts w:ascii="Times New Roman" w:hAnsi="Times New Roman"/>
                <w:noProof/>
                <w:sz w:val="24"/>
              </w:rPr>
              <w:t>  </w:t>
            </w:r>
          </w:p>
        </w:tc>
      </w:tr>
      <w:tr w:rsidR="00E8217E" w:rsidRPr="00E91C04" w14:paraId="15374B3A" w14:textId="77777777" w:rsidTr="006274CA">
        <w:trPr>
          <w:gridAfter w:val="1"/>
          <w:wAfter w:w="8" w:type="dxa"/>
          <w:trHeight w:val="300"/>
        </w:trPr>
        <w:tc>
          <w:tcPr>
            <w:tcW w:w="53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BFF0C4"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Veća stabilnost cijena s pomoću prikladnog okvira za energetsku sigurnost </w:t>
            </w:r>
          </w:p>
        </w:tc>
        <w:tc>
          <w:tcPr>
            <w:tcW w:w="1841" w:type="dxa"/>
            <w:tcBorders>
              <w:top w:val="single" w:sz="6" w:space="0" w:color="auto"/>
              <w:left w:val="single" w:sz="6" w:space="0" w:color="auto"/>
              <w:bottom w:val="single" w:sz="6" w:space="0" w:color="auto"/>
              <w:right w:val="single" w:sz="6" w:space="0" w:color="auto"/>
            </w:tcBorders>
            <w:shd w:val="clear" w:color="auto" w:fill="auto"/>
            <w:hideMark/>
          </w:tcPr>
          <w:p w14:paraId="71845E7A"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Početak 2026.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7E2965E7"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Europska komisija </w:t>
            </w:r>
          </w:p>
        </w:tc>
      </w:tr>
      <w:tr w:rsidR="00E8217E" w:rsidRPr="00E91C04" w14:paraId="1081ECC6" w14:textId="77777777" w:rsidTr="006274CA">
        <w:trPr>
          <w:gridAfter w:val="1"/>
          <w:wAfter w:w="8" w:type="dxa"/>
          <w:trHeight w:val="300"/>
        </w:trPr>
        <w:tc>
          <w:tcPr>
            <w:tcW w:w="9344" w:type="dxa"/>
            <w:gridSpan w:val="4"/>
            <w:tcBorders>
              <w:top w:val="single" w:sz="6" w:space="0" w:color="auto"/>
              <w:left w:val="single" w:sz="6" w:space="0" w:color="auto"/>
              <w:bottom w:val="single" w:sz="6" w:space="0" w:color="auto"/>
              <w:right w:val="single" w:sz="6" w:space="0" w:color="auto"/>
            </w:tcBorders>
            <w:shd w:val="clear" w:color="auto" w:fill="BDD6EE"/>
            <w:hideMark/>
          </w:tcPr>
          <w:p w14:paraId="054DB0BD" w14:textId="77777777" w:rsidR="00E8217E" w:rsidRPr="00E91C04" w:rsidRDefault="00E8217E" w:rsidP="00E8217E">
            <w:pPr>
              <w:keepNext/>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b/>
                <w:noProof/>
                <w:sz w:val="24"/>
              </w:rPr>
              <w:t>Mjera 8: pripremljenost za krize cijena </w:t>
            </w:r>
            <w:r>
              <w:rPr>
                <w:rFonts w:ascii="Times New Roman" w:hAnsi="Times New Roman"/>
                <w:noProof/>
                <w:sz w:val="24"/>
              </w:rPr>
              <w:t>  </w:t>
            </w:r>
          </w:p>
        </w:tc>
      </w:tr>
      <w:tr w:rsidR="00E8217E" w:rsidRPr="00E91C04" w14:paraId="45CD2D26" w14:textId="77777777" w:rsidTr="006274CA">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63651E8D"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Izbjegavanje cjenovnih ekstrema tijekom energetskih kriza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51F106"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Tijekom energetskih kriza</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179838F1"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države članice, operatori prijenosnih sustava  </w:t>
            </w:r>
          </w:p>
        </w:tc>
      </w:tr>
      <w:tr w:rsidR="00E8217E" w:rsidRPr="00E8217E" w14:paraId="6142E3B5" w14:textId="77777777" w:rsidTr="006274CA">
        <w:trPr>
          <w:gridAfter w:val="1"/>
          <w:wAfter w:w="8" w:type="dxa"/>
          <w:trHeight w:val="300"/>
        </w:trPr>
        <w:tc>
          <w:tcPr>
            <w:tcW w:w="5387" w:type="dxa"/>
            <w:tcBorders>
              <w:top w:val="single" w:sz="6" w:space="0" w:color="auto"/>
              <w:left w:val="single" w:sz="6" w:space="0" w:color="auto"/>
              <w:bottom w:val="single" w:sz="6" w:space="0" w:color="auto"/>
              <w:right w:val="single" w:sz="6" w:space="0" w:color="auto"/>
            </w:tcBorders>
            <w:shd w:val="clear" w:color="auto" w:fill="FFFFFF"/>
            <w:hideMark/>
          </w:tcPr>
          <w:p w14:paraId="6B49DC19"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Bolji prekogranični pristup cjenovno pristupačnoj električnoj energiji  </w:t>
            </w:r>
          </w:p>
        </w:tc>
        <w:tc>
          <w:tcPr>
            <w:tcW w:w="1847"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8DAE5C" w14:textId="77777777" w:rsidR="00E8217E" w:rsidRPr="00E91C04"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Tijekom energetskih kriza </w:t>
            </w:r>
          </w:p>
        </w:tc>
        <w:tc>
          <w:tcPr>
            <w:tcW w:w="2110" w:type="dxa"/>
            <w:tcBorders>
              <w:top w:val="single" w:sz="6" w:space="0" w:color="auto"/>
              <w:left w:val="single" w:sz="6" w:space="0" w:color="auto"/>
              <w:bottom w:val="single" w:sz="6" w:space="0" w:color="auto"/>
              <w:right w:val="single" w:sz="6" w:space="0" w:color="auto"/>
            </w:tcBorders>
            <w:shd w:val="clear" w:color="auto" w:fill="auto"/>
            <w:hideMark/>
          </w:tcPr>
          <w:p w14:paraId="5566BBE3" w14:textId="77777777" w:rsidR="00E8217E" w:rsidRPr="00E8217E" w:rsidRDefault="00E8217E" w:rsidP="00E8217E">
            <w:pPr>
              <w:spacing w:after="0" w:line="240" w:lineRule="auto"/>
              <w:textAlignment w:val="baseline"/>
              <w:rPr>
                <w:rFonts w:ascii="Times New Roman" w:eastAsia="Times New Roman" w:hAnsi="Times New Roman" w:cs="Times New Roman"/>
                <w:noProof/>
                <w:kern w:val="0"/>
                <w:sz w:val="24"/>
                <w:szCs w:val="24"/>
                <w14:ligatures w14:val="none"/>
              </w:rPr>
            </w:pPr>
            <w:r>
              <w:rPr>
                <w:rFonts w:ascii="Times New Roman" w:hAnsi="Times New Roman"/>
                <w:noProof/>
                <w:sz w:val="24"/>
              </w:rPr>
              <w:t>Europska komisija, nacionalna regulatorna tijela, operatori prijenosnih sustava </w:t>
            </w:r>
          </w:p>
        </w:tc>
      </w:tr>
    </w:tbl>
    <w:p w14:paraId="37F06F26" w14:textId="77777777" w:rsidR="00E8217E" w:rsidRDefault="00E8217E">
      <w:pPr>
        <w:rPr>
          <w:noProof/>
        </w:rPr>
      </w:pPr>
    </w:p>
    <w:sectPr w:rsidR="00E8217E" w:rsidSect="00C4137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5E386" w14:textId="77777777" w:rsidR="00E537D3" w:rsidRDefault="00E537D3" w:rsidP="00E8217E">
      <w:pPr>
        <w:spacing w:after="0" w:line="240" w:lineRule="auto"/>
      </w:pPr>
      <w:r>
        <w:separator/>
      </w:r>
    </w:p>
  </w:endnote>
  <w:endnote w:type="continuationSeparator" w:id="0">
    <w:p w14:paraId="4F7E254B" w14:textId="77777777" w:rsidR="00E537D3" w:rsidRDefault="00E537D3" w:rsidP="00E8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83C5" w14:textId="46D2920F" w:rsidR="008E5F61" w:rsidRPr="008E5F61" w:rsidRDefault="008E5F61" w:rsidP="008E5F61">
    <w:pPr>
      <w:pStyle w:val="FooterCoverPage"/>
      <w:rPr>
        <w:rFonts w:ascii="Arial" w:hAnsi="Arial" w:cs="Arial"/>
        <w:b/>
        <w:sz w:val="48"/>
      </w:rPr>
    </w:pPr>
    <w:r w:rsidRPr="008E5F61">
      <w:rPr>
        <w:rFonts w:ascii="Arial" w:hAnsi="Arial" w:cs="Arial"/>
        <w:b/>
        <w:sz w:val="48"/>
      </w:rPr>
      <w:t>HR</w:t>
    </w:r>
    <w:r w:rsidRPr="008E5F61">
      <w:rPr>
        <w:rFonts w:ascii="Arial" w:hAnsi="Arial" w:cs="Arial"/>
        <w:b/>
        <w:sz w:val="48"/>
      </w:rPr>
      <w:tab/>
    </w:r>
    <w:r w:rsidRPr="008E5F61">
      <w:rPr>
        <w:rFonts w:ascii="Arial" w:hAnsi="Arial" w:cs="Arial"/>
        <w:b/>
        <w:sz w:val="48"/>
      </w:rPr>
      <w:tab/>
    </w:r>
    <w:r w:rsidRPr="008E5F61">
      <w:tab/>
    </w:r>
    <w:r w:rsidRPr="008E5F61">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F45EA" w14:textId="08F263CD" w:rsidR="008E5F61" w:rsidRPr="008E5F61" w:rsidRDefault="008E5F61" w:rsidP="008E5F61">
    <w:pPr>
      <w:pStyle w:val="FooterCoverPage"/>
      <w:rPr>
        <w:rFonts w:ascii="Arial" w:hAnsi="Arial" w:cs="Arial"/>
        <w:b/>
        <w:sz w:val="48"/>
      </w:rPr>
    </w:pPr>
    <w:r w:rsidRPr="008E5F61">
      <w:rPr>
        <w:rFonts w:ascii="Arial" w:hAnsi="Arial" w:cs="Arial"/>
        <w:b/>
        <w:sz w:val="48"/>
      </w:rPr>
      <w:t>HR</w:t>
    </w:r>
    <w:r w:rsidRPr="008E5F61">
      <w:rPr>
        <w:rFonts w:ascii="Arial" w:hAnsi="Arial" w:cs="Arial"/>
        <w:b/>
        <w:sz w:val="48"/>
      </w:rPr>
      <w:tab/>
    </w:r>
    <w:r w:rsidRPr="008E5F61">
      <w:rPr>
        <w:rFonts w:ascii="Arial" w:hAnsi="Arial" w:cs="Arial"/>
        <w:b/>
        <w:sz w:val="48"/>
      </w:rPr>
      <w:tab/>
    </w:r>
    <w:r w:rsidRPr="008E5F61">
      <w:tab/>
    </w:r>
    <w:r w:rsidRPr="008E5F61">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230A" w14:textId="77777777" w:rsidR="008E5F61" w:rsidRPr="008E5F61" w:rsidRDefault="008E5F61" w:rsidP="008E5F6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8A2A" w14:textId="77777777" w:rsidR="000464B5" w:rsidRDefault="000464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065497"/>
      <w:docPartObj>
        <w:docPartGallery w:val="Page Numbers (Bottom of Page)"/>
        <w:docPartUnique/>
      </w:docPartObj>
    </w:sdtPr>
    <w:sdtEndPr>
      <w:rPr>
        <w:noProof/>
      </w:rPr>
    </w:sdtEndPr>
    <w:sdtContent>
      <w:p w14:paraId="23E26390" w14:textId="2F3CFEF7" w:rsidR="000464B5" w:rsidRDefault="000464B5" w:rsidP="00C41370">
        <w:pPr>
          <w:pStyle w:val="Footer"/>
          <w:jc w:val="center"/>
        </w:pPr>
        <w:r>
          <w:fldChar w:fldCharType="begin"/>
        </w:r>
        <w:r>
          <w:instrText xml:space="preserve"> PAGE   \* MERGEFORMAT </w:instrText>
        </w:r>
        <w:r>
          <w:fldChar w:fldCharType="separate"/>
        </w:r>
        <w:r w:rsidR="008E5F61">
          <w:rPr>
            <w:noProof/>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526209"/>
      <w:docPartObj>
        <w:docPartGallery w:val="Page Numbers (Bottom of Page)"/>
        <w:docPartUnique/>
      </w:docPartObj>
    </w:sdtPr>
    <w:sdtEndPr>
      <w:rPr>
        <w:noProof/>
      </w:rPr>
    </w:sdtEndPr>
    <w:sdtContent>
      <w:p w14:paraId="66803C0D" w14:textId="73ADCC36" w:rsidR="000464B5" w:rsidRDefault="00C41370" w:rsidP="00C41370">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B6DD3" w14:textId="77777777" w:rsidR="00E537D3" w:rsidRDefault="00E537D3" w:rsidP="00E8217E">
      <w:pPr>
        <w:spacing w:after="0" w:line="240" w:lineRule="auto"/>
      </w:pPr>
      <w:r>
        <w:separator/>
      </w:r>
    </w:p>
  </w:footnote>
  <w:footnote w:type="continuationSeparator" w:id="0">
    <w:p w14:paraId="7EE7E188" w14:textId="77777777" w:rsidR="00E537D3" w:rsidRDefault="00E537D3" w:rsidP="00E8217E">
      <w:pPr>
        <w:spacing w:after="0" w:line="240" w:lineRule="auto"/>
      </w:pPr>
      <w:r>
        <w:continuationSeparator/>
      </w:r>
    </w:p>
  </w:footnote>
  <w:footnote w:id="1">
    <w:p w14:paraId="218F237D" w14:textId="77777777" w:rsidR="00E8217E" w:rsidRPr="002F6574" w:rsidRDefault="00E8217E" w:rsidP="00E8217E">
      <w:pPr>
        <w:pStyle w:val="FootnoteText"/>
        <w:spacing w:before="0" w:beforeAutospacing="0" w:after="0" w:afterAutospacing="0"/>
      </w:pPr>
      <w:r>
        <w:rPr>
          <w:vertAlign w:val="superscript"/>
        </w:rPr>
        <w:footnoteRef/>
      </w:r>
      <w:r>
        <w:rPr>
          <w:vertAlign w:val="superscript"/>
        </w:rPr>
        <w:t xml:space="preserve"> </w:t>
      </w:r>
      <w:r>
        <w:t>Baza podataka Eurostata (</w:t>
      </w:r>
      <w:r>
        <w:rPr>
          <w:i/>
        </w:rPr>
        <w:t>oznaka podataka: ilc_mdes01</w:t>
      </w:r>
      <w:r>
        <w:t>)</w:t>
      </w:r>
    </w:p>
  </w:footnote>
  <w:footnote w:id="2">
    <w:p w14:paraId="0B514330" w14:textId="77777777" w:rsidR="00E8217E" w:rsidRPr="00524FEA" w:rsidRDefault="00E8217E" w:rsidP="00E8217E">
      <w:pPr>
        <w:pStyle w:val="FootnoteText"/>
        <w:spacing w:before="0" w:beforeAutospacing="0" w:after="0" w:afterAutospacing="0"/>
      </w:pPr>
      <w:r>
        <w:rPr>
          <w:vertAlign w:val="superscript"/>
        </w:rPr>
        <w:footnoteRef/>
      </w:r>
      <w:r>
        <w:rPr>
          <w:vertAlign w:val="superscript"/>
        </w:rPr>
        <w:t xml:space="preserve"> </w:t>
      </w:r>
      <w:hyperlink r:id="rId1" w:history="1">
        <w:r>
          <w:rPr>
            <w:rStyle w:val="Hyperlink1"/>
          </w:rPr>
          <w:t>Studija o cijenama i troškovima energije – Procjena učinaka na kućanstva i industriju – izdanje za 2024.;</w:t>
        </w:r>
      </w:hyperlink>
      <w:r>
        <w:t xml:space="preserve"> Trinomics, 2025.</w:t>
      </w:r>
    </w:p>
  </w:footnote>
  <w:footnote w:id="3">
    <w:p w14:paraId="478B3492" w14:textId="047CBD39" w:rsidR="00E8217E" w:rsidRPr="00524FEA" w:rsidRDefault="00E8217E" w:rsidP="00E8217E">
      <w:pPr>
        <w:pStyle w:val="FootnoteText"/>
        <w:spacing w:before="0" w:beforeAutospacing="0" w:after="0" w:afterAutospacing="0"/>
      </w:pPr>
      <w:r>
        <w:rPr>
          <w:vertAlign w:val="superscript"/>
        </w:rPr>
        <w:footnoteRef/>
      </w:r>
      <w:r>
        <w:rPr>
          <w:vertAlign w:val="superscript"/>
        </w:rPr>
        <w:t xml:space="preserve"> </w:t>
      </w:r>
      <w:r>
        <w:t>Vidjeti sliku 1. Maloprodajne cijene električne energije u EU-u za industriju bile su u drugom tromjesečju 2024. 2,2 puta više nego u SAD-u, dvostruko više nego u Kini i 1,2 puta više nego u Japanu (zemlji u kojoj je ene</w:t>
      </w:r>
      <w:r w:rsidR="009B66B4">
        <w:t>r</w:t>
      </w:r>
      <w:r>
        <w:t xml:space="preserve">gija uvijek bila skuplja nego u EU-u). </w:t>
      </w:r>
    </w:p>
  </w:footnote>
  <w:footnote w:id="4">
    <w:p w14:paraId="426C9E5B" w14:textId="4073D760" w:rsidR="00E8217E" w:rsidRPr="002F6574" w:rsidRDefault="00E8217E" w:rsidP="00E8217E">
      <w:pPr>
        <w:pStyle w:val="FootnoteText"/>
        <w:spacing w:before="0" w:beforeAutospacing="0" w:after="0" w:afterAutospacing="0"/>
      </w:pPr>
      <w:r>
        <w:rPr>
          <w:vertAlign w:val="superscript"/>
        </w:rPr>
        <w:footnoteRef/>
      </w:r>
      <w:r>
        <w:rPr>
          <w:vertAlign w:val="superscript"/>
        </w:rPr>
        <w:t xml:space="preserve"> </w:t>
      </w:r>
      <w:r>
        <w:t>U sektoru energije iz obnovljivih izvora 2023. je na području EU-a bilo zaposleno oko 1,8 milijuna ljudi.</w:t>
      </w:r>
      <w:r w:rsidR="009B66B4">
        <w:t xml:space="preserve"> </w:t>
      </w:r>
      <w:hyperlink r:id="rId2" w:history="1">
        <w:r>
          <w:rPr>
            <w:rStyle w:val="Hyperlink1"/>
          </w:rPr>
          <w:t>Renewable energy and jobs: Annual review 2024 (</w:t>
        </w:r>
        <w:r>
          <w:rPr>
            <w:rStyle w:val="Hyperlink1"/>
            <w:i/>
            <w:iCs/>
          </w:rPr>
          <w:t>Energija iz obnovljivih izvora i radna mjesta: godišnji pregled za 2024.)</w:t>
        </w:r>
      </w:hyperlink>
      <w:r>
        <w:t>; IRENA u suradnji s ILO-om, 2024.</w:t>
      </w:r>
    </w:p>
  </w:footnote>
  <w:footnote w:id="5">
    <w:p w14:paraId="5C03D050" w14:textId="77777777" w:rsidR="00E8217E" w:rsidRPr="00524FEA" w:rsidRDefault="00E8217E" w:rsidP="00E8217E">
      <w:pPr>
        <w:pStyle w:val="FootnoteText"/>
        <w:spacing w:before="0" w:beforeAutospacing="0" w:after="0" w:afterAutospacing="0"/>
      </w:pPr>
      <w:r>
        <w:rPr>
          <w:vertAlign w:val="superscript"/>
        </w:rPr>
        <w:footnoteRef/>
      </w:r>
      <w:r>
        <w:t xml:space="preserve"> </w:t>
      </w:r>
      <w:hyperlink r:id="rId3">
        <w:r>
          <w:rPr>
            <w:rStyle w:val="Hyperlink1"/>
          </w:rPr>
          <w:t>Budućnost europske konkurentnosti, dio B</w:t>
        </w:r>
      </w:hyperlink>
      <w:r>
        <w:t>, slika 2; Mario Draghi, rujan 2024. Sve su veće razlike u maloprodajnim cijenama na području EU-a, od manje od 100 EUR/MWh (PT, FI, SE) do više od 250 EUR/MWh (CY, HU, NL).</w:t>
      </w:r>
    </w:p>
  </w:footnote>
  <w:footnote w:id="6">
    <w:p w14:paraId="195B834D"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w:t>
      </w:r>
      <w:hyperlink r:id="rId4">
        <w:r>
          <w:rPr>
            <w:rStyle w:val="Hyperlink1"/>
          </w:rPr>
          <w:t>Kompas konkurentnosti za EU</w:t>
        </w:r>
      </w:hyperlink>
      <w:r>
        <w:t xml:space="preserve">, </w:t>
      </w:r>
      <w:r>
        <w:rPr>
          <w:i/>
        </w:rPr>
        <w:t>COM(2025) 30 final.</w:t>
      </w:r>
    </w:p>
  </w:footnote>
  <w:footnote w:id="7">
    <w:p w14:paraId="66C8EC93" w14:textId="77777777" w:rsidR="00E8217E" w:rsidRPr="00577155" w:rsidRDefault="00E8217E" w:rsidP="00E8217E">
      <w:pPr>
        <w:pStyle w:val="FootnoteText"/>
        <w:spacing w:before="0" w:beforeAutospacing="0" w:after="0" w:afterAutospacing="0"/>
      </w:pPr>
      <w:r>
        <w:rPr>
          <w:rStyle w:val="FootnoteReference"/>
          <w:rFonts w:eastAsia="Yu Gothic Light"/>
        </w:rPr>
        <w:footnoteRef/>
      </w:r>
      <w:hyperlink r:id="rId5" w:history="1">
        <w:r>
          <w:rPr>
            <w:rStyle w:val="Hyperlink1"/>
          </w:rPr>
          <w:t>Izvješće o procjeni učinka za klimatski cilj Europe za 2040.</w:t>
        </w:r>
      </w:hyperlink>
      <w:r>
        <w:t xml:space="preserve"> (</w:t>
      </w:r>
      <w:r>
        <w:rPr>
          <w:i/>
        </w:rPr>
        <w:t>SWD(2024) 63 final</w:t>
      </w:r>
      <w:r>
        <w:t>, Prilog 8. (dio 3/5), odjeljak 1.2.3.)</w:t>
      </w:r>
    </w:p>
  </w:footnote>
  <w:footnote w:id="8">
    <w:p w14:paraId="4528A7CE" w14:textId="77777777" w:rsidR="00E8217E" w:rsidRPr="00575CEA" w:rsidRDefault="00E8217E" w:rsidP="00E8217E">
      <w:pPr>
        <w:pStyle w:val="FootnoteText"/>
        <w:spacing w:before="0" w:beforeAutospacing="0" w:after="0" w:afterAutospacing="0"/>
      </w:pPr>
      <w:r>
        <w:rPr>
          <w:rStyle w:val="FootnoteReference"/>
          <w:rFonts w:eastAsia="Yu Gothic Light"/>
        </w:rPr>
        <w:footnoteRef/>
      </w:r>
      <w:r>
        <w:t xml:space="preserve"> </w:t>
      </w:r>
      <w:hyperlink r:id="rId6" w:history="1">
        <w:r>
          <w:rPr>
            <w:rStyle w:val="Hyperlink1"/>
          </w:rPr>
          <w:t>Statistički podaci Eurostata o prirodnom plinu</w:t>
        </w:r>
      </w:hyperlink>
      <w:r>
        <w:t>. Europa je 2024. uvezla 273 milijarde kubičnih metara prirodnog plina, u usporedbi s 334 milijarde kubičnih metara 2022.</w:t>
      </w:r>
    </w:p>
  </w:footnote>
  <w:footnote w:id="9">
    <w:p w14:paraId="43BA72F6" w14:textId="77777777" w:rsidR="00E8217E" w:rsidRPr="001003E3" w:rsidRDefault="00E8217E" w:rsidP="00E8217E">
      <w:pPr>
        <w:pStyle w:val="FootnoteText"/>
        <w:spacing w:before="0" w:beforeAutospacing="0" w:after="0" w:afterAutospacing="0"/>
      </w:pPr>
      <w:r>
        <w:rPr>
          <w:rStyle w:val="FootnoteReference"/>
          <w:rFonts w:eastAsia="Yu Gothic Light"/>
        </w:rPr>
        <w:footnoteRef/>
      </w:r>
      <w:r>
        <w:t xml:space="preserve"> </w:t>
      </w:r>
      <w:bookmarkStart w:id="17" w:name="_Hlk187220784"/>
      <w:r w:rsidRPr="001003E3">
        <w:fldChar w:fldCharType="begin"/>
      </w:r>
      <w:r w:rsidRPr="001003E3">
        <w:instrText>HYPERLINK "https://eur-lex.europa.eu/legal-content/HR/TXT/PDF/?uri=CELEX:52024DC0136"</w:instrText>
      </w:r>
      <w:r w:rsidRPr="001003E3">
        <w:fldChar w:fldCharType="separate"/>
      </w:r>
      <w:r>
        <w:rPr>
          <w:rStyle w:val="Hyperlink1"/>
        </w:rPr>
        <w:t>Izvješće o cijenama energenata i troškovima energije u Europi</w:t>
      </w:r>
      <w:r w:rsidRPr="001003E3">
        <w:fldChar w:fldCharType="end"/>
      </w:r>
      <w:r>
        <w:t xml:space="preserve"> (</w:t>
      </w:r>
      <w:r>
        <w:rPr>
          <w:i/>
        </w:rPr>
        <w:t>COM(2024) 136 final</w:t>
      </w:r>
      <w:r>
        <w:t>); Europska komisija, ožujak 2024.</w:t>
      </w:r>
      <w:bookmarkEnd w:id="17"/>
    </w:p>
  </w:footnote>
  <w:footnote w:id="10">
    <w:p w14:paraId="62D91B23" w14:textId="77777777" w:rsidR="00E8217E" w:rsidRPr="001003E3" w:rsidRDefault="00E8217E" w:rsidP="00E8217E">
      <w:pPr>
        <w:pStyle w:val="FootnoteText"/>
        <w:spacing w:before="0" w:beforeAutospacing="0" w:after="0" w:afterAutospacing="0"/>
      </w:pPr>
      <w:r>
        <w:rPr>
          <w:rStyle w:val="FootnoteReference"/>
          <w:rFonts w:eastAsia="Yu Gothic Light"/>
        </w:rPr>
        <w:footnoteRef/>
      </w:r>
      <w:r>
        <w:t xml:space="preserve"> </w:t>
      </w:r>
      <w:hyperlink r:id="rId7" w:history="1">
        <w:r>
          <w:rPr>
            <w:rStyle w:val="Hyperlink1"/>
          </w:rPr>
          <w:t>European Electricity Review 2025 (</w:t>
        </w:r>
        <w:r>
          <w:rPr>
            <w:rStyle w:val="Hyperlink1"/>
            <w:i/>
          </w:rPr>
          <w:t>Pregled europskog elektroenergetskog sektora 2025.</w:t>
        </w:r>
      </w:hyperlink>
      <w:r>
        <w:t>); EMBER, siječanj 2025.</w:t>
      </w:r>
    </w:p>
  </w:footnote>
  <w:footnote w:id="11">
    <w:p w14:paraId="3DF2EA67" w14:textId="5FBF3A18" w:rsidR="00E8217E" w:rsidRPr="007427B4" w:rsidRDefault="00E8217E" w:rsidP="00E8217E">
      <w:pPr>
        <w:pStyle w:val="FootnoteText"/>
        <w:spacing w:before="0" w:beforeAutospacing="0" w:after="0" w:afterAutospacing="0"/>
        <w:rPr>
          <w:rStyle w:val="FootnoteReference"/>
          <w:rFonts w:eastAsia="Yu Gothic Light"/>
        </w:rPr>
      </w:pPr>
      <w:r>
        <w:rPr>
          <w:rStyle w:val="FootnoteReference"/>
          <w:rFonts w:eastAsia="Yu Gothic Light"/>
        </w:rPr>
        <w:footnoteRef/>
      </w:r>
      <w:r>
        <w:t xml:space="preserve"> Eurostat, </w:t>
      </w:r>
      <w:r>
        <w:rPr>
          <w:rStyle w:val="FootnoteReference"/>
        </w:rPr>
        <w:t xml:space="preserve"> </w:t>
      </w:r>
      <w:hyperlink r:id="rId8" w:history="1">
        <w:r>
          <w:rPr>
            <w:rStyle w:val="Hyperlink1"/>
            <w:i/>
          </w:rPr>
          <w:t>nrg_pc_204_c</w:t>
        </w:r>
      </w:hyperlink>
      <w:r>
        <w:t xml:space="preserve"> i </w:t>
      </w:r>
      <w:hyperlink r:id="rId9" w:history="1">
        <w:r>
          <w:rPr>
            <w:rStyle w:val="Hyperlink1"/>
            <w:i/>
          </w:rPr>
          <w:t>nrg_pc_205_c</w:t>
        </w:r>
      </w:hyperlink>
      <w:r>
        <w:rPr>
          <w:rStyle w:val="FootnoteReference"/>
        </w:rPr>
        <w:t>,</w:t>
      </w:r>
      <w:r>
        <w:t xml:space="preserve"> 17. veljače 2025.</w:t>
      </w:r>
    </w:p>
  </w:footnote>
  <w:footnote w:id="12">
    <w:p w14:paraId="2B173F58" w14:textId="03A66B23" w:rsidR="00E8217E" w:rsidRPr="007427B4" w:rsidRDefault="00E8217E" w:rsidP="00E8217E">
      <w:pPr>
        <w:pStyle w:val="FootnoteText"/>
        <w:spacing w:before="0" w:beforeAutospacing="0" w:after="0" w:afterAutospacing="0"/>
        <w:rPr>
          <w:rStyle w:val="FootnoteReference"/>
          <w:rFonts w:eastAsia="Yu Gothic Light"/>
        </w:rPr>
      </w:pPr>
      <w:r>
        <w:rPr>
          <w:rStyle w:val="FootnoteReference"/>
          <w:rFonts w:eastAsia="Yu Gothic Light"/>
        </w:rPr>
        <w:footnoteRef/>
      </w:r>
      <w:r>
        <w:rPr>
          <w:rStyle w:val="FootnoteReference"/>
        </w:rPr>
        <w:t xml:space="preserve"> </w:t>
      </w:r>
      <w:hyperlink r:id="rId10" w:history="1">
        <w:r>
          <w:rPr>
            <w:rStyle w:val="Hyperlink1"/>
          </w:rPr>
          <w:t>Electricity Infrastructure Monitoring Report 2024 (</w:t>
        </w:r>
        <w:r>
          <w:rPr>
            <w:rStyle w:val="Hyperlink1"/>
            <w:i/>
          </w:rPr>
          <w:t>Izvješće o praćenju elektroenergetske infrastrukture za 2024.</w:t>
        </w:r>
        <w:r>
          <w:rPr>
            <w:rStyle w:val="Hyperlink1"/>
          </w:rPr>
          <w:t>)</w:t>
        </w:r>
      </w:hyperlink>
      <w:r>
        <w:rPr>
          <w:rStyle w:val="FootnoteReference"/>
        </w:rPr>
        <w:t>;</w:t>
      </w:r>
      <w:r>
        <w:t xml:space="preserve"> ACER, prosinac 2024.</w:t>
      </w:r>
      <w:r w:rsidRPr="007427B4">
        <w:rPr>
          <w:rStyle w:val="FootnoteReference"/>
          <w:rFonts w:eastAsia="Yu Gothic Light"/>
        </w:rPr>
        <w:fldChar w:fldCharType="begin"/>
      </w:r>
      <w:r w:rsidRPr="007427B4">
        <w:rPr>
          <w:rStyle w:val="FootnoteReference"/>
          <w:rFonts w:eastAsia="Yu Gothic Light"/>
        </w:rPr>
        <w:instrText>￼￼￼ACER 2024 Monitoring report</w:instrText>
      </w:r>
      <w:r w:rsidRPr="007427B4">
        <w:rPr>
          <w:rStyle w:val="FootnoteReference"/>
          <w:rFonts w:eastAsia="Yu Gothic Light"/>
        </w:rPr>
        <w:fldChar w:fldCharType="end"/>
      </w:r>
    </w:p>
  </w:footnote>
  <w:footnote w:id="13">
    <w:p w14:paraId="35E5E936" w14:textId="4763834E" w:rsidR="00E8217E" w:rsidRPr="007427B4" w:rsidRDefault="00E8217E" w:rsidP="00E8217E">
      <w:pPr>
        <w:pStyle w:val="FootnoteText"/>
        <w:spacing w:before="0" w:beforeAutospacing="0" w:after="0" w:afterAutospacing="0"/>
      </w:pPr>
      <w:r>
        <w:rPr>
          <w:rStyle w:val="FootnoteReference"/>
          <w:rFonts w:eastAsia="Yu Gothic Light"/>
        </w:rPr>
        <w:footnoteRef/>
      </w:r>
      <w:r>
        <w:t xml:space="preserve">Mrežne tarife mogle bi se povećati za čak 60 % do 2050. u odnosu na 2022.; </w:t>
      </w:r>
      <w:hyperlink r:id="rId11" w:history="1">
        <w:r>
          <w:rPr>
            <w:rStyle w:val="Hyperlink1"/>
          </w:rPr>
          <w:t>Transmission capacities for cross-zonal trade of electricity and congestion management (</w:t>
        </w:r>
        <w:r>
          <w:rPr>
            <w:rStyle w:val="Hyperlink1"/>
            <w:i/>
          </w:rPr>
          <w:t>Prijenosni kapaciteti za prekozonsku trgovinu električnom energijom i upravljanje zagušenjem</w:t>
        </w:r>
        <w:r>
          <w:rPr>
            <w:rStyle w:val="Hyperlink1"/>
          </w:rPr>
          <w:t>)</w:t>
        </w:r>
      </w:hyperlink>
      <w:r>
        <w:t>; ACER, srpanj 2024.</w:t>
      </w:r>
    </w:p>
  </w:footnote>
  <w:footnote w:id="14">
    <w:p w14:paraId="50309914" w14:textId="77777777" w:rsidR="00E8217E" w:rsidRDefault="00E8217E" w:rsidP="00E8217E">
      <w:pPr>
        <w:spacing w:after="0"/>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2" w:history="1">
        <w:r>
          <w:rPr>
            <w:rStyle w:val="Hyperlink1"/>
            <w:rFonts w:ascii="Times New Roman" w:hAnsi="Times New Roman"/>
            <w:sz w:val="20"/>
          </w:rPr>
          <w:t>Upravljanje redispečiranjem i zagušenjem</w:t>
        </w:r>
      </w:hyperlink>
      <w:r>
        <w:rPr>
          <w:rFonts w:ascii="Times New Roman" w:hAnsi="Times New Roman"/>
          <w:sz w:val="20"/>
        </w:rPr>
        <w:t>; Zajednički istraživački centar, svibanj 2024.</w:t>
      </w:r>
    </w:p>
  </w:footnote>
  <w:footnote w:id="15">
    <w:p w14:paraId="736D73A6" w14:textId="77777777" w:rsidR="00E8217E" w:rsidRPr="002F6574" w:rsidRDefault="00E8217E" w:rsidP="00E8217E">
      <w:pPr>
        <w:pStyle w:val="FootnoteText"/>
        <w:spacing w:before="0" w:beforeAutospacing="0" w:after="0" w:afterAutospacing="0"/>
      </w:pPr>
      <w:r>
        <w:rPr>
          <w:rStyle w:val="FootnoteReference"/>
          <w:rFonts w:eastAsia="Yu Gothic Light"/>
        </w:rPr>
        <w:footnoteRef/>
      </w:r>
      <w:hyperlink r:id="rId13" w:history="1">
        <w:r>
          <w:rPr>
            <w:rStyle w:val="Hyperlink1"/>
          </w:rPr>
          <w:t>ACER's Final Assessment of the EU Wholesale Electricity Market Design (ACER-ova završna ocjena modela veleprodajnog tržišta električne energije u EU-u).</w:t>
        </w:r>
      </w:hyperlink>
      <w:r>
        <w:t xml:space="preserve"> ACER, travanj 2022.</w:t>
      </w:r>
    </w:p>
  </w:footnote>
  <w:footnote w:id="16">
    <w:p w14:paraId="48FA89E9" w14:textId="77777777" w:rsidR="00E8217E" w:rsidRPr="002F6574" w:rsidRDefault="00E8217E" w:rsidP="00E8217E">
      <w:pPr>
        <w:pStyle w:val="FootnoteText"/>
        <w:spacing w:before="0" w:beforeAutospacing="0" w:after="0" w:afterAutospacing="0"/>
        <w:rPr>
          <w:rStyle w:val="Hyperlink1"/>
        </w:rPr>
      </w:pPr>
      <w:r>
        <w:rPr>
          <w:rFonts w:eastAsia="Yu Gothic Light"/>
          <w:vertAlign w:val="superscript"/>
        </w:rPr>
        <w:footnoteRef/>
      </w:r>
      <w:r>
        <w:t xml:space="preserve"> </w:t>
      </w:r>
      <w:hyperlink r:id="rId14" w:history="1">
        <w:r>
          <w:rPr>
            <w:rStyle w:val="Hyperlink1"/>
          </w:rPr>
          <w:t>Integrating the EU energy market to foster growth and resilience</w:t>
        </w:r>
      </w:hyperlink>
      <w:r>
        <w:t xml:space="preserve"> (Integracija tržišta EU-a radi poticanja rasta i otpornosti) MMF, siječanj 2025. </w:t>
      </w:r>
      <w:hyperlink r:id="rId15" w:history="1">
        <w:r>
          <w:rPr>
            <w:rStyle w:val="Hyperlink1"/>
          </w:rPr>
          <w:t>Realising the benefits of European market integration (</w:t>
        </w:r>
        <w:r>
          <w:rPr>
            <w:rStyle w:val="Hyperlink1"/>
            <w:i/>
          </w:rPr>
          <w:t>Iskorištavanje prednosti integracije europskog tržišta</w:t>
        </w:r>
        <w:r>
          <w:rPr>
            <w:rStyle w:val="Hyperlink1"/>
          </w:rPr>
          <w:t>)</w:t>
        </w:r>
      </w:hyperlink>
      <w:r>
        <w:t>; Baker et al., 2018; Benefits of an integrated European energy market (</w:t>
      </w:r>
      <w:r>
        <w:rPr>
          <w:i/>
        </w:rPr>
        <w:t>Prednosti integriranog europskog energetskog tržišta</w:t>
      </w:r>
      <w:r>
        <w:t>); Booz et al., 2013</w:t>
      </w:r>
    </w:p>
  </w:footnote>
  <w:footnote w:id="17">
    <w:p w14:paraId="4E898AFB" w14:textId="371A4309" w:rsidR="00E8217E" w:rsidRPr="001013DA" w:rsidRDefault="00E8217E" w:rsidP="00E8217E">
      <w:pPr>
        <w:pStyle w:val="FootnoteText"/>
        <w:spacing w:before="0" w:beforeAutospacing="0" w:after="0" w:afterAutospacing="0"/>
        <w:rPr>
          <w:rStyle w:val="Hyperlink1"/>
        </w:rPr>
      </w:pPr>
      <w:r>
        <w:rPr>
          <w:rStyle w:val="Hyperlink1"/>
          <w:color w:val="000000"/>
          <w:vertAlign w:val="superscript"/>
        </w:rPr>
        <w:footnoteRef/>
      </w:r>
      <w:r>
        <w:rPr>
          <w:rStyle w:val="Hyperlink1"/>
          <w:vertAlign w:val="superscript"/>
        </w:rPr>
        <w:t xml:space="preserve"> </w:t>
      </w:r>
      <w:hyperlink r:id="rId16" w:history="1">
        <w:hyperlink r:id="rId17" w:history="1">
          <w:r>
            <w:rPr>
              <w:rStyle w:val="Hyperlink1"/>
            </w:rPr>
            <w:t>Upravljanje redispečiranjem i zagušenjem</w:t>
          </w:r>
        </w:hyperlink>
        <w:r>
          <w:t>;</w:t>
        </w:r>
      </w:hyperlink>
      <w:r w:rsidR="009B66B4">
        <w:t xml:space="preserve"> </w:t>
      </w:r>
      <w:hyperlink r:id="rId18" w:history="1">
        <w:r>
          <w:t>Zajednički istraživački centar, svibanj 2024.</w:t>
        </w:r>
      </w:hyperlink>
    </w:p>
  </w:footnote>
  <w:footnote w:id="18">
    <w:p w14:paraId="2756510C" w14:textId="77777777" w:rsidR="00E8217E" w:rsidRDefault="00E8217E" w:rsidP="00E8217E">
      <w:pPr>
        <w:pStyle w:val="FootnoteText"/>
        <w:spacing w:before="0" w:beforeAutospacing="0" w:after="0" w:afterAutospacing="0"/>
      </w:pPr>
      <w:r>
        <w:rPr>
          <w:rStyle w:val="Hyperlink1"/>
          <w:rFonts w:eastAsia="Yu Gothic Light"/>
          <w:color w:val="000000"/>
          <w:vertAlign w:val="superscript"/>
        </w:rPr>
        <w:footnoteRef/>
      </w:r>
      <w:r>
        <w:rPr>
          <w:rStyle w:val="Hyperlink1"/>
        </w:rPr>
        <w:t xml:space="preserve"> </w:t>
      </w:r>
      <w:hyperlink r:id="rId19" w:history="1">
        <w:r>
          <w:rPr>
            <w:rStyle w:val="Hyperlink1"/>
          </w:rPr>
          <w:t>Power system flexibility in the Penta region (Fleksibilnost elektroenergetskog sustava u regiji Pentalaterale)</w:t>
        </w:r>
      </w:hyperlink>
      <w:r>
        <w:t>; Trinomics i Artelys, ožujak 2023.</w:t>
      </w:r>
    </w:p>
  </w:footnote>
  <w:footnote w:id="19">
    <w:p w14:paraId="35700F14" w14:textId="77777777" w:rsidR="00E8217E" w:rsidRPr="0085545F" w:rsidRDefault="00E8217E" w:rsidP="00E8217E">
      <w:pPr>
        <w:pStyle w:val="FootnoteText"/>
        <w:spacing w:before="0" w:beforeAutospacing="0" w:after="0" w:afterAutospacing="0"/>
        <w:rPr>
          <w:rStyle w:val="Hyperlink1"/>
          <w:color w:val="auto"/>
          <w:u w:val="none"/>
        </w:rPr>
      </w:pPr>
      <w:r>
        <w:rPr>
          <w:rStyle w:val="FootnoteReference"/>
          <w:rFonts w:eastAsia="Yu Gothic Light"/>
        </w:rPr>
        <w:footnoteRef/>
      </w:r>
      <w:r>
        <w:t>Uštede u 2025. u odnosu na obujam uvoza 2019., pri čemu se procjene temelje na pretpostavkama promptnih cijena fosilnih goriva za 2024. Uz pretpostavku (visokih) cijena iz 2022. godišnja ušteda povećala bi se sa 140 milijardi eura u 2025. (oko 0,75 % BDP-a) na 340 milijardi eura u 2030. (1,75 % predviđenog BDP-a) i do 600 milijardi eura 2040. (2,7 % predviđenog BDP-a).</w:t>
      </w:r>
    </w:p>
  </w:footnote>
  <w:footnote w:id="20">
    <w:p w14:paraId="26FF4450" w14:textId="77777777" w:rsidR="00E8217E" w:rsidRPr="0085545F" w:rsidRDefault="00E8217E" w:rsidP="00E8217E">
      <w:pPr>
        <w:pStyle w:val="FootnoteText"/>
        <w:spacing w:before="0" w:beforeAutospacing="0" w:after="0" w:afterAutospacing="0"/>
        <w:rPr>
          <w:rStyle w:val="Hyperlink1"/>
          <w:color w:val="auto"/>
          <w:u w:val="none"/>
        </w:rPr>
      </w:pPr>
      <w:r>
        <w:rPr>
          <w:rStyle w:val="FootnoteReference"/>
          <w:rFonts w:eastAsia="Yu Gothic Light"/>
        </w:rPr>
        <w:footnoteRef/>
      </w:r>
      <w:r>
        <w:rPr>
          <w:rStyle w:val="Hyperlink1"/>
          <w:color w:val="auto"/>
          <w:u w:val="none"/>
        </w:rPr>
        <w:t xml:space="preserve"> 1,2 % procijenjenog BDP-a EU-a. Uštede za 2040. izračunavaju se uz pretpostavku smanjenja emisija stakleničkih plinova za 90 % do 2040.</w:t>
      </w:r>
    </w:p>
  </w:footnote>
  <w:footnote w:id="21">
    <w:p w14:paraId="29EC86EF" w14:textId="52287D21" w:rsidR="00E8217E" w:rsidRPr="0085545F" w:rsidRDefault="00E8217E" w:rsidP="00E8217E">
      <w:pPr>
        <w:pStyle w:val="pf0"/>
        <w:spacing w:before="0" w:beforeAutospacing="0" w:after="0" w:afterAutospacing="0"/>
        <w:rPr>
          <w:sz w:val="20"/>
          <w:szCs w:val="20"/>
        </w:rPr>
      </w:pPr>
      <w:r>
        <w:rPr>
          <w:rStyle w:val="FootnoteReference"/>
          <w:rFonts w:eastAsia="Yu Gothic Light"/>
          <w:sz w:val="20"/>
          <w:szCs w:val="20"/>
          <w:lang w:val="en-GB"/>
        </w:rPr>
        <w:footnoteRef/>
      </w:r>
      <w:r>
        <w:rPr>
          <w:sz w:val="20"/>
        </w:rPr>
        <w:t xml:space="preserve">Od 2020. do 2022. troškovi redispečiranja gotovo su se udvostručili i dostigli 4,2 milijarde eura, trgovanje u suprotnom smjeru udvostručilo se na 0,8 milijardi eura, a drugi troškovi smanjeni su na 0,2 milijarde eura. Troškovi upravljanja zagušenjima ovise o učinkovitosti rada sustava i trošku opskrbe električnom energijom, koji je 2022. bio posebno visok zbog energetske krize. </w:t>
      </w:r>
      <w:hyperlink r:id="rId20" w:history="1">
        <w:r>
          <w:rPr>
            <w:rStyle w:val="Hyperlink1"/>
            <w:color w:val="auto"/>
            <w:sz w:val="20"/>
            <w:u w:val="none"/>
          </w:rPr>
          <w:t>Electricity infrastructure development to support a competitive and sustainable energy system (Razvoj elektroenergetske infrastrukture za potporu konkurentnom i održivom energetskom sustavu)</w:t>
        </w:r>
      </w:hyperlink>
      <w:r>
        <w:rPr>
          <w:rStyle w:val="cf01"/>
          <w:rFonts w:ascii="Times New Roman" w:hAnsi="Times New Roman"/>
          <w:sz w:val="20"/>
        </w:rPr>
        <w:t>; ACER, prosinac 2024.</w:t>
      </w:r>
    </w:p>
  </w:footnote>
  <w:footnote w:id="22">
    <w:p w14:paraId="72013871" w14:textId="77777777" w:rsidR="00E8217E" w:rsidRPr="007427B4" w:rsidRDefault="00E8217E" w:rsidP="007427B4">
      <w:pPr>
        <w:spacing w:after="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Takve mjere, koje se primjenjuju na prirodne ili pravne monopole, vjerojatno neće predstavljati državnu potporu i mogu se uskladiti s načelima mrežnih tarifa koje odražavaju troškove. Vidjeti točke 188. i 211. Obavijesti Komisije o pojmu državne potpore te točke od 373. do 375. CEEAG-a. Kad je riječ o društvu German Hydrogen Backbone, Komisija je utvrdila da je takva mjera prihvatljiva državna potpora (Odluka Komisije C(2024) 4366 final u predmetu SA.113565).</w:t>
      </w:r>
    </w:p>
  </w:footnote>
  <w:footnote w:id="23">
    <w:p w14:paraId="33DF3B0A" w14:textId="77777777" w:rsidR="00E8217E" w:rsidRPr="0053295A" w:rsidRDefault="00E8217E" w:rsidP="007427B4">
      <w:pPr>
        <w:spacing w:after="0"/>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21" w:history="1">
        <w:r>
          <w:rPr>
            <w:rStyle w:val="Hyperlink1"/>
            <w:rFonts w:ascii="Times New Roman" w:hAnsi="Times New Roman"/>
            <w:sz w:val="20"/>
          </w:rPr>
          <w:t>Direktiva Vijeća 2003/96/EZ o sustavu Zajednice za oporezivanje energenata i električne energije.</w:t>
        </w:r>
      </w:hyperlink>
    </w:p>
  </w:footnote>
  <w:footnote w:id="24">
    <w:p w14:paraId="15E8CF5E" w14:textId="77777777" w:rsidR="00E8217E" w:rsidRPr="0047707F" w:rsidRDefault="00E8217E" w:rsidP="00E8217E">
      <w:pPr>
        <w:pStyle w:val="FootnoteText"/>
        <w:spacing w:before="0" w:beforeAutospacing="0" w:after="0" w:afterAutospacing="0"/>
      </w:pPr>
      <w:r>
        <w:rPr>
          <w:rStyle w:val="FootnoteReference"/>
          <w:rFonts w:eastAsia="Yu Gothic Light"/>
        </w:rPr>
        <w:footnoteRef/>
      </w:r>
      <w:r>
        <w:t xml:space="preserve"> </w:t>
      </w:r>
      <w:hyperlink r:id="rId22" w:history="1">
        <w:r>
          <w:rPr>
            <w:rStyle w:val="Hyperlink1"/>
          </w:rPr>
          <w:t>Izvješće o stanju energetske unije</w:t>
        </w:r>
      </w:hyperlink>
      <w:r>
        <w:t>, „</w:t>
      </w:r>
      <w:hyperlink r:id="rId23" w:history="1">
        <w:r>
          <w:rPr>
            <w:rStyle w:val="Hyperlink1"/>
          </w:rPr>
          <w:t>Smjernice EU-a o energetskom siromaštvu</w:t>
        </w:r>
      </w:hyperlink>
      <w:r>
        <w:t>” i</w:t>
      </w:r>
      <w:r>
        <w:rPr>
          <w:rStyle w:val="Hyperlink1"/>
        </w:rPr>
        <w:t xml:space="preserve"> radni dokument službi Komisije priložen Preporuci o energetskom siromaštvu za 2023.</w:t>
      </w:r>
      <w:r>
        <w:t>,</w:t>
      </w:r>
      <w:r>
        <w:rPr>
          <w:rStyle w:val="Hyperlink1"/>
        </w:rPr>
        <w:t xml:space="preserve"> </w:t>
      </w:r>
      <w:r>
        <w:t xml:space="preserve">Europska komisija, 2023. </w:t>
      </w:r>
      <w:hyperlink r:id="rId24" w:history="1">
        <w:r>
          <w:rPr>
            <w:rStyle w:val="Hyperlink1"/>
          </w:rPr>
          <w:t>National fiscal policy responses to the energy crisis (Nacionalne fiskalne politike za odgovor na energetsku krizu)</w:t>
        </w:r>
      </w:hyperlink>
      <w:r>
        <w:t>; Bruegel, lipanj 2023.</w:t>
      </w:r>
    </w:p>
  </w:footnote>
  <w:footnote w:id="25">
    <w:p w14:paraId="1F680FBC" w14:textId="77777777" w:rsidR="00E8217E" w:rsidRPr="0047707F" w:rsidRDefault="00E8217E" w:rsidP="00E8217E">
      <w:pPr>
        <w:pStyle w:val="FootnoteText"/>
        <w:spacing w:before="0" w:beforeAutospacing="0" w:after="0" w:afterAutospacing="0"/>
      </w:pPr>
      <w:r>
        <w:rPr>
          <w:rStyle w:val="FootnoteReference"/>
          <w:rFonts w:eastAsia="Yu Gothic Light"/>
        </w:rPr>
        <w:footnoteRef/>
      </w:r>
      <w:r>
        <w:t xml:space="preserve"> </w:t>
      </w:r>
      <w:hyperlink r:id="rId25" w:history="1">
        <w:r>
          <w:rPr>
            <w:rStyle w:val="Hyperlink1"/>
          </w:rPr>
          <w:t>Recommendations for future-proof electricity market design in light of the 2021-23 energy crisis (</w:t>
        </w:r>
        <w:r>
          <w:rPr>
            <w:rStyle w:val="Hyperlink1"/>
            <w:i/>
          </w:rPr>
          <w:t>Preporuke za model tržišta električne energije otporan na buduće promjene s obzirom na energetsku krizu 2021. – 2023.</w:t>
        </w:r>
        <w:r>
          <w:rPr>
            <w:rStyle w:val="Hyperlink1"/>
          </w:rPr>
          <w:t>)</w:t>
        </w:r>
      </w:hyperlink>
      <w:r>
        <w:t>; Pollitt et al., 2024</w:t>
      </w:r>
    </w:p>
  </w:footnote>
  <w:footnote w:id="26">
    <w:p w14:paraId="763056D1" w14:textId="77777777" w:rsidR="00E8217E" w:rsidRPr="004D5A16" w:rsidRDefault="00E8217E" w:rsidP="00E8217E">
      <w:pPr>
        <w:pStyle w:val="FootnoteText"/>
        <w:spacing w:before="0" w:beforeAutospacing="0" w:after="0" w:afterAutospacing="0"/>
      </w:pPr>
      <w:r>
        <w:rPr>
          <w:rStyle w:val="FootnoteReference"/>
          <w:rFonts w:eastAsia="Yu Gothic Light"/>
        </w:rPr>
        <w:footnoteRef/>
      </w:r>
      <w:r>
        <w:t xml:space="preserve">U Komunikaciji Komisije </w:t>
      </w:r>
      <w:hyperlink r:id="rId26" w:history="1">
        <w:r>
          <w:rPr>
            <w:rStyle w:val="Hyperlink1"/>
          </w:rPr>
          <w:t>„Smjernice za fiskalnu politiku za 2024.”</w:t>
        </w:r>
      </w:hyperlink>
      <w:r>
        <w:t xml:space="preserve"> (</w:t>
      </w:r>
      <w:r>
        <w:rPr>
          <w:i/>
        </w:rPr>
        <w:t>COM(2023) 141 final</w:t>
      </w:r>
      <w:r>
        <w:t>) preporučuje se da bi države članice svoje mjere trebale usmjeriti mnogo bolje nego u prošlosti, suzdržavajući se od davanja opće potpore i štiteći samo one kojima je zaštita potrebna, odnosno ranjiva kućanstva i poduzeća.</w:t>
      </w:r>
    </w:p>
  </w:footnote>
  <w:footnote w:id="27">
    <w:p w14:paraId="377F809E" w14:textId="77777777" w:rsidR="00E8217E" w:rsidRDefault="00E8217E" w:rsidP="00E8217E">
      <w:pPr>
        <w:pStyle w:val="FootnoteText"/>
        <w:spacing w:before="0" w:beforeAutospacing="0" w:after="0" w:afterAutospacing="0"/>
      </w:pPr>
      <w:r>
        <w:rPr>
          <w:rStyle w:val="FootnoteReference"/>
          <w:rFonts w:eastAsia="Yu Gothic Light"/>
        </w:rPr>
        <w:footnoteRef/>
      </w:r>
      <w:hyperlink r:id="rId27">
        <w:r>
          <w:rPr>
            <w:rStyle w:val="Hyperlink1"/>
          </w:rPr>
          <w:t>Direktivom 2003/96/EZ o oporezivanju energije</w:t>
        </w:r>
      </w:hyperlink>
      <w:r>
        <w:t xml:space="preserve"> utvrđuju se najniže stope trošarina koje države članice moraju primjenjivati na energente, uključujući električnu energiju.</w:t>
      </w:r>
    </w:p>
  </w:footnote>
  <w:footnote w:id="28">
    <w:p w14:paraId="31760E6F" w14:textId="77777777" w:rsidR="00E8217E" w:rsidRDefault="00E8217E" w:rsidP="00E8217E">
      <w:pPr>
        <w:pStyle w:val="FootnoteText"/>
        <w:spacing w:before="0" w:beforeAutospacing="0" w:after="0" w:afterAutospacing="0"/>
      </w:pPr>
      <w:r>
        <w:rPr>
          <w:rStyle w:val="FootnoteReference"/>
          <w:rFonts w:eastAsia="Yu Gothic Light"/>
        </w:rPr>
        <w:footnoteRef/>
      </w:r>
      <w:hyperlink r:id="rId28">
        <w:r>
          <w:rPr>
            <w:rStyle w:val="Hyperlink1"/>
          </w:rPr>
          <w:t>Direktivom EU-a o PDV-u 2006/112/EZ</w:t>
        </w:r>
      </w:hyperlink>
      <w:r>
        <w:t xml:space="preserve"> utvrđuje se najniža standardna stopa PDV-a od 15 % koja se primjenjuje na električnu energiju, prirodni plin i centralizirano grijanje te se omogućuje snižena stopa PDV-a od najmanje 5 %. </w:t>
      </w:r>
      <w:hyperlink r:id="rId29">
        <w:r>
          <w:rPr>
            <w:rStyle w:val="Hyperlink1"/>
          </w:rPr>
          <w:t>Direktivom Vijeća (EU) 2022/542</w:t>
        </w:r>
      </w:hyperlink>
      <w:r>
        <w:t xml:space="preserve"> potvrđena je snižena stopa PDV-a od 5 % koja se primjenjuje na električnu energiju. O primjeni sniženih stopa odlučuju države članice. Većina poduzeća može odbiti PDV plaćen na električnu energiju pod uvjetom da se ta električna energija upotrebljava za oporezive aktivnosti.</w:t>
      </w:r>
    </w:p>
  </w:footnote>
  <w:footnote w:id="29">
    <w:p w14:paraId="1914746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Uključeno izravno u račun ili u mrežne naknade. </w:t>
      </w:r>
    </w:p>
  </w:footnote>
  <w:footnote w:id="30">
    <w:p w14:paraId="40C2FA46" w14:textId="77777777" w:rsidR="00E8217E" w:rsidRDefault="00E8217E" w:rsidP="00E8217E">
      <w:pPr>
        <w:pStyle w:val="FootnoteText"/>
        <w:spacing w:before="0" w:beforeAutospacing="0" w:after="0" w:afterAutospacing="0"/>
      </w:pPr>
      <w:r>
        <w:rPr>
          <w:rStyle w:val="FootnoteReference"/>
          <w:rFonts w:eastAsia="Yu Gothic Light"/>
        </w:rPr>
        <w:footnoteRef/>
      </w:r>
      <w:r>
        <w:t>To se posebno odnosi na pristojbe u okviru programa potpore za promicanje uporabe energije iz obnovljivih izvora. Ponekad se uvode i drugi energetski nameti (npr. za stavljanje nuklearnih postrojenja izvan pogona). Neke države članice mogu odlučiti zadržati neke troškove energetske politike u računima ako su državni proračuni vrlo opterećeni i smanjiti rizik od velikih promjena nacionalnih politika. Troškovi povezani s mjerama za sigurnost opskrbe ne mogu se premjestiti u proračun jer bi to moglo dovesti do uklanjanja poticaja za odgovor na potražnju i tako povećati ukupne troškove sustava.</w:t>
      </w:r>
    </w:p>
  </w:footnote>
  <w:footnote w:id="31">
    <w:p w14:paraId="13081B43" w14:textId="77777777" w:rsidR="00E8217E" w:rsidRPr="003A66BD" w:rsidRDefault="00E8217E" w:rsidP="00E8217E">
      <w:pPr>
        <w:pStyle w:val="FootnoteText"/>
        <w:spacing w:before="0" w:beforeAutospacing="0" w:after="0" w:afterAutospacing="0"/>
      </w:pPr>
      <w:r>
        <w:rPr>
          <w:rStyle w:val="FootnoteReference"/>
          <w:rFonts w:eastAsia="Yu Gothic Light"/>
        </w:rPr>
        <w:footnoteRef/>
      </w:r>
      <w:r>
        <w:t xml:space="preserve"> </w:t>
      </w:r>
      <w:hyperlink r:id="rId30" w:history="1">
        <w:r>
          <w:rPr>
            <w:rStyle w:val="Hyperlink1"/>
          </w:rPr>
          <w:t>2024 Market monitoring report on energy retail and consumer protection (</w:t>
        </w:r>
        <w:r>
          <w:rPr>
            <w:rStyle w:val="Hyperlink1"/>
            <w:i/>
          </w:rPr>
          <w:t>Izvješće o praćenju tržišta za 2024. o maloprodaji energije i zaštiti potrošača</w:t>
        </w:r>
        <w:r>
          <w:rPr>
            <w:rStyle w:val="Hyperlink1"/>
          </w:rPr>
          <w:t>)</w:t>
        </w:r>
      </w:hyperlink>
      <w:r>
        <w:t>; ACER-CEER, rujan 2024.</w:t>
      </w:r>
    </w:p>
  </w:footnote>
  <w:footnote w:id="32">
    <w:p w14:paraId="390A85EC" w14:textId="77777777" w:rsidR="00E8217E" w:rsidRPr="005737FC" w:rsidRDefault="00E8217E" w:rsidP="00E8217E">
      <w:pPr>
        <w:pStyle w:val="FootnoteText"/>
        <w:spacing w:before="0" w:beforeAutospacing="0" w:after="0" w:afterAutospacing="0"/>
      </w:pPr>
      <w:r>
        <w:rPr>
          <w:rStyle w:val="FootnoteReference"/>
          <w:rFonts w:eastAsia="Yu Gothic Light"/>
        </w:rPr>
        <w:footnoteRef/>
      </w:r>
      <w:r>
        <w:t xml:space="preserve"> </w:t>
      </w:r>
      <w:r>
        <w:rPr>
          <w:i/>
        </w:rPr>
        <w:t>Ibid</w:t>
      </w:r>
      <w:r>
        <w:t>. Stopa promjene opskrbljivača u kućanstvima iznosi 7,15 %.</w:t>
      </w:r>
    </w:p>
  </w:footnote>
  <w:footnote w:id="33">
    <w:p w14:paraId="63C08B7E" w14:textId="77777777" w:rsidR="00E8217E" w:rsidRPr="00F44029" w:rsidRDefault="00E8217E" w:rsidP="00E8217E">
      <w:pPr>
        <w:pStyle w:val="FootnoteText"/>
        <w:spacing w:before="0" w:beforeAutospacing="0" w:after="0" w:afterAutospacing="0"/>
      </w:pPr>
      <w:r>
        <w:rPr>
          <w:rStyle w:val="FootnoteReference"/>
          <w:rFonts w:eastAsia="Yu Gothic Light"/>
        </w:rPr>
        <w:footnoteRef/>
      </w:r>
      <w:r>
        <w:t xml:space="preserve"> </w:t>
      </w:r>
      <w:hyperlink r:id="rId31" w:history="1">
        <w:r>
          <w:rPr>
            <w:rStyle w:val="Hyperlink1"/>
          </w:rPr>
          <w:t>Annual report on the results of monitoring the internal electricity and gas markets in 2021 (</w:t>
        </w:r>
        <w:r>
          <w:rPr>
            <w:rStyle w:val="Hyperlink1"/>
            <w:i/>
          </w:rPr>
          <w:t>Godišnje izvješće o rezultatima praćenja unutarnjeg tržišta električne energije i plina u 2021</w:t>
        </w:r>
        <w:r>
          <w:rPr>
            <w:rStyle w:val="Hyperlink1"/>
          </w:rPr>
          <w:t>.)</w:t>
        </w:r>
      </w:hyperlink>
      <w:r>
        <w:t>; ACER, listopad 2022.</w:t>
      </w:r>
    </w:p>
  </w:footnote>
  <w:footnote w:id="34">
    <w:p w14:paraId="6CB45C07" w14:textId="77777777" w:rsidR="00E8217E" w:rsidRPr="005737FC" w:rsidRDefault="00E8217E" w:rsidP="00E8217E">
      <w:pPr>
        <w:pStyle w:val="FootnoteText"/>
        <w:spacing w:before="0" w:beforeAutospacing="0" w:after="0" w:afterAutospacing="0"/>
      </w:pPr>
      <w:r>
        <w:rPr>
          <w:rStyle w:val="FootnoteReference"/>
          <w:rFonts w:eastAsia="Yu Gothic Light"/>
        </w:rPr>
        <w:footnoteRef/>
      </w:r>
      <w:r>
        <w:t xml:space="preserve"> </w:t>
      </w:r>
      <w:hyperlink r:id="rId32" w:history="1">
        <w:r>
          <w:rPr>
            <w:rStyle w:val="Hyperlink1"/>
          </w:rPr>
          <w:t>Collective energy sharing:</w:t>
        </w:r>
      </w:hyperlink>
      <w:hyperlink r:id="rId33" w:history="1">
        <w:r>
          <w:rPr>
            <w:rStyle w:val="Hyperlink1"/>
          </w:rPr>
          <w:t xml:space="preserve"> CBA and survey evidence of the willingness to invest</w:t>
        </w:r>
      </w:hyperlink>
      <w:r>
        <w:t xml:space="preserve"> </w:t>
      </w:r>
      <w:r>
        <w:rPr>
          <w:i/>
        </w:rPr>
        <w:t>Dijeljenje energije: analiza troškova i koristi i rezultati anketa o spremnosti na ulaganje</w:t>
      </w:r>
      <w:r>
        <w:t xml:space="preserve"> Ovaere, 2023.; koristi od 50 – 50 % kolektivne  vlastite potrošnje solarne energije i energije vjetra te prodanog viška energije u iznosu od približno 500 – 1 100  eura godišnje (2020. – 2022.).</w:t>
      </w:r>
    </w:p>
  </w:footnote>
  <w:footnote w:id="35">
    <w:p w14:paraId="5E3B7107"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Do 2024. u EU-u je ugovoren kumulativni kapacitet od 48,4 GW (izvor: </w:t>
      </w:r>
      <w:hyperlink r:id="rId34">
        <w:r>
          <w:rPr>
            <w:rStyle w:val="Hyperlink1"/>
          </w:rPr>
          <w:t>RE-Source</w:t>
        </w:r>
      </w:hyperlink>
      <w:r>
        <w:t>)</w:t>
      </w:r>
    </w:p>
  </w:footnote>
  <w:footnote w:id="36">
    <w:p w14:paraId="296BF661" w14:textId="77777777" w:rsidR="00E8217E" w:rsidRPr="00692718" w:rsidRDefault="00E8217E" w:rsidP="00E8217E">
      <w:pPr>
        <w:pStyle w:val="FootnoteText"/>
        <w:spacing w:before="0" w:beforeAutospacing="0" w:after="0" w:afterAutospacing="0"/>
      </w:pPr>
      <w:r>
        <w:rPr>
          <w:rStyle w:val="FootnoteReference"/>
          <w:rFonts w:eastAsia="Yu Gothic Light"/>
        </w:rPr>
        <w:footnoteRef/>
      </w:r>
      <w:r>
        <w:t xml:space="preserve">Npr. kreditna sposobnost, složenost ugovora i mogućnosti zaštite od rizika. </w:t>
      </w:r>
      <w:hyperlink r:id="rId35" w:history="1">
        <w:r>
          <w:rPr>
            <w:rStyle w:val="Hyperlink1"/>
          </w:rPr>
          <w:t>Commercial PPAs (Komercijalni ugovori o kupnji energije)</w:t>
        </w:r>
      </w:hyperlink>
      <w:r>
        <w:t>; Baringa za EIB, 2022.</w:t>
      </w:r>
    </w:p>
  </w:footnote>
  <w:footnote w:id="37">
    <w:p w14:paraId="2DD7C31A"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w:t>
      </w:r>
      <w:hyperlink r:id="rId36" w:history="1">
        <w:r>
          <w:rPr>
            <w:rStyle w:val="Hyperlink1"/>
          </w:rPr>
          <w:t>Phased European Union electricity market reform (Postupna reforma tržišta električne energije u Europskoj uniji)</w:t>
        </w:r>
      </w:hyperlink>
      <w:r>
        <w:t>; Bruegel, ožujak 2023.</w:t>
      </w:r>
    </w:p>
  </w:footnote>
  <w:footnote w:id="38">
    <w:p w14:paraId="49648A72"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w:t>
      </w:r>
      <w:hyperlink r:id="rId37" w:history="1">
        <w:r>
          <w:rPr>
            <w:rStyle w:val="Hyperlink1"/>
          </w:rPr>
          <w:t>Renewable power generation costs in 2023 (</w:t>
        </w:r>
        <w:r>
          <w:rPr>
            <w:rStyle w:val="Hyperlink1"/>
            <w:i/>
          </w:rPr>
          <w:t>Troškovi proizvodnje energije iz obnovljivih izvora 2023.</w:t>
        </w:r>
        <w:r>
          <w:rPr>
            <w:rStyle w:val="Hyperlink1"/>
          </w:rPr>
          <w:t>)</w:t>
        </w:r>
      </w:hyperlink>
      <w:r>
        <w:t>; IRENA, rujan 2024.</w:t>
      </w:r>
    </w:p>
  </w:footnote>
  <w:footnote w:id="39">
    <w:p w14:paraId="312014A0"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Osim pojednostavnjenja izdavanja dozvola, smanjenju troškova energetskih projekata doprinose i drugi čimbenici, kao što su osiguravanje pristupa konkurentnim uvjetima financiranja, otporan lanac opskrbe s dostatnim domaćim proizvodnim kapacitetima i kvalificiranom radnom snagom te tehnološki razvoj.</w:t>
      </w:r>
    </w:p>
  </w:footnote>
  <w:footnote w:id="40">
    <w:p w14:paraId="36C41677"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hyperlink r:id="rId38" w:history="1">
        <w:r>
          <w:rPr>
            <w:rStyle w:val="Hyperlink1"/>
          </w:rPr>
          <w:t>Smjernice o odredbama EU-a povezanima s izdavanjem dozvola za projekte u području mreže i energije iz obnovljivih izvora</w:t>
        </w:r>
      </w:hyperlink>
      <w:r>
        <w:t>; Tijelo EU-a za ODS-ove, siječanj 2025.</w:t>
      </w:r>
    </w:p>
  </w:footnote>
  <w:footnote w:id="41">
    <w:p w14:paraId="1B9EB2FE"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Projekt  dalekovoda </w:t>
      </w:r>
      <w:hyperlink r:id="rId39" w:history="1">
        <w:r>
          <w:rPr>
            <w:rStyle w:val="Hyperlink1"/>
          </w:rPr>
          <w:t>Uckermark</w:t>
        </w:r>
      </w:hyperlink>
      <w:r>
        <w:t xml:space="preserve"> 115-km 380 kV (vidjeti </w:t>
      </w:r>
      <w:hyperlink r:id="rId40" w:history="1">
        <w:r>
          <w:rPr>
            <w:rStyle w:val="Hyperlink1"/>
          </w:rPr>
          <w:t>S&amp;P</w:t>
        </w:r>
      </w:hyperlink>
      <w:r>
        <w:t>)</w:t>
      </w:r>
    </w:p>
  </w:footnote>
  <w:footnote w:id="42">
    <w:p w14:paraId="324572FF" w14:textId="77777777" w:rsidR="00E8217E" w:rsidRPr="00397BCF" w:rsidRDefault="00E8217E" w:rsidP="00E8217E">
      <w:pPr>
        <w:spacing w:after="0"/>
      </w:pPr>
      <w:r>
        <w:rPr>
          <w:rStyle w:val="FootnoteReference"/>
          <w:sz w:val="20"/>
          <w:szCs w:val="20"/>
        </w:rPr>
        <w:footnoteRef/>
      </w:r>
      <w:r>
        <w:rPr>
          <w:sz w:val="20"/>
        </w:rPr>
        <w:t xml:space="preserve"> </w:t>
      </w:r>
      <w:hyperlink r:id="rId41" w:history="1">
        <w:r>
          <w:rPr>
            <w:rStyle w:val="Hyperlink1"/>
            <w:sz w:val="20"/>
          </w:rPr>
          <w:t>Direktiva o promicanju uporabe energije iz obnovljivih izvora</w:t>
        </w:r>
      </w:hyperlink>
      <w:r>
        <w:rPr>
          <w:sz w:val="20"/>
        </w:rPr>
        <w:t xml:space="preserve">; </w:t>
      </w:r>
      <w:hyperlink r:id="rId42" w:history="1">
        <w:r>
          <w:rPr>
            <w:rStyle w:val="Hyperlink1"/>
            <w:sz w:val="20"/>
          </w:rPr>
          <w:t>Uredba TEN-E</w:t>
        </w:r>
      </w:hyperlink>
      <w:r>
        <w:rPr>
          <w:sz w:val="20"/>
        </w:rPr>
        <w:t>;</w:t>
      </w:r>
      <w:r>
        <w:t xml:space="preserve"> </w:t>
      </w:r>
      <w:hyperlink r:id="rId43" w:history="1">
        <w:r>
          <w:rPr>
            <w:rStyle w:val="Hyperlink1"/>
            <w:sz w:val="20"/>
          </w:rPr>
          <w:t>Direktiva o tržištu plina iz obnovljivih izvora, prirodnog plina i vodika</w:t>
        </w:r>
      </w:hyperlink>
    </w:p>
  </w:footnote>
  <w:footnote w:id="43">
    <w:p w14:paraId="2D59675F" w14:textId="77777777" w:rsidR="00E8217E" w:rsidRPr="00397BCF" w:rsidRDefault="00E8217E" w:rsidP="00E8217E">
      <w:pPr>
        <w:pStyle w:val="FootnoteText"/>
        <w:spacing w:before="0" w:beforeAutospacing="0" w:after="0" w:afterAutospacing="0"/>
      </w:pPr>
      <w:r>
        <w:rPr>
          <w:rStyle w:val="FootnoteReference"/>
          <w:rFonts w:eastAsia="Yu Gothic Light"/>
        </w:rPr>
        <w:footnoteRef/>
      </w:r>
      <w:r>
        <w:t xml:space="preserve"> 15,2 GW u 2024. (</w:t>
      </w:r>
      <w:hyperlink r:id="rId44" w:history="1">
        <w:r>
          <w:rPr>
            <w:rStyle w:val="Hyperlink1"/>
          </w:rPr>
          <w:t>EE-Statistik Auswertung Januar 2025</w:t>
        </w:r>
      </w:hyperlink>
      <w:r>
        <w:t>). Vidjeti i</w:t>
      </w:r>
      <w:hyperlink r:id="rId45" w:history="1">
        <w:r>
          <w:rPr>
            <w:rStyle w:val="Hyperlink1"/>
          </w:rPr>
          <w:t xml:space="preserve"> Reuters.</w:t>
        </w:r>
      </w:hyperlink>
      <w:r>
        <w:t xml:space="preserve"> </w:t>
      </w:r>
    </w:p>
  </w:footnote>
  <w:footnote w:id="44">
    <w:p w14:paraId="59DF6CF8" w14:textId="77777777" w:rsidR="00E8217E" w:rsidRPr="00D7481B" w:rsidRDefault="00E8217E" w:rsidP="00E8217E">
      <w:pPr>
        <w:pStyle w:val="FootnoteText"/>
        <w:spacing w:before="0" w:beforeAutospacing="0" w:after="0" w:afterAutospacing="0"/>
      </w:pPr>
      <w:r>
        <w:rPr>
          <w:rStyle w:val="FootnoteReference"/>
          <w:rFonts w:eastAsia="Yu Gothic Light"/>
        </w:rPr>
        <w:footnoteRef/>
      </w:r>
      <w:r>
        <w:t xml:space="preserve"> Npr. agrosolari, fotonaponski sustavi integrirani u zgrade (BIPV) i solarni sustavi za balkone.</w:t>
      </w:r>
    </w:p>
  </w:footnote>
  <w:footnote w:id="45">
    <w:p w14:paraId="6B644E8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Usklađeno djelovanje u vezi s Direktivom o energiji iz obnovljivih izvora, </w:t>
      </w:r>
      <w:hyperlink r:id="rId46" w:history="1">
        <w:r>
          <w:rPr>
            <w:rStyle w:val="Hyperlink1"/>
          </w:rPr>
          <w:t>www.ca-res.eu</w:t>
        </w:r>
      </w:hyperlink>
      <w:r>
        <w:t xml:space="preserve"> </w:t>
      </w:r>
    </w:p>
  </w:footnote>
  <w:footnote w:id="46">
    <w:p w14:paraId="02260C48" w14:textId="77777777" w:rsidR="00E8217E" w:rsidRPr="00AB40BB" w:rsidRDefault="00E8217E" w:rsidP="00E8217E">
      <w:pPr>
        <w:pStyle w:val="FootnoteText"/>
        <w:spacing w:before="0" w:beforeAutospacing="0" w:after="0" w:afterAutospacing="0"/>
      </w:pPr>
      <w:r>
        <w:rPr>
          <w:rStyle w:val="FootnoteReference"/>
          <w:rFonts w:eastAsia="Yu Gothic Light"/>
        </w:rPr>
        <w:footnoteRef/>
      </w:r>
      <w:r>
        <w:t xml:space="preserve"> </w:t>
      </w:r>
      <w:hyperlink r:id="rId47" w:history="1">
        <w:r>
          <w:rPr>
            <w:rStyle w:val="Hyperlink1"/>
          </w:rPr>
          <w:t>Alat za pitanja i odgovore o Direktivi o obnovljivoj energiji</w:t>
        </w:r>
      </w:hyperlink>
    </w:p>
  </w:footnote>
  <w:footnote w:id="47">
    <w:p w14:paraId="08B1DB49" w14:textId="77777777" w:rsidR="00E8217E" w:rsidRPr="007F709B" w:rsidRDefault="00E8217E" w:rsidP="00E8217E">
      <w:pPr>
        <w:pStyle w:val="FootnoteText"/>
        <w:spacing w:before="0" w:beforeAutospacing="0" w:after="0" w:afterAutospacing="0"/>
      </w:pPr>
      <w:r>
        <w:rPr>
          <w:rStyle w:val="FootnoteReference"/>
          <w:rFonts w:eastAsia="Yu Gothic Light"/>
        </w:rPr>
        <w:footnoteRef/>
      </w:r>
      <w:r>
        <w:t xml:space="preserve"> </w:t>
      </w:r>
      <w:hyperlink r:id="rId48" w:history="1">
        <w:r>
          <w:rPr>
            <w:rStyle w:val="Hyperlink1"/>
          </w:rPr>
          <w:t>Uredba (EU) 2021/240 o uspostavi Instrumenta za tehničku potporu</w:t>
        </w:r>
      </w:hyperlink>
    </w:p>
  </w:footnote>
  <w:footnote w:id="48">
    <w:p w14:paraId="2A362AAF" w14:textId="77777777" w:rsidR="00E8217E" w:rsidRPr="001013DA" w:rsidRDefault="00E8217E" w:rsidP="00E8217E">
      <w:pPr>
        <w:pStyle w:val="FootnoteText"/>
        <w:spacing w:before="0" w:beforeAutospacing="0" w:after="0" w:afterAutospacing="0"/>
        <w:rPr>
          <w:rStyle w:val="Hyperlink1"/>
        </w:rPr>
      </w:pPr>
      <w:r>
        <w:rPr>
          <w:rStyle w:val="FootnoteReference"/>
          <w:rFonts w:eastAsia="Yu Gothic Light"/>
        </w:rPr>
        <w:footnoteRef/>
      </w:r>
      <w:r>
        <w:t xml:space="preserve"> </w:t>
      </w:r>
      <w:hyperlink r:id="rId49" w:history="1">
        <w:r>
          <w:rPr>
            <w:rStyle w:val="Hyperlink1"/>
          </w:rPr>
          <w:t>Akcijski plan EU-a za mreže</w:t>
        </w:r>
      </w:hyperlink>
      <w:r>
        <w:rPr>
          <w:rStyle w:val="Hyperlink1"/>
        </w:rPr>
        <w:t xml:space="preserve"> (</w:t>
      </w:r>
      <w:r>
        <w:rPr>
          <w:rStyle w:val="Hyperlink1"/>
          <w:i/>
        </w:rPr>
        <w:t>COM(2023) 757 final</w:t>
      </w:r>
      <w:r>
        <w:rPr>
          <w:rStyle w:val="Hyperlink1"/>
        </w:rPr>
        <w:t>)</w:t>
      </w:r>
    </w:p>
  </w:footnote>
  <w:footnote w:id="49">
    <w:p w14:paraId="7B1037A7" w14:textId="77777777" w:rsidR="00E8217E" w:rsidRPr="00A76CDB" w:rsidRDefault="00E8217E" w:rsidP="00E8217E">
      <w:pPr>
        <w:pStyle w:val="FootnoteText"/>
        <w:spacing w:before="0" w:beforeAutospacing="0" w:after="0" w:afterAutospacing="0"/>
      </w:pPr>
      <w:r>
        <w:rPr>
          <w:rStyle w:val="Hyperlink1"/>
          <w:vertAlign w:val="superscript"/>
        </w:rPr>
        <w:footnoteRef/>
      </w:r>
      <w:hyperlink r:id="rId50" w:history="1">
        <w:r>
          <w:rPr>
            <w:rStyle w:val="Hyperlink1"/>
          </w:rPr>
          <w:t>Upravljanje redispečiranjem i zagušenjem</w:t>
        </w:r>
      </w:hyperlink>
      <w:r>
        <w:t>; Zajednički istraživački centar, svibanj 2024.</w:t>
      </w:r>
    </w:p>
  </w:footnote>
  <w:footnote w:id="50">
    <w:p w14:paraId="38340C8C" w14:textId="77777777" w:rsidR="00E8217E" w:rsidRPr="00211033" w:rsidRDefault="00E8217E" w:rsidP="00E8217E">
      <w:pPr>
        <w:pStyle w:val="FootnoteText"/>
        <w:spacing w:before="0" w:beforeAutospacing="0" w:after="0" w:afterAutospacing="0"/>
      </w:pPr>
      <w:r>
        <w:rPr>
          <w:rStyle w:val="FootnoteReference"/>
          <w:rFonts w:eastAsia="Yu Gothic Light"/>
        </w:rPr>
        <w:footnoteRef/>
      </w:r>
      <w:r>
        <w:t xml:space="preserve"> </w:t>
      </w:r>
      <w:hyperlink r:id="rId51" w:history="1">
        <w:r>
          <w:rPr>
            <w:rStyle w:val="Hyperlink1"/>
          </w:rPr>
          <w:t>Electricity infrastructure development to support a competitive and sustainable energy system (Razvoj elektroenergetske infrastrukture za potporu konkurentnom i održivom energetskom sustavu)</w:t>
        </w:r>
      </w:hyperlink>
      <w:r>
        <w:t>; ACER, prosinac 2024.</w:t>
      </w:r>
    </w:p>
  </w:footnote>
  <w:footnote w:id="51">
    <w:p w14:paraId="3FD2374B" w14:textId="77777777" w:rsidR="00E8217E" w:rsidRPr="00A35CA4" w:rsidRDefault="00E8217E" w:rsidP="00E8217E">
      <w:pPr>
        <w:pStyle w:val="FootnoteText"/>
        <w:spacing w:before="0" w:beforeAutospacing="0" w:after="0" w:afterAutospacing="0"/>
      </w:pPr>
      <w:r>
        <w:rPr>
          <w:rStyle w:val="FootnoteReference"/>
          <w:rFonts w:eastAsia="Yu Gothic Light"/>
        </w:rPr>
        <w:footnoteRef/>
      </w:r>
      <w:r>
        <w:t>Keltski interkonekcijski vod od 930 milijuna do 1,482 milijarde eura (</w:t>
      </w:r>
      <w:hyperlink r:id="rId52" w:history="1">
        <w:r>
          <w:rPr>
            <w:rStyle w:val="Hyperlink1"/>
          </w:rPr>
          <w:t>CRE</w:t>
        </w:r>
      </w:hyperlink>
      <w:r>
        <w:t>), Biskajski zaljev od 1,75 do 2,6 milijardi eura (</w:t>
      </w:r>
      <w:hyperlink r:id="rId53" w:history="1">
        <w:r>
          <w:rPr>
            <w:rStyle w:val="Hyperlink1"/>
          </w:rPr>
          <w:t>CRE</w:t>
        </w:r>
      </w:hyperlink>
      <w:r>
        <w:t xml:space="preserve">). Troškovi projekta Princess Elisabeth porasli su s procijenjenih 2,2 milijarde EUR na između 7 i 8 milijardi eura (Brussels Times: </w:t>
      </w:r>
      <w:hyperlink r:id="rId54" w:history="1">
        <w:r>
          <w:rPr>
            <w:rStyle w:val="Hyperlink1"/>
          </w:rPr>
          <w:t>1.</w:t>
        </w:r>
      </w:hyperlink>
      <w:r>
        <w:t xml:space="preserve"> i </w:t>
      </w:r>
      <w:hyperlink r:id="rId55" w:history="1">
        <w:r>
          <w:rPr>
            <w:rStyle w:val="Hyperlink1"/>
          </w:rPr>
          <w:t>2.</w:t>
        </w:r>
      </w:hyperlink>
      <w:r>
        <w:t>).</w:t>
      </w:r>
    </w:p>
  </w:footnote>
  <w:footnote w:id="52">
    <w:p w14:paraId="7EA00951" w14:textId="77777777" w:rsidR="00E8217E" w:rsidRPr="00C8352A" w:rsidRDefault="00E8217E" w:rsidP="00E8217E">
      <w:pPr>
        <w:pStyle w:val="FootnoteText"/>
        <w:spacing w:before="0" w:beforeAutospacing="0" w:after="0" w:afterAutospacing="0"/>
      </w:pPr>
      <w:r>
        <w:rPr>
          <w:rStyle w:val="FootnoteReference"/>
          <w:rFonts w:eastAsia="Yu Gothic Light"/>
        </w:rPr>
        <w:footnoteRef/>
      </w:r>
      <w:r>
        <w:t xml:space="preserve">Godine 2024. otkazan je </w:t>
      </w:r>
      <w:hyperlink r:id="rId56" w:history="1">
        <w:r>
          <w:rPr>
            <w:rStyle w:val="Hyperlink1"/>
          </w:rPr>
          <w:t>interkonekcijski vod SE-DE</w:t>
        </w:r>
      </w:hyperlink>
      <w:r>
        <w:t xml:space="preserve"> (vidjeti FT) zbog nepodudarnosti u distribuciji viška s obzirom na potrošače.</w:t>
      </w:r>
    </w:p>
  </w:footnote>
  <w:footnote w:id="53">
    <w:p w14:paraId="5C9256CB" w14:textId="77777777" w:rsidR="00E8217E" w:rsidRPr="00204852" w:rsidRDefault="00E8217E" w:rsidP="00E8217E">
      <w:pPr>
        <w:pStyle w:val="FootnoteText"/>
        <w:spacing w:before="0" w:beforeAutospacing="0" w:after="0" w:afterAutospacing="0"/>
      </w:pPr>
      <w:r>
        <w:rPr>
          <w:rStyle w:val="FootnoteReference"/>
          <w:rFonts w:eastAsia="Yu Gothic Light"/>
        </w:rPr>
        <w:footnoteRef/>
      </w:r>
      <w:hyperlink r:id="rId57" w:history="1">
        <w:r>
          <w:rPr>
            <w:rStyle w:val="Hyperlink1"/>
          </w:rPr>
          <w:t>Put prema sljedećem višegodišnjem financijskom okviru</w:t>
        </w:r>
      </w:hyperlink>
      <w:r>
        <w:t xml:space="preserve"> (</w:t>
      </w:r>
      <w:r>
        <w:rPr>
          <w:i/>
        </w:rPr>
        <w:t>COM(2025) 46 final</w:t>
      </w:r>
      <w:r>
        <w:t>, str. 5. i 8.)</w:t>
      </w:r>
    </w:p>
  </w:footnote>
  <w:footnote w:id="54">
    <w:p w14:paraId="75189903"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w:t>
      </w:r>
      <w:hyperlink r:id="rId58" w:history="1">
        <w:r>
          <w:rPr>
            <w:rStyle w:val="Hyperlink1"/>
          </w:rPr>
          <w:t>Registar dokumenata Komisije (</w:t>
        </w:r>
        <w:r>
          <w:rPr>
            <w:rStyle w:val="Hyperlink1"/>
            <w:i/>
          </w:rPr>
          <w:t>COM(2025)46</w:t>
        </w:r>
      </w:hyperlink>
      <w:r>
        <w:rPr>
          <w:rStyle w:val="Hyperlink1"/>
        </w:rPr>
        <w:t>)</w:t>
      </w:r>
    </w:p>
  </w:footnote>
  <w:footnote w:id="55">
    <w:p w14:paraId="2CCDE861" w14:textId="77777777" w:rsidR="00E8217E" w:rsidRPr="0091748A" w:rsidRDefault="00E8217E" w:rsidP="00E8217E">
      <w:pPr>
        <w:pStyle w:val="FootnoteText"/>
        <w:spacing w:before="0" w:beforeAutospacing="0" w:after="0" w:afterAutospacing="0"/>
      </w:pPr>
      <w:r>
        <w:rPr>
          <w:rStyle w:val="FootnoteReference"/>
          <w:rFonts w:eastAsia="Yu Gothic Light"/>
        </w:rPr>
        <w:footnoteRef/>
      </w:r>
      <w:r>
        <w:t xml:space="preserve">Mnogi operatori prijenosnih sustava u vrlo isprepletenim područjima elektroenergetske mreže EU-a 2023. stavili su na raspolaganje u prosjeku između 20 % i 50 % fizičkog kapaciteta određenih mrežnih elemenata. To je mnogo manje od 70 %. </w:t>
      </w:r>
      <w:hyperlink r:id="rId59" w:history="1">
        <w:r>
          <w:rPr>
            <w:rStyle w:val="Hyperlink1"/>
          </w:rPr>
          <w:t>Cross-zonal capacities and the 70% margin available for cross-zonal electricity trade (Prekozonski kapaciteti i marža od 70 % za prekozonsku trgovinu električnom energijom)</w:t>
        </w:r>
      </w:hyperlink>
      <w:r>
        <w:t>; ACER, srpanj 2023.</w:t>
      </w:r>
    </w:p>
  </w:footnote>
  <w:footnote w:id="56">
    <w:p w14:paraId="72589785" w14:textId="77777777" w:rsidR="00E8217E" w:rsidRPr="008676C6" w:rsidRDefault="00E8217E" w:rsidP="00E8217E">
      <w:pPr>
        <w:pStyle w:val="FootnoteText"/>
        <w:spacing w:before="0" w:beforeAutospacing="0" w:after="0" w:afterAutospacing="0"/>
      </w:pPr>
      <w:r>
        <w:rPr>
          <w:rStyle w:val="FootnoteReference"/>
          <w:rFonts w:eastAsia="Yu Gothic Light"/>
        </w:rPr>
        <w:footnoteRef/>
      </w:r>
      <w:r>
        <w:t xml:space="preserve"> </w:t>
      </w:r>
      <w:hyperlink r:id="rId60" w:history="1">
        <w:r>
          <w:rPr>
            <w:rStyle w:val="Hyperlink1"/>
          </w:rPr>
          <w:t>System needs study (Studija potreba sustava)</w:t>
        </w:r>
      </w:hyperlink>
      <w:r>
        <w:t>; ENTSO-E, svibanj 2023. 64 GW uključuju susjedne zemlje izvan EU-a.</w:t>
      </w:r>
    </w:p>
  </w:footnote>
  <w:footnote w:id="57">
    <w:p w14:paraId="4BB9B1B1" w14:textId="77777777" w:rsidR="00E8217E" w:rsidRDefault="00E8217E" w:rsidP="00E8217E">
      <w:pPr>
        <w:pStyle w:val="FootnoteText"/>
        <w:spacing w:before="0" w:beforeAutospacing="0" w:after="0" w:afterAutospacing="0"/>
      </w:pPr>
      <w:r>
        <w:rPr>
          <w:vertAlign w:val="superscript"/>
        </w:rPr>
        <w:footnoteRef/>
      </w:r>
      <w:r>
        <w:rPr>
          <w:vertAlign w:val="superscript"/>
        </w:rPr>
        <w:t xml:space="preserve"> </w:t>
      </w:r>
      <w:hyperlink r:id="rId61" w:history="1">
        <w:r>
          <w:rPr>
            <w:rStyle w:val="Hyperlink1"/>
          </w:rPr>
          <w:t>Uloga distribucijskih sustava električne energije u procjeni potreba za fleksibilnošću</w:t>
        </w:r>
      </w:hyperlink>
      <w:r>
        <w:t>; Zajednički istraživački centar, 2024.</w:t>
      </w:r>
    </w:p>
  </w:footnote>
  <w:footnote w:id="58">
    <w:p w14:paraId="2DE2AE31" w14:textId="77777777" w:rsidR="00E8217E" w:rsidRPr="002F6574" w:rsidRDefault="00E8217E" w:rsidP="00E8217E">
      <w:pPr>
        <w:pStyle w:val="FootnoteText"/>
        <w:spacing w:before="0" w:beforeAutospacing="0" w:after="0" w:afterAutospacing="0"/>
      </w:pPr>
      <w:r>
        <w:rPr>
          <w:vertAlign w:val="superscript"/>
        </w:rPr>
        <w:footnoteRef/>
      </w:r>
      <w:r>
        <w:rPr>
          <w:vertAlign w:val="superscript"/>
        </w:rPr>
        <w:t xml:space="preserve"> </w:t>
      </w:r>
      <w:hyperlink r:id="rId62" w:history="1">
        <w:r>
          <w:rPr>
            <w:rStyle w:val="Hyperlink1"/>
          </w:rPr>
          <w:t>Grids for Speed</w:t>
        </w:r>
      </w:hyperlink>
      <w:r>
        <w:t>; Eurelectric, svibanj 2024.</w:t>
      </w:r>
    </w:p>
  </w:footnote>
  <w:footnote w:id="59">
    <w:p w14:paraId="6C414DF0" w14:textId="77777777" w:rsidR="00E8217E" w:rsidRPr="00FA0D67" w:rsidRDefault="00E8217E" w:rsidP="00E8217E">
      <w:pPr>
        <w:pStyle w:val="FootnoteText"/>
        <w:spacing w:before="0" w:beforeAutospacing="0" w:after="0" w:afterAutospacing="0"/>
      </w:pPr>
      <w:r>
        <w:rPr>
          <w:rStyle w:val="FootnoteReference"/>
          <w:rFonts w:eastAsia="Yu Gothic Light"/>
        </w:rPr>
        <w:footnoteRef/>
      </w:r>
      <w:r>
        <w:t>Osim toga, tehnološka rješenja kao što su meteorološki senzori mogu poboljšati rad elektroenergetskog sustava.</w:t>
      </w:r>
    </w:p>
  </w:footnote>
  <w:footnote w:id="60">
    <w:p w14:paraId="2057DC9C" w14:textId="77777777" w:rsidR="00E8217E" w:rsidRPr="00F65082" w:rsidRDefault="00E8217E" w:rsidP="00E8217E">
      <w:pPr>
        <w:pStyle w:val="FootnoteText"/>
        <w:spacing w:before="0" w:beforeAutospacing="0" w:after="0" w:afterAutospacing="0"/>
      </w:pPr>
      <w:r>
        <w:rPr>
          <w:vertAlign w:val="superscript"/>
        </w:rPr>
        <w:footnoteRef/>
      </w:r>
      <w:r>
        <w:rPr>
          <w:vertAlign w:val="superscript"/>
        </w:rPr>
        <w:t xml:space="preserve"> </w:t>
      </w:r>
      <w:hyperlink r:id="rId63" w:history="1">
        <w:r>
          <w:rPr>
            <w:rStyle w:val="Hyperlink1"/>
          </w:rPr>
          <w:t>Upravljanje potrošnjom i drugi distribuirani energetski resursi:</w:t>
        </w:r>
      </w:hyperlink>
      <w:hyperlink r:id="rId64" w:history="1">
        <w:r>
          <w:rPr>
            <w:rStyle w:val="Hyperlink1"/>
          </w:rPr>
          <w:t xml:space="preserve"> koje su prepreke za to?</w:t>
        </w:r>
      </w:hyperlink>
      <w:r>
        <w:t xml:space="preserve">; ACER, veljača 2024. </w:t>
      </w:r>
    </w:p>
  </w:footnote>
  <w:footnote w:id="61">
    <w:p w14:paraId="65B72037" w14:textId="77777777" w:rsidR="00E8217E" w:rsidRPr="007D3681" w:rsidRDefault="00E8217E" w:rsidP="00E8217E">
      <w:pPr>
        <w:pStyle w:val="FootnoteText"/>
        <w:spacing w:before="0" w:beforeAutospacing="0" w:after="0" w:afterAutospacing="0"/>
      </w:pPr>
      <w:r>
        <w:rPr>
          <w:rStyle w:val="FootnoteReference"/>
          <w:rFonts w:eastAsia="Yu Gothic Light"/>
        </w:rPr>
        <w:footnoteRef/>
      </w:r>
      <w:r>
        <w:t xml:space="preserve"> </w:t>
      </w:r>
      <w:hyperlink r:id="rId65" w:history="1">
        <w:r>
          <w:rPr>
            <w:rStyle w:val="Hyperlink1"/>
          </w:rPr>
          <w:t>Izvješće o praćenju maloprodajnog tržišta energije i zaštiti potrošača</w:t>
        </w:r>
      </w:hyperlink>
      <w:r>
        <w:t>; ACER i CEER, rujan 2024.</w:t>
      </w:r>
    </w:p>
  </w:footnote>
  <w:footnote w:id="62">
    <w:p w14:paraId="3D5BCC20" w14:textId="77777777" w:rsidR="00E8217E" w:rsidRPr="005D174D" w:rsidRDefault="00E8217E" w:rsidP="00E8217E">
      <w:pPr>
        <w:pStyle w:val="FootnoteText"/>
        <w:spacing w:before="0" w:beforeAutospacing="0" w:after="0" w:afterAutospacing="0"/>
      </w:pPr>
      <w:r>
        <w:rPr>
          <w:rStyle w:val="FootnoteReference"/>
          <w:rFonts w:eastAsia="Yu Gothic Light"/>
        </w:rPr>
        <w:footnoteRef/>
      </w:r>
      <w:r>
        <w:t xml:space="preserve"> </w:t>
      </w:r>
      <w:hyperlink r:id="rId66" w:history="1">
        <w:r>
          <w:rPr>
            <w:rStyle w:val="Hyperlink1"/>
          </w:rPr>
          <w:t>Energetska i klimatska tranzicija:</w:t>
        </w:r>
      </w:hyperlink>
      <w:hyperlink r:id="rId67" w:history="1">
        <w:r>
          <w:rPr>
            <w:rStyle w:val="Hyperlink1"/>
          </w:rPr>
          <w:t xml:space="preserve"> kako povećati konkurentnost EU-a</w:t>
        </w:r>
      </w:hyperlink>
      <w:r>
        <w:t>; Business Europe, srpanj 2024.</w:t>
      </w:r>
    </w:p>
  </w:footnote>
  <w:footnote w:id="63">
    <w:p w14:paraId="05B2C1E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w:t>
      </w:r>
      <w:hyperlink r:id="rId68" w:history="1">
        <w:r>
          <w:rPr>
            <w:rStyle w:val="Hyperlink1"/>
          </w:rPr>
          <w:t>Fleksibilnost potražnje:</w:t>
        </w:r>
      </w:hyperlink>
      <w:hyperlink r:id="rId69" w:history="1">
        <w:r>
          <w:rPr>
            <w:rStyle w:val="Hyperlink1"/>
          </w:rPr>
          <w:t xml:space="preserve"> kvantifikacija koristi u EU-u</w:t>
        </w:r>
      </w:hyperlink>
      <w:r>
        <w:t>; DNV za smartEn, rujan 2022.</w:t>
      </w:r>
    </w:p>
  </w:footnote>
  <w:footnote w:id="64">
    <w:p w14:paraId="35C60321" w14:textId="77777777" w:rsidR="00E8217E" w:rsidRPr="00016D24" w:rsidRDefault="00E8217E" w:rsidP="00E8217E">
      <w:pPr>
        <w:pStyle w:val="FootnoteText"/>
        <w:spacing w:before="0" w:beforeAutospacing="0" w:after="0" w:afterAutospacing="0"/>
      </w:pPr>
      <w:r>
        <w:rPr>
          <w:rStyle w:val="FootnoteReference"/>
          <w:rFonts w:eastAsia="Yu Gothic Light"/>
        </w:rPr>
        <w:footnoteRef/>
      </w:r>
      <w:r>
        <w:t xml:space="preserve"> </w:t>
      </w:r>
      <w:hyperlink r:id="rId70" w:history="1">
        <w:r>
          <w:rPr>
            <w:rStyle w:val="Hyperlink1"/>
          </w:rPr>
          <w:t>Izvješće iz 2024. o praćenju maloprodajnog tržišta energije i zaštiti potrošača</w:t>
        </w:r>
      </w:hyperlink>
      <w:r>
        <w:t>; ACER-CEER, rujan 2024. (studija slučaja iz Švedske)</w:t>
      </w:r>
    </w:p>
  </w:footnote>
  <w:footnote w:id="65">
    <w:p w14:paraId="0872C9A8" w14:textId="77777777" w:rsidR="00E8217E" w:rsidRPr="003C7131" w:rsidRDefault="00E8217E" w:rsidP="00E8217E">
      <w:pPr>
        <w:pStyle w:val="FootnoteText"/>
        <w:spacing w:before="0" w:beforeAutospacing="0" w:after="0" w:afterAutospacing="0"/>
      </w:pPr>
      <w:r>
        <w:rPr>
          <w:rStyle w:val="FootnoteReference"/>
          <w:rFonts w:eastAsia="Yu Gothic Light"/>
        </w:rPr>
        <w:footnoteRef/>
      </w:r>
      <w:r>
        <w:t xml:space="preserve"> Većina kućanstava koja bi godišnje uložila od 50 do 145 eura u kućne sustave za upravljanje energijom (HEMS) koji upotrebljavaju fleksibilne energetske sustave (kao što su dizalice topline s fotonaponskim sustavima, fotonaponski sustavi s pohranom energije u baterijama ili električna vozila) ostvarila bi uštede. </w:t>
      </w:r>
      <w:hyperlink r:id="rId71" w:history="1">
        <w:r>
          <w:rPr>
            <w:rStyle w:val="Hyperlink1"/>
          </w:rPr>
          <w:t>Izbjegavanje povećanja cijene električne energije:</w:t>
        </w:r>
      </w:hyperlink>
      <w:hyperlink r:id="rId72" w:history="1">
        <w:r>
          <w:rPr>
            <w:rStyle w:val="Hyperlink1"/>
          </w:rPr>
          <w:t xml:space="preserve"> može li se fleksibilnošću potražnje kompenzirati povećanje promptnih cijena za kućanstva u Njemačkoj?</w:t>
        </w:r>
      </w:hyperlink>
      <w:r>
        <w:t>; Stute i dr. (Istraživački institut Fraunhofer), veljača 2024.</w:t>
      </w:r>
    </w:p>
  </w:footnote>
  <w:footnote w:id="66">
    <w:p w14:paraId="36AEDC24" w14:textId="77777777" w:rsidR="00E8217E" w:rsidRPr="00B11EDD" w:rsidRDefault="00E8217E" w:rsidP="00E8217E">
      <w:pPr>
        <w:pStyle w:val="FootnoteText"/>
        <w:spacing w:before="0" w:beforeAutospacing="0" w:after="0" w:afterAutospacing="0"/>
      </w:pPr>
      <w:r>
        <w:rPr>
          <w:rStyle w:val="FootnoteReference"/>
          <w:rFonts w:eastAsia="Yu Gothic Light"/>
        </w:rPr>
        <w:footnoteRef/>
      </w:r>
      <w:r>
        <w:t xml:space="preserve"> </w:t>
      </w:r>
      <w:hyperlink r:id="rId73" w:history="1">
        <w:r>
          <w:rPr>
            <w:rStyle w:val="Hyperlink1"/>
          </w:rPr>
          <w:t>Energetska učinkovitost 2.0 – Izgradnja budućeg energetskog sustava</w:t>
        </w:r>
      </w:hyperlink>
      <w:r>
        <w:t>; Danfoss Impact br. 4, 2023.</w:t>
      </w:r>
    </w:p>
  </w:footnote>
  <w:footnote w:id="67">
    <w:p w14:paraId="6D402E10" w14:textId="77777777" w:rsidR="00E8217E" w:rsidRPr="003C7131" w:rsidRDefault="00E8217E" w:rsidP="00E8217E">
      <w:pPr>
        <w:pStyle w:val="FootnoteText"/>
        <w:spacing w:before="0" w:beforeAutospacing="0" w:after="0" w:afterAutospacing="0"/>
      </w:pPr>
      <w:r>
        <w:rPr>
          <w:rStyle w:val="FootnoteReference"/>
          <w:rFonts w:eastAsia="Yu Gothic Light"/>
        </w:rPr>
        <w:footnoteRef/>
      </w:r>
      <w:r>
        <w:t xml:space="preserve"> </w:t>
      </w:r>
      <w:hyperlink r:id="rId74" w:history="1">
        <w:r>
          <w:rPr>
            <w:rStyle w:val="Hyperlink1"/>
          </w:rPr>
          <w:t>Fleksibilnost potražnje:</w:t>
        </w:r>
      </w:hyperlink>
      <w:hyperlink r:id="rId75" w:history="1">
        <w:r>
          <w:rPr>
            <w:rStyle w:val="Hyperlink1"/>
          </w:rPr>
          <w:t xml:space="preserve"> kvantifikacija koristi u EU-u</w:t>
        </w:r>
      </w:hyperlink>
      <w:r>
        <w:t>; DNV za smartEn, rujan 2022.</w:t>
      </w:r>
    </w:p>
  </w:footnote>
  <w:footnote w:id="68">
    <w:p w14:paraId="5234059C" w14:textId="058A7CDA" w:rsidR="00E8217E" w:rsidRPr="003B044E" w:rsidRDefault="00E8217E" w:rsidP="00E8217E">
      <w:pPr>
        <w:pStyle w:val="FootnoteText"/>
        <w:spacing w:before="0" w:beforeAutospacing="0" w:after="0" w:afterAutospacing="0"/>
      </w:pPr>
      <w:r>
        <w:rPr>
          <w:rStyle w:val="FootnoteReference"/>
          <w:rFonts w:eastAsia="Yu Gothic Light"/>
        </w:rPr>
        <w:footnoteRef/>
      </w:r>
      <w:r>
        <w:t xml:space="preserve"> </w:t>
      </w:r>
      <w:hyperlink r:id="rId76" w:history="1">
        <w:r>
          <w:rPr>
            <w:rStyle w:val="Hyperlink1"/>
          </w:rPr>
          <w:t>Dekarbonizacija za konkurentnost:</w:t>
        </w:r>
      </w:hyperlink>
      <w:r w:rsidR="009B66B4">
        <w:rPr>
          <w:rStyle w:val="Hyperlink1"/>
        </w:rPr>
        <w:t xml:space="preserve"> </w:t>
      </w:r>
      <w:hyperlink r:id="rId77" w:history="1">
        <w:r>
          <w:rPr>
            <w:rStyle w:val="Hyperlink1"/>
          </w:rPr>
          <w:t>četiri načina za smanjenje europskih cijena energije</w:t>
        </w:r>
      </w:hyperlink>
      <w:r>
        <w:t>; Bruegel, prosinac 2024.</w:t>
      </w:r>
      <w:r>
        <w:br/>
        <w:t>Treba napomenuti da SAD računa na znatnu domaću proizvodnju prirodnog plina te je stoga očekivano da ima djelomično niže veleprodajne cijene plina od EU-a.</w:t>
      </w:r>
    </w:p>
  </w:footnote>
  <w:footnote w:id="69">
    <w:p w14:paraId="30C81DCB"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Uključujući parametre kojima se uređuje primjena takozvanog izuzeća za pomoćne aktivnosti, pravila o sustavima za prekid trgovanja i ograničenjima pozicija, zahtjeve koji se primjenjuju na mjesta trgovanja i sudionike na tržištu, kao i određene aspekte funkcioniranja promptnih tržišta (npr. primjenu zahtjeva sličnih onima iz financijskih pravila za promptne burze energije).</w:t>
      </w:r>
    </w:p>
  </w:footnote>
  <w:footnote w:id="70">
    <w:p w14:paraId="082BD2B6" w14:textId="77777777" w:rsidR="00E8217E" w:rsidRPr="00F3011C" w:rsidRDefault="00E8217E" w:rsidP="00E8217E">
      <w:pPr>
        <w:pStyle w:val="FootnoteText"/>
        <w:spacing w:before="0" w:beforeAutospacing="0" w:after="0" w:afterAutospacing="0"/>
      </w:pPr>
      <w:r>
        <w:rPr>
          <w:rStyle w:val="FootnoteReference"/>
          <w:rFonts w:eastAsia="Yu Gothic Light"/>
        </w:rPr>
        <w:footnoteRef/>
      </w:r>
      <w:r>
        <w:t xml:space="preserve"> </w:t>
      </w:r>
      <w:hyperlink r:id="rId78" w:history="1">
        <w:r>
          <w:rPr>
            <w:rStyle w:val="Hyperlink1"/>
          </w:rPr>
          <w:t>Nakon kratkotrajnih poteškoća, liberalizacija tržišta plina u EU-u donijela je dugoročne financijske uštede</w:t>
        </w:r>
      </w:hyperlink>
      <w:r>
        <w:t xml:space="preserve">; IEA, 2021. </w:t>
      </w:r>
    </w:p>
  </w:footnote>
  <w:footnote w:id="71">
    <w:p w14:paraId="143F3B0E" w14:textId="77777777" w:rsidR="00E8217E" w:rsidRPr="0047707F" w:rsidRDefault="00E8217E" w:rsidP="00E8217E">
      <w:pPr>
        <w:pStyle w:val="FootnoteText"/>
        <w:spacing w:before="0" w:beforeAutospacing="0" w:after="0" w:afterAutospacing="0"/>
      </w:pPr>
      <w:r>
        <w:rPr>
          <w:rStyle w:val="FootnoteReference"/>
          <w:rFonts w:eastAsia="Yu Gothic Light"/>
        </w:rPr>
        <w:footnoteRef/>
      </w:r>
      <w:r>
        <w:t xml:space="preserve"> </w:t>
      </w:r>
      <w:hyperlink r:id="rId79" w:history="1">
        <w:r>
          <w:rPr>
            <w:rStyle w:val="Hyperlink1"/>
          </w:rPr>
          <w:t>Europska tržišta prirodnog plina:</w:t>
        </w:r>
      </w:hyperlink>
      <w:hyperlink r:id="rId80" w:history="1">
        <w:r>
          <w:rPr>
            <w:rStyle w:val="Hyperlink1"/>
          </w:rPr>
          <w:t xml:space="preserve"> procjena stanja i perspektive</w:t>
        </w:r>
      </w:hyperlink>
      <w:r>
        <w:t>; Chyong, ožujak 2019.</w:t>
      </w:r>
    </w:p>
  </w:footnote>
  <w:footnote w:id="72">
    <w:p w14:paraId="58C93EA2" w14:textId="77777777" w:rsidR="00E8217E" w:rsidRPr="00427B8C" w:rsidRDefault="00E8217E" w:rsidP="00E8217E">
      <w:pPr>
        <w:pStyle w:val="FootnoteText"/>
        <w:spacing w:before="0" w:beforeAutospacing="0" w:after="0" w:afterAutospacing="0"/>
      </w:pPr>
      <w:r>
        <w:rPr>
          <w:rStyle w:val="FootnoteReference"/>
          <w:rFonts w:eastAsia="Yu Gothic Light"/>
        </w:rPr>
        <w:footnoteRef/>
      </w:r>
      <w:r>
        <w:t xml:space="preserve"> Financijska sredstva EU-a za mjere energetske učinkovitosti u području stanovanja, poduzeća i javne infrastrukture u okviru Europskog fonda za regionalni razvoj (EFRR) i kohezijske politike (dodijeljena sredstva u okviru trenutačnog VFO-a) iznosila su 4,9 milijardi eura za pametne energetske sustave, 8,9 milijardi eura za energiju iz obnovljivih izvora i 21,8 milijardi eura za energiju.</w:t>
      </w:r>
    </w:p>
  </w:footnote>
  <w:footnote w:id="73">
    <w:p w14:paraId="3B74AFAF" w14:textId="77777777" w:rsidR="00E8217E" w:rsidRPr="00C41370" w:rsidRDefault="00E8217E" w:rsidP="00E8217E">
      <w:pPr>
        <w:pStyle w:val="FootnoteText"/>
        <w:spacing w:before="0" w:beforeAutospacing="0" w:after="0" w:afterAutospacing="0"/>
      </w:pPr>
      <w:r>
        <w:rPr>
          <w:rStyle w:val="FootnoteReference"/>
          <w:rFonts w:eastAsia="Yu Gothic Light"/>
        </w:rPr>
        <w:footnoteRef/>
      </w:r>
      <w:r>
        <w:t xml:space="preserve"> Poduzeće za energetske usluge (ESCO) organizacija je koja nudi energetske usluge, uključujući provedbu projekata energetske učinkovitosti ili projekata u području energije iz obnovljivih izvora, često prema načelu „ključ u ruke”.</w:t>
      </w:r>
    </w:p>
  </w:footnote>
  <w:footnote w:id="74">
    <w:p w14:paraId="06849675" w14:textId="77777777" w:rsidR="00E8217E" w:rsidRPr="00C41370" w:rsidRDefault="00E8217E" w:rsidP="00E8217E">
      <w:pPr>
        <w:pStyle w:val="FootnoteText"/>
        <w:spacing w:before="0" w:beforeAutospacing="0" w:after="0" w:afterAutospacing="0"/>
        <w:jc w:val="left"/>
        <w:rPr>
          <w:b/>
          <w:bCs/>
        </w:rPr>
      </w:pPr>
      <w:r>
        <w:rPr>
          <w:rStyle w:val="FootnoteReference"/>
          <w:rFonts w:eastAsia="Yu Gothic Light"/>
        </w:rPr>
        <w:footnoteRef/>
      </w:r>
      <w:r>
        <w:t xml:space="preserve"> </w:t>
      </w:r>
      <w:hyperlink r:id="rId81" w:history="1">
        <w:r>
          <w:rPr>
            <w:rStyle w:val="Hyperlink1"/>
          </w:rPr>
          <w:t>Ugovori o energetskom učinku u EU-u 2020. – 2021.</w:t>
        </w:r>
      </w:hyperlink>
      <w:r>
        <w:t>; JRC, 2021.</w:t>
      </w:r>
      <w:r>
        <w:rPr>
          <w:b/>
        </w:rPr>
        <w:t xml:space="preserve"> </w:t>
      </w:r>
    </w:p>
  </w:footnote>
  <w:footnote w:id="75">
    <w:p w14:paraId="278CBDBA" w14:textId="77777777" w:rsidR="00E8217E" w:rsidRPr="00C41370" w:rsidRDefault="00E8217E" w:rsidP="00E8217E">
      <w:pPr>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82">
        <w:r>
          <w:rPr>
            <w:rStyle w:val="Hyperlink1"/>
            <w:rFonts w:ascii="Times New Roman" w:hAnsi="Times New Roman"/>
            <w:sz w:val="20"/>
          </w:rPr>
          <w:t>https://eprel.ec.europa.eu/screen/home</w:t>
        </w:r>
      </w:hyperlink>
      <w:r>
        <w:rPr>
          <w:rFonts w:ascii="Times New Roman" w:hAnsi="Times New Roman"/>
          <w:sz w:val="20"/>
        </w:rPr>
        <w:t xml:space="preserve">; </w:t>
      </w:r>
      <w:hyperlink r:id="rId83" w:history="1">
        <w:r>
          <w:rPr>
            <w:rStyle w:val="Hyperlink1"/>
            <w:rFonts w:ascii="Times New Roman" w:hAnsi="Times New Roman"/>
            <w:sz w:val="20"/>
          </w:rPr>
          <w:t>https://webgate.ec.europa.eu/single-market-compliance-space/market-surveillance</w:t>
        </w:r>
      </w:hyperlink>
    </w:p>
  </w:footnote>
  <w:footnote w:id="76">
    <w:p w14:paraId="5D575D63" w14:textId="77777777" w:rsidR="00E8217E" w:rsidRPr="00FD2A28" w:rsidRDefault="00E8217E" w:rsidP="00E8217E">
      <w:pPr>
        <w:pStyle w:val="FootnoteText"/>
        <w:spacing w:before="0" w:beforeAutospacing="0" w:after="0" w:afterAutospacing="0"/>
      </w:pPr>
      <w:r>
        <w:rPr>
          <w:rStyle w:val="FootnoteReference"/>
          <w:rFonts w:eastAsia="Yu Gothic Light"/>
        </w:rPr>
        <w:footnoteRef/>
      </w:r>
      <w:r>
        <w:t xml:space="preserve"> Izvješće o učinku ekološkog dizajna 2024., </w:t>
      </w:r>
      <w:hyperlink r:id="rId84" w:history="1">
        <w:r>
          <w:rPr>
            <w:rStyle w:val="Hyperlink1"/>
          </w:rPr>
          <w:t>https://circabc.europa.eu/ui/group/418195ae-4919-45fa-a959-3b695c9aab28/library/b29b3be3-8085-4e2f-8095-74ad98d9166c/details</w:t>
        </w:r>
      </w:hyperlink>
      <w:r>
        <w:t>, tablica 2. i slika 2.</w:t>
      </w:r>
    </w:p>
  </w:footnote>
  <w:footnote w:id="77">
    <w:p w14:paraId="7BA6907A" w14:textId="77777777" w:rsidR="00E8217E" w:rsidRPr="009A49BF" w:rsidRDefault="00E8217E" w:rsidP="00E8217E">
      <w:pPr>
        <w:pStyle w:val="FootnoteText"/>
        <w:spacing w:before="0" w:beforeAutospacing="0" w:after="0" w:afterAutospacing="0"/>
      </w:pPr>
      <w:r>
        <w:rPr>
          <w:rStyle w:val="FootnoteReference"/>
          <w:rFonts w:eastAsia="Yu Gothic Light"/>
        </w:rPr>
        <w:footnoteRef/>
      </w:r>
      <w:r>
        <w:t xml:space="preserve"> </w:t>
      </w:r>
      <w:hyperlink r:id="rId85" w:history="1">
        <w:r>
          <w:rPr>
            <w:rStyle w:val="Hyperlink1"/>
          </w:rPr>
          <w:t>Komunikacija Komisije: Plan rada za ekološki dizajn i označivanje energetske učinkovitosti u razdoblju 2022.–2024.</w:t>
        </w:r>
      </w:hyperlink>
      <w:r>
        <w:t xml:space="preserve"> (2022/C 182/01)</w:t>
      </w:r>
    </w:p>
  </w:footnote>
  <w:footnote w:id="78">
    <w:p w14:paraId="40019FA4" w14:textId="77777777" w:rsidR="00E8217E" w:rsidRPr="00211033" w:rsidRDefault="00E8217E" w:rsidP="00E8217E">
      <w:pPr>
        <w:pStyle w:val="FootnoteText"/>
        <w:spacing w:before="0" w:beforeAutospacing="0" w:after="0" w:afterAutospacing="0"/>
      </w:pPr>
      <w:r>
        <w:rPr>
          <w:rStyle w:val="FootnoteReference"/>
          <w:rFonts w:eastAsia="Yu Gothic Light"/>
        </w:rPr>
        <w:footnoteRef/>
      </w:r>
      <w:r>
        <w:t xml:space="preserve"> Digitalna infrastruktura troši oko 3,5 % električne energije u EU-u, pri čemu podatkovni centri troše oko 70 % od toga. </w:t>
      </w:r>
      <w:hyperlink r:id="rId86" w:history="1">
        <w:r>
          <w:rPr>
            <w:rStyle w:val="Hyperlink1"/>
          </w:rPr>
          <w:t>Potrošnja energije u podatkovnim centrima i širokopojasnim komunikacijskim mrežama u EU-u</w:t>
        </w:r>
      </w:hyperlink>
      <w:r>
        <w:t>; JRC, 2024.</w:t>
      </w:r>
    </w:p>
  </w:footnote>
  <w:footnote w:id="79">
    <w:p w14:paraId="19563238" w14:textId="77777777" w:rsidR="00E8217E" w:rsidRPr="00A14C29" w:rsidRDefault="00E8217E" w:rsidP="00E8217E">
      <w:pPr>
        <w:pStyle w:val="FootnoteText"/>
        <w:spacing w:before="0" w:beforeAutospacing="0" w:after="0" w:afterAutospacing="0"/>
      </w:pPr>
      <w:r>
        <w:rPr>
          <w:rStyle w:val="FootnoteReference"/>
          <w:rFonts w:eastAsia="Yu Gothic Light"/>
        </w:rPr>
        <w:footnoteRef/>
      </w:r>
      <w:r>
        <w:t xml:space="preserve"> </w:t>
      </w:r>
      <w:hyperlink r:id="rId87" w:history="1">
        <w:r>
          <w:rPr>
            <w:rStyle w:val="Hyperlink1"/>
          </w:rPr>
          <w:t>Zašto će europski podatkovni centri znatno rasti</w:t>
        </w:r>
      </w:hyperlink>
      <w:r>
        <w:t>; Morgan Stanley &amp; Co., srpanj 2024.</w:t>
      </w:r>
    </w:p>
  </w:footnote>
  <w:footnote w:id="80">
    <w:p w14:paraId="1AD14771" w14:textId="77777777" w:rsidR="00E8217E" w:rsidRPr="005744AF" w:rsidRDefault="00E8217E" w:rsidP="00E8217E">
      <w:pPr>
        <w:pStyle w:val="FootnoteText"/>
        <w:spacing w:before="0" w:beforeAutospacing="0" w:after="0" w:afterAutospacing="0"/>
      </w:pPr>
      <w:r>
        <w:rPr>
          <w:rStyle w:val="FootnoteReference"/>
          <w:rFonts w:eastAsia="Yu Gothic Light"/>
        </w:rPr>
        <w:footnoteRef/>
      </w:r>
      <w:r>
        <w:t xml:space="preserve"> </w:t>
      </w:r>
      <w:hyperlink r:id="rId88" w:history="1">
        <w:r>
          <w:rPr>
            <w:rStyle w:val="Hyperlink1"/>
          </w:rPr>
          <w:t>Zaključci Europskog vijeća od 23. ožujka 2023.</w:t>
        </w:r>
      </w:hyperlink>
      <w:r>
        <w:t xml:space="preserve"> (</w:t>
      </w:r>
      <w:r>
        <w:rPr>
          <w:i/>
        </w:rPr>
        <w:t>EUCO 4/23</w:t>
      </w:r>
      <w:r>
        <w:t xml:space="preserve">) </w:t>
      </w:r>
    </w:p>
  </w:footnote>
  <w:footnote w:id="81">
    <w:p w14:paraId="69AE7D42" w14:textId="77777777" w:rsidR="00E8217E" w:rsidRPr="0028675F" w:rsidRDefault="00E8217E" w:rsidP="00E8217E">
      <w:pPr>
        <w:pStyle w:val="FootnoteText"/>
        <w:spacing w:before="0" w:beforeAutospacing="0" w:after="0" w:afterAutospacing="0"/>
      </w:pPr>
      <w:r>
        <w:rPr>
          <w:rStyle w:val="FootnoteReference"/>
          <w:rFonts w:eastAsia="Yu Gothic Light"/>
        </w:rPr>
        <w:footnoteRef/>
      </w:r>
      <w:r>
        <w:t xml:space="preserve"> Komunikacija Komisije o </w:t>
      </w:r>
      <w:hyperlink r:id="rId89" w:history="1">
        <w:r>
          <w:rPr>
            <w:rStyle w:val="Hyperlink1"/>
          </w:rPr>
          <w:t xml:space="preserve">reviziji Strateškog plana za energetsku tehnologiju </w:t>
        </w:r>
      </w:hyperlink>
      <w:r>
        <w:t>(</w:t>
      </w:r>
      <w:r>
        <w:rPr>
          <w:i/>
        </w:rPr>
        <w:t>COM(2023) 634 final</w:t>
      </w:r>
      <w:r>
        <w:t>)</w:t>
      </w:r>
    </w:p>
  </w:footnote>
  <w:footnote w:id="82">
    <w:p w14:paraId="66084A8E" w14:textId="77777777" w:rsidR="00E8217E" w:rsidRPr="00174B88" w:rsidRDefault="00E8217E" w:rsidP="00E8217E">
      <w:pPr>
        <w:pStyle w:val="FootnoteText"/>
        <w:spacing w:before="0" w:beforeAutospacing="0" w:after="0" w:afterAutospacing="0"/>
      </w:pPr>
      <w:r>
        <w:rPr>
          <w:rStyle w:val="FootnoteReference"/>
          <w:rFonts w:eastAsia="Yu Gothic Light"/>
        </w:rPr>
        <w:footnoteRef/>
      </w:r>
      <w:r>
        <w:t xml:space="preserve"> </w:t>
      </w:r>
      <w:hyperlink r:id="rId90" w:history="1">
        <w:r>
          <w:rPr>
            <w:rStyle w:val="Hyperlink1"/>
          </w:rPr>
          <w:t>Uredba (EU) 2024/1735 o industriji s nultom neto stopom emisija</w:t>
        </w:r>
      </w:hyperlink>
    </w:p>
  </w:footnote>
  <w:footnote w:id="83">
    <w:p w14:paraId="672113E8" w14:textId="77777777" w:rsidR="00E8217E" w:rsidRPr="002F6574" w:rsidRDefault="00E8217E" w:rsidP="00E8217E">
      <w:pPr>
        <w:pStyle w:val="FootnoteText"/>
        <w:spacing w:before="0" w:beforeAutospacing="0" w:after="0" w:afterAutospacing="0"/>
      </w:pPr>
      <w:r>
        <w:rPr>
          <w:vertAlign w:val="superscript"/>
        </w:rPr>
        <w:footnoteRef/>
      </w:r>
      <w:r>
        <w:t xml:space="preserve"> </w:t>
      </w:r>
      <w:hyperlink r:id="rId91">
        <w:r>
          <w:rPr>
            <w:rStyle w:val="Hyperlink1"/>
          </w:rPr>
          <w:t>https://ec.europa.eu/economy_finance/recovery-and-resilience-scoreboard/green.html</w:t>
        </w:r>
      </w:hyperlink>
      <w:r>
        <w:t xml:space="preserve"> </w:t>
      </w:r>
    </w:p>
  </w:footnote>
  <w:footnote w:id="84">
    <w:p w14:paraId="7B05A1D1" w14:textId="77777777" w:rsidR="00E8217E" w:rsidRDefault="00E8217E" w:rsidP="00E8217E">
      <w:pPr>
        <w:pStyle w:val="FootnoteText"/>
        <w:spacing w:before="0" w:beforeAutospacing="0" w:after="0" w:afterAutospacing="0"/>
      </w:pPr>
      <w:r>
        <w:rPr>
          <w:vertAlign w:val="superscript"/>
        </w:rPr>
        <w:footnoteRef/>
      </w:r>
      <w:r>
        <w:rPr>
          <w:vertAlign w:val="superscript"/>
        </w:rPr>
        <w:t xml:space="preserve">  </w:t>
      </w:r>
      <w:hyperlink r:id="rId92" w:history="1">
        <w:r>
          <w:rPr>
            <w:rStyle w:val="Hyperlink1"/>
          </w:rPr>
          <w:t>Uredba (EU) 2018/1999 o upravljanju energetskom unijom i djelovanjem u području klime</w:t>
        </w:r>
      </w:hyperlink>
    </w:p>
  </w:footnote>
  <w:footnote w:id="85">
    <w:p w14:paraId="221DB667" w14:textId="77777777" w:rsidR="00E8217E" w:rsidRPr="009E6238" w:rsidRDefault="00E8217E" w:rsidP="00E8217E">
      <w:pPr>
        <w:pStyle w:val="FootnoteText"/>
        <w:spacing w:before="0" w:beforeAutospacing="0" w:after="0" w:afterAutospacing="0"/>
      </w:pPr>
      <w:r>
        <w:rPr>
          <w:rStyle w:val="FootnoteReference"/>
          <w:rFonts w:eastAsia="Yu Gothic Light"/>
        </w:rPr>
        <w:footnoteRef/>
      </w:r>
      <w:r>
        <w:t xml:space="preserve"> Na primjer, </w:t>
      </w:r>
      <w:hyperlink r:id="rId93" w:history="1">
        <w:r>
          <w:rPr>
            <w:rStyle w:val="Hyperlink1"/>
          </w:rPr>
          <w:t>Izvješće o stanju energetske unije za 2024.</w:t>
        </w:r>
      </w:hyperlink>
      <w:r>
        <w:t xml:space="preserve"> (</w:t>
      </w:r>
      <w:r>
        <w:rPr>
          <w:i/>
        </w:rPr>
        <w:t>COM(2024) 404 final</w:t>
      </w:r>
      <w:r>
        <w:t>)</w:t>
      </w:r>
    </w:p>
  </w:footnote>
  <w:footnote w:id="86">
    <w:p w14:paraId="68EB6169" w14:textId="77777777" w:rsidR="00E8217E" w:rsidRPr="00AB40BB" w:rsidRDefault="00E8217E" w:rsidP="00E8217E">
      <w:pPr>
        <w:pStyle w:val="FootnoteText"/>
        <w:spacing w:before="0" w:beforeAutospacing="0" w:after="0" w:afterAutospacing="0"/>
      </w:pPr>
      <w:r>
        <w:rPr>
          <w:rStyle w:val="FootnoteReference"/>
          <w:rFonts w:eastAsia="Yu Gothic Light"/>
        </w:rPr>
        <w:footnoteRef/>
      </w:r>
      <w:r>
        <w:t xml:space="preserve"> </w:t>
      </w:r>
      <w:hyperlink r:id="rId94" w:history="1">
        <w:r>
          <w:rPr>
            <w:rStyle w:val="Hyperlink1"/>
          </w:rPr>
          <w:t>Cijene i troškovi energije u Europi – Europska komisija</w:t>
        </w:r>
      </w:hyperlink>
    </w:p>
  </w:footnote>
  <w:footnote w:id="87">
    <w:p w14:paraId="2904EABD" w14:textId="77777777" w:rsidR="00E8217E" w:rsidRPr="002F6574" w:rsidRDefault="00E8217E" w:rsidP="00E8217E">
      <w:pPr>
        <w:pStyle w:val="FootnoteText"/>
        <w:spacing w:before="0" w:beforeAutospacing="0" w:after="0" w:afterAutospacing="0"/>
        <w:rPr>
          <w:rStyle w:val="Hyperlink1"/>
        </w:rPr>
      </w:pPr>
      <w:r>
        <w:rPr>
          <w:rStyle w:val="FootnoteReference"/>
          <w:rFonts w:eastAsia="Yu Gothic Light"/>
        </w:rPr>
        <w:footnoteRef/>
      </w:r>
      <w:hyperlink r:id="rId95" w:history="1">
        <w:r>
          <w:rPr>
            <w:rStyle w:val="Hyperlink1"/>
          </w:rPr>
          <w:t>Upravljanje redispečiranjem i zagušenjem</w:t>
        </w:r>
      </w:hyperlink>
      <w:r>
        <w:t>; Zajednički istraživački centar, svibanj 2024.</w:t>
      </w:r>
    </w:p>
  </w:footnote>
  <w:footnote w:id="88">
    <w:p w14:paraId="3CAE1639" w14:textId="77777777" w:rsidR="00E8217E" w:rsidRPr="002F6574" w:rsidRDefault="00E8217E" w:rsidP="00E8217E">
      <w:pPr>
        <w:pStyle w:val="FootnoteText"/>
        <w:spacing w:before="0" w:beforeAutospacing="0" w:after="0" w:afterAutospacing="0"/>
        <w:rPr>
          <w:rStyle w:val="Hyperlink1"/>
        </w:rPr>
      </w:pPr>
      <w:r>
        <w:rPr>
          <w:rStyle w:val="Hyperlink1"/>
          <w:color w:val="000000"/>
          <w:vertAlign w:val="superscript"/>
        </w:rPr>
        <w:footnoteRef/>
      </w:r>
      <w:r>
        <w:rPr>
          <w:rStyle w:val="Hyperlink1"/>
          <w:color w:val="000000"/>
          <w:vertAlign w:val="superscript"/>
        </w:rPr>
        <w:t xml:space="preserve"> </w:t>
      </w:r>
      <w:r>
        <w:t>Od 2024. električna energija čini oko 23 % potrošnje konačne energije u Europskoj uniji. 32 – 33 % do 2030. temelji se na modeliranju energetskog sustava s pomoću PRIMES-a i POTEnCIA-e. Potrošnja konačne energije upotrijebljena za izračun raspona odgovara Eurostatovim definicijama (</w:t>
      </w:r>
      <w:r>
        <w:rPr>
          <w:i/>
        </w:rPr>
        <w:t>nrg_ind_fecf</w:t>
      </w:r>
      <w:r>
        <w:t>), tj. uključuje industriju, promet, kućanstva, usluge, poljoprivredu i okolnu toplinu iz dizalica topline, a ne uključuje punjenje goriva u međunarodnom zračnom i pomorskom prometu.</w:t>
      </w:r>
    </w:p>
  </w:footnote>
  <w:footnote w:id="89">
    <w:p w14:paraId="7D976012" w14:textId="77777777" w:rsidR="00E8217E" w:rsidRPr="002F6574" w:rsidRDefault="00E8217E" w:rsidP="00E8217E">
      <w:pPr>
        <w:pStyle w:val="FootnoteText"/>
        <w:spacing w:before="0" w:beforeAutospacing="0" w:after="0" w:afterAutospacing="0"/>
        <w:rPr>
          <w:rStyle w:val="Hyperlink1"/>
        </w:rPr>
      </w:pPr>
      <w:r>
        <w:rPr>
          <w:rStyle w:val="Hyperlink1"/>
          <w:color w:val="000000"/>
          <w:vertAlign w:val="superscript"/>
        </w:rPr>
        <w:footnoteRef/>
      </w:r>
      <w:r>
        <w:rPr>
          <w:rStyle w:val="Hyperlink1"/>
          <w:color w:val="000000"/>
        </w:rPr>
        <w:t xml:space="preserve"> </w:t>
      </w:r>
      <w:hyperlink r:id="rId96" w:history="1">
        <w:r>
          <w:rPr>
            <w:rStyle w:val="Hyperlink1"/>
          </w:rPr>
          <w:t>Misija solarna energija 2040.:</w:t>
        </w:r>
      </w:hyperlink>
      <w:hyperlink r:id="rId97" w:history="1">
        <w:r>
          <w:rPr>
            <w:rStyle w:val="Hyperlink1"/>
          </w:rPr>
          <w:t xml:space="preserve"> Revolucija fleksibilnosti Europe</w:t>
        </w:r>
      </w:hyperlink>
      <w:r>
        <w:t>; SolarPower Europe, lipanj 2024.</w:t>
      </w:r>
    </w:p>
  </w:footnote>
  <w:footnote w:id="90">
    <w:p w14:paraId="334D8ACD" w14:textId="77777777" w:rsidR="00E8217E" w:rsidRPr="00577155" w:rsidRDefault="00E8217E" w:rsidP="00E8217E">
      <w:pPr>
        <w:pStyle w:val="FootnoteText"/>
        <w:spacing w:before="0" w:beforeAutospacing="0" w:after="0" w:afterAutospacing="0"/>
      </w:pPr>
      <w:r>
        <w:rPr>
          <w:rStyle w:val="FootnoteReference"/>
          <w:rFonts w:eastAsia="Yu Gothic Light"/>
        </w:rPr>
        <w:footnoteRef/>
      </w:r>
      <w:r>
        <w:t xml:space="preserve"> </w:t>
      </w:r>
      <w:hyperlink r:id="rId98" w:history="1">
        <w:r>
          <w:rPr>
            <w:rStyle w:val="Hyperlink1"/>
          </w:rPr>
          <w:t>Potencijal potpune integracije sustava za električnu energiju električnih vozila u Europi</w:t>
        </w:r>
      </w:hyperlink>
      <w:r>
        <w:t>; Testiranje i evaluacija koje je proveo Fraunhofer ISE &amp; ISI, listopad 2024.</w:t>
      </w:r>
    </w:p>
  </w:footnote>
  <w:footnote w:id="91">
    <w:p w14:paraId="40D2A27B" w14:textId="77777777" w:rsidR="00E8217E" w:rsidRPr="00BF5676" w:rsidRDefault="00E8217E" w:rsidP="00E8217E">
      <w:pPr>
        <w:pStyle w:val="FootnoteText"/>
        <w:spacing w:before="0" w:beforeAutospacing="0" w:after="0" w:afterAutospacing="0"/>
      </w:pPr>
      <w:r>
        <w:rPr>
          <w:rStyle w:val="FootnoteReference"/>
          <w:rFonts w:eastAsia="Yu Gothic Light"/>
        </w:rPr>
        <w:footnoteRef/>
      </w:r>
      <w:r>
        <w:t xml:space="preserve"> </w:t>
      </w:r>
      <w:hyperlink r:id="rId99" w:history="1">
        <w:r>
          <w:rPr>
            <w:rStyle w:val="Hyperlink1"/>
          </w:rPr>
          <w:t>Posljedice digitalizacije na budući model tržišta električne energije</w:t>
        </w:r>
      </w:hyperlink>
      <w:r>
        <w:t>; Oxfordski institut za energetske studije, travanj 2023.</w:t>
      </w:r>
    </w:p>
  </w:footnote>
  <w:footnote w:id="92">
    <w:p w14:paraId="6BB01183" w14:textId="77777777" w:rsidR="00E8217E" w:rsidRPr="0091748A" w:rsidRDefault="00E8217E" w:rsidP="00E8217E">
      <w:pPr>
        <w:pStyle w:val="FootnoteText"/>
        <w:spacing w:before="0" w:beforeAutospacing="0" w:after="0" w:afterAutospacing="0"/>
      </w:pPr>
      <w:r>
        <w:rPr>
          <w:rStyle w:val="FootnoteReference"/>
          <w:rFonts w:eastAsia="Yu Gothic Light"/>
        </w:rPr>
        <w:footnoteRef/>
      </w:r>
      <w:r>
        <w:t xml:space="preserve"> </w:t>
      </w:r>
      <w:hyperlink r:id="rId100" w:history="1">
        <w:r>
          <w:rPr>
            <w:rStyle w:val="Hyperlink1"/>
          </w:rPr>
          <w:t>Izrada strateške analize i razvojnog plana za digitalnu transformaciju u energetskoj industriji</w:t>
        </w:r>
      </w:hyperlink>
      <w:r>
        <w:t>; Liu &amp; Lu, 2021.</w:t>
      </w:r>
    </w:p>
  </w:footnote>
  <w:footnote w:id="93">
    <w:p w14:paraId="5C9CBDB5"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w:t>
      </w:r>
      <w:hyperlink r:id="rId101" w:history="1">
        <w:r>
          <w:rPr>
            <w:rStyle w:val="Hyperlink1"/>
          </w:rPr>
          <w:t>Europska povelja o energiji vjetra</w:t>
        </w:r>
      </w:hyperlink>
    </w:p>
  </w:footnote>
  <w:footnote w:id="94">
    <w:p w14:paraId="0426B0FC" w14:textId="77777777" w:rsidR="00E8217E" w:rsidRPr="00880695" w:rsidRDefault="00E8217E" w:rsidP="00E8217E">
      <w:pPr>
        <w:pStyle w:val="FootnoteText"/>
        <w:spacing w:before="0" w:beforeAutospacing="0" w:after="0" w:afterAutospacing="0"/>
      </w:pPr>
      <w:r>
        <w:rPr>
          <w:rStyle w:val="FootnoteReference"/>
          <w:rFonts w:eastAsia="Yu Gothic Light"/>
        </w:rPr>
        <w:footnoteRef/>
      </w:r>
      <w:r>
        <w:t xml:space="preserve"> </w:t>
      </w:r>
      <w:hyperlink r:id="rId102" w:history="1">
        <w:r>
          <w:rPr>
            <w:rStyle w:val="Hyperlink1"/>
          </w:rPr>
          <w:t>Europska povelja o solarnoj energiji</w:t>
        </w:r>
      </w:hyperlink>
    </w:p>
  </w:footnote>
  <w:footnote w:id="95">
    <w:p w14:paraId="5B605A0F"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Rashodi vlada EU-a za energiju čine samo 1,1 % rashoda u našem BDP-u </w:t>
      </w:r>
    </w:p>
    <w:p w14:paraId="1A6BD93A" w14:textId="77777777" w:rsidR="00E8217E" w:rsidRPr="004D5A16" w:rsidRDefault="00E8217E" w:rsidP="00E8217E">
      <w:pPr>
        <w:pStyle w:val="FootnoteText"/>
        <w:spacing w:before="0" w:beforeAutospacing="0" w:after="0" w:afterAutospacing="0"/>
      </w:pPr>
      <w:r>
        <w:t>(</w:t>
      </w:r>
      <w:hyperlink r:id="rId103" w:history="1">
        <w:r>
          <w:rPr>
            <w:rStyle w:val="Hyperlink1"/>
          </w:rPr>
          <w:t>https://ec.europa.eu/eurostat/statistics-explained/index.php?title=Government_expenditure_on_economic_affairs</w:t>
        </w:r>
      </w:hyperlink>
      <w:r>
        <w:t>)</w:t>
      </w:r>
    </w:p>
  </w:footnote>
  <w:footnote w:id="96">
    <w:p w14:paraId="36794F80" w14:textId="77777777" w:rsidR="00E8217E" w:rsidRDefault="00E8217E" w:rsidP="00E8217E">
      <w:pPr>
        <w:pStyle w:val="FootnoteText"/>
        <w:spacing w:before="0" w:beforeAutospacing="0" w:after="0" w:afterAutospacing="0"/>
      </w:pPr>
      <w:r>
        <w:rPr>
          <w:rStyle w:val="FootnoteReference"/>
          <w:rFonts w:eastAsia="Yu Gothic Light"/>
        </w:rPr>
        <w:footnoteRef/>
      </w:r>
      <w:r>
        <w:t xml:space="preserve"> U razdoblju 2000.–2021. bruto uvoz fosilnih goriva činio je oko 20 % ukupnog uvoza robe, to jest 2,8 % BDP-a EU-a (na temelju podataka Eurostata o trgovini za oznaku KN 27). </w:t>
      </w:r>
      <w:hyperlink r:id="rId104" w:history="1">
        <w:r>
          <w:rPr>
            <w:rStyle w:val="Hyperlink1"/>
          </w:rPr>
          <w:t>Izvješće o procjeni učinka priloženo Komunikaciji Komisije o klimatskom cilju Europe za 2040.</w:t>
        </w:r>
      </w:hyperlink>
      <w:r>
        <w:t xml:space="preserve"> (</w:t>
      </w:r>
      <w:r>
        <w:rPr>
          <w:i/>
        </w:rPr>
        <w:t>SWD(2024) 63 final</w:t>
      </w:r>
      <w:r>
        <w:t>, dio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D6CFB" w14:textId="77777777" w:rsidR="008E5F61" w:rsidRPr="008E5F61" w:rsidRDefault="008E5F61" w:rsidP="008E5F6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7C1E7" w14:textId="77777777" w:rsidR="008E5F61" w:rsidRPr="008E5F61" w:rsidRDefault="008E5F61" w:rsidP="008E5F6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B434" w14:textId="77777777" w:rsidR="008E5F61" w:rsidRPr="008E5F61" w:rsidRDefault="008E5F61" w:rsidP="008E5F6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DA3A" w14:textId="77777777" w:rsidR="000464B5" w:rsidRDefault="000464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CC3A" w14:textId="77777777" w:rsidR="000464B5" w:rsidRDefault="000464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E3C1" w14:textId="77777777" w:rsidR="000464B5" w:rsidRDefault="00046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15D2"/>
    <w:multiLevelType w:val="hybridMultilevel"/>
    <w:tmpl w:val="DF10E966"/>
    <w:lvl w:ilvl="0" w:tplc="6D109B3A">
      <w:start w:val="1"/>
      <w:numFmt w:val="bullet"/>
      <w:lvlText w:val="-"/>
      <w:lvlJc w:val="left"/>
      <w:pPr>
        <w:ind w:left="720" w:hanging="360"/>
      </w:pPr>
      <w:rPr>
        <w:rFonts w:ascii="Aptos" w:hAnsi="Aptos" w:hint="default"/>
      </w:rPr>
    </w:lvl>
    <w:lvl w:ilvl="1" w:tplc="75547860">
      <w:start w:val="1"/>
      <w:numFmt w:val="bullet"/>
      <w:lvlText w:val="o"/>
      <w:lvlJc w:val="left"/>
      <w:pPr>
        <w:ind w:left="1440" w:hanging="360"/>
      </w:pPr>
      <w:rPr>
        <w:rFonts w:ascii="Courier New" w:hAnsi="Courier New" w:hint="default"/>
      </w:rPr>
    </w:lvl>
    <w:lvl w:ilvl="2" w:tplc="96FEF9BA">
      <w:start w:val="1"/>
      <w:numFmt w:val="bullet"/>
      <w:lvlText w:val=""/>
      <w:lvlJc w:val="left"/>
      <w:pPr>
        <w:ind w:left="2160" w:hanging="360"/>
      </w:pPr>
      <w:rPr>
        <w:rFonts w:ascii="Wingdings" w:hAnsi="Wingdings" w:hint="default"/>
      </w:rPr>
    </w:lvl>
    <w:lvl w:ilvl="3" w:tplc="1038806E">
      <w:start w:val="1"/>
      <w:numFmt w:val="bullet"/>
      <w:lvlText w:val=""/>
      <w:lvlJc w:val="left"/>
      <w:pPr>
        <w:ind w:left="2880" w:hanging="360"/>
      </w:pPr>
      <w:rPr>
        <w:rFonts w:ascii="Symbol" w:hAnsi="Symbol" w:hint="default"/>
      </w:rPr>
    </w:lvl>
    <w:lvl w:ilvl="4" w:tplc="84E82BA2">
      <w:start w:val="1"/>
      <w:numFmt w:val="bullet"/>
      <w:lvlText w:val="o"/>
      <w:lvlJc w:val="left"/>
      <w:pPr>
        <w:ind w:left="3600" w:hanging="360"/>
      </w:pPr>
      <w:rPr>
        <w:rFonts w:ascii="Courier New" w:hAnsi="Courier New" w:hint="default"/>
      </w:rPr>
    </w:lvl>
    <w:lvl w:ilvl="5" w:tplc="3B129994">
      <w:start w:val="1"/>
      <w:numFmt w:val="bullet"/>
      <w:lvlText w:val=""/>
      <w:lvlJc w:val="left"/>
      <w:pPr>
        <w:ind w:left="4320" w:hanging="360"/>
      </w:pPr>
      <w:rPr>
        <w:rFonts w:ascii="Wingdings" w:hAnsi="Wingdings" w:hint="default"/>
      </w:rPr>
    </w:lvl>
    <w:lvl w:ilvl="6" w:tplc="3B3C0072">
      <w:start w:val="1"/>
      <w:numFmt w:val="bullet"/>
      <w:lvlText w:val=""/>
      <w:lvlJc w:val="left"/>
      <w:pPr>
        <w:ind w:left="5040" w:hanging="360"/>
      </w:pPr>
      <w:rPr>
        <w:rFonts w:ascii="Symbol" w:hAnsi="Symbol" w:hint="default"/>
      </w:rPr>
    </w:lvl>
    <w:lvl w:ilvl="7" w:tplc="62C6DD96">
      <w:start w:val="1"/>
      <w:numFmt w:val="bullet"/>
      <w:lvlText w:val="o"/>
      <w:lvlJc w:val="left"/>
      <w:pPr>
        <w:ind w:left="5760" w:hanging="360"/>
      </w:pPr>
      <w:rPr>
        <w:rFonts w:ascii="Courier New" w:hAnsi="Courier New" w:hint="default"/>
      </w:rPr>
    </w:lvl>
    <w:lvl w:ilvl="8" w:tplc="46B60B44">
      <w:start w:val="1"/>
      <w:numFmt w:val="bullet"/>
      <w:lvlText w:val=""/>
      <w:lvlJc w:val="left"/>
      <w:pPr>
        <w:ind w:left="6480" w:hanging="360"/>
      </w:pPr>
      <w:rPr>
        <w:rFonts w:ascii="Wingdings" w:hAnsi="Wingdings" w:hint="default"/>
      </w:rPr>
    </w:lvl>
  </w:abstractNum>
  <w:abstractNum w:abstractNumId="1" w15:restartNumberingAfterBreak="0">
    <w:nsid w:val="136954D8"/>
    <w:multiLevelType w:val="hybridMultilevel"/>
    <w:tmpl w:val="FBDE0F22"/>
    <w:lvl w:ilvl="0" w:tplc="C09E0E96">
      <w:start w:val="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0D285C"/>
    <w:multiLevelType w:val="hybridMultilevel"/>
    <w:tmpl w:val="F63E4724"/>
    <w:lvl w:ilvl="0" w:tplc="29AC0584">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D74357"/>
    <w:multiLevelType w:val="hybridMultilevel"/>
    <w:tmpl w:val="69DC944E"/>
    <w:lvl w:ilvl="0" w:tplc="29AC0584">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4E1B5A"/>
    <w:multiLevelType w:val="hybridMultilevel"/>
    <w:tmpl w:val="FFFFFFFF"/>
    <w:lvl w:ilvl="0" w:tplc="FF1C6502">
      <w:start w:val="1"/>
      <w:numFmt w:val="bullet"/>
      <w:lvlText w:val="-"/>
      <w:lvlJc w:val="left"/>
      <w:pPr>
        <w:ind w:left="720" w:hanging="360"/>
      </w:pPr>
      <w:rPr>
        <w:rFonts w:ascii="Aptos" w:hAnsi="Aptos" w:hint="default"/>
      </w:rPr>
    </w:lvl>
    <w:lvl w:ilvl="1" w:tplc="7480C232">
      <w:start w:val="1"/>
      <w:numFmt w:val="bullet"/>
      <w:lvlText w:val="o"/>
      <w:lvlJc w:val="left"/>
      <w:pPr>
        <w:ind w:left="1440" w:hanging="360"/>
      </w:pPr>
      <w:rPr>
        <w:rFonts w:ascii="Courier New" w:hAnsi="Courier New" w:hint="default"/>
      </w:rPr>
    </w:lvl>
    <w:lvl w:ilvl="2" w:tplc="7D20B1CA">
      <w:start w:val="1"/>
      <w:numFmt w:val="bullet"/>
      <w:lvlText w:val=""/>
      <w:lvlJc w:val="left"/>
      <w:pPr>
        <w:ind w:left="2160" w:hanging="360"/>
      </w:pPr>
      <w:rPr>
        <w:rFonts w:ascii="Wingdings" w:hAnsi="Wingdings" w:hint="default"/>
      </w:rPr>
    </w:lvl>
    <w:lvl w:ilvl="3" w:tplc="1A605718">
      <w:start w:val="1"/>
      <w:numFmt w:val="bullet"/>
      <w:lvlText w:val=""/>
      <w:lvlJc w:val="left"/>
      <w:pPr>
        <w:ind w:left="2880" w:hanging="360"/>
      </w:pPr>
      <w:rPr>
        <w:rFonts w:ascii="Symbol" w:hAnsi="Symbol" w:hint="default"/>
      </w:rPr>
    </w:lvl>
    <w:lvl w:ilvl="4" w:tplc="B7E2E44E">
      <w:start w:val="1"/>
      <w:numFmt w:val="bullet"/>
      <w:lvlText w:val="o"/>
      <w:lvlJc w:val="left"/>
      <w:pPr>
        <w:ind w:left="3600" w:hanging="360"/>
      </w:pPr>
      <w:rPr>
        <w:rFonts w:ascii="Courier New" w:hAnsi="Courier New" w:hint="default"/>
      </w:rPr>
    </w:lvl>
    <w:lvl w:ilvl="5" w:tplc="1E6A22CE">
      <w:start w:val="1"/>
      <w:numFmt w:val="bullet"/>
      <w:lvlText w:val=""/>
      <w:lvlJc w:val="left"/>
      <w:pPr>
        <w:ind w:left="4320" w:hanging="360"/>
      </w:pPr>
      <w:rPr>
        <w:rFonts w:ascii="Wingdings" w:hAnsi="Wingdings" w:hint="default"/>
      </w:rPr>
    </w:lvl>
    <w:lvl w:ilvl="6" w:tplc="A776CDB8">
      <w:start w:val="1"/>
      <w:numFmt w:val="bullet"/>
      <w:lvlText w:val=""/>
      <w:lvlJc w:val="left"/>
      <w:pPr>
        <w:ind w:left="5040" w:hanging="360"/>
      </w:pPr>
      <w:rPr>
        <w:rFonts w:ascii="Symbol" w:hAnsi="Symbol" w:hint="default"/>
      </w:rPr>
    </w:lvl>
    <w:lvl w:ilvl="7" w:tplc="A3929328">
      <w:start w:val="1"/>
      <w:numFmt w:val="bullet"/>
      <w:lvlText w:val="o"/>
      <w:lvlJc w:val="left"/>
      <w:pPr>
        <w:ind w:left="5760" w:hanging="360"/>
      </w:pPr>
      <w:rPr>
        <w:rFonts w:ascii="Courier New" w:hAnsi="Courier New" w:hint="default"/>
      </w:rPr>
    </w:lvl>
    <w:lvl w:ilvl="8" w:tplc="06DEBC88">
      <w:start w:val="1"/>
      <w:numFmt w:val="bullet"/>
      <w:lvlText w:val=""/>
      <w:lvlJc w:val="left"/>
      <w:pPr>
        <w:ind w:left="6480" w:hanging="360"/>
      </w:pPr>
      <w:rPr>
        <w:rFonts w:ascii="Wingdings" w:hAnsi="Wingdings" w:hint="default"/>
      </w:rPr>
    </w:lvl>
  </w:abstractNum>
  <w:abstractNum w:abstractNumId="6" w15:restartNumberingAfterBreak="0">
    <w:nsid w:val="2F517594"/>
    <w:multiLevelType w:val="hybridMultilevel"/>
    <w:tmpl w:val="25A6BC0C"/>
    <w:lvl w:ilvl="0" w:tplc="99281A44">
      <w:start w:val="1"/>
      <w:numFmt w:val="lowerLetter"/>
      <w:lvlText w:val="%1)"/>
      <w:lvlJc w:val="left"/>
      <w:pPr>
        <w:ind w:left="720" w:hanging="360"/>
      </w:pPr>
      <w:rPr>
        <w:rFonts w:hint="default"/>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6F1535"/>
    <w:multiLevelType w:val="hybridMultilevel"/>
    <w:tmpl w:val="1CFAF786"/>
    <w:lvl w:ilvl="0" w:tplc="5830C3FC">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54D14A62"/>
    <w:multiLevelType w:val="hybridMultilevel"/>
    <w:tmpl w:val="FFFFFFFF"/>
    <w:lvl w:ilvl="0" w:tplc="1ECA8BD8">
      <w:start w:val="1"/>
      <w:numFmt w:val="bullet"/>
      <w:lvlText w:val="-"/>
      <w:lvlJc w:val="left"/>
      <w:pPr>
        <w:ind w:left="720" w:hanging="360"/>
      </w:pPr>
      <w:rPr>
        <w:rFonts w:ascii="Aptos" w:hAnsi="Aptos" w:hint="default"/>
      </w:rPr>
    </w:lvl>
    <w:lvl w:ilvl="1" w:tplc="5496989A">
      <w:start w:val="1"/>
      <w:numFmt w:val="bullet"/>
      <w:lvlText w:val="o"/>
      <w:lvlJc w:val="left"/>
      <w:pPr>
        <w:ind w:left="1440" w:hanging="360"/>
      </w:pPr>
      <w:rPr>
        <w:rFonts w:ascii="Courier New" w:hAnsi="Courier New" w:hint="default"/>
      </w:rPr>
    </w:lvl>
    <w:lvl w:ilvl="2" w:tplc="BBF8A31A">
      <w:start w:val="1"/>
      <w:numFmt w:val="bullet"/>
      <w:lvlText w:val=""/>
      <w:lvlJc w:val="left"/>
      <w:pPr>
        <w:ind w:left="2160" w:hanging="360"/>
      </w:pPr>
      <w:rPr>
        <w:rFonts w:ascii="Wingdings" w:hAnsi="Wingdings" w:hint="default"/>
      </w:rPr>
    </w:lvl>
    <w:lvl w:ilvl="3" w:tplc="A4B43C50">
      <w:start w:val="1"/>
      <w:numFmt w:val="bullet"/>
      <w:lvlText w:val=""/>
      <w:lvlJc w:val="left"/>
      <w:pPr>
        <w:ind w:left="2880" w:hanging="360"/>
      </w:pPr>
      <w:rPr>
        <w:rFonts w:ascii="Symbol" w:hAnsi="Symbol" w:hint="default"/>
      </w:rPr>
    </w:lvl>
    <w:lvl w:ilvl="4" w:tplc="48488458">
      <w:start w:val="1"/>
      <w:numFmt w:val="bullet"/>
      <w:lvlText w:val="o"/>
      <w:lvlJc w:val="left"/>
      <w:pPr>
        <w:ind w:left="3600" w:hanging="360"/>
      </w:pPr>
      <w:rPr>
        <w:rFonts w:ascii="Courier New" w:hAnsi="Courier New" w:hint="default"/>
      </w:rPr>
    </w:lvl>
    <w:lvl w:ilvl="5" w:tplc="BFCC9FA2">
      <w:start w:val="1"/>
      <w:numFmt w:val="bullet"/>
      <w:lvlText w:val=""/>
      <w:lvlJc w:val="left"/>
      <w:pPr>
        <w:ind w:left="4320" w:hanging="360"/>
      </w:pPr>
      <w:rPr>
        <w:rFonts w:ascii="Wingdings" w:hAnsi="Wingdings" w:hint="default"/>
      </w:rPr>
    </w:lvl>
    <w:lvl w:ilvl="6" w:tplc="87962C4E">
      <w:start w:val="1"/>
      <w:numFmt w:val="bullet"/>
      <w:lvlText w:val=""/>
      <w:lvlJc w:val="left"/>
      <w:pPr>
        <w:ind w:left="5040" w:hanging="360"/>
      </w:pPr>
      <w:rPr>
        <w:rFonts w:ascii="Symbol" w:hAnsi="Symbol" w:hint="default"/>
      </w:rPr>
    </w:lvl>
    <w:lvl w:ilvl="7" w:tplc="F98CFED4">
      <w:start w:val="1"/>
      <w:numFmt w:val="bullet"/>
      <w:lvlText w:val="o"/>
      <w:lvlJc w:val="left"/>
      <w:pPr>
        <w:ind w:left="5760" w:hanging="360"/>
      </w:pPr>
      <w:rPr>
        <w:rFonts w:ascii="Courier New" w:hAnsi="Courier New" w:hint="default"/>
      </w:rPr>
    </w:lvl>
    <w:lvl w:ilvl="8" w:tplc="C6F2C0AE">
      <w:start w:val="1"/>
      <w:numFmt w:val="bullet"/>
      <w:lvlText w:val=""/>
      <w:lvlJc w:val="left"/>
      <w:pPr>
        <w:ind w:left="6480" w:hanging="360"/>
      </w:pPr>
      <w:rPr>
        <w:rFonts w:ascii="Wingdings" w:hAnsi="Wingdings" w:hint="default"/>
      </w:rPr>
    </w:lvl>
  </w:abstractNum>
  <w:abstractNum w:abstractNumId="9" w15:restartNumberingAfterBreak="0">
    <w:nsid w:val="56C878A5"/>
    <w:multiLevelType w:val="hybridMultilevel"/>
    <w:tmpl w:val="C8064B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A17D6F"/>
    <w:multiLevelType w:val="hybridMultilevel"/>
    <w:tmpl w:val="E2D22868"/>
    <w:lvl w:ilvl="0" w:tplc="37123C66">
      <w:start w:val="1"/>
      <w:numFmt w:val="bullet"/>
      <w:lvlText w:val=""/>
      <w:lvlJc w:val="left"/>
      <w:pPr>
        <w:ind w:left="720" w:hanging="360"/>
      </w:pPr>
      <w:rPr>
        <w:rFonts w:ascii="Wingdings" w:hAnsi="Wingdings" w:hint="default"/>
      </w:rPr>
    </w:lvl>
    <w:lvl w:ilvl="1" w:tplc="750E2774" w:tentative="1">
      <w:start w:val="1"/>
      <w:numFmt w:val="bullet"/>
      <w:lvlText w:val="o"/>
      <w:lvlJc w:val="left"/>
      <w:pPr>
        <w:ind w:left="1440" w:hanging="360"/>
      </w:pPr>
      <w:rPr>
        <w:rFonts w:ascii="Courier New" w:hAnsi="Courier New" w:hint="default"/>
      </w:rPr>
    </w:lvl>
    <w:lvl w:ilvl="2" w:tplc="D75437A6" w:tentative="1">
      <w:start w:val="1"/>
      <w:numFmt w:val="bullet"/>
      <w:lvlText w:val=""/>
      <w:lvlJc w:val="left"/>
      <w:pPr>
        <w:ind w:left="2160" w:hanging="360"/>
      </w:pPr>
      <w:rPr>
        <w:rFonts w:ascii="Wingdings" w:hAnsi="Wingdings" w:hint="default"/>
      </w:rPr>
    </w:lvl>
    <w:lvl w:ilvl="3" w:tplc="69E6FB08" w:tentative="1">
      <w:start w:val="1"/>
      <w:numFmt w:val="bullet"/>
      <w:lvlText w:val=""/>
      <w:lvlJc w:val="left"/>
      <w:pPr>
        <w:ind w:left="2880" w:hanging="360"/>
      </w:pPr>
      <w:rPr>
        <w:rFonts w:ascii="Symbol" w:hAnsi="Symbol" w:hint="default"/>
      </w:rPr>
    </w:lvl>
    <w:lvl w:ilvl="4" w:tplc="265CFAEA" w:tentative="1">
      <w:start w:val="1"/>
      <w:numFmt w:val="bullet"/>
      <w:lvlText w:val="o"/>
      <w:lvlJc w:val="left"/>
      <w:pPr>
        <w:ind w:left="3600" w:hanging="360"/>
      </w:pPr>
      <w:rPr>
        <w:rFonts w:ascii="Courier New" w:hAnsi="Courier New" w:hint="default"/>
      </w:rPr>
    </w:lvl>
    <w:lvl w:ilvl="5" w:tplc="8AC05932" w:tentative="1">
      <w:start w:val="1"/>
      <w:numFmt w:val="bullet"/>
      <w:lvlText w:val=""/>
      <w:lvlJc w:val="left"/>
      <w:pPr>
        <w:ind w:left="4320" w:hanging="360"/>
      </w:pPr>
      <w:rPr>
        <w:rFonts w:ascii="Wingdings" w:hAnsi="Wingdings" w:hint="default"/>
      </w:rPr>
    </w:lvl>
    <w:lvl w:ilvl="6" w:tplc="6EE849D4" w:tentative="1">
      <w:start w:val="1"/>
      <w:numFmt w:val="bullet"/>
      <w:lvlText w:val=""/>
      <w:lvlJc w:val="left"/>
      <w:pPr>
        <w:ind w:left="5040" w:hanging="360"/>
      </w:pPr>
      <w:rPr>
        <w:rFonts w:ascii="Symbol" w:hAnsi="Symbol" w:hint="default"/>
      </w:rPr>
    </w:lvl>
    <w:lvl w:ilvl="7" w:tplc="A884555A" w:tentative="1">
      <w:start w:val="1"/>
      <w:numFmt w:val="bullet"/>
      <w:lvlText w:val="o"/>
      <w:lvlJc w:val="left"/>
      <w:pPr>
        <w:ind w:left="5760" w:hanging="360"/>
      </w:pPr>
      <w:rPr>
        <w:rFonts w:ascii="Courier New" w:hAnsi="Courier New" w:hint="default"/>
      </w:rPr>
    </w:lvl>
    <w:lvl w:ilvl="8" w:tplc="C076DEEE" w:tentative="1">
      <w:start w:val="1"/>
      <w:numFmt w:val="bullet"/>
      <w:lvlText w:val=""/>
      <w:lvlJc w:val="left"/>
      <w:pPr>
        <w:ind w:left="6480" w:hanging="360"/>
      </w:pPr>
      <w:rPr>
        <w:rFonts w:ascii="Wingdings" w:hAnsi="Wingdings" w:hint="default"/>
      </w:rPr>
    </w:lvl>
  </w:abstractNum>
  <w:abstractNum w:abstractNumId="11" w15:restartNumberingAfterBreak="0">
    <w:nsid w:val="581854DA"/>
    <w:multiLevelType w:val="hybridMultilevel"/>
    <w:tmpl w:val="FFFFFFFF"/>
    <w:lvl w:ilvl="0" w:tplc="360E280A">
      <w:start w:val="1"/>
      <w:numFmt w:val="bullet"/>
      <w:lvlText w:val="-"/>
      <w:lvlJc w:val="left"/>
      <w:pPr>
        <w:ind w:left="720" w:hanging="360"/>
      </w:pPr>
      <w:rPr>
        <w:rFonts w:ascii="Aptos" w:hAnsi="Aptos" w:hint="default"/>
      </w:rPr>
    </w:lvl>
    <w:lvl w:ilvl="1" w:tplc="93743018">
      <w:start w:val="1"/>
      <w:numFmt w:val="bullet"/>
      <w:lvlText w:val="o"/>
      <w:lvlJc w:val="left"/>
      <w:pPr>
        <w:ind w:left="1440" w:hanging="360"/>
      </w:pPr>
      <w:rPr>
        <w:rFonts w:ascii="Courier New" w:hAnsi="Courier New" w:hint="default"/>
      </w:rPr>
    </w:lvl>
    <w:lvl w:ilvl="2" w:tplc="83584D70">
      <w:start w:val="1"/>
      <w:numFmt w:val="bullet"/>
      <w:lvlText w:val=""/>
      <w:lvlJc w:val="left"/>
      <w:pPr>
        <w:ind w:left="2160" w:hanging="360"/>
      </w:pPr>
      <w:rPr>
        <w:rFonts w:ascii="Wingdings" w:hAnsi="Wingdings" w:hint="default"/>
      </w:rPr>
    </w:lvl>
    <w:lvl w:ilvl="3" w:tplc="38FEFAFA">
      <w:start w:val="1"/>
      <w:numFmt w:val="bullet"/>
      <w:lvlText w:val=""/>
      <w:lvlJc w:val="left"/>
      <w:pPr>
        <w:ind w:left="2880" w:hanging="360"/>
      </w:pPr>
      <w:rPr>
        <w:rFonts w:ascii="Symbol" w:hAnsi="Symbol" w:hint="default"/>
      </w:rPr>
    </w:lvl>
    <w:lvl w:ilvl="4" w:tplc="0E982910">
      <w:start w:val="1"/>
      <w:numFmt w:val="bullet"/>
      <w:lvlText w:val="o"/>
      <w:lvlJc w:val="left"/>
      <w:pPr>
        <w:ind w:left="3600" w:hanging="360"/>
      </w:pPr>
      <w:rPr>
        <w:rFonts w:ascii="Courier New" w:hAnsi="Courier New" w:hint="default"/>
      </w:rPr>
    </w:lvl>
    <w:lvl w:ilvl="5" w:tplc="99782F72">
      <w:start w:val="1"/>
      <w:numFmt w:val="bullet"/>
      <w:lvlText w:val=""/>
      <w:lvlJc w:val="left"/>
      <w:pPr>
        <w:ind w:left="4320" w:hanging="360"/>
      </w:pPr>
      <w:rPr>
        <w:rFonts w:ascii="Wingdings" w:hAnsi="Wingdings" w:hint="default"/>
      </w:rPr>
    </w:lvl>
    <w:lvl w:ilvl="6" w:tplc="9E0A91C4">
      <w:start w:val="1"/>
      <w:numFmt w:val="bullet"/>
      <w:lvlText w:val=""/>
      <w:lvlJc w:val="left"/>
      <w:pPr>
        <w:ind w:left="5040" w:hanging="360"/>
      </w:pPr>
      <w:rPr>
        <w:rFonts w:ascii="Symbol" w:hAnsi="Symbol" w:hint="default"/>
      </w:rPr>
    </w:lvl>
    <w:lvl w:ilvl="7" w:tplc="90267350">
      <w:start w:val="1"/>
      <w:numFmt w:val="bullet"/>
      <w:lvlText w:val="o"/>
      <w:lvlJc w:val="left"/>
      <w:pPr>
        <w:ind w:left="5760" w:hanging="360"/>
      </w:pPr>
      <w:rPr>
        <w:rFonts w:ascii="Courier New" w:hAnsi="Courier New" w:hint="default"/>
      </w:rPr>
    </w:lvl>
    <w:lvl w:ilvl="8" w:tplc="6082D1EE">
      <w:start w:val="1"/>
      <w:numFmt w:val="bullet"/>
      <w:lvlText w:val=""/>
      <w:lvlJc w:val="left"/>
      <w:pPr>
        <w:ind w:left="6480" w:hanging="360"/>
      </w:pPr>
      <w:rPr>
        <w:rFonts w:ascii="Wingdings" w:hAnsi="Wingdings" w:hint="default"/>
      </w:rPr>
    </w:lvl>
  </w:abstractNum>
  <w:abstractNum w:abstractNumId="12" w15:restartNumberingAfterBreak="0">
    <w:nsid w:val="774E9AA4"/>
    <w:multiLevelType w:val="hybridMultilevel"/>
    <w:tmpl w:val="6EDC78A2"/>
    <w:lvl w:ilvl="0" w:tplc="6F4400EA">
      <w:start w:val="1"/>
      <w:numFmt w:val="bullet"/>
      <w:lvlText w:val=""/>
      <w:lvlJc w:val="left"/>
      <w:pPr>
        <w:ind w:left="720" w:hanging="360"/>
      </w:pPr>
      <w:rPr>
        <w:rFonts w:ascii="Symbol" w:hAnsi="Symbol" w:hint="default"/>
      </w:rPr>
    </w:lvl>
    <w:lvl w:ilvl="1" w:tplc="6E067A14">
      <w:start w:val="1"/>
      <w:numFmt w:val="bullet"/>
      <w:lvlText w:val="o"/>
      <w:lvlJc w:val="left"/>
      <w:pPr>
        <w:ind w:left="1440" w:hanging="360"/>
      </w:pPr>
      <w:rPr>
        <w:rFonts w:ascii="Courier New" w:hAnsi="Courier New" w:hint="default"/>
      </w:rPr>
    </w:lvl>
    <w:lvl w:ilvl="2" w:tplc="C834F5BA">
      <w:start w:val="1"/>
      <w:numFmt w:val="bullet"/>
      <w:lvlText w:val=""/>
      <w:lvlJc w:val="left"/>
      <w:pPr>
        <w:ind w:left="2160" w:hanging="360"/>
      </w:pPr>
      <w:rPr>
        <w:rFonts w:ascii="Wingdings" w:hAnsi="Wingdings" w:hint="default"/>
      </w:rPr>
    </w:lvl>
    <w:lvl w:ilvl="3" w:tplc="74C2CE06">
      <w:start w:val="1"/>
      <w:numFmt w:val="bullet"/>
      <w:lvlText w:val=""/>
      <w:lvlJc w:val="left"/>
      <w:pPr>
        <w:ind w:left="2880" w:hanging="360"/>
      </w:pPr>
      <w:rPr>
        <w:rFonts w:ascii="Symbol" w:hAnsi="Symbol" w:hint="default"/>
      </w:rPr>
    </w:lvl>
    <w:lvl w:ilvl="4" w:tplc="5C82611C">
      <w:start w:val="1"/>
      <w:numFmt w:val="bullet"/>
      <w:lvlText w:val="o"/>
      <w:lvlJc w:val="left"/>
      <w:pPr>
        <w:ind w:left="3600" w:hanging="360"/>
      </w:pPr>
      <w:rPr>
        <w:rFonts w:ascii="Courier New" w:hAnsi="Courier New" w:hint="default"/>
      </w:rPr>
    </w:lvl>
    <w:lvl w:ilvl="5" w:tplc="0D34D032">
      <w:start w:val="1"/>
      <w:numFmt w:val="bullet"/>
      <w:lvlText w:val=""/>
      <w:lvlJc w:val="left"/>
      <w:pPr>
        <w:ind w:left="4320" w:hanging="360"/>
      </w:pPr>
      <w:rPr>
        <w:rFonts w:ascii="Wingdings" w:hAnsi="Wingdings" w:hint="default"/>
      </w:rPr>
    </w:lvl>
    <w:lvl w:ilvl="6" w:tplc="BCE89C52">
      <w:start w:val="1"/>
      <w:numFmt w:val="bullet"/>
      <w:lvlText w:val=""/>
      <w:lvlJc w:val="left"/>
      <w:pPr>
        <w:ind w:left="5040" w:hanging="360"/>
      </w:pPr>
      <w:rPr>
        <w:rFonts w:ascii="Symbol" w:hAnsi="Symbol" w:hint="default"/>
      </w:rPr>
    </w:lvl>
    <w:lvl w:ilvl="7" w:tplc="7772E3B2">
      <w:start w:val="1"/>
      <w:numFmt w:val="bullet"/>
      <w:lvlText w:val="o"/>
      <w:lvlJc w:val="left"/>
      <w:pPr>
        <w:ind w:left="5760" w:hanging="360"/>
      </w:pPr>
      <w:rPr>
        <w:rFonts w:ascii="Courier New" w:hAnsi="Courier New" w:hint="default"/>
      </w:rPr>
    </w:lvl>
    <w:lvl w:ilvl="8" w:tplc="BCCC8298">
      <w:start w:val="1"/>
      <w:numFmt w:val="bullet"/>
      <w:lvlText w:val=""/>
      <w:lvlJc w:val="left"/>
      <w:pPr>
        <w:ind w:left="6480" w:hanging="360"/>
      </w:pPr>
      <w:rPr>
        <w:rFonts w:ascii="Wingdings" w:hAnsi="Wingdings" w:hint="default"/>
      </w:rPr>
    </w:lvl>
  </w:abstractNum>
  <w:abstractNum w:abstractNumId="13" w15:restartNumberingAfterBreak="0">
    <w:nsid w:val="797A2872"/>
    <w:multiLevelType w:val="hybridMultilevel"/>
    <w:tmpl w:val="FFFFFFFF"/>
    <w:lvl w:ilvl="0" w:tplc="CCB4AE10">
      <w:start w:val="1"/>
      <w:numFmt w:val="bullet"/>
      <w:lvlText w:val="-"/>
      <w:lvlJc w:val="left"/>
      <w:pPr>
        <w:ind w:left="720" w:hanging="360"/>
      </w:pPr>
      <w:rPr>
        <w:rFonts w:ascii="Aptos" w:hAnsi="Aptos" w:hint="default"/>
      </w:rPr>
    </w:lvl>
    <w:lvl w:ilvl="1" w:tplc="10B0A994">
      <w:start w:val="1"/>
      <w:numFmt w:val="bullet"/>
      <w:lvlText w:val="o"/>
      <w:lvlJc w:val="left"/>
      <w:pPr>
        <w:ind w:left="1440" w:hanging="360"/>
      </w:pPr>
      <w:rPr>
        <w:rFonts w:ascii="Courier New" w:hAnsi="Courier New" w:hint="default"/>
      </w:rPr>
    </w:lvl>
    <w:lvl w:ilvl="2" w:tplc="1CF43ED2">
      <w:start w:val="1"/>
      <w:numFmt w:val="bullet"/>
      <w:lvlText w:val=""/>
      <w:lvlJc w:val="left"/>
      <w:pPr>
        <w:ind w:left="2160" w:hanging="360"/>
      </w:pPr>
      <w:rPr>
        <w:rFonts w:ascii="Wingdings" w:hAnsi="Wingdings" w:hint="default"/>
      </w:rPr>
    </w:lvl>
    <w:lvl w:ilvl="3" w:tplc="8BC0D378">
      <w:start w:val="1"/>
      <w:numFmt w:val="bullet"/>
      <w:lvlText w:val=""/>
      <w:lvlJc w:val="left"/>
      <w:pPr>
        <w:ind w:left="2880" w:hanging="360"/>
      </w:pPr>
      <w:rPr>
        <w:rFonts w:ascii="Symbol" w:hAnsi="Symbol" w:hint="default"/>
      </w:rPr>
    </w:lvl>
    <w:lvl w:ilvl="4" w:tplc="45380804">
      <w:start w:val="1"/>
      <w:numFmt w:val="bullet"/>
      <w:lvlText w:val="o"/>
      <w:lvlJc w:val="left"/>
      <w:pPr>
        <w:ind w:left="3600" w:hanging="360"/>
      </w:pPr>
      <w:rPr>
        <w:rFonts w:ascii="Courier New" w:hAnsi="Courier New" w:hint="default"/>
      </w:rPr>
    </w:lvl>
    <w:lvl w:ilvl="5" w:tplc="D2BE6708">
      <w:start w:val="1"/>
      <w:numFmt w:val="bullet"/>
      <w:lvlText w:val=""/>
      <w:lvlJc w:val="left"/>
      <w:pPr>
        <w:ind w:left="4320" w:hanging="360"/>
      </w:pPr>
      <w:rPr>
        <w:rFonts w:ascii="Wingdings" w:hAnsi="Wingdings" w:hint="default"/>
      </w:rPr>
    </w:lvl>
    <w:lvl w:ilvl="6" w:tplc="24B0F66C">
      <w:start w:val="1"/>
      <w:numFmt w:val="bullet"/>
      <w:lvlText w:val=""/>
      <w:lvlJc w:val="left"/>
      <w:pPr>
        <w:ind w:left="5040" w:hanging="360"/>
      </w:pPr>
      <w:rPr>
        <w:rFonts w:ascii="Symbol" w:hAnsi="Symbol" w:hint="default"/>
      </w:rPr>
    </w:lvl>
    <w:lvl w:ilvl="7" w:tplc="4322ECEE">
      <w:start w:val="1"/>
      <w:numFmt w:val="bullet"/>
      <w:lvlText w:val="o"/>
      <w:lvlJc w:val="left"/>
      <w:pPr>
        <w:ind w:left="5760" w:hanging="360"/>
      </w:pPr>
      <w:rPr>
        <w:rFonts w:ascii="Courier New" w:hAnsi="Courier New" w:hint="default"/>
      </w:rPr>
    </w:lvl>
    <w:lvl w:ilvl="8" w:tplc="ECFE82AA">
      <w:start w:val="1"/>
      <w:numFmt w:val="bullet"/>
      <w:lvlText w:val=""/>
      <w:lvlJc w:val="left"/>
      <w:pPr>
        <w:ind w:left="6480" w:hanging="360"/>
      </w:pPr>
      <w:rPr>
        <w:rFonts w:ascii="Wingdings" w:hAnsi="Wingdings" w:hint="default"/>
      </w:rPr>
    </w:lvl>
  </w:abstractNum>
  <w:abstractNum w:abstractNumId="14" w15:restartNumberingAfterBreak="0">
    <w:nsid w:val="7C1F9838"/>
    <w:multiLevelType w:val="hybridMultilevel"/>
    <w:tmpl w:val="FFFFFFFF"/>
    <w:lvl w:ilvl="0" w:tplc="D646DB28">
      <w:start w:val="1"/>
      <w:numFmt w:val="bullet"/>
      <w:lvlText w:val="-"/>
      <w:lvlJc w:val="left"/>
      <w:pPr>
        <w:ind w:left="720" w:hanging="360"/>
      </w:pPr>
      <w:rPr>
        <w:rFonts w:ascii="Aptos" w:hAnsi="Aptos" w:hint="default"/>
      </w:rPr>
    </w:lvl>
    <w:lvl w:ilvl="1" w:tplc="1F86A7CE">
      <w:start w:val="1"/>
      <w:numFmt w:val="bullet"/>
      <w:lvlText w:val="o"/>
      <w:lvlJc w:val="left"/>
      <w:pPr>
        <w:ind w:left="1440" w:hanging="360"/>
      </w:pPr>
      <w:rPr>
        <w:rFonts w:ascii="Courier New" w:hAnsi="Courier New" w:hint="default"/>
      </w:rPr>
    </w:lvl>
    <w:lvl w:ilvl="2" w:tplc="3C46BB04">
      <w:start w:val="1"/>
      <w:numFmt w:val="bullet"/>
      <w:lvlText w:val=""/>
      <w:lvlJc w:val="left"/>
      <w:pPr>
        <w:ind w:left="2160" w:hanging="360"/>
      </w:pPr>
      <w:rPr>
        <w:rFonts w:ascii="Wingdings" w:hAnsi="Wingdings" w:hint="default"/>
      </w:rPr>
    </w:lvl>
    <w:lvl w:ilvl="3" w:tplc="063A2A0E">
      <w:start w:val="1"/>
      <w:numFmt w:val="bullet"/>
      <w:lvlText w:val=""/>
      <w:lvlJc w:val="left"/>
      <w:pPr>
        <w:ind w:left="2880" w:hanging="360"/>
      </w:pPr>
      <w:rPr>
        <w:rFonts w:ascii="Symbol" w:hAnsi="Symbol" w:hint="default"/>
      </w:rPr>
    </w:lvl>
    <w:lvl w:ilvl="4" w:tplc="B68C96D6">
      <w:start w:val="1"/>
      <w:numFmt w:val="bullet"/>
      <w:lvlText w:val="o"/>
      <w:lvlJc w:val="left"/>
      <w:pPr>
        <w:ind w:left="3600" w:hanging="360"/>
      </w:pPr>
      <w:rPr>
        <w:rFonts w:ascii="Courier New" w:hAnsi="Courier New" w:hint="default"/>
      </w:rPr>
    </w:lvl>
    <w:lvl w:ilvl="5" w:tplc="FF78373E">
      <w:start w:val="1"/>
      <w:numFmt w:val="bullet"/>
      <w:lvlText w:val=""/>
      <w:lvlJc w:val="left"/>
      <w:pPr>
        <w:ind w:left="4320" w:hanging="360"/>
      </w:pPr>
      <w:rPr>
        <w:rFonts w:ascii="Wingdings" w:hAnsi="Wingdings" w:hint="default"/>
      </w:rPr>
    </w:lvl>
    <w:lvl w:ilvl="6" w:tplc="B1AA7516">
      <w:start w:val="1"/>
      <w:numFmt w:val="bullet"/>
      <w:lvlText w:val=""/>
      <w:lvlJc w:val="left"/>
      <w:pPr>
        <w:ind w:left="5040" w:hanging="360"/>
      </w:pPr>
      <w:rPr>
        <w:rFonts w:ascii="Symbol" w:hAnsi="Symbol" w:hint="default"/>
      </w:rPr>
    </w:lvl>
    <w:lvl w:ilvl="7" w:tplc="5F0CC4EE">
      <w:start w:val="1"/>
      <w:numFmt w:val="bullet"/>
      <w:lvlText w:val="o"/>
      <w:lvlJc w:val="left"/>
      <w:pPr>
        <w:ind w:left="5760" w:hanging="360"/>
      </w:pPr>
      <w:rPr>
        <w:rFonts w:ascii="Courier New" w:hAnsi="Courier New" w:hint="default"/>
      </w:rPr>
    </w:lvl>
    <w:lvl w:ilvl="8" w:tplc="5EFC8580">
      <w:start w:val="1"/>
      <w:numFmt w:val="bullet"/>
      <w:lvlText w:val=""/>
      <w:lvlJc w:val="left"/>
      <w:pPr>
        <w:ind w:left="6480" w:hanging="360"/>
      </w:pPr>
      <w:rPr>
        <w:rFonts w:ascii="Wingdings" w:hAnsi="Wingdings" w:hint="default"/>
      </w:rPr>
    </w:lvl>
  </w:abstractNum>
  <w:abstractNum w:abstractNumId="15" w15:restartNumberingAfterBreak="0">
    <w:nsid w:val="7E6B206F"/>
    <w:multiLevelType w:val="hybridMultilevel"/>
    <w:tmpl w:val="0D90B246"/>
    <w:lvl w:ilvl="0" w:tplc="29AC0584">
      <w:start w:val="1"/>
      <w:numFmt w:val="bullet"/>
      <w:lvlText w:val="-"/>
      <w:lvlJc w:val="left"/>
      <w:pPr>
        <w:ind w:left="720" w:hanging="360"/>
      </w:pPr>
      <w:rPr>
        <w:rFonts w:ascii="Aptos" w:hAnsi="Apto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4"/>
  </w:num>
  <w:num w:numId="5">
    <w:abstractNumId w:val="6"/>
  </w:num>
  <w:num w:numId="6">
    <w:abstractNumId w:val="10"/>
  </w:num>
  <w:num w:numId="7">
    <w:abstractNumId w:val="9"/>
  </w:num>
  <w:num w:numId="8">
    <w:abstractNumId w:val="8"/>
  </w:num>
  <w:num w:numId="9">
    <w:abstractNumId w:val="13"/>
  </w:num>
  <w:num w:numId="10">
    <w:abstractNumId w:val="14"/>
  </w:num>
  <w:num w:numId="11">
    <w:abstractNumId w:val="5"/>
  </w:num>
  <w:num w:numId="12">
    <w:abstractNumId w:val="1"/>
  </w:num>
  <w:num w:numId="13">
    <w:abstractNumId w:val="3"/>
  </w:num>
  <w:num w:numId="14">
    <w:abstractNumId w:val="2"/>
  </w:num>
  <w:num w:numId="15">
    <w:abstractNumId w:val="15"/>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C7AC593B-FF46-42CE-AAD3-7095C46C62BE"/>
    <w:docVar w:name="LW_COVERPAGE_TYPE" w:val="1"/>
    <w:docVar w:name="LW_CROSSREFERENCE" w:val="&lt;UNUSED&gt;"/>
    <w:docVar w:name="LW_DocType" w:val="NORMAL"/>
    <w:docVar w:name="LW_EMISSION" w:val="26.2.2025."/>
    <w:docVar w:name="LW_EMISSION_ISODATE" w:val="2025-02-26"/>
    <w:docVar w:name="LW_EMISSION_LOCATION" w:val="BRX"/>
    <w:docVar w:name="LW_EMISSION_PREFIX" w:val="Bruxelles, "/>
    <w:docVar w:name="LW_EMISSION_SUFFIX" w:val="&lt;EMPTY&gt;"/>
    <w:docVar w:name="LW_ID_DOCTYPE_NONLW" w:val="CP-014"/>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5) 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kcijski plan za priu\u353?tivu energiju_x000d__x000d__x000d__x000b__x000d__x000d__x000d__x000b__x000d__x000d__x000d__x000b_Iskori\u353?tavanje svih prednosti energetske unije radi osiguravanja cjenovno pristupa\u269?ne, u\u269?inkovite i \u269?iste energije za sve Europljane_x000d__x000b__x000d__x000b_"/>
    <w:docVar w:name="LW_TYPE.DOC.CP" w:val="KOMUNIKACIJA KOMISIJE EUROPSKOM PARLAMENTU, VIJE\u262?U, EUROPSKOM GOSPODARSKOM I SOCIJALNOM ODBORU I ODBORU REGIJA"/>
    <w:docVar w:name="LW_TYPE.DOC.CP.USERTEXT" w:val="&lt;EMPTY&gt;"/>
    <w:docVar w:name="LwApiVersions" w:val="LW4CoDe 1.24.5.0; LW 9.0, Build 20240221"/>
  </w:docVars>
  <w:rsids>
    <w:rsidRoot w:val="00E8217E"/>
    <w:rsid w:val="000464B5"/>
    <w:rsid w:val="000722B7"/>
    <w:rsid w:val="000A7FE2"/>
    <w:rsid w:val="000C3763"/>
    <w:rsid w:val="0011039B"/>
    <w:rsid w:val="0012785E"/>
    <w:rsid w:val="0014033C"/>
    <w:rsid w:val="00196956"/>
    <w:rsid w:val="001F1C07"/>
    <w:rsid w:val="00212A95"/>
    <w:rsid w:val="00215C0A"/>
    <w:rsid w:val="00275454"/>
    <w:rsid w:val="0029526B"/>
    <w:rsid w:val="00297BD3"/>
    <w:rsid w:val="002B2389"/>
    <w:rsid w:val="002B4096"/>
    <w:rsid w:val="002E056C"/>
    <w:rsid w:val="003300E0"/>
    <w:rsid w:val="00350044"/>
    <w:rsid w:val="00355B90"/>
    <w:rsid w:val="0036531B"/>
    <w:rsid w:val="00377482"/>
    <w:rsid w:val="00380183"/>
    <w:rsid w:val="003D0D6E"/>
    <w:rsid w:val="004206DD"/>
    <w:rsid w:val="004235D7"/>
    <w:rsid w:val="0043201E"/>
    <w:rsid w:val="004351F6"/>
    <w:rsid w:val="00443DB4"/>
    <w:rsid w:val="004661C4"/>
    <w:rsid w:val="00487BA4"/>
    <w:rsid w:val="004B636B"/>
    <w:rsid w:val="004C1412"/>
    <w:rsid w:val="004C6CAC"/>
    <w:rsid w:val="004E5353"/>
    <w:rsid w:val="004F25A7"/>
    <w:rsid w:val="00513BF5"/>
    <w:rsid w:val="00571306"/>
    <w:rsid w:val="00581208"/>
    <w:rsid w:val="005B789C"/>
    <w:rsid w:val="005C0463"/>
    <w:rsid w:val="005E6979"/>
    <w:rsid w:val="005F3DC5"/>
    <w:rsid w:val="005F6A53"/>
    <w:rsid w:val="00600874"/>
    <w:rsid w:val="00602C94"/>
    <w:rsid w:val="00603011"/>
    <w:rsid w:val="00624387"/>
    <w:rsid w:val="00644F78"/>
    <w:rsid w:val="00686A66"/>
    <w:rsid w:val="00687B8E"/>
    <w:rsid w:val="006947F4"/>
    <w:rsid w:val="006A7617"/>
    <w:rsid w:val="006B1008"/>
    <w:rsid w:val="006D4899"/>
    <w:rsid w:val="006D5AA8"/>
    <w:rsid w:val="007427B4"/>
    <w:rsid w:val="00744415"/>
    <w:rsid w:val="007A0058"/>
    <w:rsid w:val="007C2B73"/>
    <w:rsid w:val="007F0F2A"/>
    <w:rsid w:val="007F1F80"/>
    <w:rsid w:val="00804DB8"/>
    <w:rsid w:val="008246D6"/>
    <w:rsid w:val="008335B7"/>
    <w:rsid w:val="00843B5F"/>
    <w:rsid w:val="0085545F"/>
    <w:rsid w:val="008666A6"/>
    <w:rsid w:val="0088247D"/>
    <w:rsid w:val="008E5F61"/>
    <w:rsid w:val="00900D70"/>
    <w:rsid w:val="00902A09"/>
    <w:rsid w:val="00947739"/>
    <w:rsid w:val="009662BD"/>
    <w:rsid w:val="009671D8"/>
    <w:rsid w:val="009716DC"/>
    <w:rsid w:val="009B66B4"/>
    <w:rsid w:val="009C170D"/>
    <w:rsid w:val="009C6B68"/>
    <w:rsid w:val="009D5958"/>
    <w:rsid w:val="00A65886"/>
    <w:rsid w:val="00A909FC"/>
    <w:rsid w:val="00A91369"/>
    <w:rsid w:val="00A96DF2"/>
    <w:rsid w:val="00AA6174"/>
    <w:rsid w:val="00AB21FA"/>
    <w:rsid w:val="00AB2925"/>
    <w:rsid w:val="00AC0917"/>
    <w:rsid w:val="00B01073"/>
    <w:rsid w:val="00B0176F"/>
    <w:rsid w:val="00B372A9"/>
    <w:rsid w:val="00B761B5"/>
    <w:rsid w:val="00B820FF"/>
    <w:rsid w:val="00B8794A"/>
    <w:rsid w:val="00B9130D"/>
    <w:rsid w:val="00BA2B87"/>
    <w:rsid w:val="00BB1E95"/>
    <w:rsid w:val="00BC731C"/>
    <w:rsid w:val="00BD4B17"/>
    <w:rsid w:val="00BF26F4"/>
    <w:rsid w:val="00C1795A"/>
    <w:rsid w:val="00C21807"/>
    <w:rsid w:val="00C41370"/>
    <w:rsid w:val="00C4509B"/>
    <w:rsid w:val="00C74AA4"/>
    <w:rsid w:val="00C77EB1"/>
    <w:rsid w:val="00CA39A0"/>
    <w:rsid w:val="00CC53E4"/>
    <w:rsid w:val="00CD0380"/>
    <w:rsid w:val="00CD3495"/>
    <w:rsid w:val="00CF772F"/>
    <w:rsid w:val="00D370D3"/>
    <w:rsid w:val="00D43961"/>
    <w:rsid w:val="00D5297E"/>
    <w:rsid w:val="00D53C78"/>
    <w:rsid w:val="00D926A0"/>
    <w:rsid w:val="00D9416B"/>
    <w:rsid w:val="00DB2038"/>
    <w:rsid w:val="00DD791C"/>
    <w:rsid w:val="00DF7EF4"/>
    <w:rsid w:val="00E24A34"/>
    <w:rsid w:val="00E264BF"/>
    <w:rsid w:val="00E537D3"/>
    <w:rsid w:val="00E712CC"/>
    <w:rsid w:val="00E8217E"/>
    <w:rsid w:val="00E87A56"/>
    <w:rsid w:val="00E91C04"/>
    <w:rsid w:val="00E974D4"/>
    <w:rsid w:val="00EB2344"/>
    <w:rsid w:val="00EB5D5E"/>
    <w:rsid w:val="00ED14E9"/>
    <w:rsid w:val="00ED3AA0"/>
    <w:rsid w:val="00ED6E66"/>
    <w:rsid w:val="00ED7BE3"/>
    <w:rsid w:val="00EF5334"/>
    <w:rsid w:val="00FA7DCE"/>
    <w:rsid w:val="00FB1098"/>
    <w:rsid w:val="00FB758D"/>
    <w:rsid w:val="00FD7A64"/>
    <w:rsid w:val="00FF31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ED2380"/>
  <w15:chartTrackingRefBased/>
  <w15:docId w15:val="{34E34A8D-A7CA-4BAB-95CF-C46B93180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17E"/>
    <w:rPr>
      <w:rFonts w:eastAsiaTheme="majorEastAsia" w:cstheme="majorBidi"/>
      <w:color w:val="272727" w:themeColor="text1" w:themeTint="D8"/>
    </w:rPr>
  </w:style>
  <w:style w:type="paragraph" w:styleId="Title">
    <w:name w:val="Title"/>
    <w:basedOn w:val="Normal"/>
    <w:next w:val="Normal"/>
    <w:link w:val="TitleChar"/>
    <w:uiPriority w:val="10"/>
    <w:qFormat/>
    <w:rsid w:val="00E82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17E"/>
    <w:pPr>
      <w:spacing w:before="160"/>
      <w:jc w:val="center"/>
    </w:pPr>
    <w:rPr>
      <w:i/>
      <w:iCs/>
      <w:color w:val="404040" w:themeColor="text1" w:themeTint="BF"/>
    </w:rPr>
  </w:style>
  <w:style w:type="character" w:customStyle="1" w:styleId="QuoteChar">
    <w:name w:val="Quote Char"/>
    <w:basedOn w:val="DefaultParagraphFont"/>
    <w:link w:val="Quote"/>
    <w:uiPriority w:val="29"/>
    <w:rsid w:val="00E8217E"/>
    <w:rPr>
      <w:i/>
      <w:iCs/>
      <w:color w:val="404040" w:themeColor="text1" w:themeTint="BF"/>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E8217E"/>
    <w:pPr>
      <w:ind w:left="720"/>
      <w:contextualSpacing/>
    </w:pPr>
  </w:style>
  <w:style w:type="character" w:styleId="IntenseEmphasis">
    <w:name w:val="Intense Emphasis"/>
    <w:basedOn w:val="DefaultParagraphFont"/>
    <w:uiPriority w:val="21"/>
    <w:qFormat/>
    <w:rsid w:val="00E8217E"/>
    <w:rPr>
      <w:i/>
      <w:iCs/>
      <w:color w:val="0F4761" w:themeColor="accent1" w:themeShade="BF"/>
    </w:rPr>
  </w:style>
  <w:style w:type="paragraph" w:styleId="IntenseQuote">
    <w:name w:val="Intense Quote"/>
    <w:basedOn w:val="Normal"/>
    <w:next w:val="Normal"/>
    <w:link w:val="IntenseQuoteChar"/>
    <w:uiPriority w:val="30"/>
    <w:qFormat/>
    <w:rsid w:val="00E8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17E"/>
    <w:rPr>
      <w:i/>
      <w:iCs/>
      <w:color w:val="0F4761" w:themeColor="accent1" w:themeShade="BF"/>
    </w:rPr>
  </w:style>
  <w:style w:type="character" w:styleId="IntenseReference">
    <w:name w:val="Intense Reference"/>
    <w:basedOn w:val="DefaultParagraphFont"/>
    <w:uiPriority w:val="32"/>
    <w:qFormat/>
    <w:rsid w:val="00E8217E"/>
    <w:rPr>
      <w:b/>
      <w:bCs/>
      <w:smallCaps/>
      <w:color w:val="0F4761" w:themeColor="accent1" w:themeShade="BF"/>
      <w:spacing w:val="5"/>
    </w:rPr>
  </w:style>
  <w:style w:type="numbering" w:customStyle="1" w:styleId="NoList1">
    <w:name w:val="No List1"/>
    <w:next w:val="NoList"/>
    <w:uiPriority w:val="99"/>
    <w:semiHidden/>
    <w:unhideWhenUsed/>
    <w:rsid w:val="00E8217E"/>
  </w:style>
  <w:style w:type="paragraph" w:customStyle="1" w:styleId="PlainText1">
    <w:name w:val="Plain Text1"/>
    <w:basedOn w:val="Normal"/>
    <w:next w:val="PlainText"/>
    <w:link w:val="PlainTextChar"/>
    <w:uiPriority w:val="99"/>
    <w:semiHidden/>
    <w:unhideWhenUsed/>
    <w:rsid w:val="00E8217E"/>
    <w:pPr>
      <w:spacing w:before="100" w:beforeAutospacing="1" w:after="100" w:afterAutospacing="1" w:line="240" w:lineRule="auto"/>
      <w:jc w:val="both"/>
    </w:pPr>
    <w:rPr>
      <w:rFonts w:ascii="Calibri" w:hAnsi="Calibri"/>
      <w:szCs w:val="21"/>
    </w:rPr>
  </w:style>
  <w:style w:type="character" w:customStyle="1" w:styleId="PlainTextChar">
    <w:name w:val="Plain Text Char"/>
    <w:basedOn w:val="DefaultParagraphFont"/>
    <w:link w:val="PlainText1"/>
    <w:uiPriority w:val="99"/>
    <w:semiHidden/>
    <w:rsid w:val="00E8217E"/>
    <w:rPr>
      <w:rFonts w:ascii="Calibri" w:hAnsi="Calibri"/>
      <w:szCs w:val="21"/>
    </w:rPr>
  </w:style>
  <w:style w:type="paragraph" w:styleId="Header">
    <w:name w:val="header"/>
    <w:basedOn w:val="Normal"/>
    <w:link w:val="HeaderChar"/>
    <w:uiPriority w:val="99"/>
    <w:unhideWhenUsed/>
    <w:rsid w:val="00E8217E"/>
    <w:pPr>
      <w:tabs>
        <w:tab w:val="center" w:pos="4513"/>
        <w:tab w:val="right" w:pos="9026"/>
      </w:tabs>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customStyle="1" w:styleId="HeaderChar">
    <w:name w:val="Header Char"/>
    <w:basedOn w:val="DefaultParagraphFont"/>
    <w:link w:val="Header"/>
    <w:uiPriority w:val="99"/>
    <w:rsid w:val="00E8217E"/>
    <w:rPr>
      <w:rFonts w:ascii="Times New Roman" w:eastAsia="Times New Roman" w:hAnsi="Times New Roman" w:cs="Times New Roman"/>
      <w:kern w:val="0"/>
      <w:sz w:val="24"/>
      <w:szCs w:val="24"/>
      <w:lang w:val="hr-HR" w:eastAsia="en-IE"/>
    </w:rPr>
  </w:style>
  <w:style w:type="paragraph" w:styleId="Footer">
    <w:name w:val="footer"/>
    <w:basedOn w:val="Normal"/>
    <w:link w:val="FooterChar"/>
    <w:uiPriority w:val="99"/>
    <w:unhideWhenUsed/>
    <w:rsid w:val="00E8217E"/>
    <w:pPr>
      <w:tabs>
        <w:tab w:val="center" w:pos="4513"/>
        <w:tab w:val="right" w:pos="9026"/>
      </w:tabs>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customStyle="1" w:styleId="FooterChar">
    <w:name w:val="Footer Char"/>
    <w:basedOn w:val="DefaultParagraphFont"/>
    <w:link w:val="Footer"/>
    <w:uiPriority w:val="99"/>
    <w:rsid w:val="00E8217E"/>
    <w:rPr>
      <w:rFonts w:ascii="Times New Roman" w:eastAsia="Times New Roman" w:hAnsi="Times New Roman" w:cs="Times New Roman"/>
      <w:kern w:val="0"/>
      <w:sz w:val="24"/>
      <w:szCs w:val="24"/>
      <w:lang w:val="hr-HR" w:eastAsia="en-IE"/>
    </w:rPr>
  </w:style>
  <w:style w:type="paragraph" w:customStyle="1" w:styleId="paragraph">
    <w:name w:val="paragraph"/>
    <w:basedOn w:val="Normal"/>
    <w:rsid w:val="00E8217E"/>
    <w:pPr>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customStyle="1" w:styleId="normaltextrun">
    <w:name w:val="normaltextrun"/>
    <w:basedOn w:val="DefaultParagraphFont"/>
    <w:rsid w:val="00E8217E"/>
  </w:style>
  <w:style w:type="character" w:styleId="CommentReference">
    <w:name w:val="annotation reference"/>
    <w:basedOn w:val="DefaultParagraphFont"/>
    <w:uiPriority w:val="99"/>
    <w:semiHidden/>
    <w:unhideWhenUsed/>
    <w:rsid w:val="00E8217E"/>
    <w:rPr>
      <w:sz w:val="16"/>
      <w:szCs w:val="16"/>
    </w:rPr>
  </w:style>
  <w:style w:type="character" w:styleId="FootnoteReference">
    <w:name w:val="footnote reference"/>
    <w:basedOn w:val="DefaultParagraphFont"/>
    <w:uiPriority w:val="99"/>
    <w:semiHidden/>
    <w:unhideWhenUsed/>
    <w:rsid w:val="00E8217E"/>
    <w:rPr>
      <w:vertAlign w:val="superscript"/>
    </w:rPr>
  </w:style>
  <w:style w:type="character" w:styleId="Strong">
    <w:name w:val="Strong"/>
    <w:basedOn w:val="DefaultParagraphFont"/>
    <w:uiPriority w:val="22"/>
    <w:qFormat/>
    <w:rsid w:val="00E8217E"/>
    <w:rPr>
      <w:b/>
      <w:bCs/>
    </w:rPr>
  </w:style>
  <w:style w:type="character" w:customStyle="1" w:styleId="eop">
    <w:name w:val="eop"/>
    <w:basedOn w:val="DefaultParagraphFont"/>
    <w:rsid w:val="00E8217E"/>
  </w:style>
  <w:style w:type="paragraph" w:styleId="FootnoteText">
    <w:name w:val="footnote text"/>
    <w:basedOn w:val="Normal"/>
    <w:link w:val="FootnoteTextChar"/>
    <w:uiPriority w:val="99"/>
    <w:unhideWhenUsed/>
    <w:rsid w:val="00E8217E"/>
    <w:pPr>
      <w:spacing w:before="100" w:beforeAutospacing="1" w:after="100" w:afterAutospacing="1" w:line="240" w:lineRule="auto"/>
      <w:jc w:val="both"/>
    </w:pPr>
    <w:rPr>
      <w:rFonts w:ascii="Times New Roman" w:eastAsia="Times New Roman" w:hAnsi="Times New Roman" w:cs="Times New Roman"/>
      <w:kern w:val="0"/>
      <w:sz w:val="20"/>
      <w:szCs w:val="20"/>
      <w:lang w:eastAsia="en-IE"/>
    </w:rPr>
  </w:style>
  <w:style w:type="character" w:customStyle="1" w:styleId="FootnoteTextChar">
    <w:name w:val="Footnote Text Char"/>
    <w:basedOn w:val="DefaultParagraphFont"/>
    <w:link w:val="FootnoteText"/>
    <w:uiPriority w:val="99"/>
    <w:rsid w:val="00E8217E"/>
    <w:rPr>
      <w:rFonts w:ascii="Times New Roman" w:eastAsia="Times New Roman" w:hAnsi="Times New Roman" w:cs="Times New Roman"/>
      <w:kern w:val="0"/>
      <w:sz w:val="20"/>
      <w:szCs w:val="20"/>
      <w:lang w:val="hr-HR" w:eastAsia="en-IE"/>
    </w:rPr>
  </w:style>
  <w:style w:type="paragraph" w:styleId="CommentText">
    <w:name w:val="annotation text"/>
    <w:basedOn w:val="Normal"/>
    <w:link w:val="CommentTextChar"/>
    <w:uiPriority w:val="99"/>
    <w:unhideWhenUsed/>
    <w:rsid w:val="00E8217E"/>
    <w:pPr>
      <w:spacing w:before="100" w:beforeAutospacing="1" w:after="100" w:afterAutospacing="1" w:line="240" w:lineRule="auto"/>
      <w:jc w:val="both"/>
    </w:pPr>
    <w:rPr>
      <w:rFonts w:ascii="Times New Roman" w:eastAsia="Times New Roman" w:hAnsi="Times New Roman" w:cs="Times New Roman"/>
      <w:kern w:val="0"/>
      <w:sz w:val="20"/>
      <w:szCs w:val="20"/>
      <w:lang w:eastAsia="en-IE"/>
    </w:rPr>
  </w:style>
  <w:style w:type="character" w:customStyle="1" w:styleId="CommentTextChar">
    <w:name w:val="Comment Text Char"/>
    <w:basedOn w:val="DefaultParagraphFont"/>
    <w:link w:val="CommentText"/>
    <w:uiPriority w:val="99"/>
    <w:rsid w:val="00E8217E"/>
    <w:rPr>
      <w:rFonts w:ascii="Times New Roman" w:eastAsia="Times New Roman" w:hAnsi="Times New Roman" w:cs="Times New Roman"/>
      <w:kern w:val="0"/>
      <w:sz w:val="20"/>
      <w:szCs w:val="20"/>
      <w:lang w:val="hr-HR" w:eastAsia="en-IE"/>
    </w:rPr>
  </w:style>
  <w:style w:type="paragraph" w:styleId="CommentSubject">
    <w:name w:val="annotation subject"/>
    <w:basedOn w:val="CommentText"/>
    <w:next w:val="CommentText"/>
    <w:link w:val="CommentSubjectChar"/>
    <w:uiPriority w:val="99"/>
    <w:semiHidden/>
    <w:unhideWhenUsed/>
    <w:rsid w:val="00E8217E"/>
    <w:rPr>
      <w:b/>
      <w:bCs/>
    </w:rPr>
  </w:style>
  <w:style w:type="character" w:customStyle="1" w:styleId="CommentSubjectChar">
    <w:name w:val="Comment Subject Char"/>
    <w:basedOn w:val="CommentTextChar"/>
    <w:link w:val="CommentSubject"/>
    <w:uiPriority w:val="99"/>
    <w:semiHidden/>
    <w:rsid w:val="00E8217E"/>
    <w:rPr>
      <w:rFonts w:ascii="Times New Roman" w:eastAsia="Times New Roman" w:hAnsi="Times New Roman" w:cs="Times New Roman"/>
      <w:b/>
      <w:bCs/>
      <w:kern w:val="0"/>
      <w:sz w:val="20"/>
      <w:szCs w:val="20"/>
      <w:lang w:val="hr-HR" w:eastAsia="en-IE"/>
    </w:rPr>
  </w:style>
  <w:style w:type="paragraph" w:styleId="Revision">
    <w:name w:val="Revision"/>
    <w:hidden/>
    <w:uiPriority w:val="99"/>
    <w:semiHidden/>
    <w:rsid w:val="00E8217E"/>
    <w:pPr>
      <w:spacing w:after="0" w:line="240" w:lineRule="auto"/>
    </w:pPr>
    <w:rPr>
      <w:rFonts w:ascii="Calibri" w:hAnsi="Calibri" w:cs="Calibri"/>
      <w:kern w:val="0"/>
    </w:rPr>
  </w:style>
  <w:style w:type="character" w:customStyle="1" w:styleId="Hyperlink1">
    <w:name w:val="Hyperlink1"/>
    <w:basedOn w:val="DefaultParagraphFont"/>
    <w:uiPriority w:val="99"/>
    <w:unhideWhenUsed/>
    <w:rsid w:val="00E8217E"/>
    <w:rPr>
      <w:color w:val="0563C1"/>
      <w:u w:val="single"/>
    </w:rPr>
  </w:style>
  <w:style w:type="character" w:customStyle="1" w:styleId="UnresolvedMention1">
    <w:name w:val="Unresolved Mention1"/>
    <w:basedOn w:val="DefaultParagraphFont"/>
    <w:uiPriority w:val="99"/>
    <w:semiHidden/>
    <w:unhideWhenUsed/>
    <w:rsid w:val="00E8217E"/>
    <w:rPr>
      <w:color w:val="605E5C"/>
      <w:shd w:val="clear" w:color="auto" w:fill="E1DFDD"/>
    </w:rPr>
  </w:style>
  <w:style w:type="paragraph" w:styleId="NormalWeb">
    <w:name w:val="Normal (Web)"/>
    <w:basedOn w:val="Normal"/>
    <w:uiPriority w:val="99"/>
    <w:unhideWhenUsed/>
    <w:rsid w:val="00E8217E"/>
    <w:pPr>
      <w:spacing w:before="100" w:beforeAutospacing="1" w:after="100" w:afterAutospacing="1" w:line="240" w:lineRule="auto"/>
      <w:jc w:val="both"/>
    </w:pPr>
    <w:rPr>
      <w:rFonts w:ascii="Times New Roman" w:eastAsia="Times New Roman" w:hAnsi="Times New Roman" w:cs="Times New Roman"/>
      <w:kern w:val="0"/>
      <w:sz w:val="24"/>
      <w:szCs w:val="24"/>
      <w:lang w:eastAsia="en-IE"/>
    </w:rPr>
  </w:style>
  <w:style w:type="character" w:styleId="Emphasis">
    <w:name w:val="Emphasis"/>
    <w:basedOn w:val="DefaultParagraphFont"/>
    <w:uiPriority w:val="20"/>
    <w:qFormat/>
    <w:rsid w:val="00E8217E"/>
    <w:rPr>
      <w:i/>
      <w:iCs/>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E8217E"/>
  </w:style>
  <w:style w:type="table" w:styleId="TableGrid">
    <w:name w:val="Table Grid"/>
    <w:basedOn w:val="TableNormal"/>
    <w:uiPriority w:val="39"/>
    <w:rsid w:val="00E8217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NumPar">
    <w:name w:val="LegalNumPar"/>
    <w:basedOn w:val="Normal"/>
    <w:rsid w:val="00E8217E"/>
    <w:pPr>
      <w:numPr>
        <w:numId w:val="4"/>
      </w:numPr>
      <w:tabs>
        <w:tab w:val="num" w:pos="360"/>
      </w:tabs>
      <w:spacing w:before="100" w:beforeAutospacing="1" w:after="100" w:afterAutospacing="1" w:line="360" w:lineRule="auto"/>
      <w:ind w:left="0" w:firstLine="0"/>
      <w:jc w:val="both"/>
    </w:pPr>
    <w:rPr>
      <w:rFonts w:ascii="Times New Roman" w:eastAsia="Times New Roman" w:hAnsi="Times New Roman" w:cs="Times New Roman"/>
      <w:kern w:val="0"/>
      <w:sz w:val="24"/>
      <w:szCs w:val="24"/>
      <w:lang w:eastAsia="en-IE"/>
    </w:rPr>
  </w:style>
  <w:style w:type="paragraph" w:customStyle="1" w:styleId="LegalNumPar2">
    <w:name w:val="LegalNumPar2"/>
    <w:basedOn w:val="Normal"/>
    <w:rsid w:val="00E8217E"/>
    <w:pPr>
      <w:numPr>
        <w:ilvl w:val="1"/>
        <w:numId w:val="4"/>
      </w:numPr>
      <w:tabs>
        <w:tab w:val="num" w:pos="360"/>
      </w:tabs>
      <w:spacing w:before="100" w:beforeAutospacing="1" w:after="100" w:afterAutospacing="1" w:line="360" w:lineRule="auto"/>
      <w:ind w:left="0" w:firstLine="0"/>
      <w:jc w:val="both"/>
    </w:pPr>
    <w:rPr>
      <w:rFonts w:ascii="Times New Roman" w:eastAsia="Times New Roman" w:hAnsi="Times New Roman" w:cs="Times New Roman"/>
      <w:kern w:val="0"/>
      <w:sz w:val="24"/>
      <w:szCs w:val="24"/>
      <w:lang w:eastAsia="en-IE"/>
    </w:rPr>
  </w:style>
  <w:style w:type="paragraph" w:customStyle="1" w:styleId="LegalNumPar3">
    <w:name w:val="LegalNumPar3"/>
    <w:basedOn w:val="Normal"/>
    <w:rsid w:val="00E8217E"/>
    <w:pPr>
      <w:numPr>
        <w:ilvl w:val="2"/>
        <w:numId w:val="4"/>
      </w:numPr>
      <w:tabs>
        <w:tab w:val="num" w:pos="360"/>
      </w:tabs>
      <w:spacing w:before="100" w:beforeAutospacing="1" w:after="100" w:afterAutospacing="1" w:line="360" w:lineRule="auto"/>
      <w:ind w:left="0" w:firstLine="0"/>
      <w:jc w:val="both"/>
    </w:pPr>
    <w:rPr>
      <w:rFonts w:ascii="Times New Roman" w:eastAsia="Times New Roman" w:hAnsi="Times New Roman" w:cs="Times New Roman"/>
      <w:kern w:val="0"/>
      <w:sz w:val="24"/>
      <w:szCs w:val="24"/>
      <w:lang w:eastAsia="en-IE"/>
    </w:rPr>
  </w:style>
  <w:style w:type="paragraph" w:customStyle="1" w:styleId="Body">
    <w:name w:val="Body"/>
    <w:rsid w:val="00E8217E"/>
    <w:pPr>
      <w:pBdr>
        <w:top w:val="nil"/>
        <w:left w:val="nil"/>
        <w:bottom w:val="nil"/>
        <w:right w:val="nil"/>
        <w:between w:val="nil"/>
        <w:bar w:val="nil"/>
      </w:pBdr>
      <w:spacing w:after="200"/>
    </w:pPr>
    <w:rPr>
      <w:rFonts w:ascii="Calibri" w:eastAsia="Arial Unicode MS" w:hAnsi="Calibri" w:cs="Arial Unicode MS"/>
      <w:color w:val="000000"/>
      <w:kern w:val="0"/>
      <w:u w:color="000000"/>
      <w:bdr w:val="nil"/>
      <w:lang w:eastAsia="en-IE"/>
    </w:rPr>
  </w:style>
  <w:style w:type="character" w:customStyle="1" w:styleId="Mention1">
    <w:name w:val="Mention1"/>
    <w:basedOn w:val="DefaultParagraphFont"/>
    <w:uiPriority w:val="99"/>
    <w:unhideWhenUsed/>
    <w:rsid w:val="00E8217E"/>
    <w:rPr>
      <w:color w:val="2B579A"/>
      <w:shd w:val="clear" w:color="auto" w:fill="E1DFDD"/>
    </w:rPr>
  </w:style>
  <w:style w:type="character" w:customStyle="1" w:styleId="FollowedHyperlink1">
    <w:name w:val="FollowedHyperlink1"/>
    <w:basedOn w:val="DefaultParagraphFont"/>
    <w:uiPriority w:val="99"/>
    <w:semiHidden/>
    <w:unhideWhenUsed/>
    <w:rsid w:val="00E8217E"/>
    <w:rPr>
      <w:color w:val="954F72"/>
      <w:u w:val="single"/>
    </w:rPr>
  </w:style>
  <w:style w:type="paragraph" w:customStyle="1" w:styleId="TOCHeading1">
    <w:name w:val="TOC Heading1"/>
    <w:basedOn w:val="Heading1"/>
    <w:next w:val="Normal"/>
    <w:uiPriority w:val="39"/>
    <w:unhideWhenUsed/>
    <w:qFormat/>
    <w:rsid w:val="00E8217E"/>
    <w:pPr>
      <w:spacing w:before="240" w:after="0"/>
      <w:outlineLvl w:val="9"/>
    </w:pPr>
    <w:rPr>
      <w:kern w:val="0"/>
      <w:sz w:val="32"/>
      <w:szCs w:val="32"/>
      <w:u w:color="000000"/>
    </w:rPr>
  </w:style>
  <w:style w:type="paragraph" w:styleId="TOC1">
    <w:name w:val="toc 1"/>
    <w:basedOn w:val="Normal"/>
    <w:next w:val="Normal"/>
    <w:autoRedefine/>
    <w:uiPriority w:val="39"/>
    <w:unhideWhenUsed/>
    <w:rsid w:val="00E8217E"/>
    <w:pPr>
      <w:tabs>
        <w:tab w:val="left" w:pos="440"/>
        <w:tab w:val="right" w:leader="dot" w:pos="9350"/>
      </w:tabs>
      <w:spacing w:before="240" w:after="240" w:line="240" w:lineRule="auto"/>
    </w:pPr>
    <w:rPr>
      <w:rFonts w:ascii="Times New Roman" w:eastAsia="Times New Roman" w:hAnsi="Times New Roman" w:cs="Times New Roman"/>
      <w:b/>
      <w:bCs/>
      <w:noProof/>
      <w:kern w:val="0"/>
      <w:szCs w:val="28"/>
      <w:lang w:eastAsia="en-IE"/>
    </w:rPr>
  </w:style>
  <w:style w:type="paragraph" w:styleId="TOC2">
    <w:name w:val="toc 2"/>
    <w:basedOn w:val="Normal"/>
    <w:next w:val="Normal"/>
    <w:autoRedefine/>
    <w:uiPriority w:val="39"/>
    <w:unhideWhenUsed/>
    <w:rsid w:val="00E8217E"/>
    <w:pPr>
      <w:tabs>
        <w:tab w:val="left" w:pos="880"/>
        <w:tab w:val="right" w:leader="dot" w:pos="9350"/>
      </w:tabs>
      <w:spacing w:before="200" w:after="200" w:line="240" w:lineRule="auto"/>
      <w:ind w:left="221"/>
      <w:jc w:val="both"/>
    </w:pPr>
    <w:rPr>
      <w:rFonts w:ascii="Times New Roman" w:eastAsia="Times New Roman" w:hAnsi="Times New Roman" w:cs="Times New Roman"/>
      <w:bCs/>
      <w:noProof/>
      <w:kern w:val="0"/>
      <w:szCs w:val="24"/>
      <w:lang w:eastAsia="en-IE"/>
    </w:rPr>
  </w:style>
  <w:style w:type="paragraph" w:customStyle="1" w:styleId="TOC31">
    <w:name w:val="TOC 31"/>
    <w:basedOn w:val="Normal"/>
    <w:next w:val="Normal"/>
    <w:autoRedefine/>
    <w:uiPriority w:val="39"/>
    <w:unhideWhenUsed/>
    <w:rsid w:val="00E8217E"/>
    <w:pPr>
      <w:spacing w:after="0" w:line="240" w:lineRule="auto"/>
      <w:ind w:left="442"/>
    </w:pPr>
    <w:rPr>
      <w:rFonts w:ascii="Times New Roman" w:eastAsia="Yu Mincho" w:hAnsi="Times New Roman" w:cs="Times New Roman"/>
      <w:i/>
      <w:kern w:val="0"/>
    </w:rPr>
  </w:style>
  <w:style w:type="paragraph" w:customStyle="1" w:styleId="Action">
    <w:name w:val="Action"/>
    <w:basedOn w:val="Heading3"/>
    <w:next w:val="List"/>
    <w:qFormat/>
    <w:rsid w:val="00E8217E"/>
    <w:pPr>
      <w:spacing w:before="240" w:after="100" w:afterAutospacing="1" w:line="240" w:lineRule="auto"/>
    </w:pPr>
    <w:rPr>
      <w:rFonts w:ascii="Times New Roman" w:hAnsi="Times New Roman"/>
      <w:b/>
      <w:i/>
      <w:color w:val="auto"/>
      <w:kern w:val="0"/>
      <w:sz w:val="24"/>
      <w:szCs w:val="24"/>
      <w:u w:val="single"/>
      <w:lang w:eastAsia="en-IE"/>
    </w:rPr>
  </w:style>
  <w:style w:type="paragraph" w:styleId="List">
    <w:name w:val="List"/>
    <w:basedOn w:val="Normal"/>
    <w:uiPriority w:val="99"/>
    <w:semiHidden/>
    <w:unhideWhenUsed/>
    <w:rsid w:val="00E8217E"/>
    <w:pPr>
      <w:spacing w:before="100" w:beforeAutospacing="1" w:after="100" w:afterAutospacing="1" w:line="240" w:lineRule="auto"/>
      <w:ind w:left="283" w:hanging="283"/>
      <w:contextualSpacing/>
      <w:jc w:val="both"/>
    </w:pPr>
    <w:rPr>
      <w:rFonts w:ascii="Times New Roman" w:eastAsia="Times New Roman" w:hAnsi="Times New Roman" w:cs="Times New Roman"/>
      <w:kern w:val="0"/>
      <w:sz w:val="24"/>
      <w:szCs w:val="24"/>
      <w:lang w:eastAsia="en-IE"/>
    </w:rPr>
  </w:style>
  <w:style w:type="paragraph" w:customStyle="1" w:styleId="Caption1">
    <w:name w:val="Caption1"/>
    <w:basedOn w:val="Normal"/>
    <w:next w:val="Normal"/>
    <w:uiPriority w:val="35"/>
    <w:unhideWhenUsed/>
    <w:qFormat/>
    <w:rsid w:val="00E8217E"/>
    <w:pPr>
      <w:spacing w:beforeAutospacing="1" w:after="200" w:afterAutospacing="1" w:line="240" w:lineRule="auto"/>
      <w:jc w:val="both"/>
    </w:pPr>
    <w:rPr>
      <w:rFonts w:ascii="Times New Roman" w:eastAsia="Times New Roman" w:hAnsi="Times New Roman" w:cs="Times New Roman"/>
      <w:i/>
      <w:iCs/>
      <w:color w:val="44546A"/>
      <w:kern w:val="0"/>
      <w:sz w:val="18"/>
      <w:szCs w:val="18"/>
      <w:lang w:eastAsia="en-IE"/>
    </w:rPr>
  </w:style>
  <w:style w:type="character" w:customStyle="1" w:styleId="Marker">
    <w:name w:val="Marker"/>
    <w:basedOn w:val="DefaultParagraphFont"/>
    <w:rsid w:val="00E8217E"/>
    <w:rPr>
      <w:color w:val="0000FF"/>
      <w:shd w:val="clear" w:color="auto" w:fill="auto"/>
    </w:rPr>
  </w:style>
  <w:style w:type="paragraph" w:customStyle="1" w:styleId="Pagedecouverture">
    <w:name w:val="Page de couverture"/>
    <w:basedOn w:val="Normal"/>
    <w:next w:val="Normal"/>
    <w:link w:val="PagedecouvertureChar"/>
    <w:rsid w:val="00E8217E"/>
    <w:pPr>
      <w:spacing w:after="0" w:line="240" w:lineRule="auto"/>
      <w:jc w:val="both"/>
    </w:pPr>
    <w:rPr>
      <w:rFonts w:ascii="Times New Roman" w:hAnsi="Times New Roman" w:cs="Times New Roman"/>
      <w:kern w:val="0"/>
      <w:sz w:val="24"/>
    </w:rPr>
  </w:style>
  <w:style w:type="paragraph" w:customStyle="1" w:styleId="FooterCoverPage">
    <w:name w:val="Footer Cover Page"/>
    <w:basedOn w:val="Normal"/>
    <w:link w:val="FooterCoverPageChar"/>
    <w:rsid w:val="00E8217E"/>
    <w:pPr>
      <w:tabs>
        <w:tab w:val="center" w:pos="4535"/>
        <w:tab w:val="right" w:pos="9071"/>
        <w:tab w:val="right" w:pos="9921"/>
      </w:tabs>
      <w:spacing w:before="360" w:beforeAutospacing="1" w:after="0" w:afterAutospacing="1"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E8217E"/>
    <w:rPr>
      <w:rFonts w:ascii="Times New Roman" w:hAnsi="Times New Roman" w:cs="Times New Roman"/>
      <w:kern w:val="0"/>
      <w:sz w:val="24"/>
      <w:lang w:val="hr-HR"/>
    </w:rPr>
  </w:style>
  <w:style w:type="character" w:customStyle="1" w:styleId="FooterCoverPageChar">
    <w:name w:val="Footer Cover Page Char"/>
    <w:basedOn w:val="PagedecouvertureChar"/>
    <w:link w:val="FooterCoverPage"/>
    <w:rsid w:val="00E8217E"/>
    <w:rPr>
      <w:rFonts w:ascii="Times New Roman" w:hAnsi="Times New Roman" w:cs="Times New Roman"/>
      <w:kern w:val="0"/>
      <w:sz w:val="24"/>
      <w:lang w:val="hr-HR"/>
    </w:rPr>
  </w:style>
  <w:style w:type="paragraph" w:customStyle="1" w:styleId="FooterSensitivity">
    <w:name w:val="Footer Sensitivity"/>
    <w:basedOn w:val="Normal"/>
    <w:link w:val="FooterSensitivityChar"/>
    <w:rsid w:val="00E8217E"/>
    <w:pPr>
      <w:pBdr>
        <w:top w:val="single" w:sz="4" w:space="1" w:color="auto"/>
        <w:left w:val="single" w:sz="4" w:space="4" w:color="auto"/>
        <w:bottom w:val="single" w:sz="4" w:space="1" w:color="auto"/>
        <w:right w:val="single" w:sz="4" w:space="4" w:color="auto"/>
      </w:pBdr>
      <w:spacing w:before="360" w:beforeAutospacing="1" w:after="0" w:afterAutospacing="1"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E8217E"/>
    <w:rPr>
      <w:rFonts w:ascii="Times New Roman" w:hAnsi="Times New Roman" w:cs="Times New Roman"/>
      <w:b/>
      <w:kern w:val="0"/>
      <w:sz w:val="32"/>
      <w:lang w:val="hr-HR"/>
    </w:rPr>
  </w:style>
  <w:style w:type="paragraph" w:customStyle="1" w:styleId="HeaderCoverPage">
    <w:name w:val="Header Cover Page"/>
    <w:basedOn w:val="Normal"/>
    <w:link w:val="HeaderCoverPageChar"/>
    <w:rsid w:val="00E8217E"/>
    <w:pPr>
      <w:tabs>
        <w:tab w:val="center" w:pos="4535"/>
        <w:tab w:val="right" w:pos="9071"/>
      </w:tabs>
      <w:spacing w:beforeAutospacing="1" w:after="120" w:afterAutospacing="1"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E8217E"/>
    <w:rPr>
      <w:rFonts w:ascii="Times New Roman" w:hAnsi="Times New Roman" w:cs="Times New Roman"/>
      <w:kern w:val="0"/>
      <w:sz w:val="24"/>
      <w:lang w:val="hr-HR"/>
    </w:rPr>
  </w:style>
  <w:style w:type="paragraph" w:customStyle="1" w:styleId="HeaderSensitivity">
    <w:name w:val="Header Sensitivity"/>
    <w:basedOn w:val="Normal"/>
    <w:link w:val="HeaderSensitivityChar"/>
    <w:rsid w:val="00E8217E"/>
    <w:pPr>
      <w:pBdr>
        <w:top w:val="single" w:sz="4" w:space="1" w:color="auto"/>
        <w:left w:val="single" w:sz="4" w:space="4" w:color="auto"/>
        <w:bottom w:val="single" w:sz="4" w:space="1" w:color="auto"/>
        <w:right w:val="single" w:sz="4" w:space="4" w:color="auto"/>
      </w:pBdr>
      <w:spacing w:beforeAutospacing="1" w:after="120" w:afterAutospacing="1"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E8217E"/>
    <w:rPr>
      <w:rFonts w:ascii="Times New Roman" w:hAnsi="Times New Roman" w:cs="Times New Roman"/>
      <w:b/>
      <w:kern w:val="0"/>
      <w:sz w:val="32"/>
      <w:lang w:val="hr-HR"/>
    </w:rPr>
  </w:style>
  <w:style w:type="paragraph" w:customStyle="1" w:styleId="HeaderSensitivityRight">
    <w:name w:val="Header Sensitivity Right"/>
    <w:basedOn w:val="Normal"/>
    <w:link w:val="HeaderSensitivityRightChar"/>
    <w:rsid w:val="00E8217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E8217E"/>
    <w:rPr>
      <w:rFonts w:ascii="Times New Roman" w:hAnsi="Times New Roman" w:cs="Times New Roman"/>
      <w:kern w:val="0"/>
      <w:sz w:val="28"/>
      <w:lang w:val="hr-HR"/>
    </w:rPr>
  </w:style>
  <w:style w:type="character" w:customStyle="1" w:styleId="wacimagecontainer">
    <w:name w:val="wacimagecontainer"/>
    <w:basedOn w:val="DefaultParagraphFont"/>
    <w:rsid w:val="00E8217E"/>
  </w:style>
  <w:style w:type="paragraph" w:customStyle="1" w:styleId="pf0">
    <w:name w:val="pf0"/>
    <w:basedOn w:val="Normal"/>
    <w:rsid w:val="00E8217E"/>
    <w:pPr>
      <w:spacing w:before="100" w:beforeAutospacing="1" w:after="100" w:afterAutospacing="1" w:line="240" w:lineRule="auto"/>
    </w:pPr>
    <w:rPr>
      <w:rFonts w:ascii="Times New Roman" w:eastAsia="Times New Roman" w:hAnsi="Times New Roman" w:cs="Times New Roman"/>
      <w:kern w:val="0"/>
      <w:sz w:val="24"/>
      <w:szCs w:val="24"/>
      <w:lang w:eastAsia="en-IE"/>
    </w:rPr>
  </w:style>
  <w:style w:type="character" w:customStyle="1" w:styleId="cf01">
    <w:name w:val="cf01"/>
    <w:basedOn w:val="DefaultParagraphFont"/>
    <w:rsid w:val="00E8217E"/>
    <w:rPr>
      <w:rFonts w:ascii="Segoe UI" w:hAnsi="Segoe UI" w:cs="Segoe UI" w:hint="default"/>
      <w:sz w:val="18"/>
      <w:szCs w:val="18"/>
    </w:rPr>
  </w:style>
  <w:style w:type="paragraph" w:styleId="EndnoteText">
    <w:name w:val="endnote text"/>
    <w:basedOn w:val="Normal"/>
    <w:link w:val="EndnoteTextChar"/>
    <w:uiPriority w:val="99"/>
    <w:semiHidden/>
    <w:unhideWhenUsed/>
    <w:rsid w:val="00E8217E"/>
    <w:pPr>
      <w:spacing w:beforeAutospacing="1" w:after="0" w:afterAutospacing="1" w:line="240" w:lineRule="auto"/>
      <w:jc w:val="both"/>
    </w:pPr>
    <w:rPr>
      <w:rFonts w:ascii="Times New Roman" w:eastAsia="Times New Roman" w:hAnsi="Times New Roman" w:cs="Times New Roman"/>
      <w:kern w:val="0"/>
      <w:sz w:val="20"/>
      <w:szCs w:val="20"/>
      <w:lang w:eastAsia="en-IE"/>
    </w:rPr>
  </w:style>
  <w:style w:type="character" w:customStyle="1" w:styleId="EndnoteTextChar">
    <w:name w:val="Endnote Text Char"/>
    <w:basedOn w:val="DefaultParagraphFont"/>
    <w:link w:val="EndnoteText"/>
    <w:uiPriority w:val="99"/>
    <w:semiHidden/>
    <w:rsid w:val="00E8217E"/>
    <w:rPr>
      <w:rFonts w:ascii="Times New Roman" w:eastAsia="Times New Roman" w:hAnsi="Times New Roman" w:cs="Times New Roman"/>
      <w:kern w:val="0"/>
      <w:sz w:val="20"/>
      <w:szCs w:val="20"/>
      <w:lang w:val="hr-HR" w:eastAsia="en-IE"/>
    </w:rPr>
  </w:style>
  <w:style w:type="character" w:styleId="EndnoteReference">
    <w:name w:val="endnote reference"/>
    <w:basedOn w:val="DefaultParagraphFont"/>
    <w:uiPriority w:val="99"/>
    <w:semiHidden/>
    <w:unhideWhenUsed/>
    <w:rsid w:val="00E8217E"/>
    <w:rPr>
      <w:vertAlign w:val="superscript"/>
    </w:rPr>
  </w:style>
  <w:style w:type="character" w:customStyle="1" w:styleId="scxw102752301">
    <w:name w:val="scxw102752301"/>
    <w:basedOn w:val="DefaultParagraphFont"/>
    <w:rsid w:val="00E8217E"/>
  </w:style>
  <w:style w:type="table" w:customStyle="1" w:styleId="GridTable5Dark-Accent11">
    <w:name w:val="Grid Table 5 Dark - Accent 11"/>
    <w:basedOn w:val="TableNormal"/>
    <w:next w:val="GridTable5Dark-Accent1"/>
    <w:uiPriority w:val="50"/>
    <w:rsid w:val="00E8217E"/>
    <w:pPr>
      <w:spacing w:after="0" w:line="240" w:lineRule="auto"/>
    </w:pPr>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Disclaimer">
    <w:name w:val="Disclaimer"/>
    <w:basedOn w:val="Normal"/>
    <w:rsid w:val="00E8217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rPr>
  </w:style>
  <w:style w:type="paragraph" w:customStyle="1" w:styleId="SecurityMarking">
    <w:name w:val="SecurityMarking"/>
    <w:basedOn w:val="Normal"/>
    <w:rsid w:val="00E8217E"/>
    <w:pPr>
      <w:spacing w:after="0" w:line="276" w:lineRule="auto"/>
      <w:ind w:left="5103"/>
    </w:pPr>
    <w:rPr>
      <w:rFonts w:ascii="Times New Roman" w:hAnsi="Times New Roman" w:cs="Times New Roman"/>
      <w:kern w:val="0"/>
      <w:sz w:val="28"/>
    </w:rPr>
  </w:style>
  <w:style w:type="paragraph" w:customStyle="1" w:styleId="DateMarking">
    <w:name w:val="DateMarking"/>
    <w:basedOn w:val="Normal"/>
    <w:rsid w:val="00E8217E"/>
    <w:pPr>
      <w:spacing w:after="0" w:line="276" w:lineRule="auto"/>
      <w:ind w:left="5103"/>
    </w:pPr>
    <w:rPr>
      <w:rFonts w:ascii="Times New Roman" w:hAnsi="Times New Roman" w:cs="Times New Roman"/>
      <w:i/>
      <w:kern w:val="0"/>
      <w:sz w:val="28"/>
    </w:rPr>
  </w:style>
  <w:style w:type="paragraph" w:customStyle="1" w:styleId="ReleasableTo">
    <w:name w:val="ReleasableTo"/>
    <w:basedOn w:val="Normal"/>
    <w:rsid w:val="00E8217E"/>
    <w:pPr>
      <w:spacing w:after="0" w:line="276" w:lineRule="auto"/>
      <w:ind w:left="5103"/>
    </w:pPr>
    <w:rPr>
      <w:rFonts w:ascii="Times New Roman" w:hAnsi="Times New Roman" w:cs="Times New Roman"/>
      <w:i/>
      <w:kern w:val="0"/>
      <w:sz w:val="28"/>
    </w:rPr>
  </w:style>
  <w:style w:type="character" w:customStyle="1" w:styleId="UnresolvedMention2">
    <w:name w:val="Unresolved Mention2"/>
    <w:basedOn w:val="DefaultParagraphFont"/>
    <w:uiPriority w:val="99"/>
    <w:semiHidden/>
    <w:unhideWhenUsed/>
    <w:rsid w:val="00E8217E"/>
    <w:rPr>
      <w:color w:val="605E5C"/>
      <w:shd w:val="clear" w:color="auto" w:fill="E1DFDD"/>
    </w:rPr>
  </w:style>
  <w:style w:type="paragraph" w:styleId="PlainText">
    <w:name w:val="Plain Text"/>
    <w:basedOn w:val="Normal"/>
    <w:link w:val="PlainTextChar1"/>
    <w:uiPriority w:val="99"/>
    <w:semiHidden/>
    <w:unhideWhenUsed/>
    <w:rsid w:val="00E8217E"/>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E8217E"/>
    <w:rPr>
      <w:rFonts w:ascii="Consolas" w:hAnsi="Consolas"/>
      <w:sz w:val="21"/>
      <w:szCs w:val="21"/>
    </w:rPr>
  </w:style>
  <w:style w:type="character" w:styleId="Hyperlink">
    <w:name w:val="Hyperlink"/>
    <w:basedOn w:val="DefaultParagraphFont"/>
    <w:uiPriority w:val="99"/>
    <w:semiHidden/>
    <w:unhideWhenUsed/>
    <w:rsid w:val="00E8217E"/>
    <w:rPr>
      <w:color w:val="467886" w:themeColor="hyperlink"/>
      <w:u w:val="single"/>
    </w:rPr>
  </w:style>
  <w:style w:type="character" w:styleId="FollowedHyperlink">
    <w:name w:val="FollowedHyperlink"/>
    <w:basedOn w:val="DefaultParagraphFont"/>
    <w:uiPriority w:val="99"/>
    <w:semiHidden/>
    <w:unhideWhenUsed/>
    <w:rsid w:val="00E8217E"/>
    <w:rPr>
      <w:color w:val="96607D" w:themeColor="followedHyperlink"/>
      <w:u w:val="single"/>
    </w:rPr>
  </w:style>
  <w:style w:type="table" w:styleId="GridTable5Dark-Accent1">
    <w:name w:val="Grid Table 5 Dark Accent 1"/>
    <w:basedOn w:val="TableNormal"/>
    <w:uiPriority w:val="50"/>
    <w:rsid w:val="00E821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HR/TXT/PDF/?uri=CELEX:52023DC0141" TargetMode="External"/><Relationship Id="rId21" Type="http://schemas.openxmlformats.org/officeDocument/2006/relationships/hyperlink" Target="https://eur-lex.europa.eu/legal-content/HR/TXT/PDF/?uri=CELEX:32003L0096" TargetMode="External"/><Relationship Id="rId42" Type="http://schemas.openxmlformats.org/officeDocument/2006/relationships/hyperlink" Target="https://eur-lex.europa.eu/legal-content/HR/TXT/PDF/?uri=CELEX:32022R0869" TargetMode="External"/><Relationship Id="rId47" Type="http://schemas.openxmlformats.org/officeDocument/2006/relationships/hyperlink" Target="https://webgate.ec.europa.eu/fpfis/wikis/pages/viewpage.action?pageId=1707607425" TargetMode="External"/><Relationship Id="rId63" Type="http://schemas.openxmlformats.org/officeDocument/2006/relationships/hyperlink" Target="https://www.acer.europa.eu/sites/default/files/documents/en/The_agency/Documents/Presentation_TTE_Council_lunch_Barriers_to_DR.pdf" TargetMode="External"/><Relationship Id="rId68" Type="http://schemas.openxmlformats.org/officeDocument/2006/relationships/hyperlink" Target="https://smarten.eu/wp-content/uploads/2022/10/SmartEN-DSF-benefits-2030-Report_DIGITAL-1.pdf" TargetMode="External"/><Relationship Id="rId84" Type="http://schemas.openxmlformats.org/officeDocument/2006/relationships/hyperlink" Target="https://circabc.europa.eu/ui/group/418195ae-4919-45fa-a959-3b695c9aab28/library/b29b3be3-8085-4e2f-8095-74ad98d9166c/details" TargetMode="External"/><Relationship Id="rId89" Type="http://schemas.openxmlformats.org/officeDocument/2006/relationships/hyperlink" Target="https://eur-lex.europa.eu/legal-content/HR/TXT/PDF/?uri=CELEX:52023DC0634" TargetMode="External"/><Relationship Id="rId7" Type="http://schemas.openxmlformats.org/officeDocument/2006/relationships/hyperlink" Target="https://ember-energy.org/app/uploads/2025/01/EER_2025_22012025.pdf" TargetMode="External"/><Relationship Id="rId71" Type="http://schemas.openxmlformats.org/officeDocument/2006/relationships/hyperlink" Target="https://arxiv.org/pdf/2402.06711" TargetMode="External"/><Relationship Id="rId92" Type="http://schemas.openxmlformats.org/officeDocument/2006/relationships/hyperlink" Target="https://eur-lex.europa.eu/legal-content/HR/TXT/PDF/?uri=CELEX:32018R1999" TargetMode="External"/><Relationship Id="rId2" Type="http://schemas.openxmlformats.org/officeDocument/2006/relationships/hyperlink" Target="https://www.irena.org/-/media/Files/IRENA/Agency/Publication/2024/Oct/IRENA_Renewable_energy_and_jobs_2024.pdf" TargetMode="External"/><Relationship Id="rId16" Type="http://schemas.openxmlformats.org/officeDocument/2006/relationships/hyperlink" Target="https://publications.jrc.ec.europa.eu/repository/handle/JRC137685" TargetMode="External"/><Relationship Id="rId29" Type="http://schemas.openxmlformats.org/officeDocument/2006/relationships/hyperlink" Target="https://eur-lex.europa.eu/legal-content/HR/TXT/PDF/?uri=CELEX:32022L0542" TargetMode="External"/><Relationship Id="rId11" Type="http://schemas.openxmlformats.org/officeDocument/2006/relationships/hyperlink" Target="https://www.acer.europa.eu/sites/default/files/documents/Publications/ACER_2024_MMR_Crosszonal_electricity_trade_capacities.pdf" TargetMode="External"/><Relationship Id="rId24" Type="http://schemas.openxmlformats.org/officeDocument/2006/relationships/hyperlink" Target="https://www.bruegel.org/dataset/national-policies-shield-consumers-rising-energy-prices" TargetMode="External"/><Relationship Id="rId32" Type="http://schemas.openxmlformats.org/officeDocument/2006/relationships/hyperlink" Target="https://papers.ssrn.com/sol3/papers.cfm?abstract_id=4404024" TargetMode="External"/><Relationship Id="rId37" Type="http://schemas.openxmlformats.org/officeDocument/2006/relationships/hyperlink" Target="https://www.irena.org/-/media/Files/IRENA/Agency/Publication/2024/Sep/IRENA_Renewable_power_generation_costs_in_2023.pdf" TargetMode="External"/><Relationship Id="rId40" Type="http://schemas.openxmlformats.org/officeDocument/2006/relationships/hyperlink" Target="https://www.spglobal.com/market-intelligence/en/news-insights/articles/2022/7/german-grid-operator-decries-slow-permitting-after-17-year-approval-for-new-line-71213726" TargetMode="External"/><Relationship Id="rId45" Type="http://schemas.openxmlformats.org/officeDocument/2006/relationships/hyperlink" Target="https://www.reuters.com/business/energy/germany-sees-jump-wind-installations-new-laws-hike-activity-2024-02-08/" TargetMode="External"/><Relationship Id="rId53" Type="http://schemas.openxmlformats.org/officeDocument/2006/relationships/hyperlink" Target="https://www.cre.fr/fileadmin/Documents/Actualites/import/230302_Delib_2023-75_CBCA_Golfe_de_Gascogne_01.pdf" TargetMode="External"/><Relationship Id="rId58" Type="http://schemas.openxmlformats.org/officeDocument/2006/relationships/hyperlink" Target="https://ec.europa.eu/transparency/documents-register/detail?ref=COM(2025)46&amp;lang=hr" TargetMode="External"/><Relationship Id="rId66" Type="http://schemas.openxmlformats.org/officeDocument/2006/relationships/hyperlink" Target="https://rebooteurope.eu/energy-climate-transition-how-to-strengthen-eu-competitiveness/" TargetMode="External"/><Relationship Id="rId74" Type="http://schemas.openxmlformats.org/officeDocument/2006/relationships/hyperlink" Target="https://smarten.eu/wp-content/uploads/2022/10/SmartEN-DSF-benefits-2030-Report_DIGITAL-1.pdf" TargetMode="External"/><Relationship Id="rId79" Type="http://schemas.openxmlformats.org/officeDocument/2006/relationships/hyperlink" Target="https://doi.org/10.1007/s11151-019-09697-3" TargetMode="External"/><Relationship Id="rId87" Type="http://schemas.openxmlformats.org/officeDocument/2006/relationships/hyperlink" Target="https://art19.com/shows/thoughts-on-the-market/episodes/39a0ce2a-6355-4c50-b84d-6bc365c63f22" TargetMode="External"/><Relationship Id="rId102" Type="http://schemas.openxmlformats.org/officeDocument/2006/relationships/hyperlink" Target="https://energy.ec.europa.eu/topics/renewable-energy/solar-energy/european-solar-charter_en" TargetMode="External"/><Relationship Id="rId5" Type="http://schemas.openxmlformats.org/officeDocument/2006/relationships/hyperlink" Target="https://eur-lex.europa.eu/resource.html?uri=cellar:6c154426-c5a6-11ee-95d9-01aa75ed71a1.0001.02/DOC_3&amp;format=PDF" TargetMode="External"/><Relationship Id="rId61" Type="http://schemas.openxmlformats.org/officeDocument/2006/relationships/hyperlink" Target="https://op.europa.eu/en/publication-detail/-/publication/4e44333b-b77a-11ef-91ed-01aa75ed71a1/language-en" TargetMode="External"/><Relationship Id="rId82" Type="http://schemas.openxmlformats.org/officeDocument/2006/relationships/hyperlink" Target="https://eprel.ec.europa.eu/screen/home" TargetMode="External"/><Relationship Id="rId90" Type="http://schemas.openxmlformats.org/officeDocument/2006/relationships/hyperlink" Target="https://eur-lex.europa.eu/legal-content/HR/TXT/PDF/?uri=OJ:L_202401735" TargetMode="External"/><Relationship Id="rId95" Type="http://schemas.openxmlformats.org/officeDocument/2006/relationships/hyperlink" Target="https://publications.jrc.ec.europa.eu/repository/handle/JRC137685" TargetMode="External"/><Relationship Id="rId19" Type="http://schemas.openxmlformats.org/officeDocument/2006/relationships/hyperlink" Target="https://www.benelux.int/nl/etude/power-system-flexibility-in-the-penta-region-current-state-and-challenges-for-a-future-decarbonised-energy-system-2/" TargetMode="External"/><Relationship Id="rId14" Type="http://schemas.openxmlformats.org/officeDocument/2006/relationships/hyperlink" Target="https://www.imf.org/en/News/Articles/2025/01/13/sp-integrating-the-eu-energy-market-to-foster-growth-and-resilience" TargetMode="External"/><Relationship Id="rId22" Type="http://schemas.openxmlformats.org/officeDocument/2006/relationships/hyperlink" Target="https://eur-lex.europa.eu/legal-content/HR/TXT/?uri=COM%3A2023%3A650%3AFIN&amp;qid=1698237100377" TargetMode="External"/><Relationship Id="rId27" Type="http://schemas.openxmlformats.org/officeDocument/2006/relationships/hyperlink" Target="https://eur-lex.europa.eu/legal-content/HR/TXT/PDF/?uri=CELEX:32003L0096" TargetMode="External"/><Relationship Id="rId30" Type="http://schemas.openxmlformats.org/officeDocument/2006/relationships/hyperlink" Target="https://www.ceer.eu/wp-content/uploads/2024/09/ACER-CEER_2024_MMR_Retail-1.pdf" TargetMode="External"/><Relationship Id="rId35" Type="http://schemas.openxmlformats.org/officeDocument/2006/relationships/hyperlink" Target="https://advisory.eib.org/publications/attachments/commercial-power-purchase-agreements.pdf" TargetMode="External"/><Relationship Id="rId43" Type="http://schemas.openxmlformats.org/officeDocument/2006/relationships/hyperlink" Target="https://eur-lex.europa.eu/legal-content/HR/TXT/PDF/?uri=OJ:L_202401788" TargetMode="External"/><Relationship Id="rId48" Type="http://schemas.openxmlformats.org/officeDocument/2006/relationships/hyperlink" Target="https://eur-lex.europa.eu/legal-content/HR/TXT/PDF/?uri=CELEX:32021R0240" TargetMode="External"/><Relationship Id="rId56" Type="http://schemas.openxmlformats.org/officeDocument/2006/relationships/hyperlink" Target="https://www.svk.se/en/grid-development/grid-projects/hansa-powerbridge/" TargetMode="External"/><Relationship Id="rId64" Type="http://schemas.openxmlformats.org/officeDocument/2006/relationships/hyperlink" Target="https://www.acer.europa.eu/sites/default/files/documents/en/The_agency/Documents/Presentation_TTE_Council_lunch_Barriers_to_DR.pdf" TargetMode="External"/><Relationship Id="rId69" Type="http://schemas.openxmlformats.org/officeDocument/2006/relationships/hyperlink" Target="https://smarten.eu/wp-content/uploads/2022/10/SmartEN-DSF-benefits-2030-Report_DIGITAL-1.pdf" TargetMode="External"/><Relationship Id="rId77" Type="http://schemas.openxmlformats.org/officeDocument/2006/relationships/hyperlink" Target="https://www.bruegel.org/policy-brief/decarbonising-competitiveness-four-ways-reduce-european-energy-prices" TargetMode="External"/><Relationship Id="rId100" Type="http://schemas.openxmlformats.org/officeDocument/2006/relationships/hyperlink" Target="https://doi.org/10.1002/er.7032" TargetMode="External"/><Relationship Id="rId8" Type="http://schemas.openxmlformats.org/officeDocument/2006/relationships/hyperlink" Target="https://ec.europa.eu/eurostat/databrowser/view/nrg_pc_204_c/default/table?lang=en&amp;category=nrg.nrg_price.nrg_pc" TargetMode="External"/><Relationship Id="rId51" Type="http://schemas.openxmlformats.org/officeDocument/2006/relationships/hyperlink" Target="https://www.acer.europa.eu/sites/default/files/documents/Publications/ACER_2024_Monitoring_Electricity_Infrastructure.pdf" TargetMode="External"/><Relationship Id="rId72" Type="http://schemas.openxmlformats.org/officeDocument/2006/relationships/hyperlink" Target="https://arxiv.org/pdf/2402.06711" TargetMode="External"/><Relationship Id="rId80" Type="http://schemas.openxmlformats.org/officeDocument/2006/relationships/hyperlink" Target="https://doi.org/10.1007/s11151-019-09697-3" TargetMode="External"/><Relationship Id="rId85" Type="http://schemas.openxmlformats.org/officeDocument/2006/relationships/hyperlink" Target="https://eur-lex.europa.eu/legal-content/HR/TXT/?uri=CELEX%3A52022XC0504(01)&amp;qid=1651649049970" TargetMode="External"/><Relationship Id="rId93" Type="http://schemas.openxmlformats.org/officeDocument/2006/relationships/hyperlink" Target="https://eur-lex.europa.eu/resource.html?uri=cellar:b85b4466-713c-11ef-a8ba-01aa75ed71a1.0017.02/DOC_1&amp;format=PDF" TargetMode="External"/><Relationship Id="rId98" Type="http://schemas.openxmlformats.org/officeDocument/2006/relationships/hyperlink" Target="https://www.transportenvironment.org/uploads/files/2024_10_Study_V2G_EU-Potential_Final.pdf" TargetMode="External"/><Relationship Id="rId3" Type="http://schemas.openxmlformats.org/officeDocument/2006/relationships/hyperlink" Target="https://commission.europa.eu/document/download/ec1409c1-d4b4-4882-8bdd-3519f86bbb92_en" TargetMode="External"/><Relationship Id="rId12" Type="http://schemas.openxmlformats.org/officeDocument/2006/relationships/hyperlink" Target="https://publications.jrc.ec.europa.eu/repository/handle/JRC137685" TargetMode="External"/><Relationship Id="rId17" Type="http://schemas.openxmlformats.org/officeDocument/2006/relationships/hyperlink" Target="https://publications.jrc.ec.europa.eu/repository/handle/JRC137685" TargetMode="External"/><Relationship Id="rId25" Type="http://schemas.openxmlformats.org/officeDocument/2006/relationships/hyperlink" Target="https://doi.org/10.1016/j.enpol.2024.114051" TargetMode="External"/><Relationship Id="rId33" Type="http://schemas.openxmlformats.org/officeDocument/2006/relationships/hyperlink" Target="https://papers.ssrn.com/sol3/papers.cfm?abstract_id=4404024" TargetMode="External"/><Relationship Id="rId38" Type="http://schemas.openxmlformats.org/officeDocument/2006/relationships/hyperlink" Target="https://eudsoentity.eu/wp-content/uploads/2025/01/2025-Permitting-Paper-DSOEntity-1.pdf" TargetMode="External"/><Relationship Id="rId46" Type="http://schemas.openxmlformats.org/officeDocument/2006/relationships/hyperlink" Target="https://www.ca-res.eu/" TargetMode="External"/><Relationship Id="rId59" Type="http://schemas.openxmlformats.org/officeDocument/2006/relationships/hyperlink" Target="https://www.acer.europa.eu/sites/default/files/documents/Publications/2023_MMR_MACZT.pdf" TargetMode="External"/><Relationship Id="rId67" Type="http://schemas.openxmlformats.org/officeDocument/2006/relationships/hyperlink" Target="https://rebooteurope.eu/energy-climate-transition-how-to-strengthen-eu-competitiveness/" TargetMode="External"/><Relationship Id="rId103" Type="http://schemas.openxmlformats.org/officeDocument/2006/relationships/hyperlink" Target="https://ec.europa.eu/eurostat/statistics-explained/index.php?title=Government_expenditure_on_economic_affairs" TargetMode="External"/><Relationship Id="rId20" Type="http://schemas.openxmlformats.org/officeDocument/2006/relationships/hyperlink" Target="https://www.acer.europa.eu/sites/default/files/documents/Publications/ACER_2024_Monitoring_Electricity_Infrastructure.pdf" TargetMode="External"/><Relationship Id="rId41" Type="http://schemas.openxmlformats.org/officeDocument/2006/relationships/hyperlink" Target="https://eur-lex.europa.eu/legal-content/HR/TXT/PDF/?uri=OJ:L_202302413" TargetMode="External"/><Relationship Id="rId54" Type="http://schemas.openxmlformats.org/officeDocument/2006/relationships/hyperlink" Target="https://www.brusselstimes.com/1309535/elia-defends-the-relevance-of-north-sea-energy-island-project" TargetMode="External"/><Relationship Id="rId62" Type="http://schemas.openxmlformats.org/officeDocument/2006/relationships/hyperlink" Target="https://powersummit2024.eurelectric.org/wp-content/uploads/2024/07/Grids-for-Speed_Report_FINAL_Clean.pdf" TargetMode="External"/><Relationship Id="rId70" Type="http://schemas.openxmlformats.org/officeDocument/2006/relationships/hyperlink" Target="https://www.ceer.eu/wp-content/uploads/2024/09/ACER-CEER_2024_MMR_Retail-1.pdf" TargetMode="External"/><Relationship Id="rId75" Type="http://schemas.openxmlformats.org/officeDocument/2006/relationships/hyperlink" Target="https://smarten.eu/wp-content/uploads/2022/10/SmartEN-DSF-benefits-2030-Report_DIGITAL-1.pdf" TargetMode="External"/><Relationship Id="rId83" Type="http://schemas.openxmlformats.org/officeDocument/2006/relationships/hyperlink" Target="https://webgate.ec.europa.eu/single-market-compliance-space/market-surveillance" TargetMode="External"/><Relationship Id="rId88" Type="http://schemas.openxmlformats.org/officeDocument/2006/relationships/hyperlink" Target="https://data.consilium.europa.eu/doc/document/ST-4-2023-INIT/hr/pdf" TargetMode="External"/><Relationship Id="rId91" Type="http://schemas.openxmlformats.org/officeDocument/2006/relationships/hyperlink" Target="https://ec.europa.eu/economy_finance/recovery-and-resilience-scoreboard/green.html" TargetMode="External"/><Relationship Id="rId96" Type="http://schemas.openxmlformats.org/officeDocument/2006/relationships/hyperlink" Target="https://api.solarpowereurope.org/uploads/Mission_Solar_2040_mr_V01_1e46e7d130.pdf" TargetMode="External"/><Relationship Id="rId1" Type="http://schemas.openxmlformats.org/officeDocument/2006/relationships/hyperlink" Target="https://op.europa.eu/en/publication-detail/-/publication/78756c15-f263-11ef-981b-01aa75ed71a1/language-en" TargetMode="External"/><Relationship Id="rId6" Type="http://schemas.openxmlformats.org/officeDocument/2006/relationships/hyperlink" Target="https://ec.europa.eu/eurostat/statistics-explained/index.php?title=Natural_gas_supply_statistics" TargetMode="External"/><Relationship Id="rId15" Type="http://schemas.openxmlformats.org/officeDocument/2006/relationships/hyperlink" Target="https://www.raponline.org/wp-content/uploads/2023/09/rap-pb-mh-ck-benefits-european-market-integration-2018-may-21.pdfhttps:/www.raponline.org/wp-content/uploads/2023/09/rap-pb-mh-ck-benefits-european-market-integration-2018-may-21.pdfhttps:/www.raponline.org/wp-content/uploads/2023/09/rap-pb-mh-ck-benefits-european-market-integration-2018-may-21.pdf" TargetMode="External"/><Relationship Id="rId23" Type="http://schemas.openxmlformats.org/officeDocument/2006/relationships/hyperlink" Target="https://energy.ec.europa.eu/system/files/2023-10/SWD_2023_647_F1_OTHER_STAFF_WORKING_PAPER_EN_V5_P1_3016190.PDF" TargetMode="External"/><Relationship Id="rId28" Type="http://schemas.openxmlformats.org/officeDocument/2006/relationships/hyperlink" Target="https://eur-lex.europa.eu/legal-content/HR/TXT/PDF/?uri=CELEX:32006L0112" TargetMode="External"/><Relationship Id="rId36" Type="http://schemas.openxmlformats.org/officeDocument/2006/relationships/hyperlink" Target="https://www.bruegel.org/policy-brief/phased-european-union-electricity-market-reform" TargetMode="External"/><Relationship Id="rId49" Type="http://schemas.openxmlformats.org/officeDocument/2006/relationships/hyperlink" Target="https://eur-lex.europa.eu/legal-content/HR/TXT/PDF/?uri=CELEX:52023DC0757" TargetMode="External"/><Relationship Id="rId57" Type="http://schemas.openxmlformats.org/officeDocument/2006/relationships/hyperlink" Target="https://commission.europa.eu/document/download/6d47acb4-9206-4d0f-8f9b-3b10cad7b1ed_en" TargetMode="External"/><Relationship Id="rId10" Type="http://schemas.openxmlformats.org/officeDocument/2006/relationships/hyperlink" Target="https://acer.europa.eu/sites/default/files/documents/Publications/ACER_2024_Monitoring_Electricity_Infrastructure.pdf" TargetMode="External"/><Relationship Id="rId31" Type="http://schemas.openxmlformats.org/officeDocument/2006/relationships/hyperlink" Target="https://www.acer.europa.eu/sites/default/files/documents/Publications/MMR_2021_Energy_Retail_Consumer_Protection_Volume.pdf" TargetMode="External"/><Relationship Id="rId44" Type="http://schemas.openxmlformats.org/officeDocument/2006/relationships/hyperlink" Target="https://www.bundesnetzagentur.de/SharedDocs/Downloads/DE/Sachgebiete/Energie/Unternehmen_Institutionen/ErneuerbareEnergien/ZahlenDatenInformationen/EEStatistikMaStR2.pdf?__blob=publicationFile&amp;v=30" TargetMode="External"/><Relationship Id="rId52" Type="http://schemas.openxmlformats.org/officeDocument/2006/relationships/hyperlink" Target="https://www.cre.fr/fileadmin/Documents/Deliberations/import/221103_2022-277_Reexamen_CBCA_Celtic-en.pdf" TargetMode="External"/><Relationship Id="rId60" Type="http://schemas.openxmlformats.org/officeDocument/2006/relationships/hyperlink" Target="https://eepublicdownloads.blob.core.windows.net/public-cdn-container/tyndp-documents/TYNDP2022/public/system-needs-report.pdf" TargetMode="External"/><Relationship Id="rId65" Type="http://schemas.openxmlformats.org/officeDocument/2006/relationships/hyperlink" Target="https://www.ceer.eu/publication/acer-ceer-2024-market-monitoring-report-energy-retail-and-consumer-protection/" TargetMode="External"/><Relationship Id="rId73" Type="http://schemas.openxmlformats.org/officeDocument/2006/relationships/hyperlink" Target="https://cdn.sanity.io/files/5zabm86v/production/0be084741ea40ca00e300690ecbff163fda8426f.pdf" TargetMode="External"/><Relationship Id="rId78" Type="http://schemas.openxmlformats.org/officeDocument/2006/relationships/hyperlink" Target="https://www.iea.org/commentaries/despite-short-term-pain-the-eu-s-liberalised-gas-markets-have-brought-long-term-financial-gains" TargetMode="External"/><Relationship Id="rId81" Type="http://schemas.openxmlformats.org/officeDocument/2006/relationships/hyperlink" Target="https://publications.jrc.ec.europa.eu/repository/handle/JRC133984" TargetMode="External"/><Relationship Id="rId86" Type="http://schemas.openxmlformats.org/officeDocument/2006/relationships/hyperlink" Target="https://op.europa.eu/en/publication-detail/-/publication/f6822d03-cedb-11ee-b9d9-01aa75ed71a1" TargetMode="External"/><Relationship Id="rId94" Type="http://schemas.openxmlformats.org/officeDocument/2006/relationships/hyperlink" Target="https://energy.ec.europa.eu/data-and-analysis/energy-prices-and-costs-europe_en" TargetMode="External"/><Relationship Id="rId99" Type="http://schemas.openxmlformats.org/officeDocument/2006/relationships/hyperlink" Target="https://www.oxfordenergy.org/wpcms/wp-content/uploads/2023/04/Insight-128-The-implication-of-digitalization-on-future-electricity-market-design.pdf" TargetMode="External"/><Relationship Id="rId101" Type="http://schemas.openxmlformats.org/officeDocument/2006/relationships/hyperlink" Target="https://energy.ec.europa.eu/system/files/2023-12/Charter_logos_final_02.pdf" TargetMode="External"/><Relationship Id="rId4" Type="http://schemas.openxmlformats.org/officeDocument/2006/relationships/hyperlink" Target="https://commission.europa.eu/document/download/10017eb1-4722-4333-add2-e0ed18105a34_en" TargetMode="External"/><Relationship Id="rId9" Type="http://schemas.openxmlformats.org/officeDocument/2006/relationships/hyperlink" Target="https://ec.europa.eu/eurostat/databrowser/view/nrg_pc_205_c/default/table?lang=en&amp;category=nrg.nrg_price.nrg_pc" TargetMode="External"/><Relationship Id="rId13" Type="http://schemas.openxmlformats.org/officeDocument/2006/relationships/hyperlink" Target="https://www.acer.europa.eu/sites/default/files/documents/Publications/Final_Assessment_EU_Wholesale_Electricity_Market_Design.pdf" TargetMode="External"/><Relationship Id="rId18" Type="http://schemas.openxmlformats.org/officeDocument/2006/relationships/hyperlink" Target="https://publications.jrc.ec.europa.eu/repository/handle/JRC137685" TargetMode="External"/><Relationship Id="rId39" Type="http://schemas.openxmlformats.org/officeDocument/2006/relationships/hyperlink" Target="https://www.50hertz.com/en/Grid/Griddevelopement/Onshoreprojects/UckermarkLine/" TargetMode="External"/><Relationship Id="rId34" Type="http://schemas.openxmlformats.org/officeDocument/2006/relationships/hyperlink" Target="https://resource-platform.eu/buyers-toolkit2/ppa-deal-tracker/" TargetMode="External"/><Relationship Id="rId50" Type="http://schemas.openxmlformats.org/officeDocument/2006/relationships/hyperlink" Target="https://publications.jrc.ec.europa.eu/repository/handle/JRC137685" TargetMode="External"/><Relationship Id="rId55" Type="http://schemas.openxmlformats.org/officeDocument/2006/relationships/hyperlink" Target="https://www.brusselstimes.com/1299608/princess-elisabeth-island-energy-minister-defends-renewables-project-as-costs-soar" TargetMode="External"/><Relationship Id="rId76" Type="http://schemas.openxmlformats.org/officeDocument/2006/relationships/hyperlink" Target="https://www.bruegel.org/policy-brief/decarbonising-competitiveness-four-ways-reduce-european-energy-prices" TargetMode="External"/><Relationship Id="rId97" Type="http://schemas.openxmlformats.org/officeDocument/2006/relationships/hyperlink" Target="https://api.solarpowereurope.org/uploads/Mission_Solar_2040_mr_V01_1e46e7d130.pdf" TargetMode="External"/><Relationship Id="rId104" Type="http://schemas.openxmlformats.org/officeDocument/2006/relationships/hyperlink" Target="https://eur-lex.europa.eu/resource.html?uri=cellar:6c154426-c5a6-11ee-95d9-01aa75ed71a1.0001.02/DOC_3&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4D97-48D0-4ED3-B9EE-F6FA439E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11471</Words>
  <Characters>65389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cp:lastPrinted>2025-02-25T22:30:00Z</cp:lastPrinted>
  <dcterms:created xsi:type="dcterms:W3CDTF">2025-02-25T22:19:00Z</dcterms:created>
  <dcterms:modified xsi:type="dcterms:W3CDTF">2025-03-25T14:15:00Z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2025-02-25T21:32:54Z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22ad4764-8e87-49a1-a3b4-9c6761615e43</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9.1, Build 20240808</vt:lpwstr>
  </property>
  <property fmtid="{D5CDD505-2E9C-101B-9397-08002B2CF9AE}" pid="15" name="Created using">
    <vt:lpwstr>LW 9.1, Build 20240808</vt:lpwstr>
  </property>
  <property name="OP_sanitized" fmtid="{D5CDD505-2E9C-101B-9397-08002B2CF9AE}" pid="16">
    <vt:lpwstr>True</vt:lpwstr>
  </property>
</Properties>
</file>