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A6064" w14:textId="5B23E10D" w:rsidR="00042073" w:rsidRDefault="00A82FC7" w:rsidP="00A82FC7">
      <w:pPr>
        <w:pStyle w:val="Pagedecouverture"/>
        <w:rPr>
          <w:noProof/>
        </w:rPr>
      </w:pPr>
      <w:bookmarkStart w:id="0" w:name="LW_BM_COVERPAGE"/>
      <w:r>
        <w:rPr>
          <w:noProof/>
        </w:rPr>
        <w:pict w14:anchorId="79EF0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D7651FD-0E15-4784-95C3-D02DC800DE30" style="width:455.25pt;height:324pt">
            <v:imagedata r:id="rId11" o:title=""/>
          </v:shape>
        </w:pict>
      </w:r>
    </w:p>
    <w:bookmarkEnd w:id="0"/>
    <w:p w14:paraId="7F8627BD" w14:textId="77777777" w:rsidR="00A82FC7" w:rsidRPr="00A82FC7" w:rsidRDefault="00A82FC7" w:rsidP="00A82FC7">
      <w:pPr>
        <w:pStyle w:val="Pagedecouverture"/>
        <w:sectPr w:rsidR="00A82FC7" w:rsidRPr="00A82FC7" w:rsidSect="00A82FC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77BFE8E" w14:textId="431CD941" w:rsidR="00470393" w:rsidRPr="00A76AD2" w:rsidRDefault="00470393" w:rsidP="00042073">
      <w:pPr>
        <w:pStyle w:val="TOCHeading"/>
        <w:spacing w:before="0" w:after="120" w:line="240" w:lineRule="auto"/>
        <w:rPr>
          <w:rFonts w:ascii="Times New Roman" w:eastAsia="Times New Roman" w:hAnsi="Times New Roman" w:cs="Times New Roman"/>
          <w:noProof/>
          <w:color w:val="auto"/>
          <w:sz w:val="24"/>
          <w:szCs w:val="24"/>
        </w:rPr>
      </w:pPr>
      <w:bookmarkStart w:id="1" w:name="_GoBack"/>
      <w:bookmarkEnd w:id="1"/>
    </w:p>
    <w:sdt>
      <w:sdtPr>
        <w:rPr>
          <w:rFonts w:ascii="Times New Roman" w:eastAsia="Times New Roman" w:hAnsi="Times New Roman" w:cs="Times New Roman"/>
          <w:noProof/>
          <w:color w:val="auto"/>
          <w:sz w:val="24"/>
          <w:szCs w:val="24"/>
        </w:rPr>
        <w:id w:val="-46372658"/>
        <w:docPartObj>
          <w:docPartGallery w:val="Table of Contents"/>
          <w:docPartUnique/>
        </w:docPartObj>
      </w:sdtPr>
      <w:sdtEndPr/>
      <w:sdtContent>
        <w:p w14:paraId="17F9EF3B" w14:textId="6C1EDFC8" w:rsidR="00282B17" w:rsidRPr="00A76AD2" w:rsidRDefault="00A33633" w:rsidP="00E13694">
          <w:pPr>
            <w:pStyle w:val="TOCHeading"/>
            <w:spacing w:before="0" w:after="120" w:line="240" w:lineRule="auto"/>
            <w:jc w:val="center"/>
            <w:rPr>
              <w:rFonts w:ascii="Times New Roman" w:hAnsi="Times New Roman" w:cs="Times New Roman"/>
              <w:b/>
              <w:noProof/>
              <w:color w:val="auto"/>
            </w:rPr>
          </w:pPr>
          <w:r w:rsidRPr="00A76AD2">
            <w:rPr>
              <w:rFonts w:ascii="Times New Roman" w:hAnsi="Times New Roman"/>
              <w:b/>
              <w:noProof/>
              <w:color w:val="auto"/>
            </w:rPr>
            <w:t>Sadržaj</w:t>
          </w:r>
        </w:p>
        <w:p w14:paraId="6A5B63E7" w14:textId="77777777" w:rsidR="00282B17" w:rsidRPr="00A76AD2" w:rsidRDefault="00282B17">
          <w:pPr>
            <w:rPr>
              <w:noProof/>
              <w:sz w:val="24"/>
              <w:szCs w:val="24"/>
            </w:rPr>
          </w:pPr>
        </w:p>
        <w:p w14:paraId="60B0DF20" w14:textId="61C02E93" w:rsidR="00AE20FA" w:rsidRDefault="00A33633">
          <w:pPr>
            <w:pStyle w:val="TOC1"/>
            <w:rPr>
              <w:rFonts w:asciiTheme="minorHAnsi" w:eastAsiaTheme="minorEastAsia" w:hAnsiTheme="minorHAnsi" w:cstheme="minorBidi"/>
              <w:noProof/>
              <w:kern w:val="2"/>
              <w:lang w:eastAsia="hr-HR"/>
              <w14:ligatures w14:val="standardContextual"/>
            </w:rPr>
          </w:pPr>
          <w:r w:rsidRPr="00A76AD2">
            <w:rPr>
              <w:rStyle w:val="SubtleReference"/>
              <w:noProof/>
            </w:rPr>
            <w:fldChar w:fldCharType="begin"/>
          </w:r>
          <w:r w:rsidRPr="00A76AD2">
            <w:rPr>
              <w:rStyle w:val="SubtleReference"/>
              <w:noProof/>
            </w:rPr>
            <w:instrText xml:space="preserve"> TOC \o "1-3" \h \z \u </w:instrText>
          </w:r>
          <w:r w:rsidRPr="00A76AD2">
            <w:rPr>
              <w:rStyle w:val="SubtleReference"/>
              <w:noProof/>
            </w:rPr>
            <w:fldChar w:fldCharType="separate"/>
          </w:r>
          <w:hyperlink w:anchor="_Toc173936639" w:history="1">
            <w:r w:rsidR="00AE20FA" w:rsidRPr="003800CF">
              <w:rPr>
                <w:rStyle w:val="Hyperlink"/>
                <w:b/>
                <w:caps/>
                <w:smallCaps/>
                <w:noProof/>
              </w:rPr>
              <w:t>1.</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b/>
                <w:caps/>
                <w:smallCaps/>
                <w:noProof/>
              </w:rPr>
              <w:t>Uvod</w:t>
            </w:r>
            <w:r w:rsidR="00AE20FA">
              <w:rPr>
                <w:noProof/>
                <w:webHidden/>
              </w:rPr>
              <w:tab/>
            </w:r>
            <w:r w:rsidR="00AE20FA">
              <w:rPr>
                <w:noProof/>
                <w:webHidden/>
              </w:rPr>
              <w:fldChar w:fldCharType="begin"/>
            </w:r>
            <w:r w:rsidR="00AE20FA">
              <w:rPr>
                <w:noProof/>
                <w:webHidden/>
              </w:rPr>
              <w:instrText xml:space="preserve"> PAGEREF _Toc173936639 \h </w:instrText>
            </w:r>
            <w:r w:rsidR="00AE20FA">
              <w:rPr>
                <w:noProof/>
                <w:webHidden/>
              </w:rPr>
            </w:r>
            <w:r w:rsidR="00AE20FA">
              <w:rPr>
                <w:noProof/>
                <w:webHidden/>
              </w:rPr>
              <w:fldChar w:fldCharType="separate"/>
            </w:r>
            <w:r w:rsidR="00AE20FA">
              <w:rPr>
                <w:noProof/>
                <w:webHidden/>
              </w:rPr>
              <w:t>2</w:t>
            </w:r>
            <w:r w:rsidR="00AE20FA">
              <w:rPr>
                <w:noProof/>
                <w:webHidden/>
              </w:rPr>
              <w:fldChar w:fldCharType="end"/>
            </w:r>
          </w:hyperlink>
        </w:p>
        <w:p w14:paraId="7C6CB14D" w14:textId="7E14FFD1"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0" w:history="1">
            <w:r w:rsidR="00AE20FA" w:rsidRPr="003800CF">
              <w:rPr>
                <w:rStyle w:val="Hyperlink"/>
                <w:rFonts w:eastAsiaTheme="minorHAnsi"/>
                <w:b/>
                <w:noProof/>
              </w:rPr>
              <w:t>2.</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b/>
                <w:caps/>
                <w:smallCaps/>
                <w:noProof/>
              </w:rPr>
              <w:t>SADRŽAJ IZVJEŠĆA</w:t>
            </w:r>
            <w:r w:rsidR="00AE20FA">
              <w:rPr>
                <w:noProof/>
                <w:webHidden/>
              </w:rPr>
              <w:tab/>
            </w:r>
            <w:r w:rsidR="00AE20FA">
              <w:rPr>
                <w:noProof/>
                <w:webHidden/>
              </w:rPr>
              <w:fldChar w:fldCharType="begin"/>
            </w:r>
            <w:r w:rsidR="00AE20FA">
              <w:rPr>
                <w:noProof/>
                <w:webHidden/>
              </w:rPr>
              <w:instrText xml:space="preserve"> PAGEREF _Toc173936640 \h </w:instrText>
            </w:r>
            <w:r w:rsidR="00AE20FA">
              <w:rPr>
                <w:noProof/>
                <w:webHidden/>
              </w:rPr>
            </w:r>
            <w:r w:rsidR="00AE20FA">
              <w:rPr>
                <w:noProof/>
                <w:webHidden/>
              </w:rPr>
              <w:fldChar w:fldCharType="separate"/>
            </w:r>
            <w:r w:rsidR="00AE20FA">
              <w:rPr>
                <w:noProof/>
                <w:webHidden/>
              </w:rPr>
              <w:t>2</w:t>
            </w:r>
            <w:r w:rsidR="00AE20FA">
              <w:rPr>
                <w:noProof/>
                <w:webHidden/>
              </w:rPr>
              <w:fldChar w:fldCharType="end"/>
            </w:r>
          </w:hyperlink>
        </w:p>
        <w:p w14:paraId="70DADFA4" w14:textId="40B1C5FE"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1" w:history="1">
            <w:r w:rsidR="00AE20FA" w:rsidRPr="003800CF">
              <w:rPr>
                <w:rStyle w:val="Hyperlink"/>
                <w:b/>
                <w:caps/>
                <w:smallCaps/>
                <w:noProof/>
              </w:rPr>
              <w:t>3.</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b/>
                <w:caps/>
                <w:smallCaps/>
                <w:noProof/>
              </w:rPr>
              <w:t>Metodologija projekta za elektroničke sustave CZU-a</w:t>
            </w:r>
            <w:r w:rsidR="00AE20FA">
              <w:rPr>
                <w:noProof/>
                <w:webHidden/>
              </w:rPr>
              <w:tab/>
            </w:r>
            <w:r w:rsidR="00AE20FA">
              <w:rPr>
                <w:noProof/>
                <w:webHidden/>
              </w:rPr>
              <w:fldChar w:fldCharType="begin"/>
            </w:r>
            <w:r w:rsidR="00AE20FA">
              <w:rPr>
                <w:noProof/>
                <w:webHidden/>
              </w:rPr>
              <w:instrText xml:space="preserve"> PAGEREF _Toc173936641 \h </w:instrText>
            </w:r>
            <w:r w:rsidR="00AE20FA">
              <w:rPr>
                <w:noProof/>
                <w:webHidden/>
              </w:rPr>
            </w:r>
            <w:r w:rsidR="00AE20FA">
              <w:rPr>
                <w:noProof/>
                <w:webHidden/>
              </w:rPr>
              <w:fldChar w:fldCharType="separate"/>
            </w:r>
            <w:r w:rsidR="00AE20FA">
              <w:rPr>
                <w:noProof/>
                <w:webHidden/>
              </w:rPr>
              <w:t>3</w:t>
            </w:r>
            <w:r w:rsidR="00AE20FA">
              <w:rPr>
                <w:noProof/>
                <w:webHidden/>
              </w:rPr>
              <w:fldChar w:fldCharType="end"/>
            </w:r>
          </w:hyperlink>
        </w:p>
        <w:p w14:paraId="17C27C69" w14:textId="4E7F79F2"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2" w:history="1">
            <w:r w:rsidR="00AE20FA" w:rsidRPr="003800CF">
              <w:rPr>
                <w:rStyle w:val="Hyperlink"/>
                <w:b/>
                <w:caps/>
                <w:smallCaps/>
                <w:noProof/>
              </w:rPr>
              <w:t>4.</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b/>
                <w:caps/>
                <w:smallCaps/>
                <w:noProof/>
              </w:rPr>
              <w:t>Globalni pregled napretka u pogledu elektroničkih sustava CZU-a</w:t>
            </w:r>
            <w:r w:rsidR="00AE20FA">
              <w:rPr>
                <w:noProof/>
                <w:webHidden/>
              </w:rPr>
              <w:tab/>
            </w:r>
            <w:r w:rsidR="00AE20FA">
              <w:rPr>
                <w:noProof/>
                <w:webHidden/>
              </w:rPr>
              <w:tab/>
            </w:r>
            <w:r w:rsidR="00AE20FA">
              <w:rPr>
                <w:noProof/>
                <w:webHidden/>
              </w:rPr>
              <w:tab/>
            </w:r>
            <w:r w:rsidR="00AE20FA">
              <w:rPr>
                <w:noProof/>
                <w:webHidden/>
              </w:rPr>
              <w:fldChar w:fldCharType="begin"/>
            </w:r>
            <w:r w:rsidR="00AE20FA">
              <w:rPr>
                <w:noProof/>
                <w:webHidden/>
              </w:rPr>
              <w:instrText xml:space="preserve"> PAGEREF _Toc173936642 \h </w:instrText>
            </w:r>
            <w:r w:rsidR="00AE20FA">
              <w:rPr>
                <w:noProof/>
                <w:webHidden/>
              </w:rPr>
            </w:r>
            <w:r w:rsidR="00AE20FA">
              <w:rPr>
                <w:noProof/>
                <w:webHidden/>
              </w:rPr>
              <w:fldChar w:fldCharType="separate"/>
            </w:r>
            <w:r w:rsidR="00AE20FA">
              <w:rPr>
                <w:noProof/>
                <w:webHidden/>
              </w:rPr>
              <w:t>4</w:t>
            </w:r>
            <w:r w:rsidR="00AE20FA">
              <w:rPr>
                <w:noProof/>
                <w:webHidden/>
              </w:rPr>
              <w:fldChar w:fldCharType="end"/>
            </w:r>
          </w:hyperlink>
        </w:p>
        <w:p w14:paraId="1B2B75EE" w14:textId="55CCCC86"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3" w:history="1">
            <w:r w:rsidR="00AE20FA" w:rsidRPr="003800CF">
              <w:rPr>
                <w:rStyle w:val="Hyperlink"/>
                <w:rFonts w:ascii="Times New Roman Bold" w:hAnsi="Times New Roman Bold"/>
                <w:b/>
                <w:bCs/>
                <w:noProof/>
              </w:rPr>
              <w:t>4.1.</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rFonts w:ascii="Times New Roman Bold" w:hAnsi="Times New Roman Bold"/>
                <w:b/>
                <w:noProof/>
              </w:rPr>
              <w:t>Projekti završeni prije 2023.</w:t>
            </w:r>
            <w:r w:rsidR="00AE20FA">
              <w:rPr>
                <w:noProof/>
                <w:webHidden/>
              </w:rPr>
              <w:tab/>
            </w:r>
            <w:r w:rsidR="00AE20FA">
              <w:rPr>
                <w:noProof/>
                <w:webHidden/>
              </w:rPr>
              <w:fldChar w:fldCharType="begin"/>
            </w:r>
            <w:r w:rsidR="00AE20FA">
              <w:rPr>
                <w:noProof/>
                <w:webHidden/>
              </w:rPr>
              <w:instrText xml:space="preserve"> PAGEREF _Toc173936643 \h </w:instrText>
            </w:r>
            <w:r w:rsidR="00AE20FA">
              <w:rPr>
                <w:noProof/>
                <w:webHidden/>
              </w:rPr>
            </w:r>
            <w:r w:rsidR="00AE20FA">
              <w:rPr>
                <w:noProof/>
                <w:webHidden/>
              </w:rPr>
              <w:fldChar w:fldCharType="separate"/>
            </w:r>
            <w:r w:rsidR="00AE20FA">
              <w:rPr>
                <w:noProof/>
                <w:webHidden/>
              </w:rPr>
              <w:t>4</w:t>
            </w:r>
            <w:r w:rsidR="00AE20FA">
              <w:rPr>
                <w:noProof/>
                <w:webHidden/>
              </w:rPr>
              <w:fldChar w:fldCharType="end"/>
            </w:r>
          </w:hyperlink>
        </w:p>
        <w:p w14:paraId="6D57DE43" w14:textId="72B10E3D"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4" w:history="1">
            <w:r w:rsidR="00AE20FA" w:rsidRPr="003800CF">
              <w:rPr>
                <w:rStyle w:val="Hyperlink"/>
                <w:rFonts w:ascii="Times New Roman Bold" w:hAnsi="Times New Roman Bold"/>
                <w:b/>
                <w:bCs/>
                <w:noProof/>
              </w:rPr>
              <w:t>4.2.</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rFonts w:ascii="Times New Roman Bold" w:hAnsi="Times New Roman Bold"/>
                <w:b/>
                <w:noProof/>
              </w:rPr>
              <w:t>Tekući projekti</w:t>
            </w:r>
            <w:r w:rsidR="00AE20FA">
              <w:rPr>
                <w:noProof/>
                <w:webHidden/>
              </w:rPr>
              <w:tab/>
            </w:r>
            <w:r w:rsidR="00AE20FA">
              <w:rPr>
                <w:noProof/>
                <w:webHidden/>
              </w:rPr>
              <w:fldChar w:fldCharType="begin"/>
            </w:r>
            <w:r w:rsidR="00AE20FA">
              <w:rPr>
                <w:noProof/>
                <w:webHidden/>
              </w:rPr>
              <w:instrText xml:space="preserve"> PAGEREF _Toc173936644 \h </w:instrText>
            </w:r>
            <w:r w:rsidR="00AE20FA">
              <w:rPr>
                <w:noProof/>
                <w:webHidden/>
              </w:rPr>
            </w:r>
            <w:r w:rsidR="00AE20FA">
              <w:rPr>
                <w:noProof/>
                <w:webHidden/>
              </w:rPr>
              <w:fldChar w:fldCharType="separate"/>
            </w:r>
            <w:r w:rsidR="00AE20FA">
              <w:rPr>
                <w:noProof/>
                <w:webHidden/>
              </w:rPr>
              <w:t>4</w:t>
            </w:r>
            <w:r w:rsidR="00AE20FA">
              <w:rPr>
                <w:noProof/>
                <w:webHidden/>
              </w:rPr>
              <w:fldChar w:fldCharType="end"/>
            </w:r>
          </w:hyperlink>
        </w:p>
        <w:p w14:paraId="5EF69006" w14:textId="0B761767"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5" w:history="1">
            <w:r w:rsidR="00AE20FA" w:rsidRPr="003800CF">
              <w:rPr>
                <w:rStyle w:val="Hyperlink"/>
                <w:rFonts w:ascii="Times New Roman Bold" w:hAnsi="Times New Roman Bold"/>
                <w:b/>
                <w:noProof/>
              </w:rPr>
              <w:t xml:space="preserve">4.2.1. </w:t>
            </w:r>
            <w:r w:rsidR="00AE20FA">
              <w:rPr>
                <w:rStyle w:val="Hyperlink"/>
                <w:rFonts w:ascii="Times New Roman Bold" w:hAnsi="Times New Roman Bold"/>
                <w:b/>
                <w:noProof/>
              </w:rPr>
              <w:tab/>
            </w:r>
            <w:r w:rsidR="00AE20FA" w:rsidRPr="003800CF">
              <w:rPr>
                <w:rStyle w:val="Hyperlink"/>
                <w:rFonts w:ascii="Times New Roman Bold" w:hAnsi="Times New Roman Bold"/>
                <w:b/>
                <w:noProof/>
              </w:rPr>
              <w:t>Transeuropski projekti</w:t>
            </w:r>
            <w:r w:rsidR="00AE20FA">
              <w:rPr>
                <w:noProof/>
                <w:webHidden/>
              </w:rPr>
              <w:tab/>
            </w:r>
            <w:r w:rsidR="00AE20FA">
              <w:rPr>
                <w:noProof/>
                <w:webHidden/>
              </w:rPr>
              <w:fldChar w:fldCharType="begin"/>
            </w:r>
            <w:r w:rsidR="00AE20FA">
              <w:rPr>
                <w:noProof/>
                <w:webHidden/>
              </w:rPr>
              <w:instrText xml:space="preserve"> PAGEREF _Toc173936645 \h </w:instrText>
            </w:r>
            <w:r w:rsidR="00AE20FA">
              <w:rPr>
                <w:noProof/>
                <w:webHidden/>
              </w:rPr>
            </w:r>
            <w:r w:rsidR="00AE20FA">
              <w:rPr>
                <w:noProof/>
                <w:webHidden/>
              </w:rPr>
              <w:fldChar w:fldCharType="separate"/>
            </w:r>
            <w:r w:rsidR="00AE20FA">
              <w:rPr>
                <w:noProof/>
                <w:webHidden/>
              </w:rPr>
              <w:t>5</w:t>
            </w:r>
            <w:r w:rsidR="00AE20FA">
              <w:rPr>
                <w:noProof/>
                <w:webHidden/>
              </w:rPr>
              <w:fldChar w:fldCharType="end"/>
            </w:r>
          </w:hyperlink>
        </w:p>
        <w:p w14:paraId="34000E5F" w14:textId="4C6C7FC4"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6" w:history="1">
            <w:r w:rsidR="00AE20FA" w:rsidRPr="003800CF">
              <w:rPr>
                <w:rStyle w:val="Hyperlink"/>
                <w:rFonts w:ascii="Times New Roman Bold" w:hAnsi="Times New Roman Bold"/>
                <w:b/>
                <w:noProof/>
              </w:rPr>
              <w:t xml:space="preserve">4.2.2. </w:t>
            </w:r>
            <w:r w:rsidR="00AE20FA">
              <w:rPr>
                <w:rStyle w:val="Hyperlink"/>
                <w:rFonts w:ascii="Times New Roman Bold" w:hAnsi="Times New Roman Bold"/>
                <w:b/>
                <w:noProof/>
              </w:rPr>
              <w:tab/>
            </w:r>
            <w:r w:rsidR="00AE20FA" w:rsidRPr="003800CF">
              <w:rPr>
                <w:rStyle w:val="Hyperlink"/>
                <w:rFonts w:ascii="Times New Roman Bold" w:hAnsi="Times New Roman Bold"/>
                <w:b/>
                <w:noProof/>
              </w:rPr>
              <w:t>Nacionalni projekti</w:t>
            </w:r>
            <w:r w:rsidR="00AE20FA">
              <w:rPr>
                <w:noProof/>
                <w:webHidden/>
              </w:rPr>
              <w:tab/>
            </w:r>
            <w:r w:rsidR="00AE20FA">
              <w:rPr>
                <w:noProof/>
                <w:webHidden/>
              </w:rPr>
              <w:fldChar w:fldCharType="begin"/>
            </w:r>
            <w:r w:rsidR="00AE20FA">
              <w:rPr>
                <w:noProof/>
                <w:webHidden/>
              </w:rPr>
              <w:instrText xml:space="preserve"> PAGEREF _Toc173936646 \h </w:instrText>
            </w:r>
            <w:r w:rsidR="00AE20FA">
              <w:rPr>
                <w:noProof/>
                <w:webHidden/>
              </w:rPr>
            </w:r>
            <w:r w:rsidR="00AE20FA">
              <w:rPr>
                <w:noProof/>
                <w:webHidden/>
              </w:rPr>
              <w:fldChar w:fldCharType="separate"/>
            </w:r>
            <w:r w:rsidR="00AE20FA">
              <w:rPr>
                <w:noProof/>
                <w:webHidden/>
              </w:rPr>
              <w:t>8</w:t>
            </w:r>
            <w:r w:rsidR="00AE20FA">
              <w:rPr>
                <w:noProof/>
                <w:webHidden/>
              </w:rPr>
              <w:fldChar w:fldCharType="end"/>
            </w:r>
          </w:hyperlink>
        </w:p>
        <w:p w14:paraId="01342456" w14:textId="1A4CB0E0"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7" w:history="1">
            <w:r w:rsidR="00AE20FA" w:rsidRPr="003800CF">
              <w:rPr>
                <w:rStyle w:val="Hyperlink"/>
                <w:rFonts w:ascii="Times New Roman Bold" w:hAnsi="Times New Roman Bold"/>
                <w:b/>
                <w:bCs/>
                <w:noProof/>
              </w:rPr>
              <w:t>4.3.</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rFonts w:ascii="Times New Roman Bold" w:hAnsi="Times New Roman Bold"/>
                <w:b/>
                <w:noProof/>
              </w:rPr>
              <w:t>Rizici od kašnjenja s provedbom IT sustava u okviru CZU-a</w:t>
            </w:r>
            <w:r w:rsidR="00AE20FA">
              <w:rPr>
                <w:noProof/>
                <w:webHidden/>
              </w:rPr>
              <w:tab/>
            </w:r>
            <w:r w:rsidR="00AE20FA">
              <w:rPr>
                <w:noProof/>
                <w:webHidden/>
              </w:rPr>
              <w:fldChar w:fldCharType="begin"/>
            </w:r>
            <w:r w:rsidR="00AE20FA">
              <w:rPr>
                <w:noProof/>
                <w:webHidden/>
              </w:rPr>
              <w:instrText xml:space="preserve"> PAGEREF _Toc173936647 \h </w:instrText>
            </w:r>
            <w:r w:rsidR="00AE20FA">
              <w:rPr>
                <w:noProof/>
                <w:webHidden/>
              </w:rPr>
            </w:r>
            <w:r w:rsidR="00AE20FA">
              <w:rPr>
                <w:noProof/>
                <w:webHidden/>
              </w:rPr>
              <w:fldChar w:fldCharType="separate"/>
            </w:r>
            <w:r w:rsidR="00AE20FA">
              <w:rPr>
                <w:noProof/>
                <w:webHidden/>
              </w:rPr>
              <w:t>10</w:t>
            </w:r>
            <w:r w:rsidR="00AE20FA">
              <w:rPr>
                <w:noProof/>
                <w:webHidden/>
              </w:rPr>
              <w:fldChar w:fldCharType="end"/>
            </w:r>
          </w:hyperlink>
        </w:p>
        <w:p w14:paraId="4862B834" w14:textId="61E967ED"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8" w:history="1">
            <w:r w:rsidR="00AE20FA" w:rsidRPr="003800CF">
              <w:rPr>
                <w:rStyle w:val="Hyperlink"/>
                <w:rFonts w:ascii="Times New Roman Bold" w:hAnsi="Times New Roman Bold"/>
                <w:b/>
                <w:bCs/>
                <w:noProof/>
              </w:rPr>
              <w:t>4.4.</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rFonts w:ascii="Times New Roman Bold" w:hAnsi="Times New Roman Bold"/>
                <w:b/>
                <w:noProof/>
              </w:rPr>
              <w:t>Mjere ublažavanja</w:t>
            </w:r>
            <w:r w:rsidR="00AE20FA">
              <w:rPr>
                <w:noProof/>
                <w:webHidden/>
              </w:rPr>
              <w:tab/>
            </w:r>
            <w:r w:rsidR="00AE20FA">
              <w:rPr>
                <w:noProof/>
                <w:webHidden/>
              </w:rPr>
              <w:fldChar w:fldCharType="begin"/>
            </w:r>
            <w:r w:rsidR="00AE20FA">
              <w:rPr>
                <w:noProof/>
                <w:webHidden/>
              </w:rPr>
              <w:instrText xml:space="preserve"> PAGEREF _Toc173936648 \h </w:instrText>
            </w:r>
            <w:r w:rsidR="00AE20FA">
              <w:rPr>
                <w:noProof/>
                <w:webHidden/>
              </w:rPr>
            </w:r>
            <w:r w:rsidR="00AE20FA">
              <w:rPr>
                <w:noProof/>
                <w:webHidden/>
              </w:rPr>
              <w:fldChar w:fldCharType="separate"/>
            </w:r>
            <w:r w:rsidR="00AE20FA">
              <w:rPr>
                <w:noProof/>
                <w:webHidden/>
              </w:rPr>
              <w:t>12</w:t>
            </w:r>
            <w:r w:rsidR="00AE20FA">
              <w:rPr>
                <w:noProof/>
                <w:webHidden/>
              </w:rPr>
              <w:fldChar w:fldCharType="end"/>
            </w:r>
          </w:hyperlink>
        </w:p>
        <w:p w14:paraId="0E418F3E" w14:textId="1D5E1184"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49" w:history="1">
            <w:r w:rsidR="00AE20FA" w:rsidRPr="003800CF">
              <w:rPr>
                <w:rStyle w:val="Hyperlink"/>
                <w:rFonts w:ascii="Times New Roman Bold" w:hAnsi="Times New Roman Bold"/>
                <w:b/>
                <w:bCs/>
                <w:noProof/>
              </w:rPr>
              <w:t>4.5.</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rFonts w:ascii="Times New Roman Bold" w:hAnsi="Times New Roman Bold"/>
                <w:b/>
                <w:noProof/>
              </w:rPr>
              <w:t>Trenutačno stanje u zemljama kandidatkinjama ili potencijalnim zemljama kandidatkinjama</w:t>
            </w:r>
            <w:r w:rsidR="00AE20FA">
              <w:rPr>
                <w:noProof/>
                <w:webHidden/>
              </w:rPr>
              <w:tab/>
            </w:r>
            <w:r w:rsidR="00AE20FA">
              <w:rPr>
                <w:noProof/>
                <w:webHidden/>
              </w:rPr>
              <w:fldChar w:fldCharType="begin"/>
            </w:r>
            <w:r w:rsidR="00AE20FA">
              <w:rPr>
                <w:noProof/>
                <w:webHidden/>
              </w:rPr>
              <w:instrText xml:space="preserve"> PAGEREF _Toc173936649 \h </w:instrText>
            </w:r>
            <w:r w:rsidR="00AE20FA">
              <w:rPr>
                <w:noProof/>
                <w:webHidden/>
              </w:rPr>
            </w:r>
            <w:r w:rsidR="00AE20FA">
              <w:rPr>
                <w:noProof/>
                <w:webHidden/>
              </w:rPr>
              <w:fldChar w:fldCharType="separate"/>
            </w:r>
            <w:r w:rsidR="00AE20FA">
              <w:rPr>
                <w:noProof/>
                <w:webHidden/>
              </w:rPr>
              <w:t>14</w:t>
            </w:r>
            <w:r w:rsidR="00AE20FA">
              <w:rPr>
                <w:noProof/>
                <w:webHidden/>
              </w:rPr>
              <w:fldChar w:fldCharType="end"/>
            </w:r>
          </w:hyperlink>
        </w:p>
        <w:p w14:paraId="0420EF21" w14:textId="7F215D22" w:rsidR="00AE20FA" w:rsidRDefault="00A82FC7">
          <w:pPr>
            <w:pStyle w:val="TOC1"/>
            <w:rPr>
              <w:rFonts w:asciiTheme="minorHAnsi" w:eastAsiaTheme="minorEastAsia" w:hAnsiTheme="minorHAnsi" w:cstheme="minorBidi"/>
              <w:noProof/>
              <w:kern w:val="2"/>
              <w:lang w:eastAsia="hr-HR"/>
              <w14:ligatures w14:val="standardContextual"/>
            </w:rPr>
          </w:pPr>
          <w:hyperlink w:anchor="_Toc173936650" w:history="1">
            <w:r w:rsidR="00AE20FA" w:rsidRPr="003800CF">
              <w:rPr>
                <w:rStyle w:val="Hyperlink"/>
                <w:b/>
                <w:caps/>
                <w:smallCaps/>
                <w:noProof/>
              </w:rPr>
              <w:t>5.</w:t>
            </w:r>
            <w:r w:rsidR="00AE20FA">
              <w:rPr>
                <w:rFonts w:asciiTheme="minorHAnsi" w:eastAsiaTheme="minorEastAsia" w:hAnsiTheme="minorHAnsi" w:cstheme="minorBidi"/>
                <w:noProof/>
                <w:kern w:val="2"/>
                <w:lang w:eastAsia="hr-HR"/>
                <w14:ligatures w14:val="standardContextual"/>
              </w:rPr>
              <w:tab/>
            </w:r>
            <w:r w:rsidR="00AE20FA" w:rsidRPr="003800CF">
              <w:rPr>
                <w:rStyle w:val="Hyperlink"/>
                <w:b/>
                <w:caps/>
                <w:smallCaps/>
                <w:noProof/>
              </w:rPr>
              <w:t>Sažetak o upravljanju i zaključci</w:t>
            </w:r>
            <w:r w:rsidR="00AE20FA">
              <w:rPr>
                <w:noProof/>
                <w:webHidden/>
              </w:rPr>
              <w:tab/>
            </w:r>
            <w:r w:rsidR="00AE20FA">
              <w:rPr>
                <w:noProof/>
                <w:webHidden/>
              </w:rPr>
              <w:fldChar w:fldCharType="begin"/>
            </w:r>
            <w:r w:rsidR="00AE20FA">
              <w:rPr>
                <w:noProof/>
                <w:webHidden/>
              </w:rPr>
              <w:instrText xml:space="preserve"> PAGEREF _Toc173936650 \h </w:instrText>
            </w:r>
            <w:r w:rsidR="00AE20FA">
              <w:rPr>
                <w:noProof/>
                <w:webHidden/>
              </w:rPr>
            </w:r>
            <w:r w:rsidR="00AE20FA">
              <w:rPr>
                <w:noProof/>
                <w:webHidden/>
              </w:rPr>
              <w:fldChar w:fldCharType="separate"/>
            </w:r>
            <w:r w:rsidR="00AE20FA">
              <w:rPr>
                <w:noProof/>
                <w:webHidden/>
              </w:rPr>
              <w:t>15</w:t>
            </w:r>
            <w:r w:rsidR="00AE20FA">
              <w:rPr>
                <w:noProof/>
                <w:webHidden/>
              </w:rPr>
              <w:fldChar w:fldCharType="end"/>
            </w:r>
          </w:hyperlink>
        </w:p>
        <w:p w14:paraId="3795905B" w14:textId="7E8281E7" w:rsidR="00282B17" w:rsidRPr="00A76AD2" w:rsidRDefault="00A33633">
          <w:pPr>
            <w:rPr>
              <w:noProof/>
              <w:sz w:val="24"/>
            </w:rPr>
          </w:pPr>
          <w:r w:rsidRPr="00A76AD2">
            <w:rPr>
              <w:rStyle w:val="SubtleReference"/>
              <w:noProof/>
            </w:rPr>
            <w:fldChar w:fldCharType="end"/>
          </w:r>
        </w:p>
      </w:sdtContent>
    </w:sdt>
    <w:p w14:paraId="7FCFD25D" w14:textId="771F34D2" w:rsidR="00282B17" w:rsidRPr="00A76AD2" w:rsidRDefault="00A33633">
      <w:pPr>
        <w:jc w:val="left"/>
        <w:rPr>
          <w:rFonts w:eastAsiaTheme="majorEastAsia"/>
          <w:noProof/>
          <w:sz w:val="24"/>
          <w:szCs w:val="24"/>
        </w:rPr>
      </w:pPr>
      <w:r w:rsidRPr="00A76AD2">
        <w:rPr>
          <w:noProof/>
        </w:rPr>
        <w:br w:type="page"/>
      </w:r>
    </w:p>
    <w:p w14:paraId="62C63BC9" w14:textId="1BA23767" w:rsidR="00282B17" w:rsidRPr="00A76AD2" w:rsidRDefault="00A33633">
      <w:pPr>
        <w:keepNext/>
        <w:numPr>
          <w:ilvl w:val="0"/>
          <w:numId w:val="1"/>
        </w:numPr>
        <w:ind w:left="432" w:hanging="432"/>
        <w:outlineLvl w:val="0"/>
        <w:rPr>
          <w:b/>
          <w:caps/>
          <w:smallCaps/>
          <w:noProof/>
          <w:sz w:val="24"/>
          <w:szCs w:val="24"/>
        </w:rPr>
      </w:pPr>
      <w:bookmarkStart w:id="2" w:name="_Toc52475146"/>
      <w:bookmarkStart w:id="3" w:name="_Toc173936639"/>
      <w:r w:rsidRPr="00A76AD2">
        <w:rPr>
          <w:b/>
          <w:caps/>
          <w:smallCaps/>
          <w:noProof/>
          <w:sz w:val="24"/>
        </w:rPr>
        <w:lastRenderedPageBreak/>
        <w:t>Uvod</w:t>
      </w:r>
      <w:bookmarkEnd w:id="2"/>
      <w:bookmarkEnd w:id="3"/>
    </w:p>
    <w:p w14:paraId="25A93BCF" w14:textId="72BD71AD" w:rsidR="00EF4F29" w:rsidRPr="00A76AD2" w:rsidRDefault="00EF4F29" w:rsidP="416ECB1E">
      <w:pPr>
        <w:autoSpaceDE w:val="0"/>
        <w:autoSpaceDN w:val="0"/>
        <w:adjustRightInd w:val="0"/>
        <w:rPr>
          <w:rFonts w:eastAsiaTheme="minorEastAsia"/>
          <w:noProof/>
          <w:color w:val="000000"/>
        </w:rPr>
      </w:pPr>
      <w:r w:rsidRPr="00A76AD2">
        <w:rPr>
          <w:noProof/>
          <w:color w:val="000000" w:themeColor="text1"/>
        </w:rPr>
        <w:t xml:space="preserve">Ovo je </w:t>
      </w:r>
      <w:r w:rsidRPr="00A76AD2">
        <w:rPr>
          <w:b/>
          <w:noProof/>
          <w:color w:val="000000" w:themeColor="text1"/>
        </w:rPr>
        <w:t>peto</w:t>
      </w:r>
      <w:r w:rsidRPr="00A76AD2">
        <w:rPr>
          <w:noProof/>
          <w:color w:val="000000" w:themeColor="text1"/>
        </w:rPr>
        <w:t xml:space="preserve"> </w:t>
      </w:r>
      <w:r w:rsidRPr="00A76AD2">
        <w:rPr>
          <w:b/>
          <w:noProof/>
          <w:color w:val="000000" w:themeColor="text1"/>
        </w:rPr>
        <w:t>godišnje izvješće o napretku u uvođenju preostalih elektroničkih sustava, koje se podnosi u skladu s člankom 278.a</w:t>
      </w:r>
      <w:r w:rsidRPr="00A76AD2">
        <w:rPr>
          <w:noProof/>
          <w:color w:val="000000" w:themeColor="text1"/>
        </w:rPr>
        <w:t xml:space="preserve"> Carinskog zakonika Unije (CZU)</w:t>
      </w:r>
      <w:r w:rsidRPr="00A76AD2">
        <w:rPr>
          <w:rStyle w:val="FootnoteReference"/>
          <w:rFonts w:eastAsiaTheme="minorHAnsi"/>
          <w:noProof/>
          <w:color w:val="000000"/>
        </w:rPr>
        <w:footnoteReference w:id="2"/>
      </w:r>
      <w:r w:rsidRPr="00A76AD2">
        <w:rPr>
          <w:noProof/>
          <w:color w:val="000000" w:themeColor="text1"/>
        </w:rPr>
        <w:t xml:space="preserve"> u vezi s napretkom u razvoju elektroničkih sustava predviđenih CZU-om</w:t>
      </w:r>
      <w:r w:rsidRPr="00A76AD2">
        <w:rPr>
          <w:rFonts w:eastAsiaTheme="minorHAnsi"/>
          <w:noProof/>
          <w:color w:val="000000"/>
          <w:vertAlign w:val="superscript"/>
        </w:rPr>
        <w:footnoteReference w:id="3"/>
      </w:r>
      <w:r w:rsidRPr="00A76AD2">
        <w:rPr>
          <w:noProof/>
          <w:color w:val="000000" w:themeColor="text1"/>
        </w:rPr>
        <w:t>. U ovom izvješću razrađuje se stalni napredak u razvoju elektroničkih sustava i opisuju koraci prema potpuno digitalnom carinskom okruženju poduzeti od stupanja CZU-a na snagu. U tu se svrhu izvješće temelji na programu rada za CZU</w:t>
      </w:r>
      <w:r w:rsidRPr="00A76AD2">
        <w:rPr>
          <w:rFonts w:eastAsiaTheme="minorHAnsi"/>
          <w:noProof/>
          <w:color w:val="000000"/>
          <w:vertAlign w:val="superscript"/>
        </w:rPr>
        <w:footnoteReference w:id="4"/>
      </w:r>
      <w:r w:rsidRPr="00A76AD2">
        <w:rPr>
          <w:noProof/>
          <w:color w:val="000000" w:themeColor="text1"/>
        </w:rPr>
        <w:t xml:space="preserve"> utvrđenom 2019., koji se smatra osnovom za izvješćivanje o napretku.</w:t>
      </w:r>
    </w:p>
    <w:p w14:paraId="63080602" w14:textId="5CB6F287" w:rsidR="00BF03A2" w:rsidRPr="00A76AD2" w:rsidRDefault="0084206A" w:rsidP="416ECB1E">
      <w:pPr>
        <w:autoSpaceDE w:val="0"/>
        <w:autoSpaceDN w:val="0"/>
        <w:adjustRightInd w:val="0"/>
        <w:rPr>
          <w:rFonts w:eastAsiaTheme="minorEastAsia"/>
          <w:noProof/>
          <w:color w:val="000000"/>
        </w:rPr>
      </w:pPr>
      <w:r w:rsidRPr="00A76AD2">
        <w:rPr>
          <w:noProof/>
          <w:color w:val="000000"/>
        </w:rPr>
        <w:t>CZU je stupio na snagu 1. svibnja 2016. a njegovom izmjenom iz 2019.</w:t>
      </w:r>
      <w:r w:rsidRPr="00A76AD2">
        <w:rPr>
          <w:rFonts w:eastAsiaTheme="minorEastAsia"/>
          <w:noProof/>
          <w:vertAlign w:val="superscript"/>
        </w:rPr>
        <w:footnoteReference w:id="5"/>
      </w:r>
      <w:r w:rsidRPr="00A76AD2">
        <w:rPr>
          <w:noProof/>
          <w:color w:val="000000"/>
        </w:rPr>
        <w:t xml:space="preserve"> utvrđeni su rokovi 2020., 2022. i 2025. za postupan dovršetak projekata na tranziciji njegovih IT sustava i njihova uvođenja. Postojeći elektronički sustavi i sustavi koji se temelje na dokumentima u papirnatom obliku mogu se nastaviti koristiti za obavljanje carinskih formalnosti (tzv. „prijelazne mjere”) sve dok novi ili modernizirani elektronički sustavi predviđeni CZU-om ne postanu operativni. Taj pravni instrument usmjerava i podupire  složen postupni trodimenzionalni proces prelaska na potpuno digitalno carinsko okruženje, pri čemu se uzima u obzir međuovisnost tih sustava. </w:t>
      </w:r>
      <w:r w:rsidRPr="00A76AD2">
        <w:rPr>
          <w:b/>
          <w:noProof/>
          <w:color w:val="000000"/>
        </w:rPr>
        <w:t>.</w:t>
      </w:r>
      <w:r w:rsidRPr="00A76AD2">
        <w:rPr>
          <w:noProof/>
          <w:color w:val="000000"/>
        </w:rPr>
        <w:t xml:space="preserve"> </w:t>
      </w:r>
    </w:p>
    <w:p w14:paraId="472E995F" w14:textId="4974B153" w:rsidR="00BF03A2" w:rsidRPr="00A76AD2" w:rsidRDefault="00BF03A2" w:rsidP="3C329334">
      <w:pPr>
        <w:autoSpaceDE w:val="0"/>
        <w:autoSpaceDN w:val="0"/>
        <w:adjustRightInd w:val="0"/>
        <w:rPr>
          <w:rFonts w:eastAsiaTheme="minorEastAsia"/>
          <w:noProof/>
          <w:color w:val="000000"/>
        </w:rPr>
      </w:pPr>
      <w:r w:rsidRPr="00A76AD2">
        <w:rPr>
          <w:noProof/>
          <w:color w:val="000000"/>
        </w:rPr>
        <w:t xml:space="preserve">Treba napomenuti da je usporedno s izradom ovog izvješća u tijeku bila revizija programa rada za CZU iz 2019., među ostalim na temelju informacija o napretku koje su dostavile države članice u okviru pripreme izvješća. </w:t>
      </w:r>
      <w:r w:rsidRPr="00A76AD2">
        <w:rPr>
          <w:noProof/>
        </w:rPr>
        <w:t xml:space="preserve">Novi program rada za CZU državama članicama daje okvir za zajedničku i izvedivu provedbu planiranih projekata i fleksibilnost za poštovanje konačnih rokova, a istodobno se zadržava pritisak potreban da se taj program rada potpuno provede do 31. prosinca 2025. </w:t>
      </w:r>
      <w:r w:rsidRPr="00A76AD2">
        <w:rPr>
          <w:noProof/>
          <w:color w:val="000000"/>
        </w:rPr>
        <w:t>Zato se dio ovog izvješća odnosi i na spremnost i izglede da se ispoštuju predstojeći rokovi iz novog programa rada za CZU</w:t>
      </w:r>
      <w:r w:rsidR="00504539" w:rsidRPr="00A76AD2">
        <w:rPr>
          <w:rStyle w:val="FootnoteReference"/>
          <w:rFonts w:eastAsiaTheme="minorEastAsia"/>
          <w:noProof/>
          <w:color w:val="000000"/>
        </w:rPr>
        <w:footnoteReference w:id="6"/>
      </w:r>
      <w:r w:rsidRPr="00A76AD2">
        <w:rPr>
          <w:noProof/>
          <w:color w:val="000000"/>
        </w:rPr>
        <w:t xml:space="preserve">, koji je Komisija donijela 15. prosinca 2023. </w:t>
      </w:r>
    </w:p>
    <w:p w14:paraId="23FA2C9F" w14:textId="33F51B42" w:rsidR="0084206A" w:rsidRPr="00A76AD2" w:rsidRDefault="000D6D74" w:rsidP="003029EE">
      <w:pPr>
        <w:keepNext/>
        <w:numPr>
          <w:ilvl w:val="0"/>
          <w:numId w:val="1"/>
        </w:numPr>
        <w:ind w:left="432" w:hanging="432"/>
        <w:outlineLvl w:val="0"/>
        <w:rPr>
          <w:rFonts w:eastAsiaTheme="minorHAnsi"/>
          <w:b/>
          <w:noProof/>
          <w:color w:val="000000"/>
        </w:rPr>
      </w:pPr>
      <w:bookmarkStart w:id="4" w:name="_Toc168222736"/>
      <w:bookmarkStart w:id="5" w:name="_Toc173936640"/>
      <w:bookmarkEnd w:id="4"/>
      <w:r w:rsidRPr="00A76AD2">
        <w:rPr>
          <w:b/>
          <w:caps/>
          <w:smallCaps/>
          <w:noProof/>
          <w:sz w:val="24"/>
        </w:rPr>
        <w:t>SADRŽAJ IZVJEŠĆA</w:t>
      </w:r>
      <w:bookmarkEnd w:id="5"/>
    </w:p>
    <w:p w14:paraId="0E847D65" w14:textId="604DD8C9" w:rsidR="00A940DE" w:rsidRPr="00A76AD2" w:rsidRDefault="00A940DE" w:rsidP="00A940DE">
      <w:pPr>
        <w:widowControl w:val="0"/>
        <w:autoSpaceDE w:val="0"/>
        <w:autoSpaceDN w:val="0"/>
        <w:adjustRightInd w:val="0"/>
        <w:rPr>
          <w:iCs/>
          <w:noProof/>
        </w:rPr>
      </w:pPr>
      <w:r w:rsidRPr="00A76AD2">
        <w:rPr>
          <w:noProof/>
        </w:rPr>
        <w:t xml:space="preserve">Projekti navedeni u programu rada za CZU mogu se podijeliti na tri kategorije sustava: </w:t>
      </w:r>
    </w:p>
    <w:p w14:paraId="0BCB3EA5" w14:textId="2D835C26" w:rsidR="00A940DE" w:rsidRPr="00A76AD2" w:rsidRDefault="00DD5B30" w:rsidP="00A940DE">
      <w:pPr>
        <w:widowControl w:val="0"/>
        <w:numPr>
          <w:ilvl w:val="0"/>
          <w:numId w:val="6"/>
        </w:numPr>
        <w:autoSpaceDE w:val="0"/>
        <w:autoSpaceDN w:val="0"/>
        <w:adjustRightInd w:val="0"/>
        <w:contextualSpacing/>
        <w:rPr>
          <w:iCs/>
          <w:noProof/>
        </w:rPr>
      </w:pPr>
      <w:r w:rsidRPr="00A76AD2">
        <w:rPr>
          <w:b/>
          <w:noProof/>
        </w:rPr>
        <w:t>središnji transeuropski sustavi</w:t>
      </w:r>
      <w:r w:rsidRPr="00A76AD2">
        <w:rPr>
          <w:noProof/>
        </w:rPr>
        <w:t xml:space="preserve"> koje će razviti ili modernizirati Komisija (što često zahtijeva razvoj ili modernizaciju nacionalnih sustava država članica);</w:t>
      </w:r>
    </w:p>
    <w:p w14:paraId="0F2F0734" w14:textId="2372DC5F" w:rsidR="00A940DE" w:rsidRPr="00A76AD2" w:rsidRDefault="00DD5B30" w:rsidP="00A940DE">
      <w:pPr>
        <w:widowControl w:val="0"/>
        <w:numPr>
          <w:ilvl w:val="0"/>
          <w:numId w:val="6"/>
        </w:numPr>
        <w:autoSpaceDE w:val="0"/>
        <w:autoSpaceDN w:val="0"/>
        <w:adjustRightInd w:val="0"/>
        <w:contextualSpacing/>
        <w:rPr>
          <w:iCs/>
          <w:noProof/>
        </w:rPr>
      </w:pPr>
      <w:r w:rsidRPr="00A76AD2">
        <w:rPr>
          <w:b/>
          <w:noProof/>
        </w:rPr>
        <w:t>decentralizirani transeuropski sustavi</w:t>
      </w:r>
      <w:r w:rsidRPr="00A76AD2">
        <w:rPr>
          <w:noProof/>
        </w:rPr>
        <w:t xml:space="preserve"> koje će razviti ili modernizirati Komisija, ali koji imaju veliku nacionalnu sastavnicu koju trebaju uvesti države članice; i</w:t>
      </w:r>
    </w:p>
    <w:p w14:paraId="0B7BC8CD" w14:textId="087CF5B1" w:rsidR="00C41DF5" w:rsidRPr="00A76AD2" w:rsidRDefault="00DD5B30" w:rsidP="00C41DF5">
      <w:pPr>
        <w:widowControl w:val="0"/>
        <w:numPr>
          <w:ilvl w:val="0"/>
          <w:numId w:val="6"/>
        </w:numPr>
        <w:autoSpaceDE w:val="0"/>
        <w:autoSpaceDN w:val="0"/>
        <w:adjustRightInd w:val="0"/>
        <w:ind w:left="1077"/>
        <w:rPr>
          <w:iCs/>
          <w:noProof/>
        </w:rPr>
      </w:pPr>
      <w:r w:rsidRPr="00A76AD2">
        <w:rPr>
          <w:b/>
          <w:noProof/>
        </w:rPr>
        <w:t>nacionalni sustavi</w:t>
      </w:r>
      <w:r w:rsidRPr="00A76AD2">
        <w:rPr>
          <w:noProof/>
        </w:rPr>
        <w:t xml:space="preserve"> koje moraju razviti ili modernizirati isključivo države članice. </w:t>
      </w:r>
    </w:p>
    <w:p w14:paraId="01A0DC22" w14:textId="06A1C3AA" w:rsidR="00123E71" w:rsidRPr="00A76AD2" w:rsidRDefault="0061782F" w:rsidP="003029EE">
      <w:pPr>
        <w:widowControl w:val="0"/>
        <w:autoSpaceDE w:val="0"/>
        <w:autoSpaceDN w:val="0"/>
        <w:adjustRightInd w:val="0"/>
        <w:rPr>
          <w:noProof/>
        </w:rPr>
      </w:pPr>
      <w:r w:rsidRPr="00A76AD2">
        <w:rPr>
          <w:noProof/>
        </w:rPr>
        <w:t xml:space="preserve">U ovom izvješću analizira se konkretni napredak ostvaren u vezi sa svim tim sustavima te se opisuju opseg i planiranje svakog projekta (odjeljak 3.). U njemu su istaknuta i eventualna utvrđena kašnjenja i predviđene mjere ublažavanja (odjeljak 4.). Općenita procjena napretka u provedbi programa rada za CZU sažeta je u zaključku ovog izvješća (odjeljak </w:t>
      </w:r>
      <w:r w:rsidR="00A940DE" w:rsidRPr="00A76AD2">
        <w:rPr>
          <w:noProof/>
        </w:rPr>
        <w:fldChar w:fldCharType="begin"/>
      </w:r>
      <w:r w:rsidR="00A940DE" w:rsidRPr="00A76AD2">
        <w:rPr>
          <w:noProof/>
        </w:rPr>
        <w:instrText xml:space="preserve"> REF _Ref137491449 \r \h </w:instrText>
      </w:r>
      <w:r w:rsidR="00A940DE" w:rsidRPr="00A76AD2">
        <w:rPr>
          <w:noProof/>
        </w:rPr>
      </w:r>
      <w:r w:rsidR="00A940DE" w:rsidRPr="00A76AD2">
        <w:rPr>
          <w:noProof/>
        </w:rPr>
        <w:fldChar w:fldCharType="separate"/>
      </w:r>
      <w:r w:rsidR="00E715A7" w:rsidRPr="00A76AD2">
        <w:rPr>
          <w:noProof/>
        </w:rPr>
        <w:t>5</w:t>
      </w:r>
      <w:r w:rsidR="00A940DE" w:rsidRPr="00A76AD2">
        <w:rPr>
          <w:noProof/>
        </w:rPr>
        <w:fldChar w:fldCharType="end"/>
      </w:r>
      <w:r w:rsidRPr="00A76AD2">
        <w:rPr>
          <w:noProof/>
        </w:rPr>
        <w:t xml:space="preserve">.). </w:t>
      </w:r>
    </w:p>
    <w:p w14:paraId="7782C7EE" w14:textId="4021609A" w:rsidR="00203651" w:rsidRPr="00A76AD2" w:rsidRDefault="00123E71">
      <w:pPr>
        <w:autoSpaceDE w:val="0"/>
        <w:autoSpaceDN w:val="0"/>
        <w:adjustRightInd w:val="0"/>
        <w:rPr>
          <w:rFonts w:eastAsiaTheme="minorHAnsi"/>
          <w:b/>
          <w:noProof/>
          <w:color w:val="000000"/>
        </w:rPr>
      </w:pPr>
      <w:r w:rsidRPr="00A76AD2">
        <w:rPr>
          <w:noProof/>
        </w:rPr>
        <w:lastRenderedPageBreak/>
        <w:t>Više detalja o planiranju i statusu svakog projekta navedeno je u radnom dokumentu službi Komisije</w:t>
      </w:r>
      <w:r w:rsidRPr="00A76AD2">
        <w:rPr>
          <w:rStyle w:val="FootnoteReference"/>
          <w:noProof/>
        </w:rPr>
        <w:footnoteReference w:id="7"/>
      </w:r>
      <w:r w:rsidRPr="00A76AD2">
        <w:rPr>
          <w:noProof/>
        </w:rPr>
        <w:t xml:space="preserve"> objavljenom uz ovo izvješće. Izvješće i radni dokument službi sastavljeni su na temelju informacija prikupljenih </w:t>
      </w:r>
      <w:r w:rsidRPr="00A76AD2">
        <w:rPr>
          <w:b/>
          <w:noProof/>
          <w:color w:val="000000"/>
        </w:rPr>
        <w:t xml:space="preserve">iz sljedećih izvora: </w:t>
      </w:r>
    </w:p>
    <w:p w14:paraId="12672D57" w14:textId="09072E7F" w:rsidR="000A5E61" w:rsidRPr="00A76AD2" w:rsidRDefault="00A33633" w:rsidP="00946A61">
      <w:pPr>
        <w:autoSpaceDE w:val="0"/>
        <w:autoSpaceDN w:val="0"/>
        <w:adjustRightInd w:val="0"/>
        <w:rPr>
          <w:rFonts w:eastAsiaTheme="minorHAnsi"/>
          <w:b/>
          <w:noProof/>
          <w:color w:val="000000"/>
        </w:rPr>
      </w:pPr>
      <w:r w:rsidRPr="00A76AD2">
        <w:rPr>
          <w:b/>
          <w:noProof/>
          <w:color w:val="000000"/>
        </w:rPr>
        <w:t>1.</w:t>
      </w:r>
      <w:r w:rsidRPr="00A76AD2">
        <w:rPr>
          <w:noProof/>
          <w:color w:val="000000"/>
        </w:rPr>
        <w:t xml:space="preserve"> </w:t>
      </w:r>
      <w:r w:rsidRPr="00A76AD2">
        <w:rPr>
          <w:b/>
          <w:noProof/>
          <w:color w:val="000000"/>
        </w:rPr>
        <w:t>nacionalnih planova</w:t>
      </w:r>
      <w:r w:rsidRPr="00A76AD2">
        <w:rPr>
          <w:noProof/>
          <w:color w:val="000000"/>
        </w:rPr>
        <w:t xml:space="preserve"> koje su države članice dužne dostaviti dvaput godišnje (u siječnju i lipnju);</w:t>
      </w:r>
    </w:p>
    <w:p w14:paraId="5C98F272" w14:textId="0F453E9D" w:rsidR="000A5E61" w:rsidRPr="00A76AD2" w:rsidRDefault="00A33633" w:rsidP="00946A61">
      <w:pPr>
        <w:autoSpaceDE w:val="0"/>
        <w:autoSpaceDN w:val="0"/>
        <w:adjustRightInd w:val="0"/>
        <w:rPr>
          <w:rFonts w:eastAsiaTheme="minorEastAsia"/>
          <w:noProof/>
          <w:color w:val="000000" w:themeColor="text1"/>
        </w:rPr>
      </w:pPr>
      <w:r w:rsidRPr="00A76AD2">
        <w:rPr>
          <w:b/>
          <w:noProof/>
          <w:color w:val="000000" w:themeColor="text1"/>
        </w:rPr>
        <w:t>2.</w:t>
      </w:r>
      <w:r w:rsidRPr="00A76AD2">
        <w:rPr>
          <w:noProof/>
          <w:color w:val="000000" w:themeColor="text1"/>
        </w:rPr>
        <w:t xml:space="preserve"> </w:t>
      </w:r>
      <w:r w:rsidRPr="00A76AD2">
        <w:rPr>
          <w:b/>
          <w:noProof/>
          <w:color w:val="000000" w:themeColor="text1"/>
        </w:rPr>
        <w:t>istraživanja</w:t>
      </w:r>
      <w:r w:rsidRPr="00A76AD2">
        <w:rPr>
          <w:noProof/>
          <w:color w:val="000000" w:themeColor="text1"/>
        </w:rPr>
        <w:t xml:space="preserve"> čiji su rezultati proslijeđeni državama članicama i službama Komisije kako bi se dobio pregled stvarnog napretka u ostvarivanju planova.</w:t>
      </w:r>
    </w:p>
    <w:p w14:paraId="4AA10F39" w14:textId="053F9856" w:rsidR="00737D37" w:rsidRPr="00A76AD2" w:rsidRDefault="00737D37" w:rsidP="00946A61">
      <w:pPr>
        <w:autoSpaceDE w:val="0"/>
        <w:autoSpaceDN w:val="0"/>
        <w:adjustRightInd w:val="0"/>
        <w:rPr>
          <w:rFonts w:eastAsiaTheme="minorHAnsi"/>
          <w:noProof/>
          <w:color w:val="000000"/>
        </w:rPr>
      </w:pPr>
      <w:r w:rsidRPr="00A76AD2">
        <w:rPr>
          <w:noProof/>
          <w:color w:val="000000"/>
        </w:rPr>
        <w:t>Dobiveni podaci kvantitativni su u smislu ispunjenih ili neispunjenih rokova i ključnih etapa, kao i kvalitativni u smislu detaljnih opisa procijenjene složenosti projekata, postojećih poteškoća, očekivanih rizika, kašnjenja i razloga za t kašnjenja te planiranih i/ili poduzetih mjera ublažavanja.</w:t>
      </w:r>
    </w:p>
    <w:p w14:paraId="3C8ACBA2" w14:textId="70A48F67" w:rsidR="0084206A" w:rsidRPr="00A76AD2" w:rsidRDefault="00477851" w:rsidP="00946A61">
      <w:pPr>
        <w:autoSpaceDE w:val="0"/>
        <w:autoSpaceDN w:val="0"/>
        <w:adjustRightInd w:val="0"/>
        <w:rPr>
          <w:rFonts w:eastAsiaTheme="minorHAnsi"/>
          <w:noProof/>
          <w:color w:val="000000"/>
        </w:rPr>
      </w:pPr>
      <w:r w:rsidRPr="00A76AD2">
        <w:rPr>
          <w:noProof/>
          <w:color w:val="000000"/>
        </w:rPr>
        <w:t>Ove je godine od država članica zatraženo i da dostave informacije o iskustvima stečenima u okviru razvoja projekata i o mogućim dodatnim potrebama za potporom;</w:t>
      </w:r>
    </w:p>
    <w:p w14:paraId="17FE74BE" w14:textId="03B150D3" w:rsidR="00282B17" w:rsidRPr="00A76AD2" w:rsidRDefault="00E0026F" w:rsidP="00946A61">
      <w:pPr>
        <w:autoSpaceDE w:val="0"/>
        <w:autoSpaceDN w:val="0"/>
        <w:adjustRightInd w:val="0"/>
        <w:rPr>
          <w:rFonts w:eastAsiaTheme="minorHAnsi"/>
          <w:bCs/>
          <w:noProof/>
          <w:color w:val="000000"/>
        </w:rPr>
      </w:pPr>
      <w:r w:rsidRPr="00A76AD2">
        <w:rPr>
          <w:b/>
          <w:noProof/>
          <w:color w:val="000000"/>
        </w:rPr>
        <w:t>3. bilateralnih sastanaka na visokoj razini</w:t>
      </w:r>
      <w:r w:rsidRPr="00A76AD2">
        <w:rPr>
          <w:noProof/>
          <w:color w:val="000000"/>
        </w:rPr>
        <w:t xml:space="preserve"> između carinskih uprava za informacijske tehnologije država članica i Komisijine Glavne uprave za oporezivanje i carinsku uniju (GU TAXUD).</w:t>
      </w:r>
    </w:p>
    <w:p w14:paraId="0030A75D" w14:textId="5206A2E7" w:rsidR="009E25AF" w:rsidRPr="00A76AD2" w:rsidRDefault="7D459495" w:rsidP="00946A61">
      <w:pPr>
        <w:autoSpaceDE w:val="0"/>
        <w:autoSpaceDN w:val="0"/>
        <w:adjustRightInd w:val="0"/>
        <w:rPr>
          <w:rFonts w:eastAsiaTheme="minorEastAsia"/>
          <w:noProof/>
          <w:color w:val="000000"/>
        </w:rPr>
      </w:pPr>
      <w:r w:rsidRPr="00A76AD2">
        <w:rPr>
          <w:noProof/>
          <w:color w:val="000000" w:themeColor="text1"/>
        </w:rPr>
        <w:t xml:space="preserve">Rezultati istraživanja omogućili su Komisiji da stekne jasan uvid u stanje svakog sustava. Međutim, Komisija je utvrdila da je važno pribaviti najnovije informacije kako bi se dobila jasna i točna slika o stanju svakog projekta u okviru CZU-a u državama članicama, kako bi se moglo razumjeti s kojim su poteškoćama suočene i kako bi se smislile ideje za rješavanje problematičnih situacija; </w:t>
      </w:r>
    </w:p>
    <w:p w14:paraId="1630AD3F" w14:textId="463619FC" w:rsidR="00737D37" w:rsidRPr="00A76AD2" w:rsidRDefault="00737D37" w:rsidP="00946A61">
      <w:pPr>
        <w:autoSpaceDE w:val="0"/>
        <w:autoSpaceDN w:val="0"/>
        <w:adjustRightInd w:val="0"/>
        <w:rPr>
          <w:rFonts w:eastAsiaTheme="minorHAnsi"/>
          <w:noProof/>
          <w:color w:val="000000"/>
        </w:rPr>
      </w:pPr>
      <w:r w:rsidRPr="00A76AD2">
        <w:rPr>
          <w:b/>
          <w:noProof/>
          <w:color w:val="000000"/>
        </w:rPr>
        <w:t>4. rezultata transeuropskih programa koordinacije i praćenja</w:t>
      </w:r>
      <w:r w:rsidRPr="00A76AD2">
        <w:rPr>
          <w:noProof/>
          <w:color w:val="000000"/>
        </w:rPr>
        <w:t>.</w:t>
      </w:r>
    </w:p>
    <w:p w14:paraId="13DB0DFC" w14:textId="7D5DB802" w:rsidR="00737D37" w:rsidRPr="00A76AD2" w:rsidRDefault="00737D37" w:rsidP="00737D37">
      <w:pPr>
        <w:autoSpaceDE w:val="0"/>
        <w:autoSpaceDN w:val="0"/>
        <w:adjustRightInd w:val="0"/>
        <w:rPr>
          <w:rFonts w:eastAsiaTheme="minorHAnsi"/>
          <w:noProof/>
          <w:color w:val="000000"/>
        </w:rPr>
      </w:pPr>
      <w:r w:rsidRPr="00A76AD2">
        <w:rPr>
          <w:noProof/>
          <w:color w:val="000000"/>
        </w:rPr>
        <w:t xml:space="preserve">Ovo izvješće sadržava i analizu koja se temelji na detaljnijim informacijama o kojima su države članice izvijestile u okviru programa koordinacije koji su na snazi​od 2020. za transeuropske sustave. </w:t>
      </w:r>
    </w:p>
    <w:p w14:paraId="4FB82748" w14:textId="7C9D0F89" w:rsidR="00282B17" w:rsidRPr="00A76AD2" w:rsidRDefault="0071310A" w:rsidP="00D105C6">
      <w:pPr>
        <w:keepNext/>
        <w:numPr>
          <w:ilvl w:val="0"/>
          <w:numId w:val="1"/>
        </w:numPr>
        <w:ind w:left="432" w:hanging="432"/>
        <w:outlineLvl w:val="0"/>
        <w:rPr>
          <w:b/>
          <w:caps/>
          <w:smallCaps/>
          <w:noProof/>
          <w:sz w:val="24"/>
          <w:szCs w:val="24"/>
        </w:rPr>
      </w:pPr>
      <w:bookmarkStart w:id="6" w:name="_Toc168222738"/>
      <w:bookmarkStart w:id="7" w:name="_Toc117261080"/>
      <w:bookmarkStart w:id="8" w:name="_Toc52475148"/>
      <w:bookmarkStart w:id="9" w:name="_Toc173936641"/>
      <w:bookmarkEnd w:id="6"/>
      <w:bookmarkEnd w:id="7"/>
      <w:r w:rsidRPr="00A76AD2">
        <w:rPr>
          <w:b/>
          <w:caps/>
          <w:smallCaps/>
          <w:noProof/>
          <w:sz w:val="24"/>
        </w:rPr>
        <w:t>Metodologija projekta za elektroničke sustave CZU-a</w:t>
      </w:r>
      <w:bookmarkEnd w:id="8"/>
      <w:bookmarkEnd w:id="9"/>
    </w:p>
    <w:p w14:paraId="64670293" w14:textId="6B005397" w:rsidR="0061782F" w:rsidRPr="00A76AD2" w:rsidRDefault="0061782F" w:rsidP="007270C7">
      <w:pPr>
        <w:widowControl w:val="0"/>
        <w:autoSpaceDE w:val="0"/>
        <w:autoSpaceDN w:val="0"/>
        <w:adjustRightInd w:val="0"/>
        <w:rPr>
          <w:rFonts w:eastAsiaTheme="minorHAnsi"/>
          <w:noProof/>
          <w:color w:val="000000"/>
        </w:rPr>
      </w:pPr>
      <w:r w:rsidRPr="00A76AD2">
        <w:rPr>
          <w:noProof/>
          <w:color w:val="000000"/>
        </w:rPr>
        <w:t xml:space="preserve">Ovisno o arhitekturi sustava koju su dogovorile države članice i Komisija za svaki pojedini sustav, postoji </w:t>
      </w:r>
      <w:r w:rsidRPr="00A76AD2">
        <w:rPr>
          <w:b/>
          <w:noProof/>
          <w:color w:val="000000"/>
        </w:rPr>
        <w:t>podjela uloga</w:t>
      </w:r>
      <w:r w:rsidRPr="00A76AD2">
        <w:rPr>
          <w:noProof/>
          <w:color w:val="000000"/>
        </w:rPr>
        <w:t xml:space="preserve"> s obzirom na </w:t>
      </w:r>
      <w:r w:rsidRPr="00A76AD2">
        <w:rPr>
          <w:b/>
          <w:noProof/>
          <w:color w:val="000000"/>
        </w:rPr>
        <w:t>odgovornosti</w:t>
      </w:r>
      <w:r w:rsidRPr="00A76AD2">
        <w:rPr>
          <w:noProof/>
          <w:color w:val="000000"/>
        </w:rPr>
        <w:t xml:space="preserve"> za razvoj, uvođenje, rad i održavanje. Te su uloge utvrđene u Provedbenoj uredbi o tehničkim protokolima za elektroničke sustave (IRTA), u kojoj se opisuje od kojih bi se komponenti ti sustavi trebali sastojati i koja je njihova priroda, odnosno jesu li nacionalne (razvijene na nacionalnoj razini) ili zajedničke (razvijene na razini EU-a). </w:t>
      </w:r>
    </w:p>
    <w:p w14:paraId="02E486B0" w14:textId="4BCBAA2B" w:rsidR="0061782F" w:rsidRPr="00A76AD2" w:rsidRDefault="0061782F" w:rsidP="007270C7">
      <w:pPr>
        <w:widowControl w:val="0"/>
        <w:autoSpaceDE w:val="0"/>
        <w:autoSpaceDN w:val="0"/>
        <w:adjustRightInd w:val="0"/>
        <w:rPr>
          <w:rFonts w:eastAsiaTheme="minorHAnsi"/>
          <w:noProof/>
          <w:color w:val="000000"/>
        </w:rPr>
      </w:pPr>
      <w:r w:rsidRPr="00A76AD2">
        <w:rPr>
          <w:noProof/>
          <w:color w:val="000000"/>
        </w:rPr>
        <w:t xml:space="preserve">U skladu s člankom 103. IRTA-e, Komisija razvija, ispituje i pušta u rad </w:t>
      </w:r>
      <w:r w:rsidRPr="00A76AD2">
        <w:rPr>
          <w:b/>
          <w:noProof/>
          <w:color w:val="000000"/>
        </w:rPr>
        <w:t>zajedničke komponente</w:t>
      </w:r>
      <w:r w:rsidRPr="00A76AD2">
        <w:rPr>
          <w:noProof/>
          <w:color w:val="000000"/>
        </w:rPr>
        <w:t xml:space="preserve"> te njima upravlja, a ispitati ih mogu države članice. Države članice razvijaju, ispituju i puštaju u rad </w:t>
      </w:r>
      <w:r w:rsidRPr="00A76AD2">
        <w:rPr>
          <w:b/>
          <w:noProof/>
          <w:color w:val="000000"/>
        </w:rPr>
        <w:t>nacionalne komponente</w:t>
      </w:r>
      <w:r w:rsidRPr="00A76AD2">
        <w:rPr>
          <w:noProof/>
          <w:color w:val="000000"/>
        </w:rPr>
        <w:t xml:space="preserve"> te njima upravljaju. Države članice osiguravaju </w:t>
      </w:r>
      <w:r w:rsidRPr="00A76AD2">
        <w:rPr>
          <w:b/>
          <w:noProof/>
          <w:color w:val="000000"/>
        </w:rPr>
        <w:t>interoperabilnost</w:t>
      </w:r>
      <w:r w:rsidRPr="00A76AD2">
        <w:rPr>
          <w:noProof/>
          <w:color w:val="000000"/>
        </w:rPr>
        <w:t xml:space="preserve"> nacionalnih komponenti sa zajedničkim komponentama. Komisija osmišljava i održava </w:t>
      </w:r>
      <w:r w:rsidRPr="00A76AD2">
        <w:rPr>
          <w:b/>
          <w:noProof/>
          <w:color w:val="000000"/>
        </w:rPr>
        <w:t>zajedničke specifikacije za decentralizirane sustave</w:t>
      </w:r>
      <w:r w:rsidRPr="00A76AD2">
        <w:rPr>
          <w:noProof/>
          <w:color w:val="000000"/>
        </w:rPr>
        <w:t xml:space="preserve"> u bliskoj suradnji s državama članicama. Države članice razvijaju, primjenjuju i održavaju </w:t>
      </w:r>
      <w:r w:rsidRPr="00A76AD2">
        <w:rPr>
          <w:b/>
          <w:noProof/>
          <w:color w:val="000000"/>
        </w:rPr>
        <w:t>sučelja</w:t>
      </w:r>
      <w:r w:rsidRPr="00A76AD2">
        <w:rPr>
          <w:noProof/>
          <w:color w:val="000000"/>
        </w:rPr>
        <w:t xml:space="preserve"> kako bi pružile funkcionalnost decentraliziranih sustava koja je potrebna za razmjene informacija s gospodarskim subjektima i drugim osobama s pomoću nacionalnih komponenti i sučelja te s drugim državama članicama s pomoću zajedničkih komponenti.</w:t>
      </w:r>
    </w:p>
    <w:p w14:paraId="7898D9DC" w14:textId="6E7FB532" w:rsidR="0045061F" w:rsidRPr="00A76AD2" w:rsidRDefault="000D6D74" w:rsidP="007270C7">
      <w:pPr>
        <w:widowControl w:val="0"/>
        <w:autoSpaceDE w:val="0"/>
        <w:autoSpaceDN w:val="0"/>
        <w:adjustRightInd w:val="0"/>
        <w:rPr>
          <w:rFonts w:eastAsiaTheme="minorHAnsi"/>
          <w:noProof/>
          <w:color w:val="000000"/>
        </w:rPr>
      </w:pPr>
      <w:r w:rsidRPr="00A76AD2">
        <w:rPr>
          <w:noProof/>
          <w:color w:val="000000"/>
        </w:rPr>
        <w:t xml:space="preserve">Dodatna optimizacija </w:t>
      </w:r>
      <w:r w:rsidRPr="00A76AD2">
        <w:rPr>
          <w:b/>
          <w:noProof/>
          <w:color w:val="000000"/>
        </w:rPr>
        <w:t>metodologije projekta</w:t>
      </w:r>
      <w:r w:rsidRPr="00A76AD2">
        <w:rPr>
          <w:noProof/>
          <w:color w:val="000000"/>
        </w:rPr>
        <w:t xml:space="preserve"> za razvoj sustava u tijeku je od 2022. Kad je riječ o Komisijinim odgovornostima, oblikovanje poslovnih procesa, oblikovanje podataka i tehničke specifikacije razrađuju se usporedno i od samog početka u bliskoj suradnji s pravnim, poslovnim i IT stručnjacima. Tu metodu koja se u praksi pokazala najboljom preuzela je i većina država članica. Štoviše, </w:t>
      </w:r>
      <w:r w:rsidRPr="00A76AD2">
        <w:rPr>
          <w:noProof/>
        </w:rPr>
        <w:t xml:space="preserve">može se primijetiti primjena agilnijih metodologija za razvoj elektroničkih sustava CZU-a, čime se omogućuju postupna poboljšanja korisničke funkcionalnosti bržim uvođenjem novih verzija softvera kojim se lakše upravlja. Komisija je prilagodila svoj pristup i dokumentaciju za transeuropske sustave kako bi omogućila takvu agilnost u cilju pružanja potpore državama članicama u ubrzavanju napretka. To je vidljivo i u novom programu rada za CZU. </w:t>
      </w:r>
    </w:p>
    <w:p w14:paraId="2803AEDA" w14:textId="1E1B2424" w:rsidR="00282B17" w:rsidRPr="00A76AD2" w:rsidRDefault="00A33633">
      <w:pPr>
        <w:rPr>
          <w:noProof/>
        </w:rPr>
      </w:pPr>
      <w:r w:rsidRPr="00A76AD2">
        <w:rPr>
          <w:noProof/>
        </w:rPr>
        <w:t xml:space="preserve">Države članice i Komisija nastavile su se redovito sastajati u okviru koordinacijske skupine za elektroničku carinu (ECCG) kako bi definirale i dogovorile projektnu dokumentaciju za svaki transeuropski sustav. ECCG djeluje i kao forum za usmjeravanje i koordinaciju aktivnosti među </w:t>
      </w:r>
      <w:r w:rsidRPr="00A76AD2">
        <w:rPr>
          <w:noProof/>
        </w:rPr>
        <w:lastRenderedPageBreak/>
        <w:t>državama članicama i između država članica i Komisije. Osim toga, Komisija se sustavno savjetovala s trgovinskom zajednicom preko kontaktne skupine za trgovinu (TCG). Odgovornost je država članica da sa svojim gospodarskim subjektima redovito komuniciraju o nacionalnim planovima i dokumentaciji za gospodarske subjekte. Nakon što sustav bude spreman, najvažnije je da države članice osiguraju uredan prelazak s postojećih sustava na modernizirane sustave. To je ključno kako bi se spriječio bilo kakav utjecaj na trgovinske i carinske postupke.</w:t>
      </w:r>
    </w:p>
    <w:p w14:paraId="2E19F7B0" w14:textId="74AD560C" w:rsidR="00282B17" w:rsidRPr="00A76AD2" w:rsidRDefault="0071310A" w:rsidP="00E13694">
      <w:pPr>
        <w:keepNext/>
        <w:numPr>
          <w:ilvl w:val="0"/>
          <w:numId w:val="1"/>
        </w:numPr>
        <w:ind w:left="432" w:hanging="432"/>
        <w:outlineLvl w:val="0"/>
        <w:rPr>
          <w:b/>
          <w:caps/>
          <w:smallCaps/>
          <w:noProof/>
          <w:sz w:val="24"/>
          <w:szCs w:val="24"/>
        </w:rPr>
      </w:pPr>
      <w:bookmarkStart w:id="10" w:name="_Toc52475149"/>
      <w:bookmarkStart w:id="11" w:name="_Toc173936642"/>
      <w:r w:rsidRPr="00A76AD2">
        <w:rPr>
          <w:b/>
          <w:caps/>
          <w:smallCaps/>
          <w:noProof/>
          <w:sz w:val="24"/>
        </w:rPr>
        <w:t>Globalni pregled napretka u pogledu elektroničkih sustava CZU-a</w:t>
      </w:r>
      <w:bookmarkEnd w:id="10"/>
      <w:bookmarkEnd w:id="11"/>
    </w:p>
    <w:p w14:paraId="353FE917" w14:textId="34725788" w:rsidR="00282B17" w:rsidRPr="00A76AD2" w:rsidRDefault="00A33633">
      <w:pPr>
        <w:rPr>
          <w:noProof/>
        </w:rPr>
      </w:pPr>
      <w:r w:rsidRPr="00A76AD2">
        <w:rPr>
          <w:noProof/>
        </w:rPr>
        <w:t>Program rada za CZU sadržava 17 projekata kojima se nastoje uvesti potrebni elektronički sustavi, uključujući 14 transeuropskih projekata za koje su odgovorne Komisija i države članice te tri projekta pod isključivom odgovornošću država članica.</w:t>
      </w:r>
    </w:p>
    <w:p w14:paraId="2EE0C316" w14:textId="56515E9D" w:rsidR="00DA0232" w:rsidRPr="00A76AD2" w:rsidRDefault="00FC6F60" w:rsidP="00B548E7">
      <w:pPr>
        <w:keepNext/>
        <w:numPr>
          <w:ilvl w:val="1"/>
          <w:numId w:val="1"/>
        </w:numPr>
        <w:ind w:left="567" w:hanging="567"/>
        <w:outlineLvl w:val="0"/>
        <w:rPr>
          <w:rFonts w:ascii="Times New Roman Bold" w:hAnsi="Times New Roman Bold"/>
          <w:b/>
          <w:bCs/>
          <w:noProof/>
          <w:sz w:val="24"/>
          <w:szCs w:val="24"/>
        </w:rPr>
      </w:pPr>
      <w:bookmarkStart w:id="12" w:name="_Toc173936643"/>
      <w:r w:rsidRPr="00A76AD2">
        <w:rPr>
          <w:rFonts w:ascii="Times New Roman Bold" w:hAnsi="Times New Roman Bold"/>
          <w:b/>
          <w:noProof/>
          <w:sz w:val="24"/>
        </w:rPr>
        <w:t>Projekti završeni prije 2023.</w:t>
      </w:r>
      <w:bookmarkEnd w:id="12"/>
    </w:p>
    <w:p w14:paraId="692C9BEE" w14:textId="01074FEB" w:rsidR="00282B17" w:rsidRPr="00A76AD2" w:rsidRDefault="00C51F75">
      <w:pPr>
        <w:rPr>
          <w:rFonts w:eastAsiaTheme="minorHAnsi"/>
          <w:noProof/>
        </w:rPr>
      </w:pPr>
      <w:r w:rsidRPr="00A76AD2">
        <w:rPr>
          <w:noProof/>
        </w:rPr>
        <w:t xml:space="preserve">Komisija izvješćuje o uspješnom uvođenju sljedećih </w:t>
      </w:r>
      <w:r w:rsidRPr="00A76AD2">
        <w:rPr>
          <w:b/>
          <w:noProof/>
        </w:rPr>
        <w:t>devet novih ili moderniziranih sustava</w:t>
      </w:r>
      <w:r w:rsidRPr="00A76AD2">
        <w:rPr>
          <w:noProof/>
        </w:rPr>
        <w:t xml:space="preserve">: </w:t>
      </w:r>
    </w:p>
    <w:p w14:paraId="6F66D878" w14:textId="6DE0A11F" w:rsidR="00282B17" w:rsidRPr="00A76AD2" w:rsidRDefault="00A33633" w:rsidP="00173826">
      <w:pPr>
        <w:numPr>
          <w:ilvl w:val="0"/>
          <w:numId w:val="4"/>
        </w:numPr>
        <w:ind w:left="992" w:hanging="567"/>
        <w:jc w:val="left"/>
        <w:rPr>
          <w:bCs/>
          <w:noProof/>
        </w:rPr>
      </w:pPr>
      <w:r w:rsidRPr="00A76AD2">
        <w:rPr>
          <w:noProof/>
        </w:rPr>
        <w:t xml:space="preserve">sustav registriranih izvoznika u okviru CZU-a – </w:t>
      </w:r>
      <w:r w:rsidRPr="00A76AD2">
        <w:rPr>
          <w:i/>
          <w:noProof/>
        </w:rPr>
        <w:t>REX</w:t>
      </w:r>
      <w:r w:rsidRPr="00A76AD2">
        <w:rPr>
          <w:noProof/>
        </w:rPr>
        <w:t xml:space="preserve"> (novo): uveden 2017., </w:t>
      </w:r>
    </w:p>
    <w:p w14:paraId="578B59B8" w14:textId="49160E6D" w:rsidR="00282B17" w:rsidRPr="00A76AD2" w:rsidRDefault="00A33633" w:rsidP="00173826">
      <w:pPr>
        <w:numPr>
          <w:ilvl w:val="0"/>
          <w:numId w:val="4"/>
        </w:numPr>
        <w:ind w:left="992" w:hanging="567"/>
        <w:jc w:val="left"/>
        <w:rPr>
          <w:bCs/>
          <w:noProof/>
        </w:rPr>
      </w:pPr>
      <w:r w:rsidRPr="00A76AD2">
        <w:rPr>
          <w:noProof/>
        </w:rPr>
        <w:t xml:space="preserve">carinske odluke u okviru CZU-a – </w:t>
      </w:r>
      <w:r w:rsidRPr="00A76AD2">
        <w:rPr>
          <w:i/>
          <w:noProof/>
        </w:rPr>
        <w:t>CDS</w:t>
      </w:r>
      <w:r w:rsidRPr="00A76AD2">
        <w:rPr>
          <w:noProof/>
        </w:rPr>
        <w:t xml:space="preserve"> (novo): uvedene 2017.,</w:t>
      </w:r>
    </w:p>
    <w:p w14:paraId="17FDD7DD" w14:textId="684FB4BA" w:rsidR="00282B17" w:rsidRPr="00A76AD2" w:rsidRDefault="00A33633" w:rsidP="00173826">
      <w:pPr>
        <w:numPr>
          <w:ilvl w:val="0"/>
          <w:numId w:val="4"/>
        </w:numPr>
        <w:ind w:left="992" w:hanging="567"/>
        <w:jc w:val="left"/>
        <w:rPr>
          <w:bCs/>
          <w:noProof/>
        </w:rPr>
      </w:pPr>
      <w:r w:rsidRPr="00A76AD2">
        <w:rPr>
          <w:noProof/>
        </w:rPr>
        <w:t xml:space="preserve">izravan pristup gospodarskih subjekata u okviru CZU-a europskim informacijskim sustavima – </w:t>
      </w:r>
      <w:r w:rsidRPr="00A76AD2">
        <w:rPr>
          <w:i/>
          <w:noProof/>
        </w:rPr>
        <w:t>UUM&amp;DS</w:t>
      </w:r>
      <w:r w:rsidRPr="00A76AD2">
        <w:rPr>
          <w:noProof/>
        </w:rPr>
        <w:t xml:space="preserve"> (jedinstveno upravljanje korisnicima i digitalni potpis) (novo): uveden 2017.,</w:t>
      </w:r>
    </w:p>
    <w:p w14:paraId="004F01F8" w14:textId="0FEFCA25" w:rsidR="00282B17" w:rsidRPr="00A76AD2" w:rsidRDefault="00A33633" w:rsidP="00173826">
      <w:pPr>
        <w:numPr>
          <w:ilvl w:val="0"/>
          <w:numId w:val="4"/>
        </w:numPr>
        <w:ind w:left="992" w:hanging="567"/>
        <w:jc w:val="left"/>
        <w:rPr>
          <w:bCs/>
          <w:noProof/>
        </w:rPr>
      </w:pPr>
      <w:r w:rsidRPr="00A76AD2">
        <w:rPr>
          <w:noProof/>
        </w:rPr>
        <w:t xml:space="preserve">sustav registracije i identifikacije gospodarskih subjekata u okviru CZU-a – </w:t>
      </w:r>
      <w:r w:rsidRPr="00A76AD2">
        <w:rPr>
          <w:i/>
          <w:noProof/>
        </w:rPr>
        <w:t>EORI2</w:t>
      </w:r>
      <w:r w:rsidRPr="00A76AD2">
        <w:rPr>
          <w:noProof/>
        </w:rPr>
        <w:t xml:space="preserve"> (nadogradnja): uveden 2018.,</w:t>
      </w:r>
    </w:p>
    <w:p w14:paraId="720B41E9" w14:textId="645902BB" w:rsidR="00282B17" w:rsidRPr="00A76AD2" w:rsidRDefault="00A33633" w:rsidP="00173826">
      <w:pPr>
        <w:numPr>
          <w:ilvl w:val="0"/>
          <w:numId w:val="4"/>
        </w:numPr>
        <w:ind w:left="992" w:hanging="567"/>
        <w:jc w:val="left"/>
        <w:rPr>
          <w:bCs/>
          <w:noProof/>
        </w:rPr>
      </w:pPr>
      <w:r w:rsidRPr="00A76AD2">
        <w:rPr>
          <w:noProof/>
        </w:rPr>
        <w:t xml:space="preserve">sustav Surveillance 3 u okviru CZU-a – </w:t>
      </w:r>
      <w:r w:rsidRPr="00A76AD2">
        <w:rPr>
          <w:i/>
          <w:noProof/>
        </w:rPr>
        <w:t>SURV3</w:t>
      </w:r>
      <w:r w:rsidRPr="00A76AD2">
        <w:rPr>
          <w:noProof/>
        </w:rPr>
        <w:t xml:space="preserve"> (nadogradnja): uveden 2018.,</w:t>
      </w:r>
    </w:p>
    <w:p w14:paraId="34EC780A" w14:textId="5B97D0E3" w:rsidR="00282B17" w:rsidRPr="00A76AD2" w:rsidRDefault="00A33633" w:rsidP="00173826">
      <w:pPr>
        <w:numPr>
          <w:ilvl w:val="0"/>
          <w:numId w:val="4"/>
        </w:numPr>
        <w:ind w:left="992" w:hanging="567"/>
        <w:jc w:val="left"/>
        <w:rPr>
          <w:bCs/>
          <w:noProof/>
        </w:rPr>
      </w:pPr>
      <w:r w:rsidRPr="00A76AD2">
        <w:rPr>
          <w:noProof/>
        </w:rPr>
        <w:t xml:space="preserve">obvezujuće tarifne informacije u okviru CZU-a – </w:t>
      </w:r>
      <w:r w:rsidRPr="00A76AD2">
        <w:rPr>
          <w:i/>
          <w:noProof/>
        </w:rPr>
        <w:t>BTI</w:t>
      </w:r>
      <w:r w:rsidRPr="00A76AD2">
        <w:rPr>
          <w:noProof/>
        </w:rPr>
        <w:t xml:space="preserve"> (nadogradnja): uvedene 2019.,</w:t>
      </w:r>
    </w:p>
    <w:p w14:paraId="6EC5EB2D" w14:textId="70F231D6" w:rsidR="00282B17" w:rsidRPr="00A76AD2" w:rsidRDefault="00A33633" w:rsidP="00173826">
      <w:pPr>
        <w:numPr>
          <w:ilvl w:val="0"/>
          <w:numId w:val="4"/>
        </w:numPr>
        <w:ind w:left="992" w:hanging="567"/>
        <w:jc w:val="left"/>
        <w:rPr>
          <w:bCs/>
          <w:noProof/>
        </w:rPr>
      </w:pPr>
      <w:r w:rsidRPr="00A76AD2">
        <w:rPr>
          <w:noProof/>
        </w:rPr>
        <w:t xml:space="preserve">sustav ovlaštenih gospodarskih subjekata u okviru CZU-a – </w:t>
      </w:r>
      <w:r w:rsidRPr="00A76AD2">
        <w:rPr>
          <w:i/>
          <w:noProof/>
        </w:rPr>
        <w:t>AEO</w:t>
      </w:r>
      <w:r w:rsidRPr="00A76AD2">
        <w:rPr>
          <w:noProof/>
        </w:rPr>
        <w:t xml:space="preserve"> (nadogradnja): uveden 2019.,</w:t>
      </w:r>
    </w:p>
    <w:p w14:paraId="39DC0B7E" w14:textId="40A49C3E" w:rsidR="00282B17" w:rsidRPr="00A76AD2" w:rsidRDefault="00A33633" w:rsidP="00173826">
      <w:pPr>
        <w:numPr>
          <w:ilvl w:val="0"/>
          <w:numId w:val="4"/>
        </w:numPr>
        <w:ind w:left="992" w:hanging="567"/>
        <w:jc w:val="left"/>
        <w:rPr>
          <w:bCs/>
          <w:noProof/>
        </w:rPr>
      </w:pPr>
      <w:r w:rsidRPr="00A76AD2">
        <w:rPr>
          <w:noProof/>
        </w:rPr>
        <w:t xml:space="preserve">informativni obrasci za posebne postupke u okviru CZU-a – </w:t>
      </w:r>
      <w:r w:rsidRPr="00A76AD2">
        <w:rPr>
          <w:i/>
          <w:noProof/>
        </w:rPr>
        <w:t>INF</w:t>
      </w:r>
      <w:r w:rsidRPr="00A76AD2">
        <w:rPr>
          <w:noProof/>
        </w:rPr>
        <w:t xml:space="preserve"> (novo): uvedeni 2020.,</w:t>
      </w:r>
    </w:p>
    <w:p w14:paraId="75593CF5" w14:textId="7AE7BD9F" w:rsidR="00B90964" w:rsidRPr="00A76AD2" w:rsidRDefault="00B90964" w:rsidP="00173826">
      <w:pPr>
        <w:numPr>
          <w:ilvl w:val="0"/>
          <w:numId w:val="4"/>
        </w:numPr>
        <w:ind w:left="992" w:hanging="567"/>
        <w:jc w:val="left"/>
        <w:rPr>
          <w:bCs/>
          <w:noProof/>
        </w:rPr>
      </w:pPr>
      <w:r w:rsidRPr="00A76AD2">
        <w:rPr>
          <w:noProof/>
        </w:rPr>
        <w:t xml:space="preserve">1. verzija sustava za kontrolu uvoza druge generacije u okviru CZU-a – </w:t>
      </w:r>
      <w:r w:rsidRPr="00A76AD2">
        <w:rPr>
          <w:i/>
          <w:noProof/>
        </w:rPr>
        <w:t>1. verzija sustava ICS2</w:t>
      </w:r>
      <w:r w:rsidRPr="00A76AD2">
        <w:rPr>
          <w:noProof/>
        </w:rPr>
        <w:t xml:space="preserve"> (nadogradnja): uvedena 2021.</w:t>
      </w:r>
    </w:p>
    <w:p w14:paraId="5AC29F02" w14:textId="6FBD55C8" w:rsidR="00B548E7" w:rsidRPr="00A76AD2" w:rsidRDefault="0071310A" w:rsidP="00B548E7">
      <w:pPr>
        <w:keepNext/>
        <w:numPr>
          <w:ilvl w:val="1"/>
          <w:numId w:val="1"/>
        </w:numPr>
        <w:ind w:left="567" w:hanging="567"/>
        <w:outlineLvl w:val="0"/>
        <w:rPr>
          <w:rFonts w:ascii="Times New Roman Bold" w:hAnsi="Times New Roman Bold"/>
          <w:b/>
          <w:bCs/>
          <w:noProof/>
          <w:sz w:val="24"/>
          <w:szCs w:val="24"/>
        </w:rPr>
      </w:pPr>
      <w:bookmarkStart w:id="13" w:name="_Toc173936644"/>
      <w:r w:rsidRPr="00A76AD2">
        <w:rPr>
          <w:rFonts w:ascii="Times New Roman Bold" w:hAnsi="Times New Roman Bold"/>
          <w:b/>
          <w:noProof/>
          <w:sz w:val="24"/>
        </w:rPr>
        <w:t>Tekući projekti</w:t>
      </w:r>
      <w:bookmarkEnd w:id="13"/>
    </w:p>
    <w:p w14:paraId="1CF162BB" w14:textId="5D8AF1D1" w:rsidR="00FA0BB5" w:rsidRPr="00A76AD2" w:rsidRDefault="00682143" w:rsidP="00FA0BB5">
      <w:pPr>
        <w:rPr>
          <w:noProof/>
        </w:rPr>
      </w:pPr>
      <w:r w:rsidRPr="00A76AD2">
        <w:rPr>
          <w:noProof/>
        </w:rPr>
        <w:t xml:space="preserve">Cilj je ovog izvješća istaknuti postignuća i probleme na koje se naišlo u provedbi tekućih projekata u 2023. </w:t>
      </w:r>
    </w:p>
    <w:p w14:paraId="02072ABE" w14:textId="44C58C3A" w:rsidR="00000264" w:rsidRPr="00A76AD2" w:rsidRDefault="00AE7191">
      <w:pPr>
        <w:rPr>
          <w:noProof/>
        </w:rPr>
      </w:pPr>
      <w:r w:rsidRPr="00A76AD2">
        <w:rPr>
          <w:noProof/>
        </w:rPr>
        <w:t xml:space="preserve">U odjeljku 4.2.1. nalazi se pregled </w:t>
      </w:r>
      <w:r w:rsidRPr="00A76AD2">
        <w:rPr>
          <w:b/>
          <w:noProof/>
        </w:rPr>
        <w:t>šest transeuropskih projekata</w:t>
      </w:r>
      <w:r w:rsidRPr="00A76AD2">
        <w:rPr>
          <w:noProof/>
        </w:rPr>
        <w:t xml:space="preserve"> čije je uvođenje planirano u razdoblju od 2023. do 2025. Za četiri od tih šest projekata vremenski okvir za uvođenje završio je 2023., kako je utvrđeno u programu rada za CZU iz 2019., ali budući da su neke države članice izvijestile o poteškoćama, program rada za CZU revidiran je 2023.</w:t>
      </w:r>
    </w:p>
    <w:p w14:paraId="49B1BB36" w14:textId="490FE5D1" w:rsidR="00282B17" w:rsidRPr="00A76AD2" w:rsidRDefault="61E4BCF8">
      <w:pPr>
        <w:rPr>
          <w:noProof/>
        </w:rPr>
      </w:pPr>
      <w:r w:rsidRPr="00A76AD2">
        <w:rPr>
          <w:noProof/>
        </w:rPr>
        <w:t xml:space="preserve">U odjeljku 4.2.2. opisuje se provedba </w:t>
      </w:r>
      <w:r w:rsidRPr="00A76AD2">
        <w:rPr>
          <w:b/>
          <w:noProof/>
        </w:rPr>
        <w:t>triju nacionalnih projekata</w:t>
      </w:r>
      <w:r w:rsidRPr="00A76AD2">
        <w:rPr>
          <w:noProof/>
        </w:rPr>
        <w:t xml:space="preserve">, koji se odnose na </w:t>
      </w:r>
      <w:r w:rsidRPr="00A76AD2">
        <w:rPr>
          <w:i/>
          <w:noProof/>
        </w:rPr>
        <w:t>obavijest o dolasku</w:t>
      </w:r>
      <w:r w:rsidRPr="00A76AD2">
        <w:rPr>
          <w:noProof/>
        </w:rPr>
        <w:t xml:space="preserve">, </w:t>
      </w:r>
      <w:r w:rsidRPr="00A76AD2">
        <w:rPr>
          <w:i/>
          <w:noProof/>
        </w:rPr>
        <w:t>obavijest o podnošenju carini</w:t>
      </w:r>
      <w:r w:rsidRPr="00A76AD2">
        <w:rPr>
          <w:noProof/>
        </w:rPr>
        <w:t xml:space="preserve"> i</w:t>
      </w:r>
      <w:r w:rsidRPr="00A76AD2">
        <w:rPr>
          <w:i/>
          <w:noProof/>
        </w:rPr>
        <w:t xml:space="preserve"> privremeni smještaj</w:t>
      </w:r>
      <w:r w:rsidRPr="00A76AD2">
        <w:rPr>
          <w:noProof/>
        </w:rPr>
        <w:t xml:space="preserve">, </w:t>
      </w:r>
      <w:r w:rsidRPr="00A76AD2">
        <w:rPr>
          <w:i/>
          <w:noProof/>
        </w:rPr>
        <w:t>posebne postupke</w:t>
      </w:r>
      <w:r w:rsidRPr="00A76AD2">
        <w:rPr>
          <w:noProof/>
        </w:rPr>
        <w:t xml:space="preserve"> i </w:t>
      </w:r>
      <w:r w:rsidRPr="00A76AD2">
        <w:rPr>
          <w:i/>
          <w:noProof/>
        </w:rPr>
        <w:t>nacionalne sustave uvoza</w:t>
      </w:r>
      <w:r w:rsidRPr="00A76AD2">
        <w:rPr>
          <w:noProof/>
        </w:rPr>
        <w:t xml:space="preserve">. Prvotno je planirano da ti projekti postanu operativni do 31. prosinca 2022., kako je utvrđeno u CZU-u. Međutim, zbog nemogućnosti da ispune taj rok i kako je prethodno utvrđeno u godišnjim izvješćima o napretku u okviru CZU-a, nekoliko država članica zatražilo je odstupanje na temelju članka 6. stavka 4. CZU-a. Komisija je 1. veljače 2023. donijela provedbene odluke kojima se određenim državama članicama odobravaju odstupanja i kojima je taj rok produljen do 31. prosinca 2023. </w:t>
      </w:r>
    </w:p>
    <w:p w14:paraId="7E8993D6" w14:textId="73E8C32D" w:rsidR="00B548E7" w:rsidRPr="00A76AD2" w:rsidRDefault="00E85CC2" w:rsidP="00E41965">
      <w:pPr>
        <w:keepNext/>
        <w:ind w:left="567"/>
        <w:outlineLvl w:val="0"/>
        <w:rPr>
          <w:rFonts w:ascii="Times New Roman Bold" w:hAnsi="Times New Roman Bold"/>
          <w:b/>
          <w:bCs/>
          <w:noProof/>
          <w:sz w:val="24"/>
          <w:szCs w:val="24"/>
        </w:rPr>
      </w:pPr>
      <w:bookmarkStart w:id="14" w:name="_Ref106895189"/>
      <w:bookmarkStart w:id="15" w:name="_Toc173936645"/>
      <w:r w:rsidRPr="00A76AD2">
        <w:rPr>
          <w:rFonts w:ascii="Times New Roman Bold" w:hAnsi="Times New Roman Bold"/>
          <w:b/>
          <w:noProof/>
          <w:sz w:val="24"/>
        </w:rPr>
        <w:lastRenderedPageBreak/>
        <w:t>4.2.1. Transeuropski projekti</w:t>
      </w:r>
      <w:bookmarkEnd w:id="14"/>
      <w:bookmarkEnd w:id="15"/>
    </w:p>
    <w:p w14:paraId="663A0A49" w14:textId="59E9389F" w:rsidR="00282B17" w:rsidRPr="00A76AD2" w:rsidRDefault="00263768" w:rsidP="007270C7">
      <w:pPr>
        <w:rPr>
          <w:noProof/>
        </w:rPr>
      </w:pPr>
      <w:r w:rsidRPr="00A76AD2">
        <w:rPr>
          <w:noProof/>
        </w:rPr>
        <w:t>Transeuropski projekti imaju posebnu strukturu. Mogu imati i središnje i nacionalne elemente, kao i više faza. Kako je navedeno u članku 278. stavku 3. CZU-a, ti projekti moraju se dovršiti najkasnije do 31. prosinca 2025. U nastavku se ukratko opisuje svaki od tih projekata i dosad ostvareni napredak:</w:t>
      </w:r>
    </w:p>
    <w:p w14:paraId="52376E00" w14:textId="77777777" w:rsidR="00DD5B30" w:rsidRPr="00A76AD2" w:rsidRDefault="00A33633" w:rsidP="00DD5B30">
      <w:pPr>
        <w:numPr>
          <w:ilvl w:val="0"/>
          <w:numId w:val="5"/>
        </w:numPr>
        <w:ind w:left="992" w:hanging="567"/>
        <w:rPr>
          <w:noProof/>
        </w:rPr>
      </w:pPr>
      <w:r w:rsidRPr="00A76AD2">
        <w:rPr>
          <w:b/>
          <w:noProof/>
        </w:rPr>
        <w:t>upravljanje osiguranjima u okviru CZU-a</w:t>
      </w:r>
      <w:r w:rsidRPr="00A76AD2">
        <w:rPr>
          <w:noProof/>
        </w:rPr>
        <w:t xml:space="preserve"> – </w:t>
      </w:r>
      <w:r w:rsidRPr="00A76AD2">
        <w:rPr>
          <w:i/>
          <w:noProof/>
        </w:rPr>
        <w:t>GUM</w:t>
      </w:r>
      <w:r w:rsidRPr="00A76AD2">
        <w:rPr>
          <w:noProof/>
        </w:rPr>
        <w:t xml:space="preserve"> (novo): cilj je u EU-u osigurati da se u stvarnom vremenu dodjeljuju različite vrste osiguranja i njima upravlja, a posebno ubrzati obradu i poboljšati sljedivost i praćenje referentnih iznosa osiguranja među carinskim uredima. </w:t>
      </w:r>
    </w:p>
    <w:p w14:paraId="66163171" w14:textId="2AD918BF" w:rsidR="00400459" w:rsidRPr="00A76AD2" w:rsidRDefault="00A33633" w:rsidP="00DD5B30">
      <w:pPr>
        <w:ind w:left="992"/>
        <w:rPr>
          <w:noProof/>
        </w:rPr>
      </w:pPr>
      <w:r w:rsidRPr="00A76AD2">
        <w:rPr>
          <w:b/>
          <w:noProof/>
        </w:rPr>
        <w:t>Napredak</w:t>
      </w:r>
      <w:r w:rsidRPr="00A76AD2">
        <w:rPr>
          <w:noProof/>
        </w:rPr>
        <w:t xml:space="preserve">: 2023. dostupni su postali dokument sa smjernicama za poslovanje, modul za e-učenje i informatički tečajevi. Postojao je nizak rizik u vezi s time hoće li se </w:t>
      </w:r>
      <w:r w:rsidRPr="00A76AD2">
        <w:rPr>
          <w:i/>
          <w:noProof/>
        </w:rPr>
        <w:t>1. sastavnica GUM-a</w:t>
      </w:r>
      <w:r w:rsidRPr="00A76AD2">
        <w:rPr>
          <w:noProof/>
        </w:rPr>
        <w:t xml:space="preserve"> uvesti na središnjoj razini do zadanog roka 11. ožujka 2024. </w:t>
      </w:r>
    </w:p>
    <w:p w14:paraId="12D91B9B" w14:textId="13607361" w:rsidR="00282B17" w:rsidRPr="00A76AD2" w:rsidRDefault="00FC5FF2" w:rsidP="003808AB">
      <w:pPr>
        <w:ind w:left="992"/>
        <w:rPr>
          <w:noProof/>
        </w:rPr>
      </w:pPr>
      <w:r w:rsidRPr="00A76AD2">
        <w:rPr>
          <w:noProof/>
        </w:rPr>
        <w:t xml:space="preserve">Kad je riječ o </w:t>
      </w:r>
      <w:r w:rsidRPr="00A76AD2">
        <w:rPr>
          <w:i/>
          <w:noProof/>
        </w:rPr>
        <w:t>2. sastavnici GUM-a</w:t>
      </w:r>
      <w:r w:rsidRPr="00A76AD2">
        <w:rPr>
          <w:noProof/>
        </w:rPr>
        <w:t>, očekuje se da će države članice u razdoblju od ožujka 2024. do lipnja 2025. uspostaviti operativne veze sa središnjom sastavnicom. Većina država članica navela je da je rizik za pravodobnost provedbe projekta nizak. Do drugog tromjesečja 2023. sedam država članica prijavilo je da su uvođenje nacionalne sastavnice privele kraju, a u ostalima je uvođenje u tijeku. Dvije države članice predviđaju da će kasniti s dovršavanjem ključne etape;</w:t>
      </w:r>
    </w:p>
    <w:p w14:paraId="5BCFC902" w14:textId="63E7A831" w:rsidR="00DD5B30" w:rsidRPr="00A76AD2" w:rsidRDefault="00A33633" w:rsidP="004655C2">
      <w:pPr>
        <w:numPr>
          <w:ilvl w:val="0"/>
          <w:numId w:val="5"/>
        </w:numPr>
        <w:ind w:left="992" w:hanging="567"/>
        <w:rPr>
          <w:noProof/>
        </w:rPr>
      </w:pPr>
      <w:r w:rsidRPr="00A76AD2">
        <w:rPr>
          <w:b/>
          <w:noProof/>
        </w:rPr>
        <w:t>sustav za kontrolu uvoza druge generacije u okviru CZU-a</w:t>
      </w:r>
      <w:r w:rsidRPr="00A76AD2">
        <w:rPr>
          <w:noProof/>
        </w:rPr>
        <w:t xml:space="preserve"> – </w:t>
      </w:r>
      <w:r w:rsidRPr="00A76AD2">
        <w:rPr>
          <w:i/>
          <w:noProof/>
        </w:rPr>
        <w:t>ICS2</w:t>
      </w:r>
      <w:r w:rsidRPr="00A76AD2">
        <w:rPr>
          <w:noProof/>
        </w:rPr>
        <w:t xml:space="preserve"> (nadogradnja): cilj je povećati sigurnost i zaštitu lanca opskrbe poboljšanjem kvalitete, arhiviranja, dostupnosti i razmjene podataka u kontekstu naprednih informacija o teretu. </w:t>
      </w:r>
    </w:p>
    <w:p w14:paraId="424EFCBB" w14:textId="27A40E92" w:rsidR="00541E4D" w:rsidRPr="00A76AD2" w:rsidRDefault="00A33633" w:rsidP="00DD5B30">
      <w:pPr>
        <w:ind w:left="992"/>
        <w:rPr>
          <w:noProof/>
        </w:rPr>
      </w:pPr>
      <w:r w:rsidRPr="00A76AD2">
        <w:rPr>
          <w:b/>
          <w:noProof/>
        </w:rPr>
        <w:t>Napredak</w:t>
      </w:r>
      <w:r w:rsidRPr="00A76AD2">
        <w:rPr>
          <w:noProof/>
        </w:rPr>
        <w:t xml:space="preserve">: </w:t>
      </w:r>
      <w:r w:rsidRPr="00A76AD2">
        <w:rPr>
          <w:i/>
          <w:noProof/>
        </w:rPr>
        <w:t>2. verzijom</w:t>
      </w:r>
      <w:r w:rsidRPr="00A76AD2">
        <w:rPr>
          <w:noProof/>
        </w:rPr>
        <w:t xml:space="preserve"> </w:t>
      </w:r>
      <w:r w:rsidRPr="00A76AD2">
        <w:rPr>
          <w:i/>
          <w:noProof/>
        </w:rPr>
        <w:t>sustava ICS2</w:t>
      </w:r>
      <w:r w:rsidRPr="00A76AD2">
        <w:rPr>
          <w:noProof/>
        </w:rPr>
        <w:t xml:space="preserve"> proširuje se područje primjene sustava na sav teret (uključujući žurne i poštanske pošiljke) koji ulazi u EU zračnim putem. </w:t>
      </w:r>
    </w:p>
    <w:p w14:paraId="16C88459" w14:textId="6DDCDC00" w:rsidR="00BE1261" w:rsidRPr="00A76AD2" w:rsidRDefault="000B1343" w:rsidP="000B1343">
      <w:pPr>
        <w:ind w:left="992"/>
        <w:rPr>
          <w:noProof/>
        </w:rPr>
      </w:pPr>
      <w:r w:rsidRPr="00A76AD2">
        <w:rPr>
          <w:noProof/>
        </w:rPr>
        <w:t xml:space="preserve">Komisija je </w:t>
      </w:r>
      <w:r w:rsidRPr="00A76AD2">
        <w:rPr>
          <w:i/>
          <w:noProof/>
        </w:rPr>
        <w:t xml:space="preserve">2. verziju </w:t>
      </w:r>
      <w:r w:rsidRPr="00A76AD2">
        <w:rPr>
          <w:noProof/>
        </w:rPr>
        <w:t xml:space="preserve">središnjeg </w:t>
      </w:r>
      <w:r w:rsidRPr="00A76AD2">
        <w:rPr>
          <w:i/>
          <w:noProof/>
        </w:rPr>
        <w:t>sustava ICS2</w:t>
      </w:r>
      <w:r w:rsidRPr="00A76AD2">
        <w:rPr>
          <w:noProof/>
        </w:rPr>
        <w:t xml:space="preserve"> uvela 1. ožujka 2023. u skladu sa zakonskim rokom.</w:t>
      </w:r>
    </w:p>
    <w:p w14:paraId="2A0BD7A3" w14:textId="08049B01" w:rsidR="002B1EEC" w:rsidRPr="00A76AD2" w:rsidRDefault="227528E9" w:rsidP="3C329334">
      <w:pPr>
        <w:ind w:left="992"/>
        <w:rPr>
          <w:noProof/>
        </w:rPr>
      </w:pPr>
      <w:bookmarkStart w:id="16" w:name="_Hlk161916253"/>
      <w:r w:rsidRPr="00A76AD2">
        <w:rPr>
          <w:noProof/>
        </w:rPr>
        <w:t xml:space="preserve">Kad je riječ o spremnosti država članica za sudjelovanje u provedbi, 12 država članica uvelo je </w:t>
      </w:r>
      <w:r w:rsidRPr="00A76AD2">
        <w:rPr>
          <w:i/>
          <w:noProof/>
        </w:rPr>
        <w:t>2. verziju</w:t>
      </w:r>
      <w:r w:rsidRPr="00A76AD2">
        <w:rPr>
          <w:noProof/>
        </w:rPr>
        <w:t xml:space="preserve"> </w:t>
      </w:r>
      <w:r w:rsidRPr="00A76AD2">
        <w:rPr>
          <w:i/>
          <w:noProof/>
        </w:rPr>
        <w:t>sustava ICS2</w:t>
      </w:r>
      <w:r w:rsidRPr="00A76AD2">
        <w:rPr>
          <w:noProof/>
        </w:rPr>
        <w:t xml:space="preserve"> do 1. ožujka 2023. Odstupanja su odobrena 12 drugih država članica, čime je rok za uvođenje produljen do 30. lipnja 2023.</w:t>
      </w:r>
      <w:r w:rsidR="001521FE" w:rsidRPr="00A76AD2">
        <w:rPr>
          <w:rStyle w:val="FootnoteReference"/>
          <w:noProof/>
        </w:rPr>
        <w:footnoteReference w:id="8"/>
      </w:r>
      <w:r w:rsidRPr="00A76AD2">
        <w:rPr>
          <w:noProof/>
        </w:rPr>
        <w:t xml:space="preserve"> zbog visokog rizika od kašnjenja. Do kraja 2023. 2. verzija bila je operativna u 26 država članica. U jedinoj preostaloj državi članici povezivanje je planirano u prvoj polovini 2024. </w:t>
      </w:r>
    </w:p>
    <w:p w14:paraId="6C1275A2" w14:textId="0040B911" w:rsidR="00165A9F" w:rsidRPr="00A76AD2" w:rsidRDefault="6FE21EF7">
      <w:pPr>
        <w:ind w:left="992"/>
        <w:rPr>
          <w:noProof/>
        </w:rPr>
      </w:pPr>
      <w:r w:rsidRPr="00A76AD2">
        <w:rPr>
          <w:noProof/>
        </w:rPr>
        <w:t>Gospodarski subjekti postupno su prelazili na novu verziju do listopada 2023., no do kraja godine otprilike 40 zračnih prijevoznika još je bilo u postupku prelaska. Države članice odgovorne su za usklađenost gospodarskih subjekata sa sustavom ICS2. Komisija prati postupno uvođenje gospodarskih subjekata zajedno s državama članicama i relevantnim trgovinskim udruženjima. Komisija je podsjetila države članice da poduzmu sve potrebne mjere (uključujući moguće izricanje sankcija) za rješavanje pitanja kontinuirane neusklađenosti gospodarskih subjekata.</w:t>
      </w:r>
    </w:p>
    <w:bookmarkEnd w:id="16"/>
    <w:p w14:paraId="0B69826B" w14:textId="016F603A" w:rsidR="000E7313" w:rsidRPr="00A76AD2" w:rsidRDefault="62B40519" w:rsidP="00F07E6D">
      <w:pPr>
        <w:ind w:left="992"/>
        <w:rPr>
          <w:noProof/>
        </w:rPr>
      </w:pPr>
      <w:r w:rsidRPr="00A76AD2">
        <w:rPr>
          <w:noProof/>
        </w:rPr>
        <w:t xml:space="preserve">Razvoj </w:t>
      </w:r>
      <w:r w:rsidRPr="00A76AD2">
        <w:rPr>
          <w:i/>
          <w:noProof/>
        </w:rPr>
        <w:t>3. verzije</w:t>
      </w:r>
      <w:r w:rsidRPr="00A76AD2">
        <w:rPr>
          <w:noProof/>
        </w:rPr>
        <w:t xml:space="preserve"> </w:t>
      </w:r>
      <w:r w:rsidRPr="00A76AD2">
        <w:rPr>
          <w:i/>
          <w:noProof/>
        </w:rPr>
        <w:t>sustava ICS2</w:t>
      </w:r>
      <w:r w:rsidRPr="00A76AD2">
        <w:rPr>
          <w:noProof/>
        </w:rPr>
        <w:t xml:space="preserve"> počeo je u skladu s planom. </w:t>
      </w:r>
      <w:r w:rsidR="00042073" w:rsidRPr="00042073">
        <w:rPr>
          <w:noProof/>
        </w:rPr>
        <w:t>Većina država članica navela je da je rizik za provedbu projekta nizak i da se očekuje potpuno uvođenje sustava do datuma navedenog u programu rada za CZU</w:t>
      </w:r>
      <w:r w:rsidRPr="00A76AD2">
        <w:rPr>
          <w:noProof/>
        </w:rPr>
        <w:t>;</w:t>
      </w:r>
    </w:p>
    <w:p w14:paraId="62C1C78B" w14:textId="02A6BC69" w:rsidR="00282B17" w:rsidRPr="00A76AD2" w:rsidRDefault="00A33633">
      <w:pPr>
        <w:numPr>
          <w:ilvl w:val="0"/>
          <w:numId w:val="5"/>
        </w:numPr>
        <w:ind w:left="992" w:hanging="567"/>
        <w:rPr>
          <w:noProof/>
        </w:rPr>
      </w:pPr>
      <w:r w:rsidRPr="00A76AD2">
        <w:rPr>
          <w:b/>
          <w:noProof/>
        </w:rPr>
        <w:t>dokaz o statusu iz Unije u okviru CZU-a</w:t>
      </w:r>
      <w:r w:rsidRPr="00A76AD2">
        <w:rPr>
          <w:noProof/>
        </w:rPr>
        <w:t xml:space="preserve"> – </w:t>
      </w:r>
      <w:r w:rsidRPr="00A76AD2">
        <w:rPr>
          <w:i/>
          <w:noProof/>
        </w:rPr>
        <w:t>PoUS</w:t>
      </w:r>
      <w:r w:rsidRPr="00A76AD2">
        <w:rPr>
          <w:noProof/>
        </w:rPr>
        <w:t xml:space="preserve"> (novo): cilj je omogućiti pohranjivanje, upravljanje i raspolaganje svim dokazima koje gospodarski subjekti dostavljaju radi dokazivanja da njihova roba ima status robe Unije. Zbog ovisnosti o carinskom robnom manifestu u okviru CZU-a (CGM) i europskom okružju jedinstvenog pomorskog sučelja (EMSWe) projekt će se dovršiti u dvije različite faze kako bi se rizici i nedosljednosti sveli na najmanju moguću mjeru. </w:t>
      </w:r>
    </w:p>
    <w:p w14:paraId="3F110F24" w14:textId="06B19880" w:rsidR="00282B17" w:rsidRPr="00A76AD2" w:rsidRDefault="00A33633" w:rsidP="3C329334">
      <w:pPr>
        <w:ind w:left="992"/>
        <w:rPr>
          <w:noProof/>
        </w:rPr>
      </w:pPr>
      <w:r w:rsidRPr="00A76AD2">
        <w:rPr>
          <w:b/>
          <w:noProof/>
        </w:rPr>
        <w:lastRenderedPageBreak/>
        <w:t>Napredak</w:t>
      </w:r>
      <w:r w:rsidRPr="00A76AD2">
        <w:rPr>
          <w:noProof/>
        </w:rPr>
        <w:t xml:space="preserve">: očekuje se da će </w:t>
      </w:r>
      <w:r w:rsidRPr="00A76AD2">
        <w:rPr>
          <w:rStyle w:val="normaltextrun"/>
          <w:i/>
          <w:noProof/>
          <w:color w:val="000000" w:themeColor="text1"/>
        </w:rPr>
        <w:t>1. faza PoUS-a</w:t>
      </w:r>
      <w:r w:rsidRPr="00A76AD2">
        <w:rPr>
          <w:rStyle w:val="normaltextrun"/>
          <w:noProof/>
          <w:color w:val="000000" w:themeColor="text1"/>
        </w:rPr>
        <w:t xml:space="preserve"> biti operativna najkasnije do 1. ožujka 2024., uz nisku razinu rizika od kašnjenja.</w:t>
      </w:r>
    </w:p>
    <w:p w14:paraId="48E9D158" w14:textId="48231359" w:rsidR="005321C5" w:rsidRPr="00A76AD2" w:rsidRDefault="00613293" w:rsidP="000D3059">
      <w:pPr>
        <w:ind w:left="992"/>
        <w:rPr>
          <w:noProof/>
        </w:rPr>
      </w:pPr>
      <w:r w:rsidRPr="00A76AD2">
        <w:rPr>
          <w:noProof/>
        </w:rPr>
        <w:t xml:space="preserve">Kad je riječ o </w:t>
      </w:r>
      <w:r w:rsidRPr="00A76AD2">
        <w:rPr>
          <w:i/>
          <w:noProof/>
        </w:rPr>
        <w:t>2. fazi PoUS-a</w:t>
      </w:r>
      <w:r w:rsidRPr="00A76AD2">
        <w:rPr>
          <w:noProof/>
        </w:rPr>
        <w:t>, Komisija je dovršila tehničke specifikacije u drugom tromjesečju 2023., a dovršetak aktivnosti ispitivanja sukladnosti predviđen je za treće tromjesečje 2025.</w:t>
      </w:r>
      <w:bookmarkStart w:id="17" w:name="_Hlk159412628"/>
      <w:bookmarkEnd w:id="17"/>
      <w:r w:rsidRPr="00A76AD2">
        <w:rPr>
          <w:noProof/>
        </w:rPr>
        <w:t xml:space="preserve"> Komisija će projekt realizirati prema rasporedu. Međutim, treba napomenuti da je, s obzirom na razliku između datuma uvođenja carinskog robnog manifesta (CGM) povezanog s </w:t>
      </w:r>
      <w:r w:rsidRPr="00A76AD2">
        <w:rPr>
          <w:i/>
          <w:noProof/>
        </w:rPr>
        <w:t>2. fazom PoUS-a</w:t>
      </w:r>
      <w:r w:rsidRPr="00A76AD2">
        <w:rPr>
          <w:noProof/>
        </w:rPr>
        <w:t xml:space="preserve"> (2. lipnja 2025.) i datuma uvođenja europskog okružja jedinstvenog pomorskog sučelja (15. kolovoza 2025.), u novom programu rada za CZU zatraženo usklađivanje tih datuma. </w:t>
      </w:r>
      <w:r w:rsidRPr="00A76AD2">
        <w:rPr>
          <w:rStyle w:val="normaltextrun"/>
          <w:noProof/>
          <w:color w:val="000000"/>
          <w:shd w:val="clear" w:color="auto" w:fill="FFFFFF"/>
        </w:rPr>
        <w:t>Zbog toga je u novom programu rada za CZU rok za uvođenje odgođen do 15. kolovoza 2025.</w:t>
      </w:r>
      <w:r w:rsidR="00C46E2A" w:rsidRPr="00A76AD2">
        <w:rPr>
          <w:rStyle w:val="FootnoteReference"/>
          <w:noProof/>
          <w:color w:val="000000"/>
          <w:shd w:val="clear" w:color="auto" w:fill="FFFFFF"/>
        </w:rPr>
        <w:footnoteReference w:id="9"/>
      </w:r>
      <w:r w:rsidRPr="00A76AD2">
        <w:rPr>
          <w:noProof/>
        </w:rPr>
        <w:t xml:space="preserve"> Za projekt je utvrđena srednja razina rizika s obzirom na probleme povezane s napretkom u provedbi europskog okružja jedinstvenog pomorskog sučelja;</w:t>
      </w:r>
    </w:p>
    <w:p w14:paraId="0C7EA449" w14:textId="1382A0F6" w:rsidR="00282B17" w:rsidRPr="00A76AD2" w:rsidRDefault="00A33633">
      <w:pPr>
        <w:numPr>
          <w:ilvl w:val="0"/>
          <w:numId w:val="5"/>
        </w:numPr>
        <w:ind w:left="992" w:hanging="567"/>
        <w:rPr>
          <w:noProof/>
        </w:rPr>
      </w:pPr>
      <w:bookmarkStart w:id="18" w:name="_Hlk161392667"/>
      <w:bookmarkStart w:id="19" w:name="_Hlk116289904"/>
      <w:r w:rsidRPr="00A76AD2">
        <w:rPr>
          <w:b/>
          <w:noProof/>
        </w:rPr>
        <w:t>centralizirano carinjenje za uvoz u okviru CZU-a</w:t>
      </w:r>
      <w:r w:rsidRPr="00A76AD2">
        <w:rPr>
          <w:noProof/>
        </w:rPr>
        <w:t xml:space="preserve"> – </w:t>
      </w:r>
      <w:r w:rsidRPr="00A76AD2">
        <w:rPr>
          <w:i/>
          <w:noProof/>
        </w:rPr>
        <w:t>CCI</w:t>
      </w:r>
      <w:r w:rsidRPr="00A76AD2">
        <w:rPr>
          <w:noProof/>
        </w:rPr>
        <w:t xml:space="preserve"> (novo): cilj je omogućiti gospodarskim subjektima da robu stave u carinski postupak podnošenjem carinske deklaracije u mjestu njihova poslovnog nastana za robu koja je podnesena carini u drugoj državi članici. CCI je temeljen na novim </w:t>
      </w:r>
      <w:r w:rsidRPr="00A76AD2">
        <w:rPr>
          <w:i/>
          <w:noProof/>
        </w:rPr>
        <w:t>nacionalnim sustavima uvoza</w:t>
      </w:r>
      <w:r w:rsidRPr="00A76AD2">
        <w:rPr>
          <w:noProof/>
        </w:rPr>
        <w:t xml:space="preserve"> te će se njime automatizirati centralizirano carinjenje na razini Europe.</w:t>
      </w:r>
    </w:p>
    <w:bookmarkEnd w:id="18"/>
    <w:p w14:paraId="2EBFB156" w14:textId="454F92D5" w:rsidR="00734567" w:rsidRPr="00A76AD2" w:rsidRDefault="00A33633" w:rsidP="00E20B8D">
      <w:pPr>
        <w:ind w:left="992"/>
        <w:rPr>
          <w:noProof/>
        </w:rPr>
      </w:pPr>
      <w:r w:rsidRPr="00A76AD2">
        <w:rPr>
          <w:b/>
          <w:noProof/>
        </w:rPr>
        <w:t>Napredak</w:t>
      </w:r>
      <w:r w:rsidRPr="00A76AD2">
        <w:rPr>
          <w:noProof/>
        </w:rPr>
        <w:t xml:space="preserve">: Kad je riječ o </w:t>
      </w:r>
      <w:r w:rsidRPr="00A76AD2">
        <w:rPr>
          <w:i/>
          <w:noProof/>
        </w:rPr>
        <w:t>1. fazi CCI-ja</w:t>
      </w:r>
      <w:r w:rsidRPr="00A76AD2">
        <w:rPr>
          <w:noProof/>
        </w:rPr>
        <w:t xml:space="preserve">, Komisija napreduje prema rasporedu, a u tijeku je ispitivanje sukladnosti s državama članicama. Projektu je dodijeljena srednja do visoka razina rizika zbog ovisnosti o spremnosti država članica za modernizaciju nacionalnog sustava uvoza (NIS), što je preduvjet za uvođenje CCI-ja. </w:t>
      </w:r>
    </w:p>
    <w:p w14:paraId="4D19C674" w14:textId="3264D1B6" w:rsidR="00CF5964" w:rsidRPr="00A76AD2" w:rsidRDefault="00CF5964" w:rsidP="00CF5964">
      <w:pPr>
        <w:ind w:left="992"/>
        <w:rPr>
          <w:noProof/>
        </w:rPr>
      </w:pPr>
      <w:r w:rsidRPr="00A76AD2">
        <w:rPr>
          <w:noProof/>
        </w:rPr>
        <w:t xml:space="preserve">S obzirom na prijavljena kašnjenja u uvođenju </w:t>
      </w:r>
      <w:r w:rsidRPr="00A76AD2">
        <w:rPr>
          <w:i/>
          <w:noProof/>
        </w:rPr>
        <w:t>1. faze CCI-ja</w:t>
      </w:r>
      <w:r w:rsidRPr="00A76AD2">
        <w:rPr>
          <w:noProof/>
        </w:rPr>
        <w:t xml:space="preserve"> dulja od 1. prosinca 2023., Komisija primjenjuje novi iterativni pristup, u okviru kojeg se prednost daje standardnim deklaracijama i slobodnom odabiru vrste poruke te odobrava produljenje roka za konačno uvođenje </w:t>
      </w:r>
      <w:r w:rsidRPr="00A76AD2">
        <w:rPr>
          <w:i/>
          <w:noProof/>
        </w:rPr>
        <w:t>1. faze CCI-ja</w:t>
      </w:r>
      <w:r w:rsidRPr="00A76AD2">
        <w:rPr>
          <w:rStyle w:val="FootnoteReference"/>
          <w:noProof/>
        </w:rPr>
        <w:footnoteReference w:id="10"/>
      </w:r>
      <w:r w:rsidRPr="00A76AD2">
        <w:rPr>
          <w:noProof/>
        </w:rPr>
        <w:t xml:space="preserve"> na 1. srpnja 2024., što je navedeno u novom programu rada za CZU. </w:t>
      </w:r>
    </w:p>
    <w:p w14:paraId="1DEE754A" w14:textId="074567C5" w:rsidR="00282B17" w:rsidRPr="00A76AD2" w:rsidRDefault="008B565D" w:rsidP="00D56BFF">
      <w:pPr>
        <w:ind w:left="992"/>
        <w:rPr>
          <w:noProof/>
        </w:rPr>
      </w:pPr>
      <w:r w:rsidRPr="00A76AD2">
        <w:rPr>
          <w:noProof/>
        </w:rPr>
        <w:t xml:space="preserve">Kad je riječ o </w:t>
      </w:r>
      <w:r w:rsidRPr="00A76AD2">
        <w:rPr>
          <w:i/>
          <w:noProof/>
        </w:rPr>
        <w:t>2. fazi CCI-ja</w:t>
      </w:r>
      <w:r w:rsidRPr="00A76AD2">
        <w:rPr>
          <w:noProof/>
        </w:rPr>
        <w:t xml:space="preserve">, Komisija je dovršila tehničke specifikacije 2022., znatno prije vremenskog okvira za uvođenje koji je trebalo trajati od listopada 2023. do </w:t>
      </w:r>
      <w:bookmarkEnd w:id="19"/>
      <w:r w:rsidRPr="00A76AD2">
        <w:rPr>
          <w:noProof/>
        </w:rPr>
        <w:t xml:space="preserve">2. lipnja 2025. </w:t>
      </w:r>
    </w:p>
    <w:p w14:paraId="25EDD26A" w14:textId="0DAA52EF" w:rsidR="00590E28" w:rsidRPr="00A76AD2" w:rsidRDefault="008109FE">
      <w:pPr>
        <w:ind w:left="992"/>
        <w:rPr>
          <w:noProof/>
        </w:rPr>
      </w:pPr>
      <w:r w:rsidRPr="00A76AD2">
        <w:rPr>
          <w:noProof/>
        </w:rPr>
        <w:t xml:space="preserve">Kad je pak riječ o procjeni razine dovršenosti cjelokupnog sustava CCI, većina država članica izvijestila je da ostvaruje napredak, pri čemu je s pravodobnom provedbom projekta u skladu s rokom za </w:t>
      </w:r>
      <w:r w:rsidRPr="00A76AD2">
        <w:rPr>
          <w:i/>
          <w:noProof/>
        </w:rPr>
        <w:t>2. fazu CCI-ja</w:t>
      </w:r>
      <w:r w:rsidRPr="00A76AD2">
        <w:rPr>
          <w:noProof/>
        </w:rPr>
        <w:t xml:space="preserve"> povezana srednja razina rizika. </w:t>
      </w:r>
    </w:p>
    <w:p w14:paraId="41D59950" w14:textId="420070A2" w:rsidR="008109FE" w:rsidRPr="00A76AD2" w:rsidRDefault="008B565D">
      <w:pPr>
        <w:ind w:left="992"/>
        <w:rPr>
          <w:noProof/>
        </w:rPr>
      </w:pPr>
      <w:r w:rsidRPr="00A76AD2">
        <w:rPr>
          <w:noProof/>
        </w:rPr>
        <w:t xml:space="preserve">Neke države članice izrazile su namjeru istodobnog uvođenja </w:t>
      </w:r>
      <w:r w:rsidRPr="00A76AD2">
        <w:rPr>
          <w:i/>
          <w:noProof/>
        </w:rPr>
        <w:t>1. faze CCI-ja</w:t>
      </w:r>
      <w:r w:rsidRPr="00A76AD2">
        <w:rPr>
          <w:noProof/>
        </w:rPr>
        <w:t xml:space="preserve"> i </w:t>
      </w:r>
      <w:r w:rsidRPr="00A76AD2">
        <w:rPr>
          <w:i/>
          <w:noProof/>
        </w:rPr>
        <w:t>2. faze CCI-ja</w:t>
      </w:r>
      <w:r w:rsidRPr="00A76AD2">
        <w:rPr>
          <w:noProof/>
        </w:rPr>
        <w:t>;</w:t>
      </w:r>
    </w:p>
    <w:p w14:paraId="608AE0C9" w14:textId="51DD5461" w:rsidR="00FC6C25" w:rsidRPr="00A76AD2" w:rsidRDefault="12140BA4">
      <w:pPr>
        <w:numPr>
          <w:ilvl w:val="0"/>
          <w:numId w:val="5"/>
        </w:numPr>
        <w:ind w:left="992" w:hanging="567"/>
        <w:rPr>
          <w:noProof/>
        </w:rPr>
      </w:pPr>
      <w:r w:rsidRPr="00A76AD2">
        <w:rPr>
          <w:b/>
          <w:noProof/>
        </w:rPr>
        <w:t>novi računalni provozni sustav u okviru CZU-a</w:t>
      </w:r>
      <w:r w:rsidRPr="00A76AD2">
        <w:rPr>
          <w:noProof/>
        </w:rPr>
        <w:t xml:space="preserve"> – </w:t>
      </w:r>
      <w:r w:rsidRPr="00A76AD2">
        <w:rPr>
          <w:i/>
          <w:noProof/>
        </w:rPr>
        <w:t>NCTS</w:t>
      </w:r>
      <w:r w:rsidRPr="00A76AD2">
        <w:rPr>
          <w:noProof/>
        </w:rPr>
        <w:t xml:space="preserve"> (modernizacija): cilj je uskladiti postojeći Unijin i zajednički provozni sustav s novim pravnim odredbama CZU-a, uključujući usklađivanje s novim podatkovnim zahtjevima CZU-a i usklađivanje sučelja s ostalim sustavima. </w:t>
      </w:r>
    </w:p>
    <w:p w14:paraId="3AB7861E" w14:textId="63073CA3" w:rsidR="00FC6C25" w:rsidRPr="00A76AD2" w:rsidRDefault="00A33633" w:rsidP="003029EE">
      <w:pPr>
        <w:ind w:left="992"/>
        <w:rPr>
          <w:noProof/>
        </w:rPr>
      </w:pPr>
      <w:r w:rsidRPr="00A76AD2">
        <w:rPr>
          <w:b/>
          <w:noProof/>
        </w:rPr>
        <w:t>Napredak</w:t>
      </w:r>
      <w:r w:rsidRPr="00A76AD2">
        <w:rPr>
          <w:noProof/>
        </w:rPr>
        <w:t xml:space="preserve">: ukupno gledajući, u kontekstu </w:t>
      </w:r>
      <w:r w:rsidRPr="00A76AD2">
        <w:rPr>
          <w:i/>
          <w:noProof/>
        </w:rPr>
        <w:t xml:space="preserve">5. faze NCTS-a </w:t>
      </w:r>
      <w:r w:rsidRPr="00A76AD2">
        <w:rPr>
          <w:noProof/>
        </w:rPr>
        <w:t xml:space="preserve">postignut je znatan napredak. Međutim, projektu je pripisana visoka razina rizik jer određeni broj država članica nije mogao uvesti tu fazu do roka za uvođenje 1. prosinca 2023. Stoga je dogovoren novi pristup koji je naveden i u novom programu rada za CZU. Taj pristup podrazumijeva da se </w:t>
      </w:r>
      <w:r w:rsidRPr="00A76AD2">
        <w:rPr>
          <w:i/>
          <w:noProof/>
        </w:rPr>
        <w:t>5. faza NCTS-a</w:t>
      </w:r>
      <w:r w:rsidRPr="00A76AD2">
        <w:rPr>
          <w:noProof/>
        </w:rPr>
        <w:t xml:space="preserve"> može provesti u dva koraka: osnovne funkcionalnosti do 1. prosinca 2023. uz zadržavanje kontinuiteta poslovanja u skladu s CZU-om i sporedne funkcionalnosti do 2. prosinca 2024. </w:t>
      </w:r>
    </w:p>
    <w:p w14:paraId="4DE311A6" w14:textId="54510B4B" w:rsidR="00FC3084" w:rsidRPr="00A76AD2" w:rsidRDefault="006164F7" w:rsidP="006164F7">
      <w:pPr>
        <w:ind w:left="993"/>
        <w:rPr>
          <w:noProof/>
        </w:rPr>
      </w:pPr>
      <w:r w:rsidRPr="00A76AD2">
        <w:rPr>
          <w:noProof/>
        </w:rPr>
        <w:t>Kao što je prikazano na slici 1</w:t>
      </w:r>
      <w:r w:rsidRPr="00A76AD2">
        <w:rPr>
          <w:noProof/>
        </w:rPr>
        <w:fldChar w:fldCharType="begin"/>
      </w:r>
      <w:r w:rsidRPr="00A76AD2">
        <w:rPr>
          <w:noProof/>
        </w:rPr>
        <w:instrText xml:space="preserve"> REF _Ref137116000 \h </w:instrText>
      </w:r>
      <w:r w:rsidRPr="00A76AD2">
        <w:rPr>
          <w:noProof/>
        </w:rPr>
      </w:r>
      <w:r w:rsidRPr="00A76AD2">
        <w:rPr>
          <w:noProof/>
        </w:rPr>
        <w:fldChar w:fldCharType="separate"/>
      </w:r>
      <w:r w:rsidR="00E715A7" w:rsidRPr="00A76AD2">
        <w:rPr>
          <w:noProof/>
        </w:rPr>
        <w:t>Figure 1</w:t>
      </w:r>
      <w:r w:rsidRPr="00A76AD2">
        <w:rPr>
          <w:noProof/>
        </w:rPr>
        <w:fldChar w:fldCharType="end"/>
      </w:r>
      <w:r w:rsidRPr="00A76AD2">
        <w:rPr>
          <w:noProof/>
        </w:rPr>
        <w:t xml:space="preserve">, tri države članice započele su s radom do veljače 2023., a četiri države članice pridružile su im se do rujna 2023. Sve države članice osim njih šest obvezale su se na to da će do 1. prosinca 2023. osnovne funkcionalnosti biti operativne, </w:t>
      </w:r>
      <w:r w:rsidRPr="00A76AD2">
        <w:rPr>
          <w:noProof/>
        </w:rPr>
        <w:lastRenderedPageBreak/>
        <w:t xml:space="preserve">a većina ih je potvrdila da će do 1. prosinca 2024. i osnovne i sporedne funkcionalnosti biti potpuno operativne. </w:t>
      </w:r>
    </w:p>
    <w:p w14:paraId="51D55C0C" w14:textId="1AA34108" w:rsidR="00C51F75" w:rsidRPr="00A76AD2" w:rsidRDefault="00D273CA" w:rsidP="00331665">
      <w:pPr>
        <w:ind w:left="851"/>
        <w:jc w:val="center"/>
        <w:rPr>
          <w:noProof/>
        </w:rPr>
      </w:pPr>
      <w:r w:rsidRPr="00D273CA">
        <w:rPr>
          <w:noProof/>
          <w:lang w:val="en-GB" w:eastAsia="en-GB"/>
        </w:rPr>
        <w:drawing>
          <wp:inline distT="0" distB="0" distL="0" distR="0" wp14:anchorId="1C1BE417" wp14:editId="423587B0">
            <wp:extent cx="4210050" cy="29923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13776" cy="2994976"/>
                    </a:xfrm>
                    <a:prstGeom prst="rect">
                      <a:avLst/>
                    </a:prstGeom>
                    <a:noFill/>
                    <a:ln>
                      <a:noFill/>
                    </a:ln>
                  </pic:spPr>
                </pic:pic>
              </a:graphicData>
            </a:graphic>
          </wp:inline>
        </w:drawing>
      </w:r>
    </w:p>
    <w:p w14:paraId="240F7283" w14:textId="6FC495B0" w:rsidR="00C51F75" w:rsidRPr="00A76AD2" w:rsidRDefault="00CA53F1" w:rsidP="00844D01">
      <w:pPr>
        <w:pStyle w:val="Caption"/>
        <w:rPr>
          <w:noProof/>
        </w:rPr>
      </w:pPr>
      <w:r w:rsidRPr="00A76AD2">
        <w:rPr>
          <w:noProof/>
        </w:rPr>
        <w:t xml:space="preserve">Slika </w:t>
      </w:r>
      <w:r w:rsidRPr="00A76AD2">
        <w:rPr>
          <w:noProof/>
        </w:rPr>
        <w:fldChar w:fldCharType="begin"/>
      </w:r>
      <w:r w:rsidRPr="00A76AD2">
        <w:rPr>
          <w:noProof/>
        </w:rPr>
        <w:instrText xml:space="preserve"> SEQ Figure \* ARABIC </w:instrText>
      </w:r>
      <w:r w:rsidRPr="00A76AD2">
        <w:rPr>
          <w:noProof/>
        </w:rPr>
        <w:fldChar w:fldCharType="separate"/>
      </w:r>
      <w:r w:rsidR="00E715A7" w:rsidRPr="00A76AD2">
        <w:rPr>
          <w:noProof/>
        </w:rPr>
        <w:t>1</w:t>
      </w:r>
      <w:r w:rsidRPr="00A76AD2">
        <w:rPr>
          <w:noProof/>
        </w:rPr>
        <w:fldChar w:fldCharType="end"/>
      </w:r>
      <w:r w:rsidRPr="00A76AD2">
        <w:rPr>
          <w:noProof/>
        </w:rPr>
        <w:t>: Početak rada 5. faze NCTS-a u okviru nacionalnih uprava</w:t>
      </w:r>
      <w:bookmarkStart w:id="20" w:name="_Ref137116000"/>
      <w:bookmarkEnd w:id="20"/>
    </w:p>
    <w:p w14:paraId="29BA9C0C" w14:textId="77777777" w:rsidR="008B565D" w:rsidRPr="00A76AD2" w:rsidRDefault="008B565D" w:rsidP="00DE56F4">
      <w:pPr>
        <w:ind w:left="992"/>
        <w:rPr>
          <w:noProof/>
        </w:rPr>
      </w:pPr>
    </w:p>
    <w:p w14:paraId="69132717" w14:textId="39CCA3CA" w:rsidR="009A6744" w:rsidRPr="00A76AD2" w:rsidRDefault="00B60C66" w:rsidP="00F07E6D">
      <w:pPr>
        <w:ind w:left="992"/>
        <w:rPr>
          <w:noProof/>
        </w:rPr>
      </w:pPr>
      <w:r w:rsidRPr="00A76AD2">
        <w:rPr>
          <w:noProof/>
        </w:rPr>
        <w:t xml:space="preserve">U novom programu rada za CZU vremenski okvir za </w:t>
      </w:r>
      <w:r w:rsidRPr="00A76AD2">
        <w:rPr>
          <w:i/>
          <w:noProof/>
        </w:rPr>
        <w:t xml:space="preserve">6. fazu NCTS-a </w:t>
      </w:r>
      <w:r w:rsidRPr="00A76AD2">
        <w:rPr>
          <w:noProof/>
        </w:rPr>
        <w:t xml:space="preserve">usklađen je s vremenskim okvirom za </w:t>
      </w:r>
      <w:r w:rsidRPr="00A76AD2">
        <w:rPr>
          <w:i/>
          <w:noProof/>
        </w:rPr>
        <w:t>3. verziju sustava ICS2</w:t>
      </w:r>
      <w:r w:rsidRPr="00A76AD2">
        <w:rPr>
          <w:rStyle w:val="FootnoteReference"/>
          <w:i/>
          <w:iCs/>
          <w:noProof/>
        </w:rPr>
        <w:footnoteReference w:id="11"/>
      </w:r>
      <w:r w:rsidRPr="00A76AD2">
        <w:rPr>
          <w:noProof/>
        </w:rPr>
        <w:t xml:space="preserve"> te novi vremenski okvir za uvođenje utvrđuje jasan krajnji rok za 5. fazu NCTS-a. Tim bi se promjenama trebao smanjiti rizik od kašnjenja te bi se državama članicama i gospodarskim subjektima trebalo omogućiti da utvrde strategiju i mjere kako bi bile spremne do novih datuma. Stoga je rizik povezan s tim projektom u kontekstu njegova dovršetka do 1. rujna 2025. smanjen na nisku razinu; </w:t>
      </w:r>
    </w:p>
    <w:p w14:paraId="5AC890B4" w14:textId="77777777" w:rsidR="00EA7F7D" w:rsidRPr="00A76AD2" w:rsidRDefault="12140BA4" w:rsidP="00F07E6D">
      <w:pPr>
        <w:numPr>
          <w:ilvl w:val="0"/>
          <w:numId w:val="5"/>
        </w:numPr>
        <w:ind w:left="992" w:hanging="567"/>
        <w:rPr>
          <w:noProof/>
        </w:rPr>
      </w:pPr>
      <w:r w:rsidRPr="00A76AD2">
        <w:rPr>
          <w:b/>
          <w:noProof/>
        </w:rPr>
        <w:t>automatizirani sustav izvoza u okviru CZU-a</w:t>
      </w:r>
      <w:r w:rsidRPr="00A76AD2">
        <w:rPr>
          <w:noProof/>
        </w:rPr>
        <w:t xml:space="preserve"> – </w:t>
      </w:r>
      <w:r w:rsidRPr="00A76AD2">
        <w:rPr>
          <w:i/>
          <w:noProof/>
        </w:rPr>
        <w:t>AES</w:t>
      </w:r>
      <w:r w:rsidRPr="00A76AD2">
        <w:rPr>
          <w:noProof/>
        </w:rPr>
        <w:t xml:space="preserve"> (modernizacija): cilj je provedba zahtjeva iz CZU-a za izvoz i izlaz robe. </w:t>
      </w:r>
    </w:p>
    <w:p w14:paraId="668D1E7B" w14:textId="60CE05FC" w:rsidR="00365BE8" w:rsidRPr="00A76AD2" w:rsidRDefault="00A33633" w:rsidP="00EA7F7D">
      <w:pPr>
        <w:ind w:left="992"/>
        <w:rPr>
          <w:noProof/>
        </w:rPr>
      </w:pPr>
      <w:r w:rsidRPr="00A76AD2">
        <w:rPr>
          <w:b/>
          <w:noProof/>
        </w:rPr>
        <w:t>Napredak</w:t>
      </w:r>
      <w:r w:rsidRPr="00A76AD2">
        <w:rPr>
          <w:noProof/>
        </w:rPr>
        <w:t>: kad je riječ o AES-u, države članice izvijestile su o znatnom napretku u uvođenju svojih nacionalnih aplikacija za izvoz 2023. Međutim, budući da određeni broj država članica nije mogao ispuniti rok za uvođenje 1. prosinca 2023., što je dovelo do revidiranog plana u programu rada za CZU, projektu je dodijeljena visoka razina rizik. AES se može provesti u tri koraka: prvo osnovne funkcionalnosti (1. prosinca 2023.), zatim razvoj sučelja za povezivanje sa sustavom kontrole kretanja trošarinskih proizvoda (veljača 2024.) i, naposljetku, sporedne funkcionalnosti (2. prosinca 2024.).</w:t>
      </w:r>
    </w:p>
    <w:p w14:paraId="03E577E5" w14:textId="4CFBF65E" w:rsidR="00306441" w:rsidRPr="00A76AD2" w:rsidRDefault="00203026" w:rsidP="00F07E6D">
      <w:pPr>
        <w:ind w:left="992"/>
        <w:rPr>
          <w:noProof/>
        </w:rPr>
      </w:pPr>
      <w:r w:rsidRPr="00A76AD2">
        <w:rPr>
          <w:noProof/>
        </w:rPr>
        <w:t>Tim bi se promjenama trebao smanjiti rizik od kašnjenja te bi se državama članicama i gospodarskim subjektima trebalo omogućiti da utvrde strategiju za ispunjavanje novih rokova jer bi u protivnom postojala srednja do visoka razina rizika za pravodobnu provedbu do kraja 2024.</w:t>
      </w:r>
    </w:p>
    <w:p w14:paraId="3CAF3E16" w14:textId="7CDBC0EA" w:rsidR="000B1343" w:rsidRPr="00A76AD2" w:rsidRDefault="00CA53F1" w:rsidP="00F07E6D">
      <w:pPr>
        <w:ind w:left="992"/>
        <w:rPr>
          <w:noProof/>
        </w:rPr>
      </w:pPr>
      <w:r w:rsidRPr="00A76AD2">
        <w:rPr>
          <w:noProof/>
        </w:rPr>
        <w:t>Na slici 2</w:t>
      </w:r>
      <w:r w:rsidRPr="00A76AD2">
        <w:rPr>
          <w:noProof/>
        </w:rPr>
        <w:fldChar w:fldCharType="begin"/>
      </w:r>
      <w:r w:rsidRPr="00A76AD2">
        <w:rPr>
          <w:noProof/>
        </w:rPr>
        <w:instrText xml:space="preserve"> REF _Ref137115985 \h </w:instrText>
      </w:r>
      <w:r w:rsidR="000B1343" w:rsidRPr="00A76AD2">
        <w:rPr>
          <w:noProof/>
        </w:rPr>
        <w:instrText xml:space="preserve"> \* MERGEFORMAT </w:instrText>
      </w:r>
      <w:r w:rsidRPr="00A76AD2">
        <w:rPr>
          <w:noProof/>
        </w:rPr>
      </w:r>
      <w:r w:rsidRPr="00A76AD2">
        <w:rPr>
          <w:noProof/>
        </w:rPr>
        <w:fldChar w:fldCharType="separate"/>
      </w:r>
      <w:r w:rsidR="00E715A7" w:rsidRPr="00A76AD2">
        <w:rPr>
          <w:noProof/>
        </w:rPr>
        <w:t>Figure 2</w:t>
      </w:r>
      <w:r w:rsidRPr="00A76AD2">
        <w:rPr>
          <w:noProof/>
        </w:rPr>
        <w:fldChar w:fldCharType="end"/>
      </w:r>
      <w:r w:rsidRPr="00A76AD2">
        <w:rPr>
          <w:noProof/>
        </w:rPr>
        <w:t xml:space="preserve"> može se vidjeti da je osam država članica započelo s međunarodnim radom AES-a do rujna 2023. Još osam država članica i Komisija trenutačno provode svoje planove uvođenja kako bi osigurale njihovo pravodobno puštanje u rad. Većina država članica potvrdila je da predano radi na tome da osnovne funkcionalnosti budu operativne do 1. prosinca 2023., a osnovne i sporedne funkcionalnosti do 2. prosinca 2024. </w:t>
      </w:r>
    </w:p>
    <w:p w14:paraId="7E93AF24" w14:textId="425B553E" w:rsidR="000378E7" w:rsidRPr="00A76AD2" w:rsidRDefault="000B1343" w:rsidP="00946A61">
      <w:pPr>
        <w:jc w:val="center"/>
        <w:rPr>
          <w:noProof/>
        </w:rPr>
      </w:pPr>
      <w:r w:rsidRPr="00A76AD2">
        <w:rPr>
          <w:noProof/>
        </w:rPr>
        <w:lastRenderedPageBreak/>
        <w:t xml:space="preserve">  </w:t>
      </w:r>
      <w:r w:rsidR="00D273CA" w:rsidRPr="00D273CA">
        <w:rPr>
          <w:noProof/>
          <w:lang w:val="en-GB" w:eastAsia="en-GB"/>
        </w:rPr>
        <w:drawing>
          <wp:inline distT="0" distB="0" distL="0" distR="0" wp14:anchorId="5CA48EF7" wp14:editId="23D520E2">
            <wp:extent cx="5229225" cy="177863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34409" cy="1780398"/>
                    </a:xfrm>
                    <a:prstGeom prst="rect">
                      <a:avLst/>
                    </a:prstGeom>
                    <a:noFill/>
                    <a:ln>
                      <a:noFill/>
                    </a:ln>
                  </pic:spPr>
                </pic:pic>
              </a:graphicData>
            </a:graphic>
          </wp:inline>
        </w:drawing>
      </w:r>
    </w:p>
    <w:p w14:paraId="4EC4A6E5" w14:textId="0CB0F8D1" w:rsidR="00743971" w:rsidRPr="00A76AD2" w:rsidRDefault="00CA53F1" w:rsidP="00844D01">
      <w:pPr>
        <w:pStyle w:val="Caption"/>
        <w:rPr>
          <w:noProof/>
        </w:rPr>
      </w:pPr>
      <w:r w:rsidRPr="00A76AD2">
        <w:rPr>
          <w:noProof/>
        </w:rPr>
        <w:t xml:space="preserve">Slika </w:t>
      </w:r>
      <w:r w:rsidRPr="00A76AD2">
        <w:rPr>
          <w:noProof/>
        </w:rPr>
        <w:fldChar w:fldCharType="begin"/>
      </w:r>
      <w:r w:rsidRPr="00A76AD2">
        <w:rPr>
          <w:noProof/>
        </w:rPr>
        <w:instrText xml:space="preserve"> SEQ Figure \* ARABIC </w:instrText>
      </w:r>
      <w:r w:rsidRPr="00A76AD2">
        <w:rPr>
          <w:noProof/>
        </w:rPr>
        <w:fldChar w:fldCharType="separate"/>
      </w:r>
      <w:r w:rsidR="00E715A7" w:rsidRPr="00A76AD2">
        <w:rPr>
          <w:noProof/>
        </w:rPr>
        <w:t>2</w:t>
      </w:r>
      <w:r w:rsidRPr="00A76AD2">
        <w:rPr>
          <w:noProof/>
        </w:rPr>
        <w:fldChar w:fldCharType="end"/>
      </w:r>
      <w:r w:rsidRPr="00A76AD2">
        <w:rPr>
          <w:noProof/>
        </w:rPr>
        <w:t>: Početak rada AES-a u državama članicama</w:t>
      </w:r>
      <w:bookmarkStart w:id="21" w:name="_Ref137115985"/>
      <w:bookmarkEnd w:id="21"/>
    </w:p>
    <w:p w14:paraId="0EA54FFB" w14:textId="52BA6809" w:rsidR="00D52C6C" w:rsidRPr="00A76AD2" w:rsidRDefault="00EE1FC9" w:rsidP="00897936">
      <w:pPr>
        <w:rPr>
          <w:noProof/>
        </w:rPr>
      </w:pPr>
      <w:r w:rsidRPr="00A76AD2">
        <w:rPr>
          <w:b/>
          <w:noProof/>
        </w:rPr>
        <w:t>Ukratko</w:t>
      </w:r>
      <w:r w:rsidRPr="00A76AD2">
        <w:rPr>
          <w:noProof/>
        </w:rPr>
        <w:t xml:space="preserve">, kad je riječ o statusu preostalih transeuropskih projekata, Komisija je i dalje na putu da ispuni zakonske rokove dogovorene u kontekstu CZU-a i programa rada za CZU. Utvrđeni su ozbiljni rizici od kašnjenja s uvođenjem nacionalnih sastavnica tih transeuropskih sustava u državama članicama, posebno za </w:t>
      </w:r>
      <w:r w:rsidRPr="00A76AD2">
        <w:rPr>
          <w:i/>
          <w:noProof/>
        </w:rPr>
        <w:t>1. fazu CCI-ja</w:t>
      </w:r>
      <w:r w:rsidRPr="00A76AD2">
        <w:rPr>
          <w:noProof/>
        </w:rPr>
        <w:t xml:space="preserve">, </w:t>
      </w:r>
      <w:r w:rsidRPr="00A76AD2">
        <w:rPr>
          <w:i/>
          <w:noProof/>
        </w:rPr>
        <w:t>AES</w:t>
      </w:r>
      <w:r w:rsidRPr="00A76AD2">
        <w:rPr>
          <w:noProof/>
        </w:rPr>
        <w:t xml:space="preserve"> i </w:t>
      </w:r>
      <w:r w:rsidRPr="00A76AD2">
        <w:rPr>
          <w:i/>
          <w:noProof/>
        </w:rPr>
        <w:t>5. fazu NCTS-a</w:t>
      </w:r>
      <w:r w:rsidRPr="00A76AD2">
        <w:rPr>
          <w:noProof/>
        </w:rPr>
        <w:t xml:space="preserve">, ali ti su rizici djelomično riješeni novim programom rada za CZU (vidjeti odjeljak </w:t>
      </w:r>
      <w:r w:rsidR="00EF3EA4" w:rsidRPr="00A76AD2">
        <w:rPr>
          <w:noProof/>
        </w:rPr>
        <w:fldChar w:fldCharType="begin"/>
      </w:r>
      <w:r w:rsidR="00EF3EA4" w:rsidRPr="00A76AD2">
        <w:rPr>
          <w:noProof/>
        </w:rPr>
        <w:instrText xml:space="preserve"> REF _Ref137491743 \r \h </w:instrText>
      </w:r>
      <w:r w:rsidR="00EF3EA4" w:rsidRPr="00A76AD2">
        <w:rPr>
          <w:noProof/>
        </w:rPr>
      </w:r>
      <w:r w:rsidR="00EF3EA4" w:rsidRPr="00A76AD2">
        <w:rPr>
          <w:noProof/>
        </w:rPr>
        <w:fldChar w:fldCharType="separate"/>
      </w:r>
      <w:r w:rsidR="00E715A7" w:rsidRPr="00A76AD2">
        <w:rPr>
          <w:noProof/>
        </w:rPr>
        <w:t>4.3</w:t>
      </w:r>
      <w:r w:rsidR="00EF3EA4" w:rsidRPr="00A76AD2">
        <w:rPr>
          <w:noProof/>
        </w:rPr>
        <w:fldChar w:fldCharType="end"/>
      </w:r>
      <w:r w:rsidRPr="00A76AD2">
        <w:rPr>
          <w:noProof/>
        </w:rPr>
        <w:t xml:space="preserve">.). </w:t>
      </w:r>
    </w:p>
    <w:p w14:paraId="55A905F9" w14:textId="5F8B7BA1" w:rsidR="00B548E7" w:rsidRPr="00A76AD2" w:rsidRDefault="00E85CC2" w:rsidP="00E41965">
      <w:pPr>
        <w:keepNext/>
        <w:ind w:left="567"/>
        <w:outlineLvl w:val="0"/>
        <w:rPr>
          <w:rFonts w:ascii="Times New Roman Bold" w:hAnsi="Times New Roman Bold"/>
          <w:b/>
          <w:bCs/>
          <w:noProof/>
          <w:sz w:val="24"/>
          <w:szCs w:val="24"/>
        </w:rPr>
      </w:pPr>
      <w:bookmarkStart w:id="22" w:name="_Ref75940933"/>
      <w:bookmarkStart w:id="23" w:name="_Ref75940953"/>
      <w:bookmarkStart w:id="24" w:name="_Toc173936646"/>
      <w:r w:rsidRPr="00A76AD2">
        <w:rPr>
          <w:rFonts w:ascii="Times New Roman Bold" w:hAnsi="Times New Roman Bold"/>
          <w:b/>
          <w:noProof/>
          <w:sz w:val="24"/>
        </w:rPr>
        <w:t>4.2.2. Nacionalni projekti</w:t>
      </w:r>
      <w:bookmarkEnd w:id="22"/>
      <w:bookmarkEnd w:id="23"/>
      <w:bookmarkEnd w:id="24"/>
    </w:p>
    <w:p w14:paraId="1E3DC0F9" w14:textId="2235D415" w:rsidR="007D55BC" w:rsidRPr="00A76AD2" w:rsidRDefault="3C329334" w:rsidP="3C329334">
      <w:pPr>
        <w:rPr>
          <w:noProof/>
        </w:rPr>
      </w:pPr>
      <w:r w:rsidRPr="00A76AD2">
        <w:rPr>
          <w:noProof/>
        </w:rPr>
        <w:t xml:space="preserve">Države članice trebale su dovršiti modernizaciju svoja </w:t>
      </w:r>
      <w:r w:rsidRPr="00A76AD2">
        <w:rPr>
          <w:b/>
          <w:noProof/>
        </w:rPr>
        <w:t>tri potpuno nacionalna projekta</w:t>
      </w:r>
      <w:r w:rsidR="12140BA4" w:rsidRPr="00A76AD2">
        <w:rPr>
          <w:rStyle w:val="FootnoteReference"/>
          <w:b/>
          <w:bCs/>
          <w:noProof/>
        </w:rPr>
        <w:footnoteReference w:id="12"/>
      </w:r>
      <w:r w:rsidRPr="00A76AD2">
        <w:rPr>
          <w:rStyle w:val="FootnoteReference"/>
          <w:b/>
          <w:bCs/>
          <w:noProof/>
        </w:rPr>
        <w:t xml:space="preserve"> </w:t>
      </w:r>
      <w:r w:rsidRPr="00A76AD2">
        <w:rPr>
          <w:noProof/>
        </w:rPr>
        <w:t xml:space="preserve"> do 31. prosinca 2022., u skladu s člankom 278. stavkom 2. CZU-a. Međutim, 22 države članice nisu mogle ispuniti taj rok i na njihov zahtjev odobreno im je odstupanje, čime je rok za uvođenje produljen do 31. prosinca 2023.</w:t>
      </w:r>
      <w:r w:rsidR="00C753C4" w:rsidRPr="00A76AD2">
        <w:rPr>
          <w:rStyle w:val="FootnoteReference"/>
          <w:noProof/>
        </w:rPr>
        <w:footnoteReference w:id="13"/>
      </w:r>
      <w:r w:rsidRPr="00A76AD2">
        <w:rPr>
          <w:noProof/>
        </w:rPr>
        <w:t xml:space="preserve"> </w:t>
      </w:r>
    </w:p>
    <w:p w14:paraId="4542BE1C" w14:textId="63CDE16B" w:rsidR="00282B17" w:rsidRPr="00A76AD2" w:rsidRDefault="74571B85">
      <w:pPr>
        <w:rPr>
          <w:noProof/>
        </w:rPr>
      </w:pPr>
      <w:r w:rsidRPr="00A76AD2">
        <w:rPr>
          <w:noProof/>
        </w:rPr>
        <w:t>Napredak za svaki nacionalni projekt opisan je u nastavku i prikazan na slici 3:</w:t>
      </w:r>
    </w:p>
    <w:p w14:paraId="2C8417B5" w14:textId="73397683" w:rsidR="00282B17" w:rsidRPr="00A76AD2" w:rsidRDefault="00A33633" w:rsidP="00F07E6D">
      <w:pPr>
        <w:numPr>
          <w:ilvl w:val="0"/>
          <w:numId w:val="14"/>
        </w:numPr>
        <w:ind w:left="567" w:hanging="567"/>
        <w:rPr>
          <w:noProof/>
        </w:rPr>
      </w:pPr>
      <w:r w:rsidRPr="00A76AD2">
        <w:rPr>
          <w:b/>
          <w:noProof/>
        </w:rPr>
        <w:t>obavijest o dolasku, obavijest o podnošenju carini i privremeni smještaj u okviru CZU-a</w:t>
      </w:r>
      <w:r w:rsidRPr="00A76AD2">
        <w:rPr>
          <w:noProof/>
        </w:rPr>
        <w:t xml:space="preserve"> (</w:t>
      </w:r>
      <w:r w:rsidRPr="00A76AD2">
        <w:rPr>
          <w:i/>
          <w:noProof/>
        </w:rPr>
        <w:t>AN, PN i TS</w:t>
      </w:r>
      <w:r w:rsidRPr="00A76AD2">
        <w:rPr>
          <w:noProof/>
        </w:rPr>
        <w:t xml:space="preserve">) (modernizacija): cilj je automatizirati nacionalne procese ulaska. </w:t>
      </w:r>
    </w:p>
    <w:p w14:paraId="628E44EE" w14:textId="7E847D64" w:rsidR="00282B17" w:rsidRPr="00A76AD2" w:rsidRDefault="00A33633" w:rsidP="00F07E6D">
      <w:pPr>
        <w:ind w:left="567"/>
        <w:rPr>
          <w:noProof/>
        </w:rPr>
      </w:pPr>
      <w:r w:rsidRPr="00A76AD2">
        <w:rPr>
          <w:b/>
          <w:noProof/>
        </w:rPr>
        <w:t>Napredak</w:t>
      </w:r>
      <w:r w:rsidRPr="00A76AD2">
        <w:rPr>
          <w:noProof/>
        </w:rPr>
        <w:t>: u prethodnim godišnjim izvješćima o napretku u okviru CZU-a utvrđeno je da postoji rizik za pravodobno uvođenje nacionalnih sustava. Kako je prikazano na slici, većina država članica dovršila je provedbu do kraja 2023. Za više pojedinosti vidjeti odjeljak 3.1.2. radnog dokumenta službi Komisije priloženog ovom izvješću;</w:t>
      </w:r>
    </w:p>
    <w:p w14:paraId="13284FBF" w14:textId="77777777" w:rsidR="00D02703" w:rsidRPr="00A76AD2" w:rsidRDefault="00A33633" w:rsidP="00F07E6D">
      <w:pPr>
        <w:numPr>
          <w:ilvl w:val="0"/>
          <w:numId w:val="14"/>
        </w:numPr>
        <w:ind w:left="567" w:hanging="567"/>
        <w:rPr>
          <w:noProof/>
        </w:rPr>
      </w:pPr>
      <w:r w:rsidRPr="00A76AD2">
        <w:rPr>
          <w:b/>
          <w:noProof/>
        </w:rPr>
        <w:t>nacionalni sustavi uvoza u okviru CZU-a</w:t>
      </w:r>
      <w:r w:rsidRPr="00A76AD2">
        <w:rPr>
          <w:noProof/>
        </w:rPr>
        <w:t xml:space="preserve"> – </w:t>
      </w:r>
      <w:r w:rsidRPr="00A76AD2">
        <w:rPr>
          <w:i/>
          <w:noProof/>
        </w:rPr>
        <w:t>NIS</w:t>
      </w:r>
      <w:r w:rsidRPr="00A76AD2">
        <w:rPr>
          <w:noProof/>
        </w:rPr>
        <w:t xml:space="preserve"> (nadogradnja): cilj je provedba svih zahtjeva u vezi s postupcima i podacima koji se odnose na uvoz kako su navedeni u CZU-u. </w:t>
      </w:r>
    </w:p>
    <w:p w14:paraId="49BC1903" w14:textId="7B4D1019" w:rsidR="00497AF3" w:rsidRPr="00A76AD2" w:rsidRDefault="00A33633" w:rsidP="00F07E6D">
      <w:pPr>
        <w:ind w:left="567"/>
        <w:rPr>
          <w:noProof/>
        </w:rPr>
      </w:pPr>
      <w:r w:rsidRPr="00A76AD2">
        <w:rPr>
          <w:b/>
          <w:noProof/>
        </w:rPr>
        <w:t>Napredak</w:t>
      </w:r>
      <w:r w:rsidRPr="00A76AD2">
        <w:rPr>
          <w:noProof/>
        </w:rPr>
        <w:t xml:space="preserve">: od 2022. nekoliko država članica prijavilo je da postoji rizik da neće stići pravodobno provesti projekt, zbog čega im je odobreno odstupanje i produljen rok. Do kraja 2023. NIS je </w:t>
      </w:r>
      <w:r w:rsidRPr="00A76AD2">
        <w:rPr>
          <w:noProof/>
        </w:rPr>
        <w:lastRenderedPageBreak/>
        <w:t>uvelo 19 država članica. Nekoliko država članica treba provesti daljnju nadogradnju kako bi dovršile provedbu projekta, a ostale nisu spremne da projekt provedu do kraja 2023. (tj. do produljenog roka). Za više pojedinosti vidjeti odjeljak 3.2.2. radnog dokumenta službi Komisije priloženog ovom izvješću;</w:t>
      </w:r>
    </w:p>
    <w:p w14:paraId="1D062831" w14:textId="0DC7A688" w:rsidR="00282B17" w:rsidRPr="00A76AD2" w:rsidRDefault="00A33633" w:rsidP="00F07E6D">
      <w:pPr>
        <w:numPr>
          <w:ilvl w:val="0"/>
          <w:numId w:val="14"/>
        </w:numPr>
        <w:ind w:left="567" w:hanging="567"/>
        <w:rPr>
          <w:noProof/>
        </w:rPr>
      </w:pPr>
      <w:r w:rsidRPr="00A76AD2">
        <w:rPr>
          <w:b/>
          <w:noProof/>
        </w:rPr>
        <w:t>posebni postupci u okviru CZU-a</w:t>
      </w:r>
      <w:r w:rsidRPr="00A76AD2">
        <w:rPr>
          <w:noProof/>
        </w:rPr>
        <w:t xml:space="preserve"> – </w:t>
      </w:r>
      <w:r w:rsidRPr="00A76AD2">
        <w:rPr>
          <w:i/>
          <w:noProof/>
        </w:rPr>
        <w:t>SP</w:t>
      </w:r>
      <w:r w:rsidRPr="00A76AD2">
        <w:rPr>
          <w:noProof/>
        </w:rPr>
        <w:t xml:space="preserve"> (modernizacija): cilj je uskladiti posebne postupke (tj. carinsko skladištenje, uporaba u posebne svrhe, privremeni uvoz te unutarnja i vanjska proizvodnja). </w:t>
      </w:r>
    </w:p>
    <w:p w14:paraId="1040B2AD" w14:textId="6583963D" w:rsidR="00282B17" w:rsidRPr="00A76AD2" w:rsidRDefault="00A33633" w:rsidP="00F07E6D">
      <w:pPr>
        <w:ind w:left="567"/>
        <w:rPr>
          <w:noProof/>
        </w:rPr>
      </w:pPr>
      <w:r w:rsidRPr="00A76AD2">
        <w:rPr>
          <w:b/>
          <w:noProof/>
        </w:rPr>
        <w:t xml:space="preserve">Napredak: </w:t>
      </w:r>
      <w:r w:rsidRPr="00A76AD2">
        <w:rPr>
          <w:noProof/>
        </w:rPr>
        <w:t xml:space="preserve">s obzirom na međuovisnost s </w:t>
      </w:r>
      <w:r w:rsidRPr="00A76AD2">
        <w:rPr>
          <w:i/>
          <w:noProof/>
        </w:rPr>
        <w:t>nacionalnim sustavima uvoza</w:t>
      </w:r>
      <w:r w:rsidRPr="00A76AD2">
        <w:rPr>
          <w:noProof/>
        </w:rPr>
        <w:t>, 21 država članica provela je sastavnicu SP-a za uvoz (</w:t>
      </w:r>
      <w:r w:rsidRPr="00A76AD2">
        <w:rPr>
          <w:i/>
          <w:noProof/>
        </w:rPr>
        <w:t>SP IMP</w:t>
      </w:r>
      <w:r w:rsidRPr="00A76AD2">
        <w:rPr>
          <w:noProof/>
        </w:rPr>
        <w:t>) do kraja 2023. Za više pojedinosti vidjeti odjeljke 3.3.2. i 3.4.2. radnog dokumenta službi Komisije priloženog ovom izvješću.</w:t>
      </w:r>
    </w:p>
    <w:tbl>
      <w:tblPr>
        <w:tblW w:w="8510" w:type="dxa"/>
        <w:tblInd w:w="561" w:type="dxa"/>
        <w:tblLook w:val="04A0" w:firstRow="1" w:lastRow="0" w:firstColumn="1" w:lastColumn="0" w:noHBand="0" w:noVBand="1"/>
      </w:tblPr>
      <w:tblGrid>
        <w:gridCol w:w="1021"/>
        <w:gridCol w:w="216"/>
        <w:gridCol w:w="1367"/>
        <w:gridCol w:w="995"/>
        <w:gridCol w:w="552"/>
        <w:gridCol w:w="1190"/>
        <w:gridCol w:w="357"/>
        <w:gridCol w:w="1229"/>
        <w:gridCol w:w="216"/>
        <w:gridCol w:w="1368"/>
      </w:tblGrid>
      <w:tr w:rsidR="00FA1876" w:rsidRPr="00A76AD2" w14:paraId="7BB7A27B" w14:textId="77777777" w:rsidTr="0090580C">
        <w:trPr>
          <w:trHeight w:val="270"/>
        </w:trPr>
        <w:tc>
          <w:tcPr>
            <w:tcW w:w="957" w:type="dxa"/>
            <w:tcBorders>
              <w:top w:val="nil"/>
              <w:left w:val="nil"/>
              <w:bottom w:val="nil"/>
              <w:right w:val="nil"/>
            </w:tcBorders>
            <w:shd w:val="clear" w:color="auto" w:fill="auto"/>
            <w:vAlign w:val="center"/>
            <w:hideMark/>
          </w:tcPr>
          <w:p w14:paraId="6213ED01" w14:textId="77777777" w:rsidR="00FA1876" w:rsidRPr="00A76AD2" w:rsidRDefault="00FA1876" w:rsidP="00FA1876">
            <w:pPr>
              <w:spacing w:after="0"/>
              <w:jc w:val="left"/>
              <w:rPr>
                <w:noProof/>
                <w:sz w:val="24"/>
                <w:szCs w:val="24"/>
                <w:lang w:eastAsia="en-IE"/>
              </w:rPr>
            </w:pPr>
          </w:p>
        </w:tc>
        <w:tc>
          <w:tcPr>
            <w:tcW w:w="1596" w:type="dxa"/>
            <w:gridSpan w:val="2"/>
            <w:tcBorders>
              <w:top w:val="single" w:sz="8" w:space="0" w:color="auto"/>
              <w:left w:val="single" w:sz="8" w:space="0" w:color="auto"/>
              <w:bottom w:val="nil"/>
              <w:right w:val="single" w:sz="8" w:space="0" w:color="FFFFFF"/>
            </w:tcBorders>
            <w:shd w:val="clear" w:color="000000" w:fill="034EA2"/>
            <w:noWrap/>
            <w:vAlign w:val="bottom"/>
            <w:hideMark/>
          </w:tcPr>
          <w:p w14:paraId="31782425" w14:textId="77777777" w:rsidR="00FA1876" w:rsidRPr="00A76AD2" w:rsidRDefault="00FA1876" w:rsidP="00FA1876">
            <w:pPr>
              <w:spacing w:after="0"/>
              <w:jc w:val="center"/>
              <w:rPr>
                <w:rFonts w:ascii="Calibri" w:hAnsi="Calibri" w:cs="Calibri"/>
                <w:b/>
                <w:bCs/>
                <w:noProof/>
                <w:color w:val="FFFFFF"/>
                <w:sz w:val="20"/>
                <w:szCs w:val="20"/>
              </w:rPr>
            </w:pPr>
            <w:r w:rsidRPr="00A76AD2">
              <w:rPr>
                <w:rFonts w:ascii="Calibri" w:hAnsi="Calibri"/>
                <w:b/>
                <w:noProof/>
                <w:color w:val="FFFFFF"/>
                <w:sz w:val="20"/>
              </w:rPr>
              <w:t>AN</w:t>
            </w:r>
          </w:p>
        </w:tc>
        <w:tc>
          <w:tcPr>
            <w:tcW w:w="1560" w:type="dxa"/>
            <w:gridSpan w:val="2"/>
            <w:tcBorders>
              <w:top w:val="single" w:sz="8" w:space="0" w:color="auto"/>
              <w:left w:val="single" w:sz="4" w:space="0" w:color="auto"/>
              <w:bottom w:val="nil"/>
              <w:right w:val="single" w:sz="8" w:space="0" w:color="FFFFFF"/>
            </w:tcBorders>
            <w:shd w:val="clear" w:color="000000" w:fill="034EA2"/>
            <w:noWrap/>
            <w:vAlign w:val="bottom"/>
            <w:hideMark/>
          </w:tcPr>
          <w:p w14:paraId="690F5EAE" w14:textId="77777777" w:rsidR="00FA1876" w:rsidRPr="00A76AD2" w:rsidRDefault="00FA1876" w:rsidP="00FA1876">
            <w:pPr>
              <w:spacing w:after="0"/>
              <w:jc w:val="center"/>
              <w:rPr>
                <w:rFonts w:ascii="Calibri" w:hAnsi="Calibri" w:cs="Calibri"/>
                <w:b/>
                <w:bCs/>
                <w:noProof/>
                <w:color w:val="FFFFFF"/>
                <w:sz w:val="20"/>
                <w:szCs w:val="20"/>
              </w:rPr>
            </w:pPr>
            <w:r w:rsidRPr="00A76AD2">
              <w:rPr>
                <w:rFonts w:ascii="Calibri" w:hAnsi="Calibri"/>
                <w:b/>
                <w:noProof/>
                <w:color w:val="FFFFFF"/>
                <w:sz w:val="20"/>
              </w:rPr>
              <w:t>PN</w:t>
            </w:r>
          </w:p>
        </w:tc>
        <w:tc>
          <w:tcPr>
            <w:tcW w:w="1560" w:type="dxa"/>
            <w:gridSpan w:val="2"/>
            <w:tcBorders>
              <w:top w:val="single" w:sz="8" w:space="0" w:color="auto"/>
              <w:left w:val="single" w:sz="4" w:space="0" w:color="auto"/>
              <w:bottom w:val="nil"/>
              <w:right w:val="single" w:sz="8" w:space="0" w:color="FFFFFF"/>
            </w:tcBorders>
            <w:shd w:val="clear" w:color="000000" w:fill="034EA2"/>
            <w:noWrap/>
            <w:vAlign w:val="bottom"/>
            <w:hideMark/>
          </w:tcPr>
          <w:p w14:paraId="0DB01EBE" w14:textId="77777777" w:rsidR="00FA1876" w:rsidRPr="00A76AD2" w:rsidRDefault="00FA1876" w:rsidP="00FA1876">
            <w:pPr>
              <w:spacing w:after="0"/>
              <w:jc w:val="center"/>
              <w:rPr>
                <w:rFonts w:ascii="Calibri" w:hAnsi="Calibri" w:cs="Calibri"/>
                <w:b/>
                <w:bCs/>
                <w:noProof/>
                <w:color w:val="FFFFFF"/>
                <w:sz w:val="20"/>
                <w:szCs w:val="20"/>
              </w:rPr>
            </w:pPr>
            <w:r w:rsidRPr="00A76AD2">
              <w:rPr>
                <w:rFonts w:ascii="Calibri" w:hAnsi="Calibri"/>
                <w:b/>
                <w:noProof/>
                <w:color w:val="FFFFFF"/>
                <w:sz w:val="20"/>
              </w:rPr>
              <w:t>TS</w:t>
            </w:r>
          </w:p>
        </w:tc>
        <w:tc>
          <w:tcPr>
            <w:tcW w:w="1419" w:type="dxa"/>
            <w:gridSpan w:val="2"/>
            <w:tcBorders>
              <w:top w:val="single" w:sz="8" w:space="0" w:color="auto"/>
              <w:left w:val="single" w:sz="4" w:space="0" w:color="auto"/>
              <w:bottom w:val="nil"/>
              <w:right w:val="single" w:sz="8" w:space="0" w:color="FFFFFF"/>
            </w:tcBorders>
            <w:shd w:val="clear" w:color="000000" w:fill="034EA2"/>
            <w:noWrap/>
            <w:vAlign w:val="bottom"/>
            <w:hideMark/>
          </w:tcPr>
          <w:p w14:paraId="38981738" w14:textId="77777777" w:rsidR="00FA1876" w:rsidRPr="00A76AD2" w:rsidRDefault="00FA1876" w:rsidP="00FA1876">
            <w:pPr>
              <w:spacing w:after="0"/>
              <w:jc w:val="center"/>
              <w:rPr>
                <w:rFonts w:ascii="Calibri" w:hAnsi="Calibri" w:cs="Calibri"/>
                <w:b/>
                <w:bCs/>
                <w:noProof/>
                <w:color w:val="FFFFFF"/>
                <w:sz w:val="20"/>
                <w:szCs w:val="20"/>
              </w:rPr>
            </w:pPr>
            <w:r w:rsidRPr="00A76AD2">
              <w:rPr>
                <w:rFonts w:ascii="Calibri" w:hAnsi="Calibri"/>
                <w:b/>
                <w:noProof/>
                <w:color w:val="FFFFFF"/>
                <w:sz w:val="20"/>
              </w:rPr>
              <w:t>NIS</w:t>
            </w:r>
          </w:p>
        </w:tc>
        <w:tc>
          <w:tcPr>
            <w:tcW w:w="1418" w:type="dxa"/>
            <w:tcBorders>
              <w:top w:val="single" w:sz="8" w:space="0" w:color="auto"/>
              <w:left w:val="single" w:sz="4" w:space="0" w:color="auto"/>
              <w:bottom w:val="nil"/>
              <w:right w:val="nil"/>
            </w:tcBorders>
            <w:shd w:val="clear" w:color="000000" w:fill="034EA2"/>
            <w:noWrap/>
            <w:vAlign w:val="bottom"/>
            <w:hideMark/>
          </w:tcPr>
          <w:p w14:paraId="3DBFA206" w14:textId="77777777" w:rsidR="00FA1876" w:rsidRPr="00A76AD2" w:rsidRDefault="00FA1876" w:rsidP="00FA1876">
            <w:pPr>
              <w:spacing w:after="0"/>
              <w:jc w:val="center"/>
              <w:rPr>
                <w:rFonts w:ascii="Calibri" w:hAnsi="Calibri" w:cs="Calibri"/>
                <w:b/>
                <w:bCs/>
                <w:noProof/>
                <w:color w:val="FFFFFF"/>
                <w:sz w:val="20"/>
                <w:szCs w:val="20"/>
              </w:rPr>
            </w:pPr>
            <w:r w:rsidRPr="00A76AD2">
              <w:rPr>
                <w:rFonts w:ascii="Calibri" w:hAnsi="Calibri"/>
                <w:b/>
                <w:noProof/>
                <w:color w:val="FFFFFF"/>
                <w:sz w:val="20"/>
              </w:rPr>
              <w:t>SP IMP</w:t>
            </w:r>
          </w:p>
        </w:tc>
      </w:tr>
      <w:tr w:rsidR="00FA1876" w:rsidRPr="00A76AD2" w14:paraId="16968A5F" w14:textId="77777777" w:rsidTr="0090580C">
        <w:trPr>
          <w:trHeight w:val="304"/>
        </w:trPr>
        <w:tc>
          <w:tcPr>
            <w:tcW w:w="957" w:type="dxa"/>
            <w:tcBorders>
              <w:top w:val="single" w:sz="8" w:space="0" w:color="auto"/>
              <w:left w:val="nil"/>
              <w:bottom w:val="single" w:sz="8" w:space="0" w:color="auto"/>
              <w:right w:val="single" w:sz="8" w:space="0" w:color="auto"/>
            </w:tcBorders>
            <w:shd w:val="clear" w:color="000000" w:fill="F2F2F2"/>
            <w:vAlign w:val="center"/>
            <w:hideMark/>
          </w:tcPr>
          <w:p w14:paraId="4EE154E0"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Rok iz programa rada za CZU</w:t>
            </w:r>
          </w:p>
        </w:tc>
        <w:tc>
          <w:tcPr>
            <w:tcW w:w="4716" w:type="dxa"/>
            <w:gridSpan w:val="6"/>
            <w:tcBorders>
              <w:top w:val="nil"/>
              <w:left w:val="nil"/>
              <w:bottom w:val="single" w:sz="8" w:space="0" w:color="auto"/>
              <w:right w:val="single" w:sz="8" w:space="0" w:color="FFFFFF"/>
            </w:tcBorders>
            <w:shd w:val="clear" w:color="000000" w:fill="F2F2F2"/>
            <w:vAlign w:val="center"/>
            <w:hideMark/>
          </w:tcPr>
          <w:p w14:paraId="660B72E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 xml:space="preserve">31.12.2022. </w:t>
            </w:r>
          </w:p>
          <w:p w14:paraId="3581E985" w14:textId="3250EFC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s produljenjem do 31.12.2023. </w:t>
            </w:r>
            <w:r w:rsidRPr="00A76AD2">
              <w:rPr>
                <w:rFonts w:ascii="Calibri" w:hAnsi="Calibri"/>
                <w:noProof/>
                <w:color w:val="000000"/>
                <w:sz w:val="20"/>
                <w:vertAlign w:val="superscript"/>
              </w:rPr>
              <w:t>(1)</w:t>
            </w:r>
          </w:p>
        </w:tc>
        <w:tc>
          <w:tcPr>
            <w:tcW w:w="2837" w:type="dxa"/>
            <w:gridSpan w:val="3"/>
            <w:tcBorders>
              <w:top w:val="nil"/>
              <w:left w:val="nil"/>
              <w:bottom w:val="single" w:sz="8" w:space="0" w:color="auto"/>
              <w:right w:val="single" w:sz="8" w:space="0" w:color="FFFFFF"/>
            </w:tcBorders>
            <w:shd w:val="clear" w:color="000000" w:fill="F2F2F2"/>
            <w:vAlign w:val="center"/>
            <w:hideMark/>
          </w:tcPr>
          <w:p w14:paraId="38305C4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 xml:space="preserve">31.12.2022. </w:t>
            </w:r>
          </w:p>
          <w:p w14:paraId="53E86C7B" w14:textId="3B51477D"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s produljenjem do 31.12.2023. </w:t>
            </w:r>
            <w:r w:rsidRPr="00A76AD2">
              <w:rPr>
                <w:rFonts w:ascii="Calibri" w:hAnsi="Calibri"/>
                <w:noProof/>
                <w:color w:val="000000"/>
                <w:sz w:val="20"/>
                <w:vertAlign w:val="superscript"/>
              </w:rPr>
              <w:t>(2)</w:t>
            </w:r>
          </w:p>
        </w:tc>
      </w:tr>
      <w:tr w:rsidR="00FA1876" w:rsidRPr="00A76AD2" w14:paraId="3EF5167A" w14:textId="77777777" w:rsidTr="0090580C">
        <w:trPr>
          <w:trHeight w:val="253"/>
        </w:trPr>
        <w:tc>
          <w:tcPr>
            <w:tcW w:w="957" w:type="dxa"/>
            <w:tcBorders>
              <w:top w:val="single" w:sz="4" w:space="0" w:color="A5A5A5"/>
              <w:left w:val="nil"/>
              <w:bottom w:val="single" w:sz="4" w:space="0" w:color="A5A5A5"/>
              <w:right w:val="nil"/>
            </w:tcBorders>
            <w:shd w:val="clear" w:color="000000" w:fill="F2F2F2"/>
            <w:vAlign w:val="center"/>
            <w:hideMark/>
          </w:tcPr>
          <w:p w14:paraId="28471044"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AT</w:t>
            </w:r>
          </w:p>
        </w:tc>
        <w:tc>
          <w:tcPr>
            <w:tcW w:w="1596" w:type="dxa"/>
            <w:gridSpan w:val="2"/>
            <w:tcBorders>
              <w:top w:val="single" w:sz="4" w:space="0" w:color="A5A5A5"/>
              <w:left w:val="single" w:sz="8" w:space="0" w:color="auto"/>
              <w:bottom w:val="single" w:sz="4" w:space="0" w:color="A5A5A5"/>
              <w:right w:val="dotted" w:sz="4" w:space="0" w:color="A5A5A5"/>
            </w:tcBorders>
            <w:shd w:val="clear" w:color="000000" w:fill="A9D08E"/>
            <w:vAlign w:val="center"/>
            <w:hideMark/>
          </w:tcPr>
          <w:p w14:paraId="4947CB8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nije primjenjivo</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258F20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21.6.2023.</w:t>
            </w:r>
          </w:p>
        </w:tc>
        <w:tc>
          <w:tcPr>
            <w:tcW w:w="1560" w:type="dxa"/>
            <w:gridSpan w:val="2"/>
            <w:tcBorders>
              <w:top w:val="nil"/>
              <w:left w:val="single" w:sz="4" w:space="0" w:color="auto"/>
              <w:bottom w:val="single" w:sz="4" w:space="0" w:color="A5A5A5"/>
              <w:right w:val="dotted" w:sz="4" w:space="0" w:color="A5A5A5"/>
            </w:tcBorders>
            <w:shd w:val="clear" w:color="000000" w:fill="D0CECE"/>
            <w:vAlign w:val="center"/>
            <w:hideMark/>
          </w:tcPr>
          <w:p w14:paraId="094A08E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nije navedeno</w:t>
            </w:r>
          </w:p>
        </w:tc>
        <w:tc>
          <w:tcPr>
            <w:tcW w:w="1419" w:type="dxa"/>
            <w:gridSpan w:val="2"/>
            <w:tcBorders>
              <w:top w:val="nil"/>
              <w:left w:val="single" w:sz="4" w:space="0" w:color="auto"/>
              <w:bottom w:val="single" w:sz="4" w:space="0" w:color="A5A5A5"/>
              <w:right w:val="nil"/>
            </w:tcBorders>
            <w:shd w:val="clear" w:color="000000" w:fill="D0CECE"/>
            <w:vAlign w:val="center"/>
            <w:hideMark/>
          </w:tcPr>
          <w:p w14:paraId="78436FC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nije navedeno</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4E23656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3.2.2025.</w:t>
            </w:r>
          </w:p>
        </w:tc>
      </w:tr>
      <w:tr w:rsidR="00FA1876" w:rsidRPr="00A76AD2" w14:paraId="3379067A" w14:textId="77777777" w:rsidTr="0090580C">
        <w:trPr>
          <w:trHeight w:val="260"/>
        </w:trPr>
        <w:tc>
          <w:tcPr>
            <w:tcW w:w="957" w:type="dxa"/>
            <w:tcBorders>
              <w:top w:val="nil"/>
              <w:left w:val="nil"/>
              <w:bottom w:val="single" w:sz="4" w:space="0" w:color="A5A5A5"/>
              <w:right w:val="nil"/>
            </w:tcBorders>
            <w:shd w:val="clear" w:color="000000" w:fill="F2F2F2"/>
            <w:vAlign w:val="center"/>
            <w:hideMark/>
          </w:tcPr>
          <w:p w14:paraId="5B6C10CC"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BE</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5BCD511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30.6.2023.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EAC467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5.7.2023.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218AAD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29.11.2023.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675E989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6.12.2023.</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33112303"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6.12.2023.</w:t>
            </w:r>
          </w:p>
        </w:tc>
      </w:tr>
      <w:tr w:rsidR="00FA1876" w:rsidRPr="00A76AD2" w14:paraId="7828E950"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44FA4EBC"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BG</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51AB690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37E8E62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23.10.2023.</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7CD1E08C"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23.10.2023.</w:t>
            </w:r>
          </w:p>
        </w:tc>
        <w:tc>
          <w:tcPr>
            <w:tcW w:w="1419" w:type="dxa"/>
            <w:gridSpan w:val="2"/>
            <w:tcBorders>
              <w:top w:val="nil"/>
              <w:left w:val="single" w:sz="4" w:space="0" w:color="auto"/>
              <w:bottom w:val="single" w:sz="4" w:space="0" w:color="A5A5A5"/>
              <w:right w:val="nil"/>
            </w:tcBorders>
            <w:shd w:val="clear" w:color="auto" w:fill="A8D08D" w:themeFill="accent6" w:themeFillTint="99"/>
            <w:vAlign w:val="center"/>
            <w:hideMark/>
          </w:tcPr>
          <w:p w14:paraId="1AA0432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23.10.2023.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113D4FB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23.10.2023.</w:t>
            </w:r>
          </w:p>
        </w:tc>
      </w:tr>
      <w:tr w:rsidR="00FA1876" w:rsidRPr="00A76AD2" w14:paraId="43AEC2BD"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548B923B"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CY</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0975B82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7.11.2023.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0425838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7.11.2023.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2E33E56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7.11.2023.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17F56B7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7.11.2023.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3D28075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7.11.2023.</w:t>
            </w:r>
          </w:p>
        </w:tc>
      </w:tr>
      <w:tr w:rsidR="00FA1876" w:rsidRPr="00A76AD2" w14:paraId="1583A574"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2271AB99"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CZ</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7DD0C56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4D30E7F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83EC9F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419" w:type="dxa"/>
            <w:gridSpan w:val="2"/>
            <w:tcBorders>
              <w:top w:val="nil"/>
              <w:left w:val="single" w:sz="4" w:space="0" w:color="auto"/>
              <w:bottom w:val="single" w:sz="4" w:space="0" w:color="A5A5A5"/>
              <w:right w:val="nil"/>
            </w:tcBorders>
            <w:shd w:val="clear" w:color="000000" w:fill="F4B084"/>
            <w:vAlign w:val="center"/>
            <w:hideMark/>
          </w:tcPr>
          <w:p w14:paraId="4BD6D22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1.12.2024.</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0B49490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1.12.2024.</w:t>
            </w:r>
          </w:p>
        </w:tc>
      </w:tr>
      <w:tr w:rsidR="00FA1876" w:rsidRPr="00A76AD2" w14:paraId="4B5299B8"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766F1C0B"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DE</w:t>
            </w:r>
          </w:p>
        </w:tc>
        <w:tc>
          <w:tcPr>
            <w:tcW w:w="1596" w:type="dxa"/>
            <w:gridSpan w:val="2"/>
            <w:tcBorders>
              <w:top w:val="nil"/>
              <w:left w:val="single" w:sz="8" w:space="0" w:color="auto"/>
              <w:bottom w:val="single" w:sz="4" w:space="0" w:color="A5A5A5"/>
              <w:right w:val="dotted" w:sz="4" w:space="0" w:color="A5A5A5"/>
            </w:tcBorders>
            <w:shd w:val="clear" w:color="000000" w:fill="F4B084"/>
            <w:vAlign w:val="center"/>
            <w:hideMark/>
          </w:tcPr>
          <w:p w14:paraId="1F93C81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036FB1A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6.3.2021.</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EFF66A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6.3.2021.</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5712E33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6.3.2021.</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0AA3DC9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6.3.2021.</w:t>
            </w:r>
          </w:p>
        </w:tc>
      </w:tr>
      <w:tr w:rsidR="00FA1876" w:rsidRPr="00A76AD2" w14:paraId="7D1688A3" w14:textId="77777777" w:rsidTr="0090580C">
        <w:trPr>
          <w:trHeight w:val="283"/>
        </w:trPr>
        <w:tc>
          <w:tcPr>
            <w:tcW w:w="957" w:type="dxa"/>
            <w:tcBorders>
              <w:top w:val="nil"/>
              <w:left w:val="nil"/>
              <w:bottom w:val="single" w:sz="4" w:space="0" w:color="A5A5A5"/>
              <w:right w:val="nil"/>
            </w:tcBorders>
            <w:shd w:val="clear" w:color="000000" w:fill="F2F2F2"/>
            <w:noWrap/>
            <w:vAlign w:val="center"/>
            <w:hideMark/>
          </w:tcPr>
          <w:p w14:paraId="3AE01444"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DK</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4176482C"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31.10.2023.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1BBA72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31.10.2023.</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4708AE4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15.10.2024.</w:t>
            </w:r>
          </w:p>
        </w:tc>
        <w:tc>
          <w:tcPr>
            <w:tcW w:w="1419" w:type="dxa"/>
            <w:gridSpan w:val="2"/>
            <w:tcBorders>
              <w:top w:val="nil"/>
              <w:left w:val="single" w:sz="4" w:space="0" w:color="auto"/>
              <w:bottom w:val="single" w:sz="4" w:space="0" w:color="A5A5A5"/>
              <w:right w:val="nil"/>
            </w:tcBorders>
            <w:shd w:val="clear" w:color="000000" w:fill="F4B084"/>
            <w:vAlign w:val="center"/>
            <w:hideMark/>
          </w:tcPr>
          <w:p w14:paraId="3313BB1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15.10.2024.</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16FCD8D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15.10.2024.</w:t>
            </w:r>
          </w:p>
        </w:tc>
      </w:tr>
      <w:tr w:rsidR="00FA1876" w:rsidRPr="00A76AD2" w14:paraId="2970FC37"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6484D6B0"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EE</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572D195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832250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36C35223"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7E32E56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1.7.2021.</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01976E5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1.7.2021.</w:t>
            </w:r>
          </w:p>
        </w:tc>
      </w:tr>
      <w:tr w:rsidR="00FA1876" w:rsidRPr="00A76AD2" w14:paraId="0DF7FF6C"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6E888014"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ES</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05A66A2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nije primjenjivo</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5C43252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16F5DC0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1.3.2024.</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7105F61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30.9.2023.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0CBEC77F"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30.9.2022.</w:t>
            </w:r>
          </w:p>
        </w:tc>
      </w:tr>
      <w:tr w:rsidR="00FA1876" w:rsidRPr="00A76AD2" w14:paraId="5D932A09"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7E0E931E"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FI</w:t>
            </w:r>
          </w:p>
        </w:tc>
        <w:tc>
          <w:tcPr>
            <w:tcW w:w="1596" w:type="dxa"/>
            <w:gridSpan w:val="2"/>
            <w:tcBorders>
              <w:top w:val="nil"/>
              <w:left w:val="single" w:sz="8" w:space="0" w:color="auto"/>
              <w:bottom w:val="single" w:sz="4" w:space="0" w:color="A5A5A5"/>
              <w:right w:val="dotted" w:sz="4" w:space="0" w:color="A5A5A5"/>
            </w:tcBorders>
            <w:shd w:val="clear" w:color="000000" w:fill="F4B084"/>
            <w:vAlign w:val="center"/>
            <w:hideMark/>
          </w:tcPr>
          <w:p w14:paraId="102EF1A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3F8F14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31.3.2021.</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304CFC5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31.12.2022.</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1478B33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31.12.2019.</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75807EF3"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30.12.2022.</w:t>
            </w:r>
          </w:p>
        </w:tc>
      </w:tr>
      <w:tr w:rsidR="00FA1876" w:rsidRPr="00A76AD2" w14:paraId="5C193045"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71C07B8D"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FR</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0050B9B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1.7.2023.</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33F1BE7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6.3.2024.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5C24569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6.3.2024.</w:t>
            </w:r>
          </w:p>
        </w:tc>
        <w:tc>
          <w:tcPr>
            <w:tcW w:w="1419" w:type="dxa"/>
            <w:gridSpan w:val="2"/>
            <w:tcBorders>
              <w:top w:val="nil"/>
              <w:left w:val="single" w:sz="4" w:space="0" w:color="auto"/>
              <w:bottom w:val="single" w:sz="4" w:space="0" w:color="A5A5A5"/>
              <w:right w:val="nil"/>
            </w:tcBorders>
            <w:shd w:val="clear" w:color="000000" w:fill="F4B084"/>
            <w:vAlign w:val="center"/>
            <w:hideMark/>
          </w:tcPr>
          <w:p w14:paraId="791A96A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31.12.2024.</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0C13510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30.9.2023.</w:t>
            </w:r>
          </w:p>
        </w:tc>
      </w:tr>
      <w:tr w:rsidR="00FA1876" w:rsidRPr="00A76AD2" w14:paraId="1B73FDA6" w14:textId="77777777" w:rsidTr="0090580C">
        <w:trPr>
          <w:trHeight w:val="283"/>
        </w:trPr>
        <w:tc>
          <w:tcPr>
            <w:tcW w:w="957" w:type="dxa"/>
            <w:tcBorders>
              <w:top w:val="nil"/>
              <w:left w:val="nil"/>
              <w:bottom w:val="single" w:sz="4" w:space="0" w:color="A5A5A5"/>
              <w:right w:val="nil"/>
            </w:tcBorders>
            <w:shd w:val="clear" w:color="000000" w:fill="F2F2F2"/>
            <w:noWrap/>
            <w:vAlign w:val="center"/>
            <w:hideMark/>
          </w:tcPr>
          <w:p w14:paraId="4D5DAB05"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GR</w:t>
            </w:r>
          </w:p>
        </w:tc>
        <w:tc>
          <w:tcPr>
            <w:tcW w:w="1596" w:type="dxa"/>
            <w:gridSpan w:val="2"/>
            <w:tcBorders>
              <w:top w:val="nil"/>
              <w:left w:val="single" w:sz="8" w:space="0" w:color="auto"/>
              <w:bottom w:val="single" w:sz="4" w:space="0" w:color="A5A5A5"/>
              <w:right w:val="dotted" w:sz="4" w:space="0" w:color="A5A5A5"/>
            </w:tcBorders>
            <w:shd w:val="clear" w:color="000000" w:fill="F4B084"/>
            <w:vAlign w:val="center"/>
            <w:hideMark/>
          </w:tcPr>
          <w:p w14:paraId="1D76C47F"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705D024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3B2CEB8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31.12.2024.</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455396F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31.12.2022.</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32D4740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31.12.2024.</w:t>
            </w:r>
          </w:p>
        </w:tc>
      </w:tr>
      <w:tr w:rsidR="00FA1876" w:rsidRPr="00A76AD2" w14:paraId="691F8646" w14:textId="77777777" w:rsidTr="0090580C">
        <w:trPr>
          <w:trHeight w:val="270"/>
        </w:trPr>
        <w:tc>
          <w:tcPr>
            <w:tcW w:w="957" w:type="dxa"/>
            <w:tcBorders>
              <w:top w:val="nil"/>
              <w:left w:val="nil"/>
              <w:bottom w:val="single" w:sz="4" w:space="0" w:color="A5A5A5"/>
              <w:right w:val="nil"/>
            </w:tcBorders>
            <w:shd w:val="clear" w:color="000000" w:fill="F2F2F2"/>
            <w:noWrap/>
            <w:vAlign w:val="center"/>
            <w:hideMark/>
          </w:tcPr>
          <w:p w14:paraId="4BD67942"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HR</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7DF6BC6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DA6BD0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00AF322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1.12.2022.</w:t>
            </w:r>
          </w:p>
        </w:tc>
        <w:tc>
          <w:tcPr>
            <w:tcW w:w="1419" w:type="dxa"/>
            <w:gridSpan w:val="2"/>
            <w:tcBorders>
              <w:top w:val="nil"/>
              <w:left w:val="single" w:sz="4" w:space="0" w:color="auto"/>
              <w:bottom w:val="single" w:sz="4" w:space="0" w:color="A5A5A5"/>
              <w:right w:val="nil"/>
            </w:tcBorders>
            <w:shd w:val="clear" w:color="000000" w:fill="F4B084"/>
            <w:vAlign w:val="center"/>
            <w:hideMark/>
          </w:tcPr>
          <w:p w14:paraId="5C22DB73"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1.1.2023.</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4049C53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1.1.2023.</w:t>
            </w:r>
          </w:p>
        </w:tc>
      </w:tr>
      <w:tr w:rsidR="00FA1876" w:rsidRPr="00A76AD2" w14:paraId="1E6A4EF4"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796F2D94"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HU</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3934742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2C592A3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3B5CB0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203AFB8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12.10.2023.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11D11DA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12.10.2023.</w:t>
            </w:r>
          </w:p>
        </w:tc>
      </w:tr>
      <w:tr w:rsidR="00FA1876" w:rsidRPr="00A76AD2" w14:paraId="6EA864C9"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6F63B995"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IE</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5FD38C4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nije primjenjivo</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51B86EA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23.11.2020.</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2B7A031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23.11.2020.</w:t>
            </w:r>
          </w:p>
        </w:tc>
        <w:tc>
          <w:tcPr>
            <w:tcW w:w="1419" w:type="dxa"/>
            <w:gridSpan w:val="2"/>
            <w:tcBorders>
              <w:top w:val="nil"/>
              <w:left w:val="single" w:sz="4" w:space="0" w:color="auto"/>
              <w:bottom w:val="single" w:sz="4" w:space="0" w:color="A5A5A5"/>
              <w:right w:val="nil"/>
            </w:tcBorders>
            <w:shd w:val="clear" w:color="auto" w:fill="A8D08D" w:themeFill="accent6" w:themeFillTint="99"/>
            <w:vAlign w:val="center"/>
            <w:hideMark/>
          </w:tcPr>
          <w:p w14:paraId="02D55DF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24.6.2024.</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4E820FE3"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23.11.2020.</w:t>
            </w:r>
          </w:p>
        </w:tc>
      </w:tr>
      <w:tr w:rsidR="00FA1876" w:rsidRPr="00A76AD2" w14:paraId="220FFCF4"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4D2F6463"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IT</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2E2AFD1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13.12.2022.</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423B132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13.12.2022.</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F5A657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13.12.2022.</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79F30C5F"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1.7.2021.</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7C2E94D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1.7.2021.</w:t>
            </w:r>
          </w:p>
        </w:tc>
      </w:tr>
      <w:tr w:rsidR="00FA1876" w:rsidRPr="00A76AD2" w14:paraId="6C17F71A" w14:textId="77777777" w:rsidTr="0090580C">
        <w:trPr>
          <w:trHeight w:val="246"/>
        </w:trPr>
        <w:tc>
          <w:tcPr>
            <w:tcW w:w="957" w:type="dxa"/>
            <w:tcBorders>
              <w:top w:val="nil"/>
              <w:left w:val="nil"/>
              <w:bottom w:val="single" w:sz="4" w:space="0" w:color="A5A5A5"/>
              <w:right w:val="nil"/>
            </w:tcBorders>
            <w:shd w:val="clear" w:color="000000" w:fill="F2F2F2"/>
            <w:noWrap/>
            <w:vAlign w:val="center"/>
            <w:hideMark/>
          </w:tcPr>
          <w:p w14:paraId="5A67ED30"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LT</w:t>
            </w:r>
          </w:p>
        </w:tc>
        <w:tc>
          <w:tcPr>
            <w:tcW w:w="1596" w:type="dxa"/>
            <w:gridSpan w:val="2"/>
            <w:tcBorders>
              <w:top w:val="nil"/>
              <w:left w:val="single" w:sz="8" w:space="0" w:color="auto"/>
              <w:bottom w:val="single" w:sz="4" w:space="0" w:color="A5A5A5"/>
              <w:right w:val="dotted" w:sz="4" w:space="0" w:color="A5A5A5"/>
            </w:tcBorders>
            <w:shd w:val="clear" w:color="000000" w:fill="F4B084"/>
            <w:vAlign w:val="center"/>
            <w:hideMark/>
          </w:tcPr>
          <w:p w14:paraId="60032E6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7517980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28.2.2023.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252F4AD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31.10.2023.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2257B45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19AF107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r>
      <w:tr w:rsidR="00FA1876" w:rsidRPr="00A76AD2" w14:paraId="21CD1E11"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6E6F9807"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LU</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4A2840D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054CABD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10.1.2023.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969E76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10.1.2023.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1EDEEAA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2.5.2023.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68DDD8A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2.5.2023.</w:t>
            </w:r>
          </w:p>
        </w:tc>
      </w:tr>
      <w:tr w:rsidR="00FA1876" w:rsidRPr="00A76AD2" w14:paraId="4B9C17F1"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550729C6"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LV</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0EDA623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24.9.2017.</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AF727F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24.9.2017.</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26C5AB0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24.9.2017.</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083E826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3.6.2018.</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611DB45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3.6.2018.</w:t>
            </w:r>
          </w:p>
        </w:tc>
      </w:tr>
      <w:tr w:rsidR="00FA1876" w:rsidRPr="00A76AD2" w14:paraId="1C6CF2F2"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3E4F4414"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MT</w:t>
            </w:r>
          </w:p>
        </w:tc>
        <w:tc>
          <w:tcPr>
            <w:tcW w:w="1596" w:type="dxa"/>
            <w:gridSpan w:val="2"/>
            <w:tcBorders>
              <w:top w:val="nil"/>
              <w:left w:val="single" w:sz="8" w:space="0" w:color="auto"/>
              <w:bottom w:val="single" w:sz="4" w:space="0" w:color="A5A5A5"/>
              <w:right w:val="dotted" w:sz="4" w:space="0" w:color="A5A5A5"/>
            </w:tcBorders>
            <w:shd w:val="clear" w:color="000000" w:fill="F4B084"/>
            <w:vAlign w:val="center"/>
            <w:hideMark/>
          </w:tcPr>
          <w:p w14:paraId="01F390B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1.6.2024.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7803104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1.6.2024.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289420D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1.6.2024.</w:t>
            </w:r>
          </w:p>
        </w:tc>
        <w:tc>
          <w:tcPr>
            <w:tcW w:w="1419" w:type="dxa"/>
            <w:gridSpan w:val="2"/>
            <w:tcBorders>
              <w:top w:val="nil"/>
              <w:left w:val="single" w:sz="4" w:space="0" w:color="auto"/>
              <w:bottom w:val="single" w:sz="4" w:space="0" w:color="A5A5A5"/>
              <w:right w:val="nil"/>
            </w:tcBorders>
            <w:shd w:val="clear" w:color="000000" w:fill="F4B084"/>
            <w:vAlign w:val="center"/>
            <w:hideMark/>
          </w:tcPr>
          <w:p w14:paraId="55BC35D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1.2.2025.</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306B38C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1.2.2025.</w:t>
            </w:r>
          </w:p>
        </w:tc>
      </w:tr>
      <w:tr w:rsidR="00FA1876" w:rsidRPr="00A76AD2" w14:paraId="1BFC3490"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1AB0F58C"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NL</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11C8C83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5EB59CFA"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854091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4AEDDB9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1.4.2022.</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220E5C6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1.4.2022.</w:t>
            </w:r>
          </w:p>
        </w:tc>
      </w:tr>
      <w:tr w:rsidR="00FA1876" w:rsidRPr="00A76AD2" w14:paraId="2E8E0E2D"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35793AED"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PL</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06D65BEF"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8919E63"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35762F8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419" w:type="dxa"/>
            <w:gridSpan w:val="2"/>
            <w:tcBorders>
              <w:top w:val="nil"/>
              <w:left w:val="single" w:sz="4" w:space="0" w:color="auto"/>
              <w:bottom w:val="single" w:sz="4" w:space="0" w:color="A5A5A5"/>
              <w:right w:val="nil"/>
            </w:tcBorders>
            <w:shd w:val="clear" w:color="auto" w:fill="A8D08D" w:themeFill="accent6" w:themeFillTint="99"/>
            <w:vAlign w:val="center"/>
            <w:hideMark/>
          </w:tcPr>
          <w:p w14:paraId="12094527"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08AEA21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1.7.2021.</w:t>
            </w:r>
          </w:p>
        </w:tc>
      </w:tr>
      <w:tr w:rsidR="00FA1876" w:rsidRPr="00A76AD2" w14:paraId="1AE10770"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1AC28D72"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PT</w:t>
            </w:r>
          </w:p>
        </w:tc>
        <w:tc>
          <w:tcPr>
            <w:tcW w:w="1596" w:type="dxa"/>
            <w:gridSpan w:val="2"/>
            <w:tcBorders>
              <w:top w:val="nil"/>
              <w:left w:val="single" w:sz="8" w:space="0" w:color="auto"/>
              <w:bottom w:val="single" w:sz="4" w:space="0" w:color="A5A5A5"/>
              <w:right w:val="dotted" w:sz="4" w:space="0" w:color="A5A5A5"/>
            </w:tcBorders>
            <w:shd w:val="clear" w:color="000000" w:fill="F4B084"/>
            <w:vAlign w:val="center"/>
            <w:hideMark/>
          </w:tcPr>
          <w:p w14:paraId="34B911A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28.10.2024.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3AE5FE5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28.10.2024.</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245B39E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28.10.2024.</w:t>
            </w:r>
          </w:p>
        </w:tc>
        <w:tc>
          <w:tcPr>
            <w:tcW w:w="1419" w:type="dxa"/>
            <w:gridSpan w:val="2"/>
            <w:tcBorders>
              <w:top w:val="nil"/>
              <w:left w:val="single" w:sz="4" w:space="0" w:color="auto"/>
              <w:bottom w:val="single" w:sz="4" w:space="0" w:color="A5A5A5"/>
              <w:right w:val="nil"/>
            </w:tcBorders>
            <w:shd w:val="clear" w:color="000000" w:fill="F4B084"/>
            <w:vAlign w:val="center"/>
            <w:hideMark/>
          </w:tcPr>
          <w:p w14:paraId="5ACA2FA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28.10.2024.</w:t>
            </w:r>
          </w:p>
        </w:tc>
        <w:tc>
          <w:tcPr>
            <w:tcW w:w="1418" w:type="dxa"/>
            <w:tcBorders>
              <w:top w:val="nil"/>
              <w:left w:val="single" w:sz="4" w:space="0" w:color="auto"/>
              <w:bottom w:val="single" w:sz="4" w:space="0" w:color="A5A5A5"/>
              <w:right w:val="single" w:sz="4" w:space="0" w:color="auto"/>
            </w:tcBorders>
            <w:shd w:val="clear" w:color="000000" w:fill="F4B084"/>
            <w:vAlign w:val="center"/>
            <w:hideMark/>
          </w:tcPr>
          <w:p w14:paraId="19924155"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28.10.2024.</w:t>
            </w:r>
          </w:p>
        </w:tc>
      </w:tr>
      <w:tr w:rsidR="00FA1876" w:rsidRPr="00A76AD2" w14:paraId="1831DDD2"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45E717F2"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RO</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4D8E8AF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075D65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73AD5CD6"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5CCF80A4"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1F86FA0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31.12.2023.</w:t>
            </w:r>
          </w:p>
        </w:tc>
      </w:tr>
      <w:tr w:rsidR="00FA1876" w:rsidRPr="00A76AD2" w14:paraId="72EEFE88"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4C177284"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SE</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3A9118C1"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6B6F860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27.9.2023.</w:t>
            </w:r>
          </w:p>
        </w:tc>
        <w:tc>
          <w:tcPr>
            <w:tcW w:w="1560" w:type="dxa"/>
            <w:gridSpan w:val="2"/>
            <w:tcBorders>
              <w:top w:val="nil"/>
              <w:left w:val="single" w:sz="4" w:space="0" w:color="auto"/>
              <w:bottom w:val="single" w:sz="4" w:space="0" w:color="A5A5A5"/>
              <w:right w:val="dotted" w:sz="4" w:space="0" w:color="A5A5A5"/>
            </w:tcBorders>
            <w:shd w:val="clear" w:color="000000" w:fill="F4B084"/>
            <w:vAlign w:val="center"/>
            <w:hideMark/>
          </w:tcPr>
          <w:p w14:paraId="30763D5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1.10.2024.</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431C41C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15.3.2022.</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2E14E70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20.6.2023.</w:t>
            </w:r>
          </w:p>
        </w:tc>
      </w:tr>
      <w:tr w:rsidR="00FA1876" w:rsidRPr="00A76AD2" w14:paraId="15EACAD6" w14:textId="77777777" w:rsidTr="0090580C">
        <w:trPr>
          <w:trHeight w:val="260"/>
        </w:trPr>
        <w:tc>
          <w:tcPr>
            <w:tcW w:w="957" w:type="dxa"/>
            <w:tcBorders>
              <w:top w:val="nil"/>
              <w:left w:val="nil"/>
              <w:bottom w:val="single" w:sz="4" w:space="0" w:color="A5A5A5"/>
              <w:right w:val="nil"/>
            </w:tcBorders>
            <w:shd w:val="clear" w:color="000000" w:fill="F2F2F2"/>
            <w:noWrap/>
            <w:vAlign w:val="center"/>
            <w:hideMark/>
          </w:tcPr>
          <w:p w14:paraId="55A79A32"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SI</w:t>
            </w:r>
          </w:p>
        </w:tc>
        <w:tc>
          <w:tcPr>
            <w:tcW w:w="1596" w:type="dxa"/>
            <w:gridSpan w:val="2"/>
            <w:tcBorders>
              <w:top w:val="nil"/>
              <w:left w:val="single" w:sz="8" w:space="0" w:color="auto"/>
              <w:bottom w:val="single" w:sz="4" w:space="0" w:color="A5A5A5"/>
              <w:right w:val="dotted" w:sz="4" w:space="0" w:color="A5A5A5"/>
            </w:tcBorders>
            <w:shd w:val="clear" w:color="000000" w:fill="A9D08E"/>
            <w:vAlign w:val="center"/>
            <w:hideMark/>
          </w:tcPr>
          <w:p w14:paraId="19D3547F"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5B5D47EE"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4" w:space="0" w:color="A5A5A5"/>
              <w:right w:val="dotted" w:sz="4" w:space="0" w:color="A5A5A5"/>
            </w:tcBorders>
            <w:shd w:val="clear" w:color="000000" w:fill="A9D08E"/>
            <w:vAlign w:val="center"/>
            <w:hideMark/>
          </w:tcPr>
          <w:p w14:paraId="249D4D5B"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30.11.2023.</w:t>
            </w:r>
          </w:p>
        </w:tc>
        <w:tc>
          <w:tcPr>
            <w:tcW w:w="1419" w:type="dxa"/>
            <w:gridSpan w:val="2"/>
            <w:tcBorders>
              <w:top w:val="nil"/>
              <w:left w:val="single" w:sz="4" w:space="0" w:color="auto"/>
              <w:bottom w:val="single" w:sz="4" w:space="0" w:color="A5A5A5"/>
              <w:right w:val="nil"/>
            </w:tcBorders>
            <w:shd w:val="clear" w:color="000000" w:fill="A9D08E"/>
            <w:vAlign w:val="center"/>
            <w:hideMark/>
          </w:tcPr>
          <w:p w14:paraId="41AD5202"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1.1.2022.</w:t>
            </w:r>
          </w:p>
        </w:tc>
        <w:tc>
          <w:tcPr>
            <w:tcW w:w="1418" w:type="dxa"/>
            <w:tcBorders>
              <w:top w:val="nil"/>
              <w:left w:val="single" w:sz="4" w:space="0" w:color="auto"/>
              <w:bottom w:val="single" w:sz="4" w:space="0" w:color="A5A5A5"/>
              <w:right w:val="single" w:sz="4" w:space="0" w:color="auto"/>
            </w:tcBorders>
            <w:shd w:val="clear" w:color="000000" w:fill="A9D08E"/>
            <w:vAlign w:val="center"/>
            <w:hideMark/>
          </w:tcPr>
          <w:p w14:paraId="312FE82D"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1.1.2022.</w:t>
            </w:r>
          </w:p>
        </w:tc>
      </w:tr>
      <w:tr w:rsidR="00FA1876" w:rsidRPr="00A76AD2" w14:paraId="58EFDE42" w14:textId="77777777" w:rsidTr="0090580C">
        <w:trPr>
          <w:trHeight w:val="270"/>
        </w:trPr>
        <w:tc>
          <w:tcPr>
            <w:tcW w:w="957" w:type="dxa"/>
            <w:tcBorders>
              <w:top w:val="nil"/>
              <w:left w:val="nil"/>
              <w:bottom w:val="single" w:sz="8" w:space="0" w:color="auto"/>
              <w:right w:val="nil"/>
            </w:tcBorders>
            <w:shd w:val="clear" w:color="000000" w:fill="F2F2F2"/>
            <w:noWrap/>
            <w:vAlign w:val="center"/>
            <w:hideMark/>
          </w:tcPr>
          <w:p w14:paraId="6B7427F7" w14:textId="77777777" w:rsidR="00FA1876" w:rsidRPr="00A76AD2" w:rsidRDefault="00FA1876" w:rsidP="00FA1876">
            <w:pPr>
              <w:spacing w:after="0"/>
              <w:jc w:val="center"/>
              <w:rPr>
                <w:rFonts w:ascii="Calibri" w:hAnsi="Calibri" w:cs="Calibri"/>
                <w:b/>
                <w:bCs/>
                <w:noProof/>
                <w:color w:val="000000"/>
                <w:sz w:val="20"/>
                <w:szCs w:val="20"/>
              </w:rPr>
            </w:pPr>
            <w:r w:rsidRPr="00A76AD2">
              <w:rPr>
                <w:rFonts w:ascii="Calibri" w:hAnsi="Calibri"/>
                <w:b/>
                <w:noProof/>
                <w:color w:val="000000"/>
                <w:sz w:val="20"/>
              </w:rPr>
              <w:t>SK</w:t>
            </w:r>
          </w:p>
        </w:tc>
        <w:tc>
          <w:tcPr>
            <w:tcW w:w="1596" w:type="dxa"/>
            <w:gridSpan w:val="2"/>
            <w:tcBorders>
              <w:top w:val="nil"/>
              <w:left w:val="single" w:sz="8" w:space="0" w:color="auto"/>
              <w:bottom w:val="single" w:sz="8" w:space="0" w:color="auto"/>
              <w:right w:val="dotted" w:sz="4" w:space="0" w:color="A5A5A5"/>
            </w:tcBorders>
            <w:shd w:val="clear" w:color="000000" w:fill="A9D08E"/>
            <w:vAlign w:val="center"/>
            <w:hideMark/>
          </w:tcPr>
          <w:p w14:paraId="622E1FB8"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1.3.2023.</w:t>
            </w:r>
          </w:p>
        </w:tc>
        <w:tc>
          <w:tcPr>
            <w:tcW w:w="1560" w:type="dxa"/>
            <w:gridSpan w:val="2"/>
            <w:tcBorders>
              <w:top w:val="nil"/>
              <w:left w:val="single" w:sz="4" w:space="0" w:color="auto"/>
              <w:bottom w:val="single" w:sz="8" w:space="0" w:color="auto"/>
              <w:right w:val="dotted" w:sz="4" w:space="0" w:color="A5A5A5"/>
            </w:tcBorders>
            <w:shd w:val="clear" w:color="000000" w:fill="A9D08E"/>
            <w:vAlign w:val="center"/>
            <w:hideMark/>
          </w:tcPr>
          <w:p w14:paraId="1E83D2C0"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1.10.2023.</w:t>
            </w:r>
          </w:p>
        </w:tc>
        <w:tc>
          <w:tcPr>
            <w:tcW w:w="1560" w:type="dxa"/>
            <w:gridSpan w:val="2"/>
            <w:tcBorders>
              <w:top w:val="nil"/>
              <w:left w:val="single" w:sz="4" w:space="0" w:color="auto"/>
              <w:bottom w:val="single" w:sz="8" w:space="0" w:color="auto"/>
              <w:right w:val="dotted" w:sz="4" w:space="0" w:color="A5A5A5"/>
            </w:tcBorders>
            <w:shd w:val="clear" w:color="000000" w:fill="F4B084"/>
            <w:vAlign w:val="center"/>
            <w:hideMark/>
          </w:tcPr>
          <w:p w14:paraId="4238E1B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2.6.2025.</w:t>
            </w:r>
          </w:p>
        </w:tc>
        <w:tc>
          <w:tcPr>
            <w:tcW w:w="1419" w:type="dxa"/>
            <w:gridSpan w:val="2"/>
            <w:tcBorders>
              <w:top w:val="nil"/>
              <w:left w:val="single" w:sz="4" w:space="0" w:color="auto"/>
              <w:bottom w:val="single" w:sz="8" w:space="0" w:color="auto"/>
              <w:right w:val="nil"/>
            </w:tcBorders>
            <w:shd w:val="clear" w:color="000000" w:fill="F4B084"/>
            <w:vAlign w:val="center"/>
            <w:hideMark/>
          </w:tcPr>
          <w:p w14:paraId="1B38451C"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1.1.2025.</w:t>
            </w:r>
          </w:p>
        </w:tc>
        <w:tc>
          <w:tcPr>
            <w:tcW w:w="1418" w:type="dxa"/>
            <w:tcBorders>
              <w:top w:val="nil"/>
              <w:left w:val="single" w:sz="4" w:space="0" w:color="auto"/>
              <w:bottom w:val="single" w:sz="8" w:space="0" w:color="auto"/>
              <w:right w:val="single" w:sz="4" w:space="0" w:color="auto"/>
            </w:tcBorders>
            <w:shd w:val="clear" w:color="000000" w:fill="A9D08E"/>
            <w:vAlign w:val="center"/>
            <w:hideMark/>
          </w:tcPr>
          <w:p w14:paraId="58C000E9" w14:textId="77777777" w:rsidR="00FA1876" w:rsidRPr="00A76AD2" w:rsidRDefault="00FA1876" w:rsidP="00FA1876">
            <w:pPr>
              <w:spacing w:after="0"/>
              <w:jc w:val="center"/>
              <w:rPr>
                <w:rFonts w:ascii="Calibri" w:hAnsi="Calibri" w:cs="Calibri"/>
                <w:noProof/>
                <w:color w:val="000000"/>
                <w:sz w:val="20"/>
                <w:szCs w:val="20"/>
              </w:rPr>
            </w:pPr>
            <w:r w:rsidRPr="00A76AD2">
              <w:rPr>
                <w:rFonts w:ascii="Calibri" w:hAnsi="Calibri"/>
                <w:noProof/>
                <w:color w:val="000000"/>
                <w:sz w:val="20"/>
              </w:rPr>
              <w:t>11.6.2016.</w:t>
            </w:r>
          </w:p>
        </w:tc>
      </w:tr>
      <w:tr w:rsidR="00FA1876" w:rsidRPr="00A76AD2" w14:paraId="11E27A37" w14:textId="77777777" w:rsidTr="0090580C">
        <w:trPr>
          <w:trHeight w:val="273"/>
        </w:trPr>
        <w:tc>
          <w:tcPr>
            <w:tcW w:w="957" w:type="dxa"/>
            <w:tcBorders>
              <w:top w:val="nil"/>
              <w:left w:val="nil"/>
              <w:bottom w:val="nil"/>
              <w:right w:val="nil"/>
            </w:tcBorders>
            <w:shd w:val="clear" w:color="auto" w:fill="auto"/>
            <w:noWrap/>
            <w:vAlign w:val="center"/>
            <w:hideMark/>
          </w:tcPr>
          <w:p w14:paraId="370F1A07" w14:textId="77777777" w:rsidR="00FA1876" w:rsidRPr="00A76AD2" w:rsidRDefault="00FA1876" w:rsidP="00FA1876">
            <w:pPr>
              <w:spacing w:after="0"/>
              <w:jc w:val="left"/>
              <w:rPr>
                <w:rFonts w:ascii="Calibri" w:hAnsi="Calibri" w:cs="Calibri"/>
                <w:i/>
                <w:iCs/>
                <w:noProof/>
                <w:color w:val="000000"/>
                <w:sz w:val="20"/>
                <w:szCs w:val="20"/>
                <w:lang w:eastAsia="en-IE"/>
              </w:rPr>
            </w:pPr>
          </w:p>
        </w:tc>
        <w:tc>
          <w:tcPr>
            <w:tcW w:w="1596" w:type="dxa"/>
            <w:gridSpan w:val="2"/>
            <w:tcBorders>
              <w:top w:val="single" w:sz="4" w:space="0" w:color="auto"/>
              <w:left w:val="nil"/>
              <w:bottom w:val="nil"/>
              <w:right w:val="nil"/>
            </w:tcBorders>
            <w:shd w:val="clear" w:color="auto" w:fill="auto"/>
            <w:noWrap/>
            <w:vAlign w:val="bottom"/>
            <w:hideMark/>
          </w:tcPr>
          <w:p w14:paraId="59664FFD" w14:textId="77777777" w:rsidR="00FA1876" w:rsidRPr="00A76AD2" w:rsidRDefault="00FA1876" w:rsidP="00FA1876">
            <w:pPr>
              <w:spacing w:after="0"/>
              <w:jc w:val="left"/>
              <w:rPr>
                <w:noProof/>
                <w:sz w:val="20"/>
                <w:szCs w:val="20"/>
                <w:lang w:eastAsia="en-IE"/>
              </w:rPr>
            </w:pPr>
          </w:p>
        </w:tc>
        <w:tc>
          <w:tcPr>
            <w:tcW w:w="1560" w:type="dxa"/>
            <w:gridSpan w:val="2"/>
            <w:tcBorders>
              <w:top w:val="single" w:sz="4" w:space="0" w:color="auto"/>
              <w:left w:val="nil"/>
              <w:bottom w:val="nil"/>
              <w:right w:val="nil"/>
            </w:tcBorders>
            <w:shd w:val="clear" w:color="auto" w:fill="auto"/>
            <w:noWrap/>
            <w:vAlign w:val="bottom"/>
            <w:hideMark/>
          </w:tcPr>
          <w:p w14:paraId="451787C2" w14:textId="77777777" w:rsidR="00FA1876" w:rsidRPr="00A76AD2" w:rsidRDefault="00FA1876" w:rsidP="00FA1876">
            <w:pPr>
              <w:spacing w:after="0"/>
              <w:jc w:val="left"/>
              <w:rPr>
                <w:noProof/>
                <w:sz w:val="20"/>
                <w:szCs w:val="20"/>
                <w:lang w:eastAsia="en-IE"/>
              </w:rPr>
            </w:pPr>
          </w:p>
        </w:tc>
        <w:tc>
          <w:tcPr>
            <w:tcW w:w="1560" w:type="dxa"/>
            <w:gridSpan w:val="2"/>
            <w:tcBorders>
              <w:top w:val="single" w:sz="4" w:space="0" w:color="auto"/>
              <w:left w:val="nil"/>
              <w:bottom w:val="nil"/>
              <w:right w:val="nil"/>
            </w:tcBorders>
            <w:shd w:val="clear" w:color="auto" w:fill="auto"/>
            <w:noWrap/>
            <w:vAlign w:val="bottom"/>
            <w:hideMark/>
          </w:tcPr>
          <w:p w14:paraId="32BFF811" w14:textId="77777777" w:rsidR="00FA1876" w:rsidRPr="00A76AD2" w:rsidRDefault="00FA1876" w:rsidP="00FA1876">
            <w:pPr>
              <w:spacing w:after="0"/>
              <w:jc w:val="left"/>
              <w:rPr>
                <w:noProof/>
                <w:sz w:val="20"/>
                <w:szCs w:val="20"/>
                <w:lang w:eastAsia="en-IE"/>
              </w:rPr>
            </w:pPr>
          </w:p>
        </w:tc>
        <w:tc>
          <w:tcPr>
            <w:tcW w:w="1419" w:type="dxa"/>
            <w:gridSpan w:val="2"/>
            <w:tcBorders>
              <w:top w:val="single" w:sz="4" w:space="0" w:color="auto"/>
              <w:left w:val="nil"/>
              <w:bottom w:val="nil"/>
              <w:right w:val="nil"/>
            </w:tcBorders>
            <w:shd w:val="clear" w:color="auto" w:fill="auto"/>
            <w:noWrap/>
            <w:vAlign w:val="bottom"/>
            <w:hideMark/>
          </w:tcPr>
          <w:p w14:paraId="099C6ECF" w14:textId="77777777" w:rsidR="00FA1876" w:rsidRPr="00A76AD2" w:rsidRDefault="00FA1876" w:rsidP="00FA1876">
            <w:pPr>
              <w:spacing w:after="0"/>
              <w:jc w:val="left"/>
              <w:rPr>
                <w:noProof/>
                <w:sz w:val="20"/>
                <w:szCs w:val="20"/>
                <w:lang w:eastAsia="en-IE"/>
              </w:rPr>
            </w:pPr>
          </w:p>
        </w:tc>
        <w:tc>
          <w:tcPr>
            <w:tcW w:w="1418" w:type="dxa"/>
            <w:tcBorders>
              <w:top w:val="single" w:sz="4" w:space="0" w:color="auto"/>
              <w:left w:val="nil"/>
              <w:bottom w:val="nil"/>
              <w:right w:val="nil"/>
            </w:tcBorders>
            <w:shd w:val="clear" w:color="auto" w:fill="auto"/>
            <w:noWrap/>
            <w:vAlign w:val="bottom"/>
            <w:hideMark/>
          </w:tcPr>
          <w:p w14:paraId="5153AB61" w14:textId="77777777" w:rsidR="00FA1876" w:rsidRPr="00A76AD2" w:rsidRDefault="00FA1876" w:rsidP="00FA1876">
            <w:pPr>
              <w:spacing w:after="0"/>
              <w:jc w:val="left"/>
              <w:rPr>
                <w:noProof/>
                <w:sz w:val="20"/>
                <w:szCs w:val="20"/>
                <w:lang w:eastAsia="en-IE"/>
              </w:rPr>
            </w:pPr>
          </w:p>
        </w:tc>
      </w:tr>
      <w:tr w:rsidR="0090580C" w:rsidRPr="00A76AD2" w14:paraId="2D410BC4" w14:textId="77777777" w:rsidTr="0090580C">
        <w:trPr>
          <w:trHeight w:val="258"/>
        </w:trPr>
        <w:tc>
          <w:tcPr>
            <w:tcW w:w="851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D3D937" w14:textId="77777777" w:rsidR="0090580C" w:rsidRPr="00A76AD2" w:rsidRDefault="0090580C" w:rsidP="001A4A6B">
            <w:pPr>
              <w:spacing w:after="0"/>
              <w:jc w:val="center"/>
              <w:rPr>
                <w:rFonts w:ascii="Calibri" w:hAnsi="Calibri" w:cs="Calibri"/>
                <w:b/>
                <w:bCs/>
                <w:i/>
                <w:iCs/>
                <w:noProof/>
                <w:sz w:val="20"/>
                <w:szCs w:val="20"/>
              </w:rPr>
            </w:pPr>
            <w:r w:rsidRPr="00A76AD2">
              <w:rPr>
                <w:rFonts w:ascii="Calibri" w:hAnsi="Calibri"/>
                <w:b/>
                <w:i/>
                <w:noProof/>
                <w:sz w:val="20"/>
              </w:rPr>
              <w:t>Legenda</w:t>
            </w:r>
          </w:p>
        </w:tc>
      </w:tr>
      <w:tr w:rsidR="0090580C" w:rsidRPr="00A76AD2" w14:paraId="4CA94F72" w14:textId="77777777" w:rsidTr="0090580C">
        <w:trPr>
          <w:trHeight w:val="258"/>
        </w:trPr>
        <w:tc>
          <w:tcPr>
            <w:tcW w:w="999" w:type="dxa"/>
            <w:gridSpan w:val="2"/>
            <w:tcBorders>
              <w:top w:val="single" w:sz="4" w:space="0" w:color="auto"/>
              <w:left w:val="single" w:sz="4" w:space="0" w:color="auto"/>
              <w:bottom w:val="nil"/>
              <w:right w:val="nil"/>
            </w:tcBorders>
            <w:shd w:val="clear" w:color="000000" w:fill="A9D08E"/>
            <w:noWrap/>
            <w:vAlign w:val="center"/>
            <w:hideMark/>
          </w:tcPr>
          <w:p w14:paraId="336D308D" w14:textId="77777777" w:rsidR="0090580C" w:rsidRPr="00A76AD2" w:rsidRDefault="0090580C" w:rsidP="001A4A6B">
            <w:pPr>
              <w:spacing w:after="0"/>
              <w:jc w:val="center"/>
              <w:rPr>
                <w:rFonts w:ascii="Calibri" w:hAnsi="Calibri" w:cs="Calibri"/>
                <w:b/>
                <w:bCs/>
                <w:i/>
                <w:iCs/>
                <w:noProof/>
                <w:color w:val="757171"/>
                <w:sz w:val="20"/>
                <w:szCs w:val="20"/>
              </w:rPr>
            </w:pPr>
            <w:r w:rsidRPr="00A76AD2">
              <w:rPr>
                <w:rFonts w:ascii="Calibri" w:hAnsi="Calibri"/>
                <w:b/>
                <w:i/>
                <w:noProof/>
                <w:color w:val="757171"/>
                <w:sz w:val="20"/>
              </w:rPr>
              <w:t> </w:t>
            </w:r>
          </w:p>
        </w:tc>
        <w:tc>
          <w:tcPr>
            <w:tcW w:w="7511" w:type="dxa"/>
            <w:gridSpan w:val="8"/>
            <w:tcBorders>
              <w:top w:val="single" w:sz="4" w:space="0" w:color="auto"/>
              <w:left w:val="nil"/>
              <w:bottom w:val="nil"/>
              <w:right w:val="single" w:sz="4" w:space="0" w:color="000000"/>
            </w:tcBorders>
            <w:shd w:val="clear" w:color="auto" w:fill="auto"/>
            <w:noWrap/>
            <w:vAlign w:val="center"/>
            <w:hideMark/>
          </w:tcPr>
          <w:p w14:paraId="7EEC5C99" w14:textId="0D157690" w:rsidR="0090580C" w:rsidRPr="00A76AD2" w:rsidRDefault="0090580C" w:rsidP="001A4A6B">
            <w:pPr>
              <w:spacing w:after="0"/>
              <w:jc w:val="left"/>
              <w:rPr>
                <w:rFonts w:ascii="Calibri" w:hAnsi="Calibri" w:cs="Calibri"/>
                <w:i/>
                <w:iCs/>
                <w:noProof/>
                <w:sz w:val="18"/>
                <w:szCs w:val="18"/>
              </w:rPr>
            </w:pPr>
            <w:r w:rsidRPr="00A76AD2">
              <w:rPr>
                <w:rFonts w:ascii="Calibri" w:hAnsi="Calibri"/>
                <w:i/>
                <w:noProof/>
                <w:sz w:val="18"/>
              </w:rPr>
              <w:t>U skladu s programom rada za CZU, daljnja modernizacija do 1. srpnja 2024. i/ili odobreno odstupanje.</w:t>
            </w:r>
          </w:p>
        </w:tc>
      </w:tr>
      <w:tr w:rsidR="0090580C" w:rsidRPr="00A76AD2" w14:paraId="376F3270" w14:textId="77777777" w:rsidTr="0090580C">
        <w:trPr>
          <w:trHeight w:val="60"/>
        </w:trPr>
        <w:tc>
          <w:tcPr>
            <w:tcW w:w="999" w:type="dxa"/>
            <w:gridSpan w:val="2"/>
            <w:tcBorders>
              <w:top w:val="nil"/>
              <w:left w:val="single" w:sz="4" w:space="0" w:color="auto"/>
              <w:bottom w:val="nil"/>
              <w:right w:val="nil"/>
            </w:tcBorders>
            <w:shd w:val="clear" w:color="000000" w:fill="F4B084"/>
            <w:noWrap/>
            <w:vAlign w:val="center"/>
            <w:hideMark/>
          </w:tcPr>
          <w:p w14:paraId="1659979E" w14:textId="77777777" w:rsidR="0090580C" w:rsidRPr="00A76AD2" w:rsidRDefault="0090580C" w:rsidP="001A4A6B">
            <w:pPr>
              <w:spacing w:after="0"/>
              <w:jc w:val="center"/>
              <w:rPr>
                <w:rFonts w:ascii="Calibri" w:hAnsi="Calibri" w:cs="Calibri"/>
                <w:noProof/>
                <w:color w:val="9C0006"/>
              </w:rPr>
            </w:pPr>
            <w:r w:rsidRPr="00A76AD2">
              <w:rPr>
                <w:rFonts w:ascii="Calibri" w:hAnsi="Calibri"/>
                <w:noProof/>
                <w:color w:val="9C0006"/>
              </w:rPr>
              <w:t> </w:t>
            </w:r>
          </w:p>
        </w:tc>
        <w:tc>
          <w:tcPr>
            <w:tcW w:w="7511" w:type="dxa"/>
            <w:gridSpan w:val="8"/>
            <w:tcBorders>
              <w:top w:val="nil"/>
              <w:left w:val="nil"/>
              <w:bottom w:val="nil"/>
              <w:right w:val="single" w:sz="4" w:space="0" w:color="000000"/>
            </w:tcBorders>
            <w:shd w:val="clear" w:color="auto" w:fill="auto"/>
            <w:noWrap/>
            <w:vAlign w:val="center"/>
            <w:hideMark/>
          </w:tcPr>
          <w:p w14:paraId="061A3BA7" w14:textId="77777777" w:rsidR="0090580C" w:rsidRPr="00A76AD2" w:rsidRDefault="0090580C" w:rsidP="001A4A6B">
            <w:pPr>
              <w:spacing w:after="0"/>
              <w:jc w:val="left"/>
              <w:rPr>
                <w:rFonts w:ascii="Calibri" w:hAnsi="Calibri" w:cs="Calibri"/>
                <w:i/>
                <w:iCs/>
                <w:noProof/>
                <w:sz w:val="18"/>
                <w:szCs w:val="18"/>
              </w:rPr>
            </w:pPr>
            <w:r w:rsidRPr="00A76AD2">
              <w:rPr>
                <w:rFonts w:ascii="Calibri" w:hAnsi="Calibri"/>
                <w:i/>
                <w:noProof/>
                <w:sz w:val="18"/>
              </w:rPr>
              <w:t>Nakon isteka roka iz plana rada za CZU i/ili odobrenog odstupanja.</w:t>
            </w:r>
          </w:p>
        </w:tc>
      </w:tr>
      <w:tr w:rsidR="0090580C" w:rsidRPr="00A76AD2" w14:paraId="01F3CA78" w14:textId="77777777" w:rsidTr="0090580C">
        <w:trPr>
          <w:trHeight w:val="260"/>
        </w:trPr>
        <w:tc>
          <w:tcPr>
            <w:tcW w:w="999" w:type="dxa"/>
            <w:gridSpan w:val="2"/>
            <w:tcBorders>
              <w:top w:val="nil"/>
              <w:left w:val="single" w:sz="4" w:space="0" w:color="auto"/>
              <w:bottom w:val="single" w:sz="4" w:space="0" w:color="auto"/>
              <w:right w:val="nil"/>
            </w:tcBorders>
            <w:shd w:val="clear" w:color="000000" w:fill="D0CECE"/>
            <w:noWrap/>
            <w:vAlign w:val="bottom"/>
            <w:hideMark/>
          </w:tcPr>
          <w:p w14:paraId="3FEEB214" w14:textId="77777777" w:rsidR="0090580C" w:rsidRPr="00A76AD2" w:rsidRDefault="0090580C" w:rsidP="001A4A6B">
            <w:pPr>
              <w:spacing w:after="0"/>
              <w:jc w:val="left"/>
              <w:rPr>
                <w:rFonts w:ascii="Calibri" w:hAnsi="Calibri" w:cs="Calibri"/>
                <w:noProof/>
                <w:color w:val="000000"/>
                <w:sz w:val="20"/>
                <w:szCs w:val="20"/>
              </w:rPr>
            </w:pPr>
            <w:r w:rsidRPr="00A76AD2">
              <w:rPr>
                <w:rFonts w:ascii="Calibri" w:hAnsi="Calibri"/>
                <w:noProof/>
                <w:color w:val="000000"/>
                <w:sz w:val="20"/>
              </w:rPr>
              <w:t> </w:t>
            </w:r>
          </w:p>
        </w:tc>
        <w:tc>
          <w:tcPr>
            <w:tcW w:w="7511" w:type="dxa"/>
            <w:gridSpan w:val="8"/>
            <w:tcBorders>
              <w:top w:val="nil"/>
              <w:left w:val="nil"/>
              <w:bottom w:val="single" w:sz="4" w:space="0" w:color="auto"/>
              <w:right w:val="single" w:sz="4" w:space="0" w:color="000000"/>
            </w:tcBorders>
            <w:shd w:val="clear" w:color="auto" w:fill="auto"/>
            <w:noWrap/>
            <w:vAlign w:val="center"/>
            <w:hideMark/>
          </w:tcPr>
          <w:p w14:paraId="4332765E" w14:textId="77777777" w:rsidR="0090580C" w:rsidRPr="00A76AD2" w:rsidRDefault="0090580C" w:rsidP="001A4A6B">
            <w:pPr>
              <w:spacing w:after="0"/>
              <w:jc w:val="left"/>
              <w:rPr>
                <w:rFonts w:ascii="Calibri" w:hAnsi="Calibri" w:cs="Calibri"/>
                <w:i/>
                <w:iCs/>
                <w:noProof/>
                <w:color w:val="000000"/>
                <w:sz w:val="18"/>
                <w:szCs w:val="18"/>
              </w:rPr>
            </w:pPr>
            <w:r w:rsidRPr="00A76AD2">
              <w:rPr>
                <w:rFonts w:ascii="Calibri" w:hAnsi="Calibri"/>
                <w:i/>
                <w:noProof/>
                <w:color w:val="000000"/>
                <w:sz w:val="18"/>
              </w:rPr>
              <w:t>Nije navedeno</w:t>
            </w:r>
          </w:p>
        </w:tc>
      </w:tr>
      <w:tr w:rsidR="0090580C" w:rsidRPr="00A76AD2" w14:paraId="1BD0904D" w14:textId="77777777" w:rsidTr="0090580C">
        <w:trPr>
          <w:trHeight w:val="273"/>
        </w:trPr>
        <w:tc>
          <w:tcPr>
            <w:tcW w:w="999" w:type="dxa"/>
            <w:gridSpan w:val="2"/>
            <w:tcBorders>
              <w:top w:val="nil"/>
              <w:left w:val="nil"/>
              <w:bottom w:val="single" w:sz="4" w:space="0" w:color="auto"/>
              <w:right w:val="nil"/>
            </w:tcBorders>
            <w:shd w:val="clear" w:color="auto" w:fill="auto"/>
            <w:noWrap/>
            <w:vAlign w:val="bottom"/>
            <w:hideMark/>
          </w:tcPr>
          <w:p w14:paraId="00AB1AAA" w14:textId="77777777" w:rsidR="0090580C" w:rsidRPr="00A76AD2" w:rsidRDefault="0090580C" w:rsidP="001A4A6B">
            <w:pPr>
              <w:spacing w:after="0"/>
              <w:jc w:val="left"/>
              <w:rPr>
                <w:noProof/>
                <w:sz w:val="20"/>
                <w:szCs w:val="20"/>
                <w:lang w:eastAsia="en-IE"/>
              </w:rPr>
            </w:pPr>
          </w:p>
          <w:p w14:paraId="3F2AA0A9" w14:textId="77777777" w:rsidR="0090580C" w:rsidRPr="00A76AD2" w:rsidRDefault="0090580C" w:rsidP="001A4A6B">
            <w:pPr>
              <w:spacing w:after="0"/>
              <w:jc w:val="left"/>
              <w:rPr>
                <w:noProof/>
                <w:sz w:val="20"/>
                <w:szCs w:val="20"/>
                <w:lang w:eastAsia="en-IE"/>
              </w:rPr>
            </w:pPr>
          </w:p>
          <w:p w14:paraId="61624702" w14:textId="77777777" w:rsidR="0090580C" w:rsidRPr="00A76AD2" w:rsidRDefault="0090580C" w:rsidP="001A4A6B">
            <w:pPr>
              <w:spacing w:after="0"/>
              <w:jc w:val="left"/>
              <w:rPr>
                <w:noProof/>
                <w:sz w:val="20"/>
                <w:szCs w:val="20"/>
                <w:lang w:eastAsia="en-IE"/>
              </w:rPr>
            </w:pPr>
          </w:p>
        </w:tc>
        <w:tc>
          <w:tcPr>
            <w:tcW w:w="2558" w:type="dxa"/>
            <w:gridSpan w:val="2"/>
            <w:tcBorders>
              <w:top w:val="nil"/>
              <w:left w:val="nil"/>
              <w:bottom w:val="single" w:sz="4" w:space="0" w:color="auto"/>
              <w:right w:val="nil"/>
            </w:tcBorders>
            <w:shd w:val="clear" w:color="auto" w:fill="auto"/>
            <w:noWrap/>
            <w:vAlign w:val="bottom"/>
            <w:hideMark/>
          </w:tcPr>
          <w:p w14:paraId="124AF9BC" w14:textId="77777777" w:rsidR="0090580C" w:rsidRPr="00A76AD2" w:rsidRDefault="0090580C" w:rsidP="001A4A6B">
            <w:pPr>
              <w:spacing w:after="0"/>
              <w:jc w:val="left"/>
              <w:rPr>
                <w:noProof/>
                <w:sz w:val="20"/>
                <w:szCs w:val="20"/>
                <w:lang w:eastAsia="en-IE"/>
              </w:rPr>
            </w:pPr>
          </w:p>
        </w:tc>
        <w:tc>
          <w:tcPr>
            <w:tcW w:w="1757" w:type="dxa"/>
            <w:gridSpan w:val="2"/>
            <w:tcBorders>
              <w:top w:val="nil"/>
              <w:left w:val="nil"/>
              <w:bottom w:val="single" w:sz="4" w:space="0" w:color="auto"/>
              <w:right w:val="nil"/>
            </w:tcBorders>
            <w:shd w:val="clear" w:color="auto" w:fill="auto"/>
            <w:noWrap/>
            <w:vAlign w:val="bottom"/>
            <w:hideMark/>
          </w:tcPr>
          <w:p w14:paraId="615B6B40" w14:textId="77777777" w:rsidR="0090580C" w:rsidRPr="00A76AD2" w:rsidRDefault="0090580C" w:rsidP="001A4A6B">
            <w:pPr>
              <w:spacing w:after="0"/>
              <w:jc w:val="left"/>
              <w:rPr>
                <w:noProof/>
                <w:sz w:val="20"/>
                <w:szCs w:val="20"/>
                <w:lang w:eastAsia="en-IE"/>
              </w:rPr>
            </w:pPr>
          </w:p>
        </w:tc>
        <w:tc>
          <w:tcPr>
            <w:tcW w:w="1599" w:type="dxa"/>
            <w:gridSpan w:val="2"/>
            <w:tcBorders>
              <w:top w:val="nil"/>
              <w:left w:val="nil"/>
              <w:bottom w:val="single" w:sz="4" w:space="0" w:color="auto"/>
              <w:right w:val="nil"/>
            </w:tcBorders>
            <w:shd w:val="clear" w:color="auto" w:fill="auto"/>
            <w:noWrap/>
            <w:vAlign w:val="bottom"/>
            <w:hideMark/>
          </w:tcPr>
          <w:p w14:paraId="0B2E5ACF" w14:textId="77777777" w:rsidR="0090580C" w:rsidRPr="00A76AD2" w:rsidRDefault="0090580C" w:rsidP="001A4A6B">
            <w:pPr>
              <w:spacing w:after="0"/>
              <w:jc w:val="left"/>
              <w:rPr>
                <w:noProof/>
                <w:sz w:val="20"/>
                <w:szCs w:val="20"/>
                <w:lang w:eastAsia="en-IE"/>
              </w:rPr>
            </w:pPr>
          </w:p>
        </w:tc>
        <w:tc>
          <w:tcPr>
            <w:tcW w:w="1597" w:type="dxa"/>
            <w:gridSpan w:val="2"/>
            <w:tcBorders>
              <w:top w:val="nil"/>
              <w:left w:val="nil"/>
              <w:bottom w:val="single" w:sz="4" w:space="0" w:color="auto"/>
              <w:right w:val="nil"/>
            </w:tcBorders>
            <w:shd w:val="clear" w:color="auto" w:fill="auto"/>
            <w:noWrap/>
            <w:vAlign w:val="bottom"/>
            <w:hideMark/>
          </w:tcPr>
          <w:p w14:paraId="0C5E618A" w14:textId="77777777" w:rsidR="0090580C" w:rsidRPr="00A76AD2" w:rsidRDefault="0090580C" w:rsidP="001A4A6B">
            <w:pPr>
              <w:spacing w:after="0"/>
              <w:jc w:val="left"/>
              <w:rPr>
                <w:noProof/>
                <w:sz w:val="20"/>
                <w:szCs w:val="20"/>
                <w:lang w:eastAsia="en-IE"/>
              </w:rPr>
            </w:pPr>
          </w:p>
        </w:tc>
      </w:tr>
      <w:tr w:rsidR="0090580C" w:rsidRPr="00A76AD2" w14:paraId="4D95403E" w14:textId="77777777" w:rsidTr="0090580C">
        <w:trPr>
          <w:trHeight w:val="273"/>
        </w:trPr>
        <w:tc>
          <w:tcPr>
            <w:tcW w:w="8510" w:type="dxa"/>
            <w:gridSpan w:val="10"/>
            <w:tcBorders>
              <w:top w:val="single" w:sz="4" w:space="0" w:color="auto"/>
              <w:left w:val="single" w:sz="4" w:space="0" w:color="auto"/>
              <w:bottom w:val="nil"/>
              <w:right w:val="single" w:sz="4" w:space="0" w:color="auto"/>
            </w:tcBorders>
            <w:shd w:val="clear" w:color="auto" w:fill="auto"/>
            <w:noWrap/>
            <w:vAlign w:val="bottom"/>
            <w:hideMark/>
          </w:tcPr>
          <w:p w14:paraId="2B3C910C" w14:textId="77777777" w:rsidR="0090580C" w:rsidRPr="00A76AD2" w:rsidRDefault="0090580C" w:rsidP="001A4A6B">
            <w:pPr>
              <w:spacing w:after="0"/>
              <w:jc w:val="left"/>
              <w:rPr>
                <w:rFonts w:ascii="Calibri" w:hAnsi="Calibri" w:cs="Calibri"/>
                <w:i/>
                <w:iCs/>
                <w:noProof/>
                <w:sz w:val="18"/>
                <w:szCs w:val="18"/>
              </w:rPr>
            </w:pPr>
            <w:r w:rsidRPr="00A76AD2">
              <w:rPr>
                <w:rFonts w:ascii="Calibri" w:hAnsi="Calibri"/>
                <w:i/>
                <w:noProof/>
                <w:sz w:val="18"/>
              </w:rPr>
              <w:t>(1) Do 31. prosinca 2023. za države članice kojima je odobreno odstupanje.</w:t>
            </w:r>
          </w:p>
        </w:tc>
      </w:tr>
      <w:tr w:rsidR="0090580C" w:rsidRPr="00A76AD2" w14:paraId="14F5E095" w14:textId="77777777" w:rsidTr="0090580C">
        <w:trPr>
          <w:trHeight w:val="273"/>
        </w:trPr>
        <w:tc>
          <w:tcPr>
            <w:tcW w:w="8510" w:type="dxa"/>
            <w:gridSpan w:val="10"/>
            <w:tcBorders>
              <w:top w:val="nil"/>
              <w:left w:val="single" w:sz="4" w:space="0" w:color="auto"/>
              <w:bottom w:val="single" w:sz="4" w:space="0" w:color="auto"/>
              <w:right w:val="single" w:sz="4" w:space="0" w:color="auto"/>
            </w:tcBorders>
            <w:shd w:val="clear" w:color="auto" w:fill="auto"/>
            <w:noWrap/>
            <w:vAlign w:val="bottom"/>
            <w:hideMark/>
          </w:tcPr>
          <w:p w14:paraId="71CE5DEA" w14:textId="77777777" w:rsidR="0090580C" w:rsidRPr="00A76AD2" w:rsidRDefault="0090580C" w:rsidP="001A4A6B">
            <w:pPr>
              <w:spacing w:after="0"/>
              <w:jc w:val="left"/>
              <w:rPr>
                <w:rFonts w:ascii="Calibri" w:hAnsi="Calibri" w:cs="Calibri"/>
                <w:i/>
                <w:iCs/>
                <w:noProof/>
                <w:sz w:val="18"/>
                <w:szCs w:val="18"/>
              </w:rPr>
            </w:pPr>
            <w:r w:rsidRPr="00A76AD2">
              <w:rPr>
                <w:rFonts w:ascii="Calibri" w:hAnsi="Calibri"/>
                <w:i/>
                <w:noProof/>
                <w:sz w:val="18"/>
              </w:rPr>
              <w:t>(2) Do 31. prosinca 2023. za države članice kojima je odobreno odstupanje ili do 1. srpnja 2024. ako se primjenjuje članak 2. stavak 4. točka (a) Delegirane uredbe Komisije (EU) 2015/2446, što je na primjer slučaj za Bugarsku, Irsku i Poljsku.</w:t>
            </w:r>
          </w:p>
        </w:tc>
      </w:tr>
    </w:tbl>
    <w:p w14:paraId="58338614" w14:textId="7F993685" w:rsidR="00FA1876" w:rsidRPr="00A76AD2" w:rsidRDefault="00B13691" w:rsidP="00BF4E64">
      <w:pPr>
        <w:pStyle w:val="Caption"/>
        <w:rPr>
          <w:noProof/>
        </w:rPr>
      </w:pPr>
      <w:r w:rsidRPr="00A76AD2">
        <w:rPr>
          <w:noProof/>
        </w:rPr>
        <w:t>Slika 3: Planiranje uvođenja nacionalnih sustava ulaska/uvoza</w:t>
      </w:r>
    </w:p>
    <w:p w14:paraId="25B1FFBF" w14:textId="77777777" w:rsidR="00844D01" w:rsidRPr="00A76AD2" w:rsidRDefault="00844D01" w:rsidP="142D53D2">
      <w:pPr>
        <w:rPr>
          <w:b/>
          <w:bCs/>
          <w:noProof/>
        </w:rPr>
      </w:pPr>
    </w:p>
    <w:p w14:paraId="2D5F503D" w14:textId="135EBD09" w:rsidR="000B45A9" w:rsidRPr="00A76AD2" w:rsidRDefault="00E85CC2" w:rsidP="142D53D2">
      <w:pPr>
        <w:rPr>
          <w:noProof/>
        </w:rPr>
      </w:pPr>
      <w:r w:rsidRPr="00A76AD2">
        <w:rPr>
          <w:b/>
          <w:noProof/>
        </w:rPr>
        <w:t>Ukratko</w:t>
      </w:r>
      <w:r w:rsidRPr="00A76AD2">
        <w:rPr>
          <w:noProof/>
        </w:rPr>
        <w:t xml:space="preserve">, države članice trenutačno dovršavaju modernizaciju svojih triju potpuno nacionalnih projekata. Iako većina država članica predviđa uvođenje svojih sustava do kraja 2023., u skladu s rokom utvrđenim nakon što je odobreno odstupanje, znatan broj država članica ipak je izvijestio o dodatnim kašnjenjima, uglavnom kad je riječ o TS-u i NIS-u, što dovodi do toga da će uvođenja trajati i nakon 2023. i stoga utjecati na druga područja. </w:t>
      </w:r>
    </w:p>
    <w:p w14:paraId="3D35BA9F" w14:textId="45FDC2F6" w:rsidR="000B45A9" w:rsidRPr="00A76AD2" w:rsidRDefault="0F50D0A8" w:rsidP="142D53D2">
      <w:pPr>
        <w:rPr>
          <w:noProof/>
        </w:rPr>
      </w:pPr>
      <w:r w:rsidRPr="00A76AD2">
        <w:rPr>
          <w:noProof/>
        </w:rPr>
        <w:t xml:space="preserve">Kašnjenja u uvođenju nacionalnih sustava ulaska (obavijest o dolasku / obavijest o podnošenju carini / privremeni smještaj) uzrokuju poremećaje u sveobuhvatnom ciklusu sustava ICS2 i postupcima podrške, utječu na lance opskrbe i dovode do rasta troškova koje gospodarski subjekti snose zbog uspostave privremenog rješenja. </w:t>
      </w:r>
    </w:p>
    <w:p w14:paraId="7E68F4BD" w14:textId="6049EDE8" w:rsidR="000B45A9" w:rsidRPr="00A76AD2" w:rsidRDefault="0F50D0A8" w:rsidP="142D53D2">
      <w:pPr>
        <w:rPr>
          <w:noProof/>
        </w:rPr>
      </w:pPr>
      <w:r w:rsidRPr="00A76AD2">
        <w:rPr>
          <w:noProof/>
        </w:rPr>
        <w:t xml:space="preserve">Kašnjenja u modernizaciji NIS-a također negativno utječu na gospodarske subjekte jer se odgađa upotreba svih funkcionalnosti pri uvozu kao i primjena pojednostavnjenja formalnosti od kojih bi gospodarski subjekti mogli imati koristi, kao što je unos u evidenciju deklaranta. Osim toga, riječ je o važnom preduvjetu za uvođenje elektroničkog sustava povezanog s CCI-jem.  </w:t>
      </w:r>
    </w:p>
    <w:p w14:paraId="065E8460" w14:textId="2D2A3C6E" w:rsidR="000B45A9" w:rsidRPr="00A76AD2" w:rsidRDefault="00A82853" w:rsidP="142D53D2">
      <w:pPr>
        <w:rPr>
          <w:noProof/>
        </w:rPr>
      </w:pPr>
      <w:r w:rsidRPr="00A76AD2">
        <w:rPr>
          <w:noProof/>
        </w:rPr>
        <w:t>Više pojedinosti o kašnjenjima navedeno je u odjeljku 3.2. radnog dokumenta službi Komisije.</w:t>
      </w:r>
    </w:p>
    <w:p w14:paraId="37EBD8F2" w14:textId="53E2152A" w:rsidR="00282B17" w:rsidRPr="00A76AD2" w:rsidRDefault="00476090" w:rsidP="00B548E7">
      <w:pPr>
        <w:keepNext/>
        <w:numPr>
          <w:ilvl w:val="1"/>
          <w:numId w:val="1"/>
        </w:numPr>
        <w:ind w:left="567" w:hanging="567"/>
        <w:outlineLvl w:val="0"/>
        <w:rPr>
          <w:rFonts w:ascii="Times New Roman Bold" w:hAnsi="Times New Roman Bold"/>
          <w:b/>
          <w:bCs/>
          <w:noProof/>
          <w:sz w:val="24"/>
          <w:szCs w:val="24"/>
        </w:rPr>
      </w:pPr>
      <w:bookmarkStart w:id="25" w:name="_Ref137453230"/>
      <w:bookmarkStart w:id="26" w:name="_Ref137453236"/>
      <w:bookmarkStart w:id="27" w:name="_Ref137463351"/>
      <w:bookmarkStart w:id="28" w:name="_Ref137463828"/>
      <w:bookmarkStart w:id="29" w:name="_Ref137491743"/>
      <w:bookmarkStart w:id="30" w:name="_Toc173936647"/>
      <w:r w:rsidRPr="00A76AD2">
        <w:rPr>
          <w:rFonts w:ascii="Times New Roman Bold" w:hAnsi="Times New Roman Bold"/>
          <w:b/>
          <w:noProof/>
          <w:sz w:val="24"/>
        </w:rPr>
        <w:t>Rizici od kašnjenja s provedbom IT sustava u okviru CZU-a</w:t>
      </w:r>
      <w:bookmarkEnd w:id="25"/>
      <w:bookmarkEnd w:id="26"/>
      <w:bookmarkEnd w:id="27"/>
      <w:bookmarkEnd w:id="28"/>
      <w:bookmarkEnd w:id="29"/>
      <w:bookmarkEnd w:id="30"/>
    </w:p>
    <w:p w14:paraId="40D8CCAC" w14:textId="6863692B" w:rsidR="006F0146" w:rsidRPr="00A76AD2" w:rsidRDefault="00767F67" w:rsidP="00FB3EC8">
      <w:pPr>
        <w:rPr>
          <w:noProof/>
        </w:rPr>
      </w:pPr>
      <w:r w:rsidRPr="00A76AD2">
        <w:rPr>
          <w:noProof/>
        </w:rPr>
        <w:t xml:space="preserve">U ovom se izvješću razlikuje napredak koji je ostvarila Komisija od napretka koji su ostvarile države članice. </w:t>
      </w:r>
      <w:r w:rsidRPr="00A76AD2">
        <w:rPr>
          <w:b/>
          <w:noProof/>
        </w:rPr>
        <w:t>Komisija</w:t>
      </w:r>
      <w:r w:rsidRPr="00A76AD2">
        <w:rPr>
          <w:noProof/>
        </w:rPr>
        <w:t xml:space="preserve"> </w:t>
      </w:r>
      <w:r w:rsidRPr="00A76AD2">
        <w:rPr>
          <w:b/>
          <w:noProof/>
        </w:rPr>
        <w:t>napreduje prema planu</w:t>
      </w:r>
      <w:r w:rsidRPr="00A76AD2">
        <w:rPr>
          <w:noProof/>
        </w:rPr>
        <w:t xml:space="preserve"> i nisu utvrđena kašnjenja izvan zakonskog roka ni rizici koji bi mogli dovesti do kašnjenja u uvođenju. Kašnjenja država članica utječu na cjelokupni napredak transeuropskih sustava kao što su </w:t>
      </w:r>
      <w:r w:rsidRPr="00A76AD2">
        <w:rPr>
          <w:i/>
          <w:noProof/>
        </w:rPr>
        <w:t>ICS2</w:t>
      </w:r>
      <w:r w:rsidRPr="00A76AD2">
        <w:rPr>
          <w:noProof/>
        </w:rPr>
        <w:t xml:space="preserve">, </w:t>
      </w:r>
      <w:r w:rsidRPr="00A76AD2">
        <w:rPr>
          <w:i/>
          <w:noProof/>
        </w:rPr>
        <w:t>CCI</w:t>
      </w:r>
      <w:r w:rsidRPr="00A76AD2">
        <w:rPr>
          <w:noProof/>
        </w:rPr>
        <w:t xml:space="preserve">, </w:t>
      </w:r>
      <w:r w:rsidRPr="00A76AD2">
        <w:rPr>
          <w:i/>
          <w:noProof/>
        </w:rPr>
        <w:t>NCTS</w:t>
      </w:r>
      <w:r w:rsidRPr="00A76AD2">
        <w:rPr>
          <w:noProof/>
        </w:rPr>
        <w:t xml:space="preserve"> i </w:t>
      </w:r>
      <w:r w:rsidRPr="00A76AD2">
        <w:rPr>
          <w:i/>
          <w:noProof/>
        </w:rPr>
        <w:t>AES</w:t>
      </w:r>
      <w:r w:rsidRPr="00A76AD2">
        <w:rPr>
          <w:noProof/>
        </w:rPr>
        <w:t xml:space="preserve">, što pak utječe na aktivnosti u okviru područja djelovanja Komisije. Zbog toga postaje potrebno dodatno ulagati u ispitivanja sukladnosti, kao i aktivnosti koordinacije i potpore u okviru transeuropskih projekata. Osim toga, postaje potrebno dodatno podupirati alternativne nacionalne programe za razvoj i uvođenje i nacionalno praćenje, a tijekom prijelaznog razdoblja moraju se dulje održavati središnje sastavnice. </w:t>
      </w:r>
    </w:p>
    <w:p w14:paraId="40C99826" w14:textId="42CA30E9" w:rsidR="00CD510E" w:rsidRPr="00A76AD2" w:rsidRDefault="00F767E8" w:rsidP="00D23631">
      <w:pPr>
        <w:rPr>
          <w:noProof/>
        </w:rPr>
      </w:pPr>
      <w:r w:rsidRPr="00A76AD2">
        <w:rPr>
          <w:noProof/>
        </w:rPr>
        <w:t xml:space="preserve">Većina </w:t>
      </w:r>
      <w:r w:rsidRPr="00A76AD2">
        <w:rPr>
          <w:b/>
          <w:noProof/>
        </w:rPr>
        <w:t>država članica bilježi postupan napredak</w:t>
      </w:r>
      <w:r w:rsidRPr="00A76AD2">
        <w:rPr>
          <w:noProof/>
        </w:rPr>
        <w:t xml:space="preserve"> u aktivnostima razvoja za koje su odgovorne, no neke od njih napreduju sporije nego što je prvotno bilo planirano. Zato je u nekim nacionalnim i transeuropskim projektima došlo do </w:t>
      </w:r>
      <w:r w:rsidRPr="00A76AD2">
        <w:rPr>
          <w:b/>
          <w:noProof/>
        </w:rPr>
        <w:t>kašnjenja izvan inicijalno propisanih ili produljenih rokova</w:t>
      </w:r>
      <w:r w:rsidRPr="00A76AD2">
        <w:rPr>
          <w:rFonts w:ascii="Source Sans Pro" w:hAnsi="Source Sans Pro"/>
          <w:noProof/>
          <w:color w:val="1F2937"/>
          <w:shd w:val="clear" w:color="auto" w:fill="F9FAFB"/>
        </w:rPr>
        <w:t>.</w:t>
      </w:r>
      <w:r w:rsidRPr="00A76AD2">
        <w:rPr>
          <w:noProof/>
        </w:rPr>
        <w:t xml:space="preserve"> </w:t>
      </w:r>
    </w:p>
    <w:p w14:paraId="555AADAF" w14:textId="36C59FAA" w:rsidR="00003A29" w:rsidRPr="00A76AD2" w:rsidRDefault="00CD510E" w:rsidP="00CD510E">
      <w:pPr>
        <w:rPr>
          <w:noProof/>
        </w:rPr>
      </w:pPr>
      <w:r w:rsidRPr="00A76AD2">
        <w:rPr>
          <w:noProof/>
        </w:rPr>
        <w:t xml:space="preserve">Države članice navele su da za njihova kašnjenja u razvoju sustava postoji nekoliko razloga, od kojih je većina i dalje prisutna. Među njima su nedostatak financijskih i ljudskih resursa, konkurentni prioriteti i utjecaj ruske invazije na Ukrajinu na carinske postupke. Osim tih razloga, države članice navele su da nacionalne IT infrastrukture ne mogu odgovoriti na tehničke potrebe projekata, a požalile su se i na manjak kapaciteta izvođačâ i ovisnost o drugim dionicima, tranziciju i ispitivanje među gospodarskim subjektima, odgođene ili neuspješne pozive za podnošenje ponuda kako bi se dio radova eksternalizirao, zahtjevnost postupaka javne nabave, probleme u upravljanju te složenost integracije sustava za projekte u okviru CZU-a. </w:t>
      </w:r>
    </w:p>
    <w:p w14:paraId="7B3816EF" w14:textId="5C544C4A" w:rsidR="00CD510E" w:rsidRPr="00A76AD2" w:rsidRDefault="00E121D7" w:rsidP="00CD510E">
      <w:pPr>
        <w:rPr>
          <w:noProof/>
        </w:rPr>
      </w:pPr>
      <w:r w:rsidRPr="00A76AD2">
        <w:rPr>
          <w:noProof/>
        </w:rPr>
        <w:t>Iako je Komisija pravodobno dovršila funkcionalne i tehničke specifikacije za transeuropske sustave u skladu s programom rada za CZU, u nekoliko država članica ugovori o javnoj nabavi još nisu dodijeljeni ili i dalje postoje znatni problemi u nacionalnim postupcima javne nabave, što otežava pravodobno uvođenje sustava.</w:t>
      </w:r>
    </w:p>
    <w:p w14:paraId="04189F51" w14:textId="0569D045" w:rsidR="00343A5B" w:rsidRPr="00A76AD2" w:rsidRDefault="00343A5B" w:rsidP="000A690D">
      <w:pPr>
        <w:rPr>
          <w:noProof/>
        </w:rPr>
      </w:pPr>
      <w:r w:rsidRPr="00A76AD2">
        <w:rPr>
          <w:noProof/>
        </w:rPr>
        <w:t xml:space="preserve">Države članice i Komisija na bilateralnim sastancima raspravile su i pokušale riješiti probleme te je ponovljeno da bi projektima u okviru CZU-a bilo važno dati prednost. U tom je pogledu Komisija pružila i savjete o mogućim daljnjim radnjama i mjerama. </w:t>
      </w:r>
      <w:r w:rsidRPr="00A76AD2">
        <w:rPr>
          <w:b/>
          <w:noProof/>
        </w:rPr>
        <w:t>Dvadeset dvije države članice Komisiji su podnijele službene zahtjeve za odstupanje</w:t>
      </w:r>
      <w:r w:rsidRPr="00A76AD2">
        <w:rPr>
          <w:noProof/>
        </w:rPr>
        <w:t xml:space="preserve"> u skladu s člankom 6. stavkom 4. CZU-a koji se odnose na kašnjenje </w:t>
      </w:r>
      <w:r w:rsidRPr="00A76AD2">
        <w:rPr>
          <w:b/>
          <w:noProof/>
        </w:rPr>
        <w:t>nacionalnih projekata</w:t>
      </w:r>
      <w:r w:rsidRPr="00A76AD2">
        <w:rPr>
          <w:noProof/>
        </w:rPr>
        <w:t xml:space="preserve"> izvan zakonskih rokova. Komisija je razmotrila zahtjeve i opravdanja koja su u njima navedena s obzirom na posebne okolnosti i </w:t>
      </w:r>
      <w:r w:rsidRPr="00A76AD2">
        <w:rPr>
          <w:b/>
          <w:noProof/>
        </w:rPr>
        <w:t>izdala provedbene odluke kojima se odobravaju odstupanja</w:t>
      </w:r>
      <w:r w:rsidRPr="00A76AD2">
        <w:rPr>
          <w:noProof/>
        </w:rPr>
        <w:t xml:space="preserve"> upućene državama članicama koje su podnijele zahtjev. Na temelju odstupanja za </w:t>
      </w:r>
      <w:r w:rsidRPr="00A76AD2">
        <w:rPr>
          <w:i/>
          <w:noProof/>
        </w:rPr>
        <w:t>obavijest o dolasku</w:t>
      </w:r>
      <w:r w:rsidRPr="00A76AD2">
        <w:rPr>
          <w:noProof/>
        </w:rPr>
        <w:t xml:space="preserve">, </w:t>
      </w:r>
      <w:r w:rsidRPr="00A76AD2">
        <w:rPr>
          <w:i/>
          <w:noProof/>
        </w:rPr>
        <w:t>obavijest o podnošenju carini</w:t>
      </w:r>
      <w:r w:rsidRPr="00A76AD2">
        <w:rPr>
          <w:noProof/>
        </w:rPr>
        <w:t xml:space="preserve">, </w:t>
      </w:r>
      <w:r w:rsidRPr="00A76AD2">
        <w:rPr>
          <w:i/>
          <w:noProof/>
        </w:rPr>
        <w:t>privremeni smještaj</w:t>
      </w:r>
      <w:r w:rsidRPr="00A76AD2">
        <w:rPr>
          <w:noProof/>
        </w:rPr>
        <w:t xml:space="preserve">, </w:t>
      </w:r>
      <w:r w:rsidRPr="00A76AD2">
        <w:rPr>
          <w:i/>
          <w:noProof/>
        </w:rPr>
        <w:t>nacionalni sustav uvoza</w:t>
      </w:r>
      <w:r w:rsidRPr="00A76AD2">
        <w:rPr>
          <w:noProof/>
        </w:rPr>
        <w:t xml:space="preserve"> i </w:t>
      </w:r>
      <w:r w:rsidRPr="00A76AD2">
        <w:rPr>
          <w:i/>
          <w:noProof/>
        </w:rPr>
        <w:t>2. sastavnicu</w:t>
      </w:r>
      <w:r w:rsidRPr="00A76AD2">
        <w:rPr>
          <w:noProof/>
        </w:rPr>
        <w:t xml:space="preserve"> </w:t>
      </w:r>
      <w:r w:rsidRPr="00A76AD2">
        <w:rPr>
          <w:i/>
          <w:noProof/>
        </w:rPr>
        <w:t>posebnih postupaka</w:t>
      </w:r>
      <w:r w:rsidRPr="00A76AD2">
        <w:rPr>
          <w:noProof/>
        </w:rPr>
        <w:t xml:space="preserve"> rok je produljen do 31. prosinca 2023.</w:t>
      </w:r>
      <w:r w:rsidR="003F48B2" w:rsidRPr="00A76AD2">
        <w:rPr>
          <w:rStyle w:val="FootnoteReference"/>
          <w:noProof/>
        </w:rPr>
        <w:footnoteReference w:id="14"/>
      </w:r>
      <w:r w:rsidRPr="00A76AD2">
        <w:rPr>
          <w:noProof/>
        </w:rPr>
        <w:t xml:space="preserve">, dok je na temelju odstupanja rok za </w:t>
      </w:r>
      <w:r w:rsidRPr="00A76AD2">
        <w:rPr>
          <w:i/>
          <w:noProof/>
        </w:rPr>
        <w:t>2. verziju sustava ICS2</w:t>
      </w:r>
      <w:r w:rsidRPr="00A76AD2">
        <w:rPr>
          <w:noProof/>
        </w:rPr>
        <w:t xml:space="preserve"> produljen do 30. lipnja 2023.</w:t>
      </w:r>
    </w:p>
    <w:p w14:paraId="0C714266" w14:textId="5E6E4C17" w:rsidR="004772B4" w:rsidRPr="00A76AD2" w:rsidRDefault="00796EE1" w:rsidP="004772B4">
      <w:pPr>
        <w:rPr>
          <w:noProof/>
        </w:rPr>
      </w:pPr>
      <w:r w:rsidRPr="00A76AD2">
        <w:rPr>
          <w:noProof/>
        </w:rPr>
        <w:t>Pregled odstupanja odobrenih državama članicama nalazi se u nastavku:</w:t>
      </w:r>
    </w:p>
    <w:p w14:paraId="016B29E9" w14:textId="3CA9F9F1" w:rsidR="00CE7077" w:rsidRPr="00A76AD2" w:rsidRDefault="20248553" w:rsidP="00CD1B7F">
      <w:pPr>
        <w:numPr>
          <w:ilvl w:val="0"/>
          <w:numId w:val="12"/>
        </w:numPr>
        <w:rPr>
          <w:noProof/>
        </w:rPr>
      </w:pPr>
      <w:r w:rsidRPr="00A76AD2">
        <w:rPr>
          <w:noProof/>
        </w:rPr>
        <w:t xml:space="preserve">sljedećim državama članicama odobreno je odstupanje za uvođenje </w:t>
      </w:r>
      <w:r w:rsidRPr="00A76AD2">
        <w:rPr>
          <w:b/>
          <w:i/>
          <w:noProof/>
        </w:rPr>
        <w:t>obavijesti o dolasku</w:t>
      </w:r>
      <w:r w:rsidRPr="00A76AD2">
        <w:rPr>
          <w:noProof/>
        </w:rPr>
        <w:t xml:space="preserve">: </w:t>
      </w:r>
      <w:r w:rsidRPr="00A76AD2">
        <w:rPr>
          <w:noProof/>
          <w:color w:val="000000" w:themeColor="text1"/>
        </w:rPr>
        <w:t>AT, BE, BG, CY, CZ, DK, EE, ES, FR, GR, HU, HR, LU, MT, NL, PL, PT, RO, SE, SI i SK</w:t>
      </w:r>
      <w:r w:rsidRPr="00A76AD2">
        <w:rPr>
          <w:noProof/>
        </w:rPr>
        <w:t xml:space="preserve">. Pritom su BG, CY, DE, EE, ES, FI, FR, HR, HU, LT, LU, NL, SE i SI izvijestile da će primjenjivati </w:t>
      </w:r>
      <w:r w:rsidRPr="00A76AD2">
        <w:rPr>
          <w:i/>
          <w:noProof/>
        </w:rPr>
        <w:t>obavijest o dolasku</w:t>
      </w:r>
      <w:r w:rsidRPr="00A76AD2">
        <w:rPr>
          <w:noProof/>
        </w:rPr>
        <w:t xml:space="preserve"> koja je integrirana u </w:t>
      </w:r>
      <w:r w:rsidRPr="00A76AD2">
        <w:rPr>
          <w:i/>
          <w:noProof/>
        </w:rPr>
        <w:t>2. verziju sustava ICS2</w:t>
      </w:r>
      <w:r w:rsidRPr="00A76AD2">
        <w:rPr>
          <w:noProof/>
        </w:rPr>
        <w:t xml:space="preserve"> (koja je uvedena 1. ožujka 2023. odnosno 30. lipnja 2023. u državama članicama kojima je odobreno odstupanje). DE i IE navele su da </w:t>
      </w:r>
      <w:r w:rsidRPr="00A76AD2">
        <w:rPr>
          <w:i/>
          <w:noProof/>
        </w:rPr>
        <w:t>obavijest o dolasku</w:t>
      </w:r>
      <w:r w:rsidRPr="00A76AD2">
        <w:rPr>
          <w:noProof/>
        </w:rPr>
        <w:t xml:space="preserve"> nije primjenjiva,</w:t>
      </w:r>
    </w:p>
    <w:p w14:paraId="07337A22" w14:textId="456049B3" w:rsidR="00CE7077" w:rsidRPr="00A76AD2" w:rsidRDefault="20248553" w:rsidP="00F80704">
      <w:pPr>
        <w:numPr>
          <w:ilvl w:val="0"/>
          <w:numId w:val="12"/>
        </w:numPr>
        <w:rPr>
          <w:noProof/>
        </w:rPr>
      </w:pPr>
      <w:r w:rsidRPr="00A76AD2">
        <w:rPr>
          <w:noProof/>
        </w:rPr>
        <w:t xml:space="preserve">sljedećim državama članicama odobreno je odstupanje za uvođenje </w:t>
      </w:r>
      <w:r w:rsidRPr="00A76AD2">
        <w:rPr>
          <w:b/>
          <w:i/>
          <w:noProof/>
        </w:rPr>
        <w:t>obavijesti o podnošenju carini</w:t>
      </w:r>
      <w:r w:rsidRPr="00A76AD2">
        <w:rPr>
          <w:noProof/>
        </w:rPr>
        <w:t xml:space="preserve">: </w:t>
      </w:r>
      <w:r w:rsidRPr="00A76AD2">
        <w:rPr>
          <w:noProof/>
          <w:color w:val="000000" w:themeColor="text1"/>
        </w:rPr>
        <w:t>AT, BE, CY, CZ, DK, EE, ES, FR, GR, HU, HR, LU, MT, NL, PL, PT, RO, SE, SI</w:t>
      </w:r>
      <w:r w:rsidRPr="00A76AD2">
        <w:rPr>
          <w:noProof/>
        </w:rPr>
        <w:t xml:space="preserve"> i SK,  </w:t>
      </w:r>
    </w:p>
    <w:p w14:paraId="5CE11D74" w14:textId="4DEAE437" w:rsidR="00CE7077" w:rsidRPr="00A76AD2" w:rsidRDefault="20248553" w:rsidP="00AB4622">
      <w:pPr>
        <w:numPr>
          <w:ilvl w:val="0"/>
          <w:numId w:val="12"/>
        </w:numPr>
        <w:rPr>
          <w:noProof/>
        </w:rPr>
      </w:pPr>
      <w:r w:rsidRPr="00A76AD2">
        <w:rPr>
          <w:noProof/>
        </w:rPr>
        <w:t xml:space="preserve">sljedećim državama članicama odobreno je odstupanje za uvođenje </w:t>
      </w:r>
      <w:r w:rsidRPr="00A76AD2">
        <w:rPr>
          <w:b/>
          <w:i/>
          <w:noProof/>
        </w:rPr>
        <w:t>privremenog smještaja</w:t>
      </w:r>
      <w:r w:rsidRPr="00A76AD2">
        <w:rPr>
          <w:noProof/>
        </w:rPr>
        <w:t xml:space="preserve">: </w:t>
      </w:r>
      <w:r w:rsidRPr="00A76AD2">
        <w:rPr>
          <w:noProof/>
          <w:color w:val="000000" w:themeColor="text1"/>
        </w:rPr>
        <w:t>AT, BE, CY, CZ, DK, EE, ES, FR, GR, HU, HR, LT, LU, MT, NL, PL, PT, RO, SE, SI i SK</w:t>
      </w:r>
      <w:r w:rsidRPr="00A76AD2">
        <w:rPr>
          <w:noProof/>
        </w:rPr>
        <w:t>. Osim toga, GR je istaknula potrebu za produljenim odstupanjem,</w:t>
      </w:r>
    </w:p>
    <w:p w14:paraId="71341F14" w14:textId="58842180" w:rsidR="005B21B8" w:rsidRPr="00A76AD2" w:rsidRDefault="20248553" w:rsidP="005B21B8">
      <w:pPr>
        <w:numPr>
          <w:ilvl w:val="0"/>
          <w:numId w:val="12"/>
        </w:numPr>
        <w:rPr>
          <w:noProof/>
        </w:rPr>
      </w:pPr>
      <w:r w:rsidRPr="00A76AD2">
        <w:rPr>
          <w:noProof/>
        </w:rPr>
        <w:t xml:space="preserve">sljedećim državama članicama odobreno je odstupanje za provedbu </w:t>
      </w:r>
      <w:r w:rsidRPr="00A76AD2">
        <w:rPr>
          <w:b/>
          <w:noProof/>
        </w:rPr>
        <w:t>modernizacije</w:t>
      </w:r>
      <w:r w:rsidRPr="00A76AD2">
        <w:rPr>
          <w:b/>
          <w:i/>
          <w:noProof/>
        </w:rPr>
        <w:t xml:space="preserve"> nacionalnih sustava uvoza</w:t>
      </w:r>
      <w:r w:rsidRPr="00A76AD2">
        <w:rPr>
          <w:noProof/>
        </w:rPr>
        <w:t xml:space="preserve">: AT, BG, CY, CZ, DK, ES, FR, GR, HU, LT, LU, MT, NL, PT, RO i SE. Ta kašnjenja utjecat će na projekt transeuropskog </w:t>
      </w:r>
      <w:r w:rsidRPr="00A76AD2">
        <w:rPr>
          <w:i/>
          <w:noProof/>
        </w:rPr>
        <w:t>CCI-ja</w:t>
      </w:r>
      <w:r w:rsidRPr="00A76AD2">
        <w:rPr>
          <w:noProof/>
        </w:rPr>
        <w:t xml:space="preserve"> i </w:t>
      </w:r>
      <w:r w:rsidRPr="00A76AD2">
        <w:rPr>
          <w:i/>
          <w:noProof/>
        </w:rPr>
        <w:t>2. sastavnicu posebnih postupaka</w:t>
      </w:r>
      <w:r w:rsidRPr="00A76AD2">
        <w:rPr>
          <w:noProof/>
        </w:rPr>
        <w:t xml:space="preserve">, na koju se primjenjuje isti vremenski okvir kao na modernizaciju </w:t>
      </w:r>
      <w:r w:rsidRPr="00A76AD2">
        <w:rPr>
          <w:i/>
          <w:noProof/>
        </w:rPr>
        <w:t>nacionalnih sustava uvoza</w:t>
      </w:r>
      <w:r w:rsidRPr="00A76AD2">
        <w:rPr>
          <w:noProof/>
        </w:rPr>
        <w:t>. Osim toga, GR i SK istaknule su potrebu za produljenim odstupanjem,</w:t>
      </w:r>
    </w:p>
    <w:p w14:paraId="595AB109" w14:textId="1FFA5D06" w:rsidR="00336165" w:rsidRPr="00A76AD2" w:rsidRDefault="00336165" w:rsidP="00336165">
      <w:pPr>
        <w:numPr>
          <w:ilvl w:val="0"/>
          <w:numId w:val="12"/>
        </w:numPr>
        <w:rPr>
          <w:noProof/>
        </w:rPr>
      </w:pPr>
      <w:r w:rsidRPr="00A76AD2">
        <w:rPr>
          <w:noProof/>
        </w:rPr>
        <w:t xml:space="preserve">sljedećim državama članicama odobreno je odstupanje za uvođenje </w:t>
      </w:r>
      <w:r w:rsidRPr="00A76AD2">
        <w:rPr>
          <w:b/>
          <w:i/>
          <w:noProof/>
        </w:rPr>
        <w:t>2. sastavnice posebnih postupaka</w:t>
      </w:r>
      <w:r w:rsidRPr="00A76AD2">
        <w:rPr>
          <w:noProof/>
        </w:rPr>
        <w:t>: AT, BG, CY, CZ, DK, ES, FR, GR, HU, LT, LU, MT, NL, PT, RO i SE,</w:t>
      </w:r>
    </w:p>
    <w:p w14:paraId="3C71F9A3" w14:textId="7A377AC8" w:rsidR="006F521D" w:rsidRPr="00A76AD2" w:rsidRDefault="006F521D" w:rsidP="006F521D">
      <w:pPr>
        <w:numPr>
          <w:ilvl w:val="0"/>
          <w:numId w:val="12"/>
        </w:numPr>
        <w:rPr>
          <w:noProof/>
        </w:rPr>
      </w:pPr>
      <w:r w:rsidRPr="00A76AD2">
        <w:rPr>
          <w:noProof/>
        </w:rPr>
        <w:t xml:space="preserve">sljedećim državama članicama odobreno je odstupanje za uvođenje </w:t>
      </w:r>
      <w:r w:rsidRPr="00A76AD2">
        <w:rPr>
          <w:b/>
          <w:i/>
          <w:noProof/>
        </w:rPr>
        <w:t>2. verzije sustava ICS2</w:t>
      </w:r>
      <w:r w:rsidRPr="00A76AD2">
        <w:rPr>
          <w:noProof/>
        </w:rPr>
        <w:t>: AT, BE, DK, EE, FR, GR, HR, LU, NL, PL, RO i SE. GR i RO podnijele su službeni zahtjev za naknadno odstupanje. Osim toga, GR i RO istaknule su potrebu za produljenim odstupanjem. Do kraja 2023. RO će se i dalje suočavati s problemima s uvođenjem te verzije.</w:t>
      </w:r>
    </w:p>
    <w:p w14:paraId="4A0291CD" w14:textId="18E5B216" w:rsidR="000A4798" w:rsidRPr="00A76AD2" w:rsidRDefault="000A4798" w:rsidP="003029EE">
      <w:pPr>
        <w:rPr>
          <w:noProof/>
        </w:rPr>
      </w:pPr>
      <w:r w:rsidRPr="00A76AD2">
        <w:rPr>
          <w:noProof/>
        </w:rPr>
        <w:t xml:space="preserve">Na temelju informacija dobivenih od država članica možemo zaključiti da je ispunjeno 71 % produljenih rokova za 2023. odobrenih na temelju odstupanja. U preostalih 29 % slučajeva i dalje postoje problemi s uvođenjem.  </w:t>
      </w:r>
    </w:p>
    <w:p w14:paraId="6B96D02F" w14:textId="6A5352AD" w:rsidR="004772B4" w:rsidRPr="00A76AD2" w:rsidRDefault="003B02C3" w:rsidP="004772B4">
      <w:pPr>
        <w:rPr>
          <w:b/>
          <w:bCs/>
          <w:noProof/>
          <w:color w:val="000000" w:themeColor="text1"/>
        </w:rPr>
      </w:pPr>
      <w:r w:rsidRPr="00A76AD2">
        <w:rPr>
          <w:noProof/>
          <w:color w:val="000000" w:themeColor="text1"/>
        </w:rPr>
        <w:t xml:space="preserve">Kako je navedeno u priloženom radnom dokumentu službi, </w:t>
      </w:r>
      <w:r w:rsidRPr="00A76AD2">
        <w:rPr>
          <w:b/>
          <w:noProof/>
          <w:color w:val="000000" w:themeColor="text1"/>
        </w:rPr>
        <w:t>nekoliko država članica obavijestilo je Komisiju o kašnjenjima u transeuropskim projektima:</w:t>
      </w:r>
    </w:p>
    <w:p w14:paraId="169BAA1A" w14:textId="63E49118" w:rsidR="00062139" w:rsidRPr="00A76AD2" w:rsidRDefault="00062139" w:rsidP="00AA21E4">
      <w:pPr>
        <w:numPr>
          <w:ilvl w:val="0"/>
          <w:numId w:val="12"/>
        </w:numPr>
        <w:rPr>
          <w:noProof/>
        </w:rPr>
      </w:pPr>
      <w:r w:rsidRPr="00A76AD2">
        <w:rPr>
          <w:noProof/>
        </w:rPr>
        <w:t xml:space="preserve">sljedeće države članice navele su planirani datum početka primjene </w:t>
      </w:r>
      <w:r w:rsidRPr="00A76AD2">
        <w:rPr>
          <w:b/>
          <w:i/>
          <w:noProof/>
        </w:rPr>
        <w:t>1. sastavnice posebnih postupaka</w:t>
      </w:r>
      <w:r w:rsidRPr="00A76AD2">
        <w:rPr>
          <w:noProof/>
        </w:rPr>
        <w:t xml:space="preserve"> koji je kasniji od krajnjeg roka utvrđenog u programu rada za CZU: FI, FR, GR, HU, LU, MT, PT, SE i SK. Za više pojedinosti vidjeti odjeljak 3.3. </w:t>
      </w:r>
      <w:r w:rsidRPr="00A76AD2">
        <w:rPr>
          <w:noProof/>
          <w:color w:val="000000" w:themeColor="text1"/>
        </w:rPr>
        <w:t>radnog dokumenta službi</w:t>
      </w:r>
      <w:r w:rsidRPr="00A76AD2">
        <w:rPr>
          <w:noProof/>
        </w:rPr>
        <w:t xml:space="preserve"> priloženog ovom izvješću,</w:t>
      </w:r>
    </w:p>
    <w:p w14:paraId="5660BDDE" w14:textId="3C40EC8E" w:rsidR="004772B4" w:rsidRPr="00A76AD2" w:rsidRDefault="004772B4" w:rsidP="00144FCD">
      <w:pPr>
        <w:numPr>
          <w:ilvl w:val="0"/>
          <w:numId w:val="12"/>
        </w:numPr>
        <w:rPr>
          <w:noProof/>
        </w:rPr>
      </w:pPr>
      <w:r w:rsidRPr="00A76AD2">
        <w:rPr>
          <w:noProof/>
        </w:rPr>
        <w:t xml:space="preserve">sljedeće države članice izvijestile su o datumima uvođenja </w:t>
      </w:r>
      <w:r w:rsidRPr="00A76AD2">
        <w:rPr>
          <w:b/>
          <w:i/>
          <w:noProof/>
        </w:rPr>
        <w:t>3. verzije sustava ICS2</w:t>
      </w:r>
      <w:r w:rsidRPr="00A76AD2">
        <w:rPr>
          <w:noProof/>
        </w:rPr>
        <w:t xml:space="preserve"> koji su kasniji od krajnjeg roka utvrđenog u programu rada za CZU</w:t>
      </w:r>
      <w:r w:rsidR="00144FCD" w:rsidRPr="00A76AD2">
        <w:rPr>
          <w:rStyle w:val="FootnoteReference"/>
          <w:noProof/>
        </w:rPr>
        <w:footnoteReference w:id="15"/>
      </w:r>
      <w:r w:rsidRPr="00A76AD2">
        <w:rPr>
          <w:noProof/>
        </w:rPr>
        <w:t xml:space="preserve">: FI, FR, HR, IE, MT, PT i SK. Za više pojedinosti vidjeti odjeljak 4.2. </w:t>
      </w:r>
      <w:r w:rsidRPr="00A76AD2">
        <w:rPr>
          <w:noProof/>
          <w:color w:val="000000" w:themeColor="text1"/>
        </w:rPr>
        <w:t>radnog dokumenta službi</w:t>
      </w:r>
      <w:r w:rsidRPr="00A76AD2">
        <w:rPr>
          <w:noProof/>
        </w:rPr>
        <w:t xml:space="preserve"> priloženog ovom izvješću,</w:t>
      </w:r>
    </w:p>
    <w:p w14:paraId="169D97E2" w14:textId="1F5B9B5A" w:rsidR="004772B4" w:rsidRPr="00A76AD2" w:rsidRDefault="004772B4" w:rsidP="00EF579B">
      <w:pPr>
        <w:numPr>
          <w:ilvl w:val="0"/>
          <w:numId w:val="12"/>
        </w:numPr>
        <w:rPr>
          <w:noProof/>
        </w:rPr>
      </w:pPr>
      <w:r w:rsidRPr="00A76AD2">
        <w:rPr>
          <w:noProof/>
        </w:rPr>
        <w:t xml:space="preserve">sljedeće države članice navele su planirani datum početka primjene </w:t>
      </w:r>
      <w:r w:rsidRPr="00A76AD2">
        <w:rPr>
          <w:b/>
          <w:i/>
          <w:noProof/>
        </w:rPr>
        <w:t>1. faze CCI-ja</w:t>
      </w:r>
      <w:r w:rsidRPr="00A76AD2">
        <w:rPr>
          <w:noProof/>
        </w:rPr>
        <w:t xml:space="preserve"> koji je kasniji od roka utvrđenog u programu rada za CZU</w:t>
      </w:r>
      <w:r w:rsidR="00613293" w:rsidRPr="00A76AD2">
        <w:rPr>
          <w:rStyle w:val="FootnoteReference"/>
          <w:noProof/>
        </w:rPr>
        <w:footnoteReference w:id="16"/>
      </w:r>
      <w:r w:rsidRPr="00A76AD2">
        <w:rPr>
          <w:noProof/>
        </w:rPr>
        <w:t xml:space="preserve">: BE, CZ, DE, DK, ES, FI, HR, HU, IE, LT, LU, LV, MT, NL, PT, SI i SK. Za </w:t>
      </w:r>
      <w:r w:rsidRPr="00A76AD2">
        <w:rPr>
          <w:b/>
          <w:i/>
          <w:noProof/>
        </w:rPr>
        <w:t>2. fazu CCI-ja</w:t>
      </w:r>
      <w:r w:rsidRPr="00A76AD2">
        <w:rPr>
          <w:noProof/>
        </w:rPr>
        <w:t xml:space="preserve"> BE, DE, EE, ES, FI, GR i NL navele su planirani datum početka primjene koji je kasniji od roka utvrđenog u programu rada za CZU. Za više pojedinosti vidjeti odjeljke 3.6. i 4.4. </w:t>
      </w:r>
      <w:r w:rsidRPr="00A76AD2">
        <w:rPr>
          <w:noProof/>
          <w:color w:val="000000" w:themeColor="text1"/>
        </w:rPr>
        <w:t>radnog dokumenta službi</w:t>
      </w:r>
      <w:r w:rsidRPr="00A76AD2">
        <w:rPr>
          <w:noProof/>
        </w:rPr>
        <w:t xml:space="preserve"> priloženog ovom izvješću,</w:t>
      </w:r>
    </w:p>
    <w:p w14:paraId="11BB1592" w14:textId="24FE4EBB" w:rsidR="004D1BAA" w:rsidRPr="00A76AD2" w:rsidRDefault="004772B4" w:rsidP="00EF579B">
      <w:pPr>
        <w:numPr>
          <w:ilvl w:val="0"/>
          <w:numId w:val="12"/>
        </w:numPr>
        <w:rPr>
          <w:noProof/>
        </w:rPr>
      </w:pPr>
      <w:r w:rsidRPr="00A76AD2">
        <w:rPr>
          <w:noProof/>
        </w:rPr>
        <w:t xml:space="preserve">AT, ES, FI, GR, HU, IE, LT, LV, MT, NL, PT, SE i SK navele su da očekuju kašnjenja s uvođenjem </w:t>
      </w:r>
      <w:r w:rsidRPr="00A76AD2">
        <w:rPr>
          <w:b/>
          <w:i/>
          <w:noProof/>
        </w:rPr>
        <w:t>5. faze NCTS-a</w:t>
      </w:r>
      <w:r w:rsidRPr="00A76AD2">
        <w:rPr>
          <w:noProof/>
        </w:rPr>
        <w:t xml:space="preserve"> u odnosu na rok za puštanje u rad utvrđen u programu rada za CZU</w:t>
      </w:r>
      <w:r w:rsidR="00EF579B" w:rsidRPr="00A76AD2">
        <w:rPr>
          <w:rStyle w:val="FootnoteReference"/>
          <w:noProof/>
        </w:rPr>
        <w:footnoteReference w:id="17"/>
      </w:r>
      <w:r w:rsidRPr="00A76AD2">
        <w:rPr>
          <w:noProof/>
        </w:rPr>
        <w:t xml:space="preserve">. Za više pojedinosti vidjeti odjeljak 3.7. </w:t>
      </w:r>
      <w:r w:rsidRPr="00A76AD2">
        <w:rPr>
          <w:noProof/>
          <w:color w:val="000000" w:themeColor="text1"/>
        </w:rPr>
        <w:t>radnog dokumenta službi</w:t>
      </w:r>
      <w:r w:rsidRPr="00A76AD2">
        <w:rPr>
          <w:noProof/>
        </w:rPr>
        <w:t xml:space="preserve"> priloženog ovom izvješću, </w:t>
      </w:r>
    </w:p>
    <w:p w14:paraId="36D875CB" w14:textId="3FDE4B1C" w:rsidR="004772B4" w:rsidRPr="00A76AD2" w:rsidRDefault="004772B4" w:rsidP="004772B4">
      <w:pPr>
        <w:numPr>
          <w:ilvl w:val="0"/>
          <w:numId w:val="12"/>
        </w:numPr>
        <w:rPr>
          <w:noProof/>
        </w:rPr>
      </w:pPr>
      <w:r w:rsidRPr="00A76AD2">
        <w:rPr>
          <w:noProof/>
        </w:rPr>
        <w:t xml:space="preserve">AT, BE, FI, FR, GR, HU, LU, MT, PT, SE i SK navele su planirani datum početka primjene </w:t>
      </w:r>
      <w:r w:rsidRPr="00A76AD2">
        <w:rPr>
          <w:b/>
          <w:i/>
          <w:noProof/>
        </w:rPr>
        <w:t>1. sastavnice AES-a</w:t>
      </w:r>
      <w:r w:rsidRPr="00A76AD2">
        <w:rPr>
          <w:noProof/>
        </w:rPr>
        <w:t xml:space="preserve"> koji je kasniji od roka utvrđenog u programu rada za CZU</w:t>
      </w:r>
      <w:r w:rsidR="00EF579B" w:rsidRPr="00A76AD2">
        <w:rPr>
          <w:rStyle w:val="FootnoteReference"/>
          <w:noProof/>
        </w:rPr>
        <w:footnoteReference w:id="18"/>
      </w:r>
      <w:r w:rsidRPr="00A76AD2">
        <w:rPr>
          <w:noProof/>
        </w:rPr>
        <w:t>. Za više pojedinosti vidjeti odjeljak 3.8. dokumenta priloženog ovom izvješću,</w:t>
      </w:r>
    </w:p>
    <w:p w14:paraId="10058365" w14:textId="5E6AD153" w:rsidR="00F8447F" w:rsidRPr="00A76AD2" w:rsidRDefault="00F8447F" w:rsidP="00F7283D">
      <w:pPr>
        <w:numPr>
          <w:ilvl w:val="0"/>
          <w:numId w:val="12"/>
        </w:numPr>
        <w:rPr>
          <w:noProof/>
        </w:rPr>
      </w:pPr>
      <w:r w:rsidRPr="00A76AD2">
        <w:rPr>
          <w:noProof/>
        </w:rPr>
        <w:t xml:space="preserve">sljedeće države članice navele su planirani datum početka primjene </w:t>
      </w:r>
      <w:r w:rsidRPr="00A76AD2">
        <w:rPr>
          <w:b/>
          <w:i/>
          <w:noProof/>
        </w:rPr>
        <w:t>2. faze GUM-a</w:t>
      </w:r>
      <w:r w:rsidRPr="00A76AD2">
        <w:rPr>
          <w:noProof/>
        </w:rPr>
        <w:t xml:space="preserve"> koji je kasniji od roka utvrđenog u programu rada za CZU</w:t>
      </w:r>
      <w:r w:rsidR="00F7283D" w:rsidRPr="00A76AD2">
        <w:rPr>
          <w:rStyle w:val="FootnoteReference"/>
          <w:noProof/>
        </w:rPr>
        <w:footnoteReference w:id="19"/>
      </w:r>
      <w:r w:rsidRPr="00A76AD2">
        <w:rPr>
          <w:noProof/>
        </w:rPr>
        <w:t xml:space="preserve">: BE, DE, DK, GR i HR. Za više pojedinosti vidjeti odjeljak 4.1. </w:t>
      </w:r>
      <w:r w:rsidRPr="00A76AD2">
        <w:rPr>
          <w:noProof/>
          <w:color w:val="000000" w:themeColor="text1"/>
        </w:rPr>
        <w:t>radnog dokumenta službi</w:t>
      </w:r>
      <w:r w:rsidRPr="00A76AD2">
        <w:rPr>
          <w:noProof/>
        </w:rPr>
        <w:t xml:space="preserve"> priloženog ovom izvješću.</w:t>
      </w:r>
    </w:p>
    <w:p w14:paraId="68548EA5" w14:textId="47B3BBA9" w:rsidR="004772B4" w:rsidRPr="00A76AD2" w:rsidRDefault="004772B4" w:rsidP="004772B4">
      <w:pPr>
        <w:rPr>
          <w:noProof/>
        </w:rPr>
      </w:pPr>
      <w:r w:rsidRPr="00A76AD2">
        <w:rPr>
          <w:noProof/>
        </w:rPr>
        <w:t xml:space="preserve">Komisija pažljivo analizira i prati situaciju u pogledu navedenih projekata i poduzima mjere kako bi povećala svoju potporu (vidjeti odjeljak </w:t>
      </w:r>
      <w:r w:rsidR="001D6C64" w:rsidRPr="00A76AD2">
        <w:rPr>
          <w:noProof/>
        </w:rPr>
        <w:fldChar w:fldCharType="begin"/>
      </w:r>
      <w:r w:rsidR="001D6C64" w:rsidRPr="00A76AD2">
        <w:rPr>
          <w:noProof/>
        </w:rPr>
        <w:instrText xml:space="preserve"> REF _Ref73621876 \r \h </w:instrText>
      </w:r>
      <w:r w:rsidR="00C0415F" w:rsidRPr="00A76AD2">
        <w:rPr>
          <w:noProof/>
        </w:rPr>
        <w:instrText xml:space="preserve"> \* MERGEFORMAT </w:instrText>
      </w:r>
      <w:r w:rsidR="001D6C64" w:rsidRPr="00A76AD2">
        <w:rPr>
          <w:noProof/>
        </w:rPr>
      </w:r>
      <w:r w:rsidR="001D6C64" w:rsidRPr="00A76AD2">
        <w:rPr>
          <w:noProof/>
        </w:rPr>
        <w:fldChar w:fldCharType="separate"/>
      </w:r>
      <w:r w:rsidR="00E715A7" w:rsidRPr="00A76AD2">
        <w:rPr>
          <w:noProof/>
        </w:rPr>
        <w:t>4.4</w:t>
      </w:r>
      <w:r w:rsidR="001D6C64" w:rsidRPr="00A76AD2">
        <w:rPr>
          <w:noProof/>
        </w:rPr>
        <w:fldChar w:fldCharType="end"/>
      </w:r>
      <w:r w:rsidRPr="00A76AD2">
        <w:rPr>
          <w:noProof/>
        </w:rPr>
        <w:t xml:space="preserve">. u nastavku). </w:t>
      </w:r>
    </w:p>
    <w:p w14:paraId="7F47330D" w14:textId="1FD96C69" w:rsidR="00015109" w:rsidRPr="00A76AD2" w:rsidRDefault="005F3477" w:rsidP="00B12B59">
      <w:pPr>
        <w:rPr>
          <w:noProof/>
        </w:rPr>
      </w:pPr>
      <w:r w:rsidRPr="00A76AD2">
        <w:rPr>
          <w:noProof/>
        </w:rPr>
        <w:t xml:space="preserve">Zaključak je da je većina država članica usmjerena na provedbu </w:t>
      </w:r>
      <w:r w:rsidRPr="00A76AD2">
        <w:rPr>
          <w:b/>
          <w:noProof/>
        </w:rPr>
        <w:t>nacionalnih projekata</w:t>
      </w:r>
      <w:r w:rsidRPr="00A76AD2">
        <w:rPr>
          <w:noProof/>
        </w:rPr>
        <w:t xml:space="preserve"> unutar novih rokova predviđenih u odstupanjima. Međutim, neke države članice ipak su prijavile kašnjenja izvan rokova utvrđenih nakon što je odobreno odstupanje. Ta bi kašnjenja pak mogla negativno utjecati na uvođenje nacionalnih sastavnica transeuropskih sustava čije je uvođenje planirano za 2023. jer je potrebno uložiti više truda u kraćem razdoblju. Kad je riječ o uvođenju </w:t>
      </w:r>
      <w:r w:rsidRPr="00A76AD2">
        <w:rPr>
          <w:b/>
          <w:noProof/>
        </w:rPr>
        <w:t>nacionalnih sastavnica transeuropskih sustava</w:t>
      </w:r>
      <w:r w:rsidRPr="00A76AD2">
        <w:rPr>
          <w:noProof/>
        </w:rPr>
        <w:t>, neke države članice prijavile su kašnjenja u određenim projektima.</w:t>
      </w:r>
    </w:p>
    <w:p w14:paraId="096E9A54" w14:textId="5B65744C" w:rsidR="00282B17" w:rsidRPr="00A76AD2" w:rsidRDefault="00A33633" w:rsidP="00B548E7">
      <w:pPr>
        <w:keepNext/>
        <w:numPr>
          <w:ilvl w:val="1"/>
          <w:numId w:val="1"/>
        </w:numPr>
        <w:ind w:left="567" w:hanging="567"/>
        <w:outlineLvl w:val="0"/>
        <w:rPr>
          <w:rFonts w:ascii="Times New Roman Bold" w:hAnsi="Times New Roman Bold"/>
          <w:b/>
          <w:bCs/>
          <w:noProof/>
          <w:sz w:val="24"/>
          <w:szCs w:val="24"/>
        </w:rPr>
      </w:pPr>
      <w:bookmarkStart w:id="31" w:name="_Toc117261088"/>
      <w:bookmarkStart w:id="32" w:name="_Ref73621876"/>
      <w:bookmarkStart w:id="33" w:name="_Toc173936648"/>
      <w:bookmarkEnd w:id="31"/>
      <w:r w:rsidRPr="00A76AD2">
        <w:rPr>
          <w:rFonts w:ascii="Times New Roman Bold" w:hAnsi="Times New Roman Bold"/>
          <w:b/>
          <w:noProof/>
          <w:sz w:val="24"/>
        </w:rPr>
        <w:t>Mjere ublažavanja</w:t>
      </w:r>
      <w:bookmarkEnd w:id="32"/>
      <w:bookmarkEnd w:id="33"/>
    </w:p>
    <w:p w14:paraId="6C5D1803" w14:textId="460877CC" w:rsidR="0087778E" w:rsidRPr="00A76AD2" w:rsidRDefault="0087778E" w:rsidP="003029EE">
      <w:pPr>
        <w:rPr>
          <w:noProof/>
        </w:rPr>
      </w:pPr>
      <w:r w:rsidRPr="00A76AD2">
        <w:rPr>
          <w:noProof/>
        </w:rPr>
        <w:t xml:space="preserve">Većina država članica ostvarila je znatan napredak u razvoju transeuropskih sustava, a nekoliko ih je nastojalo uvesti svoje sustave do kraja 2023. u skladu s početnim rokovima i odobrenim odstupanjima. Međutim, u nekima od njih došlo je do kašnjenja, zbog čega su se planovi za uvođenje pomaknuli prema samom kraju vremenskog okvira za uvođenje ili izvan njega. Komisija je pozvala na strogo pridržavanje nacionalnih planova projekata kako bi uvođenje bilo pravodobno. </w:t>
      </w:r>
    </w:p>
    <w:p w14:paraId="6CCDED0F" w14:textId="701A271B" w:rsidR="0077637E" w:rsidRPr="00A76AD2" w:rsidRDefault="0077637E" w:rsidP="0077637E">
      <w:pPr>
        <w:rPr>
          <w:noProof/>
        </w:rPr>
      </w:pPr>
      <w:r w:rsidRPr="00A76AD2">
        <w:rPr>
          <w:noProof/>
        </w:rPr>
        <w:t xml:space="preserve">Te su </w:t>
      </w:r>
      <w:r w:rsidRPr="00A76AD2">
        <w:rPr>
          <w:b/>
          <w:noProof/>
        </w:rPr>
        <w:t>države članice</w:t>
      </w:r>
      <w:r w:rsidRPr="00A76AD2">
        <w:rPr>
          <w:noProof/>
        </w:rPr>
        <w:t xml:space="preserve"> opisale različite mjere ublažavanja usmjerene na rješavanje problema (potencijalnih) kašnjenja i osiguravanje poštovanja zakonskih rokova. Te mjere uključuju dodjelu dodatnih resursa, primjenu agilnih metodologija, podjelu projekata u faze i reorganizaciju odnosa s dobavljačima kako bi se poboljšala učinkovitost i unaprijedila suradnja. Druge države članice planiraju poboljšati organizacijske strukture, pojednostavniti procese i usavršiti planiranje kako bi se unaprijedilo upravljanje projektima i donošenje odluka. Te mjere odnose se na nacionalne i transeuropske projekte.</w:t>
      </w:r>
    </w:p>
    <w:p w14:paraId="3AEF7974" w14:textId="66198EDA" w:rsidR="0077637E" w:rsidRPr="00A76AD2" w:rsidRDefault="001C6589" w:rsidP="00B12B59">
      <w:pPr>
        <w:pStyle w:val="Revision"/>
        <w:spacing w:after="120" w:line="259" w:lineRule="auto"/>
        <w:jc w:val="both"/>
        <w:rPr>
          <w:noProof/>
        </w:rPr>
      </w:pPr>
      <w:r w:rsidRPr="00A76AD2">
        <w:rPr>
          <w:noProof/>
        </w:rPr>
        <w:t xml:space="preserve">S obzirom na kašnjenja u državama članicama </w:t>
      </w:r>
      <w:r w:rsidRPr="00A76AD2">
        <w:rPr>
          <w:b/>
          <w:noProof/>
        </w:rPr>
        <w:t>Komisija intenzivnije pruža potporu državama članicama u okviru nekoliko aktivnosti</w:t>
      </w:r>
      <w:r w:rsidRPr="00A76AD2">
        <w:rPr>
          <w:noProof/>
        </w:rPr>
        <w:t xml:space="preserve">. </w:t>
      </w:r>
    </w:p>
    <w:p w14:paraId="0BBEBA80" w14:textId="728F3620" w:rsidR="001C6589" w:rsidRPr="00A76AD2" w:rsidRDefault="001A061E" w:rsidP="00615C86">
      <w:pPr>
        <w:rPr>
          <w:noProof/>
        </w:rPr>
      </w:pPr>
      <w:r w:rsidRPr="00A76AD2">
        <w:rPr>
          <w:i/>
          <w:noProof/>
        </w:rPr>
        <w:t xml:space="preserve">Prvo, </w:t>
      </w:r>
      <w:r w:rsidRPr="00A76AD2">
        <w:rPr>
          <w:noProof/>
        </w:rPr>
        <w:t>Komisija</w:t>
      </w:r>
      <w:r w:rsidRPr="00A76AD2">
        <w:rPr>
          <w:i/>
          <w:noProof/>
        </w:rPr>
        <w:t xml:space="preserve"> </w:t>
      </w:r>
      <w:r w:rsidRPr="00A76AD2">
        <w:rPr>
          <w:noProof/>
        </w:rPr>
        <w:t xml:space="preserve">je </w:t>
      </w:r>
      <w:r w:rsidRPr="00A76AD2">
        <w:rPr>
          <w:b/>
          <w:noProof/>
        </w:rPr>
        <w:t>poboljšala</w:t>
      </w:r>
      <w:r w:rsidRPr="00A76AD2">
        <w:rPr>
          <w:noProof/>
        </w:rPr>
        <w:t xml:space="preserve"> </w:t>
      </w:r>
      <w:r w:rsidRPr="00A76AD2">
        <w:rPr>
          <w:b/>
          <w:noProof/>
        </w:rPr>
        <w:t>nadzor i praćenje provedbe IT sustava u okviru CZU-a</w:t>
      </w:r>
      <w:r w:rsidRPr="00A76AD2">
        <w:rPr>
          <w:noProof/>
        </w:rPr>
        <w:t xml:space="preserve"> češćim prikupljanjem izvješća o napretku i organiziranjem bilateralnih sastanaka na direktorskoj razini sa svakom državom članicom. O provedbi programa rada za CZU redovito se raspravljalo na pojedinačnim sastancima glavnog direktora s direktorima nacionalnih uprava država članica kao i plenarnim sastancima (u okviru Skupine za carinsku politiku (CPG)). Države članice potaknulo se da poduzmu mjere ublažavanja i podnesu zahtjeve za financiranje u okviru Instrumenta za tehničku potporu do 31. listopada 2023. kako bi im se olakšao rad na razvoju carinskih IT sustava.</w:t>
      </w:r>
    </w:p>
    <w:p w14:paraId="11F66409" w14:textId="1B116DF0" w:rsidR="0077637E" w:rsidRPr="00A76AD2" w:rsidRDefault="0077637E" w:rsidP="0077637E">
      <w:pPr>
        <w:rPr>
          <w:noProof/>
        </w:rPr>
      </w:pPr>
      <w:r w:rsidRPr="00A76AD2">
        <w:rPr>
          <w:noProof/>
        </w:rPr>
        <w:t>Komisija je nastavila upotrebljavati prikaz višegodišnjeg strateškog plana za carinu (MASP-C) na temelju revizije tog plana iz 2019. i programa rada za CZU iz 2019. kako bi pratila napredak i glavne ključne etape projekata te utvrdila kašnjenja u ranoj fazi. Prikaz se na tromjesečnoj osnovi podnosi državama članicama u okviru ECCG-u i trgovinske zajednice u TCG-u. Nadalje, program rada za CZU i MASP-C istodobno se revidiraju u skladu sa strateškim ciljevima.</w:t>
      </w:r>
    </w:p>
    <w:p w14:paraId="34687653" w14:textId="62AAA9BE" w:rsidR="0077637E" w:rsidRPr="00A76AD2" w:rsidRDefault="001A061E" w:rsidP="0077637E">
      <w:pPr>
        <w:rPr>
          <w:noProof/>
        </w:rPr>
      </w:pPr>
      <w:r w:rsidRPr="00A76AD2">
        <w:rPr>
          <w:noProof/>
        </w:rPr>
        <w:t xml:space="preserve">Osim toga, kako je navedeno u programu rada za CZU i reviziji plana MASP-C iz 2019., Komisija utvrđuje posebne privremene etape kako bi se osiguralo neometano uvođenje decentraliziranih transeuropskih sustava i izbjegli dodatni troškovi. </w:t>
      </w:r>
    </w:p>
    <w:p w14:paraId="057BA1A8" w14:textId="568DE92A" w:rsidR="00D30682" w:rsidRPr="00A76AD2" w:rsidRDefault="00252A75" w:rsidP="00D30682">
      <w:pPr>
        <w:rPr>
          <w:noProof/>
        </w:rPr>
      </w:pPr>
      <w:r w:rsidRPr="00A76AD2">
        <w:rPr>
          <w:i/>
          <w:noProof/>
        </w:rPr>
        <w:t>Drugo</w:t>
      </w:r>
      <w:r w:rsidRPr="00A76AD2">
        <w:rPr>
          <w:noProof/>
        </w:rPr>
        <w:t xml:space="preserve">, Komisija je </w:t>
      </w:r>
      <w:r w:rsidRPr="00A76AD2">
        <w:rPr>
          <w:b/>
          <w:noProof/>
        </w:rPr>
        <w:t>pojačala potporu koju pruža državama članicama u vezi s</w:t>
      </w:r>
      <w:r w:rsidRPr="00A76AD2">
        <w:rPr>
          <w:noProof/>
        </w:rPr>
        <w:t xml:space="preserve"> </w:t>
      </w:r>
      <w:r w:rsidRPr="00A76AD2">
        <w:rPr>
          <w:b/>
          <w:noProof/>
        </w:rPr>
        <w:t>transeuropskim sustavima</w:t>
      </w:r>
      <w:r w:rsidRPr="00A76AD2">
        <w:rPr>
          <w:noProof/>
        </w:rPr>
        <w:t xml:space="preserve"> tako što je počela primjenjivati agilan i iterativan pristup razvoju i uvođenju elektroničkih sustava CZU-a. Ta metoda, koja uključuje izradu prototipova, brzo rješavanje problema i uravnoteženo radno opterećenje za Komisiju i države članice, poboljšava kvalitetu sustava i pridonosi ostvarivanju vidljivog napretka.  Takav pristup uspješno je primijenjen u okviru projekata za provedbu </w:t>
      </w:r>
      <w:r w:rsidRPr="00A76AD2">
        <w:rPr>
          <w:i/>
          <w:noProof/>
        </w:rPr>
        <w:t>AES-a</w:t>
      </w:r>
      <w:r w:rsidRPr="00A76AD2">
        <w:rPr>
          <w:noProof/>
        </w:rPr>
        <w:t xml:space="preserve">, </w:t>
      </w:r>
      <w:r w:rsidRPr="00A76AD2">
        <w:rPr>
          <w:i/>
          <w:noProof/>
        </w:rPr>
        <w:t>5. faze NCTS-a</w:t>
      </w:r>
      <w:r w:rsidRPr="00A76AD2">
        <w:rPr>
          <w:noProof/>
        </w:rPr>
        <w:t xml:space="preserve"> i </w:t>
      </w:r>
      <w:r w:rsidRPr="00A76AD2">
        <w:rPr>
          <w:i/>
          <w:noProof/>
        </w:rPr>
        <w:t>sustava ICS2</w:t>
      </w:r>
      <w:r w:rsidRPr="00A76AD2">
        <w:rPr>
          <w:noProof/>
        </w:rPr>
        <w:t xml:space="preserve">, a dobro su ga prihvatile države članice i gospodarski subjekti. </w:t>
      </w:r>
    </w:p>
    <w:p w14:paraId="581D74D6" w14:textId="10D8E8F7" w:rsidR="00D30682" w:rsidRPr="00A76AD2" w:rsidRDefault="00D30682" w:rsidP="00D30682">
      <w:pPr>
        <w:rPr>
          <w:noProof/>
        </w:rPr>
      </w:pPr>
      <w:r w:rsidRPr="00A76AD2">
        <w:rPr>
          <w:noProof/>
        </w:rPr>
        <w:t xml:space="preserve">Nadalje, Komisija je od samog početka provedbe projekata uspostavila mehanizam suradnje među dionicima kako bi se unaprijedile pripremne aktivnosti, spriječile poteškoće u donošenju odluka i osigurala transparentnost redovitim dijeljenjem najnovijih informacija o projektima. </w:t>
      </w:r>
    </w:p>
    <w:p w14:paraId="4BAC2368" w14:textId="539471B3" w:rsidR="00D30682" w:rsidRPr="00A76AD2" w:rsidRDefault="00D30682" w:rsidP="00D30682">
      <w:pPr>
        <w:rPr>
          <w:noProof/>
        </w:rPr>
      </w:pPr>
      <w:r w:rsidRPr="00A76AD2">
        <w:rPr>
          <w:noProof/>
        </w:rPr>
        <w:t>Komisija je isto tako nastavila koordinirati i pratiti programe za svaki od transeuropskih sustava koji zahtijevaju znatnu količinu rada u državama članicama.</w:t>
      </w:r>
    </w:p>
    <w:p w14:paraId="2C61F2AF" w14:textId="4E2B8516" w:rsidR="00282B17" w:rsidRPr="00A76AD2" w:rsidRDefault="00D96BB4" w:rsidP="142D53D2">
      <w:pPr>
        <w:rPr>
          <w:noProof/>
        </w:rPr>
      </w:pPr>
      <w:r w:rsidRPr="00A76AD2">
        <w:rPr>
          <w:noProof/>
        </w:rPr>
        <w:t xml:space="preserve">Dodatne pojedinosti o tim mjerama navedene su u prethodnom izvješću za 2022.   </w:t>
      </w:r>
    </w:p>
    <w:p w14:paraId="0F706FA0" w14:textId="308D01A7" w:rsidR="009337CD" w:rsidRPr="00A76AD2" w:rsidRDefault="00A071C4" w:rsidP="00C866BE">
      <w:pPr>
        <w:pStyle w:val="ListParagraph"/>
        <w:numPr>
          <w:ilvl w:val="0"/>
          <w:numId w:val="25"/>
        </w:numPr>
        <w:rPr>
          <w:noProof/>
        </w:rPr>
      </w:pPr>
      <w:r w:rsidRPr="00A76AD2">
        <w:rPr>
          <w:b/>
          <w:noProof/>
        </w:rPr>
        <w:t>Kad je riječ o transeuropskom sustavu ICS2</w:t>
      </w:r>
      <w:r w:rsidRPr="00A76AD2">
        <w:rPr>
          <w:noProof/>
        </w:rPr>
        <w:t xml:space="preserve">, Komisija je na različite načine pružila potporu državama članicama i gospodarskim subjektima u njihovim razvojnim aktivnostima za </w:t>
      </w:r>
      <w:r w:rsidRPr="00A76AD2">
        <w:rPr>
          <w:i/>
          <w:noProof/>
        </w:rPr>
        <w:t xml:space="preserve">2. verziju sustava ICS2 </w:t>
      </w:r>
      <w:r w:rsidRPr="00A76AD2">
        <w:rPr>
          <w:noProof/>
        </w:rPr>
        <w:t xml:space="preserve">i </w:t>
      </w:r>
      <w:r w:rsidRPr="00A76AD2">
        <w:rPr>
          <w:i/>
          <w:noProof/>
        </w:rPr>
        <w:t>3. verziju sustava ICS2</w:t>
      </w:r>
      <w:r w:rsidRPr="00A76AD2">
        <w:rPr>
          <w:noProof/>
        </w:rPr>
        <w:t xml:space="preserve">. To je uključivalo organizaciju posebnih internetskih seminara, pružanje pomoći u obliku često postavljanih pitanja i koordinaciju plenarnih sastanaka. Pružene su dodatne smjernice kako bi se spriječili poremećaji na vanjskim granicama zbog kašnjenja s </w:t>
      </w:r>
      <w:r w:rsidRPr="00A76AD2">
        <w:rPr>
          <w:i/>
          <w:noProof/>
          <w:color w:val="000000" w:themeColor="text1"/>
        </w:rPr>
        <w:t>2. verzijom sustava ICS2</w:t>
      </w:r>
      <w:r w:rsidRPr="00A76AD2">
        <w:rPr>
          <w:noProof/>
          <w:color w:val="000000" w:themeColor="text1"/>
        </w:rPr>
        <w:t xml:space="preserve"> (odjeljak 4.3.).</w:t>
      </w:r>
      <w:r w:rsidRPr="00A76AD2">
        <w:rPr>
          <w:noProof/>
        </w:rPr>
        <w:t xml:space="preserve"> Pomnim praćenjem osigurana je usklađenost projektnih planova s Komisijinim ključnim etapama isporuke IT sustava. Naposljetku, komunikacijske kampanje, internetski tečajevi osposobljavanja i prilagođeni informativni sažeci stavljeni su na raspolaganje zajedno s dokumentacijom dostupnom u javnoj knjižnici na platformi CIRCABC. </w:t>
      </w:r>
    </w:p>
    <w:p w14:paraId="6E1CEC83" w14:textId="2C852FB9" w:rsidR="00DF6FCA" w:rsidRPr="00A76AD2" w:rsidRDefault="004147D4" w:rsidP="00946A61">
      <w:pPr>
        <w:pStyle w:val="ListParagraph"/>
        <w:numPr>
          <w:ilvl w:val="0"/>
          <w:numId w:val="16"/>
        </w:numPr>
        <w:rPr>
          <w:bCs/>
          <w:noProof/>
        </w:rPr>
      </w:pPr>
      <w:r w:rsidRPr="00A76AD2">
        <w:rPr>
          <w:b/>
          <w:noProof/>
        </w:rPr>
        <w:t xml:space="preserve">Kad je riječ o </w:t>
      </w:r>
      <w:r w:rsidRPr="00A76AD2">
        <w:rPr>
          <w:b/>
          <w:i/>
          <w:noProof/>
        </w:rPr>
        <w:t>5. fazi</w:t>
      </w:r>
      <w:r w:rsidRPr="00A76AD2">
        <w:rPr>
          <w:b/>
          <w:noProof/>
        </w:rPr>
        <w:t xml:space="preserve"> transeuropskog sustava </w:t>
      </w:r>
      <w:r w:rsidRPr="00A76AD2">
        <w:rPr>
          <w:b/>
          <w:i/>
          <w:noProof/>
        </w:rPr>
        <w:t>NCTS</w:t>
      </w:r>
      <w:r w:rsidRPr="00A76AD2">
        <w:rPr>
          <w:b/>
          <w:noProof/>
        </w:rPr>
        <w:t xml:space="preserve"> i transeuropskom sustavu </w:t>
      </w:r>
      <w:r w:rsidRPr="00A76AD2">
        <w:rPr>
          <w:b/>
          <w:i/>
          <w:noProof/>
        </w:rPr>
        <w:t>AES</w:t>
      </w:r>
      <w:r w:rsidRPr="00A76AD2">
        <w:rPr>
          <w:noProof/>
        </w:rPr>
        <w:t xml:space="preserve">, Komisija je nastavila s „programom koordinacije nacionalnih uprava” kako bi državama članicama pružila potporu u razvoju i uvođenju njihovih nacionalnih sastavnica. Program </w:t>
      </w:r>
      <w:r w:rsidRPr="00A76AD2">
        <w:rPr>
          <w:noProof/>
          <w:color w:val="000000" w:themeColor="text1"/>
        </w:rPr>
        <w:t>koordinacije</w:t>
      </w:r>
      <w:r w:rsidRPr="00A76AD2">
        <w:rPr>
          <w:noProof/>
        </w:rPr>
        <w:t xml:space="preserve"> proširen je 2023. u svrhu nadziranja početka rada gospodarskih subjekata, u suradnji s državama članicama:</w:t>
      </w:r>
    </w:p>
    <w:p w14:paraId="1EE47D86" w14:textId="0631E8B8" w:rsidR="00FE2777" w:rsidRPr="00A76AD2" w:rsidRDefault="00DF6FCA" w:rsidP="00946A61">
      <w:pPr>
        <w:pStyle w:val="ListParagraph"/>
        <w:rPr>
          <w:noProof/>
          <w:color w:val="000000" w:themeColor="text1"/>
        </w:rPr>
      </w:pPr>
      <w:r w:rsidRPr="00A76AD2">
        <w:rPr>
          <w:noProof/>
        </w:rPr>
        <w:t xml:space="preserve">Aktivnosti uključuju </w:t>
      </w:r>
      <w:r w:rsidRPr="00A76AD2">
        <w:rPr>
          <w:noProof/>
          <w:color w:val="000000" w:themeColor="text1"/>
        </w:rPr>
        <w:t xml:space="preserve">posebnu službu za pomoć korisnicima, virtualne sastanke za rješavanje problema kašnjenja u razvoju sustava na razini država članica, širenje ažuriranih informacija trgovinskoj zajednici i redovito izvješćivanje ECCG-a i CPG-a. Od prvog tromjesečja 2021. Komisija objavljuje tromjesečna konsolidirana izvješća o napretku u prelasku na nove sustave, u kojima su navedeni ključni pokazatelji uspješnosti za rano otkrivanje upozorenja. </w:t>
      </w:r>
    </w:p>
    <w:p w14:paraId="7AB52D21" w14:textId="229E0980" w:rsidR="00946A61" w:rsidRPr="00A76AD2" w:rsidRDefault="00E02995" w:rsidP="0099694A">
      <w:pPr>
        <w:pStyle w:val="ListParagraph"/>
        <w:numPr>
          <w:ilvl w:val="0"/>
          <w:numId w:val="16"/>
        </w:numPr>
        <w:spacing w:line="259" w:lineRule="auto"/>
        <w:rPr>
          <w:noProof/>
        </w:rPr>
      </w:pPr>
      <w:r w:rsidRPr="00A76AD2">
        <w:rPr>
          <w:b/>
          <w:noProof/>
        </w:rPr>
        <w:t>Kad je riječ o transeuropskom sustavu CCI</w:t>
      </w:r>
      <w:r w:rsidRPr="00A76AD2">
        <w:rPr>
          <w:noProof/>
        </w:rPr>
        <w:t xml:space="preserve">, Komisija je osnovala poseban tim za odgovaranje na pitanja država članica i koordinaciju ispitivanja sukladnosti. </w:t>
      </w:r>
    </w:p>
    <w:p w14:paraId="29B99556" w14:textId="3B6AD02C" w:rsidR="001D24CE" w:rsidRPr="00A76AD2" w:rsidRDefault="003F30AA" w:rsidP="00F07E6D">
      <w:pPr>
        <w:spacing w:line="259" w:lineRule="auto"/>
        <w:rPr>
          <w:noProof/>
        </w:rPr>
      </w:pPr>
      <w:r w:rsidRPr="00A76AD2">
        <w:rPr>
          <w:i/>
          <w:noProof/>
        </w:rPr>
        <w:t>Treće,</w:t>
      </w:r>
      <w:r w:rsidRPr="00A76AD2">
        <w:rPr>
          <w:noProof/>
        </w:rPr>
        <w:t xml:space="preserve"> Komisija je zatražila informacije država članica o ograničenjima s kojima se suočavaju i o potpori koja im je potrebna za ublažavanje rizika. Države članice sudjelovale su u </w:t>
      </w:r>
      <w:r w:rsidRPr="00A76AD2">
        <w:rPr>
          <w:b/>
          <w:noProof/>
        </w:rPr>
        <w:t>istraživanju</w:t>
      </w:r>
      <w:r w:rsidRPr="00A76AD2">
        <w:rPr>
          <w:noProof/>
        </w:rPr>
        <w:t xml:space="preserve"> u kojem su navele da su bilateralni sastanci na direktorskoj razini i tehnički dijalog s GU-om TAXUD bili vrlo korisni. Tehničke internetske seminare i aktivnosti razmjene informacija koje omogućuje Komisija ocijenile su korisnima. Neke države članice predložile su pružanje dodatnih operativnih smjernica, pomoći gospodarskim subjektima i sveobuhvatnog osposobljavanja koje nadilazi postojeće mogućnosti. </w:t>
      </w:r>
    </w:p>
    <w:p w14:paraId="3846A71F" w14:textId="2E5467E6" w:rsidR="00E02995" w:rsidRPr="00A76AD2" w:rsidRDefault="001D24CE" w:rsidP="00E02995">
      <w:pPr>
        <w:pStyle w:val="Revision"/>
        <w:spacing w:after="120" w:line="259" w:lineRule="auto"/>
        <w:jc w:val="both"/>
        <w:rPr>
          <w:rFonts w:eastAsia="PMingLiU"/>
          <w:noProof/>
        </w:rPr>
      </w:pPr>
      <w:r w:rsidRPr="00A76AD2">
        <w:rPr>
          <w:i/>
          <w:noProof/>
        </w:rPr>
        <w:t>Četvrto</w:t>
      </w:r>
      <w:r w:rsidRPr="00A76AD2">
        <w:rPr>
          <w:noProof/>
        </w:rPr>
        <w:t xml:space="preserve">, na temelju rezultata istraživanja i bilateralnih rasprava s državama članicama pokazalo se da je često razlog kašnjenja upravo nedostatak odgovarajućeg financiranja. U tu je svrhu Komisija uspostavila namjensku </w:t>
      </w:r>
      <w:r w:rsidRPr="00A76AD2">
        <w:rPr>
          <w:b/>
          <w:noProof/>
        </w:rPr>
        <w:t xml:space="preserve">vodeću inicijativu TSI 2024. </w:t>
      </w:r>
      <w:r w:rsidRPr="00A76AD2">
        <w:rPr>
          <w:noProof/>
        </w:rPr>
        <w:t xml:space="preserve">u okviru Instrumenta za tehničku potporu (TSI), koja je usmjerena na digitalizaciju carina i poreza, a posebno na provedbu IT sustava u okviru CZU-a. Zbog toga je šest država članica podnijelo prijedloge za pružanje potpore u području carinskih IT sustava. Razmatranja prijedloga su u tijeku i bit će dovršena početkom 2024. u cilju pružanja potpore u drugom tromjesečju 2024. </w:t>
      </w:r>
    </w:p>
    <w:p w14:paraId="4A8501DB" w14:textId="4F84E108" w:rsidR="001D24CE" w:rsidRPr="00A76AD2" w:rsidRDefault="00E02995" w:rsidP="003029EE">
      <w:pPr>
        <w:pStyle w:val="Revision"/>
        <w:spacing w:after="120" w:line="259" w:lineRule="auto"/>
        <w:jc w:val="both"/>
        <w:rPr>
          <w:rFonts w:eastAsia="PMingLiU"/>
          <w:noProof/>
        </w:rPr>
      </w:pPr>
      <w:r w:rsidRPr="00A76AD2">
        <w:rPr>
          <w:i/>
          <w:noProof/>
        </w:rPr>
        <w:t>Peto</w:t>
      </w:r>
      <w:r w:rsidRPr="00A76AD2">
        <w:rPr>
          <w:noProof/>
        </w:rPr>
        <w:t xml:space="preserve">, kako bi se odgovorilo na posebne potrebe država članica u svakodnevnom upravljanju carinskim IT projektima u okviru CZU-a, Komisija je sklopila </w:t>
      </w:r>
      <w:r w:rsidRPr="00A76AD2">
        <w:rPr>
          <w:b/>
          <w:noProof/>
        </w:rPr>
        <w:t>ugovor s konzultantskim društvom</w:t>
      </w:r>
      <w:r w:rsidRPr="00A76AD2">
        <w:rPr>
          <w:noProof/>
        </w:rPr>
        <w:t xml:space="preserve"> za pružanje izravne potpore ovisno o potrebama i pitanjima kako bi se riješili problemi kašnjenja. Prvi pilot-projekt koji je obuhvatio tri države članice (FR, MT, GR) započeo je u četvrtom tromjesečju 2023. i traje do drugog tromjesečja 2024.  Ovisno o ishodu, daljnje aktivnosti mogle bi se početi provoditi 2024.</w:t>
      </w:r>
    </w:p>
    <w:p w14:paraId="346F06C5" w14:textId="73007926" w:rsidR="003B707C" w:rsidRPr="00A76AD2" w:rsidRDefault="00E02995" w:rsidP="007270C7">
      <w:pPr>
        <w:rPr>
          <w:noProof/>
        </w:rPr>
      </w:pPr>
      <w:r w:rsidRPr="00A76AD2">
        <w:rPr>
          <w:i/>
          <w:noProof/>
        </w:rPr>
        <w:t>Naposljetku</w:t>
      </w:r>
      <w:r w:rsidRPr="00A76AD2">
        <w:rPr>
          <w:noProof/>
        </w:rPr>
        <w:t>, Komisija je pokrenula i postupak za prikupljanje stečenih iskustava i najboljih primjera iz prakse za razvoj IT projekata. Istraživanje je provedeno 2023., a rezultati su uvršteni u radni dokument službi. Za više pojedinosti vidjeti 6. stranicu dokumenta priloženog ovom izvješću.</w:t>
      </w:r>
    </w:p>
    <w:p w14:paraId="0D42D4A0" w14:textId="4CC25AC0" w:rsidR="003F30AA" w:rsidRPr="00A76AD2" w:rsidRDefault="0087778E" w:rsidP="007270C7">
      <w:pPr>
        <w:rPr>
          <w:noProof/>
        </w:rPr>
      </w:pPr>
      <w:r w:rsidRPr="00A76AD2">
        <w:rPr>
          <w:noProof/>
        </w:rPr>
        <w:t xml:space="preserve">Budući da se približavamo kraju 2025., od država članica zatraženo je da u novom programu rada za CZU ustraju na ispunjavanju rokova. Za potpunu provedbu IT sustava u okviru CZU-a preostale su još samo dvije godine. </w:t>
      </w:r>
      <w:r w:rsidRPr="00A76AD2">
        <w:rPr>
          <w:b/>
          <w:noProof/>
        </w:rPr>
        <w:t>Potrebno je uložiti izuzetan trud i smjesta djelovati</w:t>
      </w:r>
      <w:r w:rsidRPr="00A76AD2">
        <w:rPr>
          <w:noProof/>
        </w:rPr>
        <w:t xml:space="preserve"> kako bi se izbjegla kašnjenja i osigurao kontinuitet poslovanja za transeuropske sustave. </w:t>
      </w:r>
    </w:p>
    <w:p w14:paraId="1083A18E" w14:textId="3DB45136" w:rsidR="000802E9" w:rsidRPr="00A76AD2" w:rsidRDefault="000D2968" w:rsidP="007270C7">
      <w:pPr>
        <w:rPr>
          <w:noProof/>
        </w:rPr>
      </w:pPr>
      <w:r w:rsidRPr="00A76AD2">
        <w:rPr>
          <w:noProof/>
        </w:rPr>
        <w:t>Iako Komisija na mnogo načina pruža potporu, kao što je prethodno opisano, na primjer prilagodbom datuma u novom programu rada za CZU i utvrđivanjem ostvarivih rokova, odgovornost za razvoj i uvođenje nacionalnih sastavnica i sustava snose države članice. Podjela uloga utvrđena je i dogovorena sa svim dionicima od samog početka te bi se trebala poštovati tijekom cijelog životnog ciklusa projekata.</w:t>
      </w:r>
    </w:p>
    <w:p w14:paraId="19CF76BB" w14:textId="3188F7F0" w:rsidR="007105D6" w:rsidRPr="00A76AD2" w:rsidRDefault="003973FB" w:rsidP="006B6C96">
      <w:pPr>
        <w:keepNext/>
        <w:numPr>
          <w:ilvl w:val="1"/>
          <w:numId w:val="1"/>
        </w:numPr>
        <w:ind w:left="567" w:hanging="567"/>
        <w:outlineLvl w:val="0"/>
        <w:rPr>
          <w:rFonts w:ascii="Times New Roman Bold" w:hAnsi="Times New Roman Bold"/>
          <w:b/>
          <w:bCs/>
          <w:noProof/>
          <w:sz w:val="24"/>
          <w:szCs w:val="24"/>
        </w:rPr>
      </w:pPr>
      <w:bookmarkStart w:id="34" w:name="_Toc164064191"/>
      <w:bookmarkStart w:id="35" w:name="_Toc173936649"/>
      <w:bookmarkEnd w:id="34"/>
      <w:r w:rsidRPr="00A76AD2">
        <w:rPr>
          <w:rFonts w:ascii="Times New Roman Bold" w:hAnsi="Times New Roman Bold"/>
          <w:b/>
          <w:noProof/>
          <w:sz w:val="24"/>
        </w:rPr>
        <w:t>Trenutačno stanje u zemljama kandidatkinjama ili potencijalnim zemljama kandidatkinjama</w:t>
      </w:r>
      <w:bookmarkEnd w:id="35"/>
    </w:p>
    <w:p w14:paraId="2E9B17DB" w14:textId="09AD520C" w:rsidR="001B6C9B" w:rsidRPr="00A76AD2" w:rsidRDefault="001B6C9B" w:rsidP="003973FB">
      <w:pPr>
        <w:rPr>
          <w:noProof/>
        </w:rPr>
      </w:pPr>
      <w:r w:rsidRPr="00A76AD2">
        <w:rPr>
          <w:noProof/>
        </w:rPr>
        <w:t xml:space="preserve">U prelasku na modernizirane elektroničke sustave predviđene u okviru CZU-a te s obzirom na nove informatičke pristupe utvrđene u prijedlogu reforme, buduće proširenje EU-a morat će se uzeti u obzir. </w:t>
      </w:r>
    </w:p>
    <w:p w14:paraId="1CCCF800" w14:textId="00C1C225" w:rsidR="003B756F" w:rsidRPr="00A76AD2" w:rsidRDefault="001B6C9B" w:rsidP="003973FB">
      <w:pPr>
        <w:rPr>
          <w:noProof/>
        </w:rPr>
      </w:pPr>
      <w:r w:rsidRPr="00A76AD2">
        <w:rPr>
          <w:noProof/>
        </w:rPr>
        <w:t xml:space="preserve">Komisija trenutačno ne prati sustavno napredak zemalja kandidatkinja prema potpunom uvođenju elektroničkih sustava i one nemaju obvezu izvješćivanja na temelju članka 278.a CZU-a. Međutim, razvoj njihovih IT sustava koji im omogućuju usklađivanje s carinskim zakonodavstvom EU-a među ključnim je elementima EU-ovih redovitih procjena za mjerenje napretka zemalja kandidatkinja koje su na putu pridruživanja u odnosu na njihove sporazume o pridruživanju s EU-om. </w:t>
      </w:r>
    </w:p>
    <w:p w14:paraId="584F6F3D" w14:textId="0D368CBC" w:rsidR="00120883" w:rsidRPr="00A76AD2" w:rsidRDefault="007571C5" w:rsidP="003973FB">
      <w:pPr>
        <w:rPr>
          <w:noProof/>
        </w:rPr>
      </w:pPr>
      <w:r w:rsidRPr="00A76AD2">
        <w:rPr>
          <w:noProof/>
        </w:rPr>
        <w:t>Neke od tih zemalja već koriste, a druge se pripremaju koristiti:</w:t>
      </w:r>
    </w:p>
    <w:p w14:paraId="5FA8188F" w14:textId="301EFAE7" w:rsidR="00120883" w:rsidRPr="00A76AD2" w:rsidRDefault="00120883" w:rsidP="00F07E6D">
      <w:pPr>
        <w:pStyle w:val="ListParagraph"/>
        <w:numPr>
          <w:ilvl w:val="3"/>
          <w:numId w:val="14"/>
        </w:numPr>
        <w:rPr>
          <w:noProof/>
        </w:rPr>
      </w:pPr>
      <w:r w:rsidRPr="00A76AD2">
        <w:rPr>
          <w:noProof/>
        </w:rPr>
        <w:t>NCTS kao IT sustav za potporu provedbi odredaba Konvencije o zajedničkom provoznom postupku;</w:t>
      </w:r>
    </w:p>
    <w:p w14:paraId="2F644CAA" w14:textId="12E59F87" w:rsidR="00120883" w:rsidRPr="00A76AD2" w:rsidRDefault="008715DF" w:rsidP="00F07E6D">
      <w:pPr>
        <w:pStyle w:val="ListParagraph"/>
        <w:numPr>
          <w:ilvl w:val="3"/>
          <w:numId w:val="14"/>
        </w:numPr>
        <w:rPr>
          <w:noProof/>
        </w:rPr>
      </w:pPr>
      <w:r w:rsidRPr="00A76AD2">
        <w:rPr>
          <w:noProof/>
        </w:rPr>
        <w:t>povezane IT sustave za uzajamno priznavanje s programom EU-a za ovlaštene gospodarske subjekte.</w:t>
      </w:r>
    </w:p>
    <w:p w14:paraId="17311C72" w14:textId="77777777" w:rsidR="008715DF" w:rsidRPr="00A76AD2" w:rsidRDefault="008715DF" w:rsidP="008715DF">
      <w:pPr>
        <w:pStyle w:val="ListParagraph"/>
        <w:rPr>
          <w:noProof/>
        </w:rPr>
      </w:pPr>
    </w:p>
    <w:p w14:paraId="5807E961" w14:textId="4BD757E0" w:rsidR="008715DF" w:rsidRPr="00A76AD2" w:rsidRDefault="008715DF" w:rsidP="008715DF">
      <w:pPr>
        <w:rPr>
          <w:noProof/>
        </w:rPr>
      </w:pPr>
      <w:r w:rsidRPr="00A76AD2">
        <w:rPr>
          <w:noProof/>
        </w:rPr>
        <w:t xml:space="preserve">Zemlje kandidatkinje u različitim su fazama spremnosti za primjenu ta dva IT sustava: Sjeverna Makedonija, Srbija, Turska i Ukrajina već su ugovorne stranke Konvencije o zajedničkom provoznom postupku pa već u potpunosti koriste NCTS u različitim fazama. Samo je Moldova razvila sustav za uzajamno priznavanje ovlaštenih gospodarskih subjekata s EU-om, iako se Ukrajina, Gruzija i Turska pripremaju za to i razvijaju svoje nacionalne IT sustave. </w:t>
      </w:r>
    </w:p>
    <w:p w14:paraId="031B38F4" w14:textId="685CA2D0" w:rsidR="00EB051B" w:rsidRPr="00A76AD2" w:rsidRDefault="00C82656" w:rsidP="008715DF">
      <w:pPr>
        <w:rPr>
          <w:noProof/>
        </w:rPr>
      </w:pPr>
      <w:bookmarkStart w:id="36" w:name="_Hlk162262181"/>
      <w:r w:rsidRPr="00A76AD2">
        <w:rPr>
          <w:noProof/>
        </w:rPr>
        <w:t xml:space="preserve">Zemlje kandidatkinje morat će se postupno povezati sa sustavima CZU-a ili ih uvoditi na svojem putu prema pristupanju carinskom području EU-a, a ovisno o planiranom datumu pristupanja možda će biti nužno i da se usklade s funkcionalnostima budućeg carinskog podatkovnog centra predloženima u paketu za carinsku reformu od 17. svibnja 2023. i pridruže tom sveobuhvatnom projektu. </w:t>
      </w:r>
    </w:p>
    <w:bookmarkEnd w:id="36"/>
    <w:p w14:paraId="75079945" w14:textId="66517194" w:rsidR="008715DF" w:rsidRPr="00A76AD2" w:rsidRDefault="00BF5599" w:rsidP="006B6C96">
      <w:pPr>
        <w:rPr>
          <w:noProof/>
        </w:rPr>
      </w:pPr>
      <w:r w:rsidRPr="00A76AD2">
        <w:rPr>
          <w:noProof/>
        </w:rPr>
        <w:t xml:space="preserve">U budućnosti će u okviru priprema zemalja kandidatkinja za pridruživanje biti potrebno da one redovito podnose izvješća da se redovito ispituje sukladnost kako bi se osigurala interoperabilnost nacionalnih sustava i sustava država članica i Komisije ili podatkovnog centra te da EU redovito procjenjuje njihovu uspješnost. </w:t>
      </w:r>
    </w:p>
    <w:p w14:paraId="22703644" w14:textId="3F9051D3" w:rsidR="00282B17" w:rsidRPr="00A76AD2" w:rsidRDefault="00B548E7" w:rsidP="0093547A">
      <w:pPr>
        <w:keepNext/>
        <w:numPr>
          <w:ilvl w:val="0"/>
          <w:numId w:val="1"/>
        </w:numPr>
        <w:ind w:left="432" w:hanging="432"/>
        <w:outlineLvl w:val="0"/>
        <w:rPr>
          <w:b/>
          <w:caps/>
          <w:smallCaps/>
          <w:noProof/>
          <w:sz w:val="24"/>
          <w:szCs w:val="24"/>
        </w:rPr>
      </w:pPr>
      <w:bookmarkStart w:id="37" w:name="_Toc117261090"/>
      <w:bookmarkStart w:id="38" w:name="_Toc51832874"/>
      <w:bookmarkStart w:id="39" w:name="_Toc51832875"/>
      <w:bookmarkStart w:id="40" w:name="_Toc52475150"/>
      <w:bookmarkStart w:id="41" w:name="_Ref73536869"/>
      <w:bookmarkStart w:id="42" w:name="_Ref73536875"/>
      <w:bookmarkStart w:id="43" w:name="_Ref73621895"/>
      <w:bookmarkStart w:id="44" w:name="_Ref73621922"/>
      <w:bookmarkStart w:id="45" w:name="_Ref73621936"/>
      <w:bookmarkStart w:id="46" w:name="_Ref137491449"/>
      <w:bookmarkStart w:id="47" w:name="_Toc173936650"/>
      <w:bookmarkEnd w:id="37"/>
      <w:bookmarkEnd w:id="38"/>
      <w:bookmarkEnd w:id="39"/>
      <w:r w:rsidRPr="00A76AD2">
        <w:rPr>
          <w:b/>
          <w:caps/>
          <w:smallCaps/>
          <w:noProof/>
          <w:sz w:val="24"/>
        </w:rPr>
        <w:t>Sažetak o upravljanju i zaključci</w:t>
      </w:r>
      <w:bookmarkEnd w:id="40"/>
      <w:bookmarkEnd w:id="41"/>
      <w:bookmarkEnd w:id="42"/>
      <w:bookmarkEnd w:id="43"/>
      <w:bookmarkEnd w:id="44"/>
      <w:bookmarkEnd w:id="45"/>
      <w:bookmarkEnd w:id="46"/>
      <w:bookmarkEnd w:id="47"/>
    </w:p>
    <w:p w14:paraId="4914DED3" w14:textId="77777777" w:rsidR="00F75CDA" w:rsidRPr="00A76AD2" w:rsidRDefault="001D4BAB">
      <w:pPr>
        <w:rPr>
          <w:noProof/>
        </w:rPr>
      </w:pPr>
      <w:r w:rsidRPr="00A76AD2">
        <w:rPr>
          <w:noProof/>
        </w:rPr>
        <w:t xml:space="preserve">Provedba IT sustava u okviru CZU-a zajednički je projekt od zajedničkog interesa. Svi dionici iznimno su mu posvećeni od samog početka 2014., kad je donesen prvi program rada za CZU. </w:t>
      </w:r>
    </w:p>
    <w:p w14:paraId="1A1CF89E" w14:textId="332D3A33" w:rsidR="00B43975" w:rsidRPr="00A76AD2" w:rsidRDefault="006B3683" w:rsidP="00023E5E">
      <w:pPr>
        <w:rPr>
          <w:noProof/>
        </w:rPr>
      </w:pPr>
      <w:r w:rsidRPr="00A76AD2">
        <w:rPr>
          <w:noProof/>
        </w:rPr>
        <w:t xml:space="preserve">U kontekstu izrade ovog izvješća Komisija je pažljivo ocijenila podatke koje su dionici dostavili u prvoj polovini 2023. Iz tih podataka proizlazi neujednačena sliku napretka u provedbi IT sustava u okviru CZU-a: iako je Komisija na dobrom putu sa svim svojim aktivnostima, u državama članicama ukupni napredak nije toliko pozitivan i razlika među njima postala je očiglednija nego što je bila 2022. </w:t>
      </w:r>
    </w:p>
    <w:p w14:paraId="6E66D170" w14:textId="34372F14" w:rsidR="00B43975" w:rsidRPr="00A76AD2" w:rsidRDefault="00B43975" w:rsidP="00023E5E">
      <w:pPr>
        <w:rPr>
          <w:noProof/>
        </w:rPr>
      </w:pPr>
      <w:r w:rsidRPr="00A76AD2">
        <w:rPr>
          <w:noProof/>
        </w:rPr>
        <w:t>Napredak država članica i učinci kašnjenja</w:t>
      </w:r>
    </w:p>
    <w:p w14:paraId="41C42CE4" w14:textId="63B88A09" w:rsidR="001D4BAB" w:rsidRPr="00A76AD2" w:rsidRDefault="006B3683" w:rsidP="00023E5E">
      <w:pPr>
        <w:rPr>
          <w:noProof/>
        </w:rPr>
      </w:pPr>
      <w:r w:rsidRPr="00A76AD2">
        <w:rPr>
          <w:noProof/>
        </w:rPr>
        <w:t>Zbog kašnjenja u nacionalnim sustavima došlo je do jasnih negativnih učinaka na isporuku nacionalnih sastavnica transeuropskih sustava, što je izravno utjecalo na druge države članice i gospodarske subjekte. Neka od tih kašnjenja dovode u pitanje rokove utvrđene u zakonodavstvu CZU-a i time potencijalno uzrokuju: (a) pokretanje postupaka zbog povrede i (b) nepotpunu provedbu potpune automatizacije carinskih postupaka i olakšavanja trgovine te ujedno i izostanak procijenjenih koristi za privatni sektor i druge pogođene države članice, koji su uložili ogromne resurse kako bi mogli ispuniti rokove.</w:t>
      </w:r>
    </w:p>
    <w:p w14:paraId="41390AFA" w14:textId="77777777" w:rsidR="00897936" w:rsidRPr="00A76AD2" w:rsidRDefault="00897936" w:rsidP="00897936">
      <w:pPr>
        <w:rPr>
          <w:noProof/>
        </w:rPr>
      </w:pPr>
      <w:r w:rsidRPr="00A76AD2">
        <w:rPr>
          <w:noProof/>
        </w:rPr>
        <w:t xml:space="preserve">U tu su svrhu ta pitanja razmotrena u kontekstu revizije programa rada za CZU te je u novom programu rada za CZU dogovoren novi pristup, u kojem se prednost daje ključnim procesima te se osigurava više vremena za potpunu provedbu projekta i dovršetak složenog prelaska sa svim gospodarskim subjektima, koji su u okviru TCG-a također istaknuli kašnjenja s kojima se suočavaju. </w:t>
      </w:r>
    </w:p>
    <w:p w14:paraId="4466E77F" w14:textId="77777777" w:rsidR="00897936" w:rsidRPr="00A76AD2" w:rsidRDefault="00897936" w:rsidP="00897936">
      <w:pPr>
        <w:rPr>
          <w:noProof/>
        </w:rPr>
      </w:pPr>
      <w:r w:rsidRPr="00A76AD2">
        <w:rPr>
          <w:noProof/>
        </w:rPr>
        <w:t>Premda provedba većine projektnih aktivnosti Komisije ne ovisi o napretku na nacionalnoj razini, određene vrste aktivnosti, kao što je ispitivanje sukladnosti nacionalne sastavnice transeuropskog sustava, zahtijevaju blisku suradnju Komisije i država članica. Zbog tog kolateralnog učinka može se primijetiti da kašnjenja u uvođenju nacionalnih sastavnica u određenim državama članicama utječu na ukupna postignuća u provedbi transeuropskih projekata te na provedbu CZU-a u cijelosti.</w:t>
      </w:r>
    </w:p>
    <w:p w14:paraId="48B0EE28" w14:textId="77777777" w:rsidR="00B43975" w:rsidRPr="00A76AD2" w:rsidRDefault="00B43975" w:rsidP="00B43975">
      <w:pPr>
        <w:rPr>
          <w:noProof/>
        </w:rPr>
      </w:pPr>
      <w:r w:rsidRPr="00A76AD2">
        <w:rPr>
          <w:noProof/>
        </w:rPr>
        <w:t>U skladu s člankom 6. stavkom 4. CZU-a odstupanja se određenim državama članicama mogu odobriti samo ako ne utječu na razmjenu informacija između države članice kojoj su one upućene i drugih država članica niti na razmjenu i pohranu informacija u drugim državama članicama za potrebe primjene carinskog zakonodavstva. Kašnjenje određenih država članica u uvođenju nekih od potrebnih sustava negativno utječe na osiguravanje jednakih uvjeta za subjekte u cijeloj Uniji jer su ti sustavi namijenjeni pružanju jednakih mogućnosti gospodarskim subjektima u svim državama članicama. Nadalje, zbog prirode različitih sustava promjene potrebne radi usklađivanja sa zahtjevima CZU-a utječu i na druge povezane ili ovisne IT sustave, a neke od njih imaju i važnu ulogu u zaštiti prihoda i borbi protiv nepoštene i nezakonite trgovine.</w:t>
      </w:r>
    </w:p>
    <w:p w14:paraId="4A0E8A6B" w14:textId="4EB3881D" w:rsidR="00686374" w:rsidRPr="00A76AD2" w:rsidRDefault="006B3683">
      <w:pPr>
        <w:rPr>
          <w:noProof/>
        </w:rPr>
      </w:pPr>
      <w:r w:rsidRPr="00A76AD2">
        <w:rPr>
          <w:noProof/>
        </w:rPr>
        <w:t xml:space="preserve">Komisija je razmotrila zahtjeve država članica za odstupanje i procijenila kašnjenja u transeuropskim sustavima. Na temelju toga je 2023. doneseno pet odluka o odstupanju i revizija programa rada za CZU. Komisija je istodobno pokrenula i reviziju plana MASP-C. Zahvaljujući tome što su 2023. glavni direktori u Skupini za carinsku politiku odobrili novi plan MASP-C, a Komisija 15. prosinca 2023. donijela novi program rada za CZU, osiguran je revidirani pravni i operativni okvir te nova osnova za mjerenje napretka projekata koji su u tijeku. </w:t>
      </w:r>
    </w:p>
    <w:p w14:paraId="516D2815" w14:textId="47A1400C" w:rsidR="007808D1" w:rsidRPr="00A76AD2" w:rsidRDefault="00F75CDA" w:rsidP="00D23239">
      <w:pPr>
        <w:rPr>
          <w:noProof/>
        </w:rPr>
      </w:pPr>
      <w:r w:rsidRPr="00A76AD2">
        <w:rPr>
          <w:noProof/>
        </w:rPr>
        <w:t>Novi program rada za CZU namijenjen je usmjeravanju država članica prema zajedničkoj i izvedivoj provedbi projekata koji su u tijeku te omogućuje veću fleksibilnost u pogledu poštovanja konačnih rokova uz istodobno zadržavanje pritiska koji je potreban za potpunu provedbu programa rada za CZU do 31. prosinca 2025. Kako je prikazano zelenom bojom na slici u nastavku, provedba se nastavlja odvijati prema 2025.</w:t>
      </w:r>
    </w:p>
    <w:p w14:paraId="2D583FFB" w14:textId="4416116A" w:rsidR="007808D1" w:rsidRPr="00A76AD2" w:rsidRDefault="007808D1" w:rsidP="00D23239">
      <w:pPr>
        <w:rPr>
          <w:noProof/>
        </w:rPr>
      </w:pPr>
    </w:p>
    <w:p w14:paraId="0555A024" w14:textId="34E7F927" w:rsidR="00B13691" w:rsidRPr="00A76AD2" w:rsidRDefault="00502583" w:rsidP="00844D01">
      <w:pPr>
        <w:pStyle w:val="Caption"/>
        <w:rPr>
          <w:noProof/>
        </w:rPr>
      </w:pPr>
      <w:r w:rsidRPr="00502583">
        <w:rPr>
          <w:noProof/>
          <w:lang w:val="en-GB" w:eastAsia="en-GB"/>
        </w:rPr>
        <w:drawing>
          <wp:inline distT="0" distB="0" distL="0" distR="0" wp14:anchorId="2D234641" wp14:editId="03811CFE">
            <wp:extent cx="5760720" cy="337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3379470"/>
                    </a:xfrm>
                    <a:prstGeom prst="rect">
                      <a:avLst/>
                    </a:prstGeom>
                    <a:noFill/>
                    <a:ln>
                      <a:noFill/>
                    </a:ln>
                  </pic:spPr>
                </pic:pic>
              </a:graphicData>
            </a:graphic>
          </wp:inline>
        </w:drawing>
      </w:r>
      <w:r w:rsidR="00D23239" w:rsidRPr="00A76AD2">
        <w:rPr>
          <w:noProof/>
        </w:rPr>
        <w:t xml:space="preserve"> Slika 4: Pregled planiranja</w:t>
      </w:r>
    </w:p>
    <w:p w14:paraId="64B616EA" w14:textId="40ED449E" w:rsidR="007808D1" w:rsidRPr="00A76AD2" w:rsidRDefault="007808D1" w:rsidP="00D23239">
      <w:pPr>
        <w:rPr>
          <w:noProof/>
        </w:rPr>
      </w:pPr>
    </w:p>
    <w:p w14:paraId="1E185E09" w14:textId="53415E4D" w:rsidR="00F66093" w:rsidRPr="00A76AD2" w:rsidRDefault="003029EE" w:rsidP="00EA18C7">
      <w:pPr>
        <w:rPr>
          <w:noProof/>
        </w:rPr>
      </w:pPr>
      <w:r w:rsidRPr="00A76AD2">
        <w:rPr>
          <w:noProof/>
        </w:rPr>
        <w:t xml:space="preserve">Kad je riječ o napretku država članica, može se primijetiti da se očekuje da će </w:t>
      </w:r>
      <w:r w:rsidRPr="00A76AD2">
        <w:rPr>
          <w:b/>
          <w:noProof/>
        </w:rPr>
        <w:t>oko 71 % država članica kojima je odobreno odstupanje</w:t>
      </w:r>
      <w:r w:rsidRPr="00A76AD2">
        <w:rPr>
          <w:noProof/>
        </w:rPr>
        <w:t xml:space="preserve"> za nacionalne sustave ulaska/uvoza i 2. verziju sustava ICS2 ispuniti rok od 31. prosinca 2023. Treba napomenuti da se uvođenja koja su u tijeku uglavnom odnose na privremeni smještaj i modernizaciju nacionalnog sustava uvoza (NIS). Ta kašnjenja ne utječu samo na provedbu transeuropskih projekata, kao što je centralizirano carinjenje pri uvozu, nego i produljuju prijelazno razdoblje za gospodarske subjekte, što ometa procese i onemogućuje usklađivanje podataka.</w:t>
      </w:r>
    </w:p>
    <w:p w14:paraId="1176DC5E" w14:textId="12214230" w:rsidR="3C329334" w:rsidRPr="00A76AD2" w:rsidRDefault="00F66093" w:rsidP="19E4DD3A">
      <w:pPr>
        <w:rPr>
          <w:noProof/>
        </w:rPr>
      </w:pPr>
      <w:r w:rsidRPr="00A76AD2">
        <w:rPr>
          <w:noProof/>
        </w:rPr>
        <w:t>Isto tako, kašnjenja u NIS-u otežavaju podnošenje podataka u sustav Surveillance 3. S obzirom na njegovu ključnu ulogu u praćenju transakcija i trgovinskih tokova, došlo je do negativnih učinaka u određenim sektorima, kao što je poljoprivredno tržište. Osim toga, uspostava NIS-a ključna je kako bi se osigurala ujednačena provedba Zajedničke carinske tarife Unije. To podrazumijeva pružanje potpore državama članicama u procjeni rizika u području carinskog zakonodavstva i osiguravanje ujednačenosti carinskih provjera, borbu protiv izbjegavanja mjera i sankcija, zaštitu Unije od nepoštene i nezakonite trgovine (uključujući zahtjeve povezane s mehanizmom za ugljičnu prilagodbu na granicama).</w:t>
      </w:r>
    </w:p>
    <w:p w14:paraId="789E2D97" w14:textId="5CFD0F1A" w:rsidR="007808D1" w:rsidRPr="00A76AD2" w:rsidRDefault="00F66093" w:rsidP="007808D1">
      <w:pPr>
        <w:rPr>
          <w:noProof/>
        </w:rPr>
      </w:pPr>
      <w:r w:rsidRPr="00A76AD2">
        <w:rPr>
          <w:noProof/>
        </w:rPr>
        <w:t>Kad se pogleda ukupna slika u odnosu na novi program rada za CZU, mogu se utvrditi tri kategorije za budući razvoj:</w:t>
      </w:r>
    </w:p>
    <w:p w14:paraId="50879FC2" w14:textId="798CE058" w:rsidR="00430941" w:rsidRPr="00A76AD2" w:rsidRDefault="00F72811" w:rsidP="003029EE">
      <w:pPr>
        <w:rPr>
          <w:noProof/>
        </w:rPr>
      </w:pPr>
      <w:r w:rsidRPr="00A76AD2">
        <w:rPr>
          <w:b/>
          <w:noProof/>
        </w:rPr>
        <w:t xml:space="preserve">Otprilike 60 % država članica najavilo je da će moći uvesti sve svoje sustave unutar projektnih rokova </w:t>
      </w:r>
      <w:r w:rsidRPr="00A76AD2">
        <w:rPr>
          <w:noProof/>
        </w:rPr>
        <w:t>utvrđenih u novom programu rada za CZU za naredne dvije godine. Ispunile su svoje obveze, a u slučaju ograničenog kašnjenja za vrlo mali broj sustava čini se da imaju uspostavljene odgovarajuće alate za upravljanje koji će im omogućiti učinkovito otklanjanje mogućih nedostataka. Razina rizika od neispunjavanja roka 2025. je niska.</w:t>
      </w:r>
    </w:p>
    <w:p w14:paraId="7E08BF92" w14:textId="2E0AC03E" w:rsidR="00430941" w:rsidRPr="00A76AD2" w:rsidRDefault="00F72811" w:rsidP="003029EE">
      <w:pPr>
        <w:rPr>
          <w:noProof/>
        </w:rPr>
      </w:pPr>
      <w:r w:rsidRPr="00A76AD2">
        <w:rPr>
          <w:b/>
          <w:noProof/>
        </w:rPr>
        <w:t>Otprilike 25 – 30 % država članica navelo je da se njihova situacija pogoršala od 2022.</w:t>
      </w:r>
      <w:r w:rsidRPr="00A76AD2">
        <w:rPr>
          <w:noProof/>
        </w:rPr>
        <w:t xml:space="preserve"> Čini se da se kašnjenja dodatno gomilaju. Revidiranim programom rada za CZU ostavlja im se više mogućnosti za smanjenje razine neispunjavanja rokova, no ako ne započnu s provedbom snažnih mjera ublažavanja, postoji rizik da neće ispuniti projektne rokove za jedan ili više sustava. Razina rizika od neispunjavanja roka 2025. je srednja. </w:t>
      </w:r>
    </w:p>
    <w:p w14:paraId="63C37D66" w14:textId="2741B505" w:rsidR="00B43975" w:rsidRPr="00A76AD2" w:rsidRDefault="007808D1" w:rsidP="003029EE">
      <w:pPr>
        <w:rPr>
          <w:noProof/>
        </w:rPr>
      </w:pPr>
      <w:r w:rsidRPr="00A76AD2">
        <w:rPr>
          <w:b/>
          <w:noProof/>
        </w:rPr>
        <w:t xml:space="preserve">U otprilike 10 – 15 % država članica kašnjenja za većinu preostalih sustava su znatna. </w:t>
      </w:r>
      <w:r w:rsidRPr="00A76AD2">
        <w:rPr>
          <w:noProof/>
        </w:rPr>
        <w:t>Te države članice imaju poteškoća u prevladavanju kašnjenja i najvjerojatnije neće ispuniti niz projektnih rokova, neovisno o pruženim intervencijama. Riječ je o posljedicama problema u području javne nabave, nepostojanja agilnog upravljanja projektima, izostanka stabilnog i pouzdanog planiranja za postizanje rezultata te kontinuiranih strukturnih problema u upravama koje pogađaju gotovo sve projekte u okviru CZU-a. Čak i s novim programom rada za CZU, potpuna provedba IT sustava u okviru CZU-a i dalje je iznimno problematična. Razina rizika od neispunjavanja roka 2025. je visoka.</w:t>
      </w:r>
    </w:p>
    <w:p w14:paraId="49918574" w14:textId="5A77AD09" w:rsidR="00D23239" w:rsidRPr="00A76AD2" w:rsidRDefault="00BA535C" w:rsidP="00D23239">
      <w:pPr>
        <w:rPr>
          <w:noProof/>
        </w:rPr>
      </w:pPr>
      <w:r w:rsidRPr="00A76AD2">
        <w:rPr>
          <w:noProof/>
        </w:rPr>
        <w:t>Svi dionici trebaju usmjeriti svoj trud i ulaganja na ispunjavanje zakonskih rokova utvrđenih u novom programu rada CZU-a. Komisija će nastaviti pomno pratiti stanje na razini programa i projekata tijekom sljedeće dvije godine, čemu će pridonijeti bilateralni i plenarni sastanci s državama članicama. Nedavno sklopljeni ugovor o savjetovanju za potporu državama članicama u provedbi IT sustava u okviru CZU-a mogao bi imati određeni učinak na olakšavanje postupka ili djelomično pridonijeti smanjenju kašnjenja u nekim državama članicama. Države članice mogle bi imati koristi i od potpore koja se pruža u okviru Instrumenta za tehničku potporu 2024., barem za odobrene projekte. U obje situacije Komisija i niz država članica ostvaruju napredak.</w:t>
      </w:r>
    </w:p>
    <w:p w14:paraId="16CB777D" w14:textId="537B2C87" w:rsidR="003075F0" w:rsidRPr="00A76AD2" w:rsidRDefault="00A45743" w:rsidP="00692448">
      <w:pPr>
        <w:rPr>
          <w:noProof/>
        </w:rPr>
      </w:pPr>
      <w:r w:rsidRPr="00A76AD2">
        <w:rPr>
          <w:noProof/>
        </w:rPr>
        <w:t xml:space="preserve">U tom kontekstu nagomilanih kašnjenja u provedbi CZU-a u državama članicama važno je da Komisija istraži i moguću primjenu drugih dostupnih instrumenata za rješavanje posljedica koje kašnjenje ima na države članice koje znatno zaostaju s uvođenjem. </w:t>
      </w:r>
    </w:p>
    <w:p w14:paraId="6EB97E24" w14:textId="1E39B6E8" w:rsidR="00D23239" w:rsidRPr="00A76AD2" w:rsidRDefault="00D23239" w:rsidP="00D23239">
      <w:pPr>
        <w:rPr>
          <w:noProof/>
        </w:rPr>
      </w:pPr>
    </w:p>
    <w:p w14:paraId="357B690C" w14:textId="77777777" w:rsidR="00D23239" w:rsidRPr="00A76AD2" w:rsidRDefault="00D23239">
      <w:pPr>
        <w:rPr>
          <w:noProof/>
        </w:rPr>
      </w:pPr>
    </w:p>
    <w:sectPr w:rsidR="00D23239" w:rsidRPr="00A76AD2">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90B6C" w14:textId="77777777" w:rsidR="00636834" w:rsidRDefault="00636834">
      <w:pPr>
        <w:spacing w:after="0"/>
      </w:pPr>
      <w:r>
        <w:separator/>
      </w:r>
    </w:p>
  </w:endnote>
  <w:endnote w:type="continuationSeparator" w:id="0">
    <w:p w14:paraId="4F5BECC1" w14:textId="77777777" w:rsidR="00636834" w:rsidRDefault="00636834">
      <w:pPr>
        <w:spacing w:after="0"/>
      </w:pPr>
      <w:r>
        <w:continuationSeparator/>
      </w:r>
    </w:p>
  </w:endnote>
  <w:endnote w:type="continuationNotice" w:id="1">
    <w:p w14:paraId="6DE75518" w14:textId="77777777" w:rsidR="00636834" w:rsidRDefault="0063683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ource Sans Pro">
    <w:altName w:val="Cambria Math"/>
    <w:charset w:val="00"/>
    <w:family w:val="swiss"/>
    <w:pitch w:val="variable"/>
    <w:sig w:usb0="600002F7" w:usb1="02000001"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8D71B" w14:textId="5E43DF9E" w:rsidR="00A82FC7" w:rsidRPr="00A82FC7" w:rsidRDefault="00A82FC7" w:rsidP="00A82FC7">
    <w:pPr>
      <w:pStyle w:val="FooterCoverPage"/>
      <w:rPr>
        <w:rFonts w:ascii="Arial" w:hAnsi="Arial" w:cs="Arial"/>
        <w:b/>
        <w:sz w:val="48"/>
      </w:rPr>
    </w:pPr>
    <w:r w:rsidRPr="00A82FC7">
      <w:rPr>
        <w:rFonts w:ascii="Arial" w:hAnsi="Arial" w:cs="Arial"/>
        <w:b/>
        <w:sz w:val="48"/>
      </w:rPr>
      <w:t>HR</w:t>
    </w:r>
    <w:r w:rsidRPr="00A82FC7">
      <w:rPr>
        <w:rFonts w:ascii="Arial" w:hAnsi="Arial" w:cs="Arial"/>
        <w:b/>
        <w:sz w:val="48"/>
      </w:rPr>
      <w:tab/>
    </w:r>
    <w:r w:rsidRPr="00A82FC7">
      <w:rPr>
        <w:rFonts w:ascii="Arial" w:hAnsi="Arial" w:cs="Arial"/>
        <w:b/>
        <w:sz w:val="48"/>
      </w:rPr>
      <w:tab/>
    </w:r>
    <w:r w:rsidRPr="00A82FC7">
      <w:tab/>
    </w:r>
    <w:r w:rsidRPr="00A82FC7">
      <w:rPr>
        <w:rFonts w:ascii="Arial" w:hAnsi="Arial" w:cs="Arial"/>
        <w:b/>
        <w:sz w:val="48"/>
      </w:rP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CB1EB" w14:textId="0273EB94" w:rsidR="00A82FC7" w:rsidRPr="00A82FC7" w:rsidRDefault="00A82FC7" w:rsidP="00A82FC7">
    <w:pPr>
      <w:pStyle w:val="FooterCoverPage"/>
      <w:rPr>
        <w:rFonts w:ascii="Arial" w:hAnsi="Arial" w:cs="Arial"/>
        <w:b/>
        <w:sz w:val="48"/>
      </w:rPr>
    </w:pPr>
    <w:r w:rsidRPr="00A82FC7">
      <w:rPr>
        <w:rFonts w:ascii="Arial" w:hAnsi="Arial" w:cs="Arial"/>
        <w:b/>
        <w:sz w:val="48"/>
      </w:rPr>
      <w:t>HR</w:t>
    </w:r>
    <w:r w:rsidRPr="00A82FC7">
      <w:rPr>
        <w:rFonts w:ascii="Arial" w:hAnsi="Arial" w:cs="Arial"/>
        <w:b/>
        <w:sz w:val="48"/>
      </w:rPr>
      <w:tab/>
    </w:r>
    <w:r w:rsidRPr="00A82FC7">
      <w:rPr>
        <w:rFonts w:ascii="Arial" w:hAnsi="Arial" w:cs="Arial"/>
        <w:b/>
        <w:sz w:val="48"/>
      </w:rPr>
      <w:tab/>
    </w:r>
    <w:r w:rsidRPr="00A82FC7">
      <w:tab/>
    </w:r>
    <w:r w:rsidRPr="00A82FC7">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FC8AA" w14:textId="77777777" w:rsidR="00A82FC7" w:rsidRPr="00A82FC7" w:rsidRDefault="00A82FC7" w:rsidP="00A82FC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F47E8" w14:textId="77777777" w:rsidR="008411A2" w:rsidRDefault="008411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325616"/>
      <w:docPartObj>
        <w:docPartGallery w:val="Page Numbers (Bottom of Page)"/>
        <w:docPartUnique/>
      </w:docPartObj>
    </w:sdtPr>
    <w:sdtEndPr>
      <w:rPr>
        <w:noProof/>
      </w:rPr>
    </w:sdtEndPr>
    <w:sdtContent>
      <w:p w14:paraId="569C1E76" w14:textId="2594ED39" w:rsidR="008411A2" w:rsidRDefault="008411A2">
        <w:pPr>
          <w:pStyle w:val="Footer"/>
          <w:jc w:val="right"/>
        </w:pPr>
        <w:r>
          <w:fldChar w:fldCharType="begin"/>
        </w:r>
        <w:r>
          <w:instrText xml:space="preserve"> PAGE   \* MERGEFORMAT </w:instrText>
        </w:r>
        <w:r>
          <w:fldChar w:fldCharType="separate"/>
        </w:r>
        <w:r w:rsidR="00A82FC7">
          <w:rPr>
            <w:noProof/>
          </w:rPr>
          <w:t>1</w:t>
        </w:r>
        <w:r>
          <w:fldChar w:fldCharType="end"/>
        </w:r>
      </w:p>
    </w:sdtContent>
  </w:sdt>
  <w:p w14:paraId="3E498868" w14:textId="77777777" w:rsidR="008411A2" w:rsidRDefault="008411A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31309" w14:textId="77777777" w:rsidR="008411A2" w:rsidRDefault="00841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F2379D" w14:textId="77777777" w:rsidR="00636834" w:rsidRDefault="00636834">
      <w:pPr>
        <w:spacing w:after="0"/>
      </w:pPr>
      <w:r>
        <w:separator/>
      </w:r>
    </w:p>
  </w:footnote>
  <w:footnote w:type="continuationSeparator" w:id="0">
    <w:p w14:paraId="6DF434F2" w14:textId="77777777" w:rsidR="00636834" w:rsidRDefault="00636834">
      <w:pPr>
        <w:spacing w:after="0"/>
      </w:pPr>
      <w:r>
        <w:continuationSeparator/>
      </w:r>
    </w:p>
  </w:footnote>
  <w:footnote w:type="continuationNotice" w:id="1">
    <w:p w14:paraId="3627648B" w14:textId="77777777" w:rsidR="00636834" w:rsidRDefault="00636834">
      <w:pPr>
        <w:spacing w:after="0"/>
      </w:pPr>
    </w:p>
  </w:footnote>
  <w:footnote w:id="2">
    <w:p w14:paraId="40327057" w14:textId="77777777" w:rsidR="00EF4F29" w:rsidRPr="00037710" w:rsidRDefault="00EF4F29" w:rsidP="00EF4F29">
      <w:pPr>
        <w:pStyle w:val="FootnoteText"/>
        <w:rPr>
          <w:sz w:val="18"/>
          <w:szCs w:val="18"/>
        </w:rPr>
      </w:pPr>
      <w:r>
        <w:rPr>
          <w:rStyle w:val="FootnoteReference"/>
        </w:rPr>
        <w:footnoteRef/>
      </w:r>
      <w:r>
        <w:t xml:space="preserve"> </w:t>
      </w:r>
      <w:r>
        <w:rPr>
          <w:sz w:val="18"/>
        </w:rPr>
        <w:t>Uredba (EU) br. 952/2013 Europskog parlamenta i Vijeća od 9. listopada 2013. o Carinskom zakoniku Unije, SL L 269, 10.10.2013., str. 1.</w:t>
      </w:r>
    </w:p>
  </w:footnote>
  <w:footnote w:id="3">
    <w:p w14:paraId="6A0C84C2" w14:textId="77777777" w:rsidR="00EF4F29" w:rsidRPr="002A43BD" w:rsidRDefault="00EF4F29" w:rsidP="00EF4F29">
      <w:pPr>
        <w:pStyle w:val="FootnoteText"/>
        <w:rPr>
          <w:sz w:val="18"/>
          <w:szCs w:val="18"/>
        </w:rPr>
      </w:pPr>
      <w:r>
        <w:rPr>
          <w:rStyle w:val="FootnoteReference"/>
        </w:rPr>
        <w:footnoteRef/>
      </w:r>
      <w:r>
        <w:t xml:space="preserve"> </w:t>
      </w:r>
      <w:r>
        <w:rPr>
          <w:sz w:val="18"/>
        </w:rPr>
        <w:t xml:space="preserve">Izvješće Komisije Europskom parlamentu i Vijeću: </w:t>
      </w:r>
    </w:p>
    <w:p w14:paraId="7D4DE76E" w14:textId="77777777" w:rsidR="00EF4F29" w:rsidRPr="007368F5" w:rsidRDefault="00EF4F29" w:rsidP="00EF4F29">
      <w:pPr>
        <w:pStyle w:val="FootnoteText"/>
        <w:rPr>
          <w:sz w:val="18"/>
          <w:szCs w:val="18"/>
        </w:rPr>
      </w:pPr>
      <w:r>
        <w:rPr>
          <w:sz w:val="18"/>
        </w:rPr>
        <w:t xml:space="preserve">za 2019.: </w:t>
      </w:r>
      <w:hyperlink r:id="rId1" w:history="1">
        <w:r>
          <w:rPr>
            <w:rStyle w:val="Hyperlink"/>
            <w:sz w:val="18"/>
          </w:rPr>
          <w:t>https://eur-lex.europa.eu/legal-content/EN/ALL/?uri=CELEX%3A52019SC0434</w:t>
        </w:r>
      </w:hyperlink>
      <w:r>
        <w:rPr>
          <w:sz w:val="18"/>
        </w:rPr>
        <w:t>;</w:t>
      </w:r>
    </w:p>
    <w:p w14:paraId="30B468D0" w14:textId="77777777" w:rsidR="00EF4F29" w:rsidRPr="002A43BD" w:rsidRDefault="00EF4F29" w:rsidP="00EF4F29">
      <w:pPr>
        <w:pStyle w:val="FootnoteText"/>
        <w:rPr>
          <w:sz w:val="18"/>
          <w:szCs w:val="18"/>
        </w:rPr>
      </w:pPr>
      <w:r>
        <w:rPr>
          <w:sz w:val="18"/>
        </w:rPr>
        <w:t xml:space="preserve">za 2020.: </w:t>
      </w:r>
      <w:hyperlink r:id="rId2" w:history="1">
        <w:r>
          <w:rPr>
            <w:rStyle w:val="Hyperlink"/>
            <w:sz w:val="18"/>
          </w:rPr>
          <w:t>https://eur-lex.europa.eu/legal-content/EN/TXT/?uri=CELEX%3A52020SC0339</w:t>
        </w:r>
      </w:hyperlink>
      <w:r>
        <w:rPr>
          <w:sz w:val="18"/>
        </w:rPr>
        <w:t>;</w:t>
      </w:r>
    </w:p>
    <w:p w14:paraId="1425C52A" w14:textId="77777777" w:rsidR="00EF4F29" w:rsidRPr="00C0030F" w:rsidRDefault="00EF4F29" w:rsidP="00EF4F29">
      <w:pPr>
        <w:pStyle w:val="FootnoteText"/>
        <w:rPr>
          <w:rStyle w:val="Hyperlink"/>
          <w:sz w:val="18"/>
          <w:szCs w:val="18"/>
        </w:rPr>
      </w:pPr>
      <w:r>
        <w:rPr>
          <w:sz w:val="18"/>
        </w:rPr>
        <w:t>za 2021.:</w:t>
      </w:r>
      <w:r>
        <w:rPr>
          <w:rStyle w:val="Hyperlink"/>
          <w:sz w:val="18"/>
          <w:u w:val="none"/>
        </w:rPr>
        <w:t xml:space="preserve"> </w:t>
      </w:r>
      <w:hyperlink r:id="rId3" w:history="1">
        <w:r>
          <w:rPr>
            <w:rStyle w:val="Hyperlink"/>
            <w:sz w:val="18"/>
          </w:rPr>
          <w:t>https://eur-lex.europa.eu/legal-content/EN/TXT/?uri=CELEX%3A52021SC0382</w:t>
        </w:r>
      </w:hyperlink>
      <w:r>
        <w:rPr>
          <w:rStyle w:val="Hyperlink"/>
          <w:color w:val="auto"/>
          <w:sz w:val="18"/>
          <w:u w:val="none"/>
        </w:rPr>
        <w:t>;</w:t>
      </w:r>
    </w:p>
    <w:p w14:paraId="08098852" w14:textId="77777777" w:rsidR="00EF4F29" w:rsidRPr="006F7AEF" w:rsidRDefault="00EF4F29" w:rsidP="00EF4F29">
      <w:pPr>
        <w:pStyle w:val="FootnoteText"/>
        <w:rPr>
          <w:sz w:val="18"/>
          <w:szCs w:val="18"/>
        </w:rPr>
      </w:pPr>
      <w:r>
        <w:rPr>
          <w:sz w:val="18"/>
        </w:rPr>
        <w:t>za 2022.:</w:t>
      </w:r>
      <w:r>
        <w:t xml:space="preserve"> </w:t>
      </w:r>
      <w:hyperlink r:id="rId4" w:history="1">
        <w:r>
          <w:rPr>
            <w:rStyle w:val="Hyperlink"/>
            <w:sz w:val="18"/>
          </w:rPr>
          <w:t>https://eur-lex.europa.eu/legal-content/EN/TXT/?uri=CELEX%3A52023SC0029</w:t>
        </w:r>
      </w:hyperlink>
      <w:r>
        <w:rPr>
          <w:rStyle w:val="Hyperlink"/>
          <w:color w:val="auto"/>
          <w:sz w:val="18"/>
          <w:u w:val="none"/>
        </w:rPr>
        <w:t>.</w:t>
      </w:r>
    </w:p>
  </w:footnote>
  <w:footnote w:id="4">
    <w:p w14:paraId="5C5A50BF" w14:textId="77777777" w:rsidR="00EF4F29" w:rsidRDefault="00EF4F29" w:rsidP="00EF4F29">
      <w:pPr>
        <w:pStyle w:val="FootnoteText"/>
        <w:rPr>
          <w:sz w:val="18"/>
          <w:szCs w:val="18"/>
        </w:rPr>
      </w:pPr>
      <w:r>
        <w:rPr>
          <w:rStyle w:val="FootnoteReference"/>
        </w:rPr>
        <w:footnoteRef/>
      </w:r>
      <w:r>
        <w:t xml:space="preserve"> </w:t>
      </w:r>
      <w:r>
        <w:rPr>
          <w:sz w:val="18"/>
        </w:rPr>
        <w:t xml:space="preserve">Provedbena odluka Komisije (EU) 2019/2151 od 13. prosinca 2019. o uspostavi programa rada u pogledu razvoja i uvođenja elektroničkih sustava iz Carinskog zakonika Unije, </w:t>
      </w:r>
      <w:r>
        <w:rPr>
          <w:rStyle w:val="Emphasis"/>
          <w:i w:val="0"/>
          <w:sz w:val="18"/>
          <w:shd w:val="clear" w:color="auto" w:fill="FFFFFF"/>
        </w:rPr>
        <w:t xml:space="preserve">SL L 325, 16.12.2019., str. 168., </w:t>
      </w:r>
      <w:hyperlink r:id="rId5" w:history="1">
        <w:r>
          <w:rPr>
            <w:rStyle w:val="Hyperlink"/>
            <w:sz w:val="18"/>
          </w:rPr>
          <w:t>https://eur-lex.europa.eu/legal-content/HR/TXT/?uri=CELEX%3A32019D2151</w:t>
        </w:r>
      </w:hyperlink>
      <w:r>
        <w:rPr>
          <w:sz w:val="18"/>
        </w:rPr>
        <w:t>.</w:t>
      </w:r>
    </w:p>
  </w:footnote>
  <w:footnote w:id="5">
    <w:p w14:paraId="0D67D16E" w14:textId="77777777" w:rsidR="0084206A" w:rsidRDefault="0084206A" w:rsidP="0084206A">
      <w:pPr>
        <w:pStyle w:val="FootnoteText"/>
        <w:rPr>
          <w:sz w:val="18"/>
          <w:szCs w:val="18"/>
        </w:rPr>
      </w:pPr>
      <w:r>
        <w:rPr>
          <w:rStyle w:val="FootnoteReference"/>
        </w:rPr>
        <w:footnoteRef/>
      </w:r>
      <w:r>
        <w:t xml:space="preserve"> </w:t>
      </w:r>
      <w:r>
        <w:rPr>
          <w:sz w:val="18"/>
        </w:rPr>
        <w:t>Uredba (EU) 2019/632 Europskog parlamenta i Vijeća od 17. travnja 2019. o izmjeni Uredbe (EU) br. 952/2013 radi produljenja prijelazne uporabe sredstava koja nisu tehnike elektroničke obrade podataka predviđene u Carinskom zakoniku Unije (SL L 111, 25.4.2019., str. 54.).</w:t>
      </w:r>
    </w:p>
  </w:footnote>
  <w:footnote w:id="6">
    <w:p w14:paraId="35F443A7" w14:textId="50ED43F1" w:rsidR="00504539" w:rsidRPr="00EC3D89" w:rsidRDefault="00504539">
      <w:pPr>
        <w:pStyle w:val="FootnoteText"/>
        <w:rPr>
          <w:rStyle w:val="Hyperlink"/>
        </w:rPr>
      </w:pPr>
      <w:r>
        <w:rPr>
          <w:rStyle w:val="FootnoteReference"/>
        </w:rPr>
        <w:footnoteRef/>
      </w:r>
      <w:r>
        <w:t xml:space="preserve"> </w:t>
      </w:r>
      <w:r>
        <w:rPr>
          <w:sz w:val="18"/>
        </w:rPr>
        <w:t xml:space="preserve">Provedbena odluka Komisije (EU) 2023/2879 оd 15. prosinca 2023. o uspostavi programa rada za razvoj i uvođenje elektroničkih sustava iz Carinskog zakonika Unije, SL L 202302879, 22.12.2023., str. 1., </w:t>
      </w:r>
      <w:hyperlink r:id="rId6" w:history="1">
        <w:r>
          <w:rPr>
            <w:rStyle w:val="Hyperlink"/>
            <w:sz w:val="18"/>
          </w:rPr>
          <w:t>https://eur-lex.europa.eu/legal-content/HR/TXT/PDF/?uri=OJ:L_202302879</w:t>
        </w:r>
      </w:hyperlink>
      <w:r>
        <w:rPr>
          <w:rStyle w:val="Hyperlink"/>
        </w:rPr>
        <w:t>.</w:t>
      </w:r>
    </w:p>
  </w:footnote>
  <w:footnote w:id="7">
    <w:p w14:paraId="51F72CBF" w14:textId="48C44E21" w:rsidR="00123E71" w:rsidRPr="00272859" w:rsidRDefault="00123E71" w:rsidP="00123E71">
      <w:pPr>
        <w:pStyle w:val="FootnoteText"/>
        <w:rPr>
          <w:sz w:val="18"/>
          <w:szCs w:val="18"/>
        </w:rPr>
      </w:pPr>
      <w:r>
        <w:rPr>
          <w:rStyle w:val="FootnoteReference"/>
        </w:rPr>
        <w:footnoteRef/>
      </w:r>
      <w:r>
        <w:t xml:space="preserve"> </w:t>
      </w:r>
      <w:r>
        <w:rPr>
          <w:sz w:val="18"/>
        </w:rPr>
        <w:t>Radni dokument službi Komisije uz Izvješće Komisije Europskom parlamentu i Vijeću u skladu s člankom 278.a Carinskog zakonika Unije o napretku u razvoju elektroničkih sustava predviđenih Zakonikom, SWD(2024) XX final.</w:t>
      </w:r>
    </w:p>
  </w:footnote>
  <w:footnote w:id="8">
    <w:p w14:paraId="7186C7EC" w14:textId="5B83F1AA" w:rsidR="001521FE" w:rsidRPr="00C46E2A" w:rsidRDefault="001521FE" w:rsidP="001521FE">
      <w:pPr>
        <w:pStyle w:val="FootnoteText"/>
        <w:rPr>
          <w:sz w:val="18"/>
          <w:szCs w:val="18"/>
        </w:rPr>
      </w:pPr>
      <w:r>
        <w:rPr>
          <w:rStyle w:val="FootnoteReference"/>
        </w:rPr>
        <w:footnoteRef/>
      </w:r>
      <w:r>
        <w:t xml:space="preserve"> </w:t>
      </w:r>
      <w:r>
        <w:rPr>
          <w:sz w:val="18"/>
        </w:rPr>
        <w:t>Provedbena odluka Komisije (EU) 2023/438 оd 24. veljače 2023. o odobravanju odstupanja koje su zatražile određene države članice na temelju Uredbe (EU) br. 952/2013 Europskog parlamenta i Vijeća radi upotrebe sredstava koja nisu tehnike elektroničke obrade podataka za razmjenu i pohranu informacija za drugo izdanje sustava za kontrolu uvoza druge generacije (SL L 63, 28.2.2023., str. 56.).</w:t>
      </w:r>
    </w:p>
  </w:footnote>
  <w:footnote w:id="9">
    <w:p w14:paraId="1679B699" w14:textId="3984CF35" w:rsidR="00C46E2A" w:rsidRPr="00C46E2A" w:rsidRDefault="00C46E2A" w:rsidP="00613293">
      <w:pPr>
        <w:pStyle w:val="FootnoteText"/>
      </w:pPr>
      <w:r>
        <w:rPr>
          <w:rStyle w:val="FootnoteReference"/>
          <w:sz w:val="18"/>
          <w:szCs w:val="18"/>
        </w:rPr>
        <w:footnoteRef/>
      </w:r>
      <w:r>
        <w:rPr>
          <w:sz w:val="18"/>
        </w:rPr>
        <w:t xml:space="preserve"> Datum je u skladu s time ažuriran u reviziji programa rada za CZU za 2023.</w:t>
      </w:r>
    </w:p>
  </w:footnote>
  <w:footnote w:id="10">
    <w:p w14:paraId="70DF3524" w14:textId="4E82F992" w:rsidR="00CF5964" w:rsidRPr="00D247B2" w:rsidRDefault="00CF5964" w:rsidP="00CF5964">
      <w:pPr>
        <w:pStyle w:val="FootnoteText"/>
        <w:rPr>
          <w:sz w:val="18"/>
          <w:szCs w:val="18"/>
        </w:rPr>
      </w:pPr>
      <w:r>
        <w:rPr>
          <w:rStyle w:val="FootnoteReference"/>
          <w:sz w:val="18"/>
          <w:szCs w:val="18"/>
        </w:rPr>
        <w:footnoteRef/>
      </w:r>
      <w:r>
        <w:rPr>
          <w:sz w:val="18"/>
        </w:rPr>
        <w:t xml:space="preserve"> Pristup je predstavljen 2023. u kontekstu revizije programa rada za CZU i višegodišnjeg strateškog plana za carinu (MASP-C). Predviđeno je da će vremenski okvir za uvođenje </w:t>
      </w:r>
      <w:r>
        <w:rPr>
          <w:i/>
          <w:sz w:val="18"/>
        </w:rPr>
        <w:t xml:space="preserve">1. faze CCI-ja </w:t>
      </w:r>
      <w:r>
        <w:rPr>
          <w:sz w:val="18"/>
        </w:rPr>
        <w:t>trajati do kraja drugog tromjesečja 2024., a rok za konačno uvođenje je 1. srpnja 2024.</w:t>
      </w:r>
    </w:p>
  </w:footnote>
  <w:footnote w:id="11">
    <w:p w14:paraId="481AD3A4" w14:textId="77777777" w:rsidR="00B60C66" w:rsidRPr="00AF6487" w:rsidRDefault="00B60C66" w:rsidP="00B60C66">
      <w:pPr>
        <w:pStyle w:val="FootnoteText"/>
        <w:rPr>
          <w:sz w:val="18"/>
          <w:szCs w:val="18"/>
        </w:rPr>
      </w:pPr>
      <w:r>
        <w:rPr>
          <w:rStyle w:val="FootnoteReference"/>
          <w:sz w:val="18"/>
          <w:szCs w:val="18"/>
        </w:rPr>
        <w:footnoteRef/>
      </w:r>
      <w:r>
        <w:rPr>
          <w:sz w:val="18"/>
        </w:rPr>
        <w:t xml:space="preserve"> Kako je predviđeno u novom programu rada za CZU, </w:t>
      </w:r>
      <w:r>
        <w:rPr>
          <w:i/>
          <w:sz w:val="18"/>
        </w:rPr>
        <w:t xml:space="preserve">5. faza NCTS-a </w:t>
      </w:r>
      <w:r>
        <w:rPr>
          <w:sz w:val="18"/>
        </w:rPr>
        <w:t xml:space="preserve">bit će u potpunosti uvedena do 21. veljače 2025. Prelazak s </w:t>
      </w:r>
      <w:r>
        <w:rPr>
          <w:i/>
          <w:sz w:val="18"/>
        </w:rPr>
        <w:t>5. faze NCTS-a</w:t>
      </w:r>
      <w:r>
        <w:rPr>
          <w:sz w:val="18"/>
        </w:rPr>
        <w:t xml:space="preserve"> na </w:t>
      </w:r>
      <w:r>
        <w:rPr>
          <w:i/>
          <w:sz w:val="18"/>
        </w:rPr>
        <w:t>6. fazu NCTS-a</w:t>
      </w:r>
      <w:r>
        <w:rPr>
          <w:sz w:val="18"/>
        </w:rPr>
        <w:t xml:space="preserve"> predviđen je u razdoblju od 1. ožujka 2025. do 1. rujna 2025., odnosno u istom razdoblju u kojem će doći do prelaska s </w:t>
      </w:r>
      <w:r>
        <w:rPr>
          <w:i/>
          <w:sz w:val="18"/>
        </w:rPr>
        <w:t>2. verzije sustava ICS2</w:t>
      </w:r>
      <w:r>
        <w:rPr>
          <w:sz w:val="18"/>
        </w:rPr>
        <w:t xml:space="preserve"> na </w:t>
      </w:r>
      <w:r>
        <w:rPr>
          <w:i/>
          <w:sz w:val="18"/>
        </w:rPr>
        <w:t>3. verziju sustava ICS2</w:t>
      </w:r>
      <w:r>
        <w:rPr>
          <w:sz w:val="18"/>
        </w:rPr>
        <w:t>, što će omogućiti sinkronizaciju tih sustava.</w:t>
      </w:r>
    </w:p>
  </w:footnote>
  <w:footnote w:id="12">
    <w:p w14:paraId="32975455" w14:textId="6065D98C" w:rsidR="3C329334" w:rsidRDefault="3C329334" w:rsidP="3C329334">
      <w:pPr>
        <w:rPr>
          <w:sz w:val="18"/>
          <w:szCs w:val="18"/>
        </w:rPr>
      </w:pPr>
      <w:r>
        <w:rPr>
          <w:rStyle w:val="FootnoteReference"/>
          <w:sz w:val="20"/>
          <w:szCs w:val="20"/>
        </w:rPr>
        <w:footnoteRef/>
      </w:r>
      <w:r>
        <w:rPr>
          <w:rStyle w:val="FootnoteReference"/>
          <w:sz w:val="20"/>
        </w:rPr>
        <w:t xml:space="preserve"> </w:t>
      </w:r>
      <w:r>
        <w:rPr>
          <w:sz w:val="18"/>
        </w:rPr>
        <w:t>Taj vremenski okvir isključuje izvoznu sastavnicu nacionalnog sustava posebnih postupaka, čije su aktivnosti i planiranje međusobno povezani s automatiziranim izvoznim sustavom (AES).</w:t>
      </w:r>
    </w:p>
  </w:footnote>
  <w:footnote w:id="13">
    <w:p w14:paraId="61D20B3B" w14:textId="4966B362" w:rsidR="00EC3F3E" w:rsidRDefault="00C753C4" w:rsidP="00EC3F3E">
      <w:pPr>
        <w:pStyle w:val="FootnoteText"/>
        <w:rPr>
          <w:sz w:val="18"/>
          <w:szCs w:val="18"/>
        </w:rPr>
      </w:pPr>
      <w:r>
        <w:rPr>
          <w:rStyle w:val="FootnoteReference"/>
        </w:rPr>
        <w:footnoteRef/>
      </w:r>
      <w:r>
        <w:t xml:space="preserve"> </w:t>
      </w:r>
      <w:r>
        <w:rPr>
          <w:sz w:val="18"/>
        </w:rPr>
        <w:t>Provedbena odluka Komisije (EU) 2023/235 оd 1. veljače 2023. o odobravanju odstupanja koje su zatražile određene države članice na temelju Uredbe (EU) br. 952/2013 Europskog parlamenta i Vijeća radi upotrebe sredstava koja nisu tehnike elektroničke obrade podataka za razmjenu i pohranu informacija za obavijest o dolasku broda za plovidbu ili zrakoplova (SL L 32, 3.2.2023., str. 220.).</w:t>
      </w:r>
    </w:p>
    <w:p w14:paraId="43607C88" w14:textId="14B5457F" w:rsidR="00EC3F3E" w:rsidRDefault="00EC3F3E" w:rsidP="00EC3F3E">
      <w:pPr>
        <w:pStyle w:val="FootnoteText"/>
        <w:rPr>
          <w:sz w:val="18"/>
          <w:szCs w:val="18"/>
        </w:rPr>
      </w:pPr>
      <w:r>
        <w:rPr>
          <w:sz w:val="18"/>
        </w:rPr>
        <w:t>Provedbena odluka Komisije (EU) 2023/234 оd 1. veljače 2023. o odobravanju odstupanja koje su zatražile određene države članice na temelju Uredbe (EU) br. 952/2013 Europskog parlamenta i Vijeća radi upotrebe sredstava koja nisu tehnike elektroničke obrade podataka za razmjenu i pohranu informacija za obavijesti o podnošenju carini povezane s robom unesenom na carinsko područje Unije (SL L 32, 3.2.2023., str. 217.).</w:t>
      </w:r>
    </w:p>
    <w:p w14:paraId="03B1487B" w14:textId="5516EB5E" w:rsidR="00EC3F3E" w:rsidRDefault="00EC3F3E" w:rsidP="00EC3F3E">
      <w:pPr>
        <w:pStyle w:val="FootnoteText"/>
        <w:rPr>
          <w:sz w:val="18"/>
          <w:szCs w:val="18"/>
        </w:rPr>
      </w:pPr>
      <w:r>
        <w:rPr>
          <w:sz w:val="18"/>
        </w:rPr>
        <w:t>Provedbena odluka Komisije (EU) 2023/236 оd 1. veljače 2023. o odobravanju odstupanja koje su zatražile određene države članice na temelju Uredbe (EU) br. 952/2013 Europskog parlamenta i Vijeća radi upotrebe sredstava koja nisu tehnike elektroničke obrade podataka za razmjenu i pohranu informacija za deklaraciju povezanu s robom koja nije roba Unije, a podnesena je carini (SL L 32, 3.2.2023., str. 223.).</w:t>
      </w:r>
    </w:p>
    <w:p w14:paraId="054BC491" w14:textId="4A410F79" w:rsidR="009C1904" w:rsidRPr="00055057" w:rsidRDefault="00EC3F3E" w:rsidP="00EC3F3E">
      <w:pPr>
        <w:pStyle w:val="FootnoteText"/>
      </w:pPr>
      <w:r>
        <w:rPr>
          <w:sz w:val="18"/>
        </w:rPr>
        <w:t xml:space="preserve">Provedbena odluka Komisije (EU) 2023/237 оd 1. veljače 2023. o odobravanju odstupanja koje su zatražile određene države članice radi upotrebe sredstava koja nisu tehnike elektroničke obrade podataka za razmjenu i pohranu informacija povezanih s carinskim deklaracijama za robu unesenu na carinsko područje Unije iz članaka 158., 162., 163., 166., 167., od 170. do 174., 201., 240., 250., 254. i 256. Uredbe (EU) br. 952/2013 Europskog parlamenta i Vijeća o Carinskom zakoniku Unije (SL L 32, 3.2.2023., str. 226.).  </w:t>
      </w:r>
    </w:p>
  </w:footnote>
  <w:footnote w:id="14">
    <w:p w14:paraId="067CD41B" w14:textId="36486D68" w:rsidR="003F48B2" w:rsidRPr="003029EE" w:rsidRDefault="003F48B2">
      <w:pPr>
        <w:pStyle w:val="FootnoteText"/>
      </w:pPr>
      <w:r>
        <w:rPr>
          <w:rStyle w:val="FootnoteReference"/>
        </w:rPr>
        <w:footnoteRef/>
      </w:r>
      <w:r>
        <w:t xml:space="preserve"> </w:t>
      </w:r>
      <w:r>
        <w:rPr>
          <w:sz w:val="18"/>
        </w:rPr>
        <w:t>Za druge vrste prijevoza osim zračnog, odstupanja za obavijest o dolasku, obavijest o podnošenju carini i privremeni smještaj traju do 29. veljače 2024.</w:t>
      </w:r>
    </w:p>
  </w:footnote>
  <w:footnote w:id="15">
    <w:p w14:paraId="2BE65D43" w14:textId="2E567C49" w:rsidR="00144FCD" w:rsidRPr="008027CC" w:rsidRDefault="00144FCD" w:rsidP="00144FCD">
      <w:pPr>
        <w:pStyle w:val="FootnoteText"/>
        <w:rPr>
          <w:sz w:val="18"/>
          <w:szCs w:val="18"/>
        </w:rPr>
      </w:pPr>
      <w:r>
        <w:rPr>
          <w:rStyle w:val="FootnoteReference"/>
          <w:sz w:val="18"/>
          <w:szCs w:val="18"/>
        </w:rPr>
        <w:footnoteRef/>
      </w:r>
      <w:r>
        <w:rPr>
          <w:sz w:val="18"/>
        </w:rPr>
        <w:t xml:space="preserve"> U reviziji programa rada za CZU iz 2023. predviđeno je uvođenje cjelovite </w:t>
      </w:r>
      <w:r>
        <w:rPr>
          <w:i/>
          <w:sz w:val="18"/>
        </w:rPr>
        <w:t>3. verzije sustava ICS2</w:t>
      </w:r>
      <w:r>
        <w:rPr>
          <w:sz w:val="18"/>
        </w:rPr>
        <w:t xml:space="preserve"> u svim državama članicama do 3. lipnja 2024. Uvođenje </w:t>
      </w:r>
      <w:r>
        <w:rPr>
          <w:i/>
          <w:sz w:val="18"/>
        </w:rPr>
        <w:t>3. verzije sustava ICS2</w:t>
      </w:r>
      <w:r>
        <w:rPr>
          <w:sz w:val="18"/>
        </w:rPr>
        <w:t xml:space="preserve"> planira se provesti u tri koraka: 1. korak koji se odnosi na pomorske prijevoznike i prijevoznike unutarnjim plovnim putovima (s vremenskim okvirom za uvođenje od 3. lipnja 2024. do 4. prosinca 2024.), 2. korak koji se odnosi na otpremnike u pomorskom prometu i prometu unutarnjim plovnim putovima (s vremenskim okvirom za uvođenje od 4. prosinca 2024. do 1. travnja 2025.) i 3. korak koji se odnosi na cestovne i željezničke prijevoznike (s vremenskim okvirom za uvođenje od 1. travnja 2025. do 1. rujna 2025.).</w:t>
      </w:r>
    </w:p>
  </w:footnote>
  <w:footnote w:id="16">
    <w:p w14:paraId="31B6EF8A" w14:textId="3ED15490" w:rsidR="00613293" w:rsidRPr="00613293" w:rsidRDefault="00613293" w:rsidP="00613293">
      <w:pPr>
        <w:pStyle w:val="FootnoteText"/>
      </w:pPr>
      <w:r>
        <w:rPr>
          <w:rStyle w:val="FootnoteReference"/>
          <w:sz w:val="18"/>
          <w:szCs w:val="18"/>
        </w:rPr>
        <w:footnoteRef/>
      </w:r>
      <w:r>
        <w:rPr>
          <w:sz w:val="18"/>
        </w:rPr>
        <w:t xml:space="preserve"> U reviziji programa rada za CZU iz 2023. kraj vremenskog okvira za uvođenje predviđen je za 1. srpnja 2024.</w:t>
      </w:r>
    </w:p>
  </w:footnote>
  <w:footnote w:id="17">
    <w:p w14:paraId="34FDB7B3" w14:textId="48FD2251" w:rsidR="00EF579B" w:rsidRPr="00EF579B" w:rsidRDefault="00EF579B" w:rsidP="00EF579B">
      <w:pPr>
        <w:pStyle w:val="FootnoteText"/>
        <w:rPr>
          <w:sz w:val="18"/>
          <w:szCs w:val="18"/>
        </w:rPr>
      </w:pPr>
      <w:r>
        <w:rPr>
          <w:rStyle w:val="FootnoteReference"/>
          <w:sz w:val="18"/>
          <w:szCs w:val="18"/>
        </w:rPr>
        <w:footnoteRef/>
      </w:r>
      <w:r>
        <w:rPr>
          <w:sz w:val="18"/>
        </w:rPr>
        <w:t xml:space="preserve"> U reviziji programa rada za CZU iz 2023. predviđa se da će kraj vremenskog okvira za uvođenje osnovnih funkcionalnosti sustava biti 1. prosinca 2023., a za uvođenje preostalih funkcionalnosti 2. prosinca 2024. Do 2. prosinca 2024. sve države članice i gospodarski subjekti trebali bi upotrebljavati </w:t>
      </w:r>
      <w:r>
        <w:rPr>
          <w:i/>
          <w:sz w:val="18"/>
        </w:rPr>
        <w:t>5. fazu sustava NCTS</w:t>
      </w:r>
      <w:r>
        <w:rPr>
          <w:sz w:val="18"/>
        </w:rPr>
        <w:t>. Kraj prijelaznog razdoblja predviđen je za 21. siječnja 2025.</w:t>
      </w:r>
    </w:p>
  </w:footnote>
  <w:footnote w:id="18">
    <w:p w14:paraId="2F794E66" w14:textId="7F2C9A10" w:rsidR="00EF579B" w:rsidRPr="00F7283D" w:rsidRDefault="00EF579B">
      <w:pPr>
        <w:pStyle w:val="FootnoteText"/>
        <w:rPr>
          <w:sz w:val="18"/>
          <w:szCs w:val="18"/>
        </w:rPr>
      </w:pPr>
      <w:r>
        <w:rPr>
          <w:rStyle w:val="FootnoteReference"/>
          <w:sz w:val="18"/>
          <w:szCs w:val="18"/>
        </w:rPr>
        <w:footnoteRef/>
      </w:r>
      <w:r>
        <w:rPr>
          <w:sz w:val="18"/>
        </w:rPr>
        <w:t xml:space="preserve"> U reviziji programa rada za CZU iz 2023. predviđa se da će kraj vremenskog okvira za uvođenje osnovnih funkcionalnosti sustava biti 1. prosinca 2023., za razvoj usklađenog međusučelja s EMCS-om 13. veljače 2024., a za uvođenje preostalih funkcionalnosti 2. prosinca 2024. Do 2. prosinca 2024. sve države članice i gospodarski subjekti trebali bi se koristiti sustavom AES. Kraj prijelaznog razdoblja predviđen je za 11. veljače 2025.</w:t>
      </w:r>
    </w:p>
  </w:footnote>
  <w:footnote w:id="19">
    <w:p w14:paraId="7014C780" w14:textId="19DC8759" w:rsidR="00F7283D" w:rsidRPr="00F7283D" w:rsidRDefault="00F7283D">
      <w:pPr>
        <w:pStyle w:val="FootnoteText"/>
      </w:pPr>
      <w:r>
        <w:rPr>
          <w:rStyle w:val="FootnoteReference"/>
          <w:sz w:val="18"/>
          <w:szCs w:val="18"/>
        </w:rPr>
        <w:footnoteRef/>
      </w:r>
      <w:r>
        <w:t xml:space="preserve"> </w:t>
      </w:r>
      <w:r>
        <w:rPr>
          <w:sz w:val="18"/>
        </w:rPr>
        <w:t xml:space="preserve">U reviziji programa rada za CZU iz 2023. predviđa se da će datum uvođenja </w:t>
      </w:r>
      <w:r>
        <w:rPr>
          <w:i/>
          <w:sz w:val="18"/>
        </w:rPr>
        <w:t>1. sastavnice GUM-a</w:t>
      </w:r>
      <w:r>
        <w:rPr>
          <w:sz w:val="18"/>
        </w:rPr>
        <w:t xml:space="preserve"> biti 11. ožujka 2024., dok za </w:t>
      </w:r>
      <w:r>
        <w:rPr>
          <w:i/>
          <w:sz w:val="18"/>
        </w:rPr>
        <w:t>2. sastavnicu GUM-a</w:t>
      </w:r>
      <w:r>
        <w:rPr>
          <w:sz w:val="18"/>
        </w:rPr>
        <w:t xml:space="preserve"> početak vremenskog okvira za uvođenje trebaju odrediti države članice, pri čemu je najraniji mogući datum uvođenja 11. ožujka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9D14" w14:textId="77777777" w:rsidR="00A82FC7" w:rsidRPr="00A82FC7" w:rsidRDefault="00A82FC7" w:rsidP="00A82FC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A365" w14:textId="77777777" w:rsidR="00A82FC7" w:rsidRPr="00A82FC7" w:rsidRDefault="00A82FC7" w:rsidP="00A82FC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48CC3" w14:textId="77777777" w:rsidR="00A82FC7" w:rsidRPr="00A82FC7" w:rsidRDefault="00A82FC7" w:rsidP="00A82FC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63982" w14:textId="77777777" w:rsidR="008411A2" w:rsidRDefault="008411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16C98" w14:textId="77777777" w:rsidR="008411A2" w:rsidRDefault="008411A2">
    <w:pPr>
      <w:pStyle w:val="Header"/>
      <w:jc w:val="right"/>
    </w:pPr>
  </w:p>
  <w:p w14:paraId="17CFE30E" w14:textId="77777777" w:rsidR="008411A2" w:rsidRDefault="00841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AFA7C" w14:textId="77777777" w:rsidR="008411A2" w:rsidRDefault="008411A2">
    <w:pPr>
      <w:pStyle w:val="Header"/>
    </w:pPr>
  </w:p>
</w:hdr>
</file>

<file path=word/intelligence2.xml><?xml version="1.0" encoding="utf-8"?>
<int2:intelligence xmlns:int2="http://schemas.microsoft.com/office/intelligence/2020/intelligence" xmlns:oel="http://schemas.microsoft.com/office/2019/extlst">
  <int2:observations>
    <int2:textHash int2:hashCode="OXNLnJ1v52xy2E" int2:id="7fiPKfj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AA6"/>
    <w:multiLevelType w:val="hybridMultilevel"/>
    <w:tmpl w:val="645A3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A39AA"/>
    <w:multiLevelType w:val="hybridMultilevel"/>
    <w:tmpl w:val="FD4E463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90827D5"/>
    <w:multiLevelType w:val="hybridMultilevel"/>
    <w:tmpl w:val="A5F050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D34622"/>
    <w:multiLevelType w:val="hybridMultilevel"/>
    <w:tmpl w:val="81AAC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297500B"/>
    <w:multiLevelType w:val="hybridMultilevel"/>
    <w:tmpl w:val="0358B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69402D"/>
    <w:multiLevelType w:val="multilevel"/>
    <w:tmpl w:val="944E0AAA"/>
    <w:lvl w:ilvl="0">
      <w:start w:val="1"/>
      <w:numFmt w:val="decimal"/>
      <w:lvlText w:val="%1)"/>
      <w:lvlJc w:val="left"/>
      <w:pPr>
        <w:ind w:left="360" w:hanging="360"/>
      </w:pPr>
      <w:rPr>
        <w:rFonts w:hint="default"/>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7B3E2D"/>
    <w:multiLevelType w:val="hybridMultilevel"/>
    <w:tmpl w:val="2C66AA9C"/>
    <w:lvl w:ilvl="0" w:tplc="9CA4E6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0420C2"/>
    <w:multiLevelType w:val="multilevel"/>
    <w:tmpl w:val="F1B6937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9766B2"/>
    <w:multiLevelType w:val="hybridMultilevel"/>
    <w:tmpl w:val="ADD8BE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7BB5E43"/>
    <w:multiLevelType w:val="hybridMultilevel"/>
    <w:tmpl w:val="E67CC39A"/>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2FF50F05"/>
    <w:multiLevelType w:val="multilevel"/>
    <w:tmpl w:val="5532D83A"/>
    <w:lvl w:ilvl="0">
      <w:start w:val="1"/>
      <w:numFmt w:val="decimal"/>
      <w:lvlText w:val="%1."/>
      <w:lvlJc w:val="left"/>
      <w:pPr>
        <w:ind w:left="720" w:hanging="360"/>
      </w:pPr>
      <w:rPr>
        <w:rFonts w:hint="default"/>
      </w:rPr>
    </w:lvl>
    <w:lvl w:ilvl="1">
      <w:start w:val="1"/>
      <w:numFmt w:val="decimal"/>
      <w:isLgl/>
      <w:lvlText w:val="%1.%2."/>
      <w:lvlJc w:val="left"/>
      <w:pPr>
        <w:ind w:left="432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lang w:val="en-G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3" w15:restartNumberingAfterBreak="0">
    <w:nsid w:val="45B57C14"/>
    <w:multiLevelType w:val="hybridMultilevel"/>
    <w:tmpl w:val="A0C8B7D4"/>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14" w15:restartNumberingAfterBreak="0">
    <w:nsid w:val="555970F9"/>
    <w:multiLevelType w:val="hybridMultilevel"/>
    <w:tmpl w:val="C1BAB6DC"/>
    <w:lvl w:ilvl="0" w:tplc="831ADB70">
      <w:start w:val="1"/>
      <w:numFmt w:val="bullet"/>
      <w:lvlText w:val="•"/>
      <w:lvlJc w:val="left"/>
      <w:pPr>
        <w:tabs>
          <w:tab w:val="num" w:pos="720"/>
        </w:tabs>
        <w:ind w:left="720" w:hanging="360"/>
      </w:pPr>
      <w:rPr>
        <w:rFonts w:ascii="Arial" w:hAnsi="Arial" w:hint="default"/>
      </w:rPr>
    </w:lvl>
    <w:lvl w:ilvl="1" w:tplc="DE68F382">
      <w:numFmt w:val="bullet"/>
      <w:lvlText w:val="•"/>
      <w:lvlJc w:val="left"/>
      <w:pPr>
        <w:tabs>
          <w:tab w:val="num" w:pos="1440"/>
        </w:tabs>
        <w:ind w:left="1440" w:hanging="360"/>
      </w:pPr>
      <w:rPr>
        <w:rFonts w:ascii="Arial" w:hAnsi="Arial" w:hint="default"/>
      </w:rPr>
    </w:lvl>
    <w:lvl w:ilvl="2" w:tplc="6D689F92" w:tentative="1">
      <w:start w:val="1"/>
      <w:numFmt w:val="bullet"/>
      <w:lvlText w:val="•"/>
      <w:lvlJc w:val="left"/>
      <w:pPr>
        <w:tabs>
          <w:tab w:val="num" w:pos="2160"/>
        </w:tabs>
        <w:ind w:left="2160" w:hanging="360"/>
      </w:pPr>
      <w:rPr>
        <w:rFonts w:ascii="Arial" w:hAnsi="Arial" w:hint="default"/>
      </w:rPr>
    </w:lvl>
    <w:lvl w:ilvl="3" w:tplc="4F4A3D68" w:tentative="1">
      <w:start w:val="1"/>
      <w:numFmt w:val="bullet"/>
      <w:lvlText w:val="•"/>
      <w:lvlJc w:val="left"/>
      <w:pPr>
        <w:tabs>
          <w:tab w:val="num" w:pos="2880"/>
        </w:tabs>
        <w:ind w:left="2880" w:hanging="360"/>
      </w:pPr>
      <w:rPr>
        <w:rFonts w:ascii="Arial" w:hAnsi="Arial" w:hint="default"/>
      </w:rPr>
    </w:lvl>
    <w:lvl w:ilvl="4" w:tplc="45EAB922" w:tentative="1">
      <w:start w:val="1"/>
      <w:numFmt w:val="bullet"/>
      <w:lvlText w:val="•"/>
      <w:lvlJc w:val="left"/>
      <w:pPr>
        <w:tabs>
          <w:tab w:val="num" w:pos="3600"/>
        </w:tabs>
        <w:ind w:left="3600" w:hanging="360"/>
      </w:pPr>
      <w:rPr>
        <w:rFonts w:ascii="Arial" w:hAnsi="Arial" w:hint="default"/>
      </w:rPr>
    </w:lvl>
    <w:lvl w:ilvl="5" w:tplc="E5C8C0CC" w:tentative="1">
      <w:start w:val="1"/>
      <w:numFmt w:val="bullet"/>
      <w:lvlText w:val="•"/>
      <w:lvlJc w:val="left"/>
      <w:pPr>
        <w:tabs>
          <w:tab w:val="num" w:pos="4320"/>
        </w:tabs>
        <w:ind w:left="4320" w:hanging="360"/>
      </w:pPr>
      <w:rPr>
        <w:rFonts w:ascii="Arial" w:hAnsi="Arial" w:hint="default"/>
      </w:rPr>
    </w:lvl>
    <w:lvl w:ilvl="6" w:tplc="08ECBF54" w:tentative="1">
      <w:start w:val="1"/>
      <w:numFmt w:val="bullet"/>
      <w:lvlText w:val="•"/>
      <w:lvlJc w:val="left"/>
      <w:pPr>
        <w:tabs>
          <w:tab w:val="num" w:pos="5040"/>
        </w:tabs>
        <w:ind w:left="5040" w:hanging="360"/>
      </w:pPr>
      <w:rPr>
        <w:rFonts w:ascii="Arial" w:hAnsi="Arial" w:hint="default"/>
      </w:rPr>
    </w:lvl>
    <w:lvl w:ilvl="7" w:tplc="A830B4BC" w:tentative="1">
      <w:start w:val="1"/>
      <w:numFmt w:val="bullet"/>
      <w:lvlText w:val="•"/>
      <w:lvlJc w:val="left"/>
      <w:pPr>
        <w:tabs>
          <w:tab w:val="num" w:pos="5760"/>
        </w:tabs>
        <w:ind w:left="5760" w:hanging="360"/>
      </w:pPr>
      <w:rPr>
        <w:rFonts w:ascii="Arial" w:hAnsi="Arial" w:hint="default"/>
      </w:rPr>
    </w:lvl>
    <w:lvl w:ilvl="8" w:tplc="0182493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5FF5A0C"/>
    <w:multiLevelType w:val="hybridMultilevel"/>
    <w:tmpl w:val="DF16F34E"/>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6" w15:restartNumberingAfterBreak="0">
    <w:nsid w:val="59CF22B3"/>
    <w:multiLevelType w:val="hybridMultilevel"/>
    <w:tmpl w:val="CAC0C4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788" w:hanging="708"/>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1E3227"/>
    <w:multiLevelType w:val="hybridMultilevel"/>
    <w:tmpl w:val="71985946"/>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AAA58B2"/>
    <w:multiLevelType w:val="hybridMultilevel"/>
    <w:tmpl w:val="38D247EE"/>
    <w:lvl w:ilvl="0" w:tplc="DC3A21C8">
      <w:start w:val="1"/>
      <w:numFmt w:val="low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911437D"/>
    <w:multiLevelType w:val="hybridMultilevel"/>
    <w:tmpl w:val="D826B1EC"/>
    <w:lvl w:ilvl="0" w:tplc="A536932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AA26DD5"/>
    <w:multiLevelType w:val="hybridMultilevel"/>
    <w:tmpl w:val="BC382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321124"/>
    <w:multiLevelType w:val="hybridMultilevel"/>
    <w:tmpl w:val="AEE2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220A4B"/>
    <w:multiLevelType w:val="hybridMultilevel"/>
    <w:tmpl w:val="0B0AFDB4"/>
    <w:lvl w:ilvl="0" w:tplc="99E44500">
      <w:start w:val="1"/>
      <w:numFmt w:val="bullet"/>
      <w:lvlText w:val="•"/>
      <w:lvlJc w:val="left"/>
      <w:pPr>
        <w:tabs>
          <w:tab w:val="num" w:pos="720"/>
        </w:tabs>
        <w:ind w:left="720" w:hanging="360"/>
      </w:pPr>
      <w:rPr>
        <w:rFonts w:ascii="Arial" w:hAnsi="Arial" w:hint="default"/>
      </w:rPr>
    </w:lvl>
    <w:lvl w:ilvl="1" w:tplc="67A0DB18">
      <w:start w:val="1"/>
      <w:numFmt w:val="bullet"/>
      <w:lvlText w:val="•"/>
      <w:lvlJc w:val="left"/>
      <w:pPr>
        <w:tabs>
          <w:tab w:val="num" w:pos="1440"/>
        </w:tabs>
        <w:ind w:left="1440" w:hanging="360"/>
      </w:pPr>
      <w:rPr>
        <w:rFonts w:ascii="Arial" w:hAnsi="Arial" w:hint="default"/>
      </w:rPr>
    </w:lvl>
    <w:lvl w:ilvl="2" w:tplc="BC602FB4" w:tentative="1">
      <w:start w:val="1"/>
      <w:numFmt w:val="bullet"/>
      <w:lvlText w:val="•"/>
      <w:lvlJc w:val="left"/>
      <w:pPr>
        <w:tabs>
          <w:tab w:val="num" w:pos="2160"/>
        </w:tabs>
        <w:ind w:left="2160" w:hanging="360"/>
      </w:pPr>
      <w:rPr>
        <w:rFonts w:ascii="Arial" w:hAnsi="Arial" w:hint="default"/>
      </w:rPr>
    </w:lvl>
    <w:lvl w:ilvl="3" w:tplc="5C4663A0" w:tentative="1">
      <w:start w:val="1"/>
      <w:numFmt w:val="bullet"/>
      <w:lvlText w:val="•"/>
      <w:lvlJc w:val="left"/>
      <w:pPr>
        <w:tabs>
          <w:tab w:val="num" w:pos="2880"/>
        </w:tabs>
        <w:ind w:left="2880" w:hanging="360"/>
      </w:pPr>
      <w:rPr>
        <w:rFonts w:ascii="Arial" w:hAnsi="Arial" w:hint="default"/>
      </w:rPr>
    </w:lvl>
    <w:lvl w:ilvl="4" w:tplc="6DEA2CA2" w:tentative="1">
      <w:start w:val="1"/>
      <w:numFmt w:val="bullet"/>
      <w:lvlText w:val="•"/>
      <w:lvlJc w:val="left"/>
      <w:pPr>
        <w:tabs>
          <w:tab w:val="num" w:pos="3600"/>
        </w:tabs>
        <w:ind w:left="3600" w:hanging="360"/>
      </w:pPr>
      <w:rPr>
        <w:rFonts w:ascii="Arial" w:hAnsi="Arial" w:hint="default"/>
      </w:rPr>
    </w:lvl>
    <w:lvl w:ilvl="5" w:tplc="9C4CA146" w:tentative="1">
      <w:start w:val="1"/>
      <w:numFmt w:val="bullet"/>
      <w:lvlText w:val="•"/>
      <w:lvlJc w:val="left"/>
      <w:pPr>
        <w:tabs>
          <w:tab w:val="num" w:pos="4320"/>
        </w:tabs>
        <w:ind w:left="4320" w:hanging="360"/>
      </w:pPr>
      <w:rPr>
        <w:rFonts w:ascii="Arial" w:hAnsi="Arial" w:hint="default"/>
      </w:rPr>
    </w:lvl>
    <w:lvl w:ilvl="6" w:tplc="925C5602" w:tentative="1">
      <w:start w:val="1"/>
      <w:numFmt w:val="bullet"/>
      <w:lvlText w:val="•"/>
      <w:lvlJc w:val="left"/>
      <w:pPr>
        <w:tabs>
          <w:tab w:val="num" w:pos="5040"/>
        </w:tabs>
        <w:ind w:left="5040" w:hanging="360"/>
      </w:pPr>
      <w:rPr>
        <w:rFonts w:ascii="Arial" w:hAnsi="Arial" w:hint="default"/>
      </w:rPr>
    </w:lvl>
    <w:lvl w:ilvl="7" w:tplc="025604D4" w:tentative="1">
      <w:start w:val="1"/>
      <w:numFmt w:val="bullet"/>
      <w:lvlText w:val="•"/>
      <w:lvlJc w:val="left"/>
      <w:pPr>
        <w:tabs>
          <w:tab w:val="num" w:pos="5760"/>
        </w:tabs>
        <w:ind w:left="5760" w:hanging="360"/>
      </w:pPr>
      <w:rPr>
        <w:rFonts w:ascii="Arial" w:hAnsi="Arial" w:hint="default"/>
      </w:rPr>
    </w:lvl>
    <w:lvl w:ilvl="8" w:tplc="A148B91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24" w15:restartNumberingAfterBreak="0">
    <w:nsid w:val="7EA378EB"/>
    <w:multiLevelType w:val="multilevel"/>
    <w:tmpl w:val="0809001D"/>
    <w:lvl w:ilvl="0">
      <w:start w:val="1"/>
      <w:numFmt w:val="decimal"/>
      <w:lvlText w:val="%1)"/>
      <w:lvlJc w:val="left"/>
      <w:pPr>
        <w:ind w:left="-490" w:hanging="360"/>
      </w:pPr>
      <w:rPr>
        <w:rFonts w:hint="default"/>
      </w:rPr>
    </w:lvl>
    <w:lvl w:ilvl="1">
      <w:start w:val="1"/>
      <w:numFmt w:val="lowerLetter"/>
      <w:lvlText w:val="%2)"/>
      <w:lvlJc w:val="left"/>
      <w:pPr>
        <w:ind w:left="-130" w:hanging="360"/>
      </w:pPr>
    </w:lvl>
    <w:lvl w:ilvl="2">
      <w:start w:val="1"/>
      <w:numFmt w:val="lowerRoman"/>
      <w:lvlText w:val="%3)"/>
      <w:lvlJc w:val="left"/>
      <w:pPr>
        <w:ind w:left="230" w:hanging="360"/>
      </w:pPr>
    </w:lvl>
    <w:lvl w:ilvl="3">
      <w:start w:val="1"/>
      <w:numFmt w:val="decimal"/>
      <w:lvlText w:val="(%4)"/>
      <w:lvlJc w:val="left"/>
      <w:pPr>
        <w:ind w:left="590" w:hanging="360"/>
      </w:pPr>
    </w:lvl>
    <w:lvl w:ilvl="4">
      <w:start w:val="1"/>
      <w:numFmt w:val="lowerLetter"/>
      <w:lvlText w:val="(%5)"/>
      <w:lvlJc w:val="left"/>
      <w:pPr>
        <w:ind w:left="950" w:hanging="360"/>
      </w:pPr>
    </w:lvl>
    <w:lvl w:ilvl="5">
      <w:start w:val="1"/>
      <w:numFmt w:val="lowerRoman"/>
      <w:lvlText w:val="(%6)"/>
      <w:lvlJc w:val="left"/>
      <w:pPr>
        <w:ind w:left="1310" w:hanging="360"/>
      </w:pPr>
    </w:lvl>
    <w:lvl w:ilvl="6">
      <w:start w:val="1"/>
      <w:numFmt w:val="decimal"/>
      <w:lvlText w:val="%7."/>
      <w:lvlJc w:val="left"/>
      <w:pPr>
        <w:ind w:left="1670" w:hanging="360"/>
      </w:pPr>
    </w:lvl>
    <w:lvl w:ilvl="7">
      <w:start w:val="1"/>
      <w:numFmt w:val="lowerLetter"/>
      <w:lvlText w:val="%8."/>
      <w:lvlJc w:val="left"/>
      <w:pPr>
        <w:ind w:left="2030" w:hanging="360"/>
      </w:pPr>
    </w:lvl>
    <w:lvl w:ilvl="8">
      <w:start w:val="1"/>
      <w:numFmt w:val="lowerRoman"/>
      <w:lvlText w:val="%9."/>
      <w:lvlJc w:val="left"/>
      <w:pPr>
        <w:ind w:left="2390" w:hanging="360"/>
      </w:pPr>
    </w:lvl>
  </w:abstractNum>
  <w:num w:numId="1">
    <w:abstractNumId w:val="1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5"/>
  </w:num>
  <w:num w:numId="6">
    <w:abstractNumId w:val="18"/>
  </w:num>
  <w:num w:numId="7">
    <w:abstractNumId w:val="0"/>
  </w:num>
  <w:num w:numId="8">
    <w:abstractNumId w:val="20"/>
  </w:num>
  <w:num w:numId="9">
    <w:abstractNumId w:val="13"/>
  </w:num>
  <w:num w:numId="10">
    <w:abstractNumId w:val="6"/>
  </w:num>
  <w:num w:numId="11">
    <w:abstractNumId w:val="8"/>
  </w:num>
  <w:num w:numId="12">
    <w:abstractNumId w:val="9"/>
  </w:num>
  <w:num w:numId="13">
    <w:abstractNumId w:val="21"/>
  </w:num>
  <w:num w:numId="14">
    <w:abstractNumId w:val="24"/>
  </w:num>
  <w:num w:numId="15">
    <w:abstractNumId w:val="10"/>
  </w:num>
  <w:num w:numId="16">
    <w:abstractNumId w:val="16"/>
  </w:num>
  <w:num w:numId="17">
    <w:abstractNumId w:val="23"/>
  </w:num>
  <w:num w:numId="18">
    <w:abstractNumId w:val="2"/>
  </w:num>
  <w:num w:numId="19">
    <w:abstractNumId w:val="14"/>
  </w:num>
  <w:num w:numId="20">
    <w:abstractNumId w:val="17"/>
  </w:num>
  <w:num w:numId="21">
    <w:abstractNumId w:val="19"/>
  </w:num>
  <w:num w:numId="22">
    <w:abstractNumId w:val="22"/>
  </w:num>
  <w:num w:numId="23">
    <w:abstractNumId w:val="3"/>
  </w:num>
  <w:num w:numId="24">
    <w:abstractNumId w:val="1"/>
  </w:num>
  <w:num w:numId="2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revisionView w:markup="0"/>
  <w:defaultTabStop w:val="709"/>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D7651FD-0E15-4784-95C3-D02DC800DE30"/>
    <w:docVar w:name="LW_COVERPAGE_TYPE" w:val="1"/>
    <w:docVar w:name="LW_CROSSREFERENCE" w:val="{SWD(2024) 214 final}"/>
    <w:docVar w:name="LW_DocType" w:val="NORMAL"/>
    <w:docVar w:name="LW_EMISSION" w:val="9.9.2024."/>
    <w:docVar w:name="LW_EMISSION_ISODATE" w:val="2024-09-09"/>
    <w:docVar w:name="LW_EMISSION_LOCATION" w:val="BRX"/>
    <w:docVar w:name="LW_EMISSION_PREFIX" w:val="Bruxelles, "/>
    <w:docVar w:name="LW_EMISSION_SUFFIX" w:val="&lt;EMPTY&gt;"/>
    <w:docVar w:name="LW_ID_DOCTYPE_NONLW" w:val="CP-006"/>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24) 3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 skladu s \u269?lankom 278.a Carinskog zakonika Unije o napretku postignutom 2023. u razvoju elektroni\u269?kih sustava iz Carinskog zakonika"/>
    <w:docVar w:name="LW_TYPE.DOC.CP" w:val="IZVJE\u352?\u262?E KOMISIJE EUROPSKOM PARLAMENTU I VIJE\u262?U"/>
    <w:docVar w:name="LwApiVersions" w:val="LW4CoDe 1.24.5.0; LW 9.0, Build 20240221"/>
  </w:docVars>
  <w:rsids>
    <w:rsidRoot w:val="00282B17"/>
    <w:rsid w:val="00000237"/>
    <w:rsid w:val="00000264"/>
    <w:rsid w:val="000002EE"/>
    <w:rsid w:val="00000A95"/>
    <w:rsid w:val="00001474"/>
    <w:rsid w:val="00001793"/>
    <w:rsid w:val="00001D18"/>
    <w:rsid w:val="0000220A"/>
    <w:rsid w:val="00002358"/>
    <w:rsid w:val="0000393F"/>
    <w:rsid w:val="00003A29"/>
    <w:rsid w:val="00003AB9"/>
    <w:rsid w:val="00003FB3"/>
    <w:rsid w:val="00003FB4"/>
    <w:rsid w:val="00004510"/>
    <w:rsid w:val="000054F8"/>
    <w:rsid w:val="000055E4"/>
    <w:rsid w:val="00005998"/>
    <w:rsid w:val="00005A8E"/>
    <w:rsid w:val="00005E07"/>
    <w:rsid w:val="0000612E"/>
    <w:rsid w:val="00006245"/>
    <w:rsid w:val="0000640C"/>
    <w:rsid w:val="00006A51"/>
    <w:rsid w:val="00006A67"/>
    <w:rsid w:val="00006FF9"/>
    <w:rsid w:val="0000799C"/>
    <w:rsid w:val="000079B2"/>
    <w:rsid w:val="00010786"/>
    <w:rsid w:val="00010960"/>
    <w:rsid w:val="00010EE6"/>
    <w:rsid w:val="00011181"/>
    <w:rsid w:val="000120A1"/>
    <w:rsid w:val="000121E3"/>
    <w:rsid w:val="000121F1"/>
    <w:rsid w:val="000129DF"/>
    <w:rsid w:val="00013583"/>
    <w:rsid w:val="000137BB"/>
    <w:rsid w:val="00013B61"/>
    <w:rsid w:val="00014C1B"/>
    <w:rsid w:val="00014E3F"/>
    <w:rsid w:val="00015109"/>
    <w:rsid w:val="000159F0"/>
    <w:rsid w:val="00015DF0"/>
    <w:rsid w:val="00016429"/>
    <w:rsid w:val="00017236"/>
    <w:rsid w:val="000203AC"/>
    <w:rsid w:val="000207CE"/>
    <w:rsid w:val="00020CDA"/>
    <w:rsid w:val="00021404"/>
    <w:rsid w:val="00021A0D"/>
    <w:rsid w:val="000229D2"/>
    <w:rsid w:val="00022CC1"/>
    <w:rsid w:val="0002303E"/>
    <w:rsid w:val="00023503"/>
    <w:rsid w:val="0002394A"/>
    <w:rsid w:val="00023BED"/>
    <w:rsid w:val="00023E5E"/>
    <w:rsid w:val="00024580"/>
    <w:rsid w:val="0002464C"/>
    <w:rsid w:val="000250A2"/>
    <w:rsid w:val="000257CD"/>
    <w:rsid w:val="000257EB"/>
    <w:rsid w:val="000259AB"/>
    <w:rsid w:val="00025ADB"/>
    <w:rsid w:val="00026577"/>
    <w:rsid w:val="000267A6"/>
    <w:rsid w:val="000268C5"/>
    <w:rsid w:val="00026DBC"/>
    <w:rsid w:val="00026EB7"/>
    <w:rsid w:val="000273D1"/>
    <w:rsid w:val="00027493"/>
    <w:rsid w:val="000275C3"/>
    <w:rsid w:val="00027D35"/>
    <w:rsid w:val="00030A88"/>
    <w:rsid w:val="00030BB7"/>
    <w:rsid w:val="00030E76"/>
    <w:rsid w:val="00031219"/>
    <w:rsid w:val="00031AC8"/>
    <w:rsid w:val="00031E3E"/>
    <w:rsid w:val="000325AF"/>
    <w:rsid w:val="000328A1"/>
    <w:rsid w:val="00032BFE"/>
    <w:rsid w:val="00033015"/>
    <w:rsid w:val="00033033"/>
    <w:rsid w:val="0003361F"/>
    <w:rsid w:val="00033819"/>
    <w:rsid w:val="00033B6F"/>
    <w:rsid w:val="000341EA"/>
    <w:rsid w:val="00034D74"/>
    <w:rsid w:val="00035059"/>
    <w:rsid w:val="00036857"/>
    <w:rsid w:val="0003703F"/>
    <w:rsid w:val="000371A6"/>
    <w:rsid w:val="00037421"/>
    <w:rsid w:val="00037616"/>
    <w:rsid w:val="00037710"/>
    <w:rsid w:val="0003788D"/>
    <w:rsid w:val="000378E7"/>
    <w:rsid w:val="0004050E"/>
    <w:rsid w:val="0004054D"/>
    <w:rsid w:val="00040626"/>
    <w:rsid w:val="000406CC"/>
    <w:rsid w:val="00041498"/>
    <w:rsid w:val="00041DA5"/>
    <w:rsid w:val="00042073"/>
    <w:rsid w:val="00042EF9"/>
    <w:rsid w:val="00043180"/>
    <w:rsid w:val="00043461"/>
    <w:rsid w:val="0004358B"/>
    <w:rsid w:val="00043697"/>
    <w:rsid w:val="00043866"/>
    <w:rsid w:val="00043B0E"/>
    <w:rsid w:val="0004433A"/>
    <w:rsid w:val="00044DBA"/>
    <w:rsid w:val="00045270"/>
    <w:rsid w:val="00046E43"/>
    <w:rsid w:val="00046ECE"/>
    <w:rsid w:val="00047040"/>
    <w:rsid w:val="00047F3E"/>
    <w:rsid w:val="000502BD"/>
    <w:rsid w:val="00050307"/>
    <w:rsid w:val="00051A8F"/>
    <w:rsid w:val="00052C4D"/>
    <w:rsid w:val="00053147"/>
    <w:rsid w:val="00055057"/>
    <w:rsid w:val="0005525D"/>
    <w:rsid w:val="0005573F"/>
    <w:rsid w:val="00055CAE"/>
    <w:rsid w:val="00057941"/>
    <w:rsid w:val="00057997"/>
    <w:rsid w:val="0006119E"/>
    <w:rsid w:val="00062139"/>
    <w:rsid w:val="0006261A"/>
    <w:rsid w:val="00062DE0"/>
    <w:rsid w:val="0006318F"/>
    <w:rsid w:val="00063211"/>
    <w:rsid w:val="000633A2"/>
    <w:rsid w:val="00063A13"/>
    <w:rsid w:val="0006457B"/>
    <w:rsid w:val="0006461C"/>
    <w:rsid w:val="00064DD7"/>
    <w:rsid w:val="00065247"/>
    <w:rsid w:val="00065C49"/>
    <w:rsid w:val="00065E4A"/>
    <w:rsid w:val="00066593"/>
    <w:rsid w:val="000667D9"/>
    <w:rsid w:val="00066869"/>
    <w:rsid w:val="00066B22"/>
    <w:rsid w:val="000679C8"/>
    <w:rsid w:val="00067B05"/>
    <w:rsid w:val="000701A4"/>
    <w:rsid w:val="000708C5"/>
    <w:rsid w:val="00070B3F"/>
    <w:rsid w:val="0007141F"/>
    <w:rsid w:val="00071E3D"/>
    <w:rsid w:val="000720C5"/>
    <w:rsid w:val="000728F1"/>
    <w:rsid w:val="00072948"/>
    <w:rsid w:val="00072B2E"/>
    <w:rsid w:val="00073421"/>
    <w:rsid w:val="000746BD"/>
    <w:rsid w:val="000747A1"/>
    <w:rsid w:val="00074E38"/>
    <w:rsid w:val="00075A0B"/>
    <w:rsid w:val="000763A5"/>
    <w:rsid w:val="000765E6"/>
    <w:rsid w:val="00076708"/>
    <w:rsid w:val="00076944"/>
    <w:rsid w:val="000777EE"/>
    <w:rsid w:val="000778C7"/>
    <w:rsid w:val="000779BE"/>
    <w:rsid w:val="000802E9"/>
    <w:rsid w:val="00081192"/>
    <w:rsid w:val="000812F3"/>
    <w:rsid w:val="000813FC"/>
    <w:rsid w:val="000815A3"/>
    <w:rsid w:val="0008178B"/>
    <w:rsid w:val="00082B7C"/>
    <w:rsid w:val="00084D89"/>
    <w:rsid w:val="0008578F"/>
    <w:rsid w:val="00085C8C"/>
    <w:rsid w:val="00085D36"/>
    <w:rsid w:val="000861D5"/>
    <w:rsid w:val="00086A3C"/>
    <w:rsid w:val="0008728F"/>
    <w:rsid w:val="000872DA"/>
    <w:rsid w:val="00087B52"/>
    <w:rsid w:val="00090242"/>
    <w:rsid w:val="000908E0"/>
    <w:rsid w:val="00090929"/>
    <w:rsid w:val="00090F98"/>
    <w:rsid w:val="00091375"/>
    <w:rsid w:val="00091CFE"/>
    <w:rsid w:val="0009227C"/>
    <w:rsid w:val="000926B4"/>
    <w:rsid w:val="00092D5F"/>
    <w:rsid w:val="000933BF"/>
    <w:rsid w:val="00093456"/>
    <w:rsid w:val="000934A8"/>
    <w:rsid w:val="0009475F"/>
    <w:rsid w:val="00094BE7"/>
    <w:rsid w:val="00094D66"/>
    <w:rsid w:val="00095097"/>
    <w:rsid w:val="00095140"/>
    <w:rsid w:val="00095175"/>
    <w:rsid w:val="00095EE1"/>
    <w:rsid w:val="00096B0B"/>
    <w:rsid w:val="00096BCA"/>
    <w:rsid w:val="00096D18"/>
    <w:rsid w:val="00096EBA"/>
    <w:rsid w:val="00097B06"/>
    <w:rsid w:val="000A00EF"/>
    <w:rsid w:val="000A0363"/>
    <w:rsid w:val="000A0B3F"/>
    <w:rsid w:val="000A1B8C"/>
    <w:rsid w:val="000A2049"/>
    <w:rsid w:val="000A23A2"/>
    <w:rsid w:val="000A2FEA"/>
    <w:rsid w:val="000A37A1"/>
    <w:rsid w:val="000A3F22"/>
    <w:rsid w:val="000A4798"/>
    <w:rsid w:val="000A4DDD"/>
    <w:rsid w:val="000A505A"/>
    <w:rsid w:val="000A5282"/>
    <w:rsid w:val="000A5E61"/>
    <w:rsid w:val="000A690D"/>
    <w:rsid w:val="000A739D"/>
    <w:rsid w:val="000A75B2"/>
    <w:rsid w:val="000A7816"/>
    <w:rsid w:val="000A7929"/>
    <w:rsid w:val="000A79A2"/>
    <w:rsid w:val="000A7A6D"/>
    <w:rsid w:val="000B101F"/>
    <w:rsid w:val="000B1343"/>
    <w:rsid w:val="000B138A"/>
    <w:rsid w:val="000B1A3E"/>
    <w:rsid w:val="000B1EA7"/>
    <w:rsid w:val="000B2000"/>
    <w:rsid w:val="000B2065"/>
    <w:rsid w:val="000B2119"/>
    <w:rsid w:val="000B2B08"/>
    <w:rsid w:val="000B31F8"/>
    <w:rsid w:val="000B324C"/>
    <w:rsid w:val="000B3521"/>
    <w:rsid w:val="000B385C"/>
    <w:rsid w:val="000B3A8D"/>
    <w:rsid w:val="000B416C"/>
    <w:rsid w:val="000B45A9"/>
    <w:rsid w:val="000B48F5"/>
    <w:rsid w:val="000B4EC6"/>
    <w:rsid w:val="000B52CF"/>
    <w:rsid w:val="000B5F1F"/>
    <w:rsid w:val="000B5F69"/>
    <w:rsid w:val="000B76E3"/>
    <w:rsid w:val="000B7E8A"/>
    <w:rsid w:val="000C00F1"/>
    <w:rsid w:val="000C06E2"/>
    <w:rsid w:val="000C0FE2"/>
    <w:rsid w:val="000C1111"/>
    <w:rsid w:val="000C125D"/>
    <w:rsid w:val="000C14D3"/>
    <w:rsid w:val="000C15A5"/>
    <w:rsid w:val="000C23CE"/>
    <w:rsid w:val="000C2822"/>
    <w:rsid w:val="000C2855"/>
    <w:rsid w:val="000C2E0A"/>
    <w:rsid w:val="000C3317"/>
    <w:rsid w:val="000C3470"/>
    <w:rsid w:val="000C3D8C"/>
    <w:rsid w:val="000C45C8"/>
    <w:rsid w:val="000C4773"/>
    <w:rsid w:val="000C502E"/>
    <w:rsid w:val="000C5462"/>
    <w:rsid w:val="000C595C"/>
    <w:rsid w:val="000C6844"/>
    <w:rsid w:val="000C73E4"/>
    <w:rsid w:val="000C7A69"/>
    <w:rsid w:val="000C7F93"/>
    <w:rsid w:val="000D0B3A"/>
    <w:rsid w:val="000D0CB0"/>
    <w:rsid w:val="000D136C"/>
    <w:rsid w:val="000D2968"/>
    <w:rsid w:val="000D3059"/>
    <w:rsid w:val="000D3291"/>
    <w:rsid w:val="000D383E"/>
    <w:rsid w:val="000D3BC4"/>
    <w:rsid w:val="000D40FA"/>
    <w:rsid w:val="000D44E7"/>
    <w:rsid w:val="000D4517"/>
    <w:rsid w:val="000D4A51"/>
    <w:rsid w:val="000D528A"/>
    <w:rsid w:val="000D6D74"/>
    <w:rsid w:val="000D6ED3"/>
    <w:rsid w:val="000D724A"/>
    <w:rsid w:val="000D73EC"/>
    <w:rsid w:val="000D767F"/>
    <w:rsid w:val="000D7B31"/>
    <w:rsid w:val="000E053D"/>
    <w:rsid w:val="000E0CE8"/>
    <w:rsid w:val="000E11DB"/>
    <w:rsid w:val="000E1644"/>
    <w:rsid w:val="000E1833"/>
    <w:rsid w:val="000E20E0"/>
    <w:rsid w:val="000E2264"/>
    <w:rsid w:val="000E33C7"/>
    <w:rsid w:val="000E3B92"/>
    <w:rsid w:val="000E47DC"/>
    <w:rsid w:val="000E50DB"/>
    <w:rsid w:val="000E5396"/>
    <w:rsid w:val="000E55B3"/>
    <w:rsid w:val="000E60A7"/>
    <w:rsid w:val="000E640C"/>
    <w:rsid w:val="000E7313"/>
    <w:rsid w:val="000E76BE"/>
    <w:rsid w:val="000E7CC5"/>
    <w:rsid w:val="000E7E3C"/>
    <w:rsid w:val="000F0BD7"/>
    <w:rsid w:val="000F0CED"/>
    <w:rsid w:val="000F1AC1"/>
    <w:rsid w:val="000F1F6B"/>
    <w:rsid w:val="000F2CD3"/>
    <w:rsid w:val="000F36A9"/>
    <w:rsid w:val="000F4073"/>
    <w:rsid w:val="000F4CB7"/>
    <w:rsid w:val="000F52E2"/>
    <w:rsid w:val="000F5C10"/>
    <w:rsid w:val="000F642C"/>
    <w:rsid w:val="000F657C"/>
    <w:rsid w:val="000F66B3"/>
    <w:rsid w:val="000F6822"/>
    <w:rsid w:val="000F76CB"/>
    <w:rsid w:val="00100858"/>
    <w:rsid w:val="00101A25"/>
    <w:rsid w:val="00101EB4"/>
    <w:rsid w:val="0010287A"/>
    <w:rsid w:val="00102B71"/>
    <w:rsid w:val="0010303E"/>
    <w:rsid w:val="001045F0"/>
    <w:rsid w:val="001050F9"/>
    <w:rsid w:val="00105477"/>
    <w:rsid w:val="00105933"/>
    <w:rsid w:val="00105ACF"/>
    <w:rsid w:val="001060F7"/>
    <w:rsid w:val="00106D9B"/>
    <w:rsid w:val="0010738B"/>
    <w:rsid w:val="001073B1"/>
    <w:rsid w:val="00107A2D"/>
    <w:rsid w:val="001104BC"/>
    <w:rsid w:val="00110AFA"/>
    <w:rsid w:val="00110C5B"/>
    <w:rsid w:val="00111C79"/>
    <w:rsid w:val="00111D3B"/>
    <w:rsid w:val="00112FDD"/>
    <w:rsid w:val="00113517"/>
    <w:rsid w:val="00113EF9"/>
    <w:rsid w:val="0011424C"/>
    <w:rsid w:val="001149A9"/>
    <w:rsid w:val="00114A95"/>
    <w:rsid w:val="00114FBB"/>
    <w:rsid w:val="00115BC3"/>
    <w:rsid w:val="00115EFC"/>
    <w:rsid w:val="001163EA"/>
    <w:rsid w:val="001163F5"/>
    <w:rsid w:val="001168A0"/>
    <w:rsid w:val="00116EF0"/>
    <w:rsid w:val="001177F4"/>
    <w:rsid w:val="001201CC"/>
    <w:rsid w:val="001206D9"/>
    <w:rsid w:val="0012085D"/>
    <w:rsid w:val="00120883"/>
    <w:rsid w:val="001211C1"/>
    <w:rsid w:val="001211F6"/>
    <w:rsid w:val="00121CA7"/>
    <w:rsid w:val="00121F5B"/>
    <w:rsid w:val="00121F5F"/>
    <w:rsid w:val="00122A83"/>
    <w:rsid w:val="00122FB0"/>
    <w:rsid w:val="001235C2"/>
    <w:rsid w:val="00123930"/>
    <w:rsid w:val="00123E71"/>
    <w:rsid w:val="001245EE"/>
    <w:rsid w:val="00124C68"/>
    <w:rsid w:val="00125F00"/>
    <w:rsid w:val="00126814"/>
    <w:rsid w:val="001268F3"/>
    <w:rsid w:val="00126A26"/>
    <w:rsid w:val="00127197"/>
    <w:rsid w:val="00127F1C"/>
    <w:rsid w:val="00130CD8"/>
    <w:rsid w:val="00130FC0"/>
    <w:rsid w:val="001314AC"/>
    <w:rsid w:val="0013267C"/>
    <w:rsid w:val="001326AD"/>
    <w:rsid w:val="00132B45"/>
    <w:rsid w:val="001332FF"/>
    <w:rsid w:val="00133BB3"/>
    <w:rsid w:val="0013402E"/>
    <w:rsid w:val="00134543"/>
    <w:rsid w:val="00134F74"/>
    <w:rsid w:val="0013541C"/>
    <w:rsid w:val="00135ACC"/>
    <w:rsid w:val="001369BE"/>
    <w:rsid w:val="00136D0A"/>
    <w:rsid w:val="00136F12"/>
    <w:rsid w:val="00136FB0"/>
    <w:rsid w:val="0014010E"/>
    <w:rsid w:val="00140496"/>
    <w:rsid w:val="00140985"/>
    <w:rsid w:val="00140C80"/>
    <w:rsid w:val="00140F94"/>
    <w:rsid w:val="001410A4"/>
    <w:rsid w:val="00142E7A"/>
    <w:rsid w:val="001431AA"/>
    <w:rsid w:val="00143B04"/>
    <w:rsid w:val="00143D25"/>
    <w:rsid w:val="00143D84"/>
    <w:rsid w:val="00144983"/>
    <w:rsid w:val="00144FCD"/>
    <w:rsid w:val="00144FD2"/>
    <w:rsid w:val="001454F5"/>
    <w:rsid w:val="00145F38"/>
    <w:rsid w:val="0014729E"/>
    <w:rsid w:val="00147355"/>
    <w:rsid w:val="001473B7"/>
    <w:rsid w:val="0014780B"/>
    <w:rsid w:val="00147844"/>
    <w:rsid w:val="001478E5"/>
    <w:rsid w:val="0015000E"/>
    <w:rsid w:val="001507B5"/>
    <w:rsid w:val="00150BA7"/>
    <w:rsid w:val="00150C5A"/>
    <w:rsid w:val="00150C7C"/>
    <w:rsid w:val="00151DE6"/>
    <w:rsid w:val="00151F1D"/>
    <w:rsid w:val="001521FE"/>
    <w:rsid w:val="00152C51"/>
    <w:rsid w:val="00152DCE"/>
    <w:rsid w:val="00153B54"/>
    <w:rsid w:val="00153F05"/>
    <w:rsid w:val="001541C1"/>
    <w:rsid w:val="00154304"/>
    <w:rsid w:val="0015439F"/>
    <w:rsid w:val="00154671"/>
    <w:rsid w:val="001546FF"/>
    <w:rsid w:val="00154823"/>
    <w:rsid w:val="001548B5"/>
    <w:rsid w:val="00154A8E"/>
    <w:rsid w:val="001555E8"/>
    <w:rsid w:val="00155C7B"/>
    <w:rsid w:val="0015679C"/>
    <w:rsid w:val="00156958"/>
    <w:rsid w:val="00156BFD"/>
    <w:rsid w:val="00156DE8"/>
    <w:rsid w:val="00156F79"/>
    <w:rsid w:val="001578E3"/>
    <w:rsid w:val="00157AA8"/>
    <w:rsid w:val="00157CAB"/>
    <w:rsid w:val="0016024E"/>
    <w:rsid w:val="00160AE3"/>
    <w:rsid w:val="00160F42"/>
    <w:rsid w:val="001613BB"/>
    <w:rsid w:val="001623E1"/>
    <w:rsid w:val="00162F3F"/>
    <w:rsid w:val="001631AF"/>
    <w:rsid w:val="001634DC"/>
    <w:rsid w:val="00163C6E"/>
    <w:rsid w:val="00163D4F"/>
    <w:rsid w:val="00163E03"/>
    <w:rsid w:val="0016436D"/>
    <w:rsid w:val="00164546"/>
    <w:rsid w:val="00164C05"/>
    <w:rsid w:val="001657D6"/>
    <w:rsid w:val="00165A9F"/>
    <w:rsid w:val="00165D47"/>
    <w:rsid w:val="0016686D"/>
    <w:rsid w:val="00167020"/>
    <w:rsid w:val="00167A22"/>
    <w:rsid w:val="00167ADE"/>
    <w:rsid w:val="001708B9"/>
    <w:rsid w:val="00170983"/>
    <w:rsid w:val="00170C7D"/>
    <w:rsid w:val="00170EAE"/>
    <w:rsid w:val="001711D3"/>
    <w:rsid w:val="00171479"/>
    <w:rsid w:val="00172FBF"/>
    <w:rsid w:val="001734DA"/>
    <w:rsid w:val="00173826"/>
    <w:rsid w:val="00174518"/>
    <w:rsid w:val="001746BD"/>
    <w:rsid w:val="00174731"/>
    <w:rsid w:val="001754A3"/>
    <w:rsid w:val="0017552E"/>
    <w:rsid w:val="00175C89"/>
    <w:rsid w:val="001763F9"/>
    <w:rsid w:val="001772DA"/>
    <w:rsid w:val="00177540"/>
    <w:rsid w:val="00177C27"/>
    <w:rsid w:val="0017C36B"/>
    <w:rsid w:val="00180122"/>
    <w:rsid w:val="001804C1"/>
    <w:rsid w:val="00180738"/>
    <w:rsid w:val="00180EC8"/>
    <w:rsid w:val="00180FD9"/>
    <w:rsid w:val="001813BA"/>
    <w:rsid w:val="001816D8"/>
    <w:rsid w:val="00181BC0"/>
    <w:rsid w:val="00182711"/>
    <w:rsid w:val="00182C09"/>
    <w:rsid w:val="001831E9"/>
    <w:rsid w:val="001832E9"/>
    <w:rsid w:val="00183BA2"/>
    <w:rsid w:val="0018483F"/>
    <w:rsid w:val="00184A6B"/>
    <w:rsid w:val="00184EF4"/>
    <w:rsid w:val="00185217"/>
    <w:rsid w:val="001859F4"/>
    <w:rsid w:val="00185C52"/>
    <w:rsid w:val="0018698B"/>
    <w:rsid w:val="00186C6F"/>
    <w:rsid w:val="00186C8C"/>
    <w:rsid w:val="00187461"/>
    <w:rsid w:val="0019041C"/>
    <w:rsid w:val="00191081"/>
    <w:rsid w:val="00191F7E"/>
    <w:rsid w:val="0019234F"/>
    <w:rsid w:val="00192CCF"/>
    <w:rsid w:val="001930A1"/>
    <w:rsid w:val="001933AC"/>
    <w:rsid w:val="001933D2"/>
    <w:rsid w:val="0019386E"/>
    <w:rsid w:val="00195198"/>
    <w:rsid w:val="00195CFE"/>
    <w:rsid w:val="001967E4"/>
    <w:rsid w:val="00197199"/>
    <w:rsid w:val="00197B69"/>
    <w:rsid w:val="00197BC6"/>
    <w:rsid w:val="00197C08"/>
    <w:rsid w:val="00197C0B"/>
    <w:rsid w:val="001A02BB"/>
    <w:rsid w:val="001A061E"/>
    <w:rsid w:val="001A0A1C"/>
    <w:rsid w:val="001A1491"/>
    <w:rsid w:val="001A18F0"/>
    <w:rsid w:val="001A34F7"/>
    <w:rsid w:val="001A3512"/>
    <w:rsid w:val="001A4B1A"/>
    <w:rsid w:val="001A5044"/>
    <w:rsid w:val="001A5370"/>
    <w:rsid w:val="001A59BE"/>
    <w:rsid w:val="001A5E00"/>
    <w:rsid w:val="001A6926"/>
    <w:rsid w:val="001A6A40"/>
    <w:rsid w:val="001A6FA8"/>
    <w:rsid w:val="001B0AC9"/>
    <w:rsid w:val="001B0C91"/>
    <w:rsid w:val="001B0CA9"/>
    <w:rsid w:val="001B1249"/>
    <w:rsid w:val="001B2E1C"/>
    <w:rsid w:val="001B33A7"/>
    <w:rsid w:val="001B33B7"/>
    <w:rsid w:val="001B34D8"/>
    <w:rsid w:val="001B37F6"/>
    <w:rsid w:val="001B3C8F"/>
    <w:rsid w:val="001B3EF3"/>
    <w:rsid w:val="001B402A"/>
    <w:rsid w:val="001B50D8"/>
    <w:rsid w:val="001B58E5"/>
    <w:rsid w:val="001B5BA1"/>
    <w:rsid w:val="001B5DB9"/>
    <w:rsid w:val="001B6B66"/>
    <w:rsid w:val="001B6C9B"/>
    <w:rsid w:val="001B6EBA"/>
    <w:rsid w:val="001B6F61"/>
    <w:rsid w:val="001B7F07"/>
    <w:rsid w:val="001C04E2"/>
    <w:rsid w:val="001C0950"/>
    <w:rsid w:val="001C16E1"/>
    <w:rsid w:val="001C1FF9"/>
    <w:rsid w:val="001C2054"/>
    <w:rsid w:val="001C21F5"/>
    <w:rsid w:val="001C29E2"/>
    <w:rsid w:val="001C2FAE"/>
    <w:rsid w:val="001C375D"/>
    <w:rsid w:val="001C3F3A"/>
    <w:rsid w:val="001C4560"/>
    <w:rsid w:val="001C5594"/>
    <w:rsid w:val="001C58F4"/>
    <w:rsid w:val="001C5D02"/>
    <w:rsid w:val="001C5DED"/>
    <w:rsid w:val="001C6589"/>
    <w:rsid w:val="001C66FE"/>
    <w:rsid w:val="001C6B58"/>
    <w:rsid w:val="001C6BC4"/>
    <w:rsid w:val="001C6CEA"/>
    <w:rsid w:val="001D10D9"/>
    <w:rsid w:val="001D1BBC"/>
    <w:rsid w:val="001D2381"/>
    <w:rsid w:val="001D24CE"/>
    <w:rsid w:val="001D2AC0"/>
    <w:rsid w:val="001D2BD7"/>
    <w:rsid w:val="001D3476"/>
    <w:rsid w:val="001D36BD"/>
    <w:rsid w:val="001D3A86"/>
    <w:rsid w:val="001D3C84"/>
    <w:rsid w:val="001D4241"/>
    <w:rsid w:val="001D45D7"/>
    <w:rsid w:val="001D4761"/>
    <w:rsid w:val="001D47F9"/>
    <w:rsid w:val="001D4BAB"/>
    <w:rsid w:val="001D5307"/>
    <w:rsid w:val="001D5BBF"/>
    <w:rsid w:val="001D6891"/>
    <w:rsid w:val="001D6C64"/>
    <w:rsid w:val="001D7329"/>
    <w:rsid w:val="001D75F3"/>
    <w:rsid w:val="001D789E"/>
    <w:rsid w:val="001E077D"/>
    <w:rsid w:val="001E0D87"/>
    <w:rsid w:val="001E120A"/>
    <w:rsid w:val="001E160F"/>
    <w:rsid w:val="001E20AE"/>
    <w:rsid w:val="001E263F"/>
    <w:rsid w:val="001E2CEB"/>
    <w:rsid w:val="001E3825"/>
    <w:rsid w:val="001E3828"/>
    <w:rsid w:val="001E3DB9"/>
    <w:rsid w:val="001E3E25"/>
    <w:rsid w:val="001E4C65"/>
    <w:rsid w:val="001E4C6A"/>
    <w:rsid w:val="001E4C86"/>
    <w:rsid w:val="001E5FE0"/>
    <w:rsid w:val="001E60E4"/>
    <w:rsid w:val="001E6B84"/>
    <w:rsid w:val="001E6C41"/>
    <w:rsid w:val="001E6E8B"/>
    <w:rsid w:val="001E7C23"/>
    <w:rsid w:val="001F1425"/>
    <w:rsid w:val="001F176B"/>
    <w:rsid w:val="001F1999"/>
    <w:rsid w:val="001F1D0E"/>
    <w:rsid w:val="001F2919"/>
    <w:rsid w:val="001F2975"/>
    <w:rsid w:val="001F29C4"/>
    <w:rsid w:val="001F3581"/>
    <w:rsid w:val="001F3825"/>
    <w:rsid w:val="001F4514"/>
    <w:rsid w:val="001F46F9"/>
    <w:rsid w:val="001F4CD1"/>
    <w:rsid w:val="001F599E"/>
    <w:rsid w:val="001F5F56"/>
    <w:rsid w:val="001F5FAA"/>
    <w:rsid w:val="001F69FA"/>
    <w:rsid w:val="001F6BD8"/>
    <w:rsid w:val="00201403"/>
    <w:rsid w:val="0020174D"/>
    <w:rsid w:val="002021B4"/>
    <w:rsid w:val="002021E7"/>
    <w:rsid w:val="0020241C"/>
    <w:rsid w:val="002029AC"/>
    <w:rsid w:val="00202E87"/>
    <w:rsid w:val="00203026"/>
    <w:rsid w:val="00203651"/>
    <w:rsid w:val="00203B6C"/>
    <w:rsid w:val="002056E5"/>
    <w:rsid w:val="00205FB8"/>
    <w:rsid w:val="00206DAB"/>
    <w:rsid w:val="0020793F"/>
    <w:rsid w:val="00207A2D"/>
    <w:rsid w:val="00207CAF"/>
    <w:rsid w:val="00210E9B"/>
    <w:rsid w:val="00210EA8"/>
    <w:rsid w:val="002116F0"/>
    <w:rsid w:val="00212013"/>
    <w:rsid w:val="0021215D"/>
    <w:rsid w:val="0021216C"/>
    <w:rsid w:val="00212B99"/>
    <w:rsid w:val="00212BC6"/>
    <w:rsid w:val="00212CF7"/>
    <w:rsid w:val="0021329E"/>
    <w:rsid w:val="00213671"/>
    <w:rsid w:val="0021458E"/>
    <w:rsid w:val="002147BB"/>
    <w:rsid w:val="00214DF1"/>
    <w:rsid w:val="00215C22"/>
    <w:rsid w:val="00215CA2"/>
    <w:rsid w:val="00216154"/>
    <w:rsid w:val="00216CC6"/>
    <w:rsid w:val="00217175"/>
    <w:rsid w:val="00217641"/>
    <w:rsid w:val="00217F8F"/>
    <w:rsid w:val="00220241"/>
    <w:rsid w:val="00222CBA"/>
    <w:rsid w:val="00223C09"/>
    <w:rsid w:val="00223CEB"/>
    <w:rsid w:val="00224607"/>
    <w:rsid w:val="00224A11"/>
    <w:rsid w:val="00224B8D"/>
    <w:rsid w:val="00224CF1"/>
    <w:rsid w:val="002257AD"/>
    <w:rsid w:val="002263B6"/>
    <w:rsid w:val="002264AC"/>
    <w:rsid w:val="00226AFF"/>
    <w:rsid w:val="00226DB1"/>
    <w:rsid w:val="00227642"/>
    <w:rsid w:val="00227944"/>
    <w:rsid w:val="0022795F"/>
    <w:rsid w:val="00227ACD"/>
    <w:rsid w:val="00230148"/>
    <w:rsid w:val="002303BF"/>
    <w:rsid w:val="00230444"/>
    <w:rsid w:val="002309E9"/>
    <w:rsid w:val="00230B05"/>
    <w:rsid w:val="00230BBC"/>
    <w:rsid w:val="00231354"/>
    <w:rsid w:val="002313F2"/>
    <w:rsid w:val="0023146F"/>
    <w:rsid w:val="00231F33"/>
    <w:rsid w:val="00232FF5"/>
    <w:rsid w:val="002336AF"/>
    <w:rsid w:val="00233CBD"/>
    <w:rsid w:val="00233F10"/>
    <w:rsid w:val="00234257"/>
    <w:rsid w:val="00234E26"/>
    <w:rsid w:val="00234F2A"/>
    <w:rsid w:val="00235691"/>
    <w:rsid w:val="0023654E"/>
    <w:rsid w:val="002374E6"/>
    <w:rsid w:val="00237950"/>
    <w:rsid w:val="00237FA7"/>
    <w:rsid w:val="0024027B"/>
    <w:rsid w:val="00240406"/>
    <w:rsid w:val="00240848"/>
    <w:rsid w:val="0024091F"/>
    <w:rsid w:val="00241C95"/>
    <w:rsid w:val="00241FFF"/>
    <w:rsid w:val="002420B7"/>
    <w:rsid w:val="00242677"/>
    <w:rsid w:val="00242DC2"/>
    <w:rsid w:val="00242E6A"/>
    <w:rsid w:val="00243B9E"/>
    <w:rsid w:val="0024481F"/>
    <w:rsid w:val="00244F6B"/>
    <w:rsid w:val="00245D3A"/>
    <w:rsid w:val="002466C3"/>
    <w:rsid w:val="002470E8"/>
    <w:rsid w:val="002479D0"/>
    <w:rsid w:val="00247AC6"/>
    <w:rsid w:val="0025062D"/>
    <w:rsid w:val="00251651"/>
    <w:rsid w:val="002519D4"/>
    <w:rsid w:val="00251B6E"/>
    <w:rsid w:val="00252123"/>
    <w:rsid w:val="002526D4"/>
    <w:rsid w:val="0025271F"/>
    <w:rsid w:val="0025281D"/>
    <w:rsid w:val="00252A75"/>
    <w:rsid w:val="00252D83"/>
    <w:rsid w:val="00252EBB"/>
    <w:rsid w:val="002536B5"/>
    <w:rsid w:val="002538FA"/>
    <w:rsid w:val="0025486C"/>
    <w:rsid w:val="002551D9"/>
    <w:rsid w:val="00255298"/>
    <w:rsid w:val="00255C0C"/>
    <w:rsid w:val="00255E7F"/>
    <w:rsid w:val="0025630A"/>
    <w:rsid w:val="002565CC"/>
    <w:rsid w:val="00257898"/>
    <w:rsid w:val="00257984"/>
    <w:rsid w:val="00257C05"/>
    <w:rsid w:val="00257C85"/>
    <w:rsid w:val="00257DA3"/>
    <w:rsid w:val="00257E65"/>
    <w:rsid w:val="0026017E"/>
    <w:rsid w:val="0026023E"/>
    <w:rsid w:val="00260A3E"/>
    <w:rsid w:val="00260C33"/>
    <w:rsid w:val="00260F90"/>
    <w:rsid w:val="002612C9"/>
    <w:rsid w:val="00261AB0"/>
    <w:rsid w:val="002621A9"/>
    <w:rsid w:val="00263768"/>
    <w:rsid w:val="002639C4"/>
    <w:rsid w:val="00263A89"/>
    <w:rsid w:val="002648D4"/>
    <w:rsid w:val="002648F9"/>
    <w:rsid w:val="002654EB"/>
    <w:rsid w:val="0026571F"/>
    <w:rsid w:val="00266017"/>
    <w:rsid w:val="002662A4"/>
    <w:rsid w:val="002664A4"/>
    <w:rsid w:val="00266E30"/>
    <w:rsid w:val="00267D68"/>
    <w:rsid w:val="00270BBA"/>
    <w:rsid w:val="00270BDD"/>
    <w:rsid w:val="00270F5F"/>
    <w:rsid w:val="00271C68"/>
    <w:rsid w:val="00272008"/>
    <w:rsid w:val="00272859"/>
    <w:rsid w:val="00272912"/>
    <w:rsid w:val="00272C52"/>
    <w:rsid w:val="00273291"/>
    <w:rsid w:val="0027367E"/>
    <w:rsid w:val="00273C75"/>
    <w:rsid w:val="00273F42"/>
    <w:rsid w:val="002757A7"/>
    <w:rsid w:val="0027604B"/>
    <w:rsid w:val="00276AFD"/>
    <w:rsid w:val="00276D46"/>
    <w:rsid w:val="002774A6"/>
    <w:rsid w:val="002774BC"/>
    <w:rsid w:val="002801B9"/>
    <w:rsid w:val="00281A24"/>
    <w:rsid w:val="00281C60"/>
    <w:rsid w:val="00281F58"/>
    <w:rsid w:val="00281FA3"/>
    <w:rsid w:val="0028205D"/>
    <w:rsid w:val="00282140"/>
    <w:rsid w:val="002826A3"/>
    <w:rsid w:val="002826D2"/>
    <w:rsid w:val="00282B17"/>
    <w:rsid w:val="00283A77"/>
    <w:rsid w:val="002840E2"/>
    <w:rsid w:val="002845B0"/>
    <w:rsid w:val="002856AF"/>
    <w:rsid w:val="00285E1F"/>
    <w:rsid w:val="00286357"/>
    <w:rsid w:val="00286B1C"/>
    <w:rsid w:val="00286F6A"/>
    <w:rsid w:val="00286FBB"/>
    <w:rsid w:val="0028779B"/>
    <w:rsid w:val="00287B05"/>
    <w:rsid w:val="002901DE"/>
    <w:rsid w:val="00290855"/>
    <w:rsid w:val="00291041"/>
    <w:rsid w:val="002917C8"/>
    <w:rsid w:val="00291F04"/>
    <w:rsid w:val="0029207E"/>
    <w:rsid w:val="00292224"/>
    <w:rsid w:val="00292487"/>
    <w:rsid w:val="00292727"/>
    <w:rsid w:val="00292D68"/>
    <w:rsid w:val="00293EEF"/>
    <w:rsid w:val="0029464E"/>
    <w:rsid w:val="0029498B"/>
    <w:rsid w:val="002952BE"/>
    <w:rsid w:val="002957EA"/>
    <w:rsid w:val="00295858"/>
    <w:rsid w:val="00295B12"/>
    <w:rsid w:val="00295FE8"/>
    <w:rsid w:val="00296303"/>
    <w:rsid w:val="00296CC5"/>
    <w:rsid w:val="00297747"/>
    <w:rsid w:val="002A088B"/>
    <w:rsid w:val="002A0D1E"/>
    <w:rsid w:val="002A1388"/>
    <w:rsid w:val="002A2138"/>
    <w:rsid w:val="002A214A"/>
    <w:rsid w:val="002A2549"/>
    <w:rsid w:val="002A2915"/>
    <w:rsid w:val="002A2AF8"/>
    <w:rsid w:val="002A2F7D"/>
    <w:rsid w:val="002A3239"/>
    <w:rsid w:val="002A39A7"/>
    <w:rsid w:val="002A4ED4"/>
    <w:rsid w:val="002A5090"/>
    <w:rsid w:val="002A5801"/>
    <w:rsid w:val="002A72C7"/>
    <w:rsid w:val="002A7578"/>
    <w:rsid w:val="002A764A"/>
    <w:rsid w:val="002A7AC2"/>
    <w:rsid w:val="002B009D"/>
    <w:rsid w:val="002B0589"/>
    <w:rsid w:val="002B0D07"/>
    <w:rsid w:val="002B0D9A"/>
    <w:rsid w:val="002B0FB3"/>
    <w:rsid w:val="002B12C0"/>
    <w:rsid w:val="002B1755"/>
    <w:rsid w:val="002B1EEC"/>
    <w:rsid w:val="002B20B3"/>
    <w:rsid w:val="002B2357"/>
    <w:rsid w:val="002B2B6B"/>
    <w:rsid w:val="002B33E3"/>
    <w:rsid w:val="002B3806"/>
    <w:rsid w:val="002B3FB5"/>
    <w:rsid w:val="002B4537"/>
    <w:rsid w:val="002B4538"/>
    <w:rsid w:val="002B4CC0"/>
    <w:rsid w:val="002B66AF"/>
    <w:rsid w:val="002B7768"/>
    <w:rsid w:val="002B7AF3"/>
    <w:rsid w:val="002C03CC"/>
    <w:rsid w:val="002C04CD"/>
    <w:rsid w:val="002C1249"/>
    <w:rsid w:val="002C1B44"/>
    <w:rsid w:val="002C269C"/>
    <w:rsid w:val="002C31D5"/>
    <w:rsid w:val="002C3455"/>
    <w:rsid w:val="002C3CBB"/>
    <w:rsid w:val="002C433B"/>
    <w:rsid w:val="002C4380"/>
    <w:rsid w:val="002C4A0D"/>
    <w:rsid w:val="002C5828"/>
    <w:rsid w:val="002C6127"/>
    <w:rsid w:val="002C65F5"/>
    <w:rsid w:val="002C7A1B"/>
    <w:rsid w:val="002C7C0D"/>
    <w:rsid w:val="002D032F"/>
    <w:rsid w:val="002D0A69"/>
    <w:rsid w:val="002D0C29"/>
    <w:rsid w:val="002D0DD4"/>
    <w:rsid w:val="002D15B8"/>
    <w:rsid w:val="002D19BB"/>
    <w:rsid w:val="002D2DF7"/>
    <w:rsid w:val="002D307B"/>
    <w:rsid w:val="002D328B"/>
    <w:rsid w:val="002D396E"/>
    <w:rsid w:val="002D39BC"/>
    <w:rsid w:val="002D3BC8"/>
    <w:rsid w:val="002D4359"/>
    <w:rsid w:val="002D4931"/>
    <w:rsid w:val="002D4960"/>
    <w:rsid w:val="002D4F06"/>
    <w:rsid w:val="002D5B5F"/>
    <w:rsid w:val="002D6205"/>
    <w:rsid w:val="002D71F4"/>
    <w:rsid w:val="002D786B"/>
    <w:rsid w:val="002E0515"/>
    <w:rsid w:val="002E06A7"/>
    <w:rsid w:val="002E1ECE"/>
    <w:rsid w:val="002E25E0"/>
    <w:rsid w:val="002E2F00"/>
    <w:rsid w:val="002E3E0A"/>
    <w:rsid w:val="002E413B"/>
    <w:rsid w:val="002E4D10"/>
    <w:rsid w:val="002E4D7A"/>
    <w:rsid w:val="002E500E"/>
    <w:rsid w:val="002E50E2"/>
    <w:rsid w:val="002E587E"/>
    <w:rsid w:val="002E5EC9"/>
    <w:rsid w:val="002E60A5"/>
    <w:rsid w:val="002E6905"/>
    <w:rsid w:val="002E762A"/>
    <w:rsid w:val="002F0597"/>
    <w:rsid w:val="002F07F9"/>
    <w:rsid w:val="002F0974"/>
    <w:rsid w:val="002F0C7A"/>
    <w:rsid w:val="002F1231"/>
    <w:rsid w:val="002F13DA"/>
    <w:rsid w:val="002F1550"/>
    <w:rsid w:val="002F1583"/>
    <w:rsid w:val="002F19DC"/>
    <w:rsid w:val="002F28F7"/>
    <w:rsid w:val="002F3B10"/>
    <w:rsid w:val="002F3B99"/>
    <w:rsid w:val="002F3DA5"/>
    <w:rsid w:val="002F4150"/>
    <w:rsid w:val="002F4ACF"/>
    <w:rsid w:val="002F4D31"/>
    <w:rsid w:val="002F57A1"/>
    <w:rsid w:val="002F5AC9"/>
    <w:rsid w:val="002F70F2"/>
    <w:rsid w:val="002F718C"/>
    <w:rsid w:val="0030038E"/>
    <w:rsid w:val="003003AD"/>
    <w:rsid w:val="00300C1C"/>
    <w:rsid w:val="00300DA7"/>
    <w:rsid w:val="00301E2A"/>
    <w:rsid w:val="003025FD"/>
    <w:rsid w:val="003029EE"/>
    <w:rsid w:val="00302C6F"/>
    <w:rsid w:val="00303556"/>
    <w:rsid w:val="0030359E"/>
    <w:rsid w:val="00303993"/>
    <w:rsid w:val="00303A3C"/>
    <w:rsid w:val="00303EF8"/>
    <w:rsid w:val="003043D0"/>
    <w:rsid w:val="0030472F"/>
    <w:rsid w:val="00304FBB"/>
    <w:rsid w:val="00305493"/>
    <w:rsid w:val="0030583B"/>
    <w:rsid w:val="00306441"/>
    <w:rsid w:val="00306741"/>
    <w:rsid w:val="00306C92"/>
    <w:rsid w:val="003070F6"/>
    <w:rsid w:val="003070FE"/>
    <w:rsid w:val="003075F0"/>
    <w:rsid w:val="0030784A"/>
    <w:rsid w:val="0030790D"/>
    <w:rsid w:val="00307B2C"/>
    <w:rsid w:val="00310447"/>
    <w:rsid w:val="0031050F"/>
    <w:rsid w:val="0031078C"/>
    <w:rsid w:val="0031087A"/>
    <w:rsid w:val="0031123B"/>
    <w:rsid w:val="00311536"/>
    <w:rsid w:val="00311B73"/>
    <w:rsid w:val="00311FCF"/>
    <w:rsid w:val="003138C9"/>
    <w:rsid w:val="003142FD"/>
    <w:rsid w:val="00315472"/>
    <w:rsid w:val="0031576F"/>
    <w:rsid w:val="00315B43"/>
    <w:rsid w:val="00317C03"/>
    <w:rsid w:val="003208C2"/>
    <w:rsid w:val="00320963"/>
    <w:rsid w:val="00320DAB"/>
    <w:rsid w:val="003215D5"/>
    <w:rsid w:val="0032166B"/>
    <w:rsid w:val="00321D7C"/>
    <w:rsid w:val="00322D43"/>
    <w:rsid w:val="0032303A"/>
    <w:rsid w:val="003230DC"/>
    <w:rsid w:val="00324004"/>
    <w:rsid w:val="00324A8A"/>
    <w:rsid w:val="00324FA2"/>
    <w:rsid w:val="00325E86"/>
    <w:rsid w:val="0032744F"/>
    <w:rsid w:val="003279EE"/>
    <w:rsid w:val="003305BA"/>
    <w:rsid w:val="00330E23"/>
    <w:rsid w:val="00330F7D"/>
    <w:rsid w:val="0033106F"/>
    <w:rsid w:val="00331514"/>
    <w:rsid w:val="00331665"/>
    <w:rsid w:val="00331DF5"/>
    <w:rsid w:val="00331EA0"/>
    <w:rsid w:val="00332E83"/>
    <w:rsid w:val="003330A1"/>
    <w:rsid w:val="00333C67"/>
    <w:rsid w:val="00334087"/>
    <w:rsid w:val="0033492F"/>
    <w:rsid w:val="003350AB"/>
    <w:rsid w:val="00335608"/>
    <w:rsid w:val="00335CE4"/>
    <w:rsid w:val="00336165"/>
    <w:rsid w:val="00336712"/>
    <w:rsid w:val="003367B9"/>
    <w:rsid w:val="003370AD"/>
    <w:rsid w:val="00337D6A"/>
    <w:rsid w:val="00340604"/>
    <w:rsid w:val="00340BE7"/>
    <w:rsid w:val="00340CC6"/>
    <w:rsid w:val="00340CCD"/>
    <w:rsid w:val="00340D1A"/>
    <w:rsid w:val="0034107A"/>
    <w:rsid w:val="0034147D"/>
    <w:rsid w:val="0034176D"/>
    <w:rsid w:val="003422BF"/>
    <w:rsid w:val="00342973"/>
    <w:rsid w:val="00343098"/>
    <w:rsid w:val="003433E9"/>
    <w:rsid w:val="00343622"/>
    <w:rsid w:val="00343759"/>
    <w:rsid w:val="003437BE"/>
    <w:rsid w:val="00343820"/>
    <w:rsid w:val="00343A1D"/>
    <w:rsid w:val="00343A5B"/>
    <w:rsid w:val="00343EC3"/>
    <w:rsid w:val="0034407D"/>
    <w:rsid w:val="00344B2A"/>
    <w:rsid w:val="00345E3B"/>
    <w:rsid w:val="00347144"/>
    <w:rsid w:val="00347661"/>
    <w:rsid w:val="00350140"/>
    <w:rsid w:val="003508F2"/>
    <w:rsid w:val="0035105F"/>
    <w:rsid w:val="00351AD3"/>
    <w:rsid w:val="003525C5"/>
    <w:rsid w:val="00352F2A"/>
    <w:rsid w:val="003535CC"/>
    <w:rsid w:val="003537E7"/>
    <w:rsid w:val="0035412C"/>
    <w:rsid w:val="00354483"/>
    <w:rsid w:val="003546C6"/>
    <w:rsid w:val="00354C35"/>
    <w:rsid w:val="003550D2"/>
    <w:rsid w:val="00355561"/>
    <w:rsid w:val="003571B1"/>
    <w:rsid w:val="00357336"/>
    <w:rsid w:val="003577C2"/>
    <w:rsid w:val="00357A14"/>
    <w:rsid w:val="00357C40"/>
    <w:rsid w:val="00357D00"/>
    <w:rsid w:val="00361441"/>
    <w:rsid w:val="00361603"/>
    <w:rsid w:val="00361964"/>
    <w:rsid w:val="003622EF"/>
    <w:rsid w:val="003630AC"/>
    <w:rsid w:val="003636F2"/>
    <w:rsid w:val="0036422C"/>
    <w:rsid w:val="00364821"/>
    <w:rsid w:val="003648B2"/>
    <w:rsid w:val="00364908"/>
    <w:rsid w:val="00364D26"/>
    <w:rsid w:val="00365383"/>
    <w:rsid w:val="0036557A"/>
    <w:rsid w:val="0036587E"/>
    <w:rsid w:val="00365BE8"/>
    <w:rsid w:val="00365DB4"/>
    <w:rsid w:val="00365F83"/>
    <w:rsid w:val="0036609D"/>
    <w:rsid w:val="003660C4"/>
    <w:rsid w:val="00366194"/>
    <w:rsid w:val="0036635D"/>
    <w:rsid w:val="003667A4"/>
    <w:rsid w:val="00366888"/>
    <w:rsid w:val="00367930"/>
    <w:rsid w:val="003709BA"/>
    <w:rsid w:val="003714ED"/>
    <w:rsid w:val="003715A2"/>
    <w:rsid w:val="00371C86"/>
    <w:rsid w:val="00372164"/>
    <w:rsid w:val="00372C96"/>
    <w:rsid w:val="00372CE7"/>
    <w:rsid w:val="00372D16"/>
    <w:rsid w:val="00372EE0"/>
    <w:rsid w:val="00373105"/>
    <w:rsid w:val="003735AD"/>
    <w:rsid w:val="00373726"/>
    <w:rsid w:val="0037396C"/>
    <w:rsid w:val="00373C2D"/>
    <w:rsid w:val="003744A3"/>
    <w:rsid w:val="00374F96"/>
    <w:rsid w:val="003755E4"/>
    <w:rsid w:val="0037626A"/>
    <w:rsid w:val="00376288"/>
    <w:rsid w:val="003765D9"/>
    <w:rsid w:val="003768EB"/>
    <w:rsid w:val="003773F0"/>
    <w:rsid w:val="0037753B"/>
    <w:rsid w:val="003800D4"/>
    <w:rsid w:val="00380482"/>
    <w:rsid w:val="003808AB"/>
    <w:rsid w:val="00380CC0"/>
    <w:rsid w:val="00381418"/>
    <w:rsid w:val="003819D7"/>
    <w:rsid w:val="00382AB9"/>
    <w:rsid w:val="00382DA6"/>
    <w:rsid w:val="0038501C"/>
    <w:rsid w:val="00385142"/>
    <w:rsid w:val="003855B8"/>
    <w:rsid w:val="003866A3"/>
    <w:rsid w:val="00386E87"/>
    <w:rsid w:val="003873D8"/>
    <w:rsid w:val="003877E1"/>
    <w:rsid w:val="00387818"/>
    <w:rsid w:val="0038786A"/>
    <w:rsid w:val="00390202"/>
    <w:rsid w:val="00390353"/>
    <w:rsid w:val="0039110C"/>
    <w:rsid w:val="00392747"/>
    <w:rsid w:val="00392881"/>
    <w:rsid w:val="00392DC6"/>
    <w:rsid w:val="00393102"/>
    <w:rsid w:val="00393D66"/>
    <w:rsid w:val="00393DA9"/>
    <w:rsid w:val="00393E42"/>
    <w:rsid w:val="0039464A"/>
    <w:rsid w:val="003947D0"/>
    <w:rsid w:val="0039566A"/>
    <w:rsid w:val="00395C5E"/>
    <w:rsid w:val="00395F2F"/>
    <w:rsid w:val="00395FE6"/>
    <w:rsid w:val="003962C3"/>
    <w:rsid w:val="0039663B"/>
    <w:rsid w:val="00396A8C"/>
    <w:rsid w:val="003973FB"/>
    <w:rsid w:val="0039775D"/>
    <w:rsid w:val="00397CFA"/>
    <w:rsid w:val="003A064E"/>
    <w:rsid w:val="003A06EC"/>
    <w:rsid w:val="003A09D9"/>
    <w:rsid w:val="003A10BF"/>
    <w:rsid w:val="003A1580"/>
    <w:rsid w:val="003A214E"/>
    <w:rsid w:val="003A2667"/>
    <w:rsid w:val="003A3036"/>
    <w:rsid w:val="003A3877"/>
    <w:rsid w:val="003A3E6D"/>
    <w:rsid w:val="003A3EF4"/>
    <w:rsid w:val="003A4078"/>
    <w:rsid w:val="003A4A5D"/>
    <w:rsid w:val="003A4ADF"/>
    <w:rsid w:val="003A4C4D"/>
    <w:rsid w:val="003A4CFD"/>
    <w:rsid w:val="003A669F"/>
    <w:rsid w:val="003A6DCA"/>
    <w:rsid w:val="003A6EA2"/>
    <w:rsid w:val="003A6F58"/>
    <w:rsid w:val="003A7185"/>
    <w:rsid w:val="003A7412"/>
    <w:rsid w:val="003B02C3"/>
    <w:rsid w:val="003B043B"/>
    <w:rsid w:val="003B04D9"/>
    <w:rsid w:val="003B1781"/>
    <w:rsid w:val="003B1917"/>
    <w:rsid w:val="003B1E9B"/>
    <w:rsid w:val="003B23A5"/>
    <w:rsid w:val="003B2792"/>
    <w:rsid w:val="003B4A66"/>
    <w:rsid w:val="003B5029"/>
    <w:rsid w:val="003B577A"/>
    <w:rsid w:val="003B5B42"/>
    <w:rsid w:val="003B65E2"/>
    <w:rsid w:val="003B6D1A"/>
    <w:rsid w:val="003B707C"/>
    <w:rsid w:val="003B7565"/>
    <w:rsid w:val="003B756F"/>
    <w:rsid w:val="003B7820"/>
    <w:rsid w:val="003B79F6"/>
    <w:rsid w:val="003B7AC2"/>
    <w:rsid w:val="003B7E87"/>
    <w:rsid w:val="003C09EB"/>
    <w:rsid w:val="003C1124"/>
    <w:rsid w:val="003C152C"/>
    <w:rsid w:val="003C1B2A"/>
    <w:rsid w:val="003C2B46"/>
    <w:rsid w:val="003C2DF0"/>
    <w:rsid w:val="003C2F35"/>
    <w:rsid w:val="003C2FBD"/>
    <w:rsid w:val="003C30AC"/>
    <w:rsid w:val="003C39DD"/>
    <w:rsid w:val="003C39F6"/>
    <w:rsid w:val="003C4115"/>
    <w:rsid w:val="003C44D7"/>
    <w:rsid w:val="003C4604"/>
    <w:rsid w:val="003C5831"/>
    <w:rsid w:val="003C6230"/>
    <w:rsid w:val="003C62F0"/>
    <w:rsid w:val="003C6679"/>
    <w:rsid w:val="003C67DD"/>
    <w:rsid w:val="003C6962"/>
    <w:rsid w:val="003C6B18"/>
    <w:rsid w:val="003C7ED4"/>
    <w:rsid w:val="003D09C9"/>
    <w:rsid w:val="003D0B03"/>
    <w:rsid w:val="003D0D95"/>
    <w:rsid w:val="003D10AC"/>
    <w:rsid w:val="003D1F1B"/>
    <w:rsid w:val="003D23ED"/>
    <w:rsid w:val="003D2E1C"/>
    <w:rsid w:val="003D3589"/>
    <w:rsid w:val="003D385A"/>
    <w:rsid w:val="003D526C"/>
    <w:rsid w:val="003D52B8"/>
    <w:rsid w:val="003D53FA"/>
    <w:rsid w:val="003D5476"/>
    <w:rsid w:val="003D613A"/>
    <w:rsid w:val="003D6834"/>
    <w:rsid w:val="003D7911"/>
    <w:rsid w:val="003E011A"/>
    <w:rsid w:val="003E0355"/>
    <w:rsid w:val="003E14DC"/>
    <w:rsid w:val="003E1915"/>
    <w:rsid w:val="003E1A4B"/>
    <w:rsid w:val="003E1E50"/>
    <w:rsid w:val="003E258C"/>
    <w:rsid w:val="003E2895"/>
    <w:rsid w:val="003E2B58"/>
    <w:rsid w:val="003E3812"/>
    <w:rsid w:val="003E3F21"/>
    <w:rsid w:val="003E447F"/>
    <w:rsid w:val="003E4504"/>
    <w:rsid w:val="003E474A"/>
    <w:rsid w:val="003E4D2D"/>
    <w:rsid w:val="003E4DFE"/>
    <w:rsid w:val="003E4E41"/>
    <w:rsid w:val="003E51C7"/>
    <w:rsid w:val="003E52A3"/>
    <w:rsid w:val="003E53A4"/>
    <w:rsid w:val="003E590A"/>
    <w:rsid w:val="003E5BD7"/>
    <w:rsid w:val="003E5D1D"/>
    <w:rsid w:val="003E67DF"/>
    <w:rsid w:val="003E6BB5"/>
    <w:rsid w:val="003E7394"/>
    <w:rsid w:val="003E74B4"/>
    <w:rsid w:val="003E7B6A"/>
    <w:rsid w:val="003E7DA4"/>
    <w:rsid w:val="003F01DB"/>
    <w:rsid w:val="003F05D8"/>
    <w:rsid w:val="003F0645"/>
    <w:rsid w:val="003F06F2"/>
    <w:rsid w:val="003F0CFA"/>
    <w:rsid w:val="003F10CE"/>
    <w:rsid w:val="003F1618"/>
    <w:rsid w:val="003F1981"/>
    <w:rsid w:val="003F22E2"/>
    <w:rsid w:val="003F30AA"/>
    <w:rsid w:val="003F31AF"/>
    <w:rsid w:val="003F32CB"/>
    <w:rsid w:val="003F336D"/>
    <w:rsid w:val="003F3C81"/>
    <w:rsid w:val="003F48B2"/>
    <w:rsid w:val="003F533A"/>
    <w:rsid w:val="003F568D"/>
    <w:rsid w:val="003F6AFC"/>
    <w:rsid w:val="003F6CDA"/>
    <w:rsid w:val="00400003"/>
    <w:rsid w:val="00400459"/>
    <w:rsid w:val="00400998"/>
    <w:rsid w:val="00401073"/>
    <w:rsid w:val="00401117"/>
    <w:rsid w:val="00401995"/>
    <w:rsid w:val="00401BA2"/>
    <w:rsid w:val="0040274D"/>
    <w:rsid w:val="00402BDE"/>
    <w:rsid w:val="00402BF0"/>
    <w:rsid w:val="00402D3A"/>
    <w:rsid w:val="00402E68"/>
    <w:rsid w:val="00403B7E"/>
    <w:rsid w:val="004043AC"/>
    <w:rsid w:val="00404576"/>
    <w:rsid w:val="0040486F"/>
    <w:rsid w:val="004050C2"/>
    <w:rsid w:val="00405E5F"/>
    <w:rsid w:val="004066F5"/>
    <w:rsid w:val="0040676E"/>
    <w:rsid w:val="00406D9F"/>
    <w:rsid w:val="004074E5"/>
    <w:rsid w:val="00410602"/>
    <w:rsid w:val="00410864"/>
    <w:rsid w:val="00411EB6"/>
    <w:rsid w:val="0041229C"/>
    <w:rsid w:val="0041336E"/>
    <w:rsid w:val="004137B3"/>
    <w:rsid w:val="00413DC6"/>
    <w:rsid w:val="004146B1"/>
    <w:rsid w:val="004147D4"/>
    <w:rsid w:val="00414A09"/>
    <w:rsid w:val="00414A81"/>
    <w:rsid w:val="00414E4F"/>
    <w:rsid w:val="004158D3"/>
    <w:rsid w:val="00415E1C"/>
    <w:rsid w:val="004161C3"/>
    <w:rsid w:val="00417419"/>
    <w:rsid w:val="0041751B"/>
    <w:rsid w:val="004175F9"/>
    <w:rsid w:val="00417BB1"/>
    <w:rsid w:val="00417D7E"/>
    <w:rsid w:val="00420026"/>
    <w:rsid w:val="00420D77"/>
    <w:rsid w:val="00421EC9"/>
    <w:rsid w:val="00422434"/>
    <w:rsid w:val="004229A6"/>
    <w:rsid w:val="00422EE1"/>
    <w:rsid w:val="00423E05"/>
    <w:rsid w:val="00423E93"/>
    <w:rsid w:val="00424974"/>
    <w:rsid w:val="004251A1"/>
    <w:rsid w:val="0042534D"/>
    <w:rsid w:val="00425B63"/>
    <w:rsid w:val="00425D79"/>
    <w:rsid w:val="00425E6E"/>
    <w:rsid w:val="004264D2"/>
    <w:rsid w:val="0042674A"/>
    <w:rsid w:val="00426FFF"/>
    <w:rsid w:val="0042747A"/>
    <w:rsid w:val="004278F8"/>
    <w:rsid w:val="00427C23"/>
    <w:rsid w:val="00427C54"/>
    <w:rsid w:val="004305AF"/>
    <w:rsid w:val="00430941"/>
    <w:rsid w:val="0043135B"/>
    <w:rsid w:val="004320AA"/>
    <w:rsid w:val="00432785"/>
    <w:rsid w:val="004329DA"/>
    <w:rsid w:val="004346AE"/>
    <w:rsid w:val="00434AC8"/>
    <w:rsid w:val="00435823"/>
    <w:rsid w:val="00435C6C"/>
    <w:rsid w:val="004361F4"/>
    <w:rsid w:val="00436DE3"/>
    <w:rsid w:val="00437C9B"/>
    <w:rsid w:val="0044008F"/>
    <w:rsid w:val="00440400"/>
    <w:rsid w:val="00440461"/>
    <w:rsid w:val="00441480"/>
    <w:rsid w:val="0044149D"/>
    <w:rsid w:val="00441A59"/>
    <w:rsid w:val="00441AB7"/>
    <w:rsid w:val="00441D03"/>
    <w:rsid w:val="00441F4D"/>
    <w:rsid w:val="0044201B"/>
    <w:rsid w:val="004442FE"/>
    <w:rsid w:val="00444AA5"/>
    <w:rsid w:val="00444F3C"/>
    <w:rsid w:val="00445042"/>
    <w:rsid w:val="0044670A"/>
    <w:rsid w:val="00446E7E"/>
    <w:rsid w:val="004470B7"/>
    <w:rsid w:val="00447D3B"/>
    <w:rsid w:val="00450442"/>
    <w:rsid w:val="0045061F"/>
    <w:rsid w:val="00451110"/>
    <w:rsid w:val="00451631"/>
    <w:rsid w:val="00451B7C"/>
    <w:rsid w:val="00451F01"/>
    <w:rsid w:val="004524DF"/>
    <w:rsid w:val="0045272F"/>
    <w:rsid w:val="00452CA4"/>
    <w:rsid w:val="004533B0"/>
    <w:rsid w:val="00453689"/>
    <w:rsid w:val="00453C1B"/>
    <w:rsid w:val="0045407D"/>
    <w:rsid w:val="0045445F"/>
    <w:rsid w:val="00454E4A"/>
    <w:rsid w:val="00455310"/>
    <w:rsid w:val="00456DF7"/>
    <w:rsid w:val="00456E47"/>
    <w:rsid w:val="00456F0D"/>
    <w:rsid w:val="00457326"/>
    <w:rsid w:val="0045745F"/>
    <w:rsid w:val="00457B30"/>
    <w:rsid w:val="00460405"/>
    <w:rsid w:val="0046085A"/>
    <w:rsid w:val="00460DC4"/>
    <w:rsid w:val="00461327"/>
    <w:rsid w:val="00461469"/>
    <w:rsid w:val="0046158F"/>
    <w:rsid w:val="0046183A"/>
    <w:rsid w:val="004619EE"/>
    <w:rsid w:val="00461AE0"/>
    <w:rsid w:val="00461CB7"/>
    <w:rsid w:val="00461FCF"/>
    <w:rsid w:val="00462013"/>
    <w:rsid w:val="004649EB"/>
    <w:rsid w:val="00465305"/>
    <w:rsid w:val="00465AEB"/>
    <w:rsid w:val="00465B9E"/>
    <w:rsid w:val="00465DBD"/>
    <w:rsid w:val="00466008"/>
    <w:rsid w:val="00466147"/>
    <w:rsid w:val="004663FF"/>
    <w:rsid w:val="00466F06"/>
    <w:rsid w:val="00467B65"/>
    <w:rsid w:val="00470393"/>
    <w:rsid w:val="00471548"/>
    <w:rsid w:val="0047189E"/>
    <w:rsid w:val="00473233"/>
    <w:rsid w:val="0047339D"/>
    <w:rsid w:val="00473CF9"/>
    <w:rsid w:val="00475269"/>
    <w:rsid w:val="00475831"/>
    <w:rsid w:val="00475B7D"/>
    <w:rsid w:val="00475C5E"/>
    <w:rsid w:val="00476090"/>
    <w:rsid w:val="004760FF"/>
    <w:rsid w:val="004764F3"/>
    <w:rsid w:val="0047694E"/>
    <w:rsid w:val="004770A2"/>
    <w:rsid w:val="0047715A"/>
    <w:rsid w:val="004772B4"/>
    <w:rsid w:val="0047778C"/>
    <w:rsid w:val="00477851"/>
    <w:rsid w:val="004778B7"/>
    <w:rsid w:val="00477A03"/>
    <w:rsid w:val="00481381"/>
    <w:rsid w:val="00481C12"/>
    <w:rsid w:val="00482053"/>
    <w:rsid w:val="00482369"/>
    <w:rsid w:val="004824F9"/>
    <w:rsid w:val="004829FA"/>
    <w:rsid w:val="00482A39"/>
    <w:rsid w:val="00483888"/>
    <w:rsid w:val="00483A4D"/>
    <w:rsid w:val="00483CD6"/>
    <w:rsid w:val="00483D94"/>
    <w:rsid w:val="0048439F"/>
    <w:rsid w:val="00484642"/>
    <w:rsid w:val="0048475D"/>
    <w:rsid w:val="00484BF0"/>
    <w:rsid w:val="00485237"/>
    <w:rsid w:val="00486215"/>
    <w:rsid w:val="00486AE1"/>
    <w:rsid w:val="00486BE4"/>
    <w:rsid w:val="00486EE6"/>
    <w:rsid w:val="00487654"/>
    <w:rsid w:val="004879C8"/>
    <w:rsid w:val="004910B5"/>
    <w:rsid w:val="00491C20"/>
    <w:rsid w:val="00491C48"/>
    <w:rsid w:val="00492A9F"/>
    <w:rsid w:val="004932F1"/>
    <w:rsid w:val="00493B3D"/>
    <w:rsid w:val="00493F6F"/>
    <w:rsid w:val="00494382"/>
    <w:rsid w:val="00494781"/>
    <w:rsid w:val="00494B3D"/>
    <w:rsid w:val="0049560A"/>
    <w:rsid w:val="00495A4C"/>
    <w:rsid w:val="00495B9F"/>
    <w:rsid w:val="00495F2C"/>
    <w:rsid w:val="00496626"/>
    <w:rsid w:val="00496785"/>
    <w:rsid w:val="004969C3"/>
    <w:rsid w:val="00496CB6"/>
    <w:rsid w:val="00496D7C"/>
    <w:rsid w:val="00496FDD"/>
    <w:rsid w:val="00497730"/>
    <w:rsid w:val="00497904"/>
    <w:rsid w:val="00497AF3"/>
    <w:rsid w:val="004A0306"/>
    <w:rsid w:val="004A0B84"/>
    <w:rsid w:val="004A1430"/>
    <w:rsid w:val="004A220B"/>
    <w:rsid w:val="004A2737"/>
    <w:rsid w:val="004A2A3C"/>
    <w:rsid w:val="004A33FF"/>
    <w:rsid w:val="004A3955"/>
    <w:rsid w:val="004A44ED"/>
    <w:rsid w:val="004A454B"/>
    <w:rsid w:val="004A4884"/>
    <w:rsid w:val="004A550B"/>
    <w:rsid w:val="004A5684"/>
    <w:rsid w:val="004A60D4"/>
    <w:rsid w:val="004A651C"/>
    <w:rsid w:val="004A655A"/>
    <w:rsid w:val="004A6A14"/>
    <w:rsid w:val="004A74C4"/>
    <w:rsid w:val="004B014A"/>
    <w:rsid w:val="004B0345"/>
    <w:rsid w:val="004B0486"/>
    <w:rsid w:val="004B0970"/>
    <w:rsid w:val="004B193C"/>
    <w:rsid w:val="004B1F91"/>
    <w:rsid w:val="004B2B80"/>
    <w:rsid w:val="004B2C2C"/>
    <w:rsid w:val="004B342A"/>
    <w:rsid w:val="004B3A3A"/>
    <w:rsid w:val="004B4651"/>
    <w:rsid w:val="004B49A3"/>
    <w:rsid w:val="004B4CDD"/>
    <w:rsid w:val="004B5803"/>
    <w:rsid w:val="004B5835"/>
    <w:rsid w:val="004B5A55"/>
    <w:rsid w:val="004B6655"/>
    <w:rsid w:val="004B66D5"/>
    <w:rsid w:val="004B6BF3"/>
    <w:rsid w:val="004B6C1B"/>
    <w:rsid w:val="004B7E99"/>
    <w:rsid w:val="004C0D95"/>
    <w:rsid w:val="004C10D0"/>
    <w:rsid w:val="004C16E1"/>
    <w:rsid w:val="004C1728"/>
    <w:rsid w:val="004C192E"/>
    <w:rsid w:val="004C219B"/>
    <w:rsid w:val="004C2709"/>
    <w:rsid w:val="004C2735"/>
    <w:rsid w:val="004C2C77"/>
    <w:rsid w:val="004C44DC"/>
    <w:rsid w:val="004C4D45"/>
    <w:rsid w:val="004C55F1"/>
    <w:rsid w:val="004C5B7E"/>
    <w:rsid w:val="004C76B5"/>
    <w:rsid w:val="004C7702"/>
    <w:rsid w:val="004C7E71"/>
    <w:rsid w:val="004D0FAE"/>
    <w:rsid w:val="004D1313"/>
    <w:rsid w:val="004D174C"/>
    <w:rsid w:val="004D1868"/>
    <w:rsid w:val="004D18B8"/>
    <w:rsid w:val="004D1BAA"/>
    <w:rsid w:val="004D1E88"/>
    <w:rsid w:val="004D1F07"/>
    <w:rsid w:val="004D229A"/>
    <w:rsid w:val="004D26E9"/>
    <w:rsid w:val="004D2716"/>
    <w:rsid w:val="004D27F4"/>
    <w:rsid w:val="004D326D"/>
    <w:rsid w:val="004D38B4"/>
    <w:rsid w:val="004D40CE"/>
    <w:rsid w:val="004D4121"/>
    <w:rsid w:val="004D4249"/>
    <w:rsid w:val="004D5A6D"/>
    <w:rsid w:val="004D6738"/>
    <w:rsid w:val="004D6F2C"/>
    <w:rsid w:val="004D6F7A"/>
    <w:rsid w:val="004D735E"/>
    <w:rsid w:val="004D764B"/>
    <w:rsid w:val="004D7A5D"/>
    <w:rsid w:val="004D7D49"/>
    <w:rsid w:val="004E0DC7"/>
    <w:rsid w:val="004E1196"/>
    <w:rsid w:val="004E163C"/>
    <w:rsid w:val="004E16B5"/>
    <w:rsid w:val="004E225E"/>
    <w:rsid w:val="004E31F0"/>
    <w:rsid w:val="004E4914"/>
    <w:rsid w:val="004E51D2"/>
    <w:rsid w:val="004E595E"/>
    <w:rsid w:val="004E59CF"/>
    <w:rsid w:val="004E5C4D"/>
    <w:rsid w:val="004E65A6"/>
    <w:rsid w:val="004E666A"/>
    <w:rsid w:val="004E770F"/>
    <w:rsid w:val="004E7ADB"/>
    <w:rsid w:val="004E7FB8"/>
    <w:rsid w:val="004F01AB"/>
    <w:rsid w:val="004F03A6"/>
    <w:rsid w:val="004F048F"/>
    <w:rsid w:val="004F09A8"/>
    <w:rsid w:val="004F166D"/>
    <w:rsid w:val="004F212F"/>
    <w:rsid w:val="004F2E3D"/>
    <w:rsid w:val="004F3E55"/>
    <w:rsid w:val="004F4259"/>
    <w:rsid w:val="004F4296"/>
    <w:rsid w:val="004F4329"/>
    <w:rsid w:val="004F492B"/>
    <w:rsid w:val="004F4C3D"/>
    <w:rsid w:val="004F50AD"/>
    <w:rsid w:val="004F5623"/>
    <w:rsid w:val="004F62E7"/>
    <w:rsid w:val="004F690C"/>
    <w:rsid w:val="004F6EEF"/>
    <w:rsid w:val="004F7377"/>
    <w:rsid w:val="004F78EC"/>
    <w:rsid w:val="00501045"/>
    <w:rsid w:val="005010EF"/>
    <w:rsid w:val="005013EE"/>
    <w:rsid w:val="005018DE"/>
    <w:rsid w:val="0050217A"/>
    <w:rsid w:val="00502583"/>
    <w:rsid w:val="005027EE"/>
    <w:rsid w:val="00502FD9"/>
    <w:rsid w:val="005035C6"/>
    <w:rsid w:val="005044DB"/>
    <w:rsid w:val="00504539"/>
    <w:rsid w:val="0050495F"/>
    <w:rsid w:val="00504E0B"/>
    <w:rsid w:val="005069A7"/>
    <w:rsid w:val="005076BB"/>
    <w:rsid w:val="00507703"/>
    <w:rsid w:val="00507C24"/>
    <w:rsid w:val="005101DA"/>
    <w:rsid w:val="005112A0"/>
    <w:rsid w:val="00512688"/>
    <w:rsid w:val="005128F7"/>
    <w:rsid w:val="00512F2F"/>
    <w:rsid w:val="005131C9"/>
    <w:rsid w:val="005132E5"/>
    <w:rsid w:val="00513528"/>
    <w:rsid w:val="005143D4"/>
    <w:rsid w:val="0051468E"/>
    <w:rsid w:val="00514F65"/>
    <w:rsid w:val="005159A9"/>
    <w:rsid w:val="00515AC0"/>
    <w:rsid w:val="0051610A"/>
    <w:rsid w:val="00516D2D"/>
    <w:rsid w:val="005178BA"/>
    <w:rsid w:val="00517B17"/>
    <w:rsid w:val="00517C03"/>
    <w:rsid w:val="00517CF2"/>
    <w:rsid w:val="005205B7"/>
    <w:rsid w:val="005208A4"/>
    <w:rsid w:val="00520C94"/>
    <w:rsid w:val="0052282F"/>
    <w:rsid w:val="00522913"/>
    <w:rsid w:val="0052301A"/>
    <w:rsid w:val="00523D5E"/>
    <w:rsid w:val="00523EC4"/>
    <w:rsid w:val="00524C39"/>
    <w:rsid w:val="00524CB1"/>
    <w:rsid w:val="00525048"/>
    <w:rsid w:val="00525240"/>
    <w:rsid w:val="00525372"/>
    <w:rsid w:val="005253A6"/>
    <w:rsid w:val="005258E3"/>
    <w:rsid w:val="00525BE5"/>
    <w:rsid w:val="00526103"/>
    <w:rsid w:val="0052633A"/>
    <w:rsid w:val="00526A0F"/>
    <w:rsid w:val="00526B71"/>
    <w:rsid w:val="005274E3"/>
    <w:rsid w:val="0053046D"/>
    <w:rsid w:val="00530755"/>
    <w:rsid w:val="00531838"/>
    <w:rsid w:val="005321C5"/>
    <w:rsid w:val="00533354"/>
    <w:rsid w:val="0053383C"/>
    <w:rsid w:val="005341A2"/>
    <w:rsid w:val="005346B5"/>
    <w:rsid w:val="00535462"/>
    <w:rsid w:val="00535491"/>
    <w:rsid w:val="00535588"/>
    <w:rsid w:val="00536F5E"/>
    <w:rsid w:val="00537E03"/>
    <w:rsid w:val="00540075"/>
    <w:rsid w:val="005404CA"/>
    <w:rsid w:val="00541471"/>
    <w:rsid w:val="00541996"/>
    <w:rsid w:val="00541B56"/>
    <w:rsid w:val="00541E4D"/>
    <w:rsid w:val="00541F24"/>
    <w:rsid w:val="00542236"/>
    <w:rsid w:val="005429A1"/>
    <w:rsid w:val="005435FF"/>
    <w:rsid w:val="00543A07"/>
    <w:rsid w:val="00544214"/>
    <w:rsid w:val="00544590"/>
    <w:rsid w:val="005450B5"/>
    <w:rsid w:val="00545369"/>
    <w:rsid w:val="005458AA"/>
    <w:rsid w:val="00546046"/>
    <w:rsid w:val="00547228"/>
    <w:rsid w:val="00547580"/>
    <w:rsid w:val="005476FC"/>
    <w:rsid w:val="005477B4"/>
    <w:rsid w:val="00551C80"/>
    <w:rsid w:val="00551CE6"/>
    <w:rsid w:val="00551F1E"/>
    <w:rsid w:val="00552430"/>
    <w:rsid w:val="00552F07"/>
    <w:rsid w:val="00552FA9"/>
    <w:rsid w:val="0055319E"/>
    <w:rsid w:val="00553550"/>
    <w:rsid w:val="0055371B"/>
    <w:rsid w:val="00553FDA"/>
    <w:rsid w:val="005540A6"/>
    <w:rsid w:val="0055489F"/>
    <w:rsid w:val="00554934"/>
    <w:rsid w:val="0055493F"/>
    <w:rsid w:val="0055558C"/>
    <w:rsid w:val="00555809"/>
    <w:rsid w:val="00555A59"/>
    <w:rsid w:val="0055657E"/>
    <w:rsid w:val="00556D22"/>
    <w:rsid w:val="00556F38"/>
    <w:rsid w:val="00557882"/>
    <w:rsid w:val="00557B17"/>
    <w:rsid w:val="00557B25"/>
    <w:rsid w:val="00557D97"/>
    <w:rsid w:val="00557E4D"/>
    <w:rsid w:val="0056045B"/>
    <w:rsid w:val="0056072D"/>
    <w:rsid w:val="00560737"/>
    <w:rsid w:val="00562319"/>
    <w:rsid w:val="005629BA"/>
    <w:rsid w:val="00562ABB"/>
    <w:rsid w:val="00562E46"/>
    <w:rsid w:val="0056333D"/>
    <w:rsid w:val="005635D2"/>
    <w:rsid w:val="0056405C"/>
    <w:rsid w:val="00564065"/>
    <w:rsid w:val="00564B46"/>
    <w:rsid w:val="00564D6F"/>
    <w:rsid w:val="00564E4F"/>
    <w:rsid w:val="005655A6"/>
    <w:rsid w:val="0056565B"/>
    <w:rsid w:val="005658BB"/>
    <w:rsid w:val="005659D7"/>
    <w:rsid w:val="00565C44"/>
    <w:rsid w:val="00565D61"/>
    <w:rsid w:val="00566384"/>
    <w:rsid w:val="00566ECB"/>
    <w:rsid w:val="00567C5A"/>
    <w:rsid w:val="00567D7C"/>
    <w:rsid w:val="00570C47"/>
    <w:rsid w:val="00570F48"/>
    <w:rsid w:val="00570F50"/>
    <w:rsid w:val="0057114C"/>
    <w:rsid w:val="005734E1"/>
    <w:rsid w:val="00573700"/>
    <w:rsid w:val="005748CE"/>
    <w:rsid w:val="00574C57"/>
    <w:rsid w:val="00574F9D"/>
    <w:rsid w:val="00575D7D"/>
    <w:rsid w:val="005764F3"/>
    <w:rsid w:val="00576A2B"/>
    <w:rsid w:val="0057706E"/>
    <w:rsid w:val="005770D2"/>
    <w:rsid w:val="00577319"/>
    <w:rsid w:val="005776B1"/>
    <w:rsid w:val="0057789A"/>
    <w:rsid w:val="00577C50"/>
    <w:rsid w:val="00577F0C"/>
    <w:rsid w:val="00580346"/>
    <w:rsid w:val="005808D0"/>
    <w:rsid w:val="00581386"/>
    <w:rsid w:val="00581770"/>
    <w:rsid w:val="00581FCB"/>
    <w:rsid w:val="0058290A"/>
    <w:rsid w:val="0058303E"/>
    <w:rsid w:val="005834E1"/>
    <w:rsid w:val="0058382B"/>
    <w:rsid w:val="00584B39"/>
    <w:rsid w:val="00584BA9"/>
    <w:rsid w:val="00584ECA"/>
    <w:rsid w:val="0058594B"/>
    <w:rsid w:val="00587C2C"/>
    <w:rsid w:val="00587C9F"/>
    <w:rsid w:val="005902AA"/>
    <w:rsid w:val="00590E28"/>
    <w:rsid w:val="005922C4"/>
    <w:rsid w:val="005923E5"/>
    <w:rsid w:val="0059273A"/>
    <w:rsid w:val="0059301D"/>
    <w:rsid w:val="00593FAE"/>
    <w:rsid w:val="005940DA"/>
    <w:rsid w:val="0059469F"/>
    <w:rsid w:val="00594782"/>
    <w:rsid w:val="0059504E"/>
    <w:rsid w:val="005950EA"/>
    <w:rsid w:val="00596388"/>
    <w:rsid w:val="005963F6"/>
    <w:rsid w:val="0059744A"/>
    <w:rsid w:val="005A0414"/>
    <w:rsid w:val="005A0619"/>
    <w:rsid w:val="005A0EBB"/>
    <w:rsid w:val="005A1CAD"/>
    <w:rsid w:val="005A2957"/>
    <w:rsid w:val="005A3269"/>
    <w:rsid w:val="005A35F8"/>
    <w:rsid w:val="005A3DFF"/>
    <w:rsid w:val="005A50B4"/>
    <w:rsid w:val="005A5340"/>
    <w:rsid w:val="005A55C6"/>
    <w:rsid w:val="005A60FB"/>
    <w:rsid w:val="005A6F58"/>
    <w:rsid w:val="005A707E"/>
    <w:rsid w:val="005A724F"/>
    <w:rsid w:val="005A768A"/>
    <w:rsid w:val="005A78D0"/>
    <w:rsid w:val="005B205D"/>
    <w:rsid w:val="005B21B8"/>
    <w:rsid w:val="005B2483"/>
    <w:rsid w:val="005B2522"/>
    <w:rsid w:val="005B2C8C"/>
    <w:rsid w:val="005B3E88"/>
    <w:rsid w:val="005B4696"/>
    <w:rsid w:val="005B46AD"/>
    <w:rsid w:val="005B4792"/>
    <w:rsid w:val="005B49B9"/>
    <w:rsid w:val="005B4B10"/>
    <w:rsid w:val="005B4F9F"/>
    <w:rsid w:val="005B5502"/>
    <w:rsid w:val="005B6185"/>
    <w:rsid w:val="005B6431"/>
    <w:rsid w:val="005B652F"/>
    <w:rsid w:val="005B6A3C"/>
    <w:rsid w:val="005B6D5A"/>
    <w:rsid w:val="005B71AA"/>
    <w:rsid w:val="005B732B"/>
    <w:rsid w:val="005B742F"/>
    <w:rsid w:val="005B7906"/>
    <w:rsid w:val="005C00FD"/>
    <w:rsid w:val="005C01EB"/>
    <w:rsid w:val="005C04FC"/>
    <w:rsid w:val="005C0648"/>
    <w:rsid w:val="005C06CC"/>
    <w:rsid w:val="005C0D39"/>
    <w:rsid w:val="005C1DBC"/>
    <w:rsid w:val="005C1FE7"/>
    <w:rsid w:val="005C2386"/>
    <w:rsid w:val="005C2637"/>
    <w:rsid w:val="005C33C0"/>
    <w:rsid w:val="005C401A"/>
    <w:rsid w:val="005C4C32"/>
    <w:rsid w:val="005C4D56"/>
    <w:rsid w:val="005C4D96"/>
    <w:rsid w:val="005C505C"/>
    <w:rsid w:val="005C5367"/>
    <w:rsid w:val="005C5634"/>
    <w:rsid w:val="005C5AFE"/>
    <w:rsid w:val="005C62F5"/>
    <w:rsid w:val="005C670B"/>
    <w:rsid w:val="005C6A35"/>
    <w:rsid w:val="005C6C7C"/>
    <w:rsid w:val="005C7400"/>
    <w:rsid w:val="005C773E"/>
    <w:rsid w:val="005C7F6E"/>
    <w:rsid w:val="005D0381"/>
    <w:rsid w:val="005D0B1B"/>
    <w:rsid w:val="005D0F56"/>
    <w:rsid w:val="005D20E0"/>
    <w:rsid w:val="005D284E"/>
    <w:rsid w:val="005D2987"/>
    <w:rsid w:val="005D368B"/>
    <w:rsid w:val="005D3898"/>
    <w:rsid w:val="005D4C90"/>
    <w:rsid w:val="005D570D"/>
    <w:rsid w:val="005D5812"/>
    <w:rsid w:val="005D5FEA"/>
    <w:rsid w:val="005D67CB"/>
    <w:rsid w:val="005D6F11"/>
    <w:rsid w:val="005D7997"/>
    <w:rsid w:val="005E0298"/>
    <w:rsid w:val="005E02AA"/>
    <w:rsid w:val="005E04C2"/>
    <w:rsid w:val="005E067E"/>
    <w:rsid w:val="005E074B"/>
    <w:rsid w:val="005E08C5"/>
    <w:rsid w:val="005E0BE5"/>
    <w:rsid w:val="005E0F95"/>
    <w:rsid w:val="005E142F"/>
    <w:rsid w:val="005E1AFC"/>
    <w:rsid w:val="005E1C47"/>
    <w:rsid w:val="005E2BD6"/>
    <w:rsid w:val="005E2CEE"/>
    <w:rsid w:val="005E3C1E"/>
    <w:rsid w:val="005E3D19"/>
    <w:rsid w:val="005E4AF3"/>
    <w:rsid w:val="005E4FA7"/>
    <w:rsid w:val="005E658F"/>
    <w:rsid w:val="005E670B"/>
    <w:rsid w:val="005E67AE"/>
    <w:rsid w:val="005E6DAD"/>
    <w:rsid w:val="005E7AF2"/>
    <w:rsid w:val="005E7DC5"/>
    <w:rsid w:val="005E7EE0"/>
    <w:rsid w:val="005F0BA2"/>
    <w:rsid w:val="005F0FB5"/>
    <w:rsid w:val="005F10CB"/>
    <w:rsid w:val="005F191A"/>
    <w:rsid w:val="005F1988"/>
    <w:rsid w:val="005F2249"/>
    <w:rsid w:val="005F2506"/>
    <w:rsid w:val="005F2613"/>
    <w:rsid w:val="005F2F3A"/>
    <w:rsid w:val="005F3477"/>
    <w:rsid w:val="005F3544"/>
    <w:rsid w:val="005F356E"/>
    <w:rsid w:val="005F3826"/>
    <w:rsid w:val="005F3B70"/>
    <w:rsid w:val="005F4840"/>
    <w:rsid w:val="005F4C94"/>
    <w:rsid w:val="005F4CEB"/>
    <w:rsid w:val="005F5378"/>
    <w:rsid w:val="005F58EB"/>
    <w:rsid w:val="005F5AFD"/>
    <w:rsid w:val="005F61C7"/>
    <w:rsid w:val="005F6308"/>
    <w:rsid w:val="005F670F"/>
    <w:rsid w:val="005F68A4"/>
    <w:rsid w:val="005F6F7A"/>
    <w:rsid w:val="005F7E70"/>
    <w:rsid w:val="005F7EF6"/>
    <w:rsid w:val="00600350"/>
    <w:rsid w:val="006009CC"/>
    <w:rsid w:val="00602AB5"/>
    <w:rsid w:val="00602DAE"/>
    <w:rsid w:val="00603976"/>
    <w:rsid w:val="00603D72"/>
    <w:rsid w:val="00603EE4"/>
    <w:rsid w:val="00604133"/>
    <w:rsid w:val="00604E81"/>
    <w:rsid w:val="006059D0"/>
    <w:rsid w:val="00605A50"/>
    <w:rsid w:val="00605B70"/>
    <w:rsid w:val="00605F51"/>
    <w:rsid w:val="00605F77"/>
    <w:rsid w:val="0060649C"/>
    <w:rsid w:val="006065A4"/>
    <w:rsid w:val="00606862"/>
    <w:rsid w:val="00606B49"/>
    <w:rsid w:val="00606B6F"/>
    <w:rsid w:val="00607098"/>
    <w:rsid w:val="00607353"/>
    <w:rsid w:val="00607388"/>
    <w:rsid w:val="00610F1B"/>
    <w:rsid w:val="00611912"/>
    <w:rsid w:val="00612448"/>
    <w:rsid w:val="0061318D"/>
    <w:rsid w:val="00613293"/>
    <w:rsid w:val="00613601"/>
    <w:rsid w:val="006157D1"/>
    <w:rsid w:val="00615B39"/>
    <w:rsid w:val="00615C86"/>
    <w:rsid w:val="00615F75"/>
    <w:rsid w:val="006160DE"/>
    <w:rsid w:val="006164F7"/>
    <w:rsid w:val="0061673A"/>
    <w:rsid w:val="00616F99"/>
    <w:rsid w:val="0061709C"/>
    <w:rsid w:val="0061782F"/>
    <w:rsid w:val="00620279"/>
    <w:rsid w:val="006206F9"/>
    <w:rsid w:val="00620D93"/>
    <w:rsid w:val="00620E20"/>
    <w:rsid w:val="00621248"/>
    <w:rsid w:val="00621F82"/>
    <w:rsid w:val="00622307"/>
    <w:rsid w:val="0062269F"/>
    <w:rsid w:val="006228A9"/>
    <w:rsid w:val="00622A76"/>
    <w:rsid w:val="0062372D"/>
    <w:rsid w:val="006244D1"/>
    <w:rsid w:val="00624731"/>
    <w:rsid w:val="00625B1E"/>
    <w:rsid w:val="00625CB8"/>
    <w:rsid w:val="0062647D"/>
    <w:rsid w:val="00627041"/>
    <w:rsid w:val="0062714D"/>
    <w:rsid w:val="0063042F"/>
    <w:rsid w:val="00630EC9"/>
    <w:rsid w:val="00631116"/>
    <w:rsid w:val="0063137D"/>
    <w:rsid w:val="006319AC"/>
    <w:rsid w:val="00631CEF"/>
    <w:rsid w:val="00631FFF"/>
    <w:rsid w:val="00632234"/>
    <w:rsid w:val="00632735"/>
    <w:rsid w:val="006330BD"/>
    <w:rsid w:val="00633B7D"/>
    <w:rsid w:val="00633BDF"/>
    <w:rsid w:val="00633EAD"/>
    <w:rsid w:val="006341AE"/>
    <w:rsid w:val="006344F4"/>
    <w:rsid w:val="00634837"/>
    <w:rsid w:val="00634C8F"/>
    <w:rsid w:val="00634E41"/>
    <w:rsid w:val="0063506E"/>
    <w:rsid w:val="006364A4"/>
    <w:rsid w:val="00636734"/>
    <w:rsid w:val="0063673B"/>
    <w:rsid w:val="00636834"/>
    <w:rsid w:val="006404AF"/>
    <w:rsid w:val="00640BC0"/>
    <w:rsid w:val="00641688"/>
    <w:rsid w:val="006422E0"/>
    <w:rsid w:val="00642D99"/>
    <w:rsid w:val="00642E8C"/>
    <w:rsid w:val="00642F03"/>
    <w:rsid w:val="00643BD9"/>
    <w:rsid w:val="0064565E"/>
    <w:rsid w:val="00646FA8"/>
    <w:rsid w:val="00647600"/>
    <w:rsid w:val="00647AFB"/>
    <w:rsid w:val="006514BF"/>
    <w:rsid w:val="006515C2"/>
    <w:rsid w:val="00651B4F"/>
    <w:rsid w:val="00651C11"/>
    <w:rsid w:val="0065200D"/>
    <w:rsid w:val="0065251B"/>
    <w:rsid w:val="00652B12"/>
    <w:rsid w:val="00652BF6"/>
    <w:rsid w:val="0065358F"/>
    <w:rsid w:val="006541B0"/>
    <w:rsid w:val="0065484D"/>
    <w:rsid w:val="00654AF0"/>
    <w:rsid w:val="00654EAD"/>
    <w:rsid w:val="0065685D"/>
    <w:rsid w:val="00656A2C"/>
    <w:rsid w:val="00656A41"/>
    <w:rsid w:val="00656C52"/>
    <w:rsid w:val="00656ED1"/>
    <w:rsid w:val="00657996"/>
    <w:rsid w:val="00657BCC"/>
    <w:rsid w:val="00660649"/>
    <w:rsid w:val="006608D4"/>
    <w:rsid w:val="0066121B"/>
    <w:rsid w:val="006618F9"/>
    <w:rsid w:val="00661B93"/>
    <w:rsid w:val="00661CE5"/>
    <w:rsid w:val="00662124"/>
    <w:rsid w:val="006624F0"/>
    <w:rsid w:val="006625D1"/>
    <w:rsid w:val="0066327B"/>
    <w:rsid w:val="006638BB"/>
    <w:rsid w:val="00663A0D"/>
    <w:rsid w:val="00663CC7"/>
    <w:rsid w:val="00664B3E"/>
    <w:rsid w:val="00664D15"/>
    <w:rsid w:val="00664DB2"/>
    <w:rsid w:val="0066537A"/>
    <w:rsid w:val="006653D5"/>
    <w:rsid w:val="00665A84"/>
    <w:rsid w:val="0066710D"/>
    <w:rsid w:val="00667384"/>
    <w:rsid w:val="00667880"/>
    <w:rsid w:val="00667C3C"/>
    <w:rsid w:val="0067005C"/>
    <w:rsid w:val="006706CB"/>
    <w:rsid w:val="00670863"/>
    <w:rsid w:val="00670CEC"/>
    <w:rsid w:val="00671789"/>
    <w:rsid w:val="0067211B"/>
    <w:rsid w:val="006724B5"/>
    <w:rsid w:val="0067258C"/>
    <w:rsid w:val="00674298"/>
    <w:rsid w:val="006746C8"/>
    <w:rsid w:val="006748B5"/>
    <w:rsid w:val="00675023"/>
    <w:rsid w:val="0067529C"/>
    <w:rsid w:val="006753F7"/>
    <w:rsid w:val="00675DF5"/>
    <w:rsid w:val="006760C8"/>
    <w:rsid w:val="00676EFE"/>
    <w:rsid w:val="006772D4"/>
    <w:rsid w:val="00677937"/>
    <w:rsid w:val="00677B8C"/>
    <w:rsid w:val="006809EE"/>
    <w:rsid w:val="006815B8"/>
    <w:rsid w:val="00682143"/>
    <w:rsid w:val="00682D10"/>
    <w:rsid w:val="006844BD"/>
    <w:rsid w:val="00684B43"/>
    <w:rsid w:val="00684F4F"/>
    <w:rsid w:val="006855BA"/>
    <w:rsid w:val="00685606"/>
    <w:rsid w:val="0068572B"/>
    <w:rsid w:val="00685B74"/>
    <w:rsid w:val="00685C7B"/>
    <w:rsid w:val="0068623F"/>
    <w:rsid w:val="00686374"/>
    <w:rsid w:val="006864C4"/>
    <w:rsid w:val="00686B71"/>
    <w:rsid w:val="006870D0"/>
    <w:rsid w:val="006871C6"/>
    <w:rsid w:val="00690A29"/>
    <w:rsid w:val="00690F8B"/>
    <w:rsid w:val="006910DB"/>
    <w:rsid w:val="006919B6"/>
    <w:rsid w:val="00691B33"/>
    <w:rsid w:val="00691E15"/>
    <w:rsid w:val="006922C9"/>
    <w:rsid w:val="00692448"/>
    <w:rsid w:val="0069274B"/>
    <w:rsid w:val="00693030"/>
    <w:rsid w:val="006933BC"/>
    <w:rsid w:val="00693B13"/>
    <w:rsid w:val="00693EAA"/>
    <w:rsid w:val="00693EAB"/>
    <w:rsid w:val="00694A21"/>
    <w:rsid w:val="00695014"/>
    <w:rsid w:val="00695FE4"/>
    <w:rsid w:val="006963BF"/>
    <w:rsid w:val="00696BCB"/>
    <w:rsid w:val="006973FB"/>
    <w:rsid w:val="00697BA3"/>
    <w:rsid w:val="00697D6F"/>
    <w:rsid w:val="006A14F7"/>
    <w:rsid w:val="006A1637"/>
    <w:rsid w:val="006A1BF5"/>
    <w:rsid w:val="006A1CFB"/>
    <w:rsid w:val="006A1FA5"/>
    <w:rsid w:val="006A27A1"/>
    <w:rsid w:val="006A36B0"/>
    <w:rsid w:val="006A3FDF"/>
    <w:rsid w:val="006A4396"/>
    <w:rsid w:val="006A44A4"/>
    <w:rsid w:val="006A48FB"/>
    <w:rsid w:val="006A4C4A"/>
    <w:rsid w:val="006A4D3F"/>
    <w:rsid w:val="006A5133"/>
    <w:rsid w:val="006A5425"/>
    <w:rsid w:val="006A5C49"/>
    <w:rsid w:val="006A6339"/>
    <w:rsid w:val="006A65CC"/>
    <w:rsid w:val="006A6B3F"/>
    <w:rsid w:val="006A6EF8"/>
    <w:rsid w:val="006B0224"/>
    <w:rsid w:val="006B0934"/>
    <w:rsid w:val="006B1464"/>
    <w:rsid w:val="006B1D6D"/>
    <w:rsid w:val="006B1D6E"/>
    <w:rsid w:val="006B21C7"/>
    <w:rsid w:val="006B3413"/>
    <w:rsid w:val="006B3683"/>
    <w:rsid w:val="006B3872"/>
    <w:rsid w:val="006B3E70"/>
    <w:rsid w:val="006B42E1"/>
    <w:rsid w:val="006B4472"/>
    <w:rsid w:val="006B46DA"/>
    <w:rsid w:val="006B591A"/>
    <w:rsid w:val="006B5A75"/>
    <w:rsid w:val="006B5C68"/>
    <w:rsid w:val="006B63F0"/>
    <w:rsid w:val="006B6C96"/>
    <w:rsid w:val="006B7185"/>
    <w:rsid w:val="006B74BB"/>
    <w:rsid w:val="006B767B"/>
    <w:rsid w:val="006B76AF"/>
    <w:rsid w:val="006C02D6"/>
    <w:rsid w:val="006C03F0"/>
    <w:rsid w:val="006C0494"/>
    <w:rsid w:val="006C0670"/>
    <w:rsid w:val="006C07E2"/>
    <w:rsid w:val="006C0903"/>
    <w:rsid w:val="006C0E5B"/>
    <w:rsid w:val="006C135D"/>
    <w:rsid w:val="006C1628"/>
    <w:rsid w:val="006C20C4"/>
    <w:rsid w:val="006C2261"/>
    <w:rsid w:val="006C2426"/>
    <w:rsid w:val="006C2B70"/>
    <w:rsid w:val="006C34F1"/>
    <w:rsid w:val="006C372F"/>
    <w:rsid w:val="006C3812"/>
    <w:rsid w:val="006C39A8"/>
    <w:rsid w:val="006C3C5D"/>
    <w:rsid w:val="006C4233"/>
    <w:rsid w:val="006C472B"/>
    <w:rsid w:val="006C4EA5"/>
    <w:rsid w:val="006C500C"/>
    <w:rsid w:val="006C63B7"/>
    <w:rsid w:val="006C6664"/>
    <w:rsid w:val="006C7296"/>
    <w:rsid w:val="006C7C35"/>
    <w:rsid w:val="006C7F6A"/>
    <w:rsid w:val="006D10BC"/>
    <w:rsid w:val="006D167C"/>
    <w:rsid w:val="006D333F"/>
    <w:rsid w:val="006D42EA"/>
    <w:rsid w:val="006D4EA0"/>
    <w:rsid w:val="006D4FA4"/>
    <w:rsid w:val="006D649A"/>
    <w:rsid w:val="006D680C"/>
    <w:rsid w:val="006D6E18"/>
    <w:rsid w:val="006D6E5F"/>
    <w:rsid w:val="006D70C1"/>
    <w:rsid w:val="006D70E1"/>
    <w:rsid w:val="006D726D"/>
    <w:rsid w:val="006D729F"/>
    <w:rsid w:val="006D77A6"/>
    <w:rsid w:val="006D7928"/>
    <w:rsid w:val="006E09A0"/>
    <w:rsid w:val="006E11D3"/>
    <w:rsid w:val="006E1654"/>
    <w:rsid w:val="006E176C"/>
    <w:rsid w:val="006E1A35"/>
    <w:rsid w:val="006E1B58"/>
    <w:rsid w:val="006E1DDF"/>
    <w:rsid w:val="006E2383"/>
    <w:rsid w:val="006E363A"/>
    <w:rsid w:val="006E4160"/>
    <w:rsid w:val="006E437C"/>
    <w:rsid w:val="006E50C3"/>
    <w:rsid w:val="006E5A87"/>
    <w:rsid w:val="006E5D45"/>
    <w:rsid w:val="006E61B7"/>
    <w:rsid w:val="006E6803"/>
    <w:rsid w:val="006E7CE3"/>
    <w:rsid w:val="006E7D64"/>
    <w:rsid w:val="006F0146"/>
    <w:rsid w:val="006F0660"/>
    <w:rsid w:val="006F15D0"/>
    <w:rsid w:val="006F15E7"/>
    <w:rsid w:val="006F2250"/>
    <w:rsid w:val="006F2717"/>
    <w:rsid w:val="006F28C5"/>
    <w:rsid w:val="006F2B0A"/>
    <w:rsid w:val="006F341F"/>
    <w:rsid w:val="006F435B"/>
    <w:rsid w:val="006F463A"/>
    <w:rsid w:val="006F49FC"/>
    <w:rsid w:val="006F4D75"/>
    <w:rsid w:val="006F4D7F"/>
    <w:rsid w:val="006F504D"/>
    <w:rsid w:val="006F521D"/>
    <w:rsid w:val="006F5637"/>
    <w:rsid w:val="006F62DB"/>
    <w:rsid w:val="006F6FA8"/>
    <w:rsid w:val="006F75E2"/>
    <w:rsid w:val="006F7A65"/>
    <w:rsid w:val="006F7AEF"/>
    <w:rsid w:val="006F7CFD"/>
    <w:rsid w:val="00700442"/>
    <w:rsid w:val="00701661"/>
    <w:rsid w:val="00703620"/>
    <w:rsid w:val="00703BBC"/>
    <w:rsid w:val="007040EA"/>
    <w:rsid w:val="00704771"/>
    <w:rsid w:val="0070501D"/>
    <w:rsid w:val="00705109"/>
    <w:rsid w:val="00705154"/>
    <w:rsid w:val="00705206"/>
    <w:rsid w:val="00706612"/>
    <w:rsid w:val="00707373"/>
    <w:rsid w:val="00707453"/>
    <w:rsid w:val="00707A13"/>
    <w:rsid w:val="00707F8C"/>
    <w:rsid w:val="007102F6"/>
    <w:rsid w:val="007105D6"/>
    <w:rsid w:val="00710749"/>
    <w:rsid w:val="00710A5F"/>
    <w:rsid w:val="007112D0"/>
    <w:rsid w:val="00711C95"/>
    <w:rsid w:val="00711F6F"/>
    <w:rsid w:val="00712889"/>
    <w:rsid w:val="0071310A"/>
    <w:rsid w:val="00713142"/>
    <w:rsid w:val="00713342"/>
    <w:rsid w:val="007136B8"/>
    <w:rsid w:val="0071370A"/>
    <w:rsid w:val="0071387D"/>
    <w:rsid w:val="007138E4"/>
    <w:rsid w:val="00713D2E"/>
    <w:rsid w:val="007146B0"/>
    <w:rsid w:val="00714BB2"/>
    <w:rsid w:val="00714CDA"/>
    <w:rsid w:val="00715A9E"/>
    <w:rsid w:val="00715CA5"/>
    <w:rsid w:val="007167A4"/>
    <w:rsid w:val="0071727B"/>
    <w:rsid w:val="00717460"/>
    <w:rsid w:val="00717461"/>
    <w:rsid w:val="0072054C"/>
    <w:rsid w:val="00720894"/>
    <w:rsid w:val="00720C1C"/>
    <w:rsid w:val="00720C3E"/>
    <w:rsid w:val="00720F95"/>
    <w:rsid w:val="00721487"/>
    <w:rsid w:val="00721930"/>
    <w:rsid w:val="00721B86"/>
    <w:rsid w:val="007220C4"/>
    <w:rsid w:val="00722353"/>
    <w:rsid w:val="00722D8C"/>
    <w:rsid w:val="00723AE8"/>
    <w:rsid w:val="00723D9A"/>
    <w:rsid w:val="00725445"/>
    <w:rsid w:val="00725BAE"/>
    <w:rsid w:val="00725C6A"/>
    <w:rsid w:val="00725E04"/>
    <w:rsid w:val="0072646E"/>
    <w:rsid w:val="007270C7"/>
    <w:rsid w:val="00727A4D"/>
    <w:rsid w:val="00727EB1"/>
    <w:rsid w:val="00730086"/>
    <w:rsid w:val="0073049A"/>
    <w:rsid w:val="00730945"/>
    <w:rsid w:val="00730BD4"/>
    <w:rsid w:val="0073100C"/>
    <w:rsid w:val="007312A9"/>
    <w:rsid w:val="007315B8"/>
    <w:rsid w:val="00732BAC"/>
    <w:rsid w:val="0073306B"/>
    <w:rsid w:val="00733315"/>
    <w:rsid w:val="00733402"/>
    <w:rsid w:val="00733D27"/>
    <w:rsid w:val="00734567"/>
    <w:rsid w:val="007355B8"/>
    <w:rsid w:val="0073563F"/>
    <w:rsid w:val="007359FE"/>
    <w:rsid w:val="00735D86"/>
    <w:rsid w:val="007368F5"/>
    <w:rsid w:val="007376C7"/>
    <w:rsid w:val="00737CBB"/>
    <w:rsid w:val="00737D05"/>
    <w:rsid w:val="00737D37"/>
    <w:rsid w:val="007402C1"/>
    <w:rsid w:val="007406D4"/>
    <w:rsid w:val="0074184A"/>
    <w:rsid w:val="00741A78"/>
    <w:rsid w:val="00741B91"/>
    <w:rsid w:val="0074210A"/>
    <w:rsid w:val="00742879"/>
    <w:rsid w:val="00742F59"/>
    <w:rsid w:val="007430B0"/>
    <w:rsid w:val="00743971"/>
    <w:rsid w:val="00743F6E"/>
    <w:rsid w:val="0074471F"/>
    <w:rsid w:val="0074517C"/>
    <w:rsid w:val="00745EF0"/>
    <w:rsid w:val="00746686"/>
    <w:rsid w:val="00746917"/>
    <w:rsid w:val="007469B8"/>
    <w:rsid w:val="00746CD8"/>
    <w:rsid w:val="00746E5D"/>
    <w:rsid w:val="00747028"/>
    <w:rsid w:val="007473DB"/>
    <w:rsid w:val="00747464"/>
    <w:rsid w:val="00747906"/>
    <w:rsid w:val="00747AC8"/>
    <w:rsid w:val="00747BD0"/>
    <w:rsid w:val="007502B5"/>
    <w:rsid w:val="00750ADC"/>
    <w:rsid w:val="00750C2D"/>
    <w:rsid w:val="00751646"/>
    <w:rsid w:val="00751F71"/>
    <w:rsid w:val="00752A87"/>
    <w:rsid w:val="00752DF1"/>
    <w:rsid w:val="00753FE7"/>
    <w:rsid w:val="007545E2"/>
    <w:rsid w:val="007546C9"/>
    <w:rsid w:val="00754A3B"/>
    <w:rsid w:val="00754E43"/>
    <w:rsid w:val="0075533B"/>
    <w:rsid w:val="007555DB"/>
    <w:rsid w:val="007559A8"/>
    <w:rsid w:val="00756936"/>
    <w:rsid w:val="007571C5"/>
    <w:rsid w:val="00757226"/>
    <w:rsid w:val="007576A2"/>
    <w:rsid w:val="00760315"/>
    <w:rsid w:val="007604D6"/>
    <w:rsid w:val="007608C6"/>
    <w:rsid w:val="007608DA"/>
    <w:rsid w:val="007615ED"/>
    <w:rsid w:val="00761C62"/>
    <w:rsid w:val="00761F43"/>
    <w:rsid w:val="00761F90"/>
    <w:rsid w:val="00762465"/>
    <w:rsid w:val="007628DE"/>
    <w:rsid w:val="00762FD9"/>
    <w:rsid w:val="00763018"/>
    <w:rsid w:val="00763215"/>
    <w:rsid w:val="007632EE"/>
    <w:rsid w:val="007634EE"/>
    <w:rsid w:val="00763C39"/>
    <w:rsid w:val="00763C5B"/>
    <w:rsid w:val="00764154"/>
    <w:rsid w:val="0076436A"/>
    <w:rsid w:val="00764EF9"/>
    <w:rsid w:val="00765EFE"/>
    <w:rsid w:val="007672FC"/>
    <w:rsid w:val="00767F67"/>
    <w:rsid w:val="0077006B"/>
    <w:rsid w:val="007700F0"/>
    <w:rsid w:val="007705DB"/>
    <w:rsid w:val="00770BA7"/>
    <w:rsid w:val="00770E05"/>
    <w:rsid w:val="0077116B"/>
    <w:rsid w:val="0077125D"/>
    <w:rsid w:val="0077163C"/>
    <w:rsid w:val="00772141"/>
    <w:rsid w:val="0077246C"/>
    <w:rsid w:val="00772C1C"/>
    <w:rsid w:val="00772C70"/>
    <w:rsid w:val="00772D34"/>
    <w:rsid w:val="00773300"/>
    <w:rsid w:val="00773F6D"/>
    <w:rsid w:val="0077479D"/>
    <w:rsid w:val="00774900"/>
    <w:rsid w:val="00774AA5"/>
    <w:rsid w:val="00774B67"/>
    <w:rsid w:val="00774FF5"/>
    <w:rsid w:val="00775903"/>
    <w:rsid w:val="00775ADB"/>
    <w:rsid w:val="00776298"/>
    <w:rsid w:val="0077637E"/>
    <w:rsid w:val="00776927"/>
    <w:rsid w:val="00776AE4"/>
    <w:rsid w:val="00776FCE"/>
    <w:rsid w:val="0077780B"/>
    <w:rsid w:val="00777BFD"/>
    <w:rsid w:val="00777D50"/>
    <w:rsid w:val="00777DC4"/>
    <w:rsid w:val="0078069E"/>
    <w:rsid w:val="007808D1"/>
    <w:rsid w:val="00782581"/>
    <w:rsid w:val="00782898"/>
    <w:rsid w:val="00782FB7"/>
    <w:rsid w:val="007834D2"/>
    <w:rsid w:val="0078364A"/>
    <w:rsid w:val="00785261"/>
    <w:rsid w:val="00785E29"/>
    <w:rsid w:val="0078606D"/>
    <w:rsid w:val="00786133"/>
    <w:rsid w:val="00786187"/>
    <w:rsid w:val="007869D8"/>
    <w:rsid w:val="00786A37"/>
    <w:rsid w:val="00786A5F"/>
    <w:rsid w:val="00787003"/>
    <w:rsid w:val="007873CF"/>
    <w:rsid w:val="00787EA8"/>
    <w:rsid w:val="00790366"/>
    <w:rsid w:val="007917AA"/>
    <w:rsid w:val="00791970"/>
    <w:rsid w:val="00792157"/>
    <w:rsid w:val="00792158"/>
    <w:rsid w:val="00792637"/>
    <w:rsid w:val="007927D0"/>
    <w:rsid w:val="007927DD"/>
    <w:rsid w:val="00793290"/>
    <w:rsid w:val="007938C9"/>
    <w:rsid w:val="007947A1"/>
    <w:rsid w:val="007952DB"/>
    <w:rsid w:val="00795915"/>
    <w:rsid w:val="00795BC1"/>
    <w:rsid w:val="00796CE8"/>
    <w:rsid w:val="00796EE1"/>
    <w:rsid w:val="00796F2A"/>
    <w:rsid w:val="007A035A"/>
    <w:rsid w:val="007A1013"/>
    <w:rsid w:val="007A1039"/>
    <w:rsid w:val="007A41A9"/>
    <w:rsid w:val="007A4ACB"/>
    <w:rsid w:val="007A4C01"/>
    <w:rsid w:val="007A58A8"/>
    <w:rsid w:val="007A59AF"/>
    <w:rsid w:val="007A5C62"/>
    <w:rsid w:val="007A5CAC"/>
    <w:rsid w:val="007A66ED"/>
    <w:rsid w:val="007A6DE8"/>
    <w:rsid w:val="007A7188"/>
    <w:rsid w:val="007A73B2"/>
    <w:rsid w:val="007A7B4B"/>
    <w:rsid w:val="007A7ED6"/>
    <w:rsid w:val="007A7FE4"/>
    <w:rsid w:val="007B0043"/>
    <w:rsid w:val="007B0195"/>
    <w:rsid w:val="007B09E2"/>
    <w:rsid w:val="007B0D45"/>
    <w:rsid w:val="007B0F37"/>
    <w:rsid w:val="007B1861"/>
    <w:rsid w:val="007B19AC"/>
    <w:rsid w:val="007B19BA"/>
    <w:rsid w:val="007B2231"/>
    <w:rsid w:val="007B2E97"/>
    <w:rsid w:val="007B32D0"/>
    <w:rsid w:val="007B3CB8"/>
    <w:rsid w:val="007B4CBD"/>
    <w:rsid w:val="007B4F38"/>
    <w:rsid w:val="007B5EB7"/>
    <w:rsid w:val="007B62EF"/>
    <w:rsid w:val="007B6686"/>
    <w:rsid w:val="007B6C72"/>
    <w:rsid w:val="007B6E99"/>
    <w:rsid w:val="007C0288"/>
    <w:rsid w:val="007C04B5"/>
    <w:rsid w:val="007C0B58"/>
    <w:rsid w:val="007C12E9"/>
    <w:rsid w:val="007C1EB7"/>
    <w:rsid w:val="007C21DB"/>
    <w:rsid w:val="007C23B1"/>
    <w:rsid w:val="007C2D5B"/>
    <w:rsid w:val="007C38AB"/>
    <w:rsid w:val="007C4662"/>
    <w:rsid w:val="007C4A12"/>
    <w:rsid w:val="007C4C32"/>
    <w:rsid w:val="007C5964"/>
    <w:rsid w:val="007C5E90"/>
    <w:rsid w:val="007C6897"/>
    <w:rsid w:val="007C68B2"/>
    <w:rsid w:val="007C6AE5"/>
    <w:rsid w:val="007C7317"/>
    <w:rsid w:val="007C7CE3"/>
    <w:rsid w:val="007C7E50"/>
    <w:rsid w:val="007D1C40"/>
    <w:rsid w:val="007D2B88"/>
    <w:rsid w:val="007D3208"/>
    <w:rsid w:val="007D3381"/>
    <w:rsid w:val="007D3390"/>
    <w:rsid w:val="007D3598"/>
    <w:rsid w:val="007D3B12"/>
    <w:rsid w:val="007D4309"/>
    <w:rsid w:val="007D4462"/>
    <w:rsid w:val="007D456A"/>
    <w:rsid w:val="007D46E9"/>
    <w:rsid w:val="007D4709"/>
    <w:rsid w:val="007D4DA4"/>
    <w:rsid w:val="007D4FEC"/>
    <w:rsid w:val="007D5444"/>
    <w:rsid w:val="007D55BC"/>
    <w:rsid w:val="007D572F"/>
    <w:rsid w:val="007D5F5F"/>
    <w:rsid w:val="007D6390"/>
    <w:rsid w:val="007D6705"/>
    <w:rsid w:val="007D688A"/>
    <w:rsid w:val="007D68BC"/>
    <w:rsid w:val="007D70E8"/>
    <w:rsid w:val="007E009F"/>
    <w:rsid w:val="007E03DF"/>
    <w:rsid w:val="007E0CF6"/>
    <w:rsid w:val="007E18D7"/>
    <w:rsid w:val="007E1F59"/>
    <w:rsid w:val="007E2296"/>
    <w:rsid w:val="007E422C"/>
    <w:rsid w:val="007E43EE"/>
    <w:rsid w:val="007E48C9"/>
    <w:rsid w:val="007E4DF5"/>
    <w:rsid w:val="007E581A"/>
    <w:rsid w:val="007E6B92"/>
    <w:rsid w:val="007E705B"/>
    <w:rsid w:val="007E712C"/>
    <w:rsid w:val="007E7477"/>
    <w:rsid w:val="007F020F"/>
    <w:rsid w:val="007F05D8"/>
    <w:rsid w:val="007F06CD"/>
    <w:rsid w:val="007F16A6"/>
    <w:rsid w:val="007F25EE"/>
    <w:rsid w:val="007F2D41"/>
    <w:rsid w:val="007F47A6"/>
    <w:rsid w:val="007F5306"/>
    <w:rsid w:val="007F56F3"/>
    <w:rsid w:val="007F5B18"/>
    <w:rsid w:val="007F6253"/>
    <w:rsid w:val="00800049"/>
    <w:rsid w:val="0080131A"/>
    <w:rsid w:val="00801477"/>
    <w:rsid w:val="0080175C"/>
    <w:rsid w:val="00801909"/>
    <w:rsid w:val="00801D02"/>
    <w:rsid w:val="0080210D"/>
    <w:rsid w:val="008027CC"/>
    <w:rsid w:val="0080323F"/>
    <w:rsid w:val="00803761"/>
    <w:rsid w:val="0080378E"/>
    <w:rsid w:val="0080512B"/>
    <w:rsid w:val="00806995"/>
    <w:rsid w:val="00806E02"/>
    <w:rsid w:val="00810249"/>
    <w:rsid w:val="008106FA"/>
    <w:rsid w:val="008109FE"/>
    <w:rsid w:val="00810C10"/>
    <w:rsid w:val="00810D67"/>
    <w:rsid w:val="00811A1A"/>
    <w:rsid w:val="008128EB"/>
    <w:rsid w:val="00813723"/>
    <w:rsid w:val="0081387A"/>
    <w:rsid w:val="008148CB"/>
    <w:rsid w:val="00814CEF"/>
    <w:rsid w:val="008152AA"/>
    <w:rsid w:val="00815D54"/>
    <w:rsid w:val="0081622D"/>
    <w:rsid w:val="0081651D"/>
    <w:rsid w:val="008167E9"/>
    <w:rsid w:val="00816D4C"/>
    <w:rsid w:val="0081792C"/>
    <w:rsid w:val="0082085B"/>
    <w:rsid w:val="00820957"/>
    <w:rsid w:val="008209FC"/>
    <w:rsid w:val="00821B9F"/>
    <w:rsid w:val="00821BE2"/>
    <w:rsid w:val="00821CD6"/>
    <w:rsid w:val="00822363"/>
    <w:rsid w:val="00822F60"/>
    <w:rsid w:val="00823183"/>
    <w:rsid w:val="008232CD"/>
    <w:rsid w:val="008233B4"/>
    <w:rsid w:val="00823E61"/>
    <w:rsid w:val="008240E0"/>
    <w:rsid w:val="00824101"/>
    <w:rsid w:val="00824EC9"/>
    <w:rsid w:val="00825D9B"/>
    <w:rsid w:val="00826740"/>
    <w:rsid w:val="0082680D"/>
    <w:rsid w:val="00826DD9"/>
    <w:rsid w:val="00826DE2"/>
    <w:rsid w:val="00827434"/>
    <w:rsid w:val="00827745"/>
    <w:rsid w:val="00827B18"/>
    <w:rsid w:val="00830798"/>
    <w:rsid w:val="00831011"/>
    <w:rsid w:val="00831BC9"/>
    <w:rsid w:val="0083227C"/>
    <w:rsid w:val="00832A27"/>
    <w:rsid w:val="00833073"/>
    <w:rsid w:val="008331DD"/>
    <w:rsid w:val="00833AEF"/>
    <w:rsid w:val="0083459A"/>
    <w:rsid w:val="00834625"/>
    <w:rsid w:val="00834A4F"/>
    <w:rsid w:val="008356DD"/>
    <w:rsid w:val="008360DB"/>
    <w:rsid w:val="008363CE"/>
    <w:rsid w:val="00837603"/>
    <w:rsid w:val="00837709"/>
    <w:rsid w:val="00837A59"/>
    <w:rsid w:val="00837B2E"/>
    <w:rsid w:val="008410CE"/>
    <w:rsid w:val="008411A2"/>
    <w:rsid w:val="00841216"/>
    <w:rsid w:val="008418DF"/>
    <w:rsid w:val="00841BC4"/>
    <w:rsid w:val="0084206A"/>
    <w:rsid w:val="00843A36"/>
    <w:rsid w:val="008448E9"/>
    <w:rsid w:val="00844D01"/>
    <w:rsid w:val="008451A1"/>
    <w:rsid w:val="008452E5"/>
    <w:rsid w:val="00846081"/>
    <w:rsid w:val="00846128"/>
    <w:rsid w:val="008468EC"/>
    <w:rsid w:val="00846DED"/>
    <w:rsid w:val="00847305"/>
    <w:rsid w:val="00847941"/>
    <w:rsid w:val="0085111B"/>
    <w:rsid w:val="0085151B"/>
    <w:rsid w:val="00851AE8"/>
    <w:rsid w:val="00852124"/>
    <w:rsid w:val="00852FB5"/>
    <w:rsid w:val="00853855"/>
    <w:rsid w:val="00853E1F"/>
    <w:rsid w:val="00853F8B"/>
    <w:rsid w:val="00854AB4"/>
    <w:rsid w:val="00854E85"/>
    <w:rsid w:val="0085502C"/>
    <w:rsid w:val="008559CE"/>
    <w:rsid w:val="00855B43"/>
    <w:rsid w:val="00856546"/>
    <w:rsid w:val="008567B2"/>
    <w:rsid w:val="00856AA4"/>
    <w:rsid w:val="00857141"/>
    <w:rsid w:val="00857647"/>
    <w:rsid w:val="008601DB"/>
    <w:rsid w:val="00860C8A"/>
    <w:rsid w:val="00861AF8"/>
    <w:rsid w:val="008624B5"/>
    <w:rsid w:val="0086259C"/>
    <w:rsid w:val="00863A56"/>
    <w:rsid w:val="00863A6B"/>
    <w:rsid w:val="00864379"/>
    <w:rsid w:val="008659C4"/>
    <w:rsid w:val="00866107"/>
    <w:rsid w:val="008663AF"/>
    <w:rsid w:val="00866CD9"/>
    <w:rsid w:val="00866D0D"/>
    <w:rsid w:val="00866F4F"/>
    <w:rsid w:val="008674C4"/>
    <w:rsid w:val="008703D6"/>
    <w:rsid w:val="0087084B"/>
    <w:rsid w:val="00870D2D"/>
    <w:rsid w:val="00870E0A"/>
    <w:rsid w:val="00870EA5"/>
    <w:rsid w:val="00870FA4"/>
    <w:rsid w:val="00871126"/>
    <w:rsid w:val="008715DF"/>
    <w:rsid w:val="008718D7"/>
    <w:rsid w:val="00872C18"/>
    <w:rsid w:val="00872EAC"/>
    <w:rsid w:val="00874756"/>
    <w:rsid w:val="00874C3A"/>
    <w:rsid w:val="00875022"/>
    <w:rsid w:val="0087534B"/>
    <w:rsid w:val="008754AA"/>
    <w:rsid w:val="008754D0"/>
    <w:rsid w:val="008758A5"/>
    <w:rsid w:val="00875BF6"/>
    <w:rsid w:val="00876AD2"/>
    <w:rsid w:val="00876E08"/>
    <w:rsid w:val="00876F11"/>
    <w:rsid w:val="00876F21"/>
    <w:rsid w:val="00877709"/>
    <w:rsid w:val="0087778E"/>
    <w:rsid w:val="00880077"/>
    <w:rsid w:val="00880192"/>
    <w:rsid w:val="008805BB"/>
    <w:rsid w:val="00880615"/>
    <w:rsid w:val="00880ABE"/>
    <w:rsid w:val="00880B4B"/>
    <w:rsid w:val="00880BFE"/>
    <w:rsid w:val="00881D2B"/>
    <w:rsid w:val="00882015"/>
    <w:rsid w:val="008820B1"/>
    <w:rsid w:val="00882199"/>
    <w:rsid w:val="008828C2"/>
    <w:rsid w:val="00882CD7"/>
    <w:rsid w:val="0088372A"/>
    <w:rsid w:val="00883ABA"/>
    <w:rsid w:val="00883AF8"/>
    <w:rsid w:val="00883F72"/>
    <w:rsid w:val="00884125"/>
    <w:rsid w:val="008844C0"/>
    <w:rsid w:val="00884690"/>
    <w:rsid w:val="008856D1"/>
    <w:rsid w:val="00885BA8"/>
    <w:rsid w:val="00885C38"/>
    <w:rsid w:val="00885C43"/>
    <w:rsid w:val="00887C0B"/>
    <w:rsid w:val="00890539"/>
    <w:rsid w:val="00891490"/>
    <w:rsid w:val="00891B65"/>
    <w:rsid w:val="0089223B"/>
    <w:rsid w:val="0089233A"/>
    <w:rsid w:val="008923A7"/>
    <w:rsid w:val="00892630"/>
    <w:rsid w:val="008948AF"/>
    <w:rsid w:val="00894AF6"/>
    <w:rsid w:val="00895F9F"/>
    <w:rsid w:val="0089614B"/>
    <w:rsid w:val="00896886"/>
    <w:rsid w:val="00896D89"/>
    <w:rsid w:val="00896D8E"/>
    <w:rsid w:val="00897788"/>
    <w:rsid w:val="00897936"/>
    <w:rsid w:val="0089795F"/>
    <w:rsid w:val="008A0212"/>
    <w:rsid w:val="008A141D"/>
    <w:rsid w:val="008A167B"/>
    <w:rsid w:val="008A21D6"/>
    <w:rsid w:val="008A5C59"/>
    <w:rsid w:val="008A67E6"/>
    <w:rsid w:val="008A6827"/>
    <w:rsid w:val="008A6A41"/>
    <w:rsid w:val="008A6C21"/>
    <w:rsid w:val="008A7107"/>
    <w:rsid w:val="008B009D"/>
    <w:rsid w:val="008B0167"/>
    <w:rsid w:val="008B0212"/>
    <w:rsid w:val="008B0269"/>
    <w:rsid w:val="008B0933"/>
    <w:rsid w:val="008B0E27"/>
    <w:rsid w:val="008B1382"/>
    <w:rsid w:val="008B16D3"/>
    <w:rsid w:val="008B2115"/>
    <w:rsid w:val="008B27EA"/>
    <w:rsid w:val="008B38B4"/>
    <w:rsid w:val="008B3D2B"/>
    <w:rsid w:val="008B41EA"/>
    <w:rsid w:val="008B4FAC"/>
    <w:rsid w:val="008B518B"/>
    <w:rsid w:val="008B565D"/>
    <w:rsid w:val="008B592E"/>
    <w:rsid w:val="008B5CBB"/>
    <w:rsid w:val="008B678F"/>
    <w:rsid w:val="008B67B5"/>
    <w:rsid w:val="008B680F"/>
    <w:rsid w:val="008B6AC5"/>
    <w:rsid w:val="008B74D1"/>
    <w:rsid w:val="008B74D6"/>
    <w:rsid w:val="008C04FC"/>
    <w:rsid w:val="008C0AD0"/>
    <w:rsid w:val="008C0B1D"/>
    <w:rsid w:val="008C0E06"/>
    <w:rsid w:val="008C133F"/>
    <w:rsid w:val="008C1BCB"/>
    <w:rsid w:val="008C1CE5"/>
    <w:rsid w:val="008C27BB"/>
    <w:rsid w:val="008C288F"/>
    <w:rsid w:val="008C2DC0"/>
    <w:rsid w:val="008C2FBE"/>
    <w:rsid w:val="008C33F5"/>
    <w:rsid w:val="008C3D9F"/>
    <w:rsid w:val="008C46E6"/>
    <w:rsid w:val="008C4CD8"/>
    <w:rsid w:val="008C53C0"/>
    <w:rsid w:val="008C6979"/>
    <w:rsid w:val="008D0947"/>
    <w:rsid w:val="008D0A64"/>
    <w:rsid w:val="008D0B12"/>
    <w:rsid w:val="008D0FA5"/>
    <w:rsid w:val="008D1633"/>
    <w:rsid w:val="008D1AA9"/>
    <w:rsid w:val="008D2EED"/>
    <w:rsid w:val="008D3420"/>
    <w:rsid w:val="008D38C0"/>
    <w:rsid w:val="008D5059"/>
    <w:rsid w:val="008D5BC1"/>
    <w:rsid w:val="008D6149"/>
    <w:rsid w:val="008D6C50"/>
    <w:rsid w:val="008D6EBA"/>
    <w:rsid w:val="008D6F49"/>
    <w:rsid w:val="008D7000"/>
    <w:rsid w:val="008D707C"/>
    <w:rsid w:val="008D787B"/>
    <w:rsid w:val="008D7978"/>
    <w:rsid w:val="008D7C74"/>
    <w:rsid w:val="008D7FAB"/>
    <w:rsid w:val="008E01C3"/>
    <w:rsid w:val="008E0775"/>
    <w:rsid w:val="008E07EE"/>
    <w:rsid w:val="008E1660"/>
    <w:rsid w:val="008E1D20"/>
    <w:rsid w:val="008E1DB5"/>
    <w:rsid w:val="008E29EE"/>
    <w:rsid w:val="008E2AA2"/>
    <w:rsid w:val="008E2D32"/>
    <w:rsid w:val="008E3288"/>
    <w:rsid w:val="008E3A05"/>
    <w:rsid w:val="008E3E50"/>
    <w:rsid w:val="008E405A"/>
    <w:rsid w:val="008E42F3"/>
    <w:rsid w:val="008E436A"/>
    <w:rsid w:val="008E51B8"/>
    <w:rsid w:val="008E5488"/>
    <w:rsid w:val="008E5EDA"/>
    <w:rsid w:val="008E6DF4"/>
    <w:rsid w:val="008E7022"/>
    <w:rsid w:val="008E7760"/>
    <w:rsid w:val="008F06E4"/>
    <w:rsid w:val="008F09AA"/>
    <w:rsid w:val="008F1B10"/>
    <w:rsid w:val="008F2154"/>
    <w:rsid w:val="008F24FC"/>
    <w:rsid w:val="008F2AC2"/>
    <w:rsid w:val="008F382B"/>
    <w:rsid w:val="008F3EEC"/>
    <w:rsid w:val="008F3EF1"/>
    <w:rsid w:val="008F45DB"/>
    <w:rsid w:val="008F4655"/>
    <w:rsid w:val="008F4E37"/>
    <w:rsid w:val="008F55F3"/>
    <w:rsid w:val="008F5CD6"/>
    <w:rsid w:val="008F691B"/>
    <w:rsid w:val="008F707C"/>
    <w:rsid w:val="008F7A8D"/>
    <w:rsid w:val="008F7E10"/>
    <w:rsid w:val="009000B4"/>
    <w:rsid w:val="009004FC"/>
    <w:rsid w:val="00900504"/>
    <w:rsid w:val="00901D78"/>
    <w:rsid w:val="009034B6"/>
    <w:rsid w:val="009038EC"/>
    <w:rsid w:val="00903AB1"/>
    <w:rsid w:val="00903D45"/>
    <w:rsid w:val="00904C09"/>
    <w:rsid w:val="00904D3A"/>
    <w:rsid w:val="0090580C"/>
    <w:rsid w:val="009059C3"/>
    <w:rsid w:val="00905A78"/>
    <w:rsid w:val="00905D94"/>
    <w:rsid w:val="00907D34"/>
    <w:rsid w:val="00907ED7"/>
    <w:rsid w:val="0091162F"/>
    <w:rsid w:val="00911835"/>
    <w:rsid w:val="00911B0C"/>
    <w:rsid w:val="00911B2A"/>
    <w:rsid w:val="0091253C"/>
    <w:rsid w:val="0091253D"/>
    <w:rsid w:val="00912F96"/>
    <w:rsid w:val="00913E3F"/>
    <w:rsid w:val="00914865"/>
    <w:rsid w:val="009154A0"/>
    <w:rsid w:val="009161EE"/>
    <w:rsid w:val="00916508"/>
    <w:rsid w:val="00916613"/>
    <w:rsid w:val="009168A5"/>
    <w:rsid w:val="00916A36"/>
    <w:rsid w:val="00916A9C"/>
    <w:rsid w:val="00917628"/>
    <w:rsid w:val="00920D02"/>
    <w:rsid w:val="0092177C"/>
    <w:rsid w:val="009219E3"/>
    <w:rsid w:val="009223DB"/>
    <w:rsid w:val="00923C9F"/>
    <w:rsid w:val="00925E36"/>
    <w:rsid w:val="0092730B"/>
    <w:rsid w:val="00927346"/>
    <w:rsid w:val="00927EB0"/>
    <w:rsid w:val="009314EB"/>
    <w:rsid w:val="0093151C"/>
    <w:rsid w:val="00931AD4"/>
    <w:rsid w:val="00932C2F"/>
    <w:rsid w:val="00932DCE"/>
    <w:rsid w:val="0093355D"/>
    <w:rsid w:val="009337CD"/>
    <w:rsid w:val="00933B2C"/>
    <w:rsid w:val="00933CC4"/>
    <w:rsid w:val="00934A22"/>
    <w:rsid w:val="00934A82"/>
    <w:rsid w:val="00934BE0"/>
    <w:rsid w:val="00934BEF"/>
    <w:rsid w:val="00934E89"/>
    <w:rsid w:val="009353B5"/>
    <w:rsid w:val="0093547A"/>
    <w:rsid w:val="00935A0F"/>
    <w:rsid w:val="00935C72"/>
    <w:rsid w:val="00935ECA"/>
    <w:rsid w:val="00936DDA"/>
    <w:rsid w:val="009370B3"/>
    <w:rsid w:val="0094018A"/>
    <w:rsid w:val="0094138E"/>
    <w:rsid w:val="00941E92"/>
    <w:rsid w:val="009427BB"/>
    <w:rsid w:val="009429C2"/>
    <w:rsid w:val="00942E6C"/>
    <w:rsid w:val="009430C0"/>
    <w:rsid w:val="00943550"/>
    <w:rsid w:val="00943C05"/>
    <w:rsid w:val="00943D2B"/>
    <w:rsid w:val="009441F1"/>
    <w:rsid w:val="009442F8"/>
    <w:rsid w:val="00944337"/>
    <w:rsid w:val="00944954"/>
    <w:rsid w:val="00945419"/>
    <w:rsid w:val="00945752"/>
    <w:rsid w:val="00945ABA"/>
    <w:rsid w:val="00945EC4"/>
    <w:rsid w:val="0094617F"/>
    <w:rsid w:val="0094640F"/>
    <w:rsid w:val="00946A61"/>
    <w:rsid w:val="009478FB"/>
    <w:rsid w:val="00947936"/>
    <w:rsid w:val="00947CBD"/>
    <w:rsid w:val="0095032A"/>
    <w:rsid w:val="00950B69"/>
    <w:rsid w:val="00950C1D"/>
    <w:rsid w:val="00950DC2"/>
    <w:rsid w:val="00952655"/>
    <w:rsid w:val="00952A17"/>
    <w:rsid w:val="00952E3B"/>
    <w:rsid w:val="00953578"/>
    <w:rsid w:val="00953787"/>
    <w:rsid w:val="00954E2A"/>
    <w:rsid w:val="00955331"/>
    <w:rsid w:val="0095579E"/>
    <w:rsid w:val="00955B9C"/>
    <w:rsid w:val="00955FCC"/>
    <w:rsid w:val="0095673C"/>
    <w:rsid w:val="00956A12"/>
    <w:rsid w:val="00956E2F"/>
    <w:rsid w:val="00957B1B"/>
    <w:rsid w:val="00957BC7"/>
    <w:rsid w:val="00957C60"/>
    <w:rsid w:val="00957D9F"/>
    <w:rsid w:val="00960078"/>
    <w:rsid w:val="0096028B"/>
    <w:rsid w:val="00960E0A"/>
    <w:rsid w:val="00961D31"/>
    <w:rsid w:val="00962A99"/>
    <w:rsid w:val="00962CCA"/>
    <w:rsid w:val="00963690"/>
    <w:rsid w:val="009640EC"/>
    <w:rsid w:val="009645D0"/>
    <w:rsid w:val="0096501F"/>
    <w:rsid w:val="009651D7"/>
    <w:rsid w:val="009659D7"/>
    <w:rsid w:val="00965B86"/>
    <w:rsid w:val="00965CC3"/>
    <w:rsid w:val="00965F93"/>
    <w:rsid w:val="00966153"/>
    <w:rsid w:val="009664D8"/>
    <w:rsid w:val="009665C7"/>
    <w:rsid w:val="00966E56"/>
    <w:rsid w:val="00967548"/>
    <w:rsid w:val="00967798"/>
    <w:rsid w:val="00967C28"/>
    <w:rsid w:val="00970576"/>
    <w:rsid w:val="00970C6C"/>
    <w:rsid w:val="009713CF"/>
    <w:rsid w:val="009717CC"/>
    <w:rsid w:val="009721BA"/>
    <w:rsid w:val="009725D3"/>
    <w:rsid w:val="00972646"/>
    <w:rsid w:val="00972B26"/>
    <w:rsid w:val="00972C11"/>
    <w:rsid w:val="00973091"/>
    <w:rsid w:val="009735F3"/>
    <w:rsid w:val="009737A1"/>
    <w:rsid w:val="00973C79"/>
    <w:rsid w:val="00974306"/>
    <w:rsid w:val="00974452"/>
    <w:rsid w:val="009744A7"/>
    <w:rsid w:val="0097550F"/>
    <w:rsid w:val="00975BC8"/>
    <w:rsid w:val="0097601B"/>
    <w:rsid w:val="00976521"/>
    <w:rsid w:val="0097664C"/>
    <w:rsid w:val="00976A7F"/>
    <w:rsid w:val="00976C35"/>
    <w:rsid w:val="00976F60"/>
    <w:rsid w:val="00976FA7"/>
    <w:rsid w:val="00977818"/>
    <w:rsid w:val="00980B00"/>
    <w:rsid w:val="00980CE1"/>
    <w:rsid w:val="0098111D"/>
    <w:rsid w:val="0098130F"/>
    <w:rsid w:val="0098161C"/>
    <w:rsid w:val="009818F0"/>
    <w:rsid w:val="0098206E"/>
    <w:rsid w:val="009828D8"/>
    <w:rsid w:val="00983782"/>
    <w:rsid w:val="00984291"/>
    <w:rsid w:val="00984866"/>
    <w:rsid w:val="00984A1E"/>
    <w:rsid w:val="00984DA7"/>
    <w:rsid w:val="00985142"/>
    <w:rsid w:val="00986421"/>
    <w:rsid w:val="00986422"/>
    <w:rsid w:val="009868A3"/>
    <w:rsid w:val="00986D2C"/>
    <w:rsid w:val="009873B2"/>
    <w:rsid w:val="00987CCB"/>
    <w:rsid w:val="00987E56"/>
    <w:rsid w:val="00987E8A"/>
    <w:rsid w:val="00990746"/>
    <w:rsid w:val="00991A13"/>
    <w:rsid w:val="00991F00"/>
    <w:rsid w:val="0099264F"/>
    <w:rsid w:val="0099269A"/>
    <w:rsid w:val="00993785"/>
    <w:rsid w:val="009946EF"/>
    <w:rsid w:val="009948A7"/>
    <w:rsid w:val="0099494A"/>
    <w:rsid w:val="009949B8"/>
    <w:rsid w:val="00995050"/>
    <w:rsid w:val="0099581F"/>
    <w:rsid w:val="00995C54"/>
    <w:rsid w:val="009961E6"/>
    <w:rsid w:val="00996EC4"/>
    <w:rsid w:val="009973BC"/>
    <w:rsid w:val="00997869"/>
    <w:rsid w:val="00997B51"/>
    <w:rsid w:val="00997E94"/>
    <w:rsid w:val="009A02E8"/>
    <w:rsid w:val="009A063D"/>
    <w:rsid w:val="009A06AF"/>
    <w:rsid w:val="009A07AF"/>
    <w:rsid w:val="009A0978"/>
    <w:rsid w:val="009A1342"/>
    <w:rsid w:val="009A13D4"/>
    <w:rsid w:val="009A1471"/>
    <w:rsid w:val="009A1F21"/>
    <w:rsid w:val="009A20DB"/>
    <w:rsid w:val="009A2C74"/>
    <w:rsid w:val="009A2E4F"/>
    <w:rsid w:val="009A3179"/>
    <w:rsid w:val="009A37C6"/>
    <w:rsid w:val="009A3D27"/>
    <w:rsid w:val="009A4193"/>
    <w:rsid w:val="009A487E"/>
    <w:rsid w:val="009A4A47"/>
    <w:rsid w:val="009A4D1D"/>
    <w:rsid w:val="009A51B4"/>
    <w:rsid w:val="009A528F"/>
    <w:rsid w:val="009A5CDD"/>
    <w:rsid w:val="009A641E"/>
    <w:rsid w:val="009A6744"/>
    <w:rsid w:val="009A69F3"/>
    <w:rsid w:val="009A6A62"/>
    <w:rsid w:val="009A6C3D"/>
    <w:rsid w:val="009A6F1E"/>
    <w:rsid w:val="009A74F9"/>
    <w:rsid w:val="009A7B80"/>
    <w:rsid w:val="009B0B91"/>
    <w:rsid w:val="009B0D9F"/>
    <w:rsid w:val="009B0EB8"/>
    <w:rsid w:val="009B1096"/>
    <w:rsid w:val="009B18F9"/>
    <w:rsid w:val="009B1B96"/>
    <w:rsid w:val="009B1BA3"/>
    <w:rsid w:val="009B1C88"/>
    <w:rsid w:val="009B1CF4"/>
    <w:rsid w:val="009B248F"/>
    <w:rsid w:val="009B2DD3"/>
    <w:rsid w:val="009B38D1"/>
    <w:rsid w:val="009B3A21"/>
    <w:rsid w:val="009B4739"/>
    <w:rsid w:val="009B5C67"/>
    <w:rsid w:val="009B606D"/>
    <w:rsid w:val="009B7C40"/>
    <w:rsid w:val="009C057E"/>
    <w:rsid w:val="009C0FDA"/>
    <w:rsid w:val="009C1904"/>
    <w:rsid w:val="009C2060"/>
    <w:rsid w:val="009C2391"/>
    <w:rsid w:val="009C3C12"/>
    <w:rsid w:val="009C4350"/>
    <w:rsid w:val="009C4E6D"/>
    <w:rsid w:val="009C5349"/>
    <w:rsid w:val="009C56F2"/>
    <w:rsid w:val="009C5B99"/>
    <w:rsid w:val="009C5BD8"/>
    <w:rsid w:val="009C5D9B"/>
    <w:rsid w:val="009C5FC3"/>
    <w:rsid w:val="009C6300"/>
    <w:rsid w:val="009C6826"/>
    <w:rsid w:val="009C71A3"/>
    <w:rsid w:val="009C774C"/>
    <w:rsid w:val="009D026B"/>
    <w:rsid w:val="009D05C8"/>
    <w:rsid w:val="009D07C5"/>
    <w:rsid w:val="009D0B90"/>
    <w:rsid w:val="009D1BE3"/>
    <w:rsid w:val="009D1E4C"/>
    <w:rsid w:val="009D2F10"/>
    <w:rsid w:val="009D39DA"/>
    <w:rsid w:val="009D3A0D"/>
    <w:rsid w:val="009D3DC5"/>
    <w:rsid w:val="009D3F69"/>
    <w:rsid w:val="009D476C"/>
    <w:rsid w:val="009D4974"/>
    <w:rsid w:val="009D4B00"/>
    <w:rsid w:val="009D5497"/>
    <w:rsid w:val="009D6776"/>
    <w:rsid w:val="009D6A38"/>
    <w:rsid w:val="009D7147"/>
    <w:rsid w:val="009D7C69"/>
    <w:rsid w:val="009D7FFB"/>
    <w:rsid w:val="009E01CD"/>
    <w:rsid w:val="009E0777"/>
    <w:rsid w:val="009E1A8E"/>
    <w:rsid w:val="009E25AF"/>
    <w:rsid w:val="009E2EB1"/>
    <w:rsid w:val="009E324E"/>
    <w:rsid w:val="009E41D3"/>
    <w:rsid w:val="009E457F"/>
    <w:rsid w:val="009E4EB0"/>
    <w:rsid w:val="009E4F21"/>
    <w:rsid w:val="009E53B0"/>
    <w:rsid w:val="009E5789"/>
    <w:rsid w:val="009E5898"/>
    <w:rsid w:val="009E5C1D"/>
    <w:rsid w:val="009E6350"/>
    <w:rsid w:val="009E7188"/>
    <w:rsid w:val="009E7342"/>
    <w:rsid w:val="009E7B70"/>
    <w:rsid w:val="009E7C09"/>
    <w:rsid w:val="009F02A0"/>
    <w:rsid w:val="009F0910"/>
    <w:rsid w:val="009F0C01"/>
    <w:rsid w:val="009F100D"/>
    <w:rsid w:val="009F1341"/>
    <w:rsid w:val="009F148B"/>
    <w:rsid w:val="009F15C6"/>
    <w:rsid w:val="009F1C5B"/>
    <w:rsid w:val="009F231C"/>
    <w:rsid w:val="009F28C0"/>
    <w:rsid w:val="009F2B36"/>
    <w:rsid w:val="009F32D3"/>
    <w:rsid w:val="009F3F7E"/>
    <w:rsid w:val="009F40A2"/>
    <w:rsid w:val="009F516C"/>
    <w:rsid w:val="009F587A"/>
    <w:rsid w:val="009F5ADA"/>
    <w:rsid w:val="009F5B19"/>
    <w:rsid w:val="009F5BED"/>
    <w:rsid w:val="009F5C29"/>
    <w:rsid w:val="009F62D1"/>
    <w:rsid w:val="009F6544"/>
    <w:rsid w:val="009F703E"/>
    <w:rsid w:val="009F7622"/>
    <w:rsid w:val="009F77DB"/>
    <w:rsid w:val="00A00AB9"/>
    <w:rsid w:val="00A01B9A"/>
    <w:rsid w:val="00A01E34"/>
    <w:rsid w:val="00A02E1C"/>
    <w:rsid w:val="00A02FA6"/>
    <w:rsid w:val="00A03259"/>
    <w:rsid w:val="00A036E5"/>
    <w:rsid w:val="00A03FB7"/>
    <w:rsid w:val="00A04312"/>
    <w:rsid w:val="00A051C3"/>
    <w:rsid w:val="00A052F9"/>
    <w:rsid w:val="00A0604B"/>
    <w:rsid w:val="00A06CF1"/>
    <w:rsid w:val="00A071C4"/>
    <w:rsid w:val="00A07689"/>
    <w:rsid w:val="00A078F8"/>
    <w:rsid w:val="00A10555"/>
    <w:rsid w:val="00A108F3"/>
    <w:rsid w:val="00A11E81"/>
    <w:rsid w:val="00A11ED7"/>
    <w:rsid w:val="00A12465"/>
    <w:rsid w:val="00A13CDD"/>
    <w:rsid w:val="00A14208"/>
    <w:rsid w:val="00A142A1"/>
    <w:rsid w:val="00A15109"/>
    <w:rsid w:val="00A15E37"/>
    <w:rsid w:val="00A162E2"/>
    <w:rsid w:val="00A1706A"/>
    <w:rsid w:val="00A1753B"/>
    <w:rsid w:val="00A205BC"/>
    <w:rsid w:val="00A2132E"/>
    <w:rsid w:val="00A22049"/>
    <w:rsid w:val="00A22744"/>
    <w:rsid w:val="00A23506"/>
    <w:rsid w:val="00A24DFE"/>
    <w:rsid w:val="00A253E6"/>
    <w:rsid w:val="00A2590F"/>
    <w:rsid w:val="00A259FF"/>
    <w:rsid w:val="00A25FD4"/>
    <w:rsid w:val="00A267DA"/>
    <w:rsid w:val="00A270B8"/>
    <w:rsid w:val="00A2731C"/>
    <w:rsid w:val="00A27530"/>
    <w:rsid w:val="00A27B08"/>
    <w:rsid w:val="00A3050E"/>
    <w:rsid w:val="00A3067A"/>
    <w:rsid w:val="00A30896"/>
    <w:rsid w:val="00A314C2"/>
    <w:rsid w:val="00A31912"/>
    <w:rsid w:val="00A329CB"/>
    <w:rsid w:val="00A33034"/>
    <w:rsid w:val="00A33633"/>
    <w:rsid w:val="00A33906"/>
    <w:rsid w:val="00A33E3D"/>
    <w:rsid w:val="00A35302"/>
    <w:rsid w:val="00A3560B"/>
    <w:rsid w:val="00A35638"/>
    <w:rsid w:val="00A3582C"/>
    <w:rsid w:val="00A35831"/>
    <w:rsid w:val="00A35A3A"/>
    <w:rsid w:val="00A366B9"/>
    <w:rsid w:val="00A36BF2"/>
    <w:rsid w:val="00A36FD0"/>
    <w:rsid w:val="00A40A08"/>
    <w:rsid w:val="00A40EFA"/>
    <w:rsid w:val="00A4117A"/>
    <w:rsid w:val="00A42493"/>
    <w:rsid w:val="00A42848"/>
    <w:rsid w:val="00A42E6B"/>
    <w:rsid w:val="00A43039"/>
    <w:rsid w:val="00A4321D"/>
    <w:rsid w:val="00A43C64"/>
    <w:rsid w:val="00A4426E"/>
    <w:rsid w:val="00A4446E"/>
    <w:rsid w:val="00A45377"/>
    <w:rsid w:val="00A4540A"/>
    <w:rsid w:val="00A45707"/>
    <w:rsid w:val="00A45743"/>
    <w:rsid w:val="00A4590E"/>
    <w:rsid w:val="00A45E05"/>
    <w:rsid w:val="00A466C3"/>
    <w:rsid w:val="00A471EE"/>
    <w:rsid w:val="00A4761C"/>
    <w:rsid w:val="00A4781A"/>
    <w:rsid w:val="00A504D3"/>
    <w:rsid w:val="00A50760"/>
    <w:rsid w:val="00A50803"/>
    <w:rsid w:val="00A50F0B"/>
    <w:rsid w:val="00A51078"/>
    <w:rsid w:val="00A51781"/>
    <w:rsid w:val="00A5191C"/>
    <w:rsid w:val="00A51A4E"/>
    <w:rsid w:val="00A529A6"/>
    <w:rsid w:val="00A52CC1"/>
    <w:rsid w:val="00A53AA4"/>
    <w:rsid w:val="00A53D1B"/>
    <w:rsid w:val="00A543AD"/>
    <w:rsid w:val="00A54B6B"/>
    <w:rsid w:val="00A54E03"/>
    <w:rsid w:val="00A55362"/>
    <w:rsid w:val="00A55754"/>
    <w:rsid w:val="00A55777"/>
    <w:rsid w:val="00A55C20"/>
    <w:rsid w:val="00A55FF0"/>
    <w:rsid w:val="00A56370"/>
    <w:rsid w:val="00A56A6E"/>
    <w:rsid w:val="00A56F92"/>
    <w:rsid w:val="00A577C4"/>
    <w:rsid w:val="00A60E11"/>
    <w:rsid w:val="00A6125D"/>
    <w:rsid w:val="00A616CC"/>
    <w:rsid w:val="00A6220F"/>
    <w:rsid w:val="00A62244"/>
    <w:rsid w:val="00A622FE"/>
    <w:rsid w:val="00A62707"/>
    <w:rsid w:val="00A62807"/>
    <w:rsid w:val="00A6293B"/>
    <w:rsid w:val="00A63A4D"/>
    <w:rsid w:val="00A63AEB"/>
    <w:rsid w:val="00A640D4"/>
    <w:rsid w:val="00A641B7"/>
    <w:rsid w:val="00A64378"/>
    <w:rsid w:val="00A64A5C"/>
    <w:rsid w:val="00A64D9B"/>
    <w:rsid w:val="00A66230"/>
    <w:rsid w:val="00A666E1"/>
    <w:rsid w:val="00A66776"/>
    <w:rsid w:val="00A66C0D"/>
    <w:rsid w:val="00A671B1"/>
    <w:rsid w:val="00A676C7"/>
    <w:rsid w:val="00A67D72"/>
    <w:rsid w:val="00A7051E"/>
    <w:rsid w:val="00A70806"/>
    <w:rsid w:val="00A7249F"/>
    <w:rsid w:val="00A72F56"/>
    <w:rsid w:val="00A732A8"/>
    <w:rsid w:val="00A734BA"/>
    <w:rsid w:val="00A737D3"/>
    <w:rsid w:val="00A748F9"/>
    <w:rsid w:val="00A7531A"/>
    <w:rsid w:val="00A753D8"/>
    <w:rsid w:val="00A75476"/>
    <w:rsid w:val="00A7553E"/>
    <w:rsid w:val="00A75630"/>
    <w:rsid w:val="00A757B7"/>
    <w:rsid w:val="00A75F59"/>
    <w:rsid w:val="00A75FFC"/>
    <w:rsid w:val="00A76691"/>
    <w:rsid w:val="00A7673C"/>
    <w:rsid w:val="00A7675C"/>
    <w:rsid w:val="00A76AD2"/>
    <w:rsid w:val="00A76CD3"/>
    <w:rsid w:val="00A76D1C"/>
    <w:rsid w:val="00A76E9F"/>
    <w:rsid w:val="00A77738"/>
    <w:rsid w:val="00A80872"/>
    <w:rsid w:val="00A80C4E"/>
    <w:rsid w:val="00A81116"/>
    <w:rsid w:val="00A81950"/>
    <w:rsid w:val="00A81AE0"/>
    <w:rsid w:val="00A82437"/>
    <w:rsid w:val="00A82853"/>
    <w:rsid w:val="00A829B5"/>
    <w:rsid w:val="00A82FC7"/>
    <w:rsid w:val="00A838EA"/>
    <w:rsid w:val="00A83B94"/>
    <w:rsid w:val="00A86232"/>
    <w:rsid w:val="00A86C11"/>
    <w:rsid w:val="00A86F0C"/>
    <w:rsid w:val="00A9009B"/>
    <w:rsid w:val="00A907FE"/>
    <w:rsid w:val="00A92216"/>
    <w:rsid w:val="00A926EA"/>
    <w:rsid w:val="00A93500"/>
    <w:rsid w:val="00A935E9"/>
    <w:rsid w:val="00A9386A"/>
    <w:rsid w:val="00A93AB8"/>
    <w:rsid w:val="00A93B6B"/>
    <w:rsid w:val="00A940DE"/>
    <w:rsid w:val="00A94398"/>
    <w:rsid w:val="00A945CC"/>
    <w:rsid w:val="00A9489D"/>
    <w:rsid w:val="00A94B99"/>
    <w:rsid w:val="00A95EE2"/>
    <w:rsid w:val="00A96E1A"/>
    <w:rsid w:val="00A974B5"/>
    <w:rsid w:val="00A97548"/>
    <w:rsid w:val="00A977DE"/>
    <w:rsid w:val="00A9789E"/>
    <w:rsid w:val="00AA0383"/>
    <w:rsid w:val="00AA0FAE"/>
    <w:rsid w:val="00AA21E4"/>
    <w:rsid w:val="00AA2261"/>
    <w:rsid w:val="00AA290C"/>
    <w:rsid w:val="00AA2A52"/>
    <w:rsid w:val="00AA31DD"/>
    <w:rsid w:val="00AA32FF"/>
    <w:rsid w:val="00AA3574"/>
    <w:rsid w:val="00AA35D5"/>
    <w:rsid w:val="00AA38D0"/>
    <w:rsid w:val="00AA3DA2"/>
    <w:rsid w:val="00AA4257"/>
    <w:rsid w:val="00AA498F"/>
    <w:rsid w:val="00AA4E63"/>
    <w:rsid w:val="00AA5B1C"/>
    <w:rsid w:val="00AA5FAF"/>
    <w:rsid w:val="00AA6ACC"/>
    <w:rsid w:val="00AA7C7C"/>
    <w:rsid w:val="00AB010F"/>
    <w:rsid w:val="00AB075A"/>
    <w:rsid w:val="00AB12AE"/>
    <w:rsid w:val="00AB15B5"/>
    <w:rsid w:val="00AB18E7"/>
    <w:rsid w:val="00AB1931"/>
    <w:rsid w:val="00AB2AD6"/>
    <w:rsid w:val="00AB37DF"/>
    <w:rsid w:val="00AB395A"/>
    <w:rsid w:val="00AB3A63"/>
    <w:rsid w:val="00AB3BC7"/>
    <w:rsid w:val="00AB40D0"/>
    <w:rsid w:val="00AB4622"/>
    <w:rsid w:val="00AB4688"/>
    <w:rsid w:val="00AB49AD"/>
    <w:rsid w:val="00AB4C8C"/>
    <w:rsid w:val="00AB6CC8"/>
    <w:rsid w:val="00AB6EF6"/>
    <w:rsid w:val="00AB70AC"/>
    <w:rsid w:val="00AB7823"/>
    <w:rsid w:val="00AB7D75"/>
    <w:rsid w:val="00AC1B25"/>
    <w:rsid w:val="00AC1EE9"/>
    <w:rsid w:val="00AC2692"/>
    <w:rsid w:val="00AC3A3A"/>
    <w:rsid w:val="00AC45A0"/>
    <w:rsid w:val="00AC5220"/>
    <w:rsid w:val="00AC5FD2"/>
    <w:rsid w:val="00AC61B4"/>
    <w:rsid w:val="00AC64FF"/>
    <w:rsid w:val="00AC69CF"/>
    <w:rsid w:val="00AC77DC"/>
    <w:rsid w:val="00AD05F7"/>
    <w:rsid w:val="00AD08FD"/>
    <w:rsid w:val="00AD0F54"/>
    <w:rsid w:val="00AD1213"/>
    <w:rsid w:val="00AD1BD2"/>
    <w:rsid w:val="00AD21BD"/>
    <w:rsid w:val="00AD2F42"/>
    <w:rsid w:val="00AD3006"/>
    <w:rsid w:val="00AD35A0"/>
    <w:rsid w:val="00AD36E6"/>
    <w:rsid w:val="00AD38DD"/>
    <w:rsid w:val="00AD4DA7"/>
    <w:rsid w:val="00AD4E75"/>
    <w:rsid w:val="00AD531F"/>
    <w:rsid w:val="00AD56B9"/>
    <w:rsid w:val="00AD5CC3"/>
    <w:rsid w:val="00AD6EAC"/>
    <w:rsid w:val="00AD6F2C"/>
    <w:rsid w:val="00AD7986"/>
    <w:rsid w:val="00AE0245"/>
    <w:rsid w:val="00AE0A29"/>
    <w:rsid w:val="00AE0A53"/>
    <w:rsid w:val="00AE0E61"/>
    <w:rsid w:val="00AE1111"/>
    <w:rsid w:val="00AE1187"/>
    <w:rsid w:val="00AE1636"/>
    <w:rsid w:val="00AE19B9"/>
    <w:rsid w:val="00AE1EE3"/>
    <w:rsid w:val="00AE20FA"/>
    <w:rsid w:val="00AE26B8"/>
    <w:rsid w:val="00AE2CFD"/>
    <w:rsid w:val="00AE2E8D"/>
    <w:rsid w:val="00AE3062"/>
    <w:rsid w:val="00AE30CF"/>
    <w:rsid w:val="00AE3E43"/>
    <w:rsid w:val="00AE40D1"/>
    <w:rsid w:val="00AE4430"/>
    <w:rsid w:val="00AE44C2"/>
    <w:rsid w:val="00AE4B9A"/>
    <w:rsid w:val="00AE4C1A"/>
    <w:rsid w:val="00AE4CBC"/>
    <w:rsid w:val="00AE548A"/>
    <w:rsid w:val="00AE57BA"/>
    <w:rsid w:val="00AE5D03"/>
    <w:rsid w:val="00AE62E2"/>
    <w:rsid w:val="00AE6C72"/>
    <w:rsid w:val="00AE7191"/>
    <w:rsid w:val="00AE7278"/>
    <w:rsid w:val="00AF00BF"/>
    <w:rsid w:val="00AF0299"/>
    <w:rsid w:val="00AF06E2"/>
    <w:rsid w:val="00AF0A01"/>
    <w:rsid w:val="00AF112B"/>
    <w:rsid w:val="00AF1484"/>
    <w:rsid w:val="00AF175F"/>
    <w:rsid w:val="00AF1EBC"/>
    <w:rsid w:val="00AF1F0A"/>
    <w:rsid w:val="00AF2812"/>
    <w:rsid w:val="00AF2B03"/>
    <w:rsid w:val="00AF2F5F"/>
    <w:rsid w:val="00AF376A"/>
    <w:rsid w:val="00AF3AC8"/>
    <w:rsid w:val="00AF3D6A"/>
    <w:rsid w:val="00AF487E"/>
    <w:rsid w:val="00AF493C"/>
    <w:rsid w:val="00AF49BE"/>
    <w:rsid w:val="00AF5064"/>
    <w:rsid w:val="00AF5F1F"/>
    <w:rsid w:val="00AF6487"/>
    <w:rsid w:val="00AF65B3"/>
    <w:rsid w:val="00AF664E"/>
    <w:rsid w:val="00AF6B56"/>
    <w:rsid w:val="00AF6D4A"/>
    <w:rsid w:val="00AF766C"/>
    <w:rsid w:val="00B0086F"/>
    <w:rsid w:val="00B0112B"/>
    <w:rsid w:val="00B01343"/>
    <w:rsid w:val="00B01931"/>
    <w:rsid w:val="00B01A46"/>
    <w:rsid w:val="00B02A58"/>
    <w:rsid w:val="00B02C0E"/>
    <w:rsid w:val="00B040EF"/>
    <w:rsid w:val="00B0488C"/>
    <w:rsid w:val="00B05021"/>
    <w:rsid w:val="00B05457"/>
    <w:rsid w:val="00B05C89"/>
    <w:rsid w:val="00B060C0"/>
    <w:rsid w:val="00B0671B"/>
    <w:rsid w:val="00B0678E"/>
    <w:rsid w:val="00B067E2"/>
    <w:rsid w:val="00B06A7C"/>
    <w:rsid w:val="00B06B0A"/>
    <w:rsid w:val="00B06EEE"/>
    <w:rsid w:val="00B07242"/>
    <w:rsid w:val="00B07294"/>
    <w:rsid w:val="00B079A9"/>
    <w:rsid w:val="00B10662"/>
    <w:rsid w:val="00B10912"/>
    <w:rsid w:val="00B10AAA"/>
    <w:rsid w:val="00B10CFA"/>
    <w:rsid w:val="00B10F41"/>
    <w:rsid w:val="00B114BE"/>
    <w:rsid w:val="00B12940"/>
    <w:rsid w:val="00B12963"/>
    <w:rsid w:val="00B1296A"/>
    <w:rsid w:val="00B12B59"/>
    <w:rsid w:val="00B13691"/>
    <w:rsid w:val="00B136C1"/>
    <w:rsid w:val="00B1388A"/>
    <w:rsid w:val="00B13D64"/>
    <w:rsid w:val="00B14582"/>
    <w:rsid w:val="00B145E0"/>
    <w:rsid w:val="00B14955"/>
    <w:rsid w:val="00B14A71"/>
    <w:rsid w:val="00B155A2"/>
    <w:rsid w:val="00B1577B"/>
    <w:rsid w:val="00B15B07"/>
    <w:rsid w:val="00B15D6A"/>
    <w:rsid w:val="00B15F7C"/>
    <w:rsid w:val="00B161DA"/>
    <w:rsid w:val="00B16394"/>
    <w:rsid w:val="00B1684F"/>
    <w:rsid w:val="00B17312"/>
    <w:rsid w:val="00B20B2A"/>
    <w:rsid w:val="00B210EF"/>
    <w:rsid w:val="00B214F9"/>
    <w:rsid w:val="00B218DD"/>
    <w:rsid w:val="00B21C9E"/>
    <w:rsid w:val="00B2256E"/>
    <w:rsid w:val="00B227DF"/>
    <w:rsid w:val="00B22922"/>
    <w:rsid w:val="00B24966"/>
    <w:rsid w:val="00B24D8A"/>
    <w:rsid w:val="00B25AD4"/>
    <w:rsid w:val="00B25BEA"/>
    <w:rsid w:val="00B26BBE"/>
    <w:rsid w:val="00B26D1D"/>
    <w:rsid w:val="00B27A9F"/>
    <w:rsid w:val="00B27BC4"/>
    <w:rsid w:val="00B30242"/>
    <w:rsid w:val="00B30357"/>
    <w:rsid w:val="00B30501"/>
    <w:rsid w:val="00B31744"/>
    <w:rsid w:val="00B31C23"/>
    <w:rsid w:val="00B324DD"/>
    <w:rsid w:val="00B3252D"/>
    <w:rsid w:val="00B32F38"/>
    <w:rsid w:val="00B33590"/>
    <w:rsid w:val="00B34AA8"/>
    <w:rsid w:val="00B34FC8"/>
    <w:rsid w:val="00B35EAA"/>
    <w:rsid w:val="00B3611A"/>
    <w:rsid w:val="00B36180"/>
    <w:rsid w:val="00B366DA"/>
    <w:rsid w:val="00B36C86"/>
    <w:rsid w:val="00B36EEF"/>
    <w:rsid w:val="00B36F04"/>
    <w:rsid w:val="00B37732"/>
    <w:rsid w:val="00B3780F"/>
    <w:rsid w:val="00B37CDC"/>
    <w:rsid w:val="00B40029"/>
    <w:rsid w:val="00B41BFF"/>
    <w:rsid w:val="00B41E7B"/>
    <w:rsid w:val="00B42400"/>
    <w:rsid w:val="00B4255E"/>
    <w:rsid w:val="00B42A24"/>
    <w:rsid w:val="00B42DA6"/>
    <w:rsid w:val="00B42FA9"/>
    <w:rsid w:val="00B431C7"/>
    <w:rsid w:val="00B43408"/>
    <w:rsid w:val="00B43975"/>
    <w:rsid w:val="00B43FCC"/>
    <w:rsid w:val="00B449E5"/>
    <w:rsid w:val="00B44B63"/>
    <w:rsid w:val="00B44BCA"/>
    <w:rsid w:val="00B44DA3"/>
    <w:rsid w:val="00B45666"/>
    <w:rsid w:val="00B46A0F"/>
    <w:rsid w:val="00B47593"/>
    <w:rsid w:val="00B47F05"/>
    <w:rsid w:val="00B5073E"/>
    <w:rsid w:val="00B50F16"/>
    <w:rsid w:val="00B51412"/>
    <w:rsid w:val="00B51586"/>
    <w:rsid w:val="00B51879"/>
    <w:rsid w:val="00B51A4F"/>
    <w:rsid w:val="00B51ED4"/>
    <w:rsid w:val="00B52083"/>
    <w:rsid w:val="00B52BDE"/>
    <w:rsid w:val="00B52F33"/>
    <w:rsid w:val="00B540DD"/>
    <w:rsid w:val="00B54316"/>
    <w:rsid w:val="00B548E7"/>
    <w:rsid w:val="00B54B5B"/>
    <w:rsid w:val="00B54E7E"/>
    <w:rsid w:val="00B54E80"/>
    <w:rsid w:val="00B550CF"/>
    <w:rsid w:val="00B55392"/>
    <w:rsid w:val="00B555C5"/>
    <w:rsid w:val="00B55D4C"/>
    <w:rsid w:val="00B55D54"/>
    <w:rsid w:val="00B5649A"/>
    <w:rsid w:val="00B564D2"/>
    <w:rsid w:val="00B565EA"/>
    <w:rsid w:val="00B56CC5"/>
    <w:rsid w:val="00B570F3"/>
    <w:rsid w:val="00B606D8"/>
    <w:rsid w:val="00B60C66"/>
    <w:rsid w:val="00B612D7"/>
    <w:rsid w:val="00B6147D"/>
    <w:rsid w:val="00B61B84"/>
    <w:rsid w:val="00B62869"/>
    <w:rsid w:val="00B62B58"/>
    <w:rsid w:val="00B62D26"/>
    <w:rsid w:val="00B6322C"/>
    <w:rsid w:val="00B63521"/>
    <w:rsid w:val="00B63918"/>
    <w:rsid w:val="00B64A42"/>
    <w:rsid w:val="00B64F1C"/>
    <w:rsid w:val="00B64F76"/>
    <w:rsid w:val="00B65989"/>
    <w:rsid w:val="00B65CE3"/>
    <w:rsid w:val="00B65DB9"/>
    <w:rsid w:val="00B66745"/>
    <w:rsid w:val="00B6698C"/>
    <w:rsid w:val="00B66E5C"/>
    <w:rsid w:val="00B672D5"/>
    <w:rsid w:val="00B676B8"/>
    <w:rsid w:val="00B67762"/>
    <w:rsid w:val="00B67BB9"/>
    <w:rsid w:val="00B703C6"/>
    <w:rsid w:val="00B70D08"/>
    <w:rsid w:val="00B710F6"/>
    <w:rsid w:val="00B724AC"/>
    <w:rsid w:val="00B72CD8"/>
    <w:rsid w:val="00B73ADC"/>
    <w:rsid w:val="00B73F2F"/>
    <w:rsid w:val="00B74637"/>
    <w:rsid w:val="00B746D1"/>
    <w:rsid w:val="00B75D96"/>
    <w:rsid w:val="00B778AA"/>
    <w:rsid w:val="00B77A6F"/>
    <w:rsid w:val="00B77D5E"/>
    <w:rsid w:val="00B80DD7"/>
    <w:rsid w:val="00B8109F"/>
    <w:rsid w:val="00B814D4"/>
    <w:rsid w:val="00B81612"/>
    <w:rsid w:val="00B81718"/>
    <w:rsid w:val="00B817DC"/>
    <w:rsid w:val="00B819D1"/>
    <w:rsid w:val="00B833AA"/>
    <w:rsid w:val="00B83E9E"/>
    <w:rsid w:val="00B83FA9"/>
    <w:rsid w:val="00B8438A"/>
    <w:rsid w:val="00B848B0"/>
    <w:rsid w:val="00B84A7C"/>
    <w:rsid w:val="00B84E65"/>
    <w:rsid w:val="00B85AFD"/>
    <w:rsid w:val="00B85CF5"/>
    <w:rsid w:val="00B86823"/>
    <w:rsid w:val="00B86BAE"/>
    <w:rsid w:val="00B87236"/>
    <w:rsid w:val="00B875F4"/>
    <w:rsid w:val="00B877C3"/>
    <w:rsid w:val="00B87B50"/>
    <w:rsid w:val="00B90362"/>
    <w:rsid w:val="00B90579"/>
    <w:rsid w:val="00B907C3"/>
    <w:rsid w:val="00B90964"/>
    <w:rsid w:val="00B91649"/>
    <w:rsid w:val="00B91941"/>
    <w:rsid w:val="00B91CD2"/>
    <w:rsid w:val="00B92A2B"/>
    <w:rsid w:val="00B92F4E"/>
    <w:rsid w:val="00B9437D"/>
    <w:rsid w:val="00B94A74"/>
    <w:rsid w:val="00B94B5A"/>
    <w:rsid w:val="00B94E9F"/>
    <w:rsid w:val="00B96CAC"/>
    <w:rsid w:val="00BA03C6"/>
    <w:rsid w:val="00BA0D2C"/>
    <w:rsid w:val="00BA1160"/>
    <w:rsid w:val="00BA2128"/>
    <w:rsid w:val="00BA291C"/>
    <w:rsid w:val="00BA2C8A"/>
    <w:rsid w:val="00BA2E13"/>
    <w:rsid w:val="00BA32E0"/>
    <w:rsid w:val="00BA41D0"/>
    <w:rsid w:val="00BA4523"/>
    <w:rsid w:val="00BA4785"/>
    <w:rsid w:val="00BA5026"/>
    <w:rsid w:val="00BA51CE"/>
    <w:rsid w:val="00BA535C"/>
    <w:rsid w:val="00BA55BC"/>
    <w:rsid w:val="00BA60DC"/>
    <w:rsid w:val="00BA6AB0"/>
    <w:rsid w:val="00BA76A2"/>
    <w:rsid w:val="00BB016D"/>
    <w:rsid w:val="00BB045C"/>
    <w:rsid w:val="00BB0CA7"/>
    <w:rsid w:val="00BB1A3C"/>
    <w:rsid w:val="00BB2E39"/>
    <w:rsid w:val="00BB2EAD"/>
    <w:rsid w:val="00BB303C"/>
    <w:rsid w:val="00BB3DE4"/>
    <w:rsid w:val="00BB4D55"/>
    <w:rsid w:val="00BB52A0"/>
    <w:rsid w:val="00BB5598"/>
    <w:rsid w:val="00BB6067"/>
    <w:rsid w:val="00BB60E4"/>
    <w:rsid w:val="00BB64A8"/>
    <w:rsid w:val="00BB6BC5"/>
    <w:rsid w:val="00BB6DF4"/>
    <w:rsid w:val="00BB6F5D"/>
    <w:rsid w:val="00BB7261"/>
    <w:rsid w:val="00BB742E"/>
    <w:rsid w:val="00BC09C8"/>
    <w:rsid w:val="00BC0DF1"/>
    <w:rsid w:val="00BC1CC3"/>
    <w:rsid w:val="00BC1ED2"/>
    <w:rsid w:val="00BC2373"/>
    <w:rsid w:val="00BC23B8"/>
    <w:rsid w:val="00BC2509"/>
    <w:rsid w:val="00BC2681"/>
    <w:rsid w:val="00BC2E62"/>
    <w:rsid w:val="00BC3294"/>
    <w:rsid w:val="00BC3476"/>
    <w:rsid w:val="00BC36F9"/>
    <w:rsid w:val="00BC37B3"/>
    <w:rsid w:val="00BC38D8"/>
    <w:rsid w:val="00BC3D7B"/>
    <w:rsid w:val="00BC418A"/>
    <w:rsid w:val="00BC4BB9"/>
    <w:rsid w:val="00BC50FF"/>
    <w:rsid w:val="00BC5B8A"/>
    <w:rsid w:val="00BC6027"/>
    <w:rsid w:val="00BC610B"/>
    <w:rsid w:val="00BC6265"/>
    <w:rsid w:val="00BC6348"/>
    <w:rsid w:val="00BC6378"/>
    <w:rsid w:val="00BC775E"/>
    <w:rsid w:val="00BD03C2"/>
    <w:rsid w:val="00BD12D0"/>
    <w:rsid w:val="00BD1596"/>
    <w:rsid w:val="00BD21AF"/>
    <w:rsid w:val="00BD2B06"/>
    <w:rsid w:val="00BD2B42"/>
    <w:rsid w:val="00BD2E40"/>
    <w:rsid w:val="00BD3491"/>
    <w:rsid w:val="00BD48AA"/>
    <w:rsid w:val="00BD4998"/>
    <w:rsid w:val="00BD6112"/>
    <w:rsid w:val="00BD64EE"/>
    <w:rsid w:val="00BD76B3"/>
    <w:rsid w:val="00BD77F7"/>
    <w:rsid w:val="00BD7808"/>
    <w:rsid w:val="00BD7BA8"/>
    <w:rsid w:val="00BE05A5"/>
    <w:rsid w:val="00BE0D57"/>
    <w:rsid w:val="00BE1235"/>
    <w:rsid w:val="00BE1261"/>
    <w:rsid w:val="00BE1B24"/>
    <w:rsid w:val="00BE1B9A"/>
    <w:rsid w:val="00BE1CD7"/>
    <w:rsid w:val="00BE1E15"/>
    <w:rsid w:val="00BE1EDF"/>
    <w:rsid w:val="00BE30CA"/>
    <w:rsid w:val="00BE352D"/>
    <w:rsid w:val="00BE392C"/>
    <w:rsid w:val="00BE3A50"/>
    <w:rsid w:val="00BE4643"/>
    <w:rsid w:val="00BE4CF0"/>
    <w:rsid w:val="00BE4F6B"/>
    <w:rsid w:val="00BE5322"/>
    <w:rsid w:val="00BE579E"/>
    <w:rsid w:val="00BE5BA2"/>
    <w:rsid w:val="00BE5C45"/>
    <w:rsid w:val="00BE6128"/>
    <w:rsid w:val="00BE63EE"/>
    <w:rsid w:val="00BE6E6B"/>
    <w:rsid w:val="00BE71A1"/>
    <w:rsid w:val="00BE7AF6"/>
    <w:rsid w:val="00BF03A2"/>
    <w:rsid w:val="00BF0547"/>
    <w:rsid w:val="00BF08C7"/>
    <w:rsid w:val="00BF091E"/>
    <w:rsid w:val="00BF0A2F"/>
    <w:rsid w:val="00BF0C58"/>
    <w:rsid w:val="00BF1108"/>
    <w:rsid w:val="00BF136A"/>
    <w:rsid w:val="00BF145B"/>
    <w:rsid w:val="00BF1656"/>
    <w:rsid w:val="00BF23AE"/>
    <w:rsid w:val="00BF27CF"/>
    <w:rsid w:val="00BF37B8"/>
    <w:rsid w:val="00BF3A9B"/>
    <w:rsid w:val="00BF3EC9"/>
    <w:rsid w:val="00BF442F"/>
    <w:rsid w:val="00BF4E64"/>
    <w:rsid w:val="00BF515B"/>
    <w:rsid w:val="00BF5599"/>
    <w:rsid w:val="00BF55EA"/>
    <w:rsid w:val="00BF5A21"/>
    <w:rsid w:val="00BF626F"/>
    <w:rsid w:val="00BF62DE"/>
    <w:rsid w:val="00BF66FE"/>
    <w:rsid w:val="00BF7736"/>
    <w:rsid w:val="00BF7875"/>
    <w:rsid w:val="00BF7CFA"/>
    <w:rsid w:val="00BF7DE1"/>
    <w:rsid w:val="00C0027D"/>
    <w:rsid w:val="00C00441"/>
    <w:rsid w:val="00C00B3C"/>
    <w:rsid w:val="00C01343"/>
    <w:rsid w:val="00C01C93"/>
    <w:rsid w:val="00C020A1"/>
    <w:rsid w:val="00C02408"/>
    <w:rsid w:val="00C02B0C"/>
    <w:rsid w:val="00C033FD"/>
    <w:rsid w:val="00C0415F"/>
    <w:rsid w:val="00C055E7"/>
    <w:rsid w:val="00C05709"/>
    <w:rsid w:val="00C068DA"/>
    <w:rsid w:val="00C06D82"/>
    <w:rsid w:val="00C06F2A"/>
    <w:rsid w:val="00C0726B"/>
    <w:rsid w:val="00C07AAA"/>
    <w:rsid w:val="00C07DBC"/>
    <w:rsid w:val="00C1003C"/>
    <w:rsid w:val="00C10436"/>
    <w:rsid w:val="00C10745"/>
    <w:rsid w:val="00C121E8"/>
    <w:rsid w:val="00C12F60"/>
    <w:rsid w:val="00C13AD3"/>
    <w:rsid w:val="00C13E35"/>
    <w:rsid w:val="00C13EC4"/>
    <w:rsid w:val="00C14715"/>
    <w:rsid w:val="00C14F87"/>
    <w:rsid w:val="00C1640E"/>
    <w:rsid w:val="00C164C2"/>
    <w:rsid w:val="00C17A21"/>
    <w:rsid w:val="00C2078F"/>
    <w:rsid w:val="00C2148D"/>
    <w:rsid w:val="00C22A85"/>
    <w:rsid w:val="00C24113"/>
    <w:rsid w:val="00C24514"/>
    <w:rsid w:val="00C24F62"/>
    <w:rsid w:val="00C25857"/>
    <w:rsid w:val="00C25CCE"/>
    <w:rsid w:val="00C25EF4"/>
    <w:rsid w:val="00C25F65"/>
    <w:rsid w:val="00C26093"/>
    <w:rsid w:val="00C26ABF"/>
    <w:rsid w:val="00C26DA9"/>
    <w:rsid w:val="00C2722A"/>
    <w:rsid w:val="00C274E6"/>
    <w:rsid w:val="00C27866"/>
    <w:rsid w:val="00C27B28"/>
    <w:rsid w:val="00C27B99"/>
    <w:rsid w:val="00C27DFF"/>
    <w:rsid w:val="00C3009F"/>
    <w:rsid w:val="00C3096C"/>
    <w:rsid w:val="00C30E57"/>
    <w:rsid w:val="00C31439"/>
    <w:rsid w:val="00C31D99"/>
    <w:rsid w:val="00C320F3"/>
    <w:rsid w:val="00C32A2C"/>
    <w:rsid w:val="00C33BF1"/>
    <w:rsid w:val="00C3451B"/>
    <w:rsid w:val="00C34E46"/>
    <w:rsid w:val="00C354D8"/>
    <w:rsid w:val="00C35E24"/>
    <w:rsid w:val="00C36640"/>
    <w:rsid w:val="00C368C1"/>
    <w:rsid w:val="00C36BEC"/>
    <w:rsid w:val="00C37165"/>
    <w:rsid w:val="00C37219"/>
    <w:rsid w:val="00C37C11"/>
    <w:rsid w:val="00C37F9E"/>
    <w:rsid w:val="00C401B7"/>
    <w:rsid w:val="00C40390"/>
    <w:rsid w:val="00C40575"/>
    <w:rsid w:val="00C409D8"/>
    <w:rsid w:val="00C41262"/>
    <w:rsid w:val="00C4137B"/>
    <w:rsid w:val="00C41551"/>
    <w:rsid w:val="00C41D07"/>
    <w:rsid w:val="00C41DF5"/>
    <w:rsid w:val="00C431BF"/>
    <w:rsid w:val="00C43290"/>
    <w:rsid w:val="00C43390"/>
    <w:rsid w:val="00C440E8"/>
    <w:rsid w:val="00C44EBC"/>
    <w:rsid w:val="00C455DD"/>
    <w:rsid w:val="00C45927"/>
    <w:rsid w:val="00C45AA0"/>
    <w:rsid w:val="00C467C8"/>
    <w:rsid w:val="00C46808"/>
    <w:rsid w:val="00C46E2A"/>
    <w:rsid w:val="00C46FDC"/>
    <w:rsid w:val="00C4790D"/>
    <w:rsid w:val="00C509B3"/>
    <w:rsid w:val="00C50A8C"/>
    <w:rsid w:val="00C50B83"/>
    <w:rsid w:val="00C50E6F"/>
    <w:rsid w:val="00C515D1"/>
    <w:rsid w:val="00C51707"/>
    <w:rsid w:val="00C519D4"/>
    <w:rsid w:val="00C51F75"/>
    <w:rsid w:val="00C5209C"/>
    <w:rsid w:val="00C5256B"/>
    <w:rsid w:val="00C52619"/>
    <w:rsid w:val="00C52C21"/>
    <w:rsid w:val="00C53100"/>
    <w:rsid w:val="00C531BC"/>
    <w:rsid w:val="00C531FD"/>
    <w:rsid w:val="00C53343"/>
    <w:rsid w:val="00C54B75"/>
    <w:rsid w:val="00C54BF7"/>
    <w:rsid w:val="00C553BA"/>
    <w:rsid w:val="00C55F9E"/>
    <w:rsid w:val="00C560E7"/>
    <w:rsid w:val="00C57DD2"/>
    <w:rsid w:val="00C6006B"/>
    <w:rsid w:val="00C60735"/>
    <w:rsid w:val="00C61053"/>
    <w:rsid w:val="00C6143A"/>
    <w:rsid w:val="00C618E3"/>
    <w:rsid w:val="00C622BE"/>
    <w:rsid w:val="00C623FE"/>
    <w:rsid w:val="00C62A3C"/>
    <w:rsid w:val="00C635C4"/>
    <w:rsid w:val="00C6379E"/>
    <w:rsid w:val="00C63DD6"/>
    <w:rsid w:val="00C64A6B"/>
    <w:rsid w:val="00C64B49"/>
    <w:rsid w:val="00C65242"/>
    <w:rsid w:val="00C65571"/>
    <w:rsid w:val="00C656D0"/>
    <w:rsid w:val="00C65E1B"/>
    <w:rsid w:val="00C65EE4"/>
    <w:rsid w:val="00C6656F"/>
    <w:rsid w:val="00C6685A"/>
    <w:rsid w:val="00C66FAB"/>
    <w:rsid w:val="00C705CF"/>
    <w:rsid w:val="00C70C72"/>
    <w:rsid w:val="00C70D26"/>
    <w:rsid w:val="00C70E94"/>
    <w:rsid w:val="00C71102"/>
    <w:rsid w:val="00C725EA"/>
    <w:rsid w:val="00C73214"/>
    <w:rsid w:val="00C753C4"/>
    <w:rsid w:val="00C75673"/>
    <w:rsid w:val="00C76227"/>
    <w:rsid w:val="00C762C8"/>
    <w:rsid w:val="00C768E1"/>
    <w:rsid w:val="00C76F02"/>
    <w:rsid w:val="00C770B7"/>
    <w:rsid w:val="00C806E8"/>
    <w:rsid w:val="00C80982"/>
    <w:rsid w:val="00C81A18"/>
    <w:rsid w:val="00C81A99"/>
    <w:rsid w:val="00C82564"/>
    <w:rsid w:val="00C82656"/>
    <w:rsid w:val="00C82E66"/>
    <w:rsid w:val="00C83BCD"/>
    <w:rsid w:val="00C8400C"/>
    <w:rsid w:val="00C843F0"/>
    <w:rsid w:val="00C849DB"/>
    <w:rsid w:val="00C85068"/>
    <w:rsid w:val="00C85C98"/>
    <w:rsid w:val="00C86059"/>
    <w:rsid w:val="00C866BE"/>
    <w:rsid w:val="00C868D2"/>
    <w:rsid w:val="00C86F21"/>
    <w:rsid w:val="00C870B5"/>
    <w:rsid w:val="00C873BF"/>
    <w:rsid w:val="00C87946"/>
    <w:rsid w:val="00C87C99"/>
    <w:rsid w:val="00C87F23"/>
    <w:rsid w:val="00C90A54"/>
    <w:rsid w:val="00C90C46"/>
    <w:rsid w:val="00C90F59"/>
    <w:rsid w:val="00C91364"/>
    <w:rsid w:val="00C91788"/>
    <w:rsid w:val="00C91B6A"/>
    <w:rsid w:val="00C9395E"/>
    <w:rsid w:val="00C95245"/>
    <w:rsid w:val="00C9531D"/>
    <w:rsid w:val="00C961B0"/>
    <w:rsid w:val="00C96AE7"/>
    <w:rsid w:val="00C97098"/>
    <w:rsid w:val="00C97538"/>
    <w:rsid w:val="00C977B8"/>
    <w:rsid w:val="00CA03D5"/>
    <w:rsid w:val="00CA06FD"/>
    <w:rsid w:val="00CA088A"/>
    <w:rsid w:val="00CA0CA0"/>
    <w:rsid w:val="00CA0F20"/>
    <w:rsid w:val="00CA157D"/>
    <w:rsid w:val="00CA1903"/>
    <w:rsid w:val="00CA253F"/>
    <w:rsid w:val="00CA2D06"/>
    <w:rsid w:val="00CA3704"/>
    <w:rsid w:val="00CA3B68"/>
    <w:rsid w:val="00CA49B1"/>
    <w:rsid w:val="00CA5102"/>
    <w:rsid w:val="00CA53F1"/>
    <w:rsid w:val="00CA7419"/>
    <w:rsid w:val="00CA7B3F"/>
    <w:rsid w:val="00CA7B90"/>
    <w:rsid w:val="00CB0463"/>
    <w:rsid w:val="00CB063C"/>
    <w:rsid w:val="00CB08E6"/>
    <w:rsid w:val="00CB0C14"/>
    <w:rsid w:val="00CB0DCE"/>
    <w:rsid w:val="00CB1BA0"/>
    <w:rsid w:val="00CB2898"/>
    <w:rsid w:val="00CB2B01"/>
    <w:rsid w:val="00CB39E8"/>
    <w:rsid w:val="00CB3AC2"/>
    <w:rsid w:val="00CB3CC6"/>
    <w:rsid w:val="00CB452E"/>
    <w:rsid w:val="00CB4674"/>
    <w:rsid w:val="00CB4E34"/>
    <w:rsid w:val="00CB5FC2"/>
    <w:rsid w:val="00CB6013"/>
    <w:rsid w:val="00CB6087"/>
    <w:rsid w:val="00CB7766"/>
    <w:rsid w:val="00CB7FBD"/>
    <w:rsid w:val="00CC0C8A"/>
    <w:rsid w:val="00CC20AE"/>
    <w:rsid w:val="00CC26EB"/>
    <w:rsid w:val="00CC27D6"/>
    <w:rsid w:val="00CC2B15"/>
    <w:rsid w:val="00CC2D66"/>
    <w:rsid w:val="00CC3D97"/>
    <w:rsid w:val="00CC4FE8"/>
    <w:rsid w:val="00CC5086"/>
    <w:rsid w:val="00CC5304"/>
    <w:rsid w:val="00CC5D3F"/>
    <w:rsid w:val="00CC6B35"/>
    <w:rsid w:val="00CC6C45"/>
    <w:rsid w:val="00CC7110"/>
    <w:rsid w:val="00CC79FE"/>
    <w:rsid w:val="00CC7C76"/>
    <w:rsid w:val="00CC7C9F"/>
    <w:rsid w:val="00CC7FA1"/>
    <w:rsid w:val="00CD00ED"/>
    <w:rsid w:val="00CD03D8"/>
    <w:rsid w:val="00CD1A74"/>
    <w:rsid w:val="00CD1B7F"/>
    <w:rsid w:val="00CD225E"/>
    <w:rsid w:val="00CD2683"/>
    <w:rsid w:val="00CD2884"/>
    <w:rsid w:val="00CD3282"/>
    <w:rsid w:val="00CD3627"/>
    <w:rsid w:val="00CD4444"/>
    <w:rsid w:val="00CD4544"/>
    <w:rsid w:val="00CD458B"/>
    <w:rsid w:val="00CD510E"/>
    <w:rsid w:val="00CD5274"/>
    <w:rsid w:val="00CD560F"/>
    <w:rsid w:val="00CD6181"/>
    <w:rsid w:val="00CD6689"/>
    <w:rsid w:val="00CD6867"/>
    <w:rsid w:val="00CD6A62"/>
    <w:rsid w:val="00CD7D4A"/>
    <w:rsid w:val="00CE0685"/>
    <w:rsid w:val="00CE0A60"/>
    <w:rsid w:val="00CE2091"/>
    <w:rsid w:val="00CE24D9"/>
    <w:rsid w:val="00CE3AF3"/>
    <w:rsid w:val="00CE4088"/>
    <w:rsid w:val="00CE493C"/>
    <w:rsid w:val="00CE49D1"/>
    <w:rsid w:val="00CE4C3C"/>
    <w:rsid w:val="00CE5321"/>
    <w:rsid w:val="00CE53F4"/>
    <w:rsid w:val="00CE5699"/>
    <w:rsid w:val="00CE6959"/>
    <w:rsid w:val="00CE6EAD"/>
    <w:rsid w:val="00CE7077"/>
    <w:rsid w:val="00CE7503"/>
    <w:rsid w:val="00CE7759"/>
    <w:rsid w:val="00CE79F9"/>
    <w:rsid w:val="00CF09CD"/>
    <w:rsid w:val="00CF09F4"/>
    <w:rsid w:val="00CF1A3B"/>
    <w:rsid w:val="00CF2B26"/>
    <w:rsid w:val="00CF489E"/>
    <w:rsid w:val="00CF4DC1"/>
    <w:rsid w:val="00CF5929"/>
    <w:rsid w:val="00CF5964"/>
    <w:rsid w:val="00CF5F02"/>
    <w:rsid w:val="00CF6A0A"/>
    <w:rsid w:val="00CF6B2A"/>
    <w:rsid w:val="00CF75A1"/>
    <w:rsid w:val="00CF7DD3"/>
    <w:rsid w:val="00D007A3"/>
    <w:rsid w:val="00D007CC"/>
    <w:rsid w:val="00D008CF"/>
    <w:rsid w:val="00D009F4"/>
    <w:rsid w:val="00D01218"/>
    <w:rsid w:val="00D0194C"/>
    <w:rsid w:val="00D022A2"/>
    <w:rsid w:val="00D02703"/>
    <w:rsid w:val="00D035D9"/>
    <w:rsid w:val="00D03726"/>
    <w:rsid w:val="00D03C4A"/>
    <w:rsid w:val="00D03F52"/>
    <w:rsid w:val="00D041CE"/>
    <w:rsid w:val="00D04503"/>
    <w:rsid w:val="00D0498E"/>
    <w:rsid w:val="00D058A2"/>
    <w:rsid w:val="00D0621F"/>
    <w:rsid w:val="00D06553"/>
    <w:rsid w:val="00D06B3C"/>
    <w:rsid w:val="00D06C30"/>
    <w:rsid w:val="00D06C33"/>
    <w:rsid w:val="00D072F9"/>
    <w:rsid w:val="00D07893"/>
    <w:rsid w:val="00D0790F"/>
    <w:rsid w:val="00D07EED"/>
    <w:rsid w:val="00D103F7"/>
    <w:rsid w:val="00D105C6"/>
    <w:rsid w:val="00D10718"/>
    <w:rsid w:val="00D10DE7"/>
    <w:rsid w:val="00D11B8C"/>
    <w:rsid w:val="00D120E6"/>
    <w:rsid w:val="00D121CD"/>
    <w:rsid w:val="00D12E0F"/>
    <w:rsid w:val="00D12F66"/>
    <w:rsid w:val="00D13556"/>
    <w:rsid w:val="00D13DBB"/>
    <w:rsid w:val="00D14495"/>
    <w:rsid w:val="00D14E02"/>
    <w:rsid w:val="00D1506D"/>
    <w:rsid w:val="00D1573D"/>
    <w:rsid w:val="00D159B3"/>
    <w:rsid w:val="00D1667E"/>
    <w:rsid w:val="00D1671A"/>
    <w:rsid w:val="00D16F42"/>
    <w:rsid w:val="00D17483"/>
    <w:rsid w:val="00D178C1"/>
    <w:rsid w:val="00D18A37"/>
    <w:rsid w:val="00D20200"/>
    <w:rsid w:val="00D20AE2"/>
    <w:rsid w:val="00D21597"/>
    <w:rsid w:val="00D215B6"/>
    <w:rsid w:val="00D21B42"/>
    <w:rsid w:val="00D22996"/>
    <w:rsid w:val="00D22F14"/>
    <w:rsid w:val="00D23178"/>
    <w:rsid w:val="00D23239"/>
    <w:rsid w:val="00D23631"/>
    <w:rsid w:val="00D23928"/>
    <w:rsid w:val="00D247B2"/>
    <w:rsid w:val="00D24875"/>
    <w:rsid w:val="00D249E5"/>
    <w:rsid w:val="00D249F6"/>
    <w:rsid w:val="00D249F7"/>
    <w:rsid w:val="00D24A67"/>
    <w:rsid w:val="00D2524D"/>
    <w:rsid w:val="00D25509"/>
    <w:rsid w:val="00D25827"/>
    <w:rsid w:val="00D25D30"/>
    <w:rsid w:val="00D268F9"/>
    <w:rsid w:val="00D273CA"/>
    <w:rsid w:val="00D279F4"/>
    <w:rsid w:val="00D27FA1"/>
    <w:rsid w:val="00D29819"/>
    <w:rsid w:val="00D303B8"/>
    <w:rsid w:val="00D30682"/>
    <w:rsid w:val="00D306F9"/>
    <w:rsid w:val="00D30FF1"/>
    <w:rsid w:val="00D31E0D"/>
    <w:rsid w:val="00D32605"/>
    <w:rsid w:val="00D32C1B"/>
    <w:rsid w:val="00D3316B"/>
    <w:rsid w:val="00D33310"/>
    <w:rsid w:val="00D335F6"/>
    <w:rsid w:val="00D348CE"/>
    <w:rsid w:val="00D350A0"/>
    <w:rsid w:val="00D35466"/>
    <w:rsid w:val="00D36B48"/>
    <w:rsid w:val="00D3758B"/>
    <w:rsid w:val="00D37A35"/>
    <w:rsid w:val="00D37D90"/>
    <w:rsid w:val="00D40E3C"/>
    <w:rsid w:val="00D41A64"/>
    <w:rsid w:val="00D43CBD"/>
    <w:rsid w:val="00D442BC"/>
    <w:rsid w:val="00D44587"/>
    <w:rsid w:val="00D448DB"/>
    <w:rsid w:val="00D45577"/>
    <w:rsid w:val="00D45A74"/>
    <w:rsid w:val="00D46D3F"/>
    <w:rsid w:val="00D477C0"/>
    <w:rsid w:val="00D50078"/>
    <w:rsid w:val="00D50DA0"/>
    <w:rsid w:val="00D51288"/>
    <w:rsid w:val="00D519B8"/>
    <w:rsid w:val="00D51CB1"/>
    <w:rsid w:val="00D52764"/>
    <w:rsid w:val="00D52781"/>
    <w:rsid w:val="00D52A14"/>
    <w:rsid w:val="00D52C6C"/>
    <w:rsid w:val="00D52CB1"/>
    <w:rsid w:val="00D52F77"/>
    <w:rsid w:val="00D53420"/>
    <w:rsid w:val="00D53CD0"/>
    <w:rsid w:val="00D53D10"/>
    <w:rsid w:val="00D54687"/>
    <w:rsid w:val="00D54BBE"/>
    <w:rsid w:val="00D557F5"/>
    <w:rsid w:val="00D56245"/>
    <w:rsid w:val="00D5665C"/>
    <w:rsid w:val="00D56BFF"/>
    <w:rsid w:val="00D57052"/>
    <w:rsid w:val="00D5715F"/>
    <w:rsid w:val="00D57163"/>
    <w:rsid w:val="00D5755A"/>
    <w:rsid w:val="00D60498"/>
    <w:rsid w:val="00D6079E"/>
    <w:rsid w:val="00D60E1C"/>
    <w:rsid w:val="00D610A9"/>
    <w:rsid w:val="00D615E4"/>
    <w:rsid w:val="00D61697"/>
    <w:rsid w:val="00D61D83"/>
    <w:rsid w:val="00D622A1"/>
    <w:rsid w:val="00D62741"/>
    <w:rsid w:val="00D62AE2"/>
    <w:rsid w:val="00D6395B"/>
    <w:rsid w:val="00D640F4"/>
    <w:rsid w:val="00D647AB"/>
    <w:rsid w:val="00D6517F"/>
    <w:rsid w:val="00D65C5B"/>
    <w:rsid w:val="00D65E09"/>
    <w:rsid w:val="00D662C1"/>
    <w:rsid w:val="00D6670E"/>
    <w:rsid w:val="00D667A3"/>
    <w:rsid w:val="00D67C31"/>
    <w:rsid w:val="00D67F98"/>
    <w:rsid w:val="00D72204"/>
    <w:rsid w:val="00D72440"/>
    <w:rsid w:val="00D727D6"/>
    <w:rsid w:val="00D72B2B"/>
    <w:rsid w:val="00D72F34"/>
    <w:rsid w:val="00D73FFB"/>
    <w:rsid w:val="00D741B5"/>
    <w:rsid w:val="00D74A31"/>
    <w:rsid w:val="00D74F6C"/>
    <w:rsid w:val="00D754D6"/>
    <w:rsid w:val="00D76B63"/>
    <w:rsid w:val="00D76E0B"/>
    <w:rsid w:val="00D77632"/>
    <w:rsid w:val="00D77A38"/>
    <w:rsid w:val="00D80041"/>
    <w:rsid w:val="00D80949"/>
    <w:rsid w:val="00D80D5E"/>
    <w:rsid w:val="00D80EAC"/>
    <w:rsid w:val="00D80EAD"/>
    <w:rsid w:val="00D81B47"/>
    <w:rsid w:val="00D81F29"/>
    <w:rsid w:val="00D82390"/>
    <w:rsid w:val="00D8262C"/>
    <w:rsid w:val="00D82A6A"/>
    <w:rsid w:val="00D8334C"/>
    <w:rsid w:val="00D8401D"/>
    <w:rsid w:val="00D84D51"/>
    <w:rsid w:val="00D85920"/>
    <w:rsid w:val="00D85F64"/>
    <w:rsid w:val="00D86447"/>
    <w:rsid w:val="00D86503"/>
    <w:rsid w:val="00D86EB2"/>
    <w:rsid w:val="00D8700C"/>
    <w:rsid w:val="00D87AFA"/>
    <w:rsid w:val="00D87B7A"/>
    <w:rsid w:val="00D87F6E"/>
    <w:rsid w:val="00D904EE"/>
    <w:rsid w:val="00D91838"/>
    <w:rsid w:val="00D91A93"/>
    <w:rsid w:val="00D91C6B"/>
    <w:rsid w:val="00D929D5"/>
    <w:rsid w:val="00D93577"/>
    <w:rsid w:val="00D93588"/>
    <w:rsid w:val="00D939FB"/>
    <w:rsid w:val="00D93D09"/>
    <w:rsid w:val="00D93F19"/>
    <w:rsid w:val="00D9508A"/>
    <w:rsid w:val="00D95648"/>
    <w:rsid w:val="00D9584D"/>
    <w:rsid w:val="00D9585A"/>
    <w:rsid w:val="00D95A8C"/>
    <w:rsid w:val="00D95D6D"/>
    <w:rsid w:val="00D95E68"/>
    <w:rsid w:val="00D96BB4"/>
    <w:rsid w:val="00D9735A"/>
    <w:rsid w:val="00D974DD"/>
    <w:rsid w:val="00D97815"/>
    <w:rsid w:val="00D9787C"/>
    <w:rsid w:val="00D97930"/>
    <w:rsid w:val="00DA0232"/>
    <w:rsid w:val="00DA09C7"/>
    <w:rsid w:val="00DA0B1E"/>
    <w:rsid w:val="00DA0CD0"/>
    <w:rsid w:val="00DA1751"/>
    <w:rsid w:val="00DA1AE1"/>
    <w:rsid w:val="00DA2172"/>
    <w:rsid w:val="00DA4FD9"/>
    <w:rsid w:val="00DA5648"/>
    <w:rsid w:val="00DA5817"/>
    <w:rsid w:val="00DA6BA6"/>
    <w:rsid w:val="00DA6BDF"/>
    <w:rsid w:val="00DA7306"/>
    <w:rsid w:val="00DA76E1"/>
    <w:rsid w:val="00DA7C70"/>
    <w:rsid w:val="00DA7F00"/>
    <w:rsid w:val="00DB14FF"/>
    <w:rsid w:val="00DB19A0"/>
    <w:rsid w:val="00DB24AA"/>
    <w:rsid w:val="00DB29AD"/>
    <w:rsid w:val="00DB2CDF"/>
    <w:rsid w:val="00DB2DF6"/>
    <w:rsid w:val="00DB3005"/>
    <w:rsid w:val="00DB354B"/>
    <w:rsid w:val="00DB45F4"/>
    <w:rsid w:val="00DB46CD"/>
    <w:rsid w:val="00DB593D"/>
    <w:rsid w:val="00DB6434"/>
    <w:rsid w:val="00DB66E8"/>
    <w:rsid w:val="00DB6C22"/>
    <w:rsid w:val="00DB6EEF"/>
    <w:rsid w:val="00DB721D"/>
    <w:rsid w:val="00DB7CE8"/>
    <w:rsid w:val="00DC0DCA"/>
    <w:rsid w:val="00DC1218"/>
    <w:rsid w:val="00DC16E6"/>
    <w:rsid w:val="00DC181F"/>
    <w:rsid w:val="00DC1AE6"/>
    <w:rsid w:val="00DC28FE"/>
    <w:rsid w:val="00DC38EA"/>
    <w:rsid w:val="00DC406F"/>
    <w:rsid w:val="00DC598E"/>
    <w:rsid w:val="00DC5D59"/>
    <w:rsid w:val="00DC61A2"/>
    <w:rsid w:val="00DC62E1"/>
    <w:rsid w:val="00DC7687"/>
    <w:rsid w:val="00DC7CBE"/>
    <w:rsid w:val="00DC7ED1"/>
    <w:rsid w:val="00DD05C2"/>
    <w:rsid w:val="00DD089A"/>
    <w:rsid w:val="00DD0C38"/>
    <w:rsid w:val="00DD0C6C"/>
    <w:rsid w:val="00DD1374"/>
    <w:rsid w:val="00DD2019"/>
    <w:rsid w:val="00DD3C92"/>
    <w:rsid w:val="00DD412D"/>
    <w:rsid w:val="00DD4DF3"/>
    <w:rsid w:val="00DD5A36"/>
    <w:rsid w:val="00DD5A61"/>
    <w:rsid w:val="00DD5B30"/>
    <w:rsid w:val="00DD6239"/>
    <w:rsid w:val="00DD6B58"/>
    <w:rsid w:val="00DD6CF8"/>
    <w:rsid w:val="00DD6DE1"/>
    <w:rsid w:val="00DD76ED"/>
    <w:rsid w:val="00DD76FA"/>
    <w:rsid w:val="00DD7ECE"/>
    <w:rsid w:val="00DE023F"/>
    <w:rsid w:val="00DE0878"/>
    <w:rsid w:val="00DE0CFA"/>
    <w:rsid w:val="00DE12DF"/>
    <w:rsid w:val="00DE1F1F"/>
    <w:rsid w:val="00DE2135"/>
    <w:rsid w:val="00DE3C6A"/>
    <w:rsid w:val="00DE3E72"/>
    <w:rsid w:val="00DE3FC8"/>
    <w:rsid w:val="00DE4B43"/>
    <w:rsid w:val="00DE56F4"/>
    <w:rsid w:val="00DE5E14"/>
    <w:rsid w:val="00DE60E8"/>
    <w:rsid w:val="00DE6250"/>
    <w:rsid w:val="00DE632A"/>
    <w:rsid w:val="00DE6335"/>
    <w:rsid w:val="00DE6857"/>
    <w:rsid w:val="00DE6A84"/>
    <w:rsid w:val="00DE7B72"/>
    <w:rsid w:val="00DE7D25"/>
    <w:rsid w:val="00DF027B"/>
    <w:rsid w:val="00DF0958"/>
    <w:rsid w:val="00DF09BB"/>
    <w:rsid w:val="00DF0C3B"/>
    <w:rsid w:val="00DF0E7B"/>
    <w:rsid w:val="00DF15F8"/>
    <w:rsid w:val="00DF1C48"/>
    <w:rsid w:val="00DF2EAA"/>
    <w:rsid w:val="00DF38AD"/>
    <w:rsid w:val="00DF39EA"/>
    <w:rsid w:val="00DF4086"/>
    <w:rsid w:val="00DF4278"/>
    <w:rsid w:val="00DF4EC5"/>
    <w:rsid w:val="00DF58C1"/>
    <w:rsid w:val="00DF661F"/>
    <w:rsid w:val="00DF68B0"/>
    <w:rsid w:val="00DF68F4"/>
    <w:rsid w:val="00DF6FCA"/>
    <w:rsid w:val="00DF78AF"/>
    <w:rsid w:val="00DF7B42"/>
    <w:rsid w:val="00DF7C2F"/>
    <w:rsid w:val="00DF7D4C"/>
    <w:rsid w:val="00E0026F"/>
    <w:rsid w:val="00E002FD"/>
    <w:rsid w:val="00E00775"/>
    <w:rsid w:val="00E01081"/>
    <w:rsid w:val="00E01292"/>
    <w:rsid w:val="00E02995"/>
    <w:rsid w:val="00E029A8"/>
    <w:rsid w:val="00E031F5"/>
    <w:rsid w:val="00E03307"/>
    <w:rsid w:val="00E0391F"/>
    <w:rsid w:val="00E03C49"/>
    <w:rsid w:val="00E03FB4"/>
    <w:rsid w:val="00E05946"/>
    <w:rsid w:val="00E05B6D"/>
    <w:rsid w:val="00E06118"/>
    <w:rsid w:val="00E0631E"/>
    <w:rsid w:val="00E065D3"/>
    <w:rsid w:val="00E0712C"/>
    <w:rsid w:val="00E07686"/>
    <w:rsid w:val="00E076DD"/>
    <w:rsid w:val="00E079CE"/>
    <w:rsid w:val="00E07D5A"/>
    <w:rsid w:val="00E102AC"/>
    <w:rsid w:val="00E10780"/>
    <w:rsid w:val="00E10818"/>
    <w:rsid w:val="00E10AD6"/>
    <w:rsid w:val="00E10D55"/>
    <w:rsid w:val="00E11671"/>
    <w:rsid w:val="00E11AF0"/>
    <w:rsid w:val="00E121D7"/>
    <w:rsid w:val="00E12B92"/>
    <w:rsid w:val="00E12D57"/>
    <w:rsid w:val="00E13694"/>
    <w:rsid w:val="00E146CC"/>
    <w:rsid w:val="00E14E22"/>
    <w:rsid w:val="00E1568B"/>
    <w:rsid w:val="00E162D3"/>
    <w:rsid w:val="00E17303"/>
    <w:rsid w:val="00E17AE5"/>
    <w:rsid w:val="00E17BEC"/>
    <w:rsid w:val="00E17D1D"/>
    <w:rsid w:val="00E20B8D"/>
    <w:rsid w:val="00E20C19"/>
    <w:rsid w:val="00E21028"/>
    <w:rsid w:val="00E21051"/>
    <w:rsid w:val="00E2261B"/>
    <w:rsid w:val="00E22BE5"/>
    <w:rsid w:val="00E22E2B"/>
    <w:rsid w:val="00E24520"/>
    <w:rsid w:val="00E24E25"/>
    <w:rsid w:val="00E2519D"/>
    <w:rsid w:val="00E251D7"/>
    <w:rsid w:val="00E25274"/>
    <w:rsid w:val="00E25EB4"/>
    <w:rsid w:val="00E2602F"/>
    <w:rsid w:val="00E2614E"/>
    <w:rsid w:val="00E2620A"/>
    <w:rsid w:val="00E26238"/>
    <w:rsid w:val="00E26313"/>
    <w:rsid w:val="00E27430"/>
    <w:rsid w:val="00E27B78"/>
    <w:rsid w:val="00E27DC9"/>
    <w:rsid w:val="00E27E32"/>
    <w:rsid w:val="00E308EC"/>
    <w:rsid w:val="00E30F31"/>
    <w:rsid w:val="00E3156B"/>
    <w:rsid w:val="00E32323"/>
    <w:rsid w:val="00E332F4"/>
    <w:rsid w:val="00E333E1"/>
    <w:rsid w:val="00E3521B"/>
    <w:rsid w:val="00E35B39"/>
    <w:rsid w:val="00E35F2C"/>
    <w:rsid w:val="00E365F5"/>
    <w:rsid w:val="00E369F9"/>
    <w:rsid w:val="00E36CCA"/>
    <w:rsid w:val="00E37378"/>
    <w:rsid w:val="00E37B36"/>
    <w:rsid w:val="00E37B80"/>
    <w:rsid w:val="00E37F5F"/>
    <w:rsid w:val="00E40F96"/>
    <w:rsid w:val="00E4108B"/>
    <w:rsid w:val="00E418A7"/>
    <w:rsid w:val="00E41965"/>
    <w:rsid w:val="00E4198F"/>
    <w:rsid w:val="00E422F7"/>
    <w:rsid w:val="00E42B60"/>
    <w:rsid w:val="00E42FF4"/>
    <w:rsid w:val="00E43D49"/>
    <w:rsid w:val="00E43DDD"/>
    <w:rsid w:val="00E441D1"/>
    <w:rsid w:val="00E445C5"/>
    <w:rsid w:val="00E448A8"/>
    <w:rsid w:val="00E44AF6"/>
    <w:rsid w:val="00E44C9E"/>
    <w:rsid w:val="00E450D4"/>
    <w:rsid w:val="00E463BB"/>
    <w:rsid w:val="00E46AB1"/>
    <w:rsid w:val="00E47627"/>
    <w:rsid w:val="00E47914"/>
    <w:rsid w:val="00E47C99"/>
    <w:rsid w:val="00E47E22"/>
    <w:rsid w:val="00E5084B"/>
    <w:rsid w:val="00E50B1E"/>
    <w:rsid w:val="00E50C31"/>
    <w:rsid w:val="00E51E96"/>
    <w:rsid w:val="00E54EF5"/>
    <w:rsid w:val="00E5617C"/>
    <w:rsid w:val="00E56775"/>
    <w:rsid w:val="00E56805"/>
    <w:rsid w:val="00E56F04"/>
    <w:rsid w:val="00E5738F"/>
    <w:rsid w:val="00E57CAC"/>
    <w:rsid w:val="00E60437"/>
    <w:rsid w:val="00E609DE"/>
    <w:rsid w:val="00E6212C"/>
    <w:rsid w:val="00E62A26"/>
    <w:rsid w:val="00E6329E"/>
    <w:rsid w:val="00E634C1"/>
    <w:rsid w:val="00E6403F"/>
    <w:rsid w:val="00E64148"/>
    <w:rsid w:val="00E64184"/>
    <w:rsid w:val="00E645F1"/>
    <w:rsid w:val="00E6484C"/>
    <w:rsid w:val="00E6549B"/>
    <w:rsid w:val="00E657AD"/>
    <w:rsid w:val="00E65F51"/>
    <w:rsid w:val="00E65F55"/>
    <w:rsid w:val="00E660D9"/>
    <w:rsid w:val="00E66C6F"/>
    <w:rsid w:val="00E66D59"/>
    <w:rsid w:val="00E66ED6"/>
    <w:rsid w:val="00E67A23"/>
    <w:rsid w:val="00E715A7"/>
    <w:rsid w:val="00E718A2"/>
    <w:rsid w:val="00E720AA"/>
    <w:rsid w:val="00E727BC"/>
    <w:rsid w:val="00E738B2"/>
    <w:rsid w:val="00E75071"/>
    <w:rsid w:val="00E754EC"/>
    <w:rsid w:val="00E7554A"/>
    <w:rsid w:val="00E75B91"/>
    <w:rsid w:val="00E75CF8"/>
    <w:rsid w:val="00E75ED5"/>
    <w:rsid w:val="00E76900"/>
    <w:rsid w:val="00E7695B"/>
    <w:rsid w:val="00E76B2C"/>
    <w:rsid w:val="00E76D1A"/>
    <w:rsid w:val="00E77403"/>
    <w:rsid w:val="00E774A0"/>
    <w:rsid w:val="00E80838"/>
    <w:rsid w:val="00E811FC"/>
    <w:rsid w:val="00E81370"/>
    <w:rsid w:val="00E81DAA"/>
    <w:rsid w:val="00E82EAA"/>
    <w:rsid w:val="00E84464"/>
    <w:rsid w:val="00E84BD7"/>
    <w:rsid w:val="00E84FAC"/>
    <w:rsid w:val="00E8560A"/>
    <w:rsid w:val="00E85CC2"/>
    <w:rsid w:val="00E86634"/>
    <w:rsid w:val="00E86635"/>
    <w:rsid w:val="00E86885"/>
    <w:rsid w:val="00E869B3"/>
    <w:rsid w:val="00E86BAF"/>
    <w:rsid w:val="00E86CE1"/>
    <w:rsid w:val="00E872F0"/>
    <w:rsid w:val="00E8796E"/>
    <w:rsid w:val="00E87CC8"/>
    <w:rsid w:val="00E87D18"/>
    <w:rsid w:val="00E90B81"/>
    <w:rsid w:val="00E920AC"/>
    <w:rsid w:val="00E92CC5"/>
    <w:rsid w:val="00E93F50"/>
    <w:rsid w:val="00E94462"/>
    <w:rsid w:val="00E951A3"/>
    <w:rsid w:val="00E953AB"/>
    <w:rsid w:val="00E95ED8"/>
    <w:rsid w:val="00E9739B"/>
    <w:rsid w:val="00E97EDF"/>
    <w:rsid w:val="00EA01C1"/>
    <w:rsid w:val="00EA0224"/>
    <w:rsid w:val="00EA0B17"/>
    <w:rsid w:val="00EA1541"/>
    <w:rsid w:val="00EA18C7"/>
    <w:rsid w:val="00EA1D22"/>
    <w:rsid w:val="00EA2BBA"/>
    <w:rsid w:val="00EA2CC3"/>
    <w:rsid w:val="00EA3812"/>
    <w:rsid w:val="00EA4CEB"/>
    <w:rsid w:val="00EA545F"/>
    <w:rsid w:val="00EA5AA2"/>
    <w:rsid w:val="00EA60F5"/>
    <w:rsid w:val="00EA6C3D"/>
    <w:rsid w:val="00EA6D00"/>
    <w:rsid w:val="00EA7C4B"/>
    <w:rsid w:val="00EA7F7D"/>
    <w:rsid w:val="00EB02AF"/>
    <w:rsid w:val="00EB051B"/>
    <w:rsid w:val="00EB052E"/>
    <w:rsid w:val="00EB0DE7"/>
    <w:rsid w:val="00EB0E9A"/>
    <w:rsid w:val="00EB104B"/>
    <w:rsid w:val="00EB19FA"/>
    <w:rsid w:val="00EB1A59"/>
    <w:rsid w:val="00EB1D4E"/>
    <w:rsid w:val="00EB1DBE"/>
    <w:rsid w:val="00EB216C"/>
    <w:rsid w:val="00EB22A9"/>
    <w:rsid w:val="00EB2EC1"/>
    <w:rsid w:val="00EB3427"/>
    <w:rsid w:val="00EB34CB"/>
    <w:rsid w:val="00EB3E84"/>
    <w:rsid w:val="00EB4ACC"/>
    <w:rsid w:val="00EB4E0A"/>
    <w:rsid w:val="00EB5579"/>
    <w:rsid w:val="00EB6EE0"/>
    <w:rsid w:val="00EC03DE"/>
    <w:rsid w:val="00EC0440"/>
    <w:rsid w:val="00EC07A7"/>
    <w:rsid w:val="00EC1264"/>
    <w:rsid w:val="00EC241D"/>
    <w:rsid w:val="00EC2A91"/>
    <w:rsid w:val="00EC2AAA"/>
    <w:rsid w:val="00EC2BA3"/>
    <w:rsid w:val="00EC2C5A"/>
    <w:rsid w:val="00EC2EA9"/>
    <w:rsid w:val="00EC390E"/>
    <w:rsid w:val="00EC3D89"/>
    <w:rsid w:val="00EC3DDF"/>
    <w:rsid w:val="00EC3F3E"/>
    <w:rsid w:val="00EC5198"/>
    <w:rsid w:val="00EC5ADE"/>
    <w:rsid w:val="00EC6125"/>
    <w:rsid w:val="00EC6257"/>
    <w:rsid w:val="00EC675A"/>
    <w:rsid w:val="00EC6E13"/>
    <w:rsid w:val="00EC754C"/>
    <w:rsid w:val="00EC7718"/>
    <w:rsid w:val="00EC78AF"/>
    <w:rsid w:val="00ED0541"/>
    <w:rsid w:val="00ED06DD"/>
    <w:rsid w:val="00ED1233"/>
    <w:rsid w:val="00ED1E7C"/>
    <w:rsid w:val="00ED2677"/>
    <w:rsid w:val="00ED2E5D"/>
    <w:rsid w:val="00ED37F6"/>
    <w:rsid w:val="00ED3A99"/>
    <w:rsid w:val="00ED44C5"/>
    <w:rsid w:val="00ED4545"/>
    <w:rsid w:val="00ED4D51"/>
    <w:rsid w:val="00ED5766"/>
    <w:rsid w:val="00ED612F"/>
    <w:rsid w:val="00ED6332"/>
    <w:rsid w:val="00ED6455"/>
    <w:rsid w:val="00ED658B"/>
    <w:rsid w:val="00ED6E1C"/>
    <w:rsid w:val="00ED72D8"/>
    <w:rsid w:val="00EE06B5"/>
    <w:rsid w:val="00EE0CC5"/>
    <w:rsid w:val="00EE101E"/>
    <w:rsid w:val="00EE14CC"/>
    <w:rsid w:val="00EE1DDE"/>
    <w:rsid w:val="00EE1FC9"/>
    <w:rsid w:val="00EE20A0"/>
    <w:rsid w:val="00EE29C2"/>
    <w:rsid w:val="00EE37BF"/>
    <w:rsid w:val="00EE42EF"/>
    <w:rsid w:val="00EE4393"/>
    <w:rsid w:val="00EE441A"/>
    <w:rsid w:val="00EE4BF2"/>
    <w:rsid w:val="00EE54AB"/>
    <w:rsid w:val="00EE5FC3"/>
    <w:rsid w:val="00EE6200"/>
    <w:rsid w:val="00EE759D"/>
    <w:rsid w:val="00EE75AA"/>
    <w:rsid w:val="00EF1571"/>
    <w:rsid w:val="00EF1E3D"/>
    <w:rsid w:val="00EF20D6"/>
    <w:rsid w:val="00EF2134"/>
    <w:rsid w:val="00EF229B"/>
    <w:rsid w:val="00EF23B9"/>
    <w:rsid w:val="00EF3A68"/>
    <w:rsid w:val="00EF3B30"/>
    <w:rsid w:val="00EF3C23"/>
    <w:rsid w:val="00EF3CF3"/>
    <w:rsid w:val="00EF3EA4"/>
    <w:rsid w:val="00EF4593"/>
    <w:rsid w:val="00EF459B"/>
    <w:rsid w:val="00EF4A0A"/>
    <w:rsid w:val="00EF4BBD"/>
    <w:rsid w:val="00EF4F29"/>
    <w:rsid w:val="00EF566F"/>
    <w:rsid w:val="00EF579B"/>
    <w:rsid w:val="00EF57DD"/>
    <w:rsid w:val="00EF5D08"/>
    <w:rsid w:val="00EF5ED3"/>
    <w:rsid w:val="00EF61A0"/>
    <w:rsid w:val="00EF68FF"/>
    <w:rsid w:val="00EF7EF7"/>
    <w:rsid w:val="00F00128"/>
    <w:rsid w:val="00F00C52"/>
    <w:rsid w:val="00F01FCF"/>
    <w:rsid w:val="00F029CE"/>
    <w:rsid w:val="00F02D7B"/>
    <w:rsid w:val="00F03137"/>
    <w:rsid w:val="00F0323F"/>
    <w:rsid w:val="00F033B2"/>
    <w:rsid w:val="00F03408"/>
    <w:rsid w:val="00F037CB"/>
    <w:rsid w:val="00F03D4A"/>
    <w:rsid w:val="00F03EDC"/>
    <w:rsid w:val="00F0416B"/>
    <w:rsid w:val="00F04961"/>
    <w:rsid w:val="00F058D9"/>
    <w:rsid w:val="00F060D1"/>
    <w:rsid w:val="00F0634F"/>
    <w:rsid w:val="00F06C7B"/>
    <w:rsid w:val="00F06D42"/>
    <w:rsid w:val="00F07072"/>
    <w:rsid w:val="00F07258"/>
    <w:rsid w:val="00F076B2"/>
    <w:rsid w:val="00F078B8"/>
    <w:rsid w:val="00F07D7B"/>
    <w:rsid w:val="00F07E6D"/>
    <w:rsid w:val="00F10669"/>
    <w:rsid w:val="00F11224"/>
    <w:rsid w:val="00F11656"/>
    <w:rsid w:val="00F11DA9"/>
    <w:rsid w:val="00F120AB"/>
    <w:rsid w:val="00F120B8"/>
    <w:rsid w:val="00F12480"/>
    <w:rsid w:val="00F1359D"/>
    <w:rsid w:val="00F13870"/>
    <w:rsid w:val="00F13AF5"/>
    <w:rsid w:val="00F13EF7"/>
    <w:rsid w:val="00F140B9"/>
    <w:rsid w:val="00F147C0"/>
    <w:rsid w:val="00F14C3B"/>
    <w:rsid w:val="00F14F75"/>
    <w:rsid w:val="00F155BC"/>
    <w:rsid w:val="00F159B0"/>
    <w:rsid w:val="00F16038"/>
    <w:rsid w:val="00F16CF9"/>
    <w:rsid w:val="00F16D15"/>
    <w:rsid w:val="00F211C9"/>
    <w:rsid w:val="00F2124E"/>
    <w:rsid w:val="00F21715"/>
    <w:rsid w:val="00F22554"/>
    <w:rsid w:val="00F23423"/>
    <w:rsid w:val="00F2349A"/>
    <w:rsid w:val="00F23EA5"/>
    <w:rsid w:val="00F2427E"/>
    <w:rsid w:val="00F24CC4"/>
    <w:rsid w:val="00F25627"/>
    <w:rsid w:val="00F25921"/>
    <w:rsid w:val="00F25BDA"/>
    <w:rsid w:val="00F26315"/>
    <w:rsid w:val="00F266E8"/>
    <w:rsid w:val="00F27548"/>
    <w:rsid w:val="00F27D34"/>
    <w:rsid w:val="00F27F60"/>
    <w:rsid w:val="00F27FBB"/>
    <w:rsid w:val="00F30ED9"/>
    <w:rsid w:val="00F313A6"/>
    <w:rsid w:val="00F317C5"/>
    <w:rsid w:val="00F31FF5"/>
    <w:rsid w:val="00F32232"/>
    <w:rsid w:val="00F3252B"/>
    <w:rsid w:val="00F32DA4"/>
    <w:rsid w:val="00F331FA"/>
    <w:rsid w:val="00F33898"/>
    <w:rsid w:val="00F33A0B"/>
    <w:rsid w:val="00F33A0E"/>
    <w:rsid w:val="00F33AAA"/>
    <w:rsid w:val="00F33F79"/>
    <w:rsid w:val="00F35B94"/>
    <w:rsid w:val="00F3634F"/>
    <w:rsid w:val="00F3695A"/>
    <w:rsid w:val="00F36B1B"/>
    <w:rsid w:val="00F37491"/>
    <w:rsid w:val="00F37856"/>
    <w:rsid w:val="00F37EB5"/>
    <w:rsid w:val="00F407CF"/>
    <w:rsid w:val="00F40DA3"/>
    <w:rsid w:val="00F410CF"/>
    <w:rsid w:val="00F4168D"/>
    <w:rsid w:val="00F417DC"/>
    <w:rsid w:val="00F41984"/>
    <w:rsid w:val="00F428A6"/>
    <w:rsid w:val="00F43257"/>
    <w:rsid w:val="00F43D10"/>
    <w:rsid w:val="00F4464F"/>
    <w:rsid w:val="00F44B8B"/>
    <w:rsid w:val="00F454CD"/>
    <w:rsid w:val="00F45799"/>
    <w:rsid w:val="00F45C61"/>
    <w:rsid w:val="00F466FA"/>
    <w:rsid w:val="00F46847"/>
    <w:rsid w:val="00F46B46"/>
    <w:rsid w:val="00F46FE4"/>
    <w:rsid w:val="00F47BB3"/>
    <w:rsid w:val="00F50050"/>
    <w:rsid w:val="00F50BF2"/>
    <w:rsid w:val="00F50DBD"/>
    <w:rsid w:val="00F510EB"/>
    <w:rsid w:val="00F512DD"/>
    <w:rsid w:val="00F515F4"/>
    <w:rsid w:val="00F5179D"/>
    <w:rsid w:val="00F52335"/>
    <w:rsid w:val="00F52434"/>
    <w:rsid w:val="00F525B5"/>
    <w:rsid w:val="00F527FC"/>
    <w:rsid w:val="00F53B0E"/>
    <w:rsid w:val="00F53E6A"/>
    <w:rsid w:val="00F54111"/>
    <w:rsid w:val="00F5597C"/>
    <w:rsid w:val="00F56BC9"/>
    <w:rsid w:val="00F56CE1"/>
    <w:rsid w:val="00F56D1F"/>
    <w:rsid w:val="00F56F1E"/>
    <w:rsid w:val="00F601D7"/>
    <w:rsid w:val="00F60251"/>
    <w:rsid w:val="00F60E53"/>
    <w:rsid w:val="00F60FF9"/>
    <w:rsid w:val="00F61F35"/>
    <w:rsid w:val="00F62001"/>
    <w:rsid w:val="00F62EED"/>
    <w:rsid w:val="00F6310B"/>
    <w:rsid w:val="00F639B7"/>
    <w:rsid w:val="00F63D31"/>
    <w:rsid w:val="00F63E14"/>
    <w:rsid w:val="00F64119"/>
    <w:rsid w:val="00F66093"/>
    <w:rsid w:val="00F6682A"/>
    <w:rsid w:val="00F66F98"/>
    <w:rsid w:val="00F67278"/>
    <w:rsid w:val="00F67806"/>
    <w:rsid w:val="00F679D8"/>
    <w:rsid w:val="00F70513"/>
    <w:rsid w:val="00F706A1"/>
    <w:rsid w:val="00F706A9"/>
    <w:rsid w:val="00F7077E"/>
    <w:rsid w:val="00F70FE6"/>
    <w:rsid w:val="00F72811"/>
    <w:rsid w:val="00F7283D"/>
    <w:rsid w:val="00F7315F"/>
    <w:rsid w:val="00F732E4"/>
    <w:rsid w:val="00F733FD"/>
    <w:rsid w:val="00F75A87"/>
    <w:rsid w:val="00F75C82"/>
    <w:rsid w:val="00F75CDA"/>
    <w:rsid w:val="00F75EDF"/>
    <w:rsid w:val="00F76011"/>
    <w:rsid w:val="00F767E8"/>
    <w:rsid w:val="00F76F03"/>
    <w:rsid w:val="00F76F04"/>
    <w:rsid w:val="00F77172"/>
    <w:rsid w:val="00F7746C"/>
    <w:rsid w:val="00F77685"/>
    <w:rsid w:val="00F80704"/>
    <w:rsid w:val="00F813AA"/>
    <w:rsid w:val="00F81433"/>
    <w:rsid w:val="00F81753"/>
    <w:rsid w:val="00F826BD"/>
    <w:rsid w:val="00F826F8"/>
    <w:rsid w:val="00F82819"/>
    <w:rsid w:val="00F830B1"/>
    <w:rsid w:val="00F833D6"/>
    <w:rsid w:val="00F839EE"/>
    <w:rsid w:val="00F8447F"/>
    <w:rsid w:val="00F849CD"/>
    <w:rsid w:val="00F850B9"/>
    <w:rsid w:val="00F863D3"/>
    <w:rsid w:val="00F87181"/>
    <w:rsid w:val="00F905D1"/>
    <w:rsid w:val="00F913D0"/>
    <w:rsid w:val="00F9163E"/>
    <w:rsid w:val="00F919AE"/>
    <w:rsid w:val="00F91ADD"/>
    <w:rsid w:val="00F922F7"/>
    <w:rsid w:val="00F93400"/>
    <w:rsid w:val="00F938B2"/>
    <w:rsid w:val="00F93AD9"/>
    <w:rsid w:val="00F93D56"/>
    <w:rsid w:val="00F94428"/>
    <w:rsid w:val="00F95389"/>
    <w:rsid w:val="00F95762"/>
    <w:rsid w:val="00F95EC8"/>
    <w:rsid w:val="00F95F85"/>
    <w:rsid w:val="00F96140"/>
    <w:rsid w:val="00F96553"/>
    <w:rsid w:val="00F966F1"/>
    <w:rsid w:val="00F96711"/>
    <w:rsid w:val="00F96A00"/>
    <w:rsid w:val="00F97DE6"/>
    <w:rsid w:val="00FA0AFE"/>
    <w:rsid w:val="00FA0BB5"/>
    <w:rsid w:val="00FA14D9"/>
    <w:rsid w:val="00FA1876"/>
    <w:rsid w:val="00FA2287"/>
    <w:rsid w:val="00FA2345"/>
    <w:rsid w:val="00FA23CE"/>
    <w:rsid w:val="00FA3072"/>
    <w:rsid w:val="00FA3293"/>
    <w:rsid w:val="00FA391F"/>
    <w:rsid w:val="00FA3AAE"/>
    <w:rsid w:val="00FA3D10"/>
    <w:rsid w:val="00FA6275"/>
    <w:rsid w:val="00FA6435"/>
    <w:rsid w:val="00FA7149"/>
    <w:rsid w:val="00FA71E2"/>
    <w:rsid w:val="00FA7391"/>
    <w:rsid w:val="00FA758D"/>
    <w:rsid w:val="00FA7806"/>
    <w:rsid w:val="00FB06B0"/>
    <w:rsid w:val="00FB0765"/>
    <w:rsid w:val="00FB0A6F"/>
    <w:rsid w:val="00FB1312"/>
    <w:rsid w:val="00FB17C2"/>
    <w:rsid w:val="00FB1936"/>
    <w:rsid w:val="00FB1F40"/>
    <w:rsid w:val="00FB242A"/>
    <w:rsid w:val="00FB2485"/>
    <w:rsid w:val="00FB2B85"/>
    <w:rsid w:val="00FB2DA4"/>
    <w:rsid w:val="00FB2FEF"/>
    <w:rsid w:val="00FB3EC8"/>
    <w:rsid w:val="00FB4714"/>
    <w:rsid w:val="00FB56A0"/>
    <w:rsid w:val="00FB5B64"/>
    <w:rsid w:val="00FB5EA6"/>
    <w:rsid w:val="00FB7569"/>
    <w:rsid w:val="00FB7BCD"/>
    <w:rsid w:val="00FC00C9"/>
    <w:rsid w:val="00FC0C97"/>
    <w:rsid w:val="00FC14C9"/>
    <w:rsid w:val="00FC1A0F"/>
    <w:rsid w:val="00FC1A87"/>
    <w:rsid w:val="00FC1F99"/>
    <w:rsid w:val="00FC2C3A"/>
    <w:rsid w:val="00FC3084"/>
    <w:rsid w:val="00FC31C9"/>
    <w:rsid w:val="00FC34D1"/>
    <w:rsid w:val="00FC4195"/>
    <w:rsid w:val="00FC41A2"/>
    <w:rsid w:val="00FC46DA"/>
    <w:rsid w:val="00FC4A85"/>
    <w:rsid w:val="00FC5504"/>
    <w:rsid w:val="00FC5CE3"/>
    <w:rsid w:val="00FC5E2A"/>
    <w:rsid w:val="00FC5FF2"/>
    <w:rsid w:val="00FC61E5"/>
    <w:rsid w:val="00FC66E2"/>
    <w:rsid w:val="00FC6C25"/>
    <w:rsid w:val="00FC6D38"/>
    <w:rsid w:val="00FC6F60"/>
    <w:rsid w:val="00FC7321"/>
    <w:rsid w:val="00FC7523"/>
    <w:rsid w:val="00FC76D9"/>
    <w:rsid w:val="00FD05E0"/>
    <w:rsid w:val="00FD0AAF"/>
    <w:rsid w:val="00FD0F03"/>
    <w:rsid w:val="00FD1B9F"/>
    <w:rsid w:val="00FD208F"/>
    <w:rsid w:val="00FD29B6"/>
    <w:rsid w:val="00FD2A0B"/>
    <w:rsid w:val="00FD2B0D"/>
    <w:rsid w:val="00FD2CE7"/>
    <w:rsid w:val="00FD2FC3"/>
    <w:rsid w:val="00FD35FD"/>
    <w:rsid w:val="00FD3BCB"/>
    <w:rsid w:val="00FD3C5A"/>
    <w:rsid w:val="00FD3CB8"/>
    <w:rsid w:val="00FD45B4"/>
    <w:rsid w:val="00FD4810"/>
    <w:rsid w:val="00FD5688"/>
    <w:rsid w:val="00FD5995"/>
    <w:rsid w:val="00FD5C5B"/>
    <w:rsid w:val="00FD5F06"/>
    <w:rsid w:val="00FD5FF5"/>
    <w:rsid w:val="00FD6419"/>
    <w:rsid w:val="00FD6F54"/>
    <w:rsid w:val="00FD6FF8"/>
    <w:rsid w:val="00FD7FC9"/>
    <w:rsid w:val="00FE02AA"/>
    <w:rsid w:val="00FE13C8"/>
    <w:rsid w:val="00FE2353"/>
    <w:rsid w:val="00FE2777"/>
    <w:rsid w:val="00FE30CF"/>
    <w:rsid w:val="00FE366B"/>
    <w:rsid w:val="00FE370D"/>
    <w:rsid w:val="00FE38F5"/>
    <w:rsid w:val="00FE3D71"/>
    <w:rsid w:val="00FE4EBA"/>
    <w:rsid w:val="00FE5C2C"/>
    <w:rsid w:val="00FE66C8"/>
    <w:rsid w:val="00FE691C"/>
    <w:rsid w:val="00FE6A29"/>
    <w:rsid w:val="00FE6C1B"/>
    <w:rsid w:val="00FE7309"/>
    <w:rsid w:val="00FE7826"/>
    <w:rsid w:val="00FF0432"/>
    <w:rsid w:val="00FF0456"/>
    <w:rsid w:val="00FF074E"/>
    <w:rsid w:val="00FF077F"/>
    <w:rsid w:val="00FF0ED7"/>
    <w:rsid w:val="00FF156A"/>
    <w:rsid w:val="00FF1A2C"/>
    <w:rsid w:val="00FF1B84"/>
    <w:rsid w:val="00FF206C"/>
    <w:rsid w:val="00FF2301"/>
    <w:rsid w:val="00FF3674"/>
    <w:rsid w:val="00FF4AE7"/>
    <w:rsid w:val="00FF54AE"/>
    <w:rsid w:val="00FF59BA"/>
    <w:rsid w:val="00FF5CF8"/>
    <w:rsid w:val="00FF7188"/>
    <w:rsid w:val="00FF73BF"/>
    <w:rsid w:val="010F251D"/>
    <w:rsid w:val="0127C816"/>
    <w:rsid w:val="013C5ACF"/>
    <w:rsid w:val="014E7986"/>
    <w:rsid w:val="0163F97D"/>
    <w:rsid w:val="0199CAFE"/>
    <w:rsid w:val="01AE850F"/>
    <w:rsid w:val="01C27D68"/>
    <w:rsid w:val="01D210AD"/>
    <w:rsid w:val="01D3E311"/>
    <w:rsid w:val="01D4BFCC"/>
    <w:rsid w:val="01F10C97"/>
    <w:rsid w:val="020ECAEA"/>
    <w:rsid w:val="0210700B"/>
    <w:rsid w:val="0262A4AF"/>
    <w:rsid w:val="026570C7"/>
    <w:rsid w:val="026DD489"/>
    <w:rsid w:val="02701074"/>
    <w:rsid w:val="028D55F5"/>
    <w:rsid w:val="02ACD1E3"/>
    <w:rsid w:val="02BF4CEE"/>
    <w:rsid w:val="02C56782"/>
    <w:rsid w:val="02F79A16"/>
    <w:rsid w:val="02FF1397"/>
    <w:rsid w:val="03162585"/>
    <w:rsid w:val="032F81C8"/>
    <w:rsid w:val="033667DA"/>
    <w:rsid w:val="03522442"/>
    <w:rsid w:val="0365E19C"/>
    <w:rsid w:val="03979AA9"/>
    <w:rsid w:val="0402B62D"/>
    <w:rsid w:val="043B63B2"/>
    <w:rsid w:val="043C04B4"/>
    <w:rsid w:val="0459CAFE"/>
    <w:rsid w:val="0483AD2B"/>
    <w:rsid w:val="048CE97C"/>
    <w:rsid w:val="049B9FA6"/>
    <w:rsid w:val="04A1C6C3"/>
    <w:rsid w:val="04CFC7F6"/>
    <w:rsid w:val="04DF2921"/>
    <w:rsid w:val="05038C8E"/>
    <w:rsid w:val="050602EC"/>
    <w:rsid w:val="051C4290"/>
    <w:rsid w:val="0535DB81"/>
    <w:rsid w:val="05548359"/>
    <w:rsid w:val="057E8325"/>
    <w:rsid w:val="059988D3"/>
    <w:rsid w:val="05C050AC"/>
    <w:rsid w:val="05D2D982"/>
    <w:rsid w:val="05EAE17C"/>
    <w:rsid w:val="066230B3"/>
    <w:rsid w:val="0668F786"/>
    <w:rsid w:val="0687FBA5"/>
    <w:rsid w:val="06906190"/>
    <w:rsid w:val="06C8199D"/>
    <w:rsid w:val="06F3DB5D"/>
    <w:rsid w:val="075CFFA6"/>
    <w:rsid w:val="07703E36"/>
    <w:rsid w:val="079D8F65"/>
    <w:rsid w:val="07F0DD2E"/>
    <w:rsid w:val="07FD7897"/>
    <w:rsid w:val="0817CEDA"/>
    <w:rsid w:val="08444560"/>
    <w:rsid w:val="085B67F3"/>
    <w:rsid w:val="088DB2BE"/>
    <w:rsid w:val="08F24F2F"/>
    <w:rsid w:val="08FE99C5"/>
    <w:rsid w:val="096BB6A8"/>
    <w:rsid w:val="0984CBFB"/>
    <w:rsid w:val="099948F8"/>
    <w:rsid w:val="09BE6C9E"/>
    <w:rsid w:val="09D1DCA8"/>
    <w:rsid w:val="09D2EB86"/>
    <w:rsid w:val="0A20E8C4"/>
    <w:rsid w:val="0A254932"/>
    <w:rsid w:val="0A27F47C"/>
    <w:rsid w:val="0A42D5B9"/>
    <w:rsid w:val="0A93C670"/>
    <w:rsid w:val="0AB881D4"/>
    <w:rsid w:val="0ACDF334"/>
    <w:rsid w:val="0AF0F030"/>
    <w:rsid w:val="0B110847"/>
    <w:rsid w:val="0BD14916"/>
    <w:rsid w:val="0BDD9F5E"/>
    <w:rsid w:val="0C650088"/>
    <w:rsid w:val="0CF8E9FC"/>
    <w:rsid w:val="0D3B3B9D"/>
    <w:rsid w:val="0D4D0E46"/>
    <w:rsid w:val="0D5525B6"/>
    <w:rsid w:val="0D620831"/>
    <w:rsid w:val="0D65C09E"/>
    <w:rsid w:val="0D82E908"/>
    <w:rsid w:val="0DC14790"/>
    <w:rsid w:val="0E26A20E"/>
    <w:rsid w:val="0E3B9CE0"/>
    <w:rsid w:val="0E5E6FBD"/>
    <w:rsid w:val="0E710416"/>
    <w:rsid w:val="0E8C65B7"/>
    <w:rsid w:val="0E962527"/>
    <w:rsid w:val="0ECF17DD"/>
    <w:rsid w:val="0EE5CA12"/>
    <w:rsid w:val="0F104170"/>
    <w:rsid w:val="0F18E9E9"/>
    <w:rsid w:val="0F1FFD2F"/>
    <w:rsid w:val="0F44EA7A"/>
    <w:rsid w:val="0F50D0A8"/>
    <w:rsid w:val="0F5D3497"/>
    <w:rsid w:val="0F64919A"/>
    <w:rsid w:val="0F65AE38"/>
    <w:rsid w:val="0F665A32"/>
    <w:rsid w:val="0F6850E8"/>
    <w:rsid w:val="0F9EB738"/>
    <w:rsid w:val="0FC6C512"/>
    <w:rsid w:val="0FDCA538"/>
    <w:rsid w:val="0FFE5075"/>
    <w:rsid w:val="101EEF1A"/>
    <w:rsid w:val="1027421A"/>
    <w:rsid w:val="102D926D"/>
    <w:rsid w:val="10E648C5"/>
    <w:rsid w:val="10F802E4"/>
    <w:rsid w:val="110BF529"/>
    <w:rsid w:val="110C73EB"/>
    <w:rsid w:val="11529108"/>
    <w:rsid w:val="1176B583"/>
    <w:rsid w:val="11F7858B"/>
    <w:rsid w:val="12140BA4"/>
    <w:rsid w:val="123F251C"/>
    <w:rsid w:val="12405DF4"/>
    <w:rsid w:val="127AE0FE"/>
    <w:rsid w:val="127E7E08"/>
    <w:rsid w:val="128C8279"/>
    <w:rsid w:val="12907FF4"/>
    <w:rsid w:val="12F3AD56"/>
    <w:rsid w:val="1308C1F7"/>
    <w:rsid w:val="1323E63F"/>
    <w:rsid w:val="1328D75D"/>
    <w:rsid w:val="1328FE2D"/>
    <w:rsid w:val="1377DF78"/>
    <w:rsid w:val="137CDE5E"/>
    <w:rsid w:val="138071A5"/>
    <w:rsid w:val="13C1F7EE"/>
    <w:rsid w:val="13DB9DB0"/>
    <w:rsid w:val="13F08D47"/>
    <w:rsid w:val="13F70824"/>
    <w:rsid w:val="14194A16"/>
    <w:rsid w:val="142D53D2"/>
    <w:rsid w:val="1439592D"/>
    <w:rsid w:val="148CD1B8"/>
    <w:rsid w:val="148D80AA"/>
    <w:rsid w:val="14C1D95F"/>
    <w:rsid w:val="14C299B5"/>
    <w:rsid w:val="14C85145"/>
    <w:rsid w:val="14CF087D"/>
    <w:rsid w:val="14EB2856"/>
    <w:rsid w:val="1509F32F"/>
    <w:rsid w:val="1528EEC9"/>
    <w:rsid w:val="1555883D"/>
    <w:rsid w:val="1568B712"/>
    <w:rsid w:val="1573F6E0"/>
    <w:rsid w:val="1590B161"/>
    <w:rsid w:val="15B20998"/>
    <w:rsid w:val="15B7CB20"/>
    <w:rsid w:val="15E38F91"/>
    <w:rsid w:val="16231074"/>
    <w:rsid w:val="1653E961"/>
    <w:rsid w:val="1655C763"/>
    <w:rsid w:val="1691A562"/>
    <w:rsid w:val="17169804"/>
    <w:rsid w:val="173CDB44"/>
    <w:rsid w:val="17539968"/>
    <w:rsid w:val="1766A021"/>
    <w:rsid w:val="17780EFC"/>
    <w:rsid w:val="182EC157"/>
    <w:rsid w:val="1842DA35"/>
    <w:rsid w:val="1879EBB7"/>
    <w:rsid w:val="187FF960"/>
    <w:rsid w:val="18958350"/>
    <w:rsid w:val="18D5D4A6"/>
    <w:rsid w:val="18F82ACA"/>
    <w:rsid w:val="18F853D0"/>
    <w:rsid w:val="19027082"/>
    <w:rsid w:val="19195BDC"/>
    <w:rsid w:val="1958C794"/>
    <w:rsid w:val="1960F821"/>
    <w:rsid w:val="19892A9F"/>
    <w:rsid w:val="19B1E751"/>
    <w:rsid w:val="19B99F31"/>
    <w:rsid w:val="19E4DD3A"/>
    <w:rsid w:val="1A0B310F"/>
    <w:rsid w:val="1A13E977"/>
    <w:rsid w:val="1A352A52"/>
    <w:rsid w:val="1A35A6EC"/>
    <w:rsid w:val="1A7901F8"/>
    <w:rsid w:val="1A8A8A95"/>
    <w:rsid w:val="1AA43DA1"/>
    <w:rsid w:val="1AAB475A"/>
    <w:rsid w:val="1ADE35A7"/>
    <w:rsid w:val="1AFBD83B"/>
    <w:rsid w:val="1B5A5E2C"/>
    <w:rsid w:val="1B765503"/>
    <w:rsid w:val="1B8ECA2B"/>
    <w:rsid w:val="1BA9A213"/>
    <w:rsid w:val="1BBB1B5A"/>
    <w:rsid w:val="1BE1F638"/>
    <w:rsid w:val="1BEE3CAD"/>
    <w:rsid w:val="1C3082CD"/>
    <w:rsid w:val="1C4FE86E"/>
    <w:rsid w:val="1C63B40E"/>
    <w:rsid w:val="1C6F50C0"/>
    <w:rsid w:val="1C7BE844"/>
    <w:rsid w:val="1C91960D"/>
    <w:rsid w:val="1CCAE9F8"/>
    <w:rsid w:val="1CCDB425"/>
    <w:rsid w:val="1CD0F822"/>
    <w:rsid w:val="1D1F5504"/>
    <w:rsid w:val="1D4E4B2C"/>
    <w:rsid w:val="1D5256BC"/>
    <w:rsid w:val="1D537ECA"/>
    <w:rsid w:val="1D5D4958"/>
    <w:rsid w:val="1D9CA5AB"/>
    <w:rsid w:val="1DD4B59C"/>
    <w:rsid w:val="1E29EEB1"/>
    <w:rsid w:val="1E397F8B"/>
    <w:rsid w:val="1E71BCD2"/>
    <w:rsid w:val="1E7B8121"/>
    <w:rsid w:val="1E7D6CE6"/>
    <w:rsid w:val="1EF7CA69"/>
    <w:rsid w:val="1F208401"/>
    <w:rsid w:val="1F481DF4"/>
    <w:rsid w:val="1F7C71F5"/>
    <w:rsid w:val="1F963C63"/>
    <w:rsid w:val="2005050D"/>
    <w:rsid w:val="20187DB5"/>
    <w:rsid w:val="20248553"/>
    <w:rsid w:val="20684D52"/>
    <w:rsid w:val="20C0E7D4"/>
    <w:rsid w:val="211A7290"/>
    <w:rsid w:val="211E4B98"/>
    <w:rsid w:val="216E43F9"/>
    <w:rsid w:val="21A2F54B"/>
    <w:rsid w:val="21B67F5B"/>
    <w:rsid w:val="21D4ACBD"/>
    <w:rsid w:val="21DC1BA1"/>
    <w:rsid w:val="2226EC1A"/>
    <w:rsid w:val="225EDFA2"/>
    <w:rsid w:val="227528E9"/>
    <w:rsid w:val="22ABB0A8"/>
    <w:rsid w:val="22C63DE8"/>
    <w:rsid w:val="22F3129F"/>
    <w:rsid w:val="230DBE3B"/>
    <w:rsid w:val="236073E1"/>
    <w:rsid w:val="23888911"/>
    <w:rsid w:val="2392549B"/>
    <w:rsid w:val="23A19583"/>
    <w:rsid w:val="23DC69A6"/>
    <w:rsid w:val="23FF165F"/>
    <w:rsid w:val="241487C4"/>
    <w:rsid w:val="248DA79A"/>
    <w:rsid w:val="24A8D529"/>
    <w:rsid w:val="2539F809"/>
    <w:rsid w:val="25441BB3"/>
    <w:rsid w:val="256604CF"/>
    <w:rsid w:val="257DAA3A"/>
    <w:rsid w:val="25C0316C"/>
    <w:rsid w:val="25D23D4E"/>
    <w:rsid w:val="25E66CA0"/>
    <w:rsid w:val="260DB623"/>
    <w:rsid w:val="261C1BC5"/>
    <w:rsid w:val="2622990B"/>
    <w:rsid w:val="262793E2"/>
    <w:rsid w:val="2654D51E"/>
    <w:rsid w:val="2668A05A"/>
    <w:rsid w:val="267CE7C4"/>
    <w:rsid w:val="2685ED07"/>
    <w:rsid w:val="2767D03B"/>
    <w:rsid w:val="27772DCA"/>
    <w:rsid w:val="27ABF9F3"/>
    <w:rsid w:val="28329D42"/>
    <w:rsid w:val="28345B37"/>
    <w:rsid w:val="284BBEE3"/>
    <w:rsid w:val="286AF738"/>
    <w:rsid w:val="28C45E76"/>
    <w:rsid w:val="28C73BB9"/>
    <w:rsid w:val="28CA5399"/>
    <w:rsid w:val="28CE1EEB"/>
    <w:rsid w:val="28D5BE8A"/>
    <w:rsid w:val="28E31EA1"/>
    <w:rsid w:val="290F331E"/>
    <w:rsid w:val="2929BE07"/>
    <w:rsid w:val="296AC466"/>
    <w:rsid w:val="29B705C4"/>
    <w:rsid w:val="29E496C7"/>
    <w:rsid w:val="2A008023"/>
    <w:rsid w:val="2A020656"/>
    <w:rsid w:val="2A13FCEE"/>
    <w:rsid w:val="2A9442D0"/>
    <w:rsid w:val="2AA5CBDD"/>
    <w:rsid w:val="2AB6C28D"/>
    <w:rsid w:val="2ACA3FAF"/>
    <w:rsid w:val="2B30FC45"/>
    <w:rsid w:val="2B39D4FB"/>
    <w:rsid w:val="2B3E9E1B"/>
    <w:rsid w:val="2B814AC1"/>
    <w:rsid w:val="2B9DE3CD"/>
    <w:rsid w:val="2BA85E4A"/>
    <w:rsid w:val="2BDBE876"/>
    <w:rsid w:val="2BFC21E8"/>
    <w:rsid w:val="2C114E9C"/>
    <w:rsid w:val="2C89D2BD"/>
    <w:rsid w:val="2CBAF6C1"/>
    <w:rsid w:val="2CDF2533"/>
    <w:rsid w:val="2CED608C"/>
    <w:rsid w:val="2CF8FADD"/>
    <w:rsid w:val="2D6E3074"/>
    <w:rsid w:val="2D6FC6A2"/>
    <w:rsid w:val="2D91B0CA"/>
    <w:rsid w:val="2E0731D4"/>
    <w:rsid w:val="2E2CD827"/>
    <w:rsid w:val="2E5286BF"/>
    <w:rsid w:val="2E6C225E"/>
    <w:rsid w:val="2EA02AAF"/>
    <w:rsid w:val="2EB5CBA2"/>
    <w:rsid w:val="2EC7DBC4"/>
    <w:rsid w:val="2F036A84"/>
    <w:rsid w:val="2F3570A4"/>
    <w:rsid w:val="2F8A1191"/>
    <w:rsid w:val="2FA89368"/>
    <w:rsid w:val="2FAA0420"/>
    <w:rsid w:val="2FC3F7C6"/>
    <w:rsid w:val="2FD08BCF"/>
    <w:rsid w:val="2FD3DD35"/>
    <w:rsid w:val="2FD6731A"/>
    <w:rsid w:val="2FE87090"/>
    <w:rsid w:val="2FECDB17"/>
    <w:rsid w:val="301B38B5"/>
    <w:rsid w:val="3032DE30"/>
    <w:rsid w:val="307C1E5F"/>
    <w:rsid w:val="30887BEA"/>
    <w:rsid w:val="30B0C1B2"/>
    <w:rsid w:val="30D21AC0"/>
    <w:rsid w:val="30D98311"/>
    <w:rsid w:val="30DF48C9"/>
    <w:rsid w:val="30F4D9C7"/>
    <w:rsid w:val="311543B3"/>
    <w:rsid w:val="311E4125"/>
    <w:rsid w:val="3172340F"/>
    <w:rsid w:val="31778C87"/>
    <w:rsid w:val="3182B353"/>
    <w:rsid w:val="31A357C2"/>
    <w:rsid w:val="31B4219B"/>
    <w:rsid w:val="327F4764"/>
    <w:rsid w:val="32804C91"/>
    <w:rsid w:val="32988672"/>
    <w:rsid w:val="32A8AC15"/>
    <w:rsid w:val="32DB5131"/>
    <w:rsid w:val="32DF8579"/>
    <w:rsid w:val="32F81556"/>
    <w:rsid w:val="3320BDC2"/>
    <w:rsid w:val="3320C733"/>
    <w:rsid w:val="337F7019"/>
    <w:rsid w:val="338257D6"/>
    <w:rsid w:val="33AEA7FE"/>
    <w:rsid w:val="33ED8847"/>
    <w:rsid w:val="3423688A"/>
    <w:rsid w:val="3433FA88"/>
    <w:rsid w:val="3443E8AC"/>
    <w:rsid w:val="3446E8AA"/>
    <w:rsid w:val="344EFAEE"/>
    <w:rsid w:val="3495EA11"/>
    <w:rsid w:val="34BCAC50"/>
    <w:rsid w:val="34D6C897"/>
    <w:rsid w:val="34ED3226"/>
    <w:rsid w:val="350E8545"/>
    <w:rsid w:val="35212C9C"/>
    <w:rsid w:val="35395A1A"/>
    <w:rsid w:val="3541A115"/>
    <w:rsid w:val="35A97766"/>
    <w:rsid w:val="35B4E151"/>
    <w:rsid w:val="35B905B6"/>
    <w:rsid w:val="3717C196"/>
    <w:rsid w:val="3749A97A"/>
    <w:rsid w:val="3799232F"/>
    <w:rsid w:val="37A01CCF"/>
    <w:rsid w:val="37EA17D1"/>
    <w:rsid w:val="38244A01"/>
    <w:rsid w:val="38461590"/>
    <w:rsid w:val="3858CAF9"/>
    <w:rsid w:val="38A93002"/>
    <w:rsid w:val="38A9632F"/>
    <w:rsid w:val="38CC715E"/>
    <w:rsid w:val="38D332AA"/>
    <w:rsid w:val="38DA5DF7"/>
    <w:rsid w:val="3938F158"/>
    <w:rsid w:val="397D45F4"/>
    <w:rsid w:val="39937FA0"/>
    <w:rsid w:val="39C05B0E"/>
    <w:rsid w:val="39DFF4AB"/>
    <w:rsid w:val="39E09FCD"/>
    <w:rsid w:val="39EB03F2"/>
    <w:rsid w:val="39F78DB7"/>
    <w:rsid w:val="3A6E2918"/>
    <w:rsid w:val="3AC64D9F"/>
    <w:rsid w:val="3B8233ED"/>
    <w:rsid w:val="3BACC575"/>
    <w:rsid w:val="3BE84B5D"/>
    <w:rsid w:val="3BF9DFE8"/>
    <w:rsid w:val="3C295E60"/>
    <w:rsid w:val="3C327F42"/>
    <w:rsid w:val="3C329334"/>
    <w:rsid w:val="3C622478"/>
    <w:rsid w:val="3C64BB5F"/>
    <w:rsid w:val="3C6D7950"/>
    <w:rsid w:val="3CA8F597"/>
    <w:rsid w:val="3CC70EFE"/>
    <w:rsid w:val="3CD2A17B"/>
    <w:rsid w:val="3CD788D7"/>
    <w:rsid w:val="3CF66535"/>
    <w:rsid w:val="3D450BC3"/>
    <w:rsid w:val="3D78875F"/>
    <w:rsid w:val="3DA94D06"/>
    <w:rsid w:val="3DFCA2A7"/>
    <w:rsid w:val="3DFDF4D9"/>
    <w:rsid w:val="3E160BD4"/>
    <w:rsid w:val="3E3015A7"/>
    <w:rsid w:val="3E3BB55C"/>
    <w:rsid w:val="3E4A1A09"/>
    <w:rsid w:val="3E7B863E"/>
    <w:rsid w:val="3E8F5EE1"/>
    <w:rsid w:val="3E953AB6"/>
    <w:rsid w:val="3EDA85A0"/>
    <w:rsid w:val="3EDD8E18"/>
    <w:rsid w:val="3EF84A0C"/>
    <w:rsid w:val="3EF91C3C"/>
    <w:rsid w:val="3EFD34D4"/>
    <w:rsid w:val="3F4CC18E"/>
    <w:rsid w:val="3F822DE3"/>
    <w:rsid w:val="3FAD0F67"/>
    <w:rsid w:val="3FAD70BE"/>
    <w:rsid w:val="3FBBFA18"/>
    <w:rsid w:val="3FBE4D50"/>
    <w:rsid w:val="3FCE0EC3"/>
    <w:rsid w:val="3FDD8D39"/>
    <w:rsid w:val="3FE7E01B"/>
    <w:rsid w:val="3FE9F720"/>
    <w:rsid w:val="3FED14AC"/>
    <w:rsid w:val="3FF1952F"/>
    <w:rsid w:val="3FF2BE14"/>
    <w:rsid w:val="4033D84C"/>
    <w:rsid w:val="404309F5"/>
    <w:rsid w:val="4069DDF4"/>
    <w:rsid w:val="4083E4A1"/>
    <w:rsid w:val="40941A6D"/>
    <w:rsid w:val="40C5F594"/>
    <w:rsid w:val="40D225BD"/>
    <w:rsid w:val="40E03C1D"/>
    <w:rsid w:val="4152C797"/>
    <w:rsid w:val="416ECB1E"/>
    <w:rsid w:val="41B077B8"/>
    <w:rsid w:val="41B9B24C"/>
    <w:rsid w:val="41D92223"/>
    <w:rsid w:val="41ED91E0"/>
    <w:rsid w:val="421BBE81"/>
    <w:rsid w:val="42C35ABF"/>
    <w:rsid w:val="42C71568"/>
    <w:rsid w:val="42F8D8B5"/>
    <w:rsid w:val="43681A5B"/>
    <w:rsid w:val="4394B911"/>
    <w:rsid w:val="43BFB87A"/>
    <w:rsid w:val="43D2CC48"/>
    <w:rsid w:val="43E8CEBA"/>
    <w:rsid w:val="43F127C0"/>
    <w:rsid w:val="441C071C"/>
    <w:rsid w:val="444317F5"/>
    <w:rsid w:val="44628DC6"/>
    <w:rsid w:val="446E4464"/>
    <w:rsid w:val="4495D6D4"/>
    <w:rsid w:val="44A61E54"/>
    <w:rsid w:val="44B64660"/>
    <w:rsid w:val="44C50652"/>
    <w:rsid w:val="45008BCC"/>
    <w:rsid w:val="451B398D"/>
    <w:rsid w:val="4543EFB6"/>
    <w:rsid w:val="4571989A"/>
    <w:rsid w:val="45AC63CA"/>
    <w:rsid w:val="46677029"/>
    <w:rsid w:val="46CAFB3F"/>
    <w:rsid w:val="46D76526"/>
    <w:rsid w:val="46E3E738"/>
    <w:rsid w:val="46EF2B4D"/>
    <w:rsid w:val="4706CC9C"/>
    <w:rsid w:val="47226885"/>
    <w:rsid w:val="472AAD8E"/>
    <w:rsid w:val="47491CE4"/>
    <w:rsid w:val="474FB611"/>
    <w:rsid w:val="476032BE"/>
    <w:rsid w:val="478D37A6"/>
    <w:rsid w:val="47B27F54"/>
    <w:rsid w:val="47B9544C"/>
    <w:rsid w:val="48113327"/>
    <w:rsid w:val="481B3AD1"/>
    <w:rsid w:val="48487999"/>
    <w:rsid w:val="484FD5F3"/>
    <w:rsid w:val="48651751"/>
    <w:rsid w:val="48E4ED45"/>
    <w:rsid w:val="48FB1851"/>
    <w:rsid w:val="496ECB49"/>
    <w:rsid w:val="49BA5518"/>
    <w:rsid w:val="49DBDE0E"/>
    <w:rsid w:val="49DC36C9"/>
    <w:rsid w:val="4A5BFA57"/>
    <w:rsid w:val="4A86ACE9"/>
    <w:rsid w:val="4AE40468"/>
    <w:rsid w:val="4B1C09F1"/>
    <w:rsid w:val="4B3D8E0E"/>
    <w:rsid w:val="4B6E4CBC"/>
    <w:rsid w:val="4BA3A0A1"/>
    <w:rsid w:val="4BA4AE20"/>
    <w:rsid w:val="4BAF78D4"/>
    <w:rsid w:val="4BBD2513"/>
    <w:rsid w:val="4BC14971"/>
    <w:rsid w:val="4C14514F"/>
    <w:rsid w:val="4C35B419"/>
    <w:rsid w:val="4CBF8F5E"/>
    <w:rsid w:val="4CD5D455"/>
    <w:rsid w:val="4D0DB880"/>
    <w:rsid w:val="4D26BA21"/>
    <w:rsid w:val="4D597518"/>
    <w:rsid w:val="4D6A0294"/>
    <w:rsid w:val="4D95F952"/>
    <w:rsid w:val="4D9C4498"/>
    <w:rsid w:val="4DC39A83"/>
    <w:rsid w:val="4DF2C530"/>
    <w:rsid w:val="4E09700C"/>
    <w:rsid w:val="4E385484"/>
    <w:rsid w:val="4E4D47EA"/>
    <w:rsid w:val="4E50BCDF"/>
    <w:rsid w:val="4EEEB339"/>
    <w:rsid w:val="4F2B3FE3"/>
    <w:rsid w:val="4F4F5341"/>
    <w:rsid w:val="4F55978B"/>
    <w:rsid w:val="4F643726"/>
    <w:rsid w:val="4F6ED53E"/>
    <w:rsid w:val="4FA63D90"/>
    <w:rsid w:val="4FBD03B2"/>
    <w:rsid w:val="501AA8DE"/>
    <w:rsid w:val="501E0042"/>
    <w:rsid w:val="503E809A"/>
    <w:rsid w:val="50407BE9"/>
    <w:rsid w:val="5048DE1F"/>
    <w:rsid w:val="505E5AE3"/>
    <w:rsid w:val="506AD52D"/>
    <w:rsid w:val="5074C9FE"/>
    <w:rsid w:val="5076B0D8"/>
    <w:rsid w:val="507DFE14"/>
    <w:rsid w:val="50956A86"/>
    <w:rsid w:val="5098F13C"/>
    <w:rsid w:val="50DB0307"/>
    <w:rsid w:val="5127E871"/>
    <w:rsid w:val="513C9BA8"/>
    <w:rsid w:val="516468CB"/>
    <w:rsid w:val="5190FFD0"/>
    <w:rsid w:val="51DAC695"/>
    <w:rsid w:val="521156FC"/>
    <w:rsid w:val="5211AE81"/>
    <w:rsid w:val="521D0C50"/>
    <w:rsid w:val="5269F55B"/>
    <w:rsid w:val="52A26A92"/>
    <w:rsid w:val="52AD4DBB"/>
    <w:rsid w:val="52C82E8A"/>
    <w:rsid w:val="537F2A89"/>
    <w:rsid w:val="53CA8514"/>
    <w:rsid w:val="53F55B93"/>
    <w:rsid w:val="54044BC9"/>
    <w:rsid w:val="541434B0"/>
    <w:rsid w:val="54356828"/>
    <w:rsid w:val="546D3F47"/>
    <w:rsid w:val="54AC9274"/>
    <w:rsid w:val="54AE8B8D"/>
    <w:rsid w:val="54BCE786"/>
    <w:rsid w:val="54C1C28A"/>
    <w:rsid w:val="54C8FE68"/>
    <w:rsid w:val="54D1F5D2"/>
    <w:rsid w:val="54E140D0"/>
    <w:rsid w:val="54FD9234"/>
    <w:rsid w:val="550401C4"/>
    <w:rsid w:val="55307F77"/>
    <w:rsid w:val="5540AF3F"/>
    <w:rsid w:val="5554ADF4"/>
    <w:rsid w:val="5616951B"/>
    <w:rsid w:val="5620163B"/>
    <w:rsid w:val="570D4717"/>
    <w:rsid w:val="57B2025E"/>
    <w:rsid w:val="57EDF17C"/>
    <w:rsid w:val="57FC8250"/>
    <w:rsid w:val="580686DC"/>
    <w:rsid w:val="5831F0DE"/>
    <w:rsid w:val="58564C61"/>
    <w:rsid w:val="587C6D22"/>
    <w:rsid w:val="58898941"/>
    <w:rsid w:val="58C3E3AD"/>
    <w:rsid w:val="58FE4C73"/>
    <w:rsid w:val="590C73D5"/>
    <w:rsid w:val="59448F0C"/>
    <w:rsid w:val="5975B1D0"/>
    <w:rsid w:val="59AF940B"/>
    <w:rsid w:val="59AFC13C"/>
    <w:rsid w:val="59B726A0"/>
    <w:rsid w:val="59E8A372"/>
    <w:rsid w:val="5A41833B"/>
    <w:rsid w:val="5A466BDD"/>
    <w:rsid w:val="5A6270E9"/>
    <w:rsid w:val="5A7354A5"/>
    <w:rsid w:val="5A7C152F"/>
    <w:rsid w:val="5A7FA111"/>
    <w:rsid w:val="5AA5D7C8"/>
    <w:rsid w:val="5B2B5A73"/>
    <w:rsid w:val="5B800DC8"/>
    <w:rsid w:val="5BEA83E8"/>
    <w:rsid w:val="5BF8BD80"/>
    <w:rsid w:val="5BFF586F"/>
    <w:rsid w:val="5C250636"/>
    <w:rsid w:val="5C49A24D"/>
    <w:rsid w:val="5C5B4970"/>
    <w:rsid w:val="5C90540D"/>
    <w:rsid w:val="5C974837"/>
    <w:rsid w:val="5CE17E87"/>
    <w:rsid w:val="5CF91839"/>
    <w:rsid w:val="5D858F2F"/>
    <w:rsid w:val="5DAB42C1"/>
    <w:rsid w:val="5DCB9AFB"/>
    <w:rsid w:val="5E09730F"/>
    <w:rsid w:val="5E493822"/>
    <w:rsid w:val="5E695F6C"/>
    <w:rsid w:val="5ECF1A04"/>
    <w:rsid w:val="5EDC027E"/>
    <w:rsid w:val="5EE66225"/>
    <w:rsid w:val="5F0C05CD"/>
    <w:rsid w:val="5F0DC291"/>
    <w:rsid w:val="5F2229C0"/>
    <w:rsid w:val="5F5CA6F8"/>
    <w:rsid w:val="5FB12989"/>
    <w:rsid w:val="5FC0F7D1"/>
    <w:rsid w:val="5FE4869E"/>
    <w:rsid w:val="601872A4"/>
    <w:rsid w:val="601EE084"/>
    <w:rsid w:val="6055C54A"/>
    <w:rsid w:val="60965207"/>
    <w:rsid w:val="60C4BCFE"/>
    <w:rsid w:val="60FADBB1"/>
    <w:rsid w:val="6125AF28"/>
    <w:rsid w:val="617CD591"/>
    <w:rsid w:val="61CB286E"/>
    <w:rsid w:val="61E4BCF8"/>
    <w:rsid w:val="61F7C93B"/>
    <w:rsid w:val="622B7D5B"/>
    <w:rsid w:val="627BEDD7"/>
    <w:rsid w:val="62B40519"/>
    <w:rsid w:val="62B78886"/>
    <w:rsid w:val="62DF61B7"/>
    <w:rsid w:val="6315D8BD"/>
    <w:rsid w:val="6353A767"/>
    <w:rsid w:val="635AAB8F"/>
    <w:rsid w:val="63708A98"/>
    <w:rsid w:val="6415F56B"/>
    <w:rsid w:val="6437778E"/>
    <w:rsid w:val="644F3C13"/>
    <w:rsid w:val="64500CFC"/>
    <w:rsid w:val="645E5189"/>
    <w:rsid w:val="645F5C43"/>
    <w:rsid w:val="6469C10C"/>
    <w:rsid w:val="64A8C8BE"/>
    <w:rsid w:val="64B9C87A"/>
    <w:rsid w:val="651595F1"/>
    <w:rsid w:val="653D6928"/>
    <w:rsid w:val="65406F58"/>
    <w:rsid w:val="655760EE"/>
    <w:rsid w:val="65696FF0"/>
    <w:rsid w:val="65E2D428"/>
    <w:rsid w:val="65F0CE18"/>
    <w:rsid w:val="65F21F7E"/>
    <w:rsid w:val="6608FA14"/>
    <w:rsid w:val="6613F04B"/>
    <w:rsid w:val="66348302"/>
    <w:rsid w:val="66B9C3F6"/>
    <w:rsid w:val="66C37B28"/>
    <w:rsid w:val="66C82E87"/>
    <w:rsid w:val="6743D6D6"/>
    <w:rsid w:val="6786076B"/>
    <w:rsid w:val="67896944"/>
    <w:rsid w:val="67B01548"/>
    <w:rsid w:val="67C4D1B2"/>
    <w:rsid w:val="67CDEEDC"/>
    <w:rsid w:val="67D876D1"/>
    <w:rsid w:val="683E4A8C"/>
    <w:rsid w:val="6851D4ED"/>
    <w:rsid w:val="689796A2"/>
    <w:rsid w:val="689CE76A"/>
    <w:rsid w:val="68BE4FB4"/>
    <w:rsid w:val="69531886"/>
    <w:rsid w:val="69670575"/>
    <w:rsid w:val="698CDFA4"/>
    <w:rsid w:val="69A02830"/>
    <w:rsid w:val="69D8C176"/>
    <w:rsid w:val="69DB78C8"/>
    <w:rsid w:val="6A1414FC"/>
    <w:rsid w:val="6A3CFCD0"/>
    <w:rsid w:val="6A3E039E"/>
    <w:rsid w:val="6A3EDA07"/>
    <w:rsid w:val="6A62D9A6"/>
    <w:rsid w:val="6A6E663B"/>
    <w:rsid w:val="6B0D5AB3"/>
    <w:rsid w:val="6B25223B"/>
    <w:rsid w:val="6B28B005"/>
    <w:rsid w:val="6B3285A1"/>
    <w:rsid w:val="6B57FD25"/>
    <w:rsid w:val="6BA0B39E"/>
    <w:rsid w:val="6BA60CD5"/>
    <w:rsid w:val="6BF11DEE"/>
    <w:rsid w:val="6C0D7C6F"/>
    <w:rsid w:val="6C2618B7"/>
    <w:rsid w:val="6C36EEE3"/>
    <w:rsid w:val="6C821A5E"/>
    <w:rsid w:val="6D43EC68"/>
    <w:rsid w:val="6D4FD585"/>
    <w:rsid w:val="6D5E98FB"/>
    <w:rsid w:val="6D9E0B9C"/>
    <w:rsid w:val="6DA27B76"/>
    <w:rsid w:val="6DC1A505"/>
    <w:rsid w:val="6DCD3DE5"/>
    <w:rsid w:val="6DDF86CD"/>
    <w:rsid w:val="6E18F94D"/>
    <w:rsid w:val="6E9F6CEB"/>
    <w:rsid w:val="6EE26262"/>
    <w:rsid w:val="6EEEF547"/>
    <w:rsid w:val="6F029CB9"/>
    <w:rsid w:val="6F101ADF"/>
    <w:rsid w:val="6F2305E2"/>
    <w:rsid w:val="6F5C8234"/>
    <w:rsid w:val="6F652472"/>
    <w:rsid w:val="6F763473"/>
    <w:rsid w:val="6F8B7F61"/>
    <w:rsid w:val="6FC3C5EE"/>
    <w:rsid w:val="6FE21EF7"/>
    <w:rsid w:val="6FEED27E"/>
    <w:rsid w:val="6FF0B1F9"/>
    <w:rsid w:val="70249DD7"/>
    <w:rsid w:val="703B8B96"/>
    <w:rsid w:val="7046E076"/>
    <w:rsid w:val="70590B9A"/>
    <w:rsid w:val="7068BA9F"/>
    <w:rsid w:val="706A58FF"/>
    <w:rsid w:val="706B0955"/>
    <w:rsid w:val="70F264BD"/>
    <w:rsid w:val="710E9EF3"/>
    <w:rsid w:val="7180A0F3"/>
    <w:rsid w:val="7197A621"/>
    <w:rsid w:val="71ED2290"/>
    <w:rsid w:val="71F13495"/>
    <w:rsid w:val="721E44A9"/>
    <w:rsid w:val="7225849E"/>
    <w:rsid w:val="7244953D"/>
    <w:rsid w:val="725AE621"/>
    <w:rsid w:val="72627584"/>
    <w:rsid w:val="7276410E"/>
    <w:rsid w:val="7278C180"/>
    <w:rsid w:val="7286E9FB"/>
    <w:rsid w:val="72ACD697"/>
    <w:rsid w:val="72E05D43"/>
    <w:rsid w:val="72F26AAC"/>
    <w:rsid w:val="7312742A"/>
    <w:rsid w:val="73337682"/>
    <w:rsid w:val="73773091"/>
    <w:rsid w:val="7388F2F1"/>
    <w:rsid w:val="73D3FD19"/>
    <w:rsid w:val="73DE9EB3"/>
    <w:rsid w:val="74571B85"/>
    <w:rsid w:val="74E22EF8"/>
    <w:rsid w:val="74E9E0CA"/>
    <w:rsid w:val="750B64AF"/>
    <w:rsid w:val="752B08B9"/>
    <w:rsid w:val="7565D0FF"/>
    <w:rsid w:val="757D8A9D"/>
    <w:rsid w:val="75A31064"/>
    <w:rsid w:val="762A5C52"/>
    <w:rsid w:val="762F19E8"/>
    <w:rsid w:val="764CB6DD"/>
    <w:rsid w:val="76680ED2"/>
    <w:rsid w:val="768CCCB7"/>
    <w:rsid w:val="76B14BDE"/>
    <w:rsid w:val="76F5CC38"/>
    <w:rsid w:val="76F8B656"/>
    <w:rsid w:val="771768C2"/>
    <w:rsid w:val="77316091"/>
    <w:rsid w:val="7743D04D"/>
    <w:rsid w:val="776EF4B9"/>
    <w:rsid w:val="77979B0C"/>
    <w:rsid w:val="77AD9407"/>
    <w:rsid w:val="77B140A1"/>
    <w:rsid w:val="77BAC59E"/>
    <w:rsid w:val="77D53B28"/>
    <w:rsid w:val="78531C43"/>
    <w:rsid w:val="78676E6E"/>
    <w:rsid w:val="789D1384"/>
    <w:rsid w:val="78ADFA67"/>
    <w:rsid w:val="78C08404"/>
    <w:rsid w:val="78ED89B4"/>
    <w:rsid w:val="79280F39"/>
    <w:rsid w:val="7938CAE9"/>
    <w:rsid w:val="795FF303"/>
    <w:rsid w:val="7985C38A"/>
    <w:rsid w:val="79B9EF62"/>
    <w:rsid w:val="79DF0C18"/>
    <w:rsid w:val="7A088F50"/>
    <w:rsid w:val="7A0A5BF9"/>
    <w:rsid w:val="7A24F353"/>
    <w:rsid w:val="7A324A6C"/>
    <w:rsid w:val="7A3BDEF4"/>
    <w:rsid w:val="7A4BC5D7"/>
    <w:rsid w:val="7A537608"/>
    <w:rsid w:val="7A754454"/>
    <w:rsid w:val="7A86A44F"/>
    <w:rsid w:val="7A8B0A11"/>
    <w:rsid w:val="7AA94405"/>
    <w:rsid w:val="7AE3093F"/>
    <w:rsid w:val="7AE326FC"/>
    <w:rsid w:val="7AEDA7B8"/>
    <w:rsid w:val="7B00C698"/>
    <w:rsid w:val="7B18A9A7"/>
    <w:rsid w:val="7B1E3119"/>
    <w:rsid w:val="7B286DF9"/>
    <w:rsid w:val="7B2D9F73"/>
    <w:rsid w:val="7B355616"/>
    <w:rsid w:val="7B41D6CF"/>
    <w:rsid w:val="7B825066"/>
    <w:rsid w:val="7B9BE69E"/>
    <w:rsid w:val="7BAE473C"/>
    <w:rsid w:val="7BAE54EC"/>
    <w:rsid w:val="7BC40AD4"/>
    <w:rsid w:val="7BFFF2B6"/>
    <w:rsid w:val="7C238AFB"/>
    <w:rsid w:val="7C2D4912"/>
    <w:rsid w:val="7C5B441D"/>
    <w:rsid w:val="7D44155A"/>
    <w:rsid w:val="7D459495"/>
    <w:rsid w:val="7D4E1F1E"/>
    <w:rsid w:val="7D50CDFC"/>
    <w:rsid w:val="7D5834D5"/>
    <w:rsid w:val="7D6299D0"/>
    <w:rsid w:val="7DBB8FEF"/>
    <w:rsid w:val="7DC5D35E"/>
    <w:rsid w:val="7DC78DE7"/>
    <w:rsid w:val="7DF4AC59"/>
    <w:rsid w:val="7DFF6EFD"/>
    <w:rsid w:val="7E24808C"/>
    <w:rsid w:val="7E280730"/>
    <w:rsid w:val="7E77D652"/>
    <w:rsid w:val="7E9ED2B6"/>
    <w:rsid w:val="7EAE30AB"/>
    <w:rsid w:val="7EB2A488"/>
    <w:rsid w:val="7EC3AA6D"/>
    <w:rsid w:val="7EF54D97"/>
    <w:rsid w:val="7F0433FF"/>
    <w:rsid w:val="7F35B7AE"/>
    <w:rsid w:val="7F3D94DB"/>
    <w:rsid w:val="7F4026DE"/>
    <w:rsid w:val="7F5DE90F"/>
    <w:rsid w:val="7F75B059"/>
    <w:rsid w:val="7F92A35A"/>
    <w:rsid w:val="7FCBBECD"/>
    <w:rsid w:val="7FF327F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8BDC8DE"/>
  <w15:docId w15:val="{ACD3ACE2-88FA-4980-8185-03BC2DB8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80C"/>
    <w:pPr>
      <w:spacing w:after="120" w:line="240" w:lineRule="auto"/>
      <w:jc w:val="both"/>
    </w:pPr>
    <w:rPr>
      <w:rFonts w:ascii="Times New Roman" w:eastAsia="Times New Roman" w:hAnsi="Times New Roman" w:cs="Times New Roman"/>
    </w:rPr>
  </w:style>
  <w:style w:type="paragraph" w:styleId="Heading1">
    <w:name w:val="heading 1"/>
    <w:basedOn w:val="Normal"/>
    <w:next w:val="Normal"/>
    <w:link w:val="Heading1Char"/>
    <w:qFormat/>
    <w:pPr>
      <w:keepNext/>
      <w:keepLines/>
      <w:spacing w:before="240" w:after="0"/>
      <w:outlineLvl w:val="0"/>
    </w:pPr>
    <w:rPr>
      <w:rFonts w:ascii="Times New Roman Bold" w:eastAsiaTheme="majorEastAsia" w:hAnsi="Times New Roman Bold" w:cstheme="majorBidi"/>
      <w:b/>
      <w:caps/>
      <w:sz w:val="24"/>
      <w:szCs w:val="32"/>
    </w:rPr>
  </w:style>
  <w:style w:type="paragraph" w:styleId="Heading2">
    <w:name w:val="heading 2"/>
    <w:aliases w:val="szd_h2,Headline 2,h2,2,headi,heading2,h21,h22,21,H2,l2,kopregel 2"/>
    <w:basedOn w:val="Normal"/>
    <w:next w:val="Normal"/>
    <w:link w:val="Heading2Char"/>
    <w:unhideWhenUsed/>
    <w:qFormat/>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jc w:val="center"/>
      <w:outlineLvl w:val="4"/>
    </w:pPr>
    <w:rPr>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
    <w:basedOn w:val="Normal"/>
    <w:link w:val="ListParagraphChar"/>
    <w:uiPriority w:val="34"/>
    <w:qFormat/>
    <w:pPr>
      <w:ind w:left="720"/>
      <w:contextualSpacing/>
    </w:pPr>
  </w:style>
  <w:style w:type="paragraph" w:styleId="Date">
    <w:name w:val="Date"/>
    <w:basedOn w:val="Normal"/>
    <w:next w:val="Normal"/>
    <w:link w:val="DateChar"/>
    <w:pPr>
      <w:suppressAutoHyphens/>
      <w:spacing w:after="0"/>
      <w:ind w:left="5103" w:right="-567"/>
    </w:pPr>
    <w:rPr>
      <w:sz w:val="24"/>
      <w:szCs w:val="20"/>
      <w:lang w:eastAsia="ar-SA"/>
    </w:rPr>
  </w:style>
  <w:style w:type="character" w:customStyle="1" w:styleId="DateChar">
    <w:name w:val="Date Char"/>
    <w:basedOn w:val="DefaultParagraphFont"/>
    <w:link w:val="Date"/>
    <w:rPr>
      <w:rFonts w:ascii="Times New Roman" w:eastAsia="Times New Roman" w:hAnsi="Times New Roman" w:cs="Times New Roman"/>
      <w:sz w:val="24"/>
      <w:szCs w:val="20"/>
      <w:lang w:val="hr-HR" w:eastAsia="ar-SA"/>
    </w:rPr>
  </w:style>
  <w:style w:type="paragraph" w:customStyle="1" w:styleId="ZCom">
    <w:name w:val="Z_Com"/>
    <w:basedOn w:val="Normal"/>
    <w:next w:val="ZDGName"/>
    <w:pPr>
      <w:widowControl w:val="0"/>
      <w:suppressAutoHyphens/>
      <w:spacing w:after="0"/>
      <w:ind w:right="85"/>
    </w:pPr>
    <w:rPr>
      <w:rFonts w:ascii="Arial" w:hAnsi="Arial"/>
      <w:sz w:val="24"/>
      <w:szCs w:val="20"/>
      <w:lang w:eastAsia="ar-SA"/>
    </w:rPr>
  </w:style>
  <w:style w:type="paragraph" w:customStyle="1" w:styleId="ZDGName">
    <w:name w:val="Z_DGName"/>
    <w:basedOn w:val="Normal"/>
    <w:uiPriority w:val="99"/>
    <w:pPr>
      <w:widowControl w:val="0"/>
      <w:suppressAutoHyphens/>
      <w:spacing w:after="0"/>
      <w:ind w:right="85"/>
    </w:pPr>
    <w:rPr>
      <w:rFonts w:ascii="Arial" w:hAnsi="Arial"/>
      <w:sz w:val="16"/>
      <w:szCs w:val="20"/>
      <w:lang w:eastAsia="ar-SA"/>
    </w:rPr>
  </w:style>
  <w:style w:type="paragraph" w:styleId="Title">
    <w:name w:val="Title"/>
    <w:basedOn w:val="Normal"/>
    <w:next w:val="Normal"/>
    <w:link w:val="TitleChar"/>
    <w:autoRedefine/>
    <w:uiPriority w:val="10"/>
    <w:qFormat/>
    <w:pPr>
      <w:spacing w:before="240" w:after="60"/>
      <w:jc w:val="center"/>
      <w:outlineLvl w:val="0"/>
    </w:pPr>
    <w:rPr>
      <w:b/>
      <w:bCs/>
      <w:kern w:val="28"/>
      <w:sz w:val="44"/>
      <w:szCs w:val="32"/>
    </w:rPr>
  </w:style>
  <w:style w:type="character" w:customStyle="1" w:styleId="TitleChar">
    <w:name w:val="Title Char"/>
    <w:basedOn w:val="DefaultParagraphFont"/>
    <w:link w:val="Title"/>
    <w:uiPriority w:val="10"/>
    <w:rPr>
      <w:rFonts w:ascii="Times New Roman" w:eastAsia="Times New Roman" w:hAnsi="Times New Roman" w:cs="Times New Roman"/>
      <w:b/>
      <w:bCs/>
      <w:kern w:val="28"/>
      <w:sz w:val="44"/>
      <w:szCs w:val="32"/>
      <w:lang w:val="hr-HR"/>
    </w:rPr>
  </w:style>
  <w:style w:type="character" w:customStyle="1" w:styleId="Heading1Char">
    <w:name w:val="Heading 1 Char"/>
    <w:basedOn w:val="DefaultParagraphFont"/>
    <w:link w:val="Heading1"/>
    <w:rPr>
      <w:rFonts w:ascii="Times New Roman Bold" w:eastAsiaTheme="majorEastAsia" w:hAnsi="Times New Roman Bold" w:cstheme="majorBidi"/>
      <w:b/>
      <w:caps/>
      <w:sz w:val="24"/>
      <w:szCs w:val="32"/>
      <w:lang w:val="hr-HR"/>
    </w:rPr>
  </w:style>
  <w:style w:type="character" w:customStyle="1" w:styleId="Heading2Char">
    <w:name w:val="Heading 2 Char"/>
    <w:aliases w:val="szd_h2 Char,Headline 2 Char,h2 Char,2 Char,headi Char,heading2 Char,h21 Char,h22 Char,21 Char,H2 Char,l2 Char,kopregel 2 Char"/>
    <w:basedOn w:val="DefaultParagraphFont"/>
    <w:link w:val="Heading2"/>
    <w:uiPriority w:val="34"/>
    <w:rPr>
      <w:rFonts w:ascii="Times New Roman" w:eastAsiaTheme="majorEastAsia" w:hAnsi="Times New Roman" w:cstheme="majorBidi"/>
      <w:b/>
      <w:sz w:val="24"/>
      <w:szCs w:val="26"/>
      <w:lang w:val="hr-HR"/>
    </w:rPr>
  </w:style>
  <w:style w:type="paragraph" w:styleId="Caption">
    <w:name w:val="caption"/>
    <w:aliases w:val="CaptionCFMU,CaptionTLS,Caption Figure,Figure1,Figure2,Figure3,Figure4,Figure5,%Caption,Char Char Char,Char Char Char Char,Char Char Char Char Char,Char Char Char Char Char Char,Char Char Char Char Char1 Char,Caption Char1"/>
    <w:basedOn w:val="Normal"/>
    <w:next w:val="Normal"/>
    <w:link w:val="CaptionChar"/>
    <w:autoRedefine/>
    <w:unhideWhenUsed/>
    <w:qFormat/>
    <w:rsid w:val="00844D01"/>
    <w:pPr>
      <w:keepNext/>
      <w:keepLines/>
      <w:spacing w:before="120"/>
      <w:ind w:left="1134"/>
      <w:jc w:val="center"/>
    </w:pPr>
    <w:rPr>
      <w:i/>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rFonts w:ascii="Times New Roman" w:eastAsiaTheme="majorEastAsia" w:hAnsi="Times New Roman" w:cstheme="majorBidi"/>
      <w:b/>
      <w:sz w:val="24"/>
      <w:szCs w:val="24"/>
      <w:lang w:val="hr-HR"/>
    </w:rPr>
  </w:style>
  <w:style w:type="paragraph" w:styleId="TOCHeading">
    <w:name w:val="TOC Heading"/>
    <w:basedOn w:val="Heading1"/>
    <w:next w:val="Normal"/>
    <w:uiPriority w:val="39"/>
    <w:unhideWhenUsed/>
    <w:qFormat/>
    <w:pPr>
      <w:spacing w:line="259" w:lineRule="auto"/>
      <w:jc w:val="left"/>
      <w:outlineLvl w:val="9"/>
    </w:pPr>
    <w:rPr>
      <w:rFonts w:asciiTheme="majorHAnsi" w:hAnsiTheme="majorHAnsi"/>
      <w:b w:val="0"/>
      <w:caps w:val="0"/>
      <w:color w:val="2E74B5" w:themeColor="accent1" w:themeShade="BF"/>
      <w:sz w:val="32"/>
    </w:rPr>
  </w:style>
  <w:style w:type="paragraph" w:styleId="TOC1">
    <w:name w:val="toc 1"/>
    <w:basedOn w:val="Normal"/>
    <w:next w:val="Normal"/>
    <w:link w:val="TOC1Char"/>
    <w:autoRedefine/>
    <w:uiPriority w:val="39"/>
    <w:unhideWhenUsed/>
    <w:rsid w:val="00CA3B68"/>
    <w:pPr>
      <w:tabs>
        <w:tab w:val="left" w:pos="440"/>
        <w:tab w:val="left" w:pos="880"/>
        <w:tab w:val="right" w:leader="dot" w:pos="9062"/>
      </w:tabs>
      <w:ind w:left="215"/>
    </w:pPr>
  </w:style>
  <w:style w:type="paragraph" w:styleId="TOC2">
    <w:name w:val="toc 2"/>
    <w:basedOn w:val="Normal"/>
    <w:next w:val="Normal"/>
    <w:autoRedefine/>
    <w:uiPriority w:val="39"/>
    <w:unhideWhenUsed/>
    <w:pPr>
      <w:tabs>
        <w:tab w:val="left" w:pos="880"/>
        <w:tab w:val="right" w:leader="dot" w:pos="9062"/>
      </w:tabs>
      <w:ind w:left="215"/>
    </w:pPr>
  </w:style>
  <w:style w:type="paragraph" w:styleId="TOC3">
    <w:name w:val="toc 3"/>
    <w:basedOn w:val="Normal"/>
    <w:next w:val="Normal"/>
    <w:autoRedefine/>
    <w:uiPriority w:val="39"/>
    <w:unhideWhenUsed/>
    <w:pPr>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lang w:val="hr-HR"/>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lang w:val="hr-HR"/>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hr-HR"/>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hr-HR"/>
    </w:rPr>
  </w:style>
  <w:style w:type="paragraph" w:styleId="BodyTextIndent">
    <w:name w:val="Body Text Indent"/>
    <w:basedOn w:val="Normal"/>
    <w:link w:val="BodyTextIndentChar"/>
    <w:uiPriority w:val="99"/>
    <w:unhideWhenUsed/>
    <w:pPr>
      <w:ind w:left="708"/>
    </w:p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lang w:val="hr-HR"/>
    </w:rPr>
  </w:style>
  <w:style w:type="paragraph" w:styleId="BodyText">
    <w:name w:val="Body Text"/>
    <w:basedOn w:val="Normal"/>
    <w:link w:val="BodyTextChar"/>
    <w:uiPriority w:val="99"/>
    <w:unhideWhenUsed/>
    <w:rPr>
      <w:i/>
      <w:color w:val="1F4E79" w:themeColor="accent1" w:themeShade="80"/>
    </w:rPr>
  </w:style>
  <w:style w:type="character" w:customStyle="1" w:styleId="BodyTextChar">
    <w:name w:val="Body Text Char"/>
    <w:basedOn w:val="DefaultParagraphFont"/>
    <w:link w:val="BodyText"/>
    <w:uiPriority w:val="99"/>
    <w:rPr>
      <w:rFonts w:ascii="Times New Roman" w:eastAsia="Times New Roman" w:hAnsi="Times New Roman" w:cs="Times New Roman"/>
      <w:i/>
      <w:color w:val="1F4E79" w:themeColor="accent1" w:themeShade="80"/>
      <w:lang w:val="hr-HR"/>
    </w:rPr>
  </w:style>
  <w:style w:type="paragraph" w:styleId="Revision">
    <w:name w:val="Revision"/>
    <w:hidden/>
    <w:uiPriority w:val="99"/>
    <w:semiHidden/>
    <w:pPr>
      <w:spacing w:after="0" w:line="240" w:lineRule="auto"/>
    </w:pPr>
    <w:rPr>
      <w:rFonts w:ascii="Times New Roman" w:eastAsia="Times New Roman" w:hAnsi="Times New Roman" w:cs="Times New Roman"/>
    </w:rPr>
  </w:style>
  <w:style w:type="paragraph" w:styleId="FootnoteText">
    <w:name w:val="footnote text"/>
    <w:aliases w:val="Footnote text,Schriftart: 9 pt,Schriftart: 10 pt,Schriftart: 8 pt Char Char,Schriftart: 8 pt,single space,FOOTNOTES,fn,ADB,pod carou,Char,Fußnote,Carattere,Footnotes,Footnote ak,Footnote Text Char Char,fn Char Char,footnote text Char Char"/>
    <w:basedOn w:val="Normal"/>
    <w:link w:val="FootnoteTextChar"/>
    <w:uiPriority w:val="99"/>
    <w:unhideWhenUsed/>
    <w:qFormat/>
    <w:pPr>
      <w:spacing w:after="0"/>
    </w:pPr>
    <w:rPr>
      <w:sz w:val="20"/>
      <w:szCs w:val="20"/>
    </w:rPr>
  </w:style>
  <w:style w:type="character" w:customStyle="1" w:styleId="FootnoteTextChar">
    <w:name w:val="Footnote Text Char"/>
    <w:aliases w:val="Footnote text Char,Schriftart: 9 pt Char,Schriftart: 10 pt Char,Schriftart: 8 pt Char Char Char,Schriftart: 8 pt Char,single space Char,FOOTNOTES Char,fn Char,ADB Char,pod carou Char,Char Char,Fußnote Char,Carattere Char"/>
    <w:basedOn w:val="DefaultParagraphFont"/>
    <w:link w:val="FootnoteText"/>
    <w:uiPriority w:val="99"/>
    <w:rPr>
      <w:rFonts w:ascii="Times New Roman" w:eastAsia="Times New Roman" w:hAnsi="Times New Roman" w:cs="Times New Roman"/>
      <w:sz w:val="20"/>
      <w:szCs w:val="20"/>
      <w:lang w:val="hr-HR"/>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basedOn w:val="DefaultParagraphFont"/>
    <w:link w:val="SUPERSCharCharCharCharCharCharCharChar"/>
    <w:uiPriority w:val="99"/>
    <w:unhideWhenUsed/>
    <w:qFormat/>
    <w:rPr>
      <w:vertAlign w:val="superscript"/>
    </w:rPr>
  </w:style>
  <w:style w:type="character" w:customStyle="1" w:styleId="Heading4Char">
    <w:name w:val="Heading 4 Char"/>
    <w:basedOn w:val="DefaultParagraphFont"/>
    <w:link w:val="Heading4"/>
    <w:rPr>
      <w:rFonts w:asciiTheme="majorHAnsi" w:eastAsiaTheme="majorEastAsia" w:hAnsiTheme="majorHAnsi" w:cstheme="majorBidi"/>
      <w:i/>
      <w:iCs/>
      <w:color w:val="2E74B5" w:themeColor="accent1" w:themeShade="BF"/>
      <w:lang w:val="hr-H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TableofFigures">
    <w:name w:val="table of figures"/>
    <w:basedOn w:val="Normal"/>
    <w:next w:val="Normal"/>
    <w:uiPriority w:val="99"/>
    <w:unhideWhenUsed/>
    <w:pPr>
      <w:spacing w:after="0"/>
    </w:pPr>
  </w:style>
  <w:style w:type="character" w:customStyle="1" w:styleId="Heading5Char">
    <w:name w:val="Heading 5 Char"/>
    <w:basedOn w:val="DefaultParagraphFont"/>
    <w:link w:val="Heading5"/>
    <w:uiPriority w:val="9"/>
    <w:rPr>
      <w:rFonts w:ascii="Times New Roman" w:eastAsia="Times New Roman" w:hAnsi="Times New Roman" w:cs="Times New Roman"/>
      <w:i/>
      <w:iCs/>
      <w:sz w:val="18"/>
      <w:szCs w:val="18"/>
      <w:lang w:val="hr-HR"/>
    </w:rPr>
  </w:style>
  <w:style w:type="paragraph" w:styleId="BodyTextIndent2">
    <w:name w:val="Body Text Indent 2"/>
    <w:basedOn w:val="Normal"/>
    <w:link w:val="BodyTextIndent2Char"/>
    <w:uiPriority w:val="99"/>
    <w:unhideWhenUsed/>
    <w:pPr>
      <w:spacing w:afterLines="120" w:after="288"/>
      <w:ind w:left="360"/>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lang w:val="hr-HR"/>
    </w:rPr>
  </w:style>
  <w:style w:type="paragraph" w:styleId="NormalWeb">
    <w:name w:val="Normal (Web)"/>
    <w:basedOn w:val="Normal"/>
    <w:uiPriority w:val="99"/>
    <w:unhideWhenUsed/>
    <w:pPr>
      <w:spacing w:before="100" w:beforeAutospacing="1" w:after="100" w:afterAutospacing="1"/>
      <w:jc w:val="left"/>
    </w:pPr>
    <w:rPr>
      <w:rFonts w:eastAsiaTheme="minorEastAsia"/>
      <w:sz w:val="24"/>
      <w:szCs w:val="24"/>
      <w:lang w:eastAsia="en-GB"/>
    </w:rPr>
  </w:style>
  <w:style w:type="character" w:styleId="Strong">
    <w:name w:val="Strong"/>
    <w:basedOn w:val="DefaultParagraphFont"/>
    <w:uiPriority w:val="22"/>
    <w:qFormat/>
    <w:rPr>
      <w:b/>
      <w:bCs/>
    </w:rPr>
  </w:style>
  <w:style w:type="paragraph" w:styleId="BodyText2">
    <w:name w:val="Body Text 2"/>
    <w:basedOn w:val="Normal"/>
    <w:link w:val="BodyText2Char"/>
    <w:uiPriority w:val="99"/>
    <w:unhideWhenUsed/>
    <w:pPr>
      <w:jc w:val="left"/>
    </w:pPr>
    <w:rPr>
      <w:shd w:val="clear" w:color="auto" w:fill="FFFFFF"/>
    </w:rPr>
  </w:style>
  <w:style w:type="character" w:customStyle="1" w:styleId="BodyText2Char">
    <w:name w:val="Body Text 2 Char"/>
    <w:basedOn w:val="DefaultParagraphFont"/>
    <w:link w:val="BodyText2"/>
    <w:uiPriority w:val="99"/>
    <w:rPr>
      <w:rFonts w:ascii="Times New Roman" w:eastAsia="Times New Roman" w:hAnsi="Times New Roman" w:cs="Times New Roman"/>
      <w:lang w:val="hr-HR"/>
    </w:rPr>
  </w:style>
  <w:style w:type="paragraph" w:styleId="BodyText3">
    <w:name w:val="Body Text 3"/>
    <w:basedOn w:val="Normal"/>
    <w:link w:val="BodyText3Char"/>
    <w:uiPriority w:val="99"/>
    <w:unhideWhenUsed/>
    <w:pPr>
      <w:widowControl w:val="0"/>
      <w:autoSpaceDE w:val="0"/>
      <w:autoSpaceDN w:val="0"/>
      <w:spacing w:before="119" w:after="0"/>
      <w:ind w:right="91"/>
    </w:pPr>
  </w:style>
  <w:style w:type="character" w:customStyle="1" w:styleId="BodyText3Char">
    <w:name w:val="Body Text 3 Char"/>
    <w:basedOn w:val="DefaultParagraphFont"/>
    <w:link w:val="BodyText3"/>
    <w:uiPriority w:val="99"/>
    <w:rPr>
      <w:rFonts w:ascii="Times New Roman" w:eastAsia="Times New Roman" w:hAnsi="Times New Roman" w:cs="Times New Roman"/>
      <w:lang w:val="hr-HR"/>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hr-HR"/>
    </w:rPr>
  </w:style>
  <w:style w:type="character" w:styleId="EndnoteReference">
    <w:name w:val="endnote reference"/>
    <w:basedOn w:val="DefaultParagraphFont"/>
    <w:uiPriority w:val="99"/>
    <w:semiHidden/>
    <w:unhideWhenUsed/>
    <w:rPr>
      <w:vertAlign w:val="superscript"/>
    </w:rPr>
  </w:style>
  <w:style w:type="paragraph" w:customStyle="1" w:styleId="Point0number">
    <w:name w:val="Point 0 (number)"/>
    <w:basedOn w:val="Normal"/>
    <w:pPr>
      <w:numPr>
        <w:numId w:val="2"/>
      </w:numPr>
      <w:spacing w:before="120"/>
    </w:pPr>
    <w:rPr>
      <w:rFonts w:eastAsiaTheme="minorHAnsi"/>
      <w:sz w:val="24"/>
    </w:rPr>
  </w:style>
  <w:style w:type="paragraph" w:customStyle="1" w:styleId="Point1number">
    <w:name w:val="Point 1 (number)"/>
    <w:basedOn w:val="Normal"/>
    <w:pPr>
      <w:numPr>
        <w:ilvl w:val="2"/>
        <w:numId w:val="2"/>
      </w:numPr>
      <w:spacing w:before="120"/>
    </w:pPr>
    <w:rPr>
      <w:rFonts w:eastAsiaTheme="minorHAnsi"/>
      <w:sz w:val="24"/>
    </w:rPr>
  </w:style>
  <w:style w:type="paragraph" w:customStyle="1" w:styleId="Point2number">
    <w:name w:val="Point 2 (number)"/>
    <w:basedOn w:val="Normal"/>
    <w:pPr>
      <w:numPr>
        <w:ilvl w:val="4"/>
        <w:numId w:val="2"/>
      </w:numPr>
      <w:spacing w:before="120"/>
    </w:pPr>
    <w:rPr>
      <w:rFonts w:eastAsiaTheme="minorHAnsi"/>
      <w:sz w:val="24"/>
    </w:rPr>
  </w:style>
  <w:style w:type="paragraph" w:customStyle="1" w:styleId="Point3number">
    <w:name w:val="Point 3 (number)"/>
    <w:basedOn w:val="Normal"/>
    <w:pPr>
      <w:numPr>
        <w:ilvl w:val="6"/>
        <w:numId w:val="2"/>
      </w:numPr>
      <w:spacing w:before="120"/>
    </w:pPr>
    <w:rPr>
      <w:rFonts w:eastAsiaTheme="minorHAnsi"/>
      <w:sz w:val="24"/>
    </w:rPr>
  </w:style>
  <w:style w:type="paragraph" w:customStyle="1" w:styleId="Point0letter">
    <w:name w:val="Point 0 (letter)"/>
    <w:basedOn w:val="Normal"/>
    <w:pPr>
      <w:numPr>
        <w:ilvl w:val="1"/>
        <w:numId w:val="2"/>
      </w:numPr>
      <w:spacing w:before="120"/>
    </w:pPr>
    <w:rPr>
      <w:rFonts w:eastAsiaTheme="minorHAnsi"/>
      <w:sz w:val="24"/>
    </w:rPr>
  </w:style>
  <w:style w:type="paragraph" w:customStyle="1" w:styleId="Point1letter">
    <w:name w:val="Point 1 (letter)"/>
    <w:basedOn w:val="Normal"/>
    <w:pPr>
      <w:numPr>
        <w:ilvl w:val="3"/>
        <w:numId w:val="2"/>
      </w:numPr>
      <w:spacing w:before="120"/>
    </w:pPr>
    <w:rPr>
      <w:rFonts w:eastAsiaTheme="minorHAnsi"/>
      <w:sz w:val="24"/>
    </w:rPr>
  </w:style>
  <w:style w:type="paragraph" w:customStyle="1" w:styleId="Point2letter">
    <w:name w:val="Point 2 (letter)"/>
    <w:basedOn w:val="Normal"/>
    <w:pPr>
      <w:numPr>
        <w:ilvl w:val="5"/>
        <w:numId w:val="2"/>
      </w:numPr>
      <w:spacing w:before="120"/>
    </w:pPr>
    <w:rPr>
      <w:rFonts w:eastAsiaTheme="minorHAnsi"/>
      <w:sz w:val="24"/>
    </w:rPr>
  </w:style>
  <w:style w:type="paragraph" w:customStyle="1" w:styleId="Point3letter">
    <w:name w:val="Point 3 (letter)"/>
    <w:basedOn w:val="Normal"/>
    <w:pPr>
      <w:numPr>
        <w:ilvl w:val="7"/>
        <w:numId w:val="2"/>
      </w:numPr>
      <w:spacing w:before="120"/>
    </w:pPr>
    <w:rPr>
      <w:rFonts w:eastAsiaTheme="minorHAnsi"/>
      <w:sz w:val="24"/>
    </w:rPr>
  </w:style>
  <w:style w:type="paragraph" w:customStyle="1" w:styleId="Point4letter">
    <w:name w:val="Point 4 (letter)"/>
    <w:basedOn w:val="Normal"/>
    <w:pPr>
      <w:numPr>
        <w:ilvl w:val="8"/>
        <w:numId w:val="2"/>
      </w:numPr>
      <w:spacing w:before="120"/>
    </w:pPr>
    <w:rPr>
      <w:rFonts w:eastAsiaTheme="minorHAnsi"/>
      <w:sz w:val="24"/>
    </w:rPr>
  </w:style>
  <w:style w:type="paragraph" w:customStyle="1" w:styleId="Bullet0">
    <w:name w:val="Bullet 0"/>
    <w:basedOn w:val="Normal"/>
    <w:pPr>
      <w:numPr>
        <w:numId w:val="3"/>
      </w:numPr>
      <w:spacing w:before="120"/>
    </w:pPr>
    <w:rPr>
      <w:rFonts w:eastAsiaTheme="minorHAnsi"/>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 w:val="24"/>
    </w:rPr>
  </w:style>
  <w:style w:type="character" w:customStyle="1" w:styleId="TOC1Char">
    <w:name w:val="TOC 1 Char"/>
    <w:basedOn w:val="DefaultParagraphFont"/>
    <w:link w:val="TOC1"/>
    <w:uiPriority w:val="39"/>
    <w:rsid w:val="00CA3B68"/>
    <w:rPr>
      <w:rFonts w:ascii="Times New Roman" w:eastAsia="Times New Roman" w:hAnsi="Times New Roman" w:cs="Times New Roman"/>
      <w:lang w:val="hr-HR"/>
    </w:rPr>
  </w:style>
  <w:style w:type="character" w:customStyle="1" w:styleId="FooterCoverPageChar">
    <w:name w:val="Footer Cover Page Char"/>
    <w:basedOn w:val="TOC1Char"/>
    <w:link w:val="FooterCoverPage"/>
    <w:rPr>
      <w:rFonts w:ascii="Times New Roman" w:eastAsia="Times New Roman" w:hAnsi="Times New Roman" w:cs="Times New Roman"/>
      <w:sz w:val="24"/>
      <w:lang w:val="hr-H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OC1Char"/>
    <w:link w:val="FooterSensitivity"/>
    <w:rPr>
      <w:rFonts w:ascii="Times New Roman" w:eastAsia="Times New Roman" w:hAnsi="Times New Roman" w:cs="Times New Roman"/>
      <w:b/>
      <w:sz w:val="32"/>
      <w:lang w:val="hr-HR"/>
    </w:rPr>
  </w:style>
  <w:style w:type="paragraph" w:customStyle="1" w:styleId="HeaderCoverPage">
    <w:name w:val="Header Cover Page"/>
    <w:basedOn w:val="Normal"/>
    <w:link w:val="HeaderCoverPageChar"/>
    <w:pPr>
      <w:tabs>
        <w:tab w:val="center" w:pos="4535"/>
        <w:tab w:val="right" w:pos="9071"/>
      </w:tabs>
    </w:pPr>
    <w:rPr>
      <w:sz w:val="24"/>
    </w:rPr>
  </w:style>
  <w:style w:type="character" w:customStyle="1" w:styleId="HeaderCoverPageChar">
    <w:name w:val="Header Cover Page Char"/>
    <w:basedOn w:val="TOC1Char"/>
    <w:link w:val="HeaderCoverPage"/>
    <w:rPr>
      <w:rFonts w:ascii="Times New Roman" w:eastAsia="Times New Roman" w:hAnsi="Times New Roman" w:cs="Times New Roman"/>
      <w:sz w:val="24"/>
      <w:lang w:val="hr-H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TOC1Char"/>
    <w:link w:val="HeaderSensitivity"/>
    <w:rPr>
      <w:rFonts w:ascii="Times New Roman" w:eastAsia="Times New Roman" w:hAnsi="Times New Roman" w:cs="Times New Roman"/>
      <w:b/>
      <w:sz w:val="32"/>
      <w:lang w:val="hr-HR"/>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basedOn w:val="TOC1Char"/>
    <w:link w:val="HeaderSensitivityRight"/>
    <w:rPr>
      <w:rFonts w:ascii="Times New Roman" w:eastAsia="Times New Roman" w:hAnsi="Times New Roman" w:cs="Times New Roman"/>
      <w:sz w:val="28"/>
      <w:lang w:val="hr-HR"/>
    </w:rPr>
  </w:style>
  <w:style w:type="paragraph" w:customStyle="1" w:styleId="Normal1">
    <w:name w:val="Normal1"/>
    <w:basedOn w:val="Normal"/>
    <w:pPr>
      <w:spacing w:before="100" w:beforeAutospacing="1" w:after="100" w:afterAutospacing="1"/>
      <w:jc w:val="left"/>
    </w:pPr>
    <w:rPr>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
    <w:link w:val="ListParagraph"/>
    <w:uiPriority w:val="34"/>
    <w:locked/>
    <w:rPr>
      <w:rFonts w:ascii="Times New Roman" w:eastAsia="Times New Roman" w:hAnsi="Times New Roman" w:cs="Times New Roman"/>
      <w:lang w:val="hr-HR"/>
    </w:rPr>
  </w:style>
  <w:style w:type="character" w:customStyle="1" w:styleId="CaptionChar">
    <w:name w:val="Caption Char"/>
    <w:aliases w:val="CaptionCFMU Char,CaptionTLS Char,Caption Figure Char,Figure1 Char,Figure2 Char,Figure3 Char,Figure4 Char,Figure5 Char,%Caption Char,Char Char Char Char1,Char Char Char Char Char1,Char Char Char Char Char Char1,Caption Char1 Char"/>
    <w:link w:val="Caption"/>
    <w:rsid w:val="00844D01"/>
    <w:rPr>
      <w:rFonts w:ascii="Times New Roman" w:eastAsia="Times New Roman" w:hAnsi="Times New Roman" w:cs="Times New Roman"/>
      <w:i/>
      <w:lang w:val="hr-HR"/>
    </w:rPr>
  </w:style>
  <w:style w:type="character" w:styleId="FollowedHyperlink">
    <w:name w:val="FollowedHyperlink"/>
    <w:basedOn w:val="DefaultParagraphFont"/>
    <w:uiPriority w:val="99"/>
    <w:semiHidden/>
    <w:unhideWhenUsed/>
    <w:rsid w:val="00A33633"/>
    <w:rPr>
      <w:color w:val="954F72" w:themeColor="followedHyperlink"/>
      <w:u w:val="single"/>
    </w:rPr>
  </w:style>
  <w:style w:type="character" w:styleId="Emphasis">
    <w:name w:val="Emphasis"/>
    <w:basedOn w:val="DefaultParagraphFont"/>
    <w:uiPriority w:val="20"/>
    <w:qFormat/>
    <w:rsid w:val="00320DAB"/>
    <w:rPr>
      <w:i/>
      <w:iCs/>
    </w:rPr>
  </w:style>
  <w:style w:type="paragraph" w:customStyle="1" w:styleId="dcr-s23rjr">
    <w:name w:val="dcr-s23rjr"/>
    <w:basedOn w:val="Normal"/>
    <w:rsid w:val="006B5C68"/>
    <w:pPr>
      <w:spacing w:before="100" w:beforeAutospacing="1" w:after="100" w:afterAutospacing="1"/>
      <w:jc w:val="left"/>
    </w:pPr>
    <w:rPr>
      <w:sz w:val="24"/>
      <w:szCs w:val="24"/>
      <w:lang w:eastAsia="en-GB"/>
    </w:rPr>
  </w:style>
  <w:style w:type="character" w:styleId="SubtleReference">
    <w:name w:val="Subtle Reference"/>
    <w:basedOn w:val="DefaultParagraphFont"/>
    <w:uiPriority w:val="31"/>
    <w:qFormat/>
    <w:rsid w:val="00606B6F"/>
    <w:rPr>
      <w:smallCaps/>
      <w:color w:val="5A5A5A" w:themeColor="text1" w:themeTint="A5"/>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1832E9"/>
    <w:pPr>
      <w:spacing w:after="160" w:line="240" w:lineRule="exact"/>
      <w:jc w:val="left"/>
    </w:pPr>
    <w:rPr>
      <w:rFonts w:asciiTheme="minorHAnsi" w:eastAsiaTheme="minorHAnsi" w:hAnsiTheme="minorHAnsi" w:cstheme="minorBidi"/>
      <w:vertAlign w:val="superscript"/>
    </w:rPr>
  </w:style>
  <w:style w:type="paragraph" w:customStyle="1" w:styleId="Typedudocument">
    <w:name w:val="Type du document"/>
    <w:basedOn w:val="Normal"/>
    <w:next w:val="Normal"/>
    <w:rsid w:val="00470393"/>
    <w:pPr>
      <w:spacing w:before="360" w:after="0"/>
      <w:jc w:val="center"/>
    </w:pPr>
    <w:rPr>
      <w:rFonts w:eastAsiaTheme="minorHAnsi"/>
      <w:b/>
      <w:sz w:val="24"/>
    </w:rPr>
  </w:style>
  <w:style w:type="paragraph" w:customStyle="1" w:styleId="Titreobjet">
    <w:name w:val="Titre objet"/>
    <w:basedOn w:val="Normal"/>
    <w:next w:val="Normal"/>
    <w:rsid w:val="00470393"/>
    <w:pPr>
      <w:spacing w:before="360" w:after="360"/>
      <w:jc w:val="center"/>
    </w:pPr>
    <w:rPr>
      <w:rFonts w:eastAsiaTheme="minorHAnsi"/>
      <w:b/>
      <w:sz w:val="24"/>
    </w:rPr>
  </w:style>
  <w:style w:type="paragraph" w:customStyle="1" w:styleId="Considrant">
    <w:name w:val="Considérant"/>
    <w:basedOn w:val="Normal"/>
    <w:rsid w:val="00E41965"/>
    <w:pPr>
      <w:numPr>
        <w:numId w:val="17"/>
      </w:numPr>
      <w:spacing w:before="120"/>
    </w:pPr>
    <w:rPr>
      <w:rFonts w:eastAsiaTheme="minorHAnsi"/>
      <w:sz w:val="24"/>
    </w:rPr>
  </w:style>
  <w:style w:type="character" w:customStyle="1" w:styleId="normaltextrun">
    <w:name w:val="normaltextrun"/>
    <w:basedOn w:val="DefaultParagraphFont"/>
    <w:rsid w:val="00943550"/>
  </w:style>
  <w:style w:type="character" w:customStyle="1" w:styleId="eop">
    <w:name w:val="eop"/>
    <w:basedOn w:val="DefaultParagraphFont"/>
    <w:rsid w:val="00943550"/>
  </w:style>
  <w:style w:type="character" w:customStyle="1" w:styleId="UnresolvedMention">
    <w:name w:val="Unresolved Mention"/>
    <w:basedOn w:val="DefaultParagraphFont"/>
    <w:uiPriority w:val="99"/>
    <w:semiHidden/>
    <w:unhideWhenUsed/>
    <w:rsid w:val="00AC3A3A"/>
    <w:rPr>
      <w:color w:val="605E5C"/>
      <w:shd w:val="clear" w:color="auto" w:fill="E1DFDD"/>
    </w:rPr>
  </w:style>
  <w:style w:type="paragraph" w:customStyle="1" w:styleId="oj-tbl-txt">
    <w:name w:val="oj-tbl-txt"/>
    <w:basedOn w:val="Normal"/>
    <w:rsid w:val="009059C3"/>
    <w:pPr>
      <w:spacing w:before="100" w:beforeAutospacing="1" w:after="100" w:afterAutospacing="1"/>
      <w:jc w:val="left"/>
    </w:pPr>
    <w:rPr>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4827">
      <w:bodyDiv w:val="1"/>
      <w:marLeft w:val="0"/>
      <w:marRight w:val="0"/>
      <w:marTop w:val="0"/>
      <w:marBottom w:val="0"/>
      <w:divBdr>
        <w:top w:val="none" w:sz="0" w:space="0" w:color="auto"/>
        <w:left w:val="none" w:sz="0" w:space="0" w:color="auto"/>
        <w:bottom w:val="none" w:sz="0" w:space="0" w:color="auto"/>
        <w:right w:val="none" w:sz="0" w:space="0" w:color="auto"/>
      </w:divBdr>
    </w:div>
    <w:div w:id="39405885">
      <w:bodyDiv w:val="1"/>
      <w:marLeft w:val="0"/>
      <w:marRight w:val="0"/>
      <w:marTop w:val="0"/>
      <w:marBottom w:val="0"/>
      <w:divBdr>
        <w:top w:val="none" w:sz="0" w:space="0" w:color="auto"/>
        <w:left w:val="none" w:sz="0" w:space="0" w:color="auto"/>
        <w:bottom w:val="none" w:sz="0" w:space="0" w:color="auto"/>
        <w:right w:val="none" w:sz="0" w:space="0" w:color="auto"/>
      </w:divBdr>
    </w:div>
    <w:div w:id="41440263">
      <w:bodyDiv w:val="1"/>
      <w:marLeft w:val="0"/>
      <w:marRight w:val="0"/>
      <w:marTop w:val="0"/>
      <w:marBottom w:val="0"/>
      <w:divBdr>
        <w:top w:val="none" w:sz="0" w:space="0" w:color="auto"/>
        <w:left w:val="none" w:sz="0" w:space="0" w:color="auto"/>
        <w:bottom w:val="none" w:sz="0" w:space="0" w:color="auto"/>
        <w:right w:val="none" w:sz="0" w:space="0" w:color="auto"/>
      </w:divBdr>
    </w:div>
    <w:div w:id="46223573">
      <w:bodyDiv w:val="1"/>
      <w:marLeft w:val="0"/>
      <w:marRight w:val="0"/>
      <w:marTop w:val="0"/>
      <w:marBottom w:val="0"/>
      <w:divBdr>
        <w:top w:val="none" w:sz="0" w:space="0" w:color="auto"/>
        <w:left w:val="none" w:sz="0" w:space="0" w:color="auto"/>
        <w:bottom w:val="none" w:sz="0" w:space="0" w:color="auto"/>
        <w:right w:val="none" w:sz="0" w:space="0" w:color="auto"/>
      </w:divBdr>
    </w:div>
    <w:div w:id="55322723">
      <w:bodyDiv w:val="1"/>
      <w:marLeft w:val="0"/>
      <w:marRight w:val="0"/>
      <w:marTop w:val="0"/>
      <w:marBottom w:val="0"/>
      <w:divBdr>
        <w:top w:val="none" w:sz="0" w:space="0" w:color="auto"/>
        <w:left w:val="none" w:sz="0" w:space="0" w:color="auto"/>
        <w:bottom w:val="none" w:sz="0" w:space="0" w:color="auto"/>
        <w:right w:val="none" w:sz="0" w:space="0" w:color="auto"/>
      </w:divBdr>
    </w:div>
    <w:div w:id="69234408">
      <w:bodyDiv w:val="1"/>
      <w:marLeft w:val="0"/>
      <w:marRight w:val="0"/>
      <w:marTop w:val="0"/>
      <w:marBottom w:val="0"/>
      <w:divBdr>
        <w:top w:val="none" w:sz="0" w:space="0" w:color="auto"/>
        <w:left w:val="none" w:sz="0" w:space="0" w:color="auto"/>
        <w:bottom w:val="none" w:sz="0" w:space="0" w:color="auto"/>
        <w:right w:val="none" w:sz="0" w:space="0" w:color="auto"/>
      </w:divBdr>
    </w:div>
    <w:div w:id="81875615">
      <w:bodyDiv w:val="1"/>
      <w:marLeft w:val="0"/>
      <w:marRight w:val="0"/>
      <w:marTop w:val="0"/>
      <w:marBottom w:val="0"/>
      <w:divBdr>
        <w:top w:val="none" w:sz="0" w:space="0" w:color="auto"/>
        <w:left w:val="none" w:sz="0" w:space="0" w:color="auto"/>
        <w:bottom w:val="none" w:sz="0" w:space="0" w:color="auto"/>
        <w:right w:val="none" w:sz="0" w:space="0" w:color="auto"/>
      </w:divBdr>
    </w:div>
    <w:div w:id="118039884">
      <w:bodyDiv w:val="1"/>
      <w:marLeft w:val="0"/>
      <w:marRight w:val="0"/>
      <w:marTop w:val="0"/>
      <w:marBottom w:val="0"/>
      <w:divBdr>
        <w:top w:val="none" w:sz="0" w:space="0" w:color="auto"/>
        <w:left w:val="none" w:sz="0" w:space="0" w:color="auto"/>
        <w:bottom w:val="none" w:sz="0" w:space="0" w:color="auto"/>
        <w:right w:val="none" w:sz="0" w:space="0" w:color="auto"/>
      </w:divBdr>
    </w:div>
    <w:div w:id="124009991">
      <w:bodyDiv w:val="1"/>
      <w:marLeft w:val="0"/>
      <w:marRight w:val="0"/>
      <w:marTop w:val="0"/>
      <w:marBottom w:val="0"/>
      <w:divBdr>
        <w:top w:val="none" w:sz="0" w:space="0" w:color="auto"/>
        <w:left w:val="none" w:sz="0" w:space="0" w:color="auto"/>
        <w:bottom w:val="none" w:sz="0" w:space="0" w:color="auto"/>
        <w:right w:val="none" w:sz="0" w:space="0" w:color="auto"/>
      </w:divBdr>
      <w:divsChild>
        <w:div w:id="497968187">
          <w:marLeft w:val="1166"/>
          <w:marRight w:val="0"/>
          <w:marTop w:val="0"/>
          <w:marBottom w:val="120"/>
          <w:divBdr>
            <w:top w:val="none" w:sz="0" w:space="0" w:color="auto"/>
            <w:left w:val="none" w:sz="0" w:space="0" w:color="auto"/>
            <w:bottom w:val="none" w:sz="0" w:space="0" w:color="auto"/>
            <w:right w:val="none" w:sz="0" w:space="0" w:color="auto"/>
          </w:divBdr>
        </w:div>
        <w:div w:id="1820488493">
          <w:marLeft w:val="1166"/>
          <w:marRight w:val="0"/>
          <w:marTop w:val="0"/>
          <w:marBottom w:val="120"/>
          <w:divBdr>
            <w:top w:val="none" w:sz="0" w:space="0" w:color="auto"/>
            <w:left w:val="none" w:sz="0" w:space="0" w:color="auto"/>
            <w:bottom w:val="none" w:sz="0" w:space="0" w:color="auto"/>
            <w:right w:val="none" w:sz="0" w:space="0" w:color="auto"/>
          </w:divBdr>
        </w:div>
        <w:div w:id="1897549890">
          <w:marLeft w:val="446"/>
          <w:marRight w:val="0"/>
          <w:marTop w:val="0"/>
          <w:marBottom w:val="120"/>
          <w:divBdr>
            <w:top w:val="none" w:sz="0" w:space="0" w:color="auto"/>
            <w:left w:val="none" w:sz="0" w:space="0" w:color="auto"/>
            <w:bottom w:val="none" w:sz="0" w:space="0" w:color="auto"/>
            <w:right w:val="none" w:sz="0" w:space="0" w:color="auto"/>
          </w:divBdr>
        </w:div>
        <w:div w:id="1946112012">
          <w:marLeft w:val="446"/>
          <w:marRight w:val="0"/>
          <w:marTop w:val="0"/>
          <w:marBottom w:val="0"/>
          <w:divBdr>
            <w:top w:val="none" w:sz="0" w:space="0" w:color="auto"/>
            <w:left w:val="none" w:sz="0" w:space="0" w:color="auto"/>
            <w:bottom w:val="none" w:sz="0" w:space="0" w:color="auto"/>
            <w:right w:val="none" w:sz="0" w:space="0" w:color="auto"/>
          </w:divBdr>
        </w:div>
      </w:divsChild>
    </w:div>
    <w:div w:id="125509124">
      <w:bodyDiv w:val="1"/>
      <w:marLeft w:val="0"/>
      <w:marRight w:val="0"/>
      <w:marTop w:val="0"/>
      <w:marBottom w:val="0"/>
      <w:divBdr>
        <w:top w:val="none" w:sz="0" w:space="0" w:color="auto"/>
        <w:left w:val="none" w:sz="0" w:space="0" w:color="auto"/>
        <w:bottom w:val="none" w:sz="0" w:space="0" w:color="auto"/>
        <w:right w:val="none" w:sz="0" w:space="0" w:color="auto"/>
      </w:divBdr>
    </w:div>
    <w:div w:id="128674400">
      <w:bodyDiv w:val="1"/>
      <w:marLeft w:val="0"/>
      <w:marRight w:val="0"/>
      <w:marTop w:val="0"/>
      <w:marBottom w:val="0"/>
      <w:divBdr>
        <w:top w:val="none" w:sz="0" w:space="0" w:color="auto"/>
        <w:left w:val="none" w:sz="0" w:space="0" w:color="auto"/>
        <w:bottom w:val="none" w:sz="0" w:space="0" w:color="auto"/>
        <w:right w:val="none" w:sz="0" w:space="0" w:color="auto"/>
      </w:divBdr>
    </w:div>
    <w:div w:id="173686347">
      <w:bodyDiv w:val="1"/>
      <w:marLeft w:val="0"/>
      <w:marRight w:val="0"/>
      <w:marTop w:val="0"/>
      <w:marBottom w:val="0"/>
      <w:divBdr>
        <w:top w:val="none" w:sz="0" w:space="0" w:color="auto"/>
        <w:left w:val="none" w:sz="0" w:space="0" w:color="auto"/>
        <w:bottom w:val="none" w:sz="0" w:space="0" w:color="auto"/>
        <w:right w:val="none" w:sz="0" w:space="0" w:color="auto"/>
      </w:divBdr>
    </w:div>
    <w:div w:id="179442405">
      <w:bodyDiv w:val="1"/>
      <w:marLeft w:val="0"/>
      <w:marRight w:val="0"/>
      <w:marTop w:val="0"/>
      <w:marBottom w:val="0"/>
      <w:divBdr>
        <w:top w:val="none" w:sz="0" w:space="0" w:color="auto"/>
        <w:left w:val="none" w:sz="0" w:space="0" w:color="auto"/>
        <w:bottom w:val="none" w:sz="0" w:space="0" w:color="auto"/>
        <w:right w:val="none" w:sz="0" w:space="0" w:color="auto"/>
      </w:divBdr>
    </w:div>
    <w:div w:id="216283358">
      <w:bodyDiv w:val="1"/>
      <w:marLeft w:val="0"/>
      <w:marRight w:val="0"/>
      <w:marTop w:val="0"/>
      <w:marBottom w:val="0"/>
      <w:divBdr>
        <w:top w:val="none" w:sz="0" w:space="0" w:color="auto"/>
        <w:left w:val="none" w:sz="0" w:space="0" w:color="auto"/>
        <w:bottom w:val="none" w:sz="0" w:space="0" w:color="auto"/>
        <w:right w:val="none" w:sz="0" w:space="0" w:color="auto"/>
      </w:divBdr>
    </w:div>
    <w:div w:id="246959811">
      <w:bodyDiv w:val="1"/>
      <w:marLeft w:val="0"/>
      <w:marRight w:val="0"/>
      <w:marTop w:val="0"/>
      <w:marBottom w:val="0"/>
      <w:divBdr>
        <w:top w:val="none" w:sz="0" w:space="0" w:color="auto"/>
        <w:left w:val="none" w:sz="0" w:space="0" w:color="auto"/>
        <w:bottom w:val="none" w:sz="0" w:space="0" w:color="auto"/>
        <w:right w:val="none" w:sz="0" w:space="0" w:color="auto"/>
      </w:divBdr>
    </w:div>
    <w:div w:id="273220357">
      <w:bodyDiv w:val="1"/>
      <w:marLeft w:val="0"/>
      <w:marRight w:val="0"/>
      <w:marTop w:val="0"/>
      <w:marBottom w:val="0"/>
      <w:divBdr>
        <w:top w:val="none" w:sz="0" w:space="0" w:color="auto"/>
        <w:left w:val="none" w:sz="0" w:space="0" w:color="auto"/>
        <w:bottom w:val="none" w:sz="0" w:space="0" w:color="auto"/>
        <w:right w:val="none" w:sz="0" w:space="0" w:color="auto"/>
      </w:divBdr>
    </w:div>
    <w:div w:id="273633673">
      <w:bodyDiv w:val="1"/>
      <w:marLeft w:val="0"/>
      <w:marRight w:val="0"/>
      <w:marTop w:val="0"/>
      <w:marBottom w:val="0"/>
      <w:divBdr>
        <w:top w:val="none" w:sz="0" w:space="0" w:color="auto"/>
        <w:left w:val="none" w:sz="0" w:space="0" w:color="auto"/>
        <w:bottom w:val="none" w:sz="0" w:space="0" w:color="auto"/>
        <w:right w:val="none" w:sz="0" w:space="0" w:color="auto"/>
      </w:divBdr>
    </w:div>
    <w:div w:id="300889682">
      <w:bodyDiv w:val="1"/>
      <w:marLeft w:val="0"/>
      <w:marRight w:val="0"/>
      <w:marTop w:val="0"/>
      <w:marBottom w:val="0"/>
      <w:divBdr>
        <w:top w:val="none" w:sz="0" w:space="0" w:color="auto"/>
        <w:left w:val="none" w:sz="0" w:space="0" w:color="auto"/>
        <w:bottom w:val="none" w:sz="0" w:space="0" w:color="auto"/>
        <w:right w:val="none" w:sz="0" w:space="0" w:color="auto"/>
      </w:divBdr>
    </w:div>
    <w:div w:id="338582174">
      <w:bodyDiv w:val="1"/>
      <w:marLeft w:val="0"/>
      <w:marRight w:val="0"/>
      <w:marTop w:val="0"/>
      <w:marBottom w:val="0"/>
      <w:divBdr>
        <w:top w:val="none" w:sz="0" w:space="0" w:color="auto"/>
        <w:left w:val="none" w:sz="0" w:space="0" w:color="auto"/>
        <w:bottom w:val="none" w:sz="0" w:space="0" w:color="auto"/>
        <w:right w:val="none" w:sz="0" w:space="0" w:color="auto"/>
      </w:divBdr>
    </w:div>
    <w:div w:id="353767465">
      <w:bodyDiv w:val="1"/>
      <w:marLeft w:val="0"/>
      <w:marRight w:val="0"/>
      <w:marTop w:val="0"/>
      <w:marBottom w:val="0"/>
      <w:divBdr>
        <w:top w:val="none" w:sz="0" w:space="0" w:color="auto"/>
        <w:left w:val="none" w:sz="0" w:space="0" w:color="auto"/>
        <w:bottom w:val="none" w:sz="0" w:space="0" w:color="auto"/>
        <w:right w:val="none" w:sz="0" w:space="0" w:color="auto"/>
      </w:divBdr>
    </w:div>
    <w:div w:id="360086075">
      <w:bodyDiv w:val="1"/>
      <w:marLeft w:val="0"/>
      <w:marRight w:val="0"/>
      <w:marTop w:val="0"/>
      <w:marBottom w:val="0"/>
      <w:divBdr>
        <w:top w:val="none" w:sz="0" w:space="0" w:color="auto"/>
        <w:left w:val="none" w:sz="0" w:space="0" w:color="auto"/>
        <w:bottom w:val="none" w:sz="0" w:space="0" w:color="auto"/>
        <w:right w:val="none" w:sz="0" w:space="0" w:color="auto"/>
      </w:divBdr>
    </w:div>
    <w:div w:id="374744890">
      <w:bodyDiv w:val="1"/>
      <w:marLeft w:val="0"/>
      <w:marRight w:val="0"/>
      <w:marTop w:val="0"/>
      <w:marBottom w:val="0"/>
      <w:divBdr>
        <w:top w:val="none" w:sz="0" w:space="0" w:color="auto"/>
        <w:left w:val="none" w:sz="0" w:space="0" w:color="auto"/>
        <w:bottom w:val="none" w:sz="0" w:space="0" w:color="auto"/>
        <w:right w:val="none" w:sz="0" w:space="0" w:color="auto"/>
      </w:divBdr>
    </w:div>
    <w:div w:id="375667053">
      <w:bodyDiv w:val="1"/>
      <w:marLeft w:val="0"/>
      <w:marRight w:val="0"/>
      <w:marTop w:val="0"/>
      <w:marBottom w:val="0"/>
      <w:divBdr>
        <w:top w:val="none" w:sz="0" w:space="0" w:color="auto"/>
        <w:left w:val="none" w:sz="0" w:space="0" w:color="auto"/>
        <w:bottom w:val="none" w:sz="0" w:space="0" w:color="auto"/>
        <w:right w:val="none" w:sz="0" w:space="0" w:color="auto"/>
      </w:divBdr>
    </w:div>
    <w:div w:id="381027208">
      <w:bodyDiv w:val="1"/>
      <w:marLeft w:val="0"/>
      <w:marRight w:val="0"/>
      <w:marTop w:val="0"/>
      <w:marBottom w:val="0"/>
      <w:divBdr>
        <w:top w:val="none" w:sz="0" w:space="0" w:color="auto"/>
        <w:left w:val="none" w:sz="0" w:space="0" w:color="auto"/>
        <w:bottom w:val="none" w:sz="0" w:space="0" w:color="auto"/>
        <w:right w:val="none" w:sz="0" w:space="0" w:color="auto"/>
      </w:divBdr>
    </w:div>
    <w:div w:id="381028459">
      <w:bodyDiv w:val="1"/>
      <w:marLeft w:val="0"/>
      <w:marRight w:val="0"/>
      <w:marTop w:val="0"/>
      <w:marBottom w:val="0"/>
      <w:divBdr>
        <w:top w:val="none" w:sz="0" w:space="0" w:color="auto"/>
        <w:left w:val="none" w:sz="0" w:space="0" w:color="auto"/>
        <w:bottom w:val="none" w:sz="0" w:space="0" w:color="auto"/>
        <w:right w:val="none" w:sz="0" w:space="0" w:color="auto"/>
      </w:divBdr>
    </w:div>
    <w:div w:id="391347144">
      <w:bodyDiv w:val="1"/>
      <w:marLeft w:val="0"/>
      <w:marRight w:val="0"/>
      <w:marTop w:val="0"/>
      <w:marBottom w:val="0"/>
      <w:divBdr>
        <w:top w:val="none" w:sz="0" w:space="0" w:color="auto"/>
        <w:left w:val="none" w:sz="0" w:space="0" w:color="auto"/>
        <w:bottom w:val="none" w:sz="0" w:space="0" w:color="auto"/>
        <w:right w:val="none" w:sz="0" w:space="0" w:color="auto"/>
      </w:divBdr>
    </w:div>
    <w:div w:id="391461724">
      <w:bodyDiv w:val="1"/>
      <w:marLeft w:val="0"/>
      <w:marRight w:val="0"/>
      <w:marTop w:val="0"/>
      <w:marBottom w:val="0"/>
      <w:divBdr>
        <w:top w:val="none" w:sz="0" w:space="0" w:color="auto"/>
        <w:left w:val="none" w:sz="0" w:space="0" w:color="auto"/>
        <w:bottom w:val="none" w:sz="0" w:space="0" w:color="auto"/>
        <w:right w:val="none" w:sz="0" w:space="0" w:color="auto"/>
      </w:divBdr>
    </w:div>
    <w:div w:id="391855611">
      <w:bodyDiv w:val="1"/>
      <w:marLeft w:val="0"/>
      <w:marRight w:val="0"/>
      <w:marTop w:val="0"/>
      <w:marBottom w:val="0"/>
      <w:divBdr>
        <w:top w:val="none" w:sz="0" w:space="0" w:color="auto"/>
        <w:left w:val="none" w:sz="0" w:space="0" w:color="auto"/>
        <w:bottom w:val="none" w:sz="0" w:space="0" w:color="auto"/>
        <w:right w:val="none" w:sz="0" w:space="0" w:color="auto"/>
      </w:divBdr>
    </w:div>
    <w:div w:id="402072426">
      <w:bodyDiv w:val="1"/>
      <w:marLeft w:val="0"/>
      <w:marRight w:val="0"/>
      <w:marTop w:val="0"/>
      <w:marBottom w:val="0"/>
      <w:divBdr>
        <w:top w:val="none" w:sz="0" w:space="0" w:color="auto"/>
        <w:left w:val="none" w:sz="0" w:space="0" w:color="auto"/>
        <w:bottom w:val="none" w:sz="0" w:space="0" w:color="auto"/>
        <w:right w:val="none" w:sz="0" w:space="0" w:color="auto"/>
      </w:divBdr>
    </w:div>
    <w:div w:id="424886214">
      <w:bodyDiv w:val="1"/>
      <w:marLeft w:val="0"/>
      <w:marRight w:val="0"/>
      <w:marTop w:val="0"/>
      <w:marBottom w:val="0"/>
      <w:divBdr>
        <w:top w:val="none" w:sz="0" w:space="0" w:color="auto"/>
        <w:left w:val="none" w:sz="0" w:space="0" w:color="auto"/>
        <w:bottom w:val="none" w:sz="0" w:space="0" w:color="auto"/>
        <w:right w:val="none" w:sz="0" w:space="0" w:color="auto"/>
      </w:divBdr>
    </w:div>
    <w:div w:id="430666464">
      <w:bodyDiv w:val="1"/>
      <w:marLeft w:val="0"/>
      <w:marRight w:val="0"/>
      <w:marTop w:val="0"/>
      <w:marBottom w:val="0"/>
      <w:divBdr>
        <w:top w:val="none" w:sz="0" w:space="0" w:color="auto"/>
        <w:left w:val="none" w:sz="0" w:space="0" w:color="auto"/>
        <w:bottom w:val="none" w:sz="0" w:space="0" w:color="auto"/>
        <w:right w:val="none" w:sz="0" w:space="0" w:color="auto"/>
      </w:divBdr>
      <w:divsChild>
        <w:div w:id="1647781608">
          <w:marLeft w:val="0"/>
          <w:marRight w:val="0"/>
          <w:marTop w:val="0"/>
          <w:marBottom w:val="0"/>
          <w:divBdr>
            <w:top w:val="none" w:sz="0" w:space="0" w:color="auto"/>
            <w:left w:val="none" w:sz="0" w:space="0" w:color="auto"/>
            <w:bottom w:val="none" w:sz="0" w:space="0" w:color="auto"/>
            <w:right w:val="none" w:sz="0" w:space="0" w:color="auto"/>
          </w:divBdr>
        </w:div>
      </w:divsChild>
    </w:div>
    <w:div w:id="438140846">
      <w:bodyDiv w:val="1"/>
      <w:marLeft w:val="0"/>
      <w:marRight w:val="0"/>
      <w:marTop w:val="0"/>
      <w:marBottom w:val="0"/>
      <w:divBdr>
        <w:top w:val="none" w:sz="0" w:space="0" w:color="auto"/>
        <w:left w:val="none" w:sz="0" w:space="0" w:color="auto"/>
        <w:bottom w:val="none" w:sz="0" w:space="0" w:color="auto"/>
        <w:right w:val="none" w:sz="0" w:space="0" w:color="auto"/>
      </w:divBdr>
    </w:div>
    <w:div w:id="467356868">
      <w:bodyDiv w:val="1"/>
      <w:marLeft w:val="0"/>
      <w:marRight w:val="0"/>
      <w:marTop w:val="0"/>
      <w:marBottom w:val="0"/>
      <w:divBdr>
        <w:top w:val="none" w:sz="0" w:space="0" w:color="auto"/>
        <w:left w:val="none" w:sz="0" w:space="0" w:color="auto"/>
        <w:bottom w:val="none" w:sz="0" w:space="0" w:color="auto"/>
        <w:right w:val="none" w:sz="0" w:space="0" w:color="auto"/>
      </w:divBdr>
    </w:div>
    <w:div w:id="474563754">
      <w:bodyDiv w:val="1"/>
      <w:marLeft w:val="0"/>
      <w:marRight w:val="0"/>
      <w:marTop w:val="0"/>
      <w:marBottom w:val="0"/>
      <w:divBdr>
        <w:top w:val="none" w:sz="0" w:space="0" w:color="auto"/>
        <w:left w:val="none" w:sz="0" w:space="0" w:color="auto"/>
        <w:bottom w:val="none" w:sz="0" w:space="0" w:color="auto"/>
        <w:right w:val="none" w:sz="0" w:space="0" w:color="auto"/>
      </w:divBdr>
    </w:div>
    <w:div w:id="481429508">
      <w:bodyDiv w:val="1"/>
      <w:marLeft w:val="0"/>
      <w:marRight w:val="0"/>
      <w:marTop w:val="0"/>
      <w:marBottom w:val="0"/>
      <w:divBdr>
        <w:top w:val="none" w:sz="0" w:space="0" w:color="auto"/>
        <w:left w:val="none" w:sz="0" w:space="0" w:color="auto"/>
        <w:bottom w:val="none" w:sz="0" w:space="0" w:color="auto"/>
        <w:right w:val="none" w:sz="0" w:space="0" w:color="auto"/>
      </w:divBdr>
    </w:div>
    <w:div w:id="500971705">
      <w:bodyDiv w:val="1"/>
      <w:marLeft w:val="0"/>
      <w:marRight w:val="0"/>
      <w:marTop w:val="0"/>
      <w:marBottom w:val="0"/>
      <w:divBdr>
        <w:top w:val="none" w:sz="0" w:space="0" w:color="auto"/>
        <w:left w:val="none" w:sz="0" w:space="0" w:color="auto"/>
        <w:bottom w:val="none" w:sz="0" w:space="0" w:color="auto"/>
        <w:right w:val="none" w:sz="0" w:space="0" w:color="auto"/>
      </w:divBdr>
    </w:div>
    <w:div w:id="507721970">
      <w:bodyDiv w:val="1"/>
      <w:marLeft w:val="0"/>
      <w:marRight w:val="0"/>
      <w:marTop w:val="0"/>
      <w:marBottom w:val="0"/>
      <w:divBdr>
        <w:top w:val="none" w:sz="0" w:space="0" w:color="auto"/>
        <w:left w:val="none" w:sz="0" w:space="0" w:color="auto"/>
        <w:bottom w:val="none" w:sz="0" w:space="0" w:color="auto"/>
        <w:right w:val="none" w:sz="0" w:space="0" w:color="auto"/>
      </w:divBdr>
    </w:div>
    <w:div w:id="508495590">
      <w:bodyDiv w:val="1"/>
      <w:marLeft w:val="0"/>
      <w:marRight w:val="0"/>
      <w:marTop w:val="0"/>
      <w:marBottom w:val="0"/>
      <w:divBdr>
        <w:top w:val="none" w:sz="0" w:space="0" w:color="auto"/>
        <w:left w:val="none" w:sz="0" w:space="0" w:color="auto"/>
        <w:bottom w:val="none" w:sz="0" w:space="0" w:color="auto"/>
        <w:right w:val="none" w:sz="0" w:space="0" w:color="auto"/>
      </w:divBdr>
    </w:div>
    <w:div w:id="517155993">
      <w:bodyDiv w:val="1"/>
      <w:marLeft w:val="0"/>
      <w:marRight w:val="0"/>
      <w:marTop w:val="0"/>
      <w:marBottom w:val="0"/>
      <w:divBdr>
        <w:top w:val="none" w:sz="0" w:space="0" w:color="auto"/>
        <w:left w:val="none" w:sz="0" w:space="0" w:color="auto"/>
        <w:bottom w:val="none" w:sz="0" w:space="0" w:color="auto"/>
        <w:right w:val="none" w:sz="0" w:space="0" w:color="auto"/>
      </w:divBdr>
    </w:div>
    <w:div w:id="520626793">
      <w:bodyDiv w:val="1"/>
      <w:marLeft w:val="0"/>
      <w:marRight w:val="0"/>
      <w:marTop w:val="0"/>
      <w:marBottom w:val="0"/>
      <w:divBdr>
        <w:top w:val="none" w:sz="0" w:space="0" w:color="auto"/>
        <w:left w:val="none" w:sz="0" w:space="0" w:color="auto"/>
        <w:bottom w:val="none" w:sz="0" w:space="0" w:color="auto"/>
        <w:right w:val="none" w:sz="0" w:space="0" w:color="auto"/>
      </w:divBdr>
    </w:div>
    <w:div w:id="538935076">
      <w:bodyDiv w:val="1"/>
      <w:marLeft w:val="0"/>
      <w:marRight w:val="0"/>
      <w:marTop w:val="0"/>
      <w:marBottom w:val="0"/>
      <w:divBdr>
        <w:top w:val="none" w:sz="0" w:space="0" w:color="auto"/>
        <w:left w:val="none" w:sz="0" w:space="0" w:color="auto"/>
        <w:bottom w:val="none" w:sz="0" w:space="0" w:color="auto"/>
        <w:right w:val="none" w:sz="0" w:space="0" w:color="auto"/>
      </w:divBdr>
    </w:div>
    <w:div w:id="551618578">
      <w:bodyDiv w:val="1"/>
      <w:marLeft w:val="0"/>
      <w:marRight w:val="0"/>
      <w:marTop w:val="0"/>
      <w:marBottom w:val="0"/>
      <w:divBdr>
        <w:top w:val="none" w:sz="0" w:space="0" w:color="auto"/>
        <w:left w:val="none" w:sz="0" w:space="0" w:color="auto"/>
        <w:bottom w:val="none" w:sz="0" w:space="0" w:color="auto"/>
        <w:right w:val="none" w:sz="0" w:space="0" w:color="auto"/>
      </w:divBdr>
      <w:divsChild>
        <w:div w:id="63843605">
          <w:marLeft w:val="274"/>
          <w:marRight w:val="0"/>
          <w:marTop w:val="0"/>
          <w:marBottom w:val="0"/>
          <w:divBdr>
            <w:top w:val="none" w:sz="0" w:space="0" w:color="auto"/>
            <w:left w:val="none" w:sz="0" w:space="0" w:color="auto"/>
            <w:bottom w:val="none" w:sz="0" w:space="0" w:color="auto"/>
            <w:right w:val="none" w:sz="0" w:space="0" w:color="auto"/>
          </w:divBdr>
        </w:div>
        <w:div w:id="597835177">
          <w:marLeft w:val="994"/>
          <w:marRight w:val="0"/>
          <w:marTop w:val="0"/>
          <w:marBottom w:val="0"/>
          <w:divBdr>
            <w:top w:val="none" w:sz="0" w:space="0" w:color="auto"/>
            <w:left w:val="none" w:sz="0" w:space="0" w:color="auto"/>
            <w:bottom w:val="none" w:sz="0" w:space="0" w:color="auto"/>
            <w:right w:val="none" w:sz="0" w:space="0" w:color="auto"/>
          </w:divBdr>
        </w:div>
        <w:div w:id="634801381">
          <w:marLeft w:val="274"/>
          <w:marRight w:val="0"/>
          <w:marTop w:val="0"/>
          <w:marBottom w:val="0"/>
          <w:divBdr>
            <w:top w:val="none" w:sz="0" w:space="0" w:color="auto"/>
            <w:left w:val="none" w:sz="0" w:space="0" w:color="auto"/>
            <w:bottom w:val="none" w:sz="0" w:space="0" w:color="auto"/>
            <w:right w:val="none" w:sz="0" w:space="0" w:color="auto"/>
          </w:divBdr>
        </w:div>
        <w:div w:id="1254127463">
          <w:marLeft w:val="994"/>
          <w:marRight w:val="0"/>
          <w:marTop w:val="0"/>
          <w:marBottom w:val="0"/>
          <w:divBdr>
            <w:top w:val="none" w:sz="0" w:space="0" w:color="auto"/>
            <w:left w:val="none" w:sz="0" w:space="0" w:color="auto"/>
            <w:bottom w:val="none" w:sz="0" w:space="0" w:color="auto"/>
            <w:right w:val="none" w:sz="0" w:space="0" w:color="auto"/>
          </w:divBdr>
        </w:div>
        <w:div w:id="1358967452">
          <w:marLeft w:val="274"/>
          <w:marRight w:val="0"/>
          <w:marTop w:val="0"/>
          <w:marBottom w:val="0"/>
          <w:divBdr>
            <w:top w:val="none" w:sz="0" w:space="0" w:color="auto"/>
            <w:left w:val="none" w:sz="0" w:space="0" w:color="auto"/>
            <w:bottom w:val="none" w:sz="0" w:space="0" w:color="auto"/>
            <w:right w:val="none" w:sz="0" w:space="0" w:color="auto"/>
          </w:divBdr>
        </w:div>
        <w:div w:id="1896042430">
          <w:marLeft w:val="274"/>
          <w:marRight w:val="0"/>
          <w:marTop w:val="0"/>
          <w:marBottom w:val="0"/>
          <w:divBdr>
            <w:top w:val="none" w:sz="0" w:space="0" w:color="auto"/>
            <w:left w:val="none" w:sz="0" w:space="0" w:color="auto"/>
            <w:bottom w:val="none" w:sz="0" w:space="0" w:color="auto"/>
            <w:right w:val="none" w:sz="0" w:space="0" w:color="auto"/>
          </w:divBdr>
        </w:div>
        <w:div w:id="1899198771">
          <w:marLeft w:val="994"/>
          <w:marRight w:val="0"/>
          <w:marTop w:val="0"/>
          <w:marBottom w:val="0"/>
          <w:divBdr>
            <w:top w:val="none" w:sz="0" w:space="0" w:color="auto"/>
            <w:left w:val="none" w:sz="0" w:space="0" w:color="auto"/>
            <w:bottom w:val="none" w:sz="0" w:space="0" w:color="auto"/>
            <w:right w:val="none" w:sz="0" w:space="0" w:color="auto"/>
          </w:divBdr>
        </w:div>
      </w:divsChild>
    </w:div>
    <w:div w:id="576862088">
      <w:bodyDiv w:val="1"/>
      <w:marLeft w:val="0"/>
      <w:marRight w:val="0"/>
      <w:marTop w:val="0"/>
      <w:marBottom w:val="0"/>
      <w:divBdr>
        <w:top w:val="none" w:sz="0" w:space="0" w:color="auto"/>
        <w:left w:val="none" w:sz="0" w:space="0" w:color="auto"/>
        <w:bottom w:val="none" w:sz="0" w:space="0" w:color="auto"/>
        <w:right w:val="none" w:sz="0" w:space="0" w:color="auto"/>
      </w:divBdr>
    </w:div>
    <w:div w:id="583222993">
      <w:bodyDiv w:val="1"/>
      <w:marLeft w:val="0"/>
      <w:marRight w:val="0"/>
      <w:marTop w:val="0"/>
      <w:marBottom w:val="0"/>
      <w:divBdr>
        <w:top w:val="none" w:sz="0" w:space="0" w:color="auto"/>
        <w:left w:val="none" w:sz="0" w:space="0" w:color="auto"/>
        <w:bottom w:val="none" w:sz="0" w:space="0" w:color="auto"/>
        <w:right w:val="none" w:sz="0" w:space="0" w:color="auto"/>
      </w:divBdr>
    </w:div>
    <w:div w:id="616525560">
      <w:bodyDiv w:val="1"/>
      <w:marLeft w:val="0"/>
      <w:marRight w:val="0"/>
      <w:marTop w:val="0"/>
      <w:marBottom w:val="0"/>
      <w:divBdr>
        <w:top w:val="none" w:sz="0" w:space="0" w:color="auto"/>
        <w:left w:val="none" w:sz="0" w:space="0" w:color="auto"/>
        <w:bottom w:val="none" w:sz="0" w:space="0" w:color="auto"/>
        <w:right w:val="none" w:sz="0" w:space="0" w:color="auto"/>
      </w:divBdr>
    </w:div>
    <w:div w:id="643780754">
      <w:bodyDiv w:val="1"/>
      <w:marLeft w:val="0"/>
      <w:marRight w:val="0"/>
      <w:marTop w:val="0"/>
      <w:marBottom w:val="0"/>
      <w:divBdr>
        <w:top w:val="none" w:sz="0" w:space="0" w:color="auto"/>
        <w:left w:val="none" w:sz="0" w:space="0" w:color="auto"/>
        <w:bottom w:val="none" w:sz="0" w:space="0" w:color="auto"/>
        <w:right w:val="none" w:sz="0" w:space="0" w:color="auto"/>
      </w:divBdr>
    </w:div>
    <w:div w:id="681854053">
      <w:bodyDiv w:val="1"/>
      <w:marLeft w:val="0"/>
      <w:marRight w:val="0"/>
      <w:marTop w:val="0"/>
      <w:marBottom w:val="0"/>
      <w:divBdr>
        <w:top w:val="none" w:sz="0" w:space="0" w:color="auto"/>
        <w:left w:val="none" w:sz="0" w:space="0" w:color="auto"/>
        <w:bottom w:val="none" w:sz="0" w:space="0" w:color="auto"/>
        <w:right w:val="none" w:sz="0" w:space="0" w:color="auto"/>
      </w:divBdr>
    </w:div>
    <w:div w:id="711072526">
      <w:bodyDiv w:val="1"/>
      <w:marLeft w:val="0"/>
      <w:marRight w:val="0"/>
      <w:marTop w:val="0"/>
      <w:marBottom w:val="0"/>
      <w:divBdr>
        <w:top w:val="none" w:sz="0" w:space="0" w:color="auto"/>
        <w:left w:val="none" w:sz="0" w:space="0" w:color="auto"/>
        <w:bottom w:val="none" w:sz="0" w:space="0" w:color="auto"/>
        <w:right w:val="none" w:sz="0" w:space="0" w:color="auto"/>
      </w:divBdr>
    </w:div>
    <w:div w:id="740256637">
      <w:bodyDiv w:val="1"/>
      <w:marLeft w:val="0"/>
      <w:marRight w:val="0"/>
      <w:marTop w:val="0"/>
      <w:marBottom w:val="0"/>
      <w:divBdr>
        <w:top w:val="none" w:sz="0" w:space="0" w:color="auto"/>
        <w:left w:val="none" w:sz="0" w:space="0" w:color="auto"/>
        <w:bottom w:val="none" w:sz="0" w:space="0" w:color="auto"/>
        <w:right w:val="none" w:sz="0" w:space="0" w:color="auto"/>
      </w:divBdr>
    </w:div>
    <w:div w:id="764544174">
      <w:bodyDiv w:val="1"/>
      <w:marLeft w:val="0"/>
      <w:marRight w:val="0"/>
      <w:marTop w:val="0"/>
      <w:marBottom w:val="0"/>
      <w:divBdr>
        <w:top w:val="none" w:sz="0" w:space="0" w:color="auto"/>
        <w:left w:val="none" w:sz="0" w:space="0" w:color="auto"/>
        <w:bottom w:val="none" w:sz="0" w:space="0" w:color="auto"/>
        <w:right w:val="none" w:sz="0" w:space="0" w:color="auto"/>
      </w:divBdr>
    </w:div>
    <w:div w:id="773521544">
      <w:bodyDiv w:val="1"/>
      <w:marLeft w:val="0"/>
      <w:marRight w:val="0"/>
      <w:marTop w:val="0"/>
      <w:marBottom w:val="0"/>
      <w:divBdr>
        <w:top w:val="none" w:sz="0" w:space="0" w:color="auto"/>
        <w:left w:val="none" w:sz="0" w:space="0" w:color="auto"/>
        <w:bottom w:val="none" w:sz="0" w:space="0" w:color="auto"/>
        <w:right w:val="none" w:sz="0" w:space="0" w:color="auto"/>
      </w:divBdr>
    </w:div>
    <w:div w:id="774134777">
      <w:bodyDiv w:val="1"/>
      <w:marLeft w:val="0"/>
      <w:marRight w:val="0"/>
      <w:marTop w:val="0"/>
      <w:marBottom w:val="0"/>
      <w:divBdr>
        <w:top w:val="none" w:sz="0" w:space="0" w:color="auto"/>
        <w:left w:val="none" w:sz="0" w:space="0" w:color="auto"/>
        <w:bottom w:val="none" w:sz="0" w:space="0" w:color="auto"/>
        <w:right w:val="none" w:sz="0" w:space="0" w:color="auto"/>
      </w:divBdr>
    </w:div>
    <w:div w:id="782069169">
      <w:bodyDiv w:val="1"/>
      <w:marLeft w:val="0"/>
      <w:marRight w:val="0"/>
      <w:marTop w:val="0"/>
      <w:marBottom w:val="0"/>
      <w:divBdr>
        <w:top w:val="none" w:sz="0" w:space="0" w:color="auto"/>
        <w:left w:val="none" w:sz="0" w:space="0" w:color="auto"/>
        <w:bottom w:val="none" w:sz="0" w:space="0" w:color="auto"/>
        <w:right w:val="none" w:sz="0" w:space="0" w:color="auto"/>
      </w:divBdr>
    </w:div>
    <w:div w:id="794106337">
      <w:bodyDiv w:val="1"/>
      <w:marLeft w:val="0"/>
      <w:marRight w:val="0"/>
      <w:marTop w:val="0"/>
      <w:marBottom w:val="0"/>
      <w:divBdr>
        <w:top w:val="none" w:sz="0" w:space="0" w:color="auto"/>
        <w:left w:val="none" w:sz="0" w:space="0" w:color="auto"/>
        <w:bottom w:val="none" w:sz="0" w:space="0" w:color="auto"/>
        <w:right w:val="none" w:sz="0" w:space="0" w:color="auto"/>
      </w:divBdr>
    </w:div>
    <w:div w:id="795221902">
      <w:bodyDiv w:val="1"/>
      <w:marLeft w:val="0"/>
      <w:marRight w:val="0"/>
      <w:marTop w:val="0"/>
      <w:marBottom w:val="0"/>
      <w:divBdr>
        <w:top w:val="none" w:sz="0" w:space="0" w:color="auto"/>
        <w:left w:val="none" w:sz="0" w:space="0" w:color="auto"/>
        <w:bottom w:val="none" w:sz="0" w:space="0" w:color="auto"/>
        <w:right w:val="none" w:sz="0" w:space="0" w:color="auto"/>
      </w:divBdr>
    </w:div>
    <w:div w:id="808402325">
      <w:bodyDiv w:val="1"/>
      <w:marLeft w:val="0"/>
      <w:marRight w:val="0"/>
      <w:marTop w:val="0"/>
      <w:marBottom w:val="0"/>
      <w:divBdr>
        <w:top w:val="none" w:sz="0" w:space="0" w:color="auto"/>
        <w:left w:val="none" w:sz="0" w:space="0" w:color="auto"/>
        <w:bottom w:val="none" w:sz="0" w:space="0" w:color="auto"/>
        <w:right w:val="none" w:sz="0" w:space="0" w:color="auto"/>
      </w:divBdr>
    </w:div>
    <w:div w:id="856895471">
      <w:bodyDiv w:val="1"/>
      <w:marLeft w:val="0"/>
      <w:marRight w:val="0"/>
      <w:marTop w:val="0"/>
      <w:marBottom w:val="0"/>
      <w:divBdr>
        <w:top w:val="none" w:sz="0" w:space="0" w:color="auto"/>
        <w:left w:val="none" w:sz="0" w:space="0" w:color="auto"/>
        <w:bottom w:val="none" w:sz="0" w:space="0" w:color="auto"/>
        <w:right w:val="none" w:sz="0" w:space="0" w:color="auto"/>
      </w:divBdr>
    </w:div>
    <w:div w:id="860554764">
      <w:bodyDiv w:val="1"/>
      <w:marLeft w:val="0"/>
      <w:marRight w:val="0"/>
      <w:marTop w:val="0"/>
      <w:marBottom w:val="0"/>
      <w:divBdr>
        <w:top w:val="none" w:sz="0" w:space="0" w:color="auto"/>
        <w:left w:val="none" w:sz="0" w:space="0" w:color="auto"/>
        <w:bottom w:val="none" w:sz="0" w:space="0" w:color="auto"/>
        <w:right w:val="none" w:sz="0" w:space="0" w:color="auto"/>
      </w:divBdr>
    </w:div>
    <w:div w:id="866216474">
      <w:bodyDiv w:val="1"/>
      <w:marLeft w:val="0"/>
      <w:marRight w:val="0"/>
      <w:marTop w:val="0"/>
      <w:marBottom w:val="0"/>
      <w:divBdr>
        <w:top w:val="none" w:sz="0" w:space="0" w:color="auto"/>
        <w:left w:val="none" w:sz="0" w:space="0" w:color="auto"/>
        <w:bottom w:val="none" w:sz="0" w:space="0" w:color="auto"/>
        <w:right w:val="none" w:sz="0" w:space="0" w:color="auto"/>
      </w:divBdr>
    </w:div>
    <w:div w:id="871769037">
      <w:bodyDiv w:val="1"/>
      <w:marLeft w:val="0"/>
      <w:marRight w:val="0"/>
      <w:marTop w:val="0"/>
      <w:marBottom w:val="0"/>
      <w:divBdr>
        <w:top w:val="none" w:sz="0" w:space="0" w:color="auto"/>
        <w:left w:val="none" w:sz="0" w:space="0" w:color="auto"/>
        <w:bottom w:val="none" w:sz="0" w:space="0" w:color="auto"/>
        <w:right w:val="none" w:sz="0" w:space="0" w:color="auto"/>
      </w:divBdr>
    </w:div>
    <w:div w:id="872032502">
      <w:bodyDiv w:val="1"/>
      <w:marLeft w:val="0"/>
      <w:marRight w:val="0"/>
      <w:marTop w:val="0"/>
      <w:marBottom w:val="0"/>
      <w:divBdr>
        <w:top w:val="none" w:sz="0" w:space="0" w:color="auto"/>
        <w:left w:val="none" w:sz="0" w:space="0" w:color="auto"/>
        <w:bottom w:val="none" w:sz="0" w:space="0" w:color="auto"/>
        <w:right w:val="none" w:sz="0" w:space="0" w:color="auto"/>
      </w:divBdr>
    </w:div>
    <w:div w:id="878594307">
      <w:bodyDiv w:val="1"/>
      <w:marLeft w:val="0"/>
      <w:marRight w:val="0"/>
      <w:marTop w:val="0"/>
      <w:marBottom w:val="0"/>
      <w:divBdr>
        <w:top w:val="none" w:sz="0" w:space="0" w:color="auto"/>
        <w:left w:val="none" w:sz="0" w:space="0" w:color="auto"/>
        <w:bottom w:val="none" w:sz="0" w:space="0" w:color="auto"/>
        <w:right w:val="none" w:sz="0" w:space="0" w:color="auto"/>
      </w:divBdr>
    </w:div>
    <w:div w:id="917709514">
      <w:bodyDiv w:val="1"/>
      <w:marLeft w:val="0"/>
      <w:marRight w:val="0"/>
      <w:marTop w:val="0"/>
      <w:marBottom w:val="0"/>
      <w:divBdr>
        <w:top w:val="none" w:sz="0" w:space="0" w:color="auto"/>
        <w:left w:val="none" w:sz="0" w:space="0" w:color="auto"/>
        <w:bottom w:val="none" w:sz="0" w:space="0" w:color="auto"/>
        <w:right w:val="none" w:sz="0" w:space="0" w:color="auto"/>
      </w:divBdr>
    </w:div>
    <w:div w:id="920800271">
      <w:bodyDiv w:val="1"/>
      <w:marLeft w:val="0"/>
      <w:marRight w:val="0"/>
      <w:marTop w:val="0"/>
      <w:marBottom w:val="0"/>
      <w:divBdr>
        <w:top w:val="none" w:sz="0" w:space="0" w:color="auto"/>
        <w:left w:val="none" w:sz="0" w:space="0" w:color="auto"/>
        <w:bottom w:val="none" w:sz="0" w:space="0" w:color="auto"/>
        <w:right w:val="none" w:sz="0" w:space="0" w:color="auto"/>
      </w:divBdr>
    </w:div>
    <w:div w:id="934286155">
      <w:bodyDiv w:val="1"/>
      <w:marLeft w:val="0"/>
      <w:marRight w:val="0"/>
      <w:marTop w:val="0"/>
      <w:marBottom w:val="0"/>
      <w:divBdr>
        <w:top w:val="none" w:sz="0" w:space="0" w:color="auto"/>
        <w:left w:val="none" w:sz="0" w:space="0" w:color="auto"/>
        <w:bottom w:val="none" w:sz="0" w:space="0" w:color="auto"/>
        <w:right w:val="none" w:sz="0" w:space="0" w:color="auto"/>
      </w:divBdr>
    </w:div>
    <w:div w:id="940721734">
      <w:bodyDiv w:val="1"/>
      <w:marLeft w:val="0"/>
      <w:marRight w:val="0"/>
      <w:marTop w:val="0"/>
      <w:marBottom w:val="0"/>
      <w:divBdr>
        <w:top w:val="none" w:sz="0" w:space="0" w:color="auto"/>
        <w:left w:val="none" w:sz="0" w:space="0" w:color="auto"/>
        <w:bottom w:val="none" w:sz="0" w:space="0" w:color="auto"/>
        <w:right w:val="none" w:sz="0" w:space="0" w:color="auto"/>
      </w:divBdr>
    </w:div>
    <w:div w:id="942763171">
      <w:bodyDiv w:val="1"/>
      <w:marLeft w:val="0"/>
      <w:marRight w:val="0"/>
      <w:marTop w:val="0"/>
      <w:marBottom w:val="0"/>
      <w:divBdr>
        <w:top w:val="none" w:sz="0" w:space="0" w:color="auto"/>
        <w:left w:val="none" w:sz="0" w:space="0" w:color="auto"/>
        <w:bottom w:val="none" w:sz="0" w:space="0" w:color="auto"/>
        <w:right w:val="none" w:sz="0" w:space="0" w:color="auto"/>
      </w:divBdr>
    </w:div>
    <w:div w:id="945430972">
      <w:bodyDiv w:val="1"/>
      <w:marLeft w:val="0"/>
      <w:marRight w:val="0"/>
      <w:marTop w:val="0"/>
      <w:marBottom w:val="0"/>
      <w:divBdr>
        <w:top w:val="none" w:sz="0" w:space="0" w:color="auto"/>
        <w:left w:val="none" w:sz="0" w:space="0" w:color="auto"/>
        <w:bottom w:val="none" w:sz="0" w:space="0" w:color="auto"/>
        <w:right w:val="none" w:sz="0" w:space="0" w:color="auto"/>
      </w:divBdr>
    </w:div>
    <w:div w:id="986785992">
      <w:bodyDiv w:val="1"/>
      <w:marLeft w:val="0"/>
      <w:marRight w:val="0"/>
      <w:marTop w:val="0"/>
      <w:marBottom w:val="0"/>
      <w:divBdr>
        <w:top w:val="none" w:sz="0" w:space="0" w:color="auto"/>
        <w:left w:val="none" w:sz="0" w:space="0" w:color="auto"/>
        <w:bottom w:val="none" w:sz="0" w:space="0" w:color="auto"/>
        <w:right w:val="none" w:sz="0" w:space="0" w:color="auto"/>
      </w:divBdr>
      <w:divsChild>
        <w:div w:id="678972112">
          <w:blockQuote w:val="1"/>
          <w:marLeft w:val="0"/>
          <w:marRight w:val="0"/>
          <w:marTop w:val="0"/>
          <w:marBottom w:val="0"/>
          <w:divBdr>
            <w:top w:val="none" w:sz="0" w:space="0" w:color="auto"/>
            <w:left w:val="none" w:sz="0" w:space="0" w:color="auto"/>
            <w:bottom w:val="none" w:sz="0" w:space="0" w:color="auto"/>
            <w:right w:val="none" w:sz="0" w:space="0" w:color="auto"/>
          </w:divBdr>
          <w:divsChild>
            <w:div w:id="2021739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9213099">
      <w:bodyDiv w:val="1"/>
      <w:marLeft w:val="0"/>
      <w:marRight w:val="0"/>
      <w:marTop w:val="0"/>
      <w:marBottom w:val="0"/>
      <w:divBdr>
        <w:top w:val="none" w:sz="0" w:space="0" w:color="auto"/>
        <w:left w:val="none" w:sz="0" w:space="0" w:color="auto"/>
        <w:bottom w:val="none" w:sz="0" w:space="0" w:color="auto"/>
        <w:right w:val="none" w:sz="0" w:space="0" w:color="auto"/>
      </w:divBdr>
    </w:div>
    <w:div w:id="994335906">
      <w:bodyDiv w:val="1"/>
      <w:marLeft w:val="0"/>
      <w:marRight w:val="0"/>
      <w:marTop w:val="0"/>
      <w:marBottom w:val="0"/>
      <w:divBdr>
        <w:top w:val="none" w:sz="0" w:space="0" w:color="auto"/>
        <w:left w:val="none" w:sz="0" w:space="0" w:color="auto"/>
        <w:bottom w:val="none" w:sz="0" w:space="0" w:color="auto"/>
        <w:right w:val="none" w:sz="0" w:space="0" w:color="auto"/>
      </w:divBdr>
    </w:div>
    <w:div w:id="1001087235">
      <w:bodyDiv w:val="1"/>
      <w:marLeft w:val="0"/>
      <w:marRight w:val="0"/>
      <w:marTop w:val="0"/>
      <w:marBottom w:val="0"/>
      <w:divBdr>
        <w:top w:val="none" w:sz="0" w:space="0" w:color="auto"/>
        <w:left w:val="none" w:sz="0" w:space="0" w:color="auto"/>
        <w:bottom w:val="none" w:sz="0" w:space="0" w:color="auto"/>
        <w:right w:val="none" w:sz="0" w:space="0" w:color="auto"/>
      </w:divBdr>
    </w:div>
    <w:div w:id="1014964886">
      <w:bodyDiv w:val="1"/>
      <w:marLeft w:val="0"/>
      <w:marRight w:val="0"/>
      <w:marTop w:val="0"/>
      <w:marBottom w:val="0"/>
      <w:divBdr>
        <w:top w:val="none" w:sz="0" w:space="0" w:color="auto"/>
        <w:left w:val="none" w:sz="0" w:space="0" w:color="auto"/>
        <w:bottom w:val="none" w:sz="0" w:space="0" w:color="auto"/>
        <w:right w:val="none" w:sz="0" w:space="0" w:color="auto"/>
      </w:divBdr>
    </w:div>
    <w:div w:id="1047871276">
      <w:bodyDiv w:val="1"/>
      <w:marLeft w:val="0"/>
      <w:marRight w:val="0"/>
      <w:marTop w:val="0"/>
      <w:marBottom w:val="0"/>
      <w:divBdr>
        <w:top w:val="none" w:sz="0" w:space="0" w:color="auto"/>
        <w:left w:val="none" w:sz="0" w:space="0" w:color="auto"/>
        <w:bottom w:val="none" w:sz="0" w:space="0" w:color="auto"/>
        <w:right w:val="none" w:sz="0" w:space="0" w:color="auto"/>
      </w:divBdr>
    </w:div>
    <w:div w:id="1086879811">
      <w:bodyDiv w:val="1"/>
      <w:marLeft w:val="0"/>
      <w:marRight w:val="0"/>
      <w:marTop w:val="0"/>
      <w:marBottom w:val="0"/>
      <w:divBdr>
        <w:top w:val="none" w:sz="0" w:space="0" w:color="auto"/>
        <w:left w:val="none" w:sz="0" w:space="0" w:color="auto"/>
        <w:bottom w:val="none" w:sz="0" w:space="0" w:color="auto"/>
        <w:right w:val="none" w:sz="0" w:space="0" w:color="auto"/>
      </w:divBdr>
    </w:div>
    <w:div w:id="1102919688">
      <w:bodyDiv w:val="1"/>
      <w:marLeft w:val="0"/>
      <w:marRight w:val="0"/>
      <w:marTop w:val="0"/>
      <w:marBottom w:val="0"/>
      <w:divBdr>
        <w:top w:val="none" w:sz="0" w:space="0" w:color="auto"/>
        <w:left w:val="none" w:sz="0" w:space="0" w:color="auto"/>
        <w:bottom w:val="none" w:sz="0" w:space="0" w:color="auto"/>
        <w:right w:val="none" w:sz="0" w:space="0" w:color="auto"/>
      </w:divBdr>
    </w:div>
    <w:div w:id="1115907127">
      <w:bodyDiv w:val="1"/>
      <w:marLeft w:val="0"/>
      <w:marRight w:val="0"/>
      <w:marTop w:val="0"/>
      <w:marBottom w:val="0"/>
      <w:divBdr>
        <w:top w:val="none" w:sz="0" w:space="0" w:color="auto"/>
        <w:left w:val="none" w:sz="0" w:space="0" w:color="auto"/>
        <w:bottom w:val="none" w:sz="0" w:space="0" w:color="auto"/>
        <w:right w:val="none" w:sz="0" w:space="0" w:color="auto"/>
      </w:divBdr>
    </w:div>
    <w:div w:id="1123767620">
      <w:bodyDiv w:val="1"/>
      <w:marLeft w:val="0"/>
      <w:marRight w:val="0"/>
      <w:marTop w:val="0"/>
      <w:marBottom w:val="0"/>
      <w:divBdr>
        <w:top w:val="none" w:sz="0" w:space="0" w:color="auto"/>
        <w:left w:val="none" w:sz="0" w:space="0" w:color="auto"/>
        <w:bottom w:val="none" w:sz="0" w:space="0" w:color="auto"/>
        <w:right w:val="none" w:sz="0" w:space="0" w:color="auto"/>
      </w:divBdr>
    </w:div>
    <w:div w:id="1169324151">
      <w:bodyDiv w:val="1"/>
      <w:marLeft w:val="0"/>
      <w:marRight w:val="0"/>
      <w:marTop w:val="0"/>
      <w:marBottom w:val="0"/>
      <w:divBdr>
        <w:top w:val="none" w:sz="0" w:space="0" w:color="auto"/>
        <w:left w:val="none" w:sz="0" w:space="0" w:color="auto"/>
        <w:bottom w:val="none" w:sz="0" w:space="0" w:color="auto"/>
        <w:right w:val="none" w:sz="0" w:space="0" w:color="auto"/>
      </w:divBdr>
    </w:div>
    <w:div w:id="1179925462">
      <w:bodyDiv w:val="1"/>
      <w:marLeft w:val="0"/>
      <w:marRight w:val="0"/>
      <w:marTop w:val="0"/>
      <w:marBottom w:val="0"/>
      <w:divBdr>
        <w:top w:val="none" w:sz="0" w:space="0" w:color="auto"/>
        <w:left w:val="none" w:sz="0" w:space="0" w:color="auto"/>
        <w:bottom w:val="none" w:sz="0" w:space="0" w:color="auto"/>
        <w:right w:val="none" w:sz="0" w:space="0" w:color="auto"/>
      </w:divBdr>
    </w:div>
    <w:div w:id="1194466450">
      <w:bodyDiv w:val="1"/>
      <w:marLeft w:val="0"/>
      <w:marRight w:val="0"/>
      <w:marTop w:val="0"/>
      <w:marBottom w:val="0"/>
      <w:divBdr>
        <w:top w:val="none" w:sz="0" w:space="0" w:color="auto"/>
        <w:left w:val="none" w:sz="0" w:space="0" w:color="auto"/>
        <w:bottom w:val="none" w:sz="0" w:space="0" w:color="auto"/>
        <w:right w:val="none" w:sz="0" w:space="0" w:color="auto"/>
      </w:divBdr>
    </w:div>
    <w:div w:id="1246721698">
      <w:bodyDiv w:val="1"/>
      <w:marLeft w:val="0"/>
      <w:marRight w:val="0"/>
      <w:marTop w:val="0"/>
      <w:marBottom w:val="0"/>
      <w:divBdr>
        <w:top w:val="none" w:sz="0" w:space="0" w:color="auto"/>
        <w:left w:val="none" w:sz="0" w:space="0" w:color="auto"/>
        <w:bottom w:val="none" w:sz="0" w:space="0" w:color="auto"/>
        <w:right w:val="none" w:sz="0" w:space="0" w:color="auto"/>
      </w:divBdr>
      <w:divsChild>
        <w:div w:id="1126120381">
          <w:marLeft w:val="0"/>
          <w:marRight w:val="0"/>
          <w:marTop w:val="0"/>
          <w:marBottom w:val="0"/>
          <w:divBdr>
            <w:top w:val="none" w:sz="0" w:space="0" w:color="auto"/>
            <w:left w:val="none" w:sz="0" w:space="0" w:color="auto"/>
            <w:bottom w:val="none" w:sz="0" w:space="0" w:color="auto"/>
            <w:right w:val="none" w:sz="0" w:space="0" w:color="auto"/>
          </w:divBdr>
          <w:divsChild>
            <w:div w:id="1352292837">
              <w:marLeft w:val="0"/>
              <w:marRight w:val="0"/>
              <w:marTop w:val="150"/>
              <w:marBottom w:val="0"/>
              <w:divBdr>
                <w:top w:val="none" w:sz="0" w:space="0" w:color="auto"/>
                <w:left w:val="none" w:sz="0" w:space="0" w:color="auto"/>
                <w:bottom w:val="none" w:sz="0" w:space="0" w:color="auto"/>
                <w:right w:val="none" w:sz="0" w:space="0" w:color="auto"/>
              </w:divBdr>
              <w:divsChild>
                <w:div w:id="1030107645">
                  <w:marLeft w:val="-225"/>
                  <w:marRight w:val="-225"/>
                  <w:marTop w:val="0"/>
                  <w:marBottom w:val="0"/>
                  <w:divBdr>
                    <w:top w:val="none" w:sz="0" w:space="0" w:color="auto"/>
                    <w:left w:val="none" w:sz="0" w:space="0" w:color="auto"/>
                    <w:bottom w:val="none" w:sz="0" w:space="0" w:color="auto"/>
                    <w:right w:val="none" w:sz="0" w:space="0" w:color="auto"/>
                  </w:divBdr>
                  <w:divsChild>
                    <w:div w:id="957299281">
                      <w:marLeft w:val="0"/>
                      <w:marRight w:val="0"/>
                      <w:marTop w:val="0"/>
                      <w:marBottom w:val="0"/>
                      <w:divBdr>
                        <w:top w:val="none" w:sz="0" w:space="0" w:color="auto"/>
                        <w:left w:val="none" w:sz="0" w:space="0" w:color="auto"/>
                        <w:bottom w:val="none" w:sz="0" w:space="0" w:color="auto"/>
                        <w:right w:val="none" w:sz="0" w:space="0" w:color="auto"/>
                      </w:divBdr>
                      <w:divsChild>
                        <w:div w:id="2077897880">
                          <w:marLeft w:val="-225"/>
                          <w:marRight w:val="-225"/>
                          <w:marTop w:val="0"/>
                          <w:marBottom w:val="0"/>
                          <w:divBdr>
                            <w:top w:val="none" w:sz="0" w:space="0" w:color="auto"/>
                            <w:left w:val="none" w:sz="0" w:space="0" w:color="auto"/>
                            <w:bottom w:val="none" w:sz="0" w:space="0" w:color="auto"/>
                            <w:right w:val="none" w:sz="0" w:space="0" w:color="auto"/>
                          </w:divBdr>
                          <w:divsChild>
                            <w:div w:id="1741172806">
                              <w:marLeft w:val="0"/>
                              <w:marRight w:val="0"/>
                              <w:marTop w:val="0"/>
                              <w:marBottom w:val="0"/>
                              <w:divBdr>
                                <w:top w:val="none" w:sz="0" w:space="0" w:color="auto"/>
                                <w:left w:val="none" w:sz="0" w:space="0" w:color="auto"/>
                                <w:bottom w:val="none" w:sz="0" w:space="0" w:color="auto"/>
                                <w:right w:val="none" w:sz="0" w:space="0" w:color="auto"/>
                              </w:divBdr>
                              <w:divsChild>
                                <w:div w:id="1806578611">
                                  <w:marLeft w:val="0"/>
                                  <w:marRight w:val="0"/>
                                  <w:marTop w:val="0"/>
                                  <w:marBottom w:val="0"/>
                                  <w:divBdr>
                                    <w:top w:val="none" w:sz="0" w:space="0" w:color="auto"/>
                                    <w:left w:val="none" w:sz="0" w:space="0" w:color="auto"/>
                                    <w:bottom w:val="none" w:sz="0" w:space="0" w:color="auto"/>
                                    <w:right w:val="none" w:sz="0" w:space="0" w:color="auto"/>
                                  </w:divBdr>
                                  <w:divsChild>
                                    <w:div w:id="969212874">
                                      <w:marLeft w:val="0"/>
                                      <w:marRight w:val="0"/>
                                      <w:marTop w:val="0"/>
                                      <w:marBottom w:val="0"/>
                                      <w:divBdr>
                                        <w:top w:val="none" w:sz="0" w:space="0" w:color="auto"/>
                                        <w:left w:val="none" w:sz="0" w:space="0" w:color="auto"/>
                                        <w:bottom w:val="none" w:sz="0" w:space="0" w:color="auto"/>
                                        <w:right w:val="none" w:sz="0" w:space="0" w:color="auto"/>
                                      </w:divBdr>
                                      <w:divsChild>
                                        <w:div w:id="198323545">
                                          <w:marLeft w:val="0"/>
                                          <w:marRight w:val="0"/>
                                          <w:marTop w:val="0"/>
                                          <w:marBottom w:val="0"/>
                                          <w:divBdr>
                                            <w:top w:val="none" w:sz="0" w:space="0" w:color="auto"/>
                                            <w:left w:val="none" w:sz="0" w:space="0" w:color="auto"/>
                                            <w:bottom w:val="none" w:sz="0" w:space="0" w:color="auto"/>
                                            <w:right w:val="none" w:sz="0" w:space="0" w:color="auto"/>
                                          </w:divBdr>
                                          <w:divsChild>
                                            <w:div w:id="1549101003">
                                              <w:marLeft w:val="0"/>
                                              <w:marRight w:val="0"/>
                                              <w:marTop w:val="0"/>
                                              <w:marBottom w:val="0"/>
                                              <w:divBdr>
                                                <w:top w:val="none" w:sz="0" w:space="0" w:color="auto"/>
                                                <w:left w:val="none" w:sz="0" w:space="0" w:color="auto"/>
                                                <w:bottom w:val="none" w:sz="0" w:space="0" w:color="auto"/>
                                                <w:right w:val="none" w:sz="0" w:space="0" w:color="auto"/>
                                              </w:divBdr>
                                              <w:divsChild>
                                                <w:div w:id="2043240113">
                                                  <w:marLeft w:val="0"/>
                                                  <w:marRight w:val="0"/>
                                                  <w:marTop w:val="0"/>
                                                  <w:marBottom w:val="0"/>
                                                  <w:divBdr>
                                                    <w:top w:val="none" w:sz="0" w:space="0" w:color="auto"/>
                                                    <w:left w:val="none" w:sz="0" w:space="0" w:color="auto"/>
                                                    <w:bottom w:val="none" w:sz="0" w:space="0" w:color="auto"/>
                                                    <w:right w:val="none" w:sz="0" w:space="0" w:color="auto"/>
                                                  </w:divBdr>
                                                  <w:divsChild>
                                                    <w:div w:id="1479611453">
                                                      <w:marLeft w:val="0"/>
                                                      <w:marRight w:val="0"/>
                                                      <w:marTop w:val="0"/>
                                                      <w:marBottom w:val="0"/>
                                                      <w:divBdr>
                                                        <w:top w:val="none" w:sz="0" w:space="0" w:color="auto"/>
                                                        <w:left w:val="none" w:sz="0" w:space="0" w:color="auto"/>
                                                        <w:bottom w:val="none" w:sz="0" w:space="0" w:color="auto"/>
                                                        <w:right w:val="none" w:sz="0" w:space="0" w:color="auto"/>
                                                      </w:divBdr>
                                                      <w:divsChild>
                                                        <w:div w:id="1336226378">
                                                          <w:marLeft w:val="0"/>
                                                          <w:marRight w:val="0"/>
                                                          <w:marTop w:val="0"/>
                                                          <w:marBottom w:val="0"/>
                                                          <w:divBdr>
                                                            <w:top w:val="none" w:sz="0" w:space="0" w:color="auto"/>
                                                            <w:left w:val="none" w:sz="0" w:space="0" w:color="auto"/>
                                                            <w:bottom w:val="none" w:sz="0" w:space="0" w:color="auto"/>
                                                            <w:right w:val="none" w:sz="0" w:space="0" w:color="auto"/>
                                                          </w:divBdr>
                                                          <w:divsChild>
                                                            <w:div w:id="251857689">
                                                              <w:marLeft w:val="0"/>
                                                              <w:marRight w:val="0"/>
                                                              <w:marTop w:val="0"/>
                                                              <w:marBottom w:val="0"/>
                                                              <w:divBdr>
                                                                <w:top w:val="none" w:sz="0" w:space="0" w:color="auto"/>
                                                                <w:left w:val="none" w:sz="0" w:space="0" w:color="auto"/>
                                                                <w:bottom w:val="none" w:sz="0" w:space="0" w:color="auto"/>
                                                                <w:right w:val="none" w:sz="0" w:space="0" w:color="auto"/>
                                                              </w:divBdr>
                                                              <w:divsChild>
                                                                <w:div w:id="1059982741">
                                                                  <w:marLeft w:val="0"/>
                                                                  <w:marRight w:val="0"/>
                                                                  <w:marTop w:val="0"/>
                                                                  <w:marBottom w:val="0"/>
                                                                  <w:divBdr>
                                                                    <w:top w:val="none" w:sz="0" w:space="0" w:color="auto"/>
                                                                    <w:left w:val="none" w:sz="0" w:space="0" w:color="auto"/>
                                                                    <w:bottom w:val="none" w:sz="0" w:space="0" w:color="auto"/>
                                                                    <w:right w:val="none" w:sz="0" w:space="0" w:color="auto"/>
                                                                  </w:divBdr>
                                                                  <w:divsChild>
                                                                    <w:div w:id="1109661726">
                                                                      <w:marLeft w:val="0"/>
                                                                      <w:marRight w:val="0"/>
                                                                      <w:marTop w:val="0"/>
                                                                      <w:marBottom w:val="0"/>
                                                                      <w:divBdr>
                                                                        <w:top w:val="none" w:sz="0" w:space="0" w:color="auto"/>
                                                                        <w:left w:val="none" w:sz="0" w:space="0" w:color="auto"/>
                                                                        <w:bottom w:val="none" w:sz="0" w:space="0" w:color="auto"/>
                                                                        <w:right w:val="none" w:sz="0" w:space="0" w:color="auto"/>
                                                                      </w:divBdr>
                                                                      <w:divsChild>
                                                                        <w:div w:id="2103842422">
                                                                          <w:marLeft w:val="0"/>
                                                                          <w:marRight w:val="0"/>
                                                                          <w:marTop w:val="0"/>
                                                                          <w:marBottom w:val="0"/>
                                                                          <w:divBdr>
                                                                            <w:top w:val="none" w:sz="0" w:space="0" w:color="auto"/>
                                                                            <w:left w:val="none" w:sz="0" w:space="0" w:color="auto"/>
                                                                            <w:bottom w:val="none" w:sz="0" w:space="0" w:color="auto"/>
                                                                            <w:right w:val="none" w:sz="0" w:space="0" w:color="auto"/>
                                                                          </w:divBdr>
                                                                          <w:divsChild>
                                                                            <w:div w:id="932981903">
                                                                              <w:marLeft w:val="0"/>
                                                                              <w:marRight w:val="0"/>
                                                                              <w:marTop w:val="0"/>
                                                                              <w:marBottom w:val="0"/>
                                                                              <w:divBdr>
                                                                                <w:top w:val="none" w:sz="0" w:space="0" w:color="auto"/>
                                                                                <w:left w:val="none" w:sz="0" w:space="0" w:color="auto"/>
                                                                                <w:bottom w:val="none" w:sz="0" w:space="0" w:color="auto"/>
                                                                                <w:right w:val="none" w:sz="0" w:space="0" w:color="auto"/>
                                                                              </w:divBdr>
                                                                              <w:divsChild>
                                                                                <w:div w:id="782917193">
                                                                                  <w:marLeft w:val="0"/>
                                                                                  <w:marRight w:val="0"/>
                                                                                  <w:marTop w:val="0"/>
                                                                                  <w:marBottom w:val="0"/>
                                                                                  <w:divBdr>
                                                                                    <w:top w:val="none" w:sz="0" w:space="0" w:color="auto"/>
                                                                                    <w:left w:val="none" w:sz="0" w:space="0" w:color="auto"/>
                                                                                    <w:bottom w:val="none" w:sz="0" w:space="0" w:color="auto"/>
                                                                                    <w:right w:val="none" w:sz="0" w:space="0" w:color="auto"/>
                                                                                  </w:divBdr>
                                                                                  <w:divsChild>
                                                                                    <w:div w:id="14492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232890">
      <w:bodyDiv w:val="1"/>
      <w:marLeft w:val="0"/>
      <w:marRight w:val="0"/>
      <w:marTop w:val="0"/>
      <w:marBottom w:val="0"/>
      <w:divBdr>
        <w:top w:val="none" w:sz="0" w:space="0" w:color="auto"/>
        <w:left w:val="none" w:sz="0" w:space="0" w:color="auto"/>
        <w:bottom w:val="none" w:sz="0" w:space="0" w:color="auto"/>
        <w:right w:val="none" w:sz="0" w:space="0" w:color="auto"/>
      </w:divBdr>
    </w:div>
    <w:div w:id="1259406917">
      <w:bodyDiv w:val="1"/>
      <w:marLeft w:val="0"/>
      <w:marRight w:val="0"/>
      <w:marTop w:val="0"/>
      <w:marBottom w:val="0"/>
      <w:divBdr>
        <w:top w:val="none" w:sz="0" w:space="0" w:color="auto"/>
        <w:left w:val="none" w:sz="0" w:space="0" w:color="auto"/>
        <w:bottom w:val="none" w:sz="0" w:space="0" w:color="auto"/>
        <w:right w:val="none" w:sz="0" w:space="0" w:color="auto"/>
      </w:divBdr>
    </w:div>
    <w:div w:id="1259483845">
      <w:bodyDiv w:val="1"/>
      <w:marLeft w:val="0"/>
      <w:marRight w:val="0"/>
      <w:marTop w:val="0"/>
      <w:marBottom w:val="0"/>
      <w:divBdr>
        <w:top w:val="none" w:sz="0" w:space="0" w:color="auto"/>
        <w:left w:val="none" w:sz="0" w:space="0" w:color="auto"/>
        <w:bottom w:val="none" w:sz="0" w:space="0" w:color="auto"/>
        <w:right w:val="none" w:sz="0" w:space="0" w:color="auto"/>
      </w:divBdr>
    </w:div>
    <w:div w:id="1261452746">
      <w:bodyDiv w:val="1"/>
      <w:marLeft w:val="0"/>
      <w:marRight w:val="0"/>
      <w:marTop w:val="0"/>
      <w:marBottom w:val="0"/>
      <w:divBdr>
        <w:top w:val="none" w:sz="0" w:space="0" w:color="auto"/>
        <w:left w:val="none" w:sz="0" w:space="0" w:color="auto"/>
        <w:bottom w:val="none" w:sz="0" w:space="0" w:color="auto"/>
        <w:right w:val="none" w:sz="0" w:space="0" w:color="auto"/>
      </w:divBdr>
    </w:div>
    <w:div w:id="1269240913">
      <w:bodyDiv w:val="1"/>
      <w:marLeft w:val="0"/>
      <w:marRight w:val="0"/>
      <w:marTop w:val="0"/>
      <w:marBottom w:val="0"/>
      <w:divBdr>
        <w:top w:val="none" w:sz="0" w:space="0" w:color="auto"/>
        <w:left w:val="none" w:sz="0" w:space="0" w:color="auto"/>
        <w:bottom w:val="none" w:sz="0" w:space="0" w:color="auto"/>
        <w:right w:val="none" w:sz="0" w:space="0" w:color="auto"/>
      </w:divBdr>
    </w:div>
    <w:div w:id="1271742466">
      <w:bodyDiv w:val="1"/>
      <w:marLeft w:val="0"/>
      <w:marRight w:val="0"/>
      <w:marTop w:val="0"/>
      <w:marBottom w:val="0"/>
      <w:divBdr>
        <w:top w:val="none" w:sz="0" w:space="0" w:color="auto"/>
        <w:left w:val="none" w:sz="0" w:space="0" w:color="auto"/>
        <w:bottom w:val="none" w:sz="0" w:space="0" w:color="auto"/>
        <w:right w:val="none" w:sz="0" w:space="0" w:color="auto"/>
      </w:divBdr>
    </w:div>
    <w:div w:id="1287660576">
      <w:bodyDiv w:val="1"/>
      <w:marLeft w:val="0"/>
      <w:marRight w:val="0"/>
      <w:marTop w:val="0"/>
      <w:marBottom w:val="0"/>
      <w:divBdr>
        <w:top w:val="none" w:sz="0" w:space="0" w:color="auto"/>
        <w:left w:val="none" w:sz="0" w:space="0" w:color="auto"/>
        <w:bottom w:val="none" w:sz="0" w:space="0" w:color="auto"/>
        <w:right w:val="none" w:sz="0" w:space="0" w:color="auto"/>
      </w:divBdr>
    </w:div>
    <w:div w:id="1288664444">
      <w:bodyDiv w:val="1"/>
      <w:marLeft w:val="0"/>
      <w:marRight w:val="0"/>
      <w:marTop w:val="0"/>
      <w:marBottom w:val="0"/>
      <w:divBdr>
        <w:top w:val="none" w:sz="0" w:space="0" w:color="auto"/>
        <w:left w:val="none" w:sz="0" w:space="0" w:color="auto"/>
        <w:bottom w:val="none" w:sz="0" w:space="0" w:color="auto"/>
        <w:right w:val="none" w:sz="0" w:space="0" w:color="auto"/>
      </w:divBdr>
    </w:div>
    <w:div w:id="1307510025">
      <w:bodyDiv w:val="1"/>
      <w:marLeft w:val="0"/>
      <w:marRight w:val="0"/>
      <w:marTop w:val="0"/>
      <w:marBottom w:val="0"/>
      <w:divBdr>
        <w:top w:val="none" w:sz="0" w:space="0" w:color="auto"/>
        <w:left w:val="none" w:sz="0" w:space="0" w:color="auto"/>
        <w:bottom w:val="none" w:sz="0" w:space="0" w:color="auto"/>
        <w:right w:val="none" w:sz="0" w:space="0" w:color="auto"/>
      </w:divBdr>
    </w:div>
    <w:div w:id="1316059750">
      <w:bodyDiv w:val="1"/>
      <w:marLeft w:val="0"/>
      <w:marRight w:val="0"/>
      <w:marTop w:val="0"/>
      <w:marBottom w:val="0"/>
      <w:divBdr>
        <w:top w:val="none" w:sz="0" w:space="0" w:color="auto"/>
        <w:left w:val="none" w:sz="0" w:space="0" w:color="auto"/>
        <w:bottom w:val="none" w:sz="0" w:space="0" w:color="auto"/>
        <w:right w:val="none" w:sz="0" w:space="0" w:color="auto"/>
      </w:divBdr>
    </w:div>
    <w:div w:id="1331517735">
      <w:bodyDiv w:val="1"/>
      <w:marLeft w:val="0"/>
      <w:marRight w:val="0"/>
      <w:marTop w:val="0"/>
      <w:marBottom w:val="0"/>
      <w:divBdr>
        <w:top w:val="none" w:sz="0" w:space="0" w:color="auto"/>
        <w:left w:val="none" w:sz="0" w:space="0" w:color="auto"/>
        <w:bottom w:val="none" w:sz="0" w:space="0" w:color="auto"/>
        <w:right w:val="none" w:sz="0" w:space="0" w:color="auto"/>
      </w:divBdr>
    </w:div>
    <w:div w:id="1331760159">
      <w:bodyDiv w:val="1"/>
      <w:marLeft w:val="0"/>
      <w:marRight w:val="0"/>
      <w:marTop w:val="0"/>
      <w:marBottom w:val="0"/>
      <w:divBdr>
        <w:top w:val="none" w:sz="0" w:space="0" w:color="auto"/>
        <w:left w:val="none" w:sz="0" w:space="0" w:color="auto"/>
        <w:bottom w:val="none" w:sz="0" w:space="0" w:color="auto"/>
        <w:right w:val="none" w:sz="0" w:space="0" w:color="auto"/>
      </w:divBdr>
    </w:div>
    <w:div w:id="1339847313">
      <w:bodyDiv w:val="1"/>
      <w:marLeft w:val="0"/>
      <w:marRight w:val="0"/>
      <w:marTop w:val="0"/>
      <w:marBottom w:val="0"/>
      <w:divBdr>
        <w:top w:val="none" w:sz="0" w:space="0" w:color="auto"/>
        <w:left w:val="none" w:sz="0" w:space="0" w:color="auto"/>
        <w:bottom w:val="none" w:sz="0" w:space="0" w:color="auto"/>
        <w:right w:val="none" w:sz="0" w:space="0" w:color="auto"/>
      </w:divBdr>
    </w:div>
    <w:div w:id="1353385050">
      <w:bodyDiv w:val="1"/>
      <w:marLeft w:val="0"/>
      <w:marRight w:val="0"/>
      <w:marTop w:val="0"/>
      <w:marBottom w:val="0"/>
      <w:divBdr>
        <w:top w:val="none" w:sz="0" w:space="0" w:color="auto"/>
        <w:left w:val="none" w:sz="0" w:space="0" w:color="auto"/>
        <w:bottom w:val="none" w:sz="0" w:space="0" w:color="auto"/>
        <w:right w:val="none" w:sz="0" w:space="0" w:color="auto"/>
      </w:divBdr>
    </w:div>
    <w:div w:id="1357466432">
      <w:bodyDiv w:val="1"/>
      <w:marLeft w:val="0"/>
      <w:marRight w:val="0"/>
      <w:marTop w:val="0"/>
      <w:marBottom w:val="0"/>
      <w:divBdr>
        <w:top w:val="none" w:sz="0" w:space="0" w:color="auto"/>
        <w:left w:val="none" w:sz="0" w:space="0" w:color="auto"/>
        <w:bottom w:val="none" w:sz="0" w:space="0" w:color="auto"/>
        <w:right w:val="none" w:sz="0" w:space="0" w:color="auto"/>
      </w:divBdr>
    </w:div>
    <w:div w:id="1357845743">
      <w:bodyDiv w:val="1"/>
      <w:marLeft w:val="0"/>
      <w:marRight w:val="0"/>
      <w:marTop w:val="0"/>
      <w:marBottom w:val="0"/>
      <w:divBdr>
        <w:top w:val="none" w:sz="0" w:space="0" w:color="auto"/>
        <w:left w:val="none" w:sz="0" w:space="0" w:color="auto"/>
        <w:bottom w:val="none" w:sz="0" w:space="0" w:color="auto"/>
        <w:right w:val="none" w:sz="0" w:space="0" w:color="auto"/>
      </w:divBdr>
    </w:div>
    <w:div w:id="1367607827">
      <w:bodyDiv w:val="1"/>
      <w:marLeft w:val="0"/>
      <w:marRight w:val="0"/>
      <w:marTop w:val="0"/>
      <w:marBottom w:val="0"/>
      <w:divBdr>
        <w:top w:val="none" w:sz="0" w:space="0" w:color="auto"/>
        <w:left w:val="none" w:sz="0" w:space="0" w:color="auto"/>
        <w:bottom w:val="none" w:sz="0" w:space="0" w:color="auto"/>
        <w:right w:val="none" w:sz="0" w:space="0" w:color="auto"/>
      </w:divBdr>
    </w:div>
    <w:div w:id="1368288418">
      <w:bodyDiv w:val="1"/>
      <w:marLeft w:val="0"/>
      <w:marRight w:val="0"/>
      <w:marTop w:val="0"/>
      <w:marBottom w:val="0"/>
      <w:divBdr>
        <w:top w:val="none" w:sz="0" w:space="0" w:color="auto"/>
        <w:left w:val="none" w:sz="0" w:space="0" w:color="auto"/>
        <w:bottom w:val="none" w:sz="0" w:space="0" w:color="auto"/>
        <w:right w:val="none" w:sz="0" w:space="0" w:color="auto"/>
      </w:divBdr>
    </w:div>
    <w:div w:id="1376274795">
      <w:bodyDiv w:val="1"/>
      <w:marLeft w:val="0"/>
      <w:marRight w:val="0"/>
      <w:marTop w:val="0"/>
      <w:marBottom w:val="0"/>
      <w:divBdr>
        <w:top w:val="none" w:sz="0" w:space="0" w:color="auto"/>
        <w:left w:val="none" w:sz="0" w:space="0" w:color="auto"/>
        <w:bottom w:val="none" w:sz="0" w:space="0" w:color="auto"/>
        <w:right w:val="none" w:sz="0" w:space="0" w:color="auto"/>
      </w:divBdr>
    </w:div>
    <w:div w:id="1394961087">
      <w:bodyDiv w:val="1"/>
      <w:marLeft w:val="0"/>
      <w:marRight w:val="0"/>
      <w:marTop w:val="0"/>
      <w:marBottom w:val="0"/>
      <w:divBdr>
        <w:top w:val="none" w:sz="0" w:space="0" w:color="auto"/>
        <w:left w:val="none" w:sz="0" w:space="0" w:color="auto"/>
        <w:bottom w:val="none" w:sz="0" w:space="0" w:color="auto"/>
        <w:right w:val="none" w:sz="0" w:space="0" w:color="auto"/>
      </w:divBdr>
    </w:div>
    <w:div w:id="1433624444">
      <w:bodyDiv w:val="1"/>
      <w:marLeft w:val="0"/>
      <w:marRight w:val="0"/>
      <w:marTop w:val="0"/>
      <w:marBottom w:val="0"/>
      <w:divBdr>
        <w:top w:val="none" w:sz="0" w:space="0" w:color="auto"/>
        <w:left w:val="none" w:sz="0" w:space="0" w:color="auto"/>
        <w:bottom w:val="none" w:sz="0" w:space="0" w:color="auto"/>
        <w:right w:val="none" w:sz="0" w:space="0" w:color="auto"/>
      </w:divBdr>
    </w:div>
    <w:div w:id="1454054350">
      <w:bodyDiv w:val="1"/>
      <w:marLeft w:val="0"/>
      <w:marRight w:val="0"/>
      <w:marTop w:val="0"/>
      <w:marBottom w:val="0"/>
      <w:divBdr>
        <w:top w:val="none" w:sz="0" w:space="0" w:color="auto"/>
        <w:left w:val="none" w:sz="0" w:space="0" w:color="auto"/>
        <w:bottom w:val="none" w:sz="0" w:space="0" w:color="auto"/>
        <w:right w:val="none" w:sz="0" w:space="0" w:color="auto"/>
      </w:divBdr>
    </w:div>
    <w:div w:id="1469588636">
      <w:bodyDiv w:val="1"/>
      <w:marLeft w:val="0"/>
      <w:marRight w:val="0"/>
      <w:marTop w:val="0"/>
      <w:marBottom w:val="0"/>
      <w:divBdr>
        <w:top w:val="none" w:sz="0" w:space="0" w:color="auto"/>
        <w:left w:val="none" w:sz="0" w:space="0" w:color="auto"/>
        <w:bottom w:val="none" w:sz="0" w:space="0" w:color="auto"/>
        <w:right w:val="none" w:sz="0" w:space="0" w:color="auto"/>
      </w:divBdr>
    </w:div>
    <w:div w:id="1498351389">
      <w:bodyDiv w:val="1"/>
      <w:marLeft w:val="0"/>
      <w:marRight w:val="0"/>
      <w:marTop w:val="0"/>
      <w:marBottom w:val="0"/>
      <w:divBdr>
        <w:top w:val="none" w:sz="0" w:space="0" w:color="auto"/>
        <w:left w:val="none" w:sz="0" w:space="0" w:color="auto"/>
        <w:bottom w:val="none" w:sz="0" w:space="0" w:color="auto"/>
        <w:right w:val="none" w:sz="0" w:space="0" w:color="auto"/>
      </w:divBdr>
    </w:div>
    <w:div w:id="1512136359">
      <w:bodyDiv w:val="1"/>
      <w:marLeft w:val="0"/>
      <w:marRight w:val="0"/>
      <w:marTop w:val="0"/>
      <w:marBottom w:val="0"/>
      <w:divBdr>
        <w:top w:val="none" w:sz="0" w:space="0" w:color="auto"/>
        <w:left w:val="none" w:sz="0" w:space="0" w:color="auto"/>
        <w:bottom w:val="none" w:sz="0" w:space="0" w:color="auto"/>
        <w:right w:val="none" w:sz="0" w:space="0" w:color="auto"/>
      </w:divBdr>
    </w:div>
    <w:div w:id="1520267814">
      <w:bodyDiv w:val="1"/>
      <w:marLeft w:val="0"/>
      <w:marRight w:val="0"/>
      <w:marTop w:val="0"/>
      <w:marBottom w:val="0"/>
      <w:divBdr>
        <w:top w:val="none" w:sz="0" w:space="0" w:color="auto"/>
        <w:left w:val="none" w:sz="0" w:space="0" w:color="auto"/>
        <w:bottom w:val="none" w:sz="0" w:space="0" w:color="auto"/>
        <w:right w:val="none" w:sz="0" w:space="0" w:color="auto"/>
      </w:divBdr>
    </w:div>
    <w:div w:id="1530530401">
      <w:bodyDiv w:val="1"/>
      <w:marLeft w:val="0"/>
      <w:marRight w:val="0"/>
      <w:marTop w:val="0"/>
      <w:marBottom w:val="0"/>
      <w:divBdr>
        <w:top w:val="none" w:sz="0" w:space="0" w:color="auto"/>
        <w:left w:val="none" w:sz="0" w:space="0" w:color="auto"/>
        <w:bottom w:val="none" w:sz="0" w:space="0" w:color="auto"/>
        <w:right w:val="none" w:sz="0" w:space="0" w:color="auto"/>
      </w:divBdr>
    </w:div>
    <w:div w:id="1535926676">
      <w:bodyDiv w:val="1"/>
      <w:marLeft w:val="0"/>
      <w:marRight w:val="0"/>
      <w:marTop w:val="0"/>
      <w:marBottom w:val="0"/>
      <w:divBdr>
        <w:top w:val="none" w:sz="0" w:space="0" w:color="auto"/>
        <w:left w:val="none" w:sz="0" w:space="0" w:color="auto"/>
        <w:bottom w:val="none" w:sz="0" w:space="0" w:color="auto"/>
        <w:right w:val="none" w:sz="0" w:space="0" w:color="auto"/>
      </w:divBdr>
    </w:div>
    <w:div w:id="1548178286">
      <w:bodyDiv w:val="1"/>
      <w:marLeft w:val="0"/>
      <w:marRight w:val="0"/>
      <w:marTop w:val="0"/>
      <w:marBottom w:val="0"/>
      <w:divBdr>
        <w:top w:val="none" w:sz="0" w:space="0" w:color="auto"/>
        <w:left w:val="none" w:sz="0" w:space="0" w:color="auto"/>
        <w:bottom w:val="none" w:sz="0" w:space="0" w:color="auto"/>
        <w:right w:val="none" w:sz="0" w:space="0" w:color="auto"/>
      </w:divBdr>
      <w:divsChild>
        <w:div w:id="114519907">
          <w:marLeft w:val="0"/>
          <w:marRight w:val="0"/>
          <w:marTop w:val="0"/>
          <w:marBottom w:val="0"/>
          <w:divBdr>
            <w:top w:val="none" w:sz="0" w:space="0" w:color="auto"/>
            <w:left w:val="none" w:sz="0" w:space="0" w:color="auto"/>
            <w:bottom w:val="none" w:sz="0" w:space="0" w:color="auto"/>
            <w:right w:val="none" w:sz="0" w:space="0" w:color="auto"/>
          </w:divBdr>
        </w:div>
        <w:div w:id="626858195">
          <w:marLeft w:val="0"/>
          <w:marRight w:val="0"/>
          <w:marTop w:val="0"/>
          <w:marBottom w:val="0"/>
          <w:divBdr>
            <w:top w:val="none" w:sz="0" w:space="0" w:color="auto"/>
            <w:left w:val="none" w:sz="0" w:space="0" w:color="auto"/>
            <w:bottom w:val="none" w:sz="0" w:space="0" w:color="auto"/>
            <w:right w:val="none" w:sz="0" w:space="0" w:color="auto"/>
          </w:divBdr>
        </w:div>
        <w:div w:id="1102459356">
          <w:marLeft w:val="0"/>
          <w:marRight w:val="0"/>
          <w:marTop w:val="0"/>
          <w:marBottom w:val="0"/>
          <w:divBdr>
            <w:top w:val="none" w:sz="0" w:space="0" w:color="auto"/>
            <w:left w:val="none" w:sz="0" w:space="0" w:color="auto"/>
            <w:bottom w:val="none" w:sz="0" w:space="0" w:color="auto"/>
            <w:right w:val="none" w:sz="0" w:space="0" w:color="auto"/>
          </w:divBdr>
        </w:div>
      </w:divsChild>
    </w:div>
    <w:div w:id="1557399060">
      <w:bodyDiv w:val="1"/>
      <w:marLeft w:val="0"/>
      <w:marRight w:val="0"/>
      <w:marTop w:val="0"/>
      <w:marBottom w:val="0"/>
      <w:divBdr>
        <w:top w:val="none" w:sz="0" w:space="0" w:color="auto"/>
        <w:left w:val="none" w:sz="0" w:space="0" w:color="auto"/>
        <w:bottom w:val="none" w:sz="0" w:space="0" w:color="auto"/>
        <w:right w:val="none" w:sz="0" w:space="0" w:color="auto"/>
      </w:divBdr>
    </w:div>
    <w:div w:id="1560285420">
      <w:bodyDiv w:val="1"/>
      <w:marLeft w:val="0"/>
      <w:marRight w:val="0"/>
      <w:marTop w:val="0"/>
      <w:marBottom w:val="0"/>
      <w:divBdr>
        <w:top w:val="none" w:sz="0" w:space="0" w:color="auto"/>
        <w:left w:val="none" w:sz="0" w:space="0" w:color="auto"/>
        <w:bottom w:val="none" w:sz="0" w:space="0" w:color="auto"/>
        <w:right w:val="none" w:sz="0" w:space="0" w:color="auto"/>
      </w:divBdr>
    </w:div>
    <w:div w:id="1575820163">
      <w:bodyDiv w:val="1"/>
      <w:marLeft w:val="0"/>
      <w:marRight w:val="0"/>
      <w:marTop w:val="0"/>
      <w:marBottom w:val="0"/>
      <w:divBdr>
        <w:top w:val="none" w:sz="0" w:space="0" w:color="auto"/>
        <w:left w:val="none" w:sz="0" w:space="0" w:color="auto"/>
        <w:bottom w:val="none" w:sz="0" w:space="0" w:color="auto"/>
        <w:right w:val="none" w:sz="0" w:space="0" w:color="auto"/>
      </w:divBdr>
    </w:div>
    <w:div w:id="1579361862">
      <w:bodyDiv w:val="1"/>
      <w:marLeft w:val="0"/>
      <w:marRight w:val="0"/>
      <w:marTop w:val="0"/>
      <w:marBottom w:val="0"/>
      <w:divBdr>
        <w:top w:val="none" w:sz="0" w:space="0" w:color="auto"/>
        <w:left w:val="none" w:sz="0" w:space="0" w:color="auto"/>
        <w:bottom w:val="none" w:sz="0" w:space="0" w:color="auto"/>
        <w:right w:val="none" w:sz="0" w:space="0" w:color="auto"/>
      </w:divBdr>
    </w:div>
    <w:div w:id="1581478963">
      <w:bodyDiv w:val="1"/>
      <w:marLeft w:val="0"/>
      <w:marRight w:val="0"/>
      <w:marTop w:val="0"/>
      <w:marBottom w:val="0"/>
      <w:divBdr>
        <w:top w:val="none" w:sz="0" w:space="0" w:color="auto"/>
        <w:left w:val="none" w:sz="0" w:space="0" w:color="auto"/>
        <w:bottom w:val="none" w:sz="0" w:space="0" w:color="auto"/>
        <w:right w:val="none" w:sz="0" w:space="0" w:color="auto"/>
      </w:divBdr>
    </w:div>
    <w:div w:id="1590918609">
      <w:bodyDiv w:val="1"/>
      <w:marLeft w:val="0"/>
      <w:marRight w:val="0"/>
      <w:marTop w:val="0"/>
      <w:marBottom w:val="0"/>
      <w:divBdr>
        <w:top w:val="none" w:sz="0" w:space="0" w:color="auto"/>
        <w:left w:val="none" w:sz="0" w:space="0" w:color="auto"/>
        <w:bottom w:val="none" w:sz="0" w:space="0" w:color="auto"/>
        <w:right w:val="none" w:sz="0" w:space="0" w:color="auto"/>
      </w:divBdr>
    </w:div>
    <w:div w:id="1591622068">
      <w:bodyDiv w:val="1"/>
      <w:marLeft w:val="0"/>
      <w:marRight w:val="0"/>
      <w:marTop w:val="0"/>
      <w:marBottom w:val="0"/>
      <w:divBdr>
        <w:top w:val="none" w:sz="0" w:space="0" w:color="auto"/>
        <w:left w:val="none" w:sz="0" w:space="0" w:color="auto"/>
        <w:bottom w:val="none" w:sz="0" w:space="0" w:color="auto"/>
        <w:right w:val="none" w:sz="0" w:space="0" w:color="auto"/>
      </w:divBdr>
    </w:div>
    <w:div w:id="1612711689">
      <w:bodyDiv w:val="1"/>
      <w:marLeft w:val="0"/>
      <w:marRight w:val="0"/>
      <w:marTop w:val="0"/>
      <w:marBottom w:val="0"/>
      <w:divBdr>
        <w:top w:val="none" w:sz="0" w:space="0" w:color="auto"/>
        <w:left w:val="none" w:sz="0" w:space="0" w:color="auto"/>
        <w:bottom w:val="none" w:sz="0" w:space="0" w:color="auto"/>
        <w:right w:val="none" w:sz="0" w:space="0" w:color="auto"/>
      </w:divBdr>
    </w:div>
    <w:div w:id="1642535064">
      <w:bodyDiv w:val="1"/>
      <w:marLeft w:val="0"/>
      <w:marRight w:val="0"/>
      <w:marTop w:val="0"/>
      <w:marBottom w:val="0"/>
      <w:divBdr>
        <w:top w:val="none" w:sz="0" w:space="0" w:color="auto"/>
        <w:left w:val="none" w:sz="0" w:space="0" w:color="auto"/>
        <w:bottom w:val="none" w:sz="0" w:space="0" w:color="auto"/>
        <w:right w:val="none" w:sz="0" w:space="0" w:color="auto"/>
      </w:divBdr>
    </w:div>
    <w:div w:id="1648122164">
      <w:bodyDiv w:val="1"/>
      <w:marLeft w:val="0"/>
      <w:marRight w:val="0"/>
      <w:marTop w:val="0"/>
      <w:marBottom w:val="0"/>
      <w:divBdr>
        <w:top w:val="none" w:sz="0" w:space="0" w:color="auto"/>
        <w:left w:val="none" w:sz="0" w:space="0" w:color="auto"/>
        <w:bottom w:val="none" w:sz="0" w:space="0" w:color="auto"/>
        <w:right w:val="none" w:sz="0" w:space="0" w:color="auto"/>
      </w:divBdr>
    </w:div>
    <w:div w:id="1655601921">
      <w:bodyDiv w:val="1"/>
      <w:marLeft w:val="0"/>
      <w:marRight w:val="0"/>
      <w:marTop w:val="0"/>
      <w:marBottom w:val="0"/>
      <w:divBdr>
        <w:top w:val="none" w:sz="0" w:space="0" w:color="auto"/>
        <w:left w:val="none" w:sz="0" w:space="0" w:color="auto"/>
        <w:bottom w:val="none" w:sz="0" w:space="0" w:color="auto"/>
        <w:right w:val="none" w:sz="0" w:space="0" w:color="auto"/>
      </w:divBdr>
    </w:div>
    <w:div w:id="1740206544">
      <w:bodyDiv w:val="1"/>
      <w:marLeft w:val="0"/>
      <w:marRight w:val="0"/>
      <w:marTop w:val="0"/>
      <w:marBottom w:val="0"/>
      <w:divBdr>
        <w:top w:val="none" w:sz="0" w:space="0" w:color="auto"/>
        <w:left w:val="none" w:sz="0" w:space="0" w:color="auto"/>
        <w:bottom w:val="none" w:sz="0" w:space="0" w:color="auto"/>
        <w:right w:val="none" w:sz="0" w:space="0" w:color="auto"/>
      </w:divBdr>
    </w:div>
    <w:div w:id="1753088075">
      <w:bodyDiv w:val="1"/>
      <w:marLeft w:val="0"/>
      <w:marRight w:val="0"/>
      <w:marTop w:val="0"/>
      <w:marBottom w:val="0"/>
      <w:divBdr>
        <w:top w:val="none" w:sz="0" w:space="0" w:color="auto"/>
        <w:left w:val="none" w:sz="0" w:space="0" w:color="auto"/>
        <w:bottom w:val="none" w:sz="0" w:space="0" w:color="auto"/>
        <w:right w:val="none" w:sz="0" w:space="0" w:color="auto"/>
      </w:divBdr>
    </w:div>
    <w:div w:id="1765344075">
      <w:bodyDiv w:val="1"/>
      <w:marLeft w:val="0"/>
      <w:marRight w:val="0"/>
      <w:marTop w:val="0"/>
      <w:marBottom w:val="0"/>
      <w:divBdr>
        <w:top w:val="none" w:sz="0" w:space="0" w:color="auto"/>
        <w:left w:val="none" w:sz="0" w:space="0" w:color="auto"/>
        <w:bottom w:val="none" w:sz="0" w:space="0" w:color="auto"/>
        <w:right w:val="none" w:sz="0" w:space="0" w:color="auto"/>
      </w:divBdr>
    </w:div>
    <w:div w:id="1768190773">
      <w:bodyDiv w:val="1"/>
      <w:marLeft w:val="0"/>
      <w:marRight w:val="0"/>
      <w:marTop w:val="0"/>
      <w:marBottom w:val="0"/>
      <w:divBdr>
        <w:top w:val="none" w:sz="0" w:space="0" w:color="auto"/>
        <w:left w:val="none" w:sz="0" w:space="0" w:color="auto"/>
        <w:bottom w:val="none" w:sz="0" w:space="0" w:color="auto"/>
        <w:right w:val="none" w:sz="0" w:space="0" w:color="auto"/>
      </w:divBdr>
    </w:div>
    <w:div w:id="1768427568">
      <w:bodyDiv w:val="1"/>
      <w:marLeft w:val="0"/>
      <w:marRight w:val="0"/>
      <w:marTop w:val="0"/>
      <w:marBottom w:val="0"/>
      <w:divBdr>
        <w:top w:val="none" w:sz="0" w:space="0" w:color="auto"/>
        <w:left w:val="none" w:sz="0" w:space="0" w:color="auto"/>
        <w:bottom w:val="none" w:sz="0" w:space="0" w:color="auto"/>
        <w:right w:val="none" w:sz="0" w:space="0" w:color="auto"/>
      </w:divBdr>
    </w:div>
    <w:div w:id="1770465118">
      <w:bodyDiv w:val="1"/>
      <w:marLeft w:val="0"/>
      <w:marRight w:val="0"/>
      <w:marTop w:val="0"/>
      <w:marBottom w:val="0"/>
      <w:divBdr>
        <w:top w:val="none" w:sz="0" w:space="0" w:color="auto"/>
        <w:left w:val="none" w:sz="0" w:space="0" w:color="auto"/>
        <w:bottom w:val="none" w:sz="0" w:space="0" w:color="auto"/>
        <w:right w:val="none" w:sz="0" w:space="0" w:color="auto"/>
      </w:divBdr>
    </w:div>
    <w:div w:id="1779645381">
      <w:bodyDiv w:val="1"/>
      <w:marLeft w:val="0"/>
      <w:marRight w:val="0"/>
      <w:marTop w:val="0"/>
      <w:marBottom w:val="0"/>
      <w:divBdr>
        <w:top w:val="none" w:sz="0" w:space="0" w:color="auto"/>
        <w:left w:val="none" w:sz="0" w:space="0" w:color="auto"/>
        <w:bottom w:val="none" w:sz="0" w:space="0" w:color="auto"/>
        <w:right w:val="none" w:sz="0" w:space="0" w:color="auto"/>
      </w:divBdr>
      <w:divsChild>
        <w:div w:id="859321057">
          <w:marLeft w:val="0"/>
          <w:marRight w:val="0"/>
          <w:marTop w:val="0"/>
          <w:marBottom w:val="0"/>
          <w:divBdr>
            <w:top w:val="none" w:sz="0" w:space="0" w:color="auto"/>
            <w:left w:val="none" w:sz="0" w:space="0" w:color="auto"/>
            <w:bottom w:val="none" w:sz="0" w:space="0" w:color="auto"/>
            <w:right w:val="none" w:sz="0" w:space="0" w:color="auto"/>
          </w:divBdr>
        </w:div>
      </w:divsChild>
    </w:div>
    <w:div w:id="1804496828">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19492551">
      <w:bodyDiv w:val="1"/>
      <w:marLeft w:val="0"/>
      <w:marRight w:val="0"/>
      <w:marTop w:val="0"/>
      <w:marBottom w:val="0"/>
      <w:divBdr>
        <w:top w:val="none" w:sz="0" w:space="0" w:color="auto"/>
        <w:left w:val="none" w:sz="0" w:space="0" w:color="auto"/>
        <w:bottom w:val="none" w:sz="0" w:space="0" w:color="auto"/>
        <w:right w:val="none" w:sz="0" w:space="0" w:color="auto"/>
      </w:divBdr>
    </w:div>
    <w:div w:id="1828278397">
      <w:bodyDiv w:val="1"/>
      <w:marLeft w:val="0"/>
      <w:marRight w:val="0"/>
      <w:marTop w:val="0"/>
      <w:marBottom w:val="0"/>
      <w:divBdr>
        <w:top w:val="none" w:sz="0" w:space="0" w:color="auto"/>
        <w:left w:val="none" w:sz="0" w:space="0" w:color="auto"/>
        <w:bottom w:val="none" w:sz="0" w:space="0" w:color="auto"/>
        <w:right w:val="none" w:sz="0" w:space="0" w:color="auto"/>
      </w:divBdr>
    </w:div>
    <w:div w:id="1865626959">
      <w:bodyDiv w:val="1"/>
      <w:marLeft w:val="0"/>
      <w:marRight w:val="0"/>
      <w:marTop w:val="0"/>
      <w:marBottom w:val="0"/>
      <w:divBdr>
        <w:top w:val="none" w:sz="0" w:space="0" w:color="auto"/>
        <w:left w:val="none" w:sz="0" w:space="0" w:color="auto"/>
        <w:bottom w:val="none" w:sz="0" w:space="0" w:color="auto"/>
        <w:right w:val="none" w:sz="0" w:space="0" w:color="auto"/>
      </w:divBdr>
    </w:div>
    <w:div w:id="1877430017">
      <w:bodyDiv w:val="1"/>
      <w:marLeft w:val="0"/>
      <w:marRight w:val="0"/>
      <w:marTop w:val="0"/>
      <w:marBottom w:val="0"/>
      <w:divBdr>
        <w:top w:val="none" w:sz="0" w:space="0" w:color="auto"/>
        <w:left w:val="none" w:sz="0" w:space="0" w:color="auto"/>
        <w:bottom w:val="none" w:sz="0" w:space="0" w:color="auto"/>
        <w:right w:val="none" w:sz="0" w:space="0" w:color="auto"/>
      </w:divBdr>
    </w:div>
    <w:div w:id="1881165698">
      <w:bodyDiv w:val="1"/>
      <w:marLeft w:val="0"/>
      <w:marRight w:val="0"/>
      <w:marTop w:val="0"/>
      <w:marBottom w:val="0"/>
      <w:divBdr>
        <w:top w:val="none" w:sz="0" w:space="0" w:color="auto"/>
        <w:left w:val="none" w:sz="0" w:space="0" w:color="auto"/>
        <w:bottom w:val="none" w:sz="0" w:space="0" w:color="auto"/>
        <w:right w:val="none" w:sz="0" w:space="0" w:color="auto"/>
      </w:divBdr>
    </w:div>
    <w:div w:id="1894415873">
      <w:bodyDiv w:val="1"/>
      <w:marLeft w:val="0"/>
      <w:marRight w:val="0"/>
      <w:marTop w:val="0"/>
      <w:marBottom w:val="0"/>
      <w:divBdr>
        <w:top w:val="none" w:sz="0" w:space="0" w:color="auto"/>
        <w:left w:val="none" w:sz="0" w:space="0" w:color="auto"/>
        <w:bottom w:val="none" w:sz="0" w:space="0" w:color="auto"/>
        <w:right w:val="none" w:sz="0" w:space="0" w:color="auto"/>
      </w:divBdr>
    </w:div>
    <w:div w:id="1899777906">
      <w:bodyDiv w:val="1"/>
      <w:marLeft w:val="0"/>
      <w:marRight w:val="0"/>
      <w:marTop w:val="0"/>
      <w:marBottom w:val="0"/>
      <w:divBdr>
        <w:top w:val="none" w:sz="0" w:space="0" w:color="auto"/>
        <w:left w:val="none" w:sz="0" w:space="0" w:color="auto"/>
        <w:bottom w:val="none" w:sz="0" w:space="0" w:color="auto"/>
        <w:right w:val="none" w:sz="0" w:space="0" w:color="auto"/>
      </w:divBdr>
    </w:div>
    <w:div w:id="1907832670">
      <w:bodyDiv w:val="1"/>
      <w:marLeft w:val="0"/>
      <w:marRight w:val="0"/>
      <w:marTop w:val="0"/>
      <w:marBottom w:val="0"/>
      <w:divBdr>
        <w:top w:val="none" w:sz="0" w:space="0" w:color="auto"/>
        <w:left w:val="none" w:sz="0" w:space="0" w:color="auto"/>
        <w:bottom w:val="none" w:sz="0" w:space="0" w:color="auto"/>
        <w:right w:val="none" w:sz="0" w:space="0" w:color="auto"/>
      </w:divBdr>
    </w:div>
    <w:div w:id="1935749120">
      <w:bodyDiv w:val="1"/>
      <w:marLeft w:val="0"/>
      <w:marRight w:val="0"/>
      <w:marTop w:val="0"/>
      <w:marBottom w:val="0"/>
      <w:divBdr>
        <w:top w:val="none" w:sz="0" w:space="0" w:color="auto"/>
        <w:left w:val="none" w:sz="0" w:space="0" w:color="auto"/>
        <w:bottom w:val="none" w:sz="0" w:space="0" w:color="auto"/>
        <w:right w:val="none" w:sz="0" w:space="0" w:color="auto"/>
      </w:divBdr>
    </w:div>
    <w:div w:id="1953395012">
      <w:bodyDiv w:val="1"/>
      <w:marLeft w:val="0"/>
      <w:marRight w:val="0"/>
      <w:marTop w:val="0"/>
      <w:marBottom w:val="0"/>
      <w:divBdr>
        <w:top w:val="none" w:sz="0" w:space="0" w:color="auto"/>
        <w:left w:val="none" w:sz="0" w:space="0" w:color="auto"/>
        <w:bottom w:val="none" w:sz="0" w:space="0" w:color="auto"/>
        <w:right w:val="none" w:sz="0" w:space="0" w:color="auto"/>
      </w:divBdr>
    </w:div>
    <w:div w:id="1967275778">
      <w:bodyDiv w:val="1"/>
      <w:marLeft w:val="0"/>
      <w:marRight w:val="0"/>
      <w:marTop w:val="0"/>
      <w:marBottom w:val="0"/>
      <w:divBdr>
        <w:top w:val="none" w:sz="0" w:space="0" w:color="auto"/>
        <w:left w:val="none" w:sz="0" w:space="0" w:color="auto"/>
        <w:bottom w:val="none" w:sz="0" w:space="0" w:color="auto"/>
        <w:right w:val="none" w:sz="0" w:space="0" w:color="auto"/>
      </w:divBdr>
    </w:div>
    <w:div w:id="1977711707">
      <w:bodyDiv w:val="1"/>
      <w:marLeft w:val="0"/>
      <w:marRight w:val="0"/>
      <w:marTop w:val="0"/>
      <w:marBottom w:val="0"/>
      <w:divBdr>
        <w:top w:val="none" w:sz="0" w:space="0" w:color="auto"/>
        <w:left w:val="none" w:sz="0" w:space="0" w:color="auto"/>
        <w:bottom w:val="none" w:sz="0" w:space="0" w:color="auto"/>
        <w:right w:val="none" w:sz="0" w:space="0" w:color="auto"/>
      </w:divBdr>
    </w:div>
    <w:div w:id="1984845510">
      <w:bodyDiv w:val="1"/>
      <w:marLeft w:val="0"/>
      <w:marRight w:val="0"/>
      <w:marTop w:val="0"/>
      <w:marBottom w:val="0"/>
      <w:divBdr>
        <w:top w:val="none" w:sz="0" w:space="0" w:color="auto"/>
        <w:left w:val="none" w:sz="0" w:space="0" w:color="auto"/>
        <w:bottom w:val="none" w:sz="0" w:space="0" w:color="auto"/>
        <w:right w:val="none" w:sz="0" w:space="0" w:color="auto"/>
      </w:divBdr>
    </w:div>
    <w:div w:id="1997345448">
      <w:bodyDiv w:val="1"/>
      <w:marLeft w:val="0"/>
      <w:marRight w:val="0"/>
      <w:marTop w:val="0"/>
      <w:marBottom w:val="0"/>
      <w:divBdr>
        <w:top w:val="none" w:sz="0" w:space="0" w:color="auto"/>
        <w:left w:val="none" w:sz="0" w:space="0" w:color="auto"/>
        <w:bottom w:val="none" w:sz="0" w:space="0" w:color="auto"/>
        <w:right w:val="none" w:sz="0" w:space="0" w:color="auto"/>
      </w:divBdr>
    </w:div>
    <w:div w:id="2003073205">
      <w:bodyDiv w:val="1"/>
      <w:marLeft w:val="0"/>
      <w:marRight w:val="0"/>
      <w:marTop w:val="0"/>
      <w:marBottom w:val="0"/>
      <w:divBdr>
        <w:top w:val="none" w:sz="0" w:space="0" w:color="auto"/>
        <w:left w:val="none" w:sz="0" w:space="0" w:color="auto"/>
        <w:bottom w:val="none" w:sz="0" w:space="0" w:color="auto"/>
        <w:right w:val="none" w:sz="0" w:space="0" w:color="auto"/>
      </w:divBdr>
    </w:div>
    <w:div w:id="2027906852">
      <w:bodyDiv w:val="1"/>
      <w:marLeft w:val="0"/>
      <w:marRight w:val="0"/>
      <w:marTop w:val="0"/>
      <w:marBottom w:val="0"/>
      <w:divBdr>
        <w:top w:val="none" w:sz="0" w:space="0" w:color="auto"/>
        <w:left w:val="none" w:sz="0" w:space="0" w:color="auto"/>
        <w:bottom w:val="none" w:sz="0" w:space="0" w:color="auto"/>
        <w:right w:val="none" w:sz="0" w:space="0" w:color="auto"/>
      </w:divBdr>
    </w:div>
    <w:div w:id="2029410748">
      <w:bodyDiv w:val="1"/>
      <w:marLeft w:val="0"/>
      <w:marRight w:val="0"/>
      <w:marTop w:val="0"/>
      <w:marBottom w:val="0"/>
      <w:divBdr>
        <w:top w:val="none" w:sz="0" w:space="0" w:color="auto"/>
        <w:left w:val="none" w:sz="0" w:space="0" w:color="auto"/>
        <w:bottom w:val="none" w:sz="0" w:space="0" w:color="auto"/>
        <w:right w:val="none" w:sz="0" w:space="0" w:color="auto"/>
      </w:divBdr>
    </w:div>
    <w:div w:id="2041128785">
      <w:bodyDiv w:val="1"/>
      <w:marLeft w:val="0"/>
      <w:marRight w:val="0"/>
      <w:marTop w:val="0"/>
      <w:marBottom w:val="0"/>
      <w:divBdr>
        <w:top w:val="none" w:sz="0" w:space="0" w:color="auto"/>
        <w:left w:val="none" w:sz="0" w:space="0" w:color="auto"/>
        <w:bottom w:val="none" w:sz="0" w:space="0" w:color="auto"/>
        <w:right w:val="none" w:sz="0" w:space="0" w:color="auto"/>
      </w:divBdr>
    </w:div>
    <w:div w:id="2057387678">
      <w:bodyDiv w:val="1"/>
      <w:marLeft w:val="0"/>
      <w:marRight w:val="0"/>
      <w:marTop w:val="0"/>
      <w:marBottom w:val="0"/>
      <w:divBdr>
        <w:top w:val="none" w:sz="0" w:space="0" w:color="auto"/>
        <w:left w:val="none" w:sz="0" w:space="0" w:color="auto"/>
        <w:bottom w:val="none" w:sz="0" w:space="0" w:color="auto"/>
        <w:right w:val="none" w:sz="0" w:space="0" w:color="auto"/>
      </w:divBdr>
    </w:div>
    <w:div w:id="2058435391">
      <w:bodyDiv w:val="1"/>
      <w:marLeft w:val="0"/>
      <w:marRight w:val="0"/>
      <w:marTop w:val="0"/>
      <w:marBottom w:val="0"/>
      <w:divBdr>
        <w:top w:val="none" w:sz="0" w:space="0" w:color="auto"/>
        <w:left w:val="none" w:sz="0" w:space="0" w:color="auto"/>
        <w:bottom w:val="none" w:sz="0" w:space="0" w:color="auto"/>
        <w:right w:val="none" w:sz="0" w:space="0" w:color="auto"/>
      </w:divBdr>
    </w:div>
    <w:div w:id="2059282736">
      <w:bodyDiv w:val="1"/>
      <w:marLeft w:val="0"/>
      <w:marRight w:val="0"/>
      <w:marTop w:val="0"/>
      <w:marBottom w:val="0"/>
      <w:divBdr>
        <w:top w:val="none" w:sz="0" w:space="0" w:color="auto"/>
        <w:left w:val="none" w:sz="0" w:space="0" w:color="auto"/>
        <w:bottom w:val="none" w:sz="0" w:space="0" w:color="auto"/>
        <w:right w:val="none" w:sz="0" w:space="0" w:color="auto"/>
      </w:divBdr>
    </w:div>
    <w:div w:id="2074961612">
      <w:bodyDiv w:val="1"/>
      <w:marLeft w:val="0"/>
      <w:marRight w:val="0"/>
      <w:marTop w:val="0"/>
      <w:marBottom w:val="0"/>
      <w:divBdr>
        <w:top w:val="none" w:sz="0" w:space="0" w:color="auto"/>
        <w:left w:val="none" w:sz="0" w:space="0" w:color="auto"/>
        <w:bottom w:val="none" w:sz="0" w:space="0" w:color="auto"/>
        <w:right w:val="none" w:sz="0" w:space="0" w:color="auto"/>
      </w:divBdr>
    </w:div>
    <w:div w:id="2076127939">
      <w:bodyDiv w:val="1"/>
      <w:marLeft w:val="0"/>
      <w:marRight w:val="0"/>
      <w:marTop w:val="0"/>
      <w:marBottom w:val="0"/>
      <w:divBdr>
        <w:top w:val="none" w:sz="0" w:space="0" w:color="auto"/>
        <w:left w:val="none" w:sz="0" w:space="0" w:color="auto"/>
        <w:bottom w:val="none" w:sz="0" w:space="0" w:color="auto"/>
        <w:right w:val="none" w:sz="0" w:space="0" w:color="auto"/>
      </w:divBdr>
    </w:div>
    <w:div w:id="213517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52021SC0382" TargetMode="External"/><Relationship Id="rId2" Type="http://schemas.openxmlformats.org/officeDocument/2006/relationships/hyperlink" Target="https://eur-lex.europa.eu/legal-content/EN/TXT/?uri=CELEX%3A52020SC0339" TargetMode="External"/><Relationship Id="rId1" Type="http://schemas.openxmlformats.org/officeDocument/2006/relationships/hyperlink" Target="https://eur-lex.europa.eu/legal-content/EN/ALL/?uri=CELEX%3A52019SC0434" TargetMode="External"/><Relationship Id="rId6" Type="http://schemas.openxmlformats.org/officeDocument/2006/relationships/hyperlink" Target="https://eur-lex.europa.eu/legal-content/HR/TXT/PDF/?uri=OJ:L_202302879" TargetMode="External"/><Relationship Id="rId5" Type="http://schemas.openxmlformats.org/officeDocument/2006/relationships/hyperlink" Target="https://eur-lex.europa.eu/legal-content/HR/TXT/?uri=CELEX%3A32019D2151" TargetMode="External"/><Relationship Id="rId4" Type="http://schemas.openxmlformats.org/officeDocument/2006/relationships/hyperlink" Target="https://eur-lex.europa.eu/legal-content/EN/TXT/?uri=CELEX%3A52023SC0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Time xmlns="e86f98c8-5bee-4303-b044-4868befda941" xsi:nil="true"/>
    <lcf76f155ced4ddcb4097134ff3c332f xmlns="e86f98c8-5bee-4303-b044-4868befda94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9dc7fe97-3d28-4a79-b06d-1085225914f7" xsi:nil="true"/>
    <Comments xmlns="e86f98c8-5bee-4303-b044-4868befda941" xsi:nil="true"/>
    <_x0032_0230211_x002d_B3_x002d_DDS2Weeklycall xmlns="e86f98c8-5bee-4303-b044-4868befda9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E15B4D829D1E4BA814275B69D7246D" ma:contentTypeVersion="15" ma:contentTypeDescription="Create a new document." ma:contentTypeScope="" ma:versionID="9c5c5c4cb7c26d41cc5243ff7c57a641">
  <xsd:schema xmlns:xsd="http://www.w3.org/2001/XMLSchema" xmlns:xs="http://www.w3.org/2001/XMLSchema" xmlns:p="http://schemas.microsoft.com/office/2006/metadata/properties" xmlns:ns2="e86f98c8-5bee-4303-b044-4868befda941" xmlns:ns3="9dc7fe97-3d28-4a79-b06d-1085225914f7" targetNamespace="http://schemas.microsoft.com/office/2006/metadata/properties" ma:root="true" ma:fieldsID="62e81ce48a95b3ed0f156ffc1aa68ed1" ns2:_="" ns3:_="">
    <xsd:import namespace="e86f98c8-5bee-4303-b044-4868befda941"/>
    <xsd:import namespace="9dc7fe97-3d28-4a79-b06d-1085225914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ateTime" minOccurs="0"/>
                <xsd:element ref="ns2:_x0032_0230211_x002d_B3_x002d_DDS2Weeklycall"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f98c8-5bee-4303-b044-4868befda9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c8f4d1-0548-410f-82ab-424def43fff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DateTime" ma:index="20" nillable="true" ma:displayName="DateTime" ma:format="DateOnly" ma:internalName="DateTime">
      <xsd:simpleType>
        <xsd:restriction base="dms:DateTime"/>
      </xsd:simpleType>
    </xsd:element>
    <xsd:element name="_x0032_0230211_x002d_B3_x002d_DDS2Weeklycall" ma:index="21" nillable="true" ma:displayName="20230211 - B3 - DDS2 Weekly call" ma:format="Dropdown" ma:internalName="_x0032_0230211_x002d_B3_x002d_DDS2Weeklycall">
      <xsd:simpleType>
        <xsd:restriction base="dms:Text">
          <xsd:maxLength value="255"/>
        </xsd:restriction>
      </xsd:simpleType>
    </xsd:element>
    <xsd:element name="Comments" ma:index="22"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c7fe97-3d28-4a79-b06d-1085225914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639d1a-4756-4c06-bb5d-ab863e43f827}" ma:internalName="TaxCatchAll" ma:showField="CatchAllData" ma:web="9dc7fe97-3d28-4a79-b06d-108522591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2EC0-A174-4988-8D5D-D2DDED938424}">
  <ds:schemaRefs>
    <ds:schemaRef ds:uri="http://schemas.microsoft.com/office/2006/metadata/properties"/>
    <ds:schemaRef ds:uri="http://schemas.microsoft.com/office/infopath/2007/PartnerControls"/>
    <ds:schemaRef ds:uri="e86f98c8-5bee-4303-b044-4868befda941"/>
    <ds:schemaRef ds:uri="9dc7fe97-3d28-4a79-b06d-1085225914f7"/>
  </ds:schemaRefs>
</ds:datastoreItem>
</file>

<file path=customXml/itemProps2.xml><?xml version="1.0" encoding="utf-8"?>
<ds:datastoreItem xmlns:ds="http://schemas.openxmlformats.org/officeDocument/2006/customXml" ds:itemID="{A454CB98-D16C-4A5B-B3BD-222EA8F5D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f98c8-5bee-4303-b044-4868befda941"/>
    <ds:schemaRef ds:uri="9dc7fe97-3d28-4a79-b06d-108522591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83596-A31E-4AD8-8B22-E48CB2EE9970}">
  <ds:schemaRefs>
    <ds:schemaRef ds:uri="http://schemas.microsoft.com/sharepoint/v3/contenttype/forms"/>
  </ds:schemaRefs>
</ds:datastoreItem>
</file>

<file path=customXml/itemProps4.xml><?xml version="1.0" encoding="utf-8"?>
<ds:datastoreItem xmlns:ds="http://schemas.openxmlformats.org/officeDocument/2006/customXml" ds:itemID="{D476BAAC-325A-4813-9EE8-7680D6341D30}">
  <ds:schemaRefs>
    <ds:schemaRef ds:uri="http://schemas.openxmlformats.org/officeDocument/2006/bibliography"/>
  </ds:schemaRefs>
</ds:datastoreItem>
</file>

<file path=docMetadata/LabelInfo.xml><?xml version="1.0" encoding="utf-8"?>
<clbl:labelList xmlns:clbl="http://schemas.microsoft.com/office/2020/mipLabelMetadata">
  <clbl:label id="{7808e005-1489-4374-954b-d3b08f193920}" enabled="0" method="" siteId="{7808e005-1489-4374-954b-d3b08f193920}" removed="1"/>
</clbl:labelList>
</file>

<file path=docProps/app.xml><?xml version="1.0" encoding="utf-8"?>
<Properties xmlns="http://schemas.openxmlformats.org/officeDocument/2006/extended-properties" xmlns:vt="http://schemas.openxmlformats.org/officeDocument/2006/docPropsVTypes">
  <Template>Normal.dotm</Template>
  <TotalTime>38</TotalTime>
  <Pages>10</Pages>
  <Words>7934</Words>
  <Characters>45226</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UCC Work Programme Annual Progress Report 2023</vt:lpstr>
    </vt:vector>
  </TitlesOfParts>
  <Manager/>
  <Company/>
  <LinksUpToDate>false</LinksUpToDate>
  <CharactersWithSpaces>53054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UCC Work Programme Annual Progress Report 2023</dc:title>
  <dc:subject/>
  <dc:creator/>
  <cp:keywords>UCC, Work Programme</cp:keywords>
  <cp:lastModifiedBy/>
  <cp:revision>10</cp:revision>
  <cp:lastPrinted>2024-05-16T00:09:00Z</cp:lastPrinted>
  <dcterms:created xsi:type="dcterms:W3CDTF">2024-08-01T12:19:00Z</dcterms:created>
  <dcterms:modified xsi:type="dcterms:W3CDTF">2024-09-09T07:47:00Z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9.0, Build 20230317</vt:lpwstr>
  </property>
  <property fmtid="{D5CDD505-2E9C-101B-9397-08002B2CF9AE}" pid="8" name="Created using">
    <vt:lpwstr>LW 7.0, Build 20190717</vt:lpwstr>
  </property>
  <property fmtid="{D5CDD505-2E9C-101B-9397-08002B2CF9AE}" pid="9" name="Docear4Word_StyleTitle">
    <vt:lpwstr>Modern Language Association with URL</vt:lpwstr>
  </property>
  <property fmtid="{D5CDD505-2E9C-101B-9397-08002B2CF9AE}" pid="10" name="_LW_INVALIDATED__LW_INVALIDATED__LW_INVALIDATED_ContentTypeId">
    <vt:lpwstr>0x010100258AA79CEB83498886A3A08681123250001ADDC396B85D904E92F5615562E9313A</vt:lpwstr>
  </property>
  <property fmtid="{D5CDD505-2E9C-101B-9397-08002B2CF9AE}" pid="11" name="SfRFilename">
    <vt:lpwstr>UCC_ANNUAL_2022_REPORT_FROM_COMMISSION_EN_v0.10.docx</vt:lpwstr>
  </property>
  <property fmtid="{D5CDD505-2E9C-101B-9397-08002B2CF9AE}" pid="12" name="QCNumber">
    <vt:lpwstr>unknown</vt:lpwstr>
  </property>
  <property fmtid="{D5CDD505-2E9C-101B-9397-08002B2CF9AE}" pid="13" name="MSIP_Label_6bd9ddd1-4d20-43f6-abfa-fc3c07406f94_Enabled">
    <vt:lpwstr>true</vt:lpwstr>
  </property>
  <property fmtid="{D5CDD505-2E9C-101B-9397-08002B2CF9AE}" pid="14" name="MSIP_Label_6bd9ddd1-4d20-43f6-abfa-fc3c07406f94_SetDate">
    <vt:lpwstr>2022-07-05T09:25:00Z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a860cadf-15c9-4ee5-9769-918e021aa308</vt:lpwstr>
  </property>
  <property fmtid="{D5CDD505-2E9C-101B-9397-08002B2CF9AE}" pid="19" name="MSIP_Label_6bd9ddd1-4d20-43f6-abfa-fc3c07406f94_ContentBits">
    <vt:lpwstr>0</vt:lpwstr>
  </property>
  <property fmtid="{D5CDD505-2E9C-101B-9397-08002B2CF9AE}" pid="20" name="ContentTypeId">
    <vt:lpwstr>0x010100ACE15B4D829D1E4BA814275B69D7246D</vt:lpwstr>
  </property>
  <property fmtid="{D5CDD505-2E9C-101B-9397-08002B2CF9AE}" pid="21" name="MediaServiceImageTags">
    <vt:lpwstr/>
  </property>
  <property fmtid="{D5CDD505-2E9C-101B-9397-08002B2CF9AE}" pid="22" name="GrammarlyDocumentId">
    <vt:lpwstr>5e5099c6c80a1f34ab07218328d473abbcd36312e402a2ce6f0274c959da036b</vt:lpwstr>
  </property>
  <property name="OP_sanitized" fmtid="{D5CDD505-2E9C-101B-9397-08002B2CF9AE}" pid="23">
    <vt:lpwstr>True</vt:lpwstr>
  </property>
</Properties>
</file>