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8A027" w14:textId="57BF61C5" w:rsidR="00F6213C" w:rsidRPr="002912D7" w:rsidRDefault="00E80077" w:rsidP="00E80077">
      <w:pPr>
        <w:pStyle w:val="Pagedecouverture"/>
        <w:rPr>
          <w:noProof/>
          <w:lang w:val="hr-HR"/>
        </w:rPr>
      </w:pPr>
      <w:bookmarkStart w:id="0" w:name="LW_BM_COVERPAGE"/>
      <w:r>
        <w:rPr>
          <w:noProof/>
          <w:lang w:val="hr-HR"/>
        </w:rPr>
        <w:pict w14:anchorId="503CC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42153981-5D62-4EE8-8319-885B8D6BDF26" style="width:455.25pt;height:476.25pt">
            <v:imagedata r:id="rId9" o:title=""/>
          </v:shape>
        </w:pict>
      </w:r>
    </w:p>
    <w:bookmarkEnd w:id="0"/>
    <w:p w14:paraId="6FE4D06E" w14:textId="77777777" w:rsidR="00F6213C" w:rsidRPr="002912D7" w:rsidRDefault="00F6213C" w:rsidP="00F6213C">
      <w:pPr>
        <w:rPr>
          <w:noProof/>
          <w:lang w:val="hr-HR"/>
        </w:rPr>
        <w:sectPr w:rsidR="00F6213C" w:rsidRPr="002912D7" w:rsidSect="00E80077">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tbl>
      <w:tblPr>
        <w:tblStyle w:val="TableGrid"/>
        <w:tblW w:w="9450" w:type="dxa"/>
        <w:tblLayout w:type="fixed"/>
        <w:tblLook w:val="06A0" w:firstRow="1" w:lastRow="0" w:firstColumn="1" w:lastColumn="0" w:noHBand="1" w:noVBand="1"/>
      </w:tblPr>
      <w:tblGrid>
        <w:gridCol w:w="9450"/>
      </w:tblGrid>
      <w:tr w:rsidR="52A9D588" w:rsidRPr="002912D7" w14:paraId="4D403AD1" w14:textId="77777777" w:rsidTr="2ED4E331">
        <w:trPr>
          <w:trHeight w:val="300"/>
        </w:trPr>
        <w:tc>
          <w:tcPr>
            <w:tcW w:w="9450" w:type="dxa"/>
          </w:tcPr>
          <w:p w14:paraId="381D0B1D" w14:textId="77777777" w:rsidR="1B65425A" w:rsidRPr="002912D7" w:rsidRDefault="1B65425A" w:rsidP="52A9D588">
            <w:pPr>
              <w:jc w:val="center"/>
              <w:rPr>
                <w:rFonts w:ascii="Times New Roman" w:eastAsia="Times New Roman" w:hAnsi="Times New Roman" w:cs="Times New Roman"/>
                <w:b/>
                <w:noProof/>
                <w:sz w:val="24"/>
                <w:lang w:val="hr-HR"/>
              </w:rPr>
            </w:pPr>
            <w:bookmarkStart w:id="1" w:name="_GoBack"/>
            <w:bookmarkEnd w:id="1"/>
            <w:r w:rsidRPr="002912D7">
              <w:rPr>
                <w:rFonts w:ascii="Times New Roman" w:hAnsi="Times New Roman"/>
                <w:b/>
                <w:noProof/>
                <w:sz w:val="24"/>
                <w:lang w:val="hr-HR"/>
              </w:rPr>
              <w:lastRenderedPageBreak/>
              <w:t>Sažetak</w:t>
            </w:r>
          </w:p>
        </w:tc>
      </w:tr>
      <w:tr w:rsidR="52A9D588" w:rsidRPr="002912D7" w14:paraId="5EF74F79" w14:textId="77777777" w:rsidTr="2ED4E331">
        <w:trPr>
          <w:trHeight w:val="300"/>
        </w:trPr>
        <w:tc>
          <w:tcPr>
            <w:tcW w:w="9450" w:type="dxa"/>
            <w:shd w:val="clear" w:color="auto" w:fill="B4C6E7" w:themeFill="accent1" w:themeFillTint="66"/>
          </w:tcPr>
          <w:p w14:paraId="341D3141" w14:textId="77777777" w:rsidR="1B65425A" w:rsidRPr="002912D7" w:rsidRDefault="1B65425A" w:rsidP="52A9D588">
            <w:pPr>
              <w:rPr>
                <w:rFonts w:ascii="Times New Roman" w:eastAsia="Times New Roman" w:hAnsi="Times New Roman" w:cs="Times New Roman"/>
                <w:b/>
                <w:noProof/>
                <w:lang w:val="hr-HR"/>
              </w:rPr>
            </w:pPr>
            <w:r w:rsidRPr="002912D7">
              <w:rPr>
                <w:rFonts w:ascii="Times New Roman" w:hAnsi="Times New Roman"/>
                <w:b/>
                <w:noProof/>
                <w:lang w:val="hr-HR"/>
              </w:rPr>
              <w:t>Procjena učinka Europskog akta o kritičnim sirovinama</w:t>
            </w:r>
          </w:p>
        </w:tc>
      </w:tr>
      <w:tr w:rsidR="52A9D588" w:rsidRPr="002912D7" w14:paraId="24C43E91" w14:textId="77777777" w:rsidTr="2ED4E331">
        <w:trPr>
          <w:trHeight w:val="300"/>
        </w:trPr>
        <w:tc>
          <w:tcPr>
            <w:tcW w:w="9450" w:type="dxa"/>
            <w:shd w:val="clear" w:color="auto" w:fill="A6A6A6" w:themeFill="background1" w:themeFillShade="A6"/>
          </w:tcPr>
          <w:p w14:paraId="50B0AC06" w14:textId="77777777" w:rsidR="66D75453" w:rsidRPr="002912D7" w:rsidRDefault="66D75453" w:rsidP="52A9D588">
            <w:pPr>
              <w:rPr>
                <w:rFonts w:ascii="Times New Roman" w:eastAsia="Times New Roman" w:hAnsi="Times New Roman" w:cs="Times New Roman"/>
                <w:b/>
                <w:noProof/>
                <w:sz w:val="24"/>
                <w:lang w:val="hr-HR"/>
              </w:rPr>
            </w:pPr>
            <w:r w:rsidRPr="002912D7">
              <w:rPr>
                <w:rFonts w:ascii="Times New Roman" w:hAnsi="Times New Roman"/>
                <w:b/>
                <w:noProof/>
                <w:sz w:val="24"/>
                <w:lang w:val="hr-HR"/>
              </w:rPr>
              <w:t>A. O čemu je riječ? Zašto je to problem na razini EU-a?</w:t>
            </w:r>
          </w:p>
        </w:tc>
      </w:tr>
      <w:tr w:rsidR="52A9D588" w:rsidRPr="002912D7" w14:paraId="0127F699" w14:textId="77777777" w:rsidTr="2ED4E331">
        <w:trPr>
          <w:trHeight w:val="4680"/>
        </w:trPr>
        <w:tc>
          <w:tcPr>
            <w:tcW w:w="9450" w:type="dxa"/>
          </w:tcPr>
          <w:p w14:paraId="17A11918" w14:textId="77777777" w:rsidR="0B270968" w:rsidRPr="002912D7" w:rsidRDefault="0B270968" w:rsidP="52A9D588">
            <w:pPr>
              <w:jc w:val="both"/>
              <w:rPr>
                <w:rFonts w:ascii="Times New Roman" w:eastAsia="Times New Roman" w:hAnsi="Times New Roman" w:cs="Times New Roman"/>
                <w:noProof/>
                <w:sz w:val="24"/>
                <w:lang w:val="hr-HR"/>
              </w:rPr>
            </w:pPr>
            <w:r w:rsidRPr="002912D7">
              <w:rPr>
                <w:rFonts w:ascii="Times New Roman" w:hAnsi="Times New Roman"/>
                <w:noProof/>
                <w:sz w:val="24"/>
                <w:lang w:val="hr-HR"/>
              </w:rPr>
              <w:t xml:space="preserve">Kritične sirovine su nezamjenjivi ulazni materijali u našem gospodarstvu, posebno zato što se koriste u proizvodnji tehnologija potrebnih za uvođenje zelene energije, digitalnu tranziciju i strateške primjene u zdravstvu i obrani. Budući da će zbog usporedne tranzicije porasti potrebe, predviđa se da će potražnja za tim materijalima eksponencijalno porasti i u EU-u i na svijetu. Posljedica će biti znatna nepokrivena potražnja. Uz to treba imati u vidu da se EU opskrbljuje kritičnim sirovinama iz vrlo malog broja izvora, ponekad samo iz jedne treće zemlje, i za fazu vađenja i za fazu prerade. Ako EU ne bi mogao osigurati dovoljnu opskrbu kritičnim sirovinama, ta ovisnost izložila bi EU rizicima od geopolitičke ranjivosti, negativnih posljedica za okoliš i društvo, poremećaja industrijskih lanaca opskrbe, visokih i nestabilnih cijena (koje usporavaju zelenu tranziciju) i postojanja dominantnih opskrbljivača kritičnim sirovinama koji bi iskorištavali svoju tržišnu snagu u industrijama niže u lancu. </w:t>
            </w:r>
          </w:p>
          <w:p w14:paraId="1A4C6E16" w14:textId="77777777" w:rsidR="6E6F65FC" w:rsidRPr="002912D7" w:rsidRDefault="6E6F65FC" w:rsidP="52A9D588">
            <w:pPr>
              <w:jc w:val="both"/>
              <w:rPr>
                <w:rFonts w:ascii="Times New Roman" w:eastAsia="Times New Roman" w:hAnsi="Times New Roman" w:cs="Times New Roman"/>
                <w:noProof/>
                <w:sz w:val="24"/>
                <w:lang w:val="hr-HR"/>
              </w:rPr>
            </w:pPr>
            <w:r w:rsidRPr="002912D7">
              <w:rPr>
                <w:rFonts w:ascii="Times New Roman" w:hAnsi="Times New Roman"/>
                <w:noProof/>
                <w:sz w:val="24"/>
                <w:lang w:val="hr-HR"/>
              </w:rPr>
              <w:t xml:space="preserve">U tom kontekstu glavni utvrđeni problem je to što EU nema siguran i održiv pristup kritičnim sirovinama. Uzroci tog problema mogu se podijeliti na tri manja problema: prvo, nedostatno predviđanje i ublažavanje rizika za sigurnost opskrbe, drugo, nedovoljno iskorištavanje EU-ova domaćeg potencijala za opskrbu kritičnim sirovinama u različitim fazama lanca vrijednosti i, treće, nedovoljna održivost i kružnost u EU-ovoj opskrbi kritičnim sirovinama. </w:t>
            </w:r>
          </w:p>
        </w:tc>
      </w:tr>
      <w:tr w:rsidR="52A9D588" w:rsidRPr="002912D7" w14:paraId="31161474" w14:textId="77777777" w:rsidTr="2ED4E331">
        <w:trPr>
          <w:trHeight w:val="323"/>
        </w:trPr>
        <w:tc>
          <w:tcPr>
            <w:tcW w:w="9450" w:type="dxa"/>
          </w:tcPr>
          <w:p w14:paraId="752BEC53" w14:textId="77777777" w:rsidR="30BCCFE7" w:rsidRPr="002912D7" w:rsidRDefault="30BCCFE7" w:rsidP="52A9D588">
            <w:pPr>
              <w:rPr>
                <w:rFonts w:ascii="Times New Roman" w:eastAsia="Times New Roman" w:hAnsi="Times New Roman" w:cs="Times New Roman"/>
                <w:b/>
                <w:noProof/>
                <w:sz w:val="24"/>
                <w:lang w:val="hr-HR"/>
              </w:rPr>
            </w:pPr>
            <w:r w:rsidRPr="002912D7">
              <w:rPr>
                <w:rFonts w:ascii="Times New Roman" w:hAnsi="Times New Roman"/>
                <w:b/>
                <w:noProof/>
                <w:sz w:val="24"/>
                <w:lang w:val="hr-HR"/>
              </w:rPr>
              <w:t>Što bi trebalo postići?</w:t>
            </w:r>
          </w:p>
        </w:tc>
      </w:tr>
      <w:tr w:rsidR="52A9D588" w:rsidRPr="002912D7" w14:paraId="38F71B74" w14:textId="77777777" w:rsidTr="2ED4E331">
        <w:trPr>
          <w:trHeight w:val="4155"/>
        </w:trPr>
        <w:tc>
          <w:tcPr>
            <w:tcW w:w="9450" w:type="dxa"/>
          </w:tcPr>
          <w:p w14:paraId="371B8586" w14:textId="77777777" w:rsidR="3D0DA69B" w:rsidRPr="002912D7" w:rsidRDefault="3D0DA69B" w:rsidP="5CA58D31">
            <w:pPr>
              <w:jc w:val="both"/>
              <w:rPr>
                <w:rFonts w:ascii="Times New Roman" w:eastAsia="Times New Roman" w:hAnsi="Times New Roman" w:cs="Times New Roman"/>
                <w:noProof/>
                <w:color w:val="000000" w:themeColor="text1"/>
                <w:sz w:val="24"/>
                <w:lang w:val="hr-HR"/>
              </w:rPr>
            </w:pPr>
            <w:r w:rsidRPr="002912D7">
              <w:rPr>
                <w:rFonts w:ascii="Times New Roman" w:hAnsi="Times New Roman"/>
                <w:noProof/>
                <w:color w:val="000000" w:themeColor="text1"/>
                <w:sz w:val="24"/>
                <w:lang w:val="hr-HR"/>
              </w:rPr>
              <w:t>Opći je cilj Europskog akta o kritičnim sirovinama rješavanje glavnog problema, to što EU nema siguran i održiv pristup kritičnim sirovinama. Kako bi se taj problem riješio na najbolji način, definirani su sljedeći specifični ciljevi usmjereni na uzroke problema:</w:t>
            </w:r>
          </w:p>
          <w:p w14:paraId="35DE4849" w14:textId="77777777" w:rsidR="5867ECDA" w:rsidRPr="002912D7" w:rsidRDefault="5867ECDA" w:rsidP="5CA58D31">
            <w:pPr>
              <w:jc w:val="both"/>
              <w:rPr>
                <w:noProof/>
                <w:lang w:val="hr-HR"/>
              </w:rPr>
            </w:pPr>
            <w:r w:rsidRPr="002912D7">
              <w:rPr>
                <w:rFonts w:ascii="Times New Roman" w:hAnsi="Times New Roman"/>
                <w:b/>
                <w:noProof/>
                <w:sz w:val="24"/>
                <w:lang w:val="hr-HR"/>
              </w:rPr>
              <w:t>SO1</w:t>
            </w:r>
            <w:r w:rsidRPr="002912D7">
              <w:rPr>
                <w:rFonts w:ascii="Times New Roman" w:hAnsi="Times New Roman"/>
                <w:noProof/>
                <w:sz w:val="24"/>
                <w:lang w:val="hr-HR"/>
              </w:rPr>
              <w:t>: poboljšati informiranost EU-ove industrije o rizicima povezanima s kritičnim sirovinama u globalnom lancu opskrbe te joj pomoći da ublaži te rizike.</w:t>
            </w:r>
          </w:p>
          <w:p w14:paraId="2B87F3DC" w14:textId="77777777" w:rsidR="5867ECDA" w:rsidRPr="002912D7" w:rsidRDefault="5867ECDA" w:rsidP="5CA58D31">
            <w:pPr>
              <w:jc w:val="both"/>
              <w:rPr>
                <w:noProof/>
                <w:lang w:val="hr-HR"/>
              </w:rPr>
            </w:pPr>
            <w:r w:rsidRPr="002912D7">
              <w:rPr>
                <w:rFonts w:ascii="Times New Roman" w:hAnsi="Times New Roman"/>
                <w:b/>
                <w:noProof/>
                <w:sz w:val="24"/>
                <w:lang w:val="hr-HR"/>
              </w:rPr>
              <w:t>SO2</w:t>
            </w:r>
            <w:r w:rsidRPr="002912D7">
              <w:rPr>
                <w:rFonts w:ascii="Times New Roman" w:hAnsi="Times New Roman"/>
                <w:noProof/>
                <w:sz w:val="24"/>
                <w:lang w:val="hr-HR"/>
              </w:rPr>
              <w:t xml:space="preserve">: proširiti kapacitet EU-ova lanca vrijednosti za kritične sirovine na internom tržištu.    </w:t>
            </w:r>
          </w:p>
          <w:p w14:paraId="19A30283" w14:textId="77777777" w:rsidR="5867ECDA" w:rsidRPr="002912D7" w:rsidRDefault="5867ECDA" w:rsidP="5CA58D31">
            <w:pPr>
              <w:jc w:val="both"/>
              <w:rPr>
                <w:noProof/>
                <w:lang w:val="hr-HR"/>
              </w:rPr>
            </w:pPr>
            <w:r w:rsidRPr="002912D7">
              <w:rPr>
                <w:rFonts w:ascii="Times New Roman" w:hAnsi="Times New Roman"/>
                <w:b/>
                <w:noProof/>
                <w:sz w:val="24"/>
                <w:lang w:val="hr-HR"/>
              </w:rPr>
              <w:t>SO3</w:t>
            </w:r>
            <w:r w:rsidRPr="002912D7">
              <w:rPr>
                <w:rFonts w:ascii="Times New Roman" w:hAnsi="Times New Roman"/>
                <w:noProof/>
                <w:sz w:val="24"/>
                <w:lang w:val="hr-HR"/>
              </w:rPr>
              <w:t xml:space="preserve">: smanjiti ekološki otisak EU-ove potrošnje kritičnih sirovina.  </w:t>
            </w:r>
          </w:p>
          <w:p w14:paraId="1DA408ED" w14:textId="77777777" w:rsidR="6A2B8AB7" w:rsidRPr="002912D7" w:rsidRDefault="6A2B8AB7" w:rsidP="5CA58D31">
            <w:pPr>
              <w:jc w:val="both"/>
              <w:rPr>
                <w:rFonts w:ascii="Times New Roman" w:eastAsia="Times New Roman" w:hAnsi="Times New Roman" w:cs="Times New Roman"/>
                <w:noProof/>
                <w:color w:val="000000" w:themeColor="text1"/>
                <w:sz w:val="24"/>
                <w:lang w:val="hr-HR"/>
              </w:rPr>
            </w:pPr>
            <w:r w:rsidRPr="002912D7">
              <w:rPr>
                <w:rFonts w:ascii="Times New Roman" w:hAnsi="Times New Roman"/>
                <w:noProof/>
                <w:color w:val="000000" w:themeColor="text1"/>
                <w:sz w:val="24"/>
                <w:lang w:val="hr-HR"/>
              </w:rPr>
              <w:t xml:space="preserve">Regulatorna inicijativa za koju je ova procjena učinka izvedena ne može sama ispuniti taj cilj. Poboljšanim aktivnostima na diversifikaciji međunarodne trgovine i međunarodnih ulaganja zajamčit će se nenarušavanje međunarodnih tržišta i promicanje visokih društvenih i okolišnih standarda u partnerstvima i suradnjama s trećim zemljama. </w:t>
            </w:r>
            <w:r w:rsidRPr="002912D7">
              <w:rPr>
                <w:rFonts w:ascii="Times New Roman" w:hAnsi="Times New Roman"/>
                <w:noProof/>
                <w:sz w:val="24"/>
                <w:lang w:val="hr-HR"/>
              </w:rPr>
              <w:t>Bit će potrebno više istraživanja i inovacija kako bi se pronašlo zamjene za kritične sirovine, minimaliziralo utjecaje vađenja resursa na okoliš i radilo na vještinama i prihvaćenosti u društvu.</w:t>
            </w:r>
            <w:r w:rsidRPr="002912D7">
              <w:rPr>
                <w:rFonts w:ascii="Times New Roman" w:hAnsi="Times New Roman"/>
                <w:noProof/>
                <w:color w:val="000000" w:themeColor="text1"/>
                <w:sz w:val="24"/>
                <w:lang w:val="hr-HR"/>
              </w:rPr>
              <w:t xml:space="preserve"> Ti su aspekti dodatno razrađeni u pratećoj Komunikaciji koja je dio Europskog akta o kritičnim sirovinama.</w:t>
            </w:r>
          </w:p>
        </w:tc>
      </w:tr>
      <w:tr w:rsidR="52A9D588" w:rsidRPr="002912D7" w14:paraId="3EB81E4E" w14:textId="77777777" w:rsidTr="2ED4E331">
        <w:trPr>
          <w:trHeight w:val="323"/>
        </w:trPr>
        <w:tc>
          <w:tcPr>
            <w:tcW w:w="9450" w:type="dxa"/>
          </w:tcPr>
          <w:p w14:paraId="7AE5032F" w14:textId="77777777" w:rsidR="30BCCFE7" w:rsidRPr="002912D7" w:rsidRDefault="30BCCFE7" w:rsidP="52A9D588">
            <w:pPr>
              <w:rPr>
                <w:rFonts w:ascii="Times New Roman" w:eastAsia="Times New Roman" w:hAnsi="Times New Roman" w:cs="Times New Roman"/>
                <w:b/>
                <w:noProof/>
                <w:sz w:val="24"/>
                <w:lang w:val="hr-HR"/>
              </w:rPr>
            </w:pPr>
            <w:r w:rsidRPr="002912D7">
              <w:rPr>
                <w:rFonts w:ascii="Times New Roman" w:hAnsi="Times New Roman"/>
                <w:b/>
                <w:noProof/>
                <w:sz w:val="24"/>
                <w:lang w:val="hr-HR"/>
              </w:rPr>
              <w:t>Koja je dodana vrijednost djelovanja na razini EU-a (supsidijarnost)?</w:t>
            </w:r>
          </w:p>
        </w:tc>
      </w:tr>
      <w:tr w:rsidR="52A9D588" w:rsidRPr="002912D7" w14:paraId="2720B528" w14:textId="77777777" w:rsidTr="2ED4E331">
        <w:trPr>
          <w:trHeight w:val="3495"/>
        </w:trPr>
        <w:tc>
          <w:tcPr>
            <w:tcW w:w="9450" w:type="dxa"/>
          </w:tcPr>
          <w:p w14:paraId="386F7678" w14:textId="77777777" w:rsidR="3656C4A0" w:rsidRPr="002912D7" w:rsidRDefault="3656C4A0" w:rsidP="52A9D588">
            <w:pPr>
              <w:spacing w:after="240"/>
              <w:jc w:val="both"/>
              <w:rPr>
                <w:rFonts w:ascii="Times New Roman" w:eastAsia="Times New Roman" w:hAnsi="Times New Roman" w:cs="Times New Roman"/>
                <w:noProof/>
                <w:color w:val="000000" w:themeColor="text1"/>
                <w:sz w:val="24"/>
                <w:lang w:val="hr-HR"/>
              </w:rPr>
            </w:pPr>
            <w:r w:rsidRPr="002912D7">
              <w:rPr>
                <w:rFonts w:ascii="Times New Roman" w:hAnsi="Times New Roman"/>
                <w:noProof/>
                <w:color w:val="000000" w:themeColor="text1"/>
                <w:sz w:val="24"/>
                <w:lang w:val="hr-HR"/>
              </w:rPr>
              <w:t>Mjere EU-a ključne su za stvaranje ekonomija razmjera i opsega i za ograničavanje, ako ne i izbjegavanje, fragmentacije mjera i povezanih neučinkovitosti. U skladu s tom logikom predložene mjere odnose se na područja u kojima postoji dokaziva dodana vrijednost mjera na razini Unije zbog razmjera, brzine i opsega potrebnog rada. Na primjer, zbog opsega potrebnih ulaganja i zato što bi kapaciteti koji iz njih proizlaze trebali koristiti cijelom unutarnjem tržištu mjere usmjerene na mobilizaciju ulaganja u projekte u području kritičnih sirovina duž lanca vrijednosti mogle bi se najdjelotvornije osmisliti i koordinirati na razini Unije. Uz to, mjere za poboljšanje kapaciteta za praćenje na razini Unije bit će djelotvornije ako budu koordinirane. Države članice i Komisija moći će bolje zajednički predvidjeti poremećaje opskrbe nego primjenom različitih nacionalnih mjera. Predloženim okvirom trebala bi se omogućiti učinkovitija podjela zadaća i dijeljenje relevantnih informacija kako bi se spriječilo udvostručavanje aktivnosti.</w:t>
            </w:r>
          </w:p>
        </w:tc>
      </w:tr>
      <w:tr w:rsidR="52A9D588" w:rsidRPr="002912D7" w14:paraId="261EE583" w14:textId="77777777" w:rsidTr="2ED4E331">
        <w:trPr>
          <w:trHeight w:val="323"/>
        </w:trPr>
        <w:tc>
          <w:tcPr>
            <w:tcW w:w="9450" w:type="dxa"/>
            <w:shd w:val="clear" w:color="auto" w:fill="A6A6A6" w:themeFill="background1" w:themeFillShade="A6"/>
          </w:tcPr>
          <w:p w14:paraId="2CD29806" w14:textId="77777777" w:rsidR="30BCCFE7" w:rsidRPr="002912D7" w:rsidRDefault="30BCCFE7" w:rsidP="52A9D588">
            <w:pPr>
              <w:rPr>
                <w:rFonts w:ascii="Times New Roman" w:eastAsia="Times New Roman" w:hAnsi="Times New Roman" w:cs="Times New Roman"/>
                <w:b/>
                <w:noProof/>
                <w:sz w:val="24"/>
                <w:lang w:val="hr-HR"/>
              </w:rPr>
            </w:pPr>
            <w:r w:rsidRPr="002912D7">
              <w:rPr>
                <w:rFonts w:ascii="Times New Roman" w:hAnsi="Times New Roman"/>
                <w:b/>
                <w:noProof/>
                <w:sz w:val="24"/>
                <w:lang w:val="hr-HR"/>
              </w:rPr>
              <w:t>B. Rješenja</w:t>
            </w:r>
          </w:p>
        </w:tc>
      </w:tr>
      <w:tr w:rsidR="52A9D588" w:rsidRPr="002912D7" w14:paraId="600BCECE" w14:textId="77777777" w:rsidTr="2ED4E331">
        <w:trPr>
          <w:trHeight w:val="323"/>
        </w:trPr>
        <w:tc>
          <w:tcPr>
            <w:tcW w:w="9450" w:type="dxa"/>
          </w:tcPr>
          <w:p w14:paraId="0A57A96F" w14:textId="77777777" w:rsidR="7E6815B9" w:rsidRPr="002912D7" w:rsidRDefault="7E6815B9" w:rsidP="52A9D588">
            <w:pPr>
              <w:rPr>
                <w:rFonts w:ascii="Times New Roman" w:eastAsia="Times New Roman" w:hAnsi="Times New Roman" w:cs="Times New Roman"/>
                <w:b/>
                <w:noProof/>
                <w:sz w:val="24"/>
                <w:lang w:val="hr-HR"/>
              </w:rPr>
            </w:pPr>
            <w:r w:rsidRPr="002912D7">
              <w:rPr>
                <w:rFonts w:ascii="Times New Roman" w:hAnsi="Times New Roman"/>
                <w:b/>
                <w:noProof/>
                <w:sz w:val="24"/>
                <w:lang w:val="hr-HR"/>
              </w:rPr>
              <w:t>Koje su opcije za ostvarenje ciljeva? Postoji li najpoželjnija opcija? Ako ne, zašto?</w:t>
            </w:r>
          </w:p>
        </w:tc>
      </w:tr>
      <w:tr w:rsidR="52A9D588" w:rsidRPr="002912D7" w14:paraId="5BE43F81" w14:textId="77777777" w:rsidTr="2ED4E331">
        <w:trPr>
          <w:trHeight w:val="7920"/>
        </w:trPr>
        <w:tc>
          <w:tcPr>
            <w:tcW w:w="9450" w:type="dxa"/>
          </w:tcPr>
          <w:p w14:paraId="4009999D" w14:textId="77777777" w:rsidR="52A9D588" w:rsidRPr="002912D7" w:rsidRDefault="73E16D9B" w:rsidP="5CA58D31">
            <w:pPr>
              <w:jc w:val="both"/>
              <w:rPr>
                <w:rFonts w:ascii="Times New Roman" w:eastAsia="Times New Roman" w:hAnsi="Times New Roman" w:cs="Times New Roman"/>
                <w:noProof/>
                <w:color w:val="000000" w:themeColor="text1"/>
                <w:sz w:val="24"/>
                <w:lang w:val="hr-HR"/>
              </w:rPr>
            </w:pPr>
            <w:r w:rsidRPr="002912D7">
              <w:rPr>
                <w:rFonts w:ascii="Times New Roman" w:hAnsi="Times New Roman"/>
                <w:noProof/>
                <w:color w:val="000000" w:themeColor="text1"/>
                <w:sz w:val="24"/>
                <w:lang w:val="hr-HR"/>
              </w:rPr>
              <w:t>Opcije su organizirane prema različitima elementima kojima se predlažu različiti pristupi za ispunjavanje specifičnih ciljeva. Svaka je opcija kombinacija različitih pristupa politike koji se temelje na razini ambicije i izvedivosti s obzirom na različite upravljačke strukture. To je napravljeno tako da se za zadaće svake opcije predvide odgovarajuće količine resursa.</w:t>
            </w:r>
          </w:p>
          <w:p w14:paraId="4B5701A3" w14:textId="77777777" w:rsidR="52A9D588" w:rsidRPr="002912D7" w:rsidRDefault="5F747806" w:rsidP="2ED4E331">
            <w:pPr>
              <w:jc w:val="both"/>
              <w:rPr>
                <w:rFonts w:ascii="Times New Roman" w:eastAsia="Times New Roman" w:hAnsi="Times New Roman" w:cs="Times New Roman"/>
                <w:noProof/>
                <w:color w:val="000000" w:themeColor="text1"/>
                <w:sz w:val="24"/>
                <w:lang w:val="hr-HR"/>
              </w:rPr>
            </w:pPr>
            <w:r w:rsidRPr="002912D7">
              <w:rPr>
                <w:rFonts w:ascii="Times New Roman" w:hAnsi="Times New Roman"/>
                <w:noProof/>
                <w:color w:val="000000" w:themeColor="text1"/>
                <w:sz w:val="24"/>
                <w:lang w:val="hr-HR"/>
              </w:rPr>
              <w:t xml:space="preserve">U </w:t>
            </w:r>
            <w:r w:rsidRPr="002912D7">
              <w:rPr>
                <w:rFonts w:ascii="Times New Roman" w:hAnsi="Times New Roman"/>
                <w:b/>
                <w:noProof/>
                <w:color w:val="000000" w:themeColor="text1"/>
                <w:sz w:val="24"/>
                <w:lang w:val="hr-HR"/>
              </w:rPr>
              <w:t>1. opciji politike (PO1)</w:t>
            </w:r>
            <w:r w:rsidRPr="002912D7">
              <w:rPr>
                <w:rFonts w:ascii="Times New Roman" w:hAnsi="Times New Roman"/>
                <w:noProof/>
                <w:color w:val="000000" w:themeColor="text1"/>
                <w:sz w:val="24"/>
                <w:lang w:val="hr-HR"/>
              </w:rPr>
              <w:t xml:space="preserve"> predviđen je mehanizam postavljanja ciljeva za strateške sirovine. Ona obuhvaća upravljačku strukturu u okviru posebnog odbora EU-a za kritične sirovine, koji bi podupirala mreža nacionalnih agencija i operativni kapaciteti u Komisiji. Takav subjekt bi razvijao kapacitete za praćenje, omogućavao koordinaciju strateških zaliha EU-a i poboljšavao pripravnosti društva na poremećaje opskrbe. Ova opcija sadržava elemente za potporu lancu vrijednosti, posebno koordinacijom istraživanja, boljom potporom za nacionalne projekte u području kritičnih sirovina i lakšim pristupom financiranju. Za poboljšanje kružnosti u okviru te opcije predviđena je preporuka koja se odnosi na male potrošačke elektroničke uređaje, a najavljene su i buduće mjere. Predviđene su opsežnije aktivnosti EU-a u utvrđivanju međunarodnih normi i minimalnih zahtjeva za certifikacijske programe u području održivosti kritičnih sirovina i zahtjeva za informacije o ekološkom otisku kritičnih sirovina koje se stavljaju na tržište EU-a.</w:t>
            </w:r>
          </w:p>
          <w:p w14:paraId="63E6AFBE" w14:textId="77777777" w:rsidR="52A9D588" w:rsidRPr="002912D7" w:rsidRDefault="5F747806" w:rsidP="2ED4E331">
            <w:pPr>
              <w:jc w:val="both"/>
              <w:rPr>
                <w:rFonts w:ascii="Times New Roman" w:eastAsia="Times New Roman" w:hAnsi="Times New Roman" w:cs="Times New Roman"/>
                <w:noProof/>
                <w:color w:val="000000" w:themeColor="text1"/>
                <w:sz w:val="24"/>
                <w:lang w:val="hr-HR"/>
              </w:rPr>
            </w:pPr>
            <w:r w:rsidRPr="002912D7">
              <w:rPr>
                <w:rFonts w:ascii="Times New Roman" w:hAnsi="Times New Roman"/>
                <w:noProof/>
                <w:color w:val="000000" w:themeColor="text1"/>
                <w:sz w:val="24"/>
                <w:lang w:val="hr-HR"/>
              </w:rPr>
              <w:t xml:space="preserve">U </w:t>
            </w:r>
            <w:r w:rsidRPr="002912D7">
              <w:rPr>
                <w:rFonts w:ascii="Times New Roman" w:hAnsi="Times New Roman"/>
                <w:b/>
                <w:noProof/>
                <w:color w:val="000000" w:themeColor="text1"/>
                <w:sz w:val="24"/>
                <w:lang w:val="hr-HR"/>
              </w:rPr>
              <w:t>2. opciji politike (PO2)</w:t>
            </w:r>
            <w:r w:rsidRPr="002912D7">
              <w:rPr>
                <w:rFonts w:ascii="Times New Roman" w:hAnsi="Times New Roman"/>
                <w:noProof/>
                <w:color w:val="000000" w:themeColor="text1"/>
                <w:sz w:val="24"/>
                <w:lang w:val="hr-HR"/>
              </w:rPr>
              <w:t xml:space="preserve"> predloženi su isti upravljački mehanizam i iste zadaće u pogledu praćenja, strateških zaliha i pripravnosti za rizik kao i u 1. opciji. Ova opcija dodatno poboljšava lanac vrijednosti u EU-u uvođenjem većih obveza u području istraživanja i provedbom strateških projekata duž lanca vrijednosti strateških sirovina. Ti projekti imali bi korist od pojednostavnjenog izdavanja dozvola i lakšeg pristupa financiranju. Mjere u vezi s kružnosti uključuju ciljane izmjene Direktive o otpadu od vađenja minerala. Normizacijske mjere podrazumijevaju sastavljanje dodatnih normi za industrijske procese, a mjere koje se odnose na ekološki otisak obuhvaćaju postupno određivanje pragova za kritične sirovine ako se zasebnom procjenom utvrdi da to ne bi utjecalo na sigurnost opskrbe. </w:t>
            </w:r>
          </w:p>
          <w:p w14:paraId="6C6438CF" w14:textId="2EAAD19B" w:rsidR="52A9D588" w:rsidRPr="002912D7" w:rsidRDefault="5F747806" w:rsidP="002D2C73">
            <w:pPr>
              <w:jc w:val="both"/>
              <w:rPr>
                <w:rFonts w:ascii="Times New Roman" w:eastAsia="Times New Roman" w:hAnsi="Times New Roman" w:cs="Times New Roman"/>
                <w:noProof/>
                <w:color w:val="000000" w:themeColor="text1"/>
                <w:sz w:val="24"/>
                <w:lang w:val="hr-HR"/>
              </w:rPr>
            </w:pPr>
            <w:r w:rsidRPr="002912D7">
              <w:rPr>
                <w:rFonts w:ascii="Times New Roman" w:hAnsi="Times New Roman"/>
                <w:noProof/>
                <w:color w:val="000000" w:themeColor="text1"/>
                <w:sz w:val="24"/>
                <w:lang w:val="hr-HR"/>
              </w:rPr>
              <w:t xml:space="preserve">U </w:t>
            </w:r>
            <w:r w:rsidRPr="002912D7">
              <w:rPr>
                <w:rFonts w:ascii="Times New Roman" w:hAnsi="Times New Roman"/>
                <w:b/>
                <w:noProof/>
                <w:color w:val="000000" w:themeColor="text1"/>
                <w:sz w:val="24"/>
                <w:lang w:val="hr-HR"/>
              </w:rPr>
              <w:t>3. opciji politike (PO3)</w:t>
            </w:r>
            <w:r w:rsidRPr="002912D7">
              <w:rPr>
                <w:rFonts w:ascii="Times New Roman" w:hAnsi="Times New Roman"/>
                <w:noProof/>
                <w:color w:val="000000" w:themeColor="text1"/>
                <w:sz w:val="24"/>
                <w:lang w:val="hr-HR"/>
              </w:rPr>
              <w:t xml:space="preserve"> razvija se vanjski kapacitet za upravljanje, što omogućuje predlaganje ambicioznih mjera koje se odnose na strateške zalihe, praćenje i pripravnost za rizike. I ova se opcija temelji na konceptu strateških projekata, koji bi imali koristi od dodatne potpore u procesu izdavanja dozvola u obliku namjenskih sredstava od država članica i namjenskog europskog fonda za kritične sirovine. Kao i 2. opcija, ova opcija sadržava mjere koje se odnose na kružnost, norme i ekološki otisak.</w:t>
            </w:r>
          </w:p>
        </w:tc>
      </w:tr>
      <w:tr w:rsidR="52A9D588" w:rsidRPr="002912D7" w14:paraId="368F85B5" w14:textId="77777777" w:rsidTr="2ED4E331">
        <w:trPr>
          <w:trHeight w:val="1470"/>
        </w:trPr>
        <w:tc>
          <w:tcPr>
            <w:tcW w:w="9450" w:type="dxa"/>
          </w:tcPr>
          <w:p w14:paraId="5E651DB0" w14:textId="77777777" w:rsidR="33DAB2BF" w:rsidRPr="002912D7" w:rsidRDefault="33DAB2BF" w:rsidP="5CA58D31">
            <w:pPr>
              <w:spacing w:line="259" w:lineRule="auto"/>
              <w:jc w:val="both"/>
              <w:rPr>
                <w:rFonts w:ascii="Times New Roman" w:eastAsia="Times New Roman" w:hAnsi="Times New Roman" w:cs="Times New Roman"/>
                <w:noProof/>
                <w:color w:val="000000" w:themeColor="text1"/>
                <w:sz w:val="24"/>
                <w:lang w:val="hr-HR"/>
              </w:rPr>
            </w:pPr>
            <w:r w:rsidRPr="002912D7">
              <w:rPr>
                <w:rFonts w:ascii="Times New Roman" w:hAnsi="Times New Roman"/>
                <w:noProof/>
                <w:color w:val="000000" w:themeColor="text1"/>
                <w:sz w:val="24"/>
                <w:lang w:val="hr-HR"/>
              </w:rPr>
              <w:t>Sve se opcije temelje na konceptu kritičnih sirovina i strateških sirovina, što je podskup materijala potrebnih za posebno strateške primjene.</w:t>
            </w:r>
          </w:p>
          <w:p w14:paraId="6830E35E" w14:textId="77777777" w:rsidR="624E5311" w:rsidRPr="002912D7" w:rsidRDefault="624E5311" w:rsidP="52A9D588">
            <w:pPr>
              <w:jc w:val="both"/>
              <w:rPr>
                <w:rFonts w:ascii="Times New Roman" w:eastAsia="Times New Roman" w:hAnsi="Times New Roman" w:cs="Times New Roman"/>
                <w:noProof/>
                <w:sz w:val="24"/>
                <w:lang w:val="hr-HR"/>
              </w:rPr>
            </w:pPr>
            <w:r w:rsidRPr="002912D7">
              <w:rPr>
                <w:rFonts w:ascii="Times New Roman" w:hAnsi="Times New Roman"/>
                <w:noProof/>
                <w:sz w:val="24"/>
                <w:lang w:val="hr-HR"/>
              </w:rPr>
              <w:t xml:space="preserve">Na temelju procjene učinka čini se da je 2. opcija najpoželjnija, prije svega u smislu učinkovitosti i potpore dionika. Treba istaknuti da je 3. opcija ambicioznija i da omogućava djelotvornije ispunjavanje ciljeva. </w:t>
            </w:r>
          </w:p>
        </w:tc>
      </w:tr>
      <w:tr w:rsidR="52A9D588" w:rsidRPr="002912D7" w14:paraId="6FFDC9B0" w14:textId="77777777" w:rsidTr="2ED4E331">
        <w:trPr>
          <w:trHeight w:val="323"/>
        </w:trPr>
        <w:tc>
          <w:tcPr>
            <w:tcW w:w="9450" w:type="dxa"/>
          </w:tcPr>
          <w:p w14:paraId="3B09548F" w14:textId="77777777" w:rsidR="29D6F5F8" w:rsidRPr="002912D7" w:rsidRDefault="29D6F5F8" w:rsidP="52A9D588">
            <w:pPr>
              <w:rPr>
                <w:rFonts w:ascii="Times New Roman" w:eastAsia="Times New Roman" w:hAnsi="Times New Roman" w:cs="Times New Roman"/>
                <w:b/>
                <w:noProof/>
                <w:sz w:val="24"/>
                <w:lang w:val="hr-HR"/>
              </w:rPr>
            </w:pPr>
            <w:r w:rsidRPr="002912D7">
              <w:rPr>
                <w:rFonts w:ascii="Times New Roman" w:hAnsi="Times New Roman"/>
                <w:b/>
                <w:noProof/>
                <w:sz w:val="24"/>
                <w:lang w:val="hr-HR"/>
              </w:rPr>
              <w:t>Koja su stajališta različitih dionika? Tko podržava koju opciju?</w:t>
            </w:r>
          </w:p>
        </w:tc>
      </w:tr>
      <w:tr w:rsidR="52A9D588" w:rsidRPr="002912D7" w14:paraId="11901BB1" w14:textId="77777777" w:rsidTr="2ED4E331">
        <w:trPr>
          <w:trHeight w:val="2370"/>
        </w:trPr>
        <w:tc>
          <w:tcPr>
            <w:tcW w:w="9450" w:type="dxa"/>
          </w:tcPr>
          <w:p w14:paraId="762F59AC" w14:textId="77777777" w:rsidR="29D6F5F8" w:rsidRPr="002912D7" w:rsidRDefault="29D6F5F8" w:rsidP="52A9D588">
            <w:pPr>
              <w:jc w:val="both"/>
              <w:rPr>
                <w:rFonts w:ascii="Times New Roman" w:eastAsia="Times New Roman" w:hAnsi="Times New Roman" w:cs="Times New Roman"/>
                <w:noProof/>
                <w:sz w:val="24"/>
                <w:lang w:val="hr-HR"/>
              </w:rPr>
            </w:pPr>
            <w:r w:rsidRPr="002912D7">
              <w:rPr>
                <w:rFonts w:ascii="Times New Roman" w:hAnsi="Times New Roman"/>
                <w:noProof/>
                <w:sz w:val="24"/>
                <w:lang w:val="hr-HR"/>
              </w:rPr>
              <w:t>Budući da su predloženi elementi raznoliki, nije jednostavno pripisati mišljenja dionika općim opcijama pa su stoga u procjeni učinka detaljno opisana mišljenja dionika o svakom elementu. Općenito se može zaključiti da su dionici iz industrije uglavnom skloniji jačim mjerama koje se predlažu u 3. opciji, posebno u smislu upravljanja i potpore lancu vrijednosti. Javna tijela imaju različita mišljenja, pri čemu postoji malo veća sklonost mrežnom pristupu upravljanju iz 2. opcije. Civilno bi društvo podržalo najstrože mjere iz 2. i 3. opcije koje se odnose na kružnost i ekološki otisak.</w:t>
            </w:r>
          </w:p>
        </w:tc>
      </w:tr>
      <w:tr w:rsidR="52A9D588" w:rsidRPr="002912D7" w14:paraId="1CBE19EF" w14:textId="77777777" w:rsidTr="2ED4E331">
        <w:trPr>
          <w:trHeight w:val="323"/>
        </w:trPr>
        <w:tc>
          <w:tcPr>
            <w:tcW w:w="9450" w:type="dxa"/>
            <w:shd w:val="clear" w:color="auto" w:fill="A5A5A5" w:themeFill="accent3"/>
          </w:tcPr>
          <w:p w14:paraId="608300AF" w14:textId="77777777" w:rsidR="7E6815B9" w:rsidRPr="002912D7" w:rsidRDefault="7E6815B9" w:rsidP="52A9D588">
            <w:pPr>
              <w:spacing w:line="259" w:lineRule="auto"/>
              <w:rPr>
                <w:rFonts w:ascii="Times New Roman" w:eastAsia="Times New Roman" w:hAnsi="Times New Roman" w:cs="Times New Roman"/>
                <w:b/>
                <w:noProof/>
                <w:sz w:val="24"/>
                <w:lang w:val="hr-HR"/>
              </w:rPr>
            </w:pPr>
            <w:r w:rsidRPr="002912D7">
              <w:rPr>
                <w:rFonts w:ascii="Times New Roman" w:hAnsi="Times New Roman"/>
                <w:b/>
                <w:noProof/>
                <w:sz w:val="24"/>
                <w:lang w:val="hr-HR"/>
              </w:rPr>
              <w:t>C. Učinci opcija</w:t>
            </w:r>
          </w:p>
        </w:tc>
      </w:tr>
      <w:tr w:rsidR="52A9D588" w:rsidRPr="002912D7" w14:paraId="436B0997" w14:textId="77777777" w:rsidTr="2ED4E331">
        <w:trPr>
          <w:trHeight w:val="323"/>
        </w:trPr>
        <w:tc>
          <w:tcPr>
            <w:tcW w:w="9450" w:type="dxa"/>
            <w:shd w:val="clear" w:color="auto" w:fill="FFFFFF" w:themeFill="background1"/>
          </w:tcPr>
          <w:p w14:paraId="43F5AFEE" w14:textId="77777777" w:rsidR="101672DE" w:rsidRPr="002912D7" w:rsidRDefault="101672DE" w:rsidP="52A9D588">
            <w:pPr>
              <w:spacing w:line="259" w:lineRule="auto"/>
              <w:rPr>
                <w:rFonts w:ascii="Times New Roman" w:eastAsia="Times New Roman" w:hAnsi="Times New Roman" w:cs="Times New Roman"/>
                <w:b/>
                <w:noProof/>
                <w:sz w:val="24"/>
                <w:lang w:val="hr-HR"/>
              </w:rPr>
            </w:pPr>
            <w:r w:rsidRPr="002912D7">
              <w:rPr>
                <w:rFonts w:ascii="Times New Roman" w:hAnsi="Times New Roman"/>
                <w:b/>
                <w:noProof/>
                <w:sz w:val="24"/>
                <w:lang w:val="hr-HR"/>
              </w:rPr>
              <w:t>Koje su prednosti najpoželjnije opcije (ako postoji, inače prednosti glavnih opcija)?</w:t>
            </w:r>
          </w:p>
        </w:tc>
      </w:tr>
      <w:tr w:rsidR="52A9D588" w:rsidRPr="002912D7" w14:paraId="4C4E1AC7" w14:textId="77777777" w:rsidTr="2ED4E331">
        <w:trPr>
          <w:trHeight w:val="5262"/>
        </w:trPr>
        <w:tc>
          <w:tcPr>
            <w:tcW w:w="9450" w:type="dxa"/>
            <w:shd w:val="clear" w:color="auto" w:fill="FFFFFF" w:themeFill="background1"/>
          </w:tcPr>
          <w:p w14:paraId="7C5BAE4F" w14:textId="77777777" w:rsidR="5492CCBF" w:rsidRPr="002912D7" w:rsidRDefault="5492CCBF" w:rsidP="52A9D588">
            <w:pPr>
              <w:spacing w:line="259" w:lineRule="auto"/>
              <w:jc w:val="both"/>
              <w:rPr>
                <w:rFonts w:ascii="Times New Roman" w:eastAsia="Times New Roman" w:hAnsi="Times New Roman" w:cs="Times New Roman"/>
                <w:noProof/>
                <w:sz w:val="24"/>
                <w:lang w:val="hr-HR"/>
              </w:rPr>
            </w:pPr>
            <w:r w:rsidRPr="002912D7">
              <w:rPr>
                <w:rFonts w:ascii="Times New Roman" w:hAnsi="Times New Roman"/>
                <w:noProof/>
                <w:sz w:val="24"/>
                <w:lang w:val="hr-HR"/>
              </w:rPr>
              <w:t xml:space="preserve">Očekuje se da će </w:t>
            </w:r>
            <w:r w:rsidRPr="002912D7">
              <w:rPr>
                <w:rFonts w:ascii="Times New Roman" w:hAnsi="Times New Roman"/>
                <w:b/>
                <w:noProof/>
                <w:sz w:val="24"/>
                <w:lang w:val="hr-HR"/>
              </w:rPr>
              <w:t>1. opcija</w:t>
            </w:r>
            <w:r w:rsidRPr="002912D7">
              <w:rPr>
                <w:rFonts w:ascii="Times New Roman" w:hAnsi="Times New Roman"/>
                <w:noProof/>
                <w:sz w:val="24"/>
                <w:lang w:val="hr-HR"/>
              </w:rPr>
              <w:t xml:space="preserve"> donijeti gospodarske koristi poduzećima jer bi se na temelju ciljeva vodio razvoj potpore EU-a. Poduzeća bi imala koristi i od poboljšanog kapaciteta EU-a za praćenje, koji bi došao s mrežom, nacionalnih mjera kojima bi se poduprlo diversifikaciju i poboljšavanje otpornosti te ciljane potpore lancu vrijednosti u smislu istraživanja, izdavanja dozvola i financiranja. Zakonodavne mjere o otpadu potakle bi dodanu oporabu otpada, a zahtjevi za deklaraciju o ekološkom otisku i normizacijske mjere poboljšali bi kvalitetu informacija o održivosti.</w:t>
            </w:r>
          </w:p>
          <w:p w14:paraId="643AFF56" w14:textId="77777777" w:rsidR="5492CCBF" w:rsidRPr="002912D7" w:rsidRDefault="5492CCBF" w:rsidP="52A9D588">
            <w:pPr>
              <w:spacing w:line="259" w:lineRule="auto"/>
              <w:jc w:val="both"/>
              <w:rPr>
                <w:rFonts w:ascii="Times New Roman" w:eastAsia="Times New Roman" w:hAnsi="Times New Roman" w:cs="Times New Roman"/>
                <w:noProof/>
                <w:sz w:val="24"/>
                <w:lang w:val="hr-HR"/>
              </w:rPr>
            </w:pPr>
            <w:r w:rsidRPr="002912D7">
              <w:rPr>
                <w:rFonts w:ascii="Times New Roman" w:hAnsi="Times New Roman"/>
                <w:noProof/>
                <w:sz w:val="24"/>
                <w:lang w:val="hr-HR"/>
              </w:rPr>
              <w:t xml:space="preserve">Od </w:t>
            </w:r>
            <w:r w:rsidRPr="002912D7">
              <w:rPr>
                <w:rFonts w:ascii="Times New Roman" w:hAnsi="Times New Roman"/>
                <w:b/>
                <w:noProof/>
                <w:sz w:val="24"/>
                <w:lang w:val="hr-HR"/>
              </w:rPr>
              <w:t>2. opcije</w:t>
            </w:r>
            <w:r w:rsidRPr="002912D7">
              <w:rPr>
                <w:rFonts w:ascii="Times New Roman" w:hAnsi="Times New Roman"/>
                <w:noProof/>
                <w:sz w:val="24"/>
                <w:lang w:val="hr-HR"/>
              </w:rPr>
              <w:t xml:space="preserve"> bilo bi većih koristi nego od 1. opcije. Iako su mjere koje se odnose na upravljanje, praćenje i strateške zalihe iste kao u 1. opciji, mjere za potporu lanca vrijednosti su sveobuhvatnije i strateški značajnije rješenje za uzroke problema. Uvođenjem razvoja strateških projekata, koje bi se podupiralo jednostavnijim izdavanjem dozvola i lakšim pristupom financiranju, ova opcija više pomaže EU-ovim ciljevima opskrbe strateškim sirovinama u cijelom lancu vrijednosti i povećava konkurentnost korisnika niže u lancu. Deklaracijama o ekološkom otisku za kritične sirovine bolje bi se informiralo potrošače. Mjere za istraživanje i otpad, posebno u pogledu ciljeva recikliranja, također bi pomogle razvoju snažnog tržišta sekundarnih sirovina. </w:t>
            </w:r>
          </w:p>
          <w:p w14:paraId="46628326" w14:textId="77777777" w:rsidR="5492CCBF" w:rsidRPr="002912D7" w:rsidRDefault="5492CCBF" w:rsidP="52A9D588">
            <w:pPr>
              <w:spacing w:line="259" w:lineRule="auto"/>
              <w:jc w:val="both"/>
              <w:rPr>
                <w:rFonts w:ascii="Times New Roman" w:eastAsia="Times New Roman" w:hAnsi="Times New Roman" w:cs="Times New Roman"/>
                <w:noProof/>
                <w:sz w:val="24"/>
                <w:lang w:val="hr-HR"/>
              </w:rPr>
            </w:pPr>
            <w:r w:rsidRPr="002912D7">
              <w:rPr>
                <w:rFonts w:ascii="Times New Roman" w:hAnsi="Times New Roman"/>
                <w:noProof/>
                <w:sz w:val="24"/>
                <w:lang w:val="hr-HR"/>
              </w:rPr>
              <w:t xml:space="preserve">Očekuje se da će </w:t>
            </w:r>
            <w:r w:rsidRPr="002912D7">
              <w:rPr>
                <w:rFonts w:ascii="Times New Roman" w:hAnsi="Times New Roman"/>
                <w:b/>
                <w:noProof/>
                <w:sz w:val="24"/>
                <w:lang w:val="hr-HR"/>
              </w:rPr>
              <w:t>3. opcija</w:t>
            </w:r>
            <w:r w:rsidRPr="002912D7">
              <w:rPr>
                <w:rFonts w:ascii="Times New Roman" w:hAnsi="Times New Roman"/>
                <w:noProof/>
                <w:sz w:val="24"/>
                <w:lang w:val="hr-HR"/>
              </w:rPr>
              <w:t xml:space="preserve"> donijeti još veće gospodarske koristi poduzećima i općenito gospodarstvu, posebno boljom potporom praćenju, strateškim zalihama i diversifikaciji rizika. Za izvršavanje navedenoga bili bi zaduženi vanjski kapaciteti. Financijska potpora strateškim projektima, kako je zamišljena u ovoj opciji, dolazila bi iz fonda s većim utjecajem. Strateški projekti smatrali bi se prevladavajućim javnim interesom i podupirali bi ih veći administrativni kapaciteti država članica. Pragovi za ekološki otisak povećali bi održivost kritičnih sirovina na tržištu. Mjere koje se odnose na otpad, ekološki otisak i norme iste su kao i u 2. opciji.</w:t>
            </w:r>
          </w:p>
        </w:tc>
      </w:tr>
      <w:tr w:rsidR="52A9D588" w:rsidRPr="002912D7" w14:paraId="45FB22E8" w14:textId="77777777" w:rsidTr="2ED4E331">
        <w:trPr>
          <w:trHeight w:val="323"/>
        </w:trPr>
        <w:tc>
          <w:tcPr>
            <w:tcW w:w="9450" w:type="dxa"/>
            <w:shd w:val="clear" w:color="auto" w:fill="FFFFFF" w:themeFill="background1"/>
          </w:tcPr>
          <w:p w14:paraId="6B661331" w14:textId="77777777" w:rsidR="101672DE" w:rsidRPr="002912D7" w:rsidRDefault="101672DE" w:rsidP="52A9D588">
            <w:pPr>
              <w:spacing w:line="259" w:lineRule="auto"/>
              <w:rPr>
                <w:rFonts w:ascii="Times New Roman" w:eastAsia="Times New Roman" w:hAnsi="Times New Roman" w:cs="Times New Roman"/>
                <w:b/>
                <w:noProof/>
                <w:sz w:val="24"/>
                <w:lang w:val="hr-HR"/>
              </w:rPr>
            </w:pPr>
            <w:r w:rsidRPr="002912D7">
              <w:rPr>
                <w:rFonts w:ascii="Times New Roman" w:hAnsi="Times New Roman"/>
                <w:b/>
                <w:noProof/>
                <w:sz w:val="24"/>
                <w:lang w:val="hr-HR"/>
              </w:rPr>
              <w:t>Koji su troškovi opcija?</w:t>
            </w:r>
          </w:p>
        </w:tc>
      </w:tr>
      <w:tr w:rsidR="52A9D588" w:rsidRPr="002912D7" w14:paraId="1BD0AA25" w14:textId="77777777" w:rsidTr="2ED4E331">
        <w:trPr>
          <w:trHeight w:val="323"/>
        </w:trPr>
        <w:tc>
          <w:tcPr>
            <w:tcW w:w="9450" w:type="dxa"/>
            <w:shd w:val="clear" w:color="auto" w:fill="FFFFFF" w:themeFill="background1"/>
          </w:tcPr>
          <w:p w14:paraId="4E76EB88" w14:textId="77777777" w:rsidR="70B8D772" w:rsidRPr="002912D7" w:rsidRDefault="70B8D772" w:rsidP="52A9D588">
            <w:pPr>
              <w:jc w:val="both"/>
              <w:rPr>
                <w:rFonts w:ascii="Times New Roman" w:eastAsia="Times New Roman" w:hAnsi="Times New Roman" w:cs="Times New Roman"/>
                <w:noProof/>
                <w:sz w:val="24"/>
                <w:lang w:val="hr-HR"/>
              </w:rPr>
            </w:pPr>
            <w:r w:rsidRPr="002912D7">
              <w:rPr>
                <w:rFonts w:ascii="Times New Roman" w:hAnsi="Times New Roman"/>
                <w:b/>
                <w:bCs/>
                <w:noProof/>
                <w:sz w:val="24"/>
                <w:lang w:val="hr-HR"/>
              </w:rPr>
              <w:t>1. opcija</w:t>
            </w:r>
            <w:r w:rsidRPr="002912D7">
              <w:rPr>
                <w:rFonts w:ascii="Times New Roman" w:hAnsi="Times New Roman"/>
                <w:noProof/>
                <w:sz w:val="24"/>
                <w:lang w:val="hr-HR"/>
              </w:rPr>
              <w:t xml:space="preserve"> podrazumijeva najmanje administrativne troškove za velika društva koja posluju u lancu vrijednosti kritičnih sirovina. Ta bi društva morala dostavljati podatke za potrebe praćenja i za potrebe nekih proizvođača niže u lancu. Tu su i troškovi koji se odnose na ekološki otisak koji bi se odnosili na sva poduzeća koja prodaju kritične sirovine za koje postoje pravila za izračun i na poduzeća koja općenito žele iznositi tvrdnje o ekološkom otisku. Troškovi za Komisiju i države članice uglavnom se odnose na izvršenje mjera, prvenstveno uspostavljanje upravljačke strukture koja će obavljati zadaće, i na obveze izvješćivanja država članica (npr. o istraživanju).</w:t>
            </w:r>
          </w:p>
          <w:p w14:paraId="4336A4A9" w14:textId="77777777" w:rsidR="732CDAA7" w:rsidRPr="002912D7" w:rsidRDefault="732CDAA7" w:rsidP="52A9D588">
            <w:pPr>
              <w:jc w:val="both"/>
              <w:rPr>
                <w:rFonts w:ascii="Times New Roman" w:eastAsia="Times New Roman" w:hAnsi="Times New Roman" w:cs="Times New Roman"/>
                <w:noProof/>
                <w:sz w:val="24"/>
                <w:lang w:val="hr-HR"/>
              </w:rPr>
            </w:pPr>
            <w:r w:rsidRPr="002912D7">
              <w:rPr>
                <w:rFonts w:ascii="Times New Roman" w:hAnsi="Times New Roman"/>
                <w:b/>
                <w:noProof/>
                <w:sz w:val="24"/>
                <w:lang w:val="hr-HR"/>
              </w:rPr>
              <w:t>2. opcija</w:t>
            </w:r>
            <w:r w:rsidRPr="002912D7">
              <w:rPr>
                <w:rFonts w:ascii="Times New Roman" w:hAnsi="Times New Roman"/>
                <w:noProof/>
                <w:sz w:val="24"/>
                <w:lang w:val="hr-HR"/>
              </w:rPr>
              <w:t xml:space="preserve"> ima slične troškove za poduzeća, ali uvodi i nove troškove za operatere odgovorne za otpad od vađenja minerala i proizvođače EEO-a, koji bi morali pružati podatke o kritičnim sirovinama u njihovim proizvodima odnosno tokovima otpada. Troškovi za države članice povećavaju se zbog dodatnih zahtjeva u području istraživanja, iako bi se ti troškovi dijelili na temelju veličine državnog područja pojedine zemlje. Troškovi za Komisiju uglavnom bi bili za uspostavljanje djelotvornog sustava za upravljanje i praćenje te za provedbu drugih mjera, npr. za kružnost i ekološki otisak.</w:t>
            </w:r>
          </w:p>
          <w:p w14:paraId="2257C296" w14:textId="77777777" w:rsidR="29345530" w:rsidRPr="002912D7" w:rsidRDefault="29345530" w:rsidP="52A9D588">
            <w:pPr>
              <w:jc w:val="both"/>
              <w:rPr>
                <w:rFonts w:ascii="Times New Roman" w:eastAsia="Times New Roman" w:hAnsi="Times New Roman" w:cs="Times New Roman"/>
                <w:noProof/>
                <w:sz w:val="24"/>
                <w:lang w:val="hr-HR"/>
              </w:rPr>
            </w:pPr>
            <w:r w:rsidRPr="002912D7">
              <w:rPr>
                <w:rFonts w:ascii="Times New Roman" w:hAnsi="Times New Roman"/>
                <w:b/>
                <w:bCs/>
                <w:noProof/>
                <w:sz w:val="24"/>
                <w:lang w:val="hr-HR"/>
              </w:rPr>
              <w:t>3. opcija</w:t>
            </w:r>
            <w:r w:rsidRPr="002912D7">
              <w:rPr>
                <w:rFonts w:ascii="Times New Roman" w:hAnsi="Times New Roman"/>
                <w:noProof/>
                <w:sz w:val="24"/>
                <w:lang w:val="hr-HR"/>
              </w:rPr>
              <w:t xml:space="preserve"> znači znatne troškove za Komisiju i države članice zbog uspostavljanja vanjskih kapaciteta. To bi omogućilo šire područje aktivnosti pa bi se stoga efikasnije ispunjavali specifični ciljevi, no trebala bi velika proračunska potpora. Uz troškove iz prve dvije opcije ova opcija povećava troškove za poduzeća koja bi morala ispuniti dodatne zahtjeve koji se odnose na pripravnost, strateške zalihe i revizije njihovih lanaca opskrbe. </w:t>
            </w:r>
          </w:p>
        </w:tc>
      </w:tr>
      <w:tr w:rsidR="52A9D588" w:rsidRPr="002912D7" w14:paraId="60AC856C" w14:textId="77777777" w:rsidTr="2ED4E331">
        <w:trPr>
          <w:trHeight w:val="323"/>
        </w:trPr>
        <w:tc>
          <w:tcPr>
            <w:tcW w:w="9450" w:type="dxa"/>
            <w:shd w:val="clear" w:color="auto" w:fill="FFFFFF" w:themeFill="background1"/>
          </w:tcPr>
          <w:p w14:paraId="2F1C0304" w14:textId="77777777" w:rsidR="101672DE" w:rsidRPr="002912D7" w:rsidRDefault="101672DE" w:rsidP="52A9D588">
            <w:pPr>
              <w:spacing w:line="259" w:lineRule="auto"/>
              <w:rPr>
                <w:rFonts w:ascii="Times New Roman" w:eastAsia="Times New Roman" w:hAnsi="Times New Roman" w:cs="Times New Roman"/>
                <w:b/>
                <w:noProof/>
                <w:sz w:val="24"/>
                <w:lang w:val="hr-HR"/>
              </w:rPr>
            </w:pPr>
            <w:r w:rsidRPr="002912D7">
              <w:rPr>
                <w:rFonts w:ascii="Times New Roman" w:hAnsi="Times New Roman"/>
                <w:b/>
                <w:noProof/>
                <w:sz w:val="24"/>
                <w:lang w:val="hr-HR"/>
              </w:rPr>
              <w:t>Koji su učinci na MSP-ove i konkurentnost?</w:t>
            </w:r>
          </w:p>
        </w:tc>
      </w:tr>
      <w:tr w:rsidR="52A9D588" w:rsidRPr="002912D7" w14:paraId="2F0729E3" w14:textId="77777777" w:rsidTr="2ED4E331">
        <w:trPr>
          <w:trHeight w:val="323"/>
        </w:trPr>
        <w:tc>
          <w:tcPr>
            <w:tcW w:w="9450" w:type="dxa"/>
            <w:shd w:val="clear" w:color="auto" w:fill="FFFFFF" w:themeFill="background1"/>
          </w:tcPr>
          <w:p w14:paraId="55875953" w14:textId="77777777" w:rsidR="00DC94EB" w:rsidRPr="002912D7" w:rsidRDefault="00DC94EB" w:rsidP="52A9D588">
            <w:pPr>
              <w:spacing w:line="259" w:lineRule="auto"/>
              <w:jc w:val="both"/>
              <w:rPr>
                <w:rFonts w:ascii="Times New Roman" w:eastAsia="Times New Roman" w:hAnsi="Times New Roman" w:cs="Times New Roman"/>
                <w:noProof/>
                <w:sz w:val="24"/>
                <w:lang w:val="hr-HR"/>
              </w:rPr>
            </w:pPr>
            <w:r w:rsidRPr="002912D7">
              <w:rPr>
                <w:rFonts w:ascii="Times New Roman" w:hAnsi="Times New Roman"/>
                <w:noProof/>
                <w:sz w:val="24"/>
                <w:lang w:val="hr-HR"/>
              </w:rPr>
              <w:t>Najpoželjnije mjere omogućile bi MSP-ovima, kao malim društvima koja se bave istraživanjem, da iskoriste dodatne podatke i informacije koje dostave države članice. MSP-ovi koji posluju u lancu vrijednosti kritičnih sirovina ili sektorima niže u lancu imali bi koristi od dodatnog praćenja i drugih mjera za ublažavanje rizika, kakve bi inače vjerojatno rjeđe samostalno primjenjivali. Ne bi imali izravne administrativne troškove kao one zbog obveza izvješćivanja. Koristio bi im i lakši pristup financiranju.</w:t>
            </w:r>
          </w:p>
          <w:p w14:paraId="447A9DDE" w14:textId="77777777" w:rsidR="1ED3ECB5" w:rsidRPr="002912D7" w:rsidRDefault="1ED3ECB5" w:rsidP="52A9D588">
            <w:pPr>
              <w:spacing w:line="259" w:lineRule="auto"/>
              <w:jc w:val="both"/>
              <w:rPr>
                <w:rFonts w:ascii="Times New Roman" w:eastAsia="Times New Roman" w:hAnsi="Times New Roman" w:cs="Times New Roman"/>
                <w:noProof/>
                <w:sz w:val="24"/>
                <w:lang w:val="hr-HR"/>
              </w:rPr>
            </w:pPr>
            <w:r w:rsidRPr="002912D7">
              <w:rPr>
                <w:rFonts w:ascii="Times New Roman" w:hAnsi="Times New Roman"/>
                <w:noProof/>
                <w:sz w:val="24"/>
                <w:lang w:val="hr-HR"/>
              </w:rPr>
              <w:t>Konkurentnost industrije EU-a općenito bi podržavale iste mjere koje koriste MSP-ovima. Razvoj strateških projekata povećao bi otpornost EU-a jačanjem lanca vrijednosti kritičnih sirovina, posebno strateških sirovina, što bi sektorima niže u lancu zajamčilo sigurniju opskrbu kritičnim sirovinama pa stoga poboljšalo njihovu konkurentnost u odnosu na konkurente u drugim dijelovima svijeta.</w:t>
            </w:r>
          </w:p>
        </w:tc>
      </w:tr>
      <w:tr w:rsidR="52A9D588" w:rsidRPr="002912D7" w14:paraId="3AAA1385" w14:textId="77777777" w:rsidTr="2ED4E331">
        <w:trPr>
          <w:trHeight w:val="323"/>
        </w:trPr>
        <w:tc>
          <w:tcPr>
            <w:tcW w:w="9450" w:type="dxa"/>
            <w:shd w:val="clear" w:color="auto" w:fill="FFFFFF" w:themeFill="background1"/>
          </w:tcPr>
          <w:p w14:paraId="40DEB3F2" w14:textId="77777777" w:rsidR="101672DE" w:rsidRPr="002912D7" w:rsidRDefault="101672DE" w:rsidP="52A9D588">
            <w:pPr>
              <w:spacing w:line="259" w:lineRule="auto"/>
              <w:rPr>
                <w:rFonts w:ascii="Times New Roman" w:eastAsia="Times New Roman" w:hAnsi="Times New Roman" w:cs="Times New Roman"/>
                <w:b/>
                <w:noProof/>
                <w:sz w:val="24"/>
                <w:lang w:val="hr-HR"/>
              </w:rPr>
            </w:pPr>
            <w:r w:rsidRPr="002912D7">
              <w:rPr>
                <w:rFonts w:ascii="Times New Roman" w:hAnsi="Times New Roman"/>
                <w:b/>
                <w:noProof/>
                <w:sz w:val="24"/>
                <w:lang w:val="hr-HR"/>
              </w:rPr>
              <w:t>Hoće li to bitno utjecati na državne proračune i uprave?</w:t>
            </w:r>
          </w:p>
        </w:tc>
      </w:tr>
      <w:tr w:rsidR="52A9D588" w:rsidRPr="002912D7" w14:paraId="2049C28F" w14:textId="77777777" w:rsidTr="2ED4E331">
        <w:trPr>
          <w:trHeight w:val="323"/>
        </w:trPr>
        <w:tc>
          <w:tcPr>
            <w:tcW w:w="9450" w:type="dxa"/>
            <w:shd w:val="clear" w:color="auto" w:fill="FFFFFF" w:themeFill="background1"/>
          </w:tcPr>
          <w:p w14:paraId="29BBAF88" w14:textId="77777777" w:rsidR="3E9AC132" w:rsidRPr="002912D7" w:rsidRDefault="3E9AC132" w:rsidP="52A9D588">
            <w:pPr>
              <w:spacing w:line="259" w:lineRule="auto"/>
              <w:jc w:val="both"/>
              <w:rPr>
                <w:rFonts w:ascii="Times New Roman" w:eastAsia="Times New Roman" w:hAnsi="Times New Roman" w:cs="Times New Roman"/>
                <w:noProof/>
                <w:sz w:val="24"/>
                <w:lang w:val="hr-HR"/>
              </w:rPr>
            </w:pPr>
            <w:r w:rsidRPr="002912D7">
              <w:rPr>
                <w:rFonts w:ascii="Times New Roman" w:hAnsi="Times New Roman"/>
                <w:noProof/>
                <w:sz w:val="24"/>
                <w:lang w:val="hr-HR"/>
              </w:rPr>
              <w:t>Države članice imale bi troškove zbog sudjelovanja u upravljačkoj strukturi, dijeljenja informacija s odborom i provedbom mjera, npr. za koordinaciju strateških zaliha, pripravnost poduzeća za rizike, izdavanje dozvola, otpad i istraživanje.</w:t>
            </w:r>
          </w:p>
        </w:tc>
      </w:tr>
      <w:tr w:rsidR="52A9D588" w:rsidRPr="002912D7" w14:paraId="16247866" w14:textId="77777777" w:rsidTr="2ED4E331">
        <w:trPr>
          <w:trHeight w:val="323"/>
        </w:trPr>
        <w:tc>
          <w:tcPr>
            <w:tcW w:w="9450" w:type="dxa"/>
            <w:shd w:val="clear" w:color="auto" w:fill="FFFFFF" w:themeFill="background1"/>
          </w:tcPr>
          <w:p w14:paraId="48B9ACBC" w14:textId="77777777" w:rsidR="101672DE" w:rsidRPr="002912D7" w:rsidRDefault="101672DE" w:rsidP="52A9D588">
            <w:pPr>
              <w:spacing w:line="259" w:lineRule="auto"/>
              <w:rPr>
                <w:rFonts w:ascii="Times New Roman" w:eastAsia="Times New Roman" w:hAnsi="Times New Roman" w:cs="Times New Roman"/>
                <w:b/>
                <w:noProof/>
                <w:sz w:val="24"/>
                <w:lang w:val="hr-HR"/>
              </w:rPr>
            </w:pPr>
            <w:r w:rsidRPr="002912D7">
              <w:rPr>
                <w:rFonts w:ascii="Times New Roman" w:hAnsi="Times New Roman"/>
                <w:b/>
                <w:noProof/>
                <w:sz w:val="24"/>
                <w:lang w:val="hr-HR"/>
              </w:rPr>
              <w:t>Hoće li biti drugih bitnih učinaka?</w:t>
            </w:r>
          </w:p>
        </w:tc>
      </w:tr>
      <w:tr w:rsidR="52A9D588" w:rsidRPr="002912D7" w14:paraId="73EDCB91" w14:textId="77777777" w:rsidTr="2ED4E331">
        <w:trPr>
          <w:trHeight w:val="323"/>
        </w:trPr>
        <w:tc>
          <w:tcPr>
            <w:tcW w:w="9450" w:type="dxa"/>
            <w:shd w:val="clear" w:color="auto" w:fill="FFFFFF" w:themeFill="background1"/>
          </w:tcPr>
          <w:p w14:paraId="102B9B34" w14:textId="77777777" w:rsidR="69C1B774" w:rsidRPr="002912D7" w:rsidRDefault="69C1B774" w:rsidP="52A9D588">
            <w:pPr>
              <w:spacing w:line="259" w:lineRule="auto"/>
              <w:jc w:val="both"/>
              <w:rPr>
                <w:rFonts w:ascii="Times New Roman" w:eastAsia="Times New Roman" w:hAnsi="Times New Roman" w:cs="Times New Roman"/>
                <w:noProof/>
                <w:sz w:val="24"/>
                <w:lang w:val="hr-HR"/>
              </w:rPr>
            </w:pPr>
            <w:r w:rsidRPr="002912D7">
              <w:rPr>
                <w:rFonts w:ascii="Times New Roman" w:hAnsi="Times New Roman"/>
                <w:noProof/>
                <w:sz w:val="24"/>
                <w:lang w:val="hr-HR"/>
              </w:rPr>
              <w:t>U ovoj inicijativi nisu predviđeni drugi značajni učinci. Ne očekuje se nikakva značajna šteta okolišu, a istovremeno se potiču mjere za bolju kružnost kritičnih sirovina i, zahvaljujući mjerama o ekološkom otisku, bolja održivost kritičnih sirovina.</w:t>
            </w:r>
          </w:p>
        </w:tc>
      </w:tr>
      <w:tr w:rsidR="52A9D588" w:rsidRPr="002912D7" w14:paraId="24B14474" w14:textId="77777777" w:rsidTr="2ED4E331">
        <w:trPr>
          <w:trHeight w:val="323"/>
        </w:trPr>
        <w:tc>
          <w:tcPr>
            <w:tcW w:w="9450" w:type="dxa"/>
            <w:shd w:val="clear" w:color="auto" w:fill="FFFFFF" w:themeFill="background1"/>
          </w:tcPr>
          <w:p w14:paraId="04A763EE" w14:textId="77777777" w:rsidR="101672DE" w:rsidRPr="002912D7" w:rsidRDefault="101672DE" w:rsidP="52A9D588">
            <w:pPr>
              <w:spacing w:line="259" w:lineRule="auto"/>
              <w:rPr>
                <w:rFonts w:ascii="Times New Roman" w:eastAsia="Times New Roman" w:hAnsi="Times New Roman" w:cs="Times New Roman"/>
                <w:b/>
                <w:noProof/>
                <w:sz w:val="24"/>
                <w:lang w:val="hr-HR"/>
              </w:rPr>
            </w:pPr>
            <w:r w:rsidRPr="002912D7">
              <w:rPr>
                <w:rFonts w:ascii="Times New Roman" w:hAnsi="Times New Roman"/>
                <w:b/>
                <w:noProof/>
                <w:sz w:val="24"/>
                <w:lang w:val="hr-HR"/>
              </w:rPr>
              <w:t>Proporcionalnost?</w:t>
            </w:r>
          </w:p>
        </w:tc>
      </w:tr>
      <w:tr w:rsidR="52A9D588" w:rsidRPr="002912D7" w14:paraId="5B526D5D" w14:textId="77777777" w:rsidTr="2ED4E331">
        <w:trPr>
          <w:trHeight w:val="323"/>
        </w:trPr>
        <w:tc>
          <w:tcPr>
            <w:tcW w:w="9450" w:type="dxa"/>
            <w:shd w:val="clear" w:color="auto" w:fill="FFFFFF" w:themeFill="background1"/>
          </w:tcPr>
          <w:p w14:paraId="3F9BE950" w14:textId="77777777" w:rsidR="15F28DB4" w:rsidRPr="002912D7" w:rsidRDefault="15F28DB4" w:rsidP="52A9D588">
            <w:pPr>
              <w:spacing w:line="259" w:lineRule="auto"/>
              <w:rPr>
                <w:rFonts w:ascii="Times New Roman" w:eastAsia="Times New Roman" w:hAnsi="Times New Roman" w:cs="Times New Roman"/>
                <w:noProof/>
                <w:sz w:val="24"/>
                <w:lang w:val="hr-HR"/>
              </w:rPr>
            </w:pPr>
            <w:r w:rsidRPr="002912D7">
              <w:rPr>
                <w:rFonts w:ascii="Times New Roman" w:hAnsi="Times New Roman"/>
                <w:noProof/>
                <w:sz w:val="24"/>
                <w:lang w:val="hr-HR"/>
              </w:rPr>
              <w:t xml:space="preserve">Najpoželjnija opcija najviše je u skladu s načelom proporcionalnosti jer ne podrazumijeva vanjske kapacitete za izvršavanje zadaća koje se odnose na kritične sirovine. To, međutim, podrazumijeva manju djelotvornost u postizanju specifičnih ciljeva. </w:t>
            </w:r>
          </w:p>
        </w:tc>
      </w:tr>
      <w:tr w:rsidR="52A9D588" w:rsidRPr="002912D7" w14:paraId="520E2175" w14:textId="77777777" w:rsidTr="2ED4E331">
        <w:trPr>
          <w:trHeight w:val="323"/>
        </w:trPr>
        <w:tc>
          <w:tcPr>
            <w:tcW w:w="9450" w:type="dxa"/>
            <w:shd w:val="clear" w:color="auto" w:fill="A5A5A5" w:themeFill="accent3"/>
          </w:tcPr>
          <w:p w14:paraId="043A77AF" w14:textId="77777777" w:rsidR="101672DE" w:rsidRPr="002912D7" w:rsidRDefault="101672DE" w:rsidP="52A9D588">
            <w:pPr>
              <w:spacing w:line="259" w:lineRule="auto"/>
              <w:rPr>
                <w:rFonts w:ascii="Times New Roman" w:eastAsia="Times New Roman" w:hAnsi="Times New Roman" w:cs="Times New Roman"/>
                <w:b/>
                <w:noProof/>
                <w:sz w:val="24"/>
                <w:lang w:val="hr-HR"/>
              </w:rPr>
            </w:pPr>
            <w:r w:rsidRPr="002912D7">
              <w:rPr>
                <w:rFonts w:ascii="Times New Roman" w:hAnsi="Times New Roman"/>
                <w:b/>
                <w:noProof/>
                <w:sz w:val="24"/>
                <w:lang w:val="hr-HR"/>
              </w:rPr>
              <w:t>D. Daljnje mjere</w:t>
            </w:r>
          </w:p>
        </w:tc>
      </w:tr>
      <w:tr w:rsidR="52A9D588" w:rsidRPr="002912D7" w14:paraId="710231B3" w14:textId="77777777" w:rsidTr="2ED4E331">
        <w:trPr>
          <w:trHeight w:val="323"/>
        </w:trPr>
        <w:tc>
          <w:tcPr>
            <w:tcW w:w="9450" w:type="dxa"/>
            <w:shd w:val="clear" w:color="auto" w:fill="FFFFFF" w:themeFill="background1"/>
          </w:tcPr>
          <w:p w14:paraId="032657C7" w14:textId="77777777" w:rsidR="13706D17" w:rsidRPr="002912D7" w:rsidRDefault="13706D17" w:rsidP="52A9D588">
            <w:pPr>
              <w:spacing w:line="259" w:lineRule="auto"/>
              <w:jc w:val="both"/>
              <w:rPr>
                <w:rFonts w:ascii="Times New Roman" w:eastAsia="Times New Roman" w:hAnsi="Times New Roman" w:cs="Times New Roman"/>
                <w:noProof/>
                <w:sz w:val="24"/>
                <w:lang w:val="hr-HR"/>
              </w:rPr>
            </w:pPr>
            <w:r w:rsidRPr="002912D7">
              <w:rPr>
                <w:rFonts w:ascii="Times New Roman" w:hAnsi="Times New Roman"/>
                <w:noProof/>
                <w:sz w:val="24"/>
                <w:lang w:val="hr-HR"/>
              </w:rPr>
              <w:t>Komisija će za ovu zakonodavnu inicijativu pet godina nakon početka primjene zakonodavnog akta provesti evaluaciju djelotvornosti, učinkovitosti, usklađenosti, relevantnosti i dodane vrijednosti EU-a i podnijeti izvješće o glavnim nalazima Europskom parlamentu, Vijeću, Europskom gospodarskom i socijalnom odboru i Odboru regija. Na temelju evaluacije Komisija može predložiti poboljšanja Europskog akta o kritičnim sirovinama, čija bi provedba trebala mjeriti postizanje ciljeva kapaciteta europske opskrbe iz procjene učinka. U procjeni su navedeni pokazatelji za praćenje napretka.</w:t>
            </w:r>
          </w:p>
        </w:tc>
      </w:tr>
    </w:tbl>
    <w:p w14:paraId="7C399A02" w14:textId="77777777" w:rsidR="52A9D588" w:rsidRPr="002912D7" w:rsidRDefault="52A9D588" w:rsidP="52A9D588">
      <w:pPr>
        <w:rPr>
          <w:b/>
          <w:noProof/>
          <w:lang w:val="hr-HR"/>
        </w:rPr>
      </w:pPr>
    </w:p>
    <w:sectPr w:rsidR="52A9D588" w:rsidRPr="002912D7" w:rsidSect="00F6213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3B665" w14:textId="77777777" w:rsidR="00827063" w:rsidRDefault="00827063" w:rsidP="00F6213C">
      <w:pPr>
        <w:spacing w:after="0" w:line="240" w:lineRule="auto"/>
      </w:pPr>
      <w:r>
        <w:separator/>
      </w:r>
    </w:p>
  </w:endnote>
  <w:endnote w:type="continuationSeparator" w:id="0">
    <w:p w14:paraId="0C38F6DF" w14:textId="77777777" w:rsidR="00827063" w:rsidRDefault="00827063" w:rsidP="00F6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7D464" w14:textId="20D6798B" w:rsidR="002912D7" w:rsidRPr="00E80077" w:rsidRDefault="002912D7" w:rsidP="00E80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E48B1" w14:textId="3B570525" w:rsidR="002912D7" w:rsidRPr="00E80077" w:rsidRDefault="00E80077" w:rsidP="00E80077">
    <w:pPr>
      <w:pStyle w:val="FooterCoverPage"/>
      <w:rPr>
        <w:rFonts w:ascii="Arial" w:hAnsi="Arial" w:cs="Arial"/>
        <w:b/>
        <w:sz w:val="48"/>
      </w:rPr>
    </w:pPr>
    <w:r w:rsidRPr="00E80077">
      <w:rPr>
        <w:rFonts w:ascii="Arial" w:hAnsi="Arial" w:cs="Arial"/>
        <w:b/>
        <w:sz w:val="48"/>
      </w:rPr>
      <w:t>HR</w:t>
    </w:r>
    <w:r w:rsidRPr="00E80077">
      <w:rPr>
        <w:rFonts w:ascii="Arial" w:hAnsi="Arial" w:cs="Arial"/>
        <w:b/>
        <w:sz w:val="48"/>
      </w:rPr>
      <w:tab/>
    </w:r>
    <w:r w:rsidRPr="00E80077">
      <w:rPr>
        <w:rFonts w:ascii="Arial" w:hAnsi="Arial" w:cs="Arial"/>
        <w:b/>
        <w:sz w:val="48"/>
      </w:rPr>
      <w:tab/>
    </w:r>
    <w:r w:rsidRPr="00E80077">
      <w:tab/>
    </w:r>
    <w:r w:rsidRPr="00E80077">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FE40" w14:textId="77777777" w:rsidR="00E80077" w:rsidRPr="00E80077" w:rsidRDefault="00E80077" w:rsidP="00E8007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0130E" w14:textId="77777777" w:rsidR="00F6213C" w:rsidRDefault="00F621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066525"/>
      <w:docPartObj>
        <w:docPartGallery w:val="Page Numbers (Bottom of Page)"/>
        <w:docPartUnique/>
      </w:docPartObj>
    </w:sdtPr>
    <w:sdtEndPr/>
    <w:sdtContent>
      <w:p w14:paraId="76F90C98" w14:textId="7DC0D20E" w:rsidR="00E709DA" w:rsidRDefault="00E709DA">
        <w:pPr>
          <w:pStyle w:val="Footer"/>
          <w:jc w:val="center"/>
        </w:pPr>
        <w:r>
          <w:fldChar w:fldCharType="begin"/>
        </w:r>
        <w:r>
          <w:instrText xml:space="preserve"> PAGE   \* MERGEFORMAT </w:instrText>
        </w:r>
        <w:r>
          <w:fldChar w:fldCharType="separate"/>
        </w:r>
        <w:r w:rsidR="00E80077">
          <w:rPr>
            <w:noProof/>
          </w:rPr>
          <w:t>1</w:t>
        </w:r>
        <w:r>
          <w:fldChar w:fldCharType="end"/>
        </w:r>
      </w:p>
    </w:sdtContent>
  </w:sdt>
  <w:p w14:paraId="4B65169C" w14:textId="77777777" w:rsidR="00F6213C" w:rsidRDefault="00F621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6E024" w14:textId="77777777" w:rsidR="00F6213C" w:rsidRDefault="00F62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4BE78" w14:textId="77777777" w:rsidR="00827063" w:rsidRDefault="00827063" w:rsidP="00F6213C">
      <w:pPr>
        <w:spacing w:after="0" w:line="240" w:lineRule="auto"/>
      </w:pPr>
      <w:r>
        <w:separator/>
      </w:r>
    </w:p>
  </w:footnote>
  <w:footnote w:type="continuationSeparator" w:id="0">
    <w:p w14:paraId="6E0832B3" w14:textId="77777777" w:rsidR="00827063" w:rsidRDefault="00827063" w:rsidP="00F62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AA17A" w14:textId="77777777" w:rsidR="00E80077" w:rsidRPr="00E80077" w:rsidRDefault="00E80077" w:rsidP="00E80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15D2" w14:textId="77777777" w:rsidR="00E80077" w:rsidRPr="00E80077" w:rsidRDefault="00E80077" w:rsidP="00E8007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7548" w14:textId="77777777" w:rsidR="00E80077" w:rsidRPr="00E80077" w:rsidRDefault="00E80077" w:rsidP="00E8007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20544" w14:textId="77777777" w:rsidR="00F6213C" w:rsidRDefault="00F621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3545F" w14:textId="77777777" w:rsidR="00F6213C" w:rsidRDefault="00F621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F5D5F" w14:textId="77777777" w:rsidR="00F6213C" w:rsidRDefault="00F621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priložen dokumentu"/>
    <w:docVar w:name="LW_CORRIGENDUM" w:val="&lt;UNUSED&gt;"/>
    <w:docVar w:name="LW_COVERPAGE_EXISTS" w:val="True"/>
    <w:docVar w:name="LW_COVERPAGE_GUID" w:val="42153981-5D62-4EE8-8319-885B8D6BDF26"/>
    <w:docVar w:name="LW_COVERPAGE_TYPE" w:val="1"/>
    <w:docVar w:name="LW_CROSSREFERENCE" w:val="{COM(2023) 160 final} - {SEC(2023) 360 final} - {SWD(2023) 160 final} - {SWD(2023) 161 final}"/>
    <w:docVar w:name="LW_DocType" w:val="NORMAL"/>
    <w:docVar w:name="LW_EMISSION" w:val="16.3.2023."/>
    <w:docVar w:name="LW_EMISSION_ISODATE" w:val="2023-03-16"/>
    <w:docVar w:name="LW_EMISSION_LOCATION" w:val="BRX"/>
    <w:docVar w:name="LW_EMISSION_PREFIX" w:val="Bruxelles, "/>
    <w:docVar w:name="LW_EMISSION_SUFFIX" w:val="&lt;EMPTY&gt;"/>
    <w:docVar w:name="LW_ID_DOCTYPE_NONLW" w:val="CP-027"/>
    <w:docVar w:name="LW_LANGUE" w:val="HR"/>
    <w:docVar w:name="LW_LEVEL_OF_SENSITIVITY" w:val="Standard treatment"/>
    <w:docVar w:name="LW_NOM.INST" w:val="EUROPSKA KOMISIJA"/>
    <w:docVar w:name="LW_NOM.INST_JOINTDOC" w:val="&lt;EMPTY&gt;"/>
    <w:docVar w:name="LW_OBJETACTEPRINCIPAL.CP" w:val="&lt;FMT:Bold&gt;o uspostavi okvira za sigurnu i održivu opskrbu kritičnim sirovinama i o izmjeni uredbi (EU) br. 168/2013, (EU) 2018/858, (EU) 2018/1724 i (EU) 2019/1020&lt;/FMT&gt;_x000b_"/>
    <w:docVar w:name="LW_PART_NBR" w:val="1"/>
    <w:docVar w:name="LW_PART_NBR_TOTAL" w:val="1"/>
    <w:docVar w:name="LW_REF.INST.NEW" w:val="SWD"/>
    <w:docVar w:name="LW_REF.INST.NEW_ADOPTED" w:val="final"/>
    <w:docVar w:name="LW_REF.INST.NEW_TEXT" w:val="(2023) 1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Style_Marker&gt;[…]&lt;/FMT&gt;"/>
    <w:docVar w:name="LW_TYPE.DOC.CP" w:val="RADNI DOKUMENT SLUŽBI KOMISIJE_x000b__x000b_SAŽETAK IZVJEŠĆA O PROCJENI UČINKA_x000b_"/>
    <w:docVar w:name="LW_TYPEACTEPRINCIPAL.CP" w:val="Prijedlog uredbe Europskog parlamenta i Vijeća"/>
    <w:docVar w:name="LwApiVersions" w:val="LW4CoDe 1.23.2.0; LW 8.0, Build 20211117"/>
  </w:docVars>
  <w:rsids>
    <w:rsidRoot w:val="09337141"/>
    <w:rsid w:val="00025E80"/>
    <w:rsid w:val="00075189"/>
    <w:rsid w:val="001D4425"/>
    <w:rsid w:val="0025675C"/>
    <w:rsid w:val="002912D7"/>
    <w:rsid w:val="002A4B7A"/>
    <w:rsid w:val="002D2C73"/>
    <w:rsid w:val="004024B7"/>
    <w:rsid w:val="00433106"/>
    <w:rsid w:val="004F10C1"/>
    <w:rsid w:val="005E7A61"/>
    <w:rsid w:val="007578F4"/>
    <w:rsid w:val="00827063"/>
    <w:rsid w:val="0084038D"/>
    <w:rsid w:val="008935CF"/>
    <w:rsid w:val="008C528C"/>
    <w:rsid w:val="00A2492C"/>
    <w:rsid w:val="00A936E0"/>
    <w:rsid w:val="00B20C1A"/>
    <w:rsid w:val="00B32CFB"/>
    <w:rsid w:val="00B72BE0"/>
    <w:rsid w:val="00B94452"/>
    <w:rsid w:val="00C11A56"/>
    <w:rsid w:val="00C70F42"/>
    <w:rsid w:val="00CEAB70"/>
    <w:rsid w:val="00D10B93"/>
    <w:rsid w:val="00D22762"/>
    <w:rsid w:val="00DBEB4B"/>
    <w:rsid w:val="00DC94EB"/>
    <w:rsid w:val="00DD0D7B"/>
    <w:rsid w:val="00E4101E"/>
    <w:rsid w:val="00E709DA"/>
    <w:rsid w:val="00E80077"/>
    <w:rsid w:val="00F464EB"/>
    <w:rsid w:val="00F5014F"/>
    <w:rsid w:val="00F6213C"/>
    <w:rsid w:val="00FE2907"/>
    <w:rsid w:val="0188F20F"/>
    <w:rsid w:val="01AADDB2"/>
    <w:rsid w:val="01AF63B8"/>
    <w:rsid w:val="01FEE721"/>
    <w:rsid w:val="0227EFB4"/>
    <w:rsid w:val="0238AC28"/>
    <w:rsid w:val="0239A518"/>
    <w:rsid w:val="027FE07F"/>
    <w:rsid w:val="02A0903A"/>
    <w:rsid w:val="02CFEB27"/>
    <w:rsid w:val="032B053E"/>
    <w:rsid w:val="034F8E2B"/>
    <w:rsid w:val="036E646D"/>
    <w:rsid w:val="039CF8BC"/>
    <w:rsid w:val="03A63CC8"/>
    <w:rsid w:val="041BB0E0"/>
    <w:rsid w:val="042BDDCD"/>
    <w:rsid w:val="04341606"/>
    <w:rsid w:val="0435C9C9"/>
    <w:rsid w:val="046BBB88"/>
    <w:rsid w:val="04953425"/>
    <w:rsid w:val="04C61563"/>
    <w:rsid w:val="04D53142"/>
    <w:rsid w:val="04FFA0B2"/>
    <w:rsid w:val="05344666"/>
    <w:rsid w:val="0598E490"/>
    <w:rsid w:val="05A45939"/>
    <w:rsid w:val="05AE1CB4"/>
    <w:rsid w:val="05C7AE2E"/>
    <w:rsid w:val="05D19A2A"/>
    <w:rsid w:val="05D8F038"/>
    <w:rsid w:val="06DEBFFA"/>
    <w:rsid w:val="06ED803C"/>
    <w:rsid w:val="0756C114"/>
    <w:rsid w:val="07A35C4A"/>
    <w:rsid w:val="07E2B1A9"/>
    <w:rsid w:val="08244CD9"/>
    <w:rsid w:val="0834C937"/>
    <w:rsid w:val="08374174"/>
    <w:rsid w:val="08B2E1E8"/>
    <w:rsid w:val="09337141"/>
    <w:rsid w:val="093F2CAB"/>
    <w:rsid w:val="098D5583"/>
    <w:rsid w:val="09AF0684"/>
    <w:rsid w:val="09B49D14"/>
    <w:rsid w:val="09BA5BEE"/>
    <w:rsid w:val="09CA41A6"/>
    <w:rsid w:val="09DEFFAF"/>
    <w:rsid w:val="0A084F01"/>
    <w:rsid w:val="0A49CB39"/>
    <w:rsid w:val="0A4DDE5E"/>
    <w:rsid w:val="0A71CA07"/>
    <w:rsid w:val="0A8E61D6"/>
    <w:rsid w:val="0AB447AE"/>
    <w:rsid w:val="0AE7882B"/>
    <w:rsid w:val="0B270968"/>
    <w:rsid w:val="0B64F5F7"/>
    <w:rsid w:val="0B722F02"/>
    <w:rsid w:val="0B914117"/>
    <w:rsid w:val="0BA41F62"/>
    <w:rsid w:val="0BD798CC"/>
    <w:rsid w:val="0BEA82AA"/>
    <w:rsid w:val="0C1393A4"/>
    <w:rsid w:val="0C2A3237"/>
    <w:rsid w:val="0D00C658"/>
    <w:rsid w:val="0D02C26F"/>
    <w:rsid w:val="0D142131"/>
    <w:rsid w:val="0DDE6F41"/>
    <w:rsid w:val="0DF859CE"/>
    <w:rsid w:val="0E11465F"/>
    <w:rsid w:val="0E970713"/>
    <w:rsid w:val="0E9C96B9"/>
    <w:rsid w:val="0EBAA2B6"/>
    <w:rsid w:val="0F228FC9"/>
    <w:rsid w:val="0F37F23F"/>
    <w:rsid w:val="0F61D2F9"/>
    <w:rsid w:val="0F6E9074"/>
    <w:rsid w:val="0F913AE1"/>
    <w:rsid w:val="0FDBC52E"/>
    <w:rsid w:val="101672DE"/>
    <w:rsid w:val="1038671A"/>
    <w:rsid w:val="10506152"/>
    <w:rsid w:val="108C6BE6"/>
    <w:rsid w:val="10943470"/>
    <w:rsid w:val="110A60D5"/>
    <w:rsid w:val="114A3E90"/>
    <w:rsid w:val="11512286"/>
    <w:rsid w:val="11A66FB0"/>
    <w:rsid w:val="11F5F7E6"/>
    <w:rsid w:val="12E66036"/>
    <w:rsid w:val="12FF461C"/>
    <w:rsid w:val="13706D17"/>
    <w:rsid w:val="137191E3"/>
    <w:rsid w:val="138D36AE"/>
    <w:rsid w:val="13B53817"/>
    <w:rsid w:val="14388319"/>
    <w:rsid w:val="1488BEEE"/>
    <w:rsid w:val="14BD2E5B"/>
    <w:rsid w:val="150BD83D"/>
    <w:rsid w:val="1538235D"/>
    <w:rsid w:val="15510878"/>
    <w:rsid w:val="15D90203"/>
    <w:rsid w:val="15E35AF5"/>
    <w:rsid w:val="15F28DB4"/>
    <w:rsid w:val="1658FEBC"/>
    <w:rsid w:val="16BB0377"/>
    <w:rsid w:val="16D3F3BE"/>
    <w:rsid w:val="16ECD8D9"/>
    <w:rsid w:val="173AEB43"/>
    <w:rsid w:val="175A707F"/>
    <w:rsid w:val="1874184F"/>
    <w:rsid w:val="18877E35"/>
    <w:rsid w:val="1893073A"/>
    <w:rsid w:val="18B554D2"/>
    <w:rsid w:val="19013519"/>
    <w:rsid w:val="199A304F"/>
    <w:rsid w:val="19B529AC"/>
    <w:rsid w:val="19F0ECC3"/>
    <w:rsid w:val="1A24799B"/>
    <w:rsid w:val="1A521DC6"/>
    <w:rsid w:val="1A9B57B5"/>
    <w:rsid w:val="1B65425A"/>
    <w:rsid w:val="1C046D31"/>
    <w:rsid w:val="1C094117"/>
    <w:rsid w:val="1C73D629"/>
    <w:rsid w:val="1C88DF9A"/>
    <w:rsid w:val="1CBFEA61"/>
    <w:rsid w:val="1CCA2637"/>
    <w:rsid w:val="1D0A4F26"/>
    <w:rsid w:val="1D38535F"/>
    <w:rsid w:val="1D6E641E"/>
    <w:rsid w:val="1DD9C18B"/>
    <w:rsid w:val="1DF0D163"/>
    <w:rsid w:val="1ED3ECB5"/>
    <w:rsid w:val="1EEE67B1"/>
    <w:rsid w:val="1F035C2E"/>
    <w:rsid w:val="1F164ED1"/>
    <w:rsid w:val="1F723701"/>
    <w:rsid w:val="1F761FFE"/>
    <w:rsid w:val="1F974158"/>
    <w:rsid w:val="1FA0AFF2"/>
    <w:rsid w:val="1FA6B6F2"/>
    <w:rsid w:val="1FB50E3F"/>
    <w:rsid w:val="1FD2B4BC"/>
    <w:rsid w:val="20787731"/>
    <w:rsid w:val="20886AB9"/>
    <w:rsid w:val="208FCF86"/>
    <w:rsid w:val="20AC06B0"/>
    <w:rsid w:val="20B430BA"/>
    <w:rsid w:val="20C24EE4"/>
    <w:rsid w:val="21287225"/>
    <w:rsid w:val="2142B180"/>
    <w:rsid w:val="218A2252"/>
    <w:rsid w:val="226B43DC"/>
    <w:rsid w:val="22942F1B"/>
    <w:rsid w:val="229DE43D"/>
    <w:rsid w:val="22C4F5DB"/>
    <w:rsid w:val="23495413"/>
    <w:rsid w:val="23796DB6"/>
    <w:rsid w:val="23E1A372"/>
    <w:rsid w:val="23FD1B92"/>
    <w:rsid w:val="2405D594"/>
    <w:rsid w:val="244C2659"/>
    <w:rsid w:val="24742115"/>
    <w:rsid w:val="253A8319"/>
    <w:rsid w:val="25729DB2"/>
    <w:rsid w:val="25F67135"/>
    <w:rsid w:val="2628E1BD"/>
    <w:rsid w:val="2648736F"/>
    <w:rsid w:val="26921306"/>
    <w:rsid w:val="269E8463"/>
    <w:rsid w:val="26AD61CA"/>
    <w:rsid w:val="26C9BE31"/>
    <w:rsid w:val="2709FFCC"/>
    <w:rsid w:val="270E6E13"/>
    <w:rsid w:val="274BF3BE"/>
    <w:rsid w:val="276805D6"/>
    <w:rsid w:val="2783C71B"/>
    <w:rsid w:val="278C4D61"/>
    <w:rsid w:val="27B1B3B8"/>
    <w:rsid w:val="27B32609"/>
    <w:rsid w:val="28583D62"/>
    <w:rsid w:val="28ACA6D2"/>
    <w:rsid w:val="2903709F"/>
    <w:rsid w:val="290578F7"/>
    <w:rsid w:val="29345530"/>
    <w:rsid w:val="2960827F"/>
    <w:rsid w:val="29940C3C"/>
    <w:rsid w:val="29D6F5F8"/>
    <w:rsid w:val="2A1EA16E"/>
    <w:rsid w:val="2A1EC3ED"/>
    <w:rsid w:val="2A839480"/>
    <w:rsid w:val="2A91311B"/>
    <w:rsid w:val="2AD007C0"/>
    <w:rsid w:val="2AE36299"/>
    <w:rsid w:val="2AED3692"/>
    <w:rsid w:val="2AF4FA7F"/>
    <w:rsid w:val="2AFFA059"/>
    <w:rsid w:val="2B144940"/>
    <w:rsid w:val="2BBA71CF"/>
    <w:rsid w:val="2BD87582"/>
    <w:rsid w:val="2BF84302"/>
    <w:rsid w:val="2C089E29"/>
    <w:rsid w:val="2C1F64E1"/>
    <w:rsid w:val="2C6BD821"/>
    <w:rsid w:val="2CB49917"/>
    <w:rsid w:val="2D41FE93"/>
    <w:rsid w:val="2D4AE8BF"/>
    <w:rsid w:val="2D6C01B5"/>
    <w:rsid w:val="2D939463"/>
    <w:rsid w:val="2DED2750"/>
    <w:rsid w:val="2E19BC6D"/>
    <w:rsid w:val="2E1B035B"/>
    <w:rsid w:val="2E6E4785"/>
    <w:rsid w:val="2E86B47D"/>
    <w:rsid w:val="2EABCC8C"/>
    <w:rsid w:val="2ED4E331"/>
    <w:rsid w:val="2EF23510"/>
    <w:rsid w:val="2FCAD827"/>
    <w:rsid w:val="2FD3117C"/>
    <w:rsid w:val="302284DE"/>
    <w:rsid w:val="3038DA56"/>
    <w:rsid w:val="3055DC78"/>
    <w:rsid w:val="3070A2A9"/>
    <w:rsid w:val="307D6024"/>
    <w:rsid w:val="307EAAF1"/>
    <w:rsid w:val="30874C20"/>
    <w:rsid w:val="309CC4D5"/>
    <w:rsid w:val="30BCCFE7"/>
    <w:rsid w:val="316EE1DD"/>
    <w:rsid w:val="3184797F"/>
    <w:rsid w:val="318FE743"/>
    <w:rsid w:val="319A4BC8"/>
    <w:rsid w:val="321184F1"/>
    <w:rsid w:val="3265995F"/>
    <w:rsid w:val="32670586"/>
    <w:rsid w:val="330AB23E"/>
    <w:rsid w:val="33361C29"/>
    <w:rsid w:val="33DAB2BF"/>
    <w:rsid w:val="33FF27D2"/>
    <w:rsid w:val="340169C0"/>
    <w:rsid w:val="34266FAA"/>
    <w:rsid w:val="347ED78C"/>
    <w:rsid w:val="347FB8C1"/>
    <w:rsid w:val="34AE4F80"/>
    <w:rsid w:val="353E5DDB"/>
    <w:rsid w:val="3550D147"/>
    <w:rsid w:val="359D3A21"/>
    <w:rsid w:val="35B09AFC"/>
    <w:rsid w:val="361AA7ED"/>
    <w:rsid w:val="36425300"/>
    <w:rsid w:val="3656C4A0"/>
    <w:rsid w:val="3689DFA0"/>
    <w:rsid w:val="3700AFD6"/>
    <w:rsid w:val="37390A82"/>
    <w:rsid w:val="3743688D"/>
    <w:rsid w:val="376E711D"/>
    <w:rsid w:val="37ABD715"/>
    <w:rsid w:val="37B75983"/>
    <w:rsid w:val="3828A510"/>
    <w:rsid w:val="390A417E"/>
    <w:rsid w:val="3979F3C2"/>
    <w:rsid w:val="39D8358B"/>
    <w:rsid w:val="39E9F027"/>
    <w:rsid w:val="39EDADF5"/>
    <w:rsid w:val="3A64421E"/>
    <w:rsid w:val="3B85C088"/>
    <w:rsid w:val="3BC012CB"/>
    <w:rsid w:val="3BD420F9"/>
    <w:rsid w:val="3C1917D6"/>
    <w:rsid w:val="3CB7B6BC"/>
    <w:rsid w:val="3D01AABF"/>
    <w:rsid w:val="3D06071E"/>
    <w:rsid w:val="3D0DA69B"/>
    <w:rsid w:val="3D20A1AE"/>
    <w:rsid w:val="3D216390"/>
    <w:rsid w:val="3D2BCFC1"/>
    <w:rsid w:val="3D82F3F3"/>
    <w:rsid w:val="3D8C7BE6"/>
    <w:rsid w:val="3DC564DF"/>
    <w:rsid w:val="3E202A2C"/>
    <w:rsid w:val="3E27453D"/>
    <w:rsid w:val="3E9AC132"/>
    <w:rsid w:val="3F37B341"/>
    <w:rsid w:val="3FACDEBD"/>
    <w:rsid w:val="3FEDD553"/>
    <w:rsid w:val="3FF32C44"/>
    <w:rsid w:val="402DD740"/>
    <w:rsid w:val="403ECBEF"/>
    <w:rsid w:val="40A7921C"/>
    <w:rsid w:val="41134205"/>
    <w:rsid w:val="41F4735C"/>
    <w:rsid w:val="4237AFB9"/>
    <w:rsid w:val="42ADA8C1"/>
    <w:rsid w:val="42F39DD5"/>
    <w:rsid w:val="43110E92"/>
    <w:rsid w:val="431F4EF7"/>
    <w:rsid w:val="4329CA45"/>
    <w:rsid w:val="43AD285B"/>
    <w:rsid w:val="43BD8FCC"/>
    <w:rsid w:val="43C20390"/>
    <w:rsid w:val="43D45D03"/>
    <w:rsid w:val="442F6AE8"/>
    <w:rsid w:val="4443D2BF"/>
    <w:rsid w:val="44C115FB"/>
    <w:rsid w:val="44EDBDB4"/>
    <w:rsid w:val="45015796"/>
    <w:rsid w:val="46418FA7"/>
    <w:rsid w:val="4702C572"/>
    <w:rsid w:val="4742983F"/>
    <w:rsid w:val="47CE8AA4"/>
    <w:rsid w:val="47EDE2D6"/>
    <w:rsid w:val="47F746D9"/>
    <w:rsid w:val="4839DAC8"/>
    <w:rsid w:val="485F411F"/>
    <w:rsid w:val="48C3F890"/>
    <w:rsid w:val="48F2C38F"/>
    <w:rsid w:val="48FAF53E"/>
    <w:rsid w:val="4905CAC9"/>
    <w:rsid w:val="493AA439"/>
    <w:rsid w:val="49B8003A"/>
    <w:rsid w:val="4A3FC941"/>
    <w:rsid w:val="4A4CF34E"/>
    <w:rsid w:val="4AB878D5"/>
    <w:rsid w:val="4AC4232F"/>
    <w:rsid w:val="4B258398"/>
    <w:rsid w:val="4BDC6C3A"/>
    <w:rsid w:val="4C877BE1"/>
    <w:rsid w:val="4D776A03"/>
    <w:rsid w:val="4DA252E4"/>
    <w:rsid w:val="4DADFD88"/>
    <w:rsid w:val="4DB0EEE6"/>
    <w:rsid w:val="4DC774FA"/>
    <w:rsid w:val="4DD368D8"/>
    <w:rsid w:val="4E5DDD3D"/>
    <w:rsid w:val="4EE0F6AD"/>
    <w:rsid w:val="4EE5B172"/>
    <w:rsid w:val="4F133A64"/>
    <w:rsid w:val="4F29D30B"/>
    <w:rsid w:val="4F698D30"/>
    <w:rsid w:val="500B4A0B"/>
    <w:rsid w:val="50170C66"/>
    <w:rsid w:val="506B1BFD"/>
    <w:rsid w:val="50AF0AC5"/>
    <w:rsid w:val="50BC34D2"/>
    <w:rsid w:val="517BBF3E"/>
    <w:rsid w:val="517C0D20"/>
    <w:rsid w:val="5184424E"/>
    <w:rsid w:val="518A0BE2"/>
    <w:rsid w:val="51A93EC6"/>
    <w:rsid w:val="51D20A89"/>
    <w:rsid w:val="5207642B"/>
    <w:rsid w:val="528D6553"/>
    <w:rsid w:val="52A9D588"/>
    <w:rsid w:val="53A1E224"/>
    <w:rsid w:val="53A56BA3"/>
    <w:rsid w:val="53AD9E2D"/>
    <w:rsid w:val="53CAD6D7"/>
    <w:rsid w:val="541F2C8E"/>
    <w:rsid w:val="54425C23"/>
    <w:rsid w:val="544F23DB"/>
    <w:rsid w:val="549195B0"/>
    <w:rsid w:val="5492CCBF"/>
    <w:rsid w:val="54AF2595"/>
    <w:rsid w:val="54B36000"/>
    <w:rsid w:val="5511A597"/>
    <w:rsid w:val="55503488"/>
    <w:rsid w:val="55AD64C9"/>
    <w:rsid w:val="560F7F67"/>
    <w:rsid w:val="561D612E"/>
    <w:rsid w:val="567023C5"/>
    <w:rsid w:val="56AD75F8"/>
    <w:rsid w:val="56DDD3A9"/>
    <w:rsid w:val="5749352A"/>
    <w:rsid w:val="57E6C657"/>
    <w:rsid w:val="58311573"/>
    <w:rsid w:val="58494659"/>
    <w:rsid w:val="586270DC"/>
    <w:rsid w:val="5867ECDA"/>
    <w:rsid w:val="591BD946"/>
    <w:rsid w:val="598017D2"/>
    <w:rsid w:val="599213C4"/>
    <w:rsid w:val="599741B9"/>
    <w:rsid w:val="5A0AD33B"/>
    <w:rsid w:val="5A85C2F2"/>
    <w:rsid w:val="5A88C372"/>
    <w:rsid w:val="5B2DC4CB"/>
    <w:rsid w:val="5B80E235"/>
    <w:rsid w:val="5C2493D3"/>
    <w:rsid w:val="5C813A61"/>
    <w:rsid w:val="5CA58D31"/>
    <w:rsid w:val="5DB43EE6"/>
    <w:rsid w:val="5DB6CDA4"/>
    <w:rsid w:val="5DCEF0F7"/>
    <w:rsid w:val="5DD74B14"/>
    <w:rsid w:val="5E12FEC4"/>
    <w:rsid w:val="5E415D92"/>
    <w:rsid w:val="5E5D6CA3"/>
    <w:rsid w:val="5E837732"/>
    <w:rsid w:val="5F2C9BFC"/>
    <w:rsid w:val="5F34B4B7"/>
    <w:rsid w:val="5F4DEE3C"/>
    <w:rsid w:val="5F731B75"/>
    <w:rsid w:val="5F747806"/>
    <w:rsid w:val="5F819CAE"/>
    <w:rsid w:val="5F88083F"/>
    <w:rsid w:val="5F9A6ECB"/>
    <w:rsid w:val="5FDD2DF3"/>
    <w:rsid w:val="5FFF51A8"/>
    <w:rsid w:val="6007CE0A"/>
    <w:rsid w:val="601BAA1A"/>
    <w:rsid w:val="60BBD161"/>
    <w:rsid w:val="60CD1C15"/>
    <w:rsid w:val="60DB8F20"/>
    <w:rsid w:val="616F27C1"/>
    <w:rsid w:val="61A4B271"/>
    <w:rsid w:val="61B2D66C"/>
    <w:rsid w:val="624E5311"/>
    <w:rsid w:val="625595B3"/>
    <w:rsid w:val="6257A1C2"/>
    <w:rsid w:val="625E6F3A"/>
    <w:rsid w:val="628F920D"/>
    <w:rsid w:val="62C2D5AF"/>
    <w:rsid w:val="62E53D20"/>
    <w:rsid w:val="62E66FE7"/>
    <w:rsid w:val="633FB889"/>
    <w:rsid w:val="6375B04B"/>
    <w:rsid w:val="6411E7C4"/>
    <w:rsid w:val="649B5666"/>
    <w:rsid w:val="64DCF84F"/>
    <w:rsid w:val="654820DC"/>
    <w:rsid w:val="661E10A9"/>
    <w:rsid w:val="66D75453"/>
    <w:rsid w:val="6792B065"/>
    <w:rsid w:val="67B606E6"/>
    <w:rsid w:val="680926F4"/>
    <w:rsid w:val="681329AC"/>
    <w:rsid w:val="68384A80"/>
    <w:rsid w:val="68BA55E5"/>
    <w:rsid w:val="68ECD2E7"/>
    <w:rsid w:val="68EE2E2E"/>
    <w:rsid w:val="69B35830"/>
    <w:rsid w:val="69C1B774"/>
    <w:rsid w:val="69CE3610"/>
    <w:rsid w:val="6A16E736"/>
    <w:rsid w:val="6A2B8AB7"/>
    <w:rsid w:val="6AA1BFC8"/>
    <w:rsid w:val="6BF9A381"/>
    <w:rsid w:val="6C780229"/>
    <w:rsid w:val="6C99465A"/>
    <w:rsid w:val="6D376C81"/>
    <w:rsid w:val="6D4E87F8"/>
    <w:rsid w:val="6DD687FE"/>
    <w:rsid w:val="6E1B4141"/>
    <w:rsid w:val="6E6F65FC"/>
    <w:rsid w:val="6E7BBC77"/>
    <w:rsid w:val="6ECEBDDA"/>
    <w:rsid w:val="6F121531"/>
    <w:rsid w:val="6F604EBB"/>
    <w:rsid w:val="6F72585F"/>
    <w:rsid w:val="701CA707"/>
    <w:rsid w:val="70B8B56D"/>
    <w:rsid w:val="70B8D772"/>
    <w:rsid w:val="70D27176"/>
    <w:rsid w:val="710E28C0"/>
    <w:rsid w:val="712B37FE"/>
    <w:rsid w:val="71709307"/>
    <w:rsid w:val="71B39B17"/>
    <w:rsid w:val="71BFC215"/>
    <w:rsid w:val="727A2D38"/>
    <w:rsid w:val="72A9F921"/>
    <w:rsid w:val="72B2ED5E"/>
    <w:rsid w:val="72CC4C0B"/>
    <w:rsid w:val="73253802"/>
    <w:rsid w:val="732CDAA7"/>
    <w:rsid w:val="73396565"/>
    <w:rsid w:val="735447C9"/>
    <w:rsid w:val="739A86A9"/>
    <w:rsid w:val="73D40719"/>
    <w:rsid w:val="73E16D9B"/>
    <w:rsid w:val="742235CD"/>
    <w:rsid w:val="7482D23D"/>
    <w:rsid w:val="755D2FD5"/>
    <w:rsid w:val="759D61DC"/>
    <w:rsid w:val="75EA8E20"/>
    <w:rsid w:val="75EFD15F"/>
    <w:rsid w:val="76270043"/>
    <w:rsid w:val="76818EDF"/>
    <w:rsid w:val="7727EB5E"/>
    <w:rsid w:val="77865E81"/>
    <w:rsid w:val="77C8892C"/>
    <w:rsid w:val="77DE7D24"/>
    <w:rsid w:val="797A4D85"/>
    <w:rsid w:val="7A63E6BB"/>
    <w:rsid w:val="7AFA7166"/>
    <w:rsid w:val="7BB61EC4"/>
    <w:rsid w:val="7C109EFA"/>
    <w:rsid w:val="7CCE4B1B"/>
    <w:rsid w:val="7D08B710"/>
    <w:rsid w:val="7D28BF09"/>
    <w:rsid w:val="7D2C3423"/>
    <w:rsid w:val="7D33E328"/>
    <w:rsid w:val="7D7E108D"/>
    <w:rsid w:val="7DAC6F5B"/>
    <w:rsid w:val="7DC9072A"/>
    <w:rsid w:val="7DCD4195"/>
    <w:rsid w:val="7DD7592F"/>
    <w:rsid w:val="7DF508BF"/>
    <w:rsid w:val="7E6815B9"/>
    <w:rsid w:val="7E91E041"/>
    <w:rsid w:val="7ED833F7"/>
    <w:rsid w:val="7EE3B120"/>
    <w:rsid w:val="7EF2B049"/>
    <w:rsid w:val="7EF9298A"/>
    <w:rsid w:val="7F409325"/>
    <w:rsid w:val="7F6258A5"/>
    <w:rsid w:val="7F68EF77"/>
    <w:rsid w:val="7F984A64"/>
    <w:rsid w:val="7FE2421E"/>
    <w:rsid w:val="7FFCB8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D410FA"/>
  <w15:chartTrackingRefBased/>
  <w15:docId w15:val="{F009F190-F4D5-446F-BA94-F26BC384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52A9D588"/>
  </w:style>
  <w:style w:type="paragraph" w:styleId="Heading1">
    <w:name w:val="heading 1"/>
    <w:basedOn w:val="Normal"/>
    <w:next w:val="Normal"/>
    <w:link w:val="Heading1Char"/>
    <w:uiPriority w:val="9"/>
    <w:qFormat/>
    <w:rsid w:val="52A9D588"/>
    <w:pPr>
      <w:keepNext/>
      <w:spacing w:before="240" w:after="0"/>
      <w:outlineLvl w:val="0"/>
    </w:pPr>
    <w:rPr>
      <w:rFonts w:asciiTheme="majorHAnsi" w:eastAsiaTheme="majorEastAsia" w:hAnsiTheme="majorHAnsi" w:cstheme="majorBidi"/>
      <w:color w:val="2F5496" w:themeColor="accent1" w:themeShade="BF"/>
      <w:sz w:val="32"/>
    </w:rPr>
  </w:style>
  <w:style w:type="paragraph" w:styleId="Heading2">
    <w:name w:val="heading 2"/>
    <w:basedOn w:val="Normal"/>
    <w:next w:val="Normal"/>
    <w:link w:val="Heading2Char"/>
    <w:uiPriority w:val="9"/>
    <w:unhideWhenUsed/>
    <w:qFormat/>
    <w:rsid w:val="52A9D588"/>
    <w:pPr>
      <w:keepNext/>
      <w:spacing w:before="40" w:after="0"/>
      <w:outlineLvl w:val="1"/>
    </w:pPr>
    <w:rPr>
      <w:rFonts w:asciiTheme="majorHAnsi" w:eastAsiaTheme="majorEastAsia" w:hAnsiTheme="majorHAnsi" w:cstheme="majorBidi"/>
      <w:color w:val="2F5496" w:themeColor="accent1" w:themeShade="BF"/>
      <w:sz w:val="26"/>
    </w:rPr>
  </w:style>
  <w:style w:type="paragraph" w:styleId="Heading3">
    <w:name w:val="heading 3"/>
    <w:basedOn w:val="Normal"/>
    <w:next w:val="Normal"/>
    <w:link w:val="Heading3Char"/>
    <w:uiPriority w:val="9"/>
    <w:unhideWhenUsed/>
    <w:qFormat/>
    <w:rsid w:val="52A9D588"/>
    <w:pPr>
      <w:keepNext/>
      <w:spacing w:before="40" w:after="0"/>
      <w:outlineLvl w:val="2"/>
    </w:pPr>
    <w:rPr>
      <w:rFonts w:asciiTheme="majorHAnsi" w:eastAsiaTheme="majorEastAsia" w:hAnsiTheme="majorHAnsi" w:cstheme="majorBidi"/>
      <w:color w:val="1F3763"/>
      <w:sz w:val="24"/>
    </w:rPr>
  </w:style>
  <w:style w:type="paragraph" w:styleId="Heading4">
    <w:name w:val="heading 4"/>
    <w:basedOn w:val="Normal"/>
    <w:next w:val="Normal"/>
    <w:link w:val="Heading4Char"/>
    <w:uiPriority w:val="9"/>
    <w:unhideWhenUsed/>
    <w:qFormat/>
    <w:rsid w:val="52A9D588"/>
    <w:pPr>
      <w:keepNext/>
      <w:spacing w:before="40" w:after="0"/>
      <w:outlineLvl w:val="3"/>
    </w:pPr>
    <w:rPr>
      <w:rFonts w:asciiTheme="majorHAnsi" w:eastAsiaTheme="majorEastAsia" w:hAnsiTheme="majorHAnsi" w:cstheme="majorBidi"/>
      <w:i/>
      <w:color w:val="2F5496" w:themeColor="accent1" w:themeShade="BF"/>
    </w:rPr>
  </w:style>
  <w:style w:type="paragraph" w:styleId="Heading5">
    <w:name w:val="heading 5"/>
    <w:basedOn w:val="Normal"/>
    <w:next w:val="Normal"/>
    <w:link w:val="Heading5Char"/>
    <w:uiPriority w:val="9"/>
    <w:unhideWhenUsed/>
    <w:qFormat/>
    <w:rsid w:val="52A9D588"/>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52A9D588"/>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52A9D588"/>
    <w:pPr>
      <w:keepNext/>
      <w:spacing w:before="40" w:after="0"/>
      <w:outlineLvl w:val="6"/>
    </w:pPr>
    <w:rPr>
      <w:rFonts w:asciiTheme="majorHAnsi" w:eastAsiaTheme="majorEastAsia" w:hAnsiTheme="majorHAnsi" w:cstheme="majorBidi"/>
      <w:i/>
      <w:color w:val="1F3763"/>
    </w:rPr>
  </w:style>
  <w:style w:type="paragraph" w:styleId="Heading8">
    <w:name w:val="heading 8"/>
    <w:basedOn w:val="Normal"/>
    <w:next w:val="Normal"/>
    <w:link w:val="Heading8Char"/>
    <w:uiPriority w:val="9"/>
    <w:unhideWhenUsed/>
    <w:qFormat/>
    <w:rsid w:val="52A9D588"/>
    <w:pPr>
      <w:keepNext/>
      <w:spacing w:before="40" w:after="0"/>
      <w:outlineLvl w:val="7"/>
    </w:pPr>
    <w:rPr>
      <w:rFonts w:asciiTheme="majorHAnsi" w:eastAsiaTheme="majorEastAsia" w:hAnsiTheme="majorHAnsi" w:cstheme="majorBidi"/>
      <w:color w:val="272727"/>
      <w:sz w:val="21"/>
    </w:rPr>
  </w:style>
  <w:style w:type="paragraph" w:styleId="Heading9">
    <w:name w:val="heading 9"/>
    <w:basedOn w:val="Normal"/>
    <w:next w:val="Normal"/>
    <w:link w:val="Heading9Char"/>
    <w:uiPriority w:val="9"/>
    <w:unhideWhenUsed/>
    <w:qFormat/>
    <w:rsid w:val="52A9D588"/>
    <w:pPr>
      <w:keepNext/>
      <w:spacing w:before="40" w:after="0"/>
      <w:outlineLvl w:val="8"/>
    </w:pPr>
    <w:rPr>
      <w:rFonts w:asciiTheme="majorHAnsi" w:eastAsiaTheme="majorEastAsia" w:hAnsiTheme="majorHAnsi" w:cstheme="majorBidi"/>
      <w:i/>
      <w:color w:val="272727"/>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52A9D588"/>
    <w:pPr>
      <w:spacing w:after="0"/>
      <w:contextualSpacing/>
    </w:pPr>
    <w:rPr>
      <w:rFonts w:asciiTheme="majorHAnsi" w:eastAsiaTheme="majorEastAsia" w:hAnsiTheme="majorHAnsi" w:cstheme="majorBidi"/>
      <w:sz w:val="56"/>
    </w:rPr>
  </w:style>
  <w:style w:type="paragraph" w:styleId="Subtitle">
    <w:name w:val="Subtitle"/>
    <w:basedOn w:val="Normal"/>
    <w:next w:val="Normal"/>
    <w:link w:val="SubtitleChar"/>
    <w:uiPriority w:val="11"/>
    <w:qFormat/>
    <w:rsid w:val="52A9D588"/>
    <w:rPr>
      <w:rFonts w:eastAsiaTheme="minorEastAsia"/>
      <w:color w:val="5A5A5A"/>
    </w:rPr>
  </w:style>
  <w:style w:type="paragraph" w:styleId="Quote">
    <w:name w:val="Quote"/>
    <w:basedOn w:val="Normal"/>
    <w:next w:val="Normal"/>
    <w:link w:val="QuoteChar"/>
    <w:uiPriority w:val="29"/>
    <w:qFormat/>
    <w:rsid w:val="52A9D588"/>
    <w:pPr>
      <w:spacing w:before="200"/>
      <w:ind w:left="864" w:right="864"/>
      <w:jc w:val="center"/>
    </w:pPr>
    <w:rPr>
      <w:i/>
      <w:color w:val="404040" w:themeColor="text1" w:themeTint="BF"/>
    </w:rPr>
  </w:style>
  <w:style w:type="paragraph" w:styleId="IntenseQuote">
    <w:name w:val="Intense Quote"/>
    <w:basedOn w:val="Normal"/>
    <w:next w:val="Normal"/>
    <w:link w:val="IntenseQuoteChar"/>
    <w:uiPriority w:val="30"/>
    <w:qFormat/>
    <w:rsid w:val="52A9D588"/>
    <w:pPr>
      <w:spacing w:before="360" w:after="360"/>
      <w:ind w:left="864" w:right="864"/>
      <w:jc w:val="center"/>
    </w:pPr>
    <w:rPr>
      <w:i/>
      <w:color w:val="4472C4" w:themeColor="accent1"/>
    </w:rPr>
  </w:style>
  <w:style w:type="paragraph" w:styleId="ListParagraph">
    <w:name w:val="List Paragraph"/>
    <w:basedOn w:val="Normal"/>
    <w:uiPriority w:val="34"/>
    <w:qFormat/>
    <w:rsid w:val="52A9D588"/>
    <w:pPr>
      <w:ind w:left="720"/>
      <w:contextualSpacing/>
    </w:pPr>
  </w:style>
  <w:style w:type="character" w:customStyle="1" w:styleId="Heading1Char">
    <w:name w:val="Heading 1 Char"/>
    <w:basedOn w:val="DefaultParagraphFont"/>
    <w:link w:val="Heading1"/>
    <w:uiPriority w:val="9"/>
    <w:rsid w:val="52A9D588"/>
    <w:rPr>
      <w:rFonts w:asciiTheme="majorHAnsi" w:eastAsiaTheme="majorEastAsia" w:hAnsiTheme="majorHAnsi" w:cstheme="majorBidi"/>
      <w:noProof w:val="0"/>
      <w:color w:val="2F5496" w:themeColor="accent1" w:themeShade="BF"/>
      <w:sz w:val="32"/>
    </w:rPr>
  </w:style>
  <w:style w:type="character" w:customStyle="1" w:styleId="Heading2Char">
    <w:name w:val="Heading 2 Char"/>
    <w:basedOn w:val="DefaultParagraphFont"/>
    <w:link w:val="Heading2"/>
    <w:uiPriority w:val="9"/>
    <w:rsid w:val="52A9D588"/>
    <w:rPr>
      <w:rFonts w:asciiTheme="majorHAnsi" w:eastAsiaTheme="majorEastAsia" w:hAnsiTheme="majorHAnsi" w:cstheme="majorBidi"/>
      <w:noProof w:val="0"/>
      <w:color w:val="2F5496" w:themeColor="accent1" w:themeShade="BF"/>
      <w:sz w:val="26"/>
    </w:rPr>
  </w:style>
  <w:style w:type="character" w:customStyle="1" w:styleId="Heading3Char">
    <w:name w:val="Heading 3 Char"/>
    <w:basedOn w:val="DefaultParagraphFont"/>
    <w:link w:val="Heading3"/>
    <w:uiPriority w:val="9"/>
    <w:rsid w:val="52A9D588"/>
    <w:rPr>
      <w:rFonts w:asciiTheme="majorHAnsi" w:eastAsiaTheme="majorEastAsia" w:hAnsiTheme="majorHAnsi" w:cstheme="majorBidi"/>
      <w:noProof w:val="0"/>
      <w:color w:val="1F3763"/>
      <w:sz w:val="24"/>
    </w:rPr>
  </w:style>
  <w:style w:type="character" w:customStyle="1" w:styleId="Heading4Char">
    <w:name w:val="Heading 4 Char"/>
    <w:basedOn w:val="DefaultParagraphFont"/>
    <w:link w:val="Heading4"/>
    <w:uiPriority w:val="9"/>
    <w:rsid w:val="52A9D588"/>
    <w:rPr>
      <w:rFonts w:asciiTheme="majorHAnsi" w:eastAsiaTheme="majorEastAsia" w:hAnsiTheme="majorHAnsi" w:cstheme="majorBidi"/>
      <w:i/>
      <w:noProof w:val="0"/>
      <w:color w:val="2F5496" w:themeColor="accent1" w:themeShade="BF"/>
    </w:rPr>
  </w:style>
  <w:style w:type="character" w:customStyle="1" w:styleId="Heading5Char">
    <w:name w:val="Heading 5 Char"/>
    <w:basedOn w:val="DefaultParagraphFont"/>
    <w:link w:val="Heading5"/>
    <w:uiPriority w:val="9"/>
    <w:rsid w:val="52A9D588"/>
    <w:rPr>
      <w:rFonts w:asciiTheme="majorHAnsi" w:eastAsiaTheme="majorEastAsia" w:hAnsiTheme="majorHAnsi" w:cstheme="majorBidi"/>
      <w:noProof w:val="0"/>
      <w:color w:val="2F5496" w:themeColor="accent1" w:themeShade="BF"/>
    </w:rPr>
  </w:style>
  <w:style w:type="character" w:customStyle="1" w:styleId="Heading6Char">
    <w:name w:val="Heading 6 Char"/>
    <w:basedOn w:val="DefaultParagraphFont"/>
    <w:link w:val="Heading6"/>
    <w:uiPriority w:val="9"/>
    <w:rsid w:val="52A9D588"/>
    <w:rPr>
      <w:rFonts w:asciiTheme="majorHAnsi" w:eastAsiaTheme="majorEastAsia" w:hAnsiTheme="majorHAnsi" w:cstheme="majorBidi"/>
      <w:noProof w:val="0"/>
      <w:color w:val="1F3763"/>
    </w:rPr>
  </w:style>
  <w:style w:type="character" w:customStyle="1" w:styleId="Heading7Char">
    <w:name w:val="Heading 7 Char"/>
    <w:basedOn w:val="DefaultParagraphFont"/>
    <w:link w:val="Heading7"/>
    <w:uiPriority w:val="9"/>
    <w:rsid w:val="52A9D588"/>
    <w:rPr>
      <w:rFonts w:asciiTheme="majorHAnsi" w:eastAsiaTheme="majorEastAsia" w:hAnsiTheme="majorHAnsi" w:cstheme="majorBidi"/>
      <w:i/>
      <w:noProof w:val="0"/>
      <w:color w:val="1F3763"/>
    </w:rPr>
  </w:style>
  <w:style w:type="character" w:customStyle="1" w:styleId="Heading8Char">
    <w:name w:val="Heading 8 Char"/>
    <w:basedOn w:val="DefaultParagraphFont"/>
    <w:link w:val="Heading8"/>
    <w:uiPriority w:val="9"/>
    <w:rsid w:val="52A9D588"/>
    <w:rPr>
      <w:rFonts w:asciiTheme="majorHAnsi" w:eastAsiaTheme="majorEastAsia" w:hAnsiTheme="majorHAnsi" w:cstheme="majorBidi"/>
      <w:noProof w:val="0"/>
      <w:color w:val="272727"/>
      <w:sz w:val="21"/>
    </w:rPr>
  </w:style>
  <w:style w:type="character" w:customStyle="1" w:styleId="Heading9Char">
    <w:name w:val="Heading 9 Char"/>
    <w:basedOn w:val="DefaultParagraphFont"/>
    <w:link w:val="Heading9"/>
    <w:uiPriority w:val="9"/>
    <w:rsid w:val="52A9D588"/>
    <w:rPr>
      <w:rFonts w:asciiTheme="majorHAnsi" w:eastAsiaTheme="majorEastAsia" w:hAnsiTheme="majorHAnsi" w:cstheme="majorBidi"/>
      <w:i/>
      <w:noProof w:val="0"/>
      <w:color w:val="272727"/>
      <w:sz w:val="21"/>
    </w:rPr>
  </w:style>
  <w:style w:type="character" w:customStyle="1" w:styleId="TitleChar">
    <w:name w:val="Title Char"/>
    <w:basedOn w:val="DefaultParagraphFont"/>
    <w:link w:val="Title"/>
    <w:uiPriority w:val="10"/>
    <w:rsid w:val="52A9D588"/>
    <w:rPr>
      <w:rFonts w:asciiTheme="majorHAnsi" w:eastAsiaTheme="majorEastAsia" w:hAnsiTheme="majorHAnsi" w:cstheme="majorBidi"/>
      <w:noProof w:val="0"/>
      <w:sz w:val="56"/>
    </w:rPr>
  </w:style>
  <w:style w:type="character" w:customStyle="1" w:styleId="SubtitleChar">
    <w:name w:val="Subtitle Char"/>
    <w:basedOn w:val="DefaultParagraphFont"/>
    <w:link w:val="Subtitle"/>
    <w:uiPriority w:val="11"/>
    <w:rsid w:val="52A9D588"/>
    <w:rPr>
      <w:rFonts w:asciiTheme="minorHAnsi" w:eastAsiaTheme="minorEastAsia" w:hAnsiTheme="minorHAnsi" w:cstheme="minorBidi"/>
      <w:noProof w:val="0"/>
      <w:color w:val="5A5A5A"/>
    </w:rPr>
  </w:style>
  <w:style w:type="character" w:customStyle="1" w:styleId="QuoteChar">
    <w:name w:val="Quote Char"/>
    <w:basedOn w:val="DefaultParagraphFont"/>
    <w:link w:val="Quote"/>
    <w:uiPriority w:val="29"/>
    <w:rsid w:val="52A9D588"/>
    <w:rPr>
      <w:i/>
      <w:noProof w:val="0"/>
      <w:color w:val="404040" w:themeColor="text1" w:themeTint="BF"/>
    </w:rPr>
  </w:style>
  <w:style w:type="character" w:customStyle="1" w:styleId="IntenseQuoteChar">
    <w:name w:val="Intense Quote Char"/>
    <w:basedOn w:val="DefaultParagraphFont"/>
    <w:link w:val="IntenseQuote"/>
    <w:uiPriority w:val="30"/>
    <w:rsid w:val="52A9D588"/>
    <w:rPr>
      <w:i/>
      <w:noProof w:val="0"/>
      <w:color w:val="4472C4" w:themeColor="accent1"/>
    </w:rPr>
  </w:style>
  <w:style w:type="paragraph" w:styleId="TOC1">
    <w:name w:val="toc 1"/>
    <w:basedOn w:val="Normal"/>
    <w:next w:val="Normal"/>
    <w:uiPriority w:val="39"/>
    <w:unhideWhenUsed/>
    <w:rsid w:val="52A9D588"/>
    <w:pPr>
      <w:spacing w:after="100"/>
    </w:pPr>
  </w:style>
  <w:style w:type="paragraph" w:styleId="TOC2">
    <w:name w:val="toc 2"/>
    <w:basedOn w:val="Normal"/>
    <w:next w:val="Normal"/>
    <w:uiPriority w:val="39"/>
    <w:unhideWhenUsed/>
    <w:rsid w:val="52A9D588"/>
    <w:pPr>
      <w:spacing w:after="100"/>
      <w:ind w:left="220"/>
    </w:pPr>
  </w:style>
  <w:style w:type="paragraph" w:styleId="TOC3">
    <w:name w:val="toc 3"/>
    <w:basedOn w:val="Normal"/>
    <w:next w:val="Normal"/>
    <w:uiPriority w:val="39"/>
    <w:unhideWhenUsed/>
    <w:rsid w:val="52A9D588"/>
    <w:pPr>
      <w:spacing w:after="100"/>
      <w:ind w:left="440"/>
    </w:pPr>
  </w:style>
  <w:style w:type="paragraph" w:styleId="TOC4">
    <w:name w:val="toc 4"/>
    <w:basedOn w:val="Normal"/>
    <w:next w:val="Normal"/>
    <w:uiPriority w:val="39"/>
    <w:unhideWhenUsed/>
    <w:rsid w:val="52A9D588"/>
    <w:pPr>
      <w:spacing w:after="100"/>
      <w:ind w:left="660"/>
    </w:pPr>
  </w:style>
  <w:style w:type="paragraph" w:styleId="TOC5">
    <w:name w:val="toc 5"/>
    <w:basedOn w:val="Normal"/>
    <w:next w:val="Normal"/>
    <w:uiPriority w:val="39"/>
    <w:unhideWhenUsed/>
    <w:rsid w:val="52A9D588"/>
    <w:pPr>
      <w:spacing w:after="100"/>
      <w:ind w:left="880"/>
    </w:pPr>
  </w:style>
  <w:style w:type="paragraph" w:styleId="TOC6">
    <w:name w:val="toc 6"/>
    <w:basedOn w:val="Normal"/>
    <w:next w:val="Normal"/>
    <w:uiPriority w:val="39"/>
    <w:unhideWhenUsed/>
    <w:rsid w:val="52A9D588"/>
    <w:pPr>
      <w:spacing w:after="100"/>
      <w:ind w:left="1100"/>
    </w:pPr>
  </w:style>
  <w:style w:type="paragraph" w:styleId="TOC7">
    <w:name w:val="toc 7"/>
    <w:basedOn w:val="Normal"/>
    <w:next w:val="Normal"/>
    <w:uiPriority w:val="39"/>
    <w:unhideWhenUsed/>
    <w:rsid w:val="52A9D588"/>
    <w:pPr>
      <w:spacing w:after="100"/>
      <w:ind w:left="1320"/>
    </w:pPr>
  </w:style>
  <w:style w:type="paragraph" w:styleId="TOC8">
    <w:name w:val="toc 8"/>
    <w:basedOn w:val="Normal"/>
    <w:next w:val="Normal"/>
    <w:uiPriority w:val="39"/>
    <w:unhideWhenUsed/>
    <w:rsid w:val="52A9D588"/>
    <w:pPr>
      <w:spacing w:after="100"/>
      <w:ind w:left="1540"/>
    </w:pPr>
  </w:style>
  <w:style w:type="paragraph" w:styleId="TOC9">
    <w:name w:val="toc 9"/>
    <w:basedOn w:val="Normal"/>
    <w:next w:val="Normal"/>
    <w:uiPriority w:val="39"/>
    <w:unhideWhenUsed/>
    <w:rsid w:val="52A9D588"/>
    <w:pPr>
      <w:spacing w:after="100"/>
      <w:ind w:left="1760"/>
    </w:pPr>
  </w:style>
  <w:style w:type="paragraph" w:styleId="EndnoteText">
    <w:name w:val="endnote text"/>
    <w:basedOn w:val="Normal"/>
    <w:link w:val="EndnoteTextChar"/>
    <w:uiPriority w:val="99"/>
    <w:semiHidden/>
    <w:unhideWhenUsed/>
    <w:rsid w:val="52A9D588"/>
    <w:pPr>
      <w:spacing w:after="0"/>
    </w:pPr>
    <w:rPr>
      <w:sz w:val="20"/>
    </w:rPr>
  </w:style>
  <w:style w:type="character" w:customStyle="1" w:styleId="EndnoteTextChar">
    <w:name w:val="Endnote Text Char"/>
    <w:basedOn w:val="DefaultParagraphFont"/>
    <w:link w:val="EndnoteText"/>
    <w:uiPriority w:val="99"/>
    <w:semiHidden/>
    <w:rsid w:val="52A9D588"/>
    <w:rPr>
      <w:noProof w:val="0"/>
      <w:sz w:val="20"/>
    </w:rPr>
  </w:style>
  <w:style w:type="paragraph" w:styleId="Footer">
    <w:name w:val="footer"/>
    <w:basedOn w:val="Normal"/>
    <w:link w:val="FooterChar"/>
    <w:uiPriority w:val="99"/>
    <w:unhideWhenUsed/>
    <w:rsid w:val="52A9D588"/>
    <w:pPr>
      <w:tabs>
        <w:tab w:val="center" w:pos="4680"/>
        <w:tab w:val="right" w:pos="9360"/>
      </w:tabs>
      <w:spacing w:after="0"/>
    </w:pPr>
  </w:style>
  <w:style w:type="character" w:customStyle="1" w:styleId="FooterChar">
    <w:name w:val="Footer Char"/>
    <w:basedOn w:val="DefaultParagraphFont"/>
    <w:link w:val="Footer"/>
    <w:uiPriority w:val="99"/>
    <w:rsid w:val="52A9D588"/>
    <w:rPr>
      <w:noProof w:val="0"/>
    </w:rPr>
  </w:style>
  <w:style w:type="paragraph" w:styleId="FootnoteText">
    <w:name w:val="footnote text"/>
    <w:basedOn w:val="Normal"/>
    <w:link w:val="FootnoteTextChar"/>
    <w:uiPriority w:val="99"/>
    <w:semiHidden/>
    <w:unhideWhenUsed/>
    <w:rsid w:val="52A9D588"/>
    <w:pPr>
      <w:spacing w:after="0"/>
    </w:pPr>
    <w:rPr>
      <w:sz w:val="20"/>
    </w:rPr>
  </w:style>
  <w:style w:type="character" w:customStyle="1" w:styleId="FootnoteTextChar">
    <w:name w:val="Footnote Text Char"/>
    <w:basedOn w:val="DefaultParagraphFont"/>
    <w:link w:val="FootnoteText"/>
    <w:uiPriority w:val="99"/>
    <w:semiHidden/>
    <w:rsid w:val="52A9D588"/>
    <w:rPr>
      <w:noProof w:val="0"/>
      <w:sz w:val="20"/>
    </w:rPr>
  </w:style>
  <w:style w:type="paragraph" w:styleId="Header">
    <w:name w:val="header"/>
    <w:basedOn w:val="Normal"/>
    <w:link w:val="HeaderChar"/>
    <w:uiPriority w:val="99"/>
    <w:unhideWhenUsed/>
    <w:rsid w:val="52A9D588"/>
    <w:pPr>
      <w:tabs>
        <w:tab w:val="center" w:pos="4680"/>
        <w:tab w:val="right" w:pos="9360"/>
      </w:tabs>
      <w:spacing w:after="0"/>
    </w:pPr>
  </w:style>
  <w:style w:type="character" w:customStyle="1" w:styleId="HeaderChar">
    <w:name w:val="Header Char"/>
    <w:basedOn w:val="DefaultParagraphFont"/>
    <w:link w:val="Header"/>
    <w:uiPriority w:val="99"/>
    <w:rsid w:val="52A9D588"/>
    <w:rPr>
      <w:noProof w:val="0"/>
    </w:rPr>
  </w:style>
  <w:style w:type="character" w:customStyle="1" w:styleId="normaltextrun">
    <w:name w:val="normaltextrun"/>
    <w:basedOn w:val="DefaultParagraphFont"/>
    <w:uiPriority w:val="1"/>
    <w:rsid w:val="52A9D58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r">
    <w:name w:val="Marker"/>
    <w:basedOn w:val="DefaultParagraphFont"/>
    <w:rsid w:val="00F6213C"/>
    <w:rPr>
      <w:color w:val="0000FF"/>
      <w:shd w:val="clear" w:color="auto" w:fill="auto"/>
    </w:rPr>
  </w:style>
  <w:style w:type="paragraph" w:customStyle="1" w:styleId="Pagedecouverture">
    <w:name w:val="Page de couverture"/>
    <w:basedOn w:val="Normal"/>
    <w:next w:val="Normal"/>
    <w:rsid w:val="00F6213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F6213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F6213C"/>
    <w:rPr>
      <w:rFonts w:ascii="Times New Roman" w:hAnsi="Times New Roman" w:cs="Times New Roman"/>
      <w:sz w:val="24"/>
    </w:rPr>
  </w:style>
  <w:style w:type="paragraph" w:customStyle="1" w:styleId="FooterSensitivity">
    <w:name w:val="Footer Sensitivity"/>
    <w:basedOn w:val="Normal"/>
    <w:link w:val="FooterSensitivityChar"/>
    <w:rsid w:val="00F6213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F6213C"/>
    <w:rPr>
      <w:rFonts w:ascii="Times New Roman" w:hAnsi="Times New Roman" w:cs="Times New Roman"/>
      <w:b/>
      <w:sz w:val="32"/>
    </w:rPr>
  </w:style>
  <w:style w:type="paragraph" w:customStyle="1" w:styleId="HeaderCoverPage">
    <w:name w:val="Header Cover Page"/>
    <w:basedOn w:val="Normal"/>
    <w:link w:val="HeaderCoverPageChar"/>
    <w:rsid w:val="00F6213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F6213C"/>
    <w:rPr>
      <w:rFonts w:ascii="Times New Roman" w:hAnsi="Times New Roman" w:cs="Times New Roman"/>
      <w:sz w:val="24"/>
    </w:rPr>
  </w:style>
  <w:style w:type="paragraph" w:customStyle="1" w:styleId="HeaderSensitivity">
    <w:name w:val="Header Sensitivity"/>
    <w:basedOn w:val="Normal"/>
    <w:link w:val="HeaderSensitivityChar"/>
    <w:rsid w:val="00F6213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F6213C"/>
    <w:rPr>
      <w:rFonts w:ascii="Times New Roman" w:hAnsi="Times New Roman" w:cs="Times New Roman"/>
      <w:b/>
      <w:sz w:val="32"/>
    </w:rPr>
  </w:style>
  <w:style w:type="paragraph" w:customStyle="1" w:styleId="HeaderSensitivityRight">
    <w:name w:val="Header Sensitivity Right"/>
    <w:basedOn w:val="Normal"/>
    <w:link w:val="HeaderSensitivityRightChar"/>
    <w:rsid w:val="00F6213C"/>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F6213C"/>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a7f24e-e0df-4592-b6e0-4a62e251a0e5" xsi:nil="true"/>
    <lcf76f155ced4ddcb4097134ff3c332f xmlns="cce4269c-1bca-4c47-bcbd-0ca0cb14aa6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13" ma:contentTypeDescription="Create a new document." ma:contentTypeScope="" ma:versionID="d35bb5ab2258cf21e3794888219b5ce1">
  <xsd:schema xmlns:xsd="http://www.w3.org/2001/XMLSchema" xmlns:xs="http://www.w3.org/2001/XMLSchema" xmlns:p="http://schemas.microsoft.com/office/2006/metadata/properties" xmlns:ns2="cce4269c-1bca-4c47-bcbd-0ca0cb14aa6e" xmlns:ns3="96a7f24e-e0df-4592-b6e0-4a62e251a0e5" targetNamespace="http://schemas.microsoft.com/office/2006/metadata/properties" ma:root="true" ma:fieldsID="9a621252dda7057d790d8fd5a94a79ed" ns2:_="" ns3:_="">
    <xsd:import namespace="cce4269c-1bca-4c47-bcbd-0ca0cb14aa6e"/>
    <xsd:import namespace="96a7f24e-e0df-4592-b6e0-4a62e251a0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f2b5cc-d2b8-4379-ade8-6c4e5ec1acf1}" ma:internalName="TaxCatchAll" ma:showField="CatchAllData" ma:web="96a7f24e-e0df-4592-b6e0-4a62e251a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C952A-D4F8-453E-B31B-D5976A9ED462}">
  <ds:schemaRefs>
    <ds:schemaRef ds:uri="http://schemas.microsoft.com/office/2006/metadata/properties"/>
    <ds:schemaRef ds:uri="http://schemas.microsoft.com/office/infopath/2007/PartnerControls"/>
    <ds:schemaRef ds:uri="96a7f24e-e0df-4592-b6e0-4a62e251a0e5"/>
    <ds:schemaRef ds:uri="cce4269c-1bca-4c47-bcbd-0ca0cb14aa6e"/>
  </ds:schemaRefs>
</ds:datastoreItem>
</file>

<file path=customXml/itemProps2.xml><?xml version="1.0" encoding="utf-8"?>
<ds:datastoreItem xmlns:ds="http://schemas.openxmlformats.org/officeDocument/2006/customXml" ds:itemID="{01F7DCCA-4816-413E-AFEC-4FB3FEA05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4269c-1bca-4c47-bcbd-0ca0cb14aa6e"/>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4B23B-1767-4A10-87B1-DCD19D8575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1982</Words>
  <Characters>12036</Characters>
  <Application>Microsoft Office Word</Application>
  <DocSecurity>0</DocSecurity>
  <Lines>174</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36</cp:revision>
  <dcterms:created xsi:type="dcterms:W3CDTF">2023-03-01T18:54:00Z</dcterms:created>
  <dcterms:modified xsi:type="dcterms:W3CDTF">2023-05-05T16:37:00Z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2022-12-16T18:22:57Z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8d5f9333-9b68-417d-95cf-616d4c5dcad1</vt:lpwstr>
  </property>
  <property fmtid="{D5CDD505-2E9C-101B-9397-08002B2CF9AE}" pid="8" name="MSIP_Label_6bd9ddd1-4d20-43f6-abfa-fc3c07406f94_ContentBits">
    <vt:lpwstr>0</vt:lpwstr>
  </property>
  <property fmtid="{D5CDD505-2E9C-101B-9397-08002B2CF9AE}" pid="9" name="ContentTypeId">
    <vt:lpwstr>0x0101008BA6791DDFFC024DAA4136D92359EB10</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CP-027</vt:lpwstr>
  </property>
  <property fmtid="{D5CDD505-2E9C-101B-9397-08002B2CF9AE}" pid="16" name="Last edited using">
    <vt:lpwstr>LW 9.0, Build 20230317</vt:lpwstr>
  </property>
  <property fmtid="{D5CDD505-2E9C-101B-9397-08002B2CF9AE}" pid="17" name="Created using">
    <vt:lpwstr>LW 8.1, Build 20230124</vt:lpwstr>
  </property>
  <property name="OP_sanitized" fmtid="{D5CDD505-2E9C-101B-9397-08002B2CF9AE}" pid="18">
    <vt:lpwstr>True</vt:lpwstr>
  </property>
</Properties>
</file>