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359DE" w14:textId="59047D00" w:rsidR="00304682" w:rsidRPr="000B3838" w:rsidRDefault="004D0F60" w:rsidP="004D0F60">
      <w:pPr>
        <w:pStyle w:val="Pagedecouverture"/>
        <w:rPr>
          <w:noProof/>
        </w:rPr>
      </w:pPr>
      <w:r>
        <w:rPr>
          <w:noProof/>
        </w:rPr>
        <w:pict w14:anchorId="066C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3213A83-6291-4728-9416-B00DA7BB95A5" style="width:455.25pt;height:396.75pt">
            <v:imagedata r:id="rId11" o:title=""/>
          </v:shape>
        </w:pict>
      </w:r>
    </w:p>
    <w:p w14:paraId="513B9069" w14:textId="77777777" w:rsidR="00304682" w:rsidRPr="000B3838" w:rsidRDefault="00304682" w:rsidP="00304682">
      <w:pPr>
        <w:rPr>
          <w:noProof/>
        </w:rPr>
        <w:sectPr w:rsidR="00304682" w:rsidRPr="000B3838" w:rsidSect="004D0F60">
          <w:footerReference w:type="even" r:id="rId12"/>
          <w:footerReference w:type="default" r:id="rId13"/>
          <w:pgSz w:w="11907" w:h="16839"/>
          <w:pgMar w:top="1134" w:right="1417" w:bottom="1134" w:left="1417" w:header="709" w:footer="709" w:gutter="0"/>
          <w:pgNumType w:start="0"/>
          <w:cols w:space="720"/>
          <w:docGrid w:linePitch="360"/>
        </w:sectPr>
      </w:pPr>
    </w:p>
    <w:p w14:paraId="751FE23C" w14:textId="77777777" w:rsidR="00304682" w:rsidRPr="000B3838" w:rsidRDefault="00304682">
      <w:pPr>
        <w:pStyle w:val="Exposdesmotifstitre"/>
        <w:rPr>
          <w:noProof/>
        </w:rPr>
      </w:pPr>
      <w:bookmarkStart w:id="0" w:name="_GoBack"/>
      <w:bookmarkEnd w:id="0"/>
      <w:r w:rsidRPr="000B3838">
        <w:rPr>
          <w:noProof/>
        </w:rPr>
        <w:lastRenderedPageBreak/>
        <w:t>OBRAZLOŽENJE</w:t>
      </w:r>
    </w:p>
    <w:p w14:paraId="63370CAF" w14:textId="77777777" w:rsidR="00304682" w:rsidRPr="000B3838" w:rsidRDefault="00304682">
      <w:pPr>
        <w:pStyle w:val="ManualHeading1"/>
        <w:rPr>
          <w:noProof/>
        </w:rPr>
      </w:pPr>
      <w:r w:rsidRPr="000B3838">
        <w:rPr>
          <w:noProof/>
        </w:rPr>
        <w:t>1.</w:t>
      </w:r>
      <w:r w:rsidRPr="000B3838">
        <w:rPr>
          <w:noProof/>
        </w:rPr>
        <w:tab/>
        <w:t>KONTEKST PRIJEDLOGA</w:t>
      </w:r>
    </w:p>
    <w:p w14:paraId="51EE7D33" w14:textId="77777777" w:rsidR="00304682" w:rsidRPr="000B3838" w:rsidRDefault="00304682">
      <w:pPr>
        <w:pStyle w:val="ManualHeading2"/>
        <w:rPr>
          <w:noProof/>
        </w:rPr>
      </w:pPr>
      <w:r w:rsidRPr="000B3838">
        <w:rPr>
          <w:noProof/>
          <w:u w:color="000000"/>
          <w:bdr w:val="nil"/>
        </w:rPr>
        <w:t>•</w:t>
      </w:r>
      <w:r w:rsidRPr="000B3838">
        <w:rPr>
          <w:noProof/>
        </w:rPr>
        <w:tab/>
        <w:t>Razlozi i ciljevi prijedloga</w:t>
      </w:r>
    </w:p>
    <w:p w14:paraId="4545EF62" w14:textId="42BB83E7" w:rsidR="005935EA" w:rsidRPr="000B3838" w:rsidRDefault="005935EA" w:rsidP="001135C7">
      <w:pPr>
        <w:spacing w:before="0" w:after="240"/>
        <w:textAlignment w:val="baseline"/>
        <w:rPr>
          <w:noProof/>
        </w:rPr>
      </w:pPr>
      <w:r w:rsidRPr="000B3838">
        <w:rPr>
          <w:noProof/>
        </w:rPr>
        <w:t xml:space="preserve">Građani Unije koji putuju u treću zemlju u kojoj država članica čiji su državljani nema predstavništvo u obliku veleposlanstva ili konzulata ili koji žive u takvoj trećoj zemlji imaju pravo na zaštitu od strane diplomatskih i konzularnih tijela bilo koje druge države članice pod istim uvjetima kao i državljani te države članice. To pravo građana Unije, uspostavljeno Ugovorom iz Maastrichta, utvrđeno je u članku 20. stavku 2. točki (c) i članku 23. Ugovora o funkcioniranju Europske unije (UFEU) te članku 46. Povelje Europske unije o temeljnim pravima („Povelja”). </w:t>
      </w:r>
    </w:p>
    <w:p w14:paraId="26FD64FC" w14:textId="6A50B995" w:rsidR="005935EA" w:rsidRPr="000B3838" w:rsidRDefault="00DC3F9F" w:rsidP="001135C7">
      <w:pPr>
        <w:spacing w:before="0" w:after="240"/>
        <w:textAlignment w:val="baseline"/>
        <w:rPr>
          <w:noProof/>
        </w:rPr>
      </w:pPr>
      <w:r w:rsidRPr="000B3838">
        <w:rPr>
          <w:noProof/>
        </w:rPr>
        <w:t>To je pravo vanjska dimenzija građanstva Unije, jedna od praktičnih prednosti statusa građanina Unije i konkretan primjer europske solidarnosti. Njime se pruža zaštita građanima Unije kojima zatreba pomoć u trećoj zemlji u kojoj država članica čiji su državljani nema predstavništvo, na primjer, zbog nesreće, teške bolesti, gubitka putnih isprava ili ako su žrtve kaznenog djela.</w:t>
      </w:r>
    </w:p>
    <w:p w14:paraId="6217DDFA" w14:textId="4B131971" w:rsidR="0071192F" w:rsidRPr="000B3838" w:rsidRDefault="0071192F" w:rsidP="001135C7">
      <w:pPr>
        <w:pBdr>
          <w:top w:val="nil"/>
          <w:left w:val="nil"/>
          <w:bottom w:val="nil"/>
          <w:right w:val="nil"/>
          <w:between w:val="nil"/>
          <w:bar w:val="nil"/>
        </w:pBdr>
        <w:spacing w:before="0" w:after="240"/>
        <w:rPr>
          <w:noProof/>
        </w:rPr>
      </w:pPr>
      <w:r w:rsidRPr="000B3838">
        <w:rPr>
          <w:noProof/>
        </w:rPr>
        <w:t xml:space="preserve">Vijeće je 20. travnja 2015. donijelo </w:t>
      </w:r>
      <w:bookmarkStart w:id="1" w:name="_Hlk129257139"/>
      <w:r w:rsidRPr="000B3838">
        <w:rPr>
          <w:noProof/>
        </w:rPr>
        <w:t xml:space="preserve">Direktivu (EU) 2015/637 </w:t>
      </w:r>
      <w:bookmarkEnd w:id="1"/>
      <w:r w:rsidRPr="000B3838">
        <w:rPr>
          <w:noProof/>
        </w:rPr>
        <w:t>o mjerama koordinacije i suradnje za olakšavanje pružanja konzularne zaštite građanima Unije bez predstavništva u trećim zemljama</w:t>
      </w:r>
      <w:r w:rsidRPr="000B3838">
        <w:rPr>
          <w:rStyle w:val="FootnoteReference0"/>
          <w:noProof/>
        </w:rPr>
        <w:footnoteReference w:id="2"/>
      </w:r>
      <w:r w:rsidRPr="000B3838">
        <w:rPr>
          <w:noProof/>
        </w:rPr>
        <w:t>, kojom je zamijenjen međuvladin okvir kojim je prethodno bila uređena konzularna zaštita</w:t>
      </w:r>
      <w:r w:rsidRPr="000B3838">
        <w:rPr>
          <w:rStyle w:val="FootnoteReference0"/>
          <w:noProof/>
        </w:rPr>
        <w:footnoteReference w:id="3"/>
      </w:r>
      <w:r w:rsidRPr="000B3838">
        <w:rPr>
          <w:noProof/>
        </w:rPr>
        <w:t>. Države članice morale su u roku od tri godine, odnosno do svibnja 2018., prenijeti Direktivu u nacionalno zakonodavstvo</w:t>
      </w:r>
      <w:r w:rsidRPr="000B3838">
        <w:rPr>
          <w:rStyle w:val="FootnoteReference0"/>
          <w:noProof/>
        </w:rPr>
        <w:footnoteReference w:id="4"/>
      </w:r>
      <w:r w:rsidRPr="000B3838">
        <w:rPr>
          <w:noProof/>
        </w:rPr>
        <w:t xml:space="preserve">. </w:t>
      </w:r>
    </w:p>
    <w:p w14:paraId="48ABB622" w14:textId="77777777" w:rsidR="00563599" w:rsidRPr="000B3838" w:rsidRDefault="006F1271" w:rsidP="001135C7">
      <w:pPr>
        <w:spacing w:before="0" w:after="240"/>
        <w:textAlignment w:val="baseline"/>
        <w:rPr>
          <w:noProof/>
        </w:rPr>
      </w:pPr>
      <w:r w:rsidRPr="000B3838">
        <w:rPr>
          <w:noProof/>
        </w:rPr>
        <w:t>U programu rada Komisije za 2021.</w:t>
      </w:r>
      <w:r w:rsidRPr="000B3838">
        <w:rPr>
          <w:rStyle w:val="FootnoteReference0"/>
          <w:noProof/>
        </w:rPr>
        <w:footnoteReference w:id="5"/>
      </w:r>
      <w:r w:rsidRPr="000B3838">
        <w:rPr>
          <w:noProof/>
        </w:rPr>
        <w:t xml:space="preserve"> najavljena je revizija pravila Unije o konzularnoj zaštiti kako bi se poboljšali pripravnost i sposobnost Unije i država članica za zaštitu građana EU-a i potporu građanima EU-a u kriznim vremenima. Ta bi revizija uključivala jačanje potporne uloge Unije i iskorištavanje jedinstvene mreže delegacija Unije na najbolji način. </w:t>
      </w:r>
    </w:p>
    <w:p w14:paraId="7E7708EB" w14:textId="77777777" w:rsidR="00563599" w:rsidRPr="000B3838" w:rsidRDefault="00563599" w:rsidP="001135C7">
      <w:pPr>
        <w:spacing w:before="0" w:after="240"/>
        <w:textAlignment w:val="baseline"/>
        <w:rPr>
          <w:noProof/>
        </w:rPr>
      </w:pPr>
      <w:r w:rsidRPr="000B3838">
        <w:rPr>
          <w:noProof/>
        </w:rPr>
        <w:t>Osim toga, Komisija se u Komunikaciji o daljnjim mjerama nakon Konferencije o budućnosti Europe obvezala da će razmotriti nova područja djelovanja, primjerice „učiniti europsko građanstvo opipljivijim za građane, među ostalim jačanjem prava povezanih s njime i pružanjem pouzdanih i lako dostupnih informacija o njemu”</w:t>
      </w:r>
      <w:r w:rsidRPr="000B3838">
        <w:rPr>
          <w:rStyle w:val="FootnoteReference0"/>
          <w:noProof/>
        </w:rPr>
        <w:footnoteReference w:id="6"/>
      </w:r>
      <w:r w:rsidRPr="000B3838">
        <w:rPr>
          <w:noProof/>
        </w:rPr>
        <w:t xml:space="preserve">. </w:t>
      </w:r>
    </w:p>
    <w:p w14:paraId="379E2605" w14:textId="77777777" w:rsidR="00563599" w:rsidRPr="000B3838" w:rsidRDefault="00563599" w:rsidP="001135C7">
      <w:pPr>
        <w:spacing w:before="0" w:after="240"/>
        <w:textAlignment w:val="baseline"/>
        <w:rPr>
          <w:noProof/>
        </w:rPr>
      </w:pPr>
      <w:r w:rsidRPr="000B3838">
        <w:rPr>
          <w:noProof/>
        </w:rPr>
        <w:t>U Strateškom kompasu za sigurnost i obranu – za Europsku uniju koja štiti svoje građane, vrijednosti i interese te doprinosi međunarodnom miru i sigurnosti, koji je Vijeće donijelo u ožujku 2022.</w:t>
      </w:r>
      <w:r w:rsidRPr="000B3838">
        <w:rPr>
          <w:rStyle w:val="FootnoteReference0"/>
          <w:noProof/>
        </w:rPr>
        <w:footnoteReference w:id="7"/>
      </w:r>
      <w:r w:rsidRPr="000B3838">
        <w:rPr>
          <w:noProof/>
        </w:rPr>
        <w:t xml:space="preserve">, najavljeno je sljedeće: „[p]reispitat ćemo i ojačati mehanizme [Europske službe za vanjsko djelovanje (ESVD)] za odgovor na krizu, svoju konzularnu potporu i </w:t>
      </w:r>
      <w:r w:rsidRPr="000B3838">
        <w:rPr>
          <w:noProof/>
        </w:rPr>
        <w:lastRenderedPageBreak/>
        <w:t>sigurnost na terenu kako bismo bolje pomogli državama članicama u njihovim nastojanjima da zaštite i spase svoje građane u inozemstvu te kako bismo pružali potporu delegacijama EU-a kad trebaju evakuirati osoblje.”</w:t>
      </w:r>
      <w:r w:rsidRPr="000B3838">
        <w:rPr>
          <w:rStyle w:val="FootnoteReference0"/>
          <w:noProof/>
        </w:rPr>
        <w:footnoteReference w:id="8"/>
      </w:r>
      <w:r w:rsidRPr="000B3838">
        <w:rPr>
          <w:noProof/>
        </w:rPr>
        <w:t xml:space="preserve"> </w:t>
      </w:r>
    </w:p>
    <w:p w14:paraId="49255107" w14:textId="2002A96F" w:rsidR="00323997" w:rsidRPr="000B3838" w:rsidRDefault="00F02514" w:rsidP="001135C7">
      <w:pPr>
        <w:spacing w:before="0" w:after="240"/>
        <w:textAlignment w:val="baseline"/>
        <w:rPr>
          <w:noProof/>
        </w:rPr>
      </w:pPr>
      <w:r w:rsidRPr="000B3838">
        <w:rPr>
          <w:noProof/>
        </w:rPr>
        <w:t>Kako je navedeno u izvješću Komisije od 2. rujna 2022. o provedbi i primjeni Direktive Vijeća (EU) 2015/637</w:t>
      </w:r>
      <w:r w:rsidRPr="000B3838">
        <w:rPr>
          <w:rStyle w:val="FootnoteReference0"/>
          <w:noProof/>
        </w:rPr>
        <w:footnoteReference w:id="9"/>
      </w:r>
      <w:r w:rsidRPr="000B3838">
        <w:rPr>
          <w:noProof/>
        </w:rPr>
        <w:t>, učestalost i razmjer kriza koje rezultiraju zahtjevima za konzularnu zaštitu sve su veći. Pandemija bolesti COVID-19 (dosad neviđenih razmjera i složenosti), kriza u Afganistanu, agresivni rat Rusije protiv Ukrajine, sukob u Sudanu, repatrijacije iz Izraela i Gaze te druge slične krize omogućile su utvrđivanje nedostataka i promišljanje o tome kako ojačati pravo građana Unije na konzularnu zaštitu.</w:t>
      </w:r>
    </w:p>
    <w:p w14:paraId="3BCF0D50" w14:textId="17CAB10B" w:rsidR="00334693" w:rsidRPr="000B3838" w:rsidRDefault="00334693" w:rsidP="001135C7">
      <w:pPr>
        <w:spacing w:before="0" w:after="240"/>
        <w:textAlignment w:val="baseline"/>
        <w:rPr>
          <w:noProof/>
        </w:rPr>
      </w:pPr>
      <w:r w:rsidRPr="000B3838">
        <w:rPr>
          <w:noProof/>
        </w:rPr>
        <w:t>S obzirom na prethodno navedeno Komisija predlaže da se Direktiva (EU) 2015/637 izmijeni kako bi se poboljšale i ojačale mjere koordinacije i suradnje potrebne za olakšavanje konzularne zaštite građana Unije.</w:t>
      </w:r>
    </w:p>
    <w:p w14:paraId="37A250C3" w14:textId="7B64A03E" w:rsidR="00A60D18" w:rsidRPr="000B3838" w:rsidRDefault="003B217A" w:rsidP="001135C7">
      <w:pPr>
        <w:spacing w:before="0" w:after="240"/>
        <w:textAlignment w:val="baseline"/>
        <w:rPr>
          <w:noProof/>
        </w:rPr>
      </w:pPr>
      <w:r w:rsidRPr="000B3838">
        <w:rPr>
          <w:noProof/>
        </w:rPr>
        <w:t>Kako bi se povećala pravna sigurnost za konzularna tijela i građane, Komisija predlaže da se pojasni kad se smatra da je građanin Unije „bez predstavništva” i da stoga ima pravo na konzularnu zaštitu konzularnih tijela drugih država članica. Izmjenama Direktive (EU) 2015/637 trebalo bi se osigurati pojednostavnjenje suradnje među konzularnim tijelima, uz potporu delegacija Unije.</w:t>
      </w:r>
    </w:p>
    <w:p w14:paraId="69010CCC" w14:textId="20617B9D" w:rsidR="00F02FE1" w:rsidRPr="000B3838" w:rsidRDefault="00F50731" w:rsidP="001135C7">
      <w:pPr>
        <w:spacing w:before="0" w:after="240"/>
        <w:textAlignment w:val="baseline"/>
        <w:rPr>
          <w:noProof/>
        </w:rPr>
      </w:pPr>
      <w:r w:rsidRPr="000B3838">
        <w:rPr>
          <w:noProof/>
        </w:rPr>
        <w:t>Kako bi se na najbolji način iskoristila mreža delegacija Unije, posebice u trećim zemljama u kojima je prisutan mali broj država članica, Komisija smatra da bi se njihove zadaće trebale pojasniti i da bi se njihova potporna uloga trebala ojačati, posebice u području pripravnosti za krizne situacije i odgovor na njih. U vezi s tim, prijedlogom se predviđa sastavljanje takozvanih zajedničkih konzularnih planova za slučaj nužde (poznati i kao „zajednički okviri EU-a za konzularnu pripravnost za krizne situacije”) za sve treće zemlje kako bi se olakšao odgovor na sve moguće buduće konzularne krize. Osim toga, prijedlogom se predviđa pravna osnova za moguće raspoređivanje takozvanih zajedničkih konzularnih skupina, odnosno dobrovoljnih multidisciplinarnih skupina koje se sastoje od konzularnih stručnjaka iz država članica i institucija Unije, kako bi se za vrijeme kriza pružila potpora lokalnim konzularnim službama država članica koje potencijalno imaju mali broj zaposlenika</w:t>
      </w:r>
      <w:r w:rsidRPr="000B3838">
        <w:rPr>
          <w:rStyle w:val="FootnoteReference0"/>
          <w:noProof/>
        </w:rPr>
        <w:footnoteReference w:id="10"/>
      </w:r>
      <w:r w:rsidRPr="000B3838">
        <w:rPr>
          <w:noProof/>
        </w:rPr>
        <w:t xml:space="preserve">. </w:t>
      </w:r>
    </w:p>
    <w:p w14:paraId="6854E4A5" w14:textId="338874C0" w:rsidR="003279E5" w:rsidRPr="000B3838" w:rsidRDefault="003279E5" w:rsidP="001135C7">
      <w:pPr>
        <w:spacing w:before="0" w:after="240"/>
        <w:textAlignment w:val="baseline"/>
        <w:rPr>
          <w:noProof/>
        </w:rPr>
      </w:pPr>
      <w:r w:rsidRPr="000B3838">
        <w:rPr>
          <w:noProof/>
        </w:rPr>
        <w:t xml:space="preserve">Komisija predlaže i da se poboljšaju protok informacija među državama članicama i institucijama Unije te informacije koje se dostavljaju građanima Unije kako bi im se omogućilo da donose više utemeljene odluke o putovanju. </w:t>
      </w:r>
    </w:p>
    <w:p w14:paraId="1BD4756B" w14:textId="739DBF99" w:rsidR="00564ED1" w:rsidRPr="000B3838" w:rsidRDefault="00564ED1" w:rsidP="001135C7">
      <w:pPr>
        <w:spacing w:before="0" w:after="240"/>
        <w:textAlignment w:val="baseline"/>
        <w:rPr>
          <w:noProof/>
        </w:rPr>
      </w:pPr>
      <w:r w:rsidRPr="000B3838">
        <w:rPr>
          <w:noProof/>
        </w:rPr>
        <w:t xml:space="preserve">Naposljetku, Komisija predlaže da se pojednostave odredbe o financijskim naknadama troškova koji proizlaze iz pružanja konzularne zaštite. U budućnosti bi države članice trebale imati pravo zatražiti naknadu izravno od predmetnog građanina kako bi se izbjegli dugotrajni birokratski postupci. Osim toga, i delegacije Unije trebale bi imati pravo na financijsku naknadu ako podupiru pružanje konzularne zaštite građanima bez predstavništva. Ti bi se novi </w:t>
      </w:r>
      <w:r w:rsidRPr="000B3838">
        <w:rPr>
          <w:noProof/>
        </w:rPr>
        <w:lastRenderedPageBreak/>
        <w:t>financijski postupci trebali primjenjivati i u kontekstu Direktive (EU) 2019/997</w:t>
      </w:r>
      <w:r w:rsidRPr="000B3838">
        <w:rPr>
          <w:rStyle w:val="FootnoteReference0"/>
          <w:noProof/>
        </w:rPr>
        <w:footnoteReference w:id="11"/>
      </w:r>
      <w:r w:rsidRPr="000B3838">
        <w:rPr>
          <w:noProof/>
        </w:rPr>
        <w:t>, kojom se utvrđuju pravila o uvjetima i postupku za izdavanje privremene putne isprave EU-a („PPI EU-a”) za građane bez predstavništva u trećim zemljama i jedinstveni format te isprave.</w:t>
      </w:r>
    </w:p>
    <w:p w14:paraId="40A95DCB" w14:textId="52DFB2EE" w:rsidR="00563599" w:rsidRPr="000B3838" w:rsidRDefault="00563599" w:rsidP="001135C7">
      <w:pPr>
        <w:spacing w:before="0" w:after="240"/>
        <w:textAlignment w:val="baseline"/>
        <w:rPr>
          <w:noProof/>
        </w:rPr>
      </w:pPr>
      <w:r w:rsidRPr="000B3838">
        <w:rPr>
          <w:noProof/>
        </w:rPr>
        <w:t xml:space="preserve">Zahvaljujući poboljšanju konzularne zaštite građana Unije u inozemstvu jačanjem solidarnosti Unije i suradnje u tom području građani Unije i dalje će moći ostvarivati korist od tog temeljnog prava u skladu s najvišim standardima, posebice za vrijeme kriza. </w:t>
      </w:r>
    </w:p>
    <w:p w14:paraId="3C7FF902" w14:textId="77777777" w:rsidR="00304682" w:rsidRPr="000B3838" w:rsidRDefault="00304682">
      <w:pPr>
        <w:pStyle w:val="ManualHeading2"/>
        <w:rPr>
          <w:noProof/>
          <w:u w:color="000000"/>
          <w:bdr w:val="nil"/>
        </w:rPr>
      </w:pPr>
      <w:r w:rsidRPr="000B3838">
        <w:rPr>
          <w:noProof/>
          <w:u w:color="000000"/>
          <w:bdr w:val="nil"/>
        </w:rPr>
        <w:t>•</w:t>
      </w:r>
      <w:r w:rsidRPr="000B3838">
        <w:rPr>
          <w:noProof/>
        </w:rPr>
        <w:tab/>
        <w:t>Dosljednost s postojećim odredbama politike u tom području</w:t>
      </w:r>
    </w:p>
    <w:p w14:paraId="1480876A" w14:textId="480FBAAE" w:rsidR="005A3DDC" w:rsidRPr="000B3838" w:rsidRDefault="005A3DDC" w:rsidP="008B2719">
      <w:pPr>
        <w:pBdr>
          <w:top w:val="nil"/>
          <w:left w:val="nil"/>
          <w:bottom w:val="nil"/>
          <w:right w:val="nil"/>
          <w:between w:val="nil"/>
          <w:bar w:val="nil"/>
        </w:pBdr>
        <w:spacing w:before="0" w:after="240"/>
        <w:rPr>
          <w:noProof/>
        </w:rPr>
      </w:pPr>
      <w:r w:rsidRPr="000B3838">
        <w:rPr>
          <w:noProof/>
        </w:rPr>
        <w:t>U članku 9. točki (f) Direktive (EU) 2015/637 izričito se upućuje na izdavanje privremenih putnih isprava. Ovim prijedlogom osigurava se da Direktiva (EU) 2015/637 i posebna pravila primjenjiva na PPI EU-a predviđen Direktivom (EU) 2019/997 budu usklađena.</w:t>
      </w:r>
    </w:p>
    <w:p w14:paraId="21D79E23" w14:textId="77777777" w:rsidR="008B2719" w:rsidRPr="000B3838" w:rsidRDefault="00192403" w:rsidP="005E547D">
      <w:pPr>
        <w:spacing w:before="0" w:after="240"/>
        <w:textAlignment w:val="baseline"/>
        <w:rPr>
          <w:noProof/>
        </w:rPr>
      </w:pPr>
      <w:r w:rsidRPr="000B3838">
        <w:rPr>
          <w:noProof/>
        </w:rPr>
        <w:t>Ovim prijedlogom osigurava se i dosljednost s Odlukom Vijeća 2010/427/EU</w:t>
      </w:r>
      <w:r w:rsidRPr="000B3838">
        <w:rPr>
          <w:rStyle w:val="FootnoteReference0"/>
          <w:noProof/>
        </w:rPr>
        <w:footnoteReference w:id="12"/>
      </w:r>
      <w:r w:rsidRPr="000B3838">
        <w:rPr>
          <w:noProof/>
        </w:rPr>
        <w:t xml:space="preserve">, kojom se utvrđuje mandat delegacija Unije. U skladu s člankom 5. stavkom 10. te odluke </w:t>
      </w:r>
      <w:bookmarkStart w:id="2" w:name="_Hlk125643701"/>
      <w:r w:rsidRPr="000B3838">
        <w:rPr>
          <w:noProof/>
        </w:rPr>
        <w:t xml:space="preserve">delegacije Unije u skladu s trećim stavkom članka 35. Ugovora o Europskoj uniji i na zahtjev država članica </w:t>
      </w:r>
      <w:bookmarkStart w:id="3" w:name="_Hlk125643621"/>
      <w:bookmarkEnd w:id="2"/>
      <w:r w:rsidRPr="000B3838">
        <w:rPr>
          <w:noProof/>
        </w:rPr>
        <w:t xml:space="preserve">podupiru države članice u njihovim diplomatskim odnosima i u njihovoj ulozi pružanja konzularne zaštite građanima Unije u trećim zemljama </w:t>
      </w:r>
      <w:bookmarkEnd w:id="3"/>
      <w:r w:rsidRPr="000B3838">
        <w:rPr>
          <w:noProof/>
        </w:rPr>
        <w:t>na troškovno neutralnoj osnovi</w:t>
      </w:r>
      <w:r w:rsidRPr="000B3838">
        <w:rPr>
          <w:i/>
          <w:noProof/>
        </w:rPr>
        <w:t>.</w:t>
      </w:r>
    </w:p>
    <w:p w14:paraId="67DA7A22" w14:textId="0379A3CF" w:rsidR="005E547D" w:rsidRPr="000B3838" w:rsidRDefault="000E7078" w:rsidP="0032693D">
      <w:pPr>
        <w:spacing w:before="0" w:after="240"/>
        <w:textAlignment w:val="baseline"/>
        <w:rPr>
          <w:noProof/>
        </w:rPr>
      </w:pPr>
      <w:r w:rsidRPr="000B3838">
        <w:rPr>
          <w:noProof/>
        </w:rPr>
        <w:t>Direktiva (EU) 2015/637 sadržava upućivanja na Mehanizam Unije za civilnu zaštitu</w:t>
      </w:r>
      <w:r w:rsidRPr="000B3838">
        <w:rPr>
          <w:rStyle w:val="FootnoteReference0"/>
          <w:noProof/>
        </w:rPr>
        <w:footnoteReference w:id="13"/>
      </w:r>
      <w:r w:rsidRPr="000B3838">
        <w:rPr>
          <w:noProof/>
        </w:rPr>
        <w:t>, koji se upotrebljava za pružanje potpore civilne zaštite konzularnoj pomoći. Prijedlogom se osigurava potpuna usklađenost Direktive (EU) 2015/637 i propisa o Mehanizmu Unije za civilnu zaštitu, među ostalim na temelju iskustva stečenog za vrijeme pandemije bolesti COVID-19 i hitne konzularne situacije u Afganistanu 2021.</w:t>
      </w:r>
    </w:p>
    <w:p w14:paraId="438C46E3" w14:textId="77777777" w:rsidR="0050668E" w:rsidRPr="000B3838" w:rsidRDefault="00FA5973" w:rsidP="00824EDB">
      <w:pPr>
        <w:pBdr>
          <w:top w:val="nil"/>
          <w:left w:val="nil"/>
          <w:bottom w:val="nil"/>
          <w:right w:val="nil"/>
          <w:between w:val="nil"/>
          <w:bar w:val="nil"/>
        </w:pBdr>
        <w:spacing w:before="0" w:after="240"/>
        <w:rPr>
          <w:noProof/>
        </w:rPr>
      </w:pPr>
      <w:r w:rsidRPr="000B3838">
        <w:rPr>
          <w:noProof/>
        </w:rPr>
        <w:t>Kako bi osigurala provedbu prava na konzularnu zaštitu u praksi, Unija i dalje pregovara o uključivanju takozvanih klauzula o konzularnoj zaštiti u međunarodne sporazume kako bi ukinula obvezu, predviđenu člankom 8. Bečke konvencije o konzularnim odnosima iz 1963.</w:t>
      </w:r>
      <w:r w:rsidRPr="000B3838">
        <w:rPr>
          <w:rStyle w:val="FootnoteReference0"/>
          <w:noProof/>
        </w:rPr>
        <w:footnoteReference w:id="14"/>
      </w:r>
      <w:r w:rsidRPr="000B3838">
        <w:rPr>
          <w:noProof/>
        </w:rPr>
        <w:t>, da države članice s predstavništvom obavijeste treću zemlju u kojoj se građanin Unije bez predstavništva nalazi o pružanju konzularne zaštite.</w:t>
      </w:r>
    </w:p>
    <w:p w14:paraId="778858D0" w14:textId="77777777" w:rsidR="00304682" w:rsidRPr="000B3838" w:rsidRDefault="00304682">
      <w:pPr>
        <w:pStyle w:val="ManualHeading2"/>
        <w:rPr>
          <w:noProof/>
        </w:rPr>
      </w:pPr>
      <w:r w:rsidRPr="000B3838">
        <w:rPr>
          <w:noProof/>
          <w:u w:color="000000"/>
          <w:bdr w:val="nil"/>
        </w:rPr>
        <w:t>•</w:t>
      </w:r>
      <w:r w:rsidRPr="000B3838">
        <w:rPr>
          <w:noProof/>
        </w:rPr>
        <w:tab/>
        <w:t>Dosljednost u odnosu na druge politike Unije</w:t>
      </w:r>
    </w:p>
    <w:p w14:paraId="44C42869" w14:textId="77777777" w:rsidR="005D20BF" w:rsidRPr="000B3838" w:rsidRDefault="007A5958">
      <w:pPr>
        <w:pBdr>
          <w:top w:val="nil"/>
          <w:left w:val="nil"/>
          <w:bottom w:val="nil"/>
          <w:right w:val="nil"/>
          <w:between w:val="nil"/>
          <w:bar w:val="nil"/>
        </w:pBdr>
        <w:spacing w:before="0" w:after="240"/>
        <w:rPr>
          <w:noProof/>
        </w:rPr>
      </w:pPr>
      <w:r w:rsidRPr="000B3838">
        <w:rPr>
          <w:noProof/>
        </w:rPr>
        <w:t>Ovaj prijedlog u skladu je s politikama povezanima s civilnom zaštitom i odgovorom na krizne situacije.</w:t>
      </w:r>
    </w:p>
    <w:p w14:paraId="344F1FEF" w14:textId="77777777" w:rsidR="00304682" w:rsidRPr="000B3838" w:rsidRDefault="00304682">
      <w:pPr>
        <w:pStyle w:val="ManualHeading1"/>
        <w:rPr>
          <w:noProof/>
        </w:rPr>
      </w:pPr>
      <w:r w:rsidRPr="000B3838">
        <w:rPr>
          <w:noProof/>
        </w:rPr>
        <w:t>2.</w:t>
      </w:r>
      <w:r w:rsidRPr="000B3838">
        <w:rPr>
          <w:noProof/>
        </w:rPr>
        <w:tab/>
        <w:t>PRAVNA OSNOVA, SUPSIDIJARNOST I PROPORCIONALNOST</w:t>
      </w:r>
    </w:p>
    <w:p w14:paraId="5A88DADB"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Pravna osnova</w:t>
      </w:r>
    </w:p>
    <w:p w14:paraId="4F40E4E4" w14:textId="6C8DE316" w:rsidR="008C7929" w:rsidRPr="000B3838" w:rsidRDefault="00334693" w:rsidP="0071192F">
      <w:pPr>
        <w:spacing w:before="0" w:after="240"/>
        <w:rPr>
          <w:noProof/>
        </w:rPr>
      </w:pPr>
      <w:r w:rsidRPr="000B3838">
        <w:rPr>
          <w:noProof/>
        </w:rPr>
        <w:t xml:space="preserve">Predloženom direktivom izmijenila bi se Direktiva (EU) 2015/637. Stoga ona ima istu pravnu osnovu kao i ta direktiva, tj. članak 23. UFEU-a. U skladu s drugim stavkom tog članka Vijeće, odlučujući u skladu s posebnim zakonodavnim postupkom i nakon savjetovanja s </w:t>
      </w:r>
      <w:r w:rsidRPr="000B3838">
        <w:rPr>
          <w:noProof/>
        </w:rPr>
        <w:lastRenderedPageBreak/>
        <w:t>Europskim parlamentom, može donijeti direktive o utvrđivanju mjera za koordiniranje i suradnju potrebnih da se olakša konzularna zaštita građana Unije bez predstavništva. Ta se odredba primjenjuje na sve države članice.</w:t>
      </w:r>
    </w:p>
    <w:p w14:paraId="0799D6CC" w14:textId="77777777" w:rsidR="008C7929" w:rsidRPr="000B3838" w:rsidRDefault="008C7929" w:rsidP="0071192F">
      <w:pPr>
        <w:spacing w:before="0" w:after="240"/>
        <w:rPr>
          <w:noProof/>
        </w:rPr>
      </w:pPr>
      <w:r w:rsidRPr="000B3838">
        <w:rPr>
          <w:noProof/>
        </w:rPr>
        <w:t xml:space="preserve">Izmjenama u ovom prijedlogu nastoje se poboljšati mjere potrebne da se olakša pružanje konzularne zaštite građanima bez predstavništva predviđene Direktivom (EU) 2015/637. </w:t>
      </w:r>
    </w:p>
    <w:p w14:paraId="33D20D07"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Supsidijarnost</w:t>
      </w:r>
    </w:p>
    <w:p w14:paraId="1C4A92DF" w14:textId="77777777" w:rsidR="00DF5132" w:rsidRPr="000B3838" w:rsidRDefault="00DF5132">
      <w:pPr>
        <w:pBdr>
          <w:top w:val="nil"/>
          <w:left w:val="nil"/>
          <w:bottom w:val="nil"/>
          <w:right w:val="nil"/>
          <w:between w:val="nil"/>
          <w:bar w:val="nil"/>
        </w:pBdr>
        <w:spacing w:before="0" w:after="240"/>
        <w:rPr>
          <w:noProof/>
        </w:rPr>
      </w:pPr>
      <w:r w:rsidRPr="000B3838">
        <w:rPr>
          <w:noProof/>
        </w:rPr>
        <w:t>Konzularna zaštita za građane bez predstavništva po definiciji uključuje prekogranični element s obzirom na njezinu prirodu kao pravo građanstva Unije koje se ostvaruje preko tijelâ država članica koje nisu države državljanstva građanina.</w:t>
      </w:r>
    </w:p>
    <w:p w14:paraId="73F139DE" w14:textId="4EC84DA2" w:rsidR="00021B16" w:rsidRPr="000B3838" w:rsidRDefault="00341CBC">
      <w:pPr>
        <w:pBdr>
          <w:top w:val="nil"/>
          <w:left w:val="nil"/>
          <w:bottom w:val="nil"/>
          <w:right w:val="nil"/>
          <w:between w:val="nil"/>
          <w:bar w:val="nil"/>
        </w:pBdr>
        <w:spacing w:before="0" w:after="240"/>
        <w:rPr>
          <w:noProof/>
        </w:rPr>
      </w:pPr>
      <w:r w:rsidRPr="000B3838">
        <w:rPr>
          <w:noProof/>
        </w:rPr>
        <w:t xml:space="preserve">Ciljevi ovog prijedloga, odnosno bolje ostvarenje prava utvrđenog u članku 20. stavku 2. točki (c) UFEU-a za građane bez predstavništva, države članice ne mogu djelotvorno riješiti pojedinačnim djelovanjem, jer su za to potrebne izmjene određenih odredbi Direktive (EU) 2015/637. Stoga je potrebno djelovanje na razini Unije. </w:t>
      </w:r>
    </w:p>
    <w:p w14:paraId="0845F715" w14:textId="1A4DA740" w:rsidR="00C12F6B" w:rsidRPr="000B3838" w:rsidRDefault="00C12F6B">
      <w:pPr>
        <w:pBdr>
          <w:top w:val="nil"/>
          <w:left w:val="nil"/>
          <w:bottom w:val="nil"/>
          <w:right w:val="nil"/>
          <w:between w:val="nil"/>
          <w:bar w:val="nil"/>
        </w:pBdr>
        <w:spacing w:before="0" w:after="240"/>
        <w:rPr>
          <w:noProof/>
        </w:rPr>
      </w:pPr>
      <w:r w:rsidRPr="000B3838">
        <w:rPr>
          <w:noProof/>
        </w:rPr>
        <w:t>Izostanak djelovanja na razini Unije doveo bi do izostanka prilagodbe pravila iz Direktive (EU) 2015/637 kako bi se uklonili nedostaci koji su utvrđeni u njihovoj primjeni. Osim toga, u pravilima se ne bi uzimalo u obzir iskustvo stečeno za vrijeme nedavnih konzularnih kriza. Stoga građani Unije ne bi mogli iskorištavati svoje pravo na konzularnu zaštitu do razine koja bi bila moguća zahvaljujući djelovanju na razini Unije.</w:t>
      </w:r>
    </w:p>
    <w:p w14:paraId="7F2496CC"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Proporcionalnost</w:t>
      </w:r>
    </w:p>
    <w:p w14:paraId="39BA1CD3" w14:textId="77777777" w:rsidR="0069037E" w:rsidRPr="000B3838" w:rsidRDefault="00160A6F" w:rsidP="0094184C">
      <w:pPr>
        <w:pBdr>
          <w:top w:val="nil"/>
          <w:left w:val="nil"/>
          <w:bottom w:val="nil"/>
          <w:right w:val="nil"/>
          <w:between w:val="nil"/>
          <w:bar w:val="nil"/>
        </w:pBdr>
        <w:spacing w:before="0" w:after="240"/>
        <w:rPr>
          <w:noProof/>
        </w:rPr>
      </w:pPr>
      <w:r w:rsidRPr="000B3838">
        <w:rPr>
          <w:noProof/>
        </w:rPr>
        <w:t>Ciljevi ovog prijedloga mogu se postići izmjenama određenih odredbi Direktive (EU) 2015/637.</w:t>
      </w:r>
    </w:p>
    <w:p w14:paraId="33F0A94A" w14:textId="758ECC7C" w:rsidR="00D37B17" w:rsidRPr="000B3838" w:rsidRDefault="00D028C2" w:rsidP="0094184C">
      <w:pPr>
        <w:pBdr>
          <w:top w:val="nil"/>
          <w:left w:val="nil"/>
          <w:bottom w:val="nil"/>
          <w:right w:val="nil"/>
          <w:between w:val="nil"/>
          <w:bar w:val="nil"/>
        </w:pBdr>
        <w:spacing w:before="0" w:after="240"/>
        <w:rPr>
          <w:noProof/>
        </w:rPr>
      </w:pPr>
      <w:r w:rsidRPr="000B3838">
        <w:rPr>
          <w:noProof/>
        </w:rPr>
        <w:t>Prijedlog ne prelazi ono što je potrebno za ostvarivanje tog cilja jer se njime ne izmjenjuju iz temelja postojeća pravila i postupci iz Direktive (EU) 2015/637. Konkretnije, njime se ne predlaže uvođenje dodatnih postupaka, nego se teži pojednostavnjenju onih postojećih kako bi se smanjilo administrativno opterećenje za države članice i olakšalo pružanje konzularne zaštite. Na primjer, prijedlog bi omogućio državama članicama koje pružaju pomoć da na nediskriminirajući način naplaćuju troškove izravno građanima bez predstavništva umjesto da traže naknadu od države članice državljanstva građanina.</w:t>
      </w:r>
    </w:p>
    <w:p w14:paraId="329B3F2B" w14:textId="53949810" w:rsidR="002F7A2C" w:rsidRPr="000B3838" w:rsidRDefault="002F7A2C" w:rsidP="0094184C">
      <w:pPr>
        <w:pBdr>
          <w:top w:val="nil"/>
          <w:left w:val="nil"/>
          <w:bottom w:val="nil"/>
          <w:right w:val="nil"/>
          <w:between w:val="nil"/>
          <w:bar w:val="nil"/>
        </w:pBdr>
        <w:spacing w:before="0" w:after="240"/>
        <w:rPr>
          <w:noProof/>
        </w:rPr>
      </w:pPr>
      <w:r w:rsidRPr="000B3838">
        <w:rPr>
          <w:noProof/>
        </w:rPr>
        <w:t>Dodatna obrazloženja proporcionalnosti različitih opcija politike, među ostalim opcija politike koje se ne zadržavaju, dostupna su u procjeni učinka priloženoj ovom prijedlogu</w:t>
      </w:r>
      <w:r w:rsidRPr="000B3838">
        <w:rPr>
          <w:rStyle w:val="FootnoteReference0"/>
          <w:noProof/>
        </w:rPr>
        <w:footnoteReference w:id="15"/>
      </w:r>
      <w:r w:rsidRPr="000B3838">
        <w:rPr>
          <w:noProof/>
        </w:rPr>
        <w:t>.</w:t>
      </w:r>
    </w:p>
    <w:p w14:paraId="08D332CF"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Odabir instrumenta</w:t>
      </w:r>
    </w:p>
    <w:p w14:paraId="2950EF0A" w14:textId="65CDFC3F" w:rsidR="008B18EA" w:rsidRPr="000B3838" w:rsidRDefault="008B18EA" w:rsidP="008B18EA">
      <w:pPr>
        <w:rPr>
          <w:noProof/>
        </w:rPr>
      </w:pPr>
      <w:r w:rsidRPr="000B3838">
        <w:rPr>
          <w:noProof/>
        </w:rPr>
        <w:t>Predloženi instrument je direktiva u skladu s drugim stavkom članka 23. UFEU-a.</w:t>
      </w:r>
    </w:p>
    <w:p w14:paraId="20EF232F" w14:textId="77777777" w:rsidR="00304682" w:rsidRPr="000B3838" w:rsidRDefault="00304682">
      <w:pPr>
        <w:pStyle w:val="ManualHeading1"/>
        <w:rPr>
          <w:noProof/>
        </w:rPr>
      </w:pPr>
      <w:r w:rsidRPr="000B3838">
        <w:rPr>
          <w:noProof/>
        </w:rPr>
        <w:t>3.</w:t>
      </w:r>
      <w:r w:rsidRPr="000B3838">
        <w:rPr>
          <w:noProof/>
        </w:rPr>
        <w:tab/>
        <w:t xml:space="preserve">REZULTATI </w:t>
      </w:r>
      <w:r w:rsidRPr="000B3838">
        <w:rPr>
          <w:i/>
          <w:iCs/>
          <w:noProof/>
        </w:rPr>
        <w:t>EX POST</w:t>
      </w:r>
      <w:r w:rsidRPr="000B3838">
        <w:rPr>
          <w:noProof/>
        </w:rPr>
        <w:t xml:space="preserve"> EVALUACIJA, SAVJETOVANJA S DIONICIMA I PROCJENA UČINKA</w:t>
      </w:r>
    </w:p>
    <w:p w14:paraId="11257FAB"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Savjetovanja s dionicima</w:t>
      </w:r>
    </w:p>
    <w:p w14:paraId="669F826F" w14:textId="4B4B9DF8" w:rsidR="00C178B8" w:rsidRPr="000B3838" w:rsidRDefault="00A60016" w:rsidP="002B16E7">
      <w:pPr>
        <w:pBdr>
          <w:top w:val="nil"/>
          <w:left w:val="nil"/>
          <w:bottom w:val="nil"/>
          <w:right w:val="nil"/>
          <w:between w:val="nil"/>
          <w:bar w:val="nil"/>
        </w:pBdr>
        <w:spacing w:before="0" w:after="240"/>
        <w:rPr>
          <w:noProof/>
        </w:rPr>
      </w:pPr>
      <w:r w:rsidRPr="000B3838">
        <w:rPr>
          <w:noProof/>
        </w:rPr>
        <w:t xml:space="preserve">Ovim prijedlogom uzimaju se u obzir rasprave Radne skupine za konzularne poslove Vijeća, posebice razmjene mišljenja o dodatnom olakšavanju ostvarivanja prava građana Unije na </w:t>
      </w:r>
      <w:r w:rsidRPr="000B3838">
        <w:rPr>
          <w:noProof/>
        </w:rPr>
        <w:lastRenderedPageBreak/>
        <w:t>konzularnu zaštitu u trećim zemljama koja se održala nakon donošenja izvješća Komisije o provedbi i primjeni Direktive (EU) 2015/637</w:t>
      </w:r>
      <w:r w:rsidRPr="000B3838">
        <w:rPr>
          <w:rStyle w:val="FootnoteReference0"/>
          <w:noProof/>
        </w:rPr>
        <w:footnoteReference w:id="16"/>
      </w:r>
      <w:r w:rsidRPr="000B3838">
        <w:rPr>
          <w:noProof/>
        </w:rPr>
        <w:t xml:space="preserve">. Nakon tih rasprava predsjedništvo Vijeća smatralo je da je potrebno revidirati Direktivu, posebice na temelju iskustva stečenog za vrijeme konzularnih kriza prethodnih godina. </w:t>
      </w:r>
    </w:p>
    <w:p w14:paraId="105BC8D3" w14:textId="77777777" w:rsidR="00A60016" w:rsidRPr="000B3838" w:rsidRDefault="00960679">
      <w:pPr>
        <w:pBdr>
          <w:top w:val="nil"/>
          <w:left w:val="nil"/>
          <w:bottom w:val="nil"/>
          <w:right w:val="nil"/>
          <w:between w:val="nil"/>
          <w:bar w:val="nil"/>
        </w:pBdr>
        <w:spacing w:before="0" w:after="240"/>
        <w:rPr>
          <w:noProof/>
        </w:rPr>
      </w:pPr>
      <w:r w:rsidRPr="000B3838">
        <w:rPr>
          <w:noProof/>
        </w:rPr>
        <w:t>Namjenski upitnik za tijela država članica upotrijebljen je kako bi se prikupili kvantitativni podaci o nacionalnom zakonodavstvu i postupcima država članica, njihovim konzularnim mrežama i resursima, konzularnoj zaštiti koju pružaju te njihovim putovanjima i komunikacijskih kanalima. Osim toga, od tijela država članica tražilo se i da dostave kvalitativne povratne informacije o primjeni Direktive (EU) 2015/637, mogućim opcijama politike i poukama stečenim iz konzularnog odgovora na pandemiju bolesti COVID-19.</w:t>
      </w:r>
    </w:p>
    <w:p w14:paraId="2C33FABB" w14:textId="604A0942" w:rsidR="00960679" w:rsidRPr="000B3838" w:rsidRDefault="00D94376">
      <w:pPr>
        <w:pBdr>
          <w:top w:val="nil"/>
          <w:left w:val="nil"/>
          <w:bottom w:val="nil"/>
          <w:right w:val="nil"/>
          <w:between w:val="nil"/>
          <w:bar w:val="nil"/>
        </w:pBdr>
        <w:spacing w:before="0" w:after="240"/>
        <w:rPr>
          <w:noProof/>
        </w:rPr>
      </w:pPr>
      <w:r w:rsidRPr="000B3838">
        <w:rPr>
          <w:noProof/>
        </w:rPr>
        <w:t>Internetska anketa za delegacije Unije upotrijebljena je kako bi se dobili njihova procjena trenutačne situacije (među ostalim za vrijeme kriza, kao što je tijekom izbijanja bolesti COVID-19), mišljenja o funkcioniranju Direktive (EU) 2015/637 i mišljenja o dostupnim opcijama politike.</w:t>
      </w:r>
    </w:p>
    <w:p w14:paraId="612694A0" w14:textId="36F93981" w:rsidR="003536E4" w:rsidRPr="000B3838" w:rsidRDefault="009C14D2">
      <w:pPr>
        <w:pBdr>
          <w:top w:val="nil"/>
          <w:left w:val="nil"/>
          <w:bottom w:val="nil"/>
          <w:right w:val="nil"/>
          <w:between w:val="nil"/>
          <w:bar w:val="nil"/>
        </w:pBdr>
        <w:spacing w:before="0" w:after="240"/>
        <w:rPr>
          <w:noProof/>
        </w:rPr>
      </w:pPr>
      <w:r w:rsidRPr="000B3838">
        <w:rPr>
          <w:noProof/>
        </w:rPr>
        <w:t>Tijekom 2021. provedeni su detaljni intervjui s delegacijama Unije, predstavništvima država članica i turističkim/iseljeničkim organizacijama u pet odabranih trećih zemalja</w:t>
      </w:r>
      <w:r w:rsidRPr="000B3838">
        <w:rPr>
          <w:rStyle w:val="FootnoteReference0"/>
          <w:noProof/>
        </w:rPr>
        <w:footnoteReference w:id="17"/>
      </w:r>
      <w:r w:rsidRPr="000B3838">
        <w:rPr>
          <w:noProof/>
        </w:rPr>
        <w:t>, kao i s dužnosnicima iz tijela Unije koja imaju potpornu ulogu u području konzularne zaštite.</w:t>
      </w:r>
    </w:p>
    <w:p w14:paraId="20209CE9" w14:textId="77777777" w:rsidR="004669A8" w:rsidRPr="000B3838" w:rsidRDefault="00A168D7">
      <w:pPr>
        <w:pBdr>
          <w:top w:val="nil"/>
          <w:left w:val="nil"/>
          <w:bottom w:val="nil"/>
          <w:right w:val="nil"/>
          <w:between w:val="nil"/>
          <w:bar w:val="nil"/>
        </w:pBdr>
        <w:spacing w:before="0" w:after="240"/>
        <w:rPr>
          <w:noProof/>
        </w:rPr>
      </w:pPr>
      <w:r w:rsidRPr="000B3838">
        <w:rPr>
          <w:noProof/>
        </w:rPr>
        <w:t>Više informacija o zaprimljenim povratnim informacijama dostupno je u procjeni učinka priloženoj ovom prijedlogu.</w:t>
      </w:r>
    </w:p>
    <w:p w14:paraId="1E3067DF"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Prikupljanje i primjena stručnog znanja</w:t>
      </w:r>
    </w:p>
    <w:p w14:paraId="420D8597" w14:textId="07CA4130" w:rsidR="00B5059D" w:rsidRPr="000B3838" w:rsidRDefault="00B5059D" w:rsidP="00B5059D">
      <w:pPr>
        <w:pStyle w:val="CoffeyParagraph"/>
        <w:spacing w:before="120" w:line="240" w:lineRule="auto"/>
        <w:rPr>
          <w:rFonts w:ascii="Times New Roman" w:hAnsi="Times New Roman"/>
          <w:noProof/>
          <w:sz w:val="24"/>
        </w:rPr>
      </w:pPr>
      <w:r w:rsidRPr="000B3838">
        <w:rPr>
          <w:rFonts w:ascii="Times New Roman" w:hAnsi="Times New Roman"/>
          <w:noProof/>
          <w:sz w:val="24"/>
        </w:rPr>
        <w:t>Komisija je provela Flash Eurobarometer 485: Građanstvo i demokracija EU-a</w:t>
      </w:r>
      <w:r w:rsidRPr="000B3838">
        <w:rPr>
          <w:rStyle w:val="FootnoteReference0"/>
          <w:rFonts w:ascii="Times New Roman" w:hAnsi="Times New Roman"/>
          <w:noProof/>
          <w:sz w:val="24"/>
        </w:rPr>
        <w:footnoteReference w:id="18"/>
      </w:r>
      <w:r w:rsidRPr="000B3838">
        <w:rPr>
          <w:rFonts w:ascii="Times New Roman" w:hAnsi="Times New Roman"/>
          <w:noProof/>
          <w:sz w:val="24"/>
        </w:rPr>
        <w:t xml:space="preserve"> o nizu pitanja povezanih s građanstvom i demokracijom Unije, za što je u državama članicama u veljači/ožujku 2020. Među ostalim, anketom se istraživala upoznatost građana Unije s pravima koja proizlaze iz građanstva Unije, što uključuje konzularnu zaštitu. Slična anketa provedena je 2023.</w:t>
      </w:r>
      <w:r w:rsidRPr="000B3838">
        <w:rPr>
          <w:rStyle w:val="FootnoteReference0"/>
          <w:rFonts w:ascii="Times New Roman" w:hAnsi="Times New Roman"/>
          <w:noProof/>
          <w:sz w:val="24"/>
        </w:rPr>
        <w:footnoteReference w:id="19"/>
      </w:r>
    </w:p>
    <w:p w14:paraId="1BCAD8CF" w14:textId="2EF80F42" w:rsidR="00B5059D" w:rsidRPr="000B3838" w:rsidRDefault="009902E3" w:rsidP="00B5059D">
      <w:pPr>
        <w:rPr>
          <w:noProof/>
        </w:rPr>
      </w:pPr>
      <w:r w:rsidRPr="000B3838">
        <w:rPr>
          <w:noProof/>
        </w:rPr>
        <w:t>Javno savjetovanje za Izvješće o građanstvu EU-a</w:t>
      </w:r>
      <w:r w:rsidRPr="000B3838">
        <w:rPr>
          <w:rStyle w:val="FootnoteReference0"/>
          <w:noProof/>
        </w:rPr>
        <w:footnoteReference w:id="20"/>
      </w:r>
      <w:r w:rsidRPr="000B3838">
        <w:rPr>
          <w:noProof/>
        </w:rPr>
        <w:t xml:space="preserve"> provedeno je od 9. srpnja 2020. do 1. listopada 2020. i uključivalo je pitanja o konzularnoj zaštiti. U izvješću je opisan dosad nezabilježen pothvat repatrijacije, u kojem su države članice uz potporu službi Komisije i ESVD-a od veljače do svibnja 2020. uspjele vratiti kući više od pola milijuna građana Unije pogođenih ograničenjima putovanja zbog bolesti COVID-19 u raznim dijelovima svijeta. U izvješću se procjenjuje da je 2020. godine 76 % građana Unije znalo da ima pravo zatražiti pomoć od drugih država članica ako njihova država nema veleposlanstvo ili konzulat u trećoj zemlji.</w:t>
      </w:r>
    </w:p>
    <w:p w14:paraId="4FEC46B4" w14:textId="77777777" w:rsidR="00A657AC" w:rsidRPr="000B3838" w:rsidRDefault="00F74587" w:rsidP="00B75B61">
      <w:pPr>
        <w:spacing w:before="0" w:after="240"/>
        <w:rPr>
          <w:noProof/>
        </w:rPr>
      </w:pPr>
      <w:r w:rsidRPr="000B3838">
        <w:rPr>
          <w:noProof/>
        </w:rPr>
        <w:t>Osim toga, Komisija je upotrijebila povratne informacije prikupljene od javnosti u sklopu postupka savjetovanja kako bi pripremila analizu procjene učinka.</w:t>
      </w:r>
    </w:p>
    <w:p w14:paraId="36614880" w14:textId="7D6E1A7C" w:rsidR="005A0083" w:rsidRPr="000B3838" w:rsidRDefault="00F74587" w:rsidP="005A0083">
      <w:pPr>
        <w:pBdr>
          <w:top w:val="nil"/>
          <w:left w:val="nil"/>
          <w:bottom w:val="nil"/>
          <w:right w:val="nil"/>
          <w:between w:val="nil"/>
          <w:bar w:val="nil"/>
        </w:pBdr>
        <w:spacing w:before="0" w:after="240"/>
        <w:rPr>
          <w:noProof/>
        </w:rPr>
      </w:pPr>
      <w:r w:rsidRPr="000B3838">
        <w:rPr>
          <w:noProof/>
        </w:rPr>
        <w:lastRenderedPageBreak/>
        <w:t>Naposljetku, dokazi su se prikupili i analizirali u namjenskoj studiji provedenoj u ime Komisije</w:t>
      </w:r>
      <w:r w:rsidRPr="000B3838">
        <w:rPr>
          <w:rStyle w:val="FootnoteReference0"/>
          <w:noProof/>
        </w:rPr>
        <w:footnoteReference w:id="21"/>
      </w:r>
      <w:r w:rsidRPr="000B3838">
        <w:rPr>
          <w:noProof/>
        </w:rPr>
        <w:t>. Više informacija dostupno je u procjeni učinka priloženoj ovom prijedlogu.</w:t>
      </w:r>
    </w:p>
    <w:p w14:paraId="4D27198F"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Procjena učinka</w:t>
      </w:r>
    </w:p>
    <w:p w14:paraId="04AF00EA" w14:textId="77777777" w:rsidR="00914EC7" w:rsidRPr="000B3838" w:rsidRDefault="00861C31" w:rsidP="00582229">
      <w:pPr>
        <w:spacing w:before="0" w:after="240"/>
        <w:rPr>
          <w:noProof/>
        </w:rPr>
      </w:pPr>
      <w:r w:rsidRPr="000B3838">
        <w:rPr>
          <w:noProof/>
        </w:rPr>
        <w:t>Kako je navedeno u procjeni učinka</w:t>
      </w:r>
      <w:r w:rsidRPr="000B3838">
        <w:rPr>
          <w:rStyle w:val="FootnoteReference0"/>
          <w:noProof/>
        </w:rPr>
        <w:footnoteReference w:id="22"/>
      </w:r>
      <w:r w:rsidRPr="000B3838">
        <w:rPr>
          <w:noProof/>
        </w:rPr>
        <w:t>, opći je cilj ove inicijative poboljšati ostvarivanje prava građana Unije na državnom području treće zemlje u kojoj država članica čiji su državljani nema svoje predstavništvo te ostvarivanje prava na zaštitu od strane diplomatskih i konzularnih tijela bilo koje druge države članice pod istim uvjetima kao i za državljane te države članice.</w:t>
      </w:r>
    </w:p>
    <w:p w14:paraId="700C7297" w14:textId="03FAFA24" w:rsidR="00861C31" w:rsidRPr="000B3838" w:rsidRDefault="00861C31" w:rsidP="00582229">
      <w:pPr>
        <w:spacing w:before="0" w:after="240"/>
        <w:rPr>
          <w:noProof/>
        </w:rPr>
      </w:pPr>
      <w:r w:rsidRPr="000B3838">
        <w:rPr>
          <w:noProof/>
        </w:rPr>
        <w:t>To bi se postiglo ostvarenjem sljedećih specifičnih ciljeva: i. povećanjem pravne sigurnosti za građane Unije u smislu područja primjene prava na konzularnu zaštitu; ii. osiguranjem jasnih uloga te mehanizama koordinacije i suradnje među državama članicama i delegacijama Unije, među ostalim za vrijeme kriza; iii. poboljšanjem dostavljanja informacija i komunikacije s građanima Unije (bez predstavništva) i iv. povećanjem učinkovitosti i primjene postupaka financijske naknade.</w:t>
      </w:r>
    </w:p>
    <w:p w14:paraId="2894FD6C" w14:textId="77777777" w:rsidR="00861C31" w:rsidRPr="000B3838" w:rsidRDefault="00861C31" w:rsidP="00582229">
      <w:pPr>
        <w:spacing w:before="0" w:after="240"/>
        <w:rPr>
          <w:noProof/>
        </w:rPr>
      </w:pPr>
      <w:r w:rsidRPr="000B3838">
        <w:rPr>
          <w:noProof/>
        </w:rPr>
        <w:t xml:space="preserve">U okviru procjene učinka istražilo se više opcija politike za svaki specifični cilj s različitim potencijalnim mjerama za rješavanje problemâ. </w:t>
      </w:r>
    </w:p>
    <w:p w14:paraId="76CAE7BB" w14:textId="1E796F2B" w:rsidR="00861C31" w:rsidRPr="000B3838" w:rsidRDefault="00861C31" w:rsidP="00582229">
      <w:pPr>
        <w:spacing w:before="0" w:after="240"/>
        <w:rPr>
          <w:noProof/>
        </w:rPr>
      </w:pPr>
      <w:r w:rsidRPr="000B3838">
        <w:rPr>
          <w:noProof/>
        </w:rPr>
        <w:t xml:space="preserve">Opcijama razmatranima u vezi s prvim ciljem nastoji se osigurati pojašnjenje i poboljšanje definicije „građanina bez predstavništva” kako bi se izbjegle situacije u kojima građani bez predstavništva ne mogu dobiti pomoć zbog toga što su države članice ili delegacije Unije pogrešno protumačile ili procijenile situaciju. Opcija politike 1(a) sastoji se od neobvezujućih mjera, a opcija politike 1(b) sastoji se od zakonodavnih izmjena kako bi se pojasnili definicija i osobno područje primjene Direktive (EU) 2015/637. Opcija politike 1(c) uključuje uvođenje nove „pretpostavke nedostatka predstavništva”. </w:t>
      </w:r>
    </w:p>
    <w:p w14:paraId="6128E66B" w14:textId="5D7D0519" w:rsidR="00FE7189" w:rsidRPr="000B3838" w:rsidRDefault="00861C31" w:rsidP="0089641C">
      <w:pPr>
        <w:pStyle w:val="Text2"/>
        <w:spacing w:before="0" w:after="240"/>
        <w:ind w:left="0"/>
        <w:rPr>
          <w:noProof/>
        </w:rPr>
      </w:pPr>
      <w:r w:rsidRPr="000B3838">
        <w:rPr>
          <w:noProof/>
        </w:rPr>
        <w:t>U sklopu drugog specifičnog cilja u okviru procjene učinka istražile su se opcije kojima se rješavaju problemi povezani s glavnim konceptima i postupcima s pomoću kojih države članice i delegacije Unije zajednički djeluju u svrhu pružanja konzularne pomoći građanima bez predstavništva. Kad je riječ o mrežama konzularne suradnje na lokalnoj razini, opcija politike 2(a) sastoji se od neobvezujućih mjera za bolje strukturiranje različitih odgovornosti u tim mrežama. Opcijom politike 2(b) predlaže se da se uloga predsjedatelja na sastancima u okviru suradnje na lokalnoj razini dodijeli delegacijama Unije. Opcija politike 2(c) sastoji se od zakonodavnih izmjena kojima se utvrđuje dodjela jasnih zadaća različitim uključenim akterima u okviru zajedničkih konzularnih planova za slučaj nužde i preispituje koncept „vodeće države”. Njom se predlaže i da se</w:t>
      </w:r>
      <w:r w:rsidRPr="000B3838">
        <w:rPr>
          <w:rStyle w:val="fw-bold"/>
          <w:noProof/>
        </w:rPr>
        <w:t xml:space="preserve"> </w:t>
      </w:r>
      <w:r w:rsidRPr="000B3838">
        <w:rPr>
          <w:noProof/>
        </w:rPr>
        <w:t xml:space="preserve">ti planovi i takozvane zajedničke konzularne skupine uključe </w:t>
      </w:r>
      <w:r w:rsidRPr="000B3838">
        <w:rPr>
          <w:rStyle w:val="fw-bold"/>
          <w:noProof/>
        </w:rPr>
        <w:t xml:space="preserve">u </w:t>
      </w:r>
      <w:r w:rsidRPr="000B3838">
        <w:rPr>
          <w:noProof/>
        </w:rPr>
        <w:t>Direktivu (EU) 2015/637. Opcija politike 2(d) sastoji se od pravnih izmjena kako bi se pojasnila potporna uloga delegacija Unije, prvenstveno njezinim usklađivanjem s Odlukom o ESVD-u. Opcija politike 2(e) sastoji se od pravnih izmjena kojima se delegacijama Unije dodjeljuju nove nadležnosti koje im omogućuju da pruže izravnu konzularnu zaštitu građanima bez predstavništva u nepokrivenim trećim zemljama na zahtjev građanina.</w:t>
      </w:r>
    </w:p>
    <w:p w14:paraId="791C8FE1" w14:textId="2F693643" w:rsidR="00E22AF9" w:rsidRPr="000B3838" w:rsidRDefault="00861C31" w:rsidP="0089641C">
      <w:pPr>
        <w:pStyle w:val="Text2"/>
        <w:spacing w:before="0" w:after="240"/>
        <w:ind w:left="0"/>
        <w:rPr>
          <w:noProof/>
        </w:rPr>
      </w:pPr>
      <w:r w:rsidRPr="000B3838">
        <w:rPr>
          <w:noProof/>
        </w:rPr>
        <w:t xml:space="preserve">Opcijama povezanima s trećim specifičnim ciljem otklanjaju se glavni uzroci problema u komunikaciji s građanima: i. problemi s informacijama koje dostavljaju države članice i Unija </w:t>
      </w:r>
      <w:r w:rsidRPr="000B3838">
        <w:rPr>
          <w:noProof/>
        </w:rPr>
        <w:lastRenderedPageBreak/>
        <w:t>i ii. nedostatak informacija o građanima koji putuju u inozemstvo ili žive u inozemstvu. Kad je riječ o prvom pitanju, opcija politike 3(a) sastoji se od pravnih izmjena s novim zahtjevima o dostavljanju informacija, a opcija politike 3(b) sastoji se od uspostave portala Unije za savjete o putovanjima. U vezi s drugim pitanjem, opcijom politike 3(c) preporučuje se kampanja informiranja na razini Unije, a opcijom politike 3(d) zahtijevalo bi se da države članice promiču mjere kojima se građanima Unije omogućuje da dostave obavijest o putovanju u inozemstvo ili boravku u inozemstvu ili da to evidentiraju.</w:t>
      </w:r>
    </w:p>
    <w:p w14:paraId="57C891FD" w14:textId="133B0668" w:rsidR="00861C31" w:rsidRPr="000B3838" w:rsidRDefault="00861C31" w:rsidP="0089641C">
      <w:pPr>
        <w:pStyle w:val="Text2"/>
        <w:spacing w:before="0" w:after="240"/>
        <w:ind w:left="0"/>
        <w:rPr>
          <w:noProof/>
        </w:rPr>
      </w:pPr>
      <w:r w:rsidRPr="000B3838">
        <w:rPr>
          <w:noProof/>
        </w:rPr>
        <w:t xml:space="preserve">Naposljetku, opcijama u okviru četvrtog specifičnog cilja nastoji se smanjiti složenost i neučinkovitost postupaka financijske naknade kako bi se oni češće primjenjivali i kako bi bili brži u korist građana EU-a i država članica. Opcija politike 4(a) sastoji se od neobvezujućih mjera za pojašnjenje postupka i osposobljavanje država članica, a opcija politike 4(b) sastoji se od pravnih izmjena za poboljšanje postupaka i njihovo proširenje na delegacije Unije kako bi se osigurala usklađenost sa zahtjevom troškovne neutralnosti iz Odluke o ESVD-u. </w:t>
      </w:r>
    </w:p>
    <w:p w14:paraId="44957C70" w14:textId="36566776" w:rsidR="008669AC" w:rsidRPr="000B3838" w:rsidRDefault="00B76B0F" w:rsidP="00582229">
      <w:pPr>
        <w:pStyle w:val="Text2"/>
        <w:spacing w:before="0" w:after="240"/>
        <w:ind w:left="0"/>
        <w:rPr>
          <w:noProof/>
        </w:rPr>
      </w:pPr>
      <w:r w:rsidRPr="000B3838">
        <w:rPr>
          <w:noProof/>
        </w:rPr>
        <w:t>Na temelju analize opisane u procjeni učinka najpoželjnija kombinacija opcija sastoji se od sljedećih specifičnih opcija politike: 1(b), pojašnjenja definicije i osobnog područja primjene Direktive (EU) 2015/637, 2(b), dodjele uloge predsjedatelja na sastancima u okviru suradnje na lokalnoj razini delegacijama Unije, 2(c), dodjele jasnih zadaća različitim uključenim akterima u okviru zajedničkih konzularnih planova za slučaj nužde i preispitivanja koncepta „vodeće države”, 2(d), pojašnjenja potporne uloge delegacija Unije, 3(a), dostavljanja informacija, 3(d), promicanja mjera kojima se građanima Unije omogućuje da dostave obavijest o putovanju u inozemstvo ili boravku u inozemstvu ili da to evidentiraju, i 4(b), poboljšanja financijskih postupaka.</w:t>
      </w:r>
    </w:p>
    <w:p w14:paraId="35D3B33F" w14:textId="00F15C21" w:rsidR="00861C31" w:rsidRPr="000B3838" w:rsidRDefault="00861C31" w:rsidP="00582229">
      <w:pPr>
        <w:spacing w:before="0" w:after="240"/>
        <w:rPr>
          <w:noProof/>
        </w:rPr>
      </w:pPr>
      <w:r w:rsidRPr="000B3838">
        <w:rPr>
          <w:noProof/>
        </w:rPr>
        <w:t xml:space="preserve">Glavne koristi najpoželjnije kombinacije opcija veća su zaštita i djelotvornost temeljnog prava građana Unije na konzularnu zaštitu pod istim uvjetima kao i za državljane države članice koja pruža pomoć. To se postiže pojašnjenjem postupaka i povećanjem pravne sigurnosti za države članice i delegacije Unije. Druge koristi uključuju bolju komunikaciju s građanima Unije zahvaljujući lakšem pristupu pouzdanim informacijama i boljoj evidenciji o putovanjima građana u inozemstvo i njihovu boravku u inozemstvu. Najpoželjnije mjere podrazumijevaju i male uštede i povećanja učinkovitosti za nacionalne uprave te uštedu vremena i manje opterećenje za građane Unije. </w:t>
      </w:r>
    </w:p>
    <w:p w14:paraId="15905A92" w14:textId="77777777" w:rsidR="006836BB" w:rsidRPr="000B3838" w:rsidRDefault="00861C31" w:rsidP="0089641C">
      <w:pPr>
        <w:keepNext/>
        <w:numPr>
          <w:ilvl w:val="1"/>
          <w:numId w:val="0"/>
        </w:numPr>
        <w:tabs>
          <w:tab w:val="num" w:pos="1202"/>
        </w:tabs>
        <w:spacing w:before="0" w:after="240"/>
        <w:outlineLvl w:val="1"/>
        <w:rPr>
          <w:noProof/>
        </w:rPr>
      </w:pPr>
      <w:r w:rsidRPr="000B3838">
        <w:rPr>
          <w:noProof/>
        </w:rPr>
        <w:t>Troškovi najpoželjnije opcije vrlo su ograničeni te ih snose države članice i Unija, među ostalim delegacije Unije.</w:t>
      </w:r>
    </w:p>
    <w:p w14:paraId="5DEF4EFB" w14:textId="77777777" w:rsidR="001F2FF3" w:rsidRPr="000B3838" w:rsidRDefault="006836BB" w:rsidP="00582229">
      <w:pPr>
        <w:keepNext/>
        <w:numPr>
          <w:ilvl w:val="1"/>
          <w:numId w:val="0"/>
        </w:numPr>
        <w:tabs>
          <w:tab w:val="num" w:pos="1202"/>
        </w:tabs>
        <w:spacing w:before="0" w:after="240"/>
        <w:outlineLvl w:val="1"/>
        <w:rPr>
          <w:noProof/>
        </w:rPr>
      </w:pPr>
      <w:r w:rsidRPr="000B3838">
        <w:rPr>
          <w:noProof/>
        </w:rPr>
        <w:t>Odbor za nadzor regulative dao je 6. srpnja 2023. „pozitivno mišljenje sa zadrškama” o ponovno podnesenom nacrtu procjene učinka</w:t>
      </w:r>
      <w:r w:rsidRPr="000B3838">
        <w:rPr>
          <w:rStyle w:val="FootnoteReference0"/>
          <w:noProof/>
        </w:rPr>
        <w:footnoteReference w:id="23"/>
      </w:r>
      <w:r w:rsidRPr="000B3838">
        <w:rPr>
          <w:noProof/>
        </w:rPr>
        <w:t>.</w:t>
      </w:r>
    </w:p>
    <w:p w14:paraId="40B5D903"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Primjerenost i pojednostavnjenje propisa</w:t>
      </w:r>
    </w:p>
    <w:p w14:paraId="1B531C29" w14:textId="77777777" w:rsidR="000256FF" w:rsidRPr="000B3838" w:rsidRDefault="0048288A">
      <w:pPr>
        <w:pBdr>
          <w:top w:val="nil"/>
          <w:left w:val="nil"/>
          <w:bottom w:val="nil"/>
          <w:right w:val="nil"/>
          <w:between w:val="nil"/>
          <w:bar w:val="nil"/>
        </w:pBdr>
        <w:spacing w:before="0" w:after="240"/>
        <w:rPr>
          <w:noProof/>
        </w:rPr>
      </w:pPr>
      <w:r w:rsidRPr="000B3838">
        <w:rPr>
          <w:noProof/>
        </w:rPr>
        <w:t>Pri pripremi ovog prijedloga nisu utvrđeni nikakvi posebni učinci na mala i srednja poduzeća. U skladu s načelom „digitalizacija kao standard”, prijedlogom se predviđa dostava informacija u strojno čitljivom formatu kako bi se olakšala automatizirana obrada.</w:t>
      </w:r>
    </w:p>
    <w:p w14:paraId="5E6C2317" w14:textId="77777777" w:rsidR="00304682" w:rsidRPr="000B3838" w:rsidRDefault="00304682">
      <w:pPr>
        <w:pStyle w:val="ManualHeading2"/>
        <w:rPr>
          <w:noProof/>
          <w:u w:color="000000"/>
          <w:bdr w:val="nil"/>
        </w:rPr>
      </w:pPr>
      <w:r w:rsidRPr="000B3838">
        <w:rPr>
          <w:noProof/>
          <w:u w:color="000000"/>
          <w:bdr w:val="nil"/>
        </w:rPr>
        <w:lastRenderedPageBreak/>
        <w:t>•</w:t>
      </w:r>
      <w:r w:rsidRPr="000B3838">
        <w:rPr>
          <w:noProof/>
        </w:rPr>
        <w:tab/>
      </w:r>
      <w:r w:rsidRPr="000B3838">
        <w:rPr>
          <w:noProof/>
          <w:u w:color="000000"/>
          <w:bdr w:val="nil"/>
        </w:rPr>
        <w:t>Temeljna prava</w:t>
      </w:r>
    </w:p>
    <w:p w14:paraId="758B0D28" w14:textId="77777777" w:rsidR="00376D77" w:rsidRPr="000B3838" w:rsidRDefault="00376D77" w:rsidP="00376D77">
      <w:pPr>
        <w:rPr>
          <w:noProof/>
        </w:rPr>
      </w:pPr>
      <w:r w:rsidRPr="000B3838">
        <w:rPr>
          <w:noProof/>
        </w:rPr>
        <w:t xml:space="preserve">Ovim prijedlogom provodi se temeljno pravo građana Unije na diplomatsku i konzularnu zaštitu, koje je zajamčeno člankom 20. stavkom 2. točkom (c) i člankom 23. UFEU-a te člankom 46. Povelje. </w:t>
      </w:r>
    </w:p>
    <w:p w14:paraId="7284B5A2" w14:textId="350D501D" w:rsidR="00CE39A7" w:rsidRPr="000B3838" w:rsidRDefault="004315C3" w:rsidP="00376D77">
      <w:pPr>
        <w:rPr>
          <w:noProof/>
        </w:rPr>
      </w:pPr>
      <w:r w:rsidRPr="000B3838">
        <w:rPr>
          <w:noProof/>
        </w:rPr>
        <w:t>U mjeri u kojoj ojačava ulogu i funkcioniranje delegacija Unije pri podupiranju pružanja konzularne zaštite ovaj prijedlog ima izravan i pozitivan učinak na primjenu članka 41. Povelje, koji sadržava temeljno pravo građana Unije na to da institucije i druga tijela Unije njihove predmete obrađuju pravično, transparentno i učinkovito.</w:t>
      </w:r>
    </w:p>
    <w:p w14:paraId="6D41E67D" w14:textId="0291C9E3" w:rsidR="00536CAF" w:rsidRPr="000B3838" w:rsidRDefault="00376D77" w:rsidP="00376D77">
      <w:pPr>
        <w:rPr>
          <w:noProof/>
        </w:rPr>
      </w:pPr>
      <w:r w:rsidRPr="000B3838">
        <w:rPr>
          <w:noProof/>
        </w:rPr>
        <w:t>Prijedlog utječe i na članak 7. Povelje o poštovanju privatnog života i članak 8. o pravu na zaštitu osobnih podataka. Obrada osobnih podataka građana, što uključuje prikupljanje podataka, pristup osobnim podacima i njihovu upotrebu, utječe na pravo na zaštitu osobnih podataka na temelju Povelje. Zadiranje u ta temeljna prava mora biti opravdano</w:t>
      </w:r>
      <w:r w:rsidRPr="000B3838">
        <w:rPr>
          <w:rStyle w:val="FootnoteReference0"/>
          <w:noProof/>
        </w:rPr>
        <w:footnoteReference w:id="24"/>
      </w:r>
      <w:r w:rsidRPr="000B3838">
        <w:rPr>
          <w:noProof/>
        </w:rPr>
        <w:t>. Kad je riječ o pravu na zaštitu osobnih podataka, uključujući sigurnost podataka, primjenjuju se relevantna pravila</w:t>
      </w:r>
      <w:r w:rsidRPr="000B3838">
        <w:rPr>
          <w:rStyle w:val="footnotereference"/>
          <w:noProof/>
        </w:rPr>
        <w:t xml:space="preserve"> </w:t>
      </w:r>
      <w:r w:rsidRPr="000B3838">
        <w:rPr>
          <w:noProof/>
        </w:rPr>
        <w:t>Unije</w:t>
      </w:r>
      <w:r w:rsidRPr="000B3838">
        <w:rPr>
          <w:rStyle w:val="FootnoteReference0"/>
          <w:noProof/>
        </w:rPr>
        <w:footnoteReference w:id="25"/>
      </w:r>
      <w:r w:rsidRPr="000B3838">
        <w:rPr>
          <w:noProof/>
        </w:rPr>
        <w:t>. Nije predviđeno nikakvo odstupanje od režima zaštite podataka Unije. Države članice moraju provoditi jasna pravila, uvjete i zaštitne mjere u skladu s pravilima Unije za zaštitu podataka.</w:t>
      </w:r>
    </w:p>
    <w:p w14:paraId="1434365C" w14:textId="2DFAB9F2" w:rsidR="00376D77" w:rsidRPr="000B3838" w:rsidRDefault="00AA6E87" w:rsidP="00376D77">
      <w:pPr>
        <w:rPr>
          <w:noProof/>
        </w:rPr>
      </w:pPr>
      <w:r w:rsidRPr="000B3838">
        <w:rPr>
          <w:noProof/>
        </w:rPr>
        <w:t xml:space="preserve">Prijedlog bi dodavanjem posebne odredbe osigurao i pravo na djelotvoran pravni lijek (članak 47. Povelje). </w:t>
      </w:r>
    </w:p>
    <w:p w14:paraId="32161F18" w14:textId="77777777" w:rsidR="00304682" w:rsidRPr="000B3838" w:rsidRDefault="00304682">
      <w:pPr>
        <w:pStyle w:val="ManualHeading1"/>
        <w:rPr>
          <w:noProof/>
        </w:rPr>
      </w:pPr>
      <w:r w:rsidRPr="000B3838">
        <w:rPr>
          <w:noProof/>
        </w:rPr>
        <w:t>4.</w:t>
      </w:r>
      <w:r w:rsidRPr="000B3838">
        <w:rPr>
          <w:noProof/>
        </w:rPr>
        <w:tab/>
        <w:t>UTJECAJ NA PRORAČUN</w:t>
      </w:r>
    </w:p>
    <w:p w14:paraId="15B3B3FD" w14:textId="7EFF5E78" w:rsidR="00205442" w:rsidRPr="000B3838" w:rsidRDefault="00205442" w:rsidP="00205442">
      <w:pPr>
        <w:pBdr>
          <w:top w:val="nil"/>
          <w:left w:val="nil"/>
          <w:bottom w:val="nil"/>
          <w:right w:val="nil"/>
          <w:between w:val="nil"/>
          <w:bar w:val="nil"/>
        </w:pBdr>
        <w:spacing w:before="0" w:after="240"/>
        <w:rPr>
          <w:noProof/>
        </w:rPr>
      </w:pPr>
      <w:r w:rsidRPr="000B3838">
        <w:rPr>
          <w:noProof/>
        </w:rPr>
        <w:t>Ovaj prijedlog podrazumijeva administrativne troškove za Komisiju i delegacije Unije. Ograničeni periodični troškovi osoblja i ostali administrativni rashodi obuhvatili bi se proračunskom stavkom „Administrativni rashodi”.</w:t>
      </w:r>
    </w:p>
    <w:p w14:paraId="2A0CA357" w14:textId="77777777" w:rsidR="00205442" w:rsidRPr="000B3838" w:rsidRDefault="00205442" w:rsidP="00205442">
      <w:pPr>
        <w:pBdr>
          <w:top w:val="nil"/>
          <w:left w:val="nil"/>
          <w:bottom w:val="nil"/>
          <w:right w:val="nil"/>
          <w:between w:val="nil"/>
          <w:bar w:val="nil"/>
        </w:pBdr>
        <w:spacing w:before="0" w:after="240"/>
        <w:rPr>
          <w:noProof/>
        </w:rPr>
      </w:pPr>
      <w:r w:rsidRPr="000B3838">
        <w:rPr>
          <w:noProof/>
        </w:rPr>
        <w:t>Financijski i proračunski učinci detaljno su objašnjeni u zakonodavnom financijskom izvještaju koji je priložen ovom prijedlogu.</w:t>
      </w:r>
    </w:p>
    <w:p w14:paraId="41E2FD73" w14:textId="77777777" w:rsidR="00304682" w:rsidRPr="000B3838" w:rsidRDefault="00304682">
      <w:pPr>
        <w:pStyle w:val="ManualHeading1"/>
        <w:rPr>
          <w:noProof/>
        </w:rPr>
      </w:pPr>
      <w:r w:rsidRPr="000B3838">
        <w:rPr>
          <w:noProof/>
        </w:rPr>
        <w:t>5.</w:t>
      </w:r>
      <w:r w:rsidRPr="000B3838">
        <w:rPr>
          <w:noProof/>
        </w:rPr>
        <w:tab/>
        <w:t>DRUGI ELEMENTI</w:t>
      </w:r>
    </w:p>
    <w:p w14:paraId="3C21EB23"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Planovi provedbe i mehanizmi praćenja, evaluacije i izvješćivanja</w:t>
      </w:r>
    </w:p>
    <w:p w14:paraId="7C4666B1" w14:textId="1FB01D11" w:rsidR="00430AC1" w:rsidRPr="000B3838" w:rsidRDefault="00E76C68" w:rsidP="00746C99">
      <w:pPr>
        <w:spacing w:before="0" w:after="240"/>
        <w:rPr>
          <w:noProof/>
        </w:rPr>
      </w:pPr>
      <w:r w:rsidRPr="000B3838">
        <w:rPr>
          <w:noProof/>
        </w:rPr>
        <w:t>Važno je realistično pristupiti praćenju provedbe Direktive (EU) 2015/637 kako je izmijenjena i ne preopteretiti nacionalna konzularna tijela. Od država članica traži se da Komisiji dostave informacije o ograničenom broju ključnih pokazatelja na godišnjoj osnovi.</w:t>
      </w:r>
    </w:p>
    <w:p w14:paraId="33DE915B" w14:textId="16F8C728" w:rsidR="00B07080" w:rsidRPr="000B3838" w:rsidRDefault="00B07080" w:rsidP="00746C99">
      <w:pPr>
        <w:spacing w:before="0" w:after="240"/>
        <w:rPr>
          <w:noProof/>
        </w:rPr>
      </w:pPr>
      <w:r w:rsidRPr="000B3838">
        <w:rPr>
          <w:noProof/>
        </w:rPr>
        <w:t xml:space="preserve">Komisija će nakon osam godina provesti evaluaciju Direktive (EU) 2015/637 kako je izmijenjena prijedlogom i objaviti izvješće o glavnim nalazima. </w:t>
      </w:r>
    </w:p>
    <w:p w14:paraId="7C7B300A" w14:textId="77777777" w:rsidR="00304682" w:rsidRPr="000B3838" w:rsidRDefault="00304682">
      <w:pPr>
        <w:pStyle w:val="ManualHeading2"/>
        <w:rPr>
          <w:noProof/>
          <w:u w:color="000000"/>
          <w:bdr w:val="nil"/>
        </w:rPr>
      </w:pPr>
      <w:r w:rsidRPr="000B3838">
        <w:rPr>
          <w:noProof/>
          <w:u w:color="000000"/>
          <w:bdr w:val="nil"/>
        </w:rPr>
        <w:lastRenderedPageBreak/>
        <w:t>•</w:t>
      </w:r>
      <w:r w:rsidRPr="000B3838">
        <w:rPr>
          <w:noProof/>
        </w:rPr>
        <w:tab/>
      </w:r>
      <w:r w:rsidRPr="000B3838">
        <w:rPr>
          <w:noProof/>
          <w:u w:color="000000"/>
          <w:bdr w:val="nil"/>
        </w:rPr>
        <w:t>Dokumenti s objašnjenjima</w:t>
      </w:r>
    </w:p>
    <w:p w14:paraId="1CEEE3A0" w14:textId="25D8247F" w:rsidR="00341FE4" w:rsidRPr="000B3838" w:rsidRDefault="00341FE4" w:rsidP="00746C99">
      <w:pPr>
        <w:spacing w:before="0" w:after="240"/>
        <w:rPr>
          <w:noProof/>
        </w:rPr>
      </w:pPr>
      <w:r w:rsidRPr="000B3838">
        <w:rPr>
          <w:noProof/>
        </w:rPr>
        <w:t>Kako bi se osigurala pravilna provedba ove Direktive, potrebni su dokumenti s objašnjenjima u obliku korelacijskih tablica.</w:t>
      </w:r>
    </w:p>
    <w:p w14:paraId="139F2B7F" w14:textId="77777777" w:rsidR="00304682" w:rsidRPr="000B3838" w:rsidRDefault="00304682">
      <w:pPr>
        <w:pStyle w:val="ManualHeading2"/>
        <w:rPr>
          <w:noProof/>
          <w:u w:color="000000"/>
          <w:bdr w:val="nil"/>
        </w:rPr>
      </w:pPr>
      <w:r w:rsidRPr="000B3838">
        <w:rPr>
          <w:noProof/>
          <w:u w:color="000000"/>
          <w:bdr w:val="nil"/>
        </w:rPr>
        <w:t>•</w:t>
      </w:r>
      <w:r w:rsidRPr="000B3838">
        <w:rPr>
          <w:noProof/>
        </w:rPr>
        <w:tab/>
      </w:r>
      <w:r w:rsidRPr="000B3838">
        <w:rPr>
          <w:noProof/>
          <w:u w:color="000000"/>
          <w:bdr w:val="nil"/>
        </w:rPr>
        <w:t>Detaljno obrazloženje posebnih odredaba prijedloga</w:t>
      </w:r>
    </w:p>
    <w:p w14:paraId="5C546DB8" w14:textId="195B3DB4" w:rsidR="000C01EE" w:rsidRPr="000B3838" w:rsidRDefault="000C01EE">
      <w:pPr>
        <w:pBdr>
          <w:top w:val="nil"/>
          <w:left w:val="nil"/>
          <w:bottom w:val="nil"/>
          <w:right w:val="nil"/>
          <w:between w:val="nil"/>
          <w:bar w:val="nil"/>
        </w:pBdr>
        <w:spacing w:before="0" w:after="240"/>
        <w:rPr>
          <w:noProof/>
        </w:rPr>
      </w:pPr>
      <w:r w:rsidRPr="000B3838">
        <w:rPr>
          <w:b/>
          <w:noProof/>
        </w:rPr>
        <w:t>Članak 1. sadržava sljedeće izmjene Direktive (EU) 2015/637</w:t>
      </w:r>
      <w:r w:rsidRPr="000B3838">
        <w:rPr>
          <w:noProof/>
        </w:rPr>
        <w:t xml:space="preserve"> (preostale odredbe ostale bi nepromijenjene):</w:t>
      </w:r>
    </w:p>
    <w:p w14:paraId="26C0D781" w14:textId="5C5AD9D6" w:rsidR="004C5205" w:rsidRPr="000B3838" w:rsidRDefault="0053308B" w:rsidP="206CD7EA">
      <w:pPr>
        <w:pBdr>
          <w:top w:val="nil"/>
          <w:left w:val="nil"/>
          <w:bottom w:val="nil"/>
          <w:right w:val="nil"/>
          <w:between w:val="nil"/>
          <w:bar w:val="nil"/>
        </w:pBdr>
        <w:spacing w:before="0" w:after="240"/>
        <w:rPr>
          <w:noProof/>
        </w:rPr>
      </w:pPr>
      <w:r w:rsidRPr="000B3838">
        <w:rPr>
          <w:i/>
          <w:noProof/>
        </w:rPr>
        <w:t>Članak 6.</w:t>
      </w:r>
      <w:r w:rsidRPr="000B3838">
        <w:rPr>
          <w:noProof/>
        </w:rPr>
        <w:t>: izmjenama ovog članka nastoji se pojasniti kad se smatra da država članica nema predstavništvo u trećoj zemlji jer nema veleposlanstvo ili konzulat koji je stvarno u stanju pružiti konzularnu zaštitu. Stoga se uvodi novi stavak u kojem se utvrđuju kriteriji koje veleposlanstvo ili konzulat od kojeg građanin bez predstavništva traži konzularnu zaštitu treba uzeti u obzir kako bi utvrdio ima li država članica veleposlanstvo ili konzulat koji je stvarno u stanju pružiti konzularnu zaštitu u određenom slučaju. Ti kriteriji trebali bi se primjenjivati s obzirom na lokalne okolnosti.</w:t>
      </w:r>
    </w:p>
    <w:p w14:paraId="2E0209BB" w14:textId="6C95D17F" w:rsidR="004948C5" w:rsidRPr="000B3838" w:rsidRDefault="00176EE7" w:rsidP="206CD7EA">
      <w:pPr>
        <w:pBdr>
          <w:top w:val="nil"/>
          <w:left w:val="nil"/>
          <w:bottom w:val="nil"/>
          <w:right w:val="nil"/>
          <w:between w:val="nil"/>
          <w:bar w:val="nil"/>
        </w:pBdr>
        <w:spacing w:before="0" w:after="240"/>
        <w:rPr>
          <w:noProof/>
        </w:rPr>
      </w:pPr>
      <w:r w:rsidRPr="000B3838">
        <w:rPr>
          <w:noProof/>
        </w:rPr>
        <w:t>U još jednom novom stavku pojašnjava se da se prisutnost počasnog konzula države članice državljanstva građanina može uzeti u obzir samo ako pomoć koju građanin traži spada pod nadležnost počasnog konzula. Nastoji se izbjeći situacija u kojoj se zahtjev građana za pomoć odbija uz upućivanje na počasnog konzula koji nije nadležan za pružanje pomoći tim građanima.</w:t>
      </w:r>
    </w:p>
    <w:p w14:paraId="1AFA7205" w14:textId="3DF2F5ED" w:rsidR="004C5205" w:rsidRPr="000B3838" w:rsidRDefault="00435645" w:rsidP="206CD7EA">
      <w:pPr>
        <w:pBdr>
          <w:top w:val="nil"/>
          <w:left w:val="nil"/>
          <w:bottom w:val="nil"/>
          <w:right w:val="nil"/>
          <w:between w:val="nil"/>
          <w:bar w:val="nil"/>
        </w:pBdr>
        <w:spacing w:before="0" w:after="240"/>
        <w:rPr>
          <w:noProof/>
        </w:rPr>
      </w:pPr>
      <w:r w:rsidRPr="000B3838">
        <w:rPr>
          <w:i/>
          <w:noProof/>
        </w:rPr>
        <w:t>Članak 7.</w:t>
      </w:r>
      <w:r w:rsidRPr="000B3838">
        <w:rPr>
          <w:noProof/>
        </w:rPr>
        <w:t>: odredbe o obavijesti o aranžmanima među državama članicama premjestile bi se u novi članak 13.b kako bi se grupirale s ostalim zahtjevima za obavješćivanje. Uvodi se novi stavak koji bi državama članicama s predstavništvom omogućio da prenose zahtjeve za pomoć na temelju dostupnog kapaciteta u kriznim situacijama. Tim se osigurava učinkovita upotreba dostupnih resursa u takvim situacijama.</w:t>
      </w:r>
    </w:p>
    <w:p w14:paraId="1F3C1544" w14:textId="757C22A5" w:rsidR="00435645" w:rsidRPr="000B3838" w:rsidRDefault="006873F1" w:rsidP="206CD7EA">
      <w:pPr>
        <w:pBdr>
          <w:top w:val="nil"/>
          <w:left w:val="nil"/>
          <w:bottom w:val="nil"/>
          <w:right w:val="nil"/>
          <w:between w:val="nil"/>
          <w:bar w:val="nil"/>
        </w:pBdr>
        <w:spacing w:before="0" w:after="240"/>
        <w:rPr>
          <w:noProof/>
        </w:rPr>
      </w:pPr>
      <w:r w:rsidRPr="000B3838">
        <w:rPr>
          <w:noProof/>
        </w:rPr>
        <w:t>Naposljetku, izmjenama se nastoji pojasniti da konzularna tijela kojima je podnesen zahtjev trebaju prenijeti zahtjeve. Od građana bez predstavništva koji traže pomoć ne bi se trebalo tražiti da sami podnesu zahtjev drugoj državi članici. Osim toga, građane bi trebalo informirati o prijenosu zahtjevâ.</w:t>
      </w:r>
    </w:p>
    <w:p w14:paraId="5F088C5F" w14:textId="5454A92E" w:rsidR="00224625" w:rsidRPr="000B3838" w:rsidRDefault="00224625" w:rsidP="206CD7EA">
      <w:pPr>
        <w:pBdr>
          <w:top w:val="nil"/>
          <w:left w:val="nil"/>
          <w:bottom w:val="nil"/>
          <w:right w:val="nil"/>
          <w:between w:val="nil"/>
          <w:bar w:val="nil"/>
        </w:pBdr>
        <w:spacing w:before="0" w:after="240"/>
        <w:rPr>
          <w:noProof/>
        </w:rPr>
      </w:pPr>
      <w:r w:rsidRPr="000B3838">
        <w:rPr>
          <w:i/>
          <w:noProof/>
        </w:rPr>
        <w:t>Članak 9.</w:t>
      </w:r>
      <w:r w:rsidRPr="000B3838">
        <w:rPr>
          <w:noProof/>
        </w:rPr>
        <w:t>: u ovaj se članak dodaje upućivanje na „evakuaciju” kako bi se u potpunosti obuhvatile situacije u kojima se građani Unije spašavaju i premještaju s područja pogođenih hitnim slučajem na sigurnu lokaciju, koja ne mora nužno biti državno područje države članice, kao i situacije u kojima se građani Unije vraćaju na državno područje Unije. Osim toga, upućivanje na Odluku 96/409/ZVSP</w:t>
      </w:r>
      <w:r w:rsidRPr="000B3838">
        <w:rPr>
          <w:rStyle w:val="FootnoteReference0"/>
          <w:noProof/>
        </w:rPr>
        <w:footnoteReference w:id="26"/>
      </w:r>
      <w:r w:rsidRPr="000B3838">
        <w:rPr>
          <w:noProof/>
        </w:rPr>
        <w:t xml:space="preserve"> zamjenjuje se upućivanjem na Direktivu (EU) 2019/997, kojom je ta odluka stavljena izvan snage.</w:t>
      </w:r>
    </w:p>
    <w:p w14:paraId="51DDE5AC" w14:textId="3495FAD7" w:rsidR="00ED4E36" w:rsidRPr="000B3838" w:rsidRDefault="00ED4E36" w:rsidP="006C658B">
      <w:pPr>
        <w:pBdr>
          <w:top w:val="nil"/>
          <w:left w:val="nil"/>
          <w:bottom w:val="nil"/>
          <w:right w:val="nil"/>
          <w:between w:val="nil"/>
          <w:bar w:val="nil"/>
        </w:pBdr>
        <w:spacing w:before="0" w:after="240"/>
        <w:rPr>
          <w:noProof/>
        </w:rPr>
      </w:pPr>
      <w:r w:rsidRPr="000B3838">
        <w:rPr>
          <w:i/>
          <w:noProof/>
        </w:rPr>
        <w:t>Članak 10.</w:t>
      </w:r>
      <w:r w:rsidRPr="000B3838">
        <w:rPr>
          <w:noProof/>
        </w:rPr>
        <w:t xml:space="preserve">: dodaje se novi stavak kako bi se pojasnilo da države članice u svoje mjere koordinacije i suradnje mogu uključiti sigurnosno i vojno osoblje, počasne konzule, međunarodne organizacije ili diplomatska i konzularna tijela trećih zemalja. Osim toga, pokrata „ESVD” uvodi se u stavku 4. zbog izmjena članka 7.   </w:t>
      </w:r>
    </w:p>
    <w:p w14:paraId="65FDFAF7" w14:textId="790837E4" w:rsidR="00812F88" w:rsidRPr="000B3838" w:rsidRDefault="00812F88" w:rsidP="206CD7EA">
      <w:pPr>
        <w:pBdr>
          <w:top w:val="nil"/>
          <w:left w:val="nil"/>
          <w:bottom w:val="nil"/>
          <w:right w:val="nil"/>
          <w:between w:val="nil"/>
          <w:bar w:val="nil"/>
        </w:pBdr>
        <w:spacing w:before="0" w:after="240"/>
        <w:rPr>
          <w:noProof/>
        </w:rPr>
      </w:pPr>
      <w:r w:rsidRPr="000B3838">
        <w:rPr>
          <w:i/>
          <w:noProof/>
        </w:rPr>
        <w:lastRenderedPageBreak/>
        <w:t>Članak 11.</w:t>
      </w:r>
      <w:r w:rsidRPr="000B3838">
        <w:rPr>
          <w:noProof/>
        </w:rPr>
        <w:t>: izmjenama ovog članka pojašnjava se potporna uloga delegacija Unije, posebice navođenjem najrelevantnijih zadaća u tom kontekstu. U novom stavku 2. utvrđuje se da delegacije Unije moraju podupirati države članice u pružanju konzularne zaštite u skladu s člankom 5. stavkom 10. Odluke o ESVD-u, odnosno na zahtjev država članica i na troškovno neutralnoj osnovi, među ostalim obavljanjem određenih zadaća konzularne zaštite.</w:t>
      </w:r>
    </w:p>
    <w:p w14:paraId="5B91C97E" w14:textId="77777777" w:rsidR="00114815" w:rsidRPr="000B3838" w:rsidRDefault="008F7727">
      <w:pPr>
        <w:pBdr>
          <w:top w:val="nil"/>
          <w:left w:val="nil"/>
          <w:bottom w:val="nil"/>
          <w:right w:val="nil"/>
          <w:between w:val="nil"/>
          <w:bar w:val="nil"/>
        </w:pBdr>
        <w:spacing w:before="0" w:after="240"/>
        <w:rPr>
          <w:noProof/>
        </w:rPr>
      </w:pPr>
      <w:r w:rsidRPr="000B3838">
        <w:rPr>
          <w:i/>
          <w:noProof/>
        </w:rPr>
        <w:t>Članak 12.</w:t>
      </w:r>
      <w:r w:rsidRPr="000B3838">
        <w:rPr>
          <w:noProof/>
        </w:rPr>
        <w:t>: pojasnila bi se pravila o konzularnoj suradnji na lokalnoj razini, posebice navođenjem tema o kojima treba raspravljati na sastancima u okviru konzularne suradnje na lokalnoj razini.</w:t>
      </w:r>
    </w:p>
    <w:p w14:paraId="65C4E166" w14:textId="6779DC64" w:rsidR="00873910" w:rsidRPr="000B3838" w:rsidRDefault="009E2754" w:rsidP="46EEE3AE">
      <w:pPr>
        <w:pBdr>
          <w:top w:val="nil"/>
          <w:left w:val="nil"/>
          <w:bottom w:val="nil"/>
          <w:right w:val="nil"/>
          <w:between w:val="nil"/>
          <w:bar w:val="nil"/>
        </w:pBdr>
        <w:spacing w:before="0" w:after="240"/>
        <w:rPr>
          <w:noProof/>
        </w:rPr>
      </w:pPr>
      <w:r w:rsidRPr="000B3838">
        <w:rPr>
          <w:i/>
          <w:noProof/>
        </w:rPr>
        <w:t>Članak 13.</w:t>
      </w:r>
      <w:r w:rsidRPr="000B3838">
        <w:rPr>
          <w:noProof/>
        </w:rPr>
        <w:t>: ovaj bi se članak razdvojio na dva članka tako da članak 13. bude usmjeren na pripravnost za krizne situacije, a novi članak 13.a na odgovor na krizne situacije. U sklopu članka 13. uspostavljaju se zajednički konzularni planovi za slučaj nužde kao glavni instrument pripravnosti za krizne situacije, zajedno s godišnjim konzularnim vježbama za njihovo testiranje.</w:t>
      </w:r>
    </w:p>
    <w:p w14:paraId="709A4CD4" w14:textId="2A51F74B" w:rsidR="00873910" w:rsidRPr="000B3838" w:rsidRDefault="000B004E" w:rsidP="46EEE3AE">
      <w:pPr>
        <w:pBdr>
          <w:top w:val="nil"/>
          <w:left w:val="nil"/>
          <w:bottom w:val="nil"/>
          <w:right w:val="nil"/>
          <w:between w:val="nil"/>
          <w:bar w:val="nil"/>
        </w:pBdr>
        <w:spacing w:before="0" w:after="240"/>
        <w:rPr>
          <w:noProof/>
        </w:rPr>
      </w:pPr>
      <w:r w:rsidRPr="000B3838">
        <w:rPr>
          <w:noProof/>
        </w:rPr>
        <w:t>Novim stavkom od država članica zahtijevalo bi se da svojim građanima nude mogućnost registracije ili obavješćivanja nadležnih nacionalnih tijela o putovanjima u treće zemlje ili boravku u trećim zemljama. Tim se nastoje poboljšati dostupne informacije o procijenjenom broju i lokaciji građana Unije prisutnih u trećoj zemlji za potrebe pripravnosti za krizne situacije i odgovora na krizne situacije. To bi također olakšalo stupanje u kontakt s građanima koji su pogođeni kriznom situacijom.</w:t>
      </w:r>
    </w:p>
    <w:p w14:paraId="02EBD8F8" w14:textId="3057E7F7" w:rsidR="009E2754" w:rsidRPr="000B3838" w:rsidRDefault="00A94306">
      <w:pPr>
        <w:pBdr>
          <w:top w:val="nil"/>
          <w:left w:val="nil"/>
          <w:bottom w:val="nil"/>
          <w:right w:val="nil"/>
          <w:between w:val="nil"/>
          <w:bar w:val="nil"/>
        </w:pBdr>
        <w:spacing w:before="0" w:after="240"/>
        <w:rPr>
          <w:noProof/>
        </w:rPr>
      </w:pPr>
      <w:r w:rsidRPr="000B3838">
        <w:rPr>
          <w:noProof/>
        </w:rPr>
        <w:t xml:space="preserve">Naposljetku, države članice morale bi uložiti trud kako bi koordinirale izmjene svojih savjeta o putovanjima u ranoj fazi, posebice u kontekstu kriznih situacija.   </w:t>
      </w:r>
    </w:p>
    <w:p w14:paraId="2CEF4EAD" w14:textId="77777777" w:rsidR="00D53B87" w:rsidRPr="000B3838" w:rsidRDefault="00BB79A0">
      <w:pPr>
        <w:pBdr>
          <w:top w:val="nil"/>
          <w:left w:val="nil"/>
          <w:bottom w:val="nil"/>
          <w:right w:val="nil"/>
          <w:between w:val="nil"/>
          <w:bar w:val="nil"/>
        </w:pBdr>
        <w:spacing w:before="0" w:after="240"/>
        <w:rPr>
          <w:noProof/>
        </w:rPr>
      </w:pPr>
      <w:r w:rsidRPr="000B3838">
        <w:rPr>
          <w:i/>
          <w:noProof/>
        </w:rPr>
        <w:t>Članak 13.a</w:t>
      </w:r>
      <w:r w:rsidRPr="000B3838">
        <w:rPr>
          <w:noProof/>
        </w:rPr>
        <w:t>: ovaj novi članak temelji se na stavcima od 2. do 4. članka 13. Direktive (EU) 2015/637. Odredbe o „interventnim skupinama na razini Unije”, koje su prethodno bile dio članka 13. stavka 2., proširuju se kako bi se uključilo moguće raspoređivanje zajedničkih konzularnih skupina, u kojima bi države članice sudjelovale na dobrovoljnoj osnovi.</w:t>
      </w:r>
    </w:p>
    <w:p w14:paraId="73AA1F9C" w14:textId="77777777" w:rsidR="00C656F0" w:rsidRPr="000B3838" w:rsidRDefault="0057148F" w:rsidP="206CD7EA">
      <w:pPr>
        <w:pBdr>
          <w:top w:val="nil"/>
          <w:left w:val="nil"/>
          <w:bottom w:val="nil"/>
          <w:right w:val="nil"/>
          <w:between w:val="nil"/>
          <w:bar w:val="nil"/>
        </w:pBdr>
        <w:spacing w:before="0" w:after="240"/>
        <w:rPr>
          <w:noProof/>
        </w:rPr>
      </w:pPr>
      <w:r w:rsidRPr="000B3838">
        <w:rPr>
          <w:i/>
          <w:noProof/>
        </w:rPr>
        <w:t>Članak 13.b</w:t>
      </w:r>
      <w:r w:rsidRPr="000B3838">
        <w:rPr>
          <w:noProof/>
        </w:rPr>
        <w:t>: ovim novim člankom konsolidiraju se različiti zahtjevi za obavješćivanje koji su već dio Direktive (EU) 2015/637. Osim toga, države članice morale bi dostavljati ograničene statističke podatke kako bi se poboljšalo praćenje Direktive. Te bi podatke prema potrebi trebalo dostavljati u strojno čitljivom formatu.</w:t>
      </w:r>
    </w:p>
    <w:p w14:paraId="608B8F91" w14:textId="1677FC65" w:rsidR="00AB7B2A" w:rsidRPr="000B3838" w:rsidRDefault="00386603">
      <w:pPr>
        <w:pBdr>
          <w:top w:val="nil"/>
          <w:left w:val="nil"/>
          <w:bottom w:val="nil"/>
          <w:right w:val="nil"/>
          <w:between w:val="nil"/>
          <w:bar w:val="nil"/>
        </w:pBdr>
        <w:spacing w:before="0" w:after="240"/>
        <w:rPr>
          <w:noProof/>
        </w:rPr>
      </w:pPr>
      <w:r w:rsidRPr="000B3838">
        <w:rPr>
          <w:i/>
          <w:noProof/>
        </w:rPr>
        <w:t>Članak 13.c</w:t>
      </w:r>
      <w:r w:rsidRPr="000B3838">
        <w:rPr>
          <w:noProof/>
        </w:rPr>
        <w:t>: ovim člankom predviđa se da bi države članice trebale poduzeti mjere kako bi informirale građane o njihovom pravu na konzularnu zaštitu kako je utvrđena u članku 20. stavku 2. točki (c) UFEU-a. U članku se navode primjeri mogućih mjera koje bi se mogle poduzeti u tom kontekstu, kao što je navođenje prve rečenice članka 23. UFEU-a u nacionalnim putovnicama, kako je već preporučeno u Preporuci Komisije C(2007) 5841</w:t>
      </w:r>
      <w:r w:rsidRPr="000B3838">
        <w:rPr>
          <w:rStyle w:val="FootnoteReference0"/>
          <w:noProof/>
        </w:rPr>
        <w:footnoteReference w:id="27"/>
      </w:r>
      <w:r w:rsidRPr="000B3838">
        <w:rPr>
          <w:noProof/>
        </w:rPr>
        <w:t>. Službe Komisije i ESVD trebali bi pridonijeti tim nastojanjima.</w:t>
      </w:r>
    </w:p>
    <w:p w14:paraId="650F9D18" w14:textId="77777777" w:rsidR="00765C71" w:rsidRPr="000B3838" w:rsidRDefault="00FE6538">
      <w:pPr>
        <w:pBdr>
          <w:top w:val="nil"/>
          <w:left w:val="nil"/>
          <w:bottom w:val="nil"/>
          <w:right w:val="nil"/>
          <w:between w:val="nil"/>
          <w:bar w:val="nil"/>
        </w:pBdr>
        <w:spacing w:before="0" w:after="240"/>
        <w:rPr>
          <w:noProof/>
        </w:rPr>
      </w:pPr>
      <w:r w:rsidRPr="000B3838">
        <w:rPr>
          <w:i/>
          <w:noProof/>
        </w:rPr>
        <w:t>Članak 14.</w:t>
      </w:r>
      <w:r w:rsidRPr="000B3838">
        <w:rPr>
          <w:noProof/>
        </w:rPr>
        <w:t xml:space="preserve">: pravila o naknadi troškova za konzularnu zaštitu prilagodila bi se kako bi se naknada tih troškova zahtijevala prvenstveno izravno od građanina bez predstavništva kojem se pruža pomoć pri podnošenju zahtjeva ili u kasnijoj fazi. Država članica koja pruža pomoć trebala bi se za naknadu obratiti državi članici državljanstva samo ako ne uspije naplatiti </w:t>
      </w:r>
      <w:r w:rsidRPr="000B3838">
        <w:rPr>
          <w:noProof/>
        </w:rPr>
        <w:lastRenderedPageBreak/>
        <w:t>naknadu izravno od građanina. Naposljetku, dodaje se poseban stavak kako bi se utvrdila pravila za naknadu troškova koje snose delegacije Unije pri podupiranju država članica.</w:t>
      </w:r>
    </w:p>
    <w:p w14:paraId="230A7F62" w14:textId="4020A815" w:rsidR="00386603" w:rsidRPr="000B3838" w:rsidRDefault="00765C71">
      <w:pPr>
        <w:pBdr>
          <w:top w:val="nil"/>
          <w:left w:val="nil"/>
          <w:bottom w:val="nil"/>
          <w:right w:val="nil"/>
          <w:between w:val="nil"/>
          <w:bar w:val="nil"/>
        </w:pBdr>
        <w:spacing w:before="0" w:after="240"/>
        <w:rPr>
          <w:noProof/>
        </w:rPr>
      </w:pPr>
      <w:r w:rsidRPr="000B3838">
        <w:rPr>
          <w:i/>
          <w:noProof/>
        </w:rPr>
        <w:t>Članak 15.</w:t>
      </w:r>
      <w:r w:rsidRPr="000B3838">
        <w:rPr>
          <w:noProof/>
        </w:rPr>
        <w:t xml:space="preserve">: izmjenama ovog članka osigurava se dosljednost s izmjenama članka 14. Osim toga, novim stavkom predviđa se da države članice koje pomažu građanima s predstavništvom u kriznim situacijama također mogu tražiti naknadu troškova jer u kriznim situacijama može biti nemoguće ili u praksi neizvedivo razlikovati ih od građana bez predstavništva. Tim bi se smanjilo administrativno opterećenje koje proizlazi iz primjene dvaju različitih postupaka. Posljednji stavak prilagođava se kako bi se osiguralo da se naknada troškova u skladu s Direktivom (EU) 2015/637 uzima u obzir pri utvrđivanju doprinosa Mehanizmu Unije za civilnu zaštitu, u skladu s financijskim odredbama primjenjivima na te doprinose. </w:t>
      </w:r>
    </w:p>
    <w:p w14:paraId="64C58806" w14:textId="6431262B" w:rsidR="004F6F21" w:rsidRPr="000B3838" w:rsidRDefault="004F6F21">
      <w:pPr>
        <w:pBdr>
          <w:top w:val="nil"/>
          <w:left w:val="nil"/>
          <w:bottom w:val="nil"/>
          <w:right w:val="nil"/>
          <w:between w:val="nil"/>
          <w:bar w:val="nil"/>
        </w:pBdr>
        <w:spacing w:before="0" w:after="240"/>
        <w:rPr>
          <w:noProof/>
        </w:rPr>
      </w:pPr>
      <w:r w:rsidRPr="000B3838">
        <w:rPr>
          <w:i/>
          <w:noProof/>
        </w:rPr>
        <w:t>Članak 15.a</w:t>
      </w:r>
      <w:r w:rsidRPr="000B3838">
        <w:rPr>
          <w:noProof/>
        </w:rPr>
        <w:t>: ovaj novi članak odnosi se na postupak odbora primjenjiv na donošenje provedbenih akata kako je predviđeno člankom 13.b stavkom 4. i člankom 14. stavkom 6.</w:t>
      </w:r>
    </w:p>
    <w:p w14:paraId="09003B94" w14:textId="2D6ABDBA" w:rsidR="00BD7654" w:rsidRPr="000B3838" w:rsidRDefault="00BD7654" w:rsidP="206CD7EA">
      <w:pPr>
        <w:pBdr>
          <w:top w:val="nil"/>
          <w:left w:val="nil"/>
          <w:bottom w:val="nil"/>
          <w:right w:val="nil"/>
          <w:between w:val="nil"/>
          <w:bar w:val="nil"/>
        </w:pBdr>
        <w:spacing w:before="0" w:after="240"/>
        <w:rPr>
          <w:noProof/>
        </w:rPr>
      </w:pPr>
      <w:r w:rsidRPr="000B3838">
        <w:rPr>
          <w:i/>
          <w:noProof/>
        </w:rPr>
        <w:t>Članak 16.a</w:t>
      </w:r>
      <w:r w:rsidRPr="000B3838">
        <w:rPr>
          <w:noProof/>
        </w:rPr>
        <w:t xml:space="preserve">: ovaj novi članak sadržava pravila primjenjiva na obradu osobnih podataka u svrhu pružanja konzularne zaštite, među ostalim ako je potrebna zbog prirode konzularnog predmeta, posebnih kategorija osobnih podataka i prijenosa osobnih podataka trećim zemljama i međunarodnim organizacijama, kao što je pri organizaciji evakuacijskih letova. </w:t>
      </w:r>
    </w:p>
    <w:p w14:paraId="68FA57BB" w14:textId="77777777" w:rsidR="00793364" w:rsidRPr="000B3838" w:rsidRDefault="00793364">
      <w:pPr>
        <w:pBdr>
          <w:top w:val="nil"/>
          <w:left w:val="nil"/>
          <w:bottom w:val="nil"/>
          <w:right w:val="nil"/>
          <w:between w:val="nil"/>
          <w:bar w:val="nil"/>
        </w:pBdr>
        <w:spacing w:before="0" w:after="240"/>
        <w:rPr>
          <w:noProof/>
        </w:rPr>
      </w:pPr>
      <w:r w:rsidRPr="000B3838">
        <w:rPr>
          <w:i/>
          <w:noProof/>
        </w:rPr>
        <w:t>Članak 16.b</w:t>
      </w:r>
      <w:r w:rsidRPr="000B3838">
        <w:rPr>
          <w:noProof/>
        </w:rPr>
        <w:t>: tim novim člankom provodi se temeljno pravo na djelotvoran pravni lijek u kontekstu konzularne zaštite.</w:t>
      </w:r>
    </w:p>
    <w:p w14:paraId="67049F43" w14:textId="0D786CE0" w:rsidR="008C3A55" w:rsidRPr="000B3838" w:rsidRDefault="008C3A55">
      <w:pPr>
        <w:pBdr>
          <w:top w:val="nil"/>
          <w:left w:val="nil"/>
          <w:bottom w:val="nil"/>
          <w:right w:val="nil"/>
          <w:between w:val="nil"/>
          <w:bar w:val="nil"/>
        </w:pBdr>
        <w:spacing w:before="0" w:after="240"/>
        <w:rPr>
          <w:noProof/>
        </w:rPr>
      </w:pPr>
      <w:r w:rsidRPr="000B3838">
        <w:rPr>
          <w:i/>
          <w:noProof/>
        </w:rPr>
        <w:t>Članak 19.</w:t>
      </w:r>
      <w:r w:rsidRPr="000B3838">
        <w:rPr>
          <w:noProof/>
        </w:rPr>
        <w:t>: ovom se članku dodaje novi stavak kako bi se predvidjela evaluacija Direktive (EU) 2015/637 osam godina nakon provedbe izmjena.</w:t>
      </w:r>
    </w:p>
    <w:p w14:paraId="375EB09F" w14:textId="77777777" w:rsidR="0053308B" w:rsidRPr="000B3838" w:rsidRDefault="00EA3BC8">
      <w:pPr>
        <w:pBdr>
          <w:top w:val="nil"/>
          <w:left w:val="nil"/>
          <w:bottom w:val="nil"/>
          <w:right w:val="nil"/>
          <w:between w:val="nil"/>
          <w:bar w:val="nil"/>
        </w:pBdr>
        <w:spacing w:before="0" w:after="240"/>
        <w:rPr>
          <w:noProof/>
        </w:rPr>
      </w:pPr>
      <w:r w:rsidRPr="000B3838">
        <w:rPr>
          <w:b/>
          <w:noProof/>
        </w:rPr>
        <w:t>Članak 2. sadržava sljedeće izmjene Direktive (EU) 2019/997</w:t>
      </w:r>
      <w:r w:rsidRPr="000B3838">
        <w:rPr>
          <w:noProof/>
        </w:rPr>
        <w:t>:</w:t>
      </w:r>
    </w:p>
    <w:p w14:paraId="46AA9116" w14:textId="77777777" w:rsidR="001A07A5" w:rsidRPr="000B3838" w:rsidRDefault="001A07A5">
      <w:pPr>
        <w:pBdr>
          <w:top w:val="nil"/>
          <w:left w:val="nil"/>
          <w:bottom w:val="nil"/>
          <w:right w:val="nil"/>
          <w:between w:val="nil"/>
          <w:bar w:val="nil"/>
        </w:pBdr>
        <w:spacing w:before="0" w:after="240"/>
        <w:rPr>
          <w:noProof/>
        </w:rPr>
      </w:pPr>
      <w:r w:rsidRPr="000B3838">
        <w:rPr>
          <w:i/>
          <w:noProof/>
        </w:rPr>
        <w:t>Članak 5.</w:t>
      </w:r>
      <w:r w:rsidRPr="000B3838">
        <w:rPr>
          <w:noProof/>
        </w:rPr>
        <w:t xml:space="preserve">: upućivanje na financijske odredbe Direktive (EU) 2015/637 u tom članku prilagođava se jer se ovim prijedlogom mijenjaju brojevi stavaka u članku 14. Direktive (EU) 2015/637. </w:t>
      </w:r>
    </w:p>
    <w:p w14:paraId="701BE90B" w14:textId="77777777" w:rsidR="00304682" w:rsidRPr="000B3838" w:rsidRDefault="00304682">
      <w:pPr>
        <w:spacing w:before="0" w:after="0"/>
        <w:jc w:val="left"/>
        <w:rPr>
          <w:noProof/>
        </w:rPr>
        <w:sectPr w:rsidR="00304682" w:rsidRPr="000B3838" w:rsidSect="004D0F60">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C740772" w14:textId="1C51E64D" w:rsidR="00750C94" w:rsidRPr="000B3838" w:rsidRDefault="000B3838" w:rsidP="000B3838">
      <w:pPr>
        <w:pStyle w:val="Rfrenceinterinstitutionnelle"/>
        <w:rPr>
          <w:noProof/>
        </w:rPr>
      </w:pPr>
      <w:r>
        <w:rPr>
          <w:noProof/>
        </w:rPr>
        <w:lastRenderedPageBreak/>
        <w:t>2023/0441 (CNS)</w:t>
      </w:r>
    </w:p>
    <w:p w14:paraId="79C84DBE" w14:textId="5AAB1A37" w:rsidR="00304682" w:rsidRPr="000B3838" w:rsidRDefault="000B3838" w:rsidP="000B3838">
      <w:pPr>
        <w:pStyle w:val="Statut"/>
        <w:rPr>
          <w:noProof/>
        </w:rPr>
      </w:pPr>
      <w:r w:rsidRPr="000B3838">
        <w:rPr>
          <w:noProof/>
        </w:rPr>
        <w:t>Prijedlog</w:t>
      </w:r>
    </w:p>
    <w:p w14:paraId="145B70E1" w14:textId="7AE0396F" w:rsidR="00304682" w:rsidRPr="000B3838" w:rsidRDefault="000B3838" w:rsidP="000B3838">
      <w:pPr>
        <w:pStyle w:val="Typedudocument"/>
        <w:rPr>
          <w:noProof/>
        </w:rPr>
      </w:pPr>
      <w:r w:rsidRPr="000B3838">
        <w:rPr>
          <w:noProof/>
        </w:rPr>
        <w:t>DIREKTIVE VIJEĆA</w:t>
      </w:r>
    </w:p>
    <w:p w14:paraId="13062F26" w14:textId="644C7C39" w:rsidR="00304682" w:rsidRPr="000B3838" w:rsidRDefault="000B3838" w:rsidP="000B3838">
      <w:pPr>
        <w:pStyle w:val="Titreobjet"/>
        <w:rPr>
          <w:noProof/>
        </w:rPr>
      </w:pPr>
      <w:r w:rsidRPr="000B3838">
        <w:rPr>
          <w:noProof/>
        </w:rPr>
        <w:t>o izmjeni Direktive (EU) 2015/637 o mjerama koordinacije i suradnje za olakšavanje pružanja konzularne zaštite građanima Unije bez predstavništva u trećim zemljama i Direktive (EU) 2019/997 o uspostavljanju privremene putne isprave EU-a</w:t>
      </w:r>
    </w:p>
    <w:p w14:paraId="6F4B7C40" w14:textId="77777777" w:rsidR="00304682" w:rsidRPr="000B3838" w:rsidRDefault="00304682">
      <w:pPr>
        <w:pStyle w:val="Institutionquiagit"/>
        <w:rPr>
          <w:noProof/>
        </w:rPr>
      </w:pPr>
      <w:r w:rsidRPr="000B3838">
        <w:rPr>
          <w:noProof/>
        </w:rPr>
        <w:t>VIJEĆE EUROPSKE UNIJE,</w:t>
      </w:r>
    </w:p>
    <w:p w14:paraId="3DEA8CF9" w14:textId="5FF591C8" w:rsidR="00304682" w:rsidRPr="000B3838" w:rsidRDefault="00304682">
      <w:pPr>
        <w:rPr>
          <w:noProof/>
        </w:rPr>
      </w:pPr>
      <w:r w:rsidRPr="000B3838">
        <w:rPr>
          <w:noProof/>
        </w:rPr>
        <w:t>uzimajući u obzir Ugovor o funkcioniranju Europske unije, a posebno njegov članak 23. drugi stavak,</w:t>
      </w:r>
    </w:p>
    <w:p w14:paraId="6A2F11AF" w14:textId="77777777" w:rsidR="00304682" w:rsidRPr="000B3838" w:rsidRDefault="00304682">
      <w:pPr>
        <w:rPr>
          <w:noProof/>
        </w:rPr>
      </w:pPr>
      <w:r w:rsidRPr="000B3838">
        <w:rPr>
          <w:noProof/>
        </w:rPr>
        <w:t>uzimajući u obzir prijedlog Europske komisije,</w:t>
      </w:r>
    </w:p>
    <w:p w14:paraId="2AC64FA0" w14:textId="77777777" w:rsidR="00304682" w:rsidRPr="000B3838" w:rsidRDefault="00304682">
      <w:pPr>
        <w:rPr>
          <w:noProof/>
        </w:rPr>
      </w:pPr>
      <w:r w:rsidRPr="000B3838">
        <w:rPr>
          <w:noProof/>
        </w:rPr>
        <w:t>nakon prosljeđivanja nacrta zakonodavnog akta nacionalnim parlamentima,</w:t>
      </w:r>
    </w:p>
    <w:p w14:paraId="14E979EE" w14:textId="77777777" w:rsidR="00304682" w:rsidRPr="000B3838" w:rsidRDefault="00304682">
      <w:pPr>
        <w:rPr>
          <w:noProof/>
        </w:rPr>
      </w:pPr>
      <w:r w:rsidRPr="000B3838">
        <w:rPr>
          <w:noProof/>
        </w:rPr>
        <w:t>uzimajući u obzir mišljenje Europskog parlamenta</w:t>
      </w:r>
      <w:r w:rsidRPr="000B3838">
        <w:rPr>
          <w:rStyle w:val="FootnoteReference0"/>
          <w:noProof/>
        </w:rPr>
        <w:footnoteReference w:id="28"/>
      </w:r>
      <w:r w:rsidRPr="000B3838">
        <w:rPr>
          <w:noProof/>
        </w:rPr>
        <w:t>,</w:t>
      </w:r>
    </w:p>
    <w:p w14:paraId="5BF759E7" w14:textId="77777777" w:rsidR="00304682" w:rsidRPr="000B3838" w:rsidRDefault="00304682">
      <w:pPr>
        <w:rPr>
          <w:noProof/>
        </w:rPr>
      </w:pPr>
      <w:r w:rsidRPr="000B3838">
        <w:rPr>
          <w:noProof/>
        </w:rPr>
        <w:t>u skladu s posebnim zakonodavnim postupkom,</w:t>
      </w:r>
    </w:p>
    <w:p w14:paraId="3B40E6D5" w14:textId="77777777" w:rsidR="00304682" w:rsidRPr="000B3838" w:rsidRDefault="00304682">
      <w:pPr>
        <w:rPr>
          <w:noProof/>
        </w:rPr>
      </w:pPr>
      <w:r w:rsidRPr="000B3838">
        <w:rPr>
          <w:noProof/>
        </w:rPr>
        <w:t>budući da:</w:t>
      </w:r>
    </w:p>
    <w:p w14:paraId="29567D26" w14:textId="79136FB9" w:rsidR="00B317D6" w:rsidRPr="000B3838" w:rsidRDefault="1F5CD073" w:rsidP="008C1DC5">
      <w:pPr>
        <w:pStyle w:val="ManualConsidrant"/>
        <w:rPr>
          <w:noProof/>
        </w:rPr>
      </w:pPr>
      <w:r>
        <w:rPr>
          <w:noProof/>
        </w:rPr>
        <w:t>(1)</w:t>
      </w:r>
      <w:r>
        <w:rPr>
          <w:noProof/>
        </w:rPr>
        <w:tab/>
      </w:r>
      <w:r w:rsidRPr="000B3838">
        <w:rPr>
          <w:noProof/>
        </w:rPr>
        <w:t>Direktivom Vijeća (EU) 2015/637</w:t>
      </w:r>
      <w:r w:rsidRPr="000B3838">
        <w:rPr>
          <w:rStyle w:val="FootnoteReference0"/>
          <w:noProof/>
        </w:rPr>
        <w:footnoteReference w:id="29"/>
      </w:r>
      <w:r w:rsidRPr="000B3838">
        <w:rPr>
          <w:rStyle w:val="footnotereference"/>
          <w:noProof/>
        </w:rPr>
        <w:t xml:space="preserve"> </w:t>
      </w:r>
      <w:r w:rsidRPr="000B3838">
        <w:rPr>
          <w:noProof/>
        </w:rPr>
        <w:t>provodi se pravo utvrđeno u članku 23. prvom stavku Ugovora o funkcioniranju Europske unije (UFEU) i ponovljeno u članku 46. Povelje Europske unije o temeljnim pravima (Povelja) tako što se utvrđuju mjere suradnje i koordinacije potrebne za olakšavanje pružanja konzularne zaštite građanima Unije bez predstavništva.</w:t>
      </w:r>
    </w:p>
    <w:p w14:paraId="760BD1F3" w14:textId="3B1CEBE5" w:rsidR="00C23C91" w:rsidRPr="000B3838" w:rsidRDefault="24A675E4" w:rsidP="003408C0">
      <w:pPr>
        <w:pStyle w:val="ManualConsidrant"/>
        <w:rPr>
          <w:noProof/>
        </w:rPr>
      </w:pPr>
      <w:r>
        <w:rPr>
          <w:noProof/>
        </w:rPr>
        <w:t>(2)</w:t>
      </w:r>
      <w:r>
        <w:rPr>
          <w:noProof/>
        </w:rPr>
        <w:tab/>
      </w:r>
      <w:r w:rsidRPr="000B3838">
        <w:rPr>
          <w:noProof/>
        </w:rPr>
        <w:t xml:space="preserve">Krize koje rezultiraju zahtjevima za konzularnu zaštitu sve su češće i većih razmjera. Pandemija bolesti COVID-19, kriza u Afganistanu, agresivni rat Rusije protiv Ukrajine, sukob u Sudanu, repatrijacije iz Izraela i Gaze </w:t>
      </w:r>
      <w:r w:rsidRPr="000B3838">
        <w:rPr>
          <w:noProof/>
          <w:u w:color="000000"/>
          <w:bdr w:val="nil"/>
        </w:rPr>
        <w:t>te druge slične krize</w:t>
      </w:r>
      <w:r w:rsidRPr="000B3838">
        <w:rPr>
          <w:b/>
          <w:noProof/>
          <w:u w:color="000000"/>
          <w:bdr w:val="nil"/>
        </w:rPr>
        <w:t xml:space="preserve"> </w:t>
      </w:r>
      <w:r w:rsidRPr="000B3838">
        <w:rPr>
          <w:noProof/>
        </w:rPr>
        <w:t>pružile su kontekst za utvrđivanje nedostataka i promišljanje o tome kako dodatno olakšati ostvarivanje prava građana Unije na konzularnu zaštitu. Na temelju pouka iz tih iskustava te kako bi se pojednostavnili postupci za građane i konzularna tijela, trebalo bi pojasniti i pojednostavniti pravila i postupke iz Direktive (EU) 2015/637 kako bi se djelotvornije pružala konzularna zaštita građanima Unije bez predstavništva, posebice u kriznim situacijama. Trebalo bi na najbolji način iskoristiti dostupne resurse na razini država članica i Unije, i lokalno u trećim zemljama i na središnjoj razini.</w:t>
      </w:r>
    </w:p>
    <w:p w14:paraId="2796F020" w14:textId="4CCAB389" w:rsidR="00BC7CCC" w:rsidRPr="000B3838" w:rsidRDefault="748F2BFD" w:rsidP="00816FCA">
      <w:pPr>
        <w:pStyle w:val="ManualConsidrant"/>
        <w:rPr>
          <w:noProof/>
        </w:rPr>
      </w:pPr>
      <w:r>
        <w:rPr>
          <w:noProof/>
        </w:rPr>
        <w:t>(3)</w:t>
      </w:r>
      <w:r>
        <w:rPr>
          <w:noProof/>
        </w:rPr>
        <w:tab/>
      </w:r>
      <w:r w:rsidRPr="000B3838">
        <w:rPr>
          <w:noProof/>
        </w:rPr>
        <w:t xml:space="preserve">U Direktivi (EU) 2015/637 „građanin bez predstavništva” definira se kao svaki građanin koji ima državljanstvo države članice koja nema predstavništvo u trećoj zemlji. U skladu s tom direktivom država članica nema predstavništvo u trećoj zemlji ako u toj zemlji nema stalno uspostavljeno veleposlanstvo ili konzulat ili u njoj nema veleposlanstvo, konzulat ili počasnog konzula koji bi u pojedinom predmetu stvarno bili u stanju pružiti konzularnu zaštitu. U Direktivi (EU) 2015/637 nema detaljnijih </w:t>
      </w:r>
      <w:r w:rsidRPr="000B3838">
        <w:rPr>
          <w:noProof/>
        </w:rPr>
        <w:lastRenderedPageBreak/>
        <w:t>kriterija, a prethodna iskustva pokazala su da može biti teško utvrditi je li posljednji navedeni kriterij ispunjen. Konzularna tijela kojima se građani obrate zbog toga mogu pogrešno zaključiti da država članica čiji su državljani ima predstavništvo te im stoga mogu odbiti konzularnu zaštitu.</w:t>
      </w:r>
    </w:p>
    <w:p w14:paraId="6486BCD0" w14:textId="5DD9677B" w:rsidR="00251A6E" w:rsidRPr="000B3838" w:rsidRDefault="7B87E7C5" w:rsidP="00251A6E">
      <w:pPr>
        <w:pStyle w:val="ManualConsidrant"/>
        <w:rPr>
          <w:noProof/>
        </w:rPr>
      </w:pPr>
      <w:r>
        <w:rPr>
          <w:noProof/>
        </w:rPr>
        <w:t>(4)</w:t>
      </w:r>
      <w:r>
        <w:rPr>
          <w:noProof/>
        </w:rPr>
        <w:tab/>
      </w:r>
      <w:r w:rsidRPr="000B3838">
        <w:rPr>
          <w:noProof/>
        </w:rPr>
        <w:t>Kako bi se povećala pravna sigurnost za konzularna tijela i građane, primjereno je utvrditi detaljnije kriterije za procjenu toga radi li se o građaninu Unije bez predstavništva i ima li on stoga pravo na konzularnu zaštitu države članice čijim je konzularnim tijelima podnio zahtjev. Ti kriteriji trebali bi biti dovoljno fleksibilni i primjenjivati se s obzirom na lokalne okolnosti, kao što su jednostavnost putovanja ili sigurnosna situacija u predmetnoj trećoj zemlji. U tom bi kontekstu dostupnost i blizina trebali i dalje biti važni čimbenici.</w:t>
      </w:r>
    </w:p>
    <w:p w14:paraId="20065274" w14:textId="78C2CD48" w:rsidR="006E0617" w:rsidRPr="000B3838" w:rsidRDefault="0E41B204" w:rsidP="002F34F2">
      <w:pPr>
        <w:pStyle w:val="ManualConsidrant"/>
        <w:rPr>
          <w:noProof/>
        </w:rPr>
      </w:pPr>
      <w:r>
        <w:rPr>
          <w:noProof/>
        </w:rPr>
        <w:t>(5)</w:t>
      </w:r>
      <w:r>
        <w:rPr>
          <w:noProof/>
        </w:rPr>
        <w:tab/>
      </w:r>
      <w:r w:rsidRPr="000B3838">
        <w:rPr>
          <w:noProof/>
        </w:rPr>
        <w:t>Kao prvi kriterij, konzularna tijela trebala bi uzeti u obzir koliko je teško građanima u razumnom roku sigurno stupiti u kontakt s veleposlanstvom ili konzulatom države članice čiji su državljani ili koliko je njihovu veleposlanstvu ili konzulatu teško u razumnom roku sigurno stupiti u kontakt s građanima, pritom uzimajući u obzir prirodu i hitnost zatražene pomoći te njima dostupna sredstva, posebice financijska sredstva. Na primjer, ako je građaninu potrebna privremena putna isprava EU-a jer je izgubio putne isprave, u načelu bi se trebalo smatrati da se radi o građaninu bez predstavništva ako bi on morao putovati preko noći ili zrakoplovom kako bi stupio u kontakt s veleposlanstvom ili konzulatom države članice čiji je državljanin jer se od njega ne može očekivati da putuje u tim okolnostima.</w:t>
      </w:r>
    </w:p>
    <w:p w14:paraId="2D95EC48" w14:textId="77777777" w:rsidR="002A5B15" w:rsidRPr="000B3838" w:rsidRDefault="7C2CC22A" w:rsidP="002F34F2">
      <w:pPr>
        <w:pStyle w:val="ManualConsidrant"/>
        <w:rPr>
          <w:noProof/>
        </w:rPr>
      </w:pPr>
      <w:r>
        <w:rPr>
          <w:noProof/>
        </w:rPr>
        <w:t>(6)</w:t>
      </w:r>
      <w:r>
        <w:rPr>
          <w:noProof/>
        </w:rPr>
        <w:tab/>
      </w:r>
      <w:r w:rsidRPr="000B3838">
        <w:rPr>
          <w:noProof/>
        </w:rPr>
        <w:t>Trebalo bi razmotriti i moguće zatvaranje veleposlanstva ili konzulata države članice državljanstva građanina, posebice u kriznim situacijama. Ako veleposlanstvo ili konzulat od kojeg građanin bez predstavništva traži konzularnu zaštitu ne mogu pravodobno potvrditi da su veleposlanstvo ili konzulat države članice državljanstva građanina u funkciji i dostupni, trebali bi smatrati da se radi o građaninu bez predstavništva.</w:t>
      </w:r>
    </w:p>
    <w:p w14:paraId="6B964C36" w14:textId="77777777" w:rsidR="00E87CA6" w:rsidRPr="000B3838" w:rsidRDefault="41335E97" w:rsidP="002F34F2">
      <w:pPr>
        <w:pStyle w:val="ManualConsidrant"/>
        <w:rPr>
          <w:noProof/>
        </w:rPr>
      </w:pPr>
      <w:r>
        <w:rPr>
          <w:noProof/>
        </w:rPr>
        <w:t>(7)</w:t>
      </w:r>
      <w:r>
        <w:rPr>
          <w:noProof/>
        </w:rPr>
        <w:tab/>
      </w:r>
      <w:r w:rsidRPr="000B3838">
        <w:rPr>
          <w:noProof/>
        </w:rPr>
        <w:t>Koncept nedostatka predstavništva trebao bi se tumačiti tako da se osigurava učinkovitost prava građana bez predstavništva na konzularnu zaštitu. Ako bi preusmjeravanje građanina u veleposlanstvo ili konzulat države članice čiji je državljanin vjerojatno ugrozilo konzularnu zaštitu, a osobito ako je zbog žurnosti potrebno da veleposlanstvo ili konzulat od kojih je zatražena zaštita djeluju odmah, isto bi tako trebalo smatrati da se radi o građaninu bez predstavništva. To je posebno relevantno u kriznim situacijama, u kojima bi izostanak pravodobne pomoći mogao imati posebno negativne učinke na građanina.</w:t>
      </w:r>
    </w:p>
    <w:p w14:paraId="7FF6AD72" w14:textId="77777777" w:rsidR="00D37486" w:rsidRPr="000B3838" w:rsidRDefault="0FA7DE84" w:rsidP="002F34F2">
      <w:pPr>
        <w:pStyle w:val="ManualConsidrant"/>
        <w:rPr>
          <w:noProof/>
        </w:rPr>
      </w:pPr>
      <w:r>
        <w:rPr>
          <w:noProof/>
        </w:rPr>
        <w:t>(8)</w:t>
      </w:r>
      <w:r>
        <w:rPr>
          <w:noProof/>
        </w:rPr>
        <w:tab/>
      </w:r>
      <w:r w:rsidRPr="000B3838">
        <w:rPr>
          <w:noProof/>
        </w:rPr>
        <w:t>Budući da počasni konzuli obično ne nude isti raspon usluga kao veleposlanstva ili konzulati, prisutnost počasnog konzula države članice državljanstva građanina trebala bi se uzeti u obzir samo kako bi se utvrdilo radi li se o građaninu bez predstavništva ako pomoć koju je građanin zatražio spada pod nadležnost počasnog konzula.</w:t>
      </w:r>
    </w:p>
    <w:p w14:paraId="179C5DDF" w14:textId="6D6D374B" w:rsidR="00026F16" w:rsidRPr="000B3838" w:rsidRDefault="57EF75B8" w:rsidP="00026F16">
      <w:pPr>
        <w:pStyle w:val="ManualConsidrant"/>
        <w:rPr>
          <w:noProof/>
        </w:rPr>
      </w:pPr>
      <w:r>
        <w:rPr>
          <w:noProof/>
        </w:rPr>
        <w:t>(9)</w:t>
      </w:r>
      <w:r>
        <w:rPr>
          <w:noProof/>
        </w:rPr>
        <w:tab/>
      </w:r>
      <w:r w:rsidRPr="000B3838">
        <w:rPr>
          <w:noProof/>
        </w:rPr>
        <w:t>Građani bez predstavništva imaju pravo tražiti zaštitu od veleposlanstva ili konzulata bilo koje države članice. Direktiva (EU) 2015/637 omogućuje državama članicama da sklapaju bilateralne sporazume u svrhu osiguravanja djelotvorne zaštite građana bez predstavništva. Međutim, takvi aranžmani nisu preduvjet za pružanje konzularne zaštite građanima bez predstavništva. Treba pojasniti da je, kad je riječ o takvim sklopljenim aranžmanima, obveza tijela države članice kojima je podnesen zahtjev, a ne predmetnog građanina, da prenese zahtjev relevantnom veleposlanstvu ili konzulatu.</w:t>
      </w:r>
    </w:p>
    <w:p w14:paraId="64C9E11E" w14:textId="18AE1AF2" w:rsidR="00B659E3" w:rsidRPr="000B3838" w:rsidRDefault="2B42BB0C" w:rsidP="00B659E3">
      <w:pPr>
        <w:pStyle w:val="ManualConsidrant"/>
        <w:rPr>
          <w:noProof/>
        </w:rPr>
      </w:pPr>
      <w:r>
        <w:rPr>
          <w:noProof/>
        </w:rPr>
        <w:lastRenderedPageBreak/>
        <w:t>(10)</w:t>
      </w:r>
      <w:r>
        <w:rPr>
          <w:noProof/>
        </w:rPr>
        <w:tab/>
      </w:r>
      <w:r w:rsidRPr="000B3838">
        <w:rPr>
          <w:noProof/>
        </w:rPr>
        <w:t>Ako krizna situacija rezultira velikim brojem zahtjeva za konzularnu zaštitu, veleposlanstva i konzulati država članica s predstavništvom u predmetnoj trećoj zemlji trebali bi imati mogućnost dogovora o raspodjeli zahtjeva na temelju dostupnog kapaciteta kako bi se on iskoristio na najbolji način. U tom im mogu pomoći delegacije Unije.</w:t>
      </w:r>
    </w:p>
    <w:p w14:paraId="2FCE2313" w14:textId="03D0401A" w:rsidR="00B659E3" w:rsidRPr="000B3838" w:rsidRDefault="2B42BB0C" w:rsidP="00B659E3">
      <w:pPr>
        <w:pStyle w:val="ManualConsidrant"/>
        <w:rPr>
          <w:noProof/>
        </w:rPr>
      </w:pPr>
      <w:r>
        <w:rPr>
          <w:noProof/>
        </w:rPr>
        <w:t>(11)</w:t>
      </w:r>
      <w:r>
        <w:rPr>
          <w:noProof/>
        </w:rPr>
        <w:tab/>
      </w:r>
      <w:r w:rsidRPr="000B3838">
        <w:rPr>
          <w:noProof/>
        </w:rPr>
        <w:t>Zahtjevi se ne bi trebali prenositi ako bi to ugrozilo konzularnu zaštitu, a osobito ako je zbog žurnosti potrebno da veleposlanstvo ili konzulat države članice od kojeg je zatražena zaštita djeluje odmah. To bi vrijedilo, na primjer, kad je riječ o ozbiljnom hitnom medicinskom slučaju ili naizgled proizvoljnom uhićenju. Osim toga, trebalo bi obavijestiti građane bez predstavništva o svim prijenosima.</w:t>
      </w:r>
    </w:p>
    <w:p w14:paraId="1AA8C7CF" w14:textId="6A3884D5" w:rsidR="00E819AC" w:rsidRPr="000B3838" w:rsidRDefault="77911236" w:rsidP="00E819AC">
      <w:pPr>
        <w:pStyle w:val="ManualConsidrant"/>
        <w:rPr>
          <w:noProof/>
        </w:rPr>
      </w:pPr>
      <w:r>
        <w:rPr>
          <w:noProof/>
        </w:rPr>
        <w:t>(12)</w:t>
      </w:r>
      <w:r>
        <w:rPr>
          <w:noProof/>
        </w:rPr>
        <w:tab/>
      </w:r>
      <w:r w:rsidRPr="000B3838">
        <w:rPr>
          <w:noProof/>
        </w:rPr>
        <w:t>U članku 9. Direktive (EU) 2015/637 neiscrpno su navedene najčešće situacije u kojima građani bez predstavništva mogu zatražiti konzularnu pomoć od država članica koje imaju predstavništvo. Međutim, radi pravne jasnoće trebalo bi pojasniti da vrste pomoći obuhvaćaju i evakuacije, odnosno spašavanje i premještanje osoba s područja pogođenih hitnim slučajem na sigurnu lokaciju, koja može biti u istoj zemlji ili drugoj trećoj zemlji, i repatrijacije, odnosno premještanje osoba na državno područje država članica.</w:t>
      </w:r>
    </w:p>
    <w:p w14:paraId="58061462" w14:textId="77777777" w:rsidR="00E819AC" w:rsidRPr="000B3838" w:rsidRDefault="785D0C0A" w:rsidP="00E819AC">
      <w:pPr>
        <w:pStyle w:val="ManualConsidrant"/>
        <w:rPr>
          <w:noProof/>
        </w:rPr>
      </w:pPr>
      <w:r>
        <w:rPr>
          <w:noProof/>
        </w:rPr>
        <w:t>(13)</w:t>
      </w:r>
      <w:r>
        <w:rPr>
          <w:noProof/>
        </w:rPr>
        <w:tab/>
      </w:r>
      <w:r w:rsidRPr="000B3838">
        <w:rPr>
          <w:noProof/>
        </w:rPr>
        <w:t>Države članice trebale bi pri pružanju konzularne zaštite građanima bez predstavništva u obzir uzeti specifične potrebe ranjivih skupina, kao što su maloljetnici bez pratnje, trudnice, osobe sa smanjenom pokretljivošću, osobe s invaliditetom ili pojedinci izloženi opasnosti od diskriminacije na bilo kojoj osnovi kao što su one navedene u članku 21. Povelje.</w:t>
      </w:r>
    </w:p>
    <w:p w14:paraId="7C48D8AD" w14:textId="21DE20EA" w:rsidR="00E819AC" w:rsidRPr="000B3838" w:rsidRDefault="00BA0965" w:rsidP="00E819AC">
      <w:pPr>
        <w:pStyle w:val="ManualConsidrant"/>
        <w:rPr>
          <w:noProof/>
        </w:rPr>
      </w:pPr>
      <w:r>
        <w:rPr>
          <w:noProof/>
        </w:rPr>
        <w:t>(14)</w:t>
      </w:r>
      <w:r>
        <w:rPr>
          <w:noProof/>
        </w:rPr>
        <w:tab/>
      </w:r>
      <w:r w:rsidRPr="000B3838">
        <w:rPr>
          <w:noProof/>
        </w:rPr>
        <w:t xml:space="preserve">Potrebno je građanima Unije viktimiziranima u trećim zemljama osigurati optimalan pristup pravosuđu, što zahtijeva bliži kontakt i suradnju između tijela i organizacija za potporu trećih zemalja te konzularnih tijela i organizacija za potporu država članica. </w:t>
      </w:r>
    </w:p>
    <w:p w14:paraId="11AD6654" w14:textId="0C13A71F" w:rsidR="005F45E1" w:rsidRPr="000B3838" w:rsidRDefault="00D84E0A" w:rsidP="00304682">
      <w:pPr>
        <w:pStyle w:val="ManualConsidrant"/>
        <w:rPr>
          <w:noProof/>
        </w:rPr>
      </w:pPr>
      <w:r>
        <w:rPr>
          <w:noProof/>
        </w:rPr>
        <w:t>(15)</w:t>
      </w:r>
      <w:r>
        <w:rPr>
          <w:noProof/>
        </w:rPr>
        <w:tab/>
      </w:r>
      <w:r w:rsidRPr="000B3838">
        <w:rPr>
          <w:noProof/>
        </w:rPr>
        <w:t>Radi pravne jasnoće upućivanja na privremene putne isprave trebala bi se ažurirati nakon donošenja Direktive Vijeća (EU) 2019/997</w:t>
      </w:r>
      <w:r w:rsidRPr="000B3838">
        <w:rPr>
          <w:rStyle w:val="FootnoteReference0"/>
          <w:noProof/>
        </w:rPr>
        <w:footnoteReference w:id="30"/>
      </w:r>
      <w:r w:rsidRPr="000B3838">
        <w:rPr>
          <w:noProof/>
        </w:rPr>
        <w:t>.</w:t>
      </w:r>
    </w:p>
    <w:p w14:paraId="32F38539" w14:textId="419E33E5" w:rsidR="00C121A7" w:rsidRPr="000B3838" w:rsidRDefault="00C121A7" w:rsidP="00DC661F">
      <w:pPr>
        <w:pStyle w:val="ManualConsidrant"/>
        <w:rPr>
          <w:noProof/>
        </w:rPr>
      </w:pPr>
      <w:r>
        <w:rPr>
          <w:noProof/>
        </w:rPr>
        <w:t>(16)</w:t>
      </w:r>
      <w:r>
        <w:rPr>
          <w:noProof/>
        </w:rPr>
        <w:tab/>
      </w:r>
      <w:r w:rsidRPr="000B3838">
        <w:rPr>
          <w:noProof/>
        </w:rPr>
        <w:t xml:space="preserve">Ako je to primjereno i potrebno kako bi se pružila konzularna zaštita, države članice bi u svoje mjere koordinacije i suradnje trebale moći uključiti svoje sigurnosno i vojno osoblje, počasne konzule, međunarodne organizacije ili diplomatska i konzularna tijela trećih zemalja. To može biti posebno relevantno u kriznim situacijama.  </w:t>
      </w:r>
    </w:p>
    <w:p w14:paraId="235A5696" w14:textId="67C2B150" w:rsidR="00A84727" w:rsidRPr="000B3838" w:rsidRDefault="496A2CC3" w:rsidP="00350DCC">
      <w:pPr>
        <w:pStyle w:val="ManualConsidrant"/>
        <w:rPr>
          <w:noProof/>
        </w:rPr>
      </w:pPr>
      <w:r>
        <w:rPr>
          <w:noProof/>
        </w:rPr>
        <w:t>(17)</w:t>
      </w:r>
      <w:r>
        <w:rPr>
          <w:noProof/>
        </w:rPr>
        <w:tab/>
      </w:r>
      <w:r w:rsidRPr="000B3838">
        <w:rPr>
          <w:noProof/>
        </w:rPr>
        <w:t>Nedavni događaji ukazali su na važan doprinos delegacija Unije, u bliskoj suradnji s državama članicama, provedbi prava na konzularnu zaštitu. To se posebice odnosi na treće zemlje u kojima mali broj država članica ima predstavništvo te na krizne situacije i razmjenu informacija. Stoga je primjereno pojasniti potpornu ulogu delegacija Unije u provedbi prava na konzularnu zaštitu. Radi dosljednosti i kontinuiteta poslovanja delegacije Unije trebale bi uobičajeno predsjedati sastancima u okviru konzularne suradnje na lokalnoj razini te voditi uspostavu i dogovor zajedničkih konzularnih planova za slučaj nužde. Kako bi se osigurala koordinacija i djelotvorna zaštita građana bez predstavništva, delegacije Unije trebale bi sudjelovati i u koordinaciji odgovora na krizne situacije u bliskoj suradnji s državama članicama.</w:t>
      </w:r>
    </w:p>
    <w:p w14:paraId="5BB87F73" w14:textId="6FB58396" w:rsidR="00655992" w:rsidRPr="000B3838" w:rsidRDefault="449261C5">
      <w:pPr>
        <w:pStyle w:val="ManualConsidrant"/>
        <w:rPr>
          <w:noProof/>
        </w:rPr>
      </w:pPr>
      <w:r>
        <w:rPr>
          <w:noProof/>
        </w:rPr>
        <w:t>(18)</w:t>
      </w:r>
      <w:r>
        <w:rPr>
          <w:noProof/>
        </w:rPr>
        <w:tab/>
      </w:r>
      <w:r w:rsidRPr="000B3838">
        <w:rPr>
          <w:noProof/>
        </w:rPr>
        <w:t xml:space="preserve">Direktivom (EU) 2015/637 utvrđuju se praktični načini na koje delegacije Unije u skladu s člankom 35. Ugovora o Europskoj uniji (UEU) mogu doprinositi provedbi </w:t>
      </w:r>
      <w:r w:rsidRPr="000B3838">
        <w:rPr>
          <w:noProof/>
        </w:rPr>
        <w:lastRenderedPageBreak/>
        <w:t>prava na konzularnu zaštitu. Delegacije Unije trebale bi podupirati države članice pri pružanju konzularne zaštite građanima bez predstavništva na zahtjev država članica i na troškovno neutralnoj osnovi, kako je predviđeno člankom 5. stavkom 10. Odluke Vijeća 2010/427/EU</w:t>
      </w:r>
      <w:r w:rsidRPr="000B3838">
        <w:rPr>
          <w:rStyle w:val="FootnoteReference0"/>
          <w:noProof/>
        </w:rPr>
        <w:footnoteReference w:id="31"/>
      </w:r>
      <w:r w:rsidRPr="000B3838">
        <w:rPr>
          <w:noProof/>
        </w:rPr>
        <w:t>. U tom bi kontekstu države članice također trebale moći od delegacija Unije zatražiti da obave određene zadaće konzularne zaštite, među ostalim one navedene u članku 9. Direktive (EU) 2015/637. Kako bi delegacije Unije mogle obavljati svoje potporne zadaće, država članica koja pruža pomoć ili, prema potrebi, država članica državljanstva trebala bi im dostaviti sve relevantne informacije.</w:t>
      </w:r>
    </w:p>
    <w:p w14:paraId="099F5BD8" w14:textId="7C846AAD" w:rsidR="00AC57FE" w:rsidRPr="000B3838" w:rsidRDefault="00BF4028" w:rsidP="00E1080B">
      <w:pPr>
        <w:pStyle w:val="ManualConsidrant"/>
        <w:rPr>
          <w:noProof/>
        </w:rPr>
      </w:pPr>
      <w:r>
        <w:rPr>
          <w:noProof/>
        </w:rPr>
        <w:t>(19)</w:t>
      </w:r>
      <w:r>
        <w:rPr>
          <w:noProof/>
        </w:rPr>
        <w:tab/>
      </w:r>
      <w:r w:rsidRPr="000B3838">
        <w:rPr>
          <w:noProof/>
        </w:rPr>
        <w:t xml:space="preserve">Kako bi se osigurala pripravnost za moguće konzularne krize koje zahtijevaju pružanje pomoći građanima bez predstavništva, konzularna suradnja na lokalnoj razini među državama članicama i delegacijama Unije u trećim zemljama trebala bi uključivati razmjenu informacija o pitanjima relevantnima za te građane, među ostalim o njihovoj sigurnosti i zaštiti, te uspostavljanje zajedničkih konzularnih planova za slučaj nužde i organizaciju konzularnih vježbi. U tom kontekstu može biti posebno relevantno da se konzularna tijela država članica bez predstavništva uključe u tu konzularnu suradnju na lokalnoj razini pri koordinaciji konzularne pripravnosti za krizne situacije i odgovoru na njih. </w:t>
      </w:r>
    </w:p>
    <w:p w14:paraId="2BAFF81B" w14:textId="7F61D108" w:rsidR="55E197F6" w:rsidRPr="000B3838" w:rsidRDefault="55E197F6" w:rsidP="007643DB">
      <w:pPr>
        <w:pStyle w:val="ManualConsidrant"/>
        <w:rPr>
          <w:noProof/>
        </w:rPr>
      </w:pPr>
      <w:r>
        <w:rPr>
          <w:noProof/>
        </w:rPr>
        <w:t>(20)</w:t>
      </w:r>
      <w:r>
        <w:rPr>
          <w:noProof/>
        </w:rPr>
        <w:tab/>
      </w:r>
      <w:r w:rsidRPr="000B3838">
        <w:rPr>
          <w:noProof/>
        </w:rPr>
        <w:t xml:space="preserve">Konzularna pripravnost za krizne situacije ključni je zahtjev za osiguranje djelotvornog konzularnog odgovora na kriznu situaciju. Stoga bi države članice uz potporu Europske službe za vanjsko djelovanje (ESVD) trebale osigurati da se raspravi o odgovarajućim mjerama konzularne pripravnosti za zaštitu građana bez predstavništva i da se one provedu u svim trećim zemljama.   </w:t>
      </w:r>
    </w:p>
    <w:p w14:paraId="18CDFD47" w14:textId="7609C9AC" w:rsidR="7101BE33" w:rsidRPr="000B3838" w:rsidRDefault="00C80770" w:rsidP="007643DB">
      <w:pPr>
        <w:pStyle w:val="ManualConsidrant"/>
        <w:rPr>
          <w:noProof/>
        </w:rPr>
      </w:pPr>
      <w:r>
        <w:rPr>
          <w:noProof/>
        </w:rPr>
        <w:t>(21)</w:t>
      </w:r>
      <w:r>
        <w:rPr>
          <w:noProof/>
        </w:rPr>
        <w:tab/>
      </w:r>
      <w:r w:rsidRPr="000B3838">
        <w:rPr>
          <w:noProof/>
        </w:rPr>
        <w:t xml:space="preserve">Prethodne krize ukazale su na relevantnost planiranja za slučaj nužde i korisnost zajedničkih konzularnih planova za slučaj nužde, poznatih kao „zajednički okviri EU-a za konzularnu pripravnost za krizne situacije”, u trećim zemljama, u kojima sudjeluju diplomatska i konzularna tijela svih država članica te lokalne delegacije Unije. Ti planovi trebali bi se prilagoditi lokalnim okolnostima, uključivati jasnu raspodjelu odgovornosti među državama članicama s predstavništvom i bez predstavništva i delegacija Unije te uključivati skup postupaka i aktivnosti koje se u slučaju krize provode na lokalnoj razini, s posebnim naglaskom na konzularnu zaštitu građana bez predstavništva. </w:t>
      </w:r>
    </w:p>
    <w:p w14:paraId="317A3BA0" w14:textId="66A39BA9" w:rsidR="008128F8" w:rsidRPr="000B3838" w:rsidRDefault="4CC24EF9" w:rsidP="00C107C4">
      <w:pPr>
        <w:pStyle w:val="ManualConsidrant"/>
        <w:rPr>
          <w:noProof/>
        </w:rPr>
      </w:pPr>
      <w:r>
        <w:rPr>
          <w:noProof/>
        </w:rPr>
        <w:t>(22)</w:t>
      </w:r>
      <w:r>
        <w:rPr>
          <w:noProof/>
        </w:rPr>
        <w:tab/>
      </w:r>
      <w:r w:rsidRPr="000B3838">
        <w:rPr>
          <w:noProof/>
        </w:rPr>
        <w:t>Kako bi se povećala djelotvornost postojećih mjera koordinacije utvrđenih u Direktivi (EU) 2015/637, priprema i godišnje ažuriranje zajedničkih konzularnih planova za slučaj nužde trebali bi biti obavezni za sve treće zemlje, iako se razina detaljnosti tih planova može razlikovati ovisno o lokalnim okolnostima. U tu svrhu trebali bi se utvrditi osnovni elementi tih planova, kao što je analiza konzularne situacije u predmetnoj trećoj zemlji, što uključuje procjenu rizika najvjerojatnijih scenarija koji bi mogli utjecati na građane bez predstavništva, aranžmani za konzularnu pripravnost za krizne situacije, komunikacija u okviru konzularne suradnje na lokalnoj razini i komunikacija s građanima Unije te suradnja s lokalnim tijelima i relevantnim trećim zemljama.</w:t>
      </w:r>
    </w:p>
    <w:p w14:paraId="07B14ED5" w14:textId="22001EB2" w:rsidR="006658C7" w:rsidRPr="000B3838" w:rsidRDefault="65E4D3A0">
      <w:pPr>
        <w:pStyle w:val="ManualConsidrant"/>
        <w:rPr>
          <w:noProof/>
        </w:rPr>
      </w:pPr>
      <w:r>
        <w:rPr>
          <w:noProof/>
        </w:rPr>
        <w:t>(23)</w:t>
      </w:r>
      <w:r>
        <w:rPr>
          <w:noProof/>
        </w:rPr>
        <w:tab/>
      </w:r>
      <w:r w:rsidRPr="000B3838">
        <w:rPr>
          <w:noProof/>
        </w:rPr>
        <w:t xml:space="preserve">U zajedničkim konzularnim planovima za slučaj nužde trebale bi se uzimati u obzir, prema potrebi, uloge i odgovornosti vodećih država, odnosno država članica s predstavništvom u određenoj trećoj zemlji koje su zadužene za koordinaciju i vođenje pomoći građanima bez predstavništva za vrijeme kriza, kako bi se osigurala </w:t>
      </w:r>
      <w:r w:rsidRPr="000B3838">
        <w:rPr>
          <w:noProof/>
        </w:rPr>
        <w:lastRenderedPageBreak/>
        <w:t>djelotvorna koordinacija konzularne pomoći. Osim toga, zajednički konzularni planovi za slučaj nužde trebali bi se sve godine evaluirati u kontekstu konzularnih vježbi kako bi se osigurala njihova kontinuirana relevantnost. Međutim, zajednički konzularni planovi za slučaj nužde ne bi se trebali smatrati zamjenom za postojeće nacionalne krizne planove država članica i ne utječu na njihovu odgovornost da pruže konzularnu pomoć vlastitim državljanima.</w:t>
      </w:r>
    </w:p>
    <w:p w14:paraId="3D2A6127" w14:textId="52F783B4" w:rsidR="7101BE33" w:rsidRPr="000B3838" w:rsidRDefault="22C9D8FF" w:rsidP="00C107C4">
      <w:pPr>
        <w:pStyle w:val="ManualConsidrant"/>
        <w:rPr>
          <w:noProof/>
        </w:rPr>
      </w:pPr>
      <w:r>
        <w:rPr>
          <w:noProof/>
        </w:rPr>
        <w:t>(24)</w:t>
      </w:r>
      <w:r>
        <w:rPr>
          <w:noProof/>
        </w:rPr>
        <w:tab/>
      </w:r>
      <w:r w:rsidRPr="000B3838">
        <w:rPr>
          <w:noProof/>
        </w:rPr>
        <w:t>Procijenjeni broj i lokacija građana Unije prisutnih u trećoj zemlji presudne su informacije za pripremu zajedničkog konzularnog plana za slučaj nužde, posebice kad je potrebna evakuacija ili repatrijacija. Osim toga, građani Unije trebali bi moći dobiti relevantne informacije od države članice čiji su državljani u slučaju krize. Stoga je važno da države članice svojim građanima pruže mogućnost registracije ili obavješćivanja nadležnih nacionalnih tijela o putovanjima u treće zemlje ili boravku u trećim zemljama na odgovarajući način i s pomoću odgovarajućih sredstava. U tu bi svrhu države članice u skladu s pravom Unije i nacionalnim pravom o zaštiti osobnih podataka trebale utvrditi potrebne kategorije osobnih podataka i razdoblja zadržavanja tih podataka.</w:t>
      </w:r>
    </w:p>
    <w:p w14:paraId="1DDDECB0" w14:textId="38005F0E" w:rsidR="7101BE33" w:rsidRPr="000B3838" w:rsidRDefault="73F7C051" w:rsidP="00C107C4">
      <w:pPr>
        <w:pStyle w:val="ManualConsidrant"/>
        <w:rPr>
          <w:noProof/>
        </w:rPr>
      </w:pPr>
      <w:r>
        <w:rPr>
          <w:noProof/>
        </w:rPr>
        <w:t>(25)</w:t>
      </w:r>
      <w:r>
        <w:rPr>
          <w:noProof/>
        </w:rPr>
        <w:tab/>
      </w:r>
      <w:r w:rsidRPr="000B3838">
        <w:rPr>
          <w:noProof/>
        </w:rPr>
        <w:t xml:space="preserve">Savjeti o putovanjima, odnosno informacije koje države članice objavljuju o relativnoj sigurnosti putovanja u određene treće zemlje, putnicima omogućuju da donesu utemeljenu odluku o putovanju na određeno odredište, među ostalim u trećim zemljama u kojima država članica čiji su državljani nema predstavništvo. Za objavu savjeta o putovanjima odgovorne su države članice, no primjereno je da surađuju po tom pitanju, posebice u kontekstu kriznih situacija kako bi se, u mjeri u kojoj je to moguće, osigurala dosljednost u razini objavljenih savjeta. To bi moglo uključivati dogovor o zajedničkoj strukturi razina rizika navedenih u savjetima o putovanjima s pomoću sigurne platforme ESVD-a. Ako je moguće, ta koordinacija trebala bi se odvijati </w:t>
      </w:r>
      <w:r w:rsidRPr="000B3838">
        <w:rPr>
          <w:noProof/>
          <w:color w:val="000000" w:themeColor="text1"/>
        </w:rPr>
        <w:t>u ranoj fazi u kojoj države članice planiraju promijeniti razinu svojih savjeta o putovanjima</w:t>
      </w:r>
      <w:r w:rsidRPr="000B3838">
        <w:rPr>
          <w:noProof/>
        </w:rPr>
        <w:t>.</w:t>
      </w:r>
    </w:p>
    <w:p w14:paraId="2480DCD6" w14:textId="4C73117A" w:rsidR="00477C13" w:rsidRPr="000B3838" w:rsidRDefault="0D71EE05" w:rsidP="00C107C4">
      <w:pPr>
        <w:pStyle w:val="ManualConsidrant"/>
        <w:rPr>
          <w:noProof/>
        </w:rPr>
      </w:pPr>
      <w:r>
        <w:rPr>
          <w:noProof/>
        </w:rPr>
        <w:t>(26)</w:t>
      </w:r>
      <w:r>
        <w:rPr>
          <w:noProof/>
        </w:rPr>
        <w:tab/>
      </w:r>
      <w:r w:rsidRPr="000B3838">
        <w:rPr>
          <w:noProof/>
        </w:rPr>
        <w:t>Učinkovita suradnja presudna je za osiguranje djelotvornog odgovora na krizne situacije. Kako bi se osigurala takva suradnja, Centar za odgovor na krizne situacije ESVD-a i Koordinacijski centar za odgovor na hitne situacije Komisije trebali bi podupirati države članice. Koordinirani odgovor Unije na krizne situacije posebno je važan onda kad su potrebne evakuacije kako bi se osiguralo da se potpora pruža učinkovito i da se dostupni kapaciteti za evakuaciju iskorištavaju na najbolji način. Stoga bi se informacije o dostupnom kapacitetu za evakuaciju trebale dijeliti pravodobno, među ostalim kad je riječ o operacijama spašavanja i evakuacijama vojnim sredstvima.</w:t>
      </w:r>
    </w:p>
    <w:p w14:paraId="7EA4C05A" w14:textId="77777777" w:rsidR="00503114" w:rsidRPr="000B3838" w:rsidRDefault="65EE0206" w:rsidP="00C107C4">
      <w:pPr>
        <w:pStyle w:val="ManualConsidrant"/>
        <w:rPr>
          <w:noProof/>
        </w:rPr>
      </w:pPr>
      <w:r>
        <w:rPr>
          <w:noProof/>
        </w:rPr>
        <w:t>(27)</w:t>
      </w:r>
      <w:r>
        <w:rPr>
          <w:noProof/>
        </w:rPr>
        <w:tab/>
      </w:r>
      <w:r w:rsidRPr="000B3838">
        <w:rPr>
          <w:noProof/>
        </w:rPr>
        <w:t>Pandemija bolesti COVID-19 ukazala je na potrebu za zajedničkim djelovanjem država članica i međusobnom potporom u kontekstu multidisciplinarnih kriznih skupina, odnosno zajedničkih konzularnih skupina. Raspoređivanje zajedničke konzularne skupine u treću zemlju u kriznoj situaciji može biti od presudne važnosti u sprečavanju preopterećenja konzularnih tijela država članica s predstavništvom u konkretnoj situaciji.</w:t>
      </w:r>
    </w:p>
    <w:p w14:paraId="117428E5" w14:textId="49D22B7F" w:rsidR="00503114" w:rsidRPr="000B3838" w:rsidRDefault="00CC37EE" w:rsidP="00C107C4">
      <w:pPr>
        <w:pStyle w:val="ManualConsidrant"/>
        <w:rPr>
          <w:noProof/>
        </w:rPr>
      </w:pPr>
      <w:r>
        <w:rPr>
          <w:noProof/>
        </w:rPr>
        <w:t>(28)</w:t>
      </w:r>
      <w:r>
        <w:rPr>
          <w:noProof/>
        </w:rPr>
        <w:tab/>
      </w:r>
      <w:r w:rsidRPr="000B3838">
        <w:rPr>
          <w:noProof/>
        </w:rPr>
        <w:t>Zajedničke konzularne skupine trebale bi se temeljiti na načelima dobrovoljnog sudjelovanja, solidarnosti s državama članicama s predstavništvom, ravnopravnosti u donošenju odluka o unutarnjem radnom ustrojstvu, jednostavnosti sastava skupina, dijeljenja troškova – tako da svaka država članica, institucija ili tijelo Unije snosi vlastite operativne troškove – fleksibilnosti, vidljivosti koordiniranog odgovorna Unije i otvorenosti prema relevantnim trećim zemljama.</w:t>
      </w:r>
    </w:p>
    <w:p w14:paraId="305197C2" w14:textId="6A16006C" w:rsidR="003F1F7B" w:rsidRPr="000B3838" w:rsidRDefault="2B993514" w:rsidP="00C107C4">
      <w:pPr>
        <w:pStyle w:val="ManualConsidrant"/>
        <w:rPr>
          <w:noProof/>
        </w:rPr>
      </w:pPr>
      <w:r>
        <w:rPr>
          <w:noProof/>
        </w:rPr>
        <w:lastRenderedPageBreak/>
        <w:t>(29)</w:t>
      </w:r>
      <w:r>
        <w:rPr>
          <w:noProof/>
        </w:rPr>
        <w:tab/>
      </w:r>
      <w:r w:rsidRPr="000B3838">
        <w:rPr>
          <w:noProof/>
        </w:rPr>
        <w:t xml:space="preserve">Kako bi se na najbolji način iskoristio dostupan kapacitet u kriznim situacijama, pri raspoređivanju zajedničkih konzularnih skupina trebale bi se osigurati sinergije s drugim mjerama odgovora na krizne situacije, kao što je iskorištavanje odlaznih repatrijacijskih letova ili letova kojima se prevozi humanitarna pomoć. </w:t>
      </w:r>
    </w:p>
    <w:p w14:paraId="060075F5" w14:textId="669960DC" w:rsidR="00BD6B02" w:rsidRPr="000B3838" w:rsidRDefault="008B4F85" w:rsidP="00C107C4">
      <w:pPr>
        <w:pStyle w:val="ManualConsidrant"/>
        <w:rPr>
          <w:noProof/>
        </w:rPr>
      </w:pPr>
      <w:r>
        <w:rPr>
          <w:noProof/>
        </w:rPr>
        <w:t>(30)</w:t>
      </w:r>
      <w:r>
        <w:rPr>
          <w:noProof/>
        </w:rPr>
        <w:tab/>
      </w:r>
      <w:r w:rsidRPr="000B3838">
        <w:rPr>
          <w:noProof/>
        </w:rPr>
        <w:t xml:space="preserve">Kako bi se pružila potpora građanima Unije kojima je potrebna pomoć, važno im je dostaviti pouzdane informacije o tome kako mogu dobiti konzularnu pomoć u trećim zemljama. Službe Komisije i ESVD trebali bi doprinositi tom cilju širenjem relevantnih informacija, među ostalim onima koje države članice dostavljaju o svojim konzularnim mrežama i trećim zemljama u kojima su sklopile praktične aranžmane za podjelu odgovornosti za pružanje konzularne zaštite građanima bez predstavništva. Kako bi se olakšala obrada tih informacija, one bi se trebale dostavljati u strojno čitljivom formatu. </w:t>
      </w:r>
    </w:p>
    <w:p w14:paraId="2A5D75EB" w14:textId="54F33202" w:rsidR="002452E5" w:rsidRPr="000B3838" w:rsidRDefault="007E66C8" w:rsidP="00C107C4">
      <w:pPr>
        <w:pStyle w:val="ManualConsidrant"/>
        <w:rPr>
          <w:noProof/>
        </w:rPr>
      </w:pPr>
      <w:r>
        <w:rPr>
          <w:noProof/>
        </w:rPr>
        <w:t>(31)</w:t>
      </w:r>
      <w:r>
        <w:rPr>
          <w:noProof/>
        </w:rPr>
        <w:tab/>
      </w:r>
      <w:r w:rsidRPr="000B3838">
        <w:rPr>
          <w:noProof/>
        </w:rPr>
        <w:t>Države članice trebale bi poduzeti dodatne mjere kako bi dodatno doprinijele povećanju informiranosti građana Unije o pravu na konzularnu zaštitu, uzimajući u obzir i specifične potrebe osoba s invaliditetom. Budući da to podrazumijeva ograničene troškove za države članice, jedan mogući način povećanja informiranosti građana o pravu na zaštitu od strane diplomatskih i konzularnih tijela bilo bi uključivanje riječi iz članka 23. UFEU-a u putovnice koje izdaju države članice, što se već preporučuje Preporukom Komisije C(2007) 5841</w:t>
      </w:r>
      <w:r w:rsidRPr="000B3838">
        <w:rPr>
          <w:rStyle w:val="FootnoteReference0"/>
          <w:noProof/>
        </w:rPr>
        <w:footnoteReference w:id="32"/>
      </w:r>
      <w:r w:rsidRPr="000B3838">
        <w:rPr>
          <w:noProof/>
        </w:rPr>
        <w:t>. Države članice mogle bi informacije o pravu građana bez predstavništva na konzularnu zaštitu uključiti i u savjete o putovanjima i kampanje povezane s konzularnom pomoći. Mogle bi i surađivati s pružateljima usluga prijevoza putnika i prometnim čvorištima koji nude putovanja u treće zemlje, na primjer tako da ih pozovu da dodaju relevantne informacije o pravu na konzularnu zaštitu u informativne materijale koje stavljaju na raspolaganje klijentima.</w:t>
      </w:r>
    </w:p>
    <w:p w14:paraId="26EACBCE" w14:textId="103BE974" w:rsidR="00086700" w:rsidRPr="000B3838" w:rsidRDefault="436A94EE" w:rsidP="00C107C4">
      <w:pPr>
        <w:pStyle w:val="ManualConsidrant"/>
        <w:rPr>
          <w:noProof/>
        </w:rPr>
      </w:pPr>
      <w:r>
        <w:rPr>
          <w:noProof/>
        </w:rPr>
        <w:t>(32)</w:t>
      </w:r>
      <w:r>
        <w:rPr>
          <w:noProof/>
        </w:rPr>
        <w:tab/>
      </w:r>
      <w:r w:rsidRPr="000B3838">
        <w:rPr>
          <w:noProof/>
        </w:rPr>
        <w:t xml:space="preserve">Financijske odredbe Direktive (EU) 2015/637 trebale bi se prilagoditi kako bi se pojednostavnile naknade i nastavilo osiguranje raspodjele financijskog tereta. Konkretnije, građani bez predstavništva trebali bi moći izravno nadoknaditi troškove, pod istim uvjetima kao državljani države članice koja pruža pomoć, za uslugu koju ta država članica pruža kako bi se izbjeglo administrativno opterećenje koje proizlazi iz traženja naknade od države članice državljanstva građanina. Osim toga, države članice trebale bi imati pravo odreći se naplate tih troškova. Građani bez predstavništva u određenim situacijama možda neće moći platiti pri podnošenju zahtjeva za pomoć, posebice ako su im novac i načini pristupa financijskim sredstvima ukradeni, zbog čega je potrebno predvidjeti da konzularna tijela države članice koja pruža pomoć od njih mogu zatražiti da potpišu obvezu isplate. Tijela države članice koja pruža pomoć mogu na temelju te potpisane obveze zatražiti naknadu troškova nakon isteka četiri tjedna od pružanja pomoći. </w:t>
      </w:r>
    </w:p>
    <w:p w14:paraId="1899750E" w14:textId="6577D1FE" w:rsidR="00CC3AB9" w:rsidRPr="000B3838" w:rsidRDefault="361D2656" w:rsidP="00C107C4">
      <w:pPr>
        <w:pStyle w:val="ManualConsidrant"/>
        <w:rPr>
          <w:noProof/>
        </w:rPr>
      </w:pPr>
      <w:r>
        <w:rPr>
          <w:noProof/>
        </w:rPr>
        <w:t>(33)</w:t>
      </w:r>
      <w:r>
        <w:rPr>
          <w:noProof/>
        </w:rPr>
        <w:tab/>
      </w:r>
      <w:r w:rsidRPr="000B3838">
        <w:rPr>
          <w:noProof/>
        </w:rPr>
        <w:t>Ako građanin nije izravno isplatio troškove, odnosno neposredno pri podnošenju zahtjeva ili poslije kad je to država članica koja pruža pomoć zatražila na temelju potpisane obveze isplate, država članica koja pomaže trebala bi imati pravo zatražiti naknadu neplaćenih troškova od države članice državljanstva građanina bez predstavništva. Kako bi se izbjeglo dostavljanje zahtjeva za naknadu nakon dugo vremena, država članica koja pruža pomoć i država članica državljanstva trebale bi imati razuman rok za dostavljanje zahtjeva i isplatu naknade.</w:t>
      </w:r>
    </w:p>
    <w:p w14:paraId="522C5E0C" w14:textId="4AEBFFC8" w:rsidR="005C1294" w:rsidRPr="000B3838" w:rsidRDefault="00174109" w:rsidP="00174109">
      <w:pPr>
        <w:pStyle w:val="ManualConsidrant"/>
        <w:rPr>
          <w:noProof/>
        </w:rPr>
      </w:pPr>
      <w:r>
        <w:rPr>
          <w:noProof/>
        </w:rPr>
        <w:lastRenderedPageBreak/>
        <w:t>(34)</w:t>
      </w:r>
      <w:r>
        <w:rPr>
          <w:noProof/>
        </w:rPr>
        <w:tab/>
      </w:r>
      <w:r w:rsidRPr="000B3838">
        <w:rPr>
          <w:noProof/>
        </w:rPr>
        <w:t xml:space="preserve">Države članice trebale bi nadoknađivati troškove delegacija Unije za njihovu potporu u pružanju konzularne zaštite građanima bez predstavništva kako bi se osiguralo da se ta potpora pruža na troškovno neutralnoj osnovi, u skladu s člankom 5. stavkom 10. Odluke 2010/427/EU. </w:t>
      </w:r>
    </w:p>
    <w:p w14:paraId="0B20C289" w14:textId="4A5CF3AC" w:rsidR="00CA4875" w:rsidRPr="000B3838" w:rsidRDefault="732EF1DC" w:rsidP="00C107C4">
      <w:pPr>
        <w:pStyle w:val="ManualConsidrant"/>
        <w:rPr>
          <w:noProof/>
        </w:rPr>
      </w:pPr>
      <w:r>
        <w:rPr>
          <w:noProof/>
        </w:rPr>
        <w:t>(35)</w:t>
      </w:r>
      <w:r>
        <w:rPr>
          <w:noProof/>
        </w:rPr>
        <w:tab/>
      </w:r>
      <w:r w:rsidRPr="000B3838">
        <w:rPr>
          <w:noProof/>
        </w:rPr>
        <w:t>Obrasci iz priloga I. i II. Direktivi (EU) 2015/637 zastarjeli su i stoga bi se trebali ukloniti. To ne bi trebalo spriječiti države članice koje trenutačno predviđaju upotrebu tih obrazaca u nacionalnom pravu da ih nastave upotrebljavati nakon donošenja ove Direktive.</w:t>
      </w:r>
    </w:p>
    <w:p w14:paraId="10E82C06" w14:textId="5F8C74C0" w:rsidR="005350F8" w:rsidRPr="000B3838" w:rsidRDefault="00977848" w:rsidP="00C107C4">
      <w:pPr>
        <w:pStyle w:val="ManualConsidrant"/>
        <w:rPr>
          <w:noProof/>
        </w:rPr>
      </w:pPr>
      <w:r>
        <w:rPr>
          <w:noProof/>
        </w:rPr>
        <w:t>(36)</w:t>
      </w:r>
      <w:r>
        <w:rPr>
          <w:noProof/>
        </w:rPr>
        <w:tab/>
      </w:r>
      <w:r w:rsidRPr="000B3838">
        <w:rPr>
          <w:noProof/>
        </w:rPr>
        <w:t>Pri pružanju pomoći u kriznim situacijama može biti nemoguće ili u praksi neizvedivo razlikovati građane bez predstavništva i s predstavništvom te mogućnost pružanja pomoći osobama bez predstavništva može zahtijevati ili podrazumijevati pomoć i građanima Unije koji možda imaju predstavništvo. Trebalo bi pojasniti da bi se u takvim situacijama odredbe Direktive (EU) 2015/637 o naknadi troškova trebale primjenjivati i na konzularnu zaštitu koju država članica koja pruža pomoć pruža građanima druge države članice s predstavništvom. Tim bi se izbjeglo postojanje dvaju zasebnih postupaka nadoknade ovisno o tome smatra li se da je osoba kojoj se pruža pomoć građanin s predstavništvom ili bez predstavništva.</w:t>
      </w:r>
    </w:p>
    <w:p w14:paraId="70705A90" w14:textId="2A67CD2E" w:rsidR="00FC7892" w:rsidRPr="000B3838" w:rsidRDefault="00A36485" w:rsidP="00C107C4">
      <w:pPr>
        <w:pStyle w:val="ManualConsidrant"/>
        <w:rPr>
          <w:noProof/>
        </w:rPr>
      </w:pPr>
      <w:r>
        <w:rPr>
          <w:noProof/>
        </w:rPr>
        <w:t>(37)</w:t>
      </w:r>
      <w:r>
        <w:rPr>
          <w:noProof/>
        </w:rPr>
        <w:tab/>
      </w:r>
      <w:r w:rsidRPr="000B3838">
        <w:rPr>
          <w:noProof/>
        </w:rPr>
        <w:t>Ako se Mehanizam Unije za civilnu zaštitu u skladu s člankom 16. stavkom 7. Odluke br. 1313/2013/EU Europskog parlamenta i Vijeća</w:t>
      </w:r>
      <w:r w:rsidRPr="000B3838">
        <w:rPr>
          <w:rStyle w:val="FootnoteReference0"/>
          <w:noProof/>
        </w:rPr>
        <w:footnoteReference w:id="33"/>
      </w:r>
      <w:r w:rsidRPr="000B3838">
        <w:rPr>
          <w:noProof/>
        </w:rPr>
        <w:t xml:space="preserve"> upotrebljava za potporu civilne zaštite konzularnoj pomoći građanima Unije u slučaju katastrofa u trećim zemljama, primjenjuju se financijske odredbe te odluke. Konkretnije, države članice koje traže financijsku pomoć i ostvaruju korist od te pomoći Komisiji dostavljaju informacije o financijskim doprinosima prikupljenima iz drugih izvora, među ostalim od država članica i građana kojima je pružena pomoć, kako se osiguralo da ne dolazi do dvostrukog financiranja iz drugih izvora. </w:t>
      </w:r>
    </w:p>
    <w:p w14:paraId="791719BC" w14:textId="4268ADB1" w:rsidR="00304682" w:rsidRPr="000B3838" w:rsidRDefault="14888A3E" w:rsidP="00C107C4">
      <w:pPr>
        <w:pStyle w:val="ManualConsidrant"/>
        <w:rPr>
          <w:noProof/>
        </w:rPr>
      </w:pPr>
      <w:r>
        <w:rPr>
          <w:noProof/>
        </w:rPr>
        <w:t>(38)</w:t>
      </w:r>
      <w:r>
        <w:rPr>
          <w:noProof/>
        </w:rPr>
        <w:tab/>
      </w:r>
      <w:r w:rsidRPr="000B3838">
        <w:rPr>
          <w:noProof/>
        </w:rPr>
        <w:t>Kako bi se osigurali jedinstveni uvjeti za provedbu ove Direktive u pogledu strojno čitljivog formata koji države članice upotrebljavaju za dostavu informacija i obrazaca koji se upotrebljavaju u kontekstu financijskih postupaka, Komisiji bi trebalo dodijeliti provedbene ovlasti. Te bi ovlasti trebalo</w:t>
      </w:r>
      <w:r w:rsidRPr="000B3838">
        <w:rPr>
          <w:rStyle w:val="italic1"/>
          <w:i w:val="0"/>
          <w:noProof/>
        </w:rPr>
        <w:t xml:space="preserve"> izvršavati </w:t>
      </w:r>
      <w:r w:rsidRPr="000B3838">
        <w:rPr>
          <w:noProof/>
        </w:rPr>
        <w:t>u skladu s Uredbom (EU) br. 182/2011 Europskog parlamenta i Vijeća</w:t>
      </w:r>
      <w:r w:rsidRPr="000B3838">
        <w:rPr>
          <w:rStyle w:val="FootnoteReference0"/>
          <w:noProof/>
        </w:rPr>
        <w:footnoteReference w:id="34"/>
      </w:r>
      <w:r w:rsidRPr="000B3838">
        <w:rPr>
          <w:noProof/>
        </w:rPr>
        <w:t xml:space="preserve">. </w:t>
      </w:r>
    </w:p>
    <w:p w14:paraId="58C28956" w14:textId="3C0C6071" w:rsidR="007F3DC6" w:rsidRPr="000B3838" w:rsidRDefault="64D39A99" w:rsidP="00C42E66">
      <w:pPr>
        <w:pStyle w:val="ManualConsidrant"/>
        <w:rPr>
          <w:noProof/>
        </w:rPr>
      </w:pPr>
      <w:r>
        <w:rPr>
          <w:noProof/>
        </w:rPr>
        <w:t>(39)</w:t>
      </w:r>
      <w:r>
        <w:rPr>
          <w:noProof/>
        </w:rPr>
        <w:tab/>
      </w:r>
      <w:r w:rsidRPr="000B3838">
        <w:rPr>
          <w:noProof/>
        </w:rPr>
        <w:t>Za pružanje konzularne zaštite građanima bez predstavništva potrebna je obrada osobnih podataka u svrhu provjere identiteta osobe koja traži konzularnu zaštitu, suradnje i koordinacije između tijela države članice koja pruža pomoć i države članice državljanstva, pružanja zatražene pomoći, obrade zahtjevâ za financijsku naknadu i razmjene relevantnih kontaktnih podataka. Sva obrada osobnih podataka koju provode države članice trebala bi biti u skladu s Uredbom (EU) 2016/679 Europskog parlamenta i Vijeća</w:t>
      </w:r>
      <w:r w:rsidRPr="000B3838">
        <w:rPr>
          <w:rStyle w:val="FootnoteReference0"/>
          <w:noProof/>
        </w:rPr>
        <w:footnoteReference w:id="35"/>
      </w:r>
      <w:r w:rsidRPr="000B3838">
        <w:rPr>
          <w:noProof/>
        </w:rPr>
        <w:t xml:space="preserve">, među ostalim s načelima ograničavanja svrhe i smanjenja količine podataka. Slično tome, obrada osobnih podataka koju provode institucije i </w:t>
      </w:r>
      <w:r w:rsidRPr="000B3838">
        <w:rPr>
          <w:noProof/>
        </w:rPr>
        <w:lastRenderedPageBreak/>
        <w:t>tijela Unije u smislu Uredbe (EU) 2018/1725 Europskog parlamenta i Vijeća</w:t>
      </w:r>
      <w:r w:rsidRPr="000B3838">
        <w:rPr>
          <w:rStyle w:val="FootnoteReference0"/>
          <w:noProof/>
        </w:rPr>
        <w:footnoteReference w:id="36"/>
      </w:r>
      <w:r w:rsidRPr="000B3838">
        <w:rPr>
          <w:noProof/>
        </w:rPr>
        <w:t xml:space="preserve"> trebala bi biti u skladu s pravilima utvrđenima u toj uredbi.</w:t>
      </w:r>
    </w:p>
    <w:p w14:paraId="48C2B5C2" w14:textId="05D553C5" w:rsidR="008A1FFE" w:rsidRPr="000B3838" w:rsidRDefault="008A1FFE" w:rsidP="001A14C2">
      <w:pPr>
        <w:pStyle w:val="ManualConsidrant"/>
        <w:rPr>
          <w:noProof/>
        </w:rPr>
      </w:pPr>
      <w:r>
        <w:rPr>
          <w:noProof/>
        </w:rPr>
        <w:t>(40)</w:t>
      </w:r>
      <w:r>
        <w:rPr>
          <w:noProof/>
        </w:rPr>
        <w:tab/>
      </w:r>
      <w:r w:rsidRPr="000B3838">
        <w:rPr>
          <w:noProof/>
        </w:rPr>
        <w:t>Budući da se konzularne zadaće mogu znatno razlikovati i uključivati osjetljive situacije kao što su uhićenje, oduzimanje slobode, ozljede ili pomoć žrtvi kaznenog djela, potrebno je osigurati da nadležna tijela država članica i relevantne institucije i tijela Unije imaju pristup svim informacijama, među ostalim osobnim podacima, koje su potrebne za pružanje konzularne zaštite građanima Unije te da ih mogu razmjenjivati. U tom bi kontekstu nadležna tijela država članica i, kad pružaju pomoć, institucije i tijela Unije trebali imati pravo na obradu posebnih kategorija osobnih podataka ako je to nužno za pružanje konzularne zaštite predmetnoj osobi. To bi trebalo obuhvaćati zdravstvene podatke, koje može biti potrebno obrađivati kako bi se pružila konzularna zaštita građaninu bez predstavništva koji je ozbiljno ozlijeđen ili ozbiljno bolestan. Prikazi lica osoba trebaju se obrađivati posebno u slučajevima u kojima se izdaje privremena putna isprava EU-a. Za pružanje pomoći građaninu bez predstavništva, među ostalim u obrani pravnih zahtjeva, može u izvanrednim slučajevima biti potrebna i obrada osobnih podataka koji otkrivaju rasno ili etničko podrijetlo, politička mišljenja, vjerska ili filozofska uvjerenja ili članstvo u sindikatu ili podataka koji se odnose na seksualnu orijentaciju pojedinca. U određenim slučajevima za pružanje konzularne pomoći može biti potrebna i obrada genetskih podataka, kao što je pri pružanju pomoći u kontekstu ozbiljnih nesreća u kojima je potrebna jedinstvena identifikacija onesposobljene osobe ili u kontekstu utvrđivanja obiteljskog srodstva. Naposljetku, u konzularnim predmetima povezanima s uhićenjem ili pritvorom nadležna tijela vjerojatno će morati obrađivati osobne podatke koji se odnose na kaznene osude i kažnjiva djela.</w:t>
      </w:r>
    </w:p>
    <w:p w14:paraId="70C3B2DC" w14:textId="0C054C55" w:rsidR="00EA1EC6" w:rsidRPr="000B3838" w:rsidRDefault="00EA1EC6" w:rsidP="0029161D">
      <w:pPr>
        <w:pStyle w:val="ManualConsidrant"/>
        <w:rPr>
          <w:noProof/>
        </w:rPr>
      </w:pPr>
      <w:r>
        <w:rPr>
          <w:noProof/>
        </w:rPr>
        <w:t>(41)</w:t>
      </w:r>
      <w:r>
        <w:rPr>
          <w:noProof/>
        </w:rPr>
        <w:tab/>
      </w:r>
      <w:r w:rsidRPr="000B3838">
        <w:rPr>
          <w:noProof/>
        </w:rPr>
        <w:t>Pri obradi tih posebnih kategorija osobnih podataka nadležna tijela država članica te institucije i tijela Unije trebali bi osigurati prikladne i posebne mjere za zaštitu interesa ispitanika. To bi, ako je moguće, trebalo uključivati enkripciju tih osobnih podataka i posebnu dodjelu prava pristupa osoblju koje ima pristup određenim vrstama posebnih kategorija osobnih podataka.</w:t>
      </w:r>
    </w:p>
    <w:p w14:paraId="1EB18488" w14:textId="673F5589" w:rsidR="009D72FA" w:rsidRPr="000B3838" w:rsidRDefault="1E1481EB" w:rsidP="00C107C4">
      <w:pPr>
        <w:pStyle w:val="ManualConsidrant"/>
        <w:rPr>
          <w:noProof/>
        </w:rPr>
      </w:pPr>
      <w:r>
        <w:rPr>
          <w:noProof/>
        </w:rPr>
        <w:t>(42)</w:t>
      </w:r>
      <w:r>
        <w:rPr>
          <w:noProof/>
        </w:rPr>
        <w:tab/>
      </w:r>
      <w:r w:rsidRPr="000B3838">
        <w:rPr>
          <w:noProof/>
        </w:rPr>
        <w:t>Ako je za pružanje konzularne zaštite potreban prijenos osobnih podataka građana Unije trećim zemljama ili međunarodnim organizacijama, kao što su Ujedinjeni narodi, koje surađuju u mjerama odgovora na krizne situacije, ti prijenosi trebali bi biti u skladu s poglavljem V. Uredbe (EU) 2016/679 i poglavljem V. Uredbe (EU) 2018/1725.</w:t>
      </w:r>
    </w:p>
    <w:p w14:paraId="1B360A62" w14:textId="33C2E3FE" w:rsidR="00EE53F5" w:rsidRPr="000B3838" w:rsidRDefault="2A51E64B" w:rsidP="00C107C4">
      <w:pPr>
        <w:pStyle w:val="ManualConsidrant"/>
        <w:rPr>
          <w:noProof/>
        </w:rPr>
      </w:pPr>
      <w:r>
        <w:rPr>
          <w:noProof/>
        </w:rPr>
        <w:t>(43)</w:t>
      </w:r>
      <w:r>
        <w:rPr>
          <w:noProof/>
        </w:rPr>
        <w:tab/>
      </w:r>
      <w:r w:rsidRPr="000B3838">
        <w:rPr>
          <w:noProof/>
        </w:rPr>
        <w:t xml:space="preserve">Potrebno je podrobnije utvrditi zaštitne mjere primjenjive na obrađene osobne podatke, primjerice najdulje razdoblje zadržavanja prikupljenih osobnih podataka. Kako bi se osigurala naplata svih primjenjivih troškova, potrebno je najdulje razdoblje zadržavanja od 12 mjeseci za državu članicu koja pruža pomoć ili institucije i tijela Unije te 24 mjeseca za državu članicu državljanstva. Dulje razdoblje zadržavanja primjenjivo na državu članicu državljanstva potrebno je i kako bi se spriječila moguća zloupotreba ili druge prijevarne radnje, među ostalim od strane osoba koje opetovano traže konzularnu zaštitu i pokušavaju to sakriti tako što podnose zahtjeve konzularnim tijelima različitih država članica. Naposljetku, ako se osobni podaci odnose na </w:t>
      </w:r>
      <w:r w:rsidRPr="000B3838">
        <w:rPr>
          <w:noProof/>
        </w:rPr>
        <w:lastRenderedPageBreak/>
        <w:t>kontaktne podatke javnih dužnosnika kao što su počasni konzuli, ti osobni podaci trebali bi se zadržavati sve dok je ta osoba relevantna osoba za kontakt. Brisanje osobnih podataka podnositeljâ zahtjeva ne bi trebalo utjecati na sposobnost država članica da prate primjenu ove Direktive.</w:t>
      </w:r>
    </w:p>
    <w:p w14:paraId="56D56796" w14:textId="09A91461" w:rsidR="005A67E7" w:rsidRPr="000B3838" w:rsidRDefault="005A67E7" w:rsidP="00C107C4">
      <w:pPr>
        <w:pStyle w:val="ManualConsidrant"/>
        <w:rPr>
          <w:noProof/>
        </w:rPr>
      </w:pPr>
      <w:r>
        <w:rPr>
          <w:noProof/>
        </w:rPr>
        <w:t>(44)</w:t>
      </w:r>
      <w:r>
        <w:rPr>
          <w:noProof/>
        </w:rPr>
        <w:tab/>
      </w:r>
      <w:r w:rsidRPr="000B3838">
        <w:rPr>
          <w:noProof/>
        </w:rPr>
        <w:t xml:space="preserve">U skladu s člankom 47. Povelje svatko čija su prava i slobode zajamčeni pravom Unije povrijeđeni mora imati pravo na djelotvoran pravni lijek. Kako bi se to temeljno pravo provelo u kontekstu konzularne zaštite, u Direktivu (EU) 2015/637 trebala bi se dodati odredba o pravnom lijeku. </w:t>
      </w:r>
    </w:p>
    <w:p w14:paraId="4CCB85D7" w14:textId="56B149F5" w:rsidR="009F79D0" w:rsidRPr="000B3838" w:rsidRDefault="2F1A3BA5" w:rsidP="00C107C4">
      <w:pPr>
        <w:pStyle w:val="ManualConsidrant"/>
        <w:rPr>
          <w:noProof/>
        </w:rPr>
      </w:pPr>
      <w:r>
        <w:rPr>
          <w:noProof/>
        </w:rPr>
        <w:t>(45)</w:t>
      </w:r>
      <w:r>
        <w:rPr>
          <w:noProof/>
        </w:rPr>
        <w:tab/>
      </w:r>
      <w:r w:rsidRPr="000B3838">
        <w:rPr>
          <w:noProof/>
        </w:rPr>
        <w:t>Direktivu (EU) 2015/637 trebalo bi stoga na odgovarajući način izmijeniti.</w:t>
      </w:r>
    </w:p>
    <w:p w14:paraId="36DA56A8" w14:textId="367F7181" w:rsidR="00E617A0" w:rsidRPr="000B3838" w:rsidRDefault="53FE58CB" w:rsidP="00C107C4">
      <w:pPr>
        <w:pStyle w:val="ManualConsidrant"/>
        <w:rPr>
          <w:noProof/>
        </w:rPr>
      </w:pPr>
      <w:r>
        <w:rPr>
          <w:noProof/>
        </w:rPr>
        <w:t>(46)</w:t>
      </w:r>
      <w:r>
        <w:rPr>
          <w:noProof/>
        </w:rPr>
        <w:tab/>
      </w:r>
      <w:r w:rsidRPr="000B3838">
        <w:rPr>
          <w:noProof/>
        </w:rPr>
        <w:t>S obzirom na to da ciljeve ove Direktive ne mogu dostatno ostvariti države članice, nego se zbog nužnosti prilagodbe postojećih pravila na razini Unije oni na bolji način mogu ostvariti na razini Unije, Unija može donijeti mjere u skladu s načelom supsidijarnosti utvrđenim u članku 5. UEU-a. U skladu s načelom proporcionalnosti utvrđenim u tom članku ova Direktiva ne prelazi ono što je potrebno za ostvarivanje tih ciljeva.</w:t>
      </w:r>
    </w:p>
    <w:p w14:paraId="713B44CB" w14:textId="77777777" w:rsidR="00304682" w:rsidRPr="000B3838" w:rsidRDefault="0DEECCB8" w:rsidP="00C107C4">
      <w:pPr>
        <w:pStyle w:val="ManualConsidrant"/>
        <w:rPr>
          <w:noProof/>
        </w:rPr>
      </w:pPr>
      <w:r>
        <w:rPr>
          <w:noProof/>
        </w:rPr>
        <w:t>(47)</w:t>
      </w:r>
      <w:r>
        <w:rPr>
          <w:noProof/>
        </w:rPr>
        <w:tab/>
      </w:r>
      <w:r w:rsidRPr="000B3838">
        <w:rPr>
          <w:noProof/>
        </w:rPr>
        <w:t>U skladu sa Zajedničkom političkom izjavom država članica i Komisije od 28. rujna 2011. o dokumentima s objašnjenjima</w:t>
      </w:r>
      <w:r w:rsidRPr="000B3838">
        <w:rPr>
          <w:rStyle w:val="FootnoteReference0"/>
          <w:noProof/>
        </w:rPr>
        <w:footnoteReference w:id="37"/>
      </w:r>
      <w:r w:rsidRPr="000B3838">
        <w:rPr>
          <w:noProof/>
        </w:rPr>
        <w:t xml:space="preserve"> države članice obvezale su se da će u opravdanim slučajevima uz obavijest o svojim mjerama za prenošenje priložiti jedan ili više dokumenata u kojima se objašnjava veza između dijelova direktive i odgovarajućih dijelova nacionalnih instrumenata za prenošenje. U pogledu ove Direktive zakonodavac smatra opravdanim dostavljanje takvih dokumenata.</w:t>
      </w:r>
    </w:p>
    <w:p w14:paraId="4E50D926" w14:textId="77777777" w:rsidR="008542D1" w:rsidRPr="000B3838" w:rsidRDefault="081E440C" w:rsidP="00C107C4">
      <w:pPr>
        <w:pStyle w:val="ManualConsidrant"/>
        <w:rPr>
          <w:noProof/>
        </w:rPr>
      </w:pPr>
      <w:r>
        <w:rPr>
          <w:noProof/>
        </w:rPr>
        <w:t>(48)</w:t>
      </w:r>
      <w:r>
        <w:rPr>
          <w:noProof/>
        </w:rPr>
        <w:tab/>
      </w:r>
      <w:r w:rsidRPr="000B3838">
        <w:rPr>
          <w:noProof/>
        </w:rPr>
        <w:t>Provedeno je savjetovanje s Europskim nadzornikom za zaštitu podataka u skladu s člankom 42. stavkom 1. Uredbe (EU) 2018/1725 te je on dao mišljenje XXXX</w:t>
      </w:r>
      <w:r w:rsidRPr="000B3838">
        <w:rPr>
          <w:rStyle w:val="FootnoteReference0"/>
          <w:noProof/>
        </w:rPr>
        <w:footnoteReference w:id="38"/>
      </w:r>
      <w:r w:rsidRPr="000B3838">
        <w:rPr>
          <w:noProof/>
        </w:rPr>
        <w:t>,</w:t>
      </w:r>
    </w:p>
    <w:p w14:paraId="0EA75BA0" w14:textId="77777777" w:rsidR="00304682" w:rsidRPr="000B3838" w:rsidRDefault="00304682">
      <w:pPr>
        <w:pStyle w:val="Formuledadoption"/>
        <w:rPr>
          <w:noProof/>
        </w:rPr>
      </w:pPr>
      <w:r w:rsidRPr="000B3838">
        <w:rPr>
          <w:noProof/>
        </w:rPr>
        <w:t>DONIJELO JE OVU DIREKTIVU:</w:t>
      </w:r>
    </w:p>
    <w:p w14:paraId="4572D447" w14:textId="77777777" w:rsidR="00304682" w:rsidRPr="000B3838" w:rsidRDefault="00304682">
      <w:pPr>
        <w:pStyle w:val="Titrearticle"/>
        <w:rPr>
          <w:noProof/>
        </w:rPr>
      </w:pPr>
      <w:r w:rsidRPr="000B3838">
        <w:rPr>
          <w:noProof/>
        </w:rPr>
        <w:t>Članak 1.</w:t>
      </w:r>
    </w:p>
    <w:p w14:paraId="614688C0" w14:textId="77777777" w:rsidR="00304682" w:rsidRPr="000B3838" w:rsidRDefault="002710FB" w:rsidP="002710FB">
      <w:pPr>
        <w:rPr>
          <w:noProof/>
        </w:rPr>
      </w:pPr>
      <w:r w:rsidRPr="000B3838">
        <w:rPr>
          <w:noProof/>
        </w:rPr>
        <w:t>Direktiva (EU) 2015/637 mijenja se kako slijedi:</w:t>
      </w:r>
    </w:p>
    <w:p w14:paraId="69F9093C" w14:textId="77777777" w:rsidR="002710FB" w:rsidRPr="000B3838" w:rsidRDefault="00C61736" w:rsidP="00E76033">
      <w:pPr>
        <w:pStyle w:val="Point0"/>
        <w:rPr>
          <w:noProof/>
        </w:rPr>
      </w:pPr>
      <w:r>
        <w:rPr>
          <w:noProof/>
        </w:rPr>
        <w:t>(1)</w:t>
      </w:r>
      <w:r>
        <w:rPr>
          <w:noProof/>
        </w:rPr>
        <w:tab/>
      </w:r>
      <w:r w:rsidRPr="000B3838">
        <w:rPr>
          <w:noProof/>
        </w:rPr>
        <w:t>članci 6. i 7. zamjenjuju se sljedećim:</w:t>
      </w:r>
    </w:p>
    <w:p w14:paraId="11E43AAF" w14:textId="77777777" w:rsidR="00507EBB" w:rsidRPr="000B3838" w:rsidRDefault="00B527B6" w:rsidP="00087922">
      <w:pPr>
        <w:pStyle w:val="Titrearticle"/>
        <w:rPr>
          <w:noProof/>
        </w:rPr>
      </w:pPr>
      <w:r w:rsidRPr="000B3838">
        <w:rPr>
          <w:noProof/>
        </w:rPr>
        <w:t xml:space="preserve">„Članak 6. </w:t>
      </w:r>
      <w:r w:rsidRPr="000B3838">
        <w:rPr>
          <w:noProof/>
        </w:rPr>
        <w:cr/>
      </w:r>
      <w:r w:rsidRPr="000B3838">
        <w:rPr>
          <w:noProof/>
        </w:rPr>
        <w:br/>
        <w:t>Nepostojanje predstavništva</w:t>
      </w:r>
    </w:p>
    <w:p w14:paraId="7BAC1706" w14:textId="77777777" w:rsidR="00B527B6" w:rsidRPr="000B3838" w:rsidRDefault="006D4A93" w:rsidP="006D4A93">
      <w:pPr>
        <w:pStyle w:val="Point1"/>
        <w:rPr>
          <w:noProof/>
        </w:rPr>
      </w:pPr>
      <w:r w:rsidRPr="000B3838">
        <w:rPr>
          <w:noProof/>
        </w:rPr>
        <w:t>1.</w:t>
      </w:r>
      <w:r w:rsidRPr="000B3838">
        <w:rPr>
          <w:noProof/>
        </w:rPr>
        <w:tab/>
        <w:t>Za potrebe ove Direktive država članica nema predstavništvo u trećoj zemlji ako u toj zemlji nema stalno uspostavljeno veleposlanstvo ili konzulat ili u njoj nema veleposlanstvo ili konzulat koji bi u pojedinom predmetu stvarno bili u stanju pružiti konzularnu zaštitu.</w:t>
      </w:r>
    </w:p>
    <w:p w14:paraId="13FC3E03" w14:textId="77777777" w:rsidR="002F5D25" w:rsidRPr="000B3838" w:rsidRDefault="006D4A93" w:rsidP="006D4A93">
      <w:pPr>
        <w:pStyle w:val="Point1"/>
        <w:rPr>
          <w:noProof/>
        </w:rPr>
      </w:pPr>
      <w:r w:rsidRPr="000B3838">
        <w:rPr>
          <w:noProof/>
        </w:rPr>
        <w:t>2.</w:t>
      </w:r>
      <w:r w:rsidRPr="000B3838">
        <w:rPr>
          <w:noProof/>
        </w:rPr>
        <w:tab/>
        <w:t>Kako bi se utvrdilo ima li država članica veleposlanstvo ili konzulat koji bi u pojedinom predmetu stvarno bio u mogućnosti pružiti konzularnu zaštitu, veleposlanstvo ili konzulat od kojeg građanin bez predstavništva traži konzularnu zaštitu uzima u obzir sljedeće kriterije, s obzirom na lokalne okolnosti:</w:t>
      </w:r>
    </w:p>
    <w:p w14:paraId="4EE3C43E" w14:textId="65CDEA6A" w:rsidR="002F5D25" w:rsidRPr="000B3838" w:rsidRDefault="00911E33" w:rsidP="006D4A93">
      <w:pPr>
        <w:pStyle w:val="Point2"/>
        <w:rPr>
          <w:noProof/>
        </w:rPr>
      </w:pPr>
      <w:r>
        <w:rPr>
          <w:noProof/>
        </w:rPr>
        <w:lastRenderedPageBreak/>
        <w:t>(a)</w:t>
      </w:r>
      <w:r>
        <w:rPr>
          <w:noProof/>
        </w:rPr>
        <w:tab/>
      </w:r>
      <w:r w:rsidRPr="000B3838">
        <w:rPr>
          <w:noProof/>
        </w:rPr>
        <w:t>koliko je teško predmetnom građaninu u razumnom roku sigurno stupiti u kontakt s veleposlanstvom ili konzulatom države članice čiji je državljanin ili koliko je njegovu veleposlanstvu ili konzulatu teško u razumnom roku sigurno stupiti u kontakt s građaninom, uzimajući u obzir prirodu i hitnost zatražene pomoći te sredstva dostupna građaninu;</w:t>
      </w:r>
    </w:p>
    <w:p w14:paraId="12EC5F7C" w14:textId="77777777" w:rsidR="002F5D25" w:rsidRPr="000B3838" w:rsidRDefault="00273CFE" w:rsidP="006D4A93">
      <w:pPr>
        <w:pStyle w:val="Point2"/>
        <w:rPr>
          <w:noProof/>
        </w:rPr>
      </w:pPr>
      <w:r>
        <w:rPr>
          <w:noProof/>
        </w:rPr>
        <w:t>(b)</w:t>
      </w:r>
      <w:r>
        <w:rPr>
          <w:noProof/>
        </w:rPr>
        <w:tab/>
      </w:r>
      <w:r w:rsidRPr="000B3838">
        <w:rPr>
          <w:noProof/>
        </w:rPr>
        <w:t>moguće zatvaranje veleposlanstva ili konzulata države članice čiji je državljanin, među ostalim ako nije moguće u razumnom roku potvrditi da su u funkciji i dostupni;</w:t>
      </w:r>
    </w:p>
    <w:p w14:paraId="1117CD2D" w14:textId="77777777" w:rsidR="002F5D25" w:rsidRPr="000B3838" w:rsidRDefault="00360205" w:rsidP="006D4A93">
      <w:pPr>
        <w:pStyle w:val="Point2"/>
        <w:rPr>
          <w:noProof/>
        </w:rPr>
      </w:pPr>
      <w:r>
        <w:rPr>
          <w:noProof/>
        </w:rPr>
        <w:t>(c)</w:t>
      </w:r>
      <w:r>
        <w:rPr>
          <w:noProof/>
        </w:rPr>
        <w:tab/>
      </w:r>
      <w:r w:rsidRPr="000B3838">
        <w:rPr>
          <w:noProof/>
        </w:rPr>
        <w:t>bi li preusmjeravanje građanina na veleposlanstvo ili konzulat države članice čiji je državljanin vjerojatno ugrozilo konzularnu zaštitu, a osobito ako je zbog žurnosti potrebno da veleposlanstvo ili konzulat od kojeg je zatražena zaštita djeluje odmah.</w:t>
      </w:r>
    </w:p>
    <w:p w14:paraId="5926E281" w14:textId="6E9431FF" w:rsidR="00F2526D" w:rsidRPr="000B3838" w:rsidRDefault="00585433" w:rsidP="006D4A93">
      <w:pPr>
        <w:pStyle w:val="Point1"/>
        <w:rPr>
          <w:noProof/>
        </w:rPr>
      </w:pPr>
      <w:r w:rsidRPr="000B3838">
        <w:rPr>
          <w:noProof/>
        </w:rPr>
        <w:t>3.</w:t>
      </w:r>
      <w:r w:rsidRPr="000B3838">
        <w:rPr>
          <w:noProof/>
        </w:rPr>
        <w:tab/>
        <w:t>Za potrebe utvrđivanja ima li država članica veleposlanstvo ili konzulat koji bi u pojedinom predmetu stvarno bio u mogućnosti pružiti konzularnu zaštitu u skladu sa stavkom 2., prisutnost počasnog konzula države članice čiji je građanin državljanin može se uzeti u obzir samo ako pomoć koju građanin traži spada pod nadležnost počasnog konzula.</w:t>
      </w:r>
    </w:p>
    <w:p w14:paraId="43CC60AE" w14:textId="77777777" w:rsidR="00507EBB" w:rsidRPr="000B3838" w:rsidRDefault="00F2526D" w:rsidP="00087922">
      <w:pPr>
        <w:pStyle w:val="Titrearticle"/>
        <w:rPr>
          <w:noProof/>
        </w:rPr>
      </w:pPr>
      <w:r w:rsidRPr="000B3838">
        <w:rPr>
          <w:noProof/>
        </w:rPr>
        <w:t xml:space="preserve">Članak 7. </w:t>
      </w:r>
      <w:r w:rsidRPr="000B3838">
        <w:rPr>
          <w:noProof/>
        </w:rPr>
        <w:cr/>
      </w:r>
      <w:r w:rsidRPr="000B3838">
        <w:rPr>
          <w:noProof/>
        </w:rPr>
        <w:br/>
        <w:t>Pristup konzularnoj zaštiti i drugi aranžmani</w:t>
      </w:r>
    </w:p>
    <w:p w14:paraId="12A5C9AE" w14:textId="77777777" w:rsidR="00507EBB" w:rsidRPr="000B3838" w:rsidRDefault="00507EBB" w:rsidP="00507EBB">
      <w:pPr>
        <w:pStyle w:val="Point1"/>
        <w:rPr>
          <w:noProof/>
        </w:rPr>
      </w:pPr>
      <w:r w:rsidRPr="000B3838">
        <w:rPr>
          <w:noProof/>
        </w:rPr>
        <w:t>1.</w:t>
      </w:r>
      <w:r w:rsidRPr="000B3838">
        <w:rPr>
          <w:noProof/>
        </w:rPr>
        <w:tab/>
        <w:t>Građani bez predstavništva imaju pravo tražiti zaštitu od veleposlanstva ili konzulata bilo koje države članice.</w:t>
      </w:r>
    </w:p>
    <w:p w14:paraId="7D36E336" w14:textId="77777777" w:rsidR="00507EBB" w:rsidRPr="000B3838" w:rsidRDefault="00507EBB" w:rsidP="00507EBB">
      <w:pPr>
        <w:pStyle w:val="Point1"/>
        <w:rPr>
          <w:noProof/>
        </w:rPr>
      </w:pPr>
      <w:r w:rsidRPr="000B3838">
        <w:rPr>
          <w:noProof/>
        </w:rPr>
        <w:t>2.</w:t>
      </w:r>
      <w:r w:rsidRPr="000B3838">
        <w:rPr>
          <w:noProof/>
        </w:rPr>
        <w:tab/>
        <w:t>Ne dovodeći u pitanje članak 2., jedna država članica može trajno predstavljati drugu državu članicu te veleposlanstva ili konzulati država članica mogu, kad god se to smatra potrebnim, sklapati praktične aranžmane o podjeli odgovornosti za pružanje konzularne zaštite građanima bez predstavništva.</w:t>
      </w:r>
    </w:p>
    <w:p w14:paraId="3DB78800" w14:textId="4D095E8C" w:rsidR="00F2156E" w:rsidRPr="000B3838" w:rsidRDefault="00793158" w:rsidP="005C65B7">
      <w:pPr>
        <w:pStyle w:val="Text2"/>
        <w:rPr>
          <w:noProof/>
        </w:rPr>
      </w:pPr>
      <w:r w:rsidRPr="000B3838">
        <w:rPr>
          <w:noProof/>
        </w:rPr>
        <w:t>U takvim slučajevima veleposlanstvo ili konzulat od kojeg građanin bez predstavništva zatraži konzularnu zaštitu, a koji u skladu s posebnim aranžmanom koji je na snazi nije određen kao nadležan, prenosi zahtjev tog građanina na odgovarajuće veleposlanstvo ili konzulat, osim ako bi to ugrozilo konzularnu zaštitu, a osobito ako je zbog žurnosti potrebno da veleposlanstvo ili konzulat od kojeg je zatražena zaštita djeluje odmah.</w:t>
      </w:r>
    </w:p>
    <w:p w14:paraId="44E94BBB" w14:textId="17FDAC62" w:rsidR="00F2156E" w:rsidRPr="000B3838" w:rsidRDefault="00654682" w:rsidP="00F2156E">
      <w:pPr>
        <w:pStyle w:val="Point1"/>
        <w:rPr>
          <w:noProof/>
        </w:rPr>
      </w:pPr>
      <w:r w:rsidRPr="000B3838">
        <w:rPr>
          <w:noProof/>
        </w:rPr>
        <w:t>3.</w:t>
      </w:r>
      <w:r w:rsidRPr="000B3838">
        <w:rPr>
          <w:noProof/>
        </w:rPr>
        <w:tab/>
        <w:t>Ako krizna situacija uzrokuje velik broj zahtjeva za konzularnu zaštitu, veleposlanstva i konzulati država članica s predstavništvom u predmetnoj trećoj zemlji mogu se, uz potporu delegacija Unije, dogovoriti o raspodjeli zahtjeva na temelju dostupnog kapaciteta, osim ako bi to ugrozilo konzularnu zaštitu, a osobito ako je zbog žurnosti potrebno da veleposlanstvo ili konzulat od kojeg je zatražena zaštita djeluje odmah. Ta raspodjela može se i unaprijed dogovoriti u kontekstu zajedničkog konzularnog plana za slučaj nužde iz članka 13. i može odstupati od praktičnih aranžmana sklopljenih u skladu sa stavkom 2.</w:t>
      </w:r>
    </w:p>
    <w:p w14:paraId="450B15B5" w14:textId="76590E08" w:rsidR="001A1700" w:rsidRPr="000B3838" w:rsidRDefault="00654682" w:rsidP="001A1700">
      <w:pPr>
        <w:pStyle w:val="Point1"/>
        <w:rPr>
          <w:noProof/>
        </w:rPr>
      </w:pPr>
      <w:r w:rsidRPr="000B3838">
        <w:rPr>
          <w:noProof/>
        </w:rPr>
        <w:t>4.</w:t>
      </w:r>
      <w:r w:rsidRPr="000B3838">
        <w:rPr>
          <w:noProof/>
        </w:rPr>
        <w:tab/>
        <w:t>Građane bez predstavništva koji traže zaštitu u skladu sa stavkom 1. informira se o svim prijenosima u skladu sa stavkom 2. ili 3.”;</w:t>
      </w:r>
    </w:p>
    <w:p w14:paraId="554C9340" w14:textId="77777777" w:rsidR="00F2526D" w:rsidRPr="000B3838" w:rsidRDefault="00BA388E" w:rsidP="00F2526D">
      <w:pPr>
        <w:pStyle w:val="Point0"/>
        <w:rPr>
          <w:noProof/>
        </w:rPr>
      </w:pPr>
      <w:r>
        <w:rPr>
          <w:noProof/>
        </w:rPr>
        <w:t>(2)</w:t>
      </w:r>
      <w:r>
        <w:rPr>
          <w:noProof/>
        </w:rPr>
        <w:tab/>
      </w:r>
      <w:r w:rsidRPr="000B3838">
        <w:rPr>
          <w:noProof/>
        </w:rPr>
        <w:t>u članku 9. točke (e) i (f) zamjenjuju se sljedećima:</w:t>
      </w:r>
    </w:p>
    <w:p w14:paraId="75B9D790" w14:textId="77777777" w:rsidR="00EB02AB" w:rsidRPr="000B3838" w:rsidRDefault="00EB02AB" w:rsidP="00EB02AB">
      <w:pPr>
        <w:pStyle w:val="Text1"/>
        <w:rPr>
          <w:noProof/>
        </w:rPr>
      </w:pPr>
      <w:r w:rsidRPr="000B3838">
        <w:rPr>
          <w:noProof/>
        </w:rPr>
        <w:t>„(e) podrška, evakuacija i repatrijacija u hitnim slučajevima;</w:t>
      </w:r>
    </w:p>
    <w:p w14:paraId="28943519" w14:textId="77777777" w:rsidR="00A467EC" w:rsidRPr="000B3838" w:rsidRDefault="00FC415E" w:rsidP="00EB02AB">
      <w:pPr>
        <w:pStyle w:val="Text1"/>
        <w:rPr>
          <w:noProof/>
        </w:rPr>
      </w:pPr>
      <w:r w:rsidRPr="000B3838">
        <w:rPr>
          <w:noProof/>
        </w:rPr>
        <w:lastRenderedPageBreak/>
        <w:t>(f) pomoć u slučaju potrebe za privremenom putnom ispravom EU-a uspostavljenom Direktivom (EU) 2019/997*.</w:t>
      </w:r>
    </w:p>
    <w:p w14:paraId="06444ABE" w14:textId="77777777" w:rsidR="00A467EC" w:rsidRPr="000B3838" w:rsidRDefault="00A467EC" w:rsidP="00A467EC">
      <w:pPr>
        <w:pStyle w:val="Text1"/>
        <w:rPr>
          <w:noProof/>
        </w:rPr>
      </w:pPr>
      <w:r w:rsidRPr="000B3838">
        <w:rPr>
          <w:noProof/>
        </w:rPr>
        <w:t>_______________</w:t>
      </w:r>
    </w:p>
    <w:p w14:paraId="758F9CEE" w14:textId="21AE4EEF" w:rsidR="00FC415E" w:rsidRPr="000B3838" w:rsidRDefault="00A467EC" w:rsidP="00A467EC">
      <w:pPr>
        <w:pStyle w:val="Text1"/>
        <w:rPr>
          <w:noProof/>
        </w:rPr>
      </w:pPr>
      <w:r w:rsidRPr="000B3838">
        <w:rPr>
          <w:noProof/>
        </w:rPr>
        <w:t xml:space="preserve">* Direktiva Vijeća (EU) 2019/997 od 18. lipnja 2019. o uspostavljanju privremene putne isprave EU-a i stavljanju izvan snage Odluke 96/409/ZVSP (SL L 163, 20.6.2019., str. 1., ELI: </w:t>
      </w:r>
      <w:hyperlink r:id="rId19" w:history="1">
        <w:r w:rsidRPr="000B3838">
          <w:rPr>
            <w:rStyle w:val="Hyperlink"/>
            <w:noProof/>
          </w:rPr>
          <w:t>http://data.europa.eu/eli/dir/2019/997/oj</w:t>
        </w:r>
      </w:hyperlink>
      <w:r w:rsidRPr="000B3838">
        <w:rPr>
          <w:noProof/>
        </w:rPr>
        <w:t>).”;</w:t>
      </w:r>
    </w:p>
    <w:p w14:paraId="0282CC33" w14:textId="2C2BA4AC" w:rsidR="00DE2D03" w:rsidRPr="000B3838" w:rsidRDefault="007377C0">
      <w:pPr>
        <w:pStyle w:val="Point0"/>
        <w:rPr>
          <w:noProof/>
        </w:rPr>
      </w:pPr>
      <w:r>
        <w:rPr>
          <w:noProof/>
        </w:rPr>
        <w:t>(3)</w:t>
      </w:r>
      <w:r>
        <w:rPr>
          <w:noProof/>
        </w:rPr>
        <w:tab/>
      </w:r>
      <w:r w:rsidRPr="000B3838">
        <w:rPr>
          <w:noProof/>
        </w:rPr>
        <w:t>članak 10. mijenja se kako slijedi:</w:t>
      </w:r>
    </w:p>
    <w:p w14:paraId="12A3DEE8" w14:textId="7F7EA518" w:rsidR="0041753B" w:rsidRPr="000B3838" w:rsidRDefault="00074DB7" w:rsidP="0041753B">
      <w:pPr>
        <w:pStyle w:val="Point1"/>
        <w:rPr>
          <w:noProof/>
        </w:rPr>
      </w:pPr>
      <w:r>
        <w:rPr>
          <w:noProof/>
        </w:rPr>
        <w:t>(a)</w:t>
      </w:r>
      <w:r>
        <w:rPr>
          <w:noProof/>
        </w:rPr>
        <w:tab/>
      </w:r>
      <w:r w:rsidRPr="000B3838">
        <w:rPr>
          <w:noProof/>
        </w:rPr>
        <w:t>stavak 4. zamjenjuje se sljedećim:</w:t>
      </w:r>
    </w:p>
    <w:p w14:paraId="66BC6CA4" w14:textId="5F3A6CA4" w:rsidR="00074DB7" w:rsidRPr="000B3838" w:rsidRDefault="00074DB7" w:rsidP="00587507">
      <w:pPr>
        <w:pStyle w:val="Text2"/>
        <w:rPr>
          <w:noProof/>
        </w:rPr>
      </w:pPr>
      <w:r w:rsidRPr="000B3838">
        <w:rPr>
          <w:noProof/>
        </w:rPr>
        <w:t>„4. Države članice obavješćuju Europsku službu za vanjsko djelovanje (ESVD) putem njezine sigurne internetske stranice o odgovarajućoj kontaktnoj točki ili točkama pri ministarstvima vanjskih poslova.”;</w:t>
      </w:r>
    </w:p>
    <w:p w14:paraId="4E20934B" w14:textId="372E9F59" w:rsidR="00674F59" w:rsidRPr="000B3838" w:rsidRDefault="0041753B" w:rsidP="0041753B">
      <w:pPr>
        <w:pStyle w:val="Point1"/>
        <w:rPr>
          <w:noProof/>
        </w:rPr>
      </w:pPr>
      <w:r>
        <w:rPr>
          <w:noProof/>
        </w:rPr>
        <w:t>(b)</w:t>
      </w:r>
      <w:r>
        <w:rPr>
          <w:noProof/>
        </w:rPr>
        <w:tab/>
      </w:r>
      <w:r w:rsidRPr="000B3838">
        <w:rPr>
          <w:noProof/>
        </w:rPr>
        <w:t>dodaje se sljedeći stavak 5.:</w:t>
      </w:r>
    </w:p>
    <w:p w14:paraId="6EE078CC" w14:textId="7B7F1E37" w:rsidR="00396076" w:rsidRPr="000B3838" w:rsidRDefault="00396076" w:rsidP="00587507">
      <w:pPr>
        <w:pStyle w:val="Text2"/>
        <w:rPr>
          <w:noProof/>
        </w:rPr>
      </w:pPr>
      <w:r w:rsidRPr="000B3838">
        <w:rPr>
          <w:noProof/>
        </w:rPr>
        <w:t>„5. Ako je to primjereno i potrebno kako bi se pružila konzularna zaštita, države članice u svoje mjere koordinacije i suradnje mogu uključiti počasne konzule te svoje sigurnosno i vojno osoblje, međunarodne organizacije ili diplomatska i konzularna tijela trećih zemalja.”;</w:t>
      </w:r>
    </w:p>
    <w:p w14:paraId="348713C3" w14:textId="56B70FA7" w:rsidR="00037296" w:rsidRPr="000B3838" w:rsidRDefault="00037296" w:rsidP="00037296">
      <w:pPr>
        <w:pStyle w:val="Point0"/>
        <w:rPr>
          <w:noProof/>
        </w:rPr>
      </w:pPr>
      <w:r>
        <w:rPr>
          <w:noProof/>
        </w:rPr>
        <w:t>(4)</w:t>
      </w:r>
      <w:r>
        <w:rPr>
          <w:noProof/>
        </w:rPr>
        <w:tab/>
      </w:r>
      <w:r w:rsidRPr="000B3838">
        <w:rPr>
          <w:noProof/>
        </w:rPr>
        <w:t>članci 11., 12. i 13. zamjenjuju se sljedećim:</w:t>
      </w:r>
    </w:p>
    <w:p w14:paraId="3D0DEEBD" w14:textId="77777777" w:rsidR="00687E90" w:rsidRPr="000B3838" w:rsidRDefault="00687E90" w:rsidP="00087922">
      <w:pPr>
        <w:pStyle w:val="Titrearticle"/>
        <w:rPr>
          <w:noProof/>
        </w:rPr>
      </w:pPr>
      <w:r w:rsidRPr="000B3838">
        <w:rPr>
          <w:noProof/>
        </w:rPr>
        <w:t xml:space="preserve">„Članak 11. </w:t>
      </w:r>
      <w:r w:rsidRPr="000B3838">
        <w:rPr>
          <w:noProof/>
        </w:rPr>
        <w:cr/>
      </w:r>
      <w:r w:rsidRPr="000B3838">
        <w:rPr>
          <w:noProof/>
        </w:rPr>
        <w:br/>
        <w:t>Uloga delegacija Unije</w:t>
      </w:r>
    </w:p>
    <w:p w14:paraId="5A8CACC3" w14:textId="1091F75F" w:rsidR="00FA14BF" w:rsidRPr="000B3838" w:rsidRDefault="00FA14BF" w:rsidP="00FA14BF">
      <w:pPr>
        <w:pStyle w:val="Point1"/>
        <w:rPr>
          <w:noProof/>
        </w:rPr>
      </w:pPr>
      <w:r w:rsidRPr="000B3838">
        <w:rPr>
          <w:noProof/>
        </w:rPr>
        <w:t xml:space="preserve">1. </w:t>
      </w:r>
      <w:r w:rsidRPr="000B3838">
        <w:rPr>
          <w:noProof/>
        </w:rPr>
        <w:tab/>
        <w:t>Delegacije Unije blisko surađuju te se koordiniraju s veleposlanstvima i konzulatima država članica kako bi pridonijele konzularnoj suradnji na lokalnoj razini, pripravnosti za krizne situacije i odgovoru na krizne situacije, osobito:</w:t>
      </w:r>
    </w:p>
    <w:p w14:paraId="61CCA874" w14:textId="77777777" w:rsidR="00FA14BF" w:rsidRPr="000B3838" w:rsidRDefault="00FA14BF" w:rsidP="00FA14BF">
      <w:pPr>
        <w:pStyle w:val="Point2"/>
        <w:rPr>
          <w:noProof/>
        </w:rPr>
      </w:pPr>
      <w:r>
        <w:rPr>
          <w:noProof/>
        </w:rPr>
        <w:t>(a)</w:t>
      </w:r>
      <w:r>
        <w:rPr>
          <w:noProof/>
        </w:rPr>
        <w:tab/>
      </w:r>
      <w:r w:rsidRPr="000B3838">
        <w:rPr>
          <w:noProof/>
        </w:rPr>
        <w:t>pružanjem dostupne logističke podrške, uključujući uredski i organizacijski prostor, kao što je privremeni smještaj za konzularno osoblje i zajedničke konzularne skupine iz članka 13.a stavka 2.;</w:t>
      </w:r>
    </w:p>
    <w:p w14:paraId="03674E66" w14:textId="77777777" w:rsidR="00FA14BF" w:rsidRPr="000B3838" w:rsidRDefault="00FA14BF" w:rsidP="00FA14BF">
      <w:pPr>
        <w:pStyle w:val="Point2"/>
        <w:rPr>
          <w:noProof/>
        </w:rPr>
      </w:pPr>
      <w:r>
        <w:rPr>
          <w:noProof/>
        </w:rPr>
        <w:t>(b)</w:t>
      </w:r>
      <w:r>
        <w:rPr>
          <w:noProof/>
        </w:rPr>
        <w:tab/>
      </w:r>
      <w:r w:rsidRPr="000B3838">
        <w:rPr>
          <w:noProof/>
        </w:rPr>
        <w:t>olakšavanjem razmjene informacija između veleposlanstava i konzulata država članica;</w:t>
      </w:r>
    </w:p>
    <w:p w14:paraId="2D3753E1" w14:textId="77777777" w:rsidR="00FA14BF" w:rsidRPr="000B3838" w:rsidRDefault="00FA14BF" w:rsidP="00FA14BF">
      <w:pPr>
        <w:pStyle w:val="Point2"/>
        <w:rPr>
          <w:noProof/>
        </w:rPr>
      </w:pPr>
      <w:r>
        <w:rPr>
          <w:noProof/>
        </w:rPr>
        <w:t>(c)</w:t>
      </w:r>
      <w:r>
        <w:rPr>
          <w:noProof/>
        </w:rPr>
        <w:tab/>
      </w:r>
      <w:r w:rsidRPr="000B3838">
        <w:rPr>
          <w:noProof/>
        </w:rPr>
        <w:t>olakšavanjem, prema potrebi, razmjene informacija s lokalnim tijelima, diplomatskim i konzularnim tijelima trećih zemalja te međunarodnim organizacijama;</w:t>
      </w:r>
    </w:p>
    <w:p w14:paraId="3E99BAC0" w14:textId="77777777" w:rsidR="00FA14BF" w:rsidRPr="000B3838" w:rsidRDefault="00FA14BF" w:rsidP="00FA14BF">
      <w:pPr>
        <w:pStyle w:val="Point2"/>
        <w:rPr>
          <w:noProof/>
        </w:rPr>
      </w:pPr>
      <w:r>
        <w:rPr>
          <w:noProof/>
        </w:rPr>
        <w:t>(d)</w:t>
      </w:r>
      <w:r>
        <w:rPr>
          <w:noProof/>
        </w:rPr>
        <w:tab/>
      </w:r>
      <w:r w:rsidRPr="000B3838">
        <w:rPr>
          <w:noProof/>
        </w:rPr>
        <w:t>stavljanjem na raspolaganje općih informacija o pomoći na koju bi građani bez predstavništva mogli imati pravo, osobito o sklopljenim praktičnim aranžmanima, ako je to primjenjivo;</w:t>
      </w:r>
    </w:p>
    <w:p w14:paraId="2A9E33B0" w14:textId="2DC7A781" w:rsidR="00FA14BF" w:rsidRPr="000B3838" w:rsidRDefault="00FA14BF" w:rsidP="00FA14BF">
      <w:pPr>
        <w:pStyle w:val="Point2"/>
        <w:rPr>
          <w:noProof/>
        </w:rPr>
      </w:pPr>
      <w:r>
        <w:rPr>
          <w:noProof/>
        </w:rPr>
        <w:t>(e)</w:t>
      </w:r>
      <w:r>
        <w:rPr>
          <w:noProof/>
        </w:rPr>
        <w:tab/>
      </w:r>
      <w:r w:rsidRPr="000B3838">
        <w:rPr>
          <w:noProof/>
        </w:rPr>
        <w:t>predsjedanjem sastancima u okviru konzularne suradnje na lokalnoj razini iz članka 12. stavka 2.;</w:t>
      </w:r>
    </w:p>
    <w:p w14:paraId="1231BBE9" w14:textId="77777777" w:rsidR="00FA14BF" w:rsidRPr="000B3838" w:rsidRDefault="004738D9" w:rsidP="00FA14BF">
      <w:pPr>
        <w:pStyle w:val="Point2"/>
        <w:rPr>
          <w:noProof/>
        </w:rPr>
      </w:pPr>
      <w:r>
        <w:rPr>
          <w:noProof/>
        </w:rPr>
        <w:t>(f)</w:t>
      </w:r>
      <w:r>
        <w:rPr>
          <w:noProof/>
        </w:rPr>
        <w:tab/>
      </w:r>
      <w:r w:rsidRPr="000B3838">
        <w:rPr>
          <w:noProof/>
        </w:rPr>
        <w:t>koordinacijom izrade i dogovora zajedničkih konzularnih planova za slučaj nužde iz članka 13.;</w:t>
      </w:r>
    </w:p>
    <w:p w14:paraId="19028C60" w14:textId="77777777" w:rsidR="00FA14BF" w:rsidRPr="000B3838" w:rsidRDefault="00F159A3" w:rsidP="00FA14BF">
      <w:pPr>
        <w:pStyle w:val="Point2"/>
        <w:rPr>
          <w:noProof/>
        </w:rPr>
      </w:pPr>
      <w:r>
        <w:rPr>
          <w:noProof/>
        </w:rPr>
        <w:t>(g)</w:t>
      </w:r>
      <w:r>
        <w:rPr>
          <w:noProof/>
        </w:rPr>
        <w:tab/>
      </w:r>
      <w:r w:rsidRPr="000B3838">
        <w:rPr>
          <w:noProof/>
        </w:rPr>
        <w:t xml:space="preserve">sudjelovanjem u aktivnostima odgovora na krizne situacije u skladu s člankom 13.a, među ostalim, prema potrebi i ako je relevantno, pružanjem potpore vodećoj državi. </w:t>
      </w:r>
    </w:p>
    <w:p w14:paraId="11CFF13B" w14:textId="095B3ADB" w:rsidR="001F0985" w:rsidRPr="000B3838" w:rsidRDefault="00FA14BF" w:rsidP="00FA14BF">
      <w:pPr>
        <w:pStyle w:val="Point1"/>
        <w:rPr>
          <w:noProof/>
        </w:rPr>
      </w:pPr>
      <w:r w:rsidRPr="000B3838">
        <w:rPr>
          <w:noProof/>
        </w:rPr>
        <w:lastRenderedPageBreak/>
        <w:t xml:space="preserve">2. </w:t>
      </w:r>
      <w:r w:rsidRPr="000B3838">
        <w:rPr>
          <w:noProof/>
        </w:rPr>
        <w:tab/>
        <w:t>Delegacije Unije podupiru države članice u pružanju konzularne zaštite građanima bez predstavništva u skladu s člankom 5. stavkom 10. Odluke 2010/427/EU. Ta potpora može uključivati, na zahtjev i u ime država članica, određene zadaće konzularne zaštite. Država članica koja pruža pomoć i država članica državljanstva delegaciji Unije dostavljaju sve relevantne informacije o dotičnom predmetu.</w:t>
      </w:r>
    </w:p>
    <w:p w14:paraId="71661A4E" w14:textId="57A6D19D" w:rsidR="001D020E" w:rsidRPr="000B3838" w:rsidRDefault="001D020E" w:rsidP="00BA095F">
      <w:pPr>
        <w:pStyle w:val="Titrearticle"/>
        <w:rPr>
          <w:noProof/>
        </w:rPr>
      </w:pPr>
      <w:r w:rsidRPr="000B3838">
        <w:rPr>
          <w:noProof/>
        </w:rPr>
        <w:t xml:space="preserve">Članak 12. </w:t>
      </w:r>
      <w:r w:rsidRPr="000B3838">
        <w:rPr>
          <w:noProof/>
        </w:rPr>
        <w:cr/>
      </w:r>
      <w:r w:rsidRPr="000B3838">
        <w:rPr>
          <w:noProof/>
        </w:rPr>
        <w:br/>
        <w:t>Konzularna suradnja na lokalnoj razini</w:t>
      </w:r>
    </w:p>
    <w:p w14:paraId="3A545AE1" w14:textId="3DB7596C" w:rsidR="004B3C56" w:rsidRPr="000B3838" w:rsidRDefault="0065353A" w:rsidP="0065353A">
      <w:pPr>
        <w:pStyle w:val="Point1"/>
        <w:rPr>
          <w:noProof/>
        </w:rPr>
      </w:pPr>
      <w:r w:rsidRPr="000B3838">
        <w:rPr>
          <w:noProof/>
        </w:rPr>
        <w:t xml:space="preserve">1.  </w:t>
      </w:r>
      <w:r w:rsidRPr="000B3838">
        <w:rPr>
          <w:noProof/>
        </w:rPr>
        <w:tab/>
        <w:t>Konzularna tijela država članica i delegacije Unije sudjeluju u konzularnoj suradnji na lokalnoj razini u svakoj trećoj zemlji.</w:t>
      </w:r>
    </w:p>
    <w:p w14:paraId="6B489477" w14:textId="77777777" w:rsidR="0065353A" w:rsidRPr="000B3838" w:rsidRDefault="0065353A" w:rsidP="0065353A">
      <w:pPr>
        <w:pStyle w:val="Point1"/>
        <w:rPr>
          <w:noProof/>
        </w:rPr>
      </w:pPr>
      <w:r w:rsidRPr="000B3838">
        <w:rPr>
          <w:noProof/>
        </w:rPr>
        <w:t xml:space="preserve">2. </w:t>
      </w:r>
      <w:r w:rsidRPr="000B3838">
        <w:rPr>
          <w:noProof/>
        </w:rPr>
        <w:tab/>
        <w:t xml:space="preserve">Sastanci u okviru konzularne suradnje na lokalnoj razini uključuju redovitu razmjenu informacija o sljedećem: </w:t>
      </w:r>
    </w:p>
    <w:p w14:paraId="5A748174" w14:textId="521E4B17" w:rsidR="0065353A" w:rsidRPr="000B3838" w:rsidRDefault="0065353A" w:rsidP="00E76033">
      <w:pPr>
        <w:pStyle w:val="Point2"/>
        <w:rPr>
          <w:noProof/>
        </w:rPr>
      </w:pPr>
      <w:r>
        <w:rPr>
          <w:noProof/>
        </w:rPr>
        <w:t>(a)</w:t>
      </w:r>
      <w:r>
        <w:rPr>
          <w:noProof/>
        </w:rPr>
        <w:tab/>
      </w:r>
      <w:r w:rsidRPr="000B3838">
        <w:rPr>
          <w:noProof/>
        </w:rPr>
        <w:t>sigurnosti i zaštiti građana Unije te o drugim pitanjima relevantnima za njih;</w:t>
      </w:r>
    </w:p>
    <w:p w14:paraId="42973275" w14:textId="77777777" w:rsidR="0065353A" w:rsidRPr="000B3838" w:rsidRDefault="0065353A" w:rsidP="0065353A">
      <w:pPr>
        <w:pStyle w:val="Point2"/>
        <w:rPr>
          <w:noProof/>
        </w:rPr>
      </w:pPr>
      <w:r>
        <w:rPr>
          <w:noProof/>
        </w:rPr>
        <w:t>(b)</w:t>
      </w:r>
      <w:r>
        <w:rPr>
          <w:noProof/>
        </w:rPr>
        <w:tab/>
      </w:r>
      <w:r w:rsidRPr="000B3838">
        <w:rPr>
          <w:noProof/>
        </w:rPr>
        <w:t>izradi nacrta i dostavi zajedničkih konzularnih demarševa tijelima trećih zemalja, ako je to relevantno;</w:t>
      </w:r>
    </w:p>
    <w:p w14:paraId="3D777AE3" w14:textId="77777777" w:rsidR="0065353A" w:rsidRPr="000B3838" w:rsidRDefault="0065353A" w:rsidP="0065353A">
      <w:pPr>
        <w:pStyle w:val="Point2"/>
        <w:rPr>
          <w:noProof/>
        </w:rPr>
      </w:pPr>
      <w:r>
        <w:rPr>
          <w:noProof/>
        </w:rPr>
        <w:t>(c)</w:t>
      </w:r>
      <w:r>
        <w:rPr>
          <w:noProof/>
        </w:rPr>
        <w:tab/>
      </w:r>
      <w:r w:rsidRPr="000B3838">
        <w:rPr>
          <w:noProof/>
        </w:rPr>
        <w:t>uspostavi, dogovoru i reviziji zajedničkih konzularnih planova za slučaj nužde iz članka 13.;</w:t>
      </w:r>
    </w:p>
    <w:p w14:paraId="2BB21BC6" w14:textId="77777777" w:rsidR="0065353A" w:rsidRPr="000B3838" w:rsidRDefault="0065353A" w:rsidP="0065353A">
      <w:pPr>
        <w:pStyle w:val="Point2"/>
        <w:rPr>
          <w:noProof/>
        </w:rPr>
      </w:pPr>
      <w:r>
        <w:rPr>
          <w:noProof/>
        </w:rPr>
        <w:t>(d)</w:t>
      </w:r>
      <w:r>
        <w:rPr>
          <w:noProof/>
        </w:rPr>
        <w:tab/>
      </w:r>
      <w:r w:rsidRPr="000B3838">
        <w:rPr>
          <w:noProof/>
        </w:rPr>
        <w:t>organizaciji zajedničkih konzularnih vježbi;</w:t>
      </w:r>
    </w:p>
    <w:p w14:paraId="6AE05571" w14:textId="6F338233" w:rsidR="0065353A" w:rsidRPr="000B3838" w:rsidRDefault="0065353A" w:rsidP="0065353A">
      <w:pPr>
        <w:pStyle w:val="Point2"/>
        <w:rPr>
          <w:noProof/>
        </w:rPr>
      </w:pPr>
      <w:r>
        <w:rPr>
          <w:noProof/>
        </w:rPr>
        <w:t>(e)</w:t>
      </w:r>
      <w:r>
        <w:rPr>
          <w:noProof/>
        </w:rPr>
        <w:tab/>
      </w:r>
      <w:r w:rsidRPr="000B3838">
        <w:rPr>
          <w:noProof/>
        </w:rPr>
        <w:t xml:space="preserve">praktičnim aranžmanima iz članka 7. stavka 2. kako bi se osiguralo da su građani bez predstavništva djelotvorno zaštićeni u predmetnoj trećoj zemlji. </w:t>
      </w:r>
    </w:p>
    <w:p w14:paraId="3B3ABA13" w14:textId="74116273" w:rsidR="00687E90" w:rsidRPr="000B3838" w:rsidRDefault="00630CB2" w:rsidP="00630CB2">
      <w:pPr>
        <w:pStyle w:val="Point1"/>
        <w:rPr>
          <w:noProof/>
        </w:rPr>
      </w:pPr>
      <w:r w:rsidRPr="000B3838">
        <w:rPr>
          <w:noProof/>
        </w:rPr>
        <w:t xml:space="preserve">3. </w:t>
      </w:r>
      <w:r w:rsidRPr="000B3838">
        <w:rPr>
          <w:noProof/>
        </w:rPr>
        <w:tab/>
        <w:t>Osim ako se konzularna tijela država članica dogovore drukčije, tim sastancima predsjeda predstavnik delegacije Unije. Ako nije prisutna delegacija Unije, sastancima predsjeda predstavnik države članice.</w:t>
      </w:r>
    </w:p>
    <w:p w14:paraId="570145A4" w14:textId="77777777" w:rsidR="00630CB2" w:rsidRPr="000B3838" w:rsidRDefault="00630CB2" w:rsidP="00630CB2">
      <w:pPr>
        <w:pStyle w:val="Titrearticle"/>
        <w:rPr>
          <w:noProof/>
        </w:rPr>
      </w:pPr>
      <w:r w:rsidRPr="000B3838">
        <w:rPr>
          <w:noProof/>
        </w:rPr>
        <w:t xml:space="preserve">Članak 13. </w:t>
      </w:r>
      <w:r w:rsidRPr="000B3838">
        <w:rPr>
          <w:noProof/>
        </w:rPr>
        <w:cr/>
      </w:r>
      <w:r w:rsidRPr="000B3838">
        <w:rPr>
          <w:noProof/>
        </w:rPr>
        <w:br/>
        <w:t>Pripravnost za kriznu situaciju</w:t>
      </w:r>
    </w:p>
    <w:p w14:paraId="66D97D24" w14:textId="16D1F006" w:rsidR="0035070C" w:rsidRPr="000B3838" w:rsidRDefault="0035070C" w:rsidP="0035070C">
      <w:pPr>
        <w:pStyle w:val="Point1"/>
        <w:rPr>
          <w:noProof/>
        </w:rPr>
      </w:pPr>
      <w:r w:rsidRPr="000B3838">
        <w:rPr>
          <w:noProof/>
        </w:rPr>
        <w:t xml:space="preserve">1. </w:t>
      </w:r>
      <w:r w:rsidRPr="000B3838">
        <w:rPr>
          <w:noProof/>
        </w:rPr>
        <w:tab/>
        <w:t>U kontekstu konzularne suradnje na lokalnoj razini iz članka 12. države članice i ESVD uspostavljaju i dogovaraju zajednički konzularni plan za slučaj nužde za svaku treću zemlju. Zajednički konzularni plan za slučaj nužde ažurira se svake godine i sadržava:</w:t>
      </w:r>
    </w:p>
    <w:p w14:paraId="40A2C2BE" w14:textId="0EF1CDEE" w:rsidR="0035070C" w:rsidRPr="000B3838" w:rsidRDefault="0035070C" w:rsidP="00E76033">
      <w:pPr>
        <w:pStyle w:val="Point2"/>
        <w:rPr>
          <w:noProof/>
        </w:rPr>
      </w:pPr>
      <w:r>
        <w:rPr>
          <w:noProof/>
        </w:rPr>
        <w:t>(a)</w:t>
      </w:r>
      <w:r>
        <w:rPr>
          <w:noProof/>
        </w:rPr>
        <w:tab/>
      </w:r>
      <w:r w:rsidRPr="000B3838">
        <w:rPr>
          <w:noProof/>
        </w:rPr>
        <w:t>analizu konzularne situacije u zemlji, što uključuje pregled veleposlanstava ili konzulata države članice, procjenu broja i lokacije građana Unije te procjenu rizika najvjerojatnijih scenarija koji bi mogli utjecati na građane Unije bez predstavništva;</w:t>
      </w:r>
    </w:p>
    <w:p w14:paraId="3F15C5BF" w14:textId="6D75DC54" w:rsidR="0035070C" w:rsidRPr="000B3838" w:rsidRDefault="003C31FF" w:rsidP="0035070C">
      <w:pPr>
        <w:pStyle w:val="Point2"/>
        <w:rPr>
          <w:noProof/>
        </w:rPr>
      </w:pPr>
      <w:r>
        <w:rPr>
          <w:noProof/>
        </w:rPr>
        <w:t>(b)</w:t>
      </w:r>
      <w:r>
        <w:rPr>
          <w:noProof/>
        </w:rPr>
        <w:tab/>
      </w:r>
      <w:r w:rsidRPr="000B3838">
        <w:rPr>
          <w:noProof/>
        </w:rPr>
        <w:t>zajedničke konzularne aranžmane za pripravnost za krizne situacije, što uključuje komunikacijske kanale i kontakt unutar konzularne suradnje na lokalnoj razini te s lokalnim tijelima i relevantnim trećim zemljama;</w:t>
      </w:r>
    </w:p>
    <w:p w14:paraId="414FF83E" w14:textId="5D927D8C" w:rsidR="0035070C" w:rsidRPr="000B3838" w:rsidRDefault="008A681B" w:rsidP="0035070C">
      <w:pPr>
        <w:pStyle w:val="Point2"/>
        <w:rPr>
          <w:noProof/>
        </w:rPr>
      </w:pPr>
      <w:r>
        <w:rPr>
          <w:noProof/>
        </w:rPr>
        <w:t>(c)</w:t>
      </w:r>
      <w:r>
        <w:rPr>
          <w:noProof/>
        </w:rPr>
        <w:tab/>
      </w:r>
      <w:r w:rsidRPr="000B3838">
        <w:rPr>
          <w:noProof/>
        </w:rPr>
        <w:t xml:space="preserve">zajedničke konzularne aranžmane za odgovor na krizne situacije, što uključuje postupke dijeljenja informacija i komunikacije unutar konzularne suradnje na lokalnoj razini i s građanima Unije, krizne </w:t>
      </w:r>
      <w:r w:rsidRPr="000B3838">
        <w:rPr>
          <w:noProof/>
        </w:rPr>
        <w:lastRenderedPageBreak/>
        <w:t xml:space="preserve">sastanke, suradnju s lokalnim tijelima i relevantnim trećim zemljama te krizne mjere i mjere nakon krize; </w:t>
      </w:r>
    </w:p>
    <w:p w14:paraId="2881EBC4" w14:textId="57E74796" w:rsidR="008E6F9F" w:rsidRPr="000B3838" w:rsidRDefault="0035070C" w:rsidP="0035070C">
      <w:pPr>
        <w:pStyle w:val="Point2"/>
        <w:rPr>
          <w:noProof/>
        </w:rPr>
      </w:pPr>
      <w:r>
        <w:rPr>
          <w:noProof/>
        </w:rPr>
        <w:t>(d)</w:t>
      </w:r>
      <w:r>
        <w:rPr>
          <w:noProof/>
        </w:rPr>
        <w:tab/>
      </w:r>
      <w:r w:rsidRPr="000B3838">
        <w:rPr>
          <w:noProof/>
        </w:rPr>
        <w:t>ako država članica preuzme ulogu vodeće države u određenoj trećoj zemlji u skladu s člankom 13.a stavkom 3., opis njezinih odgovornosti;</w:t>
      </w:r>
    </w:p>
    <w:p w14:paraId="167C20A8" w14:textId="505358C9" w:rsidR="0035070C" w:rsidRPr="000B3838" w:rsidRDefault="008E6F9F" w:rsidP="0035070C">
      <w:pPr>
        <w:pStyle w:val="Point2"/>
        <w:rPr>
          <w:noProof/>
        </w:rPr>
      </w:pPr>
      <w:r>
        <w:rPr>
          <w:noProof/>
        </w:rPr>
        <w:t>(e)</w:t>
      </w:r>
      <w:r>
        <w:rPr>
          <w:noProof/>
        </w:rPr>
        <w:tab/>
      </w:r>
      <w:r w:rsidRPr="000B3838">
        <w:rPr>
          <w:noProof/>
        </w:rPr>
        <w:t>druge relevantne podatke.</w:t>
      </w:r>
    </w:p>
    <w:p w14:paraId="74E3B6DB" w14:textId="2BF02BD5" w:rsidR="006516B3" w:rsidRPr="000B3838" w:rsidRDefault="00767297" w:rsidP="0035070C">
      <w:pPr>
        <w:pStyle w:val="Point1"/>
        <w:rPr>
          <w:noProof/>
        </w:rPr>
      </w:pPr>
      <w:r w:rsidRPr="000B3838">
        <w:rPr>
          <w:noProof/>
        </w:rPr>
        <w:t>2.</w:t>
      </w:r>
      <w:r w:rsidRPr="000B3838">
        <w:rPr>
          <w:noProof/>
        </w:rPr>
        <w:tab/>
        <w:t>Ako su prisutne, delegacije Unije koordiniraju uspostavu i dogovor zajedničkih konzularnih planova za slučaj nužde na temelju doprinosâ veleposlanstava ili konzulata država članica s predstavništvom u predmetnoj trećoj zemlji i konzularnih tijela država članica bez predstavništva. Zajednički konzularni planovi za slučaj nužde stavljaju se na raspolaganje svim državama članicama, ESVD-u i službama Komisije.</w:t>
      </w:r>
    </w:p>
    <w:p w14:paraId="32FD8E12" w14:textId="0454DC1C" w:rsidR="0035070C" w:rsidRPr="000B3838" w:rsidRDefault="008803CF" w:rsidP="006516B3">
      <w:pPr>
        <w:pStyle w:val="Text2"/>
        <w:rPr>
          <w:noProof/>
        </w:rPr>
      </w:pPr>
      <w:r w:rsidRPr="000B3838">
        <w:rPr>
          <w:noProof/>
        </w:rPr>
        <w:t>U trećim zemljama u kojima nije prisutna delegacija Unije za koordinaciju je nadležan predsjedatelj konzularne suradnje na lokalnoj razini u skladu s člankom 12. stavkom 3. uz potporu ESVD-a.</w:t>
      </w:r>
    </w:p>
    <w:p w14:paraId="4440157E" w14:textId="77777777" w:rsidR="0035070C" w:rsidRPr="000B3838" w:rsidRDefault="00767297" w:rsidP="0035070C">
      <w:pPr>
        <w:pStyle w:val="Point1"/>
        <w:rPr>
          <w:noProof/>
        </w:rPr>
      </w:pPr>
      <w:r w:rsidRPr="000B3838">
        <w:rPr>
          <w:noProof/>
        </w:rPr>
        <w:t>3.</w:t>
      </w:r>
      <w:r w:rsidRPr="000B3838">
        <w:rPr>
          <w:noProof/>
        </w:rPr>
        <w:tab/>
        <w:t xml:space="preserve">Države članice i delegacije Unije svake godine provode konzularne vježbe kako bi ažurirale i poboljšale zajedničku konzularnu pripravnost za krizne situacije i odgovor na njih na lokalnoj razini. </w:t>
      </w:r>
    </w:p>
    <w:p w14:paraId="69854B27" w14:textId="468CC4FC" w:rsidR="0035070C" w:rsidRPr="000B3838" w:rsidRDefault="04666A6D" w:rsidP="0035070C">
      <w:pPr>
        <w:pStyle w:val="Point1"/>
        <w:rPr>
          <w:noProof/>
        </w:rPr>
      </w:pPr>
      <w:r w:rsidRPr="000B3838">
        <w:rPr>
          <w:noProof/>
        </w:rPr>
        <w:t>4.</w:t>
      </w:r>
      <w:r w:rsidRPr="000B3838">
        <w:rPr>
          <w:noProof/>
        </w:rPr>
        <w:tab/>
        <w:t>Države članice, u skladu s nacionalnim pravom, svojim građanima pružaju mogućnost registracije ili obavješćivanja nadležnih nacionalnih tijela o putovanjima u treće zemlje ili boravku u trećim zemljama na odgovarajući način i s pomoću odgovarajućih sredstava.</w:t>
      </w:r>
    </w:p>
    <w:p w14:paraId="39A102D7" w14:textId="723B11DD" w:rsidR="00A93DAF" w:rsidRPr="000B3838" w:rsidRDefault="5D617959" w:rsidP="0035070C">
      <w:pPr>
        <w:pStyle w:val="Point1"/>
        <w:rPr>
          <w:noProof/>
        </w:rPr>
      </w:pPr>
      <w:r w:rsidRPr="000B3838">
        <w:rPr>
          <w:noProof/>
        </w:rPr>
        <w:t>5.</w:t>
      </w:r>
      <w:r w:rsidRPr="000B3838">
        <w:rPr>
          <w:noProof/>
        </w:rPr>
        <w:tab/>
        <w:t>Države članice razmjenjuju informacije o izmjenama svojih savjeta o putovanjima za građane u ranoj fazi, posebice u kontekstu kriznih situacija, te nastoje osigurati dosljednost u razini objavljenih savjeta.”;</w:t>
      </w:r>
    </w:p>
    <w:p w14:paraId="70F6CC9E" w14:textId="22C17734" w:rsidR="005C1A8B" w:rsidRPr="000B3838" w:rsidRDefault="009252F3" w:rsidP="005C1A8B">
      <w:pPr>
        <w:pStyle w:val="Point0"/>
        <w:rPr>
          <w:noProof/>
        </w:rPr>
      </w:pPr>
      <w:r>
        <w:rPr>
          <w:noProof/>
        </w:rPr>
        <w:t>(5)</w:t>
      </w:r>
      <w:r>
        <w:rPr>
          <w:noProof/>
        </w:rPr>
        <w:tab/>
      </w:r>
      <w:r w:rsidRPr="000B3838">
        <w:rPr>
          <w:noProof/>
        </w:rPr>
        <w:t>u poglavlju 2. umeće se sljedeći članak 13.a:</w:t>
      </w:r>
    </w:p>
    <w:p w14:paraId="4714B36C" w14:textId="77777777" w:rsidR="00C548E6" w:rsidRPr="000B3838" w:rsidRDefault="00C548E6" w:rsidP="00C548E6">
      <w:pPr>
        <w:pStyle w:val="Titrearticle"/>
        <w:rPr>
          <w:b/>
          <w:noProof/>
        </w:rPr>
      </w:pPr>
      <w:r w:rsidRPr="000B3838">
        <w:rPr>
          <w:noProof/>
        </w:rPr>
        <w:t xml:space="preserve">„Članak 13.a </w:t>
      </w:r>
      <w:r w:rsidRPr="000B3838">
        <w:rPr>
          <w:noProof/>
        </w:rPr>
        <w:cr/>
      </w:r>
      <w:r w:rsidRPr="000B3838">
        <w:rPr>
          <w:noProof/>
        </w:rPr>
        <w:br/>
        <w:t>Odgovor na kriznu situaciju</w:t>
      </w:r>
      <w:r w:rsidRPr="000B3838">
        <w:rPr>
          <w:b/>
          <w:noProof/>
        </w:rPr>
        <w:t xml:space="preserve"> </w:t>
      </w:r>
    </w:p>
    <w:p w14:paraId="003410FA" w14:textId="77777777" w:rsidR="00C548E6" w:rsidRPr="000B3838" w:rsidRDefault="00C548E6" w:rsidP="00C548E6">
      <w:pPr>
        <w:pStyle w:val="Point1"/>
        <w:rPr>
          <w:noProof/>
        </w:rPr>
      </w:pPr>
      <w:r w:rsidRPr="000B3838">
        <w:rPr>
          <w:noProof/>
        </w:rPr>
        <w:t>1.</w:t>
      </w:r>
      <w:r w:rsidRPr="000B3838">
        <w:rPr>
          <w:noProof/>
        </w:rPr>
        <w:tab/>
        <w:t>Ako dođe do krizne situacije, Unija i države članice blisko surađuju kako bi osigurale učinkovitu pomoć za građane bez predstavništva. Kad je to moguće, one se međusobno pravodobno obavješćuju o dostupnim kapacitetima za evakuaciju, među ostalim kad je riječ o operacijama koje uključuju vojna sredstva.</w:t>
      </w:r>
    </w:p>
    <w:p w14:paraId="687BF905" w14:textId="7D1312C9" w:rsidR="00C548E6" w:rsidRPr="000B3838" w:rsidRDefault="00C548E6" w:rsidP="240181A2">
      <w:pPr>
        <w:pStyle w:val="Point1"/>
        <w:rPr>
          <w:noProof/>
        </w:rPr>
      </w:pPr>
      <w:r w:rsidRPr="000B3838">
        <w:rPr>
          <w:noProof/>
        </w:rPr>
        <w:t>2.</w:t>
      </w:r>
      <w:r w:rsidRPr="000B3838">
        <w:rPr>
          <w:noProof/>
        </w:rPr>
        <w:tab/>
        <w:t>Ako je potrebno, državama članicama potporu mogu pružiti zajedničke konzularne skupine koje se sastoje od stručnjaka iz država članica, posebice iz država članica bez predstavništva u trećoj zemlji pogođenoj krizom, ESVD-a i službi Komisije. Zajedničke konzularne skupine dostupne su za brzo raspoređivanje u treće zemlje pogođene konzularnom krizom. U zajedničkim konzularnim skupinama sudjeluje se na dobrovoljnoj osnovi.</w:t>
      </w:r>
    </w:p>
    <w:p w14:paraId="770D297A" w14:textId="76475C66" w:rsidR="00C548E6" w:rsidRPr="000B3838" w:rsidRDefault="00C548E6" w:rsidP="00C548E6">
      <w:pPr>
        <w:pStyle w:val="Point1"/>
        <w:rPr>
          <w:noProof/>
        </w:rPr>
      </w:pPr>
      <w:r w:rsidRPr="000B3838">
        <w:rPr>
          <w:noProof/>
        </w:rPr>
        <w:t>3.</w:t>
      </w:r>
      <w:r w:rsidRPr="000B3838">
        <w:rPr>
          <w:noProof/>
        </w:rPr>
        <w:tab/>
        <w:t xml:space="preserve">Prema potrebi, vodeća država ili država članica odnosno države članice koje koordiniraju pomoć zadužene su za koordinaciju svake potpore koja se pruža građanima bez predstavništva, uz podršku drugih predmetnih država članica, delegacije Unije i središnje uprave ESVD-a. Države članice vodećoj državi ili državi članici odnosno država članicama koje koordiniraju pomoć pružaju sve </w:t>
      </w:r>
      <w:r w:rsidRPr="000B3838">
        <w:rPr>
          <w:noProof/>
        </w:rPr>
        <w:lastRenderedPageBreak/>
        <w:t xml:space="preserve">relevantne informacije o svojim građanima bez predstavništva koji se nalaze u kriznoj situaciji. </w:t>
      </w:r>
    </w:p>
    <w:p w14:paraId="4EFD34CA" w14:textId="2BD8255D" w:rsidR="00E01E34" w:rsidRPr="000B3838" w:rsidRDefault="00C548E6" w:rsidP="00C548E6">
      <w:pPr>
        <w:pStyle w:val="Point1"/>
        <w:rPr>
          <w:noProof/>
        </w:rPr>
      </w:pPr>
      <w:r w:rsidRPr="000B3838">
        <w:rPr>
          <w:noProof/>
        </w:rPr>
        <w:t>4.</w:t>
      </w:r>
      <w:r w:rsidRPr="000B3838">
        <w:rPr>
          <w:noProof/>
        </w:rPr>
        <w:tab/>
        <w:t>Države članice pri pružanju pomoći, prema potrebi, mogu tražiti podršku instrumenata Unije kao što su strukture za upravljanje kriznim situacijama ESVD-a i njegov Centar za odgovor na krizne situacije te Mehanizma Unije za civilnu zaštitu preko Koordinacijskog centra za odgovor na hitne situacije osnovanog člankom 7. Odluke br. 1313/2013/EU.”;</w:t>
      </w:r>
    </w:p>
    <w:p w14:paraId="62DF12CE" w14:textId="77777777" w:rsidR="00E01E34" w:rsidRPr="000B3838" w:rsidRDefault="00C548E6" w:rsidP="00E01E34">
      <w:pPr>
        <w:pStyle w:val="Point0"/>
        <w:rPr>
          <w:noProof/>
        </w:rPr>
      </w:pPr>
      <w:r>
        <w:rPr>
          <w:noProof/>
        </w:rPr>
        <w:t>(6)</w:t>
      </w:r>
      <w:r>
        <w:rPr>
          <w:noProof/>
        </w:rPr>
        <w:tab/>
      </w:r>
      <w:r w:rsidRPr="000B3838">
        <w:rPr>
          <w:noProof/>
        </w:rPr>
        <w:t xml:space="preserve"> umeće se sljedeće poglavlje 2.a:</w:t>
      </w:r>
    </w:p>
    <w:p w14:paraId="3A0C32E3" w14:textId="77777777" w:rsidR="00C548E6" w:rsidRPr="000B3838" w:rsidRDefault="00E01E34" w:rsidP="00E01E34">
      <w:pPr>
        <w:pStyle w:val="ChapterTitle"/>
        <w:rPr>
          <w:noProof/>
        </w:rPr>
      </w:pPr>
      <w:r w:rsidRPr="000B3838">
        <w:rPr>
          <w:noProof/>
        </w:rPr>
        <w:t xml:space="preserve">„POGLAVLJE 2.a </w:t>
      </w:r>
      <w:r w:rsidRPr="000B3838">
        <w:rPr>
          <w:noProof/>
        </w:rPr>
        <w:cr/>
      </w:r>
      <w:r w:rsidRPr="000B3838">
        <w:rPr>
          <w:noProof/>
        </w:rPr>
        <w:br/>
        <w:t>DOSTAVA INFORMACIJA</w:t>
      </w:r>
    </w:p>
    <w:p w14:paraId="0108FDE5" w14:textId="77777777" w:rsidR="00C548E6" w:rsidRPr="000B3838" w:rsidRDefault="00C548E6" w:rsidP="00E01E34">
      <w:pPr>
        <w:pStyle w:val="Titrearticle"/>
        <w:rPr>
          <w:noProof/>
        </w:rPr>
      </w:pPr>
      <w:r w:rsidRPr="000B3838">
        <w:rPr>
          <w:noProof/>
        </w:rPr>
        <w:t xml:space="preserve">Članak 13.b </w:t>
      </w:r>
      <w:r w:rsidRPr="000B3838">
        <w:rPr>
          <w:noProof/>
        </w:rPr>
        <w:cr/>
      </w:r>
      <w:r w:rsidRPr="000B3838">
        <w:rPr>
          <w:noProof/>
        </w:rPr>
        <w:br/>
        <w:t>Dostava i širenje informacija</w:t>
      </w:r>
    </w:p>
    <w:p w14:paraId="5100DBFC" w14:textId="4638F704" w:rsidR="00C548E6" w:rsidRPr="000B3838" w:rsidRDefault="00D22659" w:rsidP="00D22659">
      <w:pPr>
        <w:pStyle w:val="Point1"/>
        <w:rPr>
          <w:noProof/>
        </w:rPr>
      </w:pPr>
      <w:r w:rsidRPr="000B3838">
        <w:rPr>
          <w:noProof/>
        </w:rPr>
        <w:t>1.</w:t>
      </w:r>
      <w:r w:rsidRPr="000B3838">
        <w:rPr>
          <w:noProof/>
        </w:rPr>
        <w:tab/>
        <w:t>Države članice barem jednom godišnje Komisiji i Visokom predstavniku Unije za vanjske poslove i sigurnosnu politiku dostavljaju sljedeće informacije:</w:t>
      </w:r>
    </w:p>
    <w:p w14:paraId="29042951" w14:textId="22DA6686" w:rsidR="00C548E6" w:rsidRPr="000B3838" w:rsidRDefault="00C548E6" w:rsidP="00D22659">
      <w:pPr>
        <w:pStyle w:val="Point2"/>
        <w:rPr>
          <w:noProof/>
        </w:rPr>
      </w:pPr>
      <w:r>
        <w:rPr>
          <w:noProof/>
        </w:rPr>
        <w:t>(a)</w:t>
      </w:r>
      <w:r>
        <w:rPr>
          <w:noProof/>
        </w:rPr>
        <w:tab/>
      </w:r>
      <w:r w:rsidRPr="000B3838">
        <w:rPr>
          <w:noProof/>
        </w:rPr>
        <w:t>ažurirane popise kontakata za svoje konzularne mreže;</w:t>
      </w:r>
    </w:p>
    <w:p w14:paraId="1FB1D468" w14:textId="2F9BF853" w:rsidR="00C548E6" w:rsidRPr="000B3838" w:rsidRDefault="00C548E6" w:rsidP="00D22659">
      <w:pPr>
        <w:pStyle w:val="Point2"/>
        <w:rPr>
          <w:noProof/>
        </w:rPr>
      </w:pPr>
      <w:r>
        <w:rPr>
          <w:noProof/>
        </w:rPr>
        <w:t>(b)</w:t>
      </w:r>
      <w:r>
        <w:rPr>
          <w:noProof/>
        </w:rPr>
        <w:tab/>
      </w:r>
      <w:r w:rsidRPr="000B3838">
        <w:rPr>
          <w:noProof/>
        </w:rPr>
        <w:t>popise trećih zemalja u kojima ih trajno predstavlja druga država članica ili u kojima one trajno predstavljaju drugu državu članicu u skladu s člankom 7. stavkom 2.;</w:t>
      </w:r>
    </w:p>
    <w:p w14:paraId="042E544E" w14:textId="77777777" w:rsidR="00C548E6" w:rsidRPr="000B3838" w:rsidRDefault="00C548E6" w:rsidP="00D22659">
      <w:pPr>
        <w:pStyle w:val="Point2"/>
        <w:rPr>
          <w:noProof/>
        </w:rPr>
      </w:pPr>
      <w:r>
        <w:rPr>
          <w:noProof/>
        </w:rPr>
        <w:t>(c)</w:t>
      </w:r>
      <w:r>
        <w:rPr>
          <w:noProof/>
        </w:rPr>
        <w:tab/>
      </w:r>
      <w:r w:rsidRPr="000B3838">
        <w:rPr>
          <w:noProof/>
        </w:rPr>
        <w:t>praktične aranžmane sklopljene u skladu s člankom 7. stavkom 2.;</w:t>
      </w:r>
    </w:p>
    <w:p w14:paraId="0064E27F" w14:textId="77777777" w:rsidR="00C548E6" w:rsidRPr="000B3838" w:rsidRDefault="00C548E6" w:rsidP="00D22659">
      <w:pPr>
        <w:pStyle w:val="Point2"/>
        <w:rPr>
          <w:noProof/>
        </w:rPr>
      </w:pPr>
      <w:r>
        <w:rPr>
          <w:noProof/>
        </w:rPr>
        <w:t>(d)</w:t>
      </w:r>
      <w:r>
        <w:rPr>
          <w:noProof/>
        </w:rPr>
        <w:tab/>
      </w:r>
      <w:r w:rsidRPr="000B3838">
        <w:rPr>
          <w:noProof/>
        </w:rPr>
        <w:t>broj građana bez predstavništva kojima je u prethodnoj godini pružena konzularna zaštita iz članka 2., raščlanjen prema državljanstvu i trećoj zemlji;</w:t>
      </w:r>
    </w:p>
    <w:p w14:paraId="3951D16B" w14:textId="77777777" w:rsidR="00C548E6" w:rsidRPr="000B3838" w:rsidRDefault="00C548E6" w:rsidP="00D22659">
      <w:pPr>
        <w:pStyle w:val="Point2"/>
        <w:rPr>
          <w:noProof/>
        </w:rPr>
      </w:pPr>
      <w:r>
        <w:rPr>
          <w:noProof/>
        </w:rPr>
        <w:t>(e)</w:t>
      </w:r>
      <w:r>
        <w:rPr>
          <w:noProof/>
        </w:rPr>
        <w:tab/>
      </w:r>
      <w:r w:rsidRPr="000B3838">
        <w:rPr>
          <w:noProof/>
        </w:rPr>
        <w:t>broj podnesenih i zaprimljenih zahtjeva za naknadu u prethodnoj godini u skladu s člancima 14. i 15.</w:t>
      </w:r>
    </w:p>
    <w:p w14:paraId="5157EACF" w14:textId="7FF328A2" w:rsidR="00231D8C" w:rsidRPr="000B3838" w:rsidRDefault="00231D8C" w:rsidP="00BF6873">
      <w:pPr>
        <w:pStyle w:val="Text2"/>
        <w:rPr>
          <w:noProof/>
        </w:rPr>
      </w:pPr>
      <w:r w:rsidRPr="000B3838">
        <w:rPr>
          <w:noProof/>
        </w:rPr>
        <w:t>Ako je država članica u skladu s člankom 2. stavkom 2. odlučila primijeniti ovu Direktivu na konzularnu zaštitu koju pružaju počasni konzuli, popis iz točke (a) uključuje počasne konzule i informacije o mjeri u kojoj su počasni konzuli nadležni za pružanje zaštite u svakom pojedinom slučaju, posebice o tome jesu li ovlašteni za izdavanje privremenih putnih isprava EU-a.</w:t>
      </w:r>
    </w:p>
    <w:p w14:paraId="12DBC0F4" w14:textId="1937DD9E" w:rsidR="00C548E6" w:rsidRPr="000B3838" w:rsidRDefault="00D22659" w:rsidP="00D22659">
      <w:pPr>
        <w:pStyle w:val="Point1"/>
        <w:rPr>
          <w:noProof/>
        </w:rPr>
      </w:pPr>
      <w:r w:rsidRPr="000B3838">
        <w:rPr>
          <w:noProof/>
        </w:rPr>
        <w:t>2.</w:t>
      </w:r>
      <w:r w:rsidRPr="000B3838">
        <w:rPr>
          <w:noProof/>
        </w:rPr>
        <w:tab/>
        <w:t xml:space="preserve">Države članice, službe Komisije i ESVD stavljaju informacije iz stavka 1. točaka (a), (b) i (c) na raspolaganje javnosti </w:t>
      </w:r>
      <w:bookmarkStart w:id="4" w:name="_Hlk144126924"/>
      <w:r w:rsidRPr="000B3838">
        <w:rPr>
          <w:noProof/>
        </w:rPr>
        <w:t>na način kojim se osigurava koherentnost informacija</w:t>
      </w:r>
      <w:bookmarkEnd w:id="4"/>
      <w:r w:rsidRPr="000B3838">
        <w:rPr>
          <w:noProof/>
        </w:rPr>
        <w:t xml:space="preserve">. </w:t>
      </w:r>
    </w:p>
    <w:p w14:paraId="138612A8" w14:textId="77777777" w:rsidR="00C548E6" w:rsidRPr="000B3838" w:rsidRDefault="00D22659" w:rsidP="00D22659">
      <w:pPr>
        <w:pStyle w:val="Point1"/>
        <w:rPr>
          <w:noProof/>
        </w:rPr>
      </w:pPr>
      <w:r w:rsidRPr="000B3838">
        <w:rPr>
          <w:noProof/>
        </w:rPr>
        <w:t>3.</w:t>
      </w:r>
      <w:r w:rsidRPr="000B3838">
        <w:rPr>
          <w:noProof/>
        </w:rPr>
        <w:tab/>
        <w:t>Ako Komisija to od njih zatraži, države članice dostavljaju informacije iz stavka 1. u strojno čitljivom formatu.</w:t>
      </w:r>
    </w:p>
    <w:p w14:paraId="19866B7C" w14:textId="77777777" w:rsidR="00C548E6" w:rsidRPr="000B3838" w:rsidRDefault="00D22659" w:rsidP="00D22659">
      <w:pPr>
        <w:pStyle w:val="Point1"/>
        <w:rPr>
          <w:noProof/>
        </w:rPr>
      </w:pPr>
      <w:r w:rsidRPr="000B3838">
        <w:rPr>
          <w:noProof/>
        </w:rPr>
        <w:t>4.</w:t>
      </w:r>
      <w:r w:rsidRPr="000B3838">
        <w:rPr>
          <w:noProof/>
        </w:rPr>
        <w:tab/>
        <w:t>Komisija može donijeti provedbene akte o utvrđivanju određenog strojno čitljivog formata u kojem se dostavljaju informacije iz stavka 1. Ti se provedbeni akti donose u skladu s postupkom ispitivanja iz članka 15.a stavka 2.</w:t>
      </w:r>
    </w:p>
    <w:p w14:paraId="54D62D37" w14:textId="77777777" w:rsidR="00C548E6" w:rsidRPr="000B3838" w:rsidRDefault="00C548E6" w:rsidP="00D22659">
      <w:pPr>
        <w:pStyle w:val="Titrearticle"/>
        <w:rPr>
          <w:noProof/>
        </w:rPr>
      </w:pPr>
      <w:r w:rsidRPr="000B3838">
        <w:rPr>
          <w:noProof/>
        </w:rPr>
        <w:lastRenderedPageBreak/>
        <w:t xml:space="preserve">Članak 13.c </w:t>
      </w:r>
      <w:r w:rsidRPr="000B3838">
        <w:rPr>
          <w:noProof/>
        </w:rPr>
        <w:cr/>
      </w:r>
      <w:r w:rsidRPr="000B3838">
        <w:rPr>
          <w:noProof/>
        </w:rPr>
        <w:br/>
        <w:t>Informacije za građane Unije</w:t>
      </w:r>
    </w:p>
    <w:p w14:paraId="37918786" w14:textId="0D1F8765" w:rsidR="00C548E6" w:rsidRPr="000B3838" w:rsidRDefault="00CD055E" w:rsidP="00CD055E">
      <w:pPr>
        <w:pStyle w:val="Point1"/>
        <w:rPr>
          <w:noProof/>
        </w:rPr>
      </w:pPr>
      <w:r w:rsidRPr="000B3838">
        <w:rPr>
          <w:noProof/>
        </w:rPr>
        <w:t>1.</w:t>
      </w:r>
      <w:r w:rsidRPr="000B3838">
        <w:rPr>
          <w:noProof/>
        </w:rPr>
        <w:tab/>
        <w:t>Države članice poduzimaju mjere kako bi informirale građane o njihovim pravima utvrđenima u članku 20. stavku 2. točki (c) UFEU-a. To može posebice uključivati sljedeće mjere:</w:t>
      </w:r>
    </w:p>
    <w:p w14:paraId="6508F2C6" w14:textId="200B5F0A" w:rsidR="00C548E6" w:rsidRPr="000B3838" w:rsidRDefault="00C548E6" w:rsidP="00E76033">
      <w:pPr>
        <w:pStyle w:val="Point2"/>
        <w:rPr>
          <w:noProof/>
        </w:rPr>
      </w:pPr>
      <w:r>
        <w:rPr>
          <w:noProof/>
        </w:rPr>
        <w:t>(a)</w:t>
      </w:r>
      <w:r>
        <w:rPr>
          <w:noProof/>
        </w:rPr>
        <w:tab/>
      </w:r>
      <w:r w:rsidRPr="000B3838">
        <w:rPr>
          <w:noProof/>
        </w:rPr>
        <w:t>navođenje prve rečenice članka 23. UFEU-a u nacionalnim putovnicama;</w:t>
      </w:r>
    </w:p>
    <w:p w14:paraId="235680A1" w14:textId="77777777" w:rsidR="00C548E6" w:rsidRPr="000B3838" w:rsidRDefault="00C548E6" w:rsidP="00CD055E">
      <w:pPr>
        <w:pStyle w:val="Point2"/>
        <w:rPr>
          <w:noProof/>
        </w:rPr>
      </w:pPr>
      <w:r>
        <w:rPr>
          <w:noProof/>
        </w:rPr>
        <w:t>(b)</w:t>
      </w:r>
      <w:r>
        <w:rPr>
          <w:noProof/>
        </w:rPr>
        <w:tab/>
      </w:r>
      <w:r w:rsidRPr="000B3838">
        <w:rPr>
          <w:noProof/>
        </w:rPr>
        <w:t>uključivanje informacija o pravu na konzularnu zaštitu u savjete o putovanjima i kampanje povezane s konzularnom zaštitom;</w:t>
      </w:r>
    </w:p>
    <w:p w14:paraId="48916D24" w14:textId="77777777" w:rsidR="00C548E6" w:rsidRPr="000B3838" w:rsidRDefault="00C548E6" w:rsidP="00CD055E">
      <w:pPr>
        <w:pStyle w:val="Point2"/>
        <w:rPr>
          <w:noProof/>
        </w:rPr>
      </w:pPr>
      <w:r>
        <w:rPr>
          <w:noProof/>
        </w:rPr>
        <w:t>(c)</w:t>
      </w:r>
      <w:r>
        <w:rPr>
          <w:noProof/>
        </w:rPr>
        <w:tab/>
      </w:r>
      <w:r w:rsidRPr="000B3838">
        <w:rPr>
          <w:noProof/>
        </w:rPr>
        <w:t>suradnju oko informativnih kampanja s pružateljima usluga prijevoza putnika i prometnim čvorištima koji nude putovanja u treće zemlje.</w:t>
      </w:r>
    </w:p>
    <w:p w14:paraId="0E14D0F4" w14:textId="630CA40B" w:rsidR="005E145D" w:rsidRPr="000B3838" w:rsidRDefault="00CD055E" w:rsidP="00CD055E">
      <w:pPr>
        <w:pStyle w:val="Point1"/>
        <w:rPr>
          <w:noProof/>
        </w:rPr>
      </w:pPr>
      <w:r w:rsidRPr="000B3838">
        <w:rPr>
          <w:noProof/>
        </w:rPr>
        <w:t>2.</w:t>
      </w:r>
      <w:r w:rsidRPr="000B3838">
        <w:rPr>
          <w:noProof/>
        </w:rPr>
        <w:tab/>
        <w:t>Službe Komisije i ESVD doprinose informiranju građana Unije o pravu na konzularnu zaštitu.”;</w:t>
      </w:r>
    </w:p>
    <w:p w14:paraId="4FA0D012" w14:textId="77777777" w:rsidR="001474F2" w:rsidRPr="000B3838" w:rsidRDefault="001474F2" w:rsidP="001474F2">
      <w:pPr>
        <w:pStyle w:val="Point0"/>
        <w:rPr>
          <w:noProof/>
        </w:rPr>
      </w:pPr>
      <w:r>
        <w:rPr>
          <w:noProof/>
        </w:rPr>
        <w:t>(7)</w:t>
      </w:r>
      <w:r>
        <w:rPr>
          <w:noProof/>
        </w:rPr>
        <w:tab/>
      </w:r>
      <w:r w:rsidRPr="000B3838">
        <w:rPr>
          <w:noProof/>
        </w:rPr>
        <w:t>članci 14. i 15. zamjenjuju se sljedećim:</w:t>
      </w:r>
    </w:p>
    <w:p w14:paraId="675B1B8D" w14:textId="77777777" w:rsidR="00792772" w:rsidRPr="000B3838" w:rsidRDefault="00792772" w:rsidP="00792772">
      <w:pPr>
        <w:pStyle w:val="Titrearticle"/>
        <w:rPr>
          <w:noProof/>
        </w:rPr>
      </w:pPr>
      <w:r w:rsidRPr="000B3838">
        <w:rPr>
          <w:noProof/>
        </w:rPr>
        <w:t xml:space="preserve">„Članak 14. </w:t>
      </w:r>
      <w:r w:rsidRPr="000B3838">
        <w:rPr>
          <w:noProof/>
        </w:rPr>
        <w:cr/>
      </w:r>
      <w:r w:rsidRPr="000B3838">
        <w:rPr>
          <w:noProof/>
        </w:rPr>
        <w:br/>
        <w:t xml:space="preserve">Opća pravila </w:t>
      </w:r>
    </w:p>
    <w:p w14:paraId="14A9E53D" w14:textId="7A4B0151" w:rsidR="00792772" w:rsidRPr="000B3838" w:rsidRDefault="00C62C91" w:rsidP="00CA59B5">
      <w:pPr>
        <w:pStyle w:val="Point1"/>
        <w:rPr>
          <w:noProof/>
        </w:rPr>
      </w:pPr>
      <w:r w:rsidRPr="000B3838">
        <w:rPr>
          <w:noProof/>
        </w:rPr>
        <w:t>1.</w:t>
      </w:r>
      <w:r w:rsidRPr="000B3838">
        <w:rPr>
          <w:noProof/>
        </w:rPr>
        <w:tab/>
        <w:t>Svi troškovi koje država članica koja pruža pomoć naplaćuje za pružanje konzularne zaštite građanima bez predstavništva identični su troškovima koje bi naplatila vlastitim državljanima.</w:t>
      </w:r>
    </w:p>
    <w:p w14:paraId="54CC1F43" w14:textId="0F835D22" w:rsidR="00792772" w:rsidRPr="000B3838" w:rsidRDefault="00E3323F" w:rsidP="00C62C91">
      <w:pPr>
        <w:pStyle w:val="Point1"/>
        <w:rPr>
          <w:noProof/>
        </w:rPr>
      </w:pPr>
      <w:r w:rsidRPr="000B3838">
        <w:rPr>
          <w:noProof/>
        </w:rPr>
        <w:t>2.</w:t>
      </w:r>
      <w:r w:rsidRPr="000B3838">
        <w:rPr>
          <w:noProof/>
        </w:rPr>
        <w:tab/>
        <w:t xml:space="preserve">Ako građanin bez predstavništva ne može platiti troškove iz stavka 1. državi članici koja pruža pomoć pri podnošenju zahtjeva za pomoć, država članica koja pruža pomoć može od građanina bez predstavništva tražiti da potpiše obvezu isplate. Država članica koja pruža pomoć može na toj osnovi od građanina bez predstavništva tražiti da plati te troškove nakon isteka četiri tjedna od pružanja pomoći. </w:t>
      </w:r>
    </w:p>
    <w:p w14:paraId="35D83FD5" w14:textId="77777777" w:rsidR="00792772" w:rsidRPr="000B3838" w:rsidRDefault="00792772" w:rsidP="008A62E4">
      <w:pPr>
        <w:pStyle w:val="Text2"/>
        <w:rPr>
          <w:noProof/>
        </w:rPr>
      </w:pPr>
      <w:r w:rsidRPr="000B3838">
        <w:rPr>
          <w:noProof/>
        </w:rPr>
        <w:t>Nemogućnost plaćanja troškova iz stavka 1. pri podnošenju zahtjeva za pomoć ne utječe na pravo građanina bez predstavništva na dobivanje konzularne zaštite.</w:t>
      </w:r>
    </w:p>
    <w:p w14:paraId="441596D6" w14:textId="32391C3B" w:rsidR="00792772" w:rsidRPr="000B3838" w:rsidRDefault="00E3323F" w:rsidP="00C62C91">
      <w:pPr>
        <w:pStyle w:val="Point1"/>
        <w:rPr>
          <w:noProof/>
        </w:rPr>
      </w:pPr>
      <w:r w:rsidRPr="000B3838">
        <w:rPr>
          <w:noProof/>
        </w:rPr>
        <w:t>3.</w:t>
      </w:r>
      <w:r w:rsidRPr="000B3838">
        <w:rPr>
          <w:noProof/>
        </w:rPr>
        <w:tab/>
        <w:t>Ako građanin bez predstavništva kojem je pružena konzularna zaštita nije platio troškove iz stavka 1. ni pri podnošenju zahtjeva za pomoć ni nakon zahtjeva države članice koja je pružila pomoć u skladu sa stavkom 2., država članica koja pruža pomoć u roku od 12 mjeseci od datuma potpisivanja obveze isplate iz stavka 2. može zatražiti da troškove plati država članica državljanstva građanina bez predstavništva.</w:t>
      </w:r>
    </w:p>
    <w:p w14:paraId="0B485C06" w14:textId="45D39A7C" w:rsidR="00792772" w:rsidRPr="000B3838" w:rsidRDefault="00792772" w:rsidP="008A62E4">
      <w:pPr>
        <w:pStyle w:val="Text2"/>
        <w:rPr>
          <w:noProof/>
        </w:rPr>
      </w:pPr>
      <w:r w:rsidRPr="000B3838">
        <w:rPr>
          <w:noProof/>
        </w:rPr>
        <w:t xml:space="preserve">Država članica državljanstva građanina bez predstavništva te troškove nadoknađuje u razumnom roku, ne duljem od 12 mjeseci od datuma zahtjeva. Država članica državljanstva građanina bez predstavništva može od građanina bez predstavništva zatražiti da isplati takve troškove. </w:t>
      </w:r>
    </w:p>
    <w:p w14:paraId="71FF0235" w14:textId="53FCCBD0" w:rsidR="00792772" w:rsidRPr="000B3838" w:rsidRDefault="00E3323F" w:rsidP="00C62C91">
      <w:pPr>
        <w:pStyle w:val="Point1"/>
        <w:rPr>
          <w:noProof/>
        </w:rPr>
      </w:pPr>
      <w:r w:rsidRPr="000B3838">
        <w:rPr>
          <w:noProof/>
        </w:rPr>
        <w:t>4.</w:t>
      </w:r>
      <w:r w:rsidRPr="000B3838">
        <w:rPr>
          <w:noProof/>
        </w:rPr>
        <w:tab/>
        <w:t xml:space="preserve">Kad konzularna zaštita pružena građaninu bez predstavništva obuhvaća neuobičajeno visoke, ali nužne i opravdane troškove u pogledu putovanja, smještaja ili prevođenja za diplomatska ili konzularna tijela, država članica koja pruža pomoć može u roku od 12 mjeseci od pružanja pomoći zatražiti naknadu takvih troškova od države članice državljanstva građanina bez </w:t>
      </w:r>
      <w:r w:rsidRPr="000B3838">
        <w:rPr>
          <w:noProof/>
        </w:rPr>
        <w:lastRenderedPageBreak/>
        <w:t>predstavništva, koja ih nadoknađuje u razumnom roku, ne duljem od 12 mjeseci.</w:t>
      </w:r>
    </w:p>
    <w:p w14:paraId="5F0495A7" w14:textId="558DD68D" w:rsidR="00792772" w:rsidRPr="000B3838" w:rsidRDefault="00E3323F" w:rsidP="00C62C91">
      <w:pPr>
        <w:pStyle w:val="Point1"/>
        <w:rPr>
          <w:noProof/>
        </w:rPr>
      </w:pPr>
      <w:r w:rsidRPr="000B3838">
        <w:rPr>
          <w:noProof/>
        </w:rPr>
        <w:t>5.</w:t>
      </w:r>
      <w:r w:rsidRPr="000B3838">
        <w:rPr>
          <w:noProof/>
        </w:rPr>
        <w:tab/>
        <w:t>Države članice nadoknađuju troškove delegacija Unije za njihovu potporu u pružanju konzularne zaštite građanima bez predstavništva. U tom slučaju država članica državljanstva građanina pri nadoknadi troškova osigurava da delegacije Unije pružaju potporu na troškovno neutralnoj osnovi.</w:t>
      </w:r>
    </w:p>
    <w:p w14:paraId="4DEDFECF" w14:textId="52A15D8B" w:rsidR="00792772" w:rsidRPr="000B3838" w:rsidRDefault="00E3323F" w:rsidP="00C62C91">
      <w:pPr>
        <w:pStyle w:val="Point1"/>
        <w:rPr>
          <w:noProof/>
        </w:rPr>
      </w:pPr>
      <w:r w:rsidRPr="000B3838">
        <w:rPr>
          <w:noProof/>
        </w:rPr>
        <w:t>6.</w:t>
      </w:r>
      <w:r w:rsidRPr="000B3838">
        <w:rPr>
          <w:noProof/>
        </w:rPr>
        <w:tab/>
        <w:t>Komisija može donijeti provedbene akte o utvrđivanju standardnih obrazaca koji se upotrebljavaju za preuzimanje obveze isplate iz stavka 2. i isplatu troškova od države članice državljanstva iz stavka 3. Ti se provedbeni akti donose u skladu s postupkom ispitivanja iz članka 15.a stavka 2.</w:t>
      </w:r>
    </w:p>
    <w:p w14:paraId="3E552E8E" w14:textId="77777777" w:rsidR="00792772" w:rsidRPr="000B3838" w:rsidRDefault="00792772" w:rsidP="004F5FD1">
      <w:pPr>
        <w:pStyle w:val="Titrearticle"/>
        <w:rPr>
          <w:noProof/>
        </w:rPr>
      </w:pPr>
      <w:r w:rsidRPr="000B3838">
        <w:rPr>
          <w:noProof/>
        </w:rPr>
        <w:t xml:space="preserve">Članak 15. </w:t>
      </w:r>
      <w:r w:rsidRPr="000B3838">
        <w:rPr>
          <w:noProof/>
        </w:rPr>
        <w:cr/>
      </w:r>
      <w:r w:rsidRPr="000B3838">
        <w:rPr>
          <w:noProof/>
        </w:rPr>
        <w:br/>
        <w:t xml:space="preserve">Pojednostavnjeni postupak u kriznim situacijama </w:t>
      </w:r>
    </w:p>
    <w:p w14:paraId="64E7D1E1" w14:textId="138E84C0" w:rsidR="00792772" w:rsidRPr="000B3838" w:rsidRDefault="004F5FD1" w:rsidP="004F5FD1">
      <w:pPr>
        <w:pStyle w:val="Point1"/>
        <w:rPr>
          <w:noProof/>
        </w:rPr>
      </w:pPr>
      <w:r w:rsidRPr="000B3838">
        <w:rPr>
          <w:noProof/>
        </w:rPr>
        <w:t>1.</w:t>
      </w:r>
      <w:r w:rsidRPr="000B3838">
        <w:rPr>
          <w:noProof/>
        </w:rPr>
        <w:tab/>
        <w:t xml:space="preserve">U kriznim situacijama, ako troškove pružene pomoći već nije izravno isplatio građanin bez predstavništva, država članica koja pruža pomoć može tražiti naknadu troškova od države članice državljanstva građanina bez predstavništva čak i ako građanin bez predstavništva nije potpisao obvezu isplate u skladu s člankom 14. stavkom 2. To državu članicu državljanstva građanina bez predstavništva ne sprečava da od predmetnog građanina bez državljanstva zahtijeva isplatu na temelju nacionalnih pravila. </w:t>
      </w:r>
    </w:p>
    <w:p w14:paraId="2C6B8BD7" w14:textId="1EC054A8" w:rsidR="00D40F93" w:rsidRPr="000B3838" w:rsidRDefault="004F5FD1" w:rsidP="004F5FD1">
      <w:pPr>
        <w:pStyle w:val="Point1"/>
        <w:rPr>
          <w:noProof/>
        </w:rPr>
      </w:pPr>
      <w:r w:rsidRPr="000B3838">
        <w:rPr>
          <w:noProof/>
        </w:rPr>
        <w:t>2.</w:t>
      </w:r>
      <w:r w:rsidRPr="000B3838">
        <w:rPr>
          <w:noProof/>
        </w:rPr>
        <w:tab/>
        <w:t>Država članica koja pruža pomoć od države članice državljanstva građanina bez predstavništva može zatražiti nadoknadu troškova iz stavka 1. na razmjernoj osnovi, dijeljenjem ukupne vrijednosti stvarnih troškova s brojem građana kojima je pružena pomoć.</w:t>
      </w:r>
    </w:p>
    <w:p w14:paraId="34E08E8C" w14:textId="5D8778C3" w:rsidR="00792772" w:rsidRPr="000B3838" w:rsidRDefault="004F5FD1" w:rsidP="004F5FD1">
      <w:pPr>
        <w:pStyle w:val="Point1"/>
        <w:rPr>
          <w:noProof/>
        </w:rPr>
      </w:pPr>
      <w:r w:rsidRPr="000B3838">
        <w:rPr>
          <w:noProof/>
        </w:rPr>
        <w:t>3.</w:t>
      </w:r>
      <w:r w:rsidRPr="000B3838">
        <w:rPr>
          <w:noProof/>
        </w:rPr>
        <w:tab/>
        <w:t>Ako je u kriznim situacijama iz stavka 1. nemoguće ili u praksi neizvedivo razlikovati građane bez predstavništva i s predstavništvom te mogućnost pružanja pomoći osobama bez predstavništva zahtijeva ili podrazumijeva pomoć i građanima Unije koji možda imaju predstavništvo, postupak iz stavaka 1. i 2. primjenjuje se i na konzularnu zaštitu koju u kriznim situacijama jedna država članica pruža građanima druge države članice s predstavništvom.</w:t>
      </w:r>
    </w:p>
    <w:p w14:paraId="12B1E912" w14:textId="13939BD3" w:rsidR="00FD7DD7" w:rsidRPr="000B3838" w:rsidRDefault="00393534" w:rsidP="000074C4">
      <w:pPr>
        <w:pStyle w:val="Point1"/>
        <w:rPr>
          <w:noProof/>
        </w:rPr>
      </w:pPr>
      <w:r w:rsidRPr="000B3838">
        <w:rPr>
          <w:noProof/>
        </w:rPr>
        <w:t>4.</w:t>
      </w:r>
      <w:r w:rsidRPr="000B3838">
        <w:rPr>
          <w:noProof/>
        </w:rPr>
        <w:tab/>
        <w:t>Stavci 1., 2. i 3. primjenjuju se i u situacijama u kojima je delegacija Unije poduprla državu članicu u pružanju konzularne zaštite. U tom slučaju država članica državljanstva građanina pri nadoknadi troškova osigurava da delegacije Unije pružaju potporu na troškovno neutralnoj osnovi.</w:t>
      </w:r>
    </w:p>
    <w:p w14:paraId="3AE9C862" w14:textId="470EA6ED" w:rsidR="005C1A8B" w:rsidRPr="000B3838" w:rsidRDefault="00FD7DD7" w:rsidP="000074C4">
      <w:pPr>
        <w:pStyle w:val="Point1"/>
        <w:rPr>
          <w:noProof/>
        </w:rPr>
      </w:pPr>
      <w:r w:rsidRPr="000B3838">
        <w:rPr>
          <w:noProof/>
        </w:rPr>
        <w:t xml:space="preserve">5. </w:t>
      </w:r>
      <w:r w:rsidRPr="000B3838">
        <w:rPr>
          <w:noProof/>
        </w:rPr>
        <w:tab/>
        <w:t>Naknade zatražene u skladu sa stavcima 1., 2. i 3. uzimaju se u obzir pri utvrđivanju doprinosa Mehanizmu Unije za civilnu zaštitu za pružanje potpore civilne zaštite konzularnoj pomoći građanima Unije u slučaju katastrofa u trećim zemljama, u skladu s Odlukom br. 1313/2013/EU.”;</w:t>
      </w:r>
    </w:p>
    <w:p w14:paraId="35B919D7" w14:textId="2B99B2CC" w:rsidR="008F0084" w:rsidRPr="000B3838" w:rsidRDefault="003540A9" w:rsidP="008F0084">
      <w:pPr>
        <w:pStyle w:val="Point0"/>
        <w:rPr>
          <w:noProof/>
        </w:rPr>
      </w:pPr>
      <w:r>
        <w:rPr>
          <w:noProof/>
        </w:rPr>
        <w:t>(8)</w:t>
      </w:r>
      <w:r>
        <w:rPr>
          <w:noProof/>
        </w:rPr>
        <w:tab/>
      </w:r>
      <w:r w:rsidRPr="000B3838">
        <w:rPr>
          <w:noProof/>
        </w:rPr>
        <w:t>u poglavlju 4. umeće se sljedeći članak 15.a:</w:t>
      </w:r>
    </w:p>
    <w:p w14:paraId="19211677" w14:textId="77777777" w:rsidR="00916CF8" w:rsidRPr="000B3838" w:rsidRDefault="00DE04BA" w:rsidP="00916CF8">
      <w:pPr>
        <w:pStyle w:val="Titrearticle"/>
        <w:rPr>
          <w:noProof/>
        </w:rPr>
      </w:pPr>
      <w:r w:rsidRPr="000B3838">
        <w:rPr>
          <w:noProof/>
        </w:rPr>
        <w:t xml:space="preserve">„Članak 15.a </w:t>
      </w:r>
      <w:r w:rsidRPr="000B3838">
        <w:rPr>
          <w:noProof/>
        </w:rPr>
        <w:cr/>
      </w:r>
      <w:r w:rsidRPr="000B3838">
        <w:rPr>
          <w:noProof/>
        </w:rPr>
        <w:br/>
        <w:t>Postupak odbora</w:t>
      </w:r>
    </w:p>
    <w:p w14:paraId="2567800A" w14:textId="7CDE4C24" w:rsidR="00916CF8" w:rsidRPr="000B3838" w:rsidRDefault="00D94AE0" w:rsidP="00D94AE0">
      <w:pPr>
        <w:pStyle w:val="Point1"/>
        <w:rPr>
          <w:noProof/>
        </w:rPr>
      </w:pPr>
      <w:r w:rsidRPr="000B3838">
        <w:rPr>
          <w:noProof/>
        </w:rPr>
        <w:t>1.</w:t>
      </w:r>
      <w:r w:rsidRPr="000B3838">
        <w:rPr>
          <w:noProof/>
        </w:rPr>
        <w:tab/>
        <w:t>Komisiji pomaže odbor. Navedeni odbor jest odbor u smislu Uredbe (EU) br. 182/2011 Europskog parlamenta i Vijeća*.</w:t>
      </w:r>
    </w:p>
    <w:p w14:paraId="1D877001" w14:textId="77777777" w:rsidR="009E4929" w:rsidRPr="000B3838" w:rsidRDefault="00D94AE0" w:rsidP="00916CF8">
      <w:pPr>
        <w:pStyle w:val="Point1"/>
        <w:rPr>
          <w:noProof/>
        </w:rPr>
      </w:pPr>
      <w:r w:rsidRPr="000B3838">
        <w:rPr>
          <w:noProof/>
        </w:rPr>
        <w:lastRenderedPageBreak/>
        <w:t>2.</w:t>
      </w:r>
      <w:r w:rsidRPr="000B3838">
        <w:rPr>
          <w:noProof/>
        </w:rPr>
        <w:tab/>
        <w:t>Pri upućivanju na ovaj stavak primjenjuje se članak 5. Uredbe (EU) br. 182/2011.</w:t>
      </w:r>
    </w:p>
    <w:p w14:paraId="5099F89D" w14:textId="77777777" w:rsidR="009E4929" w:rsidRPr="000B3838" w:rsidRDefault="009E4929" w:rsidP="00670006">
      <w:pPr>
        <w:pStyle w:val="Text1"/>
        <w:rPr>
          <w:noProof/>
        </w:rPr>
      </w:pPr>
      <w:r w:rsidRPr="000B3838">
        <w:rPr>
          <w:noProof/>
        </w:rPr>
        <w:t>____________</w:t>
      </w:r>
    </w:p>
    <w:p w14:paraId="0EA7CAF0" w14:textId="7B879819" w:rsidR="00916CF8" w:rsidRPr="000B3838" w:rsidRDefault="009E4929" w:rsidP="00670006">
      <w:pPr>
        <w:pStyle w:val="Text1"/>
        <w:rPr>
          <w:noProof/>
        </w:rPr>
      </w:pPr>
      <w:r w:rsidRPr="000B3838">
        <w:rPr>
          <w:noProof/>
        </w:rPr>
        <w:t xml:space="preserve">* Uredba (EU) br. 182/2011 Europskog parlamenta i Vijeća od 16. veljače 2011. o utvrđivanju pravila i općih načela u vezi s mehanizmima nadzora država članica nad izvršavanjem provedbenih ovlasti Komisije (SL L 55, 28.2.2011., str. 13., ELI: </w:t>
      </w:r>
      <w:hyperlink r:id="rId20" w:history="1">
        <w:r w:rsidRPr="000B3838">
          <w:rPr>
            <w:rStyle w:val="Hyperlink"/>
            <w:noProof/>
          </w:rPr>
          <w:t>http://data.europa.eu/eli/reg/2011/182/oj</w:t>
        </w:r>
      </w:hyperlink>
      <w:r w:rsidRPr="000B3838">
        <w:rPr>
          <w:noProof/>
        </w:rPr>
        <w:t>).”;</w:t>
      </w:r>
    </w:p>
    <w:p w14:paraId="562121B8" w14:textId="77777777" w:rsidR="00DE04BA" w:rsidRPr="000B3838" w:rsidRDefault="00DE04BA" w:rsidP="00DE04BA">
      <w:pPr>
        <w:pStyle w:val="Point0"/>
        <w:rPr>
          <w:noProof/>
        </w:rPr>
      </w:pPr>
      <w:r>
        <w:rPr>
          <w:noProof/>
        </w:rPr>
        <w:t>(9)</w:t>
      </w:r>
      <w:r>
        <w:rPr>
          <w:noProof/>
        </w:rPr>
        <w:tab/>
      </w:r>
      <w:r w:rsidRPr="000B3838">
        <w:rPr>
          <w:noProof/>
        </w:rPr>
        <w:t>umeću se članci 16.a i 16.b:</w:t>
      </w:r>
    </w:p>
    <w:p w14:paraId="50176317" w14:textId="1B291425" w:rsidR="00DE04BA" w:rsidRPr="000B3838" w:rsidRDefault="00DE04BA" w:rsidP="00DE04BA">
      <w:pPr>
        <w:pStyle w:val="Titrearticle"/>
        <w:rPr>
          <w:noProof/>
        </w:rPr>
      </w:pPr>
      <w:r w:rsidRPr="000B3838">
        <w:rPr>
          <w:noProof/>
        </w:rPr>
        <w:t xml:space="preserve">„Članak 16.a </w:t>
      </w:r>
      <w:r w:rsidRPr="000B3838">
        <w:rPr>
          <w:noProof/>
        </w:rPr>
        <w:cr/>
      </w:r>
      <w:r w:rsidRPr="000B3838">
        <w:rPr>
          <w:noProof/>
        </w:rPr>
        <w:br/>
        <w:t>Zaštita osobnih podataka</w:t>
      </w:r>
    </w:p>
    <w:p w14:paraId="2C413BA1" w14:textId="28ACE333" w:rsidR="00541E1E" w:rsidRPr="000B3838" w:rsidRDefault="00551837" w:rsidP="00541E1E">
      <w:pPr>
        <w:pStyle w:val="Point1"/>
        <w:rPr>
          <w:noProof/>
        </w:rPr>
      </w:pPr>
      <w:r w:rsidRPr="000B3838">
        <w:rPr>
          <w:noProof/>
        </w:rPr>
        <w:t>1.</w:t>
      </w:r>
      <w:r w:rsidRPr="000B3838">
        <w:rPr>
          <w:noProof/>
        </w:rPr>
        <w:tab/>
        <w:t>Za potrebe ove Direktive nadležna tijela država članica obrađuju osobne podatke samo u sljedeće svrhe:</w:t>
      </w:r>
    </w:p>
    <w:p w14:paraId="5D9953E5" w14:textId="16420BE4" w:rsidR="00541E1E" w:rsidRPr="000B3838" w:rsidRDefault="00541E1E" w:rsidP="00551837">
      <w:pPr>
        <w:pStyle w:val="Point2"/>
        <w:rPr>
          <w:noProof/>
        </w:rPr>
      </w:pPr>
      <w:r>
        <w:rPr>
          <w:noProof/>
        </w:rPr>
        <w:t>(a)</w:t>
      </w:r>
      <w:r>
        <w:rPr>
          <w:noProof/>
        </w:rPr>
        <w:tab/>
      </w:r>
      <w:r w:rsidRPr="000B3838">
        <w:rPr>
          <w:noProof/>
        </w:rPr>
        <w:t>prijenos zahtjeva osobe koja traži konzularnu zaštitu u skladu s člankom 3. ili 7.;</w:t>
      </w:r>
    </w:p>
    <w:p w14:paraId="5E34722C" w14:textId="77777777" w:rsidR="00541E1E" w:rsidRPr="000B3838" w:rsidRDefault="00541E1E" w:rsidP="00551837">
      <w:pPr>
        <w:pStyle w:val="Point2"/>
        <w:rPr>
          <w:noProof/>
        </w:rPr>
      </w:pPr>
      <w:r>
        <w:rPr>
          <w:noProof/>
        </w:rPr>
        <w:t>(b)</w:t>
      </w:r>
      <w:r>
        <w:rPr>
          <w:noProof/>
        </w:rPr>
        <w:tab/>
      </w:r>
      <w:r w:rsidRPr="000B3838">
        <w:rPr>
          <w:noProof/>
        </w:rPr>
        <w:t>provjera identiteta osobe koja traži konzularnu zaštitu u skladu s postupkom iz članka 8.;</w:t>
      </w:r>
    </w:p>
    <w:p w14:paraId="1D0CF71A" w14:textId="77777777" w:rsidR="00541E1E" w:rsidRPr="000B3838" w:rsidRDefault="00541E1E" w:rsidP="00551837">
      <w:pPr>
        <w:pStyle w:val="Point2"/>
        <w:rPr>
          <w:noProof/>
        </w:rPr>
      </w:pPr>
      <w:r>
        <w:rPr>
          <w:noProof/>
        </w:rPr>
        <w:t>(c)</w:t>
      </w:r>
      <w:r>
        <w:rPr>
          <w:noProof/>
        </w:rPr>
        <w:tab/>
      </w:r>
      <w:r w:rsidRPr="000B3838">
        <w:rPr>
          <w:noProof/>
        </w:rPr>
        <w:t>pružanje konzularne zaštite toj osobi, posebice pružanjem vrste pomoći iz članka 9.;</w:t>
      </w:r>
    </w:p>
    <w:p w14:paraId="15705041" w14:textId="0843EA20" w:rsidR="00541E1E" w:rsidRPr="000B3838" w:rsidRDefault="00541E1E" w:rsidP="00551837">
      <w:pPr>
        <w:pStyle w:val="Point2"/>
        <w:rPr>
          <w:noProof/>
        </w:rPr>
      </w:pPr>
      <w:r>
        <w:rPr>
          <w:noProof/>
        </w:rPr>
        <w:t>(d)</w:t>
      </w:r>
      <w:r>
        <w:rPr>
          <w:noProof/>
        </w:rPr>
        <w:tab/>
      </w:r>
      <w:r w:rsidRPr="000B3838">
        <w:rPr>
          <w:noProof/>
        </w:rPr>
        <w:t>suradnja, koordinacija i pružanje potpore u skladu s člankom 10., člankom 11., člankom 13. stavkom 1. i člankom 13.a;</w:t>
      </w:r>
    </w:p>
    <w:p w14:paraId="38EB6338" w14:textId="30BB6E24" w:rsidR="005113A2" w:rsidRPr="000B3838" w:rsidRDefault="005113A2" w:rsidP="005113A2">
      <w:pPr>
        <w:pStyle w:val="Point2"/>
        <w:rPr>
          <w:noProof/>
        </w:rPr>
      </w:pPr>
      <w:r>
        <w:rPr>
          <w:noProof/>
        </w:rPr>
        <w:t>(e)</w:t>
      </w:r>
      <w:r>
        <w:rPr>
          <w:noProof/>
        </w:rPr>
        <w:tab/>
      </w:r>
      <w:r w:rsidRPr="000B3838">
        <w:rPr>
          <w:noProof/>
        </w:rPr>
        <w:t>pružanje kontaktnih podataka iz članka 10. stavka 4. i članka 13.b stavka 1.;</w:t>
      </w:r>
    </w:p>
    <w:p w14:paraId="10C37CBF" w14:textId="00D99CF5" w:rsidR="00541E1E" w:rsidRPr="000B3838" w:rsidRDefault="00541E1E" w:rsidP="00551837">
      <w:pPr>
        <w:pStyle w:val="Point2"/>
        <w:rPr>
          <w:noProof/>
        </w:rPr>
      </w:pPr>
      <w:r>
        <w:rPr>
          <w:noProof/>
        </w:rPr>
        <w:t>(f)</w:t>
      </w:r>
      <w:r>
        <w:rPr>
          <w:noProof/>
        </w:rPr>
        <w:tab/>
      </w:r>
      <w:r w:rsidRPr="000B3838">
        <w:rPr>
          <w:noProof/>
        </w:rPr>
        <w:t>obrada zahtjeva za financijsku naknadu za pruženu konzularnu zaštitu u skladu s člancima 14. i 15.</w:t>
      </w:r>
    </w:p>
    <w:p w14:paraId="1B77C243" w14:textId="5F3EBD60" w:rsidR="00C31A2D" w:rsidRPr="000B3838" w:rsidRDefault="00D817C2" w:rsidP="00DF0999">
      <w:pPr>
        <w:pStyle w:val="Point1"/>
        <w:rPr>
          <w:noProof/>
        </w:rPr>
      </w:pPr>
      <w:r w:rsidRPr="000B3838">
        <w:rPr>
          <w:noProof/>
        </w:rPr>
        <w:t>2.</w:t>
      </w:r>
      <w:r w:rsidRPr="000B3838">
        <w:rPr>
          <w:noProof/>
        </w:rPr>
        <w:tab/>
        <w:t>Institucije i tijela Unije obrađuju osobne podatke u smislu Uredbe (EU) 2018/1725 Europskog parlamenta i Vijeća* za potrebe ove Direktive samo ako je to potrebno za provedbu zadaća iz članka 10. stavka 1., članka 11., članka 13. i članka 13.a, za obradu zaprimljenih informacija u skladu s člankom 10. stavkom 4. i člankom 13.b stavkom 1. ili za obradu zahtjeva za financijsku naknadu u skladu s člankom 14. stavkom 5. i člankom 15. stavkom 4.</w:t>
      </w:r>
    </w:p>
    <w:p w14:paraId="1CD7E547" w14:textId="7E24A2C1" w:rsidR="00541E1E" w:rsidRPr="000B3838" w:rsidRDefault="00F65417" w:rsidP="00541E1E">
      <w:pPr>
        <w:pStyle w:val="Point1"/>
        <w:rPr>
          <w:noProof/>
        </w:rPr>
      </w:pPr>
      <w:r w:rsidRPr="000B3838">
        <w:rPr>
          <w:noProof/>
        </w:rPr>
        <w:t>3.</w:t>
      </w:r>
      <w:r w:rsidRPr="000B3838">
        <w:rPr>
          <w:noProof/>
        </w:rPr>
        <w:tab/>
        <w:t>Pri obradi osobnih podataka u skladu sa stavcima 1. i 2. nadležna tijela država članica te institucije i tijela Unije smatraju se, u okviru djelatnosti koje obavljaju na temelju ove Direktive, voditeljima obrade iz članka 4. stavka 7. Uredbe (EU) 2016/679 Europskog parlamenta i Vijeća**, odnosno članka 3. stavka 8. Uredbe (EU) 2018/1725.</w:t>
      </w:r>
    </w:p>
    <w:p w14:paraId="21838D4B" w14:textId="752BC65A" w:rsidR="00541E1E" w:rsidRPr="000B3838" w:rsidRDefault="009B6F32" w:rsidP="00541E1E">
      <w:pPr>
        <w:pStyle w:val="Point1"/>
        <w:rPr>
          <w:noProof/>
        </w:rPr>
      </w:pPr>
      <w:r w:rsidRPr="000B3838">
        <w:rPr>
          <w:noProof/>
        </w:rPr>
        <w:t>4.</w:t>
      </w:r>
      <w:r w:rsidRPr="000B3838">
        <w:rPr>
          <w:noProof/>
        </w:rPr>
        <w:tab/>
        <w:t>Osobni podaci koji se obrađuju u skladu s člancima 1. i 2. ograničeni su na ono što je potrebno za provedbu specifičnih zadaća, kao što su identitet osobe kojoj je potrebna konzularna zaštita i okolnosti konzularnog predmeta.</w:t>
      </w:r>
    </w:p>
    <w:p w14:paraId="4ED02813" w14:textId="636E039C" w:rsidR="00541E1E" w:rsidRPr="000B3838" w:rsidRDefault="009B6F32" w:rsidP="005D7104">
      <w:pPr>
        <w:pStyle w:val="Point1"/>
        <w:rPr>
          <w:noProof/>
        </w:rPr>
      </w:pPr>
      <w:bookmarkStart w:id="5" w:name="_Hlk144301404"/>
      <w:r w:rsidRPr="000B3838">
        <w:rPr>
          <w:noProof/>
        </w:rPr>
        <w:t>5.</w:t>
      </w:r>
      <w:r w:rsidRPr="000B3838">
        <w:rPr>
          <w:noProof/>
        </w:rPr>
        <w:tab/>
      </w:r>
      <w:bookmarkEnd w:id="5"/>
      <w:r w:rsidRPr="000B3838">
        <w:rPr>
          <w:noProof/>
        </w:rPr>
        <w:t xml:space="preserve">Nadležna tijela država članica te institucije i tijela Unije mogu obrađivati osobne podatke koji otkrivaju rasno ili etničko podrijetlo, politička mišljenja, vjerska ili filozofska uvjerenja ili članstvo u sindikatu, genetske podatke, </w:t>
      </w:r>
      <w:r w:rsidRPr="000B3838">
        <w:rPr>
          <w:noProof/>
        </w:rPr>
        <w:lastRenderedPageBreak/>
        <w:t>biometrijske podatke u svrhu jedinstvene identifikacije pojedinca, podatke koji se odnose na zdravlje, spolni život ili seksualnu orijentaciju ili osobne podatke koji se odnose na kaznene osude i kažnjiva djela osobe kojoj je potrebna konzularna zaštita ako je to nužno za obavljanje zadaća iz članaka 9., 10., 11. i 13.a u vezi s tom osobom.</w:t>
      </w:r>
    </w:p>
    <w:p w14:paraId="229E32BA" w14:textId="344CC02E" w:rsidR="00541E1E" w:rsidRPr="000B3838" w:rsidRDefault="0051528D" w:rsidP="00541E1E">
      <w:pPr>
        <w:pStyle w:val="Point1"/>
        <w:rPr>
          <w:noProof/>
        </w:rPr>
      </w:pPr>
      <w:r w:rsidRPr="000B3838">
        <w:rPr>
          <w:noProof/>
        </w:rPr>
        <w:t>6.</w:t>
      </w:r>
      <w:r w:rsidRPr="000B3838">
        <w:rPr>
          <w:noProof/>
        </w:rPr>
        <w:tab/>
        <w:t>Pri obradi osobnih podataka iz stavka 5. nadležna tijela država članica te institucije i tijela Unije osiguravaju prikladne i posebne mjere za zaštitu interesa ispitanika. Oni također uvode interne politike i provode odgovarajuće tehničke i organizacijske mjere kako bi spriječili neovlašteni pristup tim osobnim podacima i njihov prijenos.</w:t>
      </w:r>
    </w:p>
    <w:p w14:paraId="2A0CCA89" w14:textId="7ECCEB9B" w:rsidR="00541E1E" w:rsidRPr="000B3838" w:rsidRDefault="0051528D" w:rsidP="00541E1E">
      <w:pPr>
        <w:pStyle w:val="Point1"/>
        <w:rPr>
          <w:noProof/>
        </w:rPr>
      </w:pPr>
      <w:r w:rsidRPr="000B3838">
        <w:rPr>
          <w:noProof/>
        </w:rPr>
        <w:t>7.</w:t>
      </w:r>
      <w:r w:rsidRPr="000B3838">
        <w:rPr>
          <w:noProof/>
        </w:rPr>
        <w:tab/>
        <w:t>Nadležna tijela država članica za potrebe ove Direktive prenose osobne podatke trećoj zemlji ili međunarodnoj organizaciji samo kako bi obavila zadaće iz članaka 9., 10. i 13.a i u skladu s poglavljem V. Uredbe (EU) 2016/679.</w:t>
      </w:r>
    </w:p>
    <w:p w14:paraId="47C2AFC1" w14:textId="5C043176" w:rsidR="00541E1E" w:rsidRPr="000B3838" w:rsidRDefault="00923384" w:rsidP="009B6F32">
      <w:pPr>
        <w:pStyle w:val="Text2"/>
        <w:rPr>
          <w:noProof/>
        </w:rPr>
      </w:pPr>
      <w:r w:rsidRPr="000B3838">
        <w:rPr>
          <w:noProof/>
        </w:rPr>
        <w:t>Institucije i tijela Unije za potrebe ove Direktive prenose osobne podatke trećoj zemlji ili međunarodnoj organizaciji samo kako bi obavili zadaće iz članka 10. stavka 1., članka 11. i članka 13.a i u skladu s poglavljem V. Uredbe (EU) 2018/1725.</w:t>
      </w:r>
    </w:p>
    <w:p w14:paraId="5D84C669" w14:textId="655ACA04" w:rsidR="00911EEC" w:rsidRPr="000B3838" w:rsidRDefault="00203193" w:rsidP="00541E1E">
      <w:pPr>
        <w:pStyle w:val="Point1"/>
        <w:rPr>
          <w:noProof/>
        </w:rPr>
      </w:pPr>
      <w:r w:rsidRPr="000B3838">
        <w:rPr>
          <w:noProof/>
        </w:rPr>
        <w:t>8.</w:t>
      </w:r>
      <w:r w:rsidRPr="000B3838">
        <w:rPr>
          <w:noProof/>
        </w:rPr>
        <w:tab/>
        <w:t>Država članica koja pruža pomoć, država članica državljanstva te, ako je primjenjivo, institucije i tijela Unije zadržavaju osobne podatke osobe kojoj se pruža pomoć samo u razdoblju koje je potrebno za obavljanje zadaća iz stavaka 1. i 2. Ni u kojem slučaju država članica koja pruža pomoć te institucije i tijela Unije ne smiju zadržati te osobne podatke dulje od 12 mjeseci, a država članica državljanstva ne smije ih zadržati dulje od 24 mjeseca od dana kad su prikupljeni. Kontaktni podaci koji se razmjenjuju u skladu s člankom 10. stavkom 4. i člankom 13.b stavkom 1. zadržavaju se samo dok osobe izvršavaju relevantnu funkciju.</w:t>
      </w:r>
    </w:p>
    <w:p w14:paraId="12DD4B9E" w14:textId="42DE68BB" w:rsidR="00541E1E" w:rsidRPr="000B3838" w:rsidRDefault="00541E1E" w:rsidP="0017010D">
      <w:pPr>
        <w:pStyle w:val="Text2"/>
        <w:rPr>
          <w:noProof/>
        </w:rPr>
      </w:pPr>
      <w:r w:rsidRPr="000B3838">
        <w:rPr>
          <w:noProof/>
        </w:rPr>
        <w:t>Osobni podaci brišu se što prije nakon dovršetka zadaća iz stavka 1. ili 2. i najkasnije po isteku razdobljâ zadržavanja iz prvog podstavka.</w:t>
      </w:r>
    </w:p>
    <w:p w14:paraId="4EAAB155" w14:textId="77777777" w:rsidR="00462162" w:rsidRPr="000B3838" w:rsidDel="00BE6840" w:rsidRDefault="00462162" w:rsidP="00462162">
      <w:pPr>
        <w:pStyle w:val="Titrearticle"/>
        <w:rPr>
          <w:noProof/>
        </w:rPr>
      </w:pPr>
      <w:r w:rsidRPr="000B3838">
        <w:rPr>
          <w:noProof/>
        </w:rPr>
        <w:t xml:space="preserve">Članak 16.b </w:t>
      </w:r>
      <w:r w:rsidRPr="000B3838">
        <w:rPr>
          <w:noProof/>
        </w:rPr>
        <w:cr/>
      </w:r>
      <w:r w:rsidRPr="000B3838">
        <w:rPr>
          <w:noProof/>
        </w:rPr>
        <w:br/>
        <w:t>Pravni lijekovi</w:t>
      </w:r>
    </w:p>
    <w:p w14:paraId="78D27074" w14:textId="77777777" w:rsidR="0053693A" w:rsidRPr="000B3838" w:rsidRDefault="00462162" w:rsidP="00462162">
      <w:pPr>
        <w:pStyle w:val="Text1"/>
        <w:rPr>
          <w:noProof/>
        </w:rPr>
      </w:pPr>
      <w:r w:rsidRPr="000B3838">
        <w:rPr>
          <w:noProof/>
        </w:rPr>
        <w:t>Države članice osiguravaju da građani bez predstavništva na temelju nacionalnog prava imaju djelotvoran pravni lijek u slučaju povrede njihovih prava na temelju ove Direktive.</w:t>
      </w:r>
    </w:p>
    <w:p w14:paraId="708E5B27" w14:textId="77777777" w:rsidR="0053693A" w:rsidRPr="000B3838" w:rsidRDefault="0053693A" w:rsidP="0053693A">
      <w:pPr>
        <w:pStyle w:val="Text1"/>
        <w:rPr>
          <w:noProof/>
        </w:rPr>
      </w:pPr>
      <w:r w:rsidRPr="000B3838">
        <w:rPr>
          <w:noProof/>
        </w:rPr>
        <w:t>______________</w:t>
      </w:r>
    </w:p>
    <w:p w14:paraId="6F24EC7E" w14:textId="73BFC1C3" w:rsidR="00366745" w:rsidRPr="000B3838" w:rsidRDefault="0053693A" w:rsidP="0053693A">
      <w:pPr>
        <w:pStyle w:val="Text1"/>
        <w:rPr>
          <w:noProof/>
        </w:rPr>
      </w:pPr>
      <w:r w:rsidRPr="000B3838">
        <w:rPr>
          <w:noProof/>
        </w:rPr>
        <w:t xml:space="preserve">* 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(SL L 295, 21.11.2018., str. 39., ELI: </w:t>
      </w:r>
      <w:hyperlink r:id="rId21" w:history="1">
        <w:r w:rsidRPr="000B3838">
          <w:rPr>
            <w:rStyle w:val="Hyperlink"/>
            <w:noProof/>
          </w:rPr>
          <w:t>http://data.europa.eu/eli/reg/2018/1725/oj</w:t>
        </w:r>
      </w:hyperlink>
      <w:r w:rsidRPr="000B3838">
        <w:rPr>
          <w:noProof/>
        </w:rPr>
        <w:t>).</w:t>
      </w:r>
    </w:p>
    <w:p w14:paraId="0561E7EB" w14:textId="20BF0659" w:rsidR="00630CB2" w:rsidRPr="000B3838" w:rsidRDefault="00366745" w:rsidP="00366745">
      <w:pPr>
        <w:pStyle w:val="Text1"/>
        <w:rPr>
          <w:noProof/>
        </w:rPr>
      </w:pPr>
      <w:r w:rsidRPr="000B3838">
        <w:rPr>
          <w:noProof/>
        </w:rPr>
        <w:t xml:space="preserve">** Uredba (EU) 2016/679 Europskog parlamenta i Vijeća od 27. travnja 2016. o zaštiti pojedinaca u vezi s obradom osobnih podataka i o slobodnom kretanju takvih podataka te o stavljanju izvan snage Direktive 95/46/EZ (Opća uredba o zaštiti </w:t>
      </w:r>
      <w:r w:rsidRPr="000B3838">
        <w:rPr>
          <w:noProof/>
        </w:rPr>
        <w:lastRenderedPageBreak/>
        <w:t xml:space="preserve">podataka) (SL L 119, 4.5.2016., str. 1., ELI: </w:t>
      </w:r>
      <w:hyperlink r:id="rId22" w:history="1">
        <w:r w:rsidRPr="000B3838">
          <w:rPr>
            <w:rStyle w:val="Hyperlink"/>
            <w:noProof/>
          </w:rPr>
          <w:t>http://data.europa.eu/eli/reg/2016/679/oj</w:t>
        </w:r>
      </w:hyperlink>
      <w:r w:rsidRPr="000B3838">
        <w:rPr>
          <w:noProof/>
        </w:rPr>
        <w:t>).”;</w:t>
      </w:r>
    </w:p>
    <w:p w14:paraId="7835C80E" w14:textId="4094F574" w:rsidR="0054499F" w:rsidRPr="000B3838" w:rsidRDefault="0054499F" w:rsidP="00741619">
      <w:pPr>
        <w:pStyle w:val="Point0"/>
        <w:rPr>
          <w:noProof/>
        </w:rPr>
      </w:pPr>
      <w:r>
        <w:rPr>
          <w:noProof/>
        </w:rPr>
        <w:t>(10)</w:t>
      </w:r>
      <w:r>
        <w:rPr>
          <w:noProof/>
        </w:rPr>
        <w:tab/>
      </w:r>
      <w:r w:rsidRPr="000B3838">
        <w:rPr>
          <w:noProof/>
        </w:rPr>
        <w:t>u članku 19. dodaje se stavak 3.:</w:t>
      </w:r>
    </w:p>
    <w:p w14:paraId="7457F98C" w14:textId="0140DBEF" w:rsidR="00DA064C" w:rsidRPr="000B3838" w:rsidRDefault="00EF13D4" w:rsidP="00844C75">
      <w:pPr>
        <w:pStyle w:val="Text1"/>
        <w:rPr>
          <w:noProof/>
        </w:rPr>
      </w:pPr>
      <w:r w:rsidRPr="000B3838">
        <w:rPr>
          <w:noProof/>
        </w:rPr>
        <w:t xml:space="preserve">„3. Najranije </w:t>
      </w:r>
      <w:r w:rsidRPr="000B3838">
        <w:rPr>
          <w:i/>
          <w:noProof/>
        </w:rPr>
        <w:t>[osam godina nakon roka za prenošenje Direktive o izmjenama]</w:t>
      </w:r>
      <w:r w:rsidRPr="000B3838">
        <w:rPr>
          <w:noProof/>
        </w:rPr>
        <w:t xml:space="preserve"> Komisija provodi evaluaciju ove Direktive i podnosi izvješće Europskom parlamentu i Vijeću o njezinim glavnim nalazima.</w:t>
      </w:r>
    </w:p>
    <w:p w14:paraId="6E0D5C94" w14:textId="4F386721" w:rsidR="00A03F28" w:rsidRPr="000B3838" w:rsidRDefault="00622C2A" w:rsidP="00844C75">
      <w:pPr>
        <w:pStyle w:val="Text1"/>
        <w:rPr>
          <w:noProof/>
        </w:rPr>
      </w:pPr>
      <w:r w:rsidRPr="000B3838">
        <w:rPr>
          <w:noProof/>
        </w:rPr>
        <w:t>Države članice dostavljaju Komisiji informacije potrebne za izradu tog izvješća.”;</w:t>
      </w:r>
    </w:p>
    <w:p w14:paraId="11A58930" w14:textId="77777777" w:rsidR="00E405C8" w:rsidRPr="000B3838" w:rsidRDefault="00E405C8" w:rsidP="00E405C8">
      <w:pPr>
        <w:pStyle w:val="Point0"/>
        <w:rPr>
          <w:noProof/>
        </w:rPr>
      </w:pPr>
      <w:r>
        <w:rPr>
          <w:noProof/>
        </w:rPr>
        <w:t>(11)</w:t>
      </w:r>
      <w:r>
        <w:rPr>
          <w:noProof/>
        </w:rPr>
        <w:tab/>
      </w:r>
      <w:r w:rsidRPr="000B3838">
        <w:rPr>
          <w:noProof/>
        </w:rPr>
        <w:t>prilozi I. i II. brišu se.</w:t>
      </w:r>
    </w:p>
    <w:p w14:paraId="168CADD0" w14:textId="77777777" w:rsidR="00B92903" w:rsidRPr="000B3838" w:rsidRDefault="00B92903" w:rsidP="00B92903">
      <w:pPr>
        <w:pStyle w:val="Titrearticle"/>
        <w:rPr>
          <w:noProof/>
        </w:rPr>
      </w:pPr>
      <w:r w:rsidRPr="000B3838">
        <w:rPr>
          <w:noProof/>
        </w:rPr>
        <w:t>Članak 2.</w:t>
      </w:r>
    </w:p>
    <w:p w14:paraId="219B39EB" w14:textId="45722772" w:rsidR="00522545" w:rsidRPr="000B3838" w:rsidRDefault="00350AC6" w:rsidP="00587507">
      <w:pPr>
        <w:rPr>
          <w:noProof/>
        </w:rPr>
      </w:pPr>
      <w:r w:rsidRPr="000B3838">
        <w:rPr>
          <w:noProof/>
        </w:rPr>
        <w:t>Članak 5. stavak 3. Direktive (EU) 2019/997 zamjenjuje se sljedećim:</w:t>
      </w:r>
    </w:p>
    <w:p w14:paraId="5B09A7B7" w14:textId="4CA283DF" w:rsidR="009311BE" w:rsidRPr="000B3838" w:rsidRDefault="00925A12" w:rsidP="009311BE">
      <w:pPr>
        <w:pStyle w:val="Text1"/>
        <w:rPr>
          <w:noProof/>
        </w:rPr>
      </w:pPr>
      <w:r w:rsidRPr="000B3838">
        <w:rPr>
          <w:noProof/>
        </w:rPr>
        <w:t>„3. Ako podnositelji zahtjeva ne mogu državi članici koja pruža pomoć platiti primjenjive pristojbe pri podnošenju svojeg zahtjeva, primjenjuju se članak 14. stavci 2. i 3. te članak 15. Direktive (EU) 2015/637.”.</w:t>
      </w:r>
    </w:p>
    <w:p w14:paraId="1C73EBED" w14:textId="77777777" w:rsidR="00304682" w:rsidRPr="000B3838" w:rsidRDefault="00304682" w:rsidP="002710FB">
      <w:pPr>
        <w:pStyle w:val="Titrearticle"/>
        <w:rPr>
          <w:noProof/>
        </w:rPr>
      </w:pPr>
      <w:r w:rsidRPr="000B3838">
        <w:rPr>
          <w:noProof/>
        </w:rPr>
        <w:t>Članak 3.</w:t>
      </w:r>
    </w:p>
    <w:p w14:paraId="262EB1C6" w14:textId="77777777" w:rsidR="00304682" w:rsidRPr="000B3838" w:rsidRDefault="00304682" w:rsidP="00E76033">
      <w:pPr>
        <w:pStyle w:val="ManualNumPar1"/>
        <w:rPr>
          <w:noProof/>
        </w:rPr>
      </w:pPr>
      <w:r>
        <w:rPr>
          <w:noProof/>
        </w:rPr>
        <w:t>1.</w:t>
      </w:r>
      <w:r>
        <w:rPr>
          <w:noProof/>
        </w:rPr>
        <w:tab/>
      </w:r>
      <w:r w:rsidRPr="000B3838">
        <w:rPr>
          <w:noProof/>
        </w:rPr>
        <w:t xml:space="preserve">Države članice stavljaju na snagu zakone i druge propise koji su potrebni radi usklađivanja s ovom Direktivom najkasnije </w:t>
      </w:r>
      <w:r w:rsidRPr="000B3838">
        <w:rPr>
          <w:i/>
          <w:noProof/>
        </w:rPr>
        <w:t>[dvije godine nakon stupanja na snagu]</w:t>
      </w:r>
      <w:r w:rsidRPr="000B3838">
        <w:rPr>
          <w:noProof/>
        </w:rPr>
        <w:t>. One Komisiji odmah dostavljaju tekst tih odredaba.</w:t>
      </w:r>
    </w:p>
    <w:p w14:paraId="6866C820" w14:textId="77777777" w:rsidR="00304682" w:rsidRPr="000B3838" w:rsidRDefault="00304682">
      <w:pPr>
        <w:pStyle w:val="Text1"/>
        <w:rPr>
          <w:noProof/>
        </w:rPr>
      </w:pPr>
      <w:r w:rsidRPr="000B3838">
        <w:rPr>
          <w:noProof/>
        </w:rPr>
        <w:t>Kad države članice donose te odredbe, one sadržavaju upućivanje na ovu Direktivu ili se na nju upućuje pri njihovoj službenoj objavi. Države članice određuju načine tog upućivanja.</w:t>
      </w:r>
    </w:p>
    <w:p w14:paraId="4A18739A" w14:textId="77777777" w:rsidR="00304682" w:rsidRPr="000B3838" w:rsidRDefault="00304682" w:rsidP="00A23F00">
      <w:pPr>
        <w:pStyle w:val="ManualNumPar1"/>
        <w:rPr>
          <w:noProof/>
        </w:rPr>
      </w:pPr>
      <w:r>
        <w:rPr>
          <w:noProof/>
        </w:rPr>
        <w:t>2.</w:t>
      </w:r>
      <w:r>
        <w:rPr>
          <w:noProof/>
        </w:rPr>
        <w:tab/>
      </w:r>
      <w:r w:rsidRPr="000B3838">
        <w:rPr>
          <w:noProof/>
        </w:rPr>
        <w:t>Države članice Komisiji dostavljaju tekst glavnih odredaba nacionalnog prava koje donesu u području na koje se odnosi ova Direktiva.</w:t>
      </w:r>
    </w:p>
    <w:p w14:paraId="2717BE14" w14:textId="77777777" w:rsidR="00304682" w:rsidRPr="000B3838" w:rsidRDefault="00304682" w:rsidP="002710FB">
      <w:pPr>
        <w:pStyle w:val="Titrearticle"/>
        <w:rPr>
          <w:noProof/>
        </w:rPr>
      </w:pPr>
      <w:r w:rsidRPr="000B3838">
        <w:rPr>
          <w:noProof/>
        </w:rPr>
        <w:t>Članak 4.</w:t>
      </w:r>
    </w:p>
    <w:p w14:paraId="54E3C4A7" w14:textId="77777777" w:rsidR="00304682" w:rsidRPr="000B3838" w:rsidRDefault="00304682">
      <w:pPr>
        <w:rPr>
          <w:noProof/>
        </w:rPr>
      </w:pPr>
      <w:r w:rsidRPr="000B3838">
        <w:rPr>
          <w:noProof/>
        </w:rPr>
        <w:t xml:space="preserve">Ova Direktiva stupa na snagu dvadesetog dana od dana objave u </w:t>
      </w:r>
      <w:r w:rsidRPr="000B3838">
        <w:rPr>
          <w:i/>
          <w:noProof/>
        </w:rPr>
        <w:t>Službenom listu Europske unije</w:t>
      </w:r>
      <w:r w:rsidRPr="000B3838">
        <w:rPr>
          <w:noProof/>
        </w:rPr>
        <w:t>.</w:t>
      </w:r>
    </w:p>
    <w:p w14:paraId="40FC2E22" w14:textId="77777777" w:rsidR="00304682" w:rsidRPr="000B3838" w:rsidRDefault="00304682" w:rsidP="002B30D2">
      <w:pPr>
        <w:pStyle w:val="Titrearticle"/>
        <w:rPr>
          <w:noProof/>
        </w:rPr>
      </w:pPr>
      <w:r w:rsidRPr="000B3838">
        <w:rPr>
          <w:noProof/>
        </w:rPr>
        <w:t>Članak 5.</w:t>
      </w:r>
    </w:p>
    <w:p w14:paraId="2582A4AC" w14:textId="77777777" w:rsidR="00304682" w:rsidRPr="000B3838" w:rsidRDefault="00304682">
      <w:pPr>
        <w:rPr>
          <w:noProof/>
        </w:rPr>
      </w:pPr>
      <w:r w:rsidRPr="000B3838">
        <w:rPr>
          <w:noProof/>
        </w:rPr>
        <w:t>Ova je Direktiva upućena državama članicama.</w:t>
      </w:r>
    </w:p>
    <w:p w14:paraId="1FF4178E" w14:textId="5A697C7C" w:rsidR="00304682" w:rsidRPr="000B3838" w:rsidRDefault="000B3838" w:rsidP="002B30D2">
      <w:pPr>
        <w:pStyle w:val="Fait"/>
        <w:rPr>
          <w:noProof/>
        </w:rPr>
      </w:pPr>
      <w:r>
        <w:rPr>
          <w:noProof/>
        </w:rPr>
        <w:t>Sastavljeno u Bruxellesu,</w:t>
      </w:r>
    </w:p>
    <w:p w14:paraId="7238577C" w14:textId="77777777" w:rsidR="00304682" w:rsidRPr="000B3838" w:rsidRDefault="00304682" w:rsidP="002B30D2">
      <w:pPr>
        <w:pStyle w:val="Institutionquisigne"/>
        <w:rPr>
          <w:noProof/>
        </w:rPr>
      </w:pPr>
      <w:r w:rsidRPr="000B3838">
        <w:rPr>
          <w:noProof/>
        </w:rPr>
        <w:tab/>
        <w:t>Za Vijeće</w:t>
      </w:r>
    </w:p>
    <w:p w14:paraId="76811306" w14:textId="77777777" w:rsidR="004515FC" w:rsidRPr="000B3838" w:rsidRDefault="00304682" w:rsidP="00304682">
      <w:pPr>
        <w:pStyle w:val="Personnequisigne"/>
        <w:rPr>
          <w:noProof/>
        </w:rPr>
      </w:pPr>
      <w:r w:rsidRPr="000B3838">
        <w:rPr>
          <w:noProof/>
        </w:rPr>
        <w:tab/>
        <w:t>Predsjednik</w:t>
      </w:r>
    </w:p>
    <w:p w14:paraId="50C3CB6F" w14:textId="77777777" w:rsidR="004515FC" w:rsidRPr="000B3838" w:rsidRDefault="004515FC">
      <w:pPr>
        <w:spacing w:before="0" w:after="200" w:line="276" w:lineRule="auto"/>
        <w:jc w:val="left"/>
        <w:rPr>
          <w:i/>
          <w:noProof/>
        </w:rPr>
      </w:pPr>
      <w:r w:rsidRPr="000B3838">
        <w:rPr>
          <w:noProof/>
        </w:rPr>
        <w:br w:type="page"/>
      </w:r>
    </w:p>
    <w:p w14:paraId="02603DB7" w14:textId="77777777" w:rsidR="004515FC" w:rsidRPr="000B3838" w:rsidRDefault="004515FC" w:rsidP="004515FC">
      <w:pPr>
        <w:pStyle w:val="Fichefinanciretitre"/>
        <w:keepNext/>
        <w:rPr>
          <w:noProof/>
        </w:rPr>
      </w:pPr>
      <w:bookmarkStart w:id="6" w:name="_TocB7751C055C4744A28A002AAF436526DF"/>
      <w:r w:rsidRPr="000B3838">
        <w:rPr>
          <w:noProof/>
        </w:rPr>
        <w:lastRenderedPageBreak/>
        <w:t>ZAKONODAVNI FINANCIJSKI IZVJEŠTAJ</w:t>
      </w:r>
      <w:bookmarkEnd w:id="6"/>
    </w:p>
    <w:p w14:paraId="412C4788" w14:textId="77777777" w:rsidR="004515FC" w:rsidRPr="000B3838" w:rsidRDefault="004515FC" w:rsidP="004515FC">
      <w:pPr>
        <w:pStyle w:val="ManualHeading1"/>
        <w:rPr>
          <w:noProof/>
        </w:rPr>
      </w:pPr>
      <w:r w:rsidRPr="000B3838">
        <w:rPr>
          <w:noProof/>
        </w:rPr>
        <w:t>1.</w:t>
      </w:r>
      <w:r w:rsidRPr="000B3838">
        <w:rPr>
          <w:noProof/>
        </w:rPr>
        <w:tab/>
        <w:t>OKVIR PRIJEDLOGA/INICIJATIVE</w:t>
      </w:r>
    </w:p>
    <w:p w14:paraId="5AC11322" w14:textId="77777777" w:rsidR="004515FC" w:rsidRPr="000B3838" w:rsidRDefault="004515FC" w:rsidP="004515FC">
      <w:pPr>
        <w:pStyle w:val="ManualHeading2"/>
        <w:rPr>
          <w:noProof/>
        </w:rPr>
      </w:pPr>
      <w:r w:rsidRPr="000B3838">
        <w:rPr>
          <w:noProof/>
        </w:rPr>
        <w:t>1.1.</w:t>
      </w:r>
      <w:r w:rsidRPr="000B3838">
        <w:rPr>
          <w:noProof/>
        </w:rPr>
        <w:tab/>
        <w:t>Naslov prijedloga/inicijative</w:t>
      </w:r>
    </w:p>
    <w:p w14:paraId="3C07F151" w14:textId="77777777" w:rsidR="004515FC" w:rsidRPr="000B3838" w:rsidRDefault="004515FC" w:rsidP="004515FC">
      <w:pPr>
        <w:pStyle w:val="ManualHeading2"/>
        <w:rPr>
          <w:noProof/>
        </w:rPr>
      </w:pPr>
      <w:r w:rsidRPr="000B3838">
        <w:rPr>
          <w:noProof/>
        </w:rPr>
        <w:t>1.2.</w:t>
      </w:r>
      <w:r w:rsidRPr="000B3838">
        <w:rPr>
          <w:noProof/>
        </w:rPr>
        <w:tab/>
        <w:t>Predmetna područja politike</w:t>
      </w:r>
    </w:p>
    <w:p w14:paraId="17C194D5" w14:textId="77777777" w:rsidR="004515FC" w:rsidRPr="000B3838" w:rsidRDefault="004515FC" w:rsidP="004515FC">
      <w:pPr>
        <w:pStyle w:val="ManualHeading2"/>
        <w:rPr>
          <w:noProof/>
        </w:rPr>
      </w:pPr>
      <w:r w:rsidRPr="000B3838">
        <w:rPr>
          <w:noProof/>
        </w:rPr>
        <w:t>1.3.</w:t>
      </w:r>
      <w:r w:rsidRPr="000B3838">
        <w:rPr>
          <w:noProof/>
        </w:rPr>
        <w:tab/>
        <w:t>Prijedlog/inicijativa odnosi se na:</w:t>
      </w:r>
    </w:p>
    <w:p w14:paraId="78777223" w14:textId="77777777" w:rsidR="004515FC" w:rsidRPr="000B3838" w:rsidRDefault="004515FC" w:rsidP="004515FC">
      <w:pPr>
        <w:pStyle w:val="ManualHeading2"/>
        <w:rPr>
          <w:noProof/>
        </w:rPr>
      </w:pPr>
      <w:r w:rsidRPr="000B3838">
        <w:rPr>
          <w:noProof/>
        </w:rPr>
        <w:t>1.4.</w:t>
      </w:r>
      <w:r w:rsidRPr="000B3838">
        <w:rPr>
          <w:noProof/>
        </w:rPr>
        <w:tab/>
        <w:t>Ciljevi</w:t>
      </w:r>
    </w:p>
    <w:p w14:paraId="1962A2DA" w14:textId="77777777" w:rsidR="004515FC" w:rsidRPr="000B3838" w:rsidRDefault="004515FC" w:rsidP="004515FC">
      <w:pPr>
        <w:pStyle w:val="ManualHeading3"/>
        <w:rPr>
          <w:noProof/>
        </w:rPr>
      </w:pPr>
      <w:r w:rsidRPr="000B3838">
        <w:rPr>
          <w:noProof/>
        </w:rPr>
        <w:t>1.4.1.</w:t>
      </w:r>
      <w:r w:rsidRPr="000B3838">
        <w:rPr>
          <w:noProof/>
        </w:rPr>
        <w:tab/>
        <w:t>Opći ciljevi</w:t>
      </w:r>
    </w:p>
    <w:p w14:paraId="780E3BAA" w14:textId="77777777" w:rsidR="004515FC" w:rsidRPr="000B3838" w:rsidRDefault="004515FC" w:rsidP="004515FC">
      <w:pPr>
        <w:pStyle w:val="ManualHeading3"/>
        <w:rPr>
          <w:noProof/>
        </w:rPr>
      </w:pPr>
      <w:r w:rsidRPr="000B3838">
        <w:rPr>
          <w:noProof/>
        </w:rPr>
        <w:t>1.4.2.</w:t>
      </w:r>
      <w:r w:rsidRPr="000B3838">
        <w:rPr>
          <w:noProof/>
        </w:rPr>
        <w:tab/>
        <w:t>Specifični ciljevi</w:t>
      </w:r>
    </w:p>
    <w:p w14:paraId="5513EAFB" w14:textId="77777777" w:rsidR="004515FC" w:rsidRPr="000B3838" w:rsidRDefault="004515FC" w:rsidP="004515FC">
      <w:pPr>
        <w:pStyle w:val="ManualHeading3"/>
        <w:rPr>
          <w:noProof/>
        </w:rPr>
      </w:pPr>
      <w:r w:rsidRPr="000B3838">
        <w:rPr>
          <w:noProof/>
        </w:rPr>
        <w:t>1.4.3.</w:t>
      </w:r>
      <w:r w:rsidRPr="000B3838">
        <w:rPr>
          <w:noProof/>
        </w:rPr>
        <w:tab/>
        <w:t>Očekivani rezultati i učinak</w:t>
      </w:r>
    </w:p>
    <w:p w14:paraId="782A93B2" w14:textId="77777777" w:rsidR="004515FC" w:rsidRPr="000B3838" w:rsidRDefault="004515FC" w:rsidP="004515FC">
      <w:pPr>
        <w:pStyle w:val="ManualHeading3"/>
        <w:rPr>
          <w:noProof/>
        </w:rPr>
      </w:pPr>
      <w:r w:rsidRPr="000B3838">
        <w:rPr>
          <w:noProof/>
        </w:rPr>
        <w:t>1.4.4.</w:t>
      </w:r>
      <w:r w:rsidRPr="000B3838">
        <w:rPr>
          <w:noProof/>
        </w:rPr>
        <w:tab/>
        <w:t>Pokazatelji uspješnosti</w:t>
      </w:r>
    </w:p>
    <w:p w14:paraId="1470FED1" w14:textId="77777777" w:rsidR="004515FC" w:rsidRPr="000B3838" w:rsidRDefault="004515FC" w:rsidP="004515FC">
      <w:pPr>
        <w:pStyle w:val="ManualHeading2"/>
        <w:rPr>
          <w:noProof/>
        </w:rPr>
      </w:pPr>
      <w:r w:rsidRPr="000B3838">
        <w:rPr>
          <w:noProof/>
        </w:rPr>
        <w:t>1.5.</w:t>
      </w:r>
      <w:r w:rsidRPr="000B3838">
        <w:rPr>
          <w:noProof/>
        </w:rPr>
        <w:tab/>
        <w:t>Osnova prijedloga/inicijative</w:t>
      </w:r>
    </w:p>
    <w:p w14:paraId="4DEC41CF" w14:textId="77777777" w:rsidR="004515FC" w:rsidRPr="000B3838" w:rsidRDefault="004515FC" w:rsidP="004515FC">
      <w:pPr>
        <w:pStyle w:val="ManualHeading3"/>
        <w:rPr>
          <w:noProof/>
        </w:rPr>
      </w:pPr>
      <w:r w:rsidRPr="000B3838">
        <w:rPr>
          <w:noProof/>
        </w:rPr>
        <w:t>1.5.1.</w:t>
      </w:r>
      <w:r w:rsidRPr="000B3838">
        <w:rPr>
          <w:noProof/>
        </w:rPr>
        <w:tab/>
        <w:t>Zahtjevi koje treba ispuniti u kratkoročnom ili dugoročnom razdoblju, uključujući detaljan vremenski plan provedbe inicijative</w:t>
      </w:r>
    </w:p>
    <w:p w14:paraId="7BA590A4" w14:textId="77777777" w:rsidR="004515FC" w:rsidRPr="000B3838" w:rsidRDefault="004515FC" w:rsidP="004515FC">
      <w:pPr>
        <w:pStyle w:val="ManualHeading3"/>
        <w:rPr>
          <w:noProof/>
        </w:rPr>
      </w:pPr>
      <w:r w:rsidRPr="000B3838">
        <w:rPr>
          <w:noProof/>
        </w:rPr>
        <w:t>1.5.2.</w:t>
      </w:r>
      <w:r w:rsidRPr="000B3838">
        <w:rPr>
          <w:noProof/>
        </w:rPr>
        <w:tab/>
        <w:t>Dodana vrijednost sudjelovanja Unije (može proizlaziti iz različitih čimbenika, npr. prednosti koordinacije, pravne sigurnosti, veće djelotvornosti ili komplementarnosti). Za potrebe ove točke „dodana vrijednost sudjelovanja Unije” je vrijednost koja proizlazi iz intervencije Unije i koja predstavlja dodatnu vrijednost u odnosu na vrijednost koju bi države članice inače ostvarile same.</w:t>
      </w:r>
    </w:p>
    <w:p w14:paraId="19AAD9BE" w14:textId="77777777" w:rsidR="004515FC" w:rsidRPr="000B3838" w:rsidRDefault="004515FC" w:rsidP="004515FC">
      <w:pPr>
        <w:pStyle w:val="ManualHeading3"/>
        <w:rPr>
          <w:noProof/>
        </w:rPr>
      </w:pPr>
      <w:r w:rsidRPr="000B3838">
        <w:rPr>
          <w:noProof/>
        </w:rPr>
        <w:t>1.5.3.</w:t>
      </w:r>
      <w:r w:rsidRPr="000B3838">
        <w:rPr>
          <w:noProof/>
        </w:rPr>
        <w:tab/>
        <w:t>Pouke iz prijašnjih sličnih iskustava</w:t>
      </w:r>
    </w:p>
    <w:p w14:paraId="4A7012BB" w14:textId="77777777" w:rsidR="004515FC" w:rsidRPr="000B3838" w:rsidRDefault="004515FC" w:rsidP="004515FC">
      <w:pPr>
        <w:pStyle w:val="ManualHeading3"/>
        <w:rPr>
          <w:noProof/>
        </w:rPr>
      </w:pPr>
      <w:r w:rsidRPr="000B3838">
        <w:rPr>
          <w:noProof/>
        </w:rPr>
        <w:t>1.5.4.</w:t>
      </w:r>
      <w:r w:rsidRPr="000B3838">
        <w:rPr>
          <w:noProof/>
        </w:rPr>
        <w:tab/>
        <w:t>Usklađenost s višegodišnjim financijskim okvirom i moguće sinergije s drugim prikladnim instrumentima</w:t>
      </w:r>
    </w:p>
    <w:p w14:paraId="488B7F6D" w14:textId="77777777" w:rsidR="004515FC" w:rsidRPr="000B3838" w:rsidRDefault="004515FC" w:rsidP="004515FC">
      <w:pPr>
        <w:pStyle w:val="ManualHeading3"/>
        <w:rPr>
          <w:noProof/>
        </w:rPr>
      </w:pPr>
      <w:r w:rsidRPr="000B3838">
        <w:rPr>
          <w:noProof/>
        </w:rPr>
        <w:t>1.5.5.</w:t>
      </w:r>
      <w:r w:rsidRPr="000B3838">
        <w:rPr>
          <w:noProof/>
        </w:rPr>
        <w:tab/>
        <w:t>Ocjena različitih dostupnih mogućnosti financiranja, uključujući mogućnost preraspodjele</w:t>
      </w:r>
    </w:p>
    <w:p w14:paraId="2AA45D3A" w14:textId="77777777" w:rsidR="004515FC" w:rsidRPr="000B3838" w:rsidRDefault="004515FC" w:rsidP="004515FC">
      <w:pPr>
        <w:pStyle w:val="ManualHeading2"/>
        <w:rPr>
          <w:noProof/>
        </w:rPr>
      </w:pPr>
      <w:r w:rsidRPr="000B3838">
        <w:rPr>
          <w:noProof/>
        </w:rPr>
        <w:t>1.6.</w:t>
      </w:r>
      <w:r w:rsidRPr="000B3838">
        <w:rPr>
          <w:noProof/>
        </w:rPr>
        <w:tab/>
        <w:t>Trajanje i financijski učinak prijedloga/inicijative</w:t>
      </w:r>
    </w:p>
    <w:p w14:paraId="7E9951BC" w14:textId="77777777" w:rsidR="004515FC" w:rsidRPr="000B3838" w:rsidRDefault="004515FC" w:rsidP="004515FC">
      <w:pPr>
        <w:pStyle w:val="ManualHeading2"/>
        <w:rPr>
          <w:noProof/>
        </w:rPr>
      </w:pPr>
      <w:r w:rsidRPr="000B3838">
        <w:rPr>
          <w:noProof/>
        </w:rPr>
        <w:t>1.7.</w:t>
      </w:r>
      <w:r w:rsidRPr="000B3838">
        <w:rPr>
          <w:noProof/>
        </w:rPr>
        <w:tab/>
        <w:t>Planirani načini izvršenja proračuna</w:t>
      </w:r>
    </w:p>
    <w:p w14:paraId="5AE18711" w14:textId="77777777" w:rsidR="004515FC" w:rsidRPr="000B3838" w:rsidRDefault="004515FC" w:rsidP="004515FC">
      <w:pPr>
        <w:pStyle w:val="ManualHeading1"/>
        <w:rPr>
          <w:noProof/>
        </w:rPr>
      </w:pPr>
      <w:r w:rsidRPr="000B3838">
        <w:rPr>
          <w:noProof/>
        </w:rPr>
        <w:t>2.</w:t>
      </w:r>
      <w:r w:rsidRPr="000B3838">
        <w:rPr>
          <w:noProof/>
        </w:rPr>
        <w:tab/>
        <w:t>MJERE UPRAVLJANJA</w:t>
      </w:r>
    </w:p>
    <w:p w14:paraId="19077510" w14:textId="77777777" w:rsidR="004515FC" w:rsidRPr="000B3838" w:rsidRDefault="004515FC" w:rsidP="004515FC">
      <w:pPr>
        <w:pStyle w:val="ManualHeading2"/>
        <w:rPr>
          <w:noProof/>
        </w:rPr>
      </w:pPr>
      <w:r w:rsidRPr="000B3838">
        <w:rPr>
          <w:noProof/>
        </w:rPr>
        <w:t>2.1.</w:t>
      </w:r>
      <w:r w:rsidRPr="000B3838">
        <w:rPr>
          <w:noProof/>
        </w:rPr>
        <w:tab/>
        <w:t>Pravila praćenja i izvješćivanja</w:t>
      </w:r>
    </w:p>
    <w:p w14:paraId="4E22B124" w14:textId="77777777" w:rsidR="004515FC" w:rsidRPr="000B3838" w:rsidRDefault="004515FC" w:rsidP="004515FC">
      <w:pPr>
        <w:pStyle w:val="ManualHeading2"/>
        <w:rPr>
          <w:noProof/>
        </w:rPr>
      </w:pPr>
      <w:r w:rsidRPr="000B3838">
        <w:rPr>
          <w:noProof/>
        </w:rPr>
        <w:t>2.2.</w:t>
      </w:r>
      <w:r w:rsidRPr="000B3838">
        <w:rPr>
          <w:noProof/>
        </w:rPr>
        <w:tab/>
        <w:t>Sustavi upravljanja i kontrole</w:t>
      </w:r>
    </w:p>
    <w:p w14:paraId="23F2931D" w14:textId="77777777" w:rsidR="004515FC" w:rsidRPr="000B3838" w:rsidRDefault="004515FC" w:rsidP="004515FC">
      <w:pPr>
        <w:pStyle w:val="ManualHeading3"/>
        <w:rPr>
          <w:noProof/>
        </w:rPr>
      </w:pPr>
      <w:r w:rsidRPr="000B3838">
        <w:rPr>
          <w:noProof/>
        </w:rPr>
        <w:t>2.2.1.</w:t>
      </w:r>
      <w:r w:rsidRPr="000B3838">
        <w:rPr>
          <w:noProof/>
        </w:rPr>
        <w:tab/>
        <w:t>Obrazloženje načina upravljanja, mehanizama provedbe financiranja, načina plaćanja i predložene strategije kontrole</w:t>
      </w:r>
    </w:p>
    <w:p w14:paraId="2C027BA1" w14:textId="77777777" w:rsidR="004515FC" w:rsidRPr="000B3838" w:rsidRDefault="004515FC" w:rsidP="004515FC">
      <w:pPr>
        <w:pStyle w:val="ManualHeading3"/>
        <w:rPr>
          <w:noProof/>
        </w:rPr>
      </w:pPr>
      <w:r w:rsidRPr="000B3838">
        <w:rPr>
          <w:noProof/>
        </w:rPr>
        <w:t>2.2.2.</w:t>
      </w:r>
      <w:r w:rsidRPr="000B3838">
        <w:rPr>
          <w:noProof/>
        </w:rPr>
        <w:tab/>
        <w:t>Informacije o utvrđenim rizicima i uspostavljenim sustavima unutarnje kontrole za ublažavanje rizika</w:t>
      </w:r>
    </w:p>
    <w:p w14:paraId="764D9CE3" w14:textId="77777777" w:rsidR="004515FC" w:rsidRPr="000B3838" w:rsidRDefault="004515FC" w:rsidP="004515FC">
      <w:pPr>
        <w:pStyle w:val="ManualHeading3"/>
        <w:rPr>
          <w:noProof/>
        </w:rPr>
      </w:pPr>
      <w:r w:rsidRPr="000B3838">
        <w:rPr>
          <w:noProof/>
        </w:rPr>
        <w:t>2.2.3.</w:t>
      </w:r>
      <w:r w:rsidRPr="000B3838">
        <w:rPr>
          <w:noProof/>
        </w:rPr>
        <w:tab/>
        <w:t>Procjena i obrazloženje troškovne učinkovitosti kontrola (omjer troškova kontrole i vrijednosti sredstava kojima se upravlja) i procjena očekivane razine rizika od pogreške (pri plaćanju i pri zaključenju)</w:t>
      </w:r>
    </w:p>
    <w:p w14:paraId="1A88A2A8" w14:textId="77777777" w:rsidR="004515FC" w:rsidRPr="000B3838" w:rsidRDefault="004515FC" w:rsidP="004515FC">
      <w:pPr>
        <w:pStyle w:val="ManualHeading2"/>
        <w:rPr>
          <w:noProof/>
        </w:rPr>
      </w:pPr>
      <w:r w:rsidRPr="000B3838">
        <w:rPr>
          <w:noProof/>
        </w:rPr>
        <w:t>2.3.</w:t>
      </w:r>
      <w:r w:rsidRPr="000B3838">
        <w:rPr>
          <w:noProof/>
        </w:rPr>
        <w:tab/>
        <w:t>Mjere za sprečavanje prijevara i nepravilnosti</w:t>
      </w:r>
    </w:p>
    <w:p w14:paraId="06D4D9FB" w14:textId="77777777" w:rsidR="004515FC" w:rsidRPr="000B3838" w:rsidRDefault="004515FC" w:rsidP="004515FC">
      <w:pPr>
        <w:pStyle w:val="ManualHeading1"/>
        <w:rPr>
          <w:noProof/>
        </w:rPr>
      </w:pPr>
      <w:r w:rsidRPr="000B3838">
        <w:rPr>
          <w:noProof/>
        </w:rPr>
        <w:t>3.</w:t>
      </w:r>
      <w:r w:rsidRPr="000B3838">
        <w:rPr>
          <w:noProof/>
        </w:rPr>
        <w:tab/>
        <w:t>PROCIJENJENI FINANCIJSKI UČINAK PRIJEDLOGA/INICIJATIVE</w:t>
      </w:r>
    </w:p>
    <w:p w14:paraId="2EBB2895" w14:textId="77777777" w:rsidR="004515FC" w:rsidRPr="000B3838" w:rsidRDefault="004515FC" w:rsidP="004515FC">
      <w:pPr>
        <w:pStyle w:val="ManualHeading2"/>
        <w:rPr>
          <w:noProof/>
        </w:rPr>
      </w:pPr>
      <w:r w:rsidRPr="000B3838">
        <w:rPr>
          <w:noProof/>
        </w:rPr>
        <w:t>3.1.</w:t>
      </w:r>
      <w:r w:rsidRPr="000B3838">
        <w:rPr>
          <w:noProof/>
        </w:rPr>
        <w:tab/>
        <w:t>Naslovi višegodišnjeg financijskog okvira i proračunske linije rashoda na koje prijedlog/inicijativa ima učinak</w:t>
      </w:r>
    </w:p>
    <w:p w14:paraId="5D10B105" w14:textId="77777777" w:rsidR="004515FC" w:rsidRPr="000B3838" w:rsidRDefault="004515FC" w:rsidP="004515FC">
      <w:pPr>
        <w:pStyle w:val="ManualHeading2"/>
        <w:rPr>
          <w:noProof/>
        </w:rPr>
      </w:pPr>
      <w:r w:rsidRPr="000B3838">
        <w:rPr>
          <w:noProof/>
        </w:rPr>
        <w:t>3.2.</w:t>
      </w:r>
      <w:r w:rsidRPr="000B3838">
        <w:rPr>
          <w:noProof/>
        </w:rPr>
        <w:tab/>
        <w:t>Procijenjeni financijski učinak prijedloga na odobrena sredstva</w:t>
      </w:r>
    </w:p>
    <w:p w14:paraId="6464054D" w14:textId="77777777" w:rsidR="004515FC" w:rsidRPr="000B3838" w:rsidRDefault="004515FC" w:rsidP="004515FC">
      <w:pPr>
        <w:pStyle w:val="ManualHeading3"/>
        <w:rPr>
          <w:noProof/>
        </w:rPr>
      </w:pPr>
      <w:r w:rsidRPr="000B3838">
        <w:rPr>
          <w:noProof/>
        </w:rPr>
        <w:t>3.2.1.</w:t>
      </w:r>
      <w:r w:rsidRPr="000B3838">
        <w:rPr>
          <w:noProof/>
        </w:rPr>
        <w:tab/>
        <w:t>Sažetak procijenjenog učinka na odobrena sredstva za poslovanje</w:t>
      </w:r>
    </w:p>
    <w:p w14:paraId="6C2C37CE" w14:textId="77777777" w:rsidR="004515FC" w:rsidRPr="000B3838" w:rsidRDefault="004515FC" w:rsidP="004515FC">
      <w:pPr>
        <w:pStyle w:val="ManualHeading3"/>
        <w:rPr>
          <w:noProof/>
        </w:rPr>
      </w:pPr>
      <w:r w:rsidRPr="000B3838">
        <w:rPr>
          <w:noProof/>
        </w:rPr>
        <w:t>3.2.2.</w:t>
      </w:r>
      <w:r w:rsidRPr="000B3838">
        <w:rPr>
          <w:noProof/>
        </w:rPr>
        <w:tab/>
        <w:t>Procijenjeni rezultati financirani odobrenim sredstvima za poslovanje</w:t>
      </w:r>
    </w:p>
    <w:p w14:paraId="7765DC0F" w14:textId="77777777" w:rsidR="004515FC" w:rsidRPr="000B3838" w:rsidRDefault="004515FC" w:rsidP="004515FC">
      <w:pPr>
        <w:pStyle w:val="ManualHeading3"/>
        <w:rPr>
          <w:noProof/>
        </w:rPr>
      </w:pPr>
      <w:r w:rsidRPr="000B3838">
        <w:rPr>
          <w:noProof/>
        </w:rPr>
        <w:t>3.2.3.</w:t>
      </w:r>
      <w:r w:rsidRPr="000B3838">
        <w:rPr>
          <w:noProof/>
        </w:rPr>
        <w:tab/>
        <w:t>Sažetak procijenjenog učinka na administrativna odobrena sredstva</w:t>
      </w:r>
    </w:p>
    <w:p w14:paraId="19B81FF7" w14:textId="77777777" w:rsidR="004515FC" w:rsidRPr="000B3838" w:rsidRDefault="004515FC" w:rsidP="004515FC">
      <w:pPr>
        <w:pStyle w:val="ManualHeading3"/>
        <w:rPr>
          <w:noProof/>
        </w:rPr>
      </w:pPr>
      <w:r w:rsidRPr="000B3838">
        <w:rPr>
          <w:noProof/>
        </w:rPr>
        <w:t>3.2.3.1.</w:t>
      </w:r>
      <w:r w:rsidRPr="000B3838">
        <w:rPr>
          <w:noProof/>
        </w:rPr>
        <w:tab/>
        <w:t>Procijenjene potrebe u pogledu ljudskih resursa</w:t>
      </w:r>
    </w:p>
    <w:p w14:paraId="47AF0B97" w14:textId="77777777" w:rsidR="004515FC" w:rsidRPr="000B3838" w:rsidRDefault="004515FC" w:rsidP="004515FC">
      <w:pPr>
        <w:pStyle w:val="ManualHeading3"/>
        <w:rPr>
          <w:noProof/>
        </w:rPr>
      </w:pPr>
      <w:r w:rsidRPr="000B3838">
        <w:rPr>
          <w:noProof/>
        </w:rPr>
        <w:t>3.2.4.</w:t>
      </w:r>
      <w:r w:rsidRPr="000B3838">
        <w:rPr>
          <w:noProof/>
        </w:rPr>
        <w:tab/>
        <w:t>Usklađenost s aktualnim višegodišnjim financijskim okvirom</w:t>
      </w:r>
    </w:p>
    <w:p w14:paraId="215C76ED" w14:textId="77777777" w:rsidR="004515FC" w:rsidRPr="000B3838" w:rsidRDefault="004515FC" w:rsidP="004515FC">
      <w:pPr>
        <w:pStyle w:val="ManualHeading3"/>
        <w:rPr>
          <w:noProof/>
        </w:rPr>
      </w:pPr>
      <w:r w:rsidRPr="000B3838">
        <w:rPr>
          <w:noProof/>
        </w:rPr>
        <w:t>3.2.5.</w:t>
      </w:r>
      <w:r w:rsidRPr="000B3838">
        <w:rPr>
          <w:noProof/>
        </w:rPr>
        <w:tab/>
        <w:t>Doprinos trećih strana</w:t>
      </w:r>
    </w:p>
    <w:p w14:paraId="734B181E" w14:textId="77777777" w:rsidR="004515FC" w:rsidRPr="000B3838" w:rsidRDefault="004515FC" w:rsidP="004515FC">
      <w:pPr>
        <w:pStyle w:val="ManualHeading2"/>
        <w:rPr>
          <w:noProof/>
        </w:rPr>
      </w:pPr>
      <w:r w:rsidRPr="000B3838">
        <w:rPr>
          <w:noProof/>
        </w:rPr>
        <w:t>3.3.</w:t>
      </w:r>
      <w:r w:rsidRPr="000B3838">
        <w:rPr>
          <w:noProof/>
        </w:rPr>
        <w:tab/>
        <w:t>Procijenjeni učinak na prihode</w:t>
      </w:r>
    </w:p>
    <w:p w14:paraId="22E935AE" w14:textId="77777777" w:rsidR="004515FC" w:rsidRPr="000B3838" w:rsidRDefault="004515FC" w:rsidP="004515FC">
      <w:pPr>
        <w:rPr>
          <w:noProof/>
        </w:rPr>
        <w:sectPr w:rsidR="004515FC" w:rsidRPr="000B3838" w:rsidSect="004D0F60">
          <w:footnotePr>
            <w:numRestart w:val="eachSect"/>
          </w:footnotePr>
          <w:pgSz w:w="11907" w:h="16840" w:code="9"/>
          <w:pgMar w:top="1134" w:right="1418" w:bottom="1134" w:left="1418" w:header="709" w:footer="709" w:gutter="0"/>
          <w:pgNumType w:start="1"/>
          <w:cols w:space="720"/>
          <w:docGrid w:linePitch="360"/>
        </w:sectPr>
      </w:pPr>
    </w:p>
    <w:p w14:paraId="67BD1492" w14:textId="77777777" w:rsidR="004515FC" w:rsidRPr="000B3838" w:rsidRDefault="004515FC" w:rsidP="004515FC">
      <w:pPr>
        <w:pStyle w:val="ManualHeading1"/>
        <w:rPr>
          <w:noProof/>
        </w:rPr>
      </w:pPr>
      <w:bookmarkStart w:id="7" w:name="_Toc514938007"/>
      <w:bookmarkStart w:id="8" w:name="_Toc520485025"/>
      <w:r w:rsidRPr="000B3838">
        <w:rPr>
          <w:noProof/>
        </w:rPr>
        <w:t>1.</w:t>
      </w:r>
      <w:r w:rsidRPr="000B3838">
        <w:rPr>
          <w:noProof/>
        </w:rPr>
        <w:tab/>
        <w:t>OKVIR PRIJEDLOGA/INICIJATIVE</w:t>
      </w:r>
      <w:bookmarkEnd w:id="7"/>
      <w:bookmarkEnd w:id="8"/>
      <w:r w:rsidRPr="000B3838">
        <w:rPr>
          <w:noProof/>
        </w:rPr>
        <w:t xml:space="preserve"> </w:t>
      </w:r>
    </w:p>
    <w:p w14:paraId="5BCB265D" w14:textId="77777777" w:rsidR="004515FC" w:rsidRPr="000B3838" w:rsidRDefault="004515FC" w:rsidP="004515FC">
      <w:pPr>
        <w:pStyle w:val="ManualHeading2"/>
        <w:rPr>
          <w:noProof/>
        </w:rPr>
      </w:pPr>
      <w:bookmarkStart w:id="9" w:name="_Toc514938008"/>
      <w:bookmarkStart w:id="10" w:name="_Toc520485026"/>
      <w:r w:rsidRPr="000B3838">
        <w:rPr>
          <w:noProof/>
        </w:rPr>
        <w:t>1.1.</w:t>
      </w:r>
      <w:r w:rsidRPr="000B3838">
        <w:rPr>
          <w:noProof/>
        </w:rPr>
        <w:tab/>
        <w:t>Naslov prijedloga/inicijative</w:t>
      </w:r>
      <w:bookmarkEnd w:id="9"/>
      <w:bookmarkEnd w:id="10"/>
    </w:p>
    <w:p w14:paraId="1B8BAB42" w14:textId="11A9E119"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0B3838">
        <w:rPr>
          <w:noProof/>
        </w:rPr>
        <w:t>Prijedlog Direktive Vijeća o izmjeni Direktive (EU) 2015/637 o mjerama koordinacije i suradnje za olakšavanje pružanja konzularne zaštite građanima Unije bez predstavništva u trećim zemljama i Direktive (EU) 2019/997 o uspostavljanju privremene putne isprave EU-a</w:t>
      </w:r>
    </w:p>
    <w:p w14:paraId="5835C4EA" w14:textId="77777777" w:rsidR="004515FC" w:rsidRPr="000B3838" w:rsidRDefault="004515FC" w:rsidP="004515FC">
      <w:pPr>
        <w:pStyle w:val="ManualHeading2"/>
        <w:rPr>
          <w:i/>
          <w:noProof/>
        </w:rPr>
      </w:pPr>
      <w:bookmarkStart w:id="11" w:name="_Toc514938011"/>
      <w:bookmarkStart w:id="12" w:name="_Toc520485027"/>
      <w:r w:rsidRPr="000B3838">
        <w:rPr>
          <w:noProof/>
        </w:rPr>
        <w:t>1.2.</w:t>
      </w:r>
      <w:r w:rsidRPr="000B3838">
        <w:rPr>
          <w:noProof/>
        </w:rPr>
        <w:tab/>
        <w:t>Predmetna područja politike</w:t>
      </w:r>
      <w:bookmarkEnd w:id="11"/>
      <w:bookmarkEnd w:id="12"/>
      <w:r w:rsidRPr="000B3838">
        <w:rPr>
          <w:i/>
          <w:noProof/>
        </w:rPr>
        <w:t xml:space="preserve"> </w:t>
      </w:r>
    </w:p>
    <w:p w14:paraId="21D018DB"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0B3838">
        <w:rPr>
          <w:noProof/>
        </w:rPr>
        <w:t>Konzularna zaštita</w:t>
      </w:r>
    </w:p>
    <w:p w14:paraId="475646DA" w14:textId="77777777" w:rsidR="004515FC" w:rsidRPr="000B3838" w:rsidRDefault="004515FC" w:rsidP="004515FC">
      <w:pPr>
        <w:pStyle w:val="ManualHeading2"/>
        <w:rPr>
          <w:noProof/>
        </w:rPr>
      </w:pPr>
      <w:bookmarkStart w:id="13" w:name="_Toc514938014"/>
      <w:bookmarkStart w:id="14" w:name="_Toc520485028"/>
      <w:r w:rsidRPr="000B3838">
        <w:rPr>
          <w:noProof/>
        </w:rPr>
        <w:t>1.3.</w:t>
      </w:r>
      <w:r w:rsidRPr="000B3838">
        <w:rPr>
          <w:noProof/>
        </w:rPr>
        <w:tab/>
        <w:t>Prijedlog/inicijativa odnosi se na:</w:t>
      </w:r>
      <w:bookmarkEnd w:id="13"/>
      <w:bookmarkEnd w:id="14"/>
      <w:r w:rsidRPr="000B3838">
        <w:rPr>
          <w:noProof/>
        </w:rPr>
        <w:t xml:space="preserve"> </w:t>
      </w:r>
    </w:p>
    <w:p w14:paraId="53E8E300" w14:textId="77777777" w:rsidR="004515FC" w:rsidRPr="000B3838" w:rsidRDefault="004515FC" w:rsidP="004515FC">
      <w:pPr>
        <w:pStyle w:val="Text1"/>
        <w:rPr>
          <w:b/>
          <w:noProof/>
          <w:sz w:val="22"/>
        </w:rPr>
      </w:pPr>
      <w:r w:rsidRPr="000B3838">
        <w:rPr>
          <w:rFonts w:ascii="Wingdings" w:hAnsi="Wingdings"/>
          <w:noProof/>
          <w:sz w:val="22"/>
        </w:rPr>
        <w:t></w:t>
      </w:r>
      <w:r w:rsidRPr="000B3838">
        <w:rPr>
          <w:b/>
          <w:i/>
          <w:noProof/>
          <w:sz w:val="22"/>
        </w:rPr>
        <w:t xml:space="preserve"> </w:t>
      </w:r>
      <w:r w:rsidRPr="000B3838">
        <w:rPr>
          <w:b/>
          <w:noProof/>
        </w:rPr>
        <w:t>novo djelovanje</w:t>
      </w:r>
      <w:r w:rsidRPr="000B3838">
        <w:rPr>
          <w:b/>
          <w:noProof/>
          <w:sz w:val="22"/>
        </w:rPr>
        <w:t xml:space="preserve"> </w:t>
      </w:r>
    </w:p>
    <w:p w14:paraId="28594D9E" w14:textId="77777777" w:rsidR="004515FC" w:rsidRPr="000B3838" w:rsidRDefault="004515FC" w:rsidP="004515FC">
      <w:pPr>
        <w:pStyle w:val="Text1"/>
        <w:rPr>
          <w:noProof/>
          <w:sz w:val="22"/>
        </w:rPr>
      </w:pPr>
      <w:r w:rsidRPr="000B3838">
        <w:rPr>
          <w:rFonts w:ascii="Wingdings" w:hAnsi="Wingdings"/>
          <w:noProof/>
          <w:sz w:val="22"/>
        </w:rPr>
        <w:t></w:t>
      </w:r>
      <w:r w:rsidRPr="000B3838">
        <w:rPr>
          <w:i/>
          <w:noProof/>
          <w:sz w:val="22"/>
        </w:rPr>
        <w:t xml:space="preserve"> </w:t>
      </w:r>
      <w:r w:rsidRPr="000B3838">
        <w:rPr>
          <w:b/>
          <w:noProof/>
        </w:rPr>
        <w:t>novo djelovanje nakon pilot-projekta/pripremnog djelovanja</w:t>
      </w:r>
      <w:r w:rsidRPr="000B3838">
        <w:rPr>
          <w:rStyle w:val="FootnoteReference0"/>
          <w:b/>
          <w:noProof/>
        </w:rPr>
        <w:footnoteReference w:id="39"/>
      </w:r>
      <w:r w:rsidRPr="000B3838">
        <w:rPr>
          <w:noProof/>
          <w:sz w:val="22"/>
        </w:rPr>
        <w:t xml:space="preserve"> </w:t>
      </w:r>
    </w:p>
    <w:p w14:paraId="05037F58" w14:textId="77777777" w:rsidR="004515FC" w:rsidRPr="000B3838" w:rsidRDefault="004515FC" w:rsidP="004515FC">
      <w:pPr>
        <w:pStyle w:val="Text1"/>
        <w:rPr>
          <w:noProof/>
          <w:sz w:val="22"/>
        </w:rPr>
      </w:pPr>
      <w:r w:rsidRPr="000B3838">
        <w:rPr>
          <w:rFonts w:ascii="Wingdings" w:hAnsi="Wingdings"/>
          <w:noProof/>
          <w:sz w:val="22"/>
        </w:rPr>
        <w:t></w:t>
      </w:r>
      <w:r w:rsidRPr="000B3838">
        <w:rPr>
          <w:i/>
          <w:noProof/>
          <w:sz w:val="22"/>
        </w:rPr>
        <w:t xml:space="preserve"> </w:t>
      </w:r>
      <w:r w:rsidRPr="000B3838">
        <w:rPr>
          <w:b/>
          <w:noProof/>
        </w:rPr>
        <w:t>produženje postojećeg djelovanja</w:t>
      </w:r>
      <w:r w:rsidRPr="000B3838">
        <w:rPr>
          <w:noProof/>
          <w:sz w:val="22"/>
        </w:rPr>
        <w:t xml:space="preserve"> </w:t>
      </w:r>
    </w:p>
    <w:p w14:paraId="7238F762" w14:textId="77777777" w:rsidR="004515FC" w:rsidRPr="000B3838" w:rsidRDefault="004515FC" w:rsidP="004515FC">
      <w:pPr>
        <w:pStyle w:val="Text1"/>
        <w:rPr>
          <w:noProof/>
        </w:rPr>
      </w:pPr>
      <w:r w:rsidRPr="000B3838">
        <w:rPr>
          <w:rFonts w:ascii="Wingdings" w:hAnsi="Wingdings"/>
          <w:noProof/>
          <w:sz w:val="22"/>
        </w:rPr>
        <w:t></w:t>
      </w:r>
      <w:r w:rsidRPr="000B3838">
        <w:rPr>
          <w:i/>
          <w:noProof/>
          <w:sz w:val="22"/>
        </w:rPr>
        <w:t xml:space="preserve"> </w:t>
      </w:r>
      <w:r w:rsidRPr="000B3838">
        <w:rPr>
          <w:b/>
          <w:noProof/>
        </w:rPr>
        <w:t>spajanje ili preusmjeravanje jednog ili više djelovanja u drugo/novo djelovanje</w:t>
      </w:r>
      <w:r w:rsidRPr="000B3838">
        <w:rPr>
          <w:noProof/>
        </w:rPr>
        <w:t xml:space="preserve"> </w:t>
      </w:r>
    </w:p>
    <w:p w14:paraId="0E774F15" w14:textId="77777777" w:rsidR="004515FC" w:rsidRPr="000B3838" w:rsidRDefault="004515FC" w:rsidP="004515FC">
      <w:pPr>
        <w:pStyle w:val="ManualHeading2"/>
        <w:rPr>
          <w:noProof/>
        </w:rPr>
      </w:pPr>
      <w:bookmarkStart w:id="15" w:name="_Toc514938015"/>
      <w:bookmarkStart w:id="16" w:name="_Toc520485029"/>
      <w:r w:rsidRPr="000B3838">
        <w:rPr>
          <w:noProof/>
        </w:rPr>
        <w:t>1.4.</w:t>
      </w:r>
      <w:r w:rsidRPr="000B3838">
        <w:rPr>
          <w:noProof/>
        </w:rPr>
        <w:tab/>
        <w:t>Ciljevi</w:t>
      </w:r>
      <w:bookmarkEnd w:id="15"/>
      <w:bookmarkEnd w:id="16"/>
    </w:p>
    <w:p w14:paraId="1221A270" w14:textId="77777777" w:rsidR="004515FC" w:rsidRPr="000B3838" w:rsidRDefault="004515FC" w:rsidP="004515FC">
      <w:pPr>
        <w:pStyle w:val="ManualHeading3"/>
        <w:rPr>
          <w:noProof/>
        </w:rPr>
      </w:pPr>
      <w:bookmarkStart w:id="17" w:name="_Toc514938016"/>
      <w:bookmarkStart w:id="18" w:name="_Toc520485030"/>
      <w:r w:rsidRPr="000B3838">
        <w:rPr>
          <w:noProof/>
        </w:rPr>
        <w:t>1.4.1.</w:t>
      </w:r>
      <w:r w:rsidRPr="000B3838">
        <w:rPr>
          <w:noProof/>
        </w:rPr>
        <w:tab/>
        <w:t>Opći cilj</w:t>
      </w:r>
      <w:bookmarkEnd w:id="17"/>
      <w:bookmarkEnd w:id="18"/>
    </w:p>
    <w:p w14:paraId="2F6152F1"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Glavni opći cilj političke inicijative jest poboljšati ostvarivanje prava na konzularnu zaštitu.</w:t>
      </w:r>
    </w:p>
    <w:p w14:paraId="43B7C07E" w14:textId="77777777" w:rsidR="004515FC" w:rsidRPr="000B3838" w:rsidRDefault="004515FC" w:rsidP="004515FC">
      <w:pPr>
        <w:pStyle w:val="ManualHeading3"/>
        <w:rPr>
          <w:noProof/>
        </w:rPr>
      </w:pPr>
      <w:bookmarkStart w:id="19" w:name="_Toc514938018"/>
      <w:bookmarkStart w:id="20" w:name="_Toc520485031"/>
      <w:r w:rsidRPr="000B3838">
        <w:rPr>
          <w:noProof/>
        </w:rPr>
        <w:t>1.4.2.</w:t>
      </w:r>
      <w:r w:rsidRPr="000B3838">
        <w:rPr>
          <w:noProof/>
        </w:rPr>
        <w:tab/>
        <w:t>Specifični ciljevi</w:t>
      </w:r>
      <w:bookmarkEnd w:id="19"/>
      <w:bookmarkEnd w:id="20"/>
    </w:p>
    <w:p w14:paraId="7B606C8C"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0B3838">
        <w:rPr>
          <w:noProof/>
          <w:u w:val="single"/>
        </w:rPr>
        <w:t>Specifični cilj br. 1</w:t>
      </w:r>
    </w:p>
    <w:p w14:paraId="3D3141B4"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Povećanje pravne sigurnosti za građane Unije u smislu područja primjene prava na konzularnu zaštitu.</w:t>
      </w:r>
    </w:p>
    <w:p w14:paraId="25B26032"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0B3838">
        <w:rPr>
          <w:noProof/>
          <w:u w:val="single"/>
        </w:rPr>
        <w:t>Specifični cilj br. 2</w:t>
      </w:r>
    </w:p>
    <w:p w14:paraId="472134C8"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Osiguranje jasnih uloga te mehanizama koordinacije i suradnje među državama članicama i delegacijama Unije, među ostalim za vrijeme kriza.</w:t>
      </w:r>
    </w:p>
    <w:p w14:paraId="5FF2B598"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0B3838">
        <w:rPr>
          <w:noProof/>
          <w:u w:val="single"/>
        </w:rPr>
        <w:t>Specifični cilj br. 3</w:t>
      </w:r>
    </w:p>
    <w:p w14:paraId="7D2D795B" w14:textId="0C691163"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Poboljšanje dostavljanja informacija i komunikacije s građanima Unije bez predstavništva.</w:t>
      </w:r>
    </w:p>
    <w:p w14:paraId="5495A2E6"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0B3838">
        <w:rPr>
          <w:noProof/>
          <w:u w:val="single"/>
        </w:rPr>
        <w:t>Specifični cilj br. 4</w:t>
      </w:r>
    </w:p>
    <w:p w14:paraId="0B9741BA"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Povećanje učinkovitosti i primjene postupaka financijske naknade.</w:t>
      </w:r>
    </w:p>
    <w:p w14:paraId="44C12CD3" w14:textId="77777777" w:rsidR="004515FC" w:rsidRPr="000B3838" w:rsidRDefault="004515FC" w:rsidP="004515FC">
      <w:pPr>
        <w:pStyle w:val="ManualHeading3"/>
        <w:ind w:left="0" w:firstLine="0"/>
        <w:rPr>
          <w:noProof/>
        </w:rPr>
      </w:pPr>
      <w:bookmarkStart w:id="21" w:name="_Toc514938019"/>
      <w:bookmarkStart w:id="22" w:name="_Toc520485032"/>
      <w:r w:rsidRPr="000B3838">
        <w:rPr>
          <w:noProof/>
        </w:rPr>
        <w:t>1.4.3.</w:t>
      </w:r>
      <w:r w:rsidRPr="000B3838">
        <w:rPr>
          <w:noProof/>
        </w:rPr>
        <w:tab/>
        <w:t>Očekivani rezultati i učinak</w:t>
      </w:r>
      <w:bookmarkEnd w:id="21"/>
      <w:bookmarkEnd w:id="22"/>
    </w:p>
    <w:p w14:paraId="41E17398" w14:textId="77777777" w:rsidR="004515FC" w:rsidRPr="000B3838" w:rsidRDefault="004515FC" w:rsidP="004515FC">
      <w:pPr>
        <w:pStyle w:val="Text1"/>
        <w:rPr>
          <w:i/>
          <w:noProof/>
          <w:sz w:val="20"/>
        </w:rPr>
      </w:pPr>
      <w:r w:rsidRPr="000B3838">
        <w:rPr>
          <w:i/>
          <w:noProof/>
          <w:sz w:val="20"/>
        </w:rPr>
        <w:t>Navesti očekivane učinke prijedloga/inicijative na ciljane korisnike/skupine.</w:t>
      </w:r>
    </w:p>
    <w:p w14:paraId="011C5900" w14:textId="35CCC50D" w:rsidR="003B30E4"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Očekuje se da će se učincima ovog prijedloga okvir konzularne zaštite prilagoditi sadašnjim i budućim izazovima te da će stoga učinak biti pozitivan u odnosu na trenutačnu situaciju. Pojašnjenjem definicije „građanina bez predstavništva” povećat će se pravna sigurnost, što će dovesti do djelotvornije konzularne pomoći građanima Unije.</w:t>
      </w:r>
      <w:r w:rsidRPr="000B3838">
        <w:rPr>
          <w:noProof/>
          <w:color w:val="0000FF"/>
        </w:rPr>
        <w:t xml:space="preserve"> </w:t>
      </w:r>
      <w:r w:rsidRPr="000B3838">
        <w:rPr>
          <w:noProof/>
        </w:rPr>
        <w:t>Očekuje se da će ojačana potporna uloga delegacija Unije te jasnija raspodjela zadaća među državama članicama i delegacijama Unije na sastancima o suradnji na lokalnoj razini dovesti do veće pravne sigurnosti i djelotvornosti pravila Direktive koja su primjenjiva na krizne i druge situacije. Učinkovitija i neometana koordinacija značila bi bolju pomoć građanima Unije, posebice u kriznim situacijama, u kojima bi se na najbolji način iskoristili svi resursi Unije dodijeljeni za tu zadaću. Osim toga, postići će se djelotvornija i dosljednija komunikacija s građanima Unije o konzularnim pitanjima zahvaljujući ojačanoj suradnji između konzularnih mreža država članica i Unije. Više registracija građana u inozemstvu omogućit će državama članicama da im lakše pomognu.</w:t>
      </w:r>
    </w:p>
    <w:p w14:paraId="378F131E" w14:textId="0BB06582"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Naposljetku, pojednostavnjenjem i smanjenjem trenutačnog administrativnog opterećenja za državu članicu koja pruža pomoć i državu članicu državljanstva povećat će se korisnost postupaka financijske naknade. Osim toga, proširenjem mehanizma nadoknade na delegacije Unije uklonit će se nedostatak koji ih u praksi sprečava da podupru države članice u pružanju potpore građanima Unije.</w:t>
      </w:r>
    </w:p>
    <w:p w14:paraId="06DD2FA2"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Sveobuhvatniji pregled posljedica inicijative dostupan je u procjeni učinka priloženoj prijedlogu.</w:t>
      </w:r>
    </w:p>
    <w:p w14:paraId="6E790E99" w14:textId="77777777" w:rsidR="004515FC" w:rsidRPr="000B3838" w:rsidRDefault="004515FC" w:rsidP="004515FC">
      <w:pPr>
        <w:pStyle w:val="ManualHeading3"/>
        <w:rPr>
          <w:noProof/>
        </w:rPr>
      </w:pPr>
      <w:bookmarkStart w:id="23" w:name="_Toc514938023"/>
      <w:bookmarkStart w:id="24" w:name="_Toc520485033"/>
      <w:r w:rsidRPr="000B3838">
        <w:rPr>
          <w:noProof/>
        </w:rPr>
        <w:t>1.4.4.</w:t>
      </w:r>
      <w:r w:rsidRPr="000B3838">
        <w:rPr>
          <w:noProof/>
        </w:rPr>
        <w:tab/>
        <w:t>Pokazatelji uspješnosti</w:t>
      </w:r>
      <w:bookmarkEnd w:id="23"/>
      <w:bookmarkEnd w:id="24"/>
    </w:p>
    <w:p w14:paraId="3531FEFD" w14:textId="77777777" w:rsidR="004515FC" w:rsidRPr="000B3838" w:rsidRDefault="004515FC" w:rsidP="004515FC">
      <w:pPr>
        <w:pStyle w:val="Text1"/>
        <w:rPr>
          <w:i/>
          <w:noProof/>
          <w:sz w:val="20"/>
        </w:rPr>
      </w:pPr>
      <w:r w:rsidRPr="000B3838">
        <w:rPr>
          <w:i/>
          <w:noProof/>
          <w:sz w:val="20"/>
        </w:rPr>
        <w:t>Navesti pokazatelje za praćenje napretka i postignuća</w:t>
      </w:r>
    </w:p>
    <w:p w14:paraId="5A10100B"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0B3838">
        <w:rPr>
          <w:noProof/>
          <w:u w:val="single"/>
        </w:rPr>
        <w:t>Specifični cilj br. 1</w:t>
      </w:r>
    </w:p>
    <w:p w14:paraId="3544518F" w14:textId="77777777" w:rsidR="004515FC" w:rsidRPr="000B3838" w:rsidRDefault="004515FC" w:rsidP="00E76033">
      <w:pPr>
        <w:pStyle w:val="Tiret1"/>
        <w:numPr>
          <w:ilvl w:val="0"/>
          <w:numId w:val="21"/>
        </w:numPr>
        <w:rPr>
          <w:noProof/>
        </w:rPr>
      </w:pPr>
      <w:r w:rsidRPr="000B3838">
        <w:rPr>
          <w:noProof/>
        </w:rPr>
        <w:t>Broj građana Unije kojima je pružena pomoć.</w:t>
      </w:r>
    </w:p>
    <w:p w14:paraId="18F9B371" w14:textId="77777777" w:rsidR="004515FC" w:rsidRPr="000B3838" w:rsidRDefault="004515FC" w:rsidP="00DC1C05">
      <w:pPr>
        <w:pStyle w:val="Tiret1"/>
        <w:rPr>
          <w:noProof/>
        </w:rPr>
      </w:pPr>
      <w:r w:rsidRPr="000B3838">
        <w:rPr>
          <w:noProof/>
        </w:rPr>
        <w:t>Broj zaprimljenih pritužbi i sudskih predmeta koje su građani Unije bez predstavništva pokrenuli u vezi s kršenjem prava na konzularnu zaštitu.</w:t>
      </w:r>
    </w:p>
    <w:p w14:paraId="3E65BD62"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0B3838">
        <w:rPr>
          <w:noProof/>
          <w:u w:val="single"/>
        </w:rPr>
        <w:t>Specifični cilj br. 2</w:t>
      </w:r>
    </w:p>
    <w:p w14:paraId="601F2F71" w14:textId="77777777" w:rsidR="004515FC" w:rsidRPr="000B3838" w:rsidRDefault="004515FC" w:rsidP="00DC1C05">
      <w:pPr>
        <w:pStyle w:val="Tiret1"/>
        <w:rPr>
          <w:noProof/>
        </w:rPr>
      </w:pPr>
      <w:r w:rsidRPr="000B3838">
        <w:rPr>
          <w:noProof/>
        </w:rPr>
        <w:t>Broj organiziranih vježbi u okviru konzularne suradnje na lokalnoj razini.</w:t>
      </w:r>
    </w:p>
    <w:p w14:paraId="276BEFE6" w14:textId="77777777" w:rsidR="004515FC" w:rsidRPr="000B3838" w:rsidRDefault="004515FC" w:rsidP="00DC1C05">
      <w:pPr>
        <w:pStyle w:val="Tiret1"/>
        <w:rPr>
          <w:noProof/>
        </w:rPr>
      </w:pPr>
      <w:r w:rsidRPr="000B3838">
        <w:rPr>
          <w:noProof/>
        </w:rPr>
        <w:t>Broj i vrsta zahtjeva tijela država članica za potporu upućenih delegacijama Unije.</w:t>
      </w:r>
    </w:p>
    <w:p w14:paraId="72DF08F8"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0B3838">
        <w:rPr>
          <w:noProof/>
          <w:u w:val="single"/>
        </w:rPr>
        <w:t>Specifični cilj br. 3</w:t>
      </w:r>
    </w:p>
    <w:p w14:paraId="7167F7B2" w14:textId="77777777" w:rsidR="004515FC" w:rsidRPr="000B3838" w:rsidRDefault="004515FC" w:rsidP="00DC1C05">
      <w:pPr>
        <w:pStyle w:val="Tiret1"/>
        <w:rPr>
          <w:noProof/>
        </w:rPr>
      </w:pPr>
      <w:r w:rsidRPr="000B3838">
        <w:rPr>
          <w:noProof/>
        </w:rPr>
        <w:t>Razina informiranosti građana Unije o pravu na konzularnu zaštitu.</w:t>
      </w:r>
    </w:p>
    <w:p w14:paraId="3C964D31" w14:textId="1500C4E9" w:rsidR="004515FC" w:rsidRPr="000B3838" w:rsidRDefault="004515FC" w:rsidP="00DC1C05">
      <w:pPr>
        <w:pStyle w:val="Tiret1"/>
        <w:rPr>
          <w:noProof/>
        </w:rPr>
      </w:pPr>
      <w:r w:rsidRPr="000B3838">
        <w:rPr>
          <w:noProof/>
        </w:rPr>
        <w:t>Broj građana koji registriraju da žive u inozemstvu ili putuju u inozemstvo.</w:t>
      </w:r>
    </w:p>
    <w:p w14:paraId="6D1C2F6F" w14:textId="77777777" w:rsidR="004515FC" w:rsidRPr="000B3838" w:rsidRDefault="004515FC" w:rsidP="00DC1C05">
      <w:pPr>
        <w:pStyle w:val="Tiret1"/>
        <w:rPr>
          <w:noProof/>
        </w:rPr>
      </w:pPr>
      <w:r w:rsidRPr="000B3838">
        <w:rPr>
          <w:noProof/>
        </w:rPr>
        <w:t>Broj informativnih kampanja i drugih mjera koje imaju sličan cilj organiziranih na nacionalnoj razini.</w:t>
      </w:r>
    </w:p>
    <w:p w14:paraId="6D549EF8"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0B3838">
        <w:rPr>
          <w:noProof/>
          <w:u w:val="single"/>
        </w:rPr>
        <w:t>Specifični cilj br. 4</w:t>
      </w:r>
    </w:p>
    <w:p w14:paraId="626394CA" w14:textId="77777777" w:rsidR="004515FC" w:rsidRPr="000B3838" w:rsidRDefault="004515FC" w:rsidP="00DC1C05">
      <w:pPr>
        <w:pStyle w:val="Tiret1"/>
        <w:rPr>
          <w:noProof/>
        </w:rPr>
      </w:pPr>
      <w:r w:rsidRPr="000B3838">
        <w:rPr>
          <w:noProof/>
        </w:rPr>
        <w:t>Broj podnesenih i zaprimljenih zahtjeva za naknadu.</w:t>
      </w:r>
    </w:p>
    <w:p w14:paraId="214FFD99" w14:textId="77777777" w:rsidR="004515FC" w:rsidRPr="000B3838" w:rsidRDefault="004515FC" w:rsidP="00DC1C05">
      <w:pPr>
        <w:pStyle w:val="Tiret1"/>
        <w:rPr>
          <w:noProof/>
        </w:rPr>
      </w:pPr>
      <w:r w:rsidRPr="000B3838">
        <w:rPr>
          <w:noProof/>
        </w:rPr>
        <w:t>Prosječno vrijeme od podnošenja zahtjeva do isplate.</w:t>
      </w:r>
    </w:p>
    <w:p w14:paraId="14C0A5DC" w14:textId="77777777" w:rsidR="004515FC" w:rsidRPr="000B3838" w:rsidRDefault="004515FC" w:rsidP="00DC1C05">
      <w:pPr>
        <w:pStyle w:val="Tiret1"/>
        <w:rPr>
          <w:noProof/>
        </w:rPr>
      </w:pPr>
      <w:r w:rsidRPr="000B3838">
        <w:rPr>
          <w:noProof/>
        </w:rPr>
        <w:t>Broj predmeta u kojima nije izvršena isplata.</w:t>
      </w:r>
    </w:p>
    <w:p w14:paraId="3DA7A324" w14:textId="77777777" w:rsidR="004515FC" w:rsidRPr="000B3838" w:rsidRDefault="004515FC" w:rsidP="004515FC">
      <w:pPr>
        <w:pStyle w:val="ManualHeading2"/>
        <w:rPr>
          <w:noProof/>
        </w:rPr>
      </w:pPr>
      <w:bookmarkStart w:id="25" w:name="_Toc514938025"/>
      <w:bookmarkStart w:id="26" w:name="_Toc520485034"/>
      <w:r w:rsidRPr="000B3838">
        <w:rPr>
          <w:noProof/>
        </w:rPr>
        <w:t>1.5.</w:t>
      </w:r>
      <w:r w:rsidRPr="000B3838">
        <w:rPr>
          <w:noProof/>
        </w:rPr>
        <w:tab/>
        <w:t>Osnova prijedloga/inicijative</w:t>
      </w:r>
      <w:bookmarkEnd w:id="25"/>
      <w:bookmarkEnd w:id="26"/>
      <w:r w:rsidRPr="000B3838">
        <w:rPr>
          <w:noProof/>
        </w:rPr>
        <w:t xml:space="preserve"> </w:t>
      </w:r>
    </w:p>
    <w:p w14:paraId="632A7B16" w14:textId="77777777" w:rsidR="004515FC" w:rsidRPr="000B3838" w:rsidRDefault="004515FC" w:rsidP="004515FC">
      <w:pPr>
        <w:pStyle w:val="ManualHeading3"/>
        <w:rPr>
          <w:noProof/>
        </w:rPr>
      </w:pPr>
      <w:bookmarkStart w:id="27" w:name="_Toc514938026"/>
      <w:bookmarkStart w:id="28" w:name="_Toc520485035"/>
      <w:r w:rsidRPr="000B3838">
        <w:rPr>
          <w:noProof/>
        </w:rPr>
        <w:t>1.5.1.</w:t>
      </w:r>
      <w:r w:rsidRPr="000B3838">
        <w:rPr>
          <w:noProof/>
        </w:rPr>
        <w:tab/>
        <w:t>Zahtjevi koje treba ispuniti u kratkoročnom ili dugoročnom razdoblju, uključujući detaljan vremenski plan provedbe inicijative</w:t>
      </w:r>
      <w:bookmarkEnd w:id="27"/>
      <w:bookmarkEnd w:id="28"/>
    </w:p>
    <w:p w14:paraId="6FC0E11E"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Privremeni raspored provedbe može se prikazati kako slijedi:</w:t>
      </w:r>
    </w:p>
    <w:p w14:paraId="55892BD7"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2024.: stupanje Direktive na snagu.</w:t>
      </w:r>
    </w:p>
    <w:p w14:paraId="0A63BF56"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2026.: prenošenje i primjena u državama članicama.</w:t>
      </w:r>
    </w:p>
    <w:p w14:paraId="2FAFECC2" w14:textId="77777777" w:rsidR="004515FC" w:rsidRPr="000B3838" w:rsidRDefault="004515FC" w:rsidP="004515FC">
      <w:pPr>
        <w:pStyle w:val="ManualHeading3"/>
        <w:rPr>
          <w:noProof/>
        </w:rPr>
      </w:pPr>
      <w:bookmarkStart w:id="29" w:name="_Toc514938029"/>
      <w:bookmarkStart w:id="30" w:name="_Toc520485036"/>
      <w:r w:rsidRPr="000B3838">
        <w:rPr>
          <w:noProof/>
        </w:rPr>
        <w:t>1.5.2.</w:t>
      </w:r>
      <w:r w:rsidRPr="000B3838">
        <w:rPr>
          <w:noProof/>
        </w:rPr>
        <w:tab/>
        <w:t>Dodana vrijednost sudjelovanja Unije (može proizlaziti iz različitih čimbenika, npr. prednosti koordinacije, pravne sigurnosti, veće djelotvornosti ili komplementarnosti). Za potrebe ove točke „dodana vrijednost sudjelovanja Unije” je vrijednost koja proizlazi iz intervencije Unije i koja predstavlja dodatnu vrijednost u odnosu na vrijednost koju bi države članice inače ostvarile same.</w:t>
      </w:r>
      <w:bookmarkEnd w:id="29"/>
      <w:bookmarkEnd w:id="30"/>
    </w:p>
    <w:p w14:paraId="0B1A8FE4" w14:textId="598ECE86"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Kako je već navedeno u procjeni učinka priloženoj prijedlogu Komisije o Direktivi (EU) 2015/637</w:t>
      </w:r>
      <w:r w:rsidRPr="000B3838">
        <w:rPr>
          <w:rStyle w:val="FootnoteReference0"/>
          <w:noProof/>
        </w:rPr>
        <w:footnoteReference w:id="40"/>
      </w:r>
      <w:r w:rsidRPr="000B3838">
        <w:rPr>
          <w:noProof/>
        </w:rPr>
        <w:t xml:space="preserve">, osiguranje zajedničkih standarda Unije, zaštitnih mjera i jasnih postupaka za suradnju i koordinaciju povezanu s građanima bez predstavništva na bolji se način može ostvariti na razini Unije. Obrazloženja supsidijarnosti iz te procjene učinka i dalje su primjenjiva. Pravo na konzularnu zaštitu i dalje je prekogranično pitanje i sastavni dio građanstva Unije te zahtijeva suradnju i koordinaciju na razini Unije. </w:t>
      </w:r>
    </w:p>
    <w:p w14:paraId="150EE743"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 xml:space="preserve">Komisija od isteka roka za prenošenje Direktive (EU) 2015/637 u 2018. pomno prati njezinu provedbu i zaključila je da je potrebno dodatno djelovanje na razini Unije. Bez pravodobnog i djelotvornog djelovanja na razini Unije, problemi i uzroci navedeni u procjeni učinka priloženoj ovom prijedlogu nastavili bi onemogućavati djelotvorno ostvarenje prava na konzularnu zaštitu. </w:t>
      </w:r>
    </w:p>
    <w:p w14:paraId="77CAA91D"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Bez djelovanja na razini Unije djelotvornost prava građana Unije povezanih s konzularnom zaštitom i dalje bi bila izložena riziku te bi dodana vrijednost delegacija Unije u tom kontekstu ostala neiskorištena.</w:t>
      </w:r>
    </w:p>
    <w:p w14:paraId="34C6AB15" w14:textId="01FBFEFF"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Konkretnije, poticanje suradnje za potporu građanima Unije kojima je potrebna pomoć u inozemstvu može se postići samo koordiniranom intervencijom Unije. Unija, a posebice ESVD i Komisija (Glavna uprava za europsku civilnu zaštitu i europske operacije humanitarne pomoći, GU ECHO) u dobrom su položaju da preuzmu tu koordinacijsku ulogu na način na koji to ne mogu postići države članice koje djeluju na vlastitu inicijativu.</w:t>
      </w:r>
    </w:p>
    <w:p w14:paraId="449E0DAF" w14:textId="77777777" w:rsidR="004515FC" w:rsidRPr="000B3838" w:rsidRDefault="004515FC" w:rsidP="004515FC">
      <w:pPr>
        <w:pStyle w:val="ManualHeading3"/>
        <w:rPr>
          <w:noProof/>
        </w:rPr>
      </w:pPr>
      <w:bookmarkStart w:id="31" w:name="_Toc514938030"/>
      <w:bookmarkStart w:id="32" w:name="_Toc520485037"/>
      <w:r w:rsidRPr="000B3838">
        <w:rPr>
          <w:noProof/>
        </w:rPr>
        <w:t>1.5.3.</w:t>
      </w:r>
      <w:r w:rsidRPr="000B3838">
        <w:rPr>
          <w:noProof/>
        </w:rPr>
        <w:tab/>
        <w:t>Pouke iz prijašnjih sličnih iskustava</w:t>
      </w:r>
      <w:bookmarkEnd w:id="31"/>
      <w:bookmarkEnd w:id="32"/>
    </w:p>
    <w:p w14:paraId="7E7FD03B" w14:textId="3B723668"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 xml:space="preserve">Komisija je 2. rujna 2022. objavila izvješće o provedbi i primjeni Direktive (EU) 2015/637. </w:t>
      </w:r>
    </w:p>
    <w:p w14:paraId="08646996"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Izvješće je pokazalo da je Direktivom (EU) 2015/637 uglavnom djelotvorno ostvaren cilj da se građanima Unije olakša ostvarivanje njihovih prava povezanih s konzularnom zaštitom u trećim zemljama u kojima država članica čiji su državljani nema predstavništvo.</w:t>
      </w:r>
    </w:p>
    <w:p w14:paraId="0F33669A" w14:textId="2BEE1C20"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Međutim, u izvješću je navedeno da su broj i razmjer kriza koje rezultiraju zahtjevima za konzularnu zaštitu sve veći. Pandemija bolesti COVID-19 (dosad neviđenih razmjera i složenosti), kriza u Afganistanu, agresivni rat Rusije protiv Ukrajine, sukob u Sudanu, repatrijacije iz Izraela i Gaze te druge slične krize pružile su kontekst za utvrđivanje nedostataka i promišljanje o tome kako ojačati pravo građana Unije na konzularnu zaštitu.</w:t>
      </w:r>
    </w:p>
    <w:p w14:paraId="41F3E3E2"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U izvješću je navedeno da ima prostora za pojašnjenje i pojednostavnjenje mjera kako bi se dodatno olakšalo pružanje konzularne zaštite građanima bez predstavništva, uključujući povećanje pravne sigurnosti u pogledu korisnika i osiguravanje takve zaštite bez obzira na to gdje se nalaze u svijetu. Osim toga, moglo bi se razmotriti unapređenje pružanja informacija i koordinacije komunikacije. Nadalje, za pripravnost za kriznu situaciju potrebna je bolja primjena mehanizama predviđanja, posebno s obzirom na ljudske žrtve kao posljedicu neuspješnog pružanja odgovarajuće konzularne zaštite. Nadalje, službena uloga delegacija Unije i njihova koordinacija i suradnja s državama članicama mogli bi bolje odražavati stvarnost njihova rada na terenu, čime bi se pružila veća pravna sigurnost.</w:t>
      </w:r>
    </w:p>
    <w:p w14:paraId="447A28F2" w14:textId="77777777" w:rsidR="004515FC" w:rsidRPr="000B3838" w:rsidRDefault="004515FC" w:rsidP="004515FC">
      <w:pPr>
        <w:pStyle w:val="ManualHeading3"/>
        <w:rPr>
          <w:noProof/>
        </w:rPr>
      </w:pPr>
      <w:bookmarkStart w:id="33" w:name="_Toc514938033"/>
      <w:bookmarkStart w:id="34" w:name="_Toc520485038"/>
      <w:r w:rsidRPr="000B3838">
        <w:rPr>
          <w:noProof/>
        </w:rPr>
        <w:t>1.5.4.</w:t>
      </w:r>
      <w:r w:rsidRPr="000B3838">
        <w:rPr>
          <w:noProof/>
        </w:rPr>
        <w:tab/>
        <w:t>Usklađenost s višegodišnjim financijskim okvirom i moguće sinergije s drugim prikladnim instrumentima</w:t>
      </w:r>
      <w:bookmarkEnd w:id="33"/>
      <w:bookmarkEnd w:id="34"/>
    </w:p>
    <w:p w14:paraId="1D81AF92" w14:textId="75BF9276"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Ovaj je prijedlog u skladu s Mehanizmom Unije za civilnu zaštitu uspostavljenim Odlukom br. 1313/2013/EU.</w:t>
      </w:r>
    </w:p>
    <w:p w14:paraId="13393DD9" w14:textId="77777777" w:rsidR="004515FC" w:rsidRPr="000B3838" w:rsidRDefault="004515FC" w:rsidP="004515FC">
      <w:pPr>
        <w:pStyle w:val="ManualHeading3"/>
        <w:rPr>
          <w:noProof/>
        </w:rPr>
      </w:pPr>
      <w:bookmarkStart w:id="35" w:name="_Toc514938036"/>
      <w:bookmarkStart w:id="36" w:name="_Toc520485039"/>
      <w:r w:rsidRPr="000B3838">
        <w:rPr>
          <w:noProof/>
        </w:rPr>
        <w:t>1.5.5.</w:t>
      </w:r>
      <w:r w:rsidRPr="000B3838">
        <w:rPr>
          <w:noProof/>
        </w:rPr>
        <w:tab/>
        <w:t>Ocjena različitih dostupnih mogućnosti financiranja, uključujući mogućnost preraspodjele</w:t>
      </w:r>
      <w:bookmarkEnd w:id="35"/>
      <w:bookmarkEnd w:id="36"/>
    </w:p>
    <w:p w14:paraId="16065E17"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Potrebni troškovi financirat će se postojećim proračunskim sredstvima.</w:t>
      </w:r>
    </w:p>
    <w:p w14:paraId="0D544AEF" w14:textId="77777777" w:rsidR="004515FC" w:rsidRPr="000B3838" w:rsidRDefault="004515FC" w:rsidP="004515FC">
      <w:pPr>
        <w:pStyle w:val="Text1"/>
        <w:rPr>
          <w:noProof/>
        </w:rPr>
      </w:pPr>
    </w:p>
    <w:p w14:paraId="75CB7D9A" w14:textId="77777777" w:rsidR="004515FC" w:rsidRPr="000B3838" w:rsidRDefault="004515FC" w:rsidP="004515FC">
      <w:pPr>
        <w:pStyle w:val="ManualHeading2"/>
        <w:rPr>
          <w:noProof/>
        </w:rPr>
      </w:pPr>
      <w:r w:rsidRPr="000B3838">
        <w:rPr>
          <w:noProof/>
        </w:rPr>
        <w:br w:type="page"/>
      </w:r>
      <w:bookmarkStart w:id="37" w:name="_Toc514938039"/>
      <w:bookmarkStart w:id="38" w:name="_Toc520485040"/>
      <w:r w:rsidRPr="000B3838">
        <w:rPr>
          <w:noProof/>
        </w:rPr>
        <w:t>1.6.</w:t>
      </w:r>
      <w:r w:rsidRPr="000B3838">
        <w:rPr>
          <w:noProof/>
        </w:rPr>
        <w:tab/>
        <w:t>Trajanje i financijski učinak prijedloga/inicijative</w:t>
      </w:r>
      <w:bookmarkEnd w:id="37"/>
      <w:bookmarkEnd w:id="38"/>
    </w:p>
    <w:p w14:paraId="1A9E616D" w14:textId="77777777" w:rsidR="004515FC" w:rsidRPr="000B3838" w:rsidRDefault="004515FC" w:rsidP="004515FC">
      <w:pPr>
        <w:pStyle w:val="Text1"/>
        <w:rPr>
          <w:noProof/>
        </w:rPr>
      </w:pPr>
      <w:r w:rsidRPr="000B3838">
        <w:rPr>
          <w:rFonts w:ascii="Wingdings" w:hAnsi="Wingdings"/>
          <w:noProof/>
        </w:rPr>
        <w:t></w:t>
      </w:r>
      <w:r w:rsidRPr="000B3838">
        <w:rPr>
          <w:b/>
          <w:i/>
          <w:noProof/>
        </w:rPr>
        <w:t xml:space="preserve"> </w:t>
      </w:r>
      <w:r w:rsidRPr="000B3838">
        <w:rPr>
          <w:b/>
          <w:noProof/>
        </w:rPr>
        <w:t xml:space="preserve">Ograničeno trajanje </w:t>
      </w:r>
    </w:p>
    <w:p w14:paraId="490C5C67" w14:textId="77777777" w:rsidR="004515FC" w:rsidRPr="000B3838" w:rsidRDefault="004515FC" w:rsidP="004515FC">
      <w:pPr>
        <w:pStyle w:val="ListDash2"/>
        <w:rPr>
          <w:noProof/>
        </w:rPr>
      </w:pPr>
      <w:r w:rsidRPr="000B3838">
        <w:rPr>
          <w:rFonts w:ascii="Wingdings" w:hAnsi="Wingdings"/>
          <w:noProof/>
        </w:rPr>
        <w:t></w:t>
      </w:r>
      <w:r w:rsidRPr="000B3838">
        <w:rPr>
          <w:noProof/>
        </w:rPr>
        <w:tab/>
        <w:t xml:space="preserve">na snazi od [DD/MM]GGGG do [DD/MM]GGGG </w:t>
      </w:r>
    </w:p>
    <w:p w14:paraId="7A41B208" w14:textId="77777777" w:rsidR="004515FC" w:rsidRPr="000B3838" w:rsidRDefault="004515FC" w:rsidP="004515FC">
      <w:pPr>
        <w:pStyle w:val="ListDash2"/>
        <w:rPr>
          <w:noProof/>
        </w:rPr>
      </w:pPr>
      <w:r w:rsidRPr="000B3838">
        <w:rPr>
          <w:rFonts w:ascii="Wingdings" w:hAnsi="Wingdings"/>
          <w:noProof/>
        </w:rPr>
        <w:t></w:t>
      </w:r>
      <w:r w:rsidRPr="000B3838">
        <w:rPr>
          <w:noProof/>
        </w:rPr>
        <w:tab/>
        <w:t xml:space="preserve">financijski učinak od GGGG do GGGG za odobrena sredstva za preuzimanje obveza i od GGGG do GGGG za odobrena sredstva za plaćanje. </w:t>
      </w:r>
    </w:p>
    <w:p w14:paraId="4557DC36" w14:textId="77777777" w:rsidR="004515FC" w:rsidRPr="000B3838" w:rsidRDefault="004515FC" w:rsidP="004515FC">
      <w:pPr>
        <w:pStyle w:val="Text1"/>
        <w:rPr>
          <w:noProof/>
        </w:rPr>
      </w:pPr>
      <w:r w:rsidRPr="000B3838">
        <w:rPr>
          <w:rFonts w:ascii="Wingdings" w:hAnsi="Wingdings"/>
          <w:noProof/>
        </w:rPr>
        <w:t></w:t>
      </w:r>
      <w:r w:rsidRPr="000B3838">
        <w:rPr>
          <w:b/>
          <w:i/>
          <w:noProof/>
        </w:rPr>
        <w:t xml:space="preserve"> </w:t>
      </w:r>
      <w:r w:rsidRPr="000B3838">
        <w:rPr>
          <w:b/>
          <w:noProof/>
        </w:rPr>
        <w:t>Neograničeno trajanje</w:t>
      </w:r>
    </w:p>
    <w:p w14:paraId="56A7CE78" w14:textId="77777777" w:rsidR="004515FC" w:rsidRPr="000B3838" w:rsidRDefault="004515FC" w:rsidP="004515FC">
      <w:pPr>
        <w:pStyle w:val="ListDash1"/>
        <w:rPr>
          <w:noProof/>
        </w:rPr>
      </w:pPr>
      <w:r w:rsidRPr="000B3838">
        <w:rPr>
          <w:noProof/>
        </w:rPr>
        <w:t>provedba s početnim razdobljem od 2024. do 2026.,</w:t>
      </w:r>
    </w:p>
    <w:p w14:paraId="7EA8BD0A" w14:textId="77777777" w:rsidR="004515FC" w:rsidRPr="000B3838" w:rsidRDefault="004515FC" w:rsidP="004515FC">
      <w:pPr>
        <w:pStyle w:val="ListDash1"/>
        <w:rPr>
          <w:noProof/>
        </w:rPr>
      </w:pPr>
      <w:r w:rsidRPr="000B3838">
        <w:rPr>
          <w:noProof/>
        </w:rPr>
        <w:t>nakon čega slijedi redovna provedba.</w:t>
      </w:r>
    </w:p>
    <w:p w14:paraId="2A69149B" w14:textId="51629D7F" w:rsidR="004515FC" w:rsidRPr="000B3838" w:rsidRDefault="004515FC" w:rsidP="004515FC">
      <w:pPr>
        <w:pStyle w:val="ManualHeading2"/>
        <w:rPr>
          <w:noProof/>
        </w:rPr>
      </w:pPr>
      <w:bookmarkStart w:id="39" w:name="_Toc514938040"/>
      <w:bookmarkStart w:id="40" w:name="_Toc520485041"/>
      <w:r w:rsidRPr="000B3838">
        <w:rPr>
          <w:noProof/>
        </w:rPr>
        <w:t>1.7.</w:t>
      </w:r>
      <w:r w:rsidRPr="000B3838">
        <w:rPr>
          <w:noProof/>
        </w:rPr>
        <w:tab/>
        <w:t>Planirani načini izvršenja proračuna</w:t>
      </w:r>
      <w:bookmarkEnd w:id="39"/>
      <w:bookmarkEnd w:id="40"/>
      <w:r w:rsidRPr="000B3838">
        <w:rPr>
          <w:rStyle w:val="FootnoteReference0"/>
          <w:noProof/>
        </w:rPr>
        <w:t xml:space="preserve"> </w:t>
      </w:r>
    </w:p>
    <w:p w14:paraId="1C484E69" w14:textId="77777777" w:rsidR="004515FC" w:rsidRPr="000B3838" w:rsidRDefault="004515FC" w:rsidP="004515FC">
      <w:pPr>
        <w:pStyle w:val="Text1"/>
        <w:rPr>
          <w:noProof/>
        </w:rPr>
      </w:pPr>
      <w:r w:rsidRPr="000B3838">
        <w:rPr>
          <w:rFonts w:ascii="Wingdings" w:hAnsi="Wingdings"/>
          <w:noProof/>
        </w:rPr>
        <w:t></w:t>
      </w:r>
      <w:r w:rsidRPr="000B3838">
        <w:rPr>
          <w:i/>
          <w:noProof/>
        </w:rPr>
        <w:t xml:space="preserve"> </w:t>
      </w:r>
      <w:r w:rsidRPr="000B3838">
        <w:rPr>
          <w:b/>
          <w:noProof/>
        </w:rPr>
        <w:t>Izravno upravljanje</w:t>
      </w:r>
      <w:r w:rsidRPr="000B3838">
        <w:rPr>
          <w:noProof/>
        </w:rPr>
        <w:t xml:space="preserve"> koje provodi Komisija</w:t>
      </w:r>
    </w:p>
    <w:p w14:paraId="1CF4CC4B" w14:textId="77777777" w:rsidR="004515FC" w:rsidRPr="000B3838" w:rsidRDefault="004515FC" w:rsidP="004515FC">
      <w:pPr>
        <w:pStyle w:val="ListDash2"/>
        <w:rPr>
          <w:rFonts w:cs="EUAlbertina"/>
          <w:noProof/>
        </w:rPr>
      </w:pPr>
      <w:r w:rsidRPr="000B3838">
        <w:rPr>
          <w:rFonts w:ascii="Wingdings" w:hAnsi="Wingdings"/>
          <w:noProof/>
        </w:rPr>
        <w:t></w:t>
      </w:r>
      <w:r w:rsidRPr="000B3838">
        <w:rPr>
          <w:noProof/>
        </w:rPr>
        <w:t xml:space="preserve"> putem svojih službi, uključujući osoblje u delegacijama Unije </w:t>
      </w:r>
    </w:p>
    <w:p w14:paraId="764E0AEC" w14:textId="77777777" w:rsidR="004515FC" w:rsidRPr="000B3838" w:rsidRDefault="004515FC" w:rsidP="004515FC">
      <w:pPr>
        <w:pStyle w:val="ListDash2"/>
        <w:rPr>
          <w:noProof/>
        </w:rPr>
      </w:pPr>
      <w:r w:rsidRPr="000B3838">
        <w:rPr>
          <w:rFonts w:ascii="Wingdings" w:hAnsi="Wingdings"/>
          <w:noProof/>
        </w:rPr>
        <w:t></w:t>
      </w:r>
      <w:r w:rsidRPr="000B3838">
        <w:rPr>
          <w:noProof/>
        </w:rPr>
        <w:tab/>
        <w:t xml:space="preserve">putem izvršnih agencija </w:t>
      </w:r>
    </w:p>
    <w:p w14:paraId="2B05E9FC" w14:textId="77777777" w:rsidR="004515FC" w:rsidRPr="000B3838" w:rsidRDefault="004515FC" w:rsidP="004515FC">
      <w:pPr>
        <w:pStyle w:val="Text1"/>
        <w:rPr>
          <w:noProof/>
        </w:rPr>
      </w:pPr>
      <w:r w:rsidRPr="000B3838">
        <w:rPr>
          <w:rFonts w:ascii="Wingdings" w:hAnsi="Wingdings"/>
          <w:noProof/>
        </w:rPr>
        <w:t></w:t>
      </w:r>
      <w:r w:rsidRPr="000B3838">
        <w:rPr>
          <w:b/>
          <w:i/>
          <w:noProof/>
        </w:rPr>
        <w:t xml:space="preserve"> </w:t>
      </w:r>
      <w:r w:rsidRPr="000B3838">
        <w:rPr>
          <w:b/>
          <w:noProof/>
        </w:rPr>
        <w:t>Podijeljeno upravljanje</w:t>
      </w:r>
      <w:r w:rsidRPr="000B3838">
        <w:rPr>
          <w:noProof/>
        </w:rPr>
        <w:t xml:space="preserve"> s državama članicama </w:t>
      </w:r>
    </w:p>
    <w:p w14:paraId="1CEE31E7" w14:textId="77777777" w:rsidR="004515FC" w:rsidRPr="000B3838" w:rsidRDefault="004515FC" w:rsidP="004515FC">
      <w:pPr>
        <w:pStyle w:val="Text1"/>
        <w:rPr>
          <w:noProof/>
        </w:rPr>
      </w:pPr>
      <w:r w:rsidRPr="000B3838">
        <w:rPr>
          <w:rFonts w:ascii="Wingdings" w:hAnsi="Wingdings"/>
          <w:noProof/>
        </w:rPr>
        <w:t></w:t>
      </w:r>
      <w:r w:rsidRPr="000B3838">
        <w:rPr>
          <w:i/>
          <w:noProof/>
        </w:rPr>
        <w:t xml:space="preserve"> </w:t>
      </w:r>
      <w:r w:rsidRPr="000B3838">
        <w:rPr>
          <w:b/>
          <w:noProof/>
        </w:rPr>
        <w:t>Neizravno upravljanje</w:t>
      </w:r>
      <w:r w:rsidRPr="000B3838">
        <w:rPr>
          <w:noProof/>
        </w:rPr>
        <w:t xml:space="preserve"> povjeravanjem zadaća izvršenja proračuna:</w:t>
      </w:r>
    </w:p>
    <w:p w14:paraId="78FD3E16" w14:textId="77777777" w:rsidR="004515FC" w:rsidRPr="000B3838" w:rsidRDefault="004515FC" w:rsidP="004515FC">
      <w:pPr>
        <w:pStyle w:val="ListDash2"/>
        <w:rPr>
          <w:noProof/>
        </w:rPr>
      </w:pPr>
      <w:r w:rsidRPr="000B3838">
        <w:rPr>
          <w:rFonts w:ascii="Wingdings" w:hAnsi="Wingdings"/>
          <w:noProof/>
        </w:rPr>
        <w:t></w:t>
      </w:r>
      <w:r w:rsidRPr="000B3838">
        <w:rPr>
          <w:noProof/>
        </w:rPr>
        <w:t xml:space="preserve"> trećim zemljama ili tijelima koja su one odredile</w:t>
      </w:r>
    </w:p>
    <w:p w14:paraId="2643C3A9" w14:textId="77777777" w:rsidR="004515FC" w:rsidRPr="000B3838" w:rsidRDefault="004515FC" w:rsidP="004515FC">
      <w:pPr>
        <w:pStyle w:val="ListDash2"/>
        <w:rPr>
          <w:noProof/>
        </w:rPr>
      </w:pPr>
      <w:r w:rsidRPr="000B3838">
        <w:rPr>
          <w:rFonts w:ascii="Wingdings" w:hAnsi="Wingdings"/>
          <w:noProof/>
        </w:rPr>
        <w:t></w:t>
      </w:r>
      <w:r w:rsidRPr="000B3838">
        <w:rPr>
          <w:noProof/>
        </w:rPr>
        <w:t xml:space="preserve"> međunarodnim organizacijama i njihovim agencijama (navesti)</w:t>
      </w:r>
    </w:p>
    <w:p w14:paraId="10B5F301" w14:textId="77777777" w:rsidR="004515FC" w:rsidRPr="000B3838" w:rsidRDefault="004515FC" w:rsidP="004515FC">
      <w:pPr>
        <w:pStyle w:val="ListDash2"/>
        <w:rPr>
          <w:noProof/>
        </w:rPr>
      </w:pPr>
      <w:r w:rsidRPr="000B3838">
        <w:rPr>
          <w:rFonts w:ascii="Wingdings" w:hAnsi="Wingdings"/>
          <w:noProof/>
        </w:rPr>
        <w:t></w:t>
      </w:r>
      <w:r w:rsidRPr="000B3838">
        <w:rPr>
          <w:noProof/>
        </w:rPr>
        <w:t xml:space="preserve"> EIB-u i Europskom investicijskom fondu</w:t>
      </w:r>
    </w:p>
    <w:p w14:paraId="2F382137" w14:textId="77777777" w:rsidR="004515FC" w:rsidRPr="000B3838" w:rsidRDefault="004515FC" w:rsidP="004515FC">
      <w:pPr>
        <w:pStyle w:val="ListDash2"/>
        <w:rPr>
          <w:noProof/>
        </w:rPr>
      </w:pPr>
      <w:r w:rsidRPr="000B3838">
        <w:rPr>
          <w:rFonts w:ascii="Wingdings" w:hAnsi="Wingdings"/>
          <w:noProof/>
        </w:rPr>
        <w:t></w:t>
      </w:r>
      <w:r w:rsidRPr="000B3838">
        <w:rPr>
          <w:noProof/>
        </w:rPr>
        <w:t xml:space="preserve"> tijelima iz članaka 70. i 71. Financijske uredbe</w:t>
      </w:r>
    </w:p>
    <w:p w14:paraId="175F0922" w14:textId="77777777" w:rsidR="004515FC" w:rsidRPr="000B3838" w:rsidRDefault="004515FC" w:rsidP="004515FC">
      <w:pPr>
        <w:pStyle w:val="ListDash2"/>
        <w:rPr>
          <w:noProof/>
        </w:rPr>
      </w:pPr>
      <w:r w:rsidRPr="000B3838">
        <w:rPr>
          <w:rFonts w:ascii="Wingdings" w:hAnsi="Wingdings"/>
          <w:noProof/>
        </w:rPr>
        <w:t></w:t>
      </w:r>
      <w:r w:rsidRPr="000B3838">
        <w:rPr>
          <w:noProof/>
        </w:rPr>
        <w:t xml:space="preserve"> tijelima javnog prava</w:t>
      </w:r>
    </w:p>
    <w:p w14:paraId="33EE2223" w14:textId="77777777" w:rsidR="004515FC" w:rsidRPr="000B3838" w:rsidRDefault="004515FC" w:rsidP="004515FC">
      <w:pPr>
        <w:pStyle w:val="ListDash2"/>
        <w:rPr>
          <w:noProof/>
        </w:rPr>
      </w:pPr>
      <w:r w:rsidRPr="000B3838">
        <w:rPr>
          <w:rFonts w:ascii="Wingdings" w:hAnsi="Wingdings"/>
          <w:noProof/>
        </w:rPr>
        <w:t></w:t>
      </w:r>
      <w:r w:rsidRPr="000B3838">
        <w:rPr>
          <w:noProof/>
        </w:rPr>
        <w:t xml:space="preserve"> tijelima uređenima privatnim pravom koja pružaju javne usluge, u mjeri u kojoj su im dana odgovarajuća financijska jamstva</w:t>
      </w:r>
    </w:p>
    <w:p w14:paraId="51A068D0" w14:textId="77777777" w:rsidR="004515FC" w:rsidRPr="000B3838" w:rsidRDefault="004515FC" w:rsidP="004515FC">
      <w:pPr>
        <w:pStyle w:val="ListDash2"/>
        <w:rPr>
          <w:noProof/>
        </w:rPr>
      </w:pPr>
      <w:r w:rsidRPr="000B3838">
        <w:rPr>
          <w:rFonts w:ascii="Wingdings" w:hAnsi="Wingdings"/>
          <w:noProof/>
        </w:rPr>
        <w:t></w:t>
      </w:r>
      <w:r w:rsidRPr="000B3838">
        <w:rPr>
          <w:noProof/>
        </w:rPr>
        <w:t xml:space="preserve"> tijelima uređenima privatnim pravom države članice kojima je povjerena provedba javno-privatnog partnerstva i kojima su dana odgovarajuća financijska jamstva</w:t>
      </w:r>
    </w:p>
    <w:p w14:paraId="11E1D413" w14:textId="77777777" w:rsidR="004515FC" w:rsidRPr="000B3838" w:rsidRDefault="004515FC" w:rsidP="004515FC">
      <w:pPr>
        <w:pStyle w:val="ListDash2"/>
        <w:rPr>
          <w:noProof/>
        </w:rPr>
      </w:pPr>
      <w:r w:rsidRPr="000B3838">
        <w:rPr>
          <w:rFonts w:ascii="Wingdings" w:hAnsi="Wingdings"/>
          <w:noProof/>
        </w:rPr>
        <w:t></w:t>
      </w:r>
      <w:r w:rsidRPr="000B3838">
        <w:rPr>
          <w:noProof/>
        </w:rPr>
        <w:t xml:space="preserve"> tijelima ili osobama kojima je povjerena provedba određenih djelovanja u području ZVSP-a u skladu s glavom V. UEU-a i koje su navedene u odgovarajućem temeljnom aktu.</w:t>
      </w:r>
    </w:p>
    <w:p w14:paraId="1F918E95" w14:textId="77777777" w:rsidR="004515FC" w:rsidRPr="000B3838" w:rsidRDefault="004515FC" w:rsidP="004515FC">
      <w:pPr>
        <w:pStyle w:val="ListDash2"/>
        <w:rPr>
          <w:i/>
          <w:noProof/>
          <w:sz w:val="18"/>
          <w:u w:val="single"/>
        </w:rPr>
      </w:pPr>
      <w:r w:rsidRPr="000B3838">
        <w:rPr>
          <w:i/>
          <w:noProof/>
          <w:sz w:val="18"/>
        </w:rPr>
        <w:t>Ako je navedeno više načina upravljanja, potrebno je pojasniti u odjeljku „Napomene”.</w:t>
      </w:r>
    </w:p>
    <w:p w14:paraId="2E17AE04" w14:textId="77777777" w:rsidR="004515FC" w:rsidRPr="000B3838" w:rsidRDefault="004515FC" w:rsidP="004515FC">
      <w:pPr>
        <w:rPr>
          <w:noProof/>
        </w:rPr>
      </w:pPr>
      <w:r w:rsidRPr="000B3838">
        <w:rPr>
          <w:noProof/>
        </w:rPr>
        <w:t xml:space="preserve">Napomene </w:t>
      </w:r>
    </w:p>
    <w:p w14:paraId="5D7B98A8" w14:textId="77777777" w:rsidR="004515FC" w:rsidRPr="000B3838" w:rsidRDefault="004515FC" w:rsidP="004515FC">
      <w:pPr>
        <w:pBdr>
          <w:top w:val="single" w:sz="4" w:space="1" w:color="auto"/>
          <w:left w:val="single" w:sz="4" w:space="4" w:color="auto"/>
          <w:bottom w:val="single" w:sz="4" w:space="1" w:color="auto"/>
          <w:right w:val="single" w:sz="4" w:space="4" w:color="auto"/>
        </w:pBdr>
        <w:rPr>
          <w:noProof/>
        </w:rPr>
        <w:sectPr w:rsidR="004515FC" w:rsidRPr="000B3838" w:rsidSect="004D0F60">
          <w:pgSz w:w="11907" w:h="16840" w:code="9"/>
          <w:pgMar w:top="1134" w:right="1418" w:bottom="1134" w:left="1418" w:header="709" w:footer="709" w:gutter="0"/>
          <w:cols w:space="708"/>
          <w:docGrid w:linePitch="360"/>
        </w:sectPr>
      </w:pPr>
      <w:r w:rsidRPr="000B3838">
        <w:rPr>
          <w:noProof/>
        </w:rPr>
        <w:t xml:space="preserve"> </w:t>
      </w:r>
    </w:p>
    <w:p w14:paraId="699C50A0" w14:textId="77777777" w:rsidR="004515FC" w:rsidRPr="000B3838" w:rsidRDefault="004515FC" w:rsidP="004515FC">
      <w:pPr>
        <w:pStyle w:val="ManualHeading1"/>
        <w:rPr>
          <w:noProof/>
        </w:rPr>
      </w:pPr>
      <w:bookmarkStart w:id="41" w:name="_Toc514938041"/>
      <w:bookmarkStart w:id="42" w:name="_Toc520485042"/>
      <w:r w:rsidRPr="000B3838">
        <w:rPr>
          <w:noProof/>
        </w:rPr>
        <w:t>2.</w:t>
      </w:r>
      <w:r w:rsidRPr="000B3838">
        <w:rPr>
          <w:noProof/>
        </w:rPr>
        <w:tab/>
        <w:t>MJERE UPRAVLJANJA</w:t>
      </w:r>
      <w:bookmarkEnd w:id="41"/>
      <w:bookmarkEnd w:id="42"/>
      <w:r w:rsidRPr="000B3838">
        <w:rPr>
          <w:noProof/>
        </w:rPr>
        <w:t xml:space="preserve"> </w:t>
      </w:r>
    </w:p>
    <w:p w14:paraId="2CCE0409" w14:textId="77777777" w:rsidR="004515FC" w:rsidRPr="000B3838" w:rsidRDefault="004515FC" w:rsidP="004515FC">
      <w:pPr>
        <w:pStyle w:val="ManualHeading2"/>
        <w:rPr>
          <w:noProof/>
        </w:rPr>
      </w:pPr>
      <w:bookmarkStart w:id="43" w:name="_Toc514938042"/>
      <w:bookmarkStart w:id="44" w:name="_Toc520485043"/>
      <w:r w:rsidRPr="000B3838">
        <w:rPr>
          <w:noProof/>
        </w:rPr>
        <w:t>2.1.</w:t>
      </w:r>
      <w:r w:rsidRPr="000B3838">
        <w:rPr>
          <w:noProof/>
        </w:rPr>
        <w:tab/>
        <w:t>Pravila praćenja i izvješćivanja</w:t>
      </w:r>
      <w:bookmarkEnd w:id="43"/>
      <w:bookmarkEnd w:id="44"/>
      <w:r w:rsidRPr="000B3838">
        <w:rPr>
          <w:noProof/>
        </w:rPr>
        <w:t xml:space="preserve"> </w:t>
      </w:r>
    </w:p>
    <w:p w14:paraId="767D950C" w14:textId="77777777" w:rsidR="004515FC" w:rsidRPr="000B3838" w:rsidRDefault="004515FC" w:rsidP="004515FC">
      <w:pPr>
        <w:pStyle w:val="Text1"/>
        <w:rPr>
          <w:i/>
          <w:noProof/>
          <w:sz w:val="20"/>
        </w:rPr>
      </w:pPr>
      <w:r w:rsidRPr="000B3838">
        <w:rPr>
          <w:i/>
          <w:noProof/>
          <w:sz w:val="20"/>
        </w:rPr>
        <w:t>Navesti učestalost i uvjete.</w:t>
      </w:r>
    </w:p>
    <w:p w14:paraId="4ACBEE03" w14:textId="68CDDF83"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Direktiva će se evaluirati osam godina nakon isteka roka za njezino prenošenje. Komisija će o nalazima izvijestiti Europski parlament i Vijeće.</w:t>
      </w:r>
    </w:p>
    <w:p w14:paraId="0C76BE49" w14:textId="77777777" w:rsidR="004515FC" w:rsidRPr="000B3838" w:rsidRDefault="004515FC" w:rsidP="004515FC">
      <w:pPr>
        <w:pStyle w:val="ManualHeading2"/>
        <w:rPr>
          <w:noProof/>
        </w:rPr>
      </w:pPr>
      <w:bookmarkStart w:id="45" w:name="_Toc514938045"/>
      <w:bookmarkStart w:id="46" w:name="_Toc520485044"/>
      <w:r w:rsidRPr="000B3838">
        <w:rPr>
          <w:noProof/>
        </w:rPr>
        <w:t>2.2.</w:t>
      </w:r>
      <w:r w:rsidRPr="000B3838">
        <w:rPr>
          <w:noProof/>
        </w:rPr>
        <w:tab/>
        <w:t>Sustavi upravljanja i kontrole</w:t>
      </w:r>
      <w:bookmarkEnd w:id="45"/>
      <w:bookmarkEnd w:id="46"/>
      <w:r w:rsidRPr="000B3838">
        <w:rPr>
          <w:noProof/>
        </w:rPr>
        <w:t xml:space="preserve"> </w:t>
      </w:r>
    </w:p>
    <w:p w14:paraId="426EBE27" w14:textId="77777777" w:rsidR="004515FC" w:rsidRPr="000B3838" w:rsidRDefault="004515FC" w:rsidP="004515FC">
      <w:pPr>
        <w:pStyle w:val="ManualHeading3"/>
        <w:rPr>
          <w:noProof/>
        </w:rPr>
      </w:pPr>
      <w:bookmarkStart w:id="47" w:name="_Toc514938046"/>
      <w:bookmarkStart w:id="48" w:name="_Toc520485045"/>
      <w:r w:rsidRPr="000B3838">
        <w:rPr>
          <w:noProof/>
        </w:rPr>
        <w:t>2.2.1.</w:t>
      </w:r>
      <w:r w:rsidRPr="000B3838">
        <w:rPr>
          <w:noProof/>
        </w:rPr>
        <w:tab/>
        <w:t>Obrazloženje načina upravljanja, mehanizama provedbe financiranja, načina plaćanja i predložene strategije kontrole</w:t>
      </w:r>
      <w:bookmarkEnd w:id="47"/>
      <w:bookmarkEnd w:id="48"/>
    </w:p>
    <w:p w14:paraId="2D81AA85"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Ovim se prijedlogom ne mijenjaju način upravljanja, mehanizmi provedbe financiranja, načini plaćanja ili strategija kontrole koji su već uspostavljeni i koje primjenjuje Komisija.</w:t>
      </w:r>
    </w:p>
    <w:p w14:paraId="62778DAD" w14:textId="77777777" w:rsidR="004515FC" w:rsidRPr="000B3838" w:rsidRDefault="004515FC" w:rsidP="004515FC">
      <w:pPr>
        <w:pStyle w:val="ManualHeading3"/>
        <w:rPr>
          <w:noProof/>
        </w:rPr>
      </w:pPr>
      <w:bookmarkStart w:id="49" w:name="_Toc514938047"/>
      <w:bookmarkStart w:id="50" w:name="_Toc520485046"/>
      <w:r w:rsidRPr="000B3838">
        <w:rPr>
          <w:noProof/>
        </w:rPr>
        <w:t>2.2.2.</w:t>
      </w:r>
      <w:r w:rsidRPr="000B3838">
        <w:rPr>
          <w:noProof/>
        </w:rPr>
        <w:tab/>
        <w:t>Informacije o utvrđenim rizicima i uspostavljenim sustavima unutarnje kontrole za ublažavanje rizika</w:t>
      </w:r>
      <w:bookmarkEnd w:id="49"/>
      <w:bookmarkEnd w:id="50"/>
    </w:p>
    <w:p w14:paraId="1F830C21"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0B3838">
        <w:rPr>
          <w:noProof/>
        </w:rPr>
        <w:t>Ovaj zakonodavni financijski izvještaj odnosi se na rashode za osoblje. Za tu vrstu rashoda primjenjuju se standardni rizici i sustavi kontrole.</w:t>
      </w:r>
    </w:p>
    <w:p w14:paraId="0174FF25" w14:textId="77777777" w:rsidR="004515FC" w:rsidRPr="000B3838" w:rsidRDefault="004515FC" w:rsidP="004515FC">
      <w:pPr>
        <w:pStyle w:val="ManualHeading3"/>
        <w:rPr>
          <w:noProof/>
        </w:rPr>
      </w:pPr>
      <w:bookmarkStart w:id="51" w:name="_Toc514938048"/>
      <w:bookmarkStart w:id="52" w:name="_Toc520485047"/>
      <w:r w:rsidRPr="000B3838">
        <w:rPr>
          <w:noProof/>
        </w:rPr>
        <w:t>2.2.3.</w:t>
      </w:r>
      <w:r w:rsidRPr="000B3838">
        <w:rPr>
          <w:noProof/>
        </w:rPr>
        <w:tab/>
        <w:t>Procjena i obrazloženje troškovne učinkovitosti kontrola (omjer troškova kontrole i vrijednosti sredstava kojima se upravlja) i procjena očekivane razine rizika od pogreške (pri plaćanju i pri zaključenju)</w:t>
      </w:r>
      <w:bookmarkEnd w:id="51"/>
      <w:bookmarkEnd w:id="52"/>
      <w:r w:rsidRPr="000B3838">
        <w:rPr>
          <w:noProof/>
        </w:rPr>
        <w:t xml:space="preserve"> </w:t>
      </w:r>
    </w:p>
    <w:p w14:paraId="006CE7EA"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r w:rsidRPr="000B3838">
        <w:rPr>
          <w:noProof/>
        </w:rPr>
        <w:t>Ova inicijativa ne utječe na troškovnu učinkovitost postojećih kontrola Komisije.</w:t>
      </w:r>
    </w:p>
    <w:p w14:paraId="6D09BBB2" w14:textId="77777777" w:rsidR="004515FC" w:rsidRPr="000B3838" w:rsidRDefault="004515FC" w:rsidP="004515FC">
      <w:pPr>
        <w:pStyle w:val="ManualHeading2"/>
        <w:rPr>
          <w:noProof/>
        </w:rPr>
      </w:pPr>
      <w:bookmarkStart w:id="53" w:name="_Toc514938049"/>
      <w:bookmarkStart w:id="54" w:name="_Toc520485048"/>
      <w:r w:rsidRPr="000B3838">
        <w:rPr>
          <w:noProof/>
        </w:rPr>
        <w:t>2.3.</w:t>
      </w:r>
      <w:r w:rsidRPr="000B3838">
        <w:rPr>
          <w:noProof/>
        </w:rPr>
        <w:tab/>
        <w:t>Mjere za sprečavanje prijevara i nepravilnosti</w:t>
      </w:r>
      <w:bookmarkEnd w:id="53"/>
      <w:bookmarkEnd w:id="54"/>
      <w:r w:rsidRPr="000B3838">
        <w:rPr>
          <w:noProof/>
        </w:rPr>
        <w:t xml:space="preserve"> </w:t>
      </w:r>
    </w:p>
    <w:p w14:paraId="29729024" w14:textId="77777777" w:rsidR="004515FC" w:rsidRPr="000B3838" w:rsidRDefault="004515FC" w:rsidP="004515FC">
      <w:pPr>
        <w:pStyle w:val="Text1"/>
        <w:rPr>
          <w:i/>
          <w:noProof/>
          <w:sz w:val="20"/>
        </w:rPr>
      </w:pPr>
      <w:r w:rsidRPr="000B3838">
        <w:rPr>
          <w:i/>
          <w:noProof/>
          <w:sz w:val="20"/>
        </w:rPr>
        <w:t>Navesti postojeće ili predviđene mjere za sprečavanje i zaštitu, npr. iz strategije za borbu protiv prijevara.</w:t>
      </w:r>
    </w:p>
    <w:p w14:paraId="2B107299"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0B3838">
        <w:rPr>
          <w:noProof/>
        </w:rPr>
        <w:t>Ovaj zakonodavni financijski izvještaj odnosi se na rashode za osoblje. Za tu vrstu rashoda primjenjuju se standardna pravila.</w:t>
      </w:r>
    </w:p>
    <w:p w14:paraId="31090FEE" w14:textId="77777777" w:rsidR="004515FC" w:rsidRPr="000B3838" w:rsidRDefault="004515FC" w:rsidP="004515FC">
      <w:pPr>
        <w:rPr>
          <w:noProof/>
        </w:rPr>
        <w:sectPr w:rsidR="004515FC" w:rsidRPr="000B3838" w:rsidSect="004D0F60">
          <w:pgSz w:w="11907" w:h="16840" w:code="9"/>
          <w:pgMar w:top="1134" w:right="1418" w:bottom="1134" w:left="1418" w:header="709" w:footer="709" w:gutter="0"/>
          <w:cols w:space="708"/>
          <w:docGrid w:linePitch="360"/>
        </w:sectPr>
      </w:pPr>
    </w:p>
    <w:p w14:paraId="43B4E7B7" w14:textId="77777777" w:rsidR="004515FC" w:rsidRPr="000B3838" w:rsidRDefault="004515FC" w:rsidP="004515FC">
      <w:pPr>
        <w:pStyle w:val="ManualHeading1"/>
        <w:rPr>
          <w:noProof/>
        </w:rPr>
      </w:pPr>
      <w:bookmarkStart w:id="55" w:name="_Toc514938050"/>
      <w:bookmarkStart w:id="56" w:name="_Toc520485049"/>
      <w:r w:rsidRPr="000B3838">
        <w:rPr>
          <w:noProof/>
        </w:rPr>
        <w:t>3.</w:t>
      </w:r>
      <w:r w:rsidRPr="000B3838">
        <w:rPr>
          <w:noProof/>
        </w:rPr>
        <w:tab/>
        <w:t>PROCIJENJENI FINANCIJSKI UČINAK PRIJEDLOGA/INICIJATIVE</w:t>
      </w:r>
      <w:bookmarkEnd w:id="55"/>
      <w:bookmarkEnd w:id="56"/>
      <w:r w:rsidRPr="000B3838">
        <w:rPr>
          <w:noProof/>
        </w:rPr>
        <w:t xml:space="preserve"> </w:t>
      </w:r>
    </w:p>
    <w:p w14:paraId="0E2A318C" w14:textId="77777777" w:rsidR="004515FC" w:rsidRPr="000B3838" w:rsidRDefault="004515FC" w:rsidP="004515FC">
      <w:pPr>
        <w:pStyle w:val="ManualHeading2"/>
        <w:rPr>
          <w:noProof/>
        </w:rPr>
      </w:pPr>
      <w:bookmarkStart w:id="57" w:name="_Toc514938051"/>
      <w:bookmarkStart w:id="58" w:name="_Toc520485050"/>
      <w:r w:rsidRPr="000B3838">
        <w:rPr>
          <w:noProof/>
        </w:rPr>
        <w:t>3.1.</w:t>
      </w:r>
      <w:r w:rsidRPr="000B3838">
        <w:rPr>
          <w:noProof/>
        </w:rPr>
        <w:tab/>
        <w:t>Naslovi višegodišnjeg financijskog okvira i proračunske linije rashoda na koje prijedlog/inicijativa ima učinak</w:t>
      </w:r>
      <w:bookmarkEnd w:id="57"/>
      <w:bookmarkEnd w:id="58"/>
      <w:r w:rsidRPr="000B3838">
        <w:rPr>
          <w:noProof/>
        </w:rPr>
        <w:t xml:space="preserve"> </w:t>
      </w:r>
    </w:p>
    <w:p w14:paraId="03BB8814" w14:textId="77777777" w:rsidR="004515FC" w:rsidRPr="000B3838" w:rsidRDefault="004515FC" w:rsidP="004515FC">
      <w:pPr>
        <w:pStyle w:val="ListBullet1"/>
        <w:rPr>
          <w:noProof/>
        </w:rPr>
      </w:pPr>
      <w:r w:rsidRPr="000B3838">
        <w:rPr>
          <w:noProof/>
        </w:rPr>
        <w:t xml:space="preserve">Postojeće proračunske linije </w:t>
      </w:r>
    </w:p>
    <w:p w14:paraId="4C600DEE" w14:textId="77777777" w:rsidR="004515FC" w:rsidRPr="000B3838" w:rsidRDefault="004515FC" w:rsidP="004515FC">
      <w:pPr>
        <w:pStyle w:val="Text1"/>
        <w:rPr>
          <w:i/>
          <w:noProof/>
        </w:rPr>
      </w:pPr>
      <w:r w:rsidRPr="000B3838">
        <w:rPr>
          <w:i/>
          <w:noProof/>
          <w:u w:val="single"/>
        </w:rPr>
        <w:t>Prema redoslijedu</w:t>
      </w:r>
      <w:r w:rsidRPr="000B3838">
        <w:rPr>
          <w:i/>
          <w:noProof/>
        </w:rPr>
        <w:t xml:space="preserve"> naslova višegodišnjeg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10369" w:rsidRPr="000B3838" w14:paraId="34CD8DE7" w14:textId="77777777">
        <w:tc>
          <w:tcPr>
            <w:tcW w:w="1080" w:type="dxa"/>
            <w:vMerge w:val="restart"/>
            <w:vAlign w:val="center"/>
          </w:tcPr>
          <w:p w14:paraId="1C0332D0" w14:textId="77777777" w:rsidR="004515FC" w:rsidRPr="000B3838" w:rsidRDefault="004515FC" w:rsidP="0029161D">
            <w:pPr>
              <w:spacing w:before="60" w:after="60"/>
              <w:jc w:val="center"/>
              <w:rPr>
                <w:noProof/>
              </w:rPr>
            </w:pPr>
            <w:r w:rsidRPr="000B3838">
              <w:rPr>
                <w:noProof/>
                <w:sz w:val="18"/>
              </w:rPr>
              <w:t>Naslov višegodišnjeg financijskog okvira</w:t>
            </w:r>
          </w:p>
        </w:tc>
        <w:tc>
          <w:tcPr>
            <w:tcW w:w="3960" w:type="dxa"/>
            <w:vAlign w:val="center"/>
          </w:tcPr>
          <w:p w14:paraId="41C116C0" w14:textId="77777777" w:rsidR="004515FC" w:rsidRPr="000B3838" w:rsidRDefault="004515FC" w:rsidP="0029161D">
            <w:pPr>
              <w:spacing w:before="60" w:after="60"/>
              <w:jc w:val="center"/>
              <w:rPr>
                <w:noProof/>
              </w:rPr>
            </w:pPr>
            <w:r w:rsidRPr="000B3838">
              <w:rPr>
                <w:noProof/>
                <w:sz w:val="20"/>
              </w:rPr>
              <w:t>Proračunska linija</w:t>
            </w:r>
          </w:p>
        </w:tc>
        <w:tc>
          <w:tcPr>
            <w:tcW w:w="1080" w:type="dxa"/>
            <w:vAlign w:val="center"/>
          </w:tcPr>
          <w:p w14:paraId="27929EA4" w14:textId="37586D75" w:rsidR="004515FC" w:rsidRPr="000B3838" w:rsidRDefault="004515FC" w:rsidP="0029161D">
            <w:pPr>
              <w:spacing w:before="60" w:after="60"/>
              <w:jc w:val="center"/>
              <w:rPr>
                <w:noProof/>
              </w:rPr>
            </w:pPr>
            <w:r w:rsidRPr="000B3838">
              <w:rPr>
                <w:noProof/>
                <w:sz w:val="18"/>
              </w:rPr>
              <w:t>Vrsta</w:t>
            </w:r>
            <w:r w:rsidRPr="000B3838">
              <w:rPr>
                <w:noProof/>
              </w:rPr>
              <w:br/>
            </w:r>
            <w:r w:rsidRPr="000B3838">
              <w:rPr>
                <w:noProof/>
                <w:sz w:val="18"/>
              </w:rPr>
              <w:t>rashoda</w:t>
            </w:r>
          </w:p>
        </w:tc>
        <w:tc>
          <w:tcPr>
            <w:tcW w:w="4440" w:type="dxa"/>
            <w:gridSpan w:val="4"/>
            <w:vAlign w:val="center"/>
          </w:tcPr>
          <w:p w14:paraId="3EDCB9B8" w14:textId="77777777" w:rsidR="004515FC" w:rsidRPr="000B3838" w:rsidRDefault="004515FC" w:rsidP="0029161D">
            <w:pPr>
              <w:spacing w:before="60" w:after="60"/>
              <w:jc w:val="center"/>
              <w:rPr>
                <w:noProof/>
              </w:rPr>
            </w:pPr>
            <w:r w:rsidRPr="000B3838">
              <w:rPr>
                <w:noProof/>
                <w:sz w:val="20"/>
              </w:rPr>
              <w:t xml:space="preserve">Doprinos </w:t>
            </w:r>
          </w:p>
        </w:tc>
      </w:tr>
      <w:tr w:rsidR="00910369" w:rsidRPr="000B3838" w14:paraId="6AD600CD" w14:textId="77777777">
        <w:tc>
          <w:tcPr>
            <w:tcW w:w="1080" w:type="dxa"/>
            <w:vMerge/>
            <w:vAlign w:val="center"/>
          </w:tcPr>
          <w:p w14:paraId="4CC9AA63" w14:textId="77777777" w:rsidR="004515FC" w:rsidRPr="000B3838" w:rsidRDefault="004515FC" w:rsidP="0029161D">
            <w:pPr>
              <w:jc w:val="center"/>
              <w:rPr>
                <w:noProof/>
              </w:rPr>
            </w:pPr>
          </w:p>
        </w:tc>
        <w:tc>
          <w:tcPr>
            <w:tcW w:w="3960" w:type="dxa"/>
            <w:vAlign w:val="center"/>
          </w:tcPr>
          <w:p w14:paraId="6F9A7F23" w14:textId="6EB710DA" w:rsidR="004515FC" w:rsidRPr="000B3838" w:rsidRDefault="004515FC" w:rsidP="0029161D">
            <w:pPr>
              <w:rPr>
                <w:noProof/>
              </w:rPr>
            </w:pPr>
            <w:r w:rsidRPr="000B3838">
              <w:rPr>
                <w:noProof/>
                <w:sz w:val="20"/>
              </w:rPr>
              <w:t>Broj</w:t>
            </w:r>
            <w:r w:rsidRPr="000B3838">
              <w:rPr>
                <w:noProof/>
              </w:rPr>
              <w:br/>
            </w:r>
          </w:p>
        </w:tc>
        <w:tc>
          <w:tcPr>
            <w:tcW w:w="1080" w:type="dxa"/>
            <w:vAlign w:val="center"/>
          </w:tcPr>
          <w:p w14:paraId="150C667E" w14:textId="77777777" w:rsidR="004515FC" w:rsidRPr="000B3838" w:rsidRDefault="004515FC" w:rsidP="0029161D">
            <w:pPr>
              <w:jc w:val="center"/>
              <w:rPr>
                <w:noProof/>
              </w:rPr>
            </w:pPr>
            <w:r w:rsidRPr="000B3838">
              <w:rPr>
                <w:noProof/>
                <w:sz w:val="18"/>
              </w:rPr>
              <w:t>dif./nedif.</w:t>
            </w:r>
            <w:r w:rsidRPr="000B3838">
              <w:rPr>
                <w:rStyle w:val="FootnoteReference0"/>
                <w:noProof/>
                <w:sz w:val="18"/>
              </w:rPr>
              <w:footnoteReference w:id="41"/>
            </w:r>
          </w:p>
        </w:tc>
        <w:tc>
          <w:tcPr>
            <w:tcW w:w="956" w:type="dxa"/>
            <w:vAlign w:val="center"/>
          </w:tcPr>
          <w:p w14:paraId="17C49E28" w14:textId="77777777" w:rsidR="004515FC" w:rsidRPr="000B3838" w:rsidRDefault="004515FC" w:rsidP="0029161D">
            <w:pPr>
              <w:jc w:val="center"/>
              <w:rPr>
                <w:b/>
                <w:noProof/>
                <w:sz w:val="18"/>
              </w:rPr>
            </w:pPr>
            <w:r w:rsidRPr="000B3838">
              <w:rPr>
                <w:noProof/>
                <w:sz w:val="18"/>
              </w:rPr>
              <w:t>zemalja EFTA-e</w:t>
            </w:r>
            <w:r w:rsidRPr="000B3838">
              <w:rPr>
                <w:rStyle w:val="FootnoteReference0"/>
                <w:noProof/>
                <w:sz w:val="18"/>
              </w:rPr>
              <w:footnoteReference w:id="42"/>
            </w:r>
          </w:p>
        </w:tc>
        <w:tc>
          <w:tcPr>
            <w:tcW w:w="1080" w:type="dxa"/>
            <w:vAlign w:val="center"/>
          </w:tcPr>
          <w:p w14:paraId="6CF428B7" w14:textId="77777777" w:rsidR="004515FC" w:rsidRPr="000B3838" w:rsidRDefault="004515FC" w:rsidP="0029161D">
            <w:pPr>
              <w:jc w:val="center"/>
              <w:rPr>
                <w:noProof/>
                <w:sz w:val="18"/>
              </w:rPr>
            </w:pPr>
            <w:r w:rsidRPr="000B3838">
              <w:rPr>
                <w:noProof/>
                <w:sz w:val="18"/>
              </w:rPr>
              <w:t>zemalja kandidatkinja i potencijalnih kandidata</w:t>
            </w:r>
            <w:r w:rsidRPr="000B3838">
              <w:rPr>
                <w:rStyle w:val="FootnoteReference0"/>
                <w:noProof/>
                <w:sz w:val="18"/>
              </w:rPr>
              <w:footnoteReference w:id="43"/>
            </w:r>
          </w:p>
        </w:tc>
        <w:tc>
          <w:tcPr>
            <w:tcW w:w="956" w:type="dxa"/>
            <w:vAlign w:val="center"/>
          </w:tcPr>
          <w:p w14:paraId="6DCAD98E" w14:textId="77777777" w:rsidR="004515FC" w:rsidRPr="000B3838" w:rsidRDefault="004515FC" w:rsidP="0029161D">
            <w:pPr>
              <w:jc w:val="center"/>
              <w:rPr>
                <w:noProof/>
                <w:sz w:val="18"/>
              </w:rPr>
            </w:pPr>
            <w:r w:rsidRPr="000B3838">
              <w:rPr>
                <w:noProof/>
                <w:sz w:val="18"/>
              </w:rPr>
              <w:t>ostalih trećih zemalja</w:t>
            </w:r>
          </w:p>
        </w:tc>
        <w:tc>
          <w:tcPr>
            <w:tcW w:w="1448" w:type="dxa"/>
            <w:vAlign w:val="center"/>
          </w:tcPr>
          <w:p w14:paraId="1A091E24" w14:textId="77777777" w:rsidR="004515FC" w:rsidRPr="000B3838" w:rsidRDefault="004515FC" w:rsidP="0029161D">
            <w:pPr>
              <w:jc w:val="center"/>
              <w:rPr>
                <w:noProof/>
              </w:rPr>
            </w:pPr>
            <w:r w:rsidRPr="000B3838">
              <w:rPr>
                <w:noProof/>
                <w:sz w:val="18"/>
              </w:rPr>
              <w:t>drugi namjenski prihodi</w:t>
            </w:r>
          </w:p>
        </w:tc>
      </w:tr>
      <w:tr w:rsidR="00DB3050" w:rsidRPr="000B3838" w14:paraId="1ABCBDA5" w14:textId="77777777">
        <w:tc>
          <w:tcPr>
            <w:tcW w:w="1080" w:type="dxa"/>
            <w:vAlign w:val="center"/>
          </w:tcPr>
          <w:p w14:paraId="2EE99B61" w14:textId="77777777" w:rsidR="004515FC" w:rsidRPr="000B3838" w:rsidRDefault="004515FC" w:rsidP="0029161D">
            <w:pPr>
              <w:jc w:val="center"/>
              <w:rPr>
                <w:noProof/>
                <w:color w:val="0000FF"/>
              </w:rPr>
            </w:pPr>
          </w:p>
        </w:tc>
        <w:tc>
          <w:tcPr>
            <w:tcW w:w="3960" w:type="dxa"/>
            <w:vAlign w:val="center"/>
          </w:tcPr>
          <w:p w14:paraId="52FAA916" w14:textId="77777777" w:rsidR="004515FC" w:rsidRPr="000B3838" w:rsidRDefault="004515FC" w:rsidP="0029161D">
            <w:pPr>
              <w:spacing w:before="60"/>
              <w:rPr>
                <w:noProof/>
              </w:rPr>
            </w:pPr>
            <w:r w:rsidRPr="000B3838">
              <w:rPr>
                <w:noProof/>
                <w:sz w:val="22"/>
              </w:rPr>
              <w:t>[XX YY YY YY]</w:t>
            </w:r>
          </w:p>
          <w:p w14:paraId="75358A74" w14:textId="77777777" w:rsidR="004515FC" w:rsidRPr="000B3838" w:rsidRDefault="004515FC" w:rsidP="0029161D">
            <w:pPr>
              <w:spacing w:after="60"/>
              <w:rPr>
                <w:noProof/>
              </w:rPr>
            </w:pPr>
          </w:p>
        </w:tc>
        <w:tc>
          <w:tcPr>
            <w:tcW w:w="1080" w:type="dxa"/>
            <w:vAlign w:val="center"/>
          </w:tcPr>
          <w:p w14:paraId="220D7FB3" w14:textId="77777777" w:rsidR="004515FC" w:rsidRPr="000B3838" w:rsidRDefault="004515FC" w:rsidP="0029161D">
            <w:pPr>
              <w:jc w:val="center"/>
              <w:rPr>
                <w:noProof/>
                <w:color w:val="0000FF"/>
              </w:rPr>
            </w:pPr>
            <w:r w:rsidRPr="000B3838">
              <w:rPr>
                <w:noProof/>
                <w:sz w:val="22"/>
              </w:rPr>
              <w:t>dif./nedif.</w:t>
            </w:r>
          </w:p>
        </w:tc>
        <w:tc>
          <w:tcPr>
            <w:tcW w:w="956" w:type="dxa"/>
            <w:vAlign w:val="center"/>
          </w:tcPr>
          <w:p w14:paraId="7AE8BDBB" w14:textId="77777777" w:rsidR="004515FC" w:rsidRPr="000B3838" w:rsidRDefault="004515FC" w:rsidP="0029161D">
            <w:pPr>
              <w:jc w:val="center"/>
              <w:rPr>
                <w:noProof/>
                <w:sz w:val="20"/>
              </w:rPr>
            </w:pPr>
            <w:r w:rsidRPr="000B3838">
              <w:rPr>
                <w:noProof/>
                <w:sz w:val="20"/>
              </w:rPr>
              <w:t>DA/NE</w:t>
            </w:r>
          </w:p>
        </w:tc>
        <w:tc>
          <w:tcPr>
            <w:tcW w:w="1080" w:type="dxa"/>
            <w:vAlign w:val="center"/>
          </w:tcPr>
          <w:p w14:paraId="4DC3A89E" w14:textId="77777777" w:rsidR="004515FC" w:rsidRPr="000B3838" w:rsidRDefault="004515FC" w:rsidP="0029161D">
            <w:pPr>
              <w:jc w:val="center"/>
              <w:rPr>
                <w:noProof/>
                <w:sz w:val="20"/>
              </w:rPr>
            </w:pPr>
            <w:r w:rsidRPr="000B3838">
              <w:rPr>
                <w:noProof/>
                <w:sz w:val="20"/>
              </w:rPr>
              <w:t>DA/NE</w:t>
            </w:r>
          </w:p>
        </w:tc>
        <w:tc>
          <w:tcPr>
            <w:tcW w:w="956" w:type="dxa"/>
            <w:vAlign w:val="center"/>
          </w:tcPr>
          <w:p w14:paraId="66288EA3" w14:textId="77777777" w:rsidR="004515FC" w:rsidRPr="000B3838" w:rsidRDefault="004515FC" w:rsidP="0029161D">
            <w:pPr>
              <w:jc w:val="center"/>
              <w:rPr>
                <w:noProof/>
                <w:sz w:val="20"/>
              </w:rPr>
            </w:pPr>
            <w:r w:rsidRPr="000B3838">
              <w:rPr>
                <w:noProof/>
                <w:sz w:val="20"/>
              </w:rPr>
              <w:t>DA/NE</w:t>
            </w:r>
          </w:p>
        </w:tc>
        <w:tc>
          <w:tcPr>
            <w:tcW w:w="1448" w:type="dxa"/>
            <w:vAlign w:val="center"/>
          </w:tcPr>
          <w:p w14:paraId="3CF4E9DE" w14:textId="77777777" w:rsidR="004515FC" w:rsidRPr="000B3838" w:rsidRDefault="004515FC" w:rsidP="0029161D">
            <w:pPr>
              <w:jc w:val="center"/>
              <w:rPr>
                <w:noProof/>
                <w:sz w:val="20"/>
              </w:rPr>
            </w:pPr>
            <w:r w:rsidRPr="000B3838">
              <w:rPr>
                <w:noProof/>
                <w:sz w:val="20"/>
              </w:rPr>
              <w:t>DA/NE</w:t>
            </w:r>
          </w:p>
        </w:tc>
      </w:tr>
    </w:tbl>
    <w:p w14:paraId="55C42E2B" w14:textId="77777777" w:rsidR="004515FC" w:rsidRPr="000B3838" w:rsidRDefault="004515FC" w:rsidP="004515FC">
      <w:pPr>
        <w:pStyle w:val="ListBullet1"/>
        <w:rPr>
          <w:noProof/>
        </w:rPr>
      </w:pPr>
      <w:r w:rsidRPr="000B3838">
        <w:rPr>
          <w:noProof/>
        </w:rPr>
        <w:t xml:space="preserve">Zatražene nove proračunske linije </w:t>
      </w:r>
    </w:p>
    <w:p w14:paraId="622C0F8B" w14:textId="77777777" w:rsidR="004515FC" w:rsidRPr="000B3838" w:rsidRDefault="004515FC" w:rsidP="004515FC">
      <w:pPr>
        <w:pStyle w:val="Text1"/>
        <w:rPr>
          <w:i/>
          <w:noProof/>
          <w:sz w:val="20"/>
        </w:rPr>
      </w:pPr>
      <w:r w:rsidRPr="000B3838">
        <w:rPr>
          <w:i/>
          <w:noProof/>
          <w:u w:val="single"/>
        </w:rPr>
        <w:t>Prema redoslijedu</w:t>
      </w:r>
      <w:r w:rsidRPr="000B3838">
        <w:rPr>
          <w:i/>
          <w:noProof/>
        </w:rPr>
        <w:t xml:space="preserve"> naslova višegodišnjeg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10369" w:rsidRPr="000B3838" w14:paraId="307919A9" w14:textId="77777777">
        <w:tc>
          <w:tcPr>
            <w:tcW w:w="1080" w:type="dxa"/>
            <w:vMerge w:val="restart"/>
            <w:vAlign w:val="center"/>
          </w:tcPr>
          <w:p w14:paraId="4F5D453A" w14:textId="77777777" w:rsidR="004515FC" w:rsidRPr="000B3838" w:rsidRDefault="004515FC" w:rsidP="0029161D">
            <w:pPr>
              <w:spacing w:before="60" w:after="60"/>
              <w:jc w:val="center"/>
              <w:rPr>
                <w:noProof/>
                <w:sz w:val="18"/>
              </w:rPr>
            </w:pPr>
            <w:r w:rsidRPr="000B3838">
              <w:rPr>
                <w:noProof/>
                <w:sz w:val="18"/>
              </w:rPr>
              <w:t>Naslov višegodišnjeg financijskog okvira</w:t>
            </w:r>
          </w:p>
        </w:tc>
        <w:tc>
          <w:tcPr>
            <w:tcW w:w="3960" w:type="dxa"/>
            <w:vAlign w:val="center"/>
          </w:tcPr>
          <w:p w14:paraId="483593F7" w14:textId="77777777" w:rsidR="004515FC" w:rsidRPr="000B3838" w:rsidRDefault="004515FC" w:rsidP="0029161D">
            <w:pPr>
              <w:spacing w:before="60" w:after="60"/>
              <w:jc w:val="center"/>
              <w:rPr>
                <w:noProof/>
              </w:rPr>
            </w:pPr>
            <w:r w:rsidRPr="000B3838">
              <w:rPr>
                <w:noProof/>
                <w:sz w:val="20"/>
              </w:rPr>
              <w:t>Proračunska linija</w:t>
            </w:r>
          </w:p>
        </w:tc>
        <w:tc>
          <w:tcPr>
            <w:tcW w:w="1080" w:type="dxa"/>
            <w:vAlign w:val="center"/>
          </w:tcPr>
          <w:p w14:paraId="4A7A5906" w14:textId="669D0812" w:rsidR="004515FC" w:rsidRPr="000B3838" w:rsidRDefault="004515FC" w:rsidP="0029161D">
            <w:pPr>
              <w:spacing w:before="60" w:after="60"/>
              <w:jc w:val="center"/>
              <w:rPr>
                <w:noProof/>
              </w:rPr>
            </w:pPr>
            <w:r w:rsidRPr="000B3838">
              <w:rPr>
                <w:noProof/>
                <w:sz w:val="18"/>
              </w:rPr>
              <w:t>Vrsta</w:t>
            </w:r>
            <w:r w:rsidRPr="000B3838">
              <w:rPr>
                <w:noProof/>
              </w:rPr>
              <w:br/>
            </w:r>
            <w:r w:rsidRPr="000B3838">
              <w:rPr>
                <w:noProof/>
                <w:sz w:val="18"/>
              </w:rPr>
              <w:t>rashoda</w:t>
            </w:r>
          </w:p>
        </w:tc>
        <w:tc>
          <w:tcPr>
            <w:tcW w:w="4440" w:type="dxa"/>
            <w:gridSpan w:val="4"/>
            <w:vAlign w:val="center"/>
          </w:tcPr>
          <w:p w14:paraId="52B62367" w14:textId="77777777" w:rsidR="004515FC" w:rsidRPr="000B3838" w:rsidRDefault="004515FC" w:rsidP="0029161D">
            <w:pPr>
              <w:spacing w:before="60" w:after="60"/>
              <w:jc w:val="center"/>
              <w:rPr>
                <w:noProof/>
              </w:rPr>
            </w:pPr>
            <w:r w:rsidRPr="000B3838">
              <w:rPr>
                <w:noProof/>
                <w:sz w:val="20"/>
              </w:rPr>
              <w:t xml:space="preserve">Doprinos </w:t>
            </w:r>
          </w:p>
        </w:tc>
      </w:tr>
      <w:tr w:rsidR="00910369" w:rsidRPr="000B3838" w14:paraId="645D0419" w14:textId="77777777">
        <w:tc>
          <w:tcPr>
            <w:tcW w:w="1080" w:type="dxa"/>
            <w:vMerge/>
            <w:vAlign w:val="center"/>
          </w:tcPr>
          <w:p w14:paraId="30DA29CF" w14:textId="77777777" w:rsidR="004515FC" w:rsidRPr="000B3838" w:rsidRDefault="004515FC" w:rsidP="0029161D">
            <w:pPr>
              <w:jc w:val="center"/>
              <w:rPr>
                <w:noProof/>
              </w:rPr>
            </w:pPr>
          </w:p>
        </w:tc>
        <w:tc>
          <w:tcPr>
            <w:tcW w:w="3960" w:type="dxa"/>
            <w:vAlign w:val="center"/>
          </w:tcPr>
          <w:p w14:paraId="3C82B3A1" w14:textId="6B9DF179" w:rsidR="004515FC" w:rsidRPr="000B3838" w:rsidRDefault="004515FC" w:rsidP="0029161D">
            <w:pPr>
              <w:rPr>
                <w:noProof/>
              </w:rPr>
            </w:pPr>
            <w:r w:rsidRPr="000B3838">
              <w:rPr>
                <w:noProof/>
                <w:sz w:val="20"/>
              </w:rPr>
              <w:t>Broj</w:t>
            </w:r>
            <w:r w:rsidRPr="000B3838">
              <w:rPr>
                <w:noProof/>
              </w:rPr>
              <w:br/>
            </w:r>
          </w:p>
        </w:tc>
        <w:tc>
          <w:tcPr>
            <w:tcW w:w="1080" w:type="dxa"/>
            <w:vAlign w:val="center"/>
          </w:tcPr>
          <w:p w14:paraId="7D3201A0" w14:textId="77777777" w:rsidR="004515FC" w:rsidRPr="000B3838" w:rsidRDefault="004515FC" w:rsidP="0029161D">
            <w:pPr>
              <w:jc w:val="center"/>
              <w:rPr>
                <w:noProof/>
              </w:rPr>
            </w:pPr>
            <w:r w:rsidRPr="000B3838">
              <w:rPr>
                <w:noProof/>
                <w:sz w:val="18"/>
              </w:rPr>
              <w:t>dif./nedif.</w:t>
            </w:r>
          </w:p>
        </w:tc>
        <w:tc>
          <w:tcPr>
            <w:tcW w:w="956" w:type="dxa"/>
            <w:vAlign w:val="center"/>
          </w:tcPr>
          <w:p w14:paraId="027544AD" w14:textId="77777777" w:rsidR="004515FC" w:rsidRPr="000B3838" w:rsidRDefault="004515FC" w:rsidP="0029161D">
            <w:pPr>
              <w:jc w:val="center"/>
              <w:rPr>
                <w:noProof/>
                <w:sz w:val="18"/>
              </w:rPr>
            </w:pPr>
            <w:r w:rsidRPr="000B3838">
              <w:rPr>
                <w:noProof/>
                <w:sz w:val="18"/>
              </w:rPr>
              <w:t>zemalja EFTA-e</w:t>
            </w:r>
          </w:p>
        </w:tc>
        <w:tc>
          <w:tcPr>
            <w:tcW w:w="1080" w:type="dxa"/>
            <w:vAlign w:val="center"/>
          </w:tcPr>
          <w:p w14:paraId="67D8438A" w14:textId="77777777" w:rsidR="004515FC" w:rsidRPr="000B3838" w:rsidRDefault="004515FC" w:rsidP="0029161D">
            <w:pPr>
              <w:jc w:val="center"/>
              <w:rPr>
                <w:noProof/>
                <w:sz w:val="18"/>
              </w:rPr>
            </w:pPr>
            <w:r w:rsidRPr="000B3838">
              <w:rPr>
                <w:noProof/>
                <w:sz w:val="18"/>
              </w:rPr>
              <w:t>zemalja kandidatkinja i potencijalnih kandidata</w:t>
            </w:r>
          </w:p>
        </w:tc>
        <w:tc>
          <w:tcPr>
            <w:tcW w:w="956" w:type="dxa"/>
            <w:vAlign w:val="center"/>
          </w:tcPr>
          <w:p w14:paraId="6EA3E2CB" w14:textId="75A6DBAF" w:rsidR="004515FC" w:rsidRPr="000B3838" w:rsidRDefault="004515FC" w:rsidP="0029161D">
            <w:pPr>
              <w:jc w:val="center"/>
              <w:rPr>
                <w:noProof/>
                <w:sz w:val="18"/>
              </w:rPr>
            </w:pPr>
            <w:r w:rsidRPr="000B3838">
              <w:rPr>
                <w:noProof/>
                <w:sz w:val="18"/>
              </w:rPr>
              <w:t>ostalih trećih zemalja</w:t>
            </w:r>
          </w:p>
        </w:tc>
        <w:tc>
          <w:tcPr>
            <w:tcW w:w="1448" w:type="dxa"/>
            <w:vAlign w:val="center"/>
          </w:tcPr>
          <w:p w14:paraId="2040788A" w14:textId="77777777" w:rsidR="004515FC" w:rsidRPr="000B3838" w:rsidRDefault="004515FC" w:rsidP="0029161D">
            <w:pPr>
              <w:jc w:val="center"/>
              <w:rPr>
                <w:noProof/>
              </w:rPr>
            </w:pPr>
            <w:r w:rsidRPr="000B3838">
              <w:rPr>
                <w:noProof/>
                <w:sz w:val="18"/>
              </w:rPr>
              <w:t xml:space="preserve">drugi namjenski prihodi </w:t>
            </w:r>
          </w:p>
        </w:tc>
      </w:tr>
      <w:tr w:rsidR="00DB3050" w:rsidRPr="000B3838" w14:paraId="2AA0A868" w14:textId="77777777">
        <w:tc>
          <w:tcPr>
            <w:tcW w:w="1080" w:type="dxa"/>
            <w:vAlign w:val="center"/>
          </w:tcPr>
          <w:p w14:paraId="5F73153D" w14:textId="77777777" w:rsidR="004515FC" w:rsidRPr="000B3838" w:rsidRDefault="004515FC" w:rsidP="0029161D">
            <w:pPr>
              <w:jc w:val="center"/>
              <w:rPr>
                <w:noProof/>
                <w:color w:val="0000FF"/>
              </w:rPr>
            </w:pPr>
          </w:p>
        </w:tc>
        <w:tc>
          <w:tcPr>
            <w:tcW w:w="3960" w:type="dxa"/>
            <w:vAlign w:val="center"/>
          </w:tcPr>
          <w:p w14:paraId="5D029D0D" w14:textId="77777777" w:rsidR="004515FC" w:rsidRPr="000B3838" w:rsidRDefault="004515FC" w:rsidP="0029161D">
            <w:pPr>
              <w:spacing w:before="60"/>
              <w:rPr>
                <w:noProof/>
              </w:rPr>
            </w:pPr>
            <w:r w:rsidRPr="000B3838">
              <w:rPr>
                <w:noProof/>
                <w:sz w:val="22"/>
              </w:rPr>
              <w:t>[XX YY YY YY]</w:t>
            </w:r>
          </w:p>
          <w:p w14:paraId="484FD809" w14:textId="77777777" w:rsidR="004515FC" w:rsidRPr="000B3838" w:rsidRDefault="004515FC" w:rsidP="0029161D">
            <w:pPr>
              <w:spacing w:after="60"/>
              <w:rPr>
                <w:noProof/>
                <w:color w:val="0000FF"/>
              </w:rPr>
            </w:pPr>
          </w:p>
        </w:tc>
        <w:tc>
          <w:tcPr>
            <w:tcW w:w="1080" w:type="dxa"/>
            <w:vAlign w:val="center"/>
          </w:tcPr>
          <w:p w14:paraId="3A1FA2B8" w14:textId="77777777" w:rsidR="004515FC" w:rsidRPr="000B3838" w:rsidRDefault="004515FC" w:rsidP="0029161D">
            <w:pPr>
              <w:jc w:val="center"/>
              <w:rPr>
                <w:noProof/>
                <w:color w:val="0000FF"/>
              </w:rPr>
            </w:pPr>
          </w:p>
        </w:tc>
        <w:tc>
          <w:tcPr>
            <w:tcW w:w="956" w:type="dxa"/>
            <w:vAlign w:val="center"/>
          </w:tcPr>
          <w:p w14:paraId="6AB23153" w14:textId="77777777" w:rsidR="004515FC" w:rsidRPr="000B3838" w:rsidRDefault="004515FC" w:rsidP="0029161D">
            <w:pPr>
              <w:jc w:val="center"/>
              <w:rPr>
                <w:noProof/>
                <w:sz w:val="20"/>
              </w:rPr>
            </w:pPr>
            <w:r w:rsidRPr="000B3838">
              <w:rPr>
                <w:noProof/>
                <w:sz w:val="20"/>
              </w:rPr>
              <w:t>DA/NE</w:t>
            </w:r>
          </w:p>
        </w:tc>
        <w:tc>
          <w:tcPr>
            <w:tcW w:w="1080" w:type="dxa"/>
            <w:vAlign w:val="center"/>
          </w:tcPr>
          <w:p w14:paraId="511B3E1A" w14:textId="77777777" w:rsidR="004515FC" w:rsidRPr="000B3838" w:rsidRDefault="004515FC" w:rsidP="0029161D">
            <w:pPr>
              <w:jc w:val="center"/>
              <w:rPr>
                <w:noProof/>
                <w:color w:val="0000FF"/>
                <w:sz w:val="20"/>
              </w:rPr>
            </w:pPr>
            <w:r w:rsidRPr="000B3838">
              <w:rPr>
                <w:noProof/>
                <w:sz w:val="20"/>
              </w:rPr>
              <w:t>DA/NE</w:t>
            </w:r>
          </w:p>
        </w:tc>
        <w:tc>
          <w:tcPr>
            <w:tcW w:w="956" w:type="dxa"/>
            <w:vAlign w:val="center"/>
          </w:tcPr>
          <w:p w14:paraId="1D2A5C71" w14:textId="77777777" w:rsidR="004515FC" w:rsidRPr="000B3838" w:rsidRDefault="004515FC" w:rsidP="0029161D">
            <w:pPr>
              <w:jc w:val="center"/>
              <w:rPr>
                <w:noProof/>
                <w:color w:val="0000FF"/>
                <w:sz w:val="20"/>
              </w:rPr>
            </w:pPr>
            <w:r w:rsidRPr="000B3838">
              <w:rPr>
                <w:noProof/>
                <w:sz w:val="20"/>
              </w:rPr>
              <w:t>DA/NE</w:t>
            </w:r>
          </w:p>
        </w:tc>
        <w:tc>
          <w:tcPr>
            <w:tcW w:w="1448" w:type="dxa"/>
            <w:vAlign w:val="center"/>
          </w:tcPr>
          <w:p w14:paraId="7D290B3A" w14:textId="77777777" w:rsidR="004515FC" w:rsidRPr="000B3838" w:rsidRDefault="004515FC" w:rsidP="0029161D">
            <w:pPr>
              <w:jc w:val="center"/>
              <w:rPr>
                <w:noProof/>
                <w:sz w:val="20"/>
              </w:rPr>
            </w:pPr>
            <w:r w:rsidRPr="000B3838">
              <w:rPr>
                <w:noProof/>
                <w:sz w:val="20"/>
              </w:rPr>
              <w:t>DA/NE</w:t>
            </w:r>
          </w:p>
        </w:tc>
      </w:tr>
    </w:tbl>
    <w:p w14:paraId="70696CD4" w14:textId="77777777" w:rsidR="004515FC" w:rsidRPr="000B3838" w:rsidRDefault="004515FC" w:rsidP="004515FC">
      <w:pPr>
        <w:rPr>
          <w:noProof/>
        </w:rPr>
        <w:sectPr w:rsidR="004515FC" w:rsidRPr="000B3838" w:rsidSect="004D0F60">
          <w:pgSz w:w="11907" w:h="16840" w:code="1"/>
          <w:pgMar w:top="1134" w:right="1418" w:bottom="1134" w:left="1418" w:header="709" w:footer="709" w:gutter="0"/>
          <w:cols w:space="708"/>
          <w:docGrid w:linePitch="360"/>
        </w:sectPr>
      </w:pPr>
    </w:p>
    <w:p w14:paraId="1780F30F" w14:textId="77777777" w:rsidR="004515FC" w:rsidRPr="000B3838" w:rsidRDefault="004515FC" w:rsidP="004515FC">
      <w:pPr>
        <w:pStyle w:val="ManualHeading2"/>
        <w:rPr>
          <w:noProof/>
        </w:rPr>
      </w:pPr>
      <w:bookmarkStart w:id="59" w:name="_Toc514938052"/>
      <w:bookmarkStart w:id="60" w:name="_Toc520485051"/>
      <w:r w:rsidRPr="000B3838">
        <w:rPr>
          <w:noProof/>
        </w:rPr>
        <w:t>3.2.</w:t>
      </w:r>
      <w:r w:rsidRPr="000B3838">
        <w:rPr>
          <w:noProof/>
        </w:rPr>
        <w:tab/>
        <w:t>Procijenjeni financijski učinak prijedloga na odobrena sredstva</w:t>
      </w:r>
      <w:bookmarkEnd w:id="59"/>
      <w:bookmarkEnd w:id="60"/>
      <w:r w:rsidRPr="000B3838">
        <w:rPr>
          <w:noProof/>
        </w:rPr>
        <w:t xml:space="preserve"> </w:t>
      </w:r>
    </w:p>
    <w:p w14:paraId="48F94B9C" w14:textId="77777777" w:rsidR="004515FC" w:rsidRPr="000B3838" w:rsidRDefault="004515FC" w:rsidP="004515FC">
      <w:pPr>
        <w:pStyle w:val="ManualHeading3"/>
        <w:rPr>
          <w:noProof/>
        </w:rPr>
      </w:pPr>
      <w:bookmarkStart w:id="61" w:name="_Toc514938053"/>
      <w:bookmarkStart w:id="62" w:name="_Toc520485052"/>
      <w:r w:rsidRPr="000B3838">
        <w:rPr>
          <w:noProof/>
        </w:rPr>
        <w:t>3.2.1.</w:t>
      </w:r>
      <w:r w:rsidRPr="000B3838">
        <w:rPr>
          <w:noProof/>
        </w:rPr>
        <w:tab/>
        <w:t>Sažetak procijenjenog učinka na odobrena sredstva za poslovanje</w:t>
      </w:r>
      <w:bookmarkEnd w:id="61"/>
      <w:bookmarkEnd w:id="62"/>
      <w:r w:rsidRPr="000B3838">
        <w:rPr>
          <w:noProof/>
        </w:rPr>
        <w:t xml:space="preserve"> </w:t>
      </w:r>
    </w:p>
    <w:p w14:paraId="1ED66C40" w14:textId="77777777" w:rsidR="004515FC" w:rsidRPr="000B3838" w:rsidRDefault="004515FC" w:rsidP="004515FC">
      <w:pPr>
        <w:pStyle w:val="ListDash1"/>
        <w:rPr>
          <w:noProof/>
        </w:rPr>
      </w:pPr>
      <w:r w:rsidRPr="000B3838">
        <w:rPr>
          <w:rFonts w:ascii="Wingdings" w:hAnsi="Wingdings"/>
          <w:noProof/>
        </w:rPr>
        <w:t></w:t>
      </w:r>
      <w:r w:rsidRPr="000B3838">
        <w:rPr>
          <w:noProof/>
        </w:rPr>
        <w:tab/>
        <w:t xml:space="preserve">Za prijedlog/inicijativu nisu potrebna odobrena sredstva za poslovanje. </w:t>
      </w:r>
    </w:p>
    <w:p w14:paraId="23039F28" w14:textId="77777777" w:rsidR="004515FC" w:rsidRPr="000B3838" w:rsidRDefault="004515FC" w:rsidP="004515FC">
      <w:pPr>
        <w:pStyle w:val="ListDash1"/>
        <w:rPr>
          <w:noProof/>
        </w:rPr>
      </w:pPr>
      <w:r w:rsidRPr="000B3838">
        <w:rPr>
          <w:rFonts w:ascii="Wingdings" w:hAnsi="Wingdings"/>
          <w:noProof/>
        </w:rPr>
        <w:t></w:t>
      </w:r>
      <w:r w:rsidRPr="000B3838">
        <w:rPr>
          <w:noProof/>
        </w:rPr>
        <w:tab/>
        <w:t>Za prijedlog/inicijativu potrebna su sljedeća odobrena sredstva za poslovanje:</w:t>
      </w:r>
    </w:p>
    <w:p w14:paraId="5CFD7515" w14:textId="77777777" w:rsidR="004515FC" w:rsidRPr="000B3838" w:rsidRDefault="004515FC" w:rsidP="004515FC">
      <w:pPr>
        <w:jc w:val="right"/>
        <w:rPr>
          <w:noProof/>
          <w:sz w:val="18"/>
        </w:rPr>
      </w:pPr>
      <w:r w:rsidRPr="000B3838">
        <w:rPr>
          <w:noProof/>
          <w:sz w:val="18"/>
        </w:rPr>
        <w:t>U milijunima EUR (do 3 decimalna mjesta)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0B3838" w14:paraId="5D3591B3" w14:textId="77777777" w:rsidTr="0029161D">
        <w:trPr>
          <w:jc w:val="center"/>
        </w:trPr>
        <w:tc>
          <w:tcPr>
            <w:tcW w:w="4744" w:type="dxa"/>
            <w:shd w:val="thinDiagStripe" w:color="C0C0C0" w:fill="auto"/>
            <w:vAlign w:val="center"/>
          </w:tcPr>
          <w:p w14:paraId="02817F46" w14:textId="43F338FD" w:rsidR="004515FC" w:rsidRPr="000B3838" w:rsidRDefault="004515FC" w:rsidP="0029161D">
            <w:pPr>
              <w:spacing w:before="60" w:after="60"/>
              <w:jc w:val="center"/>
              <w:rPr>
                <w:b/>
                <w:noProof/>
              </w:rPr>
            </w:pPr>
            <w:r w:rsidRPr="000B3838">
              <w:rPr>
                <w:b/>
                <w:noProof/>
                <w:sz w:val="22"/>
              </w:rPr>
              <w:t>Naslov višegodišnjeg financijskog</w:t>
            </w:r>
            <w:r w:rsidRPr="000B3838">
              <w:rPr>
                <w:noProof/>
              </w:rPr>
              <w:br/>
            </w:r>
            <w:r w:rsidRPr="000B3838">
              <w:rPr>
                <w:b/>
                <w:noProof/>
                <w:sz w:val="22"/>
              </w:rPr>
              <w:t xml:space="preserve">okvira </w:t>
            </w:r>
          </w:p>
        </w:tc>
        <w:tc>
          <w:tcPr>
            <w:tcW w:w="1080" w:type="dxa"/>
            <w:vAlign w:val="center"/>
          </w:tcPr>
          <w:p w14:paraId="3CFC4F56" w14:textId="77777777" w:rsidR="004515FC" w:rsidRPr="000B3838" w:rsidRDefault="004515FC" w:rsidP="0029161D">
            <w:pPr>
              <w:spacing w:before="60" w:after="60"/>
              <w:jc w:val="center"/>
              <w:rPr>
                <w:noProof/>
              </w:rPr>
            </w:pPr>
            <w:r w:rsidRPr="000B3838">
              <w:rPr>
                <w:noProof/>
                <w:sz w:val="22"/>
              </w:rPr>
              <w:t>Broj</w:t>
            </w:r>
          </w:p>
        </w:tc>
        <w:tc>
          <w:tcPr>
            <w:tcW w:w="7817" w:type="dxa"/>
            <w:vAlign w:val="center"/>
          </w:tcPr>
          <w:p w14:paraId="367C64D8" w14:textId="77777777" w:rsidR="004515FC" w:rsidRPr="000B3838" w:rsidRDefault="004515FC" w:rsidP="0029161D">
            <w:pPr>
              <w:spacing w:before="60" w:after="60"/>
              <w:rPr>
                <w:noProof/>
              </w:rPr>
            </w:pPr>
          </w:p>
        </w:tc>
      </w:tr>
    </w:tbl>
    <w:p w14:paraId="6B237B0F" w14:textId="77777777" w:rsidR="004515FC" w:rsidRPr="000B3838" w:rsidRDefault="004515FC" w:rsidP="004515F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910369" w:rsidRPr="000B3838" w14:paraId="5878CC69" w14:textId="77777777">
        <w:tc>
          <w:tcPr>
            <w:tcW w:w="3960" w:type="dxa"/>
            <w:vAlign w:val="center"/>
          </w:tcPr>
          <w:p w14:paraId="4B34D207" w14:textId="77777777" w:rsidR="004515FC" w:rsidRPr="000B3838" w:rsidRDefault="004515FC" w:rsidP="0029161D">
            <w:pPr>
              <w:jc w:val="center"/>
              <w:rPr>
                <w:noProof/>
              </w:rPr>
            </w:pPr>
            <w:r w:rsidRPr="000B3838">
              <w:rPr>
                <w:noProof/>
                <w:sz w:val="22"/>
              </w:rPr>
              <w:t>Glavna uprava: &lt;…….&gt;</w:t>
            </w:r>
          </w:p>
        </w:tc>
        <w:tc>
          <w:tcPr>
            <w:tcW w:w="1560" w:type="dxa"/>
            <w:gridSpan w:val="2"/>
          </w:tcPr>
          <w:p w14:paraId="446A3FD1" w14:textId="77777777" w:rsidR="004515FC" w:rsidRPr="000B3838" w:rsidRDefault="004515FC" w:rsidP="0029161D">
            <w:pPr>
              <w:rPr>
                <w:noProof/>
                <w:sz w:val="20"/>
              </w:rPr>
            </w:pPr>
          </w:p>
        </w:tc>
        <w:tc>
          <w:tcPr>
            <w:tcW w:w="534" w:type="dxa"/>
          </w:tcPr>
          <w:p w14:paraId="3B1F16A2" w14:textId="77777777" w:rsidR="004515FC" w:rsidRPr="000B3838" w:rsidRDefault="004515FC" w:rsidP="0029161D">
            <w:pPr>
              <w:jc w:val="center"/>
              <w:rPr>
                <w:noProof/>
                <w:sz w:val="20"/>
              </w:rPr>
            </w:pPr>
          </w:p>
        </w:tc>
        <w:tc>
          <w:tcPr>
            <w:tcW w:w="868" w:type="dxa"/>
            <w:vAlign w:val="center"/>
          </w:tcPr>
          <w:p w14:paraId="32B4194C" w14:textId="64DE2CD5"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N</w:t>
            </w:r>
            <w:r w:rsidRPr="000B3838">
              <w:rPr>
                <w:rStyle w:val="FootnoteReference0"/>
                <w:b/>
                <w:noProof/>
                <w:sz w:val="20"/>
              </w:rPr>
              <w:footnoteReference w:id="44"/>
            </w:r>
          </w:p>
        </w:tc>
        <w:tc>
          <w:tcPr>
            <w:tcW w:w="868" w:type="dxa"/>
            <w:vAlign w:val="center"/>
          </w:tcPr>
          <w:p w14:paraId="423B4749" w14:textId="3A6AC8F0"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N+1</w:t>
            </w:r>
          </w:p>
        </w:tc>
        <w:tc>
          <w:tcPr>
            <w:tcW w:w="868" w:type="dxa"/>
            <w:vAlign w:val="center"/>
          </w:tcPr>
          <w:p w14:paraId="772A8AB7" w14:textId="2DAB65B2"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N+2</w:t>
            </w:r>
          </w:p>
        </w:tc>
        <w:tc>
          <w:tcPr>
            <w:tcW w:w="868" w:type="dxa"/>
            <w:vAlign w:val="center"/>
          </w:tcPr>
          <w:p w14:paraId="36188E75" w14:textId="23693495"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N+3</w:t>
            </w:r>
          </w:p>
        </w:tc>
        <w:tc>
          <w:tcPr>
            <w:tcW w:w="2604" w:type="dxa"/>
            <w:gridSpan w:val="3"/>
            <w:vAlign w:val="center"/>
          </w:tcPr>
          <w:p w14:paraId="671E01A2" w14:textId="77777777" w:rsidR="004515FC" w:rsidRPr="000B3838" w:rsidRDefault="004515FC" w:rsidP="0029161D">
            <w:pPr>
              <w:jc w:val="center"/>
              <w:rPr>
                <w:b/>
                <w:noProof/>
                <w:sz w:val="18"/>
              </w:rPr>
            </w:pPr>
            <w:r w:rsidRPr="000B3838">
              <w:rPr>
                <w:noProof/>
                <w:sz w:val="18"/>
              </w:rPr>
              <w:t>Unijeti onoliko godina koliko je potrebno za prikaz trajanja učinka (vidjeti točku 1.6.)</w:t>
            </w:r>
          </w:p>
        </w:tc>
        <w:tc>
          <w:tcPr>
            <w:tcW w:w="1777" w:type="dxa"/>
            <w:vAlign w:val="center"/>
          </w:tcPr>
          <w:p w14:paraId="0531899C" w14:textId="77777777" w:rsidR="004515FC" w:rsidRPr="000B3838" w:rsidRDefault="004515FC" w:rsidP="0029161D">
            <w:pPr>
              <w:jc w:val="center"/>
              <w:rPr>
                <w:b/>
                <w:noProof/>
                <w:sz w:val="20"/>
              </w:rPr>
            </w:pPr>
            <w:r w:rsidRPr="000B3838">
              <w:rPr>
                <w:b/>
                <w:noProof/>
                <w:sz w:val="20"/>
              </w:rPr>
              <w:t>UKUPNO</w:t>
            </w:r>
          </w:p>
        </w:tc>
      </w:tr>
      <w:tr w:rsidR="00DB3050" w:rsidRPr="000B3838" w14:paraId="6CCA5260" w14:textId="77777777">
        <w:trPr>
          <w:trHeight w:val="213"/>
        </w:trPr>
        <w:tc>
          <w:tcPr>
            <w:tcW w:w="6054" w:type="dxa"/>
            <w:gridSpan w:val="4"/>
            <w:vAlign w:val="center"/>
          </w:tcPr>
          <w:p w14:paraId="2D46AE77" w14:textId="77777777" w:rsidR="004515FC" w:rsidRPr="000B3838" w:rsidRDefault="004515FC" w:rsidP="0029161D">
            <w:pPr>
              <w:spacing w:before="20" w:after="20"/>
              <w:rPr>
                <w:noProof/>
                <w:sz w:val="21"/>
              </w:rPr>
            </w:pPr>
            <w:r w:rsidRPr="000B3838">
              <w:rPr>
                <w:rFonts w:ascii="Wingdings" w:hAnsi="Wingdings"/>
                <w:noProof/>
                <w:sz w:val="21"/>
              </w:rPr>
              <w:t>□</w:t>
            </w:r>
            <w:r w:rsidRPr="000B3838">
              <w:rPr>
                <w:noProof/>
                <w:sz w:val="21"/>
              </w:rPr>
              <w:t xml:space="preserve"> Odobrena sredstva za poslovanje </w:t>
            </w:r>
          </w:p>
        </w:tc>
        <w:tc>
          <w:tcPr>
            <w:tcW w:w="868" w:type="dxa"/>
            <w:vAlign w:val="center"/>
          </w:tcPr>
          <w:p w14:paraId="0B9FC84D" w14:textId="77777777" w:rsidR="004515FC" w:rsidRPr="000B3838" w:rsidRDefault="004515FC" w:rsidP="0029161D">
            <w:pPr>
              <w:rPr>
                <w:noProof/>
                <w:sz w:val="20"/>
              </w:rPr>
            </w:pPr>
          </w:p>
        </w:tc>
        <w:tc>
          <w:tcPr>
            <w:tcW w:w="868" w:type="dxa"/>
            <w:vAlign w:val="center"/>
          </w:tcPr>
          <w:p w14:paraId="0BD3E6E0" w14:textId="77777777" w:rsidR="004515FC" w:rsidRPr="000B3838" w:rsidRDefault="004515FC" w:rsidP="0029161D">
            <w:pPr>
              <w:rPr>
                <w:noProof/>
                <w:sz w:val="20"/>
              </w:rPr>
            </w:pPr>
          </w:p>
        </w:tc>
        <w:tc>
          <w:tcPr>
            <w:tcW w:w="868" w:type="dxa"/>
            <w:vAlign w:val="center"/>
          </w:tcPr>
          <w:p w14:paraId="5B4CDBFE" w14:textId="77777777" w:rsidR="004515FC" w:rsidRPr="000B3838" w:rsidRDefault="004515FC" w:rsidP="0029161D">
            <w:pPr>
              <w:rPr>
                <w:noProof/>
                <w:sz w:val="20"/>
              </w:rPr>
            </w:pPr>
          </w:p>
        </w:tc>
        <w:tc>
          <w:tcPr>
            <w:tcW w:w="868" w:type="dxa"/>
            <w:vAlign w:val="center"/>
          </w:tcPr>
          <w:p w14:paraId="2EA07717" w14:textId="77777777" w:rsidR="004515FC" w:rsidRPr="000B3838" w:rsidRDefault="004515FC" w:rsidP="0029161D">
            <w:pPr>
              <w:rPr>
                <w:noProof/>
                <w:sz w:val="20"/>
              </w:rPr>
            </w:pPr>
          </w:p>
        </w:tc>
        <w:tc>
          <w:tcPr>
            <w:tcW w:w="868" w:type="dxa"/>
            <w:vAlign w:val="center"/>
          </w:tcPr>
          <w:p w14:paraId="5D0582B3" w14:textId="77777777" w:rsidR="004515FC" w:rsidRPr="000B3838" w:rsidRDefault="004515FC" w:rsidP="0029161D">
            <w:pPr>
              <w:rPr>
                <w:noProof/>
                <w:sz w:val="20"/>
              </w:rPr>
            </w:pPr>
          </w:p>
        </w:tc>
        <w:tc>
          <w:tcPr>
            <w:tcW w:w="868" w:type="dxa"/>
            <w:vAlign w:val="center"/>
          </w:tcPr>
          <w:p w14:paraId="3773E299" w14:textId="77777777" w:rsidR="004515FC" w:rsidRPr="000B3838" w:rsidRDefault="004515FC" w:rsidP="0029161D">
            <w:pPr>
              <w:rPr>
                <w:noProof/>
                <w:sz w:val="20"/>
              </w:rPr>
            </w:pPr>
          </w:p>
        </w:tc>
        <w:tc>
          <w:tcPr>
            <w:tcW w:w="868" w:type="dxa"/>
            <w:vAlign w:val="center"/>
          </w:tcPr>
          <w:p w14:paraId="73C8CBB0" w14:textId="77777777" w:rsidR="004515FC" w:rsidRPr="000B3838" w:rsidRDefault="004515FC" w:rsidP="0029161D">
            <w:pPr>
              <w:rPr>
                <w:b/>
                <w:noProof/>
                <w:sz w:val="20"/>
              </w:rPr>
            </w:pPr>
          </w:p>
        </w:tc>
        <w:tc>
          <w:tcPr>
            <w:tcW w:w="1777" w:type="dxa"/>
            <w:vAlign w:val="center"/>
          </w:tcPr>
          <w:p w14:paraId="793B2368" w14:textId="77777777" w:rsidR="004515FC" w:rsidRPr="000B3838" w:rsidRDefault="004515FC" w:rsidP="0029161D">
            <w:pPr>
              <w:rPr>
                <w:b/>
                <w:noProof/>
                <w:sz w:val="20"/>
              </w:rPr>
            </w:pPr>
          </w:p>
        </w:tc>
      </w:tr>
      <w:tr w:rsidR="00910369" w:rsidRPr="000B3838" w14:paraId="2858D85D" w14:textId="77777777">
        <w:trPr>
          <w:trHeight w:val="277"/>
        </w:trPr>
        <w:tc>
          <w:tcPr>
            <w:tcW w:w="3960" w:type="dxa"/>
            <w:vMerge w:val="restart"/>
            <w:vAlign w:val="center"/>
          </w:tcPr>
          <w:p w14:paraId="28C727FC" w14:textId="77777777" w:rsidR="004515FC" w:rsidRPr="000B3838" w:rsidRDefault="004515FC" w:rsidP="0029161D">
            <w:pPr>
              <w:rPr>
                <w:noProof/>
              </w:rPr>
            </w:pPr>
            <w:r w:rsidRPr="000B3838">
              <w:rPr>
                <w:noProof/>
                <w:sz w:val="20"/>
              </w:rPr>
              <w:t>Proračunska linija</w:t>
            </w:r>
            <w:r w:rsidRPr="000B3838">
              <w:rPr>
                <w:rStyle w:val="FootnoteReference0"/>
                <w:noProof/>
                <w:sz w:val="20"/>
              </w:rPr>
              <w:footnoteReference w:id="45"/>
            </w:r>
          </w:p>
        </w:tc>
        <w:tc>
          <w:tcPr>
            <w:tcW w:w="1440" w:type="dxa"/>
            <w:vAlign w:val="center"/>
          </w:tcPr>
          <w:p w14:paraId="7B55B2CE" w14:textId="77777777" w:rsidR="004515FC" w:rsidRPr="000B3838" w:rsidRDefault="004515FC" w:rsidP="0029161D">
            <w:pPr>
              <w:spacing w:before="20" w:after="20"/>
              <w:rPr>
                <w:noProof/>
                <w:sz w:val="18"/>
              </w:rPr>
            </w:pPr>
            <w:r w:rsidRPr="000B3838">
              <w:rPr>
                <w:noProof/>
                <w:sz w:val="18"/>
              </w:rPr>
              <w:t>Obveze</w:t>
            </w:r>
          </w:p>
        </w:tc>
        <w:tc>
          <w:tcPr>
            <w:tcW w:w="654" w:type="dxa"/>
            <w:gridSpan w:val="2"/>
            <w:vAlign w:val="center"/>
          </w:tcPr>
          <w:p w14:paraId="21B974E2" w14:textId="77777777" w:rsidR="004515FC" w:rsidRPr="000B3838" w:rsidRDefault="004515FC" w:rsidP="0029161D">
            <w:pPr>
              <w:spacing w:before="20" w:after="20"/>
              <w:jc w:val="center"/>
              <w:rPr>
                <w:noProof/>
                <w:sz w:val="14"/>
              </w:rPr>
            </w:pPr>
            <w:r w:rsidRPr="000B3838">
              <w:rPr>
                <w:noProof/>
                <w:sz w:val="14"/>
              </w:rPr>
              <w:t>(1a)</w:t>
            </w:r>
          </w:p>
        </w:tc>
        <w:tc>
          <w:tcPr>
            <w:tcW w:w="868" w:type="dxa"/>
            <w:vAlign w:val="center"/>
          </w:tcPr>
          <w:p w14:paraId="62C5D93E" w14:textId="77777777" w:rsidR="004515FC" w:rsidRPr="000B3838" w:rsidRDefault="004515FC" w:rsidP="0029161D">
            <w:pPr>
              <w:spacing w:before="20" w:after="20"/>
              <w:jc w:val="right"/>
              <w:rPr>
                <w:noProof/>
                <w:sz w:val="20"/>
              </w:rPr>
            </w:pPr>
          </w:p>
        </w:tc>
        <w:tc>
          <w:tcPr>
            <w:tcW w:w="868" w:type="dxa"/>
            <w:vAlign w:val="center"/>
          </w:tcPr>
          <w:p w14:paraId="5B2C02E1" w14:textId="77777777" w:rsidR="004515FC" w:rsidRPr="000B3838" w:rsidRDefault="004515FC" w:rsidP="0029161D">
            <w:pPr>
              <w:spacing w:before="20" w:after="20"/>
              <w:jc w:val="right"/>
              <w:rPr>
                <w:noProof/>
                <w:sz w:val="20"/>
              </w:rPr>
            </w:pPr>
          </w:p>
        </w:tc>
        <w:tc>
          <w:tcPr>
            <w:tcW w:w="868" w:type="dxa"/>
            <w:vAlign w:val="center"/>
          </w:tcPr>
          <w:p w14:paraId="42774608" w14:textId="77777777" w:rsidR="004515FC" w:rsidRPr="000B3838" w:rsidRDefault="004515FC" w:rsidP="0029161D">
            <w:pPr>
              <w:spacing w:before="20" w:after="20"/>
              <w:jc w:val="right"/>
              <w:rPr>
                <w:noProof/>
                <w:sz w:val="20"/>
              </w:rPr>
            </w:pPr>
          </w:p>
        </w:tc>
        <w:tc>
          <w:tcPr>
            <w:tcW w:w="868" w:type="dxa"/>
            <w:vAlign w:val="center"/>
          </w:tcPr>
          <w:p w14:paraId="74C68801" w14:textId="77777777" w:rsidR="004515FC" w:rsidRPr="000B3838" w:rsidRDefault="004515FC" w:rsidP="0029161D">
            <w:pPr>
              <w:spacing w:before="20" w:after="20"/>
              <w:jc w:val="right"/>
              <w:rPr>
                <w:noProof/>
                <w:sz w:val="20"/>
              </w:rPr>
            </w:pPr>
          </w:p>
        </w:tc>
        <w:tc>
          <w:tcPr>
            <w:tcW w:w="868" w:type="dxa"/>
            <w:vAlign w:val="center"/>
          </w:tcPr>
          <w:p w14:paraId="7F5C8C2A" w14:textId="77777777" w:rsidR="004515FC" w:rsidRPr="000B3838" w:rsidRDefault="004515FC" w:rsidP="0029161D">
            <w:pPr>
              <w:spacing w:before="20" w:after="20"/>
              <w:jc w:val="right"/>
              <w:rPr>
                <w:noProof/>
                <w:sz w:val="20"/>
              </w:rPr>
            </w:pPr>
          </w:p>
        </w:tc>
        <w:tc>
          <w:tcPr>
            <w:tcW w:w="868" w:type="dxa"/>
            <w:vAlign w:val="center"/>
          </w:tcPr>
          <w:p w14:paraId="1C7A2690" w14:textId="77777777" w:rsidR="004515FC" w:rsidRPr="000B3838" w:rsidRDefault="004515FC" w:rsidP="0029161D">
            <w:pPr>
              <w:spacing w:before="20" w:after="20"/>
              <w:jc w:val="right"/>
              <w:rPr>
                <w:noProof/>
                <w:sz w:val="20"/>
              </w:rPr>
            </w:pPr>
          </w:p>
        </w:tc>
        <w:tc>
          <w:tcPr>
            <w:tcW w:w="868" w:type="dxa"/>
            <w:vAlign w:val="center"/>
          </w:tcPr>
          <w:p w14:paraId="15262D2B" w14:textId="77777777" w:rsidR="004515FC" w:rsidRPr="000B3838" w:rsidRDefault="004515FC" w:rsidP="0029161D">
            <w:pPr>
              <w:spacing w:before="20" w:after="20"/>
              <w:jc w:val="right"/>
              <w:rPr>
                <w:b/>
                <w:noProof/>
                <w:sz w:val="20"/>
              </w:rPr>
            </w:pPr>
          </w:p>
        </w:tc>
        <w:tc>
          <w:tcPr>
            <w:tcW w:w="1777" w:type="dxa"/>
            <w:vAlign w:val="center"/>
          </w:tcPr>
          <w:p w14:paraId="749F8FB4" w14:textId="77777777" w:rsidR="004515FC" w:rsidRPr="000B3838" w:rsidRDefault="004515FC" w:rsidP="0029161D">
            <w:pPr>
              <w:spacing w:before="20" w:after="20"/>
              <w:jc w:val="right"/>
              <w:rPr>
                <w:b/>
                <w:noProof/>
                <w:sz w:val="20"/>
              </w:rPr>
            </w:pPr>
          </w:p>
        </w:tc>
      </w:tr>
      <w:tr w:rsidR="00910369" w:rsidRPr="000B3838" w14:paraId="36720442" w14:textId="77777777">
        <w:tc>
          <w:tcPr>
            <w:tcW w:w="3960" w:type="dxa"/>
            <w:vMerge/>
          </w:tcPr>
          <w:p w14:paraId="737137E1" w14:textId="77777777" w:rsidR="004515FC" w:rsidRPr="000B3838" w:rsidRDefault="004515FC" w:rsidP="0029161D">
            <w:pPr>
              <w:jc w:val="center"/>
              <w:rPr>
                <w:noProof/>
                <w:sz w:val="20"/>
              </w:rPr>
            </w:pPr>
          </w:p>
        </w:tc>
        <w:tc>
          <w:tcPr>
            <w:tcW w:w="1440" w:type="dxa"/>
            <w:vAlign w:val="center"/>
          </w:tcPr>
          <w:p w14:paraId="5979B99C" w14:textId="77777777" w:rsidR="004515FC" w:rsidRPr="000B3838" w:rsidRDefault="004515FC" w:rsidP="0029161D">
            <w:pPr>
              <w:spacing w:before="20" w:after="20"/>
              <w:rPr>
                <w:noProof/>
                <w:sz w:val="18"/>
              </w:rPr>
            </w:pPr>
            <w:r w:rsidRPr="000B3838">
              <w:rPr>
                <w:noProof/>
                <w:sz w:val="18"/>
              </w:rPr>
              <w:t>Plaćanja</w:t>
            </w:r>
          </w:p>
        </w:tc>
        <w:tc>
          <w:tcPr>
            <w:tcW w:w="654" w:type="dxa"/>
            <w:gridSpan w:val="2"/>
            <w:vAlign w:val="center"/>
          </w:tcPr>
          <w:p w14:paraId="2DD26DB7" w14:textId="77777777" w:rsidR="004515FC" w:rsidRPr="000B3838" w:rsidRDefault="004515FC" w:rsidP="0029161D">
            <w:pPr>
              <w:spacing w:before="20" w:after="20"/>
              <w:jc w:val="center"/>
              <w:rPr>
                <w:noProof/>
                <w:sz w:val="14"/>
              </w:rPr>
            </w:pPr>
            <w:r w:rsidRPr="000B3838">
              <w:rPr>
                <w:noProof/>
                <w:sz w:val="14"/>
              </w:rPr>
              <w:t>(2a)</w:t>
            </w:r>
          </w:p>
        </w:tc>
        <w:tc>
          <w:tcPr>
            <w:tcW w:w="868" w:type="dxa"/>
            <w:vAlign w:val="center"/>
          </w:tcPr>
          <w:p w14:paraId="7CC7C95D" w14:textId="77777777" w:rsidR="004515FC" w:rsidRPr="000B3838" w:rsidRDefault="004515FC" w:rsidP="0029161D">
            <w:pPr>
              <w:spacing w:before="20" w:after="20"/>
              <w:jc w:val="right"/>
              <w:rPr>
                <w:noProof/>
                <w:sz w:val="20"/>
              </w:rPr>
            </w:pPr>
          </w:p>
        </w:tc>
        <w:tc>
          <w:tcPr>
            <w:tcW w:w="868" w:type="dxa"/>
            <w:vAlign w:val="center"/>
          </w:tcPr>
          <w:p w14:paraId="1784E45B" w14:textId="77777777" w:rsidR="004515FC" w:rsidRPr="000B3838" w:rsidRDefault="004515FC" w:rsidP="0029161D">
            <w:pPr>
              <w:spacing w:before="20" w:after="20"/>
              <w:jc w:val="right"/>
              <w:rPr>
                <w:noProof/>
                <w:sz w:val="20"/>
              </w:rPr>
            </w:pPr>
          </w:p>
        </w:tc>
        <w:tc>
          <w:tcPr>
            <w:tcW w:w="868" w:type="dxa"/>
            <w:vAlign w:val="center"/>
          </w:tcPr>
          <w:p w14:paraId="60393C5E" w14:textId="77777777" w:rsidR="004515FC" w:rsidRPr="000B3838" w:rsidRDefault="004515FC" w:rsidP="0029161D">
            <w:pPr>
              <w:spacing w:before="20" w:after="20"/>
              <w:jc w:val="right"/>
              <w:rPr>
                <w:noProof/>
                <w:sz w:val="20"/>
              </w:rPr>
            </w:pPr>
          </w:p>
        </w:tc>
        <w:tc>
          <w:tcPr>
            <w:tcW w:w="868" w:type="dxa"/>
            <w:vAlign w:val="center"/>
          </w:tcPr>
          <w:p w14:paraId="0ECDBCAA" w14:textId="77777777" w:rsidR="004515FC" w:rsidRPr="000B3838" w:rsidRDefault="004515FC" w:rsidP="0029161D">
            <w:pPr>
              <w:spacing w:before="20" w:after="20"/>
              <w:jc w:val="right"/>
              <w:rPr>
                <w:noProof/>
                <w:sz w:val="20"/>
              </w:rPr>
            </w:pPr>
          </w:p>
        </w:tc>
        <w:tc>
          <w:tcPr>
            <w:tcW w:w="868" w:type="dxa"/>
            <w:vAlign w:val="center"/>
          </w:tcPr>
          <w:p w14:paraId="05CB896C" w14:textId="77777777" w:rsidR="004515FC" w:rsidRPr="000B3838" w:rsidRDefault="004515FC" w:rsidP="0029161D">
            <w:pPr>
              <w:spacing w:before="20" w:after="20"/>
              <w:jc w:val="right"/>
              <w:rPr>
                <w:noProof/>
                <w:sz w:val="20"/>
              </w:rPr>
            </w:pPr>
          </w:p>
        </w:tc>
        <w:tc>
          <w:tcPr>
            <w:tcW w:w="868" w:type="dxa"/>
            <w:vAlign w:val="center"/>
          </w:tcPr>
          <w:p w14:paraId="6C63A888" w14:textId="77777777" w:rsidR="004515FC" w:rsidRPr="000B3838" w:rsidRDefault="004515FC" w:rsidP="0029161D">
            <w:pPr>
              <w:spacing w:before="20" w:after="20"/>
              <w:jc w:val="right"/>
              <w:rPr>
                <w:noProof/>
                <w:sz w:val="20"/>
              </w:rPr>
            </w:pPr>
          </w:p>
        </w:tc>
        <w:tc>
          <w:tcPr>
            <w:tcW w:w="868" w:type="dxa"/>
            <w:vAlign w:val="center"/>
          </w:tcPr>
          <w:p w14:paraId="4645615E" w14:textId="77777777" w:rsidR="004515FC" w:rsidRPr="000B3838" w:rsidRDefault="004515FC" w:rsidP="0029161D">
            <w:pPr>
              <w:spacing w:before="20" w:after="20"/>
              <w:jc w:val="right"/>
              <w:rPr>
                <w:b/>
                <w:noProof/>
                <w:sz w:val="20"/>
              </w:rPr>
            </w:pPr>
          </w:p>
        </w:tc>
        <w:tc>
          <w:tcPr>
            <w:tcW w:w="1777" w:type="dxa"/>
            <w:vAlign w:val="center"/>
          </w:tcPr>
          <w:p w14:paraId="6EB525A4" w14:textId="77777777" w:rsidR="004515FC" w:rsidRPr="000B3838" w:rsidRDefault="004515FC" w:rsidP="0029161D">
            <w:pPr>
              <w:spacing w:before="20" w:after="20"/>
              <w:jc w:val="right"/>
              <w:rPr>
                <w:b/>
                <w:noProof/>
                <w:sz w:val="20"/>
              </w:rPr>
            </w:pPr>
          </w:p>
        </w:tc>
      </w:tr>
      <w:tr w:rsidR="00910369" w:rsidRPr="000B3838" w14:paraId="0228EF28" w14:textId="77777777">
        <w:tc>
          <w:tcPr>
            <w:tcW w:w="3960" w:type="dxa"/>
            <w:vMerge w:val="restart"/>
            <w:vAlign w:val="center"/>
          </w:tcPr>
          <w:p w14:paraId="4F1A1F3C" w14:textId="77777777" w:rsidR="004515FC" w:rsidRPr="000B3838" w:rsidRDefault="004515FC" w:rsidP="0029161D">
            <w:pPr>
              <w:rPr>
                <w:noProof/>
              </w:rPr>
            </w:pPr>
            <w:r w:rsidRPr="000B3838">
              <w:rPr>
                <w:noProof/>
                <w:sz w:val="20"/>
              </w:rPr>
              <w:t>Proračunska linija</w:t>
            </w:r>
          </w:p>
        </w:tc>
        <w:tc>
          <w:tcPr>
            <w:tcW w:w="1440" w:type="dxa"/>
            <w:vAlign w:val="center"/>
          </w:tcPr>
          <w:p w14:paraId="382D10AC" w14:textId="77777777" w:rsidR="004515FC" w:rsidRPr="000B3838" w:rsidRDefault="004515FC" w:rsidP="0029161D">
            <w:pPr>
              <w:spacing w:before="20" w:after="20"/>
              <w:rPr>
                <w:noProof/>
                <w:sz w:val="18"/>
              </w:rPr>
            </w:pPr>
            <w:r w:rsidRPr="000B3838">
              <w:rPr>
                <w:noProof/>
                <w:sz w:val="18"/>
              </w:rPr>
              <w:t>Obveze</w:t>
            </w:r>
          </w:p>
        </w:tc>
        <w:tc>
          <w:tcPr>
            <w:tcW w:w="654" w:type="dxa"/>
            <w:gridSpan w:val="2"/>
            <w:vAlign w:val="center"/>
          </w:tcPr>
          <w:p w14:paraId="33E56217" w14:textId="77777777" w:rsidR="004515FC" w:rsidRPr="000B3838" w:rsidRDefault="004515FC" w:rsidP="0029161D">
            <w:pPr>
              <w:spacing w:before="20" w:after="20"/>
              <w:jc w:val="center"/>
              <w:rPr>
                <w:noProof/>
                <w:sz w:val="14"/>
              </w:rPr>
            </w:pPr>
            <w:r w:rsidRPr="000B3838">
              <w:rPr>
                <w:noProof/>
                <w:sz w:val="14"/>
              </w:rPr>
              <w:t>(1b)</w:t>
            </w:r>
          </w:p>
        </w:tc>
        <w:tc>
          <w:tcPr>
            <w:tcW w:w="868" w:type="dxa"/>
            <w:vAlign w:val="center"/>
          </w:tcPr>
          <w:p w14:paraId="01F0CA66" w14:textId="77777777" w:rsidR="004515FC" w:rsidRPr="000B3838" w:rsidRDefault="004515FC" w:rsidP="0029161D">
            <w:pPr>
              <w:spacing w:before="20" w:after="20"/>
              <w:jc w:val="right"/>
              <w:rPr>
                <w:noProof/>
                <w:sz w:val="20"/>
              </w:rPr>
            </w:pPr>
          </w:p>
        </w:tc>
        <w:tc>
          <w:tcPr>
            <w:tcW w:w="868" w:type="dxa"/>
            <w:vAlign w:val="center"/>
          </w:tcPr>
          <w:p w14:paraId="0D916DD2" w14:textId="77777777" w:rsidR="004515FC" w:rsidRPr="000B3838" w:rsidRDefault="004515FC" w:rsidP="0029161D">
            <w:pPr>
              <w:spacing w:before="20" w:after="20"/>
              <w:jc w:val="right"/>
              <w:rPr>
                <w:noProof/>
                <w:sz w:val="20"/>
              </w:rPr>
            </w:pPr>
          </w:p>
        </w:tc>
        <w:tc>
          <w:tcPr>
            <w:tcW w:w="868" w:type="dxa"/>
            <w:vAlign w:val="center"/>
          </w:tcPr>
          <w:p w14:paraId="1F2EBEB3" w14:textId="77777777" w:rsidR="004515FC" w:rsidRPr="000B3838" w:rsidRDefault="004515FC" w:rsidP="0029161D">
            <w:pPr>
              <w:spacing w:before="20" w:after="20"/>
              <w:jc w:val="right"/>
              <w:rPr>
                <w:noProof/>
                <w:sz w:val="20"/>
              </w:rPr>
            </w:pPr>
          </w:p>
        </w:tc>
        <w:tc>
          <w:tcPr>
            <w:tcW w:w="868" w:type="dxa"/>
            <w:vAlign w:val="center"/>
          </w:tcPr>
          <w:p w14:paraId="5F56A65A" w14:textId="77777777" w:rsidR="004515FC" w:rsidRPr="000B3838" w:rsidRDefault="004515FC" w:rsidP="0029161D">
            <w:pPr>
              <w:spacing w:before="20" w:after="20"/>
              <w:jc w:val="right"/>
              <w:rPr>
                <w:noProof/>
                <w:sz w:val="20"/>
              </w:rPr>
            </w:pPr>
          </w:p>
        </w:tc>
        <w:tc>
          <w:tcPr>
            <w:tcW w:w="868" w:type="dxa"/>
            <w:vAlign w:val="center"/>
          </w:tcPr>
          <w:p w14:paraId="1A38B5EC" w14:textId="77777777" w:rsidR="004515FC" w:rsidRPr="000B3838" w:rsidRDefault="004515FC" w:rsidP="0029161D">
            <w:pPr>
              <w:spacing w:before="20" w:after="20"/>
              <w:jc w:val="right"/>
              <w:rPr>
                <w:noProof/>
                <w:sz w:val="20"/>
              </w:rPr>
            </w:pPr>
          </w:p>
        </w:tc>
        <w:tc>
          <w:tcPr>
            <w:tcW w:w="868" w:type="dxa"/>
            <w:vAlign w:val="center"/>
          </w:tcPr>
          <w:p w14:paraId="0CA7CF71" w14:textId="77777777" w:rsidR="004515FC" w:rsidRPr="000B3838" w:rsidRDefault="004515FC" w:rsidP="0029161D">
            <w:pPr>
              <w:spacing w:before="20" w:after="20"/>
              <w:jc w:val="right"/>
              <w:rPr>
                <w:noProof/>
                <w:sz w:val="20"/>
              </w:rPr>
            </w:pPr>
          </w:p>
        </w:tc>
        <w:tc>
          <w:tcPr>
            <w:tcW w:w="868" w:type="dxa"/>
            <w:vAlign w:val="center"/>
          </w:tcPr>
          <w:p w14:paraId="1CCDD814" w14:textId="77777777" w:rsidR="004515FC" w:rsidRPr="000B3838" w:rsidRDefault="004515FC" w:rsidP="0029161D">
            <w:pPr>
              <w:spacing w:before="20" w:after="20"/>
              <w:jc w:val="right"/>
              <w:rPr>
                <w:b/>
                <w:noProof/>
                <w:sz w:val="20"/>
              </w:rPr>
            </w:pPr>
          </w:p>
        </w:tc>
        <w:tc>
          <w:tcPr>
            <w:tcW w:w="1777" w:type="dxa"/>
            <w:vAlign w:val="center"/>
          </w:tcPr>
          <w:p w14:paraId="1FE72952" w14:textId="77777777" w:rsidR="004515FC" w:rsidRPr="000B3838" w:rsidRDefault="004515FC" w:rsidP="0029161D">
            <w:pPr>
              <w:spacing w:before="20" w:after="20"/>
              <w:jc w:val="right"/>
              <w:rPr>
                <w:b/>
                <w:noProof/>
                <w:sz w:val="20"/>
              </w:rPr>
            </w:pPr>
          </w:p>
        </w:tc>
      </w:tr>
      <w:tr w:rsidR="00910369" w:rsidRPr="000B3838" w14:paraId="55E6B226" w14:textId="77777777">
        <w:tc>
          <w:tcPr>
            <w:tcW w:w="3960" w:type="dxa"/>
            <w:vMerge/>
          </w:tcPr>
          <w:p w14:paraId="776B8621" w14:textId="77777777" w:rsidR="004515FC" w:rsidRPr="000B3838" w:rsidRDefault="004515FC" w:rsidP="0029161D">
            <w:pPr>
              <w:jc w:val="center"/>
              <w:rPr>
                <w:noProof/>
                <w:sz w:val="20"/>
              </w:rPr>
            </w:pPr>
          </w:p>
        </w:tc>
        <w:tc>
          <w:tcPr>
            <w:tcW w:w="1440" w:type="dxa"/>
            <w:vAlign w:val="center"/>
          </w:tcPr>
          <w:p w14:paraId="73058D75" w14:textId="77777777" w:rsidR="004515FC" w:rsidRPr="000B3838" w:rsidRDefault="004515FC" w:rsidP="0029161D">
            <w:pPr>
              <w:spacing w:before="20" w:after="20"/>
              <w:rPr>
                <w:noProof/>
                <w:sz w:val="18"/>
              </w:rPr>
            </w:pPr>
            <w:r w:rsidRPr="000B3838">
              <w:rPr>
                <w:noProof/>
                <w:sz w:val="18"/>
              </w:rPr>
              <w:t>Plaćanja</w:t>
            </w:r>
          </w:p>
        </w:tc>
        <w:tc>
          <w:tcPr>
            <w:tcW w:w="654" w:type="dxa"/>
            <w:gridSpan w:val="2"/>
            <w:vAlign w:val="center"/>
          </w:tcPr>
          <w:p w14:paraId="3710C0CF" w14:textId="77777777" w:rsidR="004515FC" w:rsidRPr="000B3838" w:rsidRDefault="004515FC" w:rsidP="0029161D">
            <w:pPr>
              <w:spacing w:before="20" w:after="20"/>
              <w:jc w:val="center"/>
              <w:rPr>
                <w:noProof/>
                <w:sz w:val="14"/>
              </w:rPr>
            </w:pPr>
            <w:r w:rsidRPr="000B3838">
              <w:rPr>
                <w:noProof/>
                <w:sz w:val="14"/>
              </w:rPr>
              <w:t>(2b)</w:t>
            </w:r>
          </w:p>
        </w:tc>
        <w:tc>
          <w:tcPr>
            <w:tcW w:w="868" w:type="dxa"/>
            <w:vAlign w:val="center"/>
          </w:tcPr>
          <w:p w14:paraId="18C1900E" w14:textId="77777777" w:rsidR="004515FC" w:rsidRPr="000B3838" w:rsidRDefault="004515FC" w:rsidP="0029161D">
            <w:pPr>
              <w:spacing w:before="20" w:after="20"/>
              <w:jc w:val="right"/>
              <w:rPr>
                <w:noProof/>
                <w:sz w:val="20"/>
              </w:rPr>
            </w:pPr>
          </w:p>
        </w:tc>
        <w:tc>
          <w:tcPr>
            <w:tcW w:w="868" w:type="dxa"/>
            <w:vAlign w:val="center"/>
          </w:tcPr>
          <w:p w14:paraId="54C02E2B" w14:textId="77777777" w:rsidR="004515FC" w:rsidRPr="000B3838" w:rsidRDefault="004515FC" w:rsidP="0029161D">
            <w:pPr>
              <w:spacing w:before="20" w:after="20"/>
              <w:jc w:val="right"/>
              <w:rPr>
                <w:noProof/>
                <w:sz w:val="20"/>
              </w:rPr>
            </w:pPr>
          </w:p>
        </w:tc>
        <w:tc>
          <w:tcPr>
            <w:tcW w:w="868" w:type="dxa"/>
            <w:vAlign w:val="center"/>
          </w:tcPr>
          <w:p w14:paraId="6BB81397" w14:textId="77777777" w:rsidR="004515FC" w:rsidRPr="000B3838" w:rsidRDefault="004515FC" w:rsidP="0029161D">
            <w:pPr>
              <w:spacing w:before="20" w:after="20"/>
              <w:jc w:val="right"/>
              <w:rPr>
                <w:noProof/>
                <w:sz w:val="20"/>
              </w:rPr>
            </w:pPr>
          </w:p>
        </w:tc>
        <w:tc>
          <w:tcPr>
            <w:tcW w:w="868" w:type="dxa"/>
            <w:vAlign w:val="center"/>
          </w:tcPr>
          <w:p w14:paraId="0FD47E3F" w14:textId="77777777" w:rsidR="004515FC" w:rsidRPr="000B3838" w:rsidRDefault="004515FC" w:rsidP="0029161D">
            <w:pPr>
              <w:spacing w:before="20" w:after="20"/>
              <w:jc w:val="right"/>
              <w:rPr>
                <w:noProof/>
                <w:sz w:val="20"/>
              </w:rPr>
            </w:pPr>
          </w:p>
        </w:tc>
        <w:tc>
          <w:tcPr>
            <w:tcW w:w="868" w:type="dxa"/>
            <w:vAlign w:val="center"/>
          </w:tcPr>
          <w:p w14:paraId="65FBEA10" w14:textId="77777777" w:rsidR="004515FC" w:rsidRPr="000B3838" w:rsidRDefault="004515FC" w:rsidP="0029161D">
            <w:pPr>
              <w:spacing w:before="20" w:after="20"/>
              <w:jc w:val="right"/>
              <w:rPr>
                <w:noProof/>
                <w:sz w:val="20"/>
              </w:rPr>
            </w:pPr>
          </w:p>
        </w:tc>
        <w:tc>
          <w:tcPr>
            <w:tcW w:w="868" w:type="dxa"/>
            <w:vAlign w:val="center"/>
          </w:tcPr>
          <w:p w14:paraId="0C4F43FA" w14:textId="77777777" w:rsidR="004515FC" w:rsidRPr="000B3838" w:rsidRDefault="004515FC" w:rsidP="0029161D">
            <w:pPr>
              <w:spacing w:before="20" w:after="20"/>
              <w:jc w:val="right"/>
              <w:rPr>
                <w:noProof/>
                <w:sz w:val="20"/>
              </w:rPr>
            </w:pPr>
          </w:p>
        </w:tc>
        <w:tc>
          <w:tcPr>
            <w:tcW w:w="868" w:type="dxa"/>
            <w:vAlign w:val="center"/>
          </w:tcPr>
          <w:p w14:paraId="57EF9154" w14:textId="77777777" w:rsidR="004515FC" w:rsidRPr="000B3838" w:rsidRDefault="004515FC" w:rsidP="0029161D">
            <w:pPr>
              <w:spacing w:before="20" w:after="20"/>
              <w:jc w:val="right"/>
              <w:rPr>
                <w:b/>
                <w:noProof/>
                <w:sz w:val="20"/>
              </w:rPr>
            </w:pPr>
          </w:p>
        </w:tc>
        <w:tc>
          <w:tcPr>
            <w:tcW w:w="1777" w:type="dxa"/>
            <w:vAlign w:val="center"/>
          </w:tcPr>
          <w:p w14:paraId="1CA7369C" w14:textId="77777777" w:rsidR="004515FC" w:rsidRPr="000B3838" w:rsidRDefault="004515FC" w:rsidP="0029161D">
            <w:pPr>
              <w:spacing w:before="20" w:after="20"/>
              <w:jc w:val="right"/>
              <w:rPr>
                <w:b/>
                <w:noProof/>
                <w:sz w:val="20"/>
              </w:rPr>
            </w:pPr>
          </w:p>
        </w:tc>
      </w:tr>
      <w:tr w:rsidR="00DB3050" w:rsidRPr="000B3838" w14:paraId="3121990B" w14:textId="77777777">
        <w:trPr>
          <w:trHeight w:val="231"/>
        </w:trPr>
        <w:tc>
          <w:tcPr>
            <w:tcW w:w="6054" w:type="dxa"/>
            <w:gridSpan w:val="4"/>
            <w:vAlign w:val="center"/>
          </w:tcPr>
          <w:p w14:paraId="0E4D2D7B" w14:textId="77777777" w:rsidR="004515FC" w:rsidRPr="000B3838" w:rsidRDefault="004515FC" w:rsidP="0029161D">
            <w:pPr>
              <w:spacing w:before="20" w:after="20"/>
              <w:rPr>
                <w:noProof/>
              </w:rPr>
            </w:pPr>
            <w:r w:rsidRPr="000B3838">
              <w:rPr>
                <w:noProof/>
                <w:sz w:val="21"/>
              </w:rPr>
              <w:t>Administrativna odobrena sredstva koja se financiraju iz omotnice za posebne programe</w:t>
            </w:r>
            <w:r w:rsidRPr="000B3838">
              <w:rPr>
                <w:rStyle w:val="FootnoteReference0"/>
                <w:noProof/>
                <w:sz w:val="21"/>
              </w:rPr>
              <w:footnoteReference w:id="46"/>
            </w:r>
            <w:r w:rsidRPr="000B3838">
              <w:rPr>
                <w:noProof/>
                <w:sz w:val="21"/>
              </w:rPr>
              <w:t xml:space="preserve"> </w:t>
            </w:r>
          </w:p>
          <w:p w14:paraId="41D67AB6" w14:textId="77777777" w:rsidR="004515FC" w:rsidRPr="000B3838" w:rsidRDefault="004515FC" w:rsidP="0029161D">
            <w:pPr>
              <w:spacing w:before="0" w:after="0"/>
              <w:rPr>
                <w:noProof/>
              </w:rPr>
            </w:pPr>
          </w:p>
        </w:tc>
        <w:tc>
          <w:tcPr>
            <w:tcW w:w="868" w:type="dxa"/>
            <w:vAlign w:val="center"/>
          </w:tcPr>
          <w:p w14:paraId="5C2E6657" w14:textId="77777777" w:rsidR="004515FC" w:rsidRPr="000B3838" w:rsidRDefault="004515FC" w:rsidP="0029161D">
            <w:pPr>
              <w:rPr>
                <w:b/>
                <w:noProof/>
                <w:sz w:val="20"/>
              </w:rPr>
            </w:pPr>
          </w:p>
        </w:tc>
        <w:tc>
          <w:tcPr>
            <w:tcW w:w="868" w:type="dxa"/>
            <w:vAlign w:val="center"/>
          </w:tcPr>
          <w:p w14:paraId="7B1909B8" w14:textId="77777777" w:rsidR="004515FC" w:rsidRPr="000B3838" w:rsidRDefault="004515FC" w:rsidP="0029161D">
            <w:pPr>
              <w:rPr>
                <w:b/>
                <w:noProof/>
                <w:sz w:val="20"/>
              </w:rPr>
            </w:pPr>
          </w:p>
        </w:tc>
        <w:tc>
          <w:tcPr>
            <w:tcW w:w="868" w:type="dxa"/>
            <w:vAlign w:val="center"/>
          </w:tcPr>
          <w:p w14:paraId="0A96CA30" w14:textId="77777777" w:rsidR="004515FC" w:rsidRPr="000B3838" w:rsidRDefault="004515FC" w:rsidP="0029161D">
            <w:pPr>
              <w:rPr>
                <w:b/>
                <w:noProof/>
                <w:sz w:val="20"/>
              </w:rPr>
            </w:pPr>
          </w:p>
        </w:tc>
        <w:tc>
          <w:tcPr>
            <w:tcW w:w="868" w:type="dxa"/>
            <w:vAlign w:val="center"/>
          </w:tcPr>
          <w:p w14:paraId="55D74E1B" w14:textId="77777777" w:rsidR="004515FC" w:rsidRPr="000B3838" w:rsidRDefault="004515FC" w:rsidP="0029161D">
            <w:pPr>
              <w:rPr>
                <w:b/>
                <w:noProof/>
                <w:sz w:val="20"/>
              </w:rPr>
            </w:pPr>
          </w:p>
        </w:tc>
        <w:tc>
          <w:tcPr>
            <w:tcW w:w="868" w:type="dxa"/>
            <w:vAlign w:val="center"/>
          </w:tcPr>
          <w:p w14:paraId="3FDC4444" w14:textId="77777777" w:rsidR="004515FC" w:rsidRPr="000B3838" w:rsidRDefault="004515FC" w:rsidP="0029161D">
            <w:pPr>
              <w:rPr>
                <w:b/>
                <w:noProof/>
                <w:sz w:val="20"/>
              </w:rPr>
            </w:pPr>
          </w:p>
        </w:tc>
        <w:tc>
          <w:tcPr>
            <w:tcW w:w="868" w:type="dxa"/>
            <w:vAlign w:val="center"/>
          </w:tcPr>
          <w:p w14:paraId="0033B21C" w14:textId="77777777" w:rsidR="004515FC" w:rsidRPr="000B3838" w:rsidRDefault="004515FC" w:rsidP="0029161D">
            <w:pPr>
              <w:rPr>
                <w:b/>
                <w:noProof/>
                <w:sz w:val="20"/>
              </w:rPr>
            </w:pPr>
          </w:p>
        </w:tc>
        <w:tc>
          <w:tcPr>
            <w:tcW w:w="868" w:type="dxa"/>
            <w:vAlign w:val="center"/>
          </w:tcPr>
          <w:p w14:paraId="5A4481A2" w14:textId="77777777" w:rsidR="004515FC" w:rsidRPr="000B3838" w:rsidRDefault="004515FC" w:rsidP="0029161D">
            <w:pPr>
              <w:rPr>
                <w:b/>
                <w:noProof/>
                <w:sz w:val="20"/>
              </w:rPr>
            </w:pPr>
          </w:p>
        </w:tc>
        <w:tc>
          <w:tcPr>
            <w:tcW w:w="1777" w:type="dxa"/>
            <w:vAlign w:val="center"/>
          </w:tcPr>
          <w:p w14:paraId="112E1D2A" w14:textId="77777777" w:rsidR="004515FC" w:rsidRPr="000B3838" w:rsidRDefault="004515FC" w:rsidP="0029161D">
            <w:pPr>
              <w:rPr>
                <w:b/>
                <w:noProof/>
                <w:sz w:val="20"/>
              </w:rPr>
            </w:pPr>
          </w:p>
        </w:tc>
      </w:tr>
      <w:tr w:rsidR="00DB3050" w:rsidRPr="000B3838" w14:paraId="5D9FED2E" w14:textId="77777777">
        <w:trPr>
          <w:trHeight w:val="319"/>
        </w:trPr>
        <w:tc>
          <w:tcPr>
            <w:tcW w:w="3960" w:type="dxa"/>
            <w:vAlign w:val="center"/>
          </w:tcPr>
          <w:p w14:paraId="70F90B17" w14:textId="77777777" w:rsidR="004515FC" w:rsidRPr="000B3838" w:rsidRDefault="004515FC" w:rsidP="0029161D">
            <w:pPr>
              <w:spacing w:before="60" w:after="60"/>
              <w:rPr>
                <w:noProof/>
              </w:rPr>
            </w:pPr>
            <w:r w:rsidRPr="000B3838">
              <w:rPr>
                <w:noProof/>
                <w:sz w:val="20"/>
              </w:rPr>
              <w:t>Proračunska linija</w:t>
            </w:r>
          </w:p>
        </w:tc>
        <w:tc>
          <w:tcPr>
            <w:tcW w:w="1440" w:type="dxa"/>
            <w:vAlign w:val="center"/>
          </w:tcPr>
          <w:p w14:paraId="1D2B783B" w14:textId="77777777" w:rsidR="004515FC" w:rsidRPr="000B3838" w:rsidRDefault="004515FC" w:rsidP="0029161D">
            <w:pPr>
              <w:spacing w:before="40" w:after="40"/>
              <w:jc w:val="right"/>
              <w:rPr>
                <w:noProof/>
                <w:sz w:val="18"/>
              </w:rPr>
            </w:pPr>
          </w:p>
        </w:tc>
        <w:tc>
          <w:tcPr>
            <w:tcW w:w="654" w:type="dxa"/>
            <w:gridSpan w:val="2"/>
            <w:vAlign w:val="center"/>
          </w:tcPr>
          <w:p w14:paraId="27B0211D" w14:textId="77777777" w:rsidR="004515FC" w:rsidRPr="000B3838" w:rsidRDefault="004515FC" w:rsidP="0029161D">
            <w:pPr>
              <w:spacing w:before="40" w:after="40"/>
              <w:jc w:val="center"/>
              <w:rPr>
                <w:noProof/>
                <w:sz w:val="14"/>
              </w:rPr>
            </w:pPr>
            <w:r w:rsidRPr="000B3838">
              <w:rPr>
                <w:noProof/>
                <w:sz w:val="14"/>
              </w:rPr>
              <w:t>(3)</w:t>
            </w:r>
          </w:p>
        </w:tc>
        <w:tc>
          <w:tcPr>
            <w:tcW w:w="868" w:type="dxa"/>
            <w:vAlign w:val="center"/>
          </w:tcPr>
          <w:p w14:paraId="2AF3196C" w14:textId="77777777" w:rsidR="004515FC" w:rsidRPr="000B3838" w:rsidRDefault="004515FC" w:rsidP="0029161D">
            <w:pPr>
              <w:spacing w:before="40" w:after="40"/>
              <w:jc w:val="right"/>
              <w:rPr>
                <w:b/>
                <w:noProof/>
                <w:sz w:val="20"/>
              </w:rPr>
            </w:pPr>
          </w:p>
        </w:tc>
        <w:tc>
          <w:tcPr>
            <w:tcW w:w="868" w:type="dxa"/>
            <w:vAlign w:val="center"/>
          </w:tcPr>
          <w:p w14:paraId="4B230D70" w14:textId="77777777" w:rsidR="004515FC" w:rsidRPr="000B3838" w:rsidRDefault="004515FC" w:rsidP="0029161D">
            <w:pPr>
              <w:spacing w:before="40" w:after="40"/>
              <w:jc w:val="right"/>
              <w:rPr>
                <w:b/>
                <w:noProof/>
                <w:sz w:val="20"/>
              </w:rPr>
            </w:pPr>
          </w:p>
        </w:tc>
        <w:tc>
          <w:tcPr>
            <w:tcW w:w="868" w:type="dxa"/>
            <w:vAlign w:val="center"/>
          </w:tcPr>
          <w:p w14:paraId="1AC76D4A" w14:textId="77777777" w:rsidR="004515FC" w:rsidRPr="000B3838" w:rsidRDefault="004515FC" w:rsidP="0029161D">
            <w:pPr>
              <w:spacing w:before="40" w:after="40"/>
              <w:jc w:val="right"/>
              <w:rPr>
                <w:b/>
                <w:noProof/>
                <w:sz w:val="20"/>
              </w:rPr>
            </w:pPr>
          </w:p>
        </w:tc>
        <w:tc>
          <w:tcPr>
            <w:tcW w:w="868" w:type="dxa"/>
            <w:vAlign w:val="center"/>
          </w:tcPr>
          <w:p w14:paraId="6FB85D10" w14:textId="77777777" w:rsidR="004515FC" w:rsidRPr="000B3838" w:rsidRDefault="004515FC" w:rsidP="0029161D">
            <w:pPr>
              <w:spacing w:before="40" w:after="40"/>
              <w:jc w:val="right"/>
              <w:rPr>
                <w:b/>
                <w:noProof/>
                <w:sz w:val="20"/>
              </w:rPr>
            </w:pPr>
          </w:p>
        </w:tc>
        <w:tc>
          <w:tcPr>
            <w:tcW w:w="868" w:type="dxa"/>
            <w:vAlign w:val="center"/>
          </w:tcPr>
          <w:p w14:paraId="0ED71CF6" w14:textId="77777777" w:rsidR="004515FC" w:rsidRPr="000B3838" w:rsidRDefault="004515FC" w:rsidP="0029161D">
            <w:pPr>
              <w:spacing w:before="40" w:after="40"/>
              <w:jc w:val="right"/>
              <w:rPr>
                <w:b/>
                <w:noProof/>
                <w:sz w:val="20"/>
              </w:rPr>
            </w:pPr>
          </w:p>
        </w:tc>
        <w:tc>
          <w:tcPr>
            <w:tcW w:w="868" w:type="dxa"/>
            <w:vAlign w:val="center"/>
          </w:tcPr>
          <w:p w14:paraId="6D7EBD71" w14:textId="77777777" w:rsidR="004515FC" w:rsidRPr="000B3838" w:rsidRDefault="004515FC" w:rsidP="0029161D">
            <w:pPr>
              <w:spacing w:before="40" w:after="40"/>
              <w:jc w:val="right"/>
              <w:rPr>
                <w:b/>
                <w:noProof/>
                <w:sz w:val="20"/>
              </w:rPr>
            </w:pPr>
          </w:p>
        </w:tc>
        <w:tc>
          <w:tcPr>
            <w:tcW w:w="868" w:type="dxa"/>
            <w:vAlign w:val="center"/>
          </w:tcPr>
          <w:p w14:paraId="32367B1B" w14:textId="77777777" w:rsidR="004515FC" w:rsidRPr="000B3838" w:rsidRDefault="004515FC" w:rsidP="0029161D">
            <w:pPr>
              <w:spacing w:before="40" w:after="40"/>
              <w:jc w:val="right"/>
              <w:rPr>
                <w:b/>
                <w:noProof/>
                <w:sz w:val="20"/>
              </w:rPr>
            </w:pPr>
          </w:p>
        </w:tc>
        <w:tc>
          <w:tcPr>
            <w:tcW w:w="1777" w:type="dxa"/>
            <w:vAlign w:val="center"/>
          </w:tcPr>
          <w:p w14:paraId="6F1D99BD" w14:textId="77777777" w:rsidR="004515FC" w:rsidRPr="000B3838" w:rsidRDefault="004515FC" w:rsidP="0029161D">
            <w:pPr>
              <w:spacing w:before="40" w:after="40"/>
              <w:jc w:val="right"/>
              <w:rPr>
                <w:b/>
                <w:noProof/>
                <w:sz w:val="20"/>
              </w:rPr>
            </w:pPr>
          </w:p>
        </w:tc>
      </w:tr>
      <w:tr w:rsidR="00910369" w:rsidRPr="000B3838" w14:paraId="68EB59C0" w14:textId="77777777">
        <w:tc>
          <w:tcPr>
            <w:tcW w:w="3960" w:type="dxa"/>
            <w:vMerge w:val="restart"/>
            <w:vAlign w:val="center"/>
          </w:tcPr>
          <w:p w14:paraId="5B5AF1EC" w14:textId="16130695" w:rsidR="004515FC" w:rsidRPr="000B3838" w:rsidRDefault="004515FC" w:rsidP="0029161D">
            <w:pPr>
              <w:jc w:val="center"/>
              <w:rPr>
                <w:b/>
                <w:noProof/>
              </w:rPr>
            </w:pPr>
            <w:r w:rsidRPr="000B3838">
              <w:rPr>
                <w:b/>
                <w:noProof/>
                <w:sz w:val="22"/>
              </w:rPr>
              <w:t>UKUPNA odobrena sredstva</w:t>
            </w:r>
            <w:r w:rsidRPr="000B3838">
              <w:rPr>
                <w:noProof/>
              </w:rPr>
              <w:t xml:space="preserve"> </w:t>
            </w:r>
            <w:r w:rsidRPr="000B3838">
              <w:rPr>
                <w:noProof/>
              </w:rPr>
              <w:br/>
            </w:r>
            <w:r w:rsidRPr="000B3838">
              <w:rPr>
                <w:b/>
                <w:noProof/>
                <w:sz w:val="22"/>
              </w:rPr>
              <w:t xml:space="preserve">za Glavnu upravu </w:t>
            </w:r>
            <w:r w:rsidRPr="000B3838">
              <w:rPr>
                <w:noProof/>
                <w:sz w:val="22"/>
              </w:rPr>
              <w:t>&lt;…….&gt;</w:t>
            </w:r>
          </w:p>
        </w:tc>
        <w:tc>
          <w:tcPr>
            <w:tcW w:w="1440" w:type="dxa"/>
            <w:vAlign w:val="center"/>
          </w:tcPr>
          <w:p w14:paraId="4AFFE05F" w14:textId="77777777" w:rsidR="004515FC" w:rsidRPr="000B3838" w:rsidRDefault="004515FC" w:rsidP="0029161D">
            <w:pPr>
              <w:rPr>
                <w:noProof/>
                <w:sz w:val="18"/>
              </w:rPr>
            </w:pPr>
            <w:r w:rsidRPr="000B3838">
              <w:rPr>
                <w:noProof/>
                <w:sz w:val="18"/>
              </w:rPr>
              <w:t>Obveze</w:t>
            </w:r>
          </w:p>
        </w:tc>
        <w:tc>
          <w:tcPr>
            <w:tcW w:w="654" w:type="dxa"/>
            <w:gridSpan w:val="2"/>
            <w:vAlign w:val="center"/>
          </w:tcPr>
          <w:p w14:paraId="554F7D18" w14:textId="77777777" w:rsidR="004515FC" w:rsidRPr="000B3838" w:rsidRDefault="004515FC" w:rsidP="0029161D">
            <w:pPr>
              <w:jc w:val="center"/>
              <w:rPr>
                <w:noProof/>
                <w:sz w:val="14"/>
              </w:rPr>
            </w:pPr>
            <w:r w:rsidRPr="000B3838">
              <w:rPr>
                <w:noProof/>
                <w:sz w:val="14"/>
              </w:rPr>
              <w:t>=1a + 1b + 3</w:t>
            </w:r>
          </w:p>
        </w:tc>
        <w:tc>
          <w:tcPr>
            <w:tcW w:w="868" w:type="dxa"/>
            <w:vAlign w:val="center"/>
          </w:tcPr>
          <w:p w14:paraId="657EE0BA" w14:textId="77777777" w:rsidR="004515FC" w:rsidRPr="000B3838" w:rsidRDefault="004515FC" w:rsidP="0029161D">
            <w:pPr>
              <w:spacing w:before="20" w:after="20"/>
              <w:jc w:val="right"/>
              <w:rPr>
                <w:noProof/>
                <w:sz w:val="20"/>
              </w:rPr>
            </w:pPr>
          </w:p>
        </w:tc>
        <w:tc>
          <w:tcPr>
            <w:tcW w:w="868" w:type="dxa"/>
            <w:vAlign w:val="center"/>
          </w:tcPr>
          <w:p w14:paraId="4F8025B2" w14:textId="77777777" w:rsidR="004515FC" w:rsidRPr="000B3838" w:rsidRDefault="004515FC" w:rsidP="0029161D">
            <w:pPr>
              <w:spacing w:before="20" w:after="20"/>
              <w:jc w:val="right"/>
              <w:rPr>
                <w:noProof/>
                <w:sz w:val="20"/>
              </w:rPr>
            </w:pPr>
          </w:p>
        </w:tc>
        <w:tc>
          <w:tcPr>
            <w:tcW w:w="868" w:type="dxa"/>
            <w:vAlign w:val="center"/>
          </w:tcPr>
          <w:p w14:paraId="02330D9C" w14:textId="77777777" w:rsidR="004515FC" w:rsidRPr="000B3838" w:rsidRDefault="004515FC" w:rsidP="0029161D">
            <w:pPr>
              <w:spacing w:before="20" w:after="20"/>
              <w:jc w:val="right"/>
              <w:rPr>
                <w:noProof/>
                <w:sz w:val="20"/>
              </w:rPr>
            </w:pPr>
          </w:p>
        </w:tc>
        <w:tc>
          <w:tcPr>
            <w:tcW w:w="868" w:type="dxa"/>
            <w:vAlign w:val="center"/>
          </w:tcPr>
          <w:p w14:paraId="7B9DDB61" w14:textId="77777777" w:rsidR="004515FC" w:rsidRPr="000B3838" w:rsidRDefault="004515FC" w:rsidP="0029161D">
            <w:pPr>
              <w:spacing w:before="20" w:after="20"/>
              <w:jc w:val="right"/>
              <w:rPr>
                <w:noProof/>
                <w:sz w:val="20"/>
              </w:rPr>
            </w:pPr>
          </w:p>
        </w:tc>
        <w:tc>
          <w:tcPr>
            <w:tcW w:w="868" w:type="dxa"/>
            <w:vAlign w:val="center"/>
          </w:tcPr>
          <w:p w14:paraId="71F623E7" w14:textId="77777777" w:rsidR="004515FC" w:rsidRPr="000B3838" w:rsidRDefault="004515FC" w:rsidP="0029161D">
            <w:pPr>
              <w:spacing w:before="20" w:after="20"/>
              <w:jc w:val="right"/>
              <w:rPr>
                <w:noProof/>
                <w:sz w:val="20"/>
              </w:rPr>
            </w:pPr>
          </w:p>
        </w:tc>
        <w:tc>
          <w:tcPr>
            <w:tcW w:w="868" w:type="dxa"/>
            <w:vAlign w:val="center"/>
          </w:tcPr>
          <w:p w14:paraId="0ACC5C04" w14:textId="77777777" w:rsidR="004515FC" w:rsidRPr="000B3838" w:rsidRDefault="004515FC" w:rsidP="0029161D">
            <w:pPr>
              <w:spacing w:before="20" w:after="20"/>
              <w:jc w:val="right"/>
              <w:rPr>
                <w:noProof/>
                <w:sz w:val="20"/>
              </w:rPr>
            </w:pPr>
          </w:p>
        </w:tc>
        <w:tc>
          <w:tcPr>
            <w:tcW w:w="868" w:type="dxa"/>
            <w:vAlign w:val="center"/>
          </w:tcPr>
          <w:p w14:paraId="5CF2CC1C" w14:textId="77777777" w:rsidR="004515FC" w:rsidRPr="000B3838" w:rsidRDefault="004515FC" w:rsidP="0029161D">
            <w:pPr>
              <w:spacing w:before="20" w:after="20"/>
              <w:jc w:val="right"/>
              <w:rPr>
                <w:b/>
                <w:noProof/>
                <w:sz w:val="20"/>
              </w:rPr>
            </w:pPr>
          </w:p>
        </w:tc>
        <w:tc>
          <w:tcPr>
            <w:tcW w:w="1777" w:type="dxa"/>
            <w:vAlign w:val="center"/>
          </w:tcPr>
          <w:p w14:paraId="698D3306" w14:textId="77777777" w:rsidR="004515FC" w:rsidRPr="000B3838" w:rsidRDefault="004515FC" w:rsidP="0029161D">
            <w:pPr>
              <w:spacing w:before="20" w:after="20"/>
              <w:jc w:val="right"/>
              <w:rPr>
                <w:b/>
                <w:noProof/>
                <w:sz w:val="20"/>
              </w:rPr>
            </w:pPr>
          </w:p>
        </w:tc>
      </w:tr>
      <w:tr w:rsidR="00910369" w:rsidRPr="000B3838" w14:paraId="458B0BBB" w14:textId="77777777">
        <w:tc>
          <w:tcPr>
            <w:tcW w:w="3960" w:type="dxa"/>
            <w:vMerge/>
          </w:tcPr>
          <w:p w14:paraId="27DEFC29" w14:textId="77777777" w:rsidR="004515FC" w:rsidRPr="000B3838" w:rsidRDefault="004515FC" w:rsidP="0029161D">
            <w:pPr>
              <w:rPr>
                <w:noProof/>
                <w:sz w:val="20"/>
              </w:rPr>
            </w:pPr>
          </w:p>
        </w:tc>
        <w:tc>
          <w:tcPr>
            <w:tcW w:w="1440" w:type="dxa"/>
            <w:vAlign w:val="center"/>
          </w:tcPr>
          <w:p w14:paraId="307C6977" w14:textId="77777777" w:rsidR="004515FC" w:rsidRPr="000B3838" w:rsidRDefault="004515FC" w:rsidP="0029161D">
            <w:pPr>
              <w:rPr>
                <w:noProof/>
                <w:sz w:val="18"/>
              </w:rPr>
            </w:pPr>
            <w:r w:rsidRPr="000B3838">
              <w:rPr>
                <w:noProof/>
                <w:sz w:val="18"/>
              </w:rPr>
              <w:t>Plaćanja</w:t>
            </w:r>
          </w:p>
        </w:tc>
        <w:tc>
          <w:tcPr>
            <w:tcW w:w="654" w:type="dxa"/>
            <w:gridSpan w:val="2"/>
            <w:vAlign w:val="center"/>
          </w:tcPr>
          <w:p w14:paraId="2FE6D964" w14:textId="77777777" w:rsidR="004515FC" w:rsidRPr="000B3838" w:rsidRDefault="004515FC" w:rsidP="0029161D">
            <w:pPr>
              <w:jc w:val="center"/>
              <w:rPr>
                <w:noProof/>
                <w:sz w:val="14"/>
              </w:rPr>
            </w:pPr>
            <w:r w:rsidRPr="000B3838">
              <w:rPr>
                <w:noProof/>
                <w:sz w:val="14"/>
              </w:rPr>
              <w:t>=2a + 2b</w:t>
            </w:r>
          </w:p>
          <w:p w14:paraId="462E9F07" w14:textId="77777777" w:rsidR="004515FC" w:rsidRPr="000B3838" w:rsidRDefault="004515FC" w:rsidP="0029161D">
            <w:pPr>
              <w:jc w:val="center"/>
              <w:rPr>
                <w:noProof/>
                <w:sz w:val="14"/>
              </w:rPr>
            </w:pPr>
            <w:r w:rsidRPr="000B3838">
              <w:rPr>
                <w:noProof/>
                <w:sz w:val="14"/>
              </w:rPr>
              <w:t>+3</w:t>
            </w:r>
          </w:p>
        </w:tc>
        <w:tc>
          <w:tcPr>
            <w:tcW w:w="868" w:type="dxa"/>
            <w:vAlign w:val="center"/>
          </w:tcPr>
          <w:p w14:paraId="0597B73F" w14:textId="77777777" w:rsidR="004515FC" w:rsidRPr="000B3838" w:rsidRDefault="004515FC" w:rsidP="0029161D">
            <w:pPr>
              <w:spacing w:before="20" w:after="20"/>
              <w:jc w:val="right"/>
              <w:rPr>
                <w:noProof/>
                <w:sz w:val="20"/>
              </w:rPr>
            </w:pPr>
          </w:p>
        </w:tc>
        <w:tc>
          <w:tcPr>
            <w:tcW w:w="868" w:type="dxa"/>
            <w:vAlign w:val="center"/>
          </w:tcPr>
          <w:p w14:paraId="285DAE5A" w14:textId="77777777" w:rsidR="004515FC" w:rsidRPr="000B3838" w:rsidRDefault="004515FC" w:rsidP="0029161D">
            <w:pPr>
              <w:spacing w:before="20" w:after="20"/>
              <w:jc w:val="right"/>
              <w:rPr>
                <w:noProof/>
                <w:sz w:val="20"/>
              </w:rPr>
            </w:pPr>
          </w:p>
        </w:tc>
        <w:tc>
          <w:tcPr>
            <w:tcW w:w="868" w:type="dxa"/>
            <w:vAlign w:val="center"/>
          </w:tcPr>
          <w:p w14:paraId="2CF66A98" w14:textId="77777777" w:rsidR="004515FC" w:rsidRPr="000B3838" w:rsidRDefault="004515FC" w:rsidP="0029161D">
            <w:pPr>
              <w:spacing w:before="20" w:after="20"/>
              <w:jc w:val="right"/>
              <w:rPr>
                <w:noProof/>
                <w:sz w:val="20"/>
              </w:rPr>
            </w:pPr>
          </w:p>
        </w:tc>
        <w:tc>
          <w:tcPr>
            <w:tcW w:w="868" w:type="dxa"/>
            <w:vAlign w:val="center"/>
          </w:tcPr>
          <w:p w14:paraId="04641008" w14:textId="77777777" w:rsidR="004515FC" w:rsidRPr="000B3838" w:rsidRDefault="004515FC" w:rsidP="0029161D">
            <w:pPr>
              <w:spacing w:before="20" w:after="20"/>
              <w:jc w:val="right"/>
              <w:rPr>
                <w:noProof/>
                <w:sz w:val="20"/>
              </w:rPr>
            </w:pPr>
          </w:p>
        </w:tc>
        <w:tc>
          <w:tcPr>
            <w:tcW w:w="868" w:type="dxa"/>
            <w:vAlign w:val="center"/>
          </w:tcPr>
          <w:p w14:paraId="0DC7A8F9" w14:textId="77777777" w:rsidR="004515FC" w:rsidRPr="000B3838" w:rsidRDefault="004515FC" w:rsidP="0029161D">
            <w:pPr>
              <w:spacing w:before="20" w:after="20"/>
              <w:jc w:val="right"/>
              <w:rPr>
                <w:noProof/>
                <w:sz w:val="20"/>
              </w:rPr>
            </w:pPr>
          </w:p>
        </w:tc>
        <w:tc>
          <w:tcPr>
            <w:tcW w:w="868" w:type="dxa"/>
            <w:vAlign w:val="center"/>
          </w:tcPr>
          <w:p w14:paraId="3FAA166C" w14:textId="77777777" w:rsidR="004515FC" w:rsidRPr="000B3838" w:rsidRDefault="004515FC" w:rsidP="0029161D">
            <w:pPr>
              <w:spacing w:before="20" w:after="20"/>
              <w:jc w:val="right"/>
              <w:rPr>
                <w:noProof/>
                <w:sz w:val="20"/>
              </w:rPr>
            </w:pPr>
          </w:p>
        </w:tc>
        <w:tc>
          <w:tcPr>
            <w:tcW w:w="868" w:type="dxa"/>
            <w:vAlign w:val="center"/>
          </w:tcPr>
          <w:p w14:paraId="7B2B0F63" w14:textId="77777777" w:rsidR="004515FC" w:rsidRPr="000B3838" w:rsidRDefault="004515FC" w:rsidP="0029161D">
            <w:pPr>
              <w:spacing w:before="20" w:after="20"/>
              <w:jc w:val="right"/>
              <w:rPr>
                <w:b/>
                <w:noProof/>
                <w:sz w:val="20"/>
              </w:rPr>
            </w:pPr>
          </w:p>
        </w:tc>
        <w:tc>
          <w:tcPr>
            <w:tcW w:w="1777" w:type="dxa"/>
            <w:vAlign w:val="center"/>
          </w:tcPr>
          <w:p w14:paraId="3DFA4738" w14:textId="77777777" w:rsidR="004515FC" w:rsidRPr="000B3838" w:rsidRDefault="004515FC" w:rsidP="0029161D">
            <w:pPr>
              <w:spacing w:before="20" w:after="20"/>
              <w:jc w:val="right"/>
              <w:rPr>
                <w:b/>
                <w:noProof/>
                <w:sz w:val="20"/>
              </w:rPr>
            </w:pPr>
          </w:p>
        </w:tc>
      </w:tr>
    </w:tbl>
    <w:p w14:paraId="024DDD5A" w14:textId="77777777" w:rsidR="004515FC" w:rsidRPr="000B3838" w:rsidRDefault="004515FC" w:rsidP="004515FC">
      <w:pPr>
        <w:rPr>
          <w:noProof/>
        </w:rPr>
      </w:pPr>
      <w:r w:rsidRPr="000B3838">
        <w:rPr>
          <w:noProof/>
        </w:rPr>
        <w:t xml:space="preserve"> </w:t>
      </w:r>
      <w:r w:rsidRPr="000B3838">
        <w:rPr>
          <w:noProof/>
        </w:rPr>
        <w:cr/>
      </w:r>
      <w:r w:rsidRPr="000B3838">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910369" w:rsidRPr="000B3838" w14:paraId="66063813" w14:textId="77777777">
        <w:trPr>
          <w:trHeight w:val="277"/>
        </w:trPr>
        <w:tc>
          <w:tcPr>
            <w:tcW w:w="3960" w:type="dxa"/>
            <w:vMerge w:val="restart"/>
            <w:vAlign w:val="center"/>
          </w:tcPr>
          <w:p w14:paraId="00318610" w14:textId="77777777" w:rsidR="004515FC" w:rsidRPr="000B3838" w:rsidRDefault="004515FC" w:rsidP="0029161D">
            <w:pPr>
              <w:spacing w:before="20" w:after="20"/>
              <w:rPr>
                <w:noProof/>
              </w:rPr>
            </w:pPr>
            <w:r w:rsidRPr="000B3838">
              <w:rPr>
                <w:noProof/>
              </w:rPr>
              <w:br w:type="page"/>
            </w:r>
            <w:r w:rsidRPr="000B3838">
              <w:rPr>
                <w:rFonts w:ascii="Wingdings" w:hAnsi="Wingdings"/>
                <w:noProof/>
                <w:sz w:val="21"/>
              </w:rPr>
              <w:t>□</w:t>
            </w:r>
            <w:r w:rsidRPr="000B3838">
              <w:rPr>
                <w:noProof/>
                <w:sz w:val="21"/>
              </w:rPr>
              <w:t xml:space="preserve"> UKUPNA odobrena sredstva za poslovanje </w:t>
            </w:r>
          </w:p>
        </w:tc>
        <w:tc>
          <w:tcPr>
            <w:tcW w:w="1440" w:type="dxa"/>
            <w:vAlign w:val="center"/>
          </w:tcPr>
          <w:p w14:paraId="06F0C86B" w14:textId="77777777" w:rsidR="004515FC" w:rsidRPr="000B3838" w:rsidRDefault="004515FC" w:rsidP="0029161D">
            <w:pPr>
              <w:spacing w:beforeLines="20" w:before="48" w:afterLines="20" w:after="48"/>
              <w:rPr>
                <w:noProof/>
                <w:sz w:val="18"/>
              </w:rPr>
            </w:pPr>
            <w:r w:rsidRPr="000B3838">
              <w:rPr>
                <w:noProof/>
                <w:sz w:val="18"/>
              </w:rPr>
              <w:t>Obveze</w:t>
            </w:r>
          </w:p>
        </w:tc>
        <w:tc>
          <w:tcPr>
            <w:tcW w:w="654" w:type="dxa"/>
            <w:vAlign w:val="center"/>
          </w:tcPr>
          <w:p w14:paraId="5E45689C" w14:textId="77777777" w:rsidR="004515FC" w:rsidRPr="000B3838" w:rsidRDefault="004515FC" w:rsidP="0029161D">
            <w:pPr>
              <w:spacing w:beforeLines="20" w:before="48" w:afterLines="20" w:after="48"/>
              <w:jc w:val="center"/>
              <w:rPr>
                <w:noProof/>
                <w:sz w:val="14"/>
              </w:rPr>
            </w:pPr>
            <w:r w:rsidRPr="000B3838">
              <w:rPr>
                <w:noProof/>
                <w:sz w:val="14"/>
              </w:rPr>
              <w:t>(4)</w:t>
            </w:r>
          </w:p>
        </w:tc>
        <w:tc>
          <w:tcPr>
            <w:tcW w:w="868" w:type="dxa"/>
            <w:vAlign w:val="center"/>
          </w:tcPr>
          <w:p w14:paraId="27CB1E05" w14:textId="77777777" w:rsidR="004515FC" w:rsidRPr="000B3838" w:rsidRDefault="004515FC" w:rsidP="0029161D">
            <w:pPr>
              <w:spacing w:before="20" w:after="20"/>
              <w:jc w:val="right"/>
              <w:rPr>
                <w:noProof/>
                <w:sz w:val="20"/>
              </w:rPr>
            </w:pPr>
          </w:p>
        </w:tc>
        <w:tc>
          <w:tcPr>
            <w:tcW w:w="868" w:type="dxa"/>
            <w:vAlign w:val="center"/>
          </w:tcPr>
          <w:p w14:paraId="364B79D0" w14:textId="77777777" w:rsidR="004515FC" w:rsidRPr="000B3838" w:rsidRDefault="004515FC" w:rsidP="0029161D">
            <w:pPr>
              <w:spacing w:before="20" w:after="20"/>
              <w:jc w:val="right"/>
              <w:rPr>
                <w:noProof/>
                <w:sz w:val="20"/>
              </w:rPr>
            </w:pPr>
          </w:p>
        </w:tc>
        <w:tc>
          <w:tcPr>
            <w:tcW w:w="868" w:type="dxa"/>
            <w:vAlign w:val="center"/>
          </w:tcPr>
          <w:p w14:paraId="088CEBCB" w14:textId="77777777" w:rsidR="004515FC" w:rsidRPr="000B3838" w:rsidRDefault="004515FC" w:rsidP="0029161D">
            <w:pPr>
              <w:spacing w:before="20" w:after="20"/>
              <w:jc w:val="right"/>
              <w:rPr>
                <w:noProof/>
                <w:sz w:val="20"/>
              </w:rPr>
            </w:pPr>
          </w:p>
        </w:tc>
        <w:tc>
          <w:tcPr>
            <w:tcW w:w="868" w:type="dxa"/>
            <w:vAlign w:val="center"/>
          </w:tcPr>
          <w:p w14:paraId="213E8C50" w14:textId="77777777" w:rsidR="004515FC" w:rsidRPr="000B3838" w:rsidRDefault="004515FC" w:rsidP="0029161D">
            <w:pPr>
              <w:spacing w:before="20" w:after="20"/>
              <w:jc w:val="right"/>
              <w:rPr>
                <w:noProof/>
                <w:sz w:val="20"/>
              </w:rPr>
            </w:pPr>
          </w:p>
        </w:tc>
        <w:tc>
          <w:tcPr>
            <w:tcW w:w="868" w:type="dxa"/>
            <w:vAlign w:val="center"/>
          </w:tcPr>
          <w:p w14:paraId="77998A10" w14:textId="77777777" w:rsidR="004515FC" w:rsidRPr="000B3838" w:rsidRDefault="004515FC" w:rsidP="0029161D">
            <w:pPr>
              <w:spacing w:before="20" w:after="20"/>
              <w:jc w:val="right"/>
              <w:rPr>
                <w:noProof/>
                <w:sz w:val="20"/>
              </w:rPr>
            </w:pPr>
          </w:p>
        </w:tc>
        <w:tc>
          <w:tcPr>
            <w:tcW w:w="868" w:type="dxa"/>
            <w:vAlign w:val="center"/>
          </w:tcPr>
          <w:p w14:paraId="58528012" w14:textId="77777777" w:rsidR="004515FC" w:rsidRPr="000B3838" w:rsidRDefault="004515FC" w:rsidP="0029161D">
            <w:pPr>
              <w:spacing w:before="20" w:after="20"/>
              <w:jc w:val="right"/>
              <w:rPr>
                <w:noProof/>
                <w:sz w:val="20"/>
              </w:rPr>
            </w:pPr>
          </w:p>
        </w:tc>
        <w:tc>
          <w:tcPr>
            <w:tcW w:w="868" w:type="dxa"/>
            <w:vAlign w:val="center"/>
          </w:tcPr>
          <w:p w14:paraId="700820E8" w14:textId="77777777" w:rsidR="004515FC" w:rsidRPr="000B3838" w:rsidRDefault="004515FC" w:rsidP="0029161D">
            <w:pPr>
              <w:spacing w:before="20" w:after="20"/>
              <w:jc w:val="right"/>
              <w:rPr>
                <w:b/>
                <w:noProof/>
                <w:sz w:val="20"/>
              </w:rPr>
            </w:pPr>
          </w:p>
        </w:tc>
        <w:tc>
          <w:tcPr>
            <w:tcW w:w="1777" w:type="dxa"/>
            <w:vAlign w:val="center"/>
          </w:tcPr>
          <w:p w14:paraId="02E3537B" w14:textId="77777777" w:rsidR="004515FC" w:rsidRPr="000B3838" w:rsidRDefault="004515FC" w:rsidP="0029161D">
            <w:pPr>
              <w:spacing w:before="20" w:after="20"/>
              <w:jc w:val="right"/>
              <w:rPr>
                <w:b/>
                <w:noProof/>
                <w:sz w:val="20"/>
              </w:rPr>
            </w:pPr>
          </w:p>
        </w:tc>
      </w:tr>
      <w:tr w:rsidR="00910369" w:rsidRPr="000B3838" w14:paraId="4805C34C" w14:textId="77777777">
        <w:tc>
          <w:tcPr>
            <w:tcW w:w="3960" w:type="dxa"/>
            <w:vMerge/>
          </w:tcPr>
          <w:p w14:paraId="17A2190F" w14:textId="77777777" w:rsidR="004515FC" w:rsidRPr="000B3838" w:rsidRDefault="004515FC" w:rsidP="0029161D">
            <w:pPr>
              <w:jc w:val="center"/>
              <w:rPr>
                <w:noProof/>
                <w:sz w:val="20"/>
              </w:rPr>
            </w:pPr>
          </w:p>
        </w:tc>
        <w:tc>
          <w:tcPr>
            <w:tcW w:w="1440" w:type="dxa"/>
            <w:vAlign w:val="center"/>
          </w:tcPr>
          <w:p w14:paraId="40A80AFF" w14:textId="77777777" w:rsidR="004515FC" w:rsidRPr="000B3838" w:rsidRDefault="004515FC" w:rsidP="0029161D">
            <w:pPr>
              <w:spacing w:beforeLines="20" w:before="48" w:afterLines="20" w:after="48"/>
              <w:rPr>
                <w:noProof/>
                <w:sz w:val="18"/>
              </w:rPr>
            </w:pPr>
            <w:r w:rsidRPr="000B3838">
              <w:rPr>
                <w:noProof/>
                <w:sz w:val="18"/>
              </w:rPr>
              <w:t>Plaćanja</w:t>
            </w:r>
          </w:p>
        </w:tc>
        <w:tc>
          <w:tcPr>
            <w:tcW w:w="654" w:type="dxa"/>
            <w:vAlign w:val="center"/>
          </w:tcPr>
          <w:p w14:paraId="09BABB79" w14:textId="77777777" w:rsidR="004515FC" w:rsidRPr="000B3838" w:rsidRDefault="004515FC" w:rsidP="0029161D">
            <w:pPr>
              <w:spacing w:beforeLines="20" w:before="48" w:afterLines="20" w:after="48"/>
              <w:jc w:val="center"/>
              <w:rPr>
                <w:noProof/>
                <w:sz w:val="14"/>
              </w:rPr>
            </w:pPr>
            <w:r w:rsidRPr="000B3838">
              <w:rPr>
                <w:noProof/>
                <w:sz w:val="14"/>
              </w:rPr>
              <w:t>(5)</w:t>
            </w:r>
          </w:p>
        </w:tc>
        <w:tc>
          <w:tcPr>
            <w:tcW w:w="868" w:type="dxa"/>
            <w:vAlign w:val="center"/>
          </w:tcPr>
          <w:p w14:paraId="5BB6B479" w14:textId="77777777" w:rsidR="004515FC" w:rsidRPr="000B3838" w:rsidRDefault="004515FC" w:rsidP="0029161D">
            <w:pPr>
              <w:spacing w:before="20" w:after="20"/>
              <w:jc w:val="right"/>
              <w:rPr>
                <w:noProof/>
                <w:sz w:val="20"/>
              </w:rPr>
            </w:pPr>
          </w:p>
        </w:tc>
        <w:tc>
          <w:tcPr>
            <w:tcW w:w="868" w:type="dxa"/>
            <w:vAlign w:val="center"/>
          </w:tcPr>
          <w:p w14:paraId="0B36638C" w14:textId="77777777" w:rsidR="004515FC" w:rsidRPr="000B3838" w:rsidRDefault="004515FC" w:rsidP="0029161D">
            <w:pPr>
              <w:spacing w:before="20" w:after="20"/>
              <w:jc w:val="right"/>
              <w:rPr>
                <w:noProof/>
                <w:sz w:val="20"/>
              </w:rPr>
            </w:pPr>
          </w:p>
        </w:tc>
        <w:tc>
          <w:tcPr>
            <w:tcW w:w="868" w:type="dxa"/>
            <w:vAlign w:val="center"/>
          </w:tcPr>
          <w:p w14:paraId="4095A051" w14:textId="77777777" w:rsidR="004515FC" w:rsidRPr="000B3838" w:rsidRDefault="004515FC" w:rsidP="0029161D">
            <w:pPr>
              <w:spacing w:before="20" w:after="20"/>
              <w:jc w:val="right"/>
              <w:rPr>
                <w:noProof/>
                <w:sz w:val="20"/>
              </w:rPr>
            </w:pPr>
          </w:p>
        </w:tc>
        <w:tc>
          <w:tcPr>
            <w:tcW w:w="868" w:type="dxa"/>
            <w:vAlign w:val="center"/>
          </w:tcPr>
          <w:p w14:paraId="47340E94" w14:textId="77777777" w:rsidR="004515FC" w:rsidRPr="000B3838" w:rsidRDefault="004515FC" w:rsidP="0029161D">
            <w:pPr>
              <w:spacing w:before="20" w:after="20"/>
              <w:jc w:val="right"/>
              <w:rPr>
                <w:noProof/>
                <w:sz w:val="20"/>
              </w:rPr>
            </w:pPr>
          </w:p>
        </w:tc>
        <w:tc>
          <w:tcPr>
            <w:tcW w:w="868" w:type="dxa"/>
            <w:vAlign w:val="center"/>
          </w:tcPr>
          <w:p w14:paraId="332024B9" w14:textId="77777777" w:rsidR="004515FC" w:rsidRPr="000B3838" w:rsidRDefault="004515FC" w:rsidP="0029161D">
            <w:pPr>
              <w:spacing w:before="20" w:after="20"/>
              <w:jc w:val="right"/>
              <w:rPr>
                <w:noProof/>
                <w:sz w:val="20"/>
              </w:rPr>
            </w:pPr>
          </w:p>
        </w:tc>
        <w:tc>
          <w:tcPr>
            <w:tcW w:w="868" w:type="dxa"/>
            <w:vAlign w:val="center"/>
          </w:tcPr>
          <w:p w14:paraId="732DA8B1" w14:textId="77777777" w:rsidR="004515FC" w:rsidRPr="000B3838" w:rsidRDefault="004515FC" w:rsidP="0029161D">
            <w:pPr>
              <w:spacing w:before="20" w:after="20"/>
              <w:jc w:val="right"/>
              <w:rPr>
                <w:noProof/>
                <w:sz w:val="20"/>
              </w:rPr>
            </w:pPr>
          </w:p>
        </w:tc>
        <w:tc>
          <w:tcPr>
            <w:tcW w:w="868" w:type="dxa"/>
            <w:vAlign w:val="center"/>
          </w:tcPr>
          <w:p w14:paraId="39AD8630" w14:textId="77777777" w:rsidR="004515FC" w:rsidRPr="000B3838" w:rsidRDefault="004515FC" w:rsidP="0029161D">
            <w:pPr>
              <w:spacing w:before="20" w:after="20"/>
              <w:jc w:val="right"/>
              <w:rPr>
                <w:b/>
                <w:noProof/>
                <w:sz w:val="20"/>
              </w:rPr>
            </w:pPr>
          </w:p>
        </w:tc>
        <w:tc>
          <w:tcPr>
            <w:tcW w:w="1777" w:type="dxa"/>
            <w:vAlign w:val="center"/>
          </w:tcPr>
          <w:p w14:paraId="5101AAE4" w14:textId="77777777" w:rsidR="004515FC" w:rsidRPr="000B3838" w:rsidRDefault="004515FC" w:rsidP="0029161D">
            <w:pPr>
              <w:spacing w:before="20" w:after="20"/>
              <w:jc w:val="right"/>
              <w:rPr>
                <w:b/>
                <w:noProof/>
                <w:sz w:val="20"/>
              </w:rPr>
            </w:pPr>
          </w:p>
        </w:tc>
      </w:tr>
      <w:tr w:rsidR="00DB3050" w:rsidRPr="000B3838" w14:paraId="448C183D" w14:textId="77777777">
        <w:trPr>
          <w:trHeight w:val="533"/>
        </w:trPr>
        <w:tc>
          <w:tcPr>
            <w:tcW w:w="5400" w:type="dxa"/>
            <w:gridSpan w:val="2"/>
            <w:vAlign w:val="center"/>
          </w:tcPr>
          <w:p w14:paraId="2022059D" w14:textId="77777777" w:rsidR="004515FC" w:rsidRPr="000B3838" w:rsidRDefault="004515FC" w:rsidP="0029161D">
            <w:pPr>
              <w:spacing w:beforeLines="20" w:before="48" w:afterLines="20" w:after="48"/>
              <w:rPr>
                <w:noProof/>
              </w:rPr>
            </w:pPr>
            <w:r w:rsidRPr="000B3838">
              <w:rPr>
                <w:rFonts w:ascii="Wingdings" w:hAnsi="Wingdings"/>
                <w:noProof/>
                <w:sz w:val="21"/>
              </w:rPr>
              <w:t>□</w:t>
            </w:r>
            <w:r w:rsidRPr="000B3838">
              <w:rPr>
                <w:noProof/>
                <w:sz w:val="21"/>
              </w:rPr>
              <w:t xml:space="preserve"> UKUPNA administrativna odobrena sredstva koja se financiraju iz omotnice za posebne programe </w:t>
            </w:r>
          </w:p>
        </w:tc>
        <w:tc>
          <w:tcPr>
            <w:tcW w:w="654" w:type="dxa"/>
            <w:vAlign w:val="center"/>
          </w:tcPr>
          <w:p w14:paraId="543E2B0E" w14:textId="77777777" w:rsidR="004515FC" w:rsidRPr="000B3838" w:rsidRDefault="004515FC" w:rsidP="0029161D">
            <w:pPr>
              <w:spacing w:beforeLines="20" w:before="48" w:afterLines="20" w:after="48"/>
              <w:jc w:val="center"/>
              <w:rPr>
                <w:noProof/>
                <w:sz w:val="14"/>
              </w:rPr>
            </w:pPr>
            <w:r w:rsidRPr="000B3838">
              <w:rPr>
                <w:noProof/>
                <w:sz w:val="14"/>
              </w:rPr>
              <w:t>(6)</w:t>
            </w:r>
          </w:p>
        </w:tc>
        <w:tc>
          <w:tcPr>
            <w:tcW w:w="868" w:type="dxa"/>
            <w:vAlign w:val="center"/>
          </w:tcPr>
          <w:p w14:paraId="70069BD0" w14:textId="77777777" w:rsidR="004515FC" w:rsidRPr="000B3838" w:rsidRDefault="004515FC" w:rsidP="0029161D">
            <w:pPr>
              <w:spacing w:before="20" w:after="20"/>
              <w:jc w:val="right"/>
              <w:rPr>
                <w:b/>
                <w:noProof/>
                <w:sz w:val="20"/>
              </w:rPr>
            </w:pPr>
          </w:p>
        </w:tc>
        <w:tc>
          <w:tcPr>
            <w:tcW w:w="868" w:type="dxa"/>
            <w:vAlign w:val="center"/>
          </w:tcPr>
          <w:p w14:paraId="489471B3" w14:textId="77777777" w:rsidR="004515FC" w:rsidRPr="000B3838" w:rsidRDefault="004515FC" w:rsidP="0029161D">
            <w:pPr>
              <w:spacing w:before="20" w:after="20"/>
              <w:jc w:val="right"/>
              <w:rPr>
                <w:b/>
                <w:noProof/>
                <w:sz w:val="20"/>
              </w:rPr>
            </w:pPr>
          </w:p>
        </w:tc>
        <w:tc>
          <w:tcPr>
            <w:tcW w:w="868" w:type="dxa"/>
            <w:vAlign w:val="center"/>
          </w:tcPr>
          <w:p w14:paraId="01DAB2AD" w14:textId="77777777" w:rsidR="004515FC" w:rsidRPr="000B3838" w:rsidRDefault="004515FC" w:rsidP="0029161D">
            <w:pPr>
              <w:spacing w:before="20" w:after="20"/>
              <w:jc w:val="right"/>
              <w:rPr>
                <w:b/>
                <w:noProof/>
                <w:sz w:val="20"/>
              </w:rPr>
            </w:pPr>
          </w:p>
        </w:tc>
        <w:tc>
          <w:tcPr>
            <w:tcW w:w="868" w:type="dxa"/>
            <w:vAlign w:val="center"/>
          </w:tcPr>
          <w:p w14:paraId="3E0557BC" w14:textId="77777777" w:rsidR="004515FC" w:rsidRPr="000B3838" w:rsidRDefault="004515FC" w:rsidP="0029161D">
            <w:pPr>
              <w:spacing w:before="20" w:after="20"/>
              <w:jc w:val="right"/>
              <w:rPr>
                <w:b/>
                <w:noProof/>
                <w:sz w:val="20"/>
              </w:rPr>
            </w:pPr>
          </w:p>
        </w:tc>
        <w:tc>
          <w:tcPr>
            <w:tcW w:w="868" w:type="dxa"/>
            <w:vAlign w:val="center"/>
          </w:tcPr>
          <w:p w14:paraId="6E03ACAD" w14:textId="77777777" w:rsidR="004515FC" w:rsidRPr="000B3838" w:rsidRDefault="004515FC" w:rsidP="0029161D">
            <w:pPr>
              <w:spacing w:before="20" w:after="20"/>
              <w:jc w:val="right"/>
              <w:rPr>
                <w:b/>
                <w:noProof/>
                <w:sz w:val="20"/>
              </w:rPr>
            </w:pPr>
          </w:p>
        </w:tc>
        <w:tc>
          <w:tcPr>
            <w:tcW w:w="868" w:type="dxa"/>
            <w:vAlign w:val="center"/>
          </w:tcPr>
          <w:p w14:paraId="1E04507A" w14:textId="77777777" w:rsidR="004515FC" w:rsidRPr="000B3838" w:rsidRDefault="004515FC" w:rsidP="0029161D">
            <w:pPr>
              <w:spacing w:before="20" w:after="20"/>
              <w:jc w:val="right"/>
              <w:rPr>
                <w:b/>
                <w:noProof/>
                <w:sz w:val="20"/>
              </w:rPr>
            </w:pPr>
          </w:p>
        </w:tc>
        <w:tc>
          <w:tcPr>
            <w:tcW w:w="868" w:type="dxa"/>
            <w:vAlign w:val="center"/>
          </w:tcPr>
          <w:p w14:paraId="269013E4" w14:textId="77777777" w:rsidR="004515FC" w:rsidRPr="000B3838" w:rsidRDefault="004515FC" w:rsidP="0029161D">
            <w:pPr>
              <w:spacing w:before="20" w:after="20"/>
              <w:jc w:val="right"/>
              <w:rPr>
                <w:b/>
                <w:noProof/>
                <w:sz w:val="20"/>
              </w:rPr>
            </w:pPr>
          </w:p>
        </w:tc>
        <w:tc>
          <w:tcPr>
            <w:tcW w:w="1777" w:type="dxa"/>
            <w:vAlign w:val="center"/>
          </w:tcPr>
          <w:p w14:paraId="0057D4D1" w14:textId="77777777" w:rsidR="004515FC" w:rsidRPr="000B3838" w:rsidRDefault="004515FC" w:rsidP="0029161D">
            <w:pPr>
              <w:spacing w:before="20" w:after="20"/>
              <w:jc w:val="right"/>
              <w:rPr>
                <w:b/>
                <w:noProof/>
                <w:sz w:val="20"/>
              </w:rPr>
            </w:pPr>
          </w:p>
        </w:tc>
      </w:tr>
      <w:tr w:rsidR="00291B69" w:rsidRPr="000B3838" w14:paraId="3540CB3D" w14:textId="77777777">
        <w:tc>
          <w:tcPr>
            <w:tcW w:w="3960" w:type="dxa"/>
            <w:vMerge w:val="restart"/>
            <w:shd w:val="thinDiagStripe" w:color="C0C0C0" w:fill="auto"/>
            <w:vAlign w:val="center"/>
          </w:tcPr>
          <w:p w14:paraId="4D8AAC7C" w14:textId="6E5467B5" w:rsidR="004515FC" w:rsidRPr="000B3838" w:rsidRDefault="004515FC" w:rsidP="0029161D">
            <w:pPr>
              <w:jc w:val="center"/>
              <w:rPr>
                <w:b/>
                <w:noProof/>
              </w:rPr>
            </w:pPr>
            <w:r w:rsidRPr="000B3838">
              <w:rPr>
                <w:b/>
                <w:noProof/>
                <w:sz w:val="22"/>
              </w:rPr>
              <w:t>UKUPNA odobrena sredstva</w:t>
            </w:r>
            <w:r w:rsidRPr="000B3838">
              <w:rPr>
                <w:noProof/>
              </w:rPr>
              <w:br/>
            </w:r>
            <w:r w:rsidRPr="000B3838">
              <w:rPr>
                <w:b/>
                <w:noProof/>
                <w:sz w:val="22"/>
              </w:rPr>
              <w:t>iz NASLOVA &lt;….&gt;</w:t>
            </w:r>
            <w:r w:rsidRPr="000B3838">
              <w:rPr>
                <w:noProof/>
              </w:rPr>
              <w:br/>
            </w:r>
            <w:r w:rsidRPr="000B3838">
              <w:rPr>
                <w:noProof/>
                <w:sz w:val="22"/>
              </w:rPr>
              <w:t>višegodišnjeg financijskog okvira</w:t>
            </w:r>
          </w:p>
        </w:tc>
        <w:tc>
          <w:tcPr>
            <w:tcW w:w="1440" w:type="dxa"/>
            <w:vAlign w:val="center"/>
          </w:tcPr>
          <w:p w14:paraId="5C07EE7B" w14:textId="77777777" w:rsidR="004515FC" w:rsidRPr="000B3838" w:rsidRDefault="004515FC" w:rsidP="0029161D">
            <w:pPr>
              <w:rPr>
                <w:noProof/>
                <w:sz w:val="18"/>
              </w:rPr>
            </w:pPr>
            <w:r w:rsidRPr="000B3838">
              <w:rPr>
                <w:noProof/>
                <w:sz w:val="18"/>
              </w:rPr>
              <w:t>Obveze</w:t>
            </w:r>
          </w:p>
        </w:tc>
        <w:tc>
          <w:tcPr>
            <w:tcW w:w="654" w:type="dxa"/>
            <w:vAlign w:val="center"/>
          </w:tcPr>
          <w:p w14:paraId="3754D1EE" w14:textId="77777777" w:rsidR="004515FC" w:rsidRPr="000B3838" w:rsidRDefault="004515FC" w:rsidP="0029161D">
            <w:pPr>
              <w:jc w:val="center"/>
              <w:rPr>
                <w:noProof/>
                <w:sz w:val="14"/>
              </w:rPr>
            </w:pPr>
            <w:r w:rsidRPr="000B3838">
              <w:rPr>
                <w:noProof/>
                <w:sz w:val="14"/>
              </w:rPr>
              <w:t>=4+6</w:t>
            </w:r>
          </w:p>
        </w:tc>
        <w:tc>
          <w:tcPr>
            <w:tcW w:w="868" w:type="dxa"/>
            <w:vAlign w:val="center"/>
          </w:tcPr>
          <w:p w14:paraId="4C066ADB" w14:textId="77777777" w:rsidR="004515FC" w:rsidRPr="000B3838" w:rsidRDefault="004515FC" w:rsidP="0029161D">
            <w:pPr>
              <w:spacing w:before="20" w:after="20"/>
              <w:jc w:val="right"/>
              <w:rPr>
                <w:noProof/>
                <w:sz w:val="20"/>
              </w:rPr>
            </w:pPr>
          </w:p>
        </w:tc>
        <w:tc>
          <w:tcPr>
            <w:tcW w:w="868" w:type="dxa"/>
            <w:vAlign w:val="center"/>
          </w:tcPr>
          <w:p w14:paraId="2D3E33C5" w14:textId="77777777" w:rsidR="004515FC" w:rsidRPr="000B3838" w:rsidRDefault="004515FC" w:rsidP="0029161D">
            <w:pPr>
              <w:spacing w:before="20" w:after="20"/>
              <w:jc w:val="right"/>
              <w:rPr>
                <w:noProof/>
                <w:sz w:val="20"/>
              </w:rPr>
            </w:pPr>
          </w:p>
        </w:tc>
        <w:tc>
          <w:tcPr>
            <w:tcW w:w="868" w:type="dxa"/>
            <w:vAlign w:val="center"/>
          </w:tcPr>
          <w:p w14:paraId="4654C8BC" w14:textId="77777777" w:rsidR="004515FC" w:rsidRPr="000B3838" w:rsidRDefault="004515FC" w:rsidP="0029161D">
            <w:pPr>
              <w:spacing w:before="20" w:after="20"/>
              <w:jc w:val="right"/>
              <w:rPr>
                <w:noProof/>
                <w:sz w:val="20"/>
              </w:rPr>
            </w:pPr>
          </w:p>
        </w:tc>
        <w:tc>
          <w:tcPr>
            <w:tcW w:w="868" w:type="dxa"/>
            <w:vAlign w:val="center"/>
          </w:tcPr>
          <w:p w14:paraId="3DA5A8AB" w14:textId="77777777" w:rsidR="004515FC" w:rsidRPr="000B3838" w:rsidRDefault="004515FC" w:rsidP="0029161D">
            <w:pPr>
              <w:spacing w:before="20" w:after="20"/>
              <w:jc w:val="right"/>
              <w:rPr>
                <w:noProof/>
                <w:sz w:val="20"/>
              </w:rPr>
            </w:pPr>
          </w:p>
        </w:tc>
        <w:tc>
          <w:tcPr>
            <w:tcW w:w="868" w:type="dxa"/>
            <w:vAlign w:val="center"/>
          </w:tcPr>
          <w:p w14:paraId="17446FD5" w14:textId="77777777" w:rsidR="004515FC" w:rsidRPr="000B3838" w:rsidRDefault="004515FC" w:rsidP="0029161D">
            <w:pPr>
              <w:spacing w:before="20" w:after="20"/>
              <w:jc w:val="right"/>
              <w:rPr>
                <w:noProof/>
                <w:sz w:val="20"/>
              </w:rPr>
            </w:pPr>
          </w:p>
        </w:tc>
        <w:tc>
          <w:tcPr>
            <w:tcW w:w="868" w:type="dxa"/>
            <w:vAlign w:val="center"/>
          </w:tcPr>
          <w:p w14:paraId="3782EB56" w14:textId="77777777" w:rsidR="004515FC" w:rsidRPr="000B3838" w:rsidRDefault="004515FC" w:rsidP="0029161D">
            <w:pPr>
              <w:spacing w:before="20" w:after="20"/>
              <w:jc w:val="right"/>
              <w:rPr>
                <w:noProof/>
                <w:sz w:val="20"/>
              </w:rPr>
            </w:pPr>
          </w:p>
        </w:tc>
        <w:tc>
          <w:tcPr>
            <w:tcW w:w="868" w:type="dxa"/>
            <w:vAlign w:val="center"/>
          </w:tcPr>
          <w:p w14:paraId="348B1B7C" w14:textId="77777777" w:rsidR="004515FC" w:rsidRPr="000B3838" w:rsidRDefault="004515FC" w:rsidP="0029161D">
            <w:pPr>
              <w:spacing w:before="20" w:after="20"/>
              <w:jc w:val="right"/>
              <w:rPr>
                <w:b/>
                <w:noProof/>
                <w:sz w:val="20"/>
              </w:rPr>
            </w:pPr>
          </w:p>
        </w:tc>
        <w:tc>
          <w:tcPr>
            <w:tcW w:w="1777" w:type="dxa"/>
            <w:vAlign w:val="center"/>
          </w:tcPr>
          <w:p w14:paraId="57AA2456" w14:textId="77777777" w:rsidR="004515FC" w:rsidRPr="000B3838" w:rsidRDefault="004515FC" w:rsidP="0029161D">
            <w:pPr>
              <w:spacing w:before="20" w:after="20"/>
              <w:jc w:val="right"/>
              <w:rPr>
                <w:b/>
                <w:noProof/>
                <w:sz w:val="20"/>
              </w:rPr>
            </w:pPr>
          </w:p>
        </w:tc>
      </w:tr>
      <w:tr w:rsidR="00291B69" w:rsidRPr="000B3838" w14:paraId="02EC73A3" w14:textId="77777777">
        <w:tc>
          <w:tcPr>
            <w:tcW w:w="3960" w:type="dxa"/>
            <w:vMerge/>
            <w:shd w:val="thinDiagStripe" w:color="C0C0C0" w:fill="auto"/>
          </w:tcPr>
          <w:p w14:paraId="11C1AE64" w14:textId="77777777" w:rsidR="004515FC" w:rsidRPr="000B3838" w:rsidRDefault="004515FC" w:rsidP="0029161D">
            <w:pPr>
              <w:rPr>
                <w:noProof/>
                <w:sz w:val="20"/>
              </w:rPr>
            </w:pPr>
          </w:p>
        </w:tc>
        <w:tc>
          <w:tcPr>
            <w:tcW w:w="1440" w:type="dxa"/>
            <w:vAlign w:val="center"/>
          </w:tcPr>
          <w:p w14:paraId="4E4BF3E4" w14:textId="77777777" w:rsidR="004515FC" w:rsidRPr="000B3838" w:rsidRDefault="004515FC" w:rsidP="0029161D">
            <w:pPr>
              <w:rPr>
                <w:noProof/>
                <w:sz w:val="18"/>
              </w:rPr>
            </w:pPr>
            <w:r w:rsidRPr="000B3838">
              <w:rPr>
                <w:noProof/>
                <w:sz w:val="18"/>
              </w:rPr>
              <w:t>Plaćanja</w:t>
            </w:r>
          </w:p>
        </w:tc>
        <w:tc>
          <w:tcPr>
            <w:tcW w:w="654" w:type="dxa"/>
            <w:vAlign w:val="center"/>
          </w:tcPr>
          <w:p w14:paraId="52D84932" w14:textId="77777777" w:rsidR="004515FC" w:rsidRPr="000B3838" w:rsidRDefault="004515FC" w:rsidP="0029161D">
            <w:pPr>
              <w:jc w:val="center"/>
              <w:rPr>
                <w:noProof/>
                <w:sz w:val="14"/>
              </w:rPr>
            </w:pPr>
            <w:r w:rsidRPr="000B3838">
              <w:rPr>
                <w:noProof/>
                <w:sz w:val="14"/>
              </w:rPr>
              <w:t>=5+6</w:t>
            </w:r>
          </w:p>
        </w:tc>
        <w:tc>
          <w:tcPr>
            <w:tcW w:w="868" w:type="dxa"/>
            <w:vAlign w:val="center"/>
          </w:tcPr>
          <w:p w14:paraId="4E7CD50F" w14:textId="77777777" w:rsidR="004515FC" w:rsidRPr="000B3838" w:rsidRDefault="004515FC" w:rsidP="0029161D">
            <w:pPr>
              <w:spacing w:before="20" w:after="20"/>
              <w:jc w:val="right"/>
              <w:rPr>
                <w:noProof/>
                <w:sz w:val="20"/>
              </w:rPr>
            </w:pPr>
          </w:p>
        </w:tc>
        <w:tc>
          <w:tcPr>
            <w:tcW w:w="868" w:type="dxa"/>
            <w:vAlign w:val="center"/>
          </w:tcPr>
          <w:p w14:paraId="26068EBF" w14:textId="77777777" w:rsidR="004515FC" w:rsidRPr="000B3838" w:rsidRDefault="004515FC" w:rsidP="0029161D">
            <w:pPr>
              <w:spacing w:before="20" w:after="20"/>
              <w:jc w:val="right"/>
              <w:rPr>
                <w:noProof/>
                <w:sz w:val="20"/>
              </w:rPr>
            </w:pPr>
          </w:p>
        </w:tc>
        <w:tc>
          <w:tcPr>
            <w:tcW w:w="868" w:type="dxa"/>
            <w:vAlign w:val="center"/>
          </w:tcPr>
          <w:p w14:paraId="649EF73F" w14:textId="77777777" w:rsidR="004515FC" w:rsidRPr="000B3838" w:rsidRDefault="004515FC" w:rsidP="0029161D">
            <w:pPr>
              <w:spacing w:before="20" w:after="20"/>
              <w:jc w:val="right"/>
              <w:rPr>
                <w:noProof/>
                <w:sz w:val="20"/>
              </w:rPr>
            </w:pPr>
          </w:p>
        </w:tc>
        <w:tc>
          <w:tcPr>
            <w:tcW w:w="868" w:type="dxa"/>
            <w:vAlign w:val="center"/>
          </w:tcPr>
          <w:p w14:paraId="41801F20" w14:textId="77777777" w:rsidR="004515FC" w:rsidRPr="000B3838" w:rsidRDefault="004515FC" w:rsidP="0029161D">
            <w:pPr>
              <w:spacing w:before="20" w:after="20"/>
              <w:jc w:val="right"/>
              <w:rPr>
                <w:noProof/>
                <w:sz w:val="20"/>
              </w:rPr>
            </w:pPr>
          </w:p>
        </w:tc>
        <w:tc>
          <w:tcPr>
            <w:tcW w:w="868" w:type="dxa"/>
            <w:vAlign w:val="center"/>
          </w:tcPr>
          <w:p w14:paraId="6B36F666" w14:textId="77777777" w:rsidR="004515FC" w:rsidRPr="000B3838" w:rsidRDefault="004515FC" w:rsidP="0029161D">
            <w:pPr>
              <w:spacing w:before="20" w:after="20"/>
              <w:jc w:val="right"/>
              <w:rPr>
                <w:noProof/>
                <w:sz w:val="20"/>
              </w:rPr>
            </w:pPr>
          </w:p>
        </w:tc>
        <w:tc>
          <w:tcPr>
            <w:tcW w:w="868" w:type="dxa"/>
            <w:vAlign w:val="center"/>
          </w:tcPr>
          <w:p w14:paraId="369796D9" w14:textId="77777777" w:rsidR="004515FC" w:rsidRPr="000B3838" w:rsidRDefault="004515FC" w:rsidP="0029161D">
            <w:pPr>
              <w:spacing w:before="20" w:after="20"/>
              <w:jc w:val="right"/>
              <w:rPr>
                <w:noProof/>
                <w:sz w:val="20"/>
              </w:rPr>
            </w:pPr>
          </w:p>
        </w:tc>
        <w:tc>
          <w:tcPr>
            <w:tcW w:w="868" w:type="dxa"/>
            <w:vAlign w:val="center"/>
          </w:tcPr>
          <w:p w14:paraId="7082DCF8" w14:textId="77777777" w:rsidR="004515FC" w:rsidRPr="000B3838" w:rsidRDefault="004515FC" w:rsidP="0029161D">
            <w:pPr>
              <w:spacing w:before="20" w:after="20"/>
              <w:jc w:val="right"/>
              <w:rPr>
                <w:b/>
                <w:noProof/>
                <w:sz w:val="20"/>
              </w:rPr>
            </w:pPr>
          </w:p>
        </w:tc>
        <w:tc>
          <w:tcPr>
            <w:tcW w:w="1777" w:type="dxa"/>
            <w:vAlign w:val="center"/>
          </w:tcPr>
          <w:p w14:paraId="676403A3" w14:textId="77777777" w:rsidR="004515FC" w:rsidRPr="000B3838" w:rsidRDefault="004515FC" w:rsidP="0029161D">
            <w:pPr>
              <w:spacing w:before="20" w:after="20"/>
              <w:jc w:val="right"/>
              <w:rPr>
                <w:b/>
                <w:noProof/>
                <w:sz w:val="20"/>
              </w:rPr>
            </w:pPr>
          </w:p>
        </w:tc>
      </w:tr>
    </w:tbl>
    <w:p w14:paraId="441CEB83" w14:textId="77777777" w:rsidR="004515FC" w:rsidRPr="000B3838" w:rsidRDefault="004515FC" w:rsidP="004515FC">
      <w:pPr>
        <w:spacing w:after="40"/>
        <w:rPr>
          <w:b/>
          <w:noProof/>
          <w:sz w:val="22"/>
          <w:u w:val="single"/>
        </w:rPr>
      </w:pPr>
      <w:r w:rsidRPr="000B3838">
        <w:rPr>
          <w:b/>
          <w:noProof/>
          <w:sz w:val="22"/>
          <w:u w:val="single"/>
        </w:rPr>
        <w:t>Ako prijedlog/inicijativa utječe na više naslova za poslovanje, ponovite prethodni odjeljak:</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3C6DC3" w:rsidRPr="000B3838" w14:paraId="70C93CE2" w14:textId="77777777">
        <w:trPr>
          <w:trHeight w:val="277"/>
        </w:trPr>
        <w:tc>
          <w:tcPr>
            <w:tcW w:w="3960" w:type="dxa"/>
            <w:vMerge w:val="restart"/>
            <w:tcBorders>
              <w:top w:val="single" w:sz="4" w:space="0" w:color="auto"/>
              <w:left w:val="single" w:sz="4" w:space="0" w:color="auto"/>
              <w:bottom w:val="single" w:sz="4" w:space="0" w:color="FF0000"/>
            </w:tcBorders>
            <w:vAlign w:val="center"/>
          </w:tcPr>
          <w:p w14:paraId="2483DC62" w14:textId="77777777" w:rsidR="004515FC" w:rsidRPr="000B3838" w:rsidRDefault="004515FC" w:rsidP="0029161D">
            <w:pPr>
              <w:spacing w:before="20" w:after="20"/>
              <w:rPr>
                <w:noProof/>
              </w:rPr>
            </w:pPr>
            <w:r w:rsidRPr="000B3838">
              <w:rPr>
                <w:rFonts w:ascii="Wingdings" w:hAnsi="Wingdings"/>
                <w:noProof/>
                <w:sz w:val="21"/>
              </w:rPr>
              <w:t>□</w:t>
            </w:r>
            <w:r w:rsidRPr="000B3838">
              <w:rPr>
                <w:noProof/>
                <w:sz w:val="21"/>
              </w:rPr>
              <w:t xml:space="preserve"> UKUPNA odobrena sredstva za poslovanje (svi naslovi za poslovanje)</w:t>
            </w:r>
          </w:p>
        </w:tc>
        <w:tc>
          <w:tcPr>
            <w:tcW w:w="1440" w:type="dxa"/>
            <w:tcBorders>
              <w:top w:val="single" w:sz="4" w:space="0" w:color="auto"/>
            </w:tcBorders>
            <w:vAlign w:val="center"/>
          </w:tcPr>
          <w:p w14:paraId="71AA5345" w14:textId="77777777" w:rsidR="004515FC" w:rsidRPr="000B3838" w:rsidRDefault="004515FC" w:rsidP="0029161D">
            <w:pPr>
              <w:spacing w:beforeLines="20" w:before="48" w:afterLines="20" w:after="48"/>
              <w:rPr>
                <w:noProof/>
                <w:sz w:val="18"/>
              </w:rPr>
            </w:pPr>
            <w:r w:rsidRPr="000B3838">
              <w:rPr>
                <w:noProof/>
                <w:sz w:val="18"/>
              </w:rPr>
              <w:t>Obveze</w:t>
            </w:r>
          </w:p>
        </w:tc>
        <w:tc>
          <w:tcPr>
            <w:tcW w:w="654" w:type="dxa"/>
            <w:tcBorders>
              <w:top w:val="single" w:sz="4" w:space="0" w:color="auto"/>
            </w:tcBorders>
            <w:vAlign w:val="center"/>
          </w:tcPr>
          <w:p w14:paraId="2E497CB2" w14:textId="77777777" w:rsidR="004515FC" w:rsidRPr="000B3838" w:rsidRDefault="004515FC" w:rsidP="0029161D">
            <w:pPr>
              <w:spacing w:beforeLines="20" w:before="48" w:afterLines="20" w:after="48"/>
              <w:jc w:val="center"/>
              <w:rPr>
                <w:noProof/>
                <w:sz w:val="14"/>
              </w:rPr>
            </w:pPr>
            <w:r w:rsidRPr="000B3838">
              <w:rPr>
                <w:noProof/>
                <w:sz w:val="14"/>
              </w:rPr>
              <w:t>(4)</w:t>
            </w:r>
          </w:p>
        </w:tc>
        <w:tc>
          <w:tcPr>
            <w:tcW w:w="868" w:type="dxa"/>
            <w:tcBorders>
              <w:top w:val="single" w:sz="4" w:space="0" w:color="auto"/>
            </w:tcBorders>
            <w:vAlign w:val="center"/>
          </w:tcPr>
          <w:p w14:paraId="5441919A" w14:textId="77777777" w:rsidR="004515FC" w:rsidRPr="000B3838" w:rsidRDefault="004515FC" w:rsidP="0029161D">
            <w:pPr>
              <w:spacing w:before="20" w:after="20"/>
              <w:jc w:val="right"/>
              <w:rPr>
                <w:noProof/>
                <w:sz w:val="20"/>
              </w:rPr>
            </w:pPr>
          </w:p>
        </w:tc>
        <w:tc>
          <w:tcPr>
            <w:tcW w:w="868" w:type="dxa"/>
            <w:tcBorders>
              <w:top w:val="single" w:sz="4" w:space="0" w:color="auto"/>
            </w:tcBorders>
            <w:vAlign w:val="center"/>
          </w:tcPr>
          <w:p w14:paraId="727BB216" w14:textId="77777777" w:rsidR="004515FC" w:rsidRPr="000B3838" w:rsidRDefault="004515FC" w:rsidP="0029161D">
            <w:pPr>
              <w:spacing w:before="20" w:after="20"/>
              <w:jc w:val="right"/>
              <w:rPr>
                <w:noProof/>
                <w:sz w:val="20"/>
              </w:rPr>
            </w:pPr>
          </w:p>
        </w:tc>
        <w:tc>
          <w:tcPr>
            <w:tcW w:w="868" w:type="dxa"/>
            <w:tcBorders>
              <w:top w:val="single" w:sz="4" w:space="0" w:color="auto"/>
            </w:tcBorders>
            <w:vAlign w:val="center"/>
          </w:tcPr>
          <w:p w14:paraId="0E6BDA79" w14:textId="77777777" w:rsidR="004515FC" w:rsidRPr="000B3838" w:rsidRDefault="004515FC" w:rsidP="0029161D">
            <w:pPr>
              <w:spacing w:before="20" w:after="20"/>
              <w:jc w:val="right"/>
              <w:rPr>
                <w:noProof/>
                <w:sz w:val="20"/>
              </w:rPr>
            </w:pPr>
          </w:p>
        </w:tc>
        <w:tc>
          <w:tcPr>
            <w:tcW w:w="868" w:type="dxa"/>
            <w:tcBorders>
              <w:top w:val="single" w:sz="4" w:space="0" w:color="auto"/>
            </w:tcBorders>
            <w:vAlign w:val="center"/>
          </w:tcPr>
          <w:p w14:paraId="5AA91DC3" w14:textId="77777777" w:rsidR="004515FC" w:rsidRPr="000B3838" w:rsidRDefault="004515FC" w:rsidP="0029161D">
            <w:pPr>
              <w:spacing w:before="20" w:after="20"/>
              <w:jc w:val="right"/>
              <w:rPr>
                <w:noProof/>
                <w:sz w:val="20"/>
              </w:rPr>
            </w:pPr>
          </w:p>
        </w:tc>
        <w:tc>
          <w:tcPr>
            <w:tcW w:w="868" w:type="dxa"/>
            <w:tcBorders>
              <w:top w:val="single" w:sz="4" w:space="0" w:color="auto"/>
            </w:tcBorders>
            <w:vAlign w:val="center"/>
          </w:tcPr>
          <w:p w14:paraId="24E79875" w14:textId="77777777" w:rsidR="004515FC" w:rsidRPr="000B3838" w:rsidRDefault="004515FC" w:rsidP="0029161D">
            <w:pPr>
              <w:spacing w:before="20" w:after="20"/>
              <w:jc w:val="right"/>
              <w:rPr>
                <w:noProof/>
                <w:sz w:val="20"/>
              </w:rPr>
            </w:pPr>
          </w:p>
        </w:tc>
        <w:tc>
          <w:tcPr>
            <w:tcW w:w="868" w:type="dxa"/>
            <w:tcBorders>
              <w:top w:val="single" w:sz="4" w:space="0" w:color="auto"/>
            </w:tcBorders>
            <w:vAlign w:val="center"/>
          </w:tcPr>
          <w:p w14:paraId="63D09971" w14:textId="77777777" w:rsidR="004515FC" w:rsidRPr="000B3838" w:rsidRDefault="004515FC" w:rsidP="0029161D">
            <w:pPr>
              <w:spacing w:before="20" w:after="20"/>
              <w:jc w:val="right"/>
              <w:rPr>
                <w:noProof/>
                <w:sz w:val="20"/>
              </w:rPr>
            </w:pPr>
          </w:p>
        </w:tc>
        <w:tc>
          <w:tcPr>
            <w:tcW w:w="868" w:type="dxa"/>
            <w:tcBorders>
              <w:top w:val="single" w:sz="4" w:space="0" w:color="auto"/>
            </w:tcBorders>
            <w:vAlign w:val="center"/>
          </w:tcPr>
          <w:p w14:paraId="549B7531" w14:textId="77777777" w:rsidR="004515FC" w:rsidRPr="000B3838" w:rsidRDefault="004515FC" w:rsidP="0029161D">
            <w:pPr>
              <w:spacing w:before="20" w:after="20"/>
              <w:jc w:val="right"/>
              <w:rPr>
                <w:b/>
                <w:noProof/>
                <w:sz w:val="20"/>
              </w:rPr>
            </w:pPr>
          </w:p>
        </w:tc>
        <w:tc>
          <w:tcPr>
            <w:tcW w:w="1777" w:type="dxa"/>
            <w:tcBorders>
              <w:top w:val="single" w:sz="4" w:space="0" w:color="auto"/>
              <w:right w:val="single" w:sz="4" w:space="0" w:color="auto"/>
            </w:tcBorders>
            <w:vAlign w:val="center"/>
          </w:tcPr>
          <w:p w14:paraId="6AEBBD47" w14:textId="77777777" w:rsidR="004515FC" w:rsidRPr="000B3838" w:rsidRDefault="004515FC" w:rsidP="0029161D">
            <w:pPr>
              <w:spacing w:before="20" w:after="20"/>
              <w:jc w:val="right"/>
              <w:rPr>
                <w:b/>
                <w:noProof/>
                <w:sz w:val="20"/>
              </w:rPr>
            </w:pPr>
          </w:p>
        </w:tc>
      </w:tr>
      <w:tr w:rsidR="003C6DC3" w:rsidRPr="000B3838" w14:paraId="445CA6CE" w14:textId="77777777">
        <w:tc>
          <w:tcPr>
            <w:tcW w:w="3960" w:type="dxa"/>
            <w:vMerge/>
            <w:tcBorders>
              <w:top w:val="single" w:sz="4" w:space="0" w:color="FF0000"/>
              <w:left w:val="single" w:sz="4" w:space="0" w:color="auto"/>
              <w:bottom w:val="single" w:sz="4" w:space="0" w:color="FF0000"/>
            </w:tcBorders>
          </w:tcPr>
          <w:p w14:paraId="7331A01C" w14:textId="77777777" w:rsidR="004515FC" w:rsidRPr="000B3838" w:rsidRDefault="004515FC" w:rsidP="0029161D">
            <w:pPr>
              <w:jc w:val="center"/>
              <w:rPr>
                <w:noProof/>
                <w:sz w:val="20"/>
              </w:rPr>
            </w:pPr>
          </w:p>
        </w:tc>
        <w:tc>
          <w:tcPr>
            <w:tcW w:w="1440" w:type="dxa"/>
            <w:vAlign w:val="center"/>
          </w:tcPr>
          <w:p w14:paraId="51D855AC" w14:textId="77777777" w:rsidR="004515FC" w:rsidRPr="000B3838" w:rsidRDefault="004515FC" w:rsidP="0029161D">
            <w:pPr>
              <w:spacing w:beforeLines="20" w:before="48" w:afterLines="20" w:after="48"/>
              <w:rPr>
                <w:noProof/>
                <w:sz w:val="18"/>
              </w:rPr>
            </w:pPr>
            <w:r w:rsidRPr="000B3838">
              <w:rPr>
                <w:noProof/>
                <w:sz w:val="18"/>
              </w:rPr>
              <w:t>Plaćanja</w:t>
            </w:r>
          </w:p>
        </w:tc>
        <w:tc>
          <w:tcPr>
            <w:tcW w:w="654" w:type="dxa"/>
            <w:vAlign w:val="center"/>
          </w:tcPr>
          <w:p w14:paraId="735B78EE" w14:textId="77777777" w:rsidR="004515FC" w:rsidRPr="000B3838" w:rsidRDefault="004515FC" w:rsidP="0029161D">
            <w:pPr>
              <w:spacing w:beforeLines="20" w:before="48" w:afterLines="20" w:after="48"/>
              <w:jc w:val="center"/>
              <w:rPr>
                <w:noProof/>
                <w:sz w:val="14"/>
              </w:rPr>
            </w:pPr>
            <w:r w:rsidRPr="000B3838">
              <w:rPr>
                <w:noProof/>
                <w:sz w:val="14"/>
              </w:rPr>
              <w:t>(5)</w:t>
            </w:r>
          </w:p>
        </w:tc>
        <w:tc>
          <w:tcPr>
            <w:tcW w:w="868" w:type="dxa"/>
            <w:vAlign w:val="center"/>
          </w:tcPr>
          <w:p w14:paraId="173B2D50" w14:textId="77777777" w:rsidR="004515FC" w:rsidRPr="000B3838" w:rsidRDefault="004515FC" w:rsidP="0029161D">
            <w:pPr>
              <w:spacing w:before="20" w:after="20"/>
              <w:jc w:val="right"/>
              <w:rPr>
                <w:noProof/>
                <w:sz w:val="20"/>
              </w:rPr>
            </w:pPr>
          </w:p>
        </w:tc>
        <w:tc>
          <w:tcPr>
            <w:tcW w:w="868" w:type="dxa"/>
            <w:vAlign w:val="center"/>
          </w:tcPr>
          <w:p w14:paraId="54460A70" w14:textId="77777777" w:rsidR="004515FC" w:rsidRPr="000B3838" w:rsidRDefault="004515FC" w:rsidP="0029161D">
            <w:pPr>
              <w:spacing w:before="20" w:after="20"/>
              <w:jc w:val="right"/>
              <w:rPr>
                <w:noProof/>
                <w:sz w:val="20"/>
              </w:rPr>
            </w:pPr>
          </w:p>
        </w:tc>
        <w:tc>
          <w:tcPr>
            <w:tcW w:w="868" w:type="dxa"/>
            <w:vAlign w:val="center"/>
          </w:tcPr>
          <w:p w14:paraId="1E0B4341" w14:textId="77777777" w:rsidR="004515FC" w:rsidRPr="000B3838" w:rsidRDefault="004515FC" w:rsidP="0029161D">
            <w:pPr>
              <w:spacing w:before="20" w:after="20"/>
              <w:jc w:val="right"/>
              <w:rPr>
                <w:noProof/>
                <w:sz w:val="20"/>
              </w:rPr>
            </w:pPr>
          </w:p>
        </w:tc>
        <w:tc>
          <w:tcPr>
            <w:tcW w:w="868" w:type="dxa"/>
            <w:vAlign w:val="center"/>
          </w:tcPr>
          <w:p w14:paraId="311FE2EA" w14:textId="77777777" w:rsidR="004515FC" w:rsidRPr="000B3838" w:rsidRDefault="004515FC" w:rsidP="0029161D">
            <w:pPr>
              <w:spacing w:before="20" w:after="20"/>
              <w:jc w:val="right"/>
              <w:rPr>
                <w:noProof/>
                <w:sz w:val="20"/>
              </w:rPr>
            </w:pPr>
          </w:p>
        </w:tc>
        <w:tc>
          <w:tcPr>
            <w:tcW w:w="868" w:type="dxa"/>
            <w:vAlign w:val="center"/>
          </w:tcPr>
          <w:p w14:paraId="2F50FDBB" w14:textId="77777777" w:rsidR="004515FC" w:rsidRPr="000B3838" w:rsidRDefault="004515FC" w:rsidP="0029161D">
            <w:pPr>
              <w:spacing w:before="20" w:after="20"/>
              <w:jc w:val="right"/>
              <w:rPr>
                <w:noProof/>
                <w:sz w:val="20"/>
              </w:rPr>
            </w:pPr>
          </w:p>
        </w:tc>
        <w:tc>
          <w:tcPr>
            <w:tcW w:w="868" w:type="dxa"/>
            <w:vAlign w:val="center"/>
          </w:tcPr>
          <w:p w14:paraId="5122B6CA" w14:textId="77777777" w:rsidR="004515FC" w:rsidRPr="000B3838" w:rsidRDefault="004515FC" w:rsidP="0029161D">
            <w:pPr>
              <w:spacing w:before="20" w:after="20"/>
              <w:jc w:val="right"/>
              <w:rPr>
                <w:noProof/>
                <w:sz w:val="20"/>
              </w:rPr>
            </w:pPr>
          </w:p>
        </w:tc>
        <w:tc>
          <w:tcPr>
            <w:tcW w:w="868" w:type="dxa"/>
            <w:vAlign w:val="center"/>
          </w:tcPr>
          <w:p w14:paraId="3BCB44A4" w14:textId="77777777" w:rsidR="004515FC" w:rsidRPr="000B3838" w:rsidRDefault="004515FC" w:rsidP="0029161D">
            <w:pPr>
              <w:spacing w:before="20" w:after="20"/>
              <w:jc w:val="right"/>
              <w:rPr>
                <w:b/>
                <w:noProof/>
                <w:sz w:val="20"/>
              </w:rPr>
            </w:pPr>
          </w:p>
        </w:tc>
        <w:tc>
          <w:tcPr>
            <w:tcW w:w="1777" w:type="dxa"/>
            <w:tcBorders>
              <w:right w:val="single" w:sz="4" w:space="0" w:color="auto"/>
            </w:tcBorders>
            <w:vAlign w:val="center"/>
          </w:tcPr>
          <w:p w14:paraId="00151894" w14:textId="77777777" w:rsidR="004515FC" w:rsidRPr="000B3838" w:rsidRDefault="004515FC" w:rsidP="0029161D">
            <w:pPr>
              <w:spacing w:before="20" w:after="20"/>
              <w:jc w:val="right"/>
              <w:rPr>
                <w:b/>
                <w:noProof/>
                <w:sz w:val="20"/>
              </w:rPr>
            </w:pPr>
          </w:p>
        </w:tc>
      </w:tr>
      <w:tr w:rsidR="00DB3050" w:rsidRPr="000B3838" w14:paraId="19D575E8" w14:textId="7777777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3177F9CA" w14:textId="77777777" w:rsidR="004515FC" w:rsidRPr="000B3838" w:rsidRDefault="004515FC" w:rsidP="0029161D">
            <w:pPr>
              <w:spacing w:beforeLines="20" w:before="48" w:afterLines="20" w:after="48"/>
              <w:rPr>
                <w:noProof/>
              </w:rPr>
            </w:pPr>
            <w:r w:rsidRPr="000B3838">
              <w:rPr>
                <w:noProof/>
                <w:sz w:val="21"/>
              </w:rPr>
              <w:t xml:space="preserve"> UKUPNA administrativna odobrena sredstva koja se financiraju iz omotnice za posebne programe (svi naslovi za poslovanje)</w:t>
            </w:r>
          </w:p>
        </w:tc>
        <w:tc>
          <w:tcPr>
            <w:tcW w:w="654" w:type="dxa"/>
            <w:vAlign w:val="center"/>
          </w:tcPr>
          <w:p w14:paraId="62B69066" w14:textId="77777777" w:rsidR="004515FC" w:rsidRPr="000B3838" w:rsidRDefault="004515FC" w:rsidP="0029161D">
            <w:pPr>
              <w:rPr>
                <w:noProof/>
              </w:rPr>
            </w:pPr>
          </w:p>
          <w:p w14:paraId="10CE86FA" w14:textId="77777777" w:rsidR="004515FC" w:rsidRPr="000B3838" w:rsidRDefault="004515FC" w:rsidP="0029161D">
            <w:pPr>
              <w:spacing w:beforeLines="20" w:before="48" w:afterLines="20" w:after="48"/>
              <w:jc w:val="center"/>
              <w:rPr>
                <w:noProof/>
                <w:sz w:val="14"/>
              </w:rPr>
            </w:pPr>
            <w:r w:rsidRPr="000B3838">
              <w:rPr>
                <w:noProof/>
                <w:sz w:val="14"/>
              </w:rPr>
              <w:t>(6)</w:t>
            </w:r>
          </w:p>
        </w:tc>
        <w:tc>
          <w:tcPr>
            <w:tcW w:w="868" w:type="dxa"/>
            <w:vAlign w:val="center"/>
          </w:tcPr>
          <w:p w14:paraId="5E1CEA34" w14:textId="77777777" w:rsidR="004515FC" w:rsidRPr="000B3838" w:rsidRDefault="004515FC" w:rsidP="0029161D">
            <w:pPr>
              <w:spacing w:before="20" w:after="20"/>
              <w:jc w:val="right"/>
              <w:rPr>
                <w:b/>
                <w:noProof/>
                <w:sz w:val="20"/>
              </w:rPr>
            </w:pPr>
          </w:p>
        </w:tc>
        <w:tc>
          <w:tcPr>
            <w:tcW w:w="868" w:type="dxa"/>
            <w:vAlign w:val="center"/>
          </w:tcPr>
          <w:p w14:paraId="1651AE60" w14:textId="77777777" w:rsidR="004515FC" w:rsidRPr="000B3838" w:rsidRDefault="004515FC" w:rsidP="0029161D">
            <w:pPr>
              <w:spacing w:before="20" w:after="20"/>
              <w:jc w:val="right"/>
              <w:rPr>
                <w:b/>
                <w:noProof/>
                <w:sz w:val="20"/>
              </w:rPr>
            </w:pPr>
          </w:p>
        </w:tc>
        <w:tc>
          <w:tcPr>
            <w:tcW w:w="868" w:type="dxa"/>
            <w:vAlign w:val="center"/>
          </w:tcPr>
          <w:p w14:paraId="569B586A" w14:textId="77777777" w:rsidR="004515FC" w:rsidRPr="000B3838" w:rsidRDefault="004515FC" w:rsidP="0029161D">
            <w:pPr>
              <w:spacing w:before="20" w:after="20"/>
              <w:jc w:val="right"/>
              <w:rPr>
                <w:b/>
                <w:noProof/>
                <w:sz w:val="20"/>
              </w:rPr>
            </w:pPr>
          </w:p>
        </w:tc>
        <w:tc>
          <w:tcPr>
            <w:tcW w:w="868" w:type="dxa"/>
            <w:vAlign w:val="center"/>
          </w:tcPr>
          <w:p w14:paraId="209BB58C" w14:textId="77777777" w:rsidR="004515FC" w:rsidRPr="000B3838" w:rsidRDefault="004515FC" w:rsidP="0029161D">
            <w:pPr>
              <w:spacing w:before="20" w:after="20"/>
              <w:jc w:val="right"/>
              <w:rPr>
                <w:b/>
                <w:noProof/>
                <w:sz w:val="20"/>
              </w:rPr>
            </w:pPr>
          </w:p>
        </w:tc>
        <w:tc>
          <w:tcPr>
            <w:tcW w:w="868" w:type="dxa"/>
            <w:vAlign w:val="center"/>
          </w:tcPr>
          <w:p w14:paraId="109089F0" w14:textId="77777777" w:rsidR="004515FC" w:rsidRPr="000B3838" w:rsidRDefault="004515FC" w:rsidP="0029161D">
            <w:pPr>
              <w:spacing w:before="20" w:after="20"/>
              <w:jc w:val="right"/>
              <w:rPr>
                <w:b/>
                <w:noProof/>
                <w:sz w:val="20"/>
              </w:rPr>
            </w:pPr>
          </w:p>
        </w:tc>
        <w:tc>
          <w:tcPr>
            <w:tcW w:w="868" w:type="dxa"/>
            <w:vAlign w:val="center"/>
          </w:tcPr>
          <w:p w14:paraId="14087A02" w14:textId="77777777" w:rsidR="004515FC" w:rsidRPr="000B3838" w:rsidRDefault="004515FC" w:rsidP="0029161D">
            <w:pPr>
              <w:spacing w:before="20" w:after="20"/>
              <w:jc w:val="right"/>
              <w:rPr>
                <w:b/>
                <w:noProof/>
                <w:sz w:val="20"/>
              </w:rPr>
            </w:pPr>
          </w:p>
        </w:tc>
        <w:tc>
          <w:tcPr>
            <w:tcW w:w="868" w:type="dxa"/>
            <w:vAlign w:val="center"/>
          </w:tcPr>
          <w:p w14:paraId="243D4C96" w14:textId="77777777" w:rsidR="004515FC" w:rsidRPr="000B3838" w:rsidRDefault="004515FC" w:rsidP="0029161D">
            <w:pPr>
              <w:spacing w:before="20" w:after="20"/>
              <w:jc w:val="right"/>
              <w:rPr>
                <w:b/>
                <w:noProof/>
                <w:sz w:val="20"/>
              </w:rPr>
            </w:pPr>
          </w:p>
        </w:tc>
        <w:tc>
          <w:tcPr>
            <w:tcW w:w="1777" w:type="dxa"/>
            <w:vAlign w:val="center"/>
          </w:tcPr>
          <w:p w14:paraId="5EAFD043" w14:textId="77777777" w:rsidR="004515FC" w:rsidRPr="000B3838" w:rsidRDefault="004515FC" w:rsidP="0029161D">
            <w:pPr>
              <w:spacing w:before="20" w:after="20"/>
              <w:jc w:val="right"/>
              <w:rPr>
                <w:b/>
                <w:noProof/>
                <w:sz w:val="20"/>
              </w:rPr>
            </w:pPr>
          </w:p>
        </w:tc>
      </w:tr>
      <w:tr w:rsidR="00291B69" w:rsidRPr="000B3838" w14:paraId="78973F91" w14:textId="77777777">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D18F769" w14:textId="1A4AC7CF" w:rsidR="004515FC" w:rsidRPr="000B3838" w:rsidRDefault="004515FC" w:rsidP="0029161D">
            <w:pPr>
              <w:jc w:val="center"/>
              <w:rPr>
                <w:b/>
                <w:noProof/>
              </w:rPr>
            </w:pPr>
            <w:r w:rsidRPr="000B3838">
              <w:rPr>
                <w:b/>
                <w:noProof/>
                <w:sz w:val="22"/>
              </w:rPr>
              <w:t>UKUPNA odobrena sredstva</w:t>
            </w:r>
            <w:r w:rsidRPr="000B3838">
              <w:rPr>
                <w:noProof/>
              </w:rPr>
              <w:br/>
            </w:r>
            <w:r w:rsidRPr="000B3838">
              <w:rPr>
                <w:b/>
                <w:noProof/>
                <w:sz w:val="22"/>
              </w:rPr>
              <w:t>iz NASLOVA 1.–6.</w:t>
            </w:r>
            <w:r w:rsidRPr="000B3838">
              <w:rPr>
                <w:noProof/>
              </w:rPr>
              <w:br/>
            </w:r>
            <w:r w:rsidRPr="000B3838">
              <w:rPr>
                <w:noProof/>
                <w:sz w:val="22"/>
              </w:rPr>
              <w:t>višegodišnjeg financijskog okvira</w:t>
            </w:r>
            <w:r w:rsidRPr="000B3838">
              <w:rPr>
                <w:noProof/>
              </w:rPr>
              <w:br/>
            </w:r>
            <w:r w:rsidRPr="000B3838">
              <w:rPr>
                <w:noProof/>
                <w:sz w:val="20"/>
              </w:rPr>
              <w:t>(referentni iznos)</w:t>
            </w:r>
          </w:p>
        </w:tc>
        <w:tc>
          <w:tcPr>
            <w:tcW w:w="1440" w:type="dxa"/>
            <w:vAlign w:val="center"/>
          </w:tcPr>
          <w:p w14:paraId="31D83E7A" w14:textId="77777777" w:rsidR="004515FC" w:rsidRPr="000B3838" w:rsidRDefault="004515FC" w:rsidP="0029161D">
            <w:pPr>
              <w:rPr>
                <w:noProof/>
                <w:sz w:val="18"/>
              </w:rPr>
            </w:pPr>
            <w:r w:rsidRPr="000B3838">
              <w:rPr>
                <w:noProof/>
                <w:sz w:val="18"/>
              </w:rPr>
              <w:t>Obveze</w:t>
            </w:r>
          </w:p>
        </w:tc>
        <w:tc>
          <w:tcPr>
            <w:tcW w:w="654" w:type="dxa"/>
            <w:vAlign w:val="center"/>
          </w:tcPr>
          <w:p w14:paraId="4FE1A529" w14:textId="77777777" w:rsidR="004515FC" w:rsidRPr="000B3838" w:rsidRDefault="004515FC" w:rsidP="0029161D">
            <w:pPr>
              <w:jc w:val="center"/>
              <w:rPr>
                <w:noProof/>
                <w:sz w:val="14"/>
              </w:rPr>
            </w:pPr>
            <w:r w:rsidRPr="000B3838">
              <w:rPr>
                <w:noProof/>
                <w:sz w:val="14"/>
              </w:rPr>
              <w:t>=4+6</w:t>
            </w:r>
          </w:p>
        </w:tc>
        <w:tc>
          <w:tcPr>
            <w:tcW w:w="868" w:type="dxa"/>
            <w:vAlign w:val="center"/>
          </w:tcPr>
          <w:p w14:paraId="1E8A03BE" w14:textId="77777777" w:rsidR="004515FC" w:rsidRPr="000B3838" w:rsidRDefault="004515FC" w:rsidP="0029161D">
            <w:pPr>
              <w:spacing w:before="20" w:after="20"/>
              <w:jc w:val="right"/>
              <w:rPr>
                <w:noProof/>
                <w:sz w:val="20"/>
              </w:rPr>
            </w:pPr>
          </w:p>
        </w:tc>
        <w:tc>
          <w:tcPr>
            <w:tcW w:w="868" w:type="dxa"/>
            <w:vAlign w:val="center"/>
          </w:tcPr>
          <w:p w14:paraId="2FBE4E71" w14:textId="77777777" w:rsidR="004515FC" w:rsidRPr="000B3838" w:rsidRDefault="004515FC" w:rsidP="0029161D">
            <w:pPr>
              <w:spacing w:before="20" w:after="20"/>
              <w:jc w:val="right"/>
              <w:rPr>
                <w:noProof/>
                <w:sz w:val="20"/>
              </w:rPr>
            </w:pPr>
          </w:p>
        </w:tc>
        <w:tc>
          <w:tcPr>
            <w:tcW w:w="868" w:type="dxa"/>
            <w:vAlign w:val="center"/>
          </w:tcPr>
          <w:p w14:paraId="32D4044B" w14:textId="77777777" w:rsidR="004515FC" w:rsidRPr="000B3838" w:rsidRDefault="004515FC" w:rsidP="0029161D">
            <w:pPr>
              <w:spacing w:before="20" w:after="20"/>
              <w:jc w:val="right"/>
              <w:rPr>
                <w:noProof/>
                <w:sz w:val="20"/>
              </w:rPr>
            </w:pPr>
          </w:p>
        </w:tc>
        <w:tc>
          <w:tcPr>
            <w:tcW w:w="868" w:type="dxa"/>
            <w:vAlign w:val="center"/>
          </w:tcPr>
          <w:p w14:paraId="0AB5706A" w14:textId="77777777" w:rsidR="004515FC" w:rsidRPr="000B3838" w:rsidRDefault="004515FC" w:rsidP="0029161D">
            <w:pPr>
              <w:spacing w:before="20" w:after="20"/>
              <w:jc w:val="right"/>
              <w:rPr>
                <w:noProof/>
                <w:sz w:val="20"/>
              </w:rPr>
            </w:pPr>
          </w:p>
        </w:tc>
        <w:tc>
          <w:tcPr>
            <w:tcW w:w="868" w:type="dxa"/>
            <w:vAlign w:val="center"/>
          </w:tcPr>
          <w:p w14:paraId="6DA64AB4" w14:textId="77777777" w:rsidR="004515FC" w:rsidRPr="000B3838" w:rsidRDefault="004515FC" w:rsidP="0029161D">
            <w:pPr>
              <w:spacing w:before="20" w:after="20"/>
              <w:jc w:val="right"/>
              <w:rPr>
                <w:noProof/>
                <w:sz w:val="20"/>
              </w:rPr>
            </w:pPr>
          </w:p>
        </w:tc>
        <w:tc>
          <w:tcPr>
            <w:tcW w:w="868" w:type="dxa"/>
            <w:vAlign w:val="center"/>
          </w:tcPr>
          <w:p w14:paraId="1F8CBE13" w14:textId="77777777" w:rsidR="004515FC" w:rsidRPr="000B3838" w:rsidRDefault="004515FC" w:rsidP="0029161D">
            <w:pPr>
              <w:spacing w:before="20" w:after="20"/>
              <w:jc w:val="right"/>
              <w:rPr>
                <w:noProof/>
                <w:sz w:val="20"/>
              </w:rPr>
            </w:pPr>
          </w:p>
        </w:tc>
        <w:tc>
          <w:tcPr>
            <w:tcW w:w="868" w:type="dxa"/>
            <w:vAlign w:val="center"/>
          </w:tcPr>
          <w:p w14:paraId="75649AEB" w14:textId="77777777" w:rsidR="004515FC" w:rsidRPr="000B3838" w:rsidRDefault="004515FC" w:rsidP="0029161D">
            <w:pPr>
              <w:spacing w:before="20" w:after="20"/>
              <w:jc w:val="right"/>
              <w:rPr>
                <w:b/>
                <w:noProof/>
                <w:sz w:val="20"/>
              </w:rPr>
            </w:pPr>
          </w:p>
        </w:tc>
        <w:tc>
          <w:tcPr>
            <w:tcW w:w="1777" w:type="dxa"/>
            <w:tcBorders>
              <w:right w:val="single" w:sz="4" w:space="0" w:color="auto"/>
            </w:tcBorders>
            <w:vAlign w:val="center"/>
          </w:tcPr>
          <w:p w14:paraId="2F98162B" w14:textId="77777777" w:rsidR="004515FC" w:rsidRPr="000B3838" w:rsidRDefault="004515FC" w:rsidP="0029161D">
            <w:pPr>
              <w:spacing w:before="20" w:after="20"/>
              <w:jc w:val="right"/>
              <w:rPr>
                <w:b/>
                <w:noProof/>
                <w:sz w:val="20"/>
              </w:rPr>
            </w:pPr>
          </w:p>
        </w:tc>
      </w:tr>
      <w:tr w:rsidR="00291B69" w:rsidRPr="000B3838" w14:paraId="0B3C05E9" w14:textId="77777777">
        <w:tc>
          <w:tcPr>
            <w:tcW w:w="3960" w:type="dxa"/>
            <w:vMerge/>
            <w:tcBorders>
              <w:top w:val="single" w:sz="4" w:space="0" w:color="FF0000"/>
              <w:left w:val="single" w:sz="4" w:space="0" w:color="auto"/>
              <w:bottom w:val="single" w:sz="4" w:space="0" w:color="auto"/>
            </w:tcBorders>
            <w:shd w:val="thinDiagStripe" w:color="C0C0C0" w:fill="auto"/>
          </w:tcPr>
          <w:p w14:paraId="5D6E969C" w14:textId="77777777" w:rsidR="004515FC" w:rsidRPr="000B3838" w:rsidRDefault="004515FC" w:rsidP="0029161D">
            <w:pPr>
              <w:rPr>
                <w:noProof/>
                <w:sz w:val="20"/>
              </w:rPr>
            </w:pPr>
          </w:p>
        </w:tc>
        <w:tc>
          <w:tcPr>
            <w:tcW w:w="1440" w:type="dxa"/>
            <w:tcBorders>
              <w:bottom w:val="single" w:sz="4" w:space="0" w:color="auto"/>
            </w:tcBorders>
            <w:vAlign w:val="center"/>
          </w:tcPr>
          <w:p w14:paraId="7694BF1A" w14:textId="77777777" w:rsidR="004515FC" w:rsidRPr="000B3838" w:rsidRDefault="004515FC" w:rsidP="0029161D">
            <w:pPr>
              <w:rPr>
                <w:noProof/>
                <w:sz w:val="18"/>
              </w:rPr>
            </w:pPr>
            <w:r w:rsidRPr="000B3838">
              <w:rPr>
                <w:noProof/>
                <w:sz w:val="18"/>
              </w:rPr>
              <w:t>Plaćanja</w:t>
            </w:r>
          </w:p>
        </w:tc>
        <w:tc>
          <w:tcPr>
            <w:tcW w:w="654" w:type="dxa"/>
            <w:tcBorders>
              <w:bottom w:val="single" w:sz="4" w:space="0" w:color="auto"/>
            </w:tcBorders>
            <w:vAlign w:val="center"/>
          </w:tcPr>
          <w:p w14:paraId="43743FE2" w14:textId="77777777" w:rsidR="004515FC" w:rsidRPr="000B3838" w:rsidRDefault="004515FC" w:rsidP="0029161D">
            <w:pPr>
              <w:jc w:val="center"/>
              <w:rPr>
                <w:noProof/>
                <w:sz w:val="14"/>
              </w:rPr>
            </w:pPr>
            <w:r w:rsidRPr="000B3838">
              <w:rPr>
                <w:noProof/>
                <w:sz w:val="14"/>
              </w:rPr>
              <w:t>=5+6</w:t>
            </w:r>
          </w:p>
        </w:tc>
        <w:tc>
          <w:tcPr>
            <w:tcW w:w="868" w:type="dxa"/>
            <w:tcBorders>
              <w:bottom w:val="single" w:sz="4" w:space="0" w:color="auto"/>
            </w:tcBorders>
            <w:vAlign w:val="center"/>
          </w:tcPr>
          <w:p w14:paraId="5DC38942" w14:textId="77777777" w:rsidR="004515FC" w:rsidRPr="000B3838" w:rsidRDefault="004515FC" w:rsidP="0029161D">
            <w:pPr>
              <w:spacing w:before="20" w:after="20"/>
              <w:jc w:val="right"/>
              <w:rPr>
                <w:noProof/>
                <w:sz w:val="20"/>
              </w:rPr>
            </w:pPr>
          </w:p>
        </w:tc>
        <w:tc>
          <w:tcPr>
            <w:tcW w:w="868" w:type="dxa"/>
            <w:tcBorders>
              <w:bottom w:val="single" w:sz="4" w:space="0" w:color="auto"/>
            </w:tcBorders>
            <w:vAlign w:val="center"/>
          </w:tcPr>
          <w:p w14:paraId="31757FBF" w14:textId="77777777" w:rsidR="004515FC" w:rsidRPr="000B3838" w:rsidRDefault="004515FC" w:rsidP="0029161D">
            <w:pPr>
              <w:spacing w:before="20" w:after="20"/>
              <w:jc w:val="right"/>
              <w:rPr>
                <w:noProof/>
                <w:sz w:val="20"/>
              </w:rPr>
            </w:pPr>
          </w:p>
        </w:tc>
        <w:tc>
          <w:tcPr>
            <w:tcW w:w="868" w:type="dxa"/>
            <w:tcBorders>
              <w:bottom w:val="single" w:sz="4" w:space="0" w:color="auto"/>
            </w:tcBorders>
            <w:vAlign w:val="center"/>
          </w:tcPr>
          <w:p w14:paraId="03B282E7" w14:textId="77777777" w:rsidR="004515FC" w:rsidRPr="000B3838" w:rsidRDefault="004515FC" w:rsidP="0029161D">
            <w:pPr>
              <w:spacing w:before="20" w:after="20"/>
              <w:jc w:val="right"/>
              <w:rPr>
                <w:noProof/>
                <w:sz w:val="20"/>
              </w:rPr>
            </w:pPr>
          </w:p>
        </w:tc>
        <w:tc>
          <w:tcPr>
            <w:tcW w:w="868" w:type="dxa"/>
            <w:tcBorders>
              <w:bottom w:val="single" w:sz="4" w:space="0" w:color="auto"/>
            </w:tcBorders>
            <w:vAlign w:val="center"/>
          </w:tcPr>
          <w:p w14:paraId="72549A74" w14:textId="77777777" w:rsidR="004515FC" w:rsidRPr="000B3838" w:rsidRDefault="004515FC" w:rsidP="0029161D">
            <w:pPr>
              <w:spacing w:before="20" w:after="20"/>
              <w:jc w:val="right"/>
              <w:rPr>
                <w:noProof/>
                <w:sz w:val="20"/>
              </w:rPr>
            </w:pPr>
          </w:p>
        </w:tc>
        <w:tc>
          <w:tcPr>
            <w:tcW w:w="868" w:type="dxa"/>
            <w:tcBorders>
              <w:bottom w:val="single" w:sz="4" w:space="0" w:color="auto"/>
            </w:tcBorders>
            <w:vAlign w:val="center"/>
          </w:tcPr>
          <w:p w14:paraId="32B6395F" w14:textId="77777777" w:rsidR="004515FC" w:rsidRPr="000B3838" w:rsidRDefault="004515FC" w:rsidP="0029161D">
            <w:pPr>
              <w:spacing w:before="20" w:after="20"/>
              <w:jc w:val="right"/>
              <w:rPr>
                <w:noProof/>
                <w:sz w:val="20"/>
              </w:rPr>
            </w:pPr>
          </w:p>
        </w:tc>
        <w:tc>
          <w:tcPr>
            <w:tcW w:w="868" w:type="dxa"/>
            <w:tcBorders>
              <w:bottom w:val="single" w:sz="4" w:space="0" w:color="auto"/>
            </w:tcBorders>
            <w:vAlign w:val="center"/>
          </w:tcPr>
          <w:p w14:paraId="13C3B447" w14:textId="77777777" w:rsidR="004515FC" w:rsidRPr="000B3838" w:rsidRDefault="004515FC" w:rsidP="0029161D">
            <w:pPr>
              <w:spacing w:before="20" w:after="20"/>
              <w:jc w:val="right"/>
              <w:rPr>
                <w:noProof/>
                <w:sz w:val="20"/>
              </w:rPr>
            </w:pPr>
          </w:p>
        </w:tc>
        <w:tc>
          <w:tcPr>
            <w:tcW w:w="868" w:type="dxa"/>
            <w:tcBorders>
              <w:bottom w:val="single" w:sz="4" w:space="0" w:color="auto"/>
            </w:tcBorders>
            <w:vAlign w:val="center"/>
          </w:tcPr>
          <w:p w14:paraId="55E7B533" w14:textId="77777777" w:rsidR="004515FC" w:rsidRPr="000B3838" w:rsidRDefault="004515FC" w:rsidP="0029161D">
            <w:pPr>
              <w:spacing w:before="20" w:after="20"/>
              <w:jc w:val="right"/>
              <w:rPr>
                <w:b/>
                <w:noProof/>
                <w:sz w:val="20"/>
              </w:rPr>
            </w:pPr>
          </w:p>
        </w:tc>
        <w:tc>
          <w:tcPr>
            <w:tcW w:w="1777" w:type="dxa"/>
            <w:tcBorders>
              <w:bottom w:val="single" w:sz="4" w:space="0" w:color="auto"/>
              <w:right w:val="single" w:sz="4" w:space="0" w:color="auto"/>
            </w:tcBorders>
            <w:vAlign w:val="center"/>
          </w:tcPr>
          <w:p w14:paraId="351F4237" w14:textId="77777777" w:rsidR="004515FC" w:rsidRPr="000B3838" w:rsidRDefault="004515FC" w:rsidP="0029161D">
            <w:pPr>
              <w:spacing w:before="20" w:after="20"/>
              <w:jc w:val="right"/>
              <w:rPr>
                <w:b/>
                <w:noProof/>
                <w:sz w:val="20"/>
              </w:rPr>
            </w:pPr>
          </w:p>
        </w:tc>
      </w:tr>
    </w:tbl>
    <w:p w14:paraId="18BB6B87" w14:textId="77777777" w:rsidR="004515FC" w:rsidRPr="000B3838" w:rsidRDefault="004515FC" w:rsidP="004515FC">
      <w:pPr>
        <w:rPr>
          <w:noProof/>
        </w:rPr>
      </w:pPr>
    </w:p>
    <w:p w14:paraId="6918D024" w14:textId="77777777" w:rsidR="004515FC" w:rsidRPr="000B3838" w:rsidRDefault="004515FC" w:rsidP="004515FC">
      <w:pPr>
        <w:spacing w:before="0" w:after="0"/>
        <w:jc w:val="left"/>
        <w:rPr>
          <w:noProof/>
        </w:rPr>
      </w:pPr>
      <w:r w:rsidRPr="000B3838">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0B3838" w14:paraId="3B620D32" w14:textId="77777777" w:rsidTr="0029161D">
        <w:trPr>
          <w:jc w:val="center"/>
        </w:trPr>
        <w:tc>
          <w:tcPr>
            <w:tcW w:w="4744" w:type="dxa"/>
            <w:shd w:val="thinDiagStripe" w:color="C0C0C0" w:fill="auto"/>
            <w:vAlign w:val="center"/>
          </w:tcPr>
          <w:p w14:paraId="77F5D475" w14:textId="02763D9F" w:rsidR="004515FC" w:rsidRPr="000B3838" w:rsidRDefault="004515FC" w:rsidP="0029161D">
            <w:pPr>
              <w:spacing w:before="60" w:after="60"/>
              <w:jc w:val="center"/>
              <w:rPr>
                <w:b/>
                <w:noProof/>
              </w:rPr>
            </w:pPr>
            <w:r w:rsidRPr="000B3838">
              <w:rPr>
                <w:noProof/>
              </w:rPr>
              <w:br w:type="page"/>
            </w:r>
            <w:r w:rsidRPr="000B3838">
              <w:rPr>
                <w:b/>
                <w:noProof/>
                <w:sz w:val="22"/>
              </w:rPr>
              <w:t>Naslov višegodišnjeg financijskog</w:t>
            </w:r>
            <w:r w:rsidRPr="000B3838">
              <w:rPr>
                <w:noProof/>
              </w:rPr>
              <w:br/>
            </w:r>
            <w:r w:rsidRPr="000B3838">
              <w:rPr>
                <w:b/>
                <w:noProof/>
                <w:sz w:val="22"/>
              </w:rPr>
              <w:t xml:space="preserve">okvira </w:t>
            </w:r>
          </w:p>
        </w:tc>
        <w:tc>
          <w:tcPr>
            <w:tcW w:w="1080" w:type="dxa"/>
            <w:shd w:val="thinDiagStripe" w:color="C0C0C0" w:fill="auto"/>
            <w:vAlign w:val="center"/>
          </w:tcPr>
          <w:p w14:paraId="2CE49579" w14:textId="77777777" w:rsidR="004515FC" w:rsidRPr="000B3838" w:rsidRDefault="004515FC" w:rsidP="0029161D">
            <w:pPr>
              <w:spacing w:before="60" w:after="60"/>
              <w:jc w:val="center"/>
              <w:rPr>
                <w:noProof/>
              </w:rPr>
            </w:pPr>
            <w:r w:rsidRPr="000B3838">
              <w:rPr>
                <w:b/>
                <w:noProof/>
                <w:sz w:val="22"/>
              </w:rPr>
              <w:t>7</w:t>
            </w:r>
          </w:p>
        </w:tc>
        <w:tc>
          <w:tcPr>
            <w:tcW w:w="7817" w:type="dxa"/>
            <w:vAlign w:val="center"/>
          </w:tcPr>
          <w:p w14:paraId="58471E4B" w14:textId="77777777" w:rsidR="004515FC" w:rsidRPr="000B3838" w:rsidRDefault="004515FC" w:rsidP="0029161D">
            <w:pPr>
              <w:spacing w:before="60" w:after="60"/>
              <w:rPr>
                <w:noProof/>
              </w:rPr>
            </w:pPr>
            <w:r w:rsidRPr="000B3838">
              <w:rPr>
                <w:noProof/>
                <w:sz w:val="22"/>
              </w:rPr>
              <w:t>„Administrativni rashodi”</w:t>
            </w:r>
          </w:p>
        </w:tc>
      </w:tr>
    </w:tbl>
    <w:p w14:paraId="3BA10ADC" w14:textId="77777777" w:rsidR="004515FC" w:rsidRPr="000B3838" w:rsidRDefault="004515FC" w:rsidP="004515FC">
      <w:pPr>
        <w:jc w:val="right"/>
        <w:rPr>
          <w:noProof/>
          <w:sz w:val="20"/>
        </w:rPr>
      </w:pPr>
      <w:r w:rsidRPr="000B3838">
        <w:rPr>
          <w:noProof/>
          <w:sz w:val="20"/>
        </w:rPr>
        <w:t>U milijunima EUR (do 3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0B3838" w14:paraId="17791E47" w14:textId="77777777">
        <w:tc>
          <w:tcPr>
            <w:tcW w:w="3960" w:type="dxa"/>
            <w:tcBorders>
              <w:top w:val="nil"/>
              <w:left w:val="nil"/>
              <w:right w:val="nil"/>
            </w:tcBorders>
            <w:vAlign w:val="center"/>
          </w:tcPr>
          <w:p w14:paraId="2C2A6FA4" w14:textId="77777777" w:rsidR="004515FC" w:rsidRPr="000B3838" w:rsidRDefault="004515FC" w:rsidP="0029161D">
            <w:pPr>
              <w:jc w:val="center"/>
              <w:rPr>
                <w:noProof/>
              </w:rPr>
            </w:pPr>
          </w:p>
        </w:tc>
        <w:tc>
          <w:tcPr>
            <w:tcW w:w="1560" w:type="dxa"/>
            <w:tcBorders>
              <w:top w:val="nil"/>
              <w:left w:val="nil"/>
              <w:right w:val="nil"/>
            </w:tcBorders>
          </w:tcPr>
          <w:p w14:paraId="7309B89F" w14:textId="77777777" w:rsidR="004515FC" w:rsidRPr="000B3838" w:rsidRDefault="004515FC" w:rsidP="0029161D">
            <w:pPr>
              <w:rPr>
                <w:noProof/>
                <w:sz w:val="20"/>
              </w:rPr>
            </w:pPr>
          </w:p>
        </w:tc>
        <w:tc>
          <w:tcPr>
            <w:tcW w:w="534" w:type="dxa"/>
            <w:tcBorders>
              <w:top w:val="nil"/>
              <w:left w:val="nil"/>
            </w:tcBorders>
          </w:tcPr>
          <w:p w14:paraId="56FCA7FE" w14:textId="77777777" w:rsidR="004515FC" w:rsidRPr="000B3838" w:rsidRDefault="004515FC" w:rsidP="0029161D">
            <w:pPr>
              <w:jc w:val="center"/>
              <w:rPr>
                <w:noProof/>
                <w:sz w:val="20"/>
              </w:rPr>
            </w:pPr>
          </w:p>
        </w:tc>
        <w:tc>
          <w:tcPr>
            <w:tcW w:w="868" w:type="dxa"/>
            <w:vAlign w:val="center"/>
          </w:tcPr>
          <w:p w14:paraId="35C59B68" w14:textId="0D26B1F7"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2026.</w:t>
            </w:r>
          </w:p>
        </w:tc>
        <w:tc>
          <w:tcPr>
            <w:tcW w:w="868" w:type="dxa"/>
            <w:vAlign w:val="center"/>
          </w:tcPr>
          <w:p w14:paraId="78E7C057" w14:textId="208602DD"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2027.</w:t>
            </w:r>
          </w:p>
        </w:tc>
        <w:tc>
          <w:tcPr>
            <w:tcW w:w="1777" w:type="dxa"/>
            <w:vAlign w:val="center"/>
          </w:tcPr>
          <w:p w14:paraId="6DCAC875" w14:textId="77777777" w:rsidR="004515FC" w:rsidRPr="000B3838" w:rsidRDefault="004515FC" w:rsidP="0029161D">
            <w:pPr>
              <w:jc w:val="center"/>
              <w:rPr>
                <w:b/>
                <w:noProof/>
                <w:sz w:val="20"/>
              </w:rPr>
            </w:pPr>
            <w:r w:rsidRPr="000B3838">
              <w:rPr>
                <w:b/>
                <w:noProof/>
                <w:sz w:val="20"/>
              </w:rPr>
              <w:t>UKUPNO (unutar trenutačnog VFO-a</w:t>
            </w:r>
            <w:r w:rsidRPr="000B3838">
              <w:rPr>
                <w:rStyle w:val="FootnoteReference0"/>
                <w:b/>
                <w:noProof/>
                <w:sz w:val="20"/>
              </w:rPr>
              <w:footnoteReference w:id="47"/>
            </w:r>
            <w:r w:rsidRPr="000B3838">
              <w:rPr>
                <w:b/>
                <w:noProof/>
                <w:sz w:val="20"/>
              </w:rPr>
              <w:t>)</w:t>
            </w:r>
          </w:p>
        </w:tc>
      </w:tr>
      <w:tr w:rsidR="00910369" w:rsidRPr="000B3838" w14:paraId="25558AC2" w14:textId="77777777">
        <w:trPr>
          <w:gridAfter w:val="5"/>
          <w:wAfter w:w="5607" w:type="dxa"/>
        </w:trPr>
        <w:tc>
          <w:tcPr>
            <w:tcW w:w="3960" w:type="dxa"/>
            <w:vAlign w:val="center"/>
          </w:tcPr>
          <w:p w14:paraId="1C8B4151" w14:textId="77777777" w:rsidR="004515FC" w:rsidRPr="000B3838" w:rsidRDefault="004515FC" w:rsidP="0029161D">
            <w:pPr>
              <w:spacing w:before="60" w:after="60"/>
              <w:jc w:val="center"/>
              <w:rPr>
                <w:noProof/>
              </w:rPr>
            </w:pPr>
            <w:r w:rsidRPr="000B3838">
              <w:rPr>
                <w:noProof/>
                <w:sz w:val="22"/>
              </w:rPr>
              <w:t>Glavna uprava: JUST</w:t>
            </w:r>
          </w:p>
        </w:tc>
      </w:tr>
      <w:tr w:rsidR="00DB3050" w:rsidRPr="000B3838" w14:paraId="5E6D9C53" w14:textId="77777777">
        <w:trPr>
          <w:trHeight w:val="313"/>
        </w:trPr>
        <w:tc>
          <w:tcPr>
            <w:tcW w:w="6054" w:type="dxa"/>
            <w:gridSpan w:val="3"/>
            <w:vAlign w:val="center"/>
          </w:tcPr>
          <w:p w14:paraId="5DB8EF25" w14:textId="77777777" w:rsidR="004515FC" w:rsidRPr="000B3838" w:rsidRDefault="004515FC" w:rsidP="0029161D">
            <w:pPr>
              <w:spacing w:before="20" w:after="20"/>
              <w:rPr>
                <w:noProof/>
              </w:rPr>
            </w:pPr>
            <w:r w:rsidRPr="000B3838">
              <w:rPr>
                <w:rFonts w:ascii="Wingdings" w:hAnsi="Wingdings"/>
                <w:noProof/>
                <w:sz w:val="22"/>
              </w:rPr>
              <w:t>□</w:t>
            </w:r>
            <w:r w:rsidRPr="000B3838">
              <w:rPr>
                <w:noProof/>
                <w:sz w:val="22"/>
              </w:rPr>
              <w:t xml:space="preserve"> Ljudski resursi </w:t>
            </w:r>
          </w:p>
        </w:tc>
        <w:tc>
          <w:tcPr>
            <w:tcW w:w="868" w:type="dxa"/>
            <w:vAlign w:val="center"/>
          </w:tcPr>
          <w:p w14:paraId="1ABB40E6" w14:textId="77777777" w:rsidR="004515FC" w:rsidRPr="000B3838" w:rsidRDefault="004515FC" w:rsidP="0029161D">
            <w:pPr>
              <w:spacing w:before="20" w:after="20"/>
              <w:jc w:val="right"/>
              <w:rPr>
                <w:noProof/>
                <w:sz w:val="20"/>
              </w:rPr>
            </w:pPr>
            <w:r w:rsidRPr="000B3838">
              <w:rPr>
                <w:noProof/>
                <w:sz w:val="20"/>
              </w:rPr>
              <w:t>0,043</w:t>
            </w:r>
          </w:p>
        </w:tc>
        <w:tc>
          <w:tcPr>
            <w:tcW w:w="868" w:type="dxa"/>
            <w:vAlign w:val="center"/>
          </w:tcPr>
          <w:p w14:paraId="1CB584F5" w14:textId="77777777" w:rsidR="004515FC" w:rsidRPr="000B3838" w:rsidRDefault="004515FC" w:rsidP="0029161D">
            <w:pPr>
              <w:spacing w:before="20" w:after="20"/>
              <w:jc w:val="right"/>
              <w:rPr>
                <w:noProof/>
                <w:sz w:val="20"/>
              </w:rPr>
            </w:pPr>
            <w:r w:rsidRPr="000B3838">
              <w:rPr>
                <w:noProof/>
                <w:sz w:val="20"/>
              </w:rPr>
              <w:t>0,014</w:t>
            </w:r>
          </w:p>
        </w:tc>
        <w:tc>
          <w:tcPr>
            <w:tcW w:w="1777" w:type="dxa"/>
            <w:vAlign w:val="center"/>
          </w:tcPr>
          <w:p w14:paraId="7ABA76D4" w14:textId="77777777" w:rsidR="004515FC" w:rsidRPr="000B3838" w:rsidRDefault="004515FC" w:rsidP="0029161D">
            <w:pPr>
              <w:spacing w:before="20" w:after="20"/>
              <w:jc w:val="right"/>
              <w:rPr>
                <w:b/>
                <w:noProof/>
                <w:sz w:val="20"/>
              </w:rPr>
            </w:pPr>
            <w:r w:rsidRPr="000B3838">
              <w:rPr>
                <w:b/>
                <w:noProof/>
                <w:sz w:val="20"/>
              </w:rPr>
              <w:t>0,057</w:t>
            </w:r>
          </w:p>
        </w:tc>
      </w:tr>
      <w:tr w:rsidR="00DB3050" w:rsidRPr="000B3838" w14:paraId="76A9FBD2" w14:textId="77777777">
        <w:trPr>
          <w:trHeight w:val="351"/>
        </w:trPr>
        <w:tc>
          <w:tcPr>
            <w:tcW w:w="6054" w:type="dxa"/>
            <w:gridSpan w:val="3"/>
            <w:vAlign w:val="center"/>
          </w:tcPr>
          <w:p w14:paraId="2E12F8FD" w14:textId="77777777" w:rsidR="004515FC" w:rsidRPr="000B3838" w:rsidRDefault="004515FC" w:rsidP="0029161D">
            <w:pPr>
              <w:spacing w:before="20" w:after="20"/>
              <w:rPr>
                <w:noProof/>
              </w:rPr>
            </w:pPr>
            <w:r w:rsidRPr="000B3838">
              <w:rPr>
                <w:rFonts w:ascii="Wingdings" w:hAnsi="Wingdings"/>
                <w:noProof/>
                <w:sz w:val="22"/>
              </w:rPr>
              <w:t>□</w:t>
            </w:r>
            <w:r w:rsidRPr="000B3838">
              <w:rPr>
                <w:noProof/>
                <w:sz w:val="22"/>
              </w:rPr>
              <w:t xml:space="preserve"> Ostali administrativni rashodi </w:t>
            </w:r>
          </w:p>
        </w:tc>
        <w:tc>
          <w:tcPr>
            <w:tcW w:w="868" w:type="dxa"/>
            <w:vAlign w:val="center"/>
          </w:tcPr>
          <w:p w14:paraId="28E6DDC6" w14:textId="77777777" w:rsidR="004515FC" w:rsidRPr="000B3838" w:rsidRDefault="004515FC" w:rsidP="0029161D">
            <w:pPr>
              <w:spacing w:before="20" w:after="20"/>
              <w:jc w:val="right"/>
              <w:rPr>
                <w:b/>
                <w:noProof/>
                <w:sz w:val="20"/>
              </w:rPr>
            </w:pPr>
          </w:p>
        </w:tc>
        <w:tc>
          <w:tcPr>
            <w:tcW w:w="868" w:type="dxa"/>
            <w:vAlign w:val="center"/>
          </w:tcPr>
          <w:p w14:paraId="3BD6C2EE" w14:textId="77777777" w:rsidR="004515FC" w:rsidRPr="000B3838" w:rsidRDefault="004515FC" w:rsidP="0029161D">
            <w:pPr>
              <w:spacing w:before="20" w:after="20"/>
              <w:jc w:val="right"/>
              <w:rPr>
                <w:b/>
                <w:noProof/>
                <w:sz w:val="20"/>
              </w:rPr>
            </w:pPr>
          </w:p>
        </w:tc>
        <w:tc>
          <w:tcPr>
            <w:tcW w:w="1777" w:type="dxa"/>
            <w:vAlign w:val="center"/>
          </w:tcPr>
          <w:p w14:paraId="390101AC" w14:textId="77777777" w:rsidR="004515FC" w:rsidRPr="000B3838" w:rsidRDefault="004515FC" w:rsidP="0029161D">
            <w:pPr>
              <w:spacing w:before="20" w:after="20"/>
              <w:jc w:val="right"/>
              <w:rPr>
                <w:b/>
                <w:noProof/>
                <w:sz w:val="20"/>
              </w:rPr>
            </w:pPr>
          </w:p>
        </w:tc>
      </w:tr>
      <w:tr w:rsidR="00DB3050" w:rsidRPr="000B3838" w14:paraId="134E3135" w14:textId="77777777">
        <w:tc>
          <w:tcPr>
            <w:tcW w:w="3960" w:type="dxa"/>
            <w:vAlign w:val="center"/>
          </w:tcPr>
          <w:p w14:paraId="722EAD68" w14:textId="77777777" w:rsidR="004515FC" w:rsidRPr="000B3838" w:rsidRDefault="004515FC" w:rsidP="0029161D">
            <w:pPr>
              <w:jc w:val="center"/>
              <w:rPr>
                <w:b/>
                <w:noProof/>
              </w:rPr>
            </w:pPr>
            <w:r w:rsidRPr="000B3838">
              <w:rPr>
                <w:b/>
                <w:noProof/>
                <w:sz w:val="22"/>
              </w:rPr>
              <w:t>UKUPNO GU JUST</w:t>
            </w:r>
          </w:p>
        </w:tc>
        <w:tc>
          <w:tcPr>
            <w:tcW w:w="2094" w:type="dxa"/>
            <w:gridSpan w:val="2"/>
            <w:vAlign w:val="center"/>
          </w:tcPr>
          <w:p w14:paraId="03BF7462" w14:textId="77777777" w:rsidR="004515FC" w:rsidRPr="000B3838" w:rsidRDefault="004515FC" w:rsidP="0029161D">
            <w:pPr>
              <w:rPr>
                <w:noProof/>
                <w:sz w:val="14"/>
              </w:rPr>
            </w:pPr>
            <w:r w:rsidRPr="000B3838">
              <w:rPr>
                <w:noProof/>
                <w:sz w:val="18"/>
              </w:rPr>
              <w:t xml:space="preserve">Odobrena sredstva </w:t>
            </w:r>
          </w:p>
        </w:tc>
        <w:tc>
          <w:tcPr>
            <w:tcW w:w="868" w:type="dxa"/>
            <w:vAlign w:val="center"/>
          </w:tcPr>
          <w:p w14:paraId="62E081FB" w14:textId="77777777" w:rsidR="004515FC" w:rsidRPr="000B3838" w:rsidRDefault="004515FC" w:rsidP="0029161D">
            <w:pPr>
              <w:spacing w:before="60" w:after="60"/>
              <w:jc w:val="right"/>
              <w:rPr>
                <w:noProof/>
                <w:sz w:val="20"/>
              </w:rPr>
            </w:pPr>
            <w:r w:rsidRPr="000B3838">
              <w:rPr>
                <w:noProof/>
                <w:sz w:val="20"/>
              </w:rPr>
              <w:t>0,043</w:t>
            </w:r>
          </w:p>
        </w:tc>
        <w:tc>
          <w:tcPr>
            <w:tcW w:w="868" w:type="dxa"/>
            <w:vAlign w:val="center"/>
          </w:tcPr>
          <w:p w14:paraId="59E764BB" w14:textId="77777777" w:rsidR="004515FC" w:rsidRPr="000B3838" w:rsidRDefault="004515FC" w:rsidP="0029161D">
            <w:pPr>
              <w:spacing w:before="20" w:after="20"/>
              <w:jc w:val="right"/>
              <w:rPr>
                <w:noProof/>
                <w:sz w:val="20"/>
              </w:rPr>
            </w:pPr>
            <w:r w:rsidRPr="000B3838">
              <w:rPr>
                <w:noProof/>
                <w:sz w:val="20"/>
              </w:rPr>
              <w:t>0,014</w:t>
            </w:r>
          </w:p>
        </w:tc>
        <w:tc>
          <w:tcPr>
            <w:tcW w:w="1777" w:type="dxa"/>
            <w:vAlign w:val="center"/>
          </w:tcPr>
          <w:p w14:paraId="1D103F04" w14:textId="77777777" w:rsidR="004515FC" w:rsidRPr="000B3838" w:rsidRDefault="004515FC" w:rsidP="0029161D">
            <w:pPr>
              <w:spacing w:before="20" w:after="20"/>
              <w:jc w:val="right"/>
              <w:rPr>
                <w:b/>
                <w:noProof/>
                <w:sz w:val="20"/>
              </w:rPr>
            </w:pPr>
            <w:r w:rsidRPr="000B3838">
              <w:rPr>
                <w:b/>
                <w:noProof/>
                <w:sz w:val="20"/>
              </w:rPr>
              <w:t>0,057</w:t>
            </w:r>
          </w:p>
        </w:tc>
      </w:tr>
      <w:tr w:rsidR="00910369" w:rsidRPr="000B3838" w14:paraId="72D9ECE1" w14:textId="77777777">
        <w:trPr>
          <w:gridAfter w:val="5"/>
          <w:wAfter w:w="5607" w:type="dxa"/>
        </w:trPr>
        <w:tc>
          <w:tcPr>
            <w:tcW w:w="3960" w:type="dxa"/>
            <w:vAlign w:val="center"/>
          </w:tcPr>
          <w:p w14:paraId="39C26CEF" w14:textId="77777777" w:rsidR="004515FC" w:rsidRPr="000B3838" w:rsidRDefault="004515FC" w:rsidP="0029161D">
            <w:pPr>
              <w:spacing w:before="60" w:after="60"/>
              <w:jc w:val="center"/>
              <w:rPr>
                <w:noProof/>
              </w:rPr>
            </w:pPr>
            <w:r w:rsidRPr="000B3838">
              <w:rPr>
                <w:noProof/>
                <w:sz w:val="22"/>
              </w:rPr>
              <w:t>Glavna uprava: ESVD</w:t>
            </w:r>
          </w:p>
        </w:tc>
      </w:tr>
      <w:tr w:rsidR="00DB3050" w:rsidRPr="000B3838" w14:paraId="247B59E7" w14:textId="77777777">
        <w:trPr>
          <w:trHeight w:val="313"/>
        </w:trPr>
        <w:tc>
          <w:tcPr>
            <w:tcW w:w="6054" w:type="dxa"/>
            <w:gridSpan w:val="3"/>
            <w:vAlign w:val="center"/>
          </w:tcPr>
          <w:p w14:paraId="2D616EB2" w14:textId="77777777" w:rsidR="004515FC" w:rsidRPr="000B3838" w:rsidRDefault="004515FC" w:rsidP="0029161D">
            <w:pPr>
              <w:spacing w:before="20" w:after="20"/>
              <w:rPr>
                <w:noProof/>
              </w:rPr>
            </w:pPr>
            <w:r w:rsidRPr="000B3838">
              <w:rPr>
                <w:rFonts w:ascii="Wingdings" w:hAnsi="Wingdings"/>
                <w:noProof/>
                <w:sz w:val="22"/>
              </w:rPr>
              <w:t>□</w:t>
            </w:r>
            <w:r w:rsidRPr="000B3838">
              <w:rPr>
                <w:noProof/>
                <w:sz w:val="22"/>
              </w:rPr>
              <w:t xml:space="preserve"> Ljudski resursi </w:t>
            </w:r>
          </w:p>
        </w:tc>
        <w:tc>
          <w:tcPr>
            <w:tcW w:w="868" w:type="dxa"/>
            <w:vAlign w:val="center"/>
          </w:tcPr>
          <w:p w14:paraId="0DE07F5B" w14:textId="77777777" w:rsidR="004515FC" w:rsidRPr="000B3838" w:rsidRDefault="004515FC" w:rsidP="0029161D">
            <w:pPr>
              <w:spacing w:before="20" w:after="20"/>
              <w:jc w:val="right"/>
              <w:rPr>
                <w:noProof/>
                <w:sz w:val="20"/>
              </w:rPr>
            </w:pPr>
          </w:p>
        </w:tc>
        <w:tc>
          <w:tcPr>
            <w:tcW w:w="868" w:type="dxa"/>
            <w:vAlign w:val="center"/>
          </w:tcPr>
          <w:p w14:paraId="78826D9E" w14:textId="77777777" w:rsidR="004515FC" w:rsidRPr="000B3838" w:rsidRDefault="004515FC" w:rsidP="0029161D">
            <w:pPr>
              <w:spacing w:before="20" w:after="20"/>
              <w:jc w:val="right"/>
              <w:rPr>
                <w:noProof/>
                <w:sz w:val="20"/>
              </w:rPr>
            </w:pPr>
          </w:p>
        </w:tc>
        <w:tc>
          <w:tcPr>
            <w:tcW w:w="1777" w:type="dxa"/>
            <w:vAlign w:val="center"/>
          </w:tcPr>
          <w:p w14:paraId="3EB44301" w14:textId="77777777" w:rsidR="004515FC" w:rsidRPr="000B3838" w:rsidRDefault="004515FC" w:rsidP="0029161D">
            <w:pPr>
              <w:spacing w:before="20" w:after="20"/>
              <w:jc w:val="right"/>
              <w:rPr>
                <w:b/>
                <w:noProof/>
                <w:sz w:val="20"/>
              </w:rPr>
            </w:pPr>
          </w:p>
        </w:tc>
      </w:tr>
      <w:tr w:rsidR="00DB3050" w:rsidRPr="000B3838" w14:paraId="5F4F48C7" w14:textId="77777777" w:rsidTr="00A17546">
        <w:trPr>
          <w:trHeight w:val="351"/>
        </w:trPr>
        <w:tc>
          <w:tcPr>
            <w:tcW w:w="6054" w:type="dxa"/>
            <w:gridSpan w:val="3"/>
            <w:vAlign w:val="center"/>
          </w:tcPr>
          <w:p w14:paraId="2B34B2E9" w14:textId="77777777" w:rsidR="0058038B" w:rsidRPr="000B3838" w:rsidRDefault="0058038B" w:rsidP="0058038B">
            <w:pPr>
              <w:spacing w:before="20" w:after="20"/>
              <w:rPr>
                <w:noProof/>
              </w:rPr>
            </w:pPr>
            <w:r w:rsidRPr="000B3838">
              <w:rPr>
                <w:rFonts w:ascii="Wingdings" w:hAnsi="Wingdings"/>
                <w:noProof/>
                <w:sz w:val="22"/>
              </w:rPr>
              <w:t>□</w:t>
            </w:r>
            <w:r w:rsidRPr="000B3838">
              <w:rPr>
                <w:noProof/>
                <w:sz w:val="22"/>
              </w:rPr>
              <w:t xml:space="preserve"> Ostali administrativni rashodi </w:t>
            </w:r>
          </w:p>
        </w:tc>
        <w:tc>
          <w:tcPr>
            <w:tcW w:w="868" w:type="dxa"/>
          </w:tcPr>
          <w:p w14:paraId="1FC04CC5" w14:textId="7ED82B3A" w:rsidR="0058038B" w:rsidRPr="000B3838" w:rsidRDefault="0058038B" w:rsidP="00A17546">
            <w:pPr>
              <w:spacing w:before="60" w:after="60"/>
              <w:jc w:val="right"/>
              <w:rPr>
                <w:noProof/>
                <w:sz w:val="20"/>
              </w:rPr>
            </w:pPr>
            <w:r w:rsidRPr="000B3838">
              <w:rPr>
                <w:noProof/>
                <w:sz w:val="20"/>
              </w:rPr>
              <w:t>0,038</w:t>
            </w:r>
          </w:p>
        </w:tc>
        <w:tc>
          <w:tcPr>
            <w:tcW w:w="868" w:type="dxa"/>
          </w:tcPr>
          <w:p w14:paraId="2F4DD6EB" w14:textId="45FF5E36" w:rsidR="0058038B" w:rsidRPr="000B3838" w:rsidRDefault="0058038B" w:rsidP="00A17546">
            <w:pPr>
              <w:spacing w:before="60" w:after="60"/>
              <w:jc w:val="right"/>
              <w:rPr>
                <w:noProof/>
                <w:sz w:val="20"/>
              </w:rPr>
            </w:pPr>
            <w:r w:rsidRPr="000B3838">
              <w:rPr>
                <w:noProof/>
                <w:sz w:val="20"/>
              </w:rPr>
              <w:t xml:space="preserve"> 0,038</w:t>
            </w:r>
          </w:p>
        </w:tc>
        <w:tc>
          <w:tcPr>
            <w:tcW w:w="1777" w:type="dxa"/>
          </w:tcPr>
          <w:p w14:paraId="583AB56F" w14:textId="70CE12A8" w:rsidR="0058038B" w:rsidRPr="000B3838" w:rsidRDefault="0058038B" w:rsidP="00A17546">
            <w:pPr>
              <w:spacing w:before="60" w:after="60"/>
              <w:jc w:val="right"/>
              <w:rPr>
                <w:b/>
                <w:noProof/>
                <w:sz w:val="20"/>
              </w:rPr>
            </w:pPr>
            <w:r w:rsidRPr="000B3838">
              <w:rPr>
                <w:b/>
                <w:noProof/>
                <w:sz w:val="20"/>
              </w:rPr>
              <w:t>0,076</w:t>
            </w:r>
          </w:p>
        </w:tc>
      </w:tr>
      <w:tr w:rsidR="00DB3050" w:rsidRPr="000B3838" w14:paraId="20AA391B" w14:textId="77777777" w:rsidTr="00A17546">
        <w:tc>
          <w:tcPr>
            <w:tcW w:w="3960" w:type="dxa"/>
            <w:vAlign w:val="center"/>
          </w:tcPr>
          <w:p w14:paraId="7FA7D1E1" w14:textId="77777777" w:rsidR="0058038B" w:rsidRPr="000B3838" w:rsidRDefault="0058038B" w:rsidP="0058038B">
            <w:pPr>
              <w:jc w:val="center"/>
              <w:rPr>
                <w:b/>
                <w:noProof/>
              </w:rPr>
            </w:pPr>
            <w:r w:rsidRPr="000B3838">
              <w:rPr>
                <w:b/>
                <w:noProof/>
                <w:sz w:val="22"/>
              </w:rPr>
              <w:t>UKUPNO ESVD</w:t>
            </w:r>
          </w:p>
        </w:tc>
        <w:tc>
          <w:tcPr>
            <w:tcW w:w="2094" w:type="dxa"/>
            <w:gridSpan w:val="2"/>
            <w:vAlign w:val="center"/>
          </w:tcPr>
          <w:p w14:paraId="642BB1E7" w14:textId="77777777" w:rsidR="0058038B" w:rsidRPr="000B3838" w:rsidRDefault="0058038B" w:rsidP="0058038B">
            <w:pPr>
              <w:rPr>
                <w:noProof/>
                <w:sz w:val="14"/>
              </w:rPr>
            </w:pPr>
            <w:r w:rsidRPr="000B3838">
              <w:rPr>
                <w:noProof/>
                <w:sz w:val="18"/>
              </w:rPr>
              <w:t xml:space="preserve">Odobrena sredstva </w:t>
            </w:r>
          </w:p>
        </w:tc>
        <w:tc>
          <w:tcPr>
            <w:tcW w:w="868" w:type="dxa"/>
            <w:vAlign w:val="center"/>
          </w:tcPr>
          <w:p w14:paraId="7B54CCD9" w14:textId="2CAEBD74" w:rsidR="0058038B" w:rsidRPr="000B3838" w:rsidRDefault="0058038B" w:rsidP="0058038B">
            <w:pPr>
              <w:spacing w:before="60" w:after="60"/>
              <w:jc w:val="right"/>
              <w:rPr>
                <w:noProof/>
                <w:sz w:val="20"/>
                <w:highlight w:val="yellow"/>
              </w:rPr>
            </w:pPr>
            <w:r w:rsidRPr="000B3838">
              <w:rPr>
                <w:noProof/>
                <w:sz w:val="20"/>
              </w:rPr>
              <w:t>0,038</w:t>
            </w:r>
          </w:p>
        </w:tc>
        <w:tc>
          <w:tcPr>
            <w:tcW w:w="868" w:type="dxa"/>
            <w:vAlign w:val="center"/>
          </w:tcPr>
          <w:p w14:paraId="7F438A2D" w14:textId="46A6DFE2" w:rsidR="0058038B" w:rsidRPr="000B3838" w:rsidRDefault="0058038B" w:rsidP="0058038B">
            <w:pPr>
              <w:spacing w:before="20" w:after="20"/>
              <w:jc w:val="right"/>
              <w:rPr>
                <w:noProof/>
                <w:sz w:val="20"/>
                <w:highlight w:val="yellow"/>
              </w:rPr>
            </w:pPr>
            <w:r w:rsidRPr="000B3838">
              <w:rPr>
                <w:noProof/>
                <w:sz w:val="20"/>
              </w:rPr>
              <w:t xml:space="preserve"> 0,038</w:t>
            </w:r>
          </w:p>
        </w:tc>
        <w:tc>
          <w:tcPr>
            <w:tcW w:w="1777" w:type="dxa"/>
            <w:vAlign w:val="center"/>
          </w:tcPr>
          <w:p w14:paraId="5D18EF89" w14:textId="0AE7CBA7" w:rsidR="0058038B" w:rsidRPr="000B3838" w:rsidRDefault="0058038B" w:rsidP="0058038B">
            <w:pPr>
              <w:spacing w:before="20" w:after="20"/>
              <w:jc w:val="right"/>
              <w:rPr>
                <w:noProof/>
                <w:sz w:val="20"/>
                <w:highlight w:val="yellow"/>
              </w:rPr>
            </w:pPr>
            <w:r w:rsidRPr="000B3838">
              <w:rPr>
                <w:b/>
                <w:noProof/>
                <w:sz w:val="20"/>
              </w:rPr>
              <w:t>0,076</w:t>
            </w:r>
          </w:p>
        </w:tc>
      </w:tr>
      <w:tr w:rsidR="00291B69" w:rsidRPr="000B3838" w14:paraId="2519F4C0" w14:textId="77777777" w:rsidTr="00A17546">
        <w:tc>
          <w:tcPr>
            <w:tcW w:w="3960" w:type="dxa"/>
            <w:shd w:val="thinDiagStripe" w:color="C0C0C0" w:fill="auto"/>
            <w:vAlign w:val="center"/>
          </w:tcPr>
          <w:p w14:paraId="3D5D8E96" w14:textId="3F32A5C7" w:rsidR="00723B75" w:rsidRPr="000B3838" w:rsidRDefault="00723B75" w:rsidP="00723B75">
            <w:pPr>
              <w:jc w:val="center"/>
              <w:rPr>
                <w:b/>
                <w:noProof/>
              </w:rPr>
            </w:pPr>
            <w:r w:rsidRPr="000B3838">
              <w:rPr>
                <w:b/>
                <w:noProof/>
                <w:sz w:val="22"/>
              </w:rPr>
              <w:t>UKUPNA odobrena sredstva</w:t>
            </w:r>
            <w:r w:rsidRPr="000B3838">
              <w:rPr>
                <w:noProof/>
              </w:rPr>
              <w:t xml:space="preserve"> </w:t>
            </w:r>
            <w:r w:rsidRPr="000B3838">
              <w:rPr>
                <w:noProof/>
              </w:rPr>
              <w:br/>
            </w:r>
            <w:r w:rsidRPr="000B3838">
              <w:rPr>
                <w:b/>
                <w:noProof/>
                <w:sz w:val="22"/>
              </w:rPr>
              <w:t>iz NASLOVA 7.</w:t>
            </w:r>
            <w:r w:rsidRPr="000B3838">
              <w:rPr>
                <w:noProof/>
              </w:rPr>
              <w:t xml:space="preserve"> </w:t>
            </w:r>
            <w:r w:rsidRPr="000B3838">
              <w:rPr>
                <w:noProof/>
              </w:rPr>
              <w:br/>
            </w:r>
            <w:r w:rsidRPr="000B3838">
              <w:rPr>
                <w:noProof/>
                <w:sz w:val="22"/>
              </w:rPr>
              <w:t>višegodišnjeg financijskog okvira</w:t>
            </w:r>
            <w:r w:rsidRPr="000B3838">
              <w:rPr>
                <w:b/>
                <w:noProof/>
                <w:sz w:val="22"/>
              </w:rPr>
              <w:t xml:space="preserve"> </w:t>
            </w:r>
          </w:p>
        </w:tc>
        <w:tc>
          <w:tcPr>
            <w:tcW w:w="2094" w:type="dxa"/>
            <w:gridSpan w:val="2"/>
            <w:vAlign w:val="center"/>
          </w:tcPr>
          <w:p w14:paraId="4933D8CC" w14:textId="77777777" w:rsidR="00723B75" w:rsidRPr="000B3838" w:rsidRDefault="00723B75" w:rsidP="00723B75">
            <w:pPr>
              <w:spacing w:before="40" w:after="40"/>
              <w:rPr>
                <w:noProof/>
              </w:rPr>
            </w:pPr>
            <w:r w:rsidRPr="000B3838">
              <w:rPr>
                <w:noProof/>
                <w:sz w:val="18"/>
              </w:rPr>
              <w:t>(ukupne obveze = ukupna plaćanja)</w:t>
            </w:r>
          </w:p>
        </w:tc>
        <w:tc>
          <w:tcPr>
            <w:tcW w:w="868" w:type="dxa"/>
            <w:vAlign w:val="center"/>
          </w:tcPr>
          <w:p w14:paraId="6510EED0" w14:textId="797C8461" w:rsidR="00723B75" w:rsidRPr="000B3838" w:rsidRDefault="00723B75" w:rsidP="00A17546">
            <w:pPr>
              <w:spacing w:before="60" w:after="60"/>
              <w:jc w:val="right"/>
              <w:rPr>
                <w:b/>
                <w:noProof/>
                <w:sz w:val="20"/>
              </w:rPr>
            </w:pPr>
            <w:r w:rsidRPr="000B3838">
              <w:rPr>
                <w:b/>
                <w:noProof/>
                <w:sz w:val="20"/>
              </w:rPr>
              <w:t>0,081</w:t>
            </w:r>
          </w:p>
        </w:tc>
        <w:tc>
          <w:tcPr>
            <w:tcW w:w="868" w:type="dxa"/>
            <w:vAlign w:val="center"/>
          </w:tcPr>
          <w:p w14:paraId="55A68032" w14:textId="38EF7EB7" w:rsidR="00723B75" w:rsidRPr="000B3838" w:rsidRDefault="00723B75" w:rsidP="00A17546">
            <w:pPr>
              <w:spacing w:before="60" w:after="60"/>
              <w:jc w:val="right"/>
              <w:rPr>
                <w:b/>
                <w:noProof/>
                <w:sz w:val="20"/>
              </w:rPr>
            </w:pPr>
            <w:r w:rsidRPr="000B3838">
              <w:rPr>
                <w:b/>
                <w:noProof/>
                <w:sz w:val="20"/>
              </w:rPr>
              <w:t>0,052</w:t>
            </w:r>
          </w:p>
        </w:tc>
        <w:tc>
          <w:tcPr>
            <w:tcW w:w="1777" w:type="dxa"/>
            <w:vAlign w:val="center"/>
          </w:tcPr>
          <w:p w14:paraId="6F90E7CF" w14:textId="56DD0786" w:rsidR="00723B75" w:rsidRPr="000B3838" w:rsidRDefault="00723B75" w:rsidP="00A17546">
            <w:pPr>
              <w:spacing w:before="60" w:after="60"/>
              <w:jc w:val="right"/>
              <w:rPr>
                <w:b/>
                <w:noProof/>
                <w:sz w:val="20"/>
              </w:rPr>
            </w:pPr>
            <w:r w:rsidRPr="000B3838">
              <w:rPr>
                <w:b/>
                <w:noProof/>
                <w:sz w:val="20"/>
              </w:rPr>
              <w:t xml:space="preserve"> 0,133</w:t>
            </w:r>
          </w:p>
        </w:tc>
      </w:tr>
    </w:tbl>
    <w:p w14:paraId="6FCF29A9" w14:textId="77777777" w:rsidR="004515FC" w:rsidRPr="000B3838" w:rsidRDefault="004515FC" w:rsidP="004515FC">
      <w:pPr>
        <w:jc w:val="right"/>
        <w:rPr>
          <w:noProof/>
          <w:sz w:val="20"/>
        </w:rPr>
      </w:pPr>
      <w:r w:rsidRPr="000B3838">
        <w:rPr>
          <w:noProof/>
          <w:sz w:val="20"/>
        </w:rPr>
        <w:t>U milijunima EUR (do 3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0B3838" w14:paraId="0D09C20D" w14:textId="77777777">
        <w:tc>
          <w:tcPr>
            <w:tcW w:w="3960" w:type="dxa"/>
            <w:tcBorders>
              <w:top w:val="nil"/>
              <w:left w:val="nil"/>
              <w:right w:val="nil"/>
            </w:tcBorders>
            <w:vAlign w:val="center"/>
          </w:tcPr>
          <w:p w14:paraId="797E3645" w14:textId="77777777" w:rsidR="004515FC" w:rsidRPr="000B3838" w:rsidRDefault="004515FC" w:rsidP="0029161D">
            <w:pPr>
              <w:jc w:val="center"/>
              <w:rPr>
                <w:noProof/>
              </w:rPr>
            </w:pPr>
          </w:p>
        </w:tc>
        <w:tc>
          <w:tcPr>
            <w:tcW w:w="1560" w:type="dxa"/>
            <w:tcBorders>
              <w:top w:val="nil"/>
              <w:left w:val="nil"/>
              <w:right w:val="nil"/>
            </w:tcBorders>
          </w:tcPr>
          <w:p w14:paraId="79F4FB43" w14:textId="77777777" w:rsidR="004515FC" w:rsidRPr="000B3838" w:rsidRDefault="004515FC" w:rsidP="0029161D">
            <w:pPr>
              <w:rPr>
                <w:noProof/>
                <w:sz w:val="20"/>
              </w:rPr>
            </w:pPr>
          </w:p>
        </w:tc>
        <w:tc>
          <w:tcPr>
            <w:tcW w:w="534" w:type="dxa"/>
            <w:tcBorders>
              <w:top w:val="nil"/>
              <w:left w:val="nil"/>
            </w:tcBorders>
          </w:tcPr>
          <w:p w14:paraId="46581F78" w14:textId="77777777" w:rsidR="004515FC" w:rsidRPr="000B3838" w:rsidRDefault="004515FC" w:rsidP="0029161D">
            <w:pPr>
              <w:jc w:val="center"/>
              <w:rPr>
                <w:noProof/>
                <w:sz w:val="20"/>
              </w:rPr>
            </w:pPr>
          </w:p>
        </w:tc>
        <w:tc>
          <w:tcPr>
            <w:tcW w:w="868" w:type="dxa"/>
            <w:vAlign w:val="center"/>
          </w:tcPr>
          <w:p w14:paraId="3DBC0840" w14:textId="77777777" w:rsidR="004515FC" w:rsidRPr="000B3838" w:rsidRDefault="004515FC" w:rsidP="0029161D">
            <w:pPr>
              <w:jc w:val="center"/>
              <w:rPr>
                <w:b/>
                <w:noProof/>
                <w:sz w:val="20"/>
              </w:rPr>
            </w:pPr>
            <w:r w:rsidRPr="000B3838">
              <w:rPr>
                <w:b/>
                <w:noProof/>
                <w:sz w:val="20"/>
              </w:rPr>
              <w:t>2026.</w:t>
            </w:r>
          </w:p>
        </w:tc>
        <w:tc>
          <w:tcPr>
            <w:tcW w:w="868" w:type="dxa"/>
            <w:vAlign w:val="center"/>
          </w:tcPr>
          <w:p w14:paraId="719547EE" w14:textId="77777777" w:rsidR="004515FC" w:rsidRPr="000B3838" w:rsidRDefault="004515FC" w:rsidP="0029161D">
            <w:pPr>
              <w:jc w:val="center"/>
              <w:rPr>
                <w:b/>
                <w:noProof/>
                <w:sz w:val="20"/>
              </w:rPr>
            </w:pPr>
            <w:r w:rsidRPr="000B3838">
              <w:rPr>
                <w:b/>
                <w:noProof/>
                <w:sz w:val="20"/>
              </w:rPr>
              <w:t>2027.</w:t>
            </w:r>
          </w:p>
        </w:tc>
        <w:tc>
          <w:tcPr>
            <w:tcW w:w="1777" w:type="dxa"/>
            <w:vAlign w:val="center"/>
          </w:tcPr>
          <w:p w14:paraId="06F556A6" w14:textId="77777777" w:rsidR="004515FC" w:rsidRPr="000B3838" w:rsidRDefault="004515FC" w:rsidP="0029161D">
            <w:pPr>
              <w:jc w:val="center"/>
              <w:rPr>
                <w:b/>
                <w:noProof/>
                <w:sz w:val="20"/>
              </w:rPr>
            </w:pPr>
            <w:r w:rsidRPr="000B3838">
              <w:rPr>
                <w:b/>
                <w:noProof/>
                <w:sz w:val="20"/>
              </w:rPr>
              <w:t>UKUPNO</w:t>
            </w:r>
          </w:p>
        </w:tc>
      </w:tr>
      <w:tr w:rsidR="00291B69" w:rsidRPr="000B3838" w14:paraId="521D6457" w14:textId="77777777">
        <w:tc>
          <w:tcPr>
            <w:tcW w:w="3960" w:type="dxa"/>
            <w:vMerge w:val="restart"/>
            <w:shd w:val="clear" w:color="auto" w:fill="C0C0C0"/>
            <w:vAlign w:val="center"/>
          </w:tcPr>
          <w:p w14:paraId="4A66127C" w14:textId="27838354" w:rsidR="00A17546" w:rsidRPr="000B3838" w:rsidRDefault="00A17546" w:rsidP="00A17546">
            <w:pPr>
              <w:jc w:val="center"/>
              <w:rPr>
                <w:b/>
                <w:noProof/>
              </w:rPr>
            </w:pPr>
            <w:r w:rsidRPr="000B3838">
              <w:rPr>
                <w:b/>
                <w:noProof/>
                <w:sz w:val="22"/>
              </w:rPr>
              <w:t>UKUPNA odobrena sredstva</w:t>
            </w:r>
            <w:r w:rsidRPr="000B3838">
              <w:rPr>
                <w:noProof/>
              </w:rPr>
              <w:br/>
            </w:r>
            <w:r w:rsidRPr="000B3838">
              <w:rPr>
                <w:b/>
                <w:noProof/>
                <w:sz w:val="22"/>
              </w:rPr>
              <w:t>iz NASLOVA 1. – 7.</w:t>
            </w:r>
            <w:r w:rsidRPr="000B3838">
              <w:rPr>
                <w:noProof/>
              </w:rPr>
              <w:br/>
            </w:r>
            <w:r w:rsidRPr="000B3838">
              <w:rPr>
                <w:noProof/>
                <w:sz w:val="22"/>
              </w:rPr>
              <w:t>višegodišnjeg financijskog okvira</w:t>
            </w:r>
            <w:r w:rsidRPr="000B3838">
              <w:rPr>
                <w:b/>
                <w:noProof/>
                <w:sz w:val="22"/>
              </w:rPr>
              <w:t xml:space="preserve"> </w:t>
            </w:r>
          </w:p>
        </w:tc>
        <w:tc>
          <w:tcPr>
            <w:tcW w:w="2094" w:type="dxa"/>
            <w:gridSpan w:val="2"/>
            <w:vAlign w:val="center"/>
          </w:tcPr>
          <w:p w14:paraId="48E00DDE" w14:textId="77777777" w:rsidR="00A17546" w:rsidRPr="000B3838" w:rsidRDefault="00A17546" w:rsidP="00A17546">
            <w:pPr>
              <w:rPr>
                <w:noProof/>
                <w:sz w:val="14"/>
              </w:rPr>
            </w:pPr>
            <w:r w:rsidRPr="000B3838">
              <w:rPr>
                <w:noProof/>
                <w:sz w:val="18"/>
              </w:rPr>
              <w:t>Obveze</w:t>
            </w:r>
          </w:p>
        </w:tc>
        <w:tc>
          <w:tcPr>
            <w:tcW w:w="868" w:type="dxa"/>
            <w:vAlign w:val="center"/>
          </w:tcPr>
          <w:p w14:paraId="5680C9ED" w14:textId="78767FBC" w:rsidR="00A17546" w:rsidRPr="000B3838" w:rsidRDefault="00A17546" w:rsidP="00A17546">
            <w:pPr>
              <w:spacing w:before="60" w:after="60"/>
              <w:jc w:val="right"/>
              <w:rPr>
                <w:noProof/>
                <w:sz w:val="20"/>
              </w:rPr>
            </w:pPr>
            <w:r w:rsidRPr="000B3838">
              <w:rPr>
                <w:b/>
                <w:noProof/>
                <w:sz w:val="20"/>
              </w:rPr>
              <w:t>0,081</w:t>
            </w:r>
          </w:p>
        </w:tc>
        <w:tc>
          <w:tcPr>
            <w:tcW w:w="868" w:type="dxa"/>
            <w:vAlign w:val="center"/>
          </w:tcPr>
          <w:p w14:paraId="25CF5F7E" w14:textId="750F4A40" w:rsidR="00A17546" w:rsidRPr="000B3838" w:rsidRDefault="00A17546" w:rsidP="00A17546">
            <w:pPr>
              <w:spacing w:before="60" w:after="60"/>
              <w:jc w:val="right"/>
              <w:rPr>
                <w:noProof/>
                <w:sz w:val="20"/>
              </w:rPr>
            </w:pPr>
            <w:r w:rsidRPr="000B3838">
              <w:rPr>
                <w:b/>
                <w:noProof/>
                <w:sz w:val="20"/>
              </w:rPr>
              <w:t>0,052</w:t>
            </w:r>
          </w:p>
        </w:tc>
        <w:tc>
          <w:tcPr>
            <w:tcW w:w="1777" w:type="dxa"/>
            <w:vAlign w:val="center"/>
          </w:tcPr>
          <w:p w14:paraId="1F8F28D0" w14:textId="66A07C4C" w:rsidR="00A17546" w:rsidRPr="000B3838" w:rsidRDefault="00A17546" w:rsidP="00A17546">
            <w:pPr>
              <w:spacing w:before="60" w:after="60"/>
              <w:jc w:val="right"/>
              <w:rPr>
                <w:b/>
                <w:noProof/>
                <w:sz w:val="20"/>
              </w:rPr>
            </w:pPr>
            <w:r w:rsidRPr="000B3838">
              <w:rPr>
                <w:b/>
                <w:noProof/>
                <w:sz w:val="20"/>
              </w:rPr>
              <w:t xml:space="preserve"> 0,133</w:t>
            </w:r>
          </w:p>
        </w:tc>
      </w:tr>
      <w:tr w:rsidR="00291B69" w:rsidRPr="000B3838" w14:paraId="45B132A9" w14:textId="77777777">
        <w:tc>
          <w:tcPr>
            <w:tcW w:w="3960" w:type="dxa"/>
            <w:vMerge/>
            <w:shd w:val="clear" w:color="auto" w:fill="C0C0C0"/>
          </w:tcPr>
          <w:p w14:paraId="4C9F40F6" w14:textId="77777777" w:rsidR="00A17546" w:rsidRPr="000B3838" w:rsidRDefault="00A17546" w:rsidP="00A17546">
            <w:pPr>
              <w:rPr>
                <w:noProof/>
                <w:sz w:val="20"/>
              </w:rPr>
            </w:pPr>
          </w:p>
        </w:tc>
        <w:tc>
          <w:tcPr>
            <w:tcW w:w="2094" w:type="dxa"/>
            <w:gridSpan w:val="2"/>
            <w:vAlign w:val="center"/>
          </w:tcPr>
          <w:p w14:paraId="148BF1AA" w14:textId="77777777" w:rsidR="00A17546" w:rsidRPr="000B3838" w:rsidRDefault="00A17546" w:rsidP="00A17546">
            <w:pPr>
              <w:rPr>
                <w:noProof/>
                <w:sz w:val="14"/>
              </w:rPr>
            </w:pPr>
            <w:r w:rsidRPr="000B3838">
              <w:rPr>
                <w:noProof/>
                <w:sz w:val="18"/>
              </w:rPr>
              <w:t>Plaćanja</w:t>
            </w:r>
          </w:p>
        </w:tc>
        <w:tc>
          <w:tcPr>
            <w:tcW w:w="868" w:type="dxa"/>
            <w:vAlign w:val="center"/>
          </w:tcPr>
          <w:p w14:paraId="57C2C77F" w14:textId="35CD63F9" w:rsidR="00A17546" w:rsidRPr="000B3838" w:rsidRDefault="00A17546" w:rsidP="00A17546">
            <w:pPr>
              <w:spacing w:before="60" w:after="60"/>
              <w:jc w:val="right"/>
              <w:rPr>
                <w:noProof/>
                <w:sz w:val="20"/>
              </w:rPr>
            </w:pPr>
            <w:r w:rsidRPr="000B3838">
              <w:rPr>
                <w:b/>
                <w:noProof/>
                <w:sz w:val="20"/>
              </w:rPr>
              <w:t>0,081</w:t>
            </w:r>
          </w:p>
        </w:tc>
        <w:tc>
          <w:tcPr>
            <w:tcW w:w="868" w:type="dxa"/>
            <w:vAlign w:val="center"/>
          </w:tcPr>
          <w:p w14:paraId="666C2A93" w14:textId="238124AB" w:rsidR="00A17546" w:rsidRPr="000B3838" w:rsidRDefault="00A17546" w:rsidP="00A17546">
            <w:pPr>
              <w:spacing w:before="60" w:after="60"/>
              <w:jc w:val="right"/>
              <w:rPr>
                <w:noProof/>
                <w:sz w:val="20"/>
              </w:rPr>
            </w:pPr>
            <w:r w:rsidRPr="000B3838">
              <w:rPr>
                <w:b/>
                <w:noProof/>
                <w:sz w:val="20"/>
              </w:rPr>
              <w:t>0,052</w:t>
            </w:r>
          </w:p>
        </w:tc>
        <w:tc>
          <w:tcPr>
            <w:tcW w:w="1777" w:type="dxa"/>
            <w:vAlign w:val="center"/>
          </w:tcPr>
          <w:p w14:paraId="5EAA48A1" w14:textId="2C688C77" w:rsidR="00A17546" w:rsidRPr="000B3838" w:rsidRDefault="00A17546" w:rsidP="00A17546">
            <w:pPr>
              <w:spacing w:before="60" w:after="60"/>
              <w:jc w:val="right"/>
              <w:rPr>
                <w:b/>
                <w:noProof/>
                <w:sz w:val="20"/>
              </w:rPr>
            </w:pPr>
            <w:r w:rsidRPr="000B3838">
              <w:rPr>
                <w:b/>
                <w:noProof/>
                <w:sz w:val="20"/>
              </w:rPr>
              <w:t xml:space="preserve"> 0,133</w:t>
            </w:r>
          </w:p>
        </w:tc>
      </w:tr>
    </w:tbl>
    <w:p w14:paraId="39F165FF" w14:textId="77777777" w:rsidR="004515FC" w:rsidRPr="000B3838" w:rsidRDefault="004515FC" w:rsidP="004F12CE">
      <w:pPr>
        <w:spacing w:before="0" w:after="200" w:line="276" w:lineRule="auto"/>
        <w:jc w:val="left"/>
        <w:rPr>
          <w:noProof/>
        </w:rPr>
      </w:pPr>
      <w:bookmarkStart w:id="63" w:name="_Toc514938054"/>
      <w:bookmarkStart w:id="64" w:name="_Toc520485053"/>
      <w:r w:rsidRPr="000B3838">
        <w:rPr>
          <w:noProof/>
        </w:rPr>
        <w:t>3.2.2.</w:t>
      </w:r>
      <w:r w:rsidRPr="000B3838">
        <w:rPr>
          <w:noProof/>
        </w:rPr>
        <w:tab/>
        <w:t>Procijenjeni rezultati financirani odobrenim sredstvima za poslovanje</w:t>
      </w:r>
      <w:bookmarkEnd w:id="63"/>
      <w:bookmarkEnd w:id="64"/>
      <w:r w:rsidRPr="000B3838">
        <w:rPr>
          <w:noProof/>
        </w:rPr>
        <w:t xml:space="preserve"> </w:t>
      </w:r>
    </w:p>
    <w:p w14:paraId="7CE2B0FD" w14:textId="77777777" w:rsidR="004515FC" w:rsidRPr="000B3838" w:rsidRDefault="004515FC" w:rsidP="004515FC">
      <w:pPr>
        <w:jc w:val="right"/>
        <w:rPr>
          <w:noProof/>
          <w:sz w:val="20"/>
        </w:rPr>
      </w:pPr>
      <w:r w:rsidRPr="000B3838">
        <w:rPr>
          <w:noProof/>
          <w:sz w:val="20"/>
        </w:rPr>
        <w:t>Odobrena sredstva za preuzimanje obveza u milijunima EUR (do 3 decimalna mjesta)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515FC" w:rsidRPr="000B3838" w14:paraId="558DDD51" w14:textId="77777777" w:rsidTr="0029161D">
        <w:trPr>
          <w:jc w:val="center"/>
        </w:trPr>
        <w:tc>
          <w:tcPr>
            <w:tcW w:w="1423" w:type="dxa"/>
            <w:vMerge w:val="restart"/>
            <w:vAlign w:val="center"/>
          </w:tcPr>
          <w:p w14:paraId="1FACD372" w14:textId="77777777" w:rsidR="004515FC" w:rsidRPr="000B3838" w:rsidRDefault="004515FC" w:rsidP="0029161D">
            <w:pPr>
              <w:ind w:right="-29"/>
              <w:jc w:val="center"/>
              <w:rPr>
                <w:b/>
                <w:noProof/>
                <w:sz w:val="18"/>
              </w:rPr>
            </w:pPr>
            <w:r w:rsidRPr="000B3838">
              <w:rPr>
                <w:b/>
                <w:noProof/>
                <w:sz w:val="18"/>
              </w:rPr>
              <w:t xml:space="preserve">Navesti ciljeve i rezultate </w:t>
            </w:r>
          </w:p>
          <w:p w14:paraId="443887DE" w14:textId="77777777" w:rsidR="004515FC" w:rsidRPr="000B3838" w:rsidRDefault="004515FC" w:rsidP="0029161D">
            <w:pPr>
              <w:ind w:right="-29"/>
              <w:jc w:val="center"/>
              <w:rPr>
                <w:b/>
                <w:noProof/>
                <w:sz w:val="18"/>
              </w:rPr>
            </w:pPr>
          </w:p>
          <w:p w14:paraId="47C1261E" w14:textId="77777777" w:rsidR="004515FC" w:rsidRPr="000B3838" w:rsidRDefault="004515FC" w:rsidP="0029161D">
            <w:pPr>
              <w:ind w:right="-29"/>
              <w:jc w:val="center"/>
              <w:rPr>
                <w:noProof/>
                <w:sz w:val="18"/>
              </w:rPr>
            </w:pPr>
            <w:r w:rsidRPr="000B3838">
              <w:rPr>
                <w:rFonts w:ascii="Wingdings" w:hAnsi="Wingdings"/>
                <w:noProof/>
                <w:sz w:val="18"/>
              </w:rPr>
              <w:t></w:t>
            </w:r>
          </w:p>
        </w:tc>
        <w:tc>
          <w:tcPr>
            <w:tcW w:w="720" w:type="dxa"/>
            <w:vAlign w:val="center"/>
          </w:tcPr>
          <w:p w14:paraId="57E017E7" w14:textId="77777777" w:rsidR="004515FC" w:rsidRPr="000B3838" w:rsidRDefault="004515FC" w:rsidP="0029161D">
            <w:pPr>
              <w:ind w:right="-29"/>
              <w:jc w:val="center"/>
              <w:rPr>
                <w:noProof/>
                <w:sz w:val="18"/>
              </w:rPr>
            </w:pPr>
          </w:p>
        </w:tc>
        <w:tc>
          <w:tcPr>
            <w:tcW w:w="701" w:type="dxa"/>
            <w:vAlign w:val="center"/>
          </w:tcPr>
          <w:p w14:paraId="4B01CBF0" w14:textId="77777777" w:rsidR="004515FC" w:rsidRPr="000B3838" w:rsidRDefault="004515FC" w:rsidP="0029161D">
            <w:pPr>
              <w:ind w:right="-29"/>
              <w:jc w:val="center"/>
              <w:rPr>
                <w:noProof/>
                <w:sz w:val="18"/>
              </w:rPr>
            </w:pPr>
          </w:p>
        </w:tc>
        <w:tc>
          <w:tcPr>
            <w:tcW w:w="1224" w:type="dxa"/>
            <w:gridSpan w:val="2"/>
            <w:tcBorders>
              <w:left w:val="nil"/>
            </w:tcBorders>
            <w:vAlign w:val="center"/>
          </w:tcPr>
          <w:p w14:paraId="1EF999EB" w14:textId="1181674F" w:rsidR="004515FC" w:rsidRPr="000B3838" w:rsidRDefault="004515FC" w:rsidP="0029161D">
            <w:pPr>
              <w:ind w:right="-29"/>
              <w:jc w:val="center"/>
              <w:rPr>
                <w:noProof/>
                <w:sz w:val="18"/>
              </w:rPr>
            </w:pPr>
            <w:r w:rsidRPr="000B3838">
              <w:rPr>
                <w:noProof/>
                <w:sz w:val="18"/>
              </w:rPr>
              <w:t>Godina</w:t>
            </w:r>
            <w:r w:rsidRPr="000B3838">
              <w:rPr>
                <w:noProof/>
              </w:rPr>
              <w:br/>
            </w:r>
            <w:r w:rsidRPr="000B3838">
              <w:rPr>
                <w:b/>
                <w:noProof/>
                <w:sz w:val="18"/>
              </w:rPr>
              <w:t>N</w:t>
            </w:r>
          </w:p>
        </w:tc>
        <w:tc>
          <w:tcPr>
            <w:tcW w:w="1260" w:type="dxa"/>
            <w:gridSpan w:val="2"/>
            <w:vAlign w:val="center"/>
          </w:tcPr>
          <w:p w14:paraId="68929D24" w14:textId="374F9A55" w:rsidR="004515FC" w:rsidRPr="000B3838" w:rsidRDefault="004515FC" w:rsidP="0029161D">
            <w:pPr>
              <w:ind w:right="-29"/>
              <w:jc w:val="center"/>
              <w:rPr>
                <w:noProof/>
                <w:sz w:val="18"/>
              </w:rPr>
            </w:pPr>
            <w:r w:rsidRPr="000B3838">
              <w:rPr>
                <w:noProof/>
                <w:sz w:val="18"/>
              </w:rPr>
              <w:t>Godina</w:t>
            </w:r>
            <w:r w:rsidRPr="000B3838">
              <w:rPr>
                <w:noProof/>
              </w:rPr>
              <w:br/>
            </w:r>
            <w:r w:rsidRPr="000B3838">
              <w:rPr>
                <w:b/>
                <w:noProof/>
                <w:sz w:val="18"/>
              </w:rPr>
              <w:t>N+1</w:t>
            </w:r>
          </w:p>
        </w:tc>
        <w:tc>
          <w:tcPr>
            <w:tcW w:w="1440" w:type="dxa"/>
            <w:gridSpan w:val="2"/>
            <w:vAlign w:val="center"/>
          </w:tcPr>
          <w:p w14:paraId="5BA366F0" w14:textId="56519EE1" w:rsidR="004515FC" w:rsidRPr="000B3838" w:rsidRDefault="004515FC" w:rsidP="0029161D">
            <w:pPr>
              <w:ind w:right="-29"/>
              <w:jc w:val="center"/>
              <w:rPr>
                <w:noProof/>
                <w:sz w:val="18"/>
              </w:rPr>
            </w:pPr>
            <w:r w:rsidRPr="000B3838">
              <w:rPr>
                <w:noProof/>
                <w:sz w:val="18"/>
              </w:rPr>
              <w:t>Godina</w:t>
            </w:r>
            <w:r w:rsidRPr="000B3838">
              <w:rPr>
                <w:noProof/>
              </w:rPr>
              <w:br/>
            </w:r>
            <w:r w:rsidRPr="000B3838">
              <w:rPr>
                <w:b/>
                <w:noProof/>
                <w:sz w:val="18"/>
              </w:rPr>
              <w:t>N+2</w:t>
            </w:r>
          </w:p>
        </w:tc>
        <w:tc>
          <w:tcPr>
            <w:tcW w:w="1620" w:type="dxa"/>
            <w:gridSpan w:val="3"/>
            <w:vAlign w:val="center"/>
          </w:tcPr>
          <w:p w14:paraId="26B0DE81" w14:textId="4FB32A67" w:rsidR="004515FC" w:rsidRPr="000B3838" w:rsidRDefault="004515FC" w:rsidP="0029161D">
            <w:pPr>
              <w:ind w:right="-29"/>
              <w:jc w:val="center"/>
              <w:rPr>
                <w:noProof/>
                <w:sz w:val="18"/>
              </w:rPr>
            </w:pPr>
            <w:r w:rsidRPr="000B3838">
              <w:rPr>
                <w:noProof/>
                <w:sz w:val="18"/>
              </w:rPr>
              <w:t>Godina</w:t>
            </w:r>
            <w:r w:rsidRPr="000B3838">
              <w:rPr>
                <w:noProof/>
              </w:rPr>
              <w:br/>
            </w:r>
            <w:r w:rsidRPr="000B3838">
              <w:rPr>
                <w:b/>
                <w:noProof/>
                <w:sz w:val="18"/>
              </w:rPr>
              <w:t>N+3</w:t>
            </w:r>
          </w:p>
        </w:tc>
        <w:tc>
          <w:tcPr>
            <w:tcW w:w="3600" w:type="dxa"/>
            <w:gridSpan w:val="6"/>
            <w:vAlign w:val="center"/>
          </w:tcPr>
          <w:p w14:paraId="6A54C21E" w14:textId="77777777" w:rsidR="004515FC" w:rsidRPr="000B3838" w:rsidRDefault="004515FC" w:rsidP="0029161D">
            <w:pPr>
              <w:jc w:val="center"/>
              <w:rPr>
                <w:noProof/>
                <w:sz w:val="18"/>
              </w:rPr>
            </w:pPr>
            <w:r w:rsidRPr="000B3838">
              <w:rPr>
                <w:noProof/>
                <w:sz w:val="18"/>
              </w:rPr>
              <w:t>Unijeti onoliko godina koliko je potrebno za prikaz trajanja učinka (vidjeti točku 1.6.)</w:t>
            </w:r>
          </w:p>
        </w:tc>
        <w:tc>
          <w:tcPr>
            <w:tcW w:w="1620" w:type="dxa"/>
            <w:gridSpan w:val="2"/>
            <w:tcBorders>
              <w:left w:val="nil"/>
              <w:bottom w:val="nil"/>
            </w:tcBorders>
            <w:vAlign w:val="center"/>
          </w:tcPr>
          <w:p w14:paraId="50A7EF22" w14:textId="77777777" w:rsidR="004515FC" w:rsidRPr="000B3838" w:rsidRDefault="004515FC" w:rsidP="0029161D">
            <w:pPr>
              <w:ind w:right="-29"/>
              <w:jc w:val="center"/>
              <w:rPr>
                <w:noProof/>
                <w:sz w:val="18"/>
              </w:rPr>
            </w:pPr>
            <w:r w:rsidRPr="000B3838">
              <w:rPr>
                <w:b/>
                <w:noProof/>
                <w:sz w:val="18"/>
              </w:rPr>
              <w:t>UKUPNO</w:t>
            </w:r>
          </w:p>
        </w:tc>
      </w:tr>
      <w:tr w:rsidR="004515FC" w:rsidRPr="000B3838" w14:paraId="3D603ED9" w14:textId="77777777" w:rsidTr="0029161D">
        <w:trPr>
          <w:jc w:val="center"/>
        </w:trPr>
        <w:tc>
          <w:tcPr>
            <w:tcW w:w="1423" w:type="dxa"/>
            <w:vMerge/>
            <w:vAlign w:val="center"/>
          </w:tcPr>
          <w:p w14:paraId="3E7050D5" w14:textId="77777777" w:rsidR="004515FC" w:rsidRPr="000B3838" w:rsidRDefault="004515FC" w:rsidP="0029161D">
            <w:pPr>
              <w:ind w:right="-29"/>
              <w:jc w:val="center"/>
              <w:rPr>
                <w:noProof/>
                <w:sz w:val="18"/>
              </w:rPr>
            </w:pPr>
          </w:p>
        </w:tc>
        <w:tc>
          <w:tcPr>
            <w:tcW w:w="12185" w:type="dxa"/>
            <w:gridSpan w:val="19"/>
            <w:vAlign w:val="center"/>
          </w:tcPr>
          <w:p w14:paraId="75D9BE23" w14:textId="77777777" w:rsidR="004515FC" w:rsidRPr="000B3838" w:rsidRDefault="004515FC" w:rsidP="0029161D">
            <w:pPr>
              <w:spacing w:before="60" w:after="60"/>
              <w:ind w:right="-29"/>
              <w:jc w:val="center"/>
              <w:rPr>
                <w:noProof/>
                <w:sz w:val="18"/>
              </w:rPr>
            </w:pPr>
            <w:r w:rsidRPr="000B3838">
              <w:rPr>
                <w:b/>
                <w:noProof/>
                <w:sz w:val="18"/>
              </w:rPr>
              <w:t>REZULTATI</w:t>
            </w:r>
          </w:p>
        </w:tc>
      </w:tr>
      <w:tr w:rsidR="004515FC" w:rsidRPr="000B3838" w14:paraId="2BDAB273" w14:textId="77777777" w:rsidTr="0029161D">
        <w:trPr>
          <w:cantSplit/>
          <w:trHeight w:val="1134"/>
          <w:jc w:val="center"/>
        </w:trPr>
        <w:tc>
          <w:tcPr>
            <w:tcW w:w="1423" w:type="dxa"/>
            <w:vMerge/>
            <w:vAlign w:val="center"/>
          </w:tcPr>
          <w:p w14:paraId="3057E7AB" w14:textId="77777777" w:rsidR="004515FC" w:rsidRPr="000B3838" w:rsidRDefault="004515FC" w:rsidP="0029161D">
            <w:pPr>
              <w:rPr>
                <w:noProof/>
                <w:sz w:val="18"/>
              </w:rPr>
            </w:pPr>
          </w:p>
        </w:tc>
        <w:tc>
          <w:tcPr>
            <w:tcW w:w="720" w:type="dxa"/>
            <w:vAlign w:val="center"/>
          </w:tcPr>
          <w:p w14:paraId="375F66FC" w14:textId="77777777" w:rsidR="004515FC" w:rsidRPr="000B3838" w:rsidRDefault="004515FC" w:rsidP="0029161D">
            <w:pPr>
              <w:jc w:val="center"/>
              <w:rPr>
                <w:noProof/>
                <w:sz w:val="18"/>
              </w:rPr>
            </w:pPr>
            <w:r w:rsidRPr="000B3838">
              <w:rPr>
                <w:noProof/>
                <w:sz w:val="18"/>
              </w:rPr>
              <w:t>Vrsta</w:t>
            </w:r>
            <w:r w:rsidRPr="000B3838">
              <w:rPr>
                <w:rStyle w:val="FootnoteReference0"/>
                <w:noProof/>
                <w:sz w:val="18"/>
              </w:rPr>
              <w:footnoteReference w:id="48"/>
            </w:r>
          </w:p>
          <w:p w14:paraId="61FE9F8C" w14:textId="77777777" w:rsidR="004515FC" w:rsidRPr="000B3838" w:rsidRDefault="004515FC" w:rsidP="0029161D">
            <w:pPr>
              <w:spacing w:before="0" w:after="0"/>
              <w:jc w:val="center"/>
              <w:rPr>
                <w:noProof/>
                <w:sz w:val="18"/>
              </w:rPr>
            </w:pPr>
          </w:p>
        </w:tc>
        <w:tc>
          <w:tcPr>
            <w:tcW w:w="701" w:type="dxa"/>
            <w:vAlign w:val="center"/>
          </w:tcPr>
          <w:p w14:paraId="003B9B13" w14:textId="77777777" w:rsidR="004515FC" w:rsidRPr="000B3838" w:rsidRDefault="004515FC" w:rsidP="0029161D">
            <w:pPr>
              <w:jc w:val="center"/>
              <w:rPr>
                <w:noProof/>
                <w:sz w:val="18"/>
              </w:rPr>
            </w:pPr>
            <w:r w:rsidRPr="000B3838">
              <w:rPr>
                <w:noProof/>
                <w:sz w:val="18"/>
              </w:rPr>
              <w:t>Prosječni trošak</w:t>
            </w:r>
          </w:p>
        </w:tc>
        <w:tc>
          <w:tcPr>
            <w:tcW w:w="504" w:type="dxa"/>
            <w:tcBorders>
              <w:left w:val="nil"/>
              <w:right w:val="dashSmallGap" w:sz="4" w:space="0" w:color="auto"/>
            </w:tcBorders>
            <w:shd w:val="pct10" w:color="auto" w:fill="auto"/>
            <w:textDirection w:val="btLr"/>
            <w:vAlign w:val="center"/>
          </w:tcPr>
          <w:p w14:paraId="09B8D9E2" w14:textId="77777777" w:rsidR="004515FC" w:rsidRPr="000B3838" w:rsidRDefault="004515FC" w:rsidP="0029161D">
            <w:pPr>
              <w:ind w:left="113" w:right="113"/>
              <w:jc w:val="center"/>
              <w:rPr>
                <w:noProof/>
                <w:sz w:val="18"/>
              </w:rPr>
            </w:pPr>
            <w:r w:rsidRPr="000B3838">
              <w:rPr>
                <w:noProof/>
                <w:sz w:val="18"/>
              </w:rPr>
              <w:t>br.</w:t>
            </w:r>
          </w:p>
        </w:tc>
        <w:tc>
          <w:tcPr>
            <w:tcW w:w="720" w:type="dxa"/>
            <w:tcBorders>
              <w:left w:val="dashSmallGap" w:sz="4" w:space="0" w:color="auto"/>
            </w:tcBorders>
            <w:shd w:val="pct10" w:color="auto" w:fill="auto"/>
            <w:vAlign w:val="center"/>
          </w:tcPr>
          <w:p w14:paraId="138B6C80" w14:textId="77777777" w:rsidR="004515FC" w:rsidRPr="000B3838" w:rsidRDefault="004515FC" w:rsidP="0029161D">
            <w:pPr>
              <w:jc w:val="center"/>
              <w:rPr>
                <w:noProof/>
                <w:sz w:val="18"/>
              </w:rPr>
            </w:pPr>
            <w:r w:rsidRPr="000B3838">
              <w:rPr>
                <w:noProof/>
                <w:sz w:val="18"/>
              </w:rPr>
              <w:t>Trošak</w:t>
            </w:r>
          </w:p>
        </w:tc>
        <w:tc>
          <w:tcPr>
            <w:tcW w:w="540" w:type="dxa"/>
            <w:tcBorders>
              <w:right w:val="dashSmallGap" w:sz="4" w:space="0" w:color="auto"/>
            </w:tcBorders>
            <w:shd w:val="pct10" w:color="auto" w:fill="auto"/>
            <w:textDirection w:val="btLr"/>
            <w:vAlign w:val="center"/>
          </w:tcPr>
          <w:p w14:paraId="66CE3198" w14:textId="77777777" w:rsidR="004515FC" w:rsidRPr="000B3838" w:rsidRDefault="004515FC" w:rsidP="0029161D">
            <w:pPr>
              <w:ind w:left="113" w:right="113"/>
              <w:jc w:val="center"/>
              <w:rPr>
                <w:noProof/>
                <w:sz w:val="18"/>
              </w:rPr>
            </w:pPr>
            <w:r w:rsidRPr="000B3838">
              <w:rPr>
                <w:noProof/>
                <w:sz w:val="18"/>
              </w:rPr>
              <w:t>br.</w:t>
            </w:r>
          </w:p>
        </w:tc>
        <w:tc>
          <w:tcPr>
            <w:tcW w:w="720" w:type="dxa"/>
            <w:tcBorders>
              <w:left w:val="dashSmallGap" w:sz="4" w:space="0" w:color="auto"/>
            </w:tcBorders>
            <w:shd w:val="pct10" w:color="auto" w:fill="auto"/>
            <w:vAlign w:val="center"/>
          </w:tcPr>
          <w:p w14:paraId="0F5193A3" w14:textId="77777777" w:rsidR="004515FC" w:rsidRPr="000B3838" w:rsidRDefault="004515FC" w:rsidP="0029161D">
            <w:pPr>
              <w:jc w:val="center"/>
              <w:rPr>
                <w:noProof/>
                <w:sz w:val="18"/>
              </w:rPr>
            </w:pPr>
            <w:r w:rsidRPr="000B3838">
              <w:rPr>
                <w:noProof/>
                <w:sz w:val="18"/>
              </w:rPr>
              <w:t>Trošak</w:t>
            </w:r>
          </w:p>
        </w:tc>
        <w:tc>
          <w:tcPr>
            <w:tcW w:w="720" w:type="dxa"/>
            <w:tcBorders>
              <w:right w:val="dashSmallGap" w:sz="4" w:space="0" w:color="auto"/>
            </w:tcBorders>
            <w:shd w:val="pct10" w:color="auto" w:fill="auto"/>
            <w:textDirection w:val="btLr"/>
            <w:vAlign w:val="center"/>
          </w:tcPr>
          <w:p w14:paraId="4799964D" w14:textId="77777777" w:rsidR="004515FC" w:rsidRPr="000B3838" w:rsidRDefault="004515FC" w:rsidP="0029161D">
            <w:pPr>
              <w:ind w:left="113" w:right="113"/>
              <w:jc w:val="center"/>
              <w:rPr>
                <w:noProof/>
                <w:sz w:val="18"/>
              </w:rPr>
            </w:pPr>
            <w:r w:rsidRPr="000B3838">
              <w:rPr>
                <w:noProof/>
                <w:sz w:val="18"/>
              </w:rPr>
              <w:t>br.</w:t>
            </w:r>
          </w:p>
        </w:tc>
        <w:tc>
          <w:tcPr>
            <w:tcW w:w="720" w:type="dxa"/>
            <w:tcBorders>
              <w:left w:val="dashSmallGap" w:sz="4" w:space="0" w:color="auto"/>
            </w:tcBorders>
            <w:shd w:val="pct10" w:color="auto" w:fill="auto"/>
            <w:vAlign w:val="center"/>
          </w:tcPr>
          <w:p w14:paraId="6A27E9C0" w14:textId="77777777" w:rsidR="004515FC" w:rsidRPr="000B3838" w:rsidRDefault="004515FC" w:rsidP="0029161D">
            <w:pPr>
              <w:jc w:val="center"/>
              <w:rPr>
                <w:noProof/>
                <w:sz w:val="18"/>
              </w:rPr>
            </w:pPr>
            <w:r w:rsidRPr="000B3838">
              <w:rPr>
                <w:noProof/>
                <w:sz w:val="18"/>
              </w:rPr>
              <w:t>Trošak</w:t>
            </w:r>
          </w:p>
        </w:tc>
        <w:tc>
          <w:tcPr>
            <w:tcW w:w="900" w:type="dxa"/>
            <w:tcBorders>
              <w:right w:val="dashSmallGap" w:sz="4" w:space="0" w:color="auto"/>
            </w:tcBorders>
            <w:shd w:val="pct10" w:color="auto" w:fill="auto"/>
            <w:textDirection w:val="btLr"/>
            <w:vAlign w:val="center"/>
          </w:tcPr>
          <w:p w14:paraId="183F6C87" w14:textId="77777777" w:rsidR="004515FC" w:rsidRPr="000B3838" w:rsidRDefault="004515FC" w:rsidP="0029161D">
            <w:pPr>
              <w:ind w:left="113" w:right="113"/>
              <w:jc w:val="center"/>
              <w:rPr>
                <w:noProof/>
                <w:sz w:val="18"/>
              </w:rPr>
            </w:pPr>
            <w:r w:rsidRPr="000B3838">
              <w:rPr>
                <w:noProof/>
                <w:sz w:val="18"/>
              </w:rPr>
              <w:t>br.</w:t>
            </w:r>
          </w:p>
        </w:tc>
        <w:tc>
          <w:tcPr>
            <w:tcW w:w="720" w:type="dxa"/>
            <w:gridSpan w:val="2"/>
            <w:tcBorders>
              <w:left w:val="dashSmallGap" w:sz="4" w:space="0" w:color="auto"/>
            </w:tcBorders>
            <w:shd w:val="pct10" w:color="auto" w:fill="auto"/>
            <w:vAlign w:val="center"/>
          </w:tcPr>
          <w:p w14:paraId="54334199" w14:textId="77777777" w:rsidR="004515FC" w:rsidRPr="000B3838" w:rsidRDefault="004515FC" w:rsidP="0029161D">
            <w:pPr>
              <w:jc w:val="center"/>
              <w:rPr>
                <w:noProof/>
                <w:sz w:val="18"/>
              </w:rPr>
            </w:pPr>
            <w:r w:rsidRPr="000B3838">
              <w:rPr>
                <w:noProof/>
                <w:sz w:val="18"/>
              </w:rPr>
              <w:t>Trošak</w:t>
            </w:r>
          </w:p>
        </w:tc>
        <w:tc>
          <w:tcPr>
            <w:tcW w:w="540" w:type="dxa"/>
            <w:tcBorders>
              <w:right w:val="dashSmallGap" w:sz="4" w:space="0" w:color="auto"/>
            </w:tcBorders>
            <w:shd w:val="pct10" w:color="auto" w:fill="auto"/>
            <w:textDirection w:val="btLr"/>
            <w:vAlign w:val="center"/>
          </w:tcPr>
          <w:p w14:paraId="4D685A28" w14:textId="77777777" w:rsidR="004515FC" w:rsidRPr="000B3838" w:rsidRDefault="004515FC" w:rsidP="0029161D">
            <w:pPr>
              <w:ind w:left="113" w:right="113"/>
              <w:jc w:val="center"/>
              <w:rPr>
                <w:noProof/>
                <w:sz w:val="18"/>
              </w:rPr>
            </w:pPr>
            <w:r w:rsidRPr="000B3838">
              <w:rPr>
                <w:noProof/>
                <w:sz w:val="18"/>
              </w:rPr>
              <w:t>br.</w:t>
            </w:r>
          </w:p>
        </w:tc>
        <w:tc>
          <w:tcPr>
            <w:tcW w:w="648" w:type="dxa"/>
            <w:tcBorders>
              <w:left w:val="dashSmallGap" w:sz="4" w:space="0" w:color="auto"/>
            </w:tcBorders>
            <w:shd w:val="pct10" w:color="auto" w:fill="auto"/>
            <w:vAlign w:val="center"/>
          </w:tcPr>
          <w:p w14:paraId="375786A0" w14:textId="77777777" w:rsidR="004515FC" w:rsidRPr="000B3838" w:rsidRDefault="004515FC" w:rsidP="0029161D">
            <w:pPr>
              <w:jc w:val="center"/>
              <w:rPr>
                <w:noProof/>
                <w:sz w:val="18"/>
              </w:rPr>
            </w:pPr>
            <w:r w:rsidRPr="000B3838">
              <w:rPr>
                <w:noProof/>
                <w:sz w:val="18"/>
              </w:rPr>
              <w:t>Trošak</w:t>
            </w:r>
          </w:p>
        </w:tc>
        <w:tc>
          <w:tcPr>
            <w:tcW w:w="432" w:type="dxa"/>
            <w:tcBorders>
              <w:right w:val="dashSmallGap" w:sz="4" w:space="0" w:color="auto"/>
            </w:tcBorders>
            <w:shd w:val="pct10" w:color="auto" w:fill="auto"/>
            <w:textDirection w:val="btLr"/>
            <w:vAlign w:val="center"/>
          </w:tcPr>
          <w:p w14:paraId="33D476A7" w14:textId="77777777" w:rsidR="004515FC" w:rsidRPr="000B3838" w:rsidRDefault="004515FC" w:rsidP="0029161D">
            <w:pPr>
              <w:ind w:left="113" w:right="113"/>
              <w:jc w:val="center"/>
              <w:rPr>
                <w:noProof/>
                <w:sz w:val="18"/>
              </w:rPr>
            </w:pPr>
            <w:r w:rsidRPr="000B3838">
              <w:rPr>
                <w:noProof/>
                <w:sz w:val="18"/>
              </w:rPr>
              <w:t>br.</w:t>
            </w:r>
          </w:p>
        </w:tc>
        <w:tc>
          <w:tcPr>
            <w:tcW w:w="720" w:type="dxa"/>
            <w:tcBorders>
              <w:left w:val="dashSmallGap" w:sz="4" w:space="0" w:color="auto"/>
            </w:tcBorders>
            <w:shd w:val="pct10" w:color="auto" w:fill="auto"/>
            <w:vAlign w:val="center"/>
          </w:tcPr>
          <w:p w14:paraId="78D8A5ED" w14:textId="77777777" w:rsidR="004515FC" w:rsidRPr="000B3838" w:rsidRDefault="004515FC" w:rsidP="0029161D">
            <w:pPr>
              <w:jc w:val="center"/>
              <w:rPr>
                <w:noProof/>
                <w:sz w:val="18"/>
              </w:rPr>
            </w:pPr>
            <w:r w:rsidRPr="000B3838">
              <w:rPr>
                <w:noProof/>
                <w:sz w:val="18"/>
              </w:rPr>
              <w:t>Trošak</w:t>
            </w:r>
          </w:p>
        </w:tc>
        <w:tc>
          <w:tcPr>
            <w:tcW w:w="540" w:type="dxa"/>
            <w:tcBorders>
              <w:right w:val="dashSmallGap" w:sz="4" w:space="0" w:color="auto"/>
            </w:tcBorders>
            <w:shd w:val="pct10" w:color="auto" w:fill="auto"/>
            <w:textDirection w:val="btLr"/>
            <w:vAlign w:val="center"/>
          </w:tcPr>
          <w:p w14:paraId="2A627D52" w14:textId="77777777" w:rsidR="004515FC" w:rsidRPr="000B3838" w:rsidRDefault="004515FC" w:rsidP="0029161D">
            <w:pPr>
              <w:ind w:left="113" w:right="113"/>
              <w:jc w:val="center"/>
              <w:rPr>
                <w:noProof/>
                <w:sz w:val="18"/>
              </w:rPr>
            </w:pPr>
            <w:r w:rsidRPr="000B3838">
              <w:rPr>
                <w:noProof/>
                <w:sz w:val="18"/>
              </w:rPr>
              <w:t>br.</w:t>
            </w:r>
          </w:p>
        </w:tc>
        <w:tc>
          <w:tcPr>
            <w:tcW w:w="720" w:type="dxa"/>
            <w:tcBorders>
              <w:left w:val="dashSmallGap" w:sz="4" w:space="0" w:color="auto"/>
            </w:tcBorders>
            <w:shd w:val="pct10" w:color="auto" w:fill="auto"/>
            <w:vAlign w:val="center"/>
          </w:tcPr>
          <w:p w14:paraId="1F6E6EF5" w14:textId="77777777" w:rsidR="004515FC" w:rsidRPr="000B3838" w:rsidRDefault="004515FC" w:rsidP="0029161D">
            <w:pPr>
              <w:jc w:val="center"/>
              <w:rPr>
                <w:noProof/>
                <w:sz w:val="18"/>
              </w:rPr>
            </w:pPr>
            <w:r w:rsidRPr="000B3838">
              <w:rPr>
                <w:noProof/>
                <w:sz w:val="18"/>
              </w:rPr>
              <w:t>Trošak</w:t>
            </w:r>
          </w:p>
        </w:tc>
        <w:tc>
          <w:tcPr>
            <w:tcW w:w="720" w:type="dxa"/>
            <w:tcBorders>
              <w:right w:val="dashSmallGap" w:sz="4" w:space="0" w:color="auto"/>
            </w:tcBorders>
            <w:shd w:val="pct10" w:color="auto" w:fill="auto"/>
            <w:vAlign w:val="center"/>
          </w:tcPr>
          <w:p w14:paraId="6AA3815F" w14:textId="77777777" w:rsidR="004515FC" w:rsidRPr="000B3838" w:rsidRDefault="004515FC" w:rsidP="0029161D">
            <w:pPr>
              <w:jc w:val="center"/>
              <w:rPr>
                <w:noProof/>
                <w:sz w:val="18"/>
              </w:rPr>
            </w:pPr>
            <w:r w:rsidRPr="000B3838">
              <w:rPr>
                <w:noProof/>
                <w:sz w:val="18"/>
              </w:rPr>
              <w:t>Ukupni broj</w:t>
            </w:r>
          </w:p>
        </w:tc>
        <w:tc>
          <w:tcPr>
            <w:tcW w:w="900" w:type="dxa"/>
            <w:tcBorders>
              <w:left w:val="dashSmallGap" w:sz="4" w:space="0" w:color="auto"/>
            </w:tcBorders>
            <w:shd w:val="pct10" w:color="auto" w:fill="auto"/>
            <w:vAlign w:val="center"/>
          </w:tcPr>
          <w:p w14:paraId="1DA70795" w14:textId="77777777" w:rsidR="004515FC" w:rsidRPr="000B3838" w:rsidRDefault="004515FC" w:rsidP="0029161D">
            <w:pPr>
              <w:jc w:val="center"/>
              <w:rPr>
                <w:noProof/>
                <w:sz w:val="18"/>
              </w:rPr>
            </w:pPr>
            <w:r w:rsidRPr="000B3838">
              <w:rPr>
                <w:noProof/>
                <w:sz w:val="18"/>
              </w:rPr>
              <w:t>Ukupni trošak</w:t>
            </w:r>
          </w:p>
        </w:tc>
      </w:tr>
      <w:tr w:rsidR="004515FC" w:rsidRPr="000B3838" w14:paraId="5EE1FCDB" w14:textId="77777777" w:rsidTr="0029161D">
        <w:trPr>
          <w:jc w:val="center"/>
        </w:trPr>
        <w:tc>
          <w:tcPr>
            <w:tcW w:w="2844" w:type="dxa"/>
            <w:gridSpan w:val="3"/>
            <w:vAlign w:val="center"/>
          </w:tcPr>
          <w:p w14:paraId="7FFCBF03" w14:textId="77777777" w:rsidR="004515FC" w:rsidRPr="000B3838" w:rsidRDefault="004515FC" w:rsidP="0029161D">
            <w:pPr>
              <w:spacing w:before="60" w:after="60"/>
              <w:ind w:right="-29"/>
              <w:jc w:val="center"/>
              <w:rPr>
                <w:noProof/>
                <w:sz w:val="18"/>
              </w:rPr>
            </w:pPr>
            <w:r w:rsidRPr="000B3838">
              <w:rPr>
                <w:noProof/>
                <w:sz w:val="18"/>
              </w:rPr>
              <w:t>SPECIFIČNI CILJ br. 1</w:t>
            </w:r>
            <w:r w:rsidRPr="000B3838">
              <w:rPr>
                <w:rStyle w:val="FootnoteReference0"/>
                <w:noProof/>
                <w:sz w:val="18"/>
              </w:rPr>
              <w:footnoteReference w:id="49"/>
            </w:r>
            <w:r w:rsidRPr="000B3838">
              <w:rPr>
                <w:noProof/>
                <w:sz w:val="18"/>
              </w:rPr>
              <w:t>…</w:t>
            </w:r>
          </w:p>
        </w:tc>
        <w:tc>
          <w:tcPr>
            <w:tcW w:w="504" w:type="dxa"/>
            <w:tcBorders>
              <w:top w:val="nil"/>
              <w:left w:val="nil"/>
              <w:bottom w:val="nil"/>
              <w:right w:val="nil"/>
            </w:tcBorders>
          </w:tcPr>
          <w:p w14:paraId="1E38E31B"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076D56F5" w14:textId="77777777" w:rsidR="004515FC" w:rsidRPr="000B3838" w:rsidRDefault="004515FC" w:rsidP="0029161D">
            <w:pPr>
              <w:spacing w:before="60" w:after="60"/>
              <w:ind w:right="-29"/>
              <w:jc w:val="center"/>
              <w:rPr>
                <w:noProof/>
                <w:sz w:val="18"/>
              </w:rPr>
            </w:pPr>
          </w:p>
        </w:tc>
        <w:tc>
          <w:tcPr>
            <w:tcW w:w="540" w:type="dxa"/>
            <w:tcBorders>
              <w:top w:val="nil"/>
              <w:left w:val="nil"/>
              <w:bottom w:val="nil"/>
              <w:right w:val="nil"/>
            </w:tcBorders>
          </w:tcPr>
          <w:p w14:paraId="08ADA7CF"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090B6986"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15DBEB6F"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30E3CC2E" w14:textId="77777777" w:rsidR="004515FC" w:rsidRPr="000B3838" w:rsidRDefault="004515FC" w:rsidP="0029161D">
            <w:pPr>
              <w:spacing w:before="60" w:after="60"/>
              <w:ind w:right="-29"/>
              <w:jc w:val="center"/>
              <w:rPr>
                <w:noProof/>
                <w:sz w:val="18"/>
              </w:rPr>
            </w:pPr>
          </w:p>
        </w:tc>
        <w:tc>
          <w:tcPr>
            <w:tcW w:w="900" w:type="dxa"/>
            <w:tcBorders>
              <w:top w:val="nil"/>
              <w:left w:val="nil"/>
              <w:bottom w:val="nil"/>
              <w:right w:val="nil"/>
            </w:tcBorders>
          </w:tcPr>
          <w:p w14:paraId="2E1CC5CC" w14:textId="77777777" w:rsidR="004515FC" w:rsidRPr="000B3838" w:rsidRDefault="004515FC" w:rsidP="0029161D">
            <w:pPr>
              <w:spacing w:before="60" w:after="60"/>
              <w:ind w:right="-29"/>
              <w:jc w:val="center"/>
              <w:rPr>
                <w:noProof/>
                <w:sz w:val="18"/>
              </w:rPr>
            </w:pPr>
          </w:p>
        </w:tc>
        <w:tc>
          <w:tcPr>
            <w:tcW w:w="720" w:type="dxa"/>
            <w:gridSpan w:val="2"/>
            <w:tcBorders>
              <w:top w:val="nil"/>
              <w:left w:val="nil"/>
              <w:bottom w:val="nil"/>
              <w:right w:val="nil"/>
            </w:tcBorders>
          </w:tcPr>
          <w:p w14:paraId="20DCE8B8" w14:textId="77777777" w:rsidR="004515FC" w:rsidRPr="000B3838" w:rsidRDefault="004515FC" w:rsidP="0029161D">
            <w:pPr>
              <w:spacing w:before="60" w:after="60"/>
              <w:ind w:right="-29"/>
              <w:jc w:val="center"/>
              <w:rPr>
                <w:noProof/>
                <w:sz w:val="18"/>
              </w:rPr>
            </w:pPr>
          </w:p>
        </w:tc>
        <w:tc>
          <w:tcPr>
            <w:tcW w:w="540" w:type="dxa"/>
            <w:tcBorders>
              <w:top w:val="nil"/>
              <w:left w:val="nil"/>
              <w:bottom w:val="nil"/>
              <w:right w:val="nil"/>
            </w:tcBorders>
          </w:tcPr>
          <w:p w14:paraId="55D8AADE" w14:textId="77777777" w:rsidR="004515FC" w:rsidRPr="000B3838" w:rsidRDefault="004515FC" w:rsidP="0029161D">
            <w:pPr>
              <w:spacing w:before="60" w:after="60"/>
              <w:ind w:right="-29"/>
              <w:jc w:val="center"/>
              <w:rPr>
                <w:noProof/>
                <w:sz w:val="18"/>
              </w:rPr>
            </w:pPr>
          </w:p>
        </w:tc>
        <w:tc>
          <w:tcPr>
            <w:tcW w:w="648" w:type="dxa"/>
            <w:tcBorders>
              <w:top w:val="nil"/>
              <w:left w:val="nil"/>
              <w:bottom w:val="nil"/>
              <w:right w:val="nil"/>
            </w:tcBorders>
          </w:tcPr>
          <w:p w14:paraId="741FE02F" w14:textId="77777777" w:rsidR="004515FC" w:rsidRPr="000B3838" w:rsidRDefault="004515FC" w:rsidP="0029161D">
            <w:pPr>
              <w:spacing w:before="60" w:after="60"/>
              <w:ind w:right="-29"/>
              <w:jc w:val="center"/>
              <w:rPr>
                <w:noProof/>
                <w:sz w:val="18"/>
              </w:rPr>
            </w:pPr>
          </w:p>
        </w:tc>
        <w:tc>
          <w:tcPr>
            <w:tcW w:w="432" w:type="dxa"/>
            <w:tcBorders>
              <w:top w:val="nil"/>
              <w:left w:val="nil"/>
              <w:bottom w:val="nil"/>
              <w:right w:val="nil"/>
            </w:tcBorders>
          </w:tcPr>
          <w:p w14:paraId="05E86D9A"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40C1709B" w14:textId="77777777" w:rsidR="004515FC" w:rsidRPr="000B3838" w:rsidRDefault="004515FC" w:rsidP="0029161D">
            <w:pPr>
              <w:spacing w:before="60" w:after="60"/>
              <w:ind w:right="-29"/>
              <w:jc w:val="center"/>
              <w:rPr>
                <w:noProof/>
                <w:sz w:val="18"/>
              </w:rPr>
            </w:pPr>
          </w:p>
        </w:tc>
        <w:tc>
          <w:tcPr>
            <w:tcW w:w="540" w:type="dxa"/>
            <w:tcBorders>
              <w:top w:val="nil"/>
              <w:left w:val="nil"/>
              <w:bottom w:val="nil"/>
              <w:right w:val="nil"/>
            </w:tcBorders>
          </w:tcPr>
          <w:p w14:paraId="5809C4F8"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09D6560F"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7EB02981" w14:textId="77777777" w:rsidR="004515FC" w:rsidRPr="000B3838" w:rsidRDefault="004515FC" w:rsidP="0029161D">
            <w:pPr>
              <w:spacing w:before="60" w:after="60"/>
              <w:ind w:right="-29"/>
              <w:jc w:val="center"/>
              <w:rPr>
                <w:noProof/>
                <w:sz w:val="18"/>
              </w:rPr>
            </w:pPr>
          </w:p>
        </w:tc>
        <w:tc>
          <w:tcPr>
            <w:tcW w:w="900" w:type="dxa"/>
            <w:tcBorders>
              <w:top w:val="nil"/>
              <w:left w:val="nil"/>
              <w:bottom w:val="nil"/>
              <w:right w:val="nil"/>
            </w:tcBorders>
          </w:tcPr>
          <w:p w14:paraId="47353293" w14:textId="77777777" w:rsidR="004515FC" w:rsidRPr="000B3838" w:rsidRDefault="004515FC" w:rsidP="0029161D">
            <w:pPr>
              <w:spacing w:before="60" w:after="60"/>
              <w:ind w:right="-29"/>
              <w:jc w:val="center"/>
              <w:rPr>
                <w:noProof/>
                <w:sz w:val="18"/>
              </w:rPr>
            </w:pPr>
          </w:p>
        </w:tc>
      </w:tr>
      <w:tr w:rsidR="004515FC" w:rsidRPr="000B3838" w14:paraId="0056DEC4" w14:textId="77777777" w:rsidTr="0029161D">
        <w:trPr>
          <w:trHeight w:hRule="exact" w:val="369"/>
          <w:jc w:val="center"/>
        </w:trPr>
        <w:tc>
          <w:tcPr>
            <w:tcW w:w="1423" w:type="dxa"/>
          </w:tcPr>
          <w:p w14:paraId="1EAE3407" w14:textId="77777777" w:rsidR="004515FC" w:rsidRPr="000B3838" w:rsidRDefault="004515FC" w:rsidP="0029161D">
            <w:pPr>
              <w:ind w:right="-29"/>
              <w:jc w:val="center"/>
              <w:rPr>
                <w:noProof/>
                <w:sz w:val="18"/>
              </w:rPr>
            </w:pPr>
            <w:r w:rsidRPr="000B3838">
              <w:rPr>
                <w:noProof/>
                <w:sz w:val="18"/>
              </w:rPr>
              <w:t>– rezultat</w:t>
            </w:r>
          </w:p>
        </w:tc>
        <w:tc>
          <w:tcPr>
            <w:tcW w:w="720" w:type="dxa"/>
          </w:tcPr>
          <w:p w14:paraId="1C0EBB8C" w14:textId="77777777" w:rsidR="004515FC" w:rsidRPr="000B3838" w:rsidRDefault="004515FC" w:rsidP="0029161D">
            <w:pPr>
              <w:ind w:right="-29"/>
              <w:jc w:val="center"/>
              <w:rPr>
                <w:noProof/>
                <w:sz w:val="18"/>
              </w:rPr>
            </w:pPr>
          </w:p>
        </w:tc>
        <w:tc>
          <w:tcPr>
            <w:tcW w:w="701" w:type="dxa"/>
          </w:tcPr>
          <w:p w14:paraId="7C3DBCE0" w14:textId="77777777" w:rsidR="004515FC" w:rsidRPr="000B3838" w:rsidRDefault="004515FC" w:rsidP="0029161D">
            <w:pPr>
              <w:ind w:right="-29"/>
              <w:jc w:val="center"/>
              <w:rPr>
                <w:noProof/>
                <w:sz w:val="18"/>
              </w:rPr>
            </w:pPr>
          </w:p>
        </w:tc>
        <w:tc>
          <w:tcPr>
            <w:tcW w:w="504" w:type="dxa"/>
            <w:tcBorders>
              <w:right w:val="dashSmallGap" w:sz="4" w:space="0" w:color="auto"/>
            </w:tcBorders>
          </w:tcPr>
          <w:p w14:paraId="6783E777"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4A53B771" w14:textId="77777777" w:rsidR="004515FC" w:rsidRPr="000B3838" w:rsidRDefault="004515FC" w:rsidP="0029161D">
            <w:pPr>
              <w:ind w:right="-29"/>
              <w:jc w:val="center"/>
              <w:rPr>
                <w:noProof/>
                <w:sz w:val="18"/>
              </w:rPr>
            </w:pPr>
          </w:p>
        </w:tc>
        <w:tc>
          <w:tcPr>
            <w:tcW w:w="540" w:type="dxa"/>
            <w:tcBorders>
              <w:right w:val="dashSmallGap" w:sz="4" w:space="0" w:color="auto"/>
            </w:tcBorders>
          </w:tcPr>
          <w:p w14:paraId="08B14385"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1377F426" w14:textId="77777777" w:rsidR="004515FC" w:rsidRPr="000B3838" w:rsidRDefault="004515FC" w:rsidP="0029161D">
            <w:pPr>
              <w:ind w:right="-29"/>
              <w:jc w:val="center"/>
              <w:rPr>
                <w:noProof/>
                <w:sz w:val="18"/>
              </w:rPr>
            </w:pPr>
          </w:p>
        </w:tc>
        <w:tc>
          <w:tcPr>
            <w:tcW w:w="720" w:type="dxa"/>
            <w:tcBorders>
              <w:right w:val="dashSmallGap" w:sz="4" w:space="0" w:color="auto"/>
            </w:tcBorders>
          </w:tcPr>
          <w:p w14:paraId="7BDE1D6F"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131C1E0B" w14:textId="77777777" w:rsidR="004515FC" w:rsidRPr="000B3838" w:rsidRDefault="004515FC" w:rsidP="0029161D">
            <w:pPr>
              <w:ind w:right="-29"/>
              <w:jc w:val="center"/>
              <w:rPr>
                <w:noProof/>
                <w:sz w:val="18"/>
              </w:rPr>
            </w:pPr>
          </w:p>
        </w:tc>
        <w:tc>
          <w:tcPr>
            <w:tcW w:w="900" w:type="dxa"/>
            <w:tcBorders>
              <w:right w:val="dashSmallGap" w:sz="4" w:space="0" w:color="auto"/>
            </w:tcBorders>
          </w:tcPr>
          <w:p w14:paraId="38B94312" w14:textId="77777777" w:rsidR="004515FC" w:rsidRPr="000B3838" w:rsidRDefault="004515FC" w:rsidP="0029161D">
            <w:pPr>
              <w:ind w:right="-29"/>
              <w:jc w:val="center"/>
              <w:rPr>
                <w:noProof/>
                <w:sz w:val="18"/>
              </w:rPr>
            </w:pPr>
          </w:p>
        </w:tc>
        <w:tc>
          <w:tcPr>
            <w:tcW w:w="720" w:type="dxa"/>
            <w:gridSpan w:val="2"/>
            <w:tcBorders>
              <w:left w:val="dashSmallGap" w:sz="4" w:space="0" w:color="auto"/>
            </w:tcBorders>
          </w:tcPr>
          <w:p w14:paraId="364ED06C" w14:textId="77777777" w:rsidR="004515FC" w:rsidRPr="000B3838" w:rsidRDefault="004515FC" w:rsidP="0029161D">
            <w:pPr>
              <w:ind w:right="-29"/>
              <w:jc w:val="center"/>
              <w:rPr>
                <w:noProof/>
                <w:sz w:val="18"/>
              </w:rPr>
            </w:pPr>
          </w:p>
        </w:tc>
        <w:tc>
          <w:tcPr>
            <w:tcW w:w="540" w:type="dxa"/>
            <w:tcBorders>
              <w:right w:val="dashSmallGap" w:sz="4" w:space="0" w:color="auto"/>
            </w:tcBorders>
          </w:tcPr>
          <w:p w14:paraId="089E92A2" w14:textId="77777777" w:rsidR="004515FC" w:rsidRPr="000B3838" w:rsidRDefault="004515FC" w:rsidP="0029161D">
            <w:pPr>
              <w:ind w:right="-29"/>
              <w:jc w:val="center"/>
              <w:rPr>
                <w:noProof/>
                <w:sz w:val="18"/>
              </w:rPr>
            </w:pPr>
          </w:p>
        </w:tc>
        <w:tc>
          <w:tcPr>
            <w:tcW w:w="648" w:type="dxa"/>
            <w:tcBorders>
              <w:left w:val="dashSmallGap" w:sz="4" w:space="0" w:color="auto"/>
            </w:tcBorders>
          </w:tcPr>
          <w:p w14:paraId="466C0AB2" w14:textId="77777777" w:rsidR="004515FC" w:rsidRPr="000B3838" w:rsidRDefault="004515FC" w:rsidP="0029161D">
            <w:pPr>
              <w:ind w:right="-29"/>
              <w:jc w:val="center"/>
              <w:rPr>
                <w:noProof/>
                <w:sz w:val="18"/>
              </w:rPr>
            </w:pPr>
          </w:p>
        </w:tc>
        <w:tc>
          <w:tcPr>
            <w:tcW w:w="432" w:type="dxa"/>
            <w:tcBorders>
              <w:right w:val="dashSmallGap" w:sz="4" w:space="0" w:color="auto"/>
            </w:tcBorders>
          </w:tcPr>
          <w:p w14:paraId="39E33132"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5BE31F88" w14:textId="77777777" w:rsidR="004515FC" w:rsidRPr="000B3838" w:rsidRDefault="004515FC" w:rsidP="0029161D">
            <w:pPr>
              <w:ind w:right="-29"/>
              <w:jc w:val="center"/>
              <w:rPr>
                <w:noProof/>
                <w:sz w:val="18"/>
              </w:rPr>
            </w:pPr>
          </w:p>
        </w:tc>
        <w:tc>
          <w:tcPr>
            <w:tcW w:w="540" w:type="dxa"/>
            <w:tcBorders>
              <w:right w:val="dashSmallGap" w:sz="4" w:space="0" w:color="auto"/>
            </w:tcBorders>
          </w:tcPr>
          <w:p w14:paraId="333D927A"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5C2925A4" w14:textId="77777777" w:rsidR="004515FC" w:rsidRPr="000B3838" w:rsidRDefault="004515FC" w:rsidP="0029161D">
            <w:pPr>
              <w:ind w:right="-29"/>
              <w:jc w:val="center"/>
              <w:rPr>
                <w:noProof/>
                <w:sz w:val="18"/>
              </w:rPr>
            </w:pPr>
          </w:p>
        </w:tc>
        <w:tc>
          <w:tcPr>
            <w:tcW w:w="720" w:type="dxa"/>
          </w:tcPr>
          <w:p w14:paraId="3195DDD2" w14:textId="77777777" w:rsidR="004515FC" w:rsidRPr="000B3838" w:rsidRDefault="004515FC" w:rsidP="0029161D">
            <w:pPr>
              <w:ind w:right="-29"/>
              <w:jc w:val="center"/>
              <w:rPr>
                <w:noProof/>
                <w:sz w:val="18"/>
              </w:rPr>
            </w:pPr>
          </w:p>
        </w:tc>
        <w:tc>
          <w:tcPr>
            <w:tcW w:w="900" w:type="dxa"/>
          </w:tcPr>
          <w:p w14:paraId="5D6B8193" w14:textId="77777777" w:rsidR="004515FC" w:rsidRPr="000B3838" w:rsidRDefault="004515FC" w:rsidP="0029161D">
            <w:pPr>
              <w:ind w:right="-29"/>
              <w:jc w:val="center"/>
              <w:rPr>
                <w:noProof/>
                <w:sz w:val="18"/>
              </w:rPr>
            </w:pPr>
          </w:p>
        </w:tc>
      </w:tr>
      <w:tr w:rsidR="004515FC" w:rsidRPr="000B3838" w14:paraId="64A53CDE" w14:textId="77777777" w:rsidTr="0029161D">
        <w:trPr>
          <w:trHeight w:hRule="exact" w:val="369"/>
          <w:jc w:val="center"/>
        </w:trPr>
        <w:tc>
          <w:tcPr>
            <w:tcW w:w="1423" w:type="dxa"/>
          </w:tcPr>
          <w:p w14:paraId="1FACAA12" w14:textId="77777777" w:rsidR="004515FC" w:rsidRPr="000B3838" w:rsidRDefault="004515FC" w:rsidP="0029161D">
            <w:pPr>
              <w:ind w:right="-29"/>
              <w:jc w:val="center"/>
              <w:rPr>
                <w:noProof/>
                <w:sz w:val="18"/>
              </w:rPr>
            </w:pPr>
            <w:r w:rsidRPr="000B3838">
              <w:rPr>
                <w:noProof/>
                <w:sz w:val="18"/>
              </w:rPr>
              <w:t>– rezultat</w:t>
            </w:r>
          </w:p>
        </w:tc>
        <w:tc>
          <w:tcPr>
            <w:tcW w:w="720" w:type="dxa"/>
          </w:tcPr>
          <w:p w14:paraId="3E05361A" w14:textId="77777777" w:rsidR="004515FC" w:rsidRPr="000B3838" w:rsidRDefault="004515FC" w:rsidP="0029161D">
            <w:pPr>
              <w:ind w:right="-29"/>
              <w:jc w:val="center"/>
              <w:rPr>
                <w:noProof/>
                <w:sz w:val="18"/>
              </w:rPr>
            </w:pPr>
          </w:p>
        </w:tc>
        <w:tc>
          <w:tcPr>
            <w:tcW w:w="701" w:type="dxa"/>
          </w:tcPr>
          <w:p w14:paraId="68F96932" w14:textId="77777777" w:rsidR="004515FC" w:rsidRPr="000B3838" w:rsidRDefault="004515FC" w:rsidP="0029161D">
            <w:pPr>
              <w:ind w:right="-29"/>
              <w:jc w:val="center"/>
              <w:rPr>
                <w:noProof/>
                <w:sz w:val="18"/>
              </w:rPr>
            </w:pPr>
          </w:p>
        </w:tc>
        <w:tc>
          <w:tcPr>
            <w:tcW w:w="504" w:type="dxa"/>
            <w:tcBorders>
              <w:right w:val="dashSmallGap" w:sz="4" w:space="0" w:color="auto"/>
            </w:tcBorders>
          </w:tcPr>
          <w:p w14:paraId="434596A1"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5FB074CE" w14:textId="77777777" w:rsidR="004515FC" w:rsidRPr="000B3838" w:rsidRDefault="004515FC" w:rsidP="0029161D">
            <w:pPr>
              <w:ind w:right="-29"/>
              <w:jc w:val="center"/>
              <w:rPr>
                <w:noProof/>
                <w:sz w:val="18"/>
              </w:rPr>
            </w:pPr>
          </w:p>
        </w:tc>
        <w:tc>
          <w:tcPr>
            <w:tcW w:w="540" w:type="dxa"/>
            <w:tcBorders>
              <w:right w:val="dashSmallGap" w:sz="4" w:space="0" w:color="auto"/>
            </w:tcBorders>
          </w:tcPr>
          <w:p w14:paraId="0F7DE645"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6BF799F7" w14:textId="77777777" w:rsidR="004515FC" w:rsidRPr="000B3838" w:rsidRDefault="004515FC" w:rsidP="0029161D">
            <w:pPr>
              <w:ind w:right="-29"/>
              <w:jc w:val="center"/>
              <w:rPr>
                <w:noProof/>
                <w:sz w:val="18"/>
              </w:rPr>
            </w:pPr>
          </w:p>
        </w:tc>
        <w:tc>
          <w:tcPr>
            <w:tcW w:w="720" w:type="dxa"/>
            <w:tcBorders>
              <w:right w:val="dashSmallGap" w:sz="4" w:space="0" w:color="auto"/>
            </w:tcBorders>
          </w:tcPr>
          <w:p w14:paraId="14DA7BB7"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1CC8CD03" w14:textId="77777777" w:rsidR="004515FC" w:rsidRPr="000B3838" w:rsidRDefault="004515FC" w:rsidP="0029161D">
            <w:pPr>
              <w:ind w:right="-29"/>
              <w:jc w:val="center"/>
              <w:rPr>
                <w:noProof/>
                <w:sz w:val="18"/>
              </w:rPr>
            </w:pPr>
          </w:p>
        </w:tc>
        <w:tc>
          <w:tcPr>
            <w:tcW w:w="900" w:type="dxa"/>
            <w:tcBorders>
              <w:right w:val="dashSmallGap" w:sz="4" w:space="0" w:color="auto"/>
            </w:tcBorders>
          </w:tcPr>
          <w:p w14:paraId="5E6DA209" w14:textId="77777777" w:rsidR="004515FC" w:rsidRPr="000B3838" w:rsidRDefault="004515FC" w:rsidP="0029161D">
            <w:pPr>
              <w:ind w:right="-29"/>
              <w:jc w:val="center"/>
              <w:rPr>
                <w:noProof/>
                <w:sz w:val="18"/>
              </w:rPr>
            </w:pPr>
          </w:p>
        </w:tc>
        <w:tc>
          <w:tcPr>
            <w:tcW w:w="720" w:type="dxa"/>
            <w:gridSpan w:val="2"/>
            <w:tcBorders>
              <w:left w:val="dashSmallGap" w:sz="4" w:space="0" w:color="auto"/>
            </w:tcBorders>
          </w:tcPr>
          <w:p w14:paraId="2EEE2B15" w14:textId="77777777" w:rsidR="004515FC" w:rsidRPr="000B3838" w:rsidRDefault="004515FC" w:rsidP="0029161D">
            <w:pPr>
              <w:ind w:right="-29"/>
              <w:jc w:val="center"/>
              <w:rPr>
                <w:noProof/>
                <w:sz w:val="18"/>
              </w:rPr>
            </w:pPr>
          </w:p>
        </w:tc>
        <w:tc>
          <w:tcPr>
            <w:tcW w:w="540" w:type="dxa"/>
            <w:tcBorders>
              <w:right w:val="dashSmallGap" w:sz="4" w:space="0" w:color="auto"/>
            </w:tcBorders>
          </w:tcPr>
          <w:p w14:paraId="01F7891E" w14:textId="77777777" w:rsidR="004515FC" w:rsidRPr="000B3838" w:rsidRDefault="004515FC" w:rsidP="0029161D">
            <w:pPr>
              <w:ind w:right="-29"/>
              <w:jc w:val="center"/>
              <w:rPr>
                <w:noProof/>
                <w:sz w:val="18"/>
              </w:rPr>
            </w:pPr>
          </w:p>
        </w:tc>
        <w:tc>
          <w:tcPr>
            <w:tcW w:w="648" w:type="dxa"/>
            <w:tcBorders>
              <w:left w:val="dashSmallGap" w:sz="4" w:space="0" w:color="auto"/>
            </w:tcBorders>
          </w:tcPr>
          <w:p w14:paraId="1053F820" w14:textId="77777777" w:rsidR="004515FC" w:rsidRPr="000B3838" w:rsidRDefault="004515FC" w:rsidP="0029161D">
            <w:pPr>
              <w:ind w:right="-29"/>
              <w:jc w:val="center"/>
              <w:rPr>
                <w:noProof/>
                <w:sz w:val="18"/>
              </w:rPr>
            </w:pPr>
          </w:p>
        </w:tc>
        <w:tc>
          <w:tcPr>
            <w:tcW w:w="432" w:type="dxa"/>
            <w:tcBorders>
              <w:right w:val="dashSmallGap" w:sz="4" w:space="0" w:color="auto"/>
            </w:tcBorders>
          </w:tcPr>
          <w:p w14:paraId="0062AE43"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64C3E128" w14:textId="77777777" w:rsidR="004515FC" w:rsidRPr="000B3838" w:rsidRDefault="004515FC" w:rsidP="0029161D">
            <w:pPr>
              <w:ind w:right="-29"/>
              <w:jc w:val="center"/>
              <w:rPr>
                <w:noProof/>
                <w:sz w:val="18"/>
              </w:rPr>
            </w:pPr>
          </w:p>
        </w:tc>
        <w:tc>
          <w:tcPr>
            <w:tcW w:w="540" w:type="dxa"/>
            <w:tcBorders>
              <w:right w:val="dashSmallGap" w:sz="4" w:space="0" w:color="auto"/>
            </w:tcBorders>
          </w:tcPr>
          <w:p w14:paraId="49A1AACD" w14:textId="77777777" w:rsidR="004515FC" w:rsidRPr="000B3838" w:rsidRDefault="004515FC" w:rsidP="0029161D">
            <w:pPr>
              <w:ind w:right="-29"/>
              <w:jc w:val="center"/>
              <w:rPr>
                <w:noProof/>
                <w:sz w:val="18"/>
              </w:rPr>
            </w:pPr>
          </w:p>
        </w:tc>
        <w:tc>
          <w:tcPr>
            <w:tcW w:w="720" w:type="dxa"/>
            <w:tcBorders>
              <w:left w:val="dashSmallGap" w:sz="4" w:space="0" w:color="auto"/>
            </w:tcBorders>
          </w:tcPr>
          <w:p w14:paraId="5A225895" w14:textId="77777777" w:rsidR="004515FC" w:rsidRPr="000B3838" w:rsidRDefault="004515FC" w:rsidP="0029161D">
            <w:pPr>
              <w:ind w:right="-29"/>
              <w:jc w:val="center"/>
              <w:rPr>
                <w:noProof/>
                <w:sz w:val="18"/>
              </w:rPr>
            </w:pPr>
          </w:p>
        </w:tc>
        <w:tc>
          <w:tcPr>
            <w:tcW w:w="720" w:type="dxa"/>
          </w:tcPr>
          <w:p w14:paraId="72AD2B5C" w14:textId="77777777" w:rsidR="004515FC" w:rsidRPr="000B3838" w:rsidRDefault="004515FC" w:rsidP="0029161D">
            <w:pPr>
              <w:ind w:right="-29"/>
              <w:jc w:val="center"/>
              <w:rPr>
                <w:noProof/>
                <w:sz w:val="18"/>
              </w:rPr>
            </w:pPr>
          </w:p>
        </w:tc>
        <w:tc>
          <w:tcPr>
            <w:tcW w:w="900" w:type="dxa"/>
          </w:tcPr>
          <w:p w14:paraId="78656373" w14:textId="77777777" w:rsidR="004515FC" w:rsidRPr="000B3838" w:rsidRDefault="004515FC" w:rsidP="0029161D">
            <w:pPr>
              <w:ind w:right="-29"/>
              <w:jc w:val="center"/>
              <w:rPr>
                <w:noProof/>
                <w:sz w:val="18"/>
              </w:rPr>
            </w:pPr>
          </w:p>
        </w:tc>
      </w:tr>
      <w:tr w:rsidR="004515FC" w:rsidRPr="000B3838" w14:paraId="6A816306" w14:textId="77777777" w:rsidTr="0029161D">
        <w:trPr>
          <w:trHeight w:hRule="exact" w:val="369"/>
          <w:jc w:val="center"/>
        </w:trPr>
        <w:tc>
          <w:tcPr>
            <w:tcW w:w="1423" w:type="dxa"/>
          </w:tcPr>
          <w:p w14:paraId="321D07DC" w14:textId="77777777" w:rsidR="004515FC" w:rsidRPr="000B3838" w:rsidRDefault="004515FC" w:rsidP="0029161D">
            <w:pPr>
              <w:ind w:right="-29"/>
              <w:jc w:val="center"/>
              <w:rPr>
                <w:noProof/>
                <w:sz w:val="18"/>
              </w:rPr>
            </w:pPr>
            <w:r w:rsidRPr="000B3838">
              <w:rPr>
                <w:noProof/>
                <w:sz w:val="18"/>
              </w:rPr>
              <w:t>– rezultat</w:t>
            </w:r>
          </w:p>
        </w:tc>
        <w:tc>
          <w:tcPr>
            <w:tcW w:w="720" w:type="dxa"/>
          </w:tcPr>
          <w:p w14:paraId="1EC35C63" w14:textId="77777777" w:rsidR="004515FC" w:rsidRPr="000B3838" w:rsidRDefault="004515FC" w:rsidP="0029161D">
            <w:pPr>
              <w:ind w:right="-29"/>
              <w:jc w:val="center"/>
              <w:rPr>
                <w:noProof/>
                <w:sz w:val="18"/>
              </w:rPr>
            </w:pPr>
          </w:p>
        </w:tc>
        <w:tc>
          <w:tcPr>
            <w:tcW w:w="701" w:type="dxa"/>
          </w:tcPr>
          <w:p w14:paraId="47BC1728" w14:textId="77777777" w:rsidR="004515FC" w:rsidRPr="000B3838" w:rsidRDefault="004515FC" w:rsidP="0029161D">
            <w:pPr>
              <w:ind w:right="-29"/>
              <w:jc w:val="center"/>
              <w:rPr>
                <w:noProof/>
                <w:sz w:val="18"/>
              </w:rPr>
            </w:pPr>
          </w:p>
        </w:tc>
        <w:tc>
          <w:tcPr>
            <w:tcW w:w="504" w:type="dxa"/>
          </w:tcPr>
          <w:p w14:paraId="15D14787" w14:textId="77777777" w:rsidR="004515FC" w:rsidRPr="000B3838" w:rsidRDefault="004515FC" w:rsidP="0029161D">
            <w:pPr>
              <w:ind w:right="-29"/>
              <w:jc w:val="center"/>
              <w:rPr>
                <w:noProof/>
                <w:sz w:val="18"/>
              </w:rPr>
            </w:pPr>
          </w:p>
        </w:tc>
        <w:tc>
          <w:tcPr>
            <w:tcW w:w="720" w:type="dxa"/>
          </w:tcPr>
          <w:p w14:paraId="18B1D266" w14:textId="77777777" w:rsidR="004515FC" w:rsidRPr="000B3838" w:rsidRDefault="004515FC" w:rsidP="0029161D">
            <w:pPr>
              <w:ind w:right="-29"/>
              <w:jc w:val="center"/>
              <w:rPr>
                <w:noProof/>
                <w:sz w:val="18"/>
              </w:rPr>
            </w:pPr>
          </w:p>
        </w:tc>
        <w:tc>
          <w:tcPr>
            <w:tcW w:w="540" w:type="dxa"/>
          </w:tcPr>
          <w:p w14:paraId="78E14A0D" w14:textId="77777777" w:rsidR="004515FC" w:rsidRPr="000B3838" w:rsidRDefault="004515FC" w:rsidP="0029161D">
            <w:pPr>
              <w:ind w:right="-29"/>
              <w:jc w:val="center"/>
              <w:rPr>
                <w:noProof/>
                <w:sz w:val="18"/>
              </w:rPr>
            </w:pPr>
          </w:p>
        </w:tc>
        <w:tc>
          <w:tcPr>
            <w:tcW w:w="720" w:type="dxa"/>
          </w:tcPr>
          <w:p w14:paraId="75E2BAFF" w14:textId="77777777" w:rsidR="004515FC" w:rsidRPr="000B3838" w:rsidRDefault="004515FC" w:rsidP="0029161D">
            <w:pPr>
              <w:ind w:right="-29"/>
              <w:jc w:val="center"/>
              <w:rPr>
                <w:noProof/>
                <w:sz w:val="18"/>
              </w:rPr>
            </w:pPr>
          </w:p>
        </w:tc>
        <w:tc>
          <w:tcPr>
            <w:tcW w:w="720" w:type="dxa"/>
          </w:tcPr>
          <w:p w14:paraId="162CC698" w14:textId="77777777" w:rsidR="004515FC" w:rsidRPr="000B3838" w:rsidRDefault="004515FC" w:rsidP="0029161D">
            <w:pPr>
              <w:ind w:right="-29"/>
              <w:jc w:val="center"/>
              <w:rPr>
                <w:noProof/>
                <w:sz w:val="18"/>
              </w:rPr>
            </w:pPr>
          </w:p>
        </w:tc>
        <w:tc>
          <w:tcPr>
            <w:tcW w:w="720" w:type="dxa"/>
          </w:tcPr>
          <w:p w14:paraId="4ECB75BB" w14:textId="77777777" w:rsidR="004515FC" w:rsidRPr="000B3838" w:rsidRDefault="004515FC" w:rsidP="0029161D">
            <w:pPr>
              <w:ind w:right="-29"/>
              <w:jc w:val="center"/>
              <w:rPr>
                <w:noProof/>
                <w:sz w:val="18"/>
              </w:rPr>
            </w:pPr>
          </w:p>
        </w:tc>
        <w:tc>
          <w:tcPr>
            <w:tcW w:w="900" w:type="dxa"/>
          </w:tcPr>
          <w:p w14:paraId="6E706FD5" w14:textId="77777777" w:rsidR="004515FC" w:rsidRPr="000B3838" w:rsidRDefault="004515FC" w:rsidP="0029161D">
            <w:pPr>
              <w:ind w:right="-29"/>
              <w:jc w:val="center"/>
              <w:rPr>
                <w:noProof/>
                <w:sz w:val="18"/>
              </w:rPr>
            </w:pPr>
          </w:p>
        </w:tc>
        <w:tc>
          <w:tcPr>
            <w:tcW w:w="720" w:type="dxa"/>
            <w:gridSpan w:val="2"/>
          </w:tcPr>
          <w:p w14:paraId="6A7F239B" w14:textId="77777777" w:rsidR="004515FC" w:rsidRPr="000B3838" w:rsidRDefault="004515FC" w:rsidP="0029161D">
            <w:pPr>
              <w:ind w:right="-29"/>
              <w:jc w:val="center"/>
              <w:rPr>
                <w:noProof/>
                <w:sz w:val="18"/>
              </w:rPr>
            </w:pPr>
          </w:p>
        </w:tc>
        <w:tc>
          <w:tcPr>
            <w:tcW w:w="540" w:type="dxa"/>
          </w:tcPr>
          <w:p w14:paraId="2A85DA6F" w14:textId="77777777" w:rsidR="004515FC" w:rsidRPr="000B3838" w:rsidRDefault="004515FC" w:rsidP="0029161D">
            <w:pPr>
              <w:ind w:right="-29"/>
              <w:jc w:val="center"/>
              <w:rPr>
                <w:noProof/>
                <w:sz w:val="18"/>
              </w:rPr>
            </w:pPr>
          </w:p>
        </w:tc>
        <w:tc>
          <w:tcPr>
            <w:tcW w:w="648" w:type="dxa"/>
          </w:tcPr>
          <w:p w14:paraId="6C19A817" w14:textId="77777777" w:rsidR="004515FC" w:rsidRPr="000B3838" w:rsidRDefault="004515FC" w:rsidP="0029161D">
            <w:pPr>
              <w:ind w:right="-29"/>
              <w:jc w:val="center"/>
              <w:rPr>
                <w:noProof/>
                <w:sz w:val="18"/>
              </w:rPr>
            </w:pPr>
          </w:p>
        </w:tc>
        <w:tc>
          <w:tcPr>
            <w:tcW w:w="432" w:type="dxa"/>
          </w:tcPr>
          <w:p w14:paraId="2F527D68" w14:textId="77777777" w:rsidR="004515FC" w:rsidRPr="000B3838" w:rsidRDefault="004515FC" w:rsidP="0029161D">
            <w:pPr>
              <w:ind w:right="-29"/>
              <w:jc w:val="center"/>
              <w:rPr>
                <w:noProof/>
                <w:sz w:val="18"/>
              </w:rPr>
            </w:pPr>
          </w:p>
        </w:tc>
        <w:tc>
          <w:tcPr>
            <w:tcW w:w="720" w:type="dxa"/>
          </w:tcPr>
          <w:p w14:paraId="0AA1CCC9" w14:textId="77777777" w:rsidR="004515FC" w:rsidRPr="000B3838" w:rsidRDefault="004515FC" w:rsidP="0029161D">
            <w:pPr>
              <w:ind w:right="-29"/>
              <w:jc w:val="center"/>
              <w:rPr>
                <w:noProof/>
                <w:sz w:val="18"/>
              </w:rPr>
            </w:pPr>
          </w:p>
        </w:tc>
        <w:tc>
          <w:tcPr>
            <w:tcW w:w="540" w:type="dxa"/>
          </w:tcPr>
          <w:p w14:paraId="7C39F1DD" w14:textId="77777777" w:rsidR="004515FC" w:rsidRPr="000B3838" w:rsidRDefault="004515FC" w:rsidP="0029161D">
            <w:pPr>
              <w:ind w:right="-29"/>
              <w:jc w:val="center"/>
              <w:rPr>
                <w:noProof/>
                <w:sz w:val="18"/>
              </w:rPr>
            </w:pPr>
          </w:p>
        </w:tc>
        <w:tc>
          <w:tcPr>
            <w:tcW w:w="720" w:type="dxa"/>
          </w:tcPr>
          <w:p w14:paraId="5600A9FD" w14:textId="77777777" w:rsidR="004515FC" w:rsidRPr="000B3838" w:rsidRDefault="004515FC" w:rsidP="0029161D">
            <w:pPr>
              <w:ind w:right="-29"/>
              <w:jc w:val="center"/>
              <w:rPr>
                <w:noProof/>
                <w:sz w:val="18"/>
              </w:rPr>
            </w:pPr>
          </w:p>
        </w:tc>
        <w:tc>
          <w:tcPr>
            <w:tcW w:w="720" w:type="dxa"/>
          </w:tcPr>
          <w:p w14:paraId="72862EBE" w14:textId="77777777" w:rsidR="004515FC" w:rsidRPr="000B3838" w:rsidRDefault="004515FC" w:rsidP="0029161D">
            <w:pPr>
              <w:ind w:right="-29"/>
              <w:jc w:val="center"/>
              <w:rPr>
                <w:noProof/>
                <w:sz w:val="18"/>
              </w:rPr>
            </w:pPr>
          </w:p>
        </w:tc>
        <w:tc>
          <w:tcPr>
            <w:tcW w:w="900" w:type="dxa"/>
          </w:tcPr>
          <w:p w14:paraId="20BC1514" w14:textId="77777777" w:rsidR="004515FC" w:rsidRPr="000B3838" w:rsidRDefault="004515FC" w:rsidP="0029161D">
            <w:pPr>
              <w:ind w:right="-29"/>
              <w:jc w:val="center"/>
              <w:rPr>
                <w:noProof/>
                <w:sz w:val="18"/>
              </w:rPr>
            </w:pPr>
          </w:p>
        </w:tc>
      </w:tr>
      <w:tr w:rsidR="004515FC" w:rsidRPr="000B3838" w14:paraId="189F2FF2" w14:textId="77777777" w:rsidTr="0029161D">
        <w:trPr>
          <w:trHeight w:val="77"/>
          <w:jc w:val="center"/>
        </w:trPr>
        <w:tc>
          <w:tcPr>
            <w:tcW w:w="2844" w:type="dxa"/>
            <w:gridSpan w:val="3"/>
            <w:tcBorders>
              <w:bottom w:val="single" w:sz="12" w:space="0" w:color="auto"/>
            </w:tcBorders>
            <w:vAlign w:val="center"/>
          </w:tcPr>
          <w:p w14:paraId="00C0D751" w14:textId="77777777" w:rsidR="004515FC" w:rsidRPr="000B3838" w:rsidRDefault="004515FC" w:rsidP="0029161D">
            <w:pPr>
              <w:ind w:right="-29"/>
              <w:jc w:val="center"/>
              <w:rPr>
                <w:noProof/>
                <w:sz w:val="18"/>
              </w:rPr>
            </w:pPr>
            <w:r w:rsidRPr="000B3838">
              <w:rPr>
                <w:noProof/>
                <w:sz w:val="18"/>
              </w:rPr>
              <w:t>Međuzbroj za specifični cilj br. 1</w:t>
            </w:r>
          </w:p>
        </w:tc>
        <w:tc>
          <w:tcPr>
            <w:tcW w:w="504" w:type="dxa"/>
            <w:tcBorders>
              <w:bottom w:val="single" w:sz="12" w:space="0" w:color="auto"/>
            </w:tcBorders>
          </w:tcPr>
          <w:p w14:paraId="0110F4C1" w14:textId="77777777" w:rsidR="004515FC" w:rsidRPr="000B3838" w:rsidRDefault="004515FC" w:rsidP="0029161D">
            <w:pPr>
              <w:ind w:right="-29"/>
              <w:jc w:val="center"/>
              <w:rPr>
                <w:noProof/>
                <w:sz w:val="18"/>
              </w:rPr>
            </w:pPr>
          </w:p>
        </w:tc>
        <w:tc>
          <w:tcPr>
            <w:tcW w:w="720" w:type="dxa"/>
            <w:tcBorders>
              <w:bottom w:val="single" w:sz="12" w:space="0" w:color="auto"/>
            </w:tcBorders>
          </w:tcPr>
          <w:p w14:paraId="028A37AE" w14:textId="77777777" w:rsidR="004515FC" w:rsidRPr="000B3838" w:rsidRDefault="004515FC" w:rsidP="0029161D">
            <w:pPr>
              <w:ind w:right="-29"/>
              <w:jc w:val="center"/>
              <w:rPr>
                <w:noProof/>
                <w:sz w:val="18"/>
              </w:rPr>
            </w:pPr>
          </w:p>
        </w:tc>
        <w:tc>
          <w:tcPr>
            <w:tcW w:w="540" w:type="dxa"/>
            <w:tcBorders>
              <w:bottom w:val="single" w:sz="12" w:space="0" w:color="auto"/>
            </w:tcBorders>
          </w:tcPr>
          <w:p w14:paraId="0B86C998" w14:textId="77777777" w:rsidR="004515FC" w:rsidRPr="000B3838" w:rsidRDefault="004515FC" w:rsidP="0029161D">
            <w:pPr>
              <w:ind w:right="-29"/>
              <w:jc w:val="center"/>
              <w:rPr>
                <w:noProof/>
                <w:sz w:val="18"/>
              </w:rPr>
            </w:pPr>
          </w:p>
        </w:tc>
        <w:tc>
          <w:tcPr>
            <w:tcW w:w="720" w:type="dxa"/>
            <w:tcBorders>
              <w:bottom w:val="single" w:sz="12" w:space="0" w:color="auto"/>
            </w:tcBorders>
          </w:tcPr>
          <w:p w14:paraId="4CF079F9" w14:textId="77777777" w:rsidR="004515FC" w:rsidRPr="000B3838" w:rsidRDefault="004515FC" w:rsidP="0029161D">
            <w:pPr>
              <w:ind w:right="-29"/>
              <w:jc w:val="center"/>
              <w:rPr>
                <w:noProof/>
                <w:sz w:val="18"/>
              </w:rPr>
            </w:pPr>
          </w:p>
        </w:tc>
        <w:tc>
          <w:tcPr>
            <w:tcW w:w="720" w:type="dxa"/>
            <w:tcBorders>
              <w:bottom w:val="single" w:sz="12" w:space="0" w:color="auto"/>
            </w:tcBorders>
          </w:tcPr>
          <w:p w14:paraId="40841737" w14:textId="77777777" w:rsidR="004515FC" w:rsidRPr="000B3838" w:rsidRDefault="004515FC" w:rsidP="0029161D">
            <w:pPr>
              <w:ind w:right="-29"/>
              <w:jc w:val="center"/>
              <w:rPr>
                <w:noProof/>
                <w:sz w:val="18"/>
              </w:rPr>
            </w:pPr>
          </w:p>
        </w:tc>
        <w:tc>
          <w:tcPr>
            <w:tcW w:w="720" w:type="dxa"/>
            <w:tcBorders>
              <w:bottom w:val="single" w:sz="12" w:space="0" w:color="auto"/>
            </w:tcBorders>
          </w:tcPr>
          <w:p w14:paraId="267B6243" w14:textId="77777777" w:rsidR="004515FC" w:rsidRPr="000B3838" w:rsidRDefault="004515FC" w:rsidP="0029161D">
            <w:pPr>
              <w:ind w:right="-29"/>
              <w:jc w:val="center"/>
              <w:rPr>
                <w:noProof/>
                <w:sz w:val="18"/>
              </w:rPr>
            </w:pPr>
          </w:p>
        </w:tc>
        <w:tc>
          <w:tcPr>
            <w:tcW w:w="900" w:type="dxa"/>
            <w:tcBorders>
              <w:bottom w:val="single" w:sz="12" w:space="0" w:color="auto"/>
            </w:tcBorders>
          </w:tcPr>
          <w:p w14:paraId="6675708A" w14:textId="77777777" w:rsidR="004515FC" w:rsidRPr="000B3838" w:rsidRDefault="004515FC" w:rsidP="0029161D">
            <w:pPr>
              <w:ind w:right="-29"/>
              <w:jc w:val="center"/>
              <w:rPr>
                <w:noProof/>
                <w:sz w:val="18"/>
              </w:rPr>
            </w:pPr>
          </w:p>
        </w:tc>
        <w:tc>
          <w:tcPr>
            <w:tcW w:w="720" w:type="dxa"/>
            <w:gridSpan w:val="2"/>
            <w:tcBorders>
              <w:bottom w:val="single" w:sz="12" w:space="0" w:color="auto"/>
            </w:tcBorders>
          </w:tcPr>
          <w:p w14:paraId="426B53EC" w14:textId="77777777" w:rsidR="004515FC" w:rsidRPr="000B3838" w:rsidRDefault="004515FC" w:rsidP="0029161D">
            <w:pPr>
              <w:ind w:right="-29"/>
              <w:jc w:val="center"/>
              <w:rPr>
                <w:noProof/>
                <w:sz w:val="18"/>
              </w:rPr>
            </w:pPr>
          </w:p>
        </w:tc>
        <w:tc>
          <w:tcPr>
            <w:tcW w:w="540" w:type="dxa"/>
            <w:tcBorders>
              <w:bottom w:val="single" w:sz="12" w:space="0" w:color="auto"/>
            </w:tcBorders>
          </w:tcPr>
          <w:p w14:paraId="2A7F4CE4" w14:textId="77777777" w:rsidR="004515FC" w:rsidRPr="000B3838" w:rsidRDefault="004515FC" w:rsidP="0029161D">
            <w:pPr>
              <w:ind w:right="-29"/>
              <w:jc w:val="center"/>
              <w:rPr>
                <w:noProof/>
                <w:sz w:val="18"/>
              </w:rPr>
            </w:pPr>
          </w:p>
        </w:tc>
        <w:tc>
          <w:tcPr>
            <w:tcW w:w="648" w:type="dxa"/>
            <w:tcBorders>
              <w:bottom w:val="single" w:sz="12" w:space="0" w:color="auto"/>
            </w:tcBorders>
          </w:tcPr>
          <w:p w14:paraId="70B59D98" w14:textId="77777777" w:rsidR="004515FC" w:rsidRPr="000B3838" w:rsidRDefault="004515FC" w:rsidP="0029161D">
            <w:pPr>
              <w:ind w:right="-29"/>
              <w:jc w:val="center"/>
              <w:rPr>
                <w:noProof/>
                <w:sz w:val="18"/>
              </w:rPr>
            </w:pPr>
          </w:p>
        </w:tc>
        <w:tc>
          <w:tcPr>
            <w:tcW w:w="432" w:type="dxa"/>
            <w:tcBorders>
              <w:bottom w:val="single" w:sz="12" w:space="0" w:color="auto"/>
            </w:tcBorders>
          </w:tcPr>
          <w:p w14:paraId="026BB719" w14:textId="77777777" w:rsidR="004515FC" w:rsidRPr="000B3838" w:rsidRDefault="004515FC" w:rsidP="0029161D">
            <w:pPr>
              <w:ind w:right="-29"/>
              <w:jc w:val="center"/>
              <w:rPr>
                <w:noProof/>
                <w:sz w:val="18"/>
              </w:rPr>
            </w:pPr>
          </w:p>
        </w:tc>
        <w:tc>
          <w:tcPr>
            <w:tcW w:w="720" w:type="dxa"/>
            <w:tcBorders>
              <w:bottom w:val="single" w:sz="12" w:space="0" w:color="auto"/>
            </w:tcBorders>
          </w:tcPr>
          <w:p w14:paraId="795BFCB1" w14:textId="77777777" w:rsidR="004515FC" w:rsidRPr="000B3838" w:rsidRDefault="004515FC" w:rsidP="0029161D">
            <w:pPr>
              <w:ind w:right="-29"/>
              <w:jc w:val="center"/>
              <w:rPr>
                <w:noProof/>
                <w:sz w:val="18"/>
              </w:rPr>
            </w:pPr>
          </w:p>
        </w:tc>
        <w:tc>
          <w:tcPr>
            <w:tcW w:w="540" w:type="dxa"/>
            <w:tcBorders>
              <w:bottom w:val="single" w:sz="12" w:space="0" w:color="auto"/>
            </w:tcBorders>
          </w:tcPr>
          <w:p w14:paraId="58F9FE80" w14:textId="77777777" w:rsidR="004515FC" w:rsidRPr="000B3838" w:rsidRDefault="004515FC" w:rsidP="0029161D">
            <w:pPr>
              <w:ind w:right="-29"/>
              <w:jc w:val="center"/>
              <w:rPr>
                <w:noProof/>
                <w:sz w:val="18"/>
              </w:rPr>
            </w:pPr>
          </w:p>
        </w:tc>
        <w:tc>
          <w:tcPr>
            <w:tcW w:w="720" w:type="dxa"/>
            <w:tcBorders>
              <w:bottom w:val="single" w:sz="12" w:space="0" w:color="auto"/>
            </w:tcBorders>
          </w:tcPr>
          <w:p w14:paraId="09A54A26" w14:textId="77777777" w:rsidR="004515FC" w:rsidRPr="000B3838" w:rsidRDefault="004515FC" w:rsidP="0029161D">
            <w:pPr>
              <w:ind w:right="-29"/>
              <w:jc w:val="center"/>
              <w:rPr>
                <w:noProof/>
                <w:sz w:val="18"/>
              </w:rPr>
            </w:pPr>
          </w:p>
        </w:tc>
        <w:tc>
          <w:tcPr>
            <w:tcW w:w="720" w:type="dxa"/>
            <w:tcBorders>
              <w:bottom w:val="single" w:sz="12" w:space="0" w:color="auto"/>
            </w:tcBorders>
          </w:tcPr>
          <w:p w14:paraId="251A3886" w14:textId="77777777" w:rsidR="004515FC" w:rsidRPr="000B3838" w:rsidRDefault="004515FC" w:rsidP="0029161D">
            <w:pPr>
              <w:ind w:right="-29"/>
              <w:jc w:val="center"/>
              <w:rPr>
                <w:noProof/>
                <w:sz w:val="18"/>
              </w:rPr>
            </w:pPr>
          </w:p>
        </w:tc>
        <w:tc>
          <w:tcPr>
            <w:tcW w:w="900" w:type="dxa"/>
            <w:tcBorders>
              <w:bottom w:val="single" w:sz="12" w:space="0" w:color="auto"/>
            </w:tcBorders>
          </w:tcPr>
          <w:p w14:paraId="79F7204D" w14:textId="77777777" w:rsidR="004515FC" w:rsidRPr="000B3838" w:rsidRDefault="004515FC" w:rsidP="0029161D">
            <w:pPr>
              <w:ind w:right="-29"/>
              <w:jc w:val="center"/>
              <w:rPr>
                <w:noProof/>
                <w:sz w:val="18"/>
              </w:rPr>
            </w:pPr>
          </w:p>
        </w:tc>
      </w:tr>
      <w:tr w:rsidR="004515FC" w:rsidRPr="000B3838" w14:paraId="344EDAB2" w14:textId="77777777" w:rsidTr="0029161D">
        <w:trPr>
          <w:jc w:val="center"/>
        </w:trPr>
        <w:tc>
          <w:tcPr>
            <w:tcW w:w="2844" w:type="dxa"/>
            <w:gridSpan w:val="3"/>
            <w:vAlign w:val="center"/>
          </w:tcPr>
          <w:p w14:paraId="2DFF2810" w14:textId="77777777" w:rsidR="004515FC" w:rsidRPr="000B3838" w:rsidRDefault="004515FC" w:rsidP="0029161D">
            <w:pPr>
              <w:spacing w:before="60" w:after="60"/>
              <w:ind w:right="-29"/>
              <w:jc w:val="center"/>
              <w:rPr>
                <w:noProof/>
                <w:sz w:val="18"/>
              </w:rPr>
            </w:pPr>
            <w:r w:rsidRPr="000B3838">
              <w:rPr>
                <w:noProof/>
                <w:sz w:val="18"/>
              </w:rPr>
              <w:t>SPECIFIČNI CILJ br. 2...</w:t>
            </w:r>
          </w:p>
        </w:tc>
        <w:tc>
          <w:tcPr>
            <w:tcW w:w="504" w:type="dxa"/>
            <w:tcBorders>
              <w:top w:val="nil"/>
              <w:left w:val="nil"/>
              <w:bottom w:val="nil"/>
              <w:right w:val="nil"/>
            </w:tcBorders>
          </w:tcPr>
          <w:p w14:paraId="30B0BCCA"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07475619" w14:textId="77777777" w:rsidR="004515FC" w:rsidRPr="000B3838" w:rsidRDefault="004515FC" w:rsidP="0029161D">
            <w:pPr>
              <w:spacing w:before="60" w:after="60"/>
              <w:ind w:right="-29"/>
              <w:jc w:val="center"/>
              <w:rPr>
                <w:noProof/>
                <w:sz w:val="18"/>
              </w:rPr>
            </w:pPr>
          </w:p>
        </w:tc>
        <w:tc>
          <w:tcPr>
            <w:tcW w:w="540" w:type="dxa"/>
            <w:tcBorders>
              <w:top w:val="nil"/>
              <w:left w:val="nil"/>
              <w:bottom w:val="nil"/>
              <w:right w:val="nil"/>
            </w:tcBorders>
          </w:tcPr>
          <w:p w14:paraId="56BE9FD9"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6A072C75"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30418289"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5C39892D" w14:textId="77777777" w:rsidR="004515FC" w:rsidRPr="000B3838" w:rsidRDefault="004515FC" w:rsidP="0029161D">
            <w:pPr>
              <w:spacing w:before="60" w:after="60"/>
              <w:ind w:right="-29"/>
              <w:jc w:val="center"/>
              <w:rPr>
                <w:noProof/>
                <w:sz w:val="18"/>
              </w:rPr>
            </w:pPr>
          </w:p>
        </w:tc>
        <w:tc>
          <w:tcPr>
            <w:tcW w:w="900" w:type="dxa"/>
            <w:tcBorders>
              <w:top w:val="nil"/>
              <w:left w:val="nil"/>
              <w:bottom w:val="nil"/>
              <w:right w:val="nil"/>
            </w:tcBorders>
          </w:tcPr>
          <w:p w14:paraId="26506129" w14:textId="77777777" w:rsidR="004515FC" w:rsidRPr="000B3838" w:rsidRDefault="004515FC" w:rsidP="0029161D">
            <w:pPr>
              <w:spacing w:before="60" w:after="60"/>
              <w:ind w:right="-29"/>
              <w:jc w:val="center"/>
              <w:rPr>
                <w:noProof/>
                <w:sz w:val="18"/>
              </w:rPr>
            </w:pPr>
          </w:p>
        </w:tc>
        <w:tc>
          <w:tcPr>
            <w:tcW w:w="720" w:type="dxa"/>
            <w:gridSpan w:val="2"/>
            <w:tcBorders>
              <w:top w:val="nil"/>
              <w:left w:val="nil"/>
              <w:bottom w:val="nil"/>
              <w:right w:val="nil"/>
            </w:tcBorders>
          </w:tcPr>
          <w:p w14:paraId="74AC2541" w14:textId="77777777" w:rsidR="004515FC" w:rsidRPr="000B3838" w:rsidRDefault="004515FC" w:rsidP="0029161D">
            <w:pPr>
              <w:spacing w:before="60" w:after="60"/>
              <w:ind w:right="-29"/>
              <w:jc w:val="center"/>
              <w:rPr>
                <w:noProof/>
                <w:sz w:val="18"/>
              </w:rPr>
            </w:pPr>
          </w:p>
        </w:tc>
        <w:tc>
          <w:tcPr>
            <w:tcW w:w="540" w:type="dxa"/>
            <w:tcBorders>
              <w:top w:val="nil"/>
              <w:left w:val="nil"/>
              <w:bottom w:val="nil"/>
              <w:right w:val="nil"/>
            </w:tcBorders>
          </w:tcPr>
          <w:p w14:paraId="0B1E13C5" w14:textId="77777777" w:rsidR="004515FC" w:rsidRPr="000B3838" w:rsidRDefault="004515FC" w:rsidP="0029161D">
            <w:pPr>
              <w:spacing w:before="60" w:after="60"/>
              <w:ind w:right="-29"/>
              <w:jc w:val="center"/>
              <w:rPr>
                <w:noProof/>
                <w:sz w:val="18"/>
              </w:rPr>
            </w:pPr>
          </w:p>
        </w:tc>
        <w:tc>
          <w:tcPr>
            <w:tcW w:w="648" w:type="dxa"/>
            <w:tcBorders>
              <w:top w:val="nil"/>
              <w:left w:val="nil"/>
              <w:bottom w:val="nil"/>
              <w:right w:val="nil"/>
            </w:tcBorders>
          </w:tcPr>
          <w:p w14:paraId="1BE92870" w14:textId="77777777" w:rsidR="004515FC" w:rsidRPr="000B3838" w:rsidRDefault="004515FC" w:rsidP="0029161D">
            <w:pPr>
              <w:spacing w:before="60" w:after="60"/>
              <w:ind w:right="-29"/>
              <w:jc w:val="center"/>
              <w:rPr>
                <w:noProof/>
                <w:sz w:val="18"/>
              </w:rPr>
            </w:pPr>
          </w:p>
        </w:tc>
        <w:tc>
          <w:tcPr>
            <w:tcW w:w="432" w:type="dxa"/>
            <w:tcBorders>
              <w:top w:val="nil"/>
              <w:left w:val="nil"/>
              <w:bottom w:val="nil"/>
              <w:right w:val="nil"/>
            </w:tcBorders>
          </w:tcPr>
          <w:p w14:paraId="5AC1092F"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3A8A2844" w14:textId="77777777" w:rsidR="004515FC" w:rsidRPr="000B3838" w:rsidRDefault="004515FC" w:rsidP="0029161D">
            <w:pPr>
              <w:spacing w:before="60" w:after="60"/>
              <w:ind w:right="-29"/>
              <w:jc w:val="center"/>
              <w:rPr>
                <w:noProof/>
                <w:sz w:val="18"/>
              </w:rPr>
            </w:pPr>
          </w:p>
        </w:tc>
        <w:tc>
          <w:tcPr>
            <w:tcW w:w="540" w:type="dxa"/>
            <w:tcBorders>
              <w:top w:val="nil"/>
              <w:left w:val="nil"/>
              <w:bottom w:val="nil"/>
              <w:right w:val="nil"/>
            </w:tcBorders>
          </w:tcPr>
          <w:p w14:paraId="61378A86"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2ACA1E02" w14:textId="77777777" w:rsidR="004515FC" w:rsidRPr="000B3838" w:rsidRDefault="004515FC" w:rsidP="0029161D">
            <w:pPr>
              <w:spacing w:before="60" w:after="60"/>
              <w:ind w:right="-29"/>
              <w:jc w:val="center"/>
              <w:rPr>
                <w:noProof/>
                <w:sz w:val="18"/>
              </w:rPr>
            </w:pPr>
          </w:p>
        </w:tc>
        <w:tc>
          <w:tcPr>
            <w:tcW w:w="720" w:type="dxa"/>
            <w:tcBorders>
              <w:top w:val="nil"/>
              <w:left w:val="nil"/>
              <w:bottom w:val="nil"/>
              <w:right w:val="nil"/>
            </w:tcBorders>
          </w:tcPr>
          <w:p w14:paraId="26EDF8B6" w14:textId="77777777" w:rsidR="004515FC" w:rsidRPr="000B3838" w:rsidRDefault="004515FC" w:rsidP="0029161D">
            <w:pPr>
              <w:spacing w:before="60" w:after="60"/>
              <w:ind w:right="-29"/>
              <w:jc w:val="center"/>
              <w:rPr>
                <w:noProof/>
                <w:sz w:val="18"/>
              </w:rPr>
            </w:pPr>
          </w:p>
        </w:tc>
        <w:tc>
          <w:tcPr>
            <w:tcW w:w="900" w:type="dxa"/>
            <w:tcBorders>
              <w:top w:val="nil"/>
              <w:left w:val="nil"/>
              <w:bottom w:val="nil"/>
              <w:right w:val="nil"/>
            </w:tcBorders>
          </w:tcPr>
          <w:p w14:paraId="126B2A9F" w14:textId="77777777" w:rsidR="004515FC" w:rsidRPr="000B3838" w:rsidRDefault="004515FC" w:rsidP="0029161D">
            <w:pPr>
              <w:spacing w:before="60" w:after="60"/>
              <w:ind w:right="-29"/>
              <w:jc w:val="center"/>
              <w:rPr>
                <w:noProof/>
                <w:sz w:val="18"/>
              </w:rPr>
            </w:pPr>
          </w:p>
        </w:tc>
      </w:tr>
      <w:tr w:rsidR="004515FC" w:rsidRPr="000B3838" w14:paraId="18003959" w14:textId="77777777" w:rsidTr="0029161D">
        <w:trPr>
          <w:trHeight w:hRule="exact" w:val="369"/>
          <w:jc w:val="center"/>
        </w:trPr>
        <w:tc>
          <w:tcPr>
            <w:tcW w:w="1423" w:type="dxa"/>
          </w:tcPr>
          <w:p w14:paraId="5028BCB3" w14:textId="77777777" w:rsidR="004515FC" w:rsidRPr="000B3838" w:rsidRDefault="004515FC" w:rsidP="0029161D">
            <w:pPr>
              <w:ind w:right="-29"/>
              <w:jc w:val="center"/>
              <w:rPr>
                <w:noProof/>
                <w:sz w:val="18"/>
              </w:rPr>
            </w:pPr>
            <w:r w:rsidRPr="000B3838">
              <w:rPr>
                <w:noProof/>
                <w:sz w:val="18"/>
              </w:rPr>
              <w:t>– rezultat</w:t>
            </w:r>
          </w:p>
        </w:tc>
        <w:tc>
          <w:tcPr>
            <w:tcW w:w="720" w:type="dxa"/>
          </w:tcPr>
          <w:p w14:paraId="45DBF74B" w14:textId="77777777" w:rsidR="004515FC" w:rsidRPr="000B3838" w:rsidRDefault="004515FC" w:rsidP="0029161D">
            <w:pPr>
              <w:ind w:right="-29"/>
              <w:jc w:val="center"/>
              <w:rPr>
                <w:noProof/>
                <w:sz w:val="18"/>
              </w:rPr>
            </w:pPr>
          </w:p>
        </w:tc>
        <w:tc>
          <w:tcPr>
            <w:tcW w:w="701" w:type="dxa"/>
          </w:tcPr>
          <w:p w14:paraId="22AAD10A" w14:textId="77777777" w:rsidR="004515FC" w:rsidRPr="000B3838" w:rsidRDefault="004515FC" w:rsidP="0029161D">
            <w:pPr>
              <w:ind w:right="-29"/>
              <w:jc w:val="center"/>
              <w:rPr>
                <w:noProof/>
                <w:sz w:val="18"/>
              </w:rPr>
            </w:pPr>
          </w:p>
        </w:tc>
        <w:tc>
          <w:tcPr>
            <w:tcW w:w="504" w:type="dxa"/>
          </w:tcPr>
          <w:p w14:paraId="0E22297A" w14:textId="77777777" w:rsidR="004515FC" w:rsidRPr="000B3838" w:rsidRDefault="004515FC" w:rsidP="0029161D">
            <w:pPr>
              <w:ind w:right="-29"/>
              <w:jc w:val="center"/>
              <w:rPr>
                <w:noProof/>
                <w:sz w:val="18"/>
              </w:rPr>
            </w:pPr>
          </w:p>
        </w:tc>
        <w:tc>
          <w:tcPr>
            <w:tcW w:w="720" w:type="dxa"/>
          </w:tcPr>
          <w:p w14:paraId="4F9DF3AD" w14:textId="77777777" w:rsidR="004515FC" w:rsidRPr="000B3838" w:rsidRDefault="004515FC" w:rsidP="0029161D">
            <w:pPr>
              <w:ind w:right="-29"/>
              <w:jc w:val="center"/>
              <w:rPr>
                <w:noProof/>
                <w:sz w:val="18"/>
              </w:rPr>
            </w:pPr>
          </w:p>
        </w:tc>
        <w:tc>
          <w:tcPr>
            <w:tcW w:w="540" w:type="dxa"/>
          </w:tcPr>
          <w:p w14:paraId="799A2330" w14:textId="77777777" w:rsidR="004515FC" w:rsidRPr="000B3838" w:rsidRDefault="004515FC" w:rsidP="0029161D">
            <w:pPr>
              <w:ind w:right="-29"/>
              <w:jc w:val="center"/>
              <w:rPr>
                <w:noProof/>
                <w:sz w:val="18"/>
              </w:rPr>
            </w:pPr>
          </w:p>
        </w:tc>
        <w:tc>
          <w:tcPr>
            <w:tcW w:w="720" w:type="dxa"/>
          </w:tcPr>
          <w:p w14:paraId="2944E57F" w14:textId="77777777" w:rsidR="004515FC" w:rsidRPr="000B3838" w:rsidRDefault="004515FC" w:rsidP="0029161D">
            <w:pPr>
              <w:ind w:right="-29"/>
              <w:jc w:val="center"/>
              <w:rPr>
                <w:noProof/>
                <w:sz w:val="18"/>
              </w:rPr>
            </w:pPr>
          </w:p>
        </w:tc>
        <w:tc>
          <w:tcPr>
            <w:tcW w:w="720" w:type="dxa"/>
          </w:tcPr>
          <w:p w14:paraId="5324F2C1" w14:textId="77777777" w:rsidR="004515FC" w:rsidRPr="000B3838" w:rsidRDefault="004515FC" w:rsidP="0029161D">
            <w:pPr>
              <w:ind w:right="-29"/>
              <w:jc w:val="center"/>
              <w:rPr>
                <w:noProof/>
                <w:sz w:val="18"/>
              </w:rPr>
            </w:pPr>
          </w:p>
        </w:tc>
        <w:tc>
          <w:tcPr>
            <w:tcW w:w="720" w:type="dxa"/>
          </w:tcPr>
          <w:p w14:paraId="4B81CA1A" w14:textId="77777777" w:rsidR="004515FC" w:rsidRPr="000B3838" w:rsidRDefault="004515FC" w:rsidP="0029161D">
            <w:pPr>
              <w:ind w:right="-29"/>
              <w:jc w:val="center"/>
              <w:rPr>
                <w:noProof/>
                <w:sz w:val="18"/>
              </w:rPr>
            </w:pPr>
          </w:p>
        </w:tc>
        <w:tc>
          <w:tcPr>
            <w:tcW w:w="900" w:type="dxa"/>
          </w:tcPr>
          <w:p w14:paraId="4D33282D" w14:textId="77777777" w:rsidR="004515FC" w:rsidRPr="000B3838" w:rsidRDefault="004515FC" w:rsidP="0029161D">
            <w:pPr>
              <w:ind w:right="-29"/>
              <w:jc w:val="center"/>
              <w:rPr>
                <w:noProof/>
                <w:sz w:val="18"/>
              </w:rPr>
            </w:pPr>
          </w:p>
        </w:tc>
        <w:tc>
          <w:tcPr>
            <w:tcW w:w="720" w:type="dxa"/>
            <w:gridSpan w:val="2"/>
          </w:tcPr>
          <w:p w14:paraId="3E99334B" w14:textId="77777777" w:rsidR="004515FC" w:rsidRPr="000B3838" w:rsidRDefault="004515FC" w:rsidP="0029161D">
            <w:pPr>
              <w:ind w:right="-29"/>
              <w:jc w:val="center"/>
              <w:rPr>
                <w:noProof/>
                <w:sz w:val="18"/>
              </w:rPr>
            </w:pPr>
          </w:p>
        </w:tc>
        <w:tc>
          <w:tcPr>
            <w:tcW w:w="540" w:type="dxa"/>
          </w:tcPr>
          <w:p w14:paraId="1651A222" w14:textId="77777777" w:rsidR="004515FC" w:rsidRPr="000B3838" w:rsidRDefault="004515FC" w:rsidP="0029161D">
            <w:pPr>
              <w:ind w:right="-29"/>
              <w:jc w:val="center"/>
              <w:rPr>
                <w:noProof/>
                <w:sz w:val="18"/>
              </w:rPr>
            </w:pPr>
          </w:p>
        </w:tc>
        <w:tc>
          <w:tcPr>
            <w:tcW w:w="648" w:type="dxa"/>
          </w:tcPr>
          <w:p w14:paraId="54C5BCAE" w14:textId="77777777" w:rsidR="004515FC" w:rsidRPr="000B3838" w:rsidRDefault="004515FC" w:rsidP="0029161D">
            <w:pPr>
              <w:ind w:right="-29"/>
              <w:jc w:val="center"/>
              <w:rPr>
                <w:noProof/>
                <w:sz w:val="18"/>
              </w:rPr>
            </w:pPr>
          </w:p>
        </w:tc>
        <w:tc>
          <w:tcPr>
            <w:tcW w:w="432" w:type="dxa"/>
          </w:tcPr>
          <w:p w14:paraId="40E4403E" w14:textId="77777777" w:rsidR="004515FC" w:rsidRPr="000B3838" w:rsidRDefault="004515FC" w:rsidP="0029161D">
            <w:pPr>
              <w:ind w:right="-29"/>
              <w:jc w:val="center"/>
              <w:rPr>
                <w:noProof/>
                <w:sz w:val="18"/>
              </w:rPr>
            </w:pPr>
          </w:p>
        </w:tc>
        <w:tc>
          <w:tcPr>
            <w:tcW w:w="720" w:type="dxa"/>
          </w:tcPr>
          <w:p w14:paraId="0F816CFC" w14:textId="77777777" w:rsidR="004515FC" w:rsidRPr="000B3838" w:rsidRDefault="004515FC" w:rsidP="0029161D">
            <w:pPr>
              <w:ind w:right="-29"/>
              <w:jc w:val="center"/>
              <w:rPr>
                <w:noProof/>
                <w:sz w:val="18"/>
              </w:rPr>
            </w:pPr>
          </w:p>
        </w:tc>
        <w:tc>
          <w:tcPr>
            <w:tcW w:w="540" w:type="dxa"/>
          </w:tcPr>
          <w:p w14:paraId="733EA695" w14:textId="77777777" w:rsidR="004515FC" w:rsidRPr="000B3838" w:rsidRDefault="004515FC" w:rsidP="0029161D">
            <w:pPr>
              <w:ind w:right="-29"/>
              <w:jc w:val="center"/>
              <w:rPr>
                <w:noProof/>
                <w:sz w:val="18"/>
              </w:rPr>
            </w:pPr>
          </w:p>
        </w:tc>
        <w:tc>
          <w:tcPr>
            <w:tcW w:w="720" w:type="dxa"/>
          </w:tcPr>
          <w:p w14:paraId="45899452" w14:textId="77777777" w:rsidR="004515FC" w:rsidRPr="000B3838" w:rsidRDefault="004515FC" w:rsidP="0029161D">
            <w:pPr>
              <w:ind w:right="-29"/>
              <w:jc w:val="center"/>
              <w:rPr>
                <w:noProof/>
                <w:sz w:val="18"/>
              </w:rPr>
            </w:pPr>
          </w:p>
        </w:tc>
        <w:tc>
          <w:tcPr>
            <w:tcW w:w="720" w:type="dxa"/>
          </w:tcPr>
          <w:p w14:paraId="4A0BE0BC" w14:textId="77777777" w:rsidR="004515FC" w:rsidRPr="000B3838" w:rsidRDefault="004515FC" w:rsidP="0029161D">
            <w:pPr>
              <w:ind w:right="-29"/>
              <w:jc w:val="center"/>
              <w:rPr>
                <w:noProof/>
                <w:sz w:val="18"/>
              </w:rPr>
            </w:pPr>
          </w:p>
        </w:tc>
        <w:tc>
          <w:tcPr>
            <w:tcW w:w="900" w:type="dxa"/>
          </w:tcPr>
          <w:p w14:paraId="44B9690F" w14:textId="77777777" w:rsidR="004515FC" w:rsidRPr="000B3838" w:rsidRDefault="004515FC" w:rsidP="0029161D">
            <w:pPr>
              <w:ind w:right="-29"/>
              <w:jc w:val="center"/>
              <w:rPr>
                <w:noProof/>
                <w:sz w:val="18"/>
              </w:rPr>
            </w:pPr>
          </w:p>
        </w:tc>
      </w:tr>
      <w:tr w:rsidR="004515FC" w:rsidRPr="000B3838" w14:paraId="15DA7894" w14:textId="77777777" w:rsidTr="0029161D">
        <w:trPr>
          <w:jc w:val="center"/>
        </w:trPr>
        <w:tc>
          <w:tcPr>
            <w:tcW w:w="2844" w:type="dxa"/>
            <w:gridSpan w:val="3"/>
            <w:tcBorders>
              <w:bottom w:val="single" w:sz="12" w:space="0" w:color="auto"/>
            </w:tcBorders>
            <w:vAlign w:val="center"/>
          </w:tcPr>
          <w:p w14:paraId="5BA4B717" w14:textId="77777777" w:rsidR="004515FC" w:rsidRPr="000B3838" w:rsidRDefault="004515FC" w:rsidP="0029161D">
            <w:pPr>
              <w:jc w:val="center"/>
              <w:rPr>
                <w:noProof/>
                <w:sz w:val="18"/>
              </w:rPr>
            </w:pPr>
            <w:r w:rsidRPr="000B3838">
              <w:rPr>
                <w:noProof/>
                <w:sz w:val="18"/>
              </w:rPr>
              <w:t>Međuzbroj za specifični cilj br. 2</w:t>
            </w:r>
          </w:p>
        </w:tc>
        <w:tc>
          <w:tcPr>
            <w:tcW w:w="504" w:type="dxa"/>
            <w:tcBorders>
              <w:bottom w:val="single" w:sz="12" w:space="0" w:color="auto"/>
            </w:tcBorders>
          </w:tcPr>
          <w:p w14:paraId="5910CA31" w14:textId="77777777" w:rsidR="004515FC" w:rsidRPr="000B3838" w:rsidRDefault="004515FC" w:rsidP="0029161D">
            <w:pPr>
              <w:ind w:right="-29"/>
              <w:jc w:val="center"/>
              <w:rPr>
                <w:noProof/>
                <w:sz w:val="18"/>
              </w:rPr>
            </w:pPr>
          </w:p>
        </w:tc>
        <w:tc>
          <w:tcPr>
            <w:tcW w:w="720" w:type="dxa"/>
            <w:tcBorders>
              <w:bottom w:val="single" w:sz="12" w:space="0" w:color="auto"/>
            </w:tcBorders>
          </w:tcPr>
          <w:p w14:paraId="742995A9" w14:textId="77777777" w:rsidR="004515FC" w:rsidRPr="000B3838" w:rsidRDefault="004515FC" w:rsidP="0029161D">
            <w:pPr>
              <w:ind w:right="-29"/>
              <w:jc w:val="center"/>
              <w:rPr>
                <w:noProof/>
                <w:sz w:val="18"/>
              </w:rPr>
            </w:pPr>
          </w:p>
        </w:tc>
        <w:tc>
          <w:tcPr>
            <w:tcW w:w="540" w:type="dxa"/>
            <w:tcBorders>
              <w:bottom w:val="single" w:sz="12" w:space="0" w:color="auto"/>
            </w:tcBorders>
          </w:tcPr>
          <w:p w14:paraId="7A5F68C1" w14:textId="77777777" w:rsidR="004515FC" w:rsidRPr="000B3838" w:rsidRDefault="004515FC" w:rsidP="0029161D">
            <w:pPr>
              <w:ind w:right="-29"/>
              <w:jc w:val="center"/>
              <w:rPr>
                <w:noProof/>
                <w:sz w:val="18"/>
              </w:rPr>
            </w:pPr>
          </w:p>
        </w:tc>
        <w:tc>
          <w:tcPr>
            <w:tcW w:w="720" w:type="dxa"/>
            <w:tcBorders>
              <w:bottom w:val="single" w:sz="12" w:space="0" w:color="auto"/>
            </w:tcBorders>
          </w:tcPr>
          <w:p w14:paraId="3942B7C3" w14:textId="77777777" w:rsidR="004515FC" w:rsidRPr="000B3838" w:rsidRDefault="004515FC" w:rsidP="0029161D">
            <w:pPr>
              <w:ind w:right="-29"/>
              <w:jc w:val="center"/>
              <w:rPr>
                <w:noProof/>
                <w:sz w:val="18"/>
              </w:rPr>
            </w:pPr>
          </w:p>
        </w:tc>
        <w:tc>
          <w:tcPr>
            <w:tcW w:w="720" w:type="dxa"/>
            <w:tcBorders>
              <w:bottom w:val="single" w:sz="12" w:space="0" w:color="auto"/>
            </w:tcBorders>
          </w:tcPr>
          <w:p w14:paraId="4F909339" w14:textId="77777777" w:rsidR="004515FC" w:rsidRPr="000B3838" w:rsidRDefault="004515FC" w:rsidP="0029161D">
            <w:pPr>
              <w:ind w:right="-29"/>
              <w:jc w:val="center"/>
              <w:rPr>
                <w:noProof/>
                <w:sz w:val="18"/>
              </w:rPr>
            </w:pPr>
          </w:p>
        </w:tc>
        <w:tc>
          <w:tcPr>
            <w:tcW w:w="720" w:type="dxa"/>
            <w:tcBorders>
              <w:bottom w:val="single" w:sz="12" w:space="0" w:color="auto"/>
            </w:tcBorders>
          </w:tcPr>
          <w:p w14:paraId="786CD44F" w14:textId="77777777" w:rsidR="004515FC" w:rsidRPr="000B3838" w:rsidRDefault="004515FC" w:rsidP="0029161D">
            <w:pPr>
              <w:ind w:right="-29"/>
              <w:jc w:val="center"/>
              <w:rPr>
                <w:noProof/>
                <w:sz w:val="18"/>
              </w:rPr>
            </w:pPr>
          </w:p>
        </w:tc>
        <w:tc>
          <w:tcPr>
            <w:tcW w:w="951" w:type="dxa"/>
            <w:gridSpan w:val="2"/>
            <w:tcBorders>
              <w:bottom w:val="single" w:sz="12" w:space="0" w:color="auto"/>
            </w:tcBorders>
          </w:tcPr>
          <w:p w14:paraId="0219DC67" w14:textId="77777777" w:rsidR="004515FC" w:rsidRPr="000B3838" w:rsidRDefault="004515FC" w:rsidP="0029161D">
            <w:pPr>
              <w:ind w:right="-29"/>
              <w:jc w:val="center"/>
              <w:rPr>
                <w:noProof/>
                <w:sz w:val="18"/>
              </w:rPr>
            </w:pPr>
          </w:p>
        </w:tc>
        <w:tc>
          <w:tcPr>
            <w:tcW w:w="669" w:type="dxa"/>
            <w:tcBorders>
              <w:bottom w:val="single" w:sz="12" w:space="0" w:color="auto"/>
            </w:tcBorders>
          </w:tcPr>
          <w:p w14:paraId="35291F14" w14:textId="77777777" w:rsidR="004515FC" w:rsidRPr="000B3838" w:rsidRDefault="004515FC" w:rsidP="0029161D">
            <w:pPr>
              <w:ind w:right="-29"/>
              <w:jc w:val="center"/>
              <w:rPr>
                <w:noProof/>
                <w:sz w:val="18"/>
              </w:rPr>
            </w:pPr>
          </w:p>
        </w:tc>
        <w:tc>
          <w:tcPr>
            <w:tcW w:w="540" w:type="dxa"/>
            <w:tcBorders>
              <w:bottom w:val="single" w:sz="12" w:space="0" w:color="auto"/>
            </w:tcBorders>
          </w:tcPr>
          <w:p w14:paraId="059A1CEF" w14:textId="77777777" w:rsidR="004515FC" w:rsidRPr="000B3838" w:rsidRDefault="004515FC" w:rsidP="0029161D">
            <w:pPr>
              <w:ind w:right="-29"/>
              <w:jc w:val="center"/>
              <w:rPr>
                <w:noProof/>
                <w:sz w:val="18"/>
              </w:rPr>
            </w:pPr>
          </w:p>
        </w:tc>
        <w:tc>
          <w:tcPr>
            <w:tcW w:w="648" w:type="dxa"/>
            <w:tcBorders>
              <w:bottom w:val="single" w:sz="12" w:space="0" w:color="auto"/>
            </w:tcBorders>
          </w:tcPr>
          <w:p w14:paraId="0454BF11" w14:textId="77777777" w:rsidR="004515FC" w:rsidRPr="000B3838" w:rsidRDefault="004515FC" w:rsidP="0029161D">
            <w:pPr>
              <w:ind w:right="-29"/>
              <w:jc w:val="center"/>
              <w:rPr>
                <w:noProof/>
                <w:sz w:val="18"/>
              </w:rPr>
            </w:pPr>
          </w:p>
        </w:tc>
        <w:tc>
          <w:tcPr>
            <w:tcW w:w="432" w:type="dxa"/>
            <w:tcBorders>
              <w:bottom w:val="single" w:sz="12" w:space="0" w:color="auto"/>
            </w:tcBorders>
          </w:tcPr>
          <w:p w14:paraId="4232922B" w14:textId="77777777" w:rsidR="004515FC" w:rsidRPr="000B3838" w:rsidRDefault="004515FC" w:rsidP="0029161D">
            <w:pPr>
              <w:ind w:right="-29"/>
              <w:jc w:val="center"/>
              <w:rPr>
                <w:noProof/>
                <w:sz w:val="18"/>
              </w:rPr>
            </w:pPr>
          </w:p>
        </w:tc>
        <w:tc>
          <w:tcPr>
            <w:tcW w:w="720" w:type="dxa"/>
            <w:tcBorders>
              <w:bottom w:val="single" w:sz="12" w:space="0" w:color="auto"/>
            </w:tcBorders>
          </w:tcPr>
          <w:p w14:paraId="291E4ECB" w14:textId="77777777" w:rsidR="004515FC" w:rsidRPr="000B3838" w:rsidRDefault="004515FC" w:rsidP="0029161D">
            <w:pPr>
              <w:ind w:right="-29"/>
              <w:jc w:val="center"/>
              <w:rPr>
                <w:noProof/>
                <w:sz w:val="18"/>
              </w:rPr>
            </w:pPr>
          </w:p>
        </w:tc>
        <w:tc>
          <w:tcPr>
            <w:tcW w:w="540" w:type="dxa"/>
            <w:tcBorders>
              <w:bottom w:val="single" w:sz="12" w:space="0" w:color="auto"/>
            </w:tcBorders>
          </w:tcPr>
          <w:p w14:paraId="0AC18D0D" w14:textId="77777777" w:rsidR="004515FC" w:rsidRPr="000B3838" w:rsidRDefault="004515FC" w:rsidP="0029161D">
            <w:pPr>
              <w:ind w:right="-29"/>
              <w:jc w:val="center"/>
              <w:rPr>
                <w:noProof/>
                <w:sz w:val="18"/>
              </w:rPr>
            </w:pPr>
          </w:p>
        </w:tc>
        <w:tc>
          <w:tcPr>
            <w:tcW w:w="720" w:type="dxa"/>
            <w:tcBorders>
              <w:bottom w:val="single" w:sz="12" w:space="0" w:color="auto"/>
            </w:tcBorders>
          </w:tcPr>
          <w:p w14:paraId="3E4CF441" w14:textId="77777777" w:rsidR="004515FC" w:rsidRPr="000B3838" w:rsidRDefault="004515FC" w:rsidP="0029161D">
            <w:pPr>
              <w:ind w:right="-29"/>
              <w:jc w:val="center"/>
              <w:rPr>
                <w:noProof/>
                <w:sz w:val="18"/>
              </w:rPr>
            </w:pPr>
          </w:p>
        </w:tc>
        <w:tc>
          <w:tcPr>
            <w:tcW w:w="720" w:type="dxa"/>
            <w:tcBorders>
              <w:bottom w:val="single" w:sz="12" w:space="0" w:color="auto"/>
            </w:tcBorders>
          </w:tcPr>
          <w:p w14:paraId="294334DC" w14:textId="77777777" w:rsidR="004515FC" w:rsidRPr="000B3838" w:rsidRDefault="004515FC" w:rsidP="0029161D">
            <w:pPr>
              <w:ind w:right="-29"/>
              <w:jc w:val="center"/>
              <w:rPr>
                <w:noProof/>
                <w:sz w:val="18"/>
              </w:rPr>
            </w:pPr>
          </w:p>
        </w:tc>
        <w:tc>
          <w:tcPr>
            <w:tcW w:w="900" w:type="dxa"/>
            <w:tcBorders>
              <w:bottom w:val="single" w:sz="12" w:space="0" w:color="auto"/>
            </w:tcBorders>
          </w:tcPr>
          <w:p w14:paraId="124FAE32" w14:textId="77777777" w:rsidR="004515FC" w:rsidRPr="000B3838" w:rsidRDefault="004515FC" w:rsidP="0029161D">
            <w:pPr>
              <w:ind w:right="-29"/>
              <w:jc w:val="center"/>
              <w:rPr>
                <w:noProof/>
                <w:sz w:val="18"/>
              </w:rPr>
            </w:pPr>
          </w:p>
        </w:tc>
      </w:tr>
      <w:tr w:rsidR="004515FC" w:rsidRPr="000B3838" w14:paraId="22045630" w14:textId="77777777" w:rsidTr="0029161D">
        <w:trPr>
          <w:jc w:val="center"/>
        </w:trPr>
        <w:tc>
          <w:tcPr>
            <w:tcW w:w="2844" w:type="dxa"/>
            <w:gridSpan w:val="3"/>
            <w:tcBorders>
              <w:top w:val="single" w:sz="12" w:space="0" w:color="auto"/>
              <w:left w:val="single" w:sz="12" w:space="0" w:color="auto"/>
              <w:bottom w:val="single" w:sz="12" w:space="0" w:color="auto"/>
            </w:tcBorders>
            <w:vAlign w:val="center"/>
          </w:tcPr>
          <w:p w14:paraId="79507305" w14:textId="77777777" w:rsidR="004515FC" w:rsidRPr="000B3838" w:rsidRDefault="004515FC" w:rsidP="0029161D">
            <w:pPr>
              <w:ind w:right="-29"/>
              <w:jc w:val="center"/>
              <w:rPr>
                <w:noProof/>
                <w:sz w:val="18"/>
              </w:rPr>
            </w:pPr>
            <w:r w:rsidRPr="000B3838">
              <w:rPr>
                <w:b/>
                <w:noProof/>
                <w:sz w:val="18"/>
              </w:rPr>
              <w:t>UKUPNO</w:t>
            </w:r>
          </w:p>
        </w:tc>
        <w:tc>
          <w:tcPr>
            <w:tcW w:w="504" w:type="dxa"/>
            <w:tcBorders>
              <w:top w:val="single" w:sz="12" w:space="0" w:color="auto"/>
              <w:bottom w:val="single" w:sz="12" w:space="0" w:color="auto"/>
            </w:tcBorders>
          </w:tcPr>
          <w:p w14:paraId="1E597BEF" w14:textId="77777777" w:rsidR="004515FC" w:rsidRPr="000B383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9F42FB3" w14:textId="77777777" w:rsidR="004515FC" w:rsidRPr="000B3838"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57D6E8DA" w14:textId="77777777" w:rsidR="004515FC" w:rsidRPr="000B383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AAFD294" w14:textId="77777777" w:rsidR="004515FC" w:rsidRPr="000B383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762E5A5E" w14:textId="77777777" w:rsidR="004515FC" w:rsidRPr="000B383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B4DC9D9" w14:textId="77777777" w:rsidR="004515FC" w:rsidRPr="000B3838" w:rsidRDefault="004515FC" w:rsidP="0029161D">
            <w:pPr>
              <w:spacing w:before="180" w:after="180"/>
              <w:ind w:right="-29"/>
              <w:jc w:val="center"/>
              <w:rPr>
                <w:noProof/>
                <w:sz w:val="18"/>
              </w:rPr>
            </w:pPr>
          </w:p>
        </w:tc>
        <w:tc>
          <w:tcPr>
            <w:tcW w:w="900" w:type="dxa"/>
            <w:tcBorders>
              <w:top w:val="single" w:sz="12" w:space="0" w:color="auto"/>
              <w:bottom w:val="single" w:sz="12" w:space="0" w:color="auto"/>
            </w:tcBorders>
          </w:tcPr>
          <w:p w14:paraId="224573DC" w14:textId="77777777" w:rsidR="004515FC" w:rsidRPr="000B3838" w:rsidRDefault="004515FC" w:rsidP="0029161D">
            <w:pPr>
              <w:spacing w:before="180" w:after="180"/>
              <w:ind w:right="-29"/>
              <w:jc w:val="center"/>
              <w:rPr>
                <w:noProof/>
                <w:sz w:val="18"/>
              </w:rPr>
            </w:pPr>
          </w:p>
        </w:tc>
        <w:tc>
          <w:tcPr>
            <w:tcW w:w="720" w:type="dxa"/>
            <w:gridSpan w:val="2"/>
            <w:tcBorders>
              <w:top w:val="single" w:sz="12" w:space="0" w:color="auto"/>
              <w:bottom w:val="single" w:sz="12" w:space="0" w:color="auto"/>
            </w:tcBorders>
          </w:tcPr>
          <w:p w14:paraId="5D7A734C" w14:textId="77777777" w:rsidR="004515FC" w:rsidRPr="000B3838"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3DA6032D" w14:textId="77777777" w:rsidR="004515FC" w:rsidRPr="000B3838" w:rsidRDefault="004515FC" w:rsidP="0029161D">
            <w:pPr>
              <w:spacing w:before="180" w:after="180"/>
              <w:ind w:right="-29"/>
              <w:jc w:val="center"/>
              <w:rPr>
                <w:noProof/>
                <w:sz w:val="18"/>
              </w:rPr>
            </w:pPr>
          </w:p>
        </w:tc>
        <w:tc>
          <w:tcPr>
            <w:tcW w:w="648" w:type="dxa"/>
            <w:tcBorders>
              <w:top w:val="single" w:sz="12" w:space="0" w:color="auto"/>
              <w:bottom w:val="single" w:sz="12" w:space="0" w:color="auto"/>
            </w:tcBorders>
          </w:tcPr>
          <w:p w14:paraId="24D4A3A6" w14:textId="77777777" w:rsidR="004515FC" w:rsidRPr="000B3838" w:rsidRDefault="004515FC" w:rsidP="0029161D">
            <w:pPr>
              <w:spacing w:before="180" w:after="180"/>
              <w:ind w:right="-29"/>
              <w:jc w:val="center"/>
              <w:rPr>
                <w:noProof/>
                <w:sz w:val="18"/>
              </w:rPr>
            </w:pPr>
          </w:p>
        </w:tc>
        <w:tc>
          <w:tcPr>
            <w:tcW w:w="432" w:type="dxa"/>
            <w:tcBorders>
              <w:top w:val="single" w:sz="12" w:space="0" w:color="auto"/>
              <w:bottom w:val="single" w:sz="12" w:space="0" w:color="auto"/>
            </w:tcBorders>
          </w:tcPr>
          <w:p w14:paraId="0C96EA07" w14:textId="77777777" w:rsidR="004515FC" w:rsidRPr="000B383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149CD667" w14:textId="77777777" w:rsidR="004515FC" w:rsidRPr="000B3838"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5FD9E84F" w14:textId="77777777" w:rsidR="004515FC" w:rsidRPr="000B383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45B2160F" w14:textId="77777777" w:rsidR="004515FC" w:rsidRPr="000B383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5C0524D9" w14:textId="77777777" w:rsidR="004515FC" w:rsidRPr="000B3838" w:rsidRDefault="004515FC" w:rsidP="0029161D">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4C638C25" w14:textId="77777777" w:rsidR="004515FC" w:rsidRPr="000B3838" w:rsidRDefault="004515FC" w:rsidP="0029161D">
            <w:pPr>
              <w:spacing w:before="180" w:after="180"/>
              <w:ind w:right="-29"/>
              <w:jc w:val="center"/>
              <w:rPr>
                <w:noProof/>
                <w:sz w:val="18"/>
              </w:rPr>
            </w:pPr>
          </w:p>
        </w:tc>
      </w:tr>
    </w:tbl>
    <w:p w14:paraId="1B6B34C0" w14:textId="77777777" w:rsidR="004515FC" w:rsidRPr="000B3838" w:rsidRDefault="004515FC" w:rsidP="004515FC">
      <w:pPr>
        <w:rPr>
          <w:noProof/>
        </w:rPr>
        <w:sectPr w:rsidR="004515FC" w:rsidRPr="000B3838" w:rsidSect="004D0F60">
          <w:headerReference w:type="default" r:id="rId23"/>
          <w:footerReference w:type="default" r:id="rId24"/>
          <w:pgSz w:w="16840" w:h="11907" w:orient="landscape" w:code="9"/>
          <w:pgMar w:top="1134" w:right="1418" w:bottom="567" w:left="1418" w:header="709" w:footer="709" w:gutter="0"/>
          <w:cols w:space="708"/>
          <w:docGrid w:linePitch="360"/>
        </w:sectPr>
      </w:pPr>
    </w:p>
    <w:p w14:paraId="7AD35DE6" w14:textId="77777777" w:rsidR="004515FC" w:rsidRPr="000B3838" w:rsidRDefault="004515FC" w:rsidP="004515FC">
      <w:pPr>
        <w:pStyle w:val="ManualHeading3"/>
        <w:rPr>
          <w:noProof/>
        </w:rPr>
      </w:pPr>
      <w:bookmarkStart w:id="65" w:name="_Toc514938055"/>
      <w:bookmarkStart w:id="66" w:name="_Toc520485054"/>
      <w:r w:rsidRPr="000B3838">
        <w:rPr>
          <w:noProof/>
        </w:rPr>
        <w:t>3.2.3.</w:t>
      </w:r>
      <w:r w:rsidRPr="000B3838">
        <w:rPr>
          <w:noProof/>
        </w:rPr>
        <w:tab/>
        <w:t>Sažetak procijenjenog učinka na administrativna odobrena sredstva</w:t>
      </w:r>
      <w:bookmarkEnd w:id="65"/>
      <w:bookmarkEnd w:id="66"/>
      <w:r w:rsidRPr="000B3838">
        <w:rPr>
          <w:noProof/>
        </w:rPr>
        <w:t xml:space="preserve"> </w:t>
      </w:r>
    </w:p>
    <w:p w14:paraId="19C62A95" w14:textId="77777777" w:rsidR="004515FC" w:rsidRPr="000B3838" w:rsidRDefault="004515FC" w:rsidP="004515FC">
      <w:pPr>
        <w:pStyle w:val="ListDash1"/>
        <w:rPr>
          <w:noProof/>
        </w:rPr>
      </w:pPr>
      <w:r w:rsidRPr="000B3838">
        <w:rPr>
          <w:rFonts w:ascii="Wingdings" w:hAnsi="Wingdings"/>
          <w:noProof/>
        </w:rPr>
        <w:t></w:t>
      </w:r>
      <w:r w:rsidRPr="000B3838">
        <w:rPr>
          <w:noProof/>
        </w:rPr>
        <w:tab/>
        <w:t xml:space="preserve">Za prijedlog/inicijativu nisu potrebna administrativna odobrena sredstva. </w:t>
      </w:r>
    </w:p>
    <w:p w14:paraId="625C4A81" w14:textId="77777777" w:rsidR="004515FC" w:rsidRPr="000B3838" w:rsidRDefault="004515FC" w:rsidP="004515FC">
      <w:pPr>
        <w:pStyle w:val="ListDash1"/>
        <w:rPr>
          <w:noProof/>
        </w:rPr>
      </w:pPr>
      <w:r w:rsidRPr="000B3838">
        <w:rPr>
          <w:rFonts w:ascii="Wingdings" w:hAnsi="Wingdings"/>
          <w:noProof/>
        </w:rPr>
        <w:t></w:t>
      </w:r>
      <w:r w:rsidRPr="000B3838">
        <w:rPr>
          <w:noProof/>
        </w:rPr>
        <w:tab/>
        <w:t>Za prijedlog/inicijativu potrebna su sljedeća administrativna odobrena sredstva:</w:t>
      </w:r>
    </w:p>
    <w:p w14:paraId="09A30F6F" w14:textId="77777777" w:rsidR="004515FC" w:rsidRPr="000B3838" w:rsidRDefault="004515FC" w:rsidP="004515FC">
      <w:pPr>
        <w:jc w:val="right"/>
        <w:rPr>
          <w:noProof/>
          <w:sz w:val="20"/>
        </w:rPr>
      </w:pPr>
      <w:r w:rsidRPr="000B3838">
        <w:rPr>
          <w:noProof/>
          <w:sz w:val="20"/>
        </w:rPr>
        <w:t>U milijunima EUR (do 3 decimalna mjesta)</w:t>
      </w: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0B3838" w14:paraId="49270A1B" w14:textId="77777777" w:rsidTr="0029161D">
        <w:trPr>
          <w:trHeight w:val="585"/>
          <w:jc w:val="center"/>
        </w:trPr>
        <w:tc>
          <w:tcPr>
            <w:tcW w:w="1980" w:type="dxa"/>
          </w:tcPr>
          <w:p w14:paraId="4F93BD43" w14:textId="77777777" w:rsidR="004515FC" w:rsidRPr="000B3838" w:rsidRDefault="004515FC" w:rsidP="0029161D">
            <w:pPr>
              <w:spacing w:before="60" w:after="60" w:line="200" w:lineRule="exact"/>
              <w:rPr>
                <w:noProof/>
                <w:sz w:val="16"/>
              </w:rPr>
            </w:pPr>
          </w:p>
        </w:tc>
        <w:tc>
          <w:tcPr>
            <w:tcW w:w="1080" w:type="dxa"/>
            <w:vAlign w:val="center"/>
          </w:tcPr>
          <w:p w14:paraId="71D0860F" w14:textId="77777777" w:rsidR="004515FC" w:rsidRPr="000B3838" w:rsidRDefault="004515FC" w:rsidP="0029161D">
            <w:pPr>
              <w:spacing w:before="60" w:after="60" w:line="200" w:lineRule="exact"/>
              <w:jc w:val="center"/>
              <w:rPr>
                <w:b/>
                <w:noProof/>
                <w:sz w:val="16"/>
              </w:rPr>
            </w:pPr>
            <w:r w:rsidRPr="000B3838">
              <w:rPr>
                <w:b/>
                <w:noProof/>
                <w:sz w:val="16"/>
              </w:rPr>
              <w:t>2026.</w:t>
            </w:r>
          </w:p>
        </w:tc>
        <w:tc>
          <w:tcPr>
            <w:tcW w:w="1080" w:type="dxa"/>
            <w:vAlign w:val="center"/>
          </w:tcPr>
          <w:p w14:paraId="67B3DBAB" w14:textId="77777777" w:rsidR="004515FC" w:rsidRPr="000B3838" w:rsidRDefault="004515FC" w:rsidP="0029161D">
            <w:pPr>
              <w:spacing w:before="60" w:after="60" w:line="200" w:lineRule="exact"/>
              <w:jc w:val="center"/>
              <w:rPr>
                <w:b/>
                <w:noProof/>
                <w:sz w:val="16"/>
              </w:rPr>
            </w:pPr>
            <w:r w:rsidRPr="000B3838">
              <w:rPr>
                <w:b/>
                <w:noProof/>
                <w:sz w:val="16"/>
              </w:rPr>
              <w:t>2027.</w:t>
            </w:r>
          </w:p>
        </w:tc>
        <w:tc>
          <w:tcPr>
            <w:tcW w:w="1080" w:type="dxa"/>
            <w:vAlign w:val="center"/>
          </w:tcPr>
          <w:p w14:paraId="79FF1073" w14:textId="77777777" w:rsidR="004515FC" w:rsidRPr="000B3838" w:rsidRDefault="004515FC" w:rsidP="0029161D">
            <w:pPr>
              <w:spacing w:before="60" w:after="60" w:line="200" w:lineRule="exact"/>
              <w:jc w:val="center"/>
              <w:rPr>
                <w:b/>
                <w:noProof/>
                <w:sz w:val="16"/>
              </w:rPr>
            </w:pPr>
            <w:r w:rsidRPr="000B3838">
              <w:rPr>
                <w:b/>
                <w:noProof/>
                <w:sz w:val="16"/>
              </w:rPr>
              <w:t>UKUPNO</w:t>
            </w:r>
          </w:p>
        </w:tc>
      </w:tr>
    </w:tbl>
    <w:p w14:paraId="79BB913C" w14:textId="77777777" w:rsidR="004515FC" w:rsidRPr="000B3838" w:rsidRDefault="004515FC" w:rsidP="004515FC">
      <w:pPr>
        <w:spacing w:line="200" w:lineRule="exact"/>
        <w:rPr>
          <w:noProof/>
          <w:sz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0B3838" w14:paraId="5A2A45EE" w14:textId="77777777" w:rsidTr="0029161D">
        <w:trPr>
          <w:trHeight w:val="585"/>
          <w:jc w:val="center"/>
        </w:trPr>
        <w:tc>
          <w:tcPr>
            <w:tcW w:w="1980" w:type="dxa"/>
            <w:shd w:val="clear" w:color="auto" w:fill="CCCCCC"/>
            <w:vAlign w:val="center"/>
          </w:tcPr>
          <w:p w14:paraId="2BBFAC6D" w14:textId="54F88AA2" w:rsidR="004515FC" w:rsidRPr="000B3838" w:rsidRDefault="004515FC" w:rsidP="0029161D">
            <w:pPr>
              <w:spacing w:before="60" w:after="60" w:line="200" w:lineRule="exact"/>
              <w:jc w:val="center"/>
              <w:rPr>
                <w:b/>
                <w:noProof/>
                <w:sz w:val="16"/>
              </w:rPr>
            </w:pPr>
            <w:r w:rsidRPr="000B3838">
              <w:rPr>
                <w:b/>
                <w:noProof/>
                <w:sz w:val="16"/>
              </w:rPr>
              <w:t>NASLOV 7.</w:t>
            </w:r>
            <w:r w:rsidRPr="000B3838">
              <w:rPr>
                <w:noProof/>
              </w:rPr>
              <w:br/>
            </w:r>
            <w:r w:rsidRPr="000B3838">
              <w:rPr>
                <w:b/>
                <w:noProof/>
                <w:sz w:val="16"/>
              </w:rPr>
              <w:t>višegodišnjeg financijskog okvira</w:t>
            </w:r>
          </w:p>
        </w:tc>
        <w:tc>
          <w:tcPr>
            <w:tcW w:w="1080" w:type="dxa"/>
            <w:vAlign w:val="center"/>
          </w:tcPr>
          <w:p w14:paraId="73468E5D" w14:textId="77777777" w:rsidR="004515FC" w:rsidRPr="000B3838" w:rsidRDefault="004515FC" w:rsidP="0029161D">
            <w:pPr>
              <w:spacing w:before="60" w:after="60" w:line="200" w:lineRule="exact"/>
              <w:jc w:val="right"/>
              <w:rPr>
                <w:noProof/>
                <w:sz w:val="16"/>
              </w:rPr>
            </w:pPr>
          </w:p>
        </w:tc>
        <w:tc>
          <w:tcPr>
            <w:tcW w:w="1080" w:type="dxa"/>
            <w:vAlign w:val="center"/>
          </w:tcPr>
          <w:p w14:paraId="74D06B89" w14:textId="77777777" w:rsidR="004515FC" w:rsidRPr="000B3838" w:rsidRDefault="004515FC" w:rsidP="0029161D">
            <w:pPr>
              <w:spacing w:before="60" w:after="60" w:line="200" w:lineRule="exact"/>
              <w:jc w:val="right"/>
              <w:rPr>
                <w:noProof/>
                <w:sz w:val="16"/>
              </w:rPr>
            </w:pPr>
          </w:p>
        </w:tc>
        <w:tc>
          <w:tcPr>
            <w:tcW w:w="1080" w:type="dxa"/>
            <w:vAlign w:val="center"/>
          </w:tcPr>
          <w:p w14:paraId="7ABA5A61" w14:textId="77777777" w:rsidR="004515FC" w:rsidRPr="000B3838" w:rsidRDefault="004515FC" w:rsidP="0029161D">
            <w:pPr>
              <w:spacing w:before="60" w:after="60" w:line="200" w:lineRule="exact"/>
              <w:jc w:val="right"/>
              <w:rPr>
                <w:b/>
                <w:noProof/>
                <w:sz w:val="16"/>
              </w:rPr>
            </w:pPr>
          </w:p>
        </w:tc>
      </w:tr>
      <w:tr w:rsidR="004515FC" w:rsidRPr="000B3838" w14:paraId="107766E4" w14:textId="77777777" w:rsidTr="0029161D">
        <w:trPr>
          <w:trHeight w:val="585"/>
          <w:jc w:val="center"/>
        </w:trPr>
        <w:tc>
          <w:tcPr>
            <w:tcW w:w="1980" w:type="dxa"/>
            <w:vAlign w:val="center"/>
          </w:tcPr>
          <w:p w14:paraId="22C99DB2" w14:textId="77777777" w:rsidR="004515FC" w:rsidRPr="000B3838" w:rsidRDefault="004515FC" w:rsidP="0029161D">
            <w:pPr>
              <w:spacing w:before="60" w:after="60" w:line="200" w:lineRule="exact"/>
              <w:ind w:left="72"/>
              <w:jc w:val="left"/>
              <w:rPr>
                <w:noProof/>
                <w:sz w:val="16"/>
              </w:rPr>
            </w:pPr>
            <w:r w:rsidRPr="000B3838">
              <w:rPr>
                <w:noProof/>
                <w:sz w:val="16"/>
              </w:rPr>
              <w:t xml:space="preserve">Ljudski resursi </w:t>
            </w:r>
          </w:p>
        </w:tc>
        <w:tc>
          <w:tcPr>
            <w:tcW w:w="1080" w:type="dxa"/>
            <w:vAlign w:val="center"/>
          </w:tcPr>
          <w:p w14:paraId="2BB36E29" w14:textId="77777777" w:rsidR="004515FC" w:rsidRPr="000B3838" w:rsidRDefault="004515FC" w:rsidP="0029161D">
            <w:pPr>
              <w:spacing w:before="60" w:after="60" w:line="200" w:lineRule="exact"/>
              <w:jc w:val="right"/>
              <w:rPr>
                <w:noProof/>
                <w:sz w:val="16"/>
              </w:rPr>
            </w:pPr>
            <w:r w:rsidRPr="000B3838">
              <w:rPr>
                <w:noProof/>
                <w:sz w:val="16"/>
              </w:rPr>
              <w:t>0,043</w:t>
            </w:r>
          </w:p>
        </w:tc>
        <w:tc>
          <w:tcPr>
            <w:tcW w:w="1080" w:type="dxa"/>
            <w:vAlign w:val="center"/>
          </w:tcPr>
          <w:p w14:paraId="1D95F316" w14:textId="77777777" w:rsidR="004515FC" w:rsidRPr="000B3838" w:rsidRDefault="004515FC" w:rsidP="0029161D">
            <w:pPr>
              <w:spacing w:before="60" w:after="60" w:line="200" w:lineRule="exact"/>
              <w:jc w:val="right"/>
              <w:rPr>
                <w:noProof/>
                <w:sz w:val="16"/>
              </w:rPr>
            </w:pPr>
            <w:r w:rsidRPr="000B3838">
              <w:rPr>
                <w:noProof/>
                <w:sz w:val="16"/>
              </w:rPr>
              <w:t>0,014</w:t>
            </w:r>
          </w:p>
        </w:tc>
        <w:tc>
          <w:tcPr>
            <w:tcW w:w="1080" w:type="dxa"/>
            <w:vAlign w:val="center"/>
          </w:tcPr>
          <w:p w14:paraId="1C9B64D1" w14:textId="77777777" w:rsidR="004515FC" w:rsidRPr="000B3838" w:rsidRDefault="004515FC" w:rsidP="0029161D">
            <w:pPr>
              <w:spacing w:before="60" w:after="60" w:line="200" w:lineRule="exact"/>
              <w:jc w:val="right"/>
              <w:rPr>
                <w:b/>
                <w:noProof/>
                <w:sz w:val="16"/>
              </w:rPr>
            </w:pPr>
            <w:r w:rsidRPr="000B3838">
              <w:rPr>
                <w:b/>
                <w:noProof/>
                <w:sz w:val="16"/>
              </w:rPr>
              <w:t>0,057</w:t>
            </w:r>
          </w:p>
        </w:tc>
      </w:tr>
      <w:tr w:rsidR="006E52EF" w:rsidRPr="000B3838" w14:paraId="146A6886" w14:textId="77777777" w:rsidTr="00AE0D25">
        <w:trPr>
          <w:trHeight w:val="585"/>
          <w:jc w:val="center"/>
        </w:trPr>
        <w:tc>
          <w:tcPr>
            <w:tcW w:w="1980" w:type="dxa"/>
            <w:vAlign w:val="center"/>
          </w:tcPr>
          <w:p w14:paraId="4FB2FECF" w14:textId="77777777" w:rsidR="006E52EF" w:rsidRPr="000B3838" w:rsidRDefault="006E52EF" w:rsidP="006E52EF">
            <w:pPr>
              <w:spacing w:before="60" w:after="60" w:line="200" w:lineRule="exact"/>
              <w:ind w:left="72"/>
              <w:jc w:val="left"/>
              <w:rPr>
                <w:noProof/>
                <w:sz w:val="16"/>
              </w:rPr>
            </w:pPr>
            <w:r w:rsidRPr="000B3838">
              <w:rPr>
                <w:noProof/>
                <w:sz w:val="16"/>
              </w:rPr>
              <w:t xml:space="preserve">Ostali administrativni rashodi </w:t>
            </w:r>
          </w:p>
        </w:tc>
        <w:tc>
          <w:tcPr>
            <w:tcW w:w="1080" w:type="dxa"/>
            <w:vAlign w:val="center"/>
          </w:tcPr>
          <w:p w14:paraId="20E63E11" w14:textId="41E16AA0" w:rsidR="006E52EF" w:rsidRPr="000B3838" w:rsidRDefault="006E52EF" w:rsidP="006E52EF">
            <w:pPr>
              <w:spacing w:before="60" w:after="60" w:line="200" w:lineRule="exact"/>
              <w:jc w:val="right"/>
              <w:rPr>
                <w:noProof/>
                <w:sz w:val="16"/>
              </w:rPr>
            </w:pPr>
            <w:r w:rsidRPr="000B3838">
              <w:rPr>
                <w:noProof/>
                <w:sz w:val="16"/>
              </w:rPr>
              <w:t>0,038</w:t>
            </w:r>
          </w:p>
        </w:tc>
        <w:tc>
          <w:tcPr>
            <w:tcW w:w="1080" w:type="dxa"/>
            <w:vAlign w:val="center"/>
          </w:tcPr>
          <w:p w14:paraId="3BE7D71C" w14:textId="7FC45B35" w:rsidR="006E52EF" w:rsidRPr="000B3838" w:rsidRDefault="006E52EF" w:rsidP="006E52EF">
            <w:pPr>
              <w:spacing w:before="60" w:after="60" w:line="200" w:lineRule="exact"/>
              <w:jc w:val="right"/>
              <w:rPr>
                <w:noProof/>
                <w:sz w:val="16"/>
              </w:rPr>
            </w:pPr>
            <w:r w:rsidRPr="000B3838">
              <w:rPr>
                <w:noProof/>
                <w:sz w:val="16"/>
              </w:rPr>
              <w:t xml:space="preserve"> 0,038</w:t>
            </w:r>
          </w:p>
        </w:tc>
        <w:tc>
          <w:tcPr>
            <w:tcW w:w="1080" w:type="dxa"/>
            <w:vAlign w:val="center"/>
          </w:tcPr>
          <w:p w14:paraId="48342B35" w14:textId="2AEBED5A" w:rsidR="006E52EF" w:rsidRPr="000B3838" w:rsidRDefault="006E52EF" w:rsidP="006E52EF">
            <w:pPr>
              <w:spacing w:before="60" w:after="60" w:line="200" w:lineRule="exact"/>
              <w:jc w:val="right"/>
              <w:rPr>
                <w:b/>
                <w:noProof/>
                <w:sz w:val="16"/>
              </w:rPr>
            </w:pPr>
            <w:r w:rsidRPr="000B3838">
              <w:rPr>
                <w:b/>
                <w:noProof/>
                <w:sz w:val="16"/>
              </w:rPr>
              <w:t>0,076</w:t>
            </w:r>
          </w:p>
        </w:tc>
      </w:tr>
      <w:tr w:rsidR="00AE0D25" w:rsidRPr="000B3838" w14:paraId="2DB66731" w14:textId="77777777" w:rsidTr="00AE0D25">
        <w:trPr>
          <w:trHeight w:val="585"/>
          <w:jc w:val="center"/>
        </w:trPr>
        <w:tc>
          <w:tcPr>
            <w:tcW w:w="1980" w:type="dxa"/>
            <w:shd w:val="clear" w:color="auto" w:fill="CCCCCC"/>
            <w:vAlign w:val="center"/>
          </w:tcPr>
          <w:p w14:paraId="51388F1B" w14:textId="26DA416C" w:rsidR="00AE0D25" w:rsidRPr="000B3838" w:rsidRDefault="00AE0D25" w:rsidP="00AE0D25">
            <w:pPr>
              <w:spacing w:before="60" w:after="60" w:line="200" w:lineRule="exact"/>
              <w:jc w:val="center"/>
              <w:rPr>
                <w:b/>
                <w:noProof/>
                <w:sz w:val="16"/>
              </w:rPr>
            </w:pPr>
            <w:r w:rsidRPr="000B3838">
              <w:rPr>
                <w:b/>
                <w:noProof/>
                <w:sz w:val="16"/>
              </w:rPr>
              <w:t>Međuzbroj za NASLOV 7.</w:t>
            </w:r>
            <w:r w:rsidRPr="000B3838">
              <w:rPr>
                <w:noProof/>
              </w:rPr>
              <w:br/>
            </w:r>
            <w:r w:rsidRPr="000B3838">
              <w:rPr>
                <w:b/>
                <w:noProof/>
                <w:sz w:val="16"/>
              </w:rPr>
              <w:t xml:space="preserve">višegodišnjeg financijskog okvira </w:t>
            </w:r>
          </w:p>
        </w:tc>
        <w:tc>
          <w:tcPr>
            <w:tcW w:w="1080" w:type="dxa"/>
            <w:vAlign w:val="center"/>
          </w:tcPr>
          <w:p w14:paraId="01D6E205" w14:textId="37FD5B28" w:rsidR="00AE0D25" w:rsidRPr="000B3838" w:rsidRDefault="00AE0D25" w:rsidP="00AE0D25">
            <w:pPr>
              <w:spacing w:before="60" w:after="60" w:line="200" w:lineRule="exact"/>
              <w:jc w:val="right"/>
              <w:rPr>
                <w:b/>
                <w:noProof/>
                <w:sz w:val="16"/>
              </w:rPr>
            </w:pPr>
            <w:r w:rsidRPr="000B3838">
              <w:rPr>
                <w:b/>
                <w:noProof/>
                <w:sz w:val="16"/>
              </w:rPr>
              <w:t>0,081</w:t>
            </w:r>
          </w:p>
        </w:tc>
        <w:tc>
          <w:tcPr>
            <w:tcW w:w="1080" w:type="dxa"/>
            <w:vAlign w:val="center"/>
          </w:tcPr>
          <w:p w14:paraId="2BA979D0" w14:textId="0D9ECF9F" w:rsidR="00AE0D25" w:rsidRPr="000B3838" w:rsidRDefault="00AE0D25" w:rsidP="00AE0D25">
            <w:pPr>
              <w:spacing w:before="60" w:after="60" w:line="200" w:lineRule="exact"/>
              <w:jc w:val="right"/>
              <w:rPr>
                <w:b/>
                <w:noProof/>
                <w:sz w:val="16"/>
              </w:rPr>
            </w:pPr>
            <w:r w:rsidRPr="000B3838">
              <w:rPr>
                <w:b/>
                <w:noProof/>
                <w:sz w:val="16"/>
              </w:rPr>
              <w:t>0,052</w:t>
            </w:r>
          </w:p>
        </w:tc>
        <w:tc>
          <w:tcPr>
            <w:tcW w:w="1080" w:type="dxa"/>
            <w:vAlign w:val="center"/>
          </w:tcPr>
          <w:p w14:paraId="1FB2E98C" w14:textId="208FC22F" w:rsidR="00AE0D25" w:rsidRPr="000B3838" w:rsidRDefault="00AE0D25" w:rsidP="00AE0D25">
            <w:pPr>
              <w:spacing w:before="60" w:after="60" w:line="200" w:lineRule="exact"/>
              <w:jc w:val="right"/>
              <w:rPr>
                <w:b/>
                <w:noProof/>
                <w:sz w:val="16"/>
              </w:rPr>
            </w:pPr>
            <w:r w:rsidRPr="000B3838">
              <w:rPr>
                <w:b/>
                <w:noProof/>
                <w:sz w:val="16"/>
              </w:rPr>
              <w:t xml:space="preserve"> 0,133</w:t>
            </w:r>
          </w:p>
        </w:tc>
      </w:tr>
    </w:tbl>
    <w:p w14:paraId="49A199A4" w14:textId="77777777" w:rsidR="004515FC" w:rsidRPr="000B3838" w:rsidRDefault="004515FC" w:rsidP="004515FC">
      <w:pPr>
        <w:spacing w:line="200" w:lineRule="exact"/>
        <w:rPr>
          <w:noProof/>
          <w:sz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0B3838" w14:paraId="01D68E17" w14:textId="77777777" w:rsidTr="0029161D">
        <w:trPr>
          <w:trHeight w:val="585"/>
          <w:jc w:val="center"/>
        </w:trPr>
        <w:tc>
          <w:tcPr>
            <w:tcW w:w="1980" w:type="dxa"/>
            <w:shd w:val="clear" w:color="auto" w:fill="CCCCCC"/>
            <w:vAlign w:val="center"/>
          </w:tcPr>
          <w:p w14:paraId="5790166C" w14:textId="61EAEB02" w:rsidR="004515FC" w:rsidRPr="000B3838" w:rsidRDefault="004515FC" w:rsidP="0029161D">
            <w:pPr>
              <w:spacing w:before="60" w:after="60" w:line="200" w:lineRule="exact"/>
              <w:jc w:val="center"/>
              <w:rPr>
                <w:noProof/>
                <w:sz w:val="16"/>
              </w:rPr>
            </w:pPr>
            <w:r w:rsidRPr="000B3838">
              <w:rPr>
                <w:b/>
                <w:noProof/>
                <w:sz w:val="16"/>
              </w:rPr>
              <w:t>Izvan NASLOVA 7.</w:t>
            </w:r>
            <w:r w:rsidRPr="000B3838">
              <w:rPr>
                <w:rStyle w:val="FootnoteReference0"/>
                <w:b/>
                <w:noProof/>
                <w:sz w:val="16"/>
              </w:rPr>
              <w:footnoteReference w:id="50"/>
            </w:r>
            <w:r w:rsidRPr="000B3838">
              <w:rPr>
                <w:noProof/>
              </w:rPr>
              <w:br/>
            </w:r>
            <w:r w:rsidRPr="000B3838">
              <w:rPr>
                <w:b/>
                <w:noProof/>
                <w:sz w:val="16"/>
              </w:rPr>
              <w:t xml:space="preserve">višegodišnjeg financijskog okvira </w:t>
            </w:r>
          </w:p>
          <w:p w14:paraId="4DB91203" w14:textId="77777777" w:rsidR="004515FC" w:rsidRPr="000B3838" w:rsidRDefault="004515FC" w:rsidP="0029161D">
            <w:pPr>
              <w:spacing w:before="0" w:after="0" w:line="200" w:lineRule="exact"/>
              <w:jc w:val="center"/>
              <w:rPr>
                <w:b/>
                <w:noProof/>
                <w:sz w:val="16"/>
              </w:rPr>
            </w:pPr>
          </w:p>
        </w:tc>
        <w:tc>
          <w:tcPr>
            <w:tcW w:w="1080" w:type="dxa"/>
            <w:vAlign w:val="center"/>
          </w:tcPr>
          <w:p w14:paraId="4FF4E2B1" w14:textId="77777777" w:rsidR="004515FC" w:rsidRPr="000B3838" w:rsidRDefault="004515FC" w:rsidP="0029161D">
            <w:pPr>
              <w:spacing w:before="60" w:after="60" w:line="200" w:lineRule="exact"/>
              <w:jc w:val="right"/>
              <w:rPr>
                <w:noProof/>
                <w:sz w:val="16"/>
              </w:rPr>
            </w:pPr>
          </w:p>
        </w:tc>
        <w:tc>
          <w:tcPr>
            <w:tcW w:w="1080" w:type="dxa"/>
            <w:vAlign w:val="center"/>
          </w:tcPr>
          <w:p w14:paraId="00A985D5" w14:textId="77777777" w:rsidR="004515FC" w:rsidRPr="000B3838" w:rsidRDefault="004515FC" w:rsidP="0029161D">
            <w:pPr>
              <w:spacing w:before="60" w:after="60" w:line="200" w:lineRule="exact"/>
              <w:jc w:val="right"/>
              <w:rPr>
                <w:noProof/>
                <w:sz w:val="16"/>
              </w:rPr>
            </w:pPr>
          </w:p>
        </w:tc>
        <w:tc>
          <w:tcPr>
            <w:tcW w:w="1080" w:type="dxa"/>
            <w:vAlign w:val="center"/>
          </w:tcPr>
          <w:p w14:paraId="027FF494" w14:textId="77777777" w:rsidR="004515FC" w:rsidRPr="000B3838" w:rsidRDefault="004515FC" w:rsidP="0029161D">
            <w:pPr>
              <w:spacing w:before="60" w:after="60" w:line="200" w:lineRule="exact"/>
              <w:jc w:val="right"/>
              <w:rPr>
                <w:b/>
                <w:noProof/>
                <w:sz w:val="16"/>
              </w:rPr>
            </w:pPr>
          </w:p>
        </w:tc>
      </w:tr>
      <w:tr w:rsidR="004515FC" w:rsidRPr="000B3838" w14:paraId="0FA3600C" w14:textId="77777777" w:rsidTr="0029161D">
        <w:trPr>
          <w:trHeight w:val="585"/>
          <w:jc w:val="center"/>
        </w:trPr>
        <w:tc>
          <w:tcPr>
            <w:tcW w:w="1980" w:type="dxa"/>
            <w:vAlign w:val="center"/>
          </w:tcPr>
          <w:p w14:paraId="1F15A970" w14:textId="77777777" w:rsidR="004515FC" w:rsidRPr="000B3838" w:rsidRDefault="004515FC" w:rsidP="0029161D">
            <w:pPr>
              <w:spacing w:before="60" w:after="60" w:line="200" w:lineRule="exact"/>
              <w:ind w:left="72"/>
              <w:jc w:val="left"/>
              <w:rPr>
                <w:noProof/>
                <w:sz w:val="16"/>
              </w:rPr>
            </w:pPr>
            <w:r w:rsidRPr="000B3838">
              <w:rPr>
                <w:noProof/>
                <w:sz w:val="16"/>
              </w:rPr>
              <w:t xml:space="preserve">Ljudski resursi </w:t>
            </w:r>
          </w:p>
        </w:tc>
        <w:tc>
          <w:tcPr>
            <w:tcW w:w="1080" w:type="dxa"/>
            <w:vAlign w:val="center"/>
          </w:tcPr>
          <w:p w14:paraId="1D11E4CF" w14:textId="77777777" w:rsidR="004515FC" w:rsidRPr="000B3838" w:rsidRDefault="004515FC" w:rsidP="0029161D">
            <w:pPr>
              <w:spacing w:before="60" w:after="60" w:line="200" w:lineRule="exact"/>
              <w:jc w:val="right"/>
              <w:rPr>
                <w:noProof/>
                <w:sz w:val="16"/>
              </w:rPr>
            </w:pPr>
          </w:p>
        </w:tc>
        <w:tc>
          <w:tcPr>
            <w:tcW w:w="1080" w:type="dxa"/>
            <w:vAlign w:val="center"/>
          </w:tcPr>
          <w:p w14:paraId="52839FA2" w14:textId="77777777" w:rsidR="004515FC" w:rsidRPr="000B3838" w:rsidRDefault="004515FC" w:rsidP="0029161D">
            <w:pPr>
              <w:spacing w:before="60" w:after="60" w:line="200" w:lineRule="exact"/>
              <w:jc w:val="right"/>
              <w:rPr>
                <w:noProof/>
                <w:sz w:val="16"/>
              </w:rPr>
            </w:pPr>
          </w:p>
        </w:tc>
        <w:tc>
          <w:tcPr>
            <w:tcW w:w="1080" w:type="dxa"/>
            <w:vAlign w:val="center"/>
          </w:tcPr>
          <w:p w14:paraId="1E8FD9CD" w14:textId="77777777" w:rsidR="004515FC" w:rsidRPr="000B3838" w:rsidRDefault="004515FC" w:rsidP="0029161D">
            <w:pPr>
              <w:spacing w:before="60" w:after="60" w:line="200" w:lineRule="exact"/>
              <w:jc w:val="right"/>
              <w:rPr>
                <w:b/>
                <w:noProof/>
                <w:sz w:val="16"/>
              </w:rPr>
            </w:pPr>
          </w:p>
        </w:tc>
      </w:tr>
      <w:tr w:rsidR="004515FC" w:rsidRPr="000B3838" w14:paraId="7122004A" w14:textId="77777777" w:rsidTr="0029161D">
        <w:trPr>
          <w:trHeight w:val="585"/>
          <w:jc w:val="center"/>
        </w:trPr>
        <w:tc>
          <w:tcPr>
            <w:tcW w:w="1980" w:type="dxa"/>
            <w:vAlign w:val="center"/>
          </w:tcPr>
          <w:p w14:paraId="09A86648" w14:textId="6C342938" w:rsidR="004515FC" w:rsidRPr="000B3838" w:rsidRDefault="004515FC" w:rsidP="0029161D">
            <w:pPr>
              <w:spacing w:before="60" w:after="60" w:line="200" w:lineRule="exact"/>
              <w:ind w:left="72"/>
              <w:jc w:val="left"/>
              <w:rPr>
                <w:noProof/>
                <w:sz w:val="16"/>
              </w:rPr>
            </w:pPr>
            <w:r w:rsidRPr="000B3838">
              <w:rPr>
                <w:noProof/>
                <w:sz w:val="16"/>
              </w:rPr>
              <w:t>Ostali</w:t>
            </w:r>
            <w:r w:rsidRPr="000B3838">
              <w:rPr>
                <w:noProof/>
              </w:rPr>
              <w:br/>
            </w:r>
            <w:r w:rsidRPr="000B3838">
              <w:rPr>
                <w:noProof/>
                <w:sz w:val="16"/>
              </w:rPr>
              <w:t>administrativni rashodi</w:t>
            </w:r>
          </w:p>
        </w:tc>
        <w:tc>
          <w:tcPr>
            <w:tcW w:w="1080" w:type="dxa"/>
            <w:vAlign w:val="center"/>
          </w:tcPr>
          <w:p w14:paraId="1C689B4B" w14:textId="77777777" w:rsidR="004515FC" w:rsidRPr="000B3838" w:rsidRDefault="004515FC" w:rsidP="0029161D">
            <w:pPr>
              <w:spacing w:before="60" w:after="60" w:line="200" w:lineRule="exact"/>
              <w:jc w:val="right"/>
              <w:rPr>
                <w:noProof/>
                <w:sz w:val="16"/>
              </w:rPr>
            </w:pPr>
          </w:p>
        </w:tc>
        <w:tc>
          <w:tcPr>
            <w:tcW w:w="1080" w:type="dxa"/>
            <w:vAlign w:val="center"/>
          </w:tcPr>
          <w:p w14:paraId="741A5C7E" w14:textId="77777777" w:rsidR="004515FC" w:rsidRPr="000B3838" w:rsidRDefault="004515FC" w:rsidP="0029161D">
            <w:pPr>
              <w:spacing w:before="60" w:after="60" w:line="200" w:lineRule="exact"/>
              <w:jc w:val="right"/>
              <w:rPr>
                <w:noProof/>
                <w:sz w:val="16"/>
              </w:rPr>
            </w:pPr>
          </w:p>
        </w:tc>
        <w:tc>
          <w:tcPr>
            <w:tcW w:w="1080" w:type="dxa"/>
            <w:vAlign w:val="center"/>
          </w:tcPr>
          <w:p w14:paraId="325B3C38" w14:textId="77777777" w:rsidR="004515FC" w:rsidRPr="000B3838" w:rsidRDefault="004515FC" w:rsidP="0029161D">
            <w:pPr>
              <w:spacing w:before="60" w:after="60" w:line="200" w:lineRule="exact"/>
              <w:jc w:val="right"/>
              <w:rPr>
                <w:b/>
                <w:noProof/>
                <w:sz w:val="16"/>
              </w:rPr>
            </w:pPr>
          </w:p>
        </w:tc>
      </w:tr>
      <w:tr w:rsidR="004515FC" w:rsidRPr="000B3838" w14:paraId="262FC704" w14:textId="77777777" w:rsidTr="0029161D">
        <w:trPr>
          <w:trHeight w:val="585"/>
          <w:jc w:val="center"/>
        </w:trPr>
        <w:tc>
          <w:tcPr>
            <w:tcW w:w="1980" w:type="dxa"/>
            <w:shd w:val="clear" w:color="auto" w:fill="CCCCCC"/>
            <w:vAlign w:val="center"/>
          </w:tcPr>
          <w:p w14:paraId="40720FD1" w14:textId="6127BB15" w:rsidR="004515FC" w:rsidRPr="000B3838" w:rsidRDefault="004515FC" w:rsidP="0029161D">
            <w:pPr>
              <w:spacing w:before="60" w:after="60" w:line="200" w:lineRule="exact"/>
              <w:jc w:val="center"/>
              <w:rPr>
                <w:b/>
                <w:noProof/>
                <w:sz w:val="16"/>
              </w:rPr>
            </w:pPr>
            <w:r w:rsidRPr="000B3838">
              <w:rPr>
                <w:b/>
                <w:noProof/>
                <w:sz w:val="16"/>
              </w:rPr>
              <w:t>Međuzbroj</w:t>
            </w:r>
            <w:r w:rsidRPr="000B3838">
              <w:rPr>
                <w:noProof/>
              </w:rPr>
              <w:br/>
            </w:r>
            <w:r w:rsidRPr="000B3838">
              <w:rPr>
                <w:b/>
                <w:noProof/>
                <w:sz w:val="16"/>
              </w:rPr>
              <w:t>izvan NASLOVA 7.</w:t>
            </w:r>
            <w:r w:rsidRPr="000B3838">
              <w:rPr>
                <w:noProof/>
              </w:rPr>
              <w:t xml:space="preserve"> </w:t>
            </w:r>
            <w:r w:rsidRPr="000B3838">
              <w:rPr>
                <w:noProof/>
              </w:rPr>
              <w:br/>
            </w:r>
            <w:r w:rsidRPr="000B3838">
              <w:rPr>
                <w:b/>
                <w:noProof/>
                <w:sz w:val="16"/>
              </w:rPr>
              <w:t xml:space="preserve">višegodišnjeg financijskog okvira </w:t>
            </w:r>
          </w:p>
        </w:tc>
        <w:tc>
          <w:tcPr>
            <w:tcW w:w="1080" w:type="dxa"/>
            <w:vAlign w:val="center"/>
          </w:tcPr>
          <w:p w14:paraId="72D5A55B" w14:textId="77777777" w:rsidR="004515FC" w:rsidRPr="000B3838" w:rsidRDefault="004515FC" w:rsidP="0029161D">
            <w:pPr>
              <w:spacing w:before="60" w:after="60" w:line="200" w:lineRule="exact"/>
              <w:jc w:val="right"/>
              <w:rPr>
                <w:noProof/>
                <w:sz w:val="16"/>
              </w:rPr>
            </w:pPr>
          </w:p>
        </w:tc>
        <w:tc>
          <w:tcPr>
            <w:tcW w:w="1080" w:type="dxa"/>
            <w:vAlign w:val="center"/>
          </w:tcPr>
          <w:p w14:paraId="09358B7F" w14:textId="77777777" w:rsidR="004515FC" w:rsidRPr="000B3838" w:rsidRDefault="004515FC" w:rsidP="0029161D">
            <w:pPr>
              <w:spacing w:before="60" w:after="60" w:line="200" w:lineRule="exact"/>
              <w:jc w:val="right"/>
              <w:rPr>
                <w:noProof/>
                <w:sz w:val="16"/>
              </w:rPr>
            </w:pPr>
          </w:p>
        </w:tc>
        <w:tc>
          <w:tcPr>
            <w:tcW w:w="1080" w:type="dxa"/>
            <w:vAlign w:val="center"/>
          </w:tcPr>
          <w:p w14:paraId="66354F4A" w14:textId="77777777" w:rsidR="004515FC" w:rsidRPr="000B3838" w:rsidRDefault="004515FC" w:rsidP="0029161D">
            <w:pPr>
              <w:spacing w:before="60" w:after="60" w:line="200" w:lineRule="exact"/>
              <w:jc w:val="right"/>
              <w:rPr>
                <w:b/>
                <w:noProof/>
                <w:sz w:val="16"/>
              </w:rPr>
            </w:pPr>
          </w:p>
        </w:tc>
      </w:tr>
    </w:tbl>
    <w:p w14:paraId="11F2A4F8" w14:textId="77777777" w:rsidR="004515FC" w:rsidRPr="000B3838" w:rsidRDefault="004515FC" w:rsidP="004515FC">
      <w:pPr>
        <w:spacing w:line="200" w:lineRule="exact"/>
        <w:rPr>
          <w:noProof/>
          <w:sz w:val="16"/>
        </w:rPr>
      </w:pPr>
    </w:p>
    <w:tbl>
      <w:tblPr>
        <w:tblW w:w="5220" w:type="dxa"/>
        <w:jc w:val="center"/>
        <w:tblLayout w:type="fixed"/>
        <w:tblLook w:val="01E0" w:firstRow="1" w:lastRow="1" w:firstColumn="1" w:lastColumn="1" w:noHBand="0" w:noVBand="0"/>
      </w:tblPr>
      <w:tblGrid>
        <w:gridCol w:w="1980"/>
        <w:gridCol w:w="1080"/>
        <w:gridCol w:w="1080"/>
        <w:gridCol w:w="1080"/>
      </w:tblGrid>
      <w:tr w:rsidR="00AE0D25" w:rsidRPr="000B3838" w14:paraId="09D09DCE" w14:textId="77777777" w:rsidTr="0029161D">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24AF80A2" w14:textId="77777777" w:rsidR="00AE0D25" w:rsidRPr="000B3838" w:rsidRDefault="00AE0D25" w:rsidP="00AE0D25">
            <w:pPr>
              <w:spacing w:before="60" w:after="60" w:line="200" w:lineRule="exact"/>
              <w:jc w:val="center"/>
              <w:rPr>
                <w:noProof/>
                <w:sz w:val="16"/>
              </w:rPr>
            </w:pPr>
            <w:r w:rsidRPr="000B3838">
              <w:rPr>
                <w:b/>
                <w:noProof/>
                <w:sz w:val="16"/>
              </w:rPr>
              <w:t>UKUPNO</w:t>
            </w:r>
          </w:p>
        </w:tc>
        <w:tc>
          <w:tcPr>
            <w:tcW w:w="1080" w:type="dxa"/>
            <w:tcBorders>
              <w:top w:val="single" w:sz="12" w:space="0" w:color="auto"/>
              <w:left w:val="single" w:sz="2" w:space="0" w:color="auto"/>
              <w:bottom w:val="single" w:sz="12" w:space="0" w:color="auto"/>
              <w:right w:val="single" w:sz="2" w:space="0" w:color="auto"/>
            </w:tcBorders>
            <w:vAlign w:val="center"/>
          </w:tcPr>
          <w:p w14:paraId="7BE685B7" w14:textId="46193A20" w:rsidR="00AE0D25" w:rsidRPr="000B3838" w:rsidRDefault="00AE0D25" w:rsidP="00AE0D25">
            <w:pPr>
              <w:spacing w:before="60" w:after="60" w:line="200" w:lineRule="exact"/>
              <w:jc w:val="right"/>
              <w:rPr>
                <w:b/>
                <w:noProof/>
                <w:sz w:val="16"/>
                <w:highlight w:val="yellow"/>
              </w:rPr>
            </w:pPr>
            <w:r w:rsidRPr="000B3838">
              <w:rPr>
                <w:b/>
                <w:noProof/>
                <w:sz w:val="16"/>
              </w:rPr>
              <w:t>0,081</w:t>
            </w:r>
          </w:p>
        </w:tc>
        <w:tc>
          <w:tcPr>
            <w:tcW w:w="1080" w:type="dxa"/>
            <w:tcBorders>
              <w:top w:val="single" w:sz="12" w:space="0" w:color="auto"/>
              <w:left w:val="single" w:sz="2" w:space="0" w:color="auto"/>
              <w:bottom w:val="single" w:sz="12" w:space="0" w:color="auto"/>
              <w:right w:val="single" w:sz="2" w:space="0" w:color="auto"/>
            </w:tcBorders>
            <w:vAlign w:val="center"/>
          </w:tcPr>
          <w:p w14:paraId="55A4A687" w14:textId="50D7A82E" w:rsidR="00AE0D25" w:rsidRPr="000B3838" w:rsidRDefault="00AE0D25" w:rsidP="00AE0D25">
            <w:pPr>
              <w:spacing w:before="60" w:after="60" w:line="200" w:lineRule="exact"/>
              <w:jc w:val="right"/>
              <w:rPr>
                <w:b/>
                <w:noProof/>
                <w:sz w:val="16"/>
                <w:highlight w:val="yellow"/>
              </w:rPr>
            </w:pPr>
            <w:r w:rsidRPr="000B3838">
              <w:rPr>
                <w:b/>
                <w:noProof/>
                <w:sz w:val="16"/>
              </w:rPr>
              <w:t>0,052</w:t>
            </w:r>
          </w:p>
        </w:tc>
        <w:tc>
          <w:tcPr>
            <w:tcW w:w="1080" w:type="dxa"/>
            <w:tcBorders>
              <w:top w:val="single" w:sz="12" w:space="0" w:color="auto"/>
              <w:left w:val="single" w:sz="2" w:space="0" w:color="auto"/>
              <w:bottom w:val="single" w:sz="12" w:space="0" w:color="auto"/>
              <w:right w:val="single" w:sz="12" w:space="0" w:color="auto"/>
            </w:tcBorders>
            <w:vAlign w:val="center"/>
          </w:tcPr>
          <w:p w14:paraId="28957C5C" w14:textId="7C5BBC48" w:rsidR="00AE0D25" w:rsidRPr="000B3838" w:rsidRDefault="00AE0D25" w:rsidP="00AE0D25">
            <w:pPr>
              <w:spacing w:before="60" w:after="60" w:line="200" w:lineRule="exact"/>
              <w:jc w:val="right"/>
              <w:rPr>
                <w:b/>
                <w:noProof/>
                <w:sz w:val="16"/>
                <w:highlight w:val="yellow"/>
              </w:rPr>
            </w:pPr>
            <w:r w:rsidRPr="000B3838">
              <w:rPr>
                <w:b/>
                <w:noProof/>
                <w:sz w:val="16"/>
              </w:rPr>
              <w:t xml:space="preserve"> 0,133</w:t>
            </w:r>
          </w:p>
        </w:tc>
      </w:tr>
    </w:tbl>
    <w:p w14:paraId="2342AD26" w14:textId="77777777" w:rsidR="004515FC" w:rsidRPr="000B3838" w:rsidRDefault="004515FC" w:rsidP="004515FC">
      <w:pPr>
        <w:rPr>
          <w:noProof/>
          <w:sz w:val="18"/>
        </w:rPr>
      </w:pPr>
      <w:r w:rsidRPr="000B3838">
        <w:rPr>
          <w:noProof/>
          <w:sz w:val="18"/>
        </w:rPr>
        <w:t>Potrebna odobrena sredstva za ljudske resurse i ostale administrativne rashode pokrit će se odobrenim sredstvima glavne uprave koja su već dodijeljena za upravljanje djelovanjem i/ili su preraspodijeljena unutar glavne uprave te, prema potrebi, dodatnim sredstvima koja se mogu dodijeliti nadležnoj glavnoj upravi u okviru godišnjeg postupka dodjele sredstava uzimajući u obzir proračunska ograničenja.</w:t>
      </w:r>
    </w:p>
    <w:p w14:paraId="4FF93EF4" w14:textId="77777777" w:rsidR="004515FC" w:rsidRPr="000B3838" w:rsidRDefault="004515FC" w:rsidP="004515FC">
      <w:pPr>
        <w:rPr>
          <w:noProof/>
          <w:sz w:val="18"/>
        </w:rPr>
        <w:sectPr w:rsidR="004515FC" w:rsidRPr="000B3838" w:rsidSect="004D0F60">
          <w:headerReference w:type="default" r:id="rId25"/>
          <w:footerReference w:type="default" r:id="rId26"/>
          <w:pgSz w:w="11907" w:h="16840"/>
          <w:pgMar w:top="1134" w:right="1418" w:bottom="1134" w:left="1418" w:header="709" w:footer="709" w:gutter="0"/>
          <w:cols w:space="708"/>
          <w:docGrid w:linePitch="360"/>
        </w:sectPr>
      </w:pPr>
    </w:p>
    <w:p w14:paraId="27F100AA" w14:textId="77777777" w:rsidR="004515FC" w:rsidRPr="000B3838" w:rsidRDefault="004515FC" w:rsidP="004515FC">
      <w:pPr>
        <w:pStyle w:val="ManualHeading4"/>
        <w:rPr>
          <w:noProof/>
        </w:rPr>
      </w:pPr>
      <w:bookmarkStart w:id="67" w:name="_Toc82C9CE6E4E1F470F8F09B4938A67F539"/>
      <w:r w:rsidRPr="000B3838">
        <w:rPr>
          <w:noProof/>
        </w:rPr>
        <w:t>3.2.3.1.</w:t>
      </w:r>
      <w:r w:rsidRPr="000B3838">
        <w:rPr>
          <w:noProof/>
        </w:rPr>
        <w:tab/>
        <w:t xml:space="preserve">Procijenjene potrebe u pogledu ljudskih resursa </w:t>
      </w:r>
      <w:bookmarkEnd w:id="67"/>
    </w:p>
    <w:p w14:paraId="63B3546B" w14:textId="77777777" w:rsidR="004515FC" w:rsidRPr="000B3838" w:rsidRDefault="004515FC" w:rsidP="004515FC">
      <w:pPr>
        <w:pStyle w:val="ListDash1"/>
        <w:rPr>
          <w:noProof/>
        </w:rPr>
      </w:pPr>
      <w:r w:rsidRPr="000B3838">
        <w:rPr>
          <w:rFonts w:ascii="Wingdings" w:hAnsi="Wingdings"/>
          <w:noProof/>
        </w:rPr>
        <w:t></w:t>
      </w:r>
      <w:r w:rsidRPr="000B3838">
        <w:rPr>
          <w:noProof/>
        </w:rPr>
        <w:tab/>
        <w:t xml:space="preserve">Za prijedlog/inicijativu nisu potrebni ljudski resursi. </w:t>
      </w:r>
    </w:p>
    <w:p w14:paraId="71BA84D4" w14:textId="77777777" w:rsidR="004515FC" w:rsidRPr="000B3838" w:rsidRDefault="004515FC" w:rsidP="004515FC">
      <w:pPr>
        <w:pStyle w:val="ListDash1"/>
        <w:rPr>
          <w:noProof/>
        </w:rPr>
      </w:pPr>
      <w:r w:rsidRPr="000B3838">
        <w:rPr>
          <w:rFonts w:ascii="Wingdings" w:hAnsi="Wingdings"/>
          <w:noProof/>
        </w:rPr>
        <w:t></w:t>
      </w:r>
      <w:r w:rsidRPr="000B3838">
        <w:rPr>
          <w:noProof/>
        </w:rPr>
        <w:tab/>
        <w:t>Za prijedlog/inicijativu potrebni su sljedeći ljudski resursi:</w:t>
      </w:r>
    </w:p>
    <w:p w14:paraId="1B86B1CD" w14:textId="4D09A6F6" w:rsidR="004515FC" w:rsidRPr="000B3838" w:rsidRDefault="004515FC" w:rsidP="004515FC">
      <w:pPr>
        <w:spacing w:after="60"/>
        <w:jc w:val="right"/>
        <w:rPr>
          <w:i/>
          <w:noProof/>
          <w:sz w:val="20"/>
        </w:rPr>
      </w:pPr>
      <w:r w:rsidRPr="000B3838">
        <w:rPr>
          <w:i/>
          <w:noProof/>
          <w:sz w:val="20"/>
        </w:rPr>
        <w:t>Procjenu navesti u ekvivalentima punog radnog vremena*</w:t>
      </w:r>
    </w:p>
    <w:tbl>
      <w:tblPr>
        <w:tblW w:w="62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tblGrid>
      <w:tr w:rsidR="004515FC" w:rsidRPr="000B3838" w14:paraId="40A3C3E3" w14:textId="77777777" w:rsidTr="0029161D">
        <w:trPr>
          <w:trHeight w:val="289"/>
          <w:jc w:val="center"/>
        </w:trPr>
        <w:tc>
          <w:tcPr>
            <w:tcW w:w="4754" w:type="dxa"/>
            <w:gridSpan w:val="2"/>
            <w:shd w:val="clear" w:color="auto" w:fill="auto"/>
          </w:tcPr>
          <w:p w14:paraId="195FD7D2" w14:textId="77777777" w:rsidR="004515FC" w:rsidRPr="000B3838" w:rsidRDefault="004515FC" w:rsidP="0029161D">
            <w:pPr>
              <w:pStyle w:val="Text1"/>
              <w:spacing w:before="40" w:after="40"/>
              <w:ind w:left="0"/>
              <w:jc w:val="center"/>
              <w:rPr>
                <w:i/>
                <w:noProof/>
                <w:sz w:val="16"/>
              </w:rPr>
            </w:pPr>
          </w:p>
        </w:tc>
        <w:tc>
          <w:tcPr>
            <w:tcW w:w="731" w:type="dxa"/>
            <w:shd w:val="clear" w:color="auto" w:fill="auto"/>
            <w:vAlign w:val="center"/>
          </w:tcPr>
          <w:p w14:paraId="0CE75EAC" w14:textId="77777777" w:rsidR="004515FC" w:rsidRPr="000B3838" w:rsidRDefault="004515FC" w:rsidP="0029161D">
            <w:pPr>
              <w:spacing w:before="20" w:after="20"/>
              <w:jc w:val="center"/>
              <w:rPr>
                <w:b/>
                <w:noProof/>
                <w:sz w:val="16"/>
              </w:rPr>
            </w:pPr>
            <w:r w:rsidRPr="000B3838">
              <w:rPr>
                <w:b/>
                <w:noProof/>
                <w:sz w:val="16"/>
              </w:rPr>
              <w:t>2026.</w:t>
            </w:r>
          </w:p>
        </w:tc>
        <w:tc>
          <w:tcPr>
            <w:tcW w:w="731" w:type="dxa"/>
            <w:shd w:val="clear" w:color="auto" w:fill="auto"/>
            <w:vAlign w:val="center"/>
          </w:tcPr>
          <w:p w14:paraId="2327959F" w14:textId="77777777" w:rsidR="004515FC" w:rsidRPr="000B3838" w:rsidRDefault="004515FC" w:rsidP="0029161D">
            <w:pPr>
              <w:spacing w:before="20" w:after="20"/>
              <w:jc w:val="center"/>
              <w:rPr>
                <w:b/>
                <w:noProof/>
                <w:sz w:val="16"/>
              </w:rPr>
            </w:pPr>
            <w:r w:rsidRPr="000B3838">
              <w:rPr>
                <w:b/>
                <w:noProof/>
                <w:sz w:val="16"/>
              </w:rPr>
              <w:t>2027.</w:t>
            </w:r>
          </w:p>
        </w:tc>
      </w:tr>
      <w:tr w:rsidR="004515FC" w:rsidRPr="000B3838" w14:paraId="2A97A2A9" w14:textId="77777777" w:rsidTr="0029161D">
        <w:trPr>
          <w:trHeight w:val="289"/>
          <w:jc w:val="center"/>
        </w:trPr>
        <w:tc>
          <w:tcPr>
            <w:tcW w:w="4754" w:type="dxa"/>
            <w:gridSpan w:val="2"/>
            <w:shd w:val="clear" w:color="auto" w:fill="auto"/>
            <w:vAlign w:val="center"/>
          </w:tcPr>
          <w:p w14:paraId="659EAE1C" w14:textId="77777777" w:rsidR="004515FC" w:rsidRPr="000B3838" w:rsidRDefault="004515FC" w:rsidP="0029161D">
            <w:pPr>
              <w:pStyle w:val="Text1"/>
              <w:spacing w:beforeLines="20" w:before="48" w:afterLines="20" w:after="48"/>
              <w:ind w:left="134"/>
              <w:jc w:val="left"/>
              <w:rPr>
                <w:b/>
                <w:noProof/>
                <w:sz w:val="16"/>
              </w:rPr>
            </w:pPr>
            <w:r w:rsidRPr="000B3838">
              <w:rPr>
                <w:noProof/>
                <w:sz w:val="16"/>
              </w:rPr>
              <w:t>20 01 02 01</w:t>
            </w:r>
            <w:r w:rsidRPr="000B3838">
              <w:rPr>
                <w:rFonts w:ascii="Arial Narrow" w:hAnsi="Arial Narrow"/>
                <w:noProof/>
                <w:sz w:val="20"/>
              </w:rPr>
              <w:t xml:space="preserve"> </w:t>
            </w:r>
            <w:r w:rsidRPr="000B3838">
              <w:rPr>
                <w:noProof/>
                <w:sz w:val="16"/>
              </w:rPr>
              <w:t>(sjedište i predstavništva Komisije)</w:t>
            </w:r>
          </w:p>
        </w:tc>
        <w:tc>
          <w:tcPr>
            <w:tcW w:w="731" w:type="dxa"/>
            <w:shd w:val="clear" w:color="auto" w:fill="auto"/>
            <w:vAlign w:val="center"/>
          </w:tcPr>
          <w:p w14:paraId="138A4F6D" w14:textId="77777777" w:rsidR="004515FC" w:rsidRPr="000B3838" w:rsidRDefault="004515FC" w:rsidP="0029161D">
            <w:pPr>
              <w:spacing w:beforeLines="20" w:before="48" w:afterLines="20" w:after="48"/>
              <w:jc w:val="center"/>
              <w:rPr>
                <w:noProof/>
                <w:sz w:val="16"/>
              </w:rPr>
            </w:pPr>
            <w:r w:rsidRPr="000B3838">
              <w:rPr>
                <w:noProof/>
                <w:sz w:val="16"/>
              </w:rPr>
              <w:t>0,25</w:t>
            </w:r>
          </w:p>
        </w:tc>
        <w:tc>
          <w:tcPr>
            <w:tcW w:w="731" w:type="dxa"/>
            <w:shd w:val="clear" w:color="auto" w:fill="auto"/>
            <w:vAlign w:val="center"/>
          </w:tcPr>
          <w:p w14:paraId="3C15C79D" w14:textId="77777777" w:rsidR="004515FC" w:rsidRPr="000B3838" w:rsidRDefault="004515FC" w:rsidP="0029161D">
            <w:pPr>
              <w:spacing w:beforeLines="20" w:before="48" w:afterLines="20" w:after="48"/>
              <w:jc w:val="center"/>
              <w:rPr>
                <w:noProof/>
                <w:sz w:val="16"/>
              </w:rPr>
            </w:pPr>
            <w:r w:rsidRPr="000B3838">
              <w:rPr>
                <w:noProof/>
                <w:sz w:val="16"/>
              </w:rPr>
              <w:t>0,083</w:t>
            </w:r>
          </w:p>
        </w:tc>
      </w:tr>
      <w:tr w:rsidR="004515FC" w:rsidRPr="000B3838" w14:paraId="29074630" w14:textId="77777777" w:rsidTr="0029161D">
        <w:trPr>
          <w:trHeight w:val="289"/>
          <w:jc w:val="center"/>
        </w:trPr>
        <w:tc>
          <w:tcPr>
            <w:tcW w:w="4754" w:type="dxa"/>
            <w:gridSpan w:val="2"/>
            <w:shd w:val="clear" w:color="auto" w:fill="auto"/>
            <w:vAlign w:val="center"/>
          </w:tcPr>
          <w:p w14:paraId="1647F1F5" w14:textId="77777777" w:rsidR="004515FC" w:rsidRPr="000B3838" w:rsidRDefault="004515FC" w:rsidP="0029161D">
            <w:pPr>
              <w:pStyle w:val="Text1"/>
              <w:spacing w:beforeLines="20" w:before="48" w:afterLines="20" w:after="48"/>
              <w:ind w:left="134"/>
              <w:jc w:val="left"/>
              <w:rPr>
                <w:noProof/>
                <w:sz w:val="16"/>
              </w:rPr>
            </w:pPr>
            <w:r w:rsidRPr="000B3838">
              <w:rPr>
                <w:noProof/>
                <w:sz w:val="16"/>
              </w:rPr>
              <w:t>20 01 02 03 (delegacije)</w:t>
            </w:r>
          </w:p>
        </w:tc>
        <w:tc>
          <w:tcPr>
            <w:tcW w:w="731" w:type="dxa"/>
            <w:shd w:val="clear" w:color="auto" w:fill="auto"/>
            <w:vAlign w:val="center"/>
          </w:tcPr>
          <w:p w14:paraId="6119FF32"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3D600E09" w14:textId="77777777" w:rsidR="004515FC" w:rsidRPr="000B3838" w:rsidRDefault="004515FC" w:rsidP="0029161D">
            <w:pPr>
              <w:spacing w:beforeLines="20" w:before="48" w:afterLines="20" w:after="48"/>
              <w:jc w:val="center"/>
              <w:rPr>
                <w:noProof/>
                <w:sz w:val="16"/>
              </w:rPr>
            </w:pPr>
          </w:p>
        </w:tc>
      </w:tr>
      <w:tr w:rsidR="004515FC" w:rsidRPr="000B3838" w14:paraId="5CB0732A" w14:textId="77777777" w:rsidTr="0029161D">
        <w:trPr>
          <w:trHeight w:val="289"/>
          <w:jc w:val="center"/>
        </w:trPr>
        <w:tc>
          <w:tcPr>
            <w:tcW w:w="4754" w:type="dxa"/>
            <w:gridSpan w:val="2"/>
            <w:shd w:val="clear" w:color="auto" w:fill="auto"/>
            <w:vAlign w:val="center"/>
          </w:tcPr>
          <w:p w14:paraId="171C6DE4" w14:textId="1D46BF1D" w:rsidR="004515FC" w:rsidRPr="000B3838" w:rsidRDefault="004515FC" w:rsidP="0029161D">
            <w:pPr>
              <w:pStyle w:val="Text1"/>
              <w:spacing w:beforeLines="20" w:before="48" w:afterLines="20" w:after="48"/>
              <w:ind w:left="134"/>
              <w:jc w:val="left"/>
              <w:rPr>
                <w:noProof/>
                <w:sz w:val="16"/>
              </w:rPr>
            </w:pPr>
            <w:r w:rsidRPr="000B3838">
              <w:rPr>
                <w:noProof/>
                <w:sz w:val="16"/>
              </w:rPr>
              <w:t>01 01 01 01 (neizravno istraživanje)</w:t>
            </w:r>
          </w:p>
        </w:tc>
        <w:tc>
          <w:tcPr>
            <w:tcW w:w="731" w:type="dxa"/>
            <w:shd w:val="clear" w:color="auto" w:fill="auto"/>
            <w:vAlign w:val="center"/>
          </w:tcPr>
          <w:p w14:paraId="38B07E20"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65E3513D" w14:textId="77777777" w:rsidR="004515FC" w:rsidRPr="000B3838" w:rsidRDefault="004515FC" w:rsidP="0029161D">
            <w:pPr>
              <w:spacing w:beforeLines="20" w:before="48" w:afterLines="20" w:after="48"/>
              <w:jc w:val="center"/>
              <w:rPr>
                <w:noProof/>
                <w:sz w:val="16"/>
              </w:rPr>
            </w:pPr>
          </w:p>
        </w:tc>
      </w:tr>
      <w:tr w:rsidR="004515FC" w:rsidRPr="000B3838" w14:paraId="79EA1CA8" w14:textId="77777777" w:rsidTr="0029161D">
        <w:trPr>
          <w:trHeight w:val="289"/>
          <w:jc w:val="center"/>
        </w:trPr>
        <w:tc>
          <w:tcPr>
            <w:tcW w:w="4754" w:type="dxa"/>
            <w:gridSpan w:val="2"/>
            <w:shd w:val="clear" w:color="auto" w:fill="auto"/>
            <w:vAlign w:val="center"/>
          </w:tcPr>
          <w:p w14:paraId="783F0292" w14:textId="77777777" w:rsidR="004515FC" w:rsidRPr="000B3838" w:rsidRDefault="004515FC" w:rsidP="0029161D">
            <w:pPr>
              <w:pStyle w:val="Text1"/>
              <w:spacing w:beforeLines="20" w:before="48" w:afterLines="20" w:after="48"/>
              <w:ind w:left="134"/>
              <w:jc w:val="left"/>
              <w:rPr>
                <w:noProof/>
                <w:sz w:val="16"/>
              </w:rPr>
            </w:pPr>
            <w:r w:rsidRPr="000B3838">
              <w:rPr>
                <w:noProof/>
                <w:sz w:val="16"/>
              </w:rPr>
              <w:t xml:space="preserve"> 01 01 01 11 (izravno istraživanje)</w:t>
            </w:r>
          </w:p>
        </w:tc>
        <w:tc>
          <w:tcPr>
            <w:tcW w:w="731" w:type="dxa"/>
            <w:shd w:val="clear" w:color="auto" w:fill="auto"/>
            <w:vAlign w:val="center"/>
          </w:tcPr>
          <w:p w14:paraId="2452A5F5"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11B578DB" w14:textId="77777777" w:rsidR="004515FC" w:rsidRPr="000B3838" w:rsidRDefault="004515FC" w:rsidP="0029161D">
            <w:pPr>
              <w:spacing w:beforeLines="20" w:before="48" w:afterLines="20" w:after="48"/>
              <w:jc w:val="center"/>
              <w:rPr>
                <w:noProof/>
                <w:sz w:val="16"/>
              </w:rPr>
            </w:pPr>
          </w:p>
        </w:tc>
      </w:tr>
      <w:tr w:rsidR="004515FC" w:rsidRPr="000B3838" w14:paraId="24E6D718" w14:textId="77777777" w:rsidTr="0029161D">
        <w:trPr>
          <w:trHeight w:val="289"/>
          <w:jc w:val="center"/>
        </w:trPr>
        <w:tc>
          <w:tcPr>
            <w:tcW w:w="4754" w:type="dxa"/>
            <w:gridSpan w:val="2"/>
            <w:shd w:val="clear" w:color="auto" w:fill="auto"/>
            <w:vAlign w:val="center"/>
          </w:tcPr>
          <w:p w14:paraId="255A5497" w14:textId="77777777" w:rsidR="004515FC" w:rsidRPr="000B3838" w:rsidRDefault="004515FC" w:rsidP="0029161D">
            <w:pPr>
              <w:pStyle w:val="Text1"/>
              <w:spacing w:beforeLines="20" w:before="48" w:afterLines="20" w:after="48"/>
              <w:ind w:left="134"/>
              <w:jc w:val="left"/>
              <w:rPr>
                <w:noProof/>
                <w:sz w:val="16"/>
              </w:rPr>
            </w:pPr>
            <w:r w:rsidRPr="000B3838">
              <w:rPr>
                <w:noProof/>
                <w:sz w:val="16"/>
              </w:rPr>
              <w:t>Druge proračunske linije (navesti)</w:t>
            </w:r>
          </w:p>
        </w:tc>
        <w:tc>
          <w:tcPr>
            <w:tcW w:w="731" w:type="dxa"/>
            <w:shd w:val="clear" w:color="auto" w:fill="auto"/>
            <w:vAlign w:val="center"/>
          </w:tcPr>
          <w:p w14:paraId="156BEC91"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685F23A1" w14:textId="77777777" w:rsidR="004515FC" w:rsidRPr="000B3838" w:rsidRDefault="004515FC" w:rsidP="0029161D">
            <w:pPr>
              <w:spacing w:beforeLines="20" w:before="48" w:afterLines="20" w:after="48"/>
              <w:jc w:val="center"/>
              <w:rPr>
                <w:noProof/>
                <w:sz w:val="16"/>
              </w:rPr>
            </w:pPr>
          </w:p>
        </w:tc>
      </w:tr>
      <w:tr w:rsidR="004515FC" w:rsidRPr="000B3838" w14:paraId="532BE240" w14:textId="77777777" w:rsidTr="0029161D">
        <w:trPr>
          <w:trHeight w:val="289"/>
          <w:jc w:val="center"/>
        </w:trPr>
        <w:tc>
          <w:tcPr>
            <w:tcW w:w="4754" w:type="dxa"/>
            <w:gridSpan w:val="2"/>
            <w:shd w:val="clear" w:color="auto" w:fill="auto"/>
            <w:vAlign w:val="center"/>
          </w:tcPr>
          <w:p w14:paraId="46D67402" w14:textId="77777777" w:rsidR="004515FC" w:rsidRPr="000B3838" w:rsidRDefault="004515FC" w:rsidP="0029161D">
            <w:pPr>
              <w:pStyle w:val="Text1"/>
              <w:spacing w:beforeLines="20" w:before="48" w:afterLines="20" w:after="48"/>
              <w:ind w:left="136"/>
              <w:jc w:val="left"/>
              <w:rPr>
                <w:b/>
                <w:noProof/>
                <w:sz w:val="16"/>
              </w:rPr>
            </w:pPr>
            <w:r w:rsidRPr="000B3838">
              <w:rPr>
                <w:noProof/>
                <w:sz w:val="16"/>
              </w:rPr>
              <w:t>20 02 01</w:t>
            </w:r>
            <w:r w:rsidRPr="000B3838">
              <w:rPr>
                <w:rFonts w:ascii="Arial Narrow" w:hAnsi="Arial Narrow"/>
                <w:noProof/>
                <w:sz w:val="20"/>
              </w:rPr>
              <w:t xml:space="preserve"> </w:t>
            </w:r>
            <w:r w:rsidRPr="000B3838">
              <w:rPr>
                <w:noProof/>
                <w:sz w:val="16"/>
              </w:rPr>
              <w:t>(UO, UNS, UsO iz „globalne omotnice”)</w:t>
            </w:r>
          </w:p>
        </w:tc>
        <w:tc>
          <w:tcPr>
            <w:tcW w:w="731" w:type="dxa"/>
            <w:shd w:val="clear" w:color="auto" w:fill="auto"/>
            <w:vAlign w:val="center"/>
          </w:tcPr>
          <w:p w14:paraId="2C2D44B9"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5FB2386F" w14:textId="77777777" w:rsidR="004515FC" w:rsidRPr="000B3838" w:rsidRDefault="004515FC" w:rsidP="0029161D">
            <w:pPr>
              <w:spacing w:beforeLines="20" w:before="48" w:afterLines="20" w:after="48"/>
              <w:jc w:val="center"/>
              <w:rPr>
                <w:noProof/>
                <w:sz w:val="16"/>
              </w:rPr>
            </w:pPr>
          </w:p>
        </w:tc>
      </w:tr>
      <w:tr w:rsidR="004515FC" w:rsidRPr="000B3838" w14:paraId="11D7945C" w14:textId="77777777" w:rsidTr="0029161D">
        <w:trPr>
          <w:trHeight w:val="289"/>
          <w:jc w:val="center"/>
        </w:trPr>
        <w:tc>
          <w:tcPr>
            <w:tcW w:w="4754" w:type="dxa"/>
            <w:gridSpan w:val="2"/>
            <w:shd w:val="clear" w:color="auto" w:fill="auto"/>
            <w:vAlign w:val="center"/>
          </w:tcPr>
          <w:p w14:paraId="5593889E" w14:textId="77777777" w:rsidR="004515FC" w:rsidRPr="000B3838" w:rsidRDefault="004515FC" w:rsidP="0029161D">
            <w:pPr>
              <w:pStyle w:val="Text1"/>
              <w:spacing w:beforeLines="20" w:before="48" w:afterLines="20" w:after="48"/>
              <w:ind w:left="136"/>
              <w:jc w:val="left"/>
              <w:rPr>
                <w:noProof/>
                <w:sz w:val="16"/>
              </w:rPr>
            </w:pPr>
            <w:r w:rsidRPr="000B3838">
              <w:rPr>
                <w:noProof/>
                <w:sz w:val="16"/>
              </w:rPr>
              <w:t>20 02 03 (UO, LO, UNS, UsO i MSD u delegacijama)</w:t>
            </w:r>
          </w:p>
        </w:tc>
        <w:tc>
          <w:tcPr>
            <w:tcW w:w="731" w:type="dxa"/>
            <w:shd w:val="clear" w:color="auto" w:fill="auto"/>
            <w:vAlign w:val="center"/>
          </w:tcPr>
          <w:p w14:paraId="17ECE74C"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7672168A" w14:textId="77777777" w:rsidR="004515FC" w:rsidRPr="000B3838" w:rsidRDefault="004515FC" w:rsidP="0029161D">
            <w:pPr>
              <w:spacing w:beforeLines="20" w:before="48" w:afterLines="20" w:after="48"/>
              <w:jc w:val="center"/>
              <w:rPr>
                <w:noProof/>
                <w:sz w:val="16"/>
              </w:rPr>
            </w:pPr>
          </w:p>
        </w:tc>
      </w:tr>
      <w:tr w:rsidR="004515FC" w:rsidRPr="000B3838" w14:paraId="7A98C36C" w14:textId="77777777" w:rsidTr="0029161D">
        <w:trPr>
          <w:trHeight w:val="289"/>
          <w:jc w:val="center"/>
        </w:trPr>
        <w:tc>
          <w:tcPr>
            <w:tcW w:w="2376" w:type="dxa"/>
            <w:vMerge w:val="restart"/>
            <w:shd w:val="clear" w:color="auto" w:fill="auto"/>
            <w:vAlign w:val="center"/>
          </w:tcPr>
          <w:p w14:paraId="16635A60" w14:textId="77777777" w:rsidR="004515FC" w:rsidRPr="000B3838" w:rsidRDefault="004515FC" w:rsidP="0029161D">
            <w:pPr>
              <w:pStyle w:val="Text1"/>
              <w:spacing w:beforeLines="20" w:before="48" w:afterLines="20" w:after="48"/>
              <w:ind w:left="136"/>
              <w:jc w:val="left"/>
              <w:rPr>
                <w:b/>
                <w:noProof/>
                <w:sz w:val="16"/>
              </w:rPr>
            </w:pPr>
            <w:r w:rsidRPr="000B3838">
              <w:rPr>
                <w:b/>
                <w:noProof/>
                <w:sz w:val="16"/>
              </w:rPr>
              <w:t>XX</w:t>
            </w:r>
            <w:r w:rsidRPr="000B3838">
              <w:rPr>
                <w:noProof/>
                <w:sz w:val="16"/>
              </w:rPr>
              <w:t xml:space="preserve"> 01 xx </w:t>
            </w:r>
            <w:r w:rsidRPr="000B3838">
              <w:rPr>
                <w:b/>
                <w:noProof/>
                <w:sz w:val="16"/>
              </w:rPr>
              <w:t xml:space="preserve">yy zz </w:t>
            </w:r>
            <w:r w:rsidRPr="000B3838">
              <w:rPr>
                <w:b/>
                <w:i/>
                <w:noProof/>
                <w:sz w:val="16"/>
              </w:rPr>
              <w:t xml:space="preserve"> </w:t>
            </w:r>
            <w:r w:rsidRPr="000B3838">
              <w:rPr>
                <w:rStyle w:val="FootnoteReference0"/>
                <w:b/>
                <w:i/>
                <w:noProof/>
                <w:sz w:val="16"/>
              </w:rPr>
              <w:footnoteReference w:id="51"/>
            </w:r>
          </w:p>
          <w:p w14:paraId="7C8EDD41" w14:textId="77777777" w:rsidR="004515FC" w:rsidRPr="000B3838" w:rsidRDefault="004515FC" w:rsidP="0029161D">
            <w:pPr>
              <w:pStyle w:val="Text1"/>
              <w:spacing w:beforeLines="20" w:before="48" w:afterLines="20" w:after="48"/>
              <w:ind w:left="136"/>
              <w:jc w:val="left"/>
              <w:rPr>
                <w:b/>
                <w:noProof/>
                <w:sz w:val="16"/>
              </w:rPr>
            </w:pPr>
          </w:p>
        </w:tc>
        <w:tc>
          <w:tcPr>
            <w:tcW w:w="2378" w:type="dxa"/>
            <w:shd w:val="clear" w:color="auto" w:fill="auto"/>
            <w:vAlign w:val="center"/>
          </w:tcPr>
          <w:p w14:paraId="0FCAF24A" w14:textId="77777777" w:rsidR="004515FC" w:rsidRPr="000B3838" w:rsidRDefault="004515FC" w:rsidP="0029161D">
            <w:pPr>
              <w:pStyle w:val="Text1"/>
              <w:spacing w:beforeLines="20" w:before="48" w:afterLines="20" w:after="48"/>
              <w:ind w:left="136"/>
              <w:jc w:val="left"/>
              <w:rPr>
                <w:b/>
                <w:noProof/>
                <w:sz w:val="16"/>
              </w:rPr>
            </w:pPr>
            <w:r w:rsidRPr="000B3838">
              <w:rPr>
                <w:noProof/>
                <w:sz w:val="16"/>
              </w:rPr>
              <w:t>– u sjedištima</w:t>
            </w:r>
          </w:p>
          <w:p w14:paraId="77BDB51B" w14:textId="77777777" w:rsidR="004515FC" w:rsidRPr="000B3838" w:rsidRDefault="004515FC" w:rsidP="0029161D">
            <w:pPr>
              <w:pStyle w:val="Text1"/>
              <w:spacing w:beforeLines="20" w:before="48" w:afterLines="20" w:after="48"/>
              <w:ind w:left="136"/>
              <w:jc w:val="left"/>
              <w:rPr>
                <w:b/>
                <w:noProof/>
                <w:sz w:val="16"/>
              </w:rPr>
            </w:pPr>
          </w:p>
        </w:tc>
        <w:tc>
          <w:tcPr>
            <w:tcW w:w="731" w:type="dxa"/>
            <w:shd w:val="clear" w:color="auto" w:fill="auto"/>
            <w:vAlign w:val="center"/>
          </w:tcPr>
          <w:p w14:paraId="43D9BDCD" w14:textId="77777777" w:rsidR="004515FC" w:rsidRPr="000B3838" w:rsidRDefault="004515FC" w:rsidP="0029161D">
            <w:pPr>
              <w:pStyle w:val="Text1"/>
              <w:spacing w:beforeLines="20" w:before="48" w:afterLines="20" w:after="48"/>
              <w:ind w:left="0"/>
              <w:rPr>
                <w:noProof/>
                <w:sz w:val="16"/>
              </w:rPr>
            </w:pPr>
          </w:p>
        </w:tc>
        <w:tc>
          <w:tcPr>
            <w:tcW w:w="731" w:type="dxa"/>
            <w:shd w:val="clear" w:color="auto" w:fill="auto"/>
            <w:vAlign w:val="center"/>
          </w:tcPr>
          <w:p w14:paraId="13533805" w14:textId="77777777" w:rsidR="004515FC" w:rsidRPr="000B3838" w:rsidRDefault="004515FC" w:rsidP="0029161D">
            <w:pPr>
              <w:spacing w:beforeLines="20" w:before="48" w:afterLines="20" w:after="48"/>
              <w:jc w:val="center"/>
              <w:rPr>
                <w:noProof/>
                <w:sz w:val="16"/>
              </w:rPr>
            </w:pPr>
          </w:p>
        </w:tc>
      </w:tr>
      <w:tr w:rsidR="004515FC" w:rsidRPr="000B3838" w14:paraId="1B701C78" w14:textId="77777777" w:rsidTr="0029161D">
        <w:trPr>
          <w:trHeight w:val="289"/>
          <w:jc w:val="center"/>
        </w:trPr>
        <w:tc>
          <w:tcPr>
            <w:tcW w:w="2376" w:type="dxa"/>
            <w:vMerge/>
            <w:shd w:val="clear" w:color="auto" w:fill="auto"/>
            <w:vAlign w:val="center"/>
          </w:tcPr>
          <w:p w14:paraId="518DFB7F" w14:textId="77777777" w:rsidR="004515FC" w:rsidRPr="000B3838" w:rsidRDefault="004515FC" w:rsidP="0029161D">
            <w:pPr>
              <w:pStyle w:val="Text1"/>
              <w:spacing w:beforeLines="20" w:before="48" w:afterLines="20" w:after="48"/>
              <w:ind w:left="136"/>
              <w:jc w:val="left"/>
              <w:rPr>
                <w:b/>
                <w:noProof/>
                <w:sz w:val="16"/>
              </w:rPr>
            </w:pPr>
          </w:p>
        </w:tc>
        <w:tc>
          <w:tcPr>
            <w:tcW w:w="2378" w:type="dxa"/>
            <w:shd w:val="clear" w:color="auto" w:fill="auto"/>
            <w:vAlign w:val="center"/>
          </w:tcPr>
          <w:p w14:paraId="4EF61B51" w14:textId="77777777" w:rsidR="004515FC" w:rsidRPr="000B3838" w:rsidRDefault="004515FC" w:rsidP="0029161D">
            <w:pPr>
              <w:pStyle w:val="Text1"/>
              <w:spacing w:beforeLines="20" w:before="48" w:afterLines="20" w:after="48"/>
              <w:ind w:left="136"/>
              <w:jc w:val="left"/>
              <w:rPr>
                <w:b/>
                <w:noProof/>
                <w:sz w:val="16"/>
              </w:rPr>
            </w:pPr>
            <w:r w:rsidRPr="000B3838">
              <w:rPr>
                <w:noProof/>
                <w:sz w:val="16"/>
              </w:rPr>
              <w:t xml:space="preserve">– u delegacijama </w:t>
            </w:r>
          </w:p>
        </w:tc>
        <w:tc>
          <w:tcPr>
            <w:tcW w:w="731" w:type="dxa"/>
            <w:shd w:val="clear" w:color="auto" w:fill="auto"/>
            <w:vAlign w:val="center"/>
          </w:tcPr>
          <w:p w14:paraId="5282C6A5" w14:textId="77777777" w:rsidR="004515FC" w:rsidRPr="000B3838" w:rsidRDefault="004515FC" w:rsidP="0029161D">
            <w:pPr>
              <w:pStyle w:val="Text1"/>
              <w:spacing w:beforeLines="20" w:before="48" w:afterLines="20" w:after="48"/>
              <w:ind w:left="0"/>
              <w:rPr>
                <w:noProof/>
                <w:sz w:val="16"/>
              </w:rPr>
            </w:pPr>
          </w:p>
        </w:tc>
        <w:tc>
          <w:tcPr>
            <w:tcW w:w="731" w:type="dxa"/>
            <w:shd w:val="clear" w:color="auto" w:fill="auto"/>
            <w:vAlign w:val="center"/>
          </w:tcPr>
          <w:p w14:paraId="7E0B8812" w14:textId="77777777" w:rsidR="004515FC" w:rsidRPr="000B3838" w:rsidRDefault="004515FC" w:rsidP="0029161D">
            <w:pPr>
              <w:spacing w:beforeLines="20" w:before="48" w:afterLines="20" w:after="48"/>
              <w:jc w:val="center"/>
              <w:rPr>
                <w:noProof/>
                <w:sz w:val="16"/>
              </w:rPr>
            </w:pPr>
          </w:p>
        </w:tc>
      </w:tr>
      <w:tr w:rsidR="004515FC" w:rsidRPr="000B3838" w14:paraId="47688FB5" w14:textId="77777777" w:rsidTr="0029161D">
        <w:trPr>
          <w:trHeight w:val="289"/>
          <w:jc w:val="center"/>
        </w:trPr>
        <w:tc>
          <w:tcPr>
            <w:tcW w:w="4754" w:type="dxa"/>
            <w:gridSpan w:val="2"/>
            <w:shd w:val="clear" w:color="auto" w:fill="auto"/>
            <w:vAlign w:val="center"/>
          </w:tcPr>
          <w:p w14:paraId="3700D9DF" w14:textId="77777777" w:rsidR="004515FC" w:rsidRPr="000B3838" w:rsidRDefault="004515FC" w:rsidP="0029161D">
            <w:pPr>
              <w:pStyle w:val="Text1"/>
              <w:spacing w:beforeLines="20" w:before="48" w:afterLines="20" w:after="48"/>
              <w:ind w:left="136"/>
              <w:jc w:val="left"/>
              <w:rPr>
                <w:noProof/>
                <w:sz w:val="16"/>
              </w:rPr>
            </w:pPr>
            <w:r w:rsidRPr="000B3838">
              <w:rPr>
                <w:noProof/>
                <w:sz w:val="16"/>
              </w:rPr>
              <w:t>01 01 01 02</w:t>
            </w:r>
            <w:r w:rsidRPr="000B3838">
              <w:rPr>
                <w:rFonts w:ascii="Arial Narrow" w:hAnsi="Arial Narrow"/>
                <w:noProof/>
                <w:sz w:val="20"/>
              </w:rPr>
              <w:t xml:space="preserve"> </w:t>
            </w:r>
            <w:r w:rsidRPr="000B3838">
              <w:rPr>
                <w:noProof/>
                <w:sz w:val="16"/>
              </w:rPr>
              <w:t>(UO, UNS, UsO – neizravno istraživanje)</w:t>
            </w:r>
          </w:p>
        </w:tc>
        <w:tc>
          <w:tcPr>
            <w:tcW w:w="731" w:type="dxa"/>
            <w:shd w:val="clear" w:color="auto" w:fill="auto"/>
            <w:vAlign w:val="center"/>
          </w:tcPr>
          <w:p w14:paraId="36B31548"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0F4439C2" w14:textId="77777777" w:rsidR="004515FC" w:rsidRPr="000B3838" w:rsidRDefault="004515FC" w:rsidP="0029161D">
            <w:pPr>
              <w:spacing w:beforeLines="20" w:before="48" w:afterLines="20" w:after="48"/>
              <w:jc w:val="center"/>
              <w:rPr>
                <w:noProof/>
                <w:sz w:val="16"/>
              </w:rPr>
            </w:pPr>
          </w:p>
        </w:tc>
      </w:tr>
      <w:tr w:rsidR="004515FC" w:rsidRPr="000B3838" w14:paraId="5AA1E51D" w14:textId="77777777" w:rsidTr="0029161D">
        <w:trPr>
          <w:trHeight w:val="289"/>
          <w:jc w:val="center"/>
        </w:trPr>
        <w:tc>
          <w:tcPr>
            <w:tcW w:w="4754" w:type="dxa"/>
            <w:gridSpan w:val="2"/>
            <w:shd w:val="clear" w:color="auto" w:fill="auto"/>
            <w:vAlign w:val="center"/>
          </w:tcPr>
          <w:p w14:paraId="115DF07E" w14:textId="77777777" w:rsidR="004515FC" w:rsidRPr="000B3838" w:rsidRDefault="004515FC" w:rsidP="0029161D">
            <w:pPr>
              <w:pStyle w:val="Text1"/>
              <w:spacing w:beforeLines="20" w:before="48" w:afterLines="20" w:after="48"/>
              <w:ind w:left="136"/>
              <w:jc w:val="left"/>
              <w:rPr>
                <w:noProof/>
                <w:color w:val="FF0000"/>
                <w:sz w:val="16"/>
              </w:rPr>
            </w:pPr>
            <w:r w:rsidRPr="000B3838">
              <w:rPr>
                <w:noProof/>
                <w:sz w:val="16"/>
              </w:rPr>
              <w:t xml:space="preserve"> 01 01 01 12 (UO, UNS, UsO – izravno istraživanje)</w:t>
            </w:r>
          </w:p>
        </w:tc>
        <w:tc>
          <w:tcPr>
            <w:tcW w:w="731" w:type="dxa"/>
            <w:shd w:val="clear" w:color="auto" w:fill="auto"/>
            <w:vAlign w:val="center"/>
          </w:tcPr>
          <w:p w14:paraId="5BDFCE2A"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33F50A88" w14:textId="77777777" w:rsidR="004515FC" w:rsidRPr="000B3838" w:rsidRDefault="004515FC" w:rsidP="0029161D">
            <w:pPr>
              <w:spacing w:beforeLines="20" w:before="48" w:afterLines="20" w:after="48"/>
              <w:jc w:val="center"/>
              <w:rPr>
                <w:noProof/>
                <w:sz w:val="16"/>
              </w:rPr>
            </w:pPr>
          </w:p>
        </w:tc>
      </w:tr>
      <w:tr w:rsidR="004515FC" w:rsidRPr="000B3838" w14:paraId="25D69DE1" w14:textId="77777777" w:rsidTr="0029161D">
        <w:trPr>
          <w:trHeight w:val="289"/>
          <w:jc w:val="center"/>
        </w:trPr>
        <w:tc>
          <w:tcPr>
            <w:tcW w:w="4754" w:type="dxa"/>
            <w:gridSpan w:val="2"/>
            <w:shd w:val="clear" w:color="auto" w:fill="auto"/>
            <w:vAlign w:val="center"/>
          </w:tcPr>
          <w:p w14:paraId="0FDF5DFC" w14:textId="77777777" w:rsidR="004515FC" w:rsidRPr="000B3838" w:rsidRDefault="004515FC" w:rsidP="0029161D">
            <w:pPr>
              <w:pStyle w:val="Text1"/>
              <w:spacing w:beforeLines="20" w:before="48" w:afterLines="20" w:after="48"/>
              <w:ind w:left="136"/>
              <w:jc w:val="left"/>
              <w:rPr>
                <w:noProof/>
                <w:sz w:val="16"/>
              </w:rPr>
            </w:pPr>
            <w:r w:rsidRPr="000B3838">
              <w:rPr>
                <w:noProof/>
                <w:sz w:val="16"/>
              </w:rPr>
              <w:t>Druge proračunske linije (navesti)</w:t>
            </w:r>
          </w:p>
        </w:tc>
        <w:tc>
          <w:tcPr>
            <w:tcW w:w="731" w:type="dxa"/>
            <w:shd w:val="clear" w:color="auto" w:fill="auto"/>
            <w:vAlign w:val="center"/>
          </w:tcPr>
          <w:p w14:paraId="072534DD" w14:textId="77777777" w:rsidR="004515FC" w:rsidRPr="000B3838" w:rsidRDefault="004515FC" w:rsidP="0029161D">
            <w:pPr>
              <w:spacing w:beforeLines="20" w:before="48" w:afterLines="20" w:after="48"/>
              <w:jc w:val="center"/>
              <w:rPr>
                <w:noProof/>
                <w:sz w:val="16"/>
              </w:rPr>
            </w:pPr>
          </w:p>
        </w:tc>
        <w:tc>
          <w:tcPr>
            <w:tcW w:w="731" w:type="dxa"/>
            <w:shd w:val="clear" w:color="auto" w:fill="auto"/>
            <w:vAlign w:val="center"/>
          </w:tcPr>
          <w:p w14:paraId="3969AB1F" w14:textId="77777777" w:rsidR="004515FC" w:rsidRPr="000B3838" w:rsidRDefault="004515FC" w:rsidP="0029161D">
            <w:pPr>
              <w:spacing w:beforeLines="20" w:before="48" w:afterLines="20" w:after="48"/>
              <w:jc w:val="center"/>
              <w:rPr>
                <w:noProof/>
                <w:sz w:val="16"/>
              </w:rPr>
            </w:pPr>
          </w:p>
        </w:tc>
      </w:tr>
      <w:tr w:rsidR="004515FC" w:rsidRPr="000B3838" w14:paraId="0A8551D2" w14:textId="77777777" w:rsidTr="0029161D">
        <w:trPr>
          <w:trHeight w:val="289"/>
          <w:jc w:val="center"/>
        </w:trPr>
        <w:tc>
          <w:tcPr>
            <w:tcW w:w="4754" w:type="dxa"/>
            <w:gridSpan w:val="2"/>
            <w:tcBorders>
              <w:top w:val="double" w:sz="4" w:space="0" w:color="auto"/>
            </w:tcBorders>
            <w:shd w:val="clear" w:color="auto" w:fill="auto"/>
            <w:vAlign w:val="center"/>
          </w:tcPr>
          <w:p w14:paraId="35737D82" w14:textId="77777777" w:rsidR="004515FC" w:rsidRPr="000B3838" w:rsidRDefault="004515FC" w:rsidP="0029161D">
            <w:pPr>
              <w:pStyle w:val="Text1"/>
              <w:spacing w:beforeLines="20" w:before="48" w:afterLines="20" w:after="48"/>
              <w:ind w:left="136"/>
              <w:jc w:val="left"/>
              <w:rPr>
                <w:noProof/>
                <w:sz w:val="16"/>
              </w:rPr>
            </w:pPr>
            <w:r w:rsidRPr="000B3838">
              <w:rPr>
                <w:b/>
                <w:noProof/>
                <w:sz w:val="16"/>
              </w:rPr>
              <w:t>UKUPNO</w:t>
            </w:r>
          </w:p>
        </w:tc>
        <w:tc>
          <w:tcPr>
            <w:tcW w:w="731" w:type="dxa"/>
            <w:tcBorders>
              <w:top w:val="double" w:sz="4" w:space="0" w:color="auto"/>
            </w:tcBorders>
            <w:shd w:val="clear" w:color="auto" w:fill="auto"/>
            <w:vAlign w:val="center"/>
          </w:tcPr>
          <w:p w14:paraId="2AA2A39E" w14:textId="77777777" w:rsidR="004515FC" w:rsidRPr="000B3838" w:rsidRDefault="004515FC" w:rsidP="0029161D">
            <w:pPr>
              <w:spacing w:beforeLines="20" w:before="48" w:afterLines="20" w:after="48"/>
              <w:jc w:val="center"/>
              <w:rPr>
                <w:b/>
                <w:noProof/>
                <w:sz w:val="16"/>
              </w:rPr>
            </w:pPr>
            <w:r w:rsidRPr="000B3838">
              <w:rPr>
                <w:b/>
                <w:noProof/>
                <w:sz w:val="16"/>
              </w:rPr>
              <w:t>0,25</w:t>
            </w:r>
          </w:p>
        </w:tc>
        <w:tc>
          <w:tcPr>
            <w:tcW w:w="731" w:type="dxa"/>
            <w:tcBorders>
              <w:top w:val="double" w:sz="4" w:space="0" w:color="auto"/>
            </w:tcBorders>
            <w:shd w:val="clear" w:color="auto" w:fill="auto"/>
            <w:vAlign w:val="center"/>
          </w:tcPr>
          <w:p w14:paraId="3C6BB180" w14:textId="77777777" w:rsidR="004515FC" w:rsidRPr="000B3838" w:rsidRDefault="004515FC" w:rsidP="0029161D">
            <w:pPr>
              <w:spacing w:beforeLines="20" w:before="48" w:afterLines="20" w:after="48"/>
              <w:jc w:val="center"/>
              <w:rPr>
                <w:b/>
                <w:noProof/>
                <w:sz w:val="16"/>
              </w:rPr>
            </w:pPr>
            <w:r w:rsidRPr="000B3838">
              <w:rPr>
                <w:b/>
                <w:noProof/>
                <w:sz w:val="16"/>
              </w:rPr>
              <w:t>0,083</w:t>
            </w:r>
          </w:p>
        </w:tc>
      </w:tr>
    </w:tbl>
    <w:p w14:paraId="2E79943E" w14:textId="46FB9E9E" w:rsidR="00270263" w:rsidRPr="000B3838" w:rsidRDefault="00270263" w:rsidP="004515FC">
      <w:pPr>
        <w:pStyle w:val="Text1"/>
        <w:spacing w:before="60" w:after="60"/>
        <w:ind w:left="851"/>
        <w:rPr>
          <w:noProof/>
          <w:sz w:val="18"/>
        </w:rPr>
      </w:pPr>
      <w:r w:rsidRPr="000B3838">
        <w:rPr>
          <w:noProof/>
          <w:sz w:val="18"/>
        </w:rPr>
        <w:t>* Administrativni rashodi iz Naslova 7. odnose se na jedan EPRV tri mjeseca prve godine provedbe i nakon toga mjesec dana godišnje za GU JUST. Stoga procijenjeni potrebni ljudski resursi iznose manje od 1 jedinice ekvivalenta punog radnog vremena.</w:t>
      </w:r>
    </w:p>
    <w:p w14:paraId="37A0A25B" w14:textId="3349BA37" w:rsidR="004515FC" w:rsidRPr="000B3838" w:rsidRDefault="004515FC" w:rsidP="004515FC">
      <w:pPr>
        <w:pStyle w:val="Text1"/>
        <w:spacing w:before="60" w:after="60"/>
        <w:ind w:left="851"/>
        <w:rPr>
          <w:noProof/>
          <w:sz w:val="18"/>
        </w:rPr>
      </w:pPr>
      <w:r w:rsidRPr="000B3838">
        <w:rPr>
          <w:b/>
          <w:noProof/>
          <w:sz w:val="18"/>
        </w:rPr>
        <w:t>Konzularna zaštita</w:t>
      </w:r>
      <w:r w:rsidRPr="000B3838">
        <w:rPr>
          <w:noProof/>
          <w:sz w:val="18"/>
        </w:rPr>
        <w:t xml:space="preserve"> odnosi se na odgovarajuće područje politike ili glavu proračuna.</w:t>
      </w:r>
    </w:p>
    <w:p w14:paraId="28815853" w14:textId="77777777" w:rsidR="004515FC" w:rsidRPr="000B3838" w:rsidRDefault="004515FC" w:rsidP="004515FC">
      <w:pPr>
        <w:pStyle w:val="Text1"/>
        <w:rPr>
          <w:noProof/>
          <w:sz w:val="18"/>
        </w:rPr>
      </w:pPr>
      <w:r w:rsidRPr="000B3838">
        <w:rPr>
          <w:noProof/>
          <w:sz w:val="18"/>
        </w:rPr>
        <w:t>Potrebe za ljudskim resursima pokrit će se osobljem glavne uprave kojem je već povjereno upravljanje djelovanjem i/ili koje je preraspoređeno unutar glavne uprave te, prema potrebi, resursima koji se mogu dodijeliti nadležnoj glavnoj upravi u okviru godišnjeg postupka dodjele sredstava uzimajući u obzir proračunska ograničenja.</w:t>
      </w:r>
    </w:p>
    <w:p w14:paraId="052624C6" w14:textId="77777777" w:rsidR="004515FC" w:rsidRPr="000B3838" w:rsidRDefault="004515FC" w:rsidP="004515FC">
      <w:pPr>
        <w:rPr>
          <w:noProof/>
          <w:sz w:val="20"/>
        </w:rPr>
      </w:pPr>
      <w:r w:rsidRPr="000B3838">
        <w:rPr>
          <w:noProof/>
          <w:sz w:val="20"/>
        </w:rPr>
        <w:t>Opis zadaća: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C6DC3" w:rsidRPr="000B3838" w14:paraId="1992C67C" w14:textId="77777777">
        <w:tc>
          <w:tcPr>
            <w:tcW w:w="3240" w:type="dxa"/>
          </w:tcPr>
          <w:p w14:paraId="235D7162" w14:textId="77777777" w:rsidR="004515FC" w:rsidRPr="000B3838" w:rsidRDefault="004515FC" w:rsidP="0029161D">
            <w:pPr>
              <w:rPr>
                <w:noProof/>
                <w:sz w:val="20"/>
              </w:rPr>
            </w:pPr>
            <w:r w:rsidRPr="000B3838">
              <w:rPr>
                <w:noProof/>
                <w:sz w:val="20"/>
              </w:rPr>
              <w:t>Dužnosnici i privremeno osoblje</w:t>
            </w:r>
          </w:p>
        </w:tc>
        <w:tc>
          <w:tcPr>
            <w:tcW w:w="7200" w:type="dxa"/>
          </w:tcPr>
          <w:p w14:paraId="52D391F2" w14:textId="77777777" w:rsidR="004515FC" w:rsidRPr="000B3838" w:rsidRDefault="004515FC" w:rsidP="0029161D">
            <w:pPr>
              <w:rPr>
                <w:noProof/>
                <w:sz w:val="20"/>
              </w:rPr>
            </w:pPr>
            <w:r w:rsidRPr="000B3838">
              <w:rPr>
                <w:noProof/>
                <w:sz w:val="20"/>
              </w:rPr>
              <w:t>Prikupljanje i širenje informacija zaprimljenih od država članica na internetskim stranicama Komisije.</w:t>
            </w:r>
          </w:p>
        </w:tc>
      </w:tr>
      <w:tr w:rsidR="003C6DC3" w:rsidRPr="000B3838" w14:paraId="71871DCF" w14:textId="77777777">
        <w:tc>
          <w:tcPr>
            <w:tcW w:w="3240" w:type="dxa"/>
          </w:tcPr>
          <w:p w14:paraId="2ED54728" w14:textId="77777777" w:rsidR="004515FC" w:rsidRPr="000B3838" w:rsidRDefault="004515FC" w:rsidP="0029161D">
            <w:pPr>
              <w:spacing w:before="60" w:after="60"/>
              <w:rPr>
                <w:noProof/>
                <w:sz w:val="20"/>
              </w:rPr>
            </w:pPr>
            <w:r w:rsidRPr="000B3838">
              <w:rPr>
                <w:noProof/>
                <w:sz w:val="20"/>
              </w:rPr>
              <w:t>Vanjsko osoblje</w:t>
            </w:r>
          </w:p>
        </w:tc>
        <w:tc>
          <w:tcPr>
            <w:tcW w:w="7200" w:type="dxa"/>
          </w:tcPr>
          <w:p w14:paraId="4717A7A4" w14:textId="77777777" w:rsidR="004515FC" w:rsidRPr="000B3838" w:rsidRDefault="004515FC" w:rsidP="0029161D">
            <w:pPr>
              <w:rPr>
                <w:noProof/>
                <w:sz w:val="20"/>
              </w:rPr>
            </w:pPr>
          </w:p>
        </w:tc>
      </w:tr>
    </w:tbl>
    <w:p w14:paraId="678F893B" w14:textId="77777777" w:rsidR="004515FC" w:rsidRPr="000B3838" w:rsidRDefault="004515FC" w:rsidP="004515FC">
      <w:pPr>
        <w:rPr>
          <w:noProof/>
        </w:rPr>
        <w:sectPr w:rsidR="004515FC" w:rsidRPr="000B3838" w:rsidSect="004D0F60">
          <w:pgSz w:w="11907" w:h="16840"/>
          <w:pgMar w:top="1134" w:right="1418" w:bottom="1134" w:left="1418" w:header="709" w:footer="709" w:gutter="0"/>
          <w:cols w:space="708"/>
          <w:docGrid w:linePitch="360"/>
        </w:sectPr>
      </w:pPr>
    </w:p>
    <w:p w14:paraId="0890802B" w14:textId="77777777" w:rsidR="004515FC" w:rsidRPr="000B3838" w:rsidRDefault="004515FC" w:rsidP="004515FC">
      <w:pPr>
        <w:pStyle w:val="ManualHeading3"/>
        <w:rPr>
          <w:noProof/>
        </w:rPr>
      </w:pPr>
      <w:bookmarkStart w:id="68" w:name="_Toc514938056"/>
      <w:bookmarkStart w:id="69" w:name="_Toc520485055"/>
      <w:r w:rsidRPr="000B3838">
        <w:rPr>
          <w:noProof/>
        </w:rPr>
        <w:t>3.2.4.</w:t>
      </w:r>
      <w:r w:rsidRPr="000B3838">
        <w:rPr>
          <w:noProof/>
        </w:rPr>
        <w:tab/>
        <w:t>Usklađenost s aktualnim višegodišnjim financijskim okvirom</w:t>
      </w:r>
      <w:bookmarkEnd w:id="68"/>
      <w:bookmarkEnd w:id="69"/>
      <w:r w:rsidRPr="000B3838">
        <w:rPr>
          <w:noProof/>
        </w:rPr>
        <w:t xml:space="preserve"> </w:t>
      </w:r>
    </w:p>
    <w:p w14:paraId="2A919C08" w14:textId="77777777" w:rsidR="004515FC" w:rsidRPr="000B3838" w:rsidRDefault="004515FC" w:rsidP="004515FC">
      <w:pPr>
        <w:pStyle w:val="Text1"/>
        <w:rPr>
          <w:noProof/>
        </w:rPr>
      </w:pPr>
      <w:r w:rsidRPr="000B3838">
        <w:rPr>
          <w:noProof/>
        </w:rPr>
        <w:t>U prijedlogu/inicijativi:</w:t>
      </w:r>
    </w:p>
    <w:p w14:paraId="2F1BB167" w14:textId="77777777" w:rsidR="004515FC" w:rsidRPr="000B3838" w:rsidRDefault="004515FC" w:rsidP="004515FC">
      <w:pPr>
        <w:pStyle w:val="ListDash1"/>
        <w:rPr>
          <w:noProof/>
        </w:rPr>
      </w:pPr>
      <w:r w:rsidRPr="000B3838">
        <w:rPr>
          <w:rFonts w:ascii="Wingdings" w:hAnsi="Wingdings"/>
          <w:noProof/>
        </w:rPr>
        <w:t></w:t>
      </w:r>
      <w:r w:rsidRPr="000B3838">
        <w:rPr>
          <w:noProof/>
        </w:rPr>
        <w:tab/>
        <w:t>može se u potpunosti financirati preraspodjelom unutar relevantnog naslova višegodišnjeg financijskog okvira (VFO).</w:t>
      </w:r>
    </w:p>
    <w:p w14:paraId="547195BB" w14:textId="77777777" w:rsidR="004515FC" w:rsidRPr="000B3838" w:rsidRDefault="004515FC" w:rsidP="004515FC">
      <w:pPr>
        <w:pStyle w:val="ListDash1"/>
        <w:rPr>
          <w:noProof/>
        </w:rPr>
      </w:pPr>
      <w:r w:rsidRPr="000B3838">
        <w:rPr>
          <w:rFonts w:ascii="Wingdings" w:hAnsi="Wingdings"/>
          <w:noProof/>
        </w:rPr>
        <w:t></w:t>
      </w:r>
      <w:r w:rsidRPr="000B3838">
        <w:rPr>
          <w:noProof/>
        </w:rPr>
        <w:tab/>
        <w:t>zahtijeva upotrebu nedodijeljene razlike u okviru relevantnog naslova VFO-a i/ili upotrebu posebnih instrumenata kako su utvrđeni u Uredbi o VFO-u.</w:t>
      </w:r>
    </w:p>
    <w:p w14:paraId="248A148E" w14:textId="77777777" w:rsidR="004515FC" w:rsidRPr="000B3838" w:rsidRDefault="004515FC" w:rsidP="004515FC">
      <w:pPr>
        <w:pStyle w:val="ListDash1"/>
        <w:rPr>
          <w:noProof/>
        </w:rPr>
      </w:pPr>
      <w:r w:rsidRPr="000B3838">
        <w:rPr>
          <w:rFonts w:ascii="Wingdings" w:hAnsi="Wingdings"/>
          <w:noProof/>
        </w:rPr>
        <w:t></w:t>
      </w:r>
      <w:r w:rsidRPr="000B3838">
        <w:rPr>
          <w:noProof/>
        </w:rPr>
        <w:tab/>
        <w:t>zahtijeva reviziju VFO-a.</w:t>
      </w:r>
    </w:p>
    <w:p w14:paraId="60435B75" w14:textId="77777777" w:rsidR="004515FC" w:rsidRPr="000B3838" w:rsidRDefault="004515FC" w:rsidP="004515FC">
      <w:pPr>
        <w:pStyle w:val="ManualHeading3"/>
        <w:rPr>
          <w:noProof/>
        </w:rPr>
      </w:pPr>
      <w:bookmarkStart w:id="70" w:name="_Toc514938058"/>
      <w:bookmarkStart w:id="71" w:name="_Toc520485056"/>
      <w:r w:rsidRPr="000B3838">
        <w:rPr>
          <w:noProof/>
        </w:rPr>
        <w:t>3.2.5.</w:t>
      </w:r>
      <w:r w:rsidRPr="000B3838">
        <w:rPr>
          <w:noProof/>
        </w:rPr>
        <w:tab/>
        <w:t>Doprinos trećih strana</w:t>
      </w:r>
      <w:bookmarkEnd w:id="70"/>
      <w:bookmarkEnd w:id="71"/>
      <w:r w:rsidRPr="000B3838">
        <w:rPr>
          <w:noProof/>
        </w:rPr>
        <w:t xml:space="preserve"> </w:t>
      </w:r>
    </w:p>
    <w:p w14:paraId="13188979" w14:textId="77777777" w:rsidR="004515FC" w:rsidRPr="000B3838" w:rsidRDefault="004515FC" w:rsidP="004515FC">
      <w:pPr>
        <w:pStyle w:val="Text1"/>
        <w:rPr>
          <w:noProof/>
        </w:rPr>
      </w:pPr>
      <w:r w:rsidRPr="000B3838">
        <w:rPr>
          <w:noProof/>
        </w:rPr>
        <w:t>U prijedlogu/inicijativi:</w:t>
      </w:r>
    </w:p>
    <w:p w14:paraId="2F5EA500" w14:textId="77777777" w:rsidR="004515FC" w:rsidRPr="000B3838" w:rsidRDefault="004515FC" w:rsidP="004515FC">
      <w:pPr>
        <w:pStyle w:val="ListDash1"/>
        <w:rPr>
          <w:noProof/>
        </w:rPr>
      </w:pPr>
      <w:r w:rsidRPr="000B3838">
        <w:rPr>
          <w:rFonts w:ascii="Wingdings" w:hAnsi="Wingdings"/>
          <w:noProof/>
        </w:rPr>
        <w:t></w:t>
      </w:r>
      <w:r w:rsidRPr="000B3838">
        <w:rPr>
          <w:noProof/>
        </w:rPr>
        <w:tab/>
        <w:t>ne predviđa se sudjelovanje trećih strana u sufinanciranju.</w:t>
      </w:r>
    </w:p>
    <w:p w14:paraId="5CECB3C2" w14:textId="77777777" w:rsidR="004515FC" w:rsidRPr="000B3838" w:rsidRDefault="004515FC" w:rsidP="004515FC">
      <w:pPr>
        <w:pStyle w:val="ListDash1"/>
        <w:rPr>
          <w:noProof/>
        </w:rPr>
      </w:pPr>
      <w:r w:rsidRPr="000B3838">
        <w:rPr>
          <w:rFonts w:ascii="Wingdings" w:hAnsi="Wingdings"/>
          <w:noProof/>
        </w:rPr>
        <w:t></w:t>
      </w:r>
      <w:r w:rsidRPr="000B3838">
        <w:rPr>
          <w:noProof/>
        </w:rPr>
        <w:tab/>
        <w:t>predviđa se sudjelovanje trećih strana u sufinanciranju prema sljedećoj procjeni:</w:t>
      </w:r>
    </w:p>
    <w:p w14:paraId="7FB9139B" w14:textId="77777777" w:rsidR="004515FC" w:rsidRPr="000B3838" w:rsidRDefault="004515FC" w:rsidP="004515FC">
      <w:pPr>
        <w:jc w:val="right"/>
        <w:rPr>
          <w:noProof/>
          <w:sz w:val="20"/>
        </w:rPr>
      </w:pPr>
      <w:r w:rsidRPr="000B3838">
        <w:rPr>
          <w:noProof/>
          <w:sz w:val="20"/>
        </w:rPr>
        <w:t>Odobrena sredstva u milijunima EUR (do 3 decimalna mjesta)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10369" w:rsidRPr="000B3838" w14:paraId="0353DFAA" w14:textId="77777777">
        <w:trPr>
          <w:cantSplit/>
        </w:trPr>
        <w:tc>
          <w:tcPr>
            <w:tcW w:w="2340" w:type="dxa"/>
          </w:tcPr>
          <w:p w14:paraId="7A32245B" w14:textId="77777777" w:rsidR="004515FC" w:rsidRPr="000B3838" w:rsidRDefault="004515FC" w:rsidP="0029161D">
            <w:pPr>
              <w:spacing w:before="60" w:after="60"/>
              <w:rPr>
                <w:noProof/>
                <w:sz w:val="20"/>
              </w:rPr>
            </w:pPr>
          </w:p>
        </w:tc>
        <w:tc>
          <w:tcPr>
            <w:tcW w:w="964" w:type="dxa"/>
            <w:vAlign w:val="center"/>
          </w:tcPr>
          <w:p w14:paraId="70A9AB6B" w14:textId="281E329F"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N</w:t>
            </w:r>
            <w:r w:rsidRPr="000B3838">
              <w:rPr>
                <w:rStyle w:val="FootnoteReference0"/>
                <w:b/>
                <w:noProof/>
                <w:sz w:val="20"/>
              </w:rPr>
              <w:footnoteReference w:id="52"/>
            </w:r>
          </w:p>
        </w:tc>
        <w:tc>
          <w:tcPr>
            <w:tcW w:w="964" w:type="dxa"/>
            <w:vAlign w:val="center"/>
          </w:tcPr>
          <w:p w14:paraId="38222B85" w14:textId="2988B92E"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N+1</w:t>
            </w:r>
          </w:p>
        </w:tc>
        <w:tc>
          <w:tcPr>
            <w:tcW w:w="964" w:type="dxa"/>
            <w:vAlign w:val="center"/>
          </w:tcPr>
          <w:p w14:paraId="11EC6CB4" w14:textId="7D34F51F"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N+2</w:t>
            </w:r>
          </w:p>
        </w:tc>
        <w:tc>
          <w:tcPr>
            <w:tcW w:w="964" w:type="dxa"/>
            <w:vAlign w:val="center"/>
          </w:tcPr>
          <w:p w14:paraId="3612F1A2" w14:textId="73AC972D" w:rsidR="004515FC" w:rsidRPr="000B3838" w:rsidRDefault="004515FC" w:rsidP="0029161D">
            <w:pPr>
              <w:jc w:val="center"/>
              <w:rPr>
                <w:noProof/>
                <w:sz w:val="20"/>
              </w:rPr>
            </w:pPr>
            <w:r w:rsidRPr="000B3838">
              <w:rPr>
                <w:noProof/>
                <w:sz w:val="20"/>
              </w:rPr>
              <w:t>Godina</w:t>
            </w:r>
            <w:r w:rsidRPr="000B3838">
              <w:rPr>
                <w:noProof/>
              </w:rPr>
              <w:t xml:space="preserve"> </w:t>
            </w:r>
            <w:r w:rsidRPr="000B3838">
              <w:rPr>
                <w:noProof/>
              </w:rPr>
              <w:br/>
            </w:r>
            <w:r w:rsidRPr="000B3838">
              <w:rPr>
                <w:b/>
                <w:noProof/>
                <w:sz w:val="20"/>
              </w:rPr>
              <w:t>N+3</w:t>
            </w:r>
          </w:p>
        </w:tc>
        <w:tc>
          <w:tcPr>
            <w:tcW w:w="2892" w:type="dxa"/>
            <w:gridSpan w:val="3"/>
            <w:vAlign w:val="center"/>
          </w:tcPr>
          <w:p w14:paraId="0FCCAF31" w14:textId="77777777" w:rsidR="004515FC" w:rsidRPr="000B3838" w:rsidRDefault="004515FC" w:rsidP="0029161D">
            <w:pPr>
              <w:jc w:val="center"/>
              <w:rPr>
                <w:b/>
                <w:noProof/>
                <w:sz w:val="20"/>
              </w:rPr>
            </w:pPr>
            <w:r w:rsidRPr="000B3838">
              <w:rPr>
                <w:noProof/>
                <w:sz w:val="20"/>
              </w:rPr>
              <w:t>Unijeti onoliko godina koliko je potrebno za prikaz trajanja učinka (vidjeti točku 1.6.)</w:t>
            </w:r>
          </w:p>
        </w:tc>
        <w:tc>
          <w:tcPr>
            <w:tcW w:w="1158" w:type="dxa"/>
            <w:vAlign w:val="center"/>
          </w:tcPr>
          <w:p w14:paraId="3A69AE63" w14:textId="77777777" w:rsidR="004515FC" w:rsidRPr="000B3838" w:rsidRDefault="004515FC" w:rsidP="0029161D">
            <w:pPr>
              <w:spacing w:before="60" w:after="60"/>
              <w:jc w:val="center"/>
              <w:rPr>
                <w:noProof/>
                <w:sz w:val="20"/>
              </w:rPr>
            </w:pPr>
            <w:r w:rsidRPr="000B3838">
              <w:rPr>
                <w:noProof/>
                <w:sz w:val="20"/>
              </w:rPr>
              <w:t>Ukupno</w:t>
            </w:r>
          </w:p>
        </w:tc>
      </w:tr>
      <w:tr w:rsidR="00910369" w:rsidRPr="000B3838" w14:paraId="0D79CA97" w14:textId="77777777">
        <w:trPr>
          <w:cantSplit/>
        </w:trPr>
        <w:tc>
          <w:tcPr>
            <w:tcW w:w="2340" w:type="dxa"/>
          </w:tcPr>
          <w:p w14:paraId="43B82C1D" w14:textId="77777777" w:rsidR="004515FC" w:rsidRPr="000B3838" w:rsidRDefault="004515FC" w:rsidP="0029161D">
            <w:pPr>
              <w:rPr>
                <w:noProof/>
              </w:rPr>
            </w:pPr>
            <w:r w:rsidRPr="000B3838">
              <w:rPr>
                <w:noProof/>
                <w:sz w:val="20"/>
              </w:rPr>
              <w:t>Navesti tijelo koje sudjeluje u financiranju</w:t>
            </w:r>
            <w:r w:rsidRPr="000B3838">
              <w:rPr>
                <w:i/>
                <w:noProof/>
                <w:sz w:val="20"/>
              </w:rPr>
              <w:t xml:space="preserve"> </w:t>
            </w:r>
          </w:p>
        </w:tc>
        <w:tc>
          <w:tcPr>
            <w:tcW w:w="964" w:type="dxa"/>
            <w:vAlign w:val="center"/>
          </w:tcPr>
          <w:p w14:paraId="0B812696" w14:textId="77777777" w:rsidR="004515FC" w:rsidRPr="000B3838" w:rsidRDefault="004515FC" w:rsidP="0029161D">
            <w:pPr>
              <w:spacing w:before="60" w:after="60"/>
              <w:jc w:val="center"/>
              <w:rPr>
                <w:noProof/>
                <w:sz w:val="20"/>
              </w:rPr>
            </w:pPr>
          </w:p>
        </w:tc>
        <w:tc>
          <w:tcPr>
            <w:tcW w:w="964" w:type="dxa"/>
            <w:vAlign w:val="center"/>
          </w:tcPr>
          <w:p w14:paraId="74B20EFF" w14:textId="77777777" w:rsidR="004515FC" w:rsidRPr="000B3838" w:rsidRDefault="004515FC" w:rsidP="0029161D">
            <w:pPr>
              <w:spacing w:before="60" w:after="60"/>
              <w:jc w:val="center"/>
              <w:rPr>
                <w:noProof/>
                <w:sz w:val="20"/>
              </w:rPr>
            </w:pPr>
          </w:p>
        </w:tc>
        <w:tc>
          <w:tcPr>
            <w:tcW w:w="964" w:type="dxa"/>
            <w:vAlign w:val="center"/>
          </w:tcPr>
          <w:p w14:paraId="6DF649EA" w14:textId="77777777" w:rsidR="004515FC" w:rsidRPr="000B3838" w:rsidRDefault="004515FC" w:rsidP="0029161D">
            <w:pPr>
              <w:spacing w:before="60" w:after="60"/>
              <w:jc w:val="center"/>
              <w:rPr>
                <w:noProof/>
                <w:sz w:val="20"/>
              </w:rPr>
            </w:pPr>
          </w:p>
        </w:tc>
        <w:tc>
          <w:tcPr>
            <w:tcW w:w="964" w:type="dxa"/>
            <w:vAlign w:val="center"/>
          </w:tcPr>
          <w:p w14:paraId="1C7E8AD3" w14:textId="77777777" w:rsidR="004515FC" w:rsidRPr="000B3838" w:rsidRDefault="004515FC" w:rsidP="0029161D">
            <w:pPr>
              <w:spacing w:before="60" w:after="60"/>
              <w:jc w:val="center"/>
              <w:rPr>
                <w:noProof/>
                <w:sz w:val="20"/>
              </w:rPr>
            </w:pPr>
          </w:p>
        </w:tc>
        <w:tc>
          <w:tcPr>
            <w:tcW w:w="964" w:type="dxa"/>
            <w:vAlign w:val="center"/>
          </w:tcPr>
          <w:p w14:paraId="3DA07B06" w14:textId="77777777" w:rsidR="004515FC" w:rsidRPr="000B3838" w:rsidRDefault="004515FC" w:rsidP="0029161D">
            <w:pPr>
              <w:spacing w:before="60" w:after="60"/>
              <w:jc w:val="center"/>
              <w:rPr>
                <w:noProof/>
                <w:sz w:val="20"/>
              </w:rPr>
            </w:pPr>
          </w:p>
        </w:tc>
        <w:tc>
          <w:tcPr>
            <w:tcW w:w="964" w:type="dxa"/>
            <w:vAlign w:val="center"/>
          </w:tcPr>
          <w:p w14:paraId="509C5BC3" w14:textId="77777777" w:rsidR="004515FC" w:rsidRPr="000B3838" w:rsidRDefault="004515FC" w:rsidP="0029161D">
            <w:pPr>
              <w:spacing w:before="60" w:after="60"/>
              <w:jc w:val="center"/>
              <w:rPr>
                <w:noProof/>
                <w:sz w:val="20"/>
              </w:rPr>
            </w:pPr>
          </w:p>
        </w:tc>
        <w:tc>
          <w:tcPr>
            <w:tcW w:w="964" w:type="dxa"/>
            <w:vAlign w:val="center"/>
          </w:tcPr>
          <w:p w14:paraId="197925BA" w14:textId="77777777" w:rsidR="004515FC" w:rsidRPr="000B3838" w:rsidRDefault="004515FC" w:rsidP="0029161D">
            <w:pPr>
              <w:spacing w:before="60" w:after="60"/>
              <w:jc w:val="center"/>
              <w:rPr>
                <w:noProof/>
                <w:sz w:val="20"/>
              </w:rPr>
            </w:pPr>
          </w:p>
        </w:tc>
        <w:tc>
          <w:tcPr>
            <w:tcW w:w="1158" w:type="dxa"/>
            <w:vAlign w:val="center"/>
          </w:tcPr>
          <w:p w14:paraId="57A91AE6" w14:textId="77777777" w:rsidR="004515FC" w:rsidRPr="000B3838" w:rsidRDefault="004515FC" w:rsidP="0029161D">
            <w:pPr>
              <w:spacing w:before="60" w:after="60"/>
              <w:jc w:val="center"/>
              <w:rPr>
                <w:noProof/>
                <w:sz w:val="20"/>
              </w:rPr>
            </w:pPr>
          </w:p>
        </w:tc>
      </w:tr>
      <w:tr w:rsidR="00910369" w:rsidRPr="000B3838" w14:paraId="6246AF00" w14:textId="77777777">
        <w:trPr>
          <w:cantSplit/>
        </w:trPr>
        <w:tc>
          <w:tcPr>
            <w:tcW w:w="2340" w:type="dxa"/>
          </w:tcPr>
          <w:p w14:paraId="145DBEF3" w14:textId="77777777" w:rsidR="004515FC" w:rsidRPr="000B3838" w:rsidRDefault="004515FC" w:rsidP="0029161D">
            <w:pPr>
              <w:spacing w:before="60" w:after="60"/>
              <w:jc w:val="left"/>
              <w:rPr>
                <w:noProof/>
                <w:sz w:val="20"/>
              </w:rPr>
            </w:pPr>
            <w:r w:rsidRPr="000B3838">
              <w:rPr>
                <w:noProof/>
                <w:sz w:val="20"/>
              </w:rPr>
              <w:t xml:space="preserve">UKUPNO sufinancirana odobrena sredstva </w:t>
            </w:r>
          </w:p>
        </w:tc>
        <w:tc>
          <w:tcPr>
            <w:tcW w:w="964" w:type="dxa"/>
            <w:vAlign w:val="center"/>
          </w:tcPr>
          <w:p w14:paraId="6B733DAD" w14:textId="77777777" w:rsidR="004515FC" w:rsidRPr="000B3838" w:rsidRDefault="004515FC" w:rsidP="0029161D">
            <w:pPr>
              <w:spacing w:before="60" w:after="60"/>
              <w:jc w:val="center"/>
              <w:rPr>
                <w:noProof/>
                <w:sz w:val="20"/>
              </w:rPr>
            </w:pPr>
          </w:p>
        </w:tc>
        <w:tc>
          <w:tcPr>
            <w:tcW w:w="964" w:type="dxa"/>
            <w:vAlign w:val="center"/>
          </w:tcPr>
          <w:p w14:paraId="3F12080A" w14:textId="77777777" w:rsidR="004515FC" w:rsidRPr="000B3838" w:rsidRDefault="004515FC" w:rsidP="0029161D">
            <w:pPr>
              <w:spacing w:before="60" w:after="60"/>
              <w:jc w:val="center"/>
              <w:rPr>
                <w:noProof/>
                <w:sz w:val="20"/>
              </w:rPr>
            </w:pPr>
          </w:p>
        </w:tc>
        <w:tc>
          <w:tcPr>
            <w:tcW w:w="964" w:type="dxa"/>
            <w:vAlign w:val="center"/>
          </w:tcPr>
          <w:p w14:paraId="31CB3A94" w14:textId="77777777" w:rsidR="004515FC" w:rsidRPr="000B3838" w:rsidRDefault="004515FC" w:rsidP="0029161D">
            <w:pPr>
              <w:spacing w:before="60" w:after="60"/>
              <w:jc w:val="center"/>
              <w:rPr>
                <w:noProof/>
                <w:sz w:val="20"/>
              </w:rPr>
            </w:pPr>
          </w:p>
        </w:tc>
        <w:tc>
          <w:tcPr>
            <w:tcW w:w="964" w:type="dxa"/>
            <w:vAlign w:val="center"/>
          </w:tcPr>
          <w:p w14:paraId="5C931C87" w14:textId="77777777" w:rsidR="004515FC" w:rsidRPr="000B3838" w:rsidRDefault="004515FC" w:rsidP="0029161D">
            <w:pPr>
              <w:spacing w:before="60" w:after="60"/>
              <w:jc w:val="center"/>
              <w:rPr>
                <w:noProof/>
                <w:sz w:val="20"/>
              </w:rPr>
            </w:pPr>
          </w:p>
        </w:tc>
        <w:tc>
          <w:tcPr>
            <w:tcW w:w="964" w:type="dxa"/>
            <w:vAlign w:val="center"/>
          </w:tcPr>
          <w:p w14:paraId="12BA3BF1" w14:textId="77777777" w:rsidR="004515FC" w:rsidRPr="000B3838" w:rsidRDefault="004515FC" w:rsidP="0029161D">
            <w:pPr>
              <w:spacing w:before="60" w:after="60"/>
              <w:jc w:val="center"/>
              <w:rPr>
                <w:noProof/>
                <w:sz w:val="20"/>
              </w:rPr>
            </w:pPr>
          </w:p>
        </w:tc>
        <w:tc>
          <w:tcPr>
            <w:tcW w:w="964" w:type="dxa"/>
            <w:vAlign w:val="center"/>
          </w:tcPr>
          <w:p w14:paraId="0D9A3850" w14:textId="77777777" w:rsidR="004515FC" w:rsidRPr="000B3838" w:rsidRDefault="004515FC" w:rsidP="0029161D">
            <w:pPr>
              <w:spacing w:before="60" w:after="60"/>
              <w:jc w:val="center"/>
              <w:rPr>
                <w:noProof/>
                <w:sz w:val="20"/>
              </w:rPr>
            </w:pPr>
          </w:p>
        </w:tc>
        <w:tc>
          <w:tcPr>
            <w:tcW w:w="964" w:type="dxa"/>
            <w:vAlign w:val="center"/>
          </w:tcPr>
          <w:p w14:paraId="706F0B88" w14:textId="77777777" w:rsidR="004515FC" w:rsidRPr="000B3838" w:rsidRDefault="004515FC" w:rsidP="0029161D">
            <w:pPr>
              <w:spacing w:before="60" w:after="60"/>
              <w:jc w:val="center"/>
              <w:rPr>
                <w:noProof/>
                <w:sz w:val="20"/>
              </w:rPr>
            </w:pPr>
          </w:p>
        </w:tc>
        <w:tc>
          <w:tcPr>
            <w:tcW w:w="1158" w:type="dxa"/>
            <w:vAlign w:val="center"/>
          </w:tcPr>
          <w:p w14:paraId="6F1A62A1" w14:textId="77777777" w:rsidR="004515FC" w:rsidRPr="000B3838" w:rsidRDefault="004515FC" w:rsidP="0029161D">
            <w:pPr>
              <w:spacing w:before="60" w:after="60"/>
              <w:jc w:val="center"/>
              <w:rPr>
                <w:noProof/>
                <w:sz w:val="20"/>
              </w:rPr>
            </w:pPr>
          </w:p>
        </w:tc>
      </w:tr>
    </w:tbl>
    <w:p w14:paraId="4CB47E39" w14:textId="77777777" w:rsidR="004515FC" w:rsidRPr="000B3838" w:rsidRDefault="004515FC" w:rsidP="004515FC">
      <w:pPr>
        <w:rPr>
          <w:noProof/>
        </w:rPr>
      </w:pPr>
      <w:r w:rsidRPr="000B3838">
        <w:rPr>
          <w:noProof/>
        </w:rPr>
        <w:t xml:space="preserve"> </w:t>
      </w:r>
      <w:r w:rsidRPr="000B3838">
        <w:rPr>
          <w:noProof/>
        </w:rPr>
        <w:cr/>
      </w:r>
      <w:r w:rsidRPr="000B3838">
        <w:rPr>
          <w:noProof/>
        </w:rPr>
        <w:br/>
      </w:r>
    </w:p>
    <w:p w14:paraId="435B27C6" w14:textId="77777777" w:rsidR="004515FC" w:rsidRPr="000B3838" w:rsidRDefault="004515FC" w:rsidP="004515FC">
      <w:pPr>
        <w:pStyle w:val="ManualHeading2"/>
        <w:rPr>
          <w:noProof/>
        </w:rPr>
      </w:pPr>
      <w:r w:rsidRPr="000B3838">
        <w:rPr>
          <w:noProof/>
        </w:rPr>
        <w:br w:type="page"/>
      </w:r>
      <w:bookmarkStart w:id="72" w:name="_Toc514938059"/>
      <w:bookmarkStart w:id="73" w:name="_Toc520485057"/>
      <w:r w:rsidRPr="000B3838">
        <w:rPr>
          <w:noProof/>
        </w:rPr>
        <w:t>3.3.</w:t>
      </w:r>
      <w:r w:rsidRPr="000B3838">
        <w:rPr>
          <w:noProof/>
        </w:rPr>
        <w:tab/>
        <w:t>Procijenjeni učinak na prihode</w:t>
      </w:r>
      <w:bookmarkEnd w:id="72"/>
      <w:bookmarkEnd w:id="73"/>
      <w:r w:rsidRPr="000B3838">
        <w:rPr>
          <w:noProof/>
        </w:rPr>
        <w:t xml:space="preserve"> </w:t>
      </w:r>
    </w:p>
    <w:p w14:paraId="1B11B352" w14:textId="77777777" w:rsidR="004515FC" w:rsidRPr="000B3838" w:rsidRDefault="004515FC" w:rsidP="004515FC">
      <w:pPr>
        <w:pStyle w:val="ListDash1"/>
        <w:rPr>
          <w:noProof/>
        </w:rPr>
      </w:pPr>
      <w:r w:rsidRPr="000B3838">
        <w:rPr>
          <w:rFonts w:ascii="Wingdings" w:hAnsi="Wingdings"/>
          <w:noProof/>
        </w:rPr>
        <w:t></w:t>
      </w:r>
      <w:r w:rsidRPr="000B3838">
        <w:rPr>
          <w:noProof/>
        </w:rPr>
        <w:tab/>
        <w:t>Prijedlog/inicijativa nema financijski učinak na prihode.</w:t>
      </w:r>
    </w:p>
    <w:p w14:paraId="111902D8" w14:textId="77777777" w:rsidR="004515FC" w:rsidRPr="000B3838" w:rsidRDefault="004515FC" w:rsidP="004515FC">
      <w:pPr>
        <w:pStyle w:val="ListDash1"/>
        <w:rPr>
          <w:noProof/>
        </w:rPr>
      </w:pPr>
      <w:r w:rsidRPr="000B3838">
        <w:rPr>
          <w:rFonts w:ascii="Wingdings" w:hAnsi="Wingdings"/>
          <w:noProof/>
        </w:rPr>
        <w:t></w:t>
      </w:r>
      <w:r w:rsidRPr="000B3838">
        <w:rPr>
          <w:noProof/>
        </w:rPr>
        <w:tab/>
        <w:t>Prijedlog/inicijativa ima sljedeći financijski učinak:</w:t>
      </w:r>
    </w:p>
    <w:p w14:paraId="078ED8D6" w14:textId="77777777" w:rsidR="004515FC" w:rsidRPr="000B3838" w:rsidRDefault="004515FC" w:rsidP="004515FC">
      <w:pPr>
        <w:pStyle w:val="ListNumberLevel3"/>
        <w:rPr>
          <w:noProof/>
        </w:rPr>
      </w:pPr>
      <w:r w:rsidRPr="000B3838">
        <w:rPr>
          <w:rFonts w:ascii="Wingdings" w:hAnsi="Wingdings"/>
          <w:noProof/>
        </w:rPr>
        <w:t></w:t>
      </w:r>
      <w:r w:rsidRPr="000B3838">
        <w:rPr>
          <w:noProof/>
        </w:rPr>
        <w:tab/>
        <w:t xml:space="preserve">na vlastita sredstva </w:t>
      </w:r>
    </w:p>
    <w:p w14:paraId="0E213E58" w14:textId="77777777" w:rsidR="004515FC" w:rsidRPr="000B3838" w:rsidRDefault="004515FC" w:rsidP="004515FC">
      <w:pPr>
        <w:pStyle w:val="ListNumberLevel3"/>
        <w:rPr>
          <w:noProof/>
        </w:rPr>
      </w:pPr>
      <w:r w:rsidRPr="000B3838">
        <w:rPr>
          <w:rFonts w:ascii="Wingdings" w:hAnsi="Wingdings"/>
          <w:noProof/>
        </w:rPr>
        <w:t></w:t>
      </w:r>
      <w:r w:rsidRPr="000B3838">
        <w:rPr>
          <w:noProof/>
        </w:rPr>
        <w:tab/>
        <w:t>na ostale prihode</w:t>
      </w:r>
    </w:p>
    <w:p w14:paraId="2C617D14" w14:textId="77777777" w:rsidR="004515FC" w:rsidRPr="000B3838" w:rsidRDefault="004515FC" w:rsidP="004515FC">
      <w:pPr>
        <w:pStyle w:val="ListNumberLevel3"/>
        <w:rPr>
          <w:noProof/>
        </w:rPr>
      </w:pPr>
      <w:r w:rsidRPr="000B3838">
        <w:rPr>
          <w:noProof/>
        </w:rPr>
        <w:t xml:space="preserve">navesti jesu li prihodi namijenjeni proračunskim linijama rashoda </w:t>
      </w:r>
      <w:r w:rsidRPr="000B3838">
        <w:rPr>
          <w:rFonts w:ascii="Wingdings" w:hAnsi="Wingdings"/>
          <w:noProof/>
        </w:rPr>
        <w:t></w:t>
      </w:r>
      <w:r w:rsidRPr="000B3838">
        <w:rPr>
          <w:noProof/>
        </w:rPr>
        <w:tab/>
      </w:r>
    </w:p>
    <w:p w14:paraId="33082A34" w14:textId="77777777" w:rsidR="004515FC" w:rsidRPr="000B3838" w:rsidRDefault="004515FC" w:rsidP="004515FC">
      <w:pPr>
        <w:ind w:left="4320"/>
        <w:rPr>
          <w:i/>
          <w:noProof/>
          <w:sz w:val="20"/>
        </w:rPr>
      </w:pPr>
      <w:r w:rsidRPr="000B3838">
        <w:rPr>
          <w:noProof/>
        </w:rPr>
        <w:t xml:space="preserve">     U milijunima EUR (do 3 decimalna mjesta)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10369" w:rsidRPr="000B3838" w14:paraId="331EC51B" w14:textId="77777777">
        <w:trPr>
          <w:trHeight w:val="388"/>
        </w:trPr>
        <w:tc>
          <w:tcPr>
            <w:tcW w:w="2144" w:type="dxa"/>
            <w:vMerge w:val="restart"/>
            <w:vAlign w:val="center"/>
          </w:tcPr>
          <w:p w14:paraId="5B47E0BC" w14:textId="77777777" w:rsidR="004515FC" w:rsidRPr="000B3838" w:rsidRDefault="004515FC" w:rsidP="0029161D">
            <w:pPr>
              <w:spacing w:before="40" w:after="40"/>
              <w:rPr>
                <w:noProof/>
                <w:sz w:val="18"/>
              </w:rPr>
            </w:pPr>
            <w:r w:rsidRPr="000B3838">
              <w:rPr>
                <w:noProof/>
                <w:sz w:val="18"/>
              </w:rPr>
              <w:t>Proračunska linija prihoda:</w:t>
            </w:r>
          </w:p>
        </w:tc>
        <w:tc>
          <w:tcPr>
            <w:tcW w:w="1325" w:type="dxa"/>
            <w:vMerge w:val="restart"/>
            <w:vAlign w:val="center"/>
          </w:tcPr>
          <w:p w14:paraId="6F856FF3" w14:textId="77777777" w:rsidR="004515FC" w:rsidRPr="000B3838" w:rsidRDefault="004515FC" w:rsidP="0029161D">
            <w:pPr>
              <w:jc w:val="center"/>
              <w:rPr>
                <w:noProof/>
                <w:sz w:val="18"/>
              </w:rPr>
            </w:pPr>
            <w:r w:rsidRPr="000B3838">
              <w:rPr>
                <w:noProof/>
                <w:sz w:val="18"/>
              </w:rPr>
              <w:t>Odobrena sredstva dostupna za tekuću financijsku godinu</w:t>
            </w:r>
          </w:p>
        </w:tc>
        <w:tc>
          <w:tcPr>
            <w:tcW w:w="7151" w:type="dxa"/>
            <w:gridSpan w:val="7"/>
            <w:vAlign w:val="center"/>
          </w:tcPr>
          <w:p w14:paraId="6D24AD71" w14:textId="77777777" w:rsidR="004515FC" w:rsidRPr="000B3838" w:rsidRDefault="004515FC" w:rsidP="0029161D">
            <w:pPr>
              <w:jc w:val="center"/>
              <w:rPr>
                <w:noProof/>
                <w:sz w:val="18"/>
              </w:rPr>
            </w:pPr>
            <w:r w:rsidRPr="000B3838">
              <w:rPr>
                <w:noProof/>
                <w:sz w:val="18"/>
              </w:rPr>
              <w:t>Učinak prijedloga/inicijative</w:t>
            </w:r>
            <w:r w:rsidRPr="000B3838">
              <w:rPr>
                <w:rStyle w:val="FootnoteReference0"/>
                <w:noProof/>
                <w:sz w:val="18"/>
              </w:rPr>
              <w:footnoteReference w:id="53"/>
            </w:r>
          </w:p>
        </w:tc>
      </w:tr>
      <w:tr w:rsidR="00910369" w:rsidRPr="000B3838" w14:paraId="450EF09C" w14:textId="77777777">
        <w:trPr>
          <w:trHeight w:val="388"/>
        </w:trPr>
        <w:tc>
          <w:tcPr>
            <w:tcW w:w="2144" w:type="dxa"/>
            <w:vMerge/>
          </w:tcPr>
          <w:p w14:paraId="3E7C7CCB" w14:textId="77777777" w:rsidR="004515FC" w:rsidRPr="000B3838" w:rsidRDefault="004515FC" w:rsidP="0029161D">
            <w:pPr>
              <w:spacing w:before="40" w:after="40"/>
              <w:rPr>
                <w:noProof/>
                <w:sz w:val="18"/>
              </w:rPr>
            </w:pPr>
          </w:p>
        </w:tc>
        <w:tc>
          <w:tcPr>
            <w:tcW w:w="1325" w:type="dxa"/>
            <w:vMerge/>
          </w:tcPr>
          <w:p w14:paraId="48CC455F" w14:textId="77777777" w:rsidR="004515FC" w:rsidRPr="000B3838" w:rsidRDefault="004515FC" w:rsidP="0029161D">
            <w:pPr>
              <w:spacing w:beforeLines="40" w:before="96" w:afterLines="40" w:after="96"/>
              <w:rPr>
                <w:i/>
                <w:noProof/>
                <w:sz w:val="18"/>
              </w:rPr>
            </w:pPr>
          </w:p>
        </w:tc>
        <w:tc>
          <w:tcPr>
            <w:tcW w:w="1031" w:type="dxa"/>
            <w:vAlign w:val="center"/>
          </w:tcPr>
          <w:p w14:paraId="5F8E2E3E" w14:textId="44F8998F" w:rsidR="004515FC" w:rsidRPr="000B3838" w:rsidRDefault="004515FC" w:rsidP="0029161D">
            <w:pPr>
              <w:jc w:val="center"/>
              <w:rPr>
                <w:noProof/>
                <w:sz w:val="18"/>
              </w:rPr>
            </w:pPr>
            <w:r w:rsidRPr="000B3838">
              <w:rPr>
                <w:noProof/>
                <w:sz w:val="18"/>
              </w:rPr>
              <w:t>Godina</w:t>
            </w:r>
            <w:r w:rsidRPr="000B3838">
              <w:rPr>
                <w:noProof/>
              </w:rPr>
              <w:br/>
            </w:r>
            <w:r w:rsidRPr="000B3838">
              <w:rPr>
                <w:b/>
                <w:noProof/>
                <w:sz w:val="18"/>
              </w:rPr>
              <w:t>N</w:t>
            </w:r>
          </w:p>
        </w:tc>
        <w:tc>
          <w:tcPr>
            <w:tcW w:w="900" w:type="dxa"/>
            <w:vAlign w:val="center"/>
          </w:tcPr>
          <w:p w14:paraId="6C90ED77" w14:textId="630931AB" w:rsidR="004515FC" w:rsidRPr="000B3838" w:rsidRDefault="004515FC" w:rsidP="0029161D">
            <w:pPr>
              <w:jc w:val="center"/>
              <w:rPr>
                <w:noProof/>
                <w:sz w:val="18"/>
              </w:rPr>
            </w:pPr>
            <w:r w:rsidRPr="000B3838">
              <w:rPr>
                <w:noProof/>
                <w:sz w:val="18"/>
              </w:rPr>
              <w:t>Godina</w:t>
            </w:r>
            <w:r w:rsidRPr="000B3838">
              <w:rPr>
                <w:noProof/>
              </w:rPr>
              <w:br/>
            </w:r>
            <w:r w:rsidRPr="000B3838">
              <w:rPr>
                <w:b/>
                <w:noProof/>
                <w:sz w:val="18"/>
              </w:rPr>
              <w:t>N+1</w:t>
            </w:r>
          </w:p>
        </w:tc>
        <w:tc>
          <w:tcPr>
            <w:tcW w:w="900" w:type="dxa"/>
            <w:vAlign w:val="center"/>
          </w:tcPr>
          <w:p w14:paraId="0EF2F27B" w14:textId="4940F4A2" w:rsidR="004515FC" w:rsidRPr="000B3838" w:rsidRDefault="004515FC" w:rsidP="0029161D">
            <w:pPr>
              <w:jc w:val="center"/>
              <w:rPr>
                <w:noProof/>
                <w:sz w:val="18"/>
              </w:rPr>
            </w:pPr>
            <w:r w:rsidRPr="000B3838">
              <w:rPr>
                <w:noProof/>
                <w:sz w:val="18"/>
              </w:rPr>
              <w:t>Godina</w:t>
            </w:r>
            <w:r w:rsidRPr="000B3838">
              <w:rPr>
                <w:noProof/>
              </w:rPr>
              <w:br/>
            </w:r>
            <w:r w:rsidRPr="000B3838">
              <w:rPr>
                <w:b/>
                <w:noProof/>
                <w:sz w:val="18"/>
              </w:rPr>
              <w:t>N+2</w:t>
            </w:r>
          </w:p>
        </w:tc>
        <w:tc>
          <w:tcPr>
            <w:tcW w:w="1080" w:type="dxa"/>
            <w:vAlign w:val="center"/>
          </w:tcPr>
          <w:p w14:paraId="194D2317" w14:textId="7E930B74" w:rsidR="004515FC" w:rsidRPr="000B3838" w:rsidRDefault="004515FC" w:rsidP="0029161D">
            <w:pPr>
              <w:jc w:val="center"/>
              <w:rPr>
                <w:noProof/>
                <w:sz w:val="18"/>
              </w:rPr>
            </w:pPr>
            <w:r w:rsidRPr="000B3838">
              <w:rPr>
                <w:noProof/>
                <w:sz w:val="18"/>
              </w:rPr>
              <w:t>Godina</w:t>
            </w:r>
            <w:r w:rsidRPr="000B3838">
              <w:rPr>
                <w:noProof/>
              </w:rPr>
              <w:br/>
            </w:r>
            <w:r w:rsidRPr="000B3838">
              <w:rPr>
                <w:b/>
                <w:noProof/>
                <w:sz w:val="18"/>
              </w:rPr>
              <w:t>N+3</w:t>
            </w:r>
          </w:p>
        </w:tc>
        <w:tc>
          <w:tcPr>
            <w:tcW w:w="3240" w:type="dxa"/>
            <w:gridSpan w:val="3"/>
            <w:vAlign w:val="center"/>
          </w:tcPr>
          <w:p w14:paraId="3F47EAFE" w14:textId="77777777" w:rsidR="004515FC" w:rsidRPr="000B3838" w:rsidRDefault="004515FC" w:rsidP="0029161D">
            <w:pPr>
              <w:jc w:val="center"/>
              <w:rPr>
                <w:b/>
                <w:noProof/>
                <w:sz w:val="18"/>
              </w:rPr>
            </w:pPr>
            <w:r w:rsidRPr="000B3838">
              <w:rPr>
                <w:noProof/>
                <w:sz w:val="18"/>
              </w:rPr>
              <w:t>Unijeti onoliko godina koliko je potrebno za prikaz trajanja učinka (vidjeti točku 1.6.)</w:t>
            </w:r>
          </w:p>
        </w:tc>
      </w:tr>
      <w:tr w:rsidR="00DB3050" w:rsidRPr="000B3838" w14:paraId="76228619" w14:textId="77777777">
        <w:trPr>
          <w:trHeight w:val="388"/>
        </w:trPr>
        <w:tc>
          <w:tcPr>
            <w:tcW w:w="2144" w:type="dxa"/>
            <w:vAlign w:val="center"/>
          </w:tcPr>
          <w:p w14:paraId="69315E72" w14:textId="77777777" w:rsidR="004515FC" w:rsidRPr="000B3838" w:rsidRDefault="004515FC" w:rsidP="0029161D">
            <w:pPr>
              <w:spacing w:before="40" w:after="40"/>
              <w:rPr>
                <w:noProof/>
                <w:sz w:val="18"/>
              </w:rPr>
            </w:pPr>
            <w:r w:rsidRPr="000B3838">
              <w:rPr>
                <w:noProof/>
                <w:sz w:val="18"/>
              </w:rPr>
              <w:t>Članak ………….</w:t>
            </w:r>
          </w:p>
        </w:tc>
        <w:tc>
          <w:tcPr>
            <w:tcW w:w="1325" w:type="dxa"/>
          </w:tcPr>
          <w:p w14:paraId="26012A16" w14:textId="77777777" w:rsidR="004515FC" w:rsidRPr="000B3838" w:rsidRDefault="004515FC" w:rsidP="0029161D">
            <w:pPr>
              <w:spacing w:beforeLines="40" w:before="96" w:afterLines="40" w:after="96"/>
              <w:jc w:val="center"/>
              <w:rPr>
                <w:i/>
                <w:noProof/>
                <w:sz w:val="18"/>
              </w:rPr>
            </w:pPr>
          </w:p>
        </w:tc>
        <w:tc>
          <w:tcPr>
            <w:tcW w:w="1031" w:type="dxa"/>
          </w:tcPr>
          <w:p w14:paraId="15B84C56" w14:textId="77777777" w:rsidR="004515FC" w:rsidRPr="000B3838" w:rsidRDefault="004515FC" w:rsidP="0029161D">
            <w:pPr>
              <w:spacing w:beforeLines="40" w:before="96" w:afterLines="40" w:after="96"/>
              <w:jc w:val="center"/>
              <w:rPr>
                <w:noProof/>
                <w:sz w:val="18"/>
              </w:rPr>
            </w:pPr>
          </w:p>
        </w:tc>
        <w:tc>
          <w:tcPr>
            <w:tcW w:w="900" w:type="dxa"/>
          </w:tcPr>
          <w:p w14:paraId="5A553783" w14:textId="77777777" w:rsidR="004515FC" w:rsidRPr="000B3838" w:rsidRDefault="004515FC" w:rsidP="0029161D">
            <w:pPr>
              <w:spacing w:beforeLines="40" w:before="96" w:afterLines="40" w:after="96"/>
              <w:jc w:val="center"/>
              <w:rPr>
                <w:noProof/>
                <w:sz w:val="18"/>
              </w:rPr>
            </w:pPr>
          </w:p>
        </w:tc>
        <w:tc>
          <w:tcPr>
            <w:tcW w:w="900" w:type="dxa"/>
          </w:tcPr>
          <w:p w14:paraId="123F863E" w14:textId="77777777" w:rsidR="004515FC" w:rsidRPr="000B3838" w:rsidRDefault="004515FC" w:rsidP="0029161D">
            <w:pPr>
              <w:spacing w:beforeLines="40" w:before="96" w:afterLines="40" w:after="96"/>
              <w:jc w:val="center"/>
              <w:rPr>
                <w:noProof/>
                <w:sz w:val="18"/>
              </w:rPr>
            </w:pPr>
          </w:p>
        </w:tc>
        <w:tc>
          <w:tcPr>
            <w:tcW w:w="1080" w:type="dxa"/>
          </w:tcPr>
          <w:p w14:paraId="2A0DB059" w14:textId="77777777" w:rsidR="004515FC" w:rsidRPr="000B3838" w:rsidRDefault="004515FC" w:rsidP="0029161D">
            <w:pPr>
              <w:spacing w:beforeLines="40" w:before="96" w:afterLines="40" w:after="96"/>
              <w:jc w:val="center"/>
              <w:rPr>
                <w:noProof/>
                <w:sz w:val="18"/>
              </w:rPr>
            </w:pPr>
          </w:p>
        </w:tc>
        <w:tc>
          <w:tcPr>
            <w:tcW w:w="1080" w:type="dxa"/>
          </w:tcPr>
          <w:p w14:paraId="6A33062B" w14:textId="77777777" w:rsidR="004515FC" w:rsidRPr="000B3838" w:rsidRDefault="004515FC" w:rsidP="0029161D">
            <w:pPr>
              <w:spacing w:beforeLines="40" w:before="96" w:afterLines="40" w:after="96"/>
              <w:jc w:val="center"/>
              <w:rPr>
                <w:noProof/>
                <w:sz w:val="18"/>
              </w:rPr>
            </w:pPr>
          </w:p>
        </w:tc>
        <w:tc>
          <w:tcPr>
            <w:tcW w:w="1080" w:type="dxa"/>
          </w:tcPr>
          <w:p w14:paraId="42809688" w14:textId="77777777" w:rsidR="004515FC" w:rsidRPr="000B3838" w:rsidRDefault="004515FC" w:rsidP="0029161D">
            <w:pPr>
              <w:spacing w:beforeLines="40" w:before="96" w:afterLines="40" w:after="96"/>
              <w:jc w:val="center"/>
              <w:rPr>
                <w:noProof/>
                <w:sz w:val="18"/>
              </w:rPr>
            </w:pPr>
          </w:p>
        </w:tc>
        <w:tc>
          <w:tcPr>
            <w:tcW w:w="1080" w:type="dxa"/>
          </w:tcPr>
          <w:p w14:paraId="5A1BC35C" w14:textId="77777777" w:rsidR="004515FC" w:rsidRPr="000B3838" w:rsidRDefault="004515FC" w:rsidP="0029161D">
            <w:pPr>
              <w:spacing w:beforeLines="40" w:before="96" w:afterLines="40" w:after="96"/>
              <w:jc w:val="center"/>
              <w:rPr>
                <w:noProof/>
                <w:sz w:val="18"/>
              </w:rPr>
            </w:pPr>
          </w:p>
        </w:tc>
      </w:tr>
    </w:tbl>
    <w:p w14:paraId="257F5995" w14:textId="77777777" w:rsidR="004515FC" w:rsidRPr="000B3838" w:rsidRDefault="004515FC" w:rsidP="004515FC">
      <w:pPr>
        <w:pStyle w:val="Text1"/>
        <w:rPr>
          <w:noProof/>
          <w:sz w:val="20"/>
        </w:rPr>
      </w:pPr>
      <w:r w:rsidRPr="000B3838">
        <w:rPr>
          <w:noProof/>
          <w:sz w:val="20"/>
        </w:rPr>
        <w:t>Za namjenske prihode navesti odgovarajuće proračunske linije rashoda.</w:t>
      </w:r>
    </w:p>
    <w:p w14:paraId="219C5D35"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p>
    <w:p w14:paraId="06B076F3" w14:textId="77777777" w:rsidR="004515FC" w:rsidRPr="000B3838" w:rsidRDefault="004515FC" w:rsidP="004515FC">
      <w:pPr>
        <w:pStyle w:val="Text1"/>
        <w:rPr>
          <w:noProof/>
          <w:sz w:val="20"/>
        </w:rPr>
      </w:pPr>
      <w:r w:rsidRPr="000B3838">
        <w:rPr>
          <w:noProof/>
          <w:sz w:val="20"/>
        </w:rPr>
        <w:t>Ostale napomene (npr. metoda/formula za izračun učinka na prihode ili druge informacije).</w:t>
      </w:r>
    </w:p>
    <w:p w14:paraId="3AD000B3" w14:textId="77777777" w:rsidR="004515FC" w:rsidRPr="000B3838" w:rsidRDefault="004515FC" w:rsidP="004515FC">
      <w:pPr>
        <w:pStyle w:val="Text1"/>
        <w:pBdr>
          <w:top w:val="single" w:sz="4" w:space="1" w:color="auto"/>
          <w:left w:val="single" w:sz="4" w:space="4" w:color="auto"/>
          <w:bottom w:val="single" w:sz="4" w:space="1" w:color="auto"/>
          <w:right w:val="single" w:sz="4" w:space="4" w:color="auto"/>
        </w:pBdr>
        <w:rPr>
          <w:noProof/>
        </w:rPr>
      </w:pPr>
    </w:p>
    <w:p w14:paraId="58B7A440" w14:textId="77777777" w:rsidR="00304682" w:rsidRPr="000B3838" w:rsidRDefault="00304682" w:rsidP="00504069">
      <w:pPr>
        <w:rPr>
          <w:noProof/>
        </w:rPr>
      </w:pPr>
    </w:p>
    <w:sectPr w:rsidR="00304682" w:rsidRPr="000B3838" w:rsidSect="004D0F60">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9CE3" w14:textId="77777777" w:rsidR="009E703A" w:rsidRDefault="009E703A" w:rsidP="00304682">
      <w:pPr>
        <w:spacing w:before="0" w:after="0"/>
      </w:pPr>
      <w:r>
        <w:separator/>
      </w:r>
    </w:p>
  </w:endnote>
  <w:endnote w:type="continuationSeparator" w:id="0">
    <w:p w14:paraId="7B17184B" w14:textId="77777777" w:rsidR="009E703A" w:rsidRDefault="009E703A" w:rsidP="00304682">
      <w:pPr>
        <w:spacing w:before="0" w:after="0"/>
      </w:pPr>
      <w:r>
        <w:continuationSeparator/>
      </w:r>
    </w:p>
  </w:endnote>
  <w:endnote w:type="continuationNotice" w:id="1">
    <w:p w14:paraId="2718DFD6" w14:textId="77777777" w:rsidR="009E703A" w:rsidRDefault="009E7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35407" w14:textId="4B4D383A" w:rsidR="004D0F60" w:rsidRPr="004D0F60" w:rsidRDefault="004D0F60" w:rsidP="004D0F60">
    <w:pPr>
      <w:pStyle w:val="Footer"/>
      <w:rPr>
        <w:rFonts w:ascii="Arial" w:hAnsi="Arial" w:cs="Arial"/>
        <w:b/>
        <w:sz w:val="48"/>
      </w:rPr>
    </w:pPr>
    <w:r w:rsidRPr="004D0F60">
      <w:rPr>
        <w:rFonts w:ascii="Arial" w:hAnsi="Arial" w:cs="Arial"/>
        <w:b/>
        <w:sz w:val="48"/>
      </w:rPr>
      <w:t>HR</w:t>
    </w:r>
    <w:r w:rsidRPr="004D0F60">
      <w:rPr>
        <w:rFonts w:ascii="Arial" w:hAnsi="Arial" w:cs="Arial"/>
        <w:b/>
        <w:sz w:val="48"/>
      </w:rPr>
      <w:tab/>
    </w:r>
    <w:r w:rsidRPr="004D0F60">
      <w:rPr>
        <w:rFonts w:ascii="Arial" w:hAnsi="Arial" w:cs="Arial"/>
        <w:b/>
        <w:sz w:val="48"/>
      </w:rPr>
      <w:tab/>
    </w:r>
    <w:r w:rsidRPr="004D0F60">
      <w:tab/>
    </w:r>
    <w:r w:rsidRPr="004D0F60">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AB47" w14:textId="08019B9B" w:rsidR="004D0F60" w:rsidRPr="004D0F60" w:rsidRDefault="004D0F60" w:rsidP="004D0F60">
    <w:pPr>
      <w:pStyle w:val="Footer"/>
      <w:rPr>
        <w:rFonts w:ascii="Arial" w:hAnsi="Arial" w:cs="Arial"/>
        <w:b/>
        <w:sz w:val="48"/>
      </w:rPr>
    </w:pPr>
    <w:r w:rsidRPr="004D0F60">
      <w:rPr>
        <w:rFonts w:ascii="Arial" w:hAnsi="Arial" w:cs="Arial"/>
        <w:b/>
        <w:sz w:val="48"/>
      </w:rPr>
      <w:t>HR</w:t>
    </w:r>
    <w:r w:rsidRPr="004D0F60">
      <w:rPr>
        <w:rFonts w:ascii="Arial" w:hAnsi="Arial" w:cs="Arial"/>
        <w:b/>
        <w:sz w:val="48"/>
      </w:rPr>
      <w:tab/>
    </w:r>
    <w:r w:rsidRPr="004D0F60">
      <w:rPr>
        <w:rFonts w:ascii="Arial" w:hAnsi="Arial" w:cs="Arial"/>
        <w:b/>
        <w:sz w:val="48"/>
      </w:rPr>
      <w:tab/>
    </w:r>
    <w:r w:rsidRPr="004D0F60">
      <w:tab/>
    </w:r>
    <w:r w:rsidRPr="004D0F60">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C295" w14:textId="77777777" w:rsidR="004D0F60" w:rsidRDefault="004D0F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7086" w14:textId="696B729C" w:rsidR="004D0F60" w:rsidRPr="004D0F60" w:rsidRDefault="004D0F60" w:rsidP="004D0F60">
    <w:pPr>
      <w:pStyle w:val="Footer"/>
      <w:rPr>
        <w:rFonts w:ascii="Arial" w:hAnsi="Arial" w:cs="Arial"/>
        <w:b/>
        <w:sz w:val="48"/>
      </w:rPr>
    </w:pPr>
    <w:r w:rsidRPr="004D0F60">
      <w:rPr>
        <w:rFonts w:ascii="Arial" w:hAnsi="Arial" w:cs="Arial"/>
        <w:b/>
        <w:sz w:val="48"/>
      </w:rPr>
      <w:t>HR</w:t>
    </w:r>
    <w:r w:rsidRPr="004D0F60">
      <w:rPr>
        <w:rFonts w:ascii="Arial" w:hAnsi="Arial" w:cs="Arial"/>
        <w:b/>
        <w:sz w:val="48"/>
      </w:rPr>
      <w:tab/>
    </w:r>
    <w:r>
      <w:fldChar w:fldCharType="begin"/>
    </w:r>
    <w:r>
      <w:instrText xml:space="preserve"> PAGE  \* MERGEFORMAT </w:instrText>
    </w:r>
    <w:r>
      <w:fldChar w:fldCharType="separate"/>
    </w:r>
    <w:r w:rsidR="002B30D2">
      <w:rPr>
        <w:noProof/>
      </w:rPr>
      <w:t>19</w:t>
    </w:r>
    <w:r>
      <w:fldChar w:fldCharType="end"/>
    </w:r>
    <w:r>
      <w:tab/>
    </w:r>
    <w:r w:rsidRPr="004D0F60">
      <w:tab/>
    </w:r>
    <w:r w:rsidRPr="004D0F60">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F3E4" w14:textId="77777777" w:rsidR="004D0F60" w:rsidRDefault="004D0F60" w:rsidP="004D0F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B7098" w14:textId="08B295BD" w:rsidR="004D0F60" w:rsidRPr="004D0F60" w:rsidRDefault="004D0F60" w:rsidP="004D0F60">
    <w:pPr>
      <w:pStyle w:val="FooterLandscape"/>
      <w:rPr>
        <w:rFonts w:ascii="Arial" w:hAnsi="Arial" w:cs="Arial"/>
        <w:b/>
        <w:sz w:val="48"/>
      </w:rPr>
    </w:pPr>
    <w:r w:rsidRPr="004D0F60">
      <w:rPr>
        <w:rFonts w:ascii="Arial" w:hAnsi="Arial" w:cs="Arial"/>
        <w:b/>
        <w:sz w:val="48"/>
      </w:rPr>
      <w:t>HR</w:t>
    </w:r>
    <w:r w:rsidRPr="004D0F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D0F60">
      <w:tab/>
    </w:r>
    <w:r w:rsidRPr="004D0F60">
      <w:rPr>
        <w:rFonts w:ascii="Arial" w:hAnsi="Arial" w:cs="Arial"/>
        <w:b/>
        <w:sz w:val="48"/>
      </w:rPr>
      <w:t>HR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43ECD" w14:textId="6C8B1E2E" w:rsidR="004D0F60" w:rsidRPr="004D0F60" w:rsidRDefault="004D0F60" w:rsidP="004D0F60">
    <w:pPr>
      <w:pStyle w:val="Footer"/>
      <w:rPr>
        <w:rFonts w:ascii="Arial" w:hAnsi="Arial" w:cs="Arial"/>
        <w:b/>
        <w:sz w:val="48"/>
      </w:rPr>
    </w:pPr>
    <w:r w:rsidRPr="004D0F60">
      <w:rPr>
        <w:rFonts w:ascii="Arial" w:hAnsi="Arial" w:cs="Arial"/>
        <w:b/>
        <w:sz w:val="48"/>
      </w:rPr>
      <w:t>HR</w:t>
    </w:r>
    <w:r w:rsidRPr="004D0F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D0F60">
      <w:tab/>
    </w:r>
    <w:r w:rsidRPr="004D0F60">
      <w:rPr>
        <w:rFonts w:ascii="Arial" w:hAnsi="Arial" w:cs="Arial"/>
        <w:b/>
        <w:sz w:val="48"/>
      </w:rPr>
      <w:t>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14FC1" w14:textId="77777777" w:rsidR="009E703A" w:rsidRDefault="009E703A" w:rsidP="00304682">
      <w:pPr>
        <w:spacing w:before="0" w:after="0"/>
      </w:pPr>
      <w:r>
        <w:separator/>
      </w:r>
    </w:p>
  </w:footnote>
  <w:footnote w:type="continuationSeparator" w:id="0">
    <w:p w14:paraId="6FC8369E" w14:textId="77777777" w:rsidR="009E703A" w:rsidRDefault="009E703A" w:rsidP="00304682">
      <w:pPr>
        <w:spacing w:before="0" w:after="0"/>
      </w:pPr>
      <w:r>
        <w:continuationSeparator/>
      </w:r>
    </w:p>
  </w:footnote>
  <w:footnote w:type="continuationNotice" w:id="1">
    <w:p w14:paraId="4685CCA8" w14:textId="77777777" w:rsidR="009E703A" w:rsidRDefault="009E703A">
      <w:pPr>
        <w:spacing w:before="0" w:after="0"/>
      </w:pPr>
    </w:p>
  </w:footnote>
  <w:footnote w:id="2">
    <w:p w14:paraId="41D3C8F1" w14:textId="5CD7E8C6" w:rsidR="0071192F" w:rsidRPr="00832AF8" w:rsidRDefault="0071192F" w:rsidP="0071192F">
      <w:pPr>
        <w:pStyle w:val="FootnoteText"/>
      </w:pPr>
      <w:r>
        <w:rPr>
          <w:rStyle w:val="FootnoteReference0"/>
        </w:rPr>
        <w:footnoteRef/>
      </w:r>
      <w:r>
        <w:tab/>
        <w:t xml:space="preserve">Direktiva Vijeća (EU) 2015/637 od 20. travnja 2015. o mjerama koordinacije i suradnje za olakšavanje pružanja konzularne zaštite građanima Unije bez predstavništva u trećim zemljama te o stavljanju izvan snage Odluke 95/553/EZ (SL L 106, 24.4.2015., str. 1., ELI: </w:t>
      </w:r>
      <w:hyperlink r:id="rId1" w:tooltip="ELI URI za pristup dokumentu." w:history="1">
        <w:r>
          <w:rPr>
            <w:rStyle w:val="Hyperlink"/>
          </w:rPr>
          <w:t>http://data.europa.eu/eli/dir/2015/637/oj</w:t>
        </w:r>
      </w:hyperlink>
      <w:r>
        <w:t>).</w:t>
      </w:r>
    </w:p>
  </w:footnote>
  <w:footnote w:id="3">
    <w:p w14:paraId="74D0A070" w14:textId="69625D92" w:rsidR="00BA6AED" w:rsidRPr="005652A6" w:rsidRDefault="00BA6AED" w:rsidP="005652A6">
      <w:pPr>
        <w:pStyle w:val="FootnoteText"/>
      </w:pPr>
      <w:r>
        <w:rPr>
          <w:rStyle w:val="FootnoteReference0"/>
        </w:rPr>
        <w:footnoteRef/>
      </w:r>
      <w:r>
        <w:tab/>
        <w:t xml:space="preserve">Odluka 95/553/EZ predstavnika vlada država članica koji su se sastali u okviru Vijeća od 19. prosinca 1995. o zaštiti građana Europske unije od strane diplomatskih i konzularnih predstavništava (SL L 314, 28.12.1995., str. 73., ELI: </w:t>
      </w:r>
      <w:hyperlink r:id="rId2" w:tooltip="ELI URI za pristup dokumentu." w:history="1">
        <w:r>
          <w:rPr>
            <w:rStyle w:val="Hyperlink"/>
          </w:rPr>
          <w:t>http://data.europa.eu/eli/dec/1995/553/oj</w:t>
        </w:r>
      </w:hyperlink>
      <w:r>
        <w:t>).</w:t>
      </w:r>
    </w:p>
  </w:footnote>
  <w:footnote w:id="4">
    <w:p w14:paraId="02A7CF32" w14:textId="36B70113" w:rsidR="0071192F" w:rsidRPr="00832AF8" w:rsidRDefault="0071192F" w:rsidP="0071192F">
      <w:pPr>
        <w:pStyle w:val="FootnoteText"/>
      </w:pPr>
      <w:r>
        <w:rPr>
          <w:rStyle w:val="FootnoteReference0"/>
        </w:rPr>
        <w:footnoteRef/>
      </w:r>
      <w:r>
        <w:tab/>
        <w:t>Članak 17. stavak 1. Direktive.</w:t>
      </w:r>
    </w:p>
  </w:footnote>
  <w:footnote w:id="5">
    <w:p w14:paraId="7AC450DB" w14:textId="2741AD16" w:rsidR="00563599" w:rsidRPr="00832AF8" w:rsidRDefault="00563599" w:rsidP="00563599">
      <w:pPr>
        <w:pStyle w:val="FootnoteText"/>
      </w:pPr>
      <w:r>
        <w:rPr>
          <w:rStyle w:val="FootnoteReference0"/>
        </w:rPr>
        <w:footnoteRef/>
      </w:r>
      <w:r>
        <w:tab/>
      </w:r>
      <w:hyperlink r:id="rId3" w:history="1">
        <w:r>
          <w:rPr>
            <w:rStyle w:val="Hyperlink"/>
          </w:rPr>
          <w:t>COM(2020) 690 final</w:t>
        </w:r>
      </w:hyperlink>
      <w:r>
        <w:t>.</w:t>
      </w:r>
    </w:p>
  </w:footnote>
  <w:footnote w:id="6">
    <w:p w14:paraId="585EDB65" w14:textId="5C9E9FEC" w:rsidR="00D72BBB" w:rsidRPr="00832AF8" w:rsidRDefault="00D72BBB" w:rsidP="00D72BBB">
      <w:pPr>
        <w:pStyle w:val="FootnoteText"/>
      </w:pPr>
      <w:r>
        <w:rPr>
          <w:rStyle w:val="FootnoteReference0"/>
        </w:rPr>
        <w:footnoteRef/>
      </w:r>
      <w:r>
        <w:tab/>
        <w:t>Izvješće Komisije Europskom parlamentu, Vijeću, Europskom gospodarskom i socijalnom odboru i Odboru regija: Konferencija o budućnosti Europe – Provođenje vizije u djelo (</w:t>
      </w:r>
      <w:hyperlink r:id="rId4" w:history="1">
        <w:r>
          <w:rPr>
            <w:rStyle w:val="Hyperlink"/>
          </w:rPr>
          <w:t>COM(2022) 404 final i prilog</w:t>
        </w:r>
      </w:hyperlink>
      <w:r>
        <w:t>).</w:t>
      </w:r>
    </w:p>
  </w:footnote>
  <w:footnote w:id="7">
    <w:p w14:paraId="4A138995" w14:textId="51CC4E64" w:rsidR="00563599" w:rsidRPr="00832AF8" w:rsidRDefault="00563599" w:rsidP="00563599">
      <w:pPr>
        <w:pStyle w:val="FootnoteText"/>
      </w:pPr>
      <w:r>
        <w:rPr>
          <w:rStyle w:val="FootnoteReference0"/>
        </w:rPr>
        <w:footnoteRef/>
      </w:r>
      <w:r>
        <w:tab/>
      </w:r>
      <w:hyperlink r:id="rId5" w:history="1">
        <w:r>
          <w:rPr>
            <w:rStyle w:val="Hyperlink"/>
          </w:rPr>
          <w:t>ST 7371/22</w:t>
        </w:r>
      </w:hyperlink>
      <w:r>
        <w:t>.</w:t>
      </w:r>
    </w:p>
  </w:footnote>
  <w:footnote w:id="8">
    <w:p w14:paraId="6A91F570" w14:textId="21E30D52" w:rsidR="00ED5E1B" w:rsidRPr="00832AF8" w:rsidRDefault="00ED5E1B" w:rsidP="00ED5E1B">
      <w:pPr>
        <w:pStyle w:val="FootnoteText"/>
      </w:pPr>
      <w:r>
        <w:rPr>
          <w:rStyle w:val="FootnoteReference0"/>
        </w:rPr>
        <w:footnoteRef/>
      </w:r>
      <w:r>
        <w:tab/>
        <w:t xml:space="preserve">Na temelju tog u srpnju 2022. osnovan je Centar za odgovor na krizne situacije ESVD-a kao stalni kapacitet ESVD-a za odgovor na krizne situacije, koji je povezan sa svim jedinicama za krizne situacije institucija Unije, država članica i partnera. </w:t>
      </w:r>
    </w:p>
  </w:footnote>
  <w:footnote w:id="9">
    <w:p w14:paraId="7C81C17F" w14:textId="7DAE1D2F" w:rsidR="003E4460" w:rsidRPr="003E4460" w:rsidRDefault="003E4460">
      <w:pPr>
        <w:pStyle w:val="FootnoteText"/>
      </w:pPr>
      <w:r>
        <w:rPr>
          <w:rStyle w:val="FootnoteReference0"/>
        </w:rPr>
        <w:footnoteRef/>
      </w:r>
      <w:r>
        <w:tab/>
        <w:t>Izvješće Komisije Europskom parlamentu i Vijeću o provedbi i primjeni Direktive Vijeća (EU) 2015/637 od 20. travnja 2015. o mjerama koordinacije i suradnje za olakšavanje pružanja konzularne zaštite građanima Unije bez predstavništva u trećim zemljama te o stavljanju izvan snage Odluke 95/553/EZ (</w:t>
      </w:r>
      <w:hyperlink r:id="rId6" w:history="1">
        <w:r>
          <w:rPr>
            <w:rStyle w:val="Hyperlink"/>
          </w:rPr>
          <w:t>COM(2022) 437 final</w:t>
        </w:r>
      </w:hyperlink>
      <w:r>
        <w:t>).</w:t>
      </w:r>
    </w:p>
  </w:footnote>
  <w:footnote w:id="10">
    <w:p w14:paraId="11B24A15" w14:textId="0E15DE2C" w:rsidR="00906339" w:rsidRPr="00587507" w:rsidRDefault="00906339">
      <w:pPr>
        <w:pStyle w:val="FootnoteText"/>
      </w:pPr>
      <w:r>
        <w:rPr>
          <w:rStyle w:val="FootnoteReference0"/>
        </w:rPr>
        <w:footnoteRef/>
      </w:r>
      <w:r>
        <w:tab/>
        <w:t>Vidjeti i dokument Zajedničkog predsjedništva i ESVD-a o zajedničkim konzularnim skupinama (</w:t>
      </w:r>
      <w:hyperlink r:id="rId7" w:history="1">
        <w:r>
          <w:rPr>
            <w:rStyle w:val="Hyperlink"/>
          </w:rPr>
          <w:t>ST 13619/20</w:t>
        </w:r>
      </w:hyperlink>
      <w:r>
        <w:t>).</w:t>
      </w:r>
    </w:p>
  </w:footnote>
  <w:footnote w:id="11">
    <w:p w14:paraId="753CB355" w14:textId="77777777" w:rsidR="00B32D20" w:rsidRPr="00D523E9" w:rsidRDefault="00B32D20" w:rsidP="00B32D20">
      <w:pPr>
        <w:pStyle w:val="FootnoteText"/>
      </w:pPr>
      <w:r>
        <w:rPr>
          <w:rStyle w:val="FootnoteReference0"/>
        </w:rPr>
        <w:footnoteRef/>
      </w:r>
      <w:r>
        <w:tab/>
        <w:t xml:space="preserve">Direktiva Vijeća (EU) 2019/997 od 18. lipnja 2019. o uspostavljanju privremene putne isprave EU-a i stavljanju izvan snage Odluke 96/409/ZVSP (SL L 163, 20.6.2019., str. 1., ELI: </w:t>
      </w:r>
      <w:hyperlink r:id="rId8" w:tooltip="ELI URI za pristup dokumentu." w:history="1">
        <w:r>
          <w:rPr>
            <w:rStyle w:val="Hyperlink"/>
          </w:rPr>
          <w:t>http://data.europa.eu/eli/dir/2019/997/oj</w:t>
        </w:r>
      </w:hyperlink>
      <w:r>
        <w:t>).</w:t>
      </w:r>
    </w:p>
  </w:footnote>
  <w:footnote w:id="12">
    <w:p w14:paraId="40171149" w14:textId="0756E258" w:rsidR="00464A03" w:rsidRPr="00464A03" w:rsidRDefault="00464A03" w:rsidP="00464A03">
      <w:pPr>
        <w:pStyle w:val="FootnoteText"/>
      </w:pPr>
      <w:r>
        <w:rPr>
          <w:rStyle w:val="FootnoteReference0"/>
        </w:rPr>
        <w:footnoteRef/>
      </w:r>
      <w:r>
        <w:tab/>
        <w:t xml:space="preserve">Odluka Vijeća 2010/427/EU od 26. srpnja 2010. o utvrđivanju ustroja i rada Europske službe za vanjsko djelovanje (SL L 201, 3.8.2010., str. 30., ELI: </w:t>
      </w:r>
      <w:hyperlink r:id="rId9" w:tooltip="ELI URI za pristup dokumentu." w:history="1">
        <w:r>
          <w:rPr>
            <w:rStyle w:val="Hyperlink"/>
          </w:rPr>
          <w:t>http://data.europa.eu/eli/dec/2010/427/oj</w:t>
        </w:r>
      </w:hyperlink>
      <w:r>
        <w:t>).</w:t>
      </w:r>
    </w:p>
  </w:footnote>
  <w:footnote w:id="13">
    <w:p w14:paraId="4FFEF616" w14:textId="7CE60F99" w:rsidR="005E547D" w:rsidRPr="002D50E6" w:rsidRDefault="005E547D" w:rsidP="002D50E6">
      <w:pPr>
        <w:pStyle w:val="FootnoteText"/>
      </w:pPr>
      <w:r>
        <w:rPr>
          <w:rStyle w:val="FootnoteReference0"/>
        </w:rPr>
        <w:footnoteRef/>
      </w:r>
      <w:r>
        <w:tab/>
        <w:t xml:space="preserve">Odluka br. 1313/2013/EU Europskog parlamenta i Vijeća od 17. prosinca 2013. o Mehanizmu Unije za civilnu zaštitu (SL L 347, 20.12.2013., str. 924., ELI: </w:t>
      </w:r>
      <w:hyperlink r:id="rId10" w:tooltip="ELI URI za pristup dokumentu." w:history="1">
        <w:r>
          <w:rPr>
            <w:rStyle w:val="Hyperlink"/>
          </w:rPr>
          <w:t>http://data.europa.eu/eli/dec/2013/1313/oj</w:t>
        </w:r>
      </w:hyperlink>
      <w:r>
        <w:t>).</w:t>
      </w:r>
    </w:p>
  </w:footnote>
  <w:footnote w:id="14">
    <w:p w14:paraId="0333784C" w14:textId="77777777" w:rsidR="0089770B" w:rsidRPr="000B3838" w:rsidRDefault="0089770B" w:rsidP="0089770B">
      <w:pPr>
        <w:pStyle w:val="FootnoteText"/>
        <w:rPr>
          <w:lang w:val="it-IT"/>
        </w:rPr>
      </w:pPr>
      <w:r>
        <w:rPr>
          <w:rStyle w:val="FootnoteReference0"/>
        </w:rPr>
        <w:footnoteRef/>
      </w:r>
      <w:r w:rsidRPr="000B3838">
        <w:rPr>
          <w:lang w:val="it-IT"/>
        </w:rPr>
        <w:tab/>
        <w:t xml:space="preserve">Dostupno na: </w:t>
      </w:r>
      <w:hyperlink r:id="rId11" w:history="1">
        <w:r w:rsidRPr="000B3838">
          <w:rPr>
            <w:rStyle w:val="Hyperlink"/>
            <w:lang w:val="it-IT"/>
          </w:rPr>
          <w:t>https://legal.un.org/ilc/texts/instruments/english/conventions/9_2_1963.pdf</w:t>
        </w:r>
      </w:hyperlink>
      <w:r w:rsidRPr="000B3838">
        <w:rPr>
          <w:lang w:val="it-IT"/>
        </w:rPr>
        <w:t xml:space="preserve">. </w:t>
      </w:r>
    </w:p>
  </w:footnote>
  <w:footnote w:id="15">
    <w:p w14:paraId="069A763B" w14:textId="21717D6A" w:rsidR="0040525C" w:rsidRPr="000B3838" w:rsidRDefault="0040525C" w:rsidP="0040525C">
      <w:pPr>
        <w:pStyle w:val="FootnoteText"/>
        <w:rPr>
          <w:lang w:val="it-IT"/>
        </w:rPr>
      </w:pPr>
      <w:r>
        <w:rPr>
          <w:rStyle w:val="FootnoteReference0"/>
        </w:rPr>
        <w:footnoteRef/>
      </w:r>
      <w:r w:rsidRPr="000B3838">
        <w:rPr>
          <w:lang w:val="it-IT"/>
        </w:rPr>
        <w:tab/>
        <w:t>SWD(2023) 941 final.</w:t>
      </w:r>
    </w:p>
  </w:footnote>
  <w:footnote w:id="16">
    <w:p w14:paraId="689AA7F7" w14:textId="6A2FD46D" w:rsidR="00A835CB" w:rsidRPr="000B3838" w:rsidRDefault="00A835CB">
      <w:pPr>
        <w:pStyle w:val="FootnoteText"/>
        <w:rPr>
          <w:lang w:val="it-IT"/>
        </w:rPr>
      </w:pPr>
      <w:r>
        <w:rPr>
          <w:rStyle w:val="FootnoteReference0"/>
        </w:rPr>
        <w:footnoteRef/>
      </w:r>
      <w:r w:rsidRPr="000B3838">
        <w:rPr>
          <w:lang w:val="it-IT"/>
        </w:rPr>
        <w:tab/>
      </w:r>
      <w:hyperlink r:id="rId12" w:history="1">
        <w:r w:rsidRPr="000B3838">
          <w:rPr>
            <w:rStyle w:val="Hyperlink"/>
            <w:lang w:val="it-IT"/>
          </w:rPr>
          <w:t>ST 15876/22</w:t>
        </w:r>
      </w:hyperlink>
      <w:r w:rsidRPr="000B3838">
        <w:rPr>
          <w:lang w:val="it-IT"/>
        </w:rPr>
        <w:t>.</w:t>
      </w:r>
    </w:p>
  </w:footnote>
  <w:footnote w:id="17">
    <w:p w14:paraId="694ED5A7" w14:textId="7862042F" w:rsidR="009C14D2" w:rsidRPr="000B3838" w:rsidRDefault="009C14D2">
      <w:pPr>
        <w:pStyle w:val="FootnoteText"/>
        <w:rPr>
          <w:lang w:val="it-IT"/>
        </w:rPr>
      </w:pPr>
      <w:r>
        <w:rPr>
          <w:rStyle w:val="FootnoteReference0"/>
        </w:rPr>
        <w:footnoteRef/>
      </w:r>
      <w:r w:rsidRPr="000B3838">
        <w:rPr>
          <w:lang w:val="it-IT"/>
        </w:rPr>
        <w:tab/>
        <w:t>Kostarika, Etiopija, Fidži, Crna Gora i Rusija.</w:t>
      </w:r>
    </w:p>
  </w:footnote>
  <w:footnote w:id="18">
    <w:p w14:paraId="102A9CF5" w14:textId="0690E916" w:rsidR="000E75BA" w:rsidRPr="000B3838" w:rsidRDefault="000E75BA" w:rsidP="000E75BA">
      <w:pPr>
        <w:pStyle w:val="FootnoteText"/>
        <w:rPr>
          <w:lang w:val="it-IT"/>
        </w:rPr>
      </w:pPr>
      <w:r>
        <w:rPr>
          <w:rStyle w:val="FootnoteReference0"/>
        </w:rPr>
        <w:footnoteRef/>
      </w:r>
      <w:r w:rsidRPr="000B3838">
        <w:rPr>
          <w:lang w:val="it-IT"/>
        </w:rPr>
        <w:tab/>
      </w:r>
      <w:hyperlink r:id="rId13" w:history="1">
        <w:r w:rsidRPr="000B3838">
          <w:rPr>
            <w:rStyle w:val="Hyperlink"/>
            <w:lang w:val="it-IT"/>
          </w:rPr>
          <w:t>Flash Eurobarometer 485</w:t>
        </w:r>
      </w:hyperlink>
      <w:r w:rsidRPr="000B3838">
        <w:rPr>
          <w:lang w:val="it-IT"/>
        </w:rPr>
        <w:t>: Građanstvo i demokracija EU-a; veljača/ožujak 2020</w:t>
      </w:r>
      <w:r w:rsidRPr="000B3838">
        <w:rPr>
          <w:rStyle w:val="Hyperlink"/>
          <w:lang w:val="it-IT"/>
        </w:rPr>
        <w:t xml:space="preserve">. </w:t>
      </w:r>
    </w:p>
  </w:footnote>
  <w:footnote w:id="19">
    <w:p w14:paraId="7533837C" w14:textId="39B3A371" w:rsidR="00453B8A" w:rsidRPr="000B3838" w:rsidRDefault="00453B8A">
      <w:pPr>
        <w:pStyle w:val="FootnoteText"/>
        <w:rPr>
          <w:lang w:val="it-IT"/>
        </w:rPr>
      </w:pPr>
      <w:r>
        <w:rPr>
          <w:rStyle w:val="FootnoteReference0"/>
        </w:rPr>
        <w:footnoteRef/>
      </w:r>
      <w:r w:rsidRPr="000B3838">
        <w:rPr>
          <w:lang w:val="it-IT"/>
        </w:rPr>
        <w:tab/>
      </w:r>
      <w:hyperlink r:id="rId14" w:history="1">
        <w:r w:rsidRPr="000B3838">
          <w:rPr>
            <w:rStyle w:val="Hyperlink"/>
            <w:lang w:val="it-IT"/>
          </w:rPr>
          <w:t>Flash Eurobarometer 528</w:t>
        </w:r>
      </w:hyperlink>
      <w:r w:rsidRPr="000B3838">
        <w:rPr>
          <w:lang w:val="it-IT"/>
        </w:rPr>
        <w:t>: Građanstvo i demokracija, travanj/svibanj 2023.</w:t>
      </w:r>
    </w:p>
  </w:footnote>
  <w:footnote w:id="20">
    <w:p w14:paraId="4DD40E89" w14:textId="6E1F48AB" w:rsidR="003B5B49" w:rsidRPr="000B3838" w:rsidRDefault="003B5B49" w:rsidP="00E73439">
      <w:pPr>
        <w:pStyle w:val="FootnoteText"/>
        <w:rPr>
          <w:lang w:val="it-IT"/>
        </w:rPr>
      </w:pPr>
      <w:r>
        <w:rPr>
          <w:rStyle w:val="FootnoteReference0"/>
        </w:rPr>
        <w:footnoteRef/>
      </w:r>
      <w:r w:rsidRPr="000B3838">
        <w:rPr>
          <w:lang w:val="it-IT"/>
        </w:rPr>
        <w:tab/>
        <w:t>Izvješće Komisije Europskom parlamentu, Vijeću, Europskom gospodarskom i socijalnom odboru i Odboru regija – Izvješće o građanstvu EU-a 2020. – Jačanje položaja građana i zaštita njihovih prava (</w:t>
      </w:r>
      <w:hyperlink r:id="rId15" w:history="1">
        <w:r w:rsidRPr="000B3838">
          <w:rPr>
            <w:rStyle w:val="Hyperlink"/>
            <w:lang w:val="it-IT"/>
          </w:rPr>
          <w:t>COM(2020) 730 final</w:t>
        </w:r>
      </w:hyperlink>
      <w:r w:rsidRPr="000B3838">
        <w:rPr>
          <w:lang w:val="it-IT"/>
        </w:rPr>
        <w:t>).</w:t>
      </w:r>
    </w:p>
  </w:footnote>
  <w:footnote w:id="21">
    <w:p w14:paraId="5B3E8C10" w14:textId="614D36CE" w:rsidR="00B75B61" w:rsidRPr="000B3838" w:rsidRDefault="00B75B61">
      <w:pPr>
        <w:pStyle w:val="FootnoteText"/>
        <w:rPr>
          <w:lang w:val="it-IT"/>
        </w:rPr>
      </w:pPr>
      <w:r>
        <w:rPr>
          <w:rStyle w:val="FootnoteReference0"/>
        </w:rPr>
        <w:footnoteRef/>
      </w:r>
      <w:r w:rsidRPr="000B3838">
        <w:rPr>
          <w:lang w:val="it-IT"/>
        </w:rPr>
        <w:tab/>
      </w:r>
      <w:hyperlink r:id="rId16" w:history="1">
        <w:r w:rsidRPr="000B3838">
          <w:rPr>
            <w:rStyle w:val="Hyperlink"/>
            <w:lang w:val="it-IT"/>
          </w:rPr>
          <w:t>Popratna studija za procjenu učinka</w:t>
        </w:r>
      </w:hyperlink>
      <w:r w:rsidRPr="000B3838">
        <w:rPr>
          <w:lang w:val="it-IT"/>
        </w:rPr>
        <w:t xml:space="preserve"> i njezini </w:t>
      </w:r>
      <w:hyperlink r:id="rId17" w:history="1">
        <w:r w:rsidRPr="000B3838">
          <w:rPr>
            <w:rStyle w:val="Hyperlink"/>
            <w:lang w:val="it-IT"/>
          </w:rPr>
          <w:t>prilozi</w:t>
        </w:r>
      </w:hyperlink>
      <w:r w:rsidRPr="000B3838">
        <w:rPr>
          <w:lang w:val="it-IT"/>
        </w:rPr>
        <w:t>.</w:t>
      </w:r>
    </w:p>
  </w:footnote>
  <w:footnote w:id="22">
    <w:p w14:paraId="09902A0B" w14:textId="0BE6A4D0" w:rsidR="00EC5960" w:rsidRPr="000B3838" w:rsidRDefault="00EC5960" w:rsidP="00EC5960">
      <w:pPr>
        <w:pStyle w:val="FootnoteText"/>
        <w:rPr>
          <w:lang w:val="it-IT"/>
        </w:rPr>
      </w:pPr>
      <w:r>
        <w:rPr>
          <w:rStyle w:val="FootnoteReference0"/>
        </w:rPr>
        <w:footnoteRef/>
      </w:r>
      <w:r w:rsidRPr="000B3838">
        <w:rPr>
          <w:lang w:val="it-IT"/>
        </w:rPr>
        <w:tab/>
        <w:t>SWD(2023) 941 final.</w:t>
      </w:r>
    </w:p>
  </w:footnote>
  <w:footnote w:id="23">
    <w:p w14:paraId="7AA98E82" w14:textId="1B4765EB" w:rsidR="0024624A" w:rsidRPr="000B3838" w:rsidRDefault="0024624A" w:rsidP="0024624A">
      <w:pPr>
        <w:pStyle w:val="FootnoteText"/>
        <w:rPr>
          <w:lang w:val="it-IT"/>
        </w:rPr>
      </w:pPr>
      <w:r>
        <w:rPr>
          <w:rStyle w:val="FootnoteReference0"/>
        </w:rPr>
        <w:footnoteRef/>
      </w:r>
      <w:r w:rsidRPr="000B3838">
        <w:rPr>
          <w:lang w:val="it-IT"/>
        </w:rPr>
        <w:tab/>
        <w:t>SEC(2023) 930.</w:t>
      </w:r>
    </w:p>
  </w:footnote>
  <w:footnote w:id="24">
    <w:p w14:paraId="55CCF900" w14:textId="77777777" w:rsidR="008360A0" w:rsidRPr="000B3838" w:rsidRDefault="008360A0" w:rsidP="001831D5">
      <w:pPr>
        <w:pStyle w:val="FootnoteText"/>
        <w:rPr>
          <w:lang w:val="it-IT"/>
        </w:rPr>
      </w:pPr>
      <w:r>
        <w:rPr>
          <w:rStyle w:val="FootnoteReference0"/>
        </w:rPr>
        <w:footnoteRef/>
      </w:r>
      <w:r w:rsidRPr="000B3838">
        <w:rPr>
          <w:lang w:val="it-IT"/>
        </w:rPr>
        <w:tab/>
        <w:t xml:space="preserve">Vidjeti, na primjer, presudu od 17. listopada 2013., </w:t>
      </w:r>
      <w:r w:rsidRPr="000B3838">
        <w:rPr>
          <w:i/>
          <w:lang w:val="it-IT"/>
        </w:rPr>
        <w:t>Schwarz</w:t>
      </w:r>
      <w:r w:rsidRPr="000B3838">
        <w:rPr>
          <w:lang w:val="it-IT"/>
        </w:rPr>
        <w:t xml:space="preserve">, C-291/12, EU:C:2013:670. </w:t>
      </w:r>
    </w:p>
  </w:footnote>
  <w:footnote w:id="25">
    <w:p w14:paraId="337964DE" w14:textId="1DE25057" w:rsidR="009618EB" w:rsidRPr="000B3838" w:rsidRDefault="009618EB">
      <w:pPr>
        <w:pStyle w:val="FootnoteText"/>
        <w:rPr>
          <w:lang w:val="it-IT"/>
        </w:rPr>
      </w:pPr>
      <w:r>
        <w:rPr>
          <w:rStyle w:val="FootnoteReference0"/>
        </w:rPr>
        <w:footnoteRef/>
      </w:r>
      <w:r w:rsidRPr="000B3838">
        <w:rPr>
          <w:lang w:val="it-IT"/>
        </w:rPr>
        <w:tab/>
        <w:t xml:space="preserve">Uredba (EU) 2016/679 Europskog parlamenta i Vijeća od 27. travnja 2016. o zaštiti pojedinaca u vezi s obradom osobnih podataka i o slobodnom kretanju takvih podataka te o stavljanju izvan snage Direktive 95/46/EZ (Opća uredba o zaštiti podataka) (SL L 119, 4.5.2016., str. 1., ELI: </w:t>
      </w:r>
      <w:hyperlink r:id="rId18" w:tooltip="ELI URI za pristup dokumentu." w:history="1">
        <w:r w:rsidRPr="000B3838">
          <w:rPr>
            <w:rStyle w:val="Hyperlink"/>
            <w:lang w:val="it-IT"/>
          </w:rPr>
          <w:t>http://data.europa.eu/eli/reg/2016/679/oj</w:t>
        </w:r>
      </w:hyperlink>
      <w:r w:rsidRPr="000B3838">
        <w:rPr>
          <w:lang w:val="it-IT"/>
        </w:rPr>
        <w:t xml:space="preserve">) i 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(SL L 295, 21.11.2018., str. 39., ELI: </w:t>
      </w:r>
      <w:hyperlink r:id="rId19" w:tooltip="ELI URI za pristup dokumentu." w:history="1">
        <w:r w:rsidRPr="000B3838">
          <w:rPr>
            <w:rStyle w:val="Hyperlink"/>
            <w:lang w:val="it-IT"/>
          </w:rPr>
          <w:t>http://data.europa.eu/eli/reg/2018/1725/oj</w:t>
        </w:r>
      </w:hyperlink>
      <w:r w:rsidRPr="000B3838">
        <w:rPr>
          <w:lang w:val="it-IT"/>
        </w:rPr>
        <w:t>).</w:t>
      </w:r>
    </w:p>
  </w:footnote>
  <w:footnote w:id="26">
    <w:p w14:paraId="531F79C1" w14:textId="160BE9A0" w:rsidR="00901DFA" w:rsidRPr="000B3838" w:rsidRDefault="00901DFA" w:rsidP="00901DFA">
      <w:pPr>
        <w:pStyle w:val="FootnoteText"/>
        <w:rPr>
          <w:lang w:val="it-IT"/>
        </w:rPr>
      </w:pPr>
      <w:r>
        <w:rPr>
          <w:rStyle w:val="FootnoteReference0"/>
        </w:rPr>
        <w:footnoteRef/>
      </w:r>
      <w:r w:rsidRPr="000B3838">
        <w:rPr>
          <w:lang w:val="it-IT"/>
        </w:rPr>
        <w:tab/>
        <w:t xml:space="preserve">Odluka 96/409/ZVSP predstavnika vlada država članica koji su se sastali u okviru Vijeća od 25. lipnja 1996. o uspostavljanju privremene putne isprave (SL L 168, 6.7.1996., str. 4., ELI: </w:t>
      </w:r>
      <w:hyperlink r:id="rId20" w:tooltip="ELI URI za pristup dokumentu." w:history="1">
        <w:r w:rsidRPr="000B3838">
          <w:rPr>
            <w:rStyle w:val="Hyperlink"/>
            <w:lang w:val="it-IT"/>
          </w:rPr>
          <w:t>http://data.europa.eu/eli/dec/1996/409/oj</w:t>
        </w:r>
      </w:hyperlink>
      <w:r w:rsidRPr="000B3838">
        <w:rPr>
          <w:lang w:val="it-IT"/>
        </w:rPr>
        <w:t>).</w:t>
      </w:r>
    </w:p>
  </w:footnote>
  <w:footnote w:id="27">
    <w:p w14:paraId="798ECA89" w14:textId="4E6F952A" w:rsidR="004A076F" w:rsidRPr="000B3838" w:rsidRDefault="004A076F" w:rsidP="004A076F">
      <w:pPr>
        <w:pStyle w:val="FootnoteText"/>
        <w:rPr>
          <w:lang w:val="it-IT"/>
        </w:rPr>
      </w:pPr>
      <w:r>
        <w:rPr>
          <w:rStyle w:val="FootnoteReference0"/>
        </w:rPr>
        <w:footnoteRef/>
      </w:r>
      <w:r w:rsidRPr="000B3838">
        <w:rPr>
          <w:lang w:val="it-IT"/>
        </w:rPr>
        <w:tab/>
        <w:t xml:space="preserve">Preporuka Komisije C(2007) 5841 od 5. prosinca 2007. o navođenju teksta iz članka 20. UEZ-a u putovnicama (SL L 118, 6.5.2008., str. 30., ELI: </w:t>
      </w:r>
      <w:hyperlink r:id="rId21" w:tooltip="ELI URI za pristup dokumentu." w:history="1">
        <w:r w:rsidRPr="000B3838">
          <w:rPr>
            <w:rStyle w:val="Hyperlink"/>
            <w:lang w:val="it-IT"/>
          </w:rPr>
          <w:t>http://data.europa.eu/eli/reco/2008/355/oj</w:t>
        </w:r>
      </w:hyperlink>
      <w:r w:rsidRPr="000B3838">
        <w:rPr>
          <w:lang w:val="it-IT"/>
        </w:rPr>
        <w:t>).</w:t>
      </w:r>
    </w:p>
  </w:footnote>
  <w:footnote w:id="28">
    <w:p w14:paraId="75FCD969" w14:textId="77777777" w:rsidR="00304682" w:rsidRPr="000B3838" w:rsidRDefault="00304682">
      <w:pPr>
        <w:pStyle w:val="FootnoteText"/>
        <w:rPr>
          <w:lang w:val="it-IT"/>
        </w:rPr>
      </w:pPr>
      <w:r>
        <w:rPr>
          <w:rStyle w:val="FootnoteReference0"/>
        </w:rPr>
        <w:footnoteRef/>
      </w:r>
      <w:r w:rsidRPr="000B3838">
        <w:rPr>
          <w:lang w:val="it-IT"/>
        </w:rPr>
        <w:tab/>
        <w:t>SL C […], […], str. […].</w:t>
      </w:r>
    </w:p>
  </w:footnote>
  <w:footnote w:id="29">
    <w:p w14:paraId="002D83DD" w14:textId="1AAA101E" w:rsidR="00B317D6" w:rsidRPr="000B3838" w:rsidRDefault="00B317D6">
      <w:pPr>
        <w:pStyle w:val="FootnoteText"/>
        <w:rPr>
          <w:lang w:val="it-IT"/>
        </w:rPr>
      </w:pPr>
      <w:r>
        <w:rPr>
          <w:rStyle w:val="FootnoteReference0"/>
        </w:rPr>
        <w:footnoteRef/>
      </w:r>
      <w:r w:rsidRPr="000B3838">
        <w:rPr>
          <w:lang w:val="it-IT"/>
        </w:rPr>
        <w:tab/>
        <w:t xml:space="preserve">Direktiva Vijeća (EU) 2015/637 od 20. travnja 2015. o mjerama koordinacije i suradnje za olakšavanje pružanja konzularne zaštite građanima Unije bez predstavništva u trećim zemljama te o stavljanju izvan snage Odluke 95/553/EZ (SL L 106, 24.4.2015., str. 1., ELI: </w:t>
      </w:r>
      <w:hyperlink r:id="rId22" w:tooltip="ELI URI za pristup dokumentu." w:history="1">
        <w:r w:rsidRPr="000B3838">
          <w:rPr>
            <w:rStyle w:val="Hyperlink"/>
            <w:lang w:val="it-IT"/>
          </w:rPr>
          <w:t>http://data.europa.eu/eli/dir/2015/637/oj</w:t>
        </w:r>
      </w:hyperlink>
      <w:r w:rsidRPr="000B3838">
        <w:rPr>
          <w:lang w:val="it-IT"/>
        </w:rPr>
        <w:t>).</w:t>
      </w:r>
    </w:p>
  </w:footnote>
  <w:footnote w:id="30">
    <w:p w14:paraId="42D1CC4E" w14:textId="4161E47E" w:rsidR="000A6E9C" w:rsidRPr="000B3838" w:rsidRDefault="000A6E9C" w:rsidP="00D523E9">
      <w:pPr>
        <w:pStyle w:val="FootnoteText"/>
        <w:rPr>
          <w:lang w:val="it-IT"/>
        </w:rPr>
      </w:pPr>
      <w:r>
        <w:rPr>
          <w:rStyle w:val="FootnoteReference0"/>
        </w:rPr>
        <w:footnoteRef/>
      </w:r>
      <w:r w:rsidRPr="000B3838">
        <w:rPr>
          <w:lang w:val="it-IT"/>
        </w:rPr>
        <w:tab/>
        <w:t xml:space="preserve">Direktiva Vijeća (EU) 2019/997 od 18. lipnja 2019. o uspostavljanju privremene putne isprave EU-a i stavljanju izvan snage Odluke 96/409/ZVSP (SL L 163, 20.6.2019., str. 1., ELI: </w:t>
      </w:r>
      <w:hyperlink r:id="rId23" w:tooltip="ELI URI za pristup dokumentu." w:history="1">
        <w:r w:rsidRPr="000B3838">
          <w:rPr>
            <w:rStyle w:val="Hyperlink"/>
            <w:lang w:val="it-IT"/>
          </w:rPr>
          <w:t>http://data.europa.eu/eli/dir/2019/997/oj</w:t>
        </w:r>
      </w:hyperlink>
      <w:r w:rsidRPr="000B3838">
        <w:rPr>
          <w:lang w:val="it-IT"/>
        </w:rPr>
        <w:t>).</w:t>
      </w:r>
    </w:p>
  </w:footnote>
  <w:footnote w:id="31">
    <w:p w14:paraId="0597AE1F" w14:textId="40E908A1" w:rsidR="00C41CE1" w:rsidRPr="000B3838" w:rsidRDefault="00C41CE1" w:rsidP="00C41CE1">
      <w:pPr>
        <w:pStyle w:val="FootnoteText"/>
        <w:rPr>
          <w:lang w:val="it-IT"/>
        </w:rPr>
      </w:pPr>
      <w:r>
        <w:rPr>
          <w:rStyle w:val="FootnoteReference0"/>
        </w:rPr>
        <w:footnoteRef/>
      </w:r>
      <w:r w:rsidRPr="000B3838">
        <w:rPr>
          <w:lang w:val="it-IT"/>
        </w:rPr>
        <w:tab/>
        <w:t xml:space="preserve">Odluka Vijeća 2010/427/EU od 26. srpnja 2010. o utvrđivanju ustroja i rada Europske službe za vanjsko djelovanje (SL L 201, 3.8.2010., str. 30., ELI: </w:t>
      </w:r>
      <w:hyperlink r:id="rId24" w:tooltip="ELI URI za pristup dokumentu." w:history="1">
        <w:r w:rsidRPr="000B3838">
          <w:rPr>
            <w:rStyle w:val="Hyperlink"/>
            <w:lang w:val="it-IT"/>
          </w:rPr>
          <w:t>http://data.europa.eu/eli/dec/2010/427/oj</w:t>
        </w:r>
      </w:hyperlink>
      <w:r w:rsidRPr="000B3838">
        <w:rPr>
          <w:lang w:val="it-IT"/>
        </w:rPr>
        <w:t>).</w:t>
      </w:r>
    </w:p>
  </w:footnote>
  <w:footnote w:id="32">
    <w:p w14:paraId="68C6CDBD" w14:textId="5BFABAA2" w:rsidR="005C1E93" w:rsidRPr="000B3838" w:rsidRDefault="005C1E93" w:rsidP="005C1E93">
      <w:pPr>
        <w:pStyle w:val="FootnoteText"/>
        <w:rPr>
          <w:lang w:val="it-IT"/>
        </w:rPr>
      </w:pPr>
      <w:r>
        <w:rPr>
          <w:rStyle w:val="FootnoteReference0"/>
        </w:rPr>
        <w:footnoteRef/>
      </w:r>
      <w:r w:rsidRPr="000B3838">
        <w:rPr>
          <w:lang w:val="it-IT"/>
        </w:rPr>
        <w:tab/>
        <w:t xml:space="preserve">Preporuka Komisije C(2007) 5841 od 5. prosinca 2007. o navođenju teksta iz članka 20. UEZ-a u putovnicama (SL L 118, 6.5.2008., str. 30., ELI: </w:t>
      </w:r>
      <w:hyperlink r:id="rId25" w:tooltip="ELI URI za pristup dokumentu." w:history="1">
        <w:r w:rsidRPr="000B3838">
          <w:rPr>
            <w:rStyle w:val="Hyperlink"/>
            <w:lang w:val="it-IT"/>
          </w:rPr>
          <w:t>http://data.europa.eu/eli/reco/2008/355/oj</w:t>
        </w:r>
      </w:hyperlink>
      <w:r w:rsidRPr="000B3838">
        <w:rPr>
          <w:lang w:val="it-IT"/>
        </w:rPr>
        <w:t>).</w:t>
      </w:r>
    </w:p>
  </w:footnote>
  <w:footnote w:id="33">
    <w:p w14:paraId="651DDB3F" w14:textId="79912DE1" w:rsidR="00F60C46" w:rsidRPr="000B3838" w:rsidRDefault="00F60C46" w:rsidP="00F60C46">
      <w:pPr>
        <w:pStyle w:val="FootnoteText"/>
        <w:rPr>
          <w:lang w:val="it-IT"/>
        </w:rPr>
      </w:pPr>
      <w:r>
        <w:rPr>
          <w:rStyle w:val="FootnoteReference0"/>
        </w:rPr>
        <w:footnoteRef/>
      </w:r>
      <w:r w:rsidRPr="000B3838">
        <w:rPr>
          <w:lang w:val="it-IT"/>
        </w:rPr>
        <w:tab/>
        <w:t xml:space="preserve">Odluka br. 1313/2013/EU Europskog parlamenta i Vijeća od 17. prosinca 2013. o Mehanizmu Unije za civilnu zaštitu (SL L 347, 20.12.2013., str. 924., ELI: </w:t>
      </w:r>
      <w:hyperlink r:id="rId26" w:tooltip="ELI URI za pristup dokumentu." w:history="1">
        <w:r w:rsidRPr="000B3838">
          <w:rPr>
            <w:rStyle w:val="Hyperlink"/>
            <w:lang w:val="it-IT"/>
          </w:rPr>
          <w:t>http://data.europa.eu/eli/dec/2013/1313/oj</w:t>
        </w:r>
      </w:hyperlink>
      <w:r w:rsidRPr="000B3838">
        <w:rPr>
          <w:lang w:val="it-IT"/>
        </w:rPr>
        <w:t>).</w:t>
      </w:r>
    </w:p>
  </w:footnote>
  <w:footnote w:id="34">
    <w:p w14:paraId="5CA6D7F9" w14:textId="7CB358EE" w:rsidR="0029484E" w:rsidRPr="000B3838" w:rsidRDefault="0029484E">
      <w:pPr>
        <w:pStyle w:val="FootnoteText"/>
        <w:rPr>
          <w:lang w:val="it-IT"/>
        </w:rPr>
      </w:pPr>
      <w:r>
        <w:rPr>
          <w:rStyle w:val="FootnoteReference0"/>
        </w:rPr>
        <w:footnoteRef/>
      </w:r>
      <w:r w:rsidRPr="000B3838">
        <w:rPr>
          <w:lang w:val="it-IT"/>
        </w:rPr>
        <w:tab/>
        <w:t xml:space="preserve">Uredba (EU) br. 182/2011 Europskog parlamenta i Vijeća od 16. veljače 2011. o utvrđivanju pravila i općih načela u vezi s mehanizmima nadzora država članica nad izvršavanjem provedbenih ovlasti Komisije (SL L 55, 28.2.2011., str. 13., ELI: </w:t>
      </w:r>
      <w:hyperlink r:id="rId27" w:tooltip="ELI URI za pristup dokumentu." w:history="1">
        <w:r w:rsidRPr="000B3838">
          <w:rPr>
            <w:rStyle w:val="Hyperlink"/>
            <w:lang w:val="it-IT"/>
          </w:rPr>
          <w:t>http://data.europa.eu/eli/reg/2011/182/oj</w:t>
        </w:r>
      </w:hyperlink>
      <w:r w:rsidRPr="000B3838">
        <w:rPr>
          <w:lang w:val="it-IT"/>
        </w:rPr>
        <w:t>).</w:t>
      </w:r>
    </w:p>
  </w:footnote>
  <w:footnote w:id="35">
    <w:p w14:paraId="22511554" w14:textId="77777777" w:rsidR="004D661D" w:rsidRPr="000B3838" w:rsidRDefault="004D661D" w:rsidP="004D661D">
      <w:pPr>
        <w:pStyle w:val="FootnoteText"/>
        <w:rPr>
          <w:lang w:val="it-IT"/>
        </w:rPr>
      </w:pPr>
      <w:r>
        <w:rPr>
          <w:rStyle w:val="FootnoteReference0"/>
        </w:rPr>
        <w:footnoteRef/>
      </w:r>
      <w:r w:rsidRPr="000B3838">
        <w:rPr>
          <w:lang w:val="it-IT"/>
        </w:rPr>
        <w:tab/>
        <w:t xml:space="preserve">Uredba (EU) 2016/679 Europskog parlamenta i Vijeća od 27. travnja 2016. o zaštiti pojedinaca u vezi s obradom osobnih podataka i o slobodnom kretanju takvih podataka te o stavljanju izvan snage Direktive 95/46/EZ (Opća uredba o zaštiti podataka) (SL L 119, 4.5.2016., str. 1., ELI: </w:t>
      </w:r>
      <w:hyperlink r:id="rId28" w:history="1">
        <w:r w:rsidRPr="000B3838">
          <w:rPr>
            <w:rStyle w:val="Hyperlink"/>
            <w:lang w:val="it-IT"/>
          </w:rPr>
          <w:t>http://data.europa.eu/eli/reg/2016/679/oj</w:t>
        </w:r>
      </w:hyperlink>
      <w:r w:rsidRPr="000B3838">
        <w:rPr>
          <w:lang w:val="it-IT"/>
        </w:rPr>
        <w:t>).</w:t>
      </w:r>
    </w:p>
  </w:footnote>
  <w:footnote w:id="36">
    <w:p w14:paraId="62339214" w14:textId="77777777" w:rsidR="007F3DC6" w:rsidRPr="000B3838" w:rsidRDefault="007F3DC6" w:rsidP="007F3DC6">
      <w:pPr>
        <w:pStyle w:val="FootnoteText"/>
        <w:rPr>
          <w:lang w:val="it-IT"/>
        </w:rPr>
      </w:pPr>
      <w:r>
        <w:rPr>
          <w:rStyle w:val="FootnoteReference0"/>
        </w:rPr>
        <w:footnoteRef/>
      </w:r>
      <w:r w:rsidRPr="000B3838">
        <w:rPr>
          <w:lang w:val="it-IT"/>
        </w:rPr>
        <w:tab/>
        <w:t xml:space="preserve">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(SL L 295, 21.11.2018., str. 39., ELI: </w:t>
      </w:r>
      <w:hyperlink r:id="rId29" w:history="1">
        <w:r w:rsidRPr="000B3838">
          <w:rPr>
            <w:rStyle w:val="Hyperlink"/>
            <w:lang w:val="it-IT"/>
          </w:rPr>
          <w:t>http://data.europa.eu/eli/reg/2018/1725/oj</w:t>
        </w:r>
      </w:hyperlink>
      <w:r w:rsidRPr="000B3838">
        <w:rPr>
          <w:lang w:val="it-IT"/>
        </w:rPr>
        <w:t>).</w:t>
      </w:r>
    </w:p>
  </w:footnote>
  <w:footnote w:id="37">
    <w:p w14:paraId="169F6304" w14:textId="77777777" w:rsidR="00304682" w:rsidRDefault="00304682">
      <w:pPr>
        <w:pStyle w:val="FootnoteText"/>
      </w:pPr>
      <w:r>
        <w:rPr>
          <w:rStyle w:val="FootnoteReference0"/>
        </w:rPr>
        <w:footnoteRef/>
      </w:r>
      <w:r>
        <w:tab/>
        <w:t>SL C 369, 17.12.2011., str. 14.</w:t>
      </w:r>
    </w:p>
  </w:footnote>
  <w:footnote w:id="38">
    <w:p w14:paraId="7BA64BF1" w14:textId="3EEB3710" w:rsidR="00E911F5" w:rsidRPr="0058268D" w:rsidRDefault="00E911F5" w:rsidP="00E911F5">
      <w:pPr>
        <w:pStyle w:val="FootnoteText"/>
        <w:ind w:left="709" w:hanging="709"/>
      </w:pPr>
      <w:r>
        <w:rPr>
          <w:rStyle w:val="FootnoteReference0"/>
        </w:rPr>
        <w:footnoteRef/>
      </w:r>
      <w:r>
        <w:tab/>
        <w:t>SL C […], […], str. […].</w:t>
      </w:r>
    </w:p>
  </w:footnote>
  <w:footnote w:id="39">
    <w:p w14:paraId="35BC654C" w14:textId="77777777" w:rsidR="004515FC" w:rsidRDefault="004515FC" w:rsidP="004515FC">
      <w:pPr>
        <w:pStyle w:val="FootnoteText"/>
      </w:pPr>
      <w:r>
        <w:rPr>
          <w:rStyle w:val="FootnoteReference0"/>
        </w:rPr>
        <w:footnoteRef/>
      </w:r>
      <w:r>
        <w:tab/>
        <w:t>Kako je navedeno u članku 58. stavku 2. točkama (a) ili (b) Financijske uredbe.</w:t>
      </w:r>
    </w:p>
  </w:footnote>
  <w:footnote w:id="40">
    <w:p w14:paraId="1786DB1F" w14:textId="68411434" w:rsidR="004515FC" w:rsidRPr="000B3838" w:rsidRDefault="004515FC" w:rsidP="004515FC">
      <w:pPr>
        <w:pStyle w:val="FootnoteText"/>
        <w:rPr>
          <w:lang w:val="it-IT"/>
        </w:rPr>
      </w:pPr>
      <w:r>
        <w:rPr>
          <w:rStyle w:val="FootnoteReference0"/>
        </w:rPr>
        <w:footnoteRef/>
      </w:r>
      <w:r w:rsidRPr="000B3838">
        <w:rPr>
          <w:lang w:val="it-IT"/>
        </w:rPr>
        <w:tab/>
      </w:r>
      <w:hyperlink r:id="rId30" w:history="1">
        <w:r w:rsidRPr="000B3838">
          <w:rPr>
            <w:rStyle w:val="Hyperlink"/>
            <w:lang w:val="it-IT"/>
          </w:rPr>
          <w:t>SEC(2011) 1556 final</w:t>
        </w:r>
      </w:hyperlink>
      <w:r w:rsidRPr="000B3838">
        <w:rPr>
          <w:lang w:val="it-IT"/>
        </w:rPr>
        <w:t>.</w:t>
      </w:r>
    </w:p>
  </w:footnote>
  <w:footnote w:id="41">
    <w:p w14:paraId="4FF9E788" w14:textId="77777777" w:rsidR="004515FC" w:rsidRPr="000B3838" w:rsidRDefault="004515FC" w:rsidP="004515FC">
      <w:pPr>
        <w:pStyle w:val="FootnoteText"/>
        <w:rPr>
          <w:lang w:val="it-IT"/>
        </w:rPr>
      </w:pPr>
      <w:r>
        <w:rPr>
          <w:rStyle w:val="FootnoteReference0"/>
        </w:rPr>
        <w:footnoteRef/>
      </w:r>
      <w:r w:rsidRPr="000B3838">
        <w:rPr>
          <w:lang w:val="it-IT"/>
        </w:rPr>
        <w:tab/>
        <w:t>Dif. = diferencirana odobrena sredstva; nedif. = nediferencirana odobrena sredstva.</w:t>
      </w:r>
    </w:p>
  </w:footnote>
  <w:footnote w:id="42">
    <w:p w14:paraId="41343289" w14:textId="77777777" w:rsidR="004515FC" w:rsidRPr="000B3838" w:rsidRDefault="004515FC" w:rsidP="004515FC">
      <w:pPr>
        <w:pStyle w:val="FootnoteText"/>
        <w:rPr>
          <w:lang w:val="it-IT"/>
        </w:rPr>
      </w:pPr>
      <w:r>
        <w:rPr>
          <w:rStyle w:val="FootnoteReference0"/>
        </w:rPr>
        <w:footnoteRef/>
      </w:r>
      <w:r w:rsidRPr="000B3838">
        <w:rPr>
          <w:lang w:val="it-IT"/>
        </w:rPr>
        <w:tab/>
        <w:t xml:space="preserve">EFTA: Europsko udruženje slobodne trgovine. </w:t>
      </w:r>
    </w:p>
  </w:footnote>
  <w:footnote w:id="43">
    <w:p w14:paraId="0A837B5A" w14:textId="77777777" w:rsidR="004515FC" w:rsidRPr="000B3838" w:rsidRDefault="004515FC" w:rsidP="004515FC">
      <w:pPr>
        <w:pStyle w:val="FootnoteText"/>
        <w:rPr>
          <w:lang w:val="it-IT"/>
        </w:rPr>
      </w:pPr>
      <w:r>
        <w:rPr>
          <w:rStyle w:val="FootnoteReference0"/>
        </w:rPr>
        <w:footnoteRef/>
      </w:r>
      <w:r w:rsidRPr="000B3838">
        <w:rPr>
          <w:lang w:val="it-IT"/>
        </w:rPr>
        <w:tab/>
        <w:t>Zemlje kandidatkinje i, ako je primjenjivo, potencijalni kandidati sa zapadnog Balkana.</w:t>
      </w:r>
    </w:p>
  </w:footnote>
  <w:footnote w:id="44">
    <w:p w14:paraId="711FED68" w14:textId="77777777" w:rsidR="004515FC" w:rsidRPr="000B3838" w:rsidRDefault="004515FC" w:rsidP="004515FC">
      <w:pPr>
        <w:pStyle w:val="FootnoteText"/>
        <w:rPr>
          <w:sz w:val="18"/>
          <w:lang w:val="it-IT"/>
        </w:rPr>
      </w:pPr>
      <w:r>
        <w:rPr>
          <w:rStyle w:val="FootnoteReference0"/>
        </w:rPr>
        <w:footnoteRef/>
      </w:r>
      <w:r w:rsidRPr="000B3838">
        <w:rPr>
          <w:lang w:val="it-IT"/>
        </w:rPr>
        <w:tab/>
      </w:r>
      <w:r w:rsidRPr="000B3838">
        <w:rPr>
          <w:sz w:val="18"/>
          <w:lang w:val="it-IT"/>
        </w:rPr>
        <w:t>Godina N je godina početka provedbe prijedloga/inicijative. Umjesto „N” upisati predviđenu prvu godinu provedbe (na primjer: 2021.). Isto vrijedi i za ostale godine.</w:t>
      </w:r>
    </w:p>
  </w:footnote>
  <w:footnote w:id="45">
    <w:p w14:paraId="70E39415" w14:textId="77777777" w:rsidR="004515FC" w:rsidRPr="000B3838" w:rsidRDefault="004515FC" w:rsidP="004515FC">
      <w:pPr>
        <w:pStyle w:val="FootnoteText"/>
        <w:rPr>
          <w:sz w:val="18"/>
          <w:lang w:val="it-IT"/>
        </w:rPr>
      </w:pPr>
      <w:r>
        <w:rPr>
          <w:rStyle w:val="FootnoteReference0"/>
        </w:rPr>
        <w:footnoteRef/>
      </w:r>
      <w:r w:rsidRPr="000B3838">
        <w:rPr>
          <w:lang w:val="it-IT"/>
        </w:rPr>
        <w:tab/>
      </w:r>
      <w:r w:rsidRPr="000B3838">
        <w:rPr>
          <w:sz w:val="18"/>
          <w:lang w:val="it-IT"/>
        </w:rPr>
        <w:t>Prema službenoj proračunskoj nomenklaturi.</w:t>
      </w:r>
    </w:p>
  </w:footnote>
  <w:footnote w:id="46">
    <w:p w14:paraId="65B4D9A5" w14:textId="77777777" w:rsidR="004515FC" w:rsidRPr="000B3838" w:rsidRDefault="004515FC" w:rsidP="004515FC">
      <w:pPr>
        <w:pStyle w:val="FootnoteText"/>
        <w:rPr>
          <w:lang w:val="it-IT"/>
        </w:rPr>
      </w:pPr>
      <w:r>
        <w:rPr>
          <w:rStyle w:val="FootnoteReference0"/>
        </w:rPr>
        <w:footnoteRef/>
      </w:r>
      <w:r w:rsidRPr="000B3838">
        <w:rPr>
          <w:lang w:val="it-IT"/>
        </w:rPr>
        <w:tab/>
      </w:r>
      <w:r w:rsidRPr="000B3838">
        <w:rPr>
          <w:sz w:val="18"/>
          <w:lang w:val="it-IT"/>
        </w:rPr>
        <w:t>Tehnička i/ili administrativna pomoć i rashodi za potporu provedbi programa i/ili djelovanja EU-a (prijašnje linije „BA”), neizravno istraživanje, izravno istraživanje.</w:t>
      </w:r>
    </w:p>
  </w:footnote>
  <w:footnote w:id="47">
    <w:p w14:paraId="660E7E0F" w14:textId="77777777" w:rsidR="004515FC" w:rsidRPr="000B3838" w:rsidRDefault="004515FC" w:rsidP="004515FC">
      <w:pPr>
        <w:pStyle w:val="FootnoteText"/>
        <w:rPr>
          <w:sz w:val="18"/>
          <w:lang w:val="it-IT"/>
        </w:rPr>
      </w:pPr>
      <w:r>
        <w:rPr>
          <w:rStyle w:val="FootnoteReference0"/>
        </w:rPr>
        <w:footnoteRef/>
      </w:r>
      <w:r w:rsidRPr="000B3838">
        <w:rPr>
          <w:lang w:val="it-IT"/>
        </w:rPr>
        <w:tab/>
      </w:r>
      <w:r w:rsidRPr="000B3838">
        <w:rPr>
          <w:sz w:val="18"/>
          <w:lang w:val="it-IT"/>
        </w:rPr>
        <w:t>Buduće financijske posljedice ove inicijative za godine nakon 2027. ne dovode u pitanje VFO nakon 2027.</w:t>
      </w:r>
    </w:p>
  </w:footnote>
  <w:footnote w:id="48">
    <w:p w14:paraId="5506ED99" w14:textId="77777777" w:rsidR="004515FC" w:rsidRPr="000B3838" w:rsidRDefault="004515FC" w:rsidP="004515FC">
      <w:pPr>
        <w:pStyle w:val="FootnoteText"/>
        <w:rPr>
          <w:lang w:val="it-IT"/>
        </w:rPr>
      </w:pPr>
      <w:r>
        <w:rPr>
          <w:rStyle w:val="FootnoteReference0"/>
        </w:rPr>
        <w:footnoteRef/>
      </w:r>
      <w:r w:rsidRPr="000B3838">
        <w:rPr>
          <w:lang w:val="it-IT"/>
        </w:rPr>
        <w:tab/>
        <w:t>Rezultati se odnose na proizvode i usluge koji se isporučuju (npr.: broj financiranih studentskih razmjena, kilometri izgrađenih prometnica itd.).</w:t>
      </w:r>
    </w:p>
  </w:footnote>
  <w:footnote w:id="49">
    <w:p w14:paraId="05D5F2DB" w14:textId="77777777" w:rsidR="004515FC" w:rsidRPr="000B3838" w:rsidRDefault="004515FC" w:rsidP="004515FC">
      <w:pPr>
        <w:pStyle w:val="FootnoteText"/>
        <w:rPr>
          <w:lang w:val="fr-FR"/>
        </w:rPr>
      </w:pPr>
      <w:r>
        <w:rPr>
          <w:rStyle w:val="FootnoteReference0"/>
        </w:rPr>
        <w:footnoteRef/>
      </w:r>
      <w:r w:rsidRPr="000B3838">
        <w:rPr>
          <w:lang w:val="fr-FR"/>
        </w:rPr>
        <w:tab/>
        <w:t xml:space="preserve">Kako je opisan u točki 1.4.2. „Specifični ciljevi…” </w:t>
      </w:r>
    </w:p>
  </w:footnote>
  <w:footnote w:id="50">
    <w:p w14:paraId="7BD28117" w14:textId="77777777" w:rsidR="004515FC" w:rsidRPr="000B3838" w:rsidRDefault="004515FC" w:rsidP="004515FC">
      <w:pPr>
        <w:pStyle w:val="FootnoteText"/>
        <w:rPr>
          <w:lang w:val="fr-FR"/>
        </w:rPr>
      </w:pPr>
      <w:r>
        <w:rPr>
          <w:rStyle w:val="FootnoteReference0"/>
        </w:rPr>
        <w:footnoteRef/>
      </w:r>
      <w:r w:rsidRPr="000B3838">
        <w:rPr>
          <w:lang w:val="fr-FR"/>
        </w:rPr>
        <w:tab/>
      </w:r>
      <w:r w:rsidRPr="000B3838">
        <w:rPr>
          <w:sz w:val="18"/>
          <w:lang w:val="fr-FR"/>
        </w:rPr>
        <w:t>Tehnička i/ili administrativna pomoć i rashodi za potporu provedbi programa i/ili djelovanja EU-a (prijašnje linije „BA”), neizravno istraživanje, izravno istraživanje.</w:t>
      </w:r>
    </w:p>
  </w:footnote>
  <w:footnote w:id="51">
    <w:p w14:paraId="55AF3EC6" w14:textId="77777777" w:rsidR="004515FC" w:rsidRPr="000B3838" w:rsidRDefault="004515FC" w:rsidP="004515FC">
      <w:pPr>
        <w:pStyle w:val="FootnoteText"/>
        <w:rPr>
          <w:lang w:val="fr-FR"/>
        </w:rPr>
      </w:pPr>
      <w:r>
        <w:rPr>
          <w:rStyle w:val="FootnoteReference0"/>
        </w:rPr>
        <w:footnoteRef/>
      </w:r>
      <w:r w:rsidRPr="000B3838">
        <w:rPr>
          <w:lang w:val="fr-FR"/>
        </w:rPr>
        <w:tab/>
        <w:t>U okviru gornje granice za vanjsko osoblje iz odobrenih sredstava za poslovanje (prijašnje linije „BA”).</w:t>
      </w:r>
    </w:p>
  </w:footnote>
  <w:footnote w:id="52">
    <w:p w14:paraId="3F080FAA" w14:textId="77777777" w:rsidR="004515FC" w:rsidRPr="000B3838" w:rsidRDefault="004515FC" w:rsidP="004515FC">
      <w:pPr>
        <w:pStyle w:val="FootnoteText"/>
        <w:rPr>
          <w:lang w:val="it-IT"/>
        </w:rPr>
      </w:pPr>
      <w:r>
        <w:rPr>
          <w:rStyle w:val="FootnoteReference0"/>
        </w:rPr>
        <w:footnoteRef/>
      </w:r>
      <w:r w:rsidRPr="000B3838">
        <w:rPr>
          <w:lang w:val="it-IT"/>
        </w:rPr>
        <w:tab/>
        <w:t>Godina N je godina početka provedbe prijedloga/inicijative. Umjesto „N” upisati predviđenu prvu godinu provedbe (na primjer: 2021.). Isto vrijedi i za ostale godine.</w:t>
      </w:r>
    </w:p>
  </w:footnote>
  <w:footnote w:id="53">
    <w:p w14:paraId="334DCF84" w14:textId="77777777" w:rsidR="004515FC" w:rsidRPr="000B3838" w:rsidRDefault="004515FC" w:rsidP="004515FC">
      <w:pPr>
        <w:pStyle w:val="FootnoteText"/>
        <w:rPr>
          <w:lang w:val="it-IT"/>
        </w:rPr>
      </w:pPr>
      <w:r>
        <w:rPr>
          <w:rStyle w:val="FootnoteReference0"/>
        </w:rPr>
        <w:footnoteRef/>
      </w:r>
      <w:r w:rsidRPr="000B3838">
        <w:rPr>
          <w:lang w:val="it-IT"/>
        </w:rPr>
        <w:tab/>
        <w:t>Kad je riječ o tradicionalnim vlastitim sredstvima (carine, pristojbe na šećer), navedeni iznosi moraju biti neto iznosi, to jest bruto iznosi nakon odbitka od 20 % na ime troškova naplate.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EDE6" w14:textId="77777777" w:rsidR="004D0F60" w:rsidRDefault="004D0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D61E" w14:textId="77777777" w:rsidR="004D0F60" w:rsidRDefault="004D0F60" w:rsidP="004D0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9C39" w14:textId="77777777" w:rsidR="004D0F60" w:rsidRPr="004D0F60" w:rsidRDefault="004D0F60" w:rsidP="004D0F60">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70FE" w14:textId="77777777" w:rsidR="004D0F60" w:rsidRPr="004D0F60" w:rsidRDefault="004D0F60" w:rsidP="004D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554E52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1822A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E3E772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AC39E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20"/>
  </w:num>
  <w:num w:numId="11">
    <w:abstractNumId w:val="19"/>
  </w:num>
  <w:num w:numId="12">
    <w:abstractNumId w:val="28"/>
  </w:num>
  <w:num w:numId="13">
    <w:abstractNumId w:val="5"/>
  </w:num>
  <w:num w:numId="14">
    <w:abstractNumId w:val="13"/>
  </w:num>
  <w:num w:numId="15">
    <w:abstractNumId w:val="6"/>
  </w:num>
  <w:num w:numId="16">
    <w:abstractNumId w:val="14"/>
  </w:num>
  <w:num w:numId="17">
    <w:abstractNumId w:val="12"/>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29"/>
    <w:lvlOverride w:ilvl="0">
      <w:startOverride w:val="1"/>
    </w:lvlOverride>
  </w:num>
  <w:num w:numId="23">
    <w:abstractNumId w:val="25"/>
  </w:num>
  <w:num w:numId="24">
    <w:abstractNumId w:val="15"/>
  </w:num>
  <w:num w:numId="25">
    <w:abstractNumId w:val="27"/>
  </w:num>
  <w:num w:numId="26">
    <w:abstractNumId w:val="10"/>
  </w:num>
  <w:num w:numId="27">
    <w:abstractNumId w:val="16"/>
  </w:num>
  <w:num w:numId="28">
    <w:abstractNumId w:val="17"/>
  </w:num>
  <w:num w:numId="29">
    <w:abstractNumId w:val="8"/>
  </w:num>
  <w:num w:numId="30">
    <w:abstractNumId w:val="26"/>
  </w:num>
  <w:num w:numId="31">
    <w:abstractNumId w:val="7"/>
  </w:num>
  <w:num w:numId="32">
    <w:abstractNumId w:val="18"/>
  </w:num>
  <w:num w:numId="33">
    <w:abstractNumId w:val="23"/>
  </w:num>
  <w:num w:numId="34">
    <w:abstractNumId w:val="24"/>
  </w:num>
  <w:num w:numId="35">
    <w:abstractNumId w:val="9"/>
  </w:num>
  <w:num w:numId="36">
    <w:abstractNumId w:val="22"/>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1-17 23:15: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3213A83-6291-4728-9416-B00DA7BB95A5"/>
    <w:docVar w:name="LW_COVERPAGE_TYPE" w:val="1"/>
    <w:docVar w:name="LW_CROSSREFERENCE" w:val="{SEC(2023) 930 final} - {SWD(2023) 940 final} - {SWD(2023) 941 final} - {SWD(2023) 942 final}"/>
    <w:docVar w:name="LW_DocType" w:val="COM"/>
    <w:docVar w:name="LW_EMISSION" w:val="6.12.2023."/>
    <w:docVar w:name="LW_EMISSION_ISODATE" w:val="2023-12-06"/>
    <w:docVar w:name="LW_EMISSION_LOCATION" w:val="BRX"/>
    <w:docVar w:name="LW_EMISSION_PREFIX" w:val="Bruxelles, "/>
    <w:docVar w:name="LW_EMISSION_SUFFIX" w:val="&lt;EMPTY&gt;"/>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NS"/>
    <w:docVar w:name="LW_REF.II.NEW.CP_NUMBER" w:val="0441"/>
    <w:docVar w:name="LW_REF.II.NEW.CP_YEAR" w:val="2023"/>
    <w:docVar w:name="LW_REF.INST.NEW" w:val="COM"/>
    <w:docVar w:name="LW_REF.INST.NEW_ADOPTED" w:val="final"/>
    <w:docVar w:name="LW_REF.INST.NEW_TEXT" w:val="(2023) 9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Direktive (EU) 2015/637 o mjerama koordinacije i suradnje za olak\u353?avanje pru\u382?anja konzularne za\u353?tite gra\u273?anima Unije bez predstavni\u353?tva u tre\u263?im zemljama i Direktive (EU) 2019/997 o uspostavljanju privremene putne isprave EU-a"/>
    <w:docVar w:name="LW_TYPE.DOC.CP" w:val="DIREKTIVE VIJE\u262?A"/>
    <w:docVar w:name="LwApiVersions" w:val="LW4CoDe 1.24.4.0; LW 9.0, Build 20240109"/>
  </w:docVars>
  <w:rsids>
    <w:rsidRoot w:val="00304682"/>
    <w:rsid w:val="00000343"/>
    <w:rsid w:val="00000899"/>
    <w:rsid w:val="00001F82"/>
    <w:rsid w:val="00002227"/>
    <w:rsid w:val="0000318D"/>
    <w:rsid w:val="000032F9"/>
    <w:rsid w:val="0000431A"/>
    <w:rsid w:val="00006515"/>
    <w:rsid w:val="00006E2C"/>
    <w:rsid w:val="00007417"/>
    <w:rsid w:val="000074C4"/>
    <w:rsid w:val="00007503"/>
    <w:rsid w:val="000101AA"/>
    <w:rsid w:val="0001141D"/>
    <w:rsid w:val="00011F86"/>
    <w:rsid w:val="00013072"/>
    <w:rsid w:val="00013E77"/>
    <w:rsid w:val="00014C91"/>
    <w:rsid w:val="00014DB3"/>
    <w:rsid w:val="00015392"/>
    <w:rsid w:val="00015400"/>
    <w:rsid w:val="00016113"/>
    <w:rsid w:val="000162F0"/>
    <w:rsid w:val="00017137"/>
    <w:rsid w:val="0002093B"/>
    <w:rsid w:val="00020D4E"/>
    <w:rsid w:val="00021B16"/>
    <w:rsid w:val="00022AF9"/>
    <w:rsid w:val="000238AA"/>
    <w:rsid w:val="000248B4"/>
    <w:rsid w:val="000256FF"/>
    <w:rsid w:val="00025FC2"/>
    <w:rsid w:val="000266CF"/>
    <w:rsid w:val="00026C2D"/>
    <w:rsid w:val="00026F16"/>
    <w:rsid w:val="00027847"/>
    <w:rsid w:val="000325A5"/>
    <w:rsid w:val="00032B67"/>
    <w:rsid w:val="00032D86"/>
    <w:rsid w:val="00033669"/>
    <w:rsid w:val="000336DE"/>
    <w:rsid w:val="000343B1"/>
    <w:rsid w:val="0003493F"/>
    <w:rsid w:val="00034B75"/>
    <w:rsid w:val="00035988"/>
    <w:rsid w:val="00036051"/>
    <w:rsid w:val="000368EE"/>
    <w:rsid w:val="00036D49"/>
    <w:rsid w:val="00037034"/>
    <w:rsid w:val="00037296"/>
    <w:rsid w:val="000375B0"/>
    <w:rsid w:val="000375B7"/>
    <w:rsid w:val="00037834"/>
    <w:rsid w:val="00041A62"/>
    <w:rsid w:val="00041E78"/>
    <w:rsid w:val="0004204B"/>
    <w:rsid w:val="000423B1"/>
    <w:rsid w:val="0004382B"/>
    <w:rsid w:val="00044A4F"/>
    <w:rsid w:val="0004541E"/>
    <w:rsid w:val="00045A99"/>
    <w:rsid w:val="00045BBF"/>
    <w:rsid w:val="00045D72"/>
    <w:rsid w:val="00046B1A"/>
    <w:rsid w:val="00047193"/>
    <w:rsid w:val="00047576"/>
    <w:rsid w:val="0005066C"/>
    <w:rsid w:val="000543E8"/>
    <w:rsid w:val="000555EC"/>
    <w:rsid w:val="0005597F"/>
    <w:rsid w:val="00055E73"/>
    <w:rsid w:val="00056AA9"/>
    <w:rsid w:val="00056ED6"/>
    <w:rsid w:val="000575A6"/>
    <w:rsid w:val="00057CCC"/>
    <w:rsid w:val="000611DE"/>
    <w:rsid w:val="00061C04"/>
    <w:rsid w:val="000621C0"/>
    <w:rsid w:val="00062F10"/>
    <w:rsid w:val="0006305E"/>
    <w:rsid w:val="0006318D"/>
    <w:rsid w:val="00063428"/>
    <w:rsid w:val="000639AE"/>
    <w:rsid w:val="000642BB"/>
    <w:rsid w:val="0006518F"/>
    <w:rsid w:val="0006587B"/>
    <w:rsid w:val="00065D97"/>
    <w:rsid w:val="00067396"/>
    <w:rsid w:val="00067511"/>
    <w:rsid w:val="00067A15"/>
    <w:rsid w:val="0007003E"/>
    <w:rsid w:val="0007020B"/>
    <w:rsid w:val="00070790"/>
    <w:rsid w:val="00070A9E"/>
    <w:rsid w:val="00070B50"/>
    <w:rsid w:val="00070F1E"/>
    <w:rsid w:val="000712E7"/>
    <w:rsid w:val="00073C89"/>
    <w:rsid w:val="0007401F"/>
    <w:rsid w:val="00074DB7"/>
    <w:rsid w:val="00075268"/>
    <w:rsid w:val="00076695"/>
    <w:rsid w:val="00076998"/>
    <w:rsid w:val="00077250"/>
    <w:rsid w:val="0007780B"/>
    <w:rsid w:val="00080128"/>
    <w:rsid w:val="00080762"/>
    <w:rsid w:val="00082881"/>
    <w:rsid w:val="00083A53"/>
    <w:rsid w:val="000846AD"/>
    <w:rsid w:val="00086412"/>
    <w:rsid w:val="00086700"/>
    <w:rsid w:val="00087922"/>
    <w:rsid w:val="000906DB"/>
    <w:rsid w:val="00093059"/>
    <w:rsid w:val="0009439B"/>
    <w:rsid w:val="000949C1"/>
    <w:rsid w:val="00096159"/>
    <w:rsid w:val="000964EE"/>
    <w:rsid w:val="000A0D91"/>
    <w:rsid w:val="000A2187"/>
    <w:rsid w:val="000A33C1"/>
    <w:rsid w:val="000A455A"/>
    <w:rsid w:val="000A49B5"/>
    <w:rsid w:val="000A5990"/>
    <w:rsid w:val="000A5E41"/>
    <w:rsid w:val="000A6714"/>
    <w:rsid w:val="000A6939"/>
    <w:rsid w:val="000A6E9C"/>
    <w:rsid w:val="000A77EE"/>
    <w:rsid w:val="000B004E"/>
    <w:rsid w:val="000B0A90"/>
    <w:rsid w:val="000B1778"/>
    <w:rsid w:val="000B1F37"/>
    <w:rsid w:val="000B2B48"/>
    <w:rsid w:val="000B3838"/>
    <w:rsid w:val="000B414D"/>
    <w:rsid w:val="000B4335"/>
    <w:rsid w:val="000B4DAC"/>
    <w:rsid w:val="000B510C"/>
    <w:rsid w:val="000B5608"/>
    <w:rsid w:val="000B5B9C"/>
    <w:rsid w:val="000B654D"/>
    <w:rsid w:val="000B704A"/>
    <w:rsid w:val="000B7065"/>
    <w:rsid w:val="000B741C"/>
    <w:rsid w:val="000B7460"/>
    <w:rsid w:val="000B7D8C"/>
    <w:rsid w:val="000C01EE"/>
    <w:rsid w:val="000C0306"/>
    <w:rsid w:val="000C078F"/>
    <w:rsid w:val="000C1436"/>
    <w:rsid w:val="000C3AAD"/>
    <w:rsid w:val="000C47B4"/>
    <w:rsid w:val="000C4F13"/>
    <w:rsid w:val="000C4F48"/>
    <w:rsid w:val="000C550E"/>
    <w:rsid w:val="000C74A0"/>
    <w:rsid w:val="000C7BAC"/>
    <w:rsid w:val="000C7E6F"/>
    <w:rsid w:val="000D1E36"/>
    <w:rsid w:val="000D2094"/>
    <w:rsid w:val="000D2657"/>
    <w:rsid w:val="000D2956"/>
    <w:rsid w:val="000D3809"/>
    <w:rsid w:val="000D3AEA"/>
    <w:rsid w:val="000D5131"/>
    <w:rsid w:val="000D6D61"/>
    <w:rsid w:val="000D75DE"/>
    <w:rsid w:val="000D7655"/>
    <w:rsid w:val="000D76C3"/>
    <w:rsid w:val="000D7C7D"/>
    <w:rsid w:val="000E2D9B"/>
    <w:rsid w:val="000E36DC"/>
    <w:rsid w:val="000E3BB1"/>
    <w:rsid w:val="000E4BD9"/>
    <w:rsid w:val="000E7078"/>
    <w:rsid w:val="000E75BA"/>
    <w:rsid w:val="000E760E"/>
    <w:rsid w:val="000E7665"/>
    <w:rsid w:val="000F20B7"/>
    <w:rsid w:val="000F380A"/>
    <w:rsid w:val="000F3EAD"/>
    <w:rsid w:val="000F443F"/>
    <w:rsid w:val="000F7D0D"/>
    <w:rsid w:val="0010024E"/>
    <w:rsid w:val="001012F9"/>
    <w:rsid w:val="00101399"/>
    <w:rsid w:val="0010158C"/>
    <w:rsid w:val="00102322"/>
    <w:rsid w:val="00102B23"/>
    <w:rsid w:val="00102C5F"/>
    <w:rsid w:val="00104EA1"/>
    <w:rsid w:val="0010566E"/>
    <w:rsid w:val="001056AF"/>
    <w:rsid w:val="00105C7A"/>
    <w:rsid w:val="001065F5"/>
    <w:rsid w:val="001068AC"/>
    <w:rsid w:val="00106FCC"/>
    <w:rsid w:val="00107544"/>
    <w:rsid w:val="00107ACA"/>
    <w:rsid w:val="00108063"/>
    <w:rsid w:val="001111E7"/>
    <w:rsid w:val="0011129E"/>
    <w:rsid w:val="001116D0"/>
    <w:rsid w:val="001131EC"/>
    <w:rsid w:val="001135C7"/>
    <w:rsid w:val="00114815"/>
    <w:rsid w:val="00114A90"/>
    <w:rsid w:val="00114D44"/>
    <w:rsid w:val="0011541A"/>
    <w:rsid w:val="001173E6"/>
    <w:rsid w:val="00120632"/>
    <w:rsid w:val="00120DF3"/>
    <w:rsid w:val="00121044"/>
    <w:rsid w:val="00122010"/>
    <w:rsid w:val="00122454"/>
    <w:rsid w:val="00122A28"/>
    <w:rsid w:val="001238EF"/>
    <w:rsid w:val="00123918"/>
    <w:rsid w:val="00124A27"/>
    <w:rsid w:val="00125625"/>
    <w:rsid w:val="0012564F"/>
    <w:rsid w:val="00127D10"/>
    <w:rsid w:val="001324B5"/>
    <w:rsid w:val="00134147"/>
    <w:rsid w:val="001347B5"/>
    <w:rsid w:val="00134D92"/>
    <w:rsid w:val="0013690D"/>
    <w:rsid w:val="00136CF0"/>
    <w:rsid w:val="00137907"/>
    <w:rsid w:val="00137BE8"/>
    <w:rsid w:val="00140448"/>
    <w:rsid w:val="00141EC8"/>
    <w:rsid w:val="00142EA6"/>
    <w:rsid w:val="00143818"/>
    <w:rsid w:val="00143D70"/>
    <w:rsid w:val="00144701"/>
    <w:rsid w:val="001465C4"/>
    <w:rsid w:val="001474F2"/>
    <w:rsid w:val="001476A6"/>
    <w:rsid w:val="0014799F"/>
    <w:rsid w:val="00147B8C"/>
    <w:rsid w:val="001508F4"/>
    <w:rsid w:val="001509F4"/>
    <w:rsid w:val="00150B33"/>
    <w:rsid w:val="00150F29"/>
    <w:rsid w:val="0015154B"/>
    <w:rsid w:val="00151B44"/>
    <w:rsid w:val="0015259E"/>
    <w:rsid w:val="00153985"/>
    <w:rsid w:val="00153C5C"/>
    <w:rsid w:val="001544B0"/>
    <w:rsid w:val="00155058"/>
    <w:rsid w:val="00155527"/>
    <w:rsid w:val="00155823"/>
    <w:rsid w:val="00160A6F"/>
    <w:rsid w:val="0016197D"/>
    <w:rsid w:val="00161C52"/>
    <w:rsid w:val="00162A93"/>
    <w:rsid w:val="001632EC"/>
    <w:rsid w:val="001635A3"/>
    <w:rsid w:val="00164513"/>
    <w:rsid w:val="001645B6"/>
    <w:rsid w:val="00164904"/>
    <w:rsid w:val="00165069"/>
    <w:rsid w:val="00165E8A"/>
    <w:rsid w:val="001660B2"/>
    <w:rsid w:val="00167133"/>
    <w:rsid w:val="00167524"/>
    <w:rsid w:val="00167BD0"/>
    <w:rsid w:val="00167F34"/>
    <w:rsid w:val="0017010D"/>
    <w:rsid w:val="00170357"/>
    <w:rsid w:val="00170A52"/>
    <w:rsid w:val="0017188F"/>
    <w:rsid w:val="00174109"/>
    <w:rsid w:val="00174542"/>
    <w:rsid w:val="00175E9C"/>
    <w:rsid w:val="00176EE7"/>
    <w:rsid w:val="0018060C"/>
    <w:rsid w:val="001806D9"/>
    <w:rsid w:val="0018084E"/>
    <w:rsid w:val="001809F0"/>
    <w:rsid w:val="00180EEF"/>
    <w:rsid w:val="00181FA9"/>
    <w:rsid w:val="001826B5"/>
    <w:rsid w:val="00182830"/>
    <w:rsid w:val="001831D5"/>
    <w:rsid w:val="001831F6"/>
    <w:rsid w:val="00184B24"/>
    <w:rsid w:val="00185188"/>
    <w:rsid w:val="00185925"/>
    <w:rsid w:val="00185EAA"/>
    <w:rsid w:val="001863A8"/>
    <w:rsid w:val="0018717A"/>
    <w:rsid w:val="001923C2"/>
    <w:rsid w:val="00192403"/>
    <w:rsid w:val="001944CB"/>
    <w:rsid w:val="0019500F"/>
    <w:rsid w:val="001950C1"/>
    <w:rsid w:val="001958FE"/>
    <w:rsid w:val="00197613"/>
    <w:rsid w:val="00197657"/>
    <w:rsid w:val="001979B8"/>
    <w:rsid w:val="00197FBE"/>
    <w:rsid w:val="001A0392"/>
    <w:rsid w:val="001A07A5"/>
    <w:rsid w:val="001A12C5"/>
    <w:rsid w:val="001A1499"/>
    <w:rsid w:val="001A14C2"/>
    <w:rsid w:val="001A1700"/>
    <w:rsid w:val="001A1AB4"/>
    <w:rsid w:val="001A240B"/>
    <w:rsid w:val="001A3420"/>
    <w:rsid w:val="001A3579"/>
    <w:rsid w:val="001A3B6D"/>
    <w:rsid w:val="001A5D9D"/>
    <w:rsid w:val="001A6449"/>
    <w:rsid w:val="001B04D1"/>
    <w:rsid w:val="001B11D6"/>
    <w:rsid w:val="001B25B6"/>
    <w:rsid w:val="001B3455"/>
    <w:rsid w:val="001B606A"/>
    <w:rsid w:val="001B6198"/>
    <w:rsid w:val="001B627D"/>
    <w:rsid w:val="001B6B2C"/>
    <w:rsid w:val="001B7F4B"/>
    <w:rsid w:val="001B7F8F"/>
    <w:rsid w:val="001C016B"/>
    <w:rsid w:val="001C02CB"/>
    <w:rsid w:val="001C04F2"/>
    <w:rsid w:val="001C38BF"/>
    <w:rsid w:val="001C4EC6"/>
    <w:rsid w:val="001C5FE1"/>
    <w:rsid w:val="001C6337"/>
    <w:rsid w:val="001C7246"/>
    <w:rsid w:val="001C7B8B"/>
    <w:rsid w:val="001D020E"/>
    <w:rsid w:val="001D049E"/>
    <w:rsid w:val="001D1B5D"/>
    <w:rsid w:val="001D1F5C"/>
    <w:rsid w:val="001D2176"/>
    <w:rsid w:val="001D570D"/>
    <w:rsid w:val="001D614D"/>
    <w:rsid w:val="001D622C"/>
    <w:rsid w:val="001D7EF3"/>
    <w:rsid w:val="001E017C"/>
    <w:rsid w:val="001E0744"/>
    <w:rsid w:val="001E0CE5"/>
    <w:rsid w:val="001E293A"/>
    <w:rsid w:val="001E346C"/>
    <w:rsid w:val="001E44F6"/>
    <w:rsid w:val="001E4E4F"/>
    <w:rsid w:val="001E62D4"/>
    <w:rsid w:val="001F0985"/>
    <w:rsid w:val="001F1904"/>
    <w:rsid w:val="001F25CB"/>
    <w:rsid w:val="001F2FF3"/>
    <w:rsid w:val="001F3188"/>
    <w:rsid w:val="001F3B0D"/>
    <w:rsid w:val="001F42B4"/>
    <w:rsid w:val="001F5285"/>
    <w:rsid w:val="001F585E"/>
    <w:rsid w:val="001F6B8A"/>
    <w:rsid w:val="001F6E33"/>
    <w:rsid w:val="001F738A"/>
    <w:rsid w:val="0020001A"/>
    <w:rsid w:val="002012A1"/>
    <w:rsid w:val="0020148E"/>
    <w:rsid w:val="002016EA"/>
    <w:rsid w:val="00203193"/>
    <w:rsid w:val="0020417F"/>
    <w:rsid w:val="002050AA"/>
    <w:rsid w:val="00205442"/>
    <w:rsid w:val="002064C1"/>
    <w:rsid w:val="00206FAF"/>
    <w:rsid w:val="0021013E"/>
    <w:rsid w:val="00210398"/>
    <w:rsid w:val="002109E6"/>
    <w:rsid w:val="002112E0"/>
    <w:rsid w:val="00211484"/>
    <w:rsid w:val="00211A23"/>
    <w:rsid w:val="00211A63"/>
    <w:rsid w:val="00211A7C"/>
    <w:rsid w:val="0021211C"/>
    <w:rsid w:val="002136B3"/>
    <w:rsid w:val="00214394"/>
    <w:rsid w:val="00214722"/>
    <w:rsid w:val="00214E0F"/>
    <w:rsid w:val="00215C58"/>
    <w:rsid w:val="00216FA7"/>
    <w:rsid w:val="00217FFA"/>
    <w:rsid w:val="00221292"/>
    <w:rsid w:val="002218F4"/>
    <w:rsid w:val="0022293B"/>
    <w:rsid w:val="00223B2A"/>
    <w:rsid w:val="00224195"/>
    <w:rsid w:val="00224625"/>
    <w:rsid w:val="00225147"/>
    <w:rsid w:val="00225215"/>
    <w:rsid w:val="002274B2"/>
    <w:rsid w:val="002312CF"/>
    <w:rsid w:val="00231D8C"/>
    <w:rsid w:val="002323BC"/>
    <w:rsid w:val="00232B91"/>
    <w:rsid w:val="00233684"/>
    <w:rsid w:val="00233DC7"/>
    <w:rsid w:val="002349E1"/>
    <w:rsid w:val="00234C36"/>
    <w:rsid w:val="0023533D"/>
    <w:rsid w:val="0023543B"/>
    <w:rsid w:val="00235D3F"/>
    <w:rsid w:val="002373EE"/>
    <w:rsid w:val="00237B85"/>
    <w:rsid w:val="002400B2"/>
    <w:rsid w:val="0024148F"/>
    <w:rsid w:val="002416C2"/>
    <w:rsid w:val="002419E8"/>
    <w:rsid w:val="002425E3"/>
    <w:rsid w:val="002425FC"/>
    <w:rsid w:val="00243905"/>
    <w:rsid w:val="00244BCC"/>
    <w:rsid w:val="002452E5"/>
    <w:rsid w:val="00245384"/>
    <w:rsid w:val="00245D1F"/>
    <w:rsid w:val="002460C2"/>
    <w:rsid w:val="0024624A"/>
    <w:rsid w:val="0024654A"/>
    <w:rsid w:val="00247055"/>
    <w:rsid w:val="00247779"/>
    <w:rsid w:val="00247B79"/>
    <w:rsid w:val="00247C72"/>
    <w:rsid w:val="0025120F"/>
    <w:rsid w:val="0025155E"/>
    <w:rsid w:val="00251A6E"/>
    <w:rsid w:val="00252E1E"/>
    <w:rsid w:val="002531B1"/>
    <w:rsid w:val="00253AD8"/>
    <w:rsid w:val="002541EC"/>
    <w:rsid w:val="0025438E"/>
    <w:rsid w:val="00254923"/>
    <w:rsid w:val="0025600F"/>
    <w:rsid w:val="002564BB"/>
    <w:rsid w:val="00256641"/>
    <w:rsid w:val="00256903"/>
    <w:rsid w:val="00260643"/>
    <w:rsid w:val="002616A5"/>
    <w:rsid w:val="00261E45"/>
    <w:rsid w:val="00261EFC"/>
    <w:rsid w:val="00262674"/>
    <w:rsid w:val="0026292D"/>
    <w:rsid w:val="00263064"/>
    <w:rsid w:val="0026346F"/>
    <w:rsid w:val="00263C08"/>
    <w:rsid w:val="0026528B"/>
    <w:rsid w:val="002653B6"/>
    <w:rsid w:val="00265B64"/>
    <w:rsid w:val="00267566"/>
    <w:rsid w:val="0026781A"/>
    <w:rsid w:val="00270263"/>
    <w:rsid w:val="002707EC"/>
    <w:rsid w:val="002708D3"/>
    <w:rsid w:val="002710FB"/>
    <w:rsid w:val="00271FE7"/>
    <w:rsid w:val="0027336E"/>
    <w:rsid w:val="002735D2"/>
    <w:rsid w:val="00273CFE"/>
    <w:rsid w:val="002752F0"/>
    <w:rsid w:val="00275DE6"/>
    <w:rsid w:val="00275E72"/>
    <w:rsid w:val="00276800"/>
    <w:rsid w:val="00276CDB"/>
    <w:rsid w:val="0027739B"/>
    <w:rsid w:val="00280DFE"/>
    <w:rsid w:val="002815FF"/>
    <w:rsid w:val="00281FDD"/>
    <w:rsid w:val="00282B53"/>
    <w:rsid w:val="0028520A"/>
    <w:rsid w:val="00285BEE"/>
    <w:rsid w:val="00285E9B"/>
    <w:rsid w:val="00285F5E"/>
    <w:rsid w:val="002872FB"/>
    <w:rsid w:val="0028789A"/>
    <w:rsid w:val="002902B0"/>
    <w:rsid w:val="0029075F"/>
    <w:rsid w:val="00290DC1"/>
    <w:rsid w:val="00290DC8"/>
    <w:rsid w:val="00291112"/>
    <w:rsid w:val="0029161D"/>
    <w:rsid w:val="00291B69"/>
    <w:rsid w:val="002922E2"/>
    <w:rsid w:val="00292381"/>
    <w:rsid w:val="002923CD"/>
    <w:rsid w:val="00292B29"/>
    <w:rsid w:val="002930B0"/>
    <w:rsid w:val="00293159"/>
    <w:rsid w:val="00293F17"/>
    <w:rsid w:val="0029484E"/>
    <w:rsid w:val="00294ECB"/>
    <w:rsid w:val="0029533F"/>
    <w:rsid w:val="0029546D"/>
    <w:rsid w:val="002958E9"/>
    <w:rsid w:val="00297114"/>
    <w:rsid w:val="002976A8"/>
    <w:rsid w:val="00297FBB"/>
    <w:rsid w:val="002A00FA"/>
    <w:rsid w:val="002A0366"/>
    <w:rsid w:val="002A0D1E"/>
    <w:rsid w:val="002A1A3B"/>
    <w:rsid w:val="002A1DE9"/>
    <w:rsid w:val="002A1F6D"/>
    <w:rsid w:val="002A2B2C"/>
    <w:rsid w:val="002A30C7"/>
    <w:rsid w:val="002A33A3"/>
    <w:rsid w:val="002A520A"/>
    <w:rsid w:val="002A526D"/>
    <w:rsid w:val="002A529A"/>
    <w:rsid w:val="002A596A"/>
    <w:rsid w:val="002A5B15"/>
    <w:rsid w:val="002B0217"/>
    <w:rsid w:val="002B16E7"/>
    <w:rsid w:val="002B1B6B"/>
    <w:rsid w:val="002B2440"/>
    <w:rsid w:val="002B30AF"/>
    <w:rsid w:val="002B30D2"/>
    <w:rsid w:val="002B5404"/>
    <w:rsid w:val="002B6357"/>
    <w:rsid w:val="002B6CCE"/>
    <w:rsid w:val="002B73CA"/>
    <w:rsid w:val="002C04A0"/>
    <w:rsid w:val="002C064E"/>
    <w:rsid w:val="002C0DE8"/>
    <w:rsid w:val="002C51B6"/>
    <w:rsid w:val="002C6CBC"/>
    <w:rsid w:val="002C7138"/>
    <w:rsid w:val="002C72BE"/>
    <w:rsid w:val="002D09EF"/>
    <w:rsid w:val="002D12E7"/>
    <w:rsid w:val="002D1A62"/>
    <w:rsid w:val="002D1C75"/>
    <w:rsid w:val="002D1F4B"/>
    <w:rsid w:val="002D2D2B"/>
    <w:rsid w:val="002D3760"/>
    <w:rsid w:val="002D4450"/>
    <w:rsid w:val="002D50E6"/>
    <w:rsid w:val="002D59DF"/>
    <w:rsid w:val="002D5ABF"/>
    <w:rsid w:val="002D610D"/>
    <w:rsid w:val="002D6706"/>
    <w:rsid w:val="002D6E92"/>
    <w:rsid w:val="002D703F"/>
    <w:rsid w:val="002E0A92"/>
    <w:rsid w:val="002E1B1E"/>
    <w:rsid w:val="002E22DE"/>
    <w:rsid w:val="002E3826"/>
    <w:rsid w:val="002E66B3"/>
    <w:rsid w:val="002E76E8"/>
    <w:rsid w:val="002F01E9"/>
    <w:rsid w:val="002F0B57"/>
    <w:rsid w:val="002F0BC9"/>
    <w:rsid w:val="002F1D63"/>
    <w:rsid w:val="002F265A"/>
    <w:rsid w:val="002F3171"/>
    <w:rsid w:val="002F34F2"/>
    <w:rsid w:val="002F3EA9"/>
    <w:rsid w:val="002F4773"/>
    <w:rsid w:val="002F5643"/>
    <w:rsid w:val="002F5D25"/>
    <w:rsid w:val="002F6E87"/>
    <w:rsid w:val="002F757C"/>
    <w:rsid w:val="002F7A2C"/>
    <w:rsid w:val="003008B6"/>
    <w:rsid w:val="00300AA9"/>
    <w:rsid w:val="00301F7D"/>
    <w:rsid w:val="00302CC9"/>
    <w:rsid w:val="003035FF"/>
    <w:rsid w:val="00303A5E"/>
    <w:rsid w:val="00303AF9"/>
    <w:rsid w:val="00304103"/>
    <w:rsid w:val="00304682"/>
    <w:rsid w:val="00304AE2"/>
    <w:rsid w:val="00304E94"/>
    <w:rsid w:val="00305AE9"/>
    <w:rsid w:val="00305DB3"/>
    <w:rsid w:val="00305F9C"/>
    <w:rsid w:val="003064AA"/>
    <w:rsid w:val="00307288"/>
    <w:rsid w:val="0030744B"/>
    <w:rsid w:val="00307463"/>
    <w:rsid w:val="003074AB"/>
    <w:rsid w:val="0031032C"/>
    <w:rsid w:val="00310523"/>
    <w:rsid w:val="00310F64"/>
    <w:rsid w:val="00312922"/>
    <w:rsid w:val="0031331A"/>
    <w:rsid w:val="003133D2"/>
    <w:rsid w:val="003136D4"/>
    <w:rsid w:val="0031494E"/>
    <w:rsid w:val="0031650A"/>
    <w:rsid w:val="003170C8"/>
    <w:rsid w:val="00320A43"/>
    <w:rsid w:val="00320F9F"/>
    <w:rsid w:val="00320FFB"/>
    <w:rsid w:val="00321158"/>
    <w:rsid w:val="00321C4D"/>
    <w:rsid w:val="00321F25"/>
    <w:rsid w:val="00322159"/>
    <w:rsid w:val="00322E7F"/>
    <w:rsid w:val="00323997"/>
    <w:rsid w:val="00323F73"/>
    <w:rsid w:val="00324741"/>
    <w:rsid w:val="00324C84"/>
    <w:rsid w:val="00324CCD"/>
    <w:rsid w:val="0032532D"/>
    <w:rsid w:val="0032541F"/>
    <w:rsid w:val="0032626B"/>
    <w:rsid w:val="0032693D"/>
    <w:rsid w:val="00326B79"/>
    <w:rsid w:val="00326DAD"/>
    <w:rsid w:val="00326EAE"/>
    <w:rsid w:val="00326F47"/>
    <w:rsid w:val="003270FB"/>
    <w:rsid w:val="0032784F"/>
    <w:rsid w:val="003279D4"/>
    <w:rsid w:val="003279E5"/>
    <w:rsid w:val="00331A96"/>
    <w:rsid w:val="00331F4C"/>
    <w:rsid w:val="00332346"/>
    <w:rsid w:val="00332809"/>
    <w:rsid w:val="0033344A"/>
    <w:rsid w:val="00333941"/>
    <w:rsid w:val="00333DCA"/>
    <w:rsid w:val="00334693"/>
    <w:rsid w:val="0033493C"/>
    <w:rsid w:val="00335134"/>
    <w:rsid w:val="00336215"/>
    <w:rsid w:val="0033656F"/>
    <w:rsid w:val="003371BF"/>
    <w:rsid w:val="003374F0"/>
    <w:rsid w:val="0033766D"/>
    <w:rsid w:val="003379B1"/>
    <w:rsid w:val="003379DC"/>
    <w:rsid w:val="003408C0"/>
    <w:rsid w:val="00340CD7"/>
    <w:rsid w:val="00340DFF"/>
    <w:rsid w:val="00340E58"/>
    <w:rsid w:val="00341426"/>
    <w:rsid w:val="003417EE"/>
    <w:rsid w:val="00341822"/>
    <w:rsid w:val="00341CBC"/>
    <w:rsid w:val="00341FE4"/>
    <w:rsid w:val="003423E7"/>
    <w:rsid w:val="00342708"/>
    <w:rsid w:val="00342C6C"/>
    <w:rsid w:val="0034372F"/>
    <w:rsid w:val="00343A0C"/>
    <w:rsid w:val="00343FFE"/>
    <w:rsid w:val="0034549D"/>
    <w:rsid w:val="00345919"/>
    <w:rsid w:val="00345AAE"/>
    <w:rsid w:val="00345AC4"/>
    <w:rsid w:val="0034727D"/>
    <w:rsid w:val="00347BDE"/>
    <w:rsid w:val="0035070C"/>
    <w:rsid w:val="00350AC6"/>
    <w:rsid w:val="00350C0A"/>
    <w:rsid w:val="00350DCC"/>
    <w:rsid w:val="0035313B"/>
    <w:rsid w:val="003536E4"/>
    <w:rsid w:val="003540A9"/>
    <w:rsid w:val="003543A8"/>
    <w:rsid w:val="00354FEC"/>
    <w:rsid w:val="00356157"/>
    <w:rsid w:val="003561A6"/>
    <w:rsid w:val="0035666C"/>
    <w:rsid w:val="00356831"/>
    <w:rsid w:val="00357A6E"/>
    <w:rsid w:val="00357FA8"/>
    <w:rsid w:val="00360205"/>
    <w:rsid w:val="00360B70"/>
    <w:rsid w:val="003625BA"/>
    <w:rsid w:val="0036366C"/>
    <w:rsid w:val="00363A8F"/>
    <w:rsid w:val="00364057"/>
    <w:rsid w:val="003640AB"/>
    <w:rsid w:val="0036412B"/>
    <w:rsid w:val="003643D5"/>
    <w:rsid w:val="00365391"/>
    <w:rsid w:val="003653B5"/>
    <w:rsid w:val="003654EB"/>
    <w:rsid w:val="003655DB"/>
    <w:rsid w:val="00365B48"/>
    <w:rsid w:val="00366745"/>
    <w:rsid w:val="00366ACB"/>
    <w:rsid w:val="00367F77"/>
    <w:rsid w:val="003714EE"/>
    <w:rsid w:val="00372B01"/>
    <w:rsid w:val="00373FA0"/>
    <w:rsid w:val="00373FC3"/>
    <w:rsid w:val="00374B40"/>
    <w:rsid w:val="00374D8E"/>
    <w:rsid w:val="003754DC"/>
    <w:rsid w:val="00375D75"/>
    <w:rsid w:val="00375ED8"/>
    <w:rsid w:val="00376CA0"/>
    <w:rsid w:val="00376D77"/>
    <w:rsid w:val="003772F1"/>
    <w:rsid w:val="003774F6"/>
    <w:rsid w:val="00380337"/>
    <w:rsid w:val="003805DE"/>
    <w:rsid w:val="003810E5"/>
    <w:rsid w:val="00381986"/>
    <w:rsid w:val="00381E33"/>
    <w:rsid w:val="003831B1"/>
    <w:rsid w:val="0038328D"/>
    <w:rsid w:val="00383756"/>
    <w:rsid w:val="003843FB"/>
    <w:rsid w:val="00384763"/>
    <w:rsid w:val="00386603"/>
    <w:rsid w:val="0038661C"/>
    <w:rsid w:val="003868AF"/>
    <w:rsid w:val="00386B62"/>
    <w:rsid w:val="00386C2A"/>
    <w:rsid w:val="00387651"/>
    <w:rsid w:val="00387769"/>
    <w:rsid w:val="00387BCD"/>
    <w:rsid w:val="00387C9B"/>
    <w:rsid w:val="0039063A"/>
    <w:rsid w:val="00391FD2"/>
    <w:rsid w:val="003922D0"/>
    <w:rsid w:val="003926B6"/>
    <w:rsid w:val="00392A25"/>
    <w:rsid w:val="00392DCB"/>
    <w:rsid w:val="003933D2"/>
    <w:rsid w:val="00393534"/>
    <w:rsid w:val="00393F3B"/>
    <w:rsid w:val="003956FA"/>
    <w:rsid w:val="00395ADB"/>
    <w:rsid w:val="00396076"/>
    <w:rsid w:val="0039660A"/>
    <w:rsid w:val="0039708B"/>
    <w:rsid w:val="003A0C05"/>
    <w:rsid w:val="003A1A87"/>
    <w:rsid w:val="003A1AA8"/>
    <w:rsid w:val="003A1E78"/>
    <w:rsid w:val="003A4B5B"/>
    <w:rsid w:val="003A5040"/>
    <w:rsid w:val="003A509B"/>
    <w:rsid w:val="003A65BE"/>
    <w:rsid w:val="003A70ED"/>
    <w:rsid w:val="003A7F52"/>
    <w:rsid w:val="003B0095"/>
    <w:rsid w:val="003B0D4F"/>
    <w:rsid w:val="003B217A"/>
    <w:rsid w:val="003B30E4"/>
    <w:rsid w:val="003B409E"/>
    <w:rsid w:val="003B5B49"/>
    <w:rsid w:val="003B623E"/>
    <w:rsid w:val="003B65D9"/>
    <w:rsid w:val="003B754E"/>
    <w:rsid w:val="003B7A17"/>
    <w:rsid w:val="003C0AE3"/>
    <w:rsid w:val="003C1095"/>
    <w:rsid w:val="003C230D"/>
    <w:rsid w:val="003C2343"/>
    <w:rsid w:val="003C2687"/>
    <w:rsid w:val="003C31FF"/>
    <w:rsid w:val="003C3B0D"/>
    <w:rsid w:val="003C6ABC"/>
    <w:rsid w:val="003C6DC3"/>
    <w:rsid w:val="003C7225"/>
    <w:rsid w:val="003D28C5"/>
    <w:rsid w:val="003D2D2C"/>
    <w:rsid w:val="003D330C"/>
    <w:rsid w:val="003D4174"/>
    <w:rsid w:val="003D520B"/>
    <w:rsid w:val="003D5933"/>
    <w:rsid w:val="003D616D"/>
    <w:rsid w:val="003D722F"/>
    <w:rsid w:val="003D7A3F"/>
    <w:rsid w:val="003D7EA9"/>
    <w:rsid w:val="003E0B90"/>
    <w:rsid w:val="003E22E6"/>
    <w:rsid w:val="003E4460"/>
    <w:rsid w:val="003E4B89"/>
    <w:rsid w:val="003E4C64"/>
    <w:rsid w:val="003E52C2"/>
    <w:rsid w:val="003E550C"/>
    <w:rsid w:val="003E6E1C"/>
    <w:rsid w:val="003E6E65"/>
    <w:rsid w:val="003F16EF"/>
    <w:rsid w:val="003F1F7B"/>
    <w:rsid w:val="003F28EC"/>
    <w:rsid w:val="003F2F6F"/>
    <w:rsid w:val="003F357E"/>
    <w:rsid w:val="003F3651"/>
    <w:rsid w:val="003F3CF4"/>
    <w:rsid w:val="003F3E8C"/>
    <w:rsid w:val="003F5006"/>
    <w:rsid w:val="003F6183"/>
    <w:rsid w:val="003F6BEA"/>
    <w:rsid w:val="003F7E06"/>
    <w:rsid w:val="00400081"/>
    <w:rsid w:val="0040029C"/>
    <w:rsid w:val="004004BF"/>
    <w:rsid w:val="00400D48"/>
    <w:rsid w:val="00400FAE"/>
    <w:rsid w:val="004027E6"/>
    <w:rsid w:val="00403222"/>
    <w:rsid w:val="00404B56"/>
    <w:rsid w:val="00404E37"/>
    <w:rsid w:val="0040525C"/>
    <w:rsid w:val="00407063"/>
    <w:rsid w:val="00407B9A"/>
    <w:rsid w:val="00410930"/>
    <w:rsid w:val="00410FA8"/>
    <w:rsid w:val="00411899"/>
    <w:rsid w:val="004122A7"/>
    <w:rsid w:val="004125C2"/>
    <w:rsid w:val="00412FD7"/>
    <w:rsid w:val="0041387B"/>
    <w:rsid w:val="00413B9C"/>
    <w:rsid w:val="00413C6F"/>
    <w:rsid w:val="00413D07"/>
    <w:rsid w:val="004145FD"/>
    <w:rsid w:val="0041533A"/>
    <w:rsid w:val="00415465"/>
    <w:rsid w:val="0041656D"/>
    <w:rsid w:val="0041753B"/>
    <w:rsid w:val="00420746"/>
    <w:rsid w:val="0042163E"/>
    <w:rsid w:val="00422CDF"/>
    <w:rsid w:val="00423CEA"/>
    <w:rsid w:val="00424715"/>
    <w:rsid w:val="00424B54"/>
    <w:rsid w:val="00424E12"/>
    <w:rsid w:val="0042648E"/>
    <w:rsid w:val="00426679"/>
    <w:rsid w:val="004268BD"/>
    <w:rsid w:val="00426CE4"/>
    <w:rsid w:val="004300DD"/>
    <w:rsid w:val="004307DE"/>
    <w:rsid w:val="00430AC1"/>
    <w:rsid w:val="00430E5D"/>
    <w:rsid w:val="004315C3"/>
    <w:rsid w:val="00431AFA"/>
    <w:rsid w:val="00433485"/>
    <w:rsid w:val="00435375"/>
    <w:rsid w:val="00435645"/>
    <w:rsid w:val="00435A0C"/>
    <w:rsid w:val="00437AFE"/>
    <w:rsid w:val="0044106B"/>
    <w:rsid w:val="004412E4"/>
    <w:rsid w:val="00442B0A"/>
    <w:rsid w:val="004431FC"/>
    <w:rsid w:val="00443C25"/>
    <w:rsid w:val="0044400F"/>
    <w:rsid w:val="00444B3D"/>
    <w:rsid w:val="00445C6E"/>
    <w:rsid w:val="00445E06"/>
    <w:rsid w:val="0044783B"/>
    <w:rsid w:val="004503D1"/>
    <w:rsid w:val="004515FC"/>
    <w:rsid w:val="00451A73"/>
    <w:rsid w:val="00452C63"/>
    <w:rsid w:val="00452CD9"/>
    <w:rsid w:val="00453309"/>
    <w:rsid w:val="00453B8A"/>
    <w:rsid w:val="00454074"/>
    <w:rsid w:val="00455FD7"/>
    <w:rsid w:val="00456511"/>
    <w:rsid w:val="004571D1"/>
    <w:rsid w:val="00457275"/>
    <w:rsid w:val="0045740F"/>
    <w:rsid w:val="00461F85"/>
    <w:rsid w:val="00462162"/>
    <w:rsid w:val="00462628"/>
    <w:rsid w:val="00462E45"/>
    <w:rsid w:val="004630CA"/>
    <w:rsid w:val="00464A03"/>
    <w:rsid w:val="004652A5"/>
    <w:rsid w:val="004663BD"/>
    <w:rsid w:val="004669A8"/>
    <w:rsid w:val="004673A4"/>
    <w:rsid w:val="004673B0"/>
    <w:rsid w:val="004675D1"/>
    <w:rsid w:val="00471990"/>
    <w:rsid w:val="00472401"/>
    <w:rsid w:val="00472416"/>
    <w:rsid w:val="0047348B"/>
    <w:rsid w:val="004738D9"/>
    <w:rsid w:val="00473DB7"/>
    <w:rsid w:val="004745D8"/>
    <w:rsid w:val="0047564D"/>
    <w:rsid w:val="004758AB"/>
    <w:rsid w:val="00477C13"/>
    <w:rsid w:val="00480771"/>
    <w:rsid w:val="00480BA4"/>
    <w:rsid w:val="004827CE"/>
    <w:rsid w:val="0048288A"/>
    <w:rsid w:val="00482991"/>
    <w:rsid w:val="00482DD5"/>
    <w:rsid w:val="0048361A"/>
    <w:rsid w:val="00483C81"/>
    <w:rsid w:val="004846E0"/>
    <w:rsid w:val="00484C8C"/>
    <w:rsid w:val="0048515B"/>
    <w:rsid w:val="0048551F"/>
    <w:rsid w:val="00485F3F"/>
    <w:rsid w:val="004867C2"/>
    <w:rsid w:val="004878F6"/>
    <w:rsid w:val="004907D9"/>
    <w:rsid w:val="00491215"/>
    <w:rsid w:val="00491694"/>
    <w:rsid w:val="0049213B"/>
    <w:rsid w:val="004925ED"/>
    <w:rsid w:val="004930BD"/>
    <w:rsid w:val="004936D2"/>
    <w:rsid w:val="004948C5"/>
    <w:rsid w:val="00494B3B"/>
    <w:rsid w:val="00496FF6"/>
    <w:rsid w:val="00497515"/>
    <w:rsid w:val="00497D6C"/>
    <w:rsid w:val="004A044D"/>
    <w:rsid w:val="004A0564"/>
    <w:rsid w:val="004A076F"/>
    <w:rsid w:val="004A1186"/>
    <w:rsid w:val="004A171D"/>
    <w:rsid w:val="004A187D"/>
    <w:rsid w:val="004A3034"/>
    <w:rsid w:val="004A31E4"/>
    <w:rsid w:val="004A3B7D"/>
    <w:rsid w:val="004A3CE0"/>
    <w:rsid w:val="004A4725"/>
    <w:rsid w:val="004A5C8F"/>
    <w:rsid w:val="004A5DFA"/>
    <w:rsid w:val="004A6865"/>
    <w:rsid w:val="004A6E2A"/>
    <w:rsid w:val="004B0D38"/>
    <w:rsid w:val="004B1135"/>
    <w:rsid w:val="004B3C56"/>
    <w:rsid w:val="004B53D4"/>
    <w:rsid w:val="004B68D6"/>
    <w:rsid w:val="004B7D4F"/>
    <w:rsid w:val="004C3CF1"/>
    <w:rsid w:val="004C40E5"/>
    <w:rsid w:val="004C5205"/>
    <w:rsid w:val="004C607E"/>
    <w:rsid w:val="004C77E5"/>
    <w:rsid w:val="004D09F0"/>
    <w:rsid w:val="004D0F60"/>
    <w:rsid w:val="004D14E4"/>
    <w:rsid w:val="004D1501"/>
    <w:rsid w:val="004D1635"/>
    <w:rsid w:val="004D1C16"/>
    <w:rsid w:val="004D2478"/>
    <w:rsid w:val="004D2679"/>
    <w:rsid w:val="004D28EC"/>
    <w:rsid w:val="004D2B73"/>
    <w:rsid w:val="004D42FB"/>
    <w:rsid w:val="004D4BB1"/>
    <w:rsid w:val="004D5786"/>
    <w:rsid w:val="004D5F2B"/>
    <w:rsid w:val="004D5FDE"/>
    <w:rsid w:val="004D61DE"/>
    <w:rsid w:val="004D6253"/>
    <w:rsid w:val="004D64E3"/>
    <w:rsid w:val="004D661D"/>
    <w:rsid w:val="004D6D1A"/>
    <w:rsid w:val="004D7799"/>
    <w:rsid w:val="004E01E7"/>
    <w:rsid w:val="004E0962"/>
    <w:rsid w:val="004E15C0"/>
    <w:rsid w:val="004E2259"/>
    <w:rsid w:val="004E376A"/>
    <w:rsid w:val="004E4E91"/>
    <w:rsid w:val="004E619F"/>
    <w:rsid w:val="004E6574"/>
    <w:rsid w:val="004F12CE"/>
    <w:rsid w:val="004F2911"/>
    <w:rsid w:val="004F5BE9"/>
    <w:rsid w:val="004F5FD1"/>
    <w:rsid w:val="004F63C6"/>
    <w:rsid w:val="004F69B3"/>
    <w:rsid w:val="004F6F21"/>
    <w:rsid w:val="004F7D76"/>
    <w:rsid w:val="004F7E5F"/>
    <w:rsid w:val="00503114"/>
    <w:rsid w:val="00503C94"/>
    <w:rsid w:val="00504069"/>
    <w:rsid w:val="0050455E"/>
    <w:rsid w:val="00505CD0"/>
    <w:rsid w:val="00506633"/>
    <w:rsid w:val="0050668E"/>
    <w:rsid w:val="00507228"/>
    <w:rsid w:val="00507B5B"/>
    <w:rsid w:val="00507C7D"/>
    <w:rsid w:val="00507CBC"/>
    <w:rsid w:val="00507EBB"/>
    <w:rsid w:val="0051080D"/>
    <w:rsid w:val="005109FC"/>
    <w:rsid w:val="00510EB6"/>
    <w:rsid w:val="005113A2"/>
    <w:rsid w:val="00511793"/>
    <w:rsid w:val="00511FAF"/>
    <w:rsid w:val="005123A5"/>
    <w:rsid w:val="00514473"/>
    <w:rsid w:val="0051451F"/>
    <w:rsid w:val="00514F92"/>
    <w:rsid w:val="0051528D"/>
    <w:rsid w:val="00515F3C"/>
    <w:rsid w:val="0051634C"/>
    <w:rsid w:val="00516C13"/>
    <w:rsid w:val="00516D86"/>
    <w:rsid w:val="00516F2B"/>
    <w:rsid w:val="00517F8F"/>
    <w:rsid w:val="00520719"/>
    <w:rsid w:val="00521664"/>
    <w:rsid w:val="00521A34"/>
    <w:rsid w:val="00522545"/>
    <w:rsid w:val="00523C42"/>
    <w:rsid w:val="00524414"/>
    <w:rsid w:val="005248B9"/>
    <w:rsid w:val="005248E1"/>
    <w:rsid w:val="00525F68"/>
    <w:rsid w:val="00526FD9"/>
    <w:rsid w:val="005273D5"/>
    <w:rsid w:val="00527B66"/>
    <w:rsid w:val="0053194E"/>
    <w:rsid w:val="00531994"/>
    <w:rsid w:val="00531BEE"/>
    <w:rsid w:val="0053236F"/>
    <w:rsid w:val="005325B2"/>
    <w:rsid w:val="00532C98"/>
    <w:rsid w:val="0053308B"/>
    <w:rsid w:val="005344CB"/>
    <w:rsid w:val="00534E44"/>
    <w:rsid w:val="005350F8"/>
    <w:rsid w:val="00535402"/>
    <w:rsid w:val="0053683D"/>
    <w:rsid w:val="0053693A"/>
    <w:rsid w:val="00536973"/>
    <w:rsid w:val="00536CAF"/>
    <w:rsid w:val="00541E1E"/>
    <w:rsid w:val="005429F2"/>
    <w:rsid w:val="0054320B"/>
    <w:rsid w:val="00543522"/>
    <w:rsid w:val="00543860"/>
    <w:rsid w:val="00543919"/>
    <w:rsid w:val="005443D3"/>
    <w:rsid w:val="0054499F"/>
    <w:rsid w:val="0054534C"/>
    <w:rsid w:val="005459DC"/>
    <w:rsid w:val="00545EB8"/>
    <w:rsid w:val="00546918"/>
    <w:rsid w:val="00547FE7"/>
    <w:rsid w:val="00551837"/>
    <w:rsid w:val="00552039"/>
    <w:rsid w:val="00552384"/>
    <w:rsid w:val="005525C3"/>
    <w:rsid w:val="00552CF5"/>
    <w:rsid w:val="005538E5"/>
    <w:rsid w:val="00553A3F"/>
    <w:rsid w:val="00553CB3"/>
    <w:rsid w:val="00553F30"/>
    <w:rsid w:val="005544C7"/>
    <w:rsid w:val="00555136"/>
    <w:rsid w:val="0055636D"/>
    <w:rsid w:val="00560A4D"/>
    <w:rsid w:val="00561331"/>
    <w:rsid w:val="0056195C"/>
    <w:rsid w:val="00562010"/>
    <w:rsid w:val="00562123"/>
    <w:rsid w:val="0056216D"/>
    <w:rsid w:val="00562B86"/>
    <w:rsid w:val="00563599"/>
    <w:rsid w:val="005638A4"/>
    <w:rsid w:val="0056398B"/>
    <w:rsid w:val="00564E51"/>
    <w:rsid w:val="00564ED1"/>
    <w:rsid w:val="005650D8"/>
    <w:rsid w:val="005652A6"/>
    <w:rsid w:val="00567E6B"/>
    <w:rsid w:val="00570377"/>
    <w:rsid w:val="0057148F"/>
    <w:rsid w:val="005724D2"/>
    <w:rsid w:val="005733F2"/>
    <w:rsid w:val="0057472D"/>
    <w:rsid w:val="005752AD"/>
    <w:rsid w:val="00575735"/>
    <w:rsid w:val="0058038B"/>
    <w:rsid w:val="00580403"/>
    <w:rsid w:val="00580952"/>
    <w:rsid w:val="00580CF4"/>
    <w:rsid w:val="00581ED0"/>
    <w:rsid w:val="00581F65"/>
    <w:rsid w:val="00582229"/>
    <w:rsid w:val="00582E0A"/>
    <w:rsid w:val="00585433"/>
    <w:rsid w:val="005861F9"/>
    <w:rsid w:val="00586469"/>
    <w:rsid w:val="00587507"/>
    <w:rsid w:val="0058762B"/>
    <w:rsid w:val="00590964"/>
    <w:rsid w:val="00591681"/>
    <w:rsid w:val="00592816"/>
    <w:rsid w:val="00592E92"/>
    <w:rsid w:val="00592FE8"/>
    <w:rsid w:val="005935EA"/>
    <w:rsid w:val="005954F7"/>
    <w:rsid w:val="00595C6B"/>
    <w:rsid w:val="00596366"/>
    <w:rsid w:val="0059659E"/>
    <w:rsid w:val="00596632"/>
    <w:rsid w:val="00596D0F"/>
    <w:rsid w:val="005970A3"/>
    <w:rsid w:val="0059744F"/>
    <w:rsid w:val="005A0083"/>
    <w:rsid w:val="005A06C0"/>
    <w:rsid w:val="005A0BDE"/>
    <w:rsid w:val="005A1033"/>
    <w:rsid w:val="005A1648"/>
    <w:rsid w:val="005A16D4"/>
    <w:rsid w:val="005A16E3"/>
    <w:rsid w:val="005A19B2"/>
    <w:rsid w:val="005A20C0"/>
    <w:rsid w:val="005A3482"/>
    <w:rsid w:val="005A3567"/>
    <w:rsid w:val="005A3DDC"/>
    <w:rsid w:val="005A46EE"/>
    <w:rsid w:val="005A5352"/>
    <w:rsid w:val="005A5860"/>
    <w:rsid w:val="005A5894"/>
    <w:rsid w:val="005A67E7"/>
    <w:rsid w:val="005A7C94"/>
    <w:rsid w:val="005B05EF"/>
    <w:rsid w:val="005B0A6D"/>
    <w:rsid w:val="005B0C4F"/>
    <w:rsid w:val="005B1EB6"/>
    <w:rsid w:val="005B2C6C"/>
    <w:rsid w:val="005B43DA"/>
    <w:rsid w:val="005B51C9"/>
    <w:rsid w:val="005B726C"/>
    <w:rsid w:val="005B73E4"/>
    <w:rsid w:val="005C0F38"/>
    <w:rsid w:val="005C10AE"/>
    <w:rsid w:val="005C1101"/>
    <w:rsid w:val="005C1294"/>
    <w:rsid w:val="005C1A33"/>
    <w:rsid w:val="005C1A8B"/>
    <w:rsid w:val="005C1D6A"/>
    <w:rsid w:val="005C1E93"/>
    <w:rsid w:val="005C1ED8"/>
    <w:rsid w:val="005C2354"/>
    <w:rsid w:val="005C2B33"/>
    <w:rsid w:val="005C3C0E"/>
    <w:rsid w:val="005C4756"/>
    <w:rsid w:val="005C62DE"/>
    <w:rsid w:val="005C62E2"/>
    <w:rsid w:val="005C65B7"/>
    <w:rsid w:val="005C6FF0"/>
    <w:rsid w:val="005C73F4"/>
    <w:rsid w:val="005D0C54"/>
    <w:rsid w:val="005D1EF6"/>
    <w:rsid w:val="005D20BF"/>
    <w:rsid w:val="005D218A"/>
    <w:rsid w:val="005D2718"/>
    <w:rsid w:val="005D41C1"/>
    <w:rsid w:val="005D4367"/>
    <w:rsid w:val="005D4FE8"/>
    <w:rsid w:val="005D7104"/>
    <w:rsid w:val="005D76E1"/>
    <w:rsid w:val="005E145D"/>
    <w:rsid w:val="005E2C8B"/>
    <w:rsid w:val="005E34F2"/>
    <w:rsid w:val="005E3896"/>
    <w:rsid w:val="005E3DF6"/>
    <w:rsid w:val="005E442B"/>
    <w:rsid w:val="005E450D"/>
    <w:rsid w:val="005E4F88"/>
    <w:rsid w:val="005E547D"/>
    <w:rsid w:val="005E5E86"/>
    <w:rsid w:val="005E64BA"/>
    <w:rsid w:val="005E6DF3"/>
    <w:rsid w:val="005F03B3"/>
    <w:rsid w:val="005F1C8D"/>
    <w:rsid w:val="005F1E86"/>
    <w:rsid w:val="005F2036"/>
    <w:rsid w:val="005F3646"/>
    <w:rsid w:val="005F429A"/>
    <w:rsid w:val="005F45E1"/>
    <w:rsid w:val="005F497E"/>
    <w:rsid w:val="005F49D6"/>
    <w:rsid w:val="005F4D67"/>
    <w:rsid w:val="005F50F7"/>
    <w:rsid w:val="005F5197"/>
    <w:rsid w:val="005F55F2"/>
    <w:rsid w:val="005F5884"/>
    <w:rsid w:val="005F633D"/>
    <w:rsid w:val="005F69F0"/>
    <w:rsid w:val="00602699"/>
    <w:rsid w:val="00603024"/>
    <w:rsid w:val="006033F2"/>
    <w:rsid w:val="006034D3"/>
    <w:rsid w:val="00603B0A"/>
    <w:rsid w:val="00604AD9"/>
    <w:rsid w:val="006054B5"/>
    <w:rsid w:val="00605652"/>
    <w:rsid w:val="00605D5A"/>
    <w:rsid w:val="0060600D"/>
    <w:rsid w:val="00606257"/>
    <w:rsid w:val="006063EB"/>
    <w:rsid w:val="00607570"/>
    <w:rsid w:val="006077CC"/>
    <w:rsid w:val="0061011D"/>
    <w:rsid w:val="0061192C"/>
    <w:rsid w:val="00612A6E"/>
    <w:rsid w:val="00613B6C"/>
    <w:rsid w:val="00615278"/>
    <w:rsid w:val="00616339"/>
    <w:rsid w:val="00616387"/>
    <w:rsid w:val="00616BBD"/>
    <w:rsid w:val="00617A3A"/>
    <w:rsid w:val="00621404"/>
    <w:rsid w:val="00621786"/>
    <w:rsid w:val="0062219C"/>
    <w:rsid w:val="006223EB"/>
    <w:rsid w:val="00622471"/>
    <w:rsid w:val="00622C2A"/>
    <w:rsid w:val="006239CC"/>
    <w:rsid w:val="00626453"/>
    <w:rsid w:val="0062766E"/>
    <w:rsid w:val="00628027"/>
    <w:rsid w:val="00630093"/>
    <w:rsid w:val="006300B7"/>
    <w:rsid w:val="00630333"/>
    <w:rsid w:val="006304ED"/>
    <w:rsid w:val="0063091C"/>
    <w:rsid w:val="00630CB2"/>
    <w:rsid w:val="00632AF8"/>
    <w:rsid w:val="00632EC5"/>
    <w:rsid w:val="00633140"/>
    <w:rsid w:val="006359F0"/>
    <w:rsid w:val="00636A7D"/>
    <w:rsid w:val="00637CD8"/>
    <w:rsid w:val="006400D6"/>
    <w:rsid w:val="00640580"/>
    <w:rsid w:val="00641B89"/>
    <w:rsid w:val="00641E5D"/>
    <w:rsid w:val="00642123"/>
    <w:rsid w:val="00642BC0"/>
    <w:rsid w:val="00643C74"/>
    <w:rsid w:val="0064439D"/>
    <w:rsid w:val="00644980"/>
    <w:rsid w:val="00646298"/>
    <w:rsid w:val="00646A69"/>
    <w:rsid w:val="00647EE2"/>
    <w:rsid w:val="006504F8"/>
    <w:rsid w:val="00651226"/>
    <w:rsid w:val="006516B3"/>
    <w:rsid w:val="0065261F"/>
    <w:rsid w:val="0065287B"/>
    <w:rsid w:val="0065353A"/>
    <w:rsid w:val="00653960"/>
    <w:rsid w:val="00654682"/>
    <w:rsid w:val="00654B68"/>
    <w:rsid w:val="006554BB"/>
    <w:rsid w:val="00655992"/>
    <w:rsid w:val="00656351"/>
    <w:rsid w:val="00656994"/>
    <w:rsid w:val="00657391"/>
    <w:rsid w:val="00657767"/>
    <w:rsid w:val="00657D6F"/>
    <w:rsid w:val="0066064A"/>
    <w:rsid w:val="00660877"/>
    <w:rsid w:val="0066382F"/>
    <w:rsid w:val="0066469D"/>
    <w:rsid w:val="0066505A"/>
    <w:rsid w:val="006658C7"/>
    <w:rsid w:val="00666663"/>
    <w:rsid w:val="00670006"/>
    <w:rsid w:val="00670045"/>
    <w:rsid w:val="00670249"/>
    <w:rsid w:val="00670F75"/>
    <w:rsid w:val="0067194B"/>
    <w:rsid w:val="00671A0D"/>
    <w:rsid w:val="00673ED1"/>
    <w:rsid w:val="00674372"/>
    <w:rsid w:val="00674DE3"/>
    <w:rsid w:val="00674F59"/>
    <w:rsid w:val="00675D85"/>
    <w:rsid w:val="00675F2F"/>
    <w:rsid w:val="00677E10"/>
    <w:rsid w:val="006803E3"/>
    <w:rsid w:val="006836BB"/>
    <w:rsid w:val="00683BEF"/>
    <w:rsid w:val="00684556"/>
    <w:rsid w:val="00685D82"/>
    <w:rsid w:val="00686E95"/>
    <w:rsid w:val="006873F1"/>
    <w:rsid w:val="00687539"/>
    <w:rsid w:val="00687E90"/>
    <w:rsid w:val="0069037E"/>
    <w:rsid w:val="00691054"/>
    <w:rsid w:val="00691FFE"/>
    <w:rsid w:val="00692712"/>
    <w:rsid w:val="00692AB7"/>
    <w:rsid w:val="0069300D"/>
    <w:rsid w:val="006932A0"/>
    <w:rsid w:val="006941CB"/>
    <w:rsid w:val="00694250"/>
    <w:rsid w:val="006948E5"/>
    <w:rsid w:val="0069506A"/>
    <w:rsid w:val="006953BA"/>
    <w:rsid w:val="00697BEF"/>
    <w:rsid w:val="00697D20"/>
    <w:rsid w:val="006A0164"/>
    <w:rsid w:val="006A025C"/>
    <w:rsid w:val="006A34C1"/>
    <w:rsid w:val="006A41BA"/>
    <w:rsid w:val="006A475B"/>
    <w:rsid w:val="006A69B5"/>
    <w:rsid w:val="006A756C"/>
    <w:rsid w:val="006A7649"/>
    <w:rsid w:val="006A7EB6"/>
    <w:rsid w:val="006B0688"/>
    <w:rsid w:val="006B096D"/>
    <w:rsid w:val="006B15F3"/>
    <w:rsid w:val="006B1697"/>
    <w:rsid w:val="006B17FA"/>
    <w:rsid w:val="006B2803"/>
    <w:rsid w:val="006B342F"/>
    <w:rsid w:val="006B3D8E"/>
    <w:rsid w:val="006B401B"/>
    <w:rsid w:val="006B4418"/>
    <w:rsid w:val="006B5232"/>
    <w:rsid w:val="006B5301"/>
    <w:rsid w:val="006B58AE"/>
    <w:rsid w:val="006B61FF"/>
    <w:rsid w:val="006B715A"/>
    <w:rsid w:val="006B7B10"/>
    <w:rsid w:val="006B7EB3"/>
    <w:rsid w:val="006C0CCA"/>
    <w:rsid w:val="006C3F20"/>
    <w:rsid w:val="006C4249"/>
    <w:rsid w:val="006C52B1"/>
    <w:rsid w:val="006C5CBC"/>
    <w:rsid w:val="006C658B"/>
    <w:rsid w:val="006C6B94"/>
    <w:rsid w:val="006C6F12"/>
    <w:rsid w:val="006D30A5"/>
    <w:rsid w:val="006D3CBB"/>
    <w:rsid w:val="006D44CA"/>
    <w:rsid w:val="006D4A93"/>
    <w:rsid w:val="006D5B8D"/>
    <w:rsid w:val="006D5BAB"/>
    <w:rsid w:val="006D626D"/>
    <w:rsid w:val="006D6E04"/>
    <w:rsid w:val="006D751E"/>
    <w:rsid w:val="006D7982"/>
    <w:rsid w:val="006D7BD0"/>
    <w:rsid w:val="006D7C2C"/>
    <w:rsid w:val="006E0617"/>
    <w:rsid w:val="006E3207"/>
    <w:rsid w:val="006E36EC"/>
    <w:rsid w:val="006E3741"/>
    <w:rsid w:val="006E3D59"/>
    <w:rsid w:val="006E3FBE"/>
    <w:rsid w:val="006E41FD"/>
    <w:rsid w:val="006E4863"/>
    <w:rsid w:val="006E52EF"/>
    <w:rsid w:val="006E6328"/>
    <w:rsid w:val="006E6961"/>
    <w:rsid w:val="006E6D15"/>
    <w:rsid w:val="006E70F6"/>
    <w:rsid w:val="006E72C6"/>
    <w:rsid w:val="006E783C"/>
    <w:rsid w:val="006F0044"/>
    <w:rsid w:val="006F06BA"/>
    <w:rsid w:val="006F09B9"/>
    <w:rsid w:val="006F1271"/>
    <w:rsid w:val="006F13FA"/>
    <w:rsid w:val="006F1E07"/>
    <w:rsid w:val="006F20E3"/>
    <w:rsid w:val="006F3061"/>
    <w:rsid w:val="006F32B9"/>
    <w:rsid w:val="006F45FD"/>
    <w:rsid w:val="006F4A7A"/>
    <w:rsid w:val="006F5AF4"/>
    <w:rsid w:val="006F5E9E"/>
    <w:rsid w:val="006F644C"/>
    <w:rsid w:val="006F6699"/>
    <w:rsid w:val="006F6D88"/>
    <w:rsid w:val="006F70F9"/>
    <w:rsid w:val="007000C8"/>
    <w:rsid w:val="00701E1A"/>
    <w:rsid w:val="0070310A"/>
    <w:rsid w:val="00704424"/>
    <w:rsid w:val="0070701A"/>
    <w:rsid w:val="007076B0"/>
    <w:rsid w:val="00707B1F"/>
    <w:rsid w:val="00707E6F"/>
    <w:rsid w:val="00710692"/>
    <w:rsid w:val="0071192F"/>
    <w:rsid w:val="007128D1"/>
    <w:rsid w:val="00712CC5"/>
    <w:rsid w:val="00713827"/>
    <w:rsid w:val="007148D8"/>
    <w:rsid w:val="007152EA"/>
    <w:rsid w:val="00715557"/>
    <w:rsid w:val="007158D3"/>
    <w:rsid w:val="00715E86"/>
    <w:rsid w:val="007160D6"/>
    <w:rsid w:val="00716DEC"/>
    <w:rsid w:val="00720B2B"/>
    <w:rsid w:val="007211E5"/>
    <w:rsid w:val="007223C6"/>
    <w:rsid w:val="00723B75"/>
    <w:rsid w:val="0072433C"/>
    <w:rsid w:val="00724F97"/>
    <w:rsid w:val="007268D5"/>
    <w:rsid w:val="0072725A"/>
    <w:rsid w:val="007274AD"/>
    <w:rsid w:val="0073166A"/>
    <w:rsid w:val="0073299D"/>
    <w:rsid w:val="00733AD4"/>
    <w:rsid w:val="00734A3B"/>
    <w:rsid w:val="00734B1B"/>
    <w:rsid w:val="00736AEC"/>
    <w:rsid w:val="00736BC4"/>
    <w:rsid w:val="0073774B"/>
    <w:rsid w:val="007377C0"/>
    <w:rsid w:val="00737EF3"/>
    <w:rsid w:val="00740C00"/>
    <w:rsid w:val="00741177"/>
    <w:rsid w:val="00741619"/>
    <w:rsid w:val="0074274D"/>
    <w:rsid w:val="00742C5B"/>
    <w:rsid w:val="007434BC"/>
    <w:rsid w:val="0074357B"/>
    <w:rsid w:val="00743957"/>
    <w:rsid w:val="007439BC"/>
    <w:rsid w:val="00745144"/>
    <w:rsid w:val="007452A6"/>
    <w:rsid w:val="00745E0E"/>
    <w:rsid w:val="007467F8"/>
    <w:rsid w:val="007469FD"/>
    <w:rsid w:val="00746C99"/>
    <w:rsid w:val="00747003"/>
    <w:rsid w:val="00747295"/>
    <w:rsid w:val="00747DB1"/>
    <w:rsid w:val="00747ED4"/>
    <w:rsid w:val="00750C94"/>
    <w:rsid w:val="007515BC"/>
    <w:rsid w:val="00751982"/>
    <w:rsid w:val="007524F7"/>
    <w:rsid w:val="007559D5"/>
    <w:rsid w:val="00755BB8"/>
    <w:rsid w:val="00756BC1"/>
    <w:rsid w:val="00756C28"/>
    <w:rsid w:val="00757546"/>
    <w:rsid w:val="00757C35"/>
    <w:rsid w:val="0076094B"/>
    <w:rsid w:val="00760B81"/>
    <w:rsid w:val="00760BC0"/>
    <w:rsid w:val="00761B68"/>
    <w:rsid w:val="00764255"/>
    <w:rsid w:val="007642C7"/>
    <w:rsid w:val="007643DB"/>
    <w:rsid w:val="00764729"/>
    <w:rsid w:val="00765C71"/>
    <w:rsid w:val="00766BE7"/>
    <w:rsid w:val="00767297"/>
    <w:rsid w:val="0076792A"/>
    <w:rsid w:val="00770FF5"/>
    <w:rsid w:val="00771715"/>
    <w:rsid w:val="00771813"/>
    <w:rsid w:val="00771C3D"/>
    <w:rsid w:val="00773331"/>
    <w:rsid w:val="007735F6"/>
    <w:rsid w:val="00773B0D"/>
    <w:rsid w:val="00775059"/>
    <w:rsid w:val="00775321"/>
    <w:rsid w:val="00775BFE"/>
    <w:rsid w:val="00775CEE"/>
    <w:rsid w:val="007778F9"/>
    <w:rsid w:val="007807D3"/>
    <w:rsid w:val="00780B47"/>
    <w:rsid w:val="00782675"/>
    <w:rsid w:val="00782F6E"/>
    <w:rsid w:val="00784550"/>
    <w:rsid w:val="00784ACF"/>
    <w:rsid w:val="00784E25"/>
    <w:rsid w:val="00787022"/>
    <w:rsid w:val="0078777D"/>
    <w:rsid w:val="00790E5A"/>
    <w:rsid w:val="00791E3B"/>
    <w:rsid w:val="007923C1"/>
    <w:rsid w:val="00792615"/>
    <w:rsid w:val="0079263E"/>
    <w:rsid w:val="00792772"/>
    <w:rsid w:val="00793158"/>
    <w:rsid w:val="007932EF"/>
    <w:rsid w:val="00793364"/>
    <w:rsid w:val="00793629"/>
    <w:rsid w:val="007939E4"/>
    <w:rsid w:val="00794BEC"/>
    <w:rsid w:val="00795166"/>
    <w:rsid w:val="00795FB5"/>
    <w:rsid w:val="007962B6"/>
    <w:rsid w:val="0079673B"/>
    <w:rsid w:val="00796C2A"/>
    <w:rsid w:val="00796FED"/>
    <w:rsid w:val="0079736A"/>
    <w:rsid w:val="007A054B"/>
    <w:rsid w:val="007A0575"/>
    <w:rsid w:val="007A07E8"/>
    <w:rsid w:val="007A19E0"/>
    <w:rsid w:val="007A2BB5"/>
    <w:rsid w:val="007A319C"/>
    <w:rsid w:val="007A48BD"/>
    <w:rsid w:val="007A5958"/>
    <w:rsid w:val="007A6792"/>
    <w:rsid w:val="007A6D0E"/>
    <w:rsid w:val="007A6D67"/>
    <w:rsid w:val="007A75DA"/>
    <w:rsid w:val="007B0105"/>
    <w:rsid w:val="007B0E1F"/>
    <w:rsid w:val="007B13B0"/>
    <w:rsid w:val="007B2139"/>
    <w:rsid w:val="007B2272"/>
    <w:rsid w:val="007B27C2"/>
    <w:rsid w:val="007B2936"/>
    <w:rsid w:val="007B35ED"/>
    <w:rsid w:val="007B3D0C"/>
    <w:rsid w:val="007B415B"/>
    <w:rsid w:val="007B4895"/>
    <w:rsid w:val="007B4978"/>
    <w:rsid w:val="007B4D12"/>
    <w:rsid w:val="007B530D"/>
    <w:rsid w:val="007B5847"/>
    <w:rsid w:val="007C082F"/>
    <w:rsid w:val="007C182A"/>
    <w:rsid w:val="007C1BEE"/>
    <w:rsid w:val="007C276C"/>
    <w:rsid w:val="007C2CCA"/>
    <w:rsid w:val="007C304A"/>
    <w:rsid w:val="007C3420"/>
    <w:rsid w:val="007C3536"/>
    <w:rsid w:val="007C35C6"/>
    <w:rsid w:val="007C5C87"/>
    <w:rsid w:val="007C604C"/>
    <w:rsid w:val="007D15C7"/>
    <w:rsid w:val="007D2A2E"/>
    <w:rsid w:val="007D4086"/>
    <w:rsid w:val="007D4B82"/>
    <w:rsid w:val="007D5555"/>
    <w:rsid w:val="007D5897"/>
    <w:rsid w:val="007D5CE3"/>
    <w:rsid w:val="007D60A3"/>
    <w:rsid w:val="007D7924"/>
    <w:rsid w:val="007D7CBA"/>
    <w:rsid w:val="007E05B0"/>
    <w:rsid w:val="007E352B"/>
    <w:rsid w:val="007E3576"/>
    <w:rsid w:val="007E3AB1"/>
    <w:rsid w:val="007E3B27"/>
    <w:rsid w:val="007E5393"/>
    <w:rsid w:val="007E56D8"/>
    <w:rsid w:val="007E5A41"/>
    <w:rsid w:val="007E5ACA"/>
    <w:rsid w:val="007E5C3D"/>
    <w:rsid w:val="007E66C8"/>
    <w:rsid w:val="007E67CA"/>
    <w:rsid w:val="007E739C"/>
    <w:rsid w:val="007F0216"/>
    <w:rsid w:val="007F037E"/>
    <w:rsid w:val="007F076E"/>
    <w:rsid w:val="007F0D22"/>
    <w:rsid w:val="007F0DA7"/>
    <w:rsid w:val="007F1EDC"/>
    <w:rsid w:val="007F2716"/>
    <w:rsid w:val="007F3DC6"/>
    <w:rsid w:val="007F4B15"/>
    <w:rsid w:val="007F4EE8"/>
    <w:rsid w:val="007F59B1"/>
    <w:rsid w:val="007F5A25"/>
    <w:rsid w:val="007F66F3"/>
    <w:rsid w:val="007F70CA"/>
    <w:rsid w:val="007F75A6"/>
    <w:rsid w:val="0080200A"/>
    <w:rsid w:val="008021D6"/>
    <w:rsid w:val="0080237E"/>
    <w:rsid w:val="00802520"/>
    <w:rsid w:val="00803107"/>
    <w:rsid w:val="0080326F"/>
    <w:rsid w:val="00803C9B"/>
    <w:rsid w:val="0080452B"/>
    <w:rsid w:val="008046C2"/>
    <w:rsid w:val="00806D47"/>
    <w:rsid w:val="00807A70"/>
    <w:rsid w:val="008102FF"/>
    <w:rsid w:val="00810308"/>
    <w:rsid w:val="00810812"/>
    <w:rsid w:val="0081235A"/>
    <w:rsid w:val="00812626"/>
    <w:rsid w:val="008128F8"/>
    <w:rsid w:val="00812DB9"/>
    <w:rsid w:val="00812F88"/>
    <w:rsid w:val="00814382"/>
    <w:rsid w:val="0081465C"/>
    <w:rsid w:val="00816FCA"/>
    <w:rsid w:val="0081742F"/>
    <w:rsid w:val="008217AE"/>
    <w:rsid w:val="00821A55"/>
    <w:rsid w:val="008220AF"/>
    <w:rsid w:val="008223AB"/>
    <w:rsid w:val="008229F4"/>
    <w:rsid w:val="00822ACE"/>
    <w:rsid w:val="0082350F"/>
    <w:rsid w:val="00823D3B"/>
    <w:rsid w:val="0082473D"/>
    <w:rsid w:val="00824EDB"/>
    <w:rsid w:val="008265B1"/>
    <w:rsid w:val="00826C99"/>
    <w:rsid w:val="008273F5"/>
    <w:rsid w:val="008301E9"/>
    <w:rsid w:val="00830DE1"/>
    <w:rsid w:val="008329C9"/>
    <w:rsid w:val="00832F1F"/>
    <w:rsid w:val="00833275"/>
    <w:rsid w:val="0083365F"/>
    <w:rsid w:val="008336DF"/>
    <w:rsid w:val="00833DC0"/>
    <w:rsid w:val="00833E38"/>
    <w:rsid w:val="00835087"/>
    <w:rsid w:val="00835345"/>
    <w:rsid w:val="008356E6"/>
    <w:rsid w:val="00835C24"/>
    <w:rsid w:val="008360A0"/>
    <w:rsid w:val="00837518"/>
    <w:rsid w:val="008377B5"/>
    <w:rsid w:val="00837D76"/>
    <w:rsid w:val="00840BC0"/>
    <w:rsid w:val="00840E1D"/>
    <w:rsid w:val="00841648"/>
    <w:rsid w:val="00844BB6"/>
    <w:rsid w:val="00844C75"/>
    <w:rsid w:val="0084533B"/>
    <w:rsid w:val="00845DA9"/>
    <w:rsid w:val="008508A7"/>
    <w:rsid w:val="00851A68"/>
    <w:rsid w:val="00851F6C"/>
    <w:rsid w:val="008542D1"/>
    <w:rsid w:val="008551BE"/>
    <w:rsid w:val="0085541D"/>
    <w:rsid w:val="00855716"/>
    <w:rsid w:val="0085673F"/>
    <w:rsid w:val="00856953"/>
    <w:rsid w:val="00856B30"/>
    <w:rsid w:val="008570E2"/>
    <w:rsid w:val="0086014B"/>
    <w:rsid w:val="00860443"/>
    <w:rsid w:val="008607A6"/>
    <w:rsid w:val="00860A0E"/>
    <w:rsid w:val="00860C5A"/>
    <w:rsid w:val="00861A62"/>
    <w:rsid w:val="00861AC6"/>
    <w:rsid w:val="00861C31"/>
    <w:rsid w:val="00862F4F"/>
    <w:rsid w:val="00863441"/>
    <w:rsid w:val="00863EF3"/>
    <w:rsid w:val="008646A1"/>
    <w:rsid w:val="008656A6"/>
    <w:rsid w:val="0086587F"/>
    <w:rsid w:val="00866376"/>
    <w:rsid w:val="008669AC"/>
    <w:rsid w:val="00866D72"/>
    <w:rsid w:val="00866F56"/>
    <w:rsid w:val="0086791B"/>
    <w:rsid w:val="00867FFD"/>
    <w:rsid w:val="00870896"/>
    <w:rsid w:val="00872C69"/>
    <w:rsid w:val="00873910"/>
    <w:rsid w:val="00873AA1"/>
    <w:rsid w:val="00874D22"/>
    <w:rsid w:val="008755D1"/>
    <w:rsid w:val="00875C73"/>
    <w:rsid w:val="008771C4"/>
    <w:rsid w:val="00880115"/>
    <w:rsid w:val="008803CF"/>
    <w:rsid w:val="00880AE5"/>
    <w:rsid w:val="00883806"/>
    <w:rsid w:val="00883B3D"/>
    <w:rsid w:val="0088509F"/>
    <w:rsid w:val="00885331"/>
    <w:rsid w:val="008861B8"/>
    <w:rsid w:val="00886314"/>
    <w:rsid w:val="00887487"/>
    <w:rsid w:val="00887CA2"/>
    <w:rsid w:val="00890C1A"/>
    <w:rsid w:val="00890C5D"/>
    <w:rsid w:val="00890FB7"/>
    <w:rsid w:val="00890FD3"/>
    <w:rsid w:val="00891364"/>
    <w:rsid w:val="008913F4"/>
    <w:rsid w:val="00892F01"/>
    <w:rsid w:val="008944FA"/>
    <w:rsid w:val="00894BF6"/>
    <w:rsid w:val="0089641C"/>
    <w:rsid w:val="0089748F"/>
    <w:rsid w:val="0089770B"/>
    <w:rsid w:val="008A0641"/>
    <w:rsid w:val="008A09A6"/>
    <w:rsid w:val="008A1FFE"/>
    <w:rsid w:val="008A2914"/>
    <w:rsid w:val="008A40DD"/>
    <w:rsid w:val="008A62E4"/>
    <w:rsid w:val="008A681B"/>
    <w:rsid w:val="008A68E7"/>
    <w:rsid w:val="008A6AE6"/>
    <w:rsid w:val="008A7BCD"/>
    <w:rsid w:val="008B09D3"/>
    <w:rsid w:val="008B1228"/>
    <w:rsid w:val="008B18EA"/>
    <w:rsid w:val="008B212D"/>
    <w:rsid w:val="008B2719"/>
    <w:rsid w:val="008B31A0"/>
    <w:rsid w:val="008B333E"/>
    <w:rsid w:val="008B336A"/>
    <w:rsid w:val="008B37F1"/>
    <w:rsid w:val="008B39FF"/>
    <w:rsid w:val="008B4F85"/>
    <w:rsid w:val="008B586D"/>
    <w:rsid w:val="008B5C92"/>
    <w:rsid w:val="008B6801"/>
    <w:rsid w:val="008B7E12"/>
    <w:rsid w:val="008C0411"/>
    <w:rsid w:val="008C086D"/>
    <w:rsid w:val="008C0D3C"/>
    <w:rsid w:val="008C1DC5"/>
    <w:rsid w:val="008C3A55"/>
    <w:rsid w:val="008C3DAD"/>
    <w:rsid w:val="008C410E"/>
    <w:rsid w:val="008C4469"/>
    <w:rsid w:val="008C44A6"/>
    <w:rsid w:val="008C574C"/>
    <w:rsid w:val="008C6525"/>
    <w:rsid w:val="008C654F"/>
    <w:rsid w:val="008C657C"/>
    <w:rsid w:val="008C69EE"/>
    <w:rsid w:val="008C7614"/>
    <w:rsid w:val="008C7929"/>
    <w:rsid w:val="008C7EB1"/>
    <w:rsid w:val="008D07EC"/>
    <w:rsid w:val="008D2677"/>
    <w:rsid w:val="008D4BB4"/>
    <w:rsid w:val="008D73E6"/>
    <w:rsid w:val="008D7A69"/>
    <w:rsid w:val="008E11A1"/>
    <w:rsid w:val="008E2D2D"/>
    <w:rsid w:val="008E3C8A"/>
    <w:rsid w:val="008E406C"/>
    <w:rsid w:val="008E4D8E"/>
    <w:rsid w:val="008E5EC9"/>
    <w:rsid w:val="008E60CF"/>
    <w:rsid w:val="008E6AFB"/>
    <w:rsid w:val="008E6F9F"/>
    <w:rsid w:val="008E7219"/>
    <w:rsid w:val="008F0084"/>
    <w:rsid w:val="008F0C11"/>
    <w:rsid w:val="008F170F"/>
    <w:rsid w:val="008F1EA6"/>
    <w:rsid w:val="008F2877"/>
    <w:rsid w:val="008F4426"/>
    <w:rsid w:val="008F448C"/>
    <w:rsid w:val="008F48F4"/>
    <w:rsid w:val="008F490B"/>
    <w:rsid w:val="008F5002"/>
    <w:rsid w:val="008F5A87"/>
    <w:rsid w:val="008F7592"/>
    <w:rsid w:val="008F7727"/>
    <w:rsid w:val="008F7E21"/>
    <w:rsid w:val="009000A8"/>
    <w:rsid w:val="0090058E"/>
    <w:rsid w:val="00900A64"/>
    <w:rsid w:val="00900AC4"/>
    <w:rsid w:val="0090107D"/>
    <w:rsid w:val="009011C7"/>
    <w:rsid w:val="00901CF4"/>
    <w:rsid w:val="00901DFA"/>
    <w:rsid w:val="009025BE"/>
    <w:rsid w:val="00902C84"/>
    <w:rsid w:val="00902F45"/>
    <w:rsid w:val="009032AB"/>
    <w:rsid w:val="00903380"/>
    <w:rsid w:val="00903DD9"/>
    <w:rsid w:val="00903FC3"/>
    <w:rsid w:val="00904860"/>
    <w:rsid w:val="00904DE2"/>
    <w:rsid w:val="00906339"/>
    <w:rsid w:val="009068CF"/>
    <w:rsid w:val="00910369"/>
    <w:rsid w:val="009105E4"/>
    <w:rsid w:val="00910B46"/>
    <w:rsid w:val="009115F1"/>
    <w:rsid w:val="00911E33"/>
    <w:rsid w:val="00911EEC"/>
    <w:rsid w:val="0091259B"/>
    <w:rsid w:val="0091460F"/>
    <w:rsid w:val="00914EC7"/>
    <w:rsid w:val="00915E47"/>
    <w:rsid w:val="00915E7E"/>
    <w:rsid w:val="00916823"/>
    <w:rsid w:val="00916CF8"/>
    <w:rsid w:val="009176B3"/>
    <w:rsid w:val="00920825"/>
    <w:rsid w:val="009225E1"/>
    <w:rsid w:val="00922677"/>
    <w:rsid w:val="00922C3E"/>
    <w:rsid w:val="00923384"/>
    <w:rsid w:val="0092419C"/>
    <w:rsid w:val="009241B6"/>
    <w:rsid w:val="009244E6"/>
    <w:rsid w:val="00924FF9"/>
    <w:rsid w:val="009252F3"/>
    <w:rsid w:val="00925A12"/>
    <w:rsid w:val="00926A8D"/>
    <w:rsid w:val="00926C93"/>
    <w:rsid w:val="00930817"/>
    <w:rsid w:val="009311BE"/>
    <w:rsid w:val="00932079"/>
    <w:rsid w:val="009334B6"/>
    <w:rsid w:val="00936459"/>
    <w:rsid w:val="00936E94"/>
    <w:rsid w:val="00937F96"/>
    <w:rsid w:val="0094015A"/>
    <w:rsid w:val="00940217"/>
    <w:rsid w:val="009406BD"/>
    <w:rsid w:val="00940AB9"/>
    <w:rsid w:val="00941838"/>
    <w:rsid w:val="0094184C"/>
    <w:rsid w:val="00941D7A"/>
    <w:rsid w:val="0094222A"/>
    <w:rsid w:val="00942EE4"/>
    <w:rsid w:val="00943CE5"/>
    <w:rsid w:val="00944415"/>
    <w:rsid w:val="00944F19"/>
    <w:rsid w:val="00945467"/>
    <w:rsid w:val="0094595D"/>
    <w:rsid w:val="00946A53"/>
    <w:rsid w:val="00946A8C"/>
    <w:rsid w:val="00946F16"/>
    <w:rsid w:val="00947E04"/>
    <w:rsid w:val="0095060E"/>
    <w:rsid w:val="00950682"/>
    <w:rsid w:val="00950E02"/>
    <w:rsid w:val="0095141C"/>
    <w:rsid w:val="00952EBE"/>
    <w:rsid w:val="00952FDA"/>
    <w:rsid w:val="00954602"/>
    <w:rsid w:val="00955CEA"/>
    <w:rsid w:val="0095679F"/>
    <w:rsid w:val="00956E85"/>
    <w:rsid w:val="00957C36"/>
    <w:rsid w:val="00960679"/>
    <w:rsid w:val="00960EFD"/>
    <w:rsid w:val="009618EB"/>
    <w:rsid w:val="00962739"/>
    <w:rsid w:val="00962ADB"/>
    <w:rsid w:val="00962F64"/>
    <w:rsid w:val="00965491"/>
    <w:rsid w:val="0096651B"/>
    <w:rsid w:val="009668F8"/>
    <w:rsid w:val="00967B6F"/>
    <w:rsid w:val="00970A13"/>
    <w:rsid w:val="00970FE1"/>
    <w:rsid w:val="00972584"/>
    <w:rsid w:val="00972600"/>
    <w:rsid w:val="00972F32"/>
    <w:rsid w:val="00973742"/>
    <w:rsid w:val="00974DD0"/>
    <w:rsid w:val="009752EA"/>
    <w:rsid w:val="00975590"/>
    <w:rsid w:val="00975E2C"/>
    <w:rsid w:val="00975E81"/>
    <w:rsid w:val="009765F5"/>
    <w:rsid w:val="00976793"/>
    <w:rsid w:val="00977278"/>
    <w:rsid w:val="00977848"/>
    <w:rsid w:val="0098082C"/>
    <w:rsid w:val="00980BAC"/>
    <w:rsid w:val="0098243B"/>
    <w:rsid w:val="009825DD"/>
    <w:rsid w:val="009841FD"/>
    <w:rsid w:val="009842A5"/>
    <w:rsid w:val="00984F7C"/>
    <w:rsid w:val="00984FBE"/>
    <w:rsid w:val="00985629"/>
    <w:rsid w:val="0098648E"/>
    <w:rsid w:val="00986CE6"/>
    <w:rsid w:val="00986D60"/>
    <w:rsid w:val="00986DB3"/>
    <w:rsid w:val="009879F8"/>
    <w:rsid w:val="009902E3"/>
    <w:rsid w:val="009909AD"/>
    <w:rsid w:val="00990E75"/>
    <w:rsid w:val="00991C69"/>
    <w:rsid w:val="00991DC3"/>
    <w:rsid w:val="00992B51"/>
    <w:rsid w:val="00992EA6"/>
    <w:rsid w:val="009941D3"/>
    <w:rsid w:val="0099650B"/>
    <w:rsid w:val="009A0113"/>
    <w:rsid w:val="009A035C"/>
    <w:rsid w:val="009A05DD"/>
    <w:rsid w:val="009A0787"/>
    <w:rsid w:val="009A1871"/>
    <w:rsid w:val="009A2657"/>
    <w:rsid w:val="009A27EB"/>
    <w:rsid w:val="009A3071"/>
    <w:rsid w:val="009A34C5"/>
    <w:rsid w:val="009A41AC"/>
    <w:rsid w:val="009A5861"/>
    <w:rsid w:val="009A714C"/>
    <w:rsid w:val="009A7182"/>
    <w:rsid w:val="009A78BC"/>
    <w:rsid w:val="009B025B"/>
    <w:rsid w:val="009B08C2"/>
    <w:rsid w:val="009B1735"/>
    <w:rsid w:val="009B39E5"/>
    <w:rsid w:val="009B3B3F"/>
    <w:rsid w:val="009B4093"/>
    <w:rsid w:val="009B469D"/>
    <w:rsid w:val="009B6F32"/>
    <w:rsid w:val="009B7B8D"/>
    <w:rsid w:val="009B7E9E"/>
    <w:rsid w:val="009B7FB6"/>
    <w:rsid w:val="009C14D2"/>
    <w:rsid w:val="009C1535"/>
    <w:rsid w:val="009C1780"/>
    <w:rsid w:val="009C1B7C"/>
    <w:rsid w:val="009C1C90"/>
    <w:rsid w:val="009C1E6E"/>
    <w:rsid w:val="009C1E9E"/>
    <w:rsid w:val="009C211D"/>
    <w:rsid w:val="009C2761"/>
    <w:rsid w:val="009C2AF7"/>
    <w:rsid w:val="009C3182"/>
    <w:rsid w:val="009C4939"/>
    <w:rsid w:val="009C4B24"/>
    <w:rsid w:val="009C7C9A"/>
    <w:rsid w:val="009D0BF2"/>
    <w:rsid w:val="009D298E"/>
    <w:rsid w:val="009D322D"/>
    <w:rsid w:val="009D332D"/>
    <w:rsid w:val="009D5D7E"/>
    <w:rsid w:val="009D637D"/>
    <w:rsid w:val="009D6957"/>
    <w:rsid w:val="009D6A55"/>
    <w:rsid w:val="009D72FA"/>
    <w:rsid w:val="009D7821"/>
    <w:rsid w:val="009E01FB"/>
    <w:rsid w:val="009E0310"/>
    <w:rsid w:val="009E2475"/>
    <w:rsid w:val="009E2754"/>
    <w:rsid w:val="009E2DC1"/>
    <w:rsid w:val="009E3449"/>
    <w:rsid w:val="009E4929"/>
    <w:rsid w:val="009E4990"/>
    <w:rsid w:val="009E5031"/>
    <w:rsid w:val="009E593E"/>
    <w:rsid w:val="009E66EE"/>
    <w:rsid w:val="009E67BA"/>
    <w:rsid w:val="009E703A"/>
    <w:rsid w:val="009E74F0"/>
    <w:rsid w:val="009F0D35"/>
    <w:rsid w:val="009F4303"/>
    <w:rsid w:val="009F4327"/>
    <w:rsid w:val="009F4470"/>
    <w:rsid w:val="009F580D"/>
    <w:rsid w:val="009F7743"/>
    <w:rsid w:val="009F79D0"/>
    <w:rsid w:val="009F7E4D"/>
    <w:rsid w:val="00A000FF"/>
    <w:rsid w:val="00A008DB"/>
    <w:rsid w:val="00A00C63"/>
    <w:rsid w:val="00A012CE"/>
    <w:rsid w:val="00A01E46"/>
    <w:rsid w:val="00A03AC6"/>
    <w:rsid w:val="00A03F28"/>
    <w:rsid w:val="00A0404D"/>
    <w:rsid w:val="00A0450A"/>
    <w:rsid w:val="00A04B98"/>
    <w:rsid w:val="00A04BCE"/>
    <w:rsid w:val="00A04D4F"/>
    <w:rsid w:val="00A060F9"/>
    <w:rsid w:val="00A0671B"/>
    <w:rsid w:val="00A067C3"/>
    <w:rsid w:val="00A07084"/>
    <w:rsid w:val="00A07846"/>
    <w:rsid w:val="00A104DC"/>
    <w:rsid w:val="00A104F7"/>
    <w:rsid w:val="00A112AA"/>
    <w:rsid w:val="00A118D9"/>
    <w:rsid w:val="00A133CD"/>
    <w:rsid w:val="00A14086"/>
    <w:rsid w:val="00A14BEF"/>
    <w:rsid w:val="00A15B95"/>
    <w:rsid w:val="00A168D7"/>
    <w:rsid w:val="00A17546"/>
    <w:rsid w:val="00A20426"/>
    <w:rsid w:val="00A20EA9"/>
    <w:rsid w:val="00A2144E"/>
    <w:rsid w:val="00A227ED"/>
    <w:rsid w:val="00A22F8D"/>
    <w:rsid w:val="00A2331A"/>
    <w:rsid w:val="00A23F00"/>
    <w:rsid w:val="00A2436C"/>
    <w:rsid w:val="00A25594"/>
    <w:rsid w:val="00A261DB"/>
    <w:rsid w:val="00A26AB9"/>
    <w:rsid w:val="00A26C4C"/>
    <w:rsid w:val="00A303A9"/>
    <w:rsid w:val="00A30F03"/>
    <w:rsid w:val="00A313AF"/>
    <w:rsid w:val="00A31556"/>
    <w:rsid w:val="00A32288"/>
    <w:rsid w:val="00A34F49"/>
    <w:rsid w:val="00A36485"/>
    <w:rsid w:val="00A36784"/>
    <w:rsid w:val="00A3751F"/>
    <w:rsid w:val="00A3788E"/>
    <w:rsid w:val="00A3795F"/>
    <w:rsid w:val="00A409DD"/>
    <w:rsid w:val="00A41F20"/>
    <w:rsid w:val="00A42E94"/>
    <w:rsid w:val="00A43641"/>
    <w:rsid w:val="00A43781"/>
    <w:rsid w:val="00A4384C"/>
    <w:rsid w:val="00A459C1"/>
    <w:rsid w:val="00A4664C"/>
    <w:rsid w:val="00A467EC"/>
    <w:rsid w:val="00A47A1B"/>
    <w:rsid w:val="00A5008F"/>
    <w:rsid w:val="00A5124E"/>
    <w:rsid w:val="00A51B44"/>
    <w:rsid w:val="00A52F64"/>
    <w:rsid w:val="00A53BBA"/>
    <w:rsid w:val="00A540C6"/>
    <w:rsid w:val="00A547D0"/>
    <w:rsid w:val="00A5489F"/>
    <w:rsid w:val="00A54AE4"/>
    <w:rsid w:val="00A55049"/>
    <w:rsid w:val="00A56E99"/>
    <w:rsid w:val="00A57DE4"/>
    <w:rsid w:val="00A60016"/>
    <w:rsid w:val="00A60D18"/>
    <w:rsid w:val="00A60E9A"/>
    <w:rsid w:val="00A6192D"/>
    <w:rsid w:val="00A61E0D"/>
    <w:rsid w:val="00A63782"/>
    <w:rsid w:val="00A6484A"/>
    <w:rsid w:val="00A6552F"/>
    <w:rsid w:val="00A657AC"/>
    <w:rsid w:val="00A659FF"/>
    <w:rsid w:val="00A669D1"/>
    <w:rsid w:val="00A67D75"/>
    <w:rsid w:val="00A71BF1"/>
    <w:rsid w:val="00A73EAE"/>
    <w:rsid w:val="00A74848"/>
    <w:rsid w:val="00A75165"/>
    <w:rsid w:val="00A75957"/>
    <w:rsid w:val="00A76B97"/>
    <w:rsid w:val="00A76FDF"/>
    <w:rsid w:val="00A7760C"/>
    <w:rsid w:val="00A835CB"/>
    <w:rsid w:val="00A84727"/>
    <w:rsid w:val="00A84A8A"/>
    <w:rsid w:val="00A866D6"/>
    <w:rsid w:val="00A8783E"/>
    <w:rsid w:val="00A87E0E"/>
    <w:rsid w:val="00A90338"/>
    <w:rsid w:val="00A91FBD"/>
    <w:rsid w:val="00A92B76"/>
    <w:rsid w:val="00A92BDA"/>
    <w:rsid w:val="00A93BE4"/>
    <w:rsid w:val="00A93DAF"/>
    <w:rsid w:val="00A94229"/>
    <w:rsid w:val="00A94306"/>
    <w:rsid w:val="00A9599D"/>
    <w:rsid w:val="00A96315"/>
    <w:rsid w:val="00A968ED"/>
    <w:rsid w:val="00A96CCC"/>
    <w:rsid w:val="00A97BF0"/>
    <w:rsid w:val="00AA0F3E"/>
    <w:rsid w:val="00AA1187"/>
    <w:rsid w:val="00AA1754"/>
    <w:rsid w:val="00AA1E84"/>
    <w:rsid w:val="00AA25F6"/>
    <w:rsid w:val="00AA3BDC"/>
    <w:rsid w:val="00AA3ECA"/>
    <w:rsid w:val="00AA42F7"/>
    <w:rsid w:val="00AA5517"/>
    <w:rsid w:val="00AA57EE"/>
    <w:rsid w:val="00AA5F3D"/>
    <w:rsid w:val="00AA6B0A"/>
    <w:rsid w:val="00AA6E87"/>
    <w:rsid w:val="00AA731E"/>
    <w:rsid w:val="00AA7F2B"/>
    <w:rsid w:val="00AA84D7"/>
    <w:rsid w:val="00AB0374"/>
    <w:rsid w:val="00AB09B4"/>
    <w:rsid w:val="00AB0B98"/>
    <w:rsid w:val="00AB0BFA"/>
    <w:rsid w:val="00AB14E5"/>
    <w:rsid w:val="00AB1FD0"/>
    <w:rsid w:val="00AB2B03"/>
    <w:rsid w:val="00AB4ACE"/>
    <w:rsid w:val="00AB4D77"/>
    <w:rsid w:val="00AB59AF"/>
    <w:rsid w:val="00AB5F3F"/>
    <w:rsid w:val="00AB64F6"/>
    <w:rsid w:val="00AB7607"/>
    <w:rsid w:val="00AB7B2A"/>
    <w:rsid w:val="00AC09EF"/>
    <w:rsid w:val="00AC1846"/>
    <w:rsid w:val="00AC1B3B"/>
    <w:rsid w:val="00AC24FF"/>
    <w:rsid w:val="00AC2A23"/>
    <w:rsid w:val="00AC327C"/>
    <w:rsid w:val="00AC34F8"/>
    <w:rsid w:val="00AC38C1"/>
    <w:rsid w:val="00AC3EDD"/>
    <w:rsid w:val="00AC3F56"/>
    <w:rsid w:val="00AC409A"/>
    <w:rsid w:val="00AC44A7"/>
    <w:rsid w:val="00AC57FE"/>
    <w:rsid w:val="00AC5831"/>
    <w:rsid w:val="00AC64EF"/>
    <w:rsid w:val="00AC65E7"/>
    <w:rsid w:val="00AC78D4"/>
    <w:rsid w:val="00AC7D3C"/>
    <w:rsid w:val="00AD02CF"/>
    <w:rsid w:val="00AD0F44"/>
    <w:rsid w:val="00AD0FEF"/>
    <w:rsid w:val="00AD1B76"/>
    <w:rsid w:val="00AD1BF5"/>
    <w:rsid w:val="00AD1F91"/>
    <w:rsid w:val="00AD28CF"/>
    <w:rsid w:val="00AD2C97"/>
    <w:rsid w:val="00AD3B48"/>
    <w:rsid w:val="00AD4083"/>
    <w:rsid w:val="00AD6DAC"/>
    <w:rsid w:val="00AD7EE6"/>
    <w:rsid w:val="00AE026A"/>
    <w:rsid w:val="00AE0D25"/>
    <w:rsid w:val="00AE1DB4"/>
    <w:rsid w:val="00AE298E"/>
    <w:rsid w:val="00AE3136"/>
    <w:rsid w:val="00AE383E"/>
    <w:rsid w:val="00AE43F3"/>
    <w:rsid w:val="00AE4BE2"/>
    <w:rsid w:val="00AE748F"/>
    <w:rsid w:val="00AF04F4"/>
    <w:rsid w:val="00AF09E4"/>
    <w:rsid w:val="00AF0C7B"/>
    <w:rsid w:val="00AF2C81"/>
    <w:rsid w:val="00AF51AC"/>
    <w:rsid w:val="00AF51C5"/>
    <w:rsid w:val="00AF52AD"/>
    <w:rsid w:val="00AF57DD"/>
    <w:rsid w:val="00AF5C5F"/>
    <w:rsid w:val="00AF6E63"/>
    <w:rsid w:val="00AF6FE6"/>
    <w:rsid w:val="00AF7129"/>
    <w:rsid w:val="00B000E6"/>
    <w:rsid w:val="00B003EF"/>
    <w:rsid w:val="00B028F1"/>
    <w:rsid w:val="00B0348B"/>
    <w:rsid w:val="00B03BCD"/>
    <w:rsid w:val="00B03E1F"/>
    <w:rsid w:val="00B04A33"/>
    <w:rsid w:val="00B05513"/>
    <w:rsid w:val="00B05765"/>
    <w:rsid w:val="00B06C05"/>
    <w:rsid w:val="00B06E79"/>
    <w:rsid w:val="00B07080"/>
    <w:rsid w:val="00B07C13"/>
    <w:rsid w:val="00B07F2F"/>
    <w:rsid w:val="00B11AEE"/>
    <w:rsid w:val="00B11FB3"/>
    <w:rsid w:val="00B13557"/>
    <w:rsid w:val="00B150A6"/>
    <w:rsid w:val="00B15650"/>
    <w:rsid w:val="00B156C9"/>
    <w:rsid w:val="00B15F8C"/>
    <w:rsid w:val="00B168D8"/>
    <w:rsid w:val="00B177DD"/>
    <w:rsid w:val="00B17C52"/>
    <w:rsid w:val="00B17C8A"/>
    <w:rsid w:val="00B19B29"/>
    <w:rsid w:val="00B20990"/>
    <w:rsid w:val="00B20CE9"/>
    <w:rsid w:val="00B20FB8"/>
    <w:rsid w:val="00B21250"/>
    <w:rsid w:val="00B226E4"/>
    <w:rsid w:val="00B22E3E"/>
    <w:rsid w:val="00B2478C"/>
    <w:rsid w:val="00B24983"/>
    <w:rsid w:val="00B25940"/>
    <w:rsid w:val="00B25A6D"/>
    <w:rsid w:val="00B26B56"/>
    <w:rsid w:val="00B27BC4"/>
    <w:rsid w:val="00B27CCE"/>
    <w:rsid w:val="00B27D07"/>
    <w:rsid w:val="00B305B9"/>
    <w:rsid w:val="00B30ACB"/>
    <w:rsid w:val="00B30DAB"/>
    <w:rsid w:val="00B317D6"/>
    <w:rsid w:val="00B3249E"/>
    <w:rsid w:val="00B32D00"/>
    <w:rsid w:val="00B32D20"/>
    <w:rsid w:val="00B34AEF"/>
    <w:rsid w:val="00B3629E"/>
    <w:rsid w:val="00B3753D"/>
    <w:rsid w:val="00B375E4"/>
    <w:rsid w:val="00B37EF9"/>
    <w:rsid w:val="00B41507"/>
    <w:rsid w:val="00B417EE"/>
    <w:rsid w:val="00B42DF8"/>
    <w:rsid w:val="00B43A19"/>
    <w:rsid w:val="00B44AAE"/>
    <w:rsid w:val="00B45570"/>
    <w:rsid w:val="00B45F79"/>
    <w:rsid w:val="00B46FC1"/>
    <w:rsid w:val="00B5020E"/>
    <w:rsid w:val="00B5059D"/>
    <w:rsid w:val="00B5239D"/>
    <w:rsid w:val="00B527B6"/>
    <w:rsid w:val="00B52828"/>
    <w:rsid w:val="00B52A86"/>
    <w:rsid w:val="00B53D5A"/>
    <w:rsid w:val="00B56C85"/>
    <w:rsid w:val="00B60FD7"/>
    <w:rsid w:val="00B612F6"/>
    <w:rsid w:val="00B632E1"/>
    <w:rsid w:val="00B633B2"/>
    <w:rsid w:val="00B64B11"/>
    <w:rsid w:val="00B64CE1"/>
    <w:rsid w:val="00B64DF5"/>
    <w:rsid w:val="00B659E3"/>
    <w:rsid w:val="00B65B13"/>
    <w:rsid w:val="00B65D5E"/>
    <w:rsid w:val="00B65F97"/>
    <w:rsid w:val="00B66078"/>
    <w:rsid w:val="00B70E5D"/>
    <w:rsid w:val="00B715F0"/>
    <w:rsid w:val="00B72087"/>
    <w:rsid w:val="00B72399"/>
    <w:rsid w:val="00B72898"/>
    <w:rsid w:val="00B73539"/>
    <w:rsid w:val="00B73B21"/>
    <w:rsid w:val="00B740F8"/>
    <w:rsid w:val="00B75B61"/>
    <w:rsid w:val="00B76B0F"/>
    <w:rsid w:val="00B77262"/>
    <w:rsid w:val="00B77FC0"/>
    <w:rsid w:val="00B801E8"/>
    <w:rsid w:val="00B80F6B"/>
    <w:rsid w:val="00B81BB9"/>
    <w:rsid w:val="00B83943"/>
    <w:rsid w:val="00B848B5"/>
    <w:rsid w:val="00B85487"/>
    <w:rsid w:val="00B857CC"/>
    <w:rsid w:val="00B86082"/>
    <w:rsid w:val="00B8608E"/>
    <w:rsid w:val="00B861C4"/>
    <w:rsid w:val="00B869AC"/>
    <w:rsid w:val="00B86B07"/>
    <w:rsid w:val="00B91A60"/>
    <w:rsid w:val="00B91B2E"/>
    <w:rsid w:val="00B92826"/>
    <w:rsid w:val="00B92903"/>
    <w:rsid w:val="00B93578"/>
    <w:rsid w:val="00B93945"/>
    <w:rsid w:val="00B93BCD"/>
    <w:rsid w:val="00B951AD"/>
    <w:rsid w:val="00B953C9"/>
    <w:rsid w:val="00B96CFA"/>
    <w:rsid w:val="00B96E2E"/>
    <w:rsid w:val="00BA095F"/>
    <w:rsid w:val="00BA0965"/>
    <w:rsid w:val="00BA0BD0"/>
    <w:rsid w:val="00BA0D97"/>
    <w:rsid w:val="00BA0EA8"/>
    <w:rsid w:val="00BA1A60"/>
    <w:rsid w:val="00BA256F"/>
    <w:rsid w:val="00BA2E54"/>
    <w:rsid w:val="00BA388E"/>
    <w:rsid w:val="00BA3A9F"/>
    <w:rsid w:val="00BA3D24"/>
    <w:rsid w:val="00BA57C7"/>
    <w:rsid w:val="00BA5D8D"/>
    <w:rsid w:val="00BA6425"/>
    <w:rsid w:val="00BA6AED"/>
    <w:rsid w:val="00BA6FF7"/>
    <w:rsid w:val="00BB0905"/>
    <w:rsid w:val="00BB1E1F"/>
    <w:rsid w:val="00BB228C"/>
    <w:rsid w:val="00BB3E50"/>
    <w:rsid w:val="00BB3EC3"/>
    <w:rsid w:val="00BB3F29"/>
    <w:rsid w:val="00BB4D7B"/>
    <w:rsid w:val="00BB4D83"/>
    <w:rsid w:val="00BB57F0"/>
    <w:rsid w:val="00BB6259"/>
    <w:rsid w:val="00BB77E8"/>
    <w:rsid w:val="00BB79A0"/>
    <w:rsid w:val="00BB7E60"/>
    <w:rsid w:val="00BC0CAE"/>
    <w:rsid w:val="00BC11A1"/>
    <w:rsid w:val="00BC29C8"/>
    <w:rsid w:val="00BC361F"/>
    <w:rsid w:val="00BC4874"/>
    <w:rsid w:val="00BC584B"/>
    <w:rsid w:val="00BC638B"/>
    <w:rsid w:val="00BC69B8"/>
    <w:rsid w:val="00BC6A0F"/>
    <w:rsid w:val="00BC7CCC"/>
    <w:rsid w:val="00BD134A"/>
    <w:rsid w:val="00BD15B5"/>
    <w:rsid w:val="00BD16B5"/>
    <w:rsid w:val="00BD2506"/>
    <w:rsid w:val="00BD3253"/>
    <w:rsid w:val="00BD3F98"/>
    <w:rsid w:val="00BD6B02"/>
    <w:rsid w:val="00BD737D"/>
    <w:rsid w:val="00BD757E"/>
    <w:rsid w:val="00BD762D"/>
    <w:rsid w:val="00BD7654"/>
    <w:rsid w:val="00BD7AD1"/>
    <w:rsid w:val="00BD7C5D"/>
    <w:rsid w:val="00BE1075"/>
    <w:rsid w:val="00BE2A62"/>
    <w:rsid w:val="00BE3B25"/>
    <w:rsid w:val="00BE7D37"/>
    <w:rsid w:val="00BE7FF6"/>
    <w:rsid w:val="00BF03E9"/>
    <w:rsid w:val="00BF052F"/>
    <w:rsid w:val="00BF082E"/>
    <w:rsid w:val="00BF1318"/>
    <w:rsid w:val="00BF17D0"/>
    <w:rsid w:val="00BF228D"/>
    <w:rsid w:val="00BF2F4A"/>
    <w:rsid w:val="00BF3647"/>
    <w:rsid w:val="00BF3E93"/>
    <w:rsid w:val="00BF4028"/>
    <w:rsid w:val="00BF4580"/>
    <w:rsid w:val="00BF52FF"/>
    <w:rsid w:val="00BF5558"/>
    <w:rsid w:val="00BF55F9"/>
    <w:rsid w:val="00BF6654"/>
    <w:rsid w:val="00BF6851"/>
    <w:rsid w:val="00BF6873"/>
    <w:rsid w:val="00C006C0"/>
    <w:rsid w:val="00C01243"/>
    <w:rsid w:val="00C012D5"/>
    <w:rsid w:val="00C01395"/>
    <w:rsid w:val="00C026B0"/>
    <w:rsid w:val="00C02F1F"/>
    <w:rsid w:val="00C03051"/>
    <w:rsid w:val="00C0335B"/>
    <w:rsid w:val="00C03545"/>
    <w:rsid w:val="00C04B5D"/>
    <w:rsid w:val="00C056A6"/>
    <w:rsid w:val="00C06124"/>
    <w:rsid w:val="00C06AA9"/>
    <w:rsid w:val="00C06D41"/>
    <w:rsid w:val="00C072CE"/>
    <w:rsid w:val="00C07935"/>
    <w:rsid w:val="00C07B28"/>
    <w:rsid w:val="00C107C4"/>
    <w:rsid w:val="00C10DD8"/>
    <w:rsid w:val="00C11F1B"/>
    <w:rsid w:val="00C121A7"/>
    <w:rsid w:val="00C12301"/>
    <w:rsid w:val="00C12739"/>
    <w:rsid w:val="00C12A66"/>
    <w:rsid w:val="00C12F6B"/>
    <w:rsid w:val="00C15152"/>
    <w:rsid w:val="00C1552D"/>
    <w:rsid w:val="00C16D69"/>
    <w:rsid w:val="00C178B8"/>
    <w:rsid w:val="00C20737"/>
    <w:rsid w:val="00C226D3"/>
    <w:rsid w:val="00C23C91"/>
    <w:rsid w:val="00C23CB2"/>
    <w:rsid w:val="00C26497"/>
    <w:rsid w:val="00C27DEE"/>
    <w:rsid w:val="00C3020B"/>
    <w:rsid w:val="00C3081F"/>
    <w:rsid w:val="00C309CB"/>
    <w:rsid w:val="00C30DE5"/>
    <w:rsid w:val="00C30FB2"/>
    <w:rsid w:val="00C3170B"/>
    <w:rsid w:val="00C31A2D"/>
    <w:rsid w:val="00C33383"/>
    <w:rsid w:val="00C3347B"/>
    <w:rsid w:val="00C34148"/>
    <w:rsid w:val="00C3432D"/>
    <w:rsid w:val="00C35BE2"/>
    <w:rsid w:val="00C3676C"/>
    <w:rsid w:val="00C367F4"/>
    <w:rsid w:val="00C36D7A"/>
    <w:rsid w:val="00C4058B"/>
    <w:rsid w:val="00C41405"/>
    <w:rsid w:val="00C41715"/>
    <w:rsid w:val="00C41CC8"/>
    <w:rsid w:val="00C41CE1"/>
    <w:rsid w:val="00C42FFA"/>
    <w:rsid w:val="00C43202"/>
    <w:rsid w:val="00C43ABA"/>
    <w:rsid w:val="00C45B3C"/>
    <w:rsid w:val="00C463C9"/>
    <w:rsid w:val="00C46914"/>
    <w:rsid w:val="00C50687"/>
    <w:rsid w:val="00C5142B"/>
    <w:rsid w:val="00C514CC"/>
    <w:rsid w:val="00C52A06"/>
    <w:rsid w:val="00C53276"/>
    <w:rsid w:val="00C5340B"/>
    <w:rsid w:val="00C548E6"/>
    <w:rsid w:val="00C5568D"/>
    <w:rsid w:val="00C57DDA"/>
    <w:rsid w:val="00C60DC3"/>
    <w:rsid w:val="00C61736"/>
    <w:rsid w:val="00C62267"/>
    <w:rsid w:val="00C62C91"/>
    <w:rsid w:val="00C62E55"/>
    <w:rsid w:val="00C630E9"/>
    <w:rsid w:val="00C63DEF"/>
    <w:rsid w:val="00C64249"/>
    <w:rsid w:val="00C656F0"/>
    <w:rsid w:val="00C65A38"/>
    <w:rsid w:val="00C65A76"/>
    <w:rsid w:val="00C66A00"/>
    <w:rsid w:val="00C674BA"/>
    <w:rsid w:val="00C70541"/>
    <w:rsid w:val="00C73B38"/>
    <w:rsid w:val="00C753BB"/>
    <w:rsid w:val="00C76856"/>
    <w:rsid w:val="00C7723C"/>
    <w:rsid w:val="00C775C7"/>
    <w:rsid w:val="00C80770"/>
    <w:rsid w:val="00C842FC"/>
    <w:rsid w:val="00C849ED"/>
    <w:rsid w:val="00C854EA"/>
    <w:rsid w:val="00C85A32"/>
    <w:rsid w:val="00C8740D"/>
    <w:rsid w:val="00C87576"/>
    <w:rsid w:val="00C87923"/>
    <w:rsid w:val="00C9465B"/>
    <w:rsid w:val="00C950D2"/>
    <w:rsid w:val="00C95266"/>
    <w:rsid w:val="00C9791D"/>
    <w:rsid w:val="00C97DC3"/>
    <w:rsid w:val="00C97FC6"/>
    <w:rsid w:val="00CA0798"/>
    <w:rsid w:val="00CA0902"/>
    <w:rsid w:val="00CA09D3"/>
    <w:rsid w:val="00CA0A86"/>
    <w:rsid w:val="00CA0E26"/>
    <w:rsid w:val="00CA2B38"/>
    <w:rsid w:val="00CA2D05"/>
    <w:rsid w:val="00CA35F9"/>
    <w:rsid w:val="00CA3DA5"/>
    <w:rsid w:val="00CA419A"/>
    <w:rsid w:val="00CA4562"/>
    <w:rsid w:val="00CA4875"/>
    <w:rsid w:val="00CA58C0"/>
    <w:rsid w:val="00CA59B5"/>
    <w:rsid w:val="00CA6034"/>
    <w:rsid w:val="00CA7A13"/>
    <w:rsid w:val="00CA7F7A"/>
    <w:rsid w:val="00CB0E6E"/>
    <w:rsid w:val="00CB10B4"/>
    <w:rsid w:val="00CB179A"/>
    <w:rsid w:val="00CB2AE6"/>
    <w:rsid w:val="00CB2C6C"/>
    <w:rsid w:val="00CB6AE0"/>
    <w:rsid w:val="00CB6CD1"/>
    <w:rsid w:val="00CB7169"/>
    <w:rsid w:val="00CC01FD"/>
    <w:rsid w:val="00CC0374"/>
    <w:rsid w:val="00CC0922"/>
    <w:rsid w:val="00CC0DCD"/>
    <w:rsid w:val="00CC16A4"/>
    <w:rsid w:val="00CC1A6F"/>
    <w:rsid w:val="00CC244C"/>
    <w:rsid w:val="00CC2FD2"/>
    <w:rsid w:val="00CC37EE"/>
    <w:rsid w:val="00CC3AB9"/>
    <w:rsid w:val="00CC3ACE"/>
    <w:rsid w:val="00CC3E43"/>
    <w:rsid w:val="00CC4B1B"/>
    <w:rsid w:val="00CC4F9D"/>
    <w:rsid w:val="00CC5F50"/>
    <w:rsid w:val="00CC685C"/>
    <w:rsid w:val="00CC7219"/>
    <w:rsid w:val="00CC7239"/>
    <w:rsid w:val="00CC7DD2"/>
    <w:rsid w:val="00CD055E"/>
    <w:rsid w:val="00CD0F0B"/>
    <w:rsid w:val="00CD22B2"/>
    <w:rsid w:val="00CD252B"/>
    <w:rsid w:val="00CD28B3"/>
    <w:rsid w:val="00CD2E53"/>
    <w:rsid w:val="00CD354C"/>
    <w:rsid w:val="00CD37B8"/>
    <w:rsid w:val="00CD3CB5"/>
    <w:rsid w:val="00CD4E3D"/>
    <w:rsid w:val="00CD565D"/>
    <w:rsid w:val="00CD5B1A"/>
    <w:rsid w:val="00CD60BC"/>
    <w:rsid w:val="00CD6145"/>
    <w:rsid w:val="00CD72A3"/>
    <w:rsid w:val="00CE0E2B"/>
    <w:rsid w:val="00CE0F0F"/>
    <w:rsid w:val="00CE141D"/>
    <w:rsid w:val="00CE19EF"/>
    <w:rsid w:val="00CE2207"/>
    <w:rsid w:val="00CE28E5"/>
    <w:rsid w:val="00CE3050"/>
    <w:rsid w:val="00CE348F"/>
    <w:rsid w:val="00CE37B2"/>
    <w:rsid w:val="00CE39A7"/>
    <w:rsid w:val="00CE3B21"/>
    <w:rsid w:val="00CE4B53"/>
    <w:rsid w:val="00CE6120"/>
    <w:rsid w:val="00CE6150"/>
    <w:rsid w:val="00CE6485"/>
    <w:rsid w:val="00CE7067"/>
    <w:rsid w:val="00CE72FD"/>
    <w:rsid w:val="00CE7F53"/>
    <w:rsid w:val="00CF04B4"/>
    <w:rsid w:val="00CF0C3E"/>
    <w:rsid w:val="00CF281F"/>
    <w:rsid w:val="00CF396F"/>
    <w:rsid w:val="00CF3E90"/>
    <w:rsid w:val="00CF4725"/>
    <w:rsid w:val="00CF697A"/>
    <w:rsid w:val="00CF760A"/>
    <w:rsid w:val="00D005C9"/>
    <w:rsid w:val="00D00ED2"/>
    <w:rsid w:val="00D01D55"/>
    <w:rsid w:val="00D01D9B"/>
    <w:rsid w:val="00D02397"/>
    <w:rsid w:val="00D028C2"/>
    <w:rsid w:val="00D032F3"/>
    <w:rsid w:val="00D04505"/>
    <w:rsid w:val="00D06510"/>
    <w:rsid w:val="00D0698B"/>
    <w:rsid w:val="00D073F8"/>
    <w:rsid w:val="00D07AA3"/>
    <w:rsid w:val="00D1099F"/>
    <w:rsid w:val="00D10D88"/>
    <w:rsid w:val="00D10E14"/>
    <w:rsid w:val="00D12DD3"/>
    <w:rsid w:val="00D132CD"/>
    <w:rsid w:val="00D14530"/>
    <w:rsid w:val="00D20381"/>
    <w:rsid w:val="00D20666"/>
    <w:rsid w:val="00D20822"/>
    <w:rsid w:val="00D20C33"/>
    <w:rsid w:val="00D213E0"/>
    <w:rsid w:val="00D21707"/>
    <w:rsid w:val="00D21D03"/>
    <w:rsid w:val="00D22659"/>
    <w:rsid w:val="00D2373D"/>
    <w:rsid w:val="00D23F06"/>
    <w:rsid w:val="00D24E16"/>
    <w:rsid w:val="00D25455"/>
    <w:rsid w:val="00D26458"/>
    <w:rsid w:val="00D2748F"/>
    <w:rsid w:val="00D27948"/>
    <w:rsid w:val="00D31563"/>
    <w:rsid w:val="00D31AED"/>
    <w:rsid w:val="00D32395"/>
    <w:rsid w:val="00D328AD"/>
    <w:rsid w:val="00D329AE"/>
    <w:rsid w:val="00D329CD"/>
    <w:rsid w:val="00D344F2"/>
    <w:rsid w:val="00D35151"/>
    <w:rsid w:val="00D352D1"/>
    <w:rsid w:val="00D36AAB"/>
    <w:rsid w:val="00D36B55"/>
    <w:rsid w:val="00D37486"/>
    <w:rsid w:val="00D37B17"/>
    <w:rsid w:val="00D37D46"/>
    <w:rsid w:val="00D37EE7"/>
    <w:rsid w:val="00D40342"/>
    <w:rsid w:val="00D40420"/>
    <w:rsid w:val="00D40F93"/>
    <w:rsid w:val="00D43238"/>
    <w:rsid w:val="00D44243"/>
    <w:rsid w:val="00D44385"/>
    <w:rsid w:val="00D444EE"/>
    <w:rsid w:val="00D44ABF"/>
    <w:rsid w:val="00D44C57"/>
    <w:rsid w:val="00D456EC"/>
    <w:rsid w:val="00D45731"/>
    <w:rsid w:val="00D45F6B"/>
    <w:rsid w:val="00D522FF"/>
    <w:rsid w:val="00D523E9"/>
    <w:rsid w:val="00D53B87"/>
    <w:rsid w:val="00D5477B"/>
    <w:rsid w:val="00D5560C"/>
    <w:rsid w:val="00D577E0"/>
    <w:rsid w:val="00D61C98"/>
    <w:rsid w:val="00D64249"/>
    <w:rsid w:val="00D65035"/>
    <w:rsid w:val="00D66E4C"/>
    <w:rsid w:val="00D71529"/>
    <w:rsid w:val="00D72BBB"/>
    <w:rsid w:val="00D746BD"/>
    <w:rsid w:val="00D75774"/>
    <w:rsid w:val="00D75AE9"/>
    <w:rsid w:val="00D76035"/>
    <w:rsid w:val="00D76CE9"/>
    <w:rsid w:val="00D8051A"/>
    <w:rsid w:val="00D80808"/>
    <w:rsid w:val="00D81267"/>
    <w:rsid w:val="00D81757"/>
    <w:rsid w:val="00D817C2"/>
    <w:rsid w:val="00D822B4"/>
    <w:rsid w:val="00D83046"/>
    <w:rsid w:val="00D84357"/>
    <w:rsid w:val="00D8457C"/>
    <w:rsid w:val="00D846AD"/>
    <w:rsid w:val="00D84B0B"/>
    <w:rsid w:val="00D84C61"/>
    <w:rsid w:val="00D84E0A"/>
    <w:rsid w:val="00D84EC1"/>
    <w:rsid w:val="00D85CF4"/>
    <w:rsid w:val="00D85D4B"/>
    <w:rsid w:val="00D85D51"/>
    <w:rsid w:val="00D870D5"/>
    <w:rsid w:val="00D90EB2"/>
    <w:rsid w:val="00D910CD"/>
    <w:rsid w:val="00D926CF"/>
    <w:rsid w:val="00D94376"/>
    <w:rsid w:val="00D94AE0"/>
    <w:rsid w:val="00D94C20"/>
    <w:rsid w:val="00D95011"/>
    <w:rsid w:val="00D95E5A"/>
    <w:rsid w:val="00D974E2"/>
    <w:rsid w:val="00DA0483"/>
    <w:rsid w:val="00DA064C"/>
    <w:rsid w:val="00DA088C"/>
    <w:rsid w:val="00DA2037"/>
    <w:rsid w:val="00DA3E19"/>
    <w:rsid w:val="00DA4A1D"/>
    <w:rsid w:val="00DA5878"/>
    <w:rsid w:val="00DA73FB"/>
    <w:rsid w:val="00DA7773"/>
    <w:rsid w:val="00DA7D3D"/>
    <w:rsid w:val="00DB16D3"/>
    <w:rsid w:val="00DB17F4"/>
    <w:rsid w:val="00DB2F9F"/>
    <w:rsid w:val="00DB3050"/>
    <w:rsid w:val="00DB3555"/>
    <w:rsid w:val="00DB4853"/>
    <w:rsid w:val="00DB4DB5"/>
    <w:rsid w:val="00DB4F22"/>
    <w:rsid w:val="00DB6EAC"/>
    <w:rsid w:val="00DB703F"/>
    <w:rsid w:val="00DC0CC7"/>
    <w:rsid w:val="00DC0E23"/>
    <w:rsid w:val="00DC1C05"/>
    <w:rsid w:val="00DC2866"/>
    <w:rsid w:val="00DC2B80"/>
    <w:rsid w:val="00DC3F9F"/>
    <w:rsid w:val="00DC408D"/>
    <w:rsid w:val="00DC425A"/>
    <w:rsid w:val="00DC55C4"/>
    <w:rsid w:val="00DC661F"/>
    <w:rsid w:val="00DC70FF"/>
    <w:rsid w:val="00DC74D6"/>
    <w:rsid w:val="00DD0D01"/>
    <w:rsid w:val="00DD144E"/>
    <w:rsid w:val="00DD2A3E"/>
    <w:rsid w:val="00DD2E84"/>
    <w:rsid w:val="00DD30A6"/>
    <w:rsid w:val="00DD31C3"/>
    <w:rsid w:val="00DD3371"/>
    <w:rsid w:val="00DD3D5B"/>
    <w:rsid w:val="00DD3DC1"/>
    <w:rsid w:val="00DD4027"/>
    <w:rsid w:val="00DD5EB6"/>
    <w:rsid w:val="00DD7B18"/>
    <w:rsid w:val="00DD7E68"/>
    <w:rsid w:val="00DE04BA"/>
    <w:rsid w:val="00DE0BBC"/>
    <w:rsid w:val="00DE2D03"/>
    <w:rsid w:val="00DE2F98"/>
    <w:rsid w:val="00DE32AA"/>
    <w:rsid w:val="00DE4EFA"/>
    <w:rsid w:val="00DE6BFE"/>
    <w:rsid w:val="00DE6E4C"/>
    <w:rsid w:val="00DE73F8"/>
    <w:rsid w:val="00DE7D37"/>
    <w:rsid w:val="00DF0325"/>
    <w:rsid w:val="00DF085E"/>
    <w:rsid w:val="00DF0999"/>
    <w:rsid w:val="00DF1891"/>
    <w:rsid w:val="00DF3366"/>
    <w:rsid w:val="00DF3B50"/>
    <w:rsid w:val="00DF3C2E"/>
    <w:rsid w:val="00DF4174"/>
    <w:rsid w:val="00DF4AEC"/>
    <w:rsid w:val="00DF5132"/>
    <w:rsid w:val="00DF5205"/>
    <w:rsid w:val="00DF6CB2"/>
    <w:rsid w:val="00DF7669"/>
    <w:rsid w:val="00E00465"/>
    <w:rsid w:val="00E008FD"/>
    <w:rsid w:val="00E00BA6"/>
    <w:rsid w:val="00E01E34"/>
    <w:rsid w:val="00E02E55"/>
    <w:rsid w:val="00E034BF"/>
    <w:rsid w:val="00E03769"/>
    <w:rsid w:val="00E046CC"/>
    <w:rsid w:val="00E04E85"/>
    <w:rsid w:val="00E0530D"/>
    <w:rsid w:val="00E05897"/>
    <w:rsid w:val="00E05D71"/>
    <w:rsid w:val="00E06150"/>
    <w:rsid w:val="00E0713B"/>
    <w:rsid w:val="00E117AA"/>
    <w:rsid w:val="00E122DE"/>
    <w:rsid w:val="00E137A0"/>
    <w:rsid w:val="00E14777"/>
    <w:rsid w:val="00E14798"/>
    <w:rsid w:val="00E153A2"/>
    <w:rsid w:val="00E15804"/>
    <w:rsid w:val="00E1703B"/>
    <w:rsid w:val="00E17253"/>
    <w:rsid w:val="00E17AED"/>
    <w:rsid w:val="00E213D9"/>
    <w:rsid w:val="00E21DC9"/>
    <w:rsid w:val="00E22878"/>
    <w:rsid w:val="00E22A4A"/>
    <w:rsid w:val="00E22AED"/>
    <w:rsid w:val="00E22AF9"/>
    <w:rsid w:val="00E24DBB"/>
    <w:rsid w:val="00E25870"/>
    <w:rsid w:val="00E26645"/>
    <w:rsid w:val="00E2727F"/>
    <w:rsid w:val="00E27410"/>
    <w:rsid w:val="00E3071F"/>
    <w:rsid w:val="00E30E13"/>
    <w:rsid w:val="00E31548"/>
    <w:rsid w:val="00E3323F"/>
    <w:rsid w:val="00E335B8"/>
    <w:rsid w:val="00E33784"/>
    <w:rsid w:val="00E34DCF"/>
    <w:rsid w:val="00E34E20"/>
    <w:rsid w:val="00E34E4C"/>
    <w:rsid w:val="00E36A95"/>
    <w:rsid w:val="00E36CF7"/>
    <w:rsid w:val="00E37D0C"/>
    <w:rsid w:val="00E37F1F"/>
    <w:rsid w:val="00E405C8"/>
    <w:rsid w:val="00E40C5A"/>
    <w:rsid w:val="00E41BAC"/>
    <w:rsid w:val="00E43097"/>
    <w:rsid w:val="00E437C2"/>
    <w:rsid w:val="00E44B0E"/>
    <w:rsid w:val="00E44F05"/>
    <w:rsid w:val="00E450AA"/>
    <w:rsid w:val="00E46190"/>
    <w:rsid w:val="00E47D5A"/>
    <w:rsid w:val="00E503C5"/>
    <w:rsid w:val="00E510C3"/>
    <w:rsid w:val="00E51A5D"/>
    <w:rsid w:val="00E54779"/>
    <w:rsid w:val="00E57C37"/>
    <w:rsid w:val="00E602EB"/>
    <w:rsid w:val="00E6092B"/>
    <w:rsid w:val="00E61618"/>
    <w:rsid w:val="00E617A0"/>
    <w:rsid w:val="00E618EB"/>
    <w:rsid w:val="00E620AA"/>
    <w:rsid w:val="00E62256"/>
    <w:rsid w:val="00E622A4"/>
    <w:rsid w:val="00E63F68"/>
    <w:rsid w:val="00E648B7"/>
    <w:rsid w:val="00E67D3B"/>
    <w:rsid w:val="00E70422"/>
    <w:rsid w:val="00E71797"/>
    <w:rsid w:val="00E717C9"/>
    <w:rsid w:val="00E71901"/>
    <w:rsid w:val="00E733DE"/>
    <w:rsid w:val="00E73439"/>
    <w:rsid w:val="00E73C58"/>
    <w:rsid w:val="00E73CBB"/>
    <w:rsid w:val="00E7591E"/>
    <w:rsid w:val="00E75B8F"/>
    <w:rsid w:val="00E76033"/>
    <w:rsid w:val="00E76C68"/>
    <w:rsid w:val="00E770AE"/>
    <w:rsid w:val="00E77DAC"/>
    <w:rsid w:val="00E808E9"/>
    <w:rsid w:val="00E80BC2"/>
    <w:rsid w:val="00E819AC"/>
    <w:rsid w:val="00E81F68"/>
    <w:rsid w:val="00E828AD"/>
    <w:rsid w:val="00E8393A"/>
    <w:rsid w:val="00E83F8A"/>
    <w:rsid w:val="00E84D42"/>
    <w:rsid w:val="00E87CA6"/>
    <w:rsid w:val="00E900D8"/>
    <w:rsid w:val="00E90250"/>
    <w:rsid w:val="00E911F5"/>
    <w:rsid w:val="00E91700"/>
    <w:rsid w:val="00E91C4E"/>
    <w:rsid w:val="00E91F1C"/>
    <w:rsid w:val="00E927B3"/>
    <w:rsid w:val="00E92E62"/>
    <w:rsid w:val="00E93182"/>
    <w:rsid w:val="00E948F8"/>
    <w:rsid w:val="00E94AEF"/>
    <w:rsid w:val="00E95C22"/>
    <w:rsid w:val="00EA063E"/>
    <w:rsid w:val="00EA0AB3"/>
    <w:rsid w:val="00EA1EC6"/>
    <w:rsid w:val="00EA2566"/>
    <w:rsid w:val="00EA3BC8"/>
    <w:rsid w:val="00EA7C0C"/>
    <w:rsid w:val="00EB00F2"/>
    <w:rsid w:val="00EB02AB"/>
    <w:rsid w:val="00EB04F9"/>
    <w:rsid w:val="00EB20D7"/>
    <w:rsid w:val="00EB2938"/>
    <w:rsid w:val="00EB381D"/>
    <w:rsid w:val="00EB3CA8"/>
    <w:rsid w:val="00EB3D4B"/>
    <w:rsid w:val="00EB4BB0"/>
    <w:rsid w:val="00EB4E1A"/>
    <w:rsid w:val="00EB5496"/>
    <w:rsid w:val="00EB59D7"/>
    <w:rsid w:val="00EB5A68"/>
    <w:rsid w:val="00EB5AB5"/>
    <w:rsid w:val="00EB613B"/>
    <w:rsid w:val="00EB64C5"/>
    <w:rsid w:val="00EB727B"/>
    <w:rsid w:val="00EB769D"/>
    <w:rsid w:val="00EC19E0"/>
    <w:rsid w:val="00EC1CA1"/>
    <w:rsid w:val="00EC48EA"/>
    <w:rsid w:val="00EC4D3D"/>
    <w:rsid w:val="00EC5960"/>
    <w:rsid w:val="00EC6276"/>
    <w:rsid w:val="00EC6965"/>
    <w:rsid w:val="00EC6B89"/>
    <w:rsid w:val="00EC6D78"/>
    <w:rsid w:val="00EC752E"/>
    <w:rsid w:val="00EC7E68"/>
    <w:rsid w:val="00ED0C05"/>
    <w:rsid w:val="00ED1CB0"/>
    <w:rsid w:val="00ED33E8"/>
    <w:rsid w:val="00ED4E36"/>
    <w:rsid w:val="00ED51AD"/>
    <w:rsid w:val="00ED5443"/>
    <w:rsid w:val="00ED5E1B"/>
    <w:rsid w:val="00ED7E16"/>
    <w:rsid w:val="00EE120F"/>
    <w:rsid w:val="00EE142E"/>
    <w:rsid w:val="00EE1A69"/>
    <w:rsid w:val="00EE2752"/>
    <w:rsid w:val="00EE295D"/>
    <w:rsid w:val="00EE2B3F"/>
    <w:rsid w:val="00EE2C42"/>
    <w:rsid w:val="00EE36F3"/>
    <w:rsid w:val="00EE47FF"/>
    <w:rsid w:val="00EE48E7"/>
    <w:rsid w:val="00EE53F5"/>
    <w:rsid w:val="00EE6A16"/>
    <w:rsid w:val="00EE6ACC"/>
    <w:rsid w:val="00EE7667"/>
    <w:rsid w:val="00EF0859"/>
    <w:rsid w:val="00EF11CC"/>
    <w:rsid w:val="00EF13D4"/>
    <w:rsid w:val="00EF1971"/>
    <w:rsid w:val="00EF1E69"/>
    <w:rsid w:val="00EF2064"/>
    <w:rsid w:val="00EF2D52"/>
    <w:rsid w:val="00EF313B"/>
    <w:rsid w:val="00EF5464"/>
    <w:rsid w:val="00EF54AF"/>
    <w:rsid w:val="00EF6276"/>
    <w:rsid w:val="00EF7853"/>
    <w:rsid w:val="00F00DA4"/>
    <w:rsid w:val="00F0168E"/>
    <w:rsid w:val="00F01874"/>
    <w:rsid w:val="00F02514"/>
    <w:rsid w:val="00F02A8B"/>
    <w:rsid w:val="00F02C59"/>
    <w:rsid w:val="00F02FE1"/>
    <w:rsid w:val="00F03B72"/>
    <w:rsid w:val="00F041C7"/>
    <w:rsid w:val="00F04298"/>
    <w:rsid w:val="00F04577"/>
    <w:rsid w:val="00F04E75"/>
    <w:rsid w:val="00F10215"/>
    <w:rsid w:val="00F1028C"/>
    <w:rsid w:val="00F10715"/>
    <w:rsid w:val="00F10A62"/>
    <w:rsid w:val="00F115AA"/>
    <w:rsid w:val="00F11894"/>
    <w:rsid w:val="00F126C5"/>
    <w:rsid w:val="00F13A9E"/>
    <w:rsid w:val="00F14367"/>
    <w:rsid w:val="00F157B7"/>
    <w:rsid w:val="00F159A3"/>
    <w:rsid w:val="00F15F20"/>
    <w:rsid w:val="00F16619"/>
    <w:rsid w:val="00F16B93"/>
    <w:rsid w:val="00F16CF0"/>
    <w:rsid w:val="00F17069"/>
    <w:rsid w:val="00F203CD"/>
    <w:rsid w:val="00F20C18"/>
    <w:rsid w:val="00F210EF"/>
    <w:rsid w:val="00F21461"/>
    <w:rsid w:val="00F2156E"/>
    <w:rsid w:val="00F22206"/>
    <w:rsid w:val="00F2245C"/>
    <w:rsid w:val="00F229F0"/>
    <w:rsid w:val="00F24249"/>
    <w:rsid w:val="00F2526D"/>
    <w:rsid w:val="00F2529F"/>
    <w:rsid w:val="00F26193"/>
    <w:rsid w:val="00F265B9"/>
    <w:rsid w:val="00F27AFF"/>
    <w:rsid w:val="00F30220"/>
    <w:rsid w:val="00F30BC8"/>
    <w:rsid w:val="00F31025"/>
    <w:rsid w:val="00F31301"/>
    <w:rsid w:val="00F315AB"/>
    <w:rsid w:val="00F332CD"/>
    <w:rsid w:val="00F34953"/>
    <w:rsid w:val="00F34A25"/>
    <w:rsid w:val="00F35AA4"/>
    <w:rsid w:val="00F35DC7"/>
    <w:rsid w:val="00F36719"/>
    <w:rsid w:val="00F37733"/>
    <w:rsid w:val="00F41116"/>
    <w:rsid w:val="00F4197F"/>
    <w:rsid w:val="00F42E2D"/>
    <w:rsid w:val="00F452DE"/>
    <w:rsid w:val="00F45C90"/>
    <w:rsid w:val="00F46FDA"/>
    <w:rsid w:val="00F4700F"/>
    <w:rsid w:val="00F50731"/>
    <w:rsid w:val="00F50B46"/>
    <w:rsid w:val="00F51C6D"/>
    <w:rsid w:val="00F5258F"/>
    <w:rsid w:val="00F534D1"/>
    <w:rsid w:val="00F535DD"/>
    <w:rsid w:val="00F537C3"/>
    <w:rsid w:val="00F53BA8"/>
    <w:rsid w:val="00F540DF"/>
    <w:rsid w:val="00F542E4"/>
    <w:rsid w:val="00F55BDE"/>
    <w:rsid w:val="00F56AE7"/>
    <w:rsid w:val="00F57976"/>
    <w:rsid w:val="00F605FC"/>
    <w:rsid w:val="00F60C46"/>
    <w:rsid w:val="00F60C61"/>
    <w:rsid w:val="00F61144"/>
    <w:rsid w:val="00F6120B"/>
    <w:rsid w:val="00F61618"/>
    <w:rsid w:val="00F61CEE"/>
    <w:rsid w:val="00F61ED2"/>
    <w:rsid w:val="00F627DD"/>
    <w:rsid w:val="00F6320B"/>
    <w:rsid w:val="00F635D3"/>
    <w:rsid w:val="00F65417"/>
    <w:rsid w:val="00F6737E"/>
    <w:rsid w:val="00F67503"/>
    <w:rsid w:val="00F67576"/>
    <w:rsid w:val="00F70A79"/>
    <w:rsid w:val="00F731F1"/>
    <w:rsid w:val="00F73FBB"/>
    <w:rsid w:val="00F74244"/>
    <w:rsid w:val="00F74587"/>
    <w:rsid w:val="00F746B4"/>
    <w:rsid w:val="00F74C43"/>
    <w:rsid w:val="00F74F34"/>
    <w:rsid w:val="00F81034"/>
    <w:rsid w:val="00F81F63"/>
    <w:rsid w:val="00F82675"/>
    <w:rsid w:val="00F83051"/>
    <w:rsid w:val="00F83128"/>
    <w:rsid w:val="00F839BC"/>
    <w:rsid w:val="00F84763"/>
    <w:rsid w:val="00F84C7C"/>
    <w:rsid w:val="00F85012"/>
    <w:rsid w:val="00F8506A"/>
    <w:rsid w:val="00F851BB"/>
    <w:rsid w:val="00F86019"/>
    <w:rsid w:val="00F86820"/>
    <w:rsid w:val="00F86B36"/>
    <w:rsid w:val="00F8701C"/>
    <w:rsid w:val="00F8725D"/>
    <w:rsid w:val="00F8732F"/>
    <w:rsid w:val="00F8769F"/>
    <w:rsid w:val="00F8794C"/>
    <w:rsid w:val="00F90E06"/>
    <w:rsid w:val="00F91678"/>
    <w:rsid w:val="00F9198B"/>
    <w:rsid w:val="00F91ACA"/>
    <w:rsid w:val="00F929A2"/>
    <w:rsid w:val="00F92C0E"/>
    <w:rsid w:val="00F92F04"/>
    <w:rsid w:val="00F938C6"/>
    <w:rsid w:val="00F93A33"/>
    <w:rsid w:val="00F9409C"/>
    <w:rsid w:val="00F94BD8"/>
    <w:rsid w:val="00F97281"/>
    <w:rsid w:val="00FA0E44"/>
    <w:rsid w:val="00FA14BF"/>
    <w:rsid w:val="00FA1B4E"/>
    <w:rsid w:val="00FA3926"/>
    <w:rsid w:val="00FA3FB8"/>
    <w:rsid w:val="00FA4894"/>
    <w:rsid w:val="00FA5322"/>
    <w:rsid w:val="00FA5973"/>
    <w:rsid w:val="00FA598F"/>
    <w:rsid w:val="00FA6671"/>
    <w:rsid w:val="00FA767E"/>
    <w:rsid w:val="00FA76CF"/>
    <w:rsid w:val="00FA7A31"/>
    <w:rsid w:val="00FB1238"/>
    <w:rsid w:val="00FB1872"/>
    <w:rsid w:val="00FB3D8E"/>
    <w:rsid w:val="00FB47C2"/>
    <w:rsid w:val="00FB4B8C"/>
    <w:rsid w:val="00FB51C9"/>
    <w:rsid w:val="00FB5C7F"/>
    <w:rsid w:val="00FB632B"/>
    <w:rsid w:val="00FB6D2F"/>
    <w:rsid w:val="00FB6ED1"/>
    <w:rsid w:val="00FB7BD5"/>
    <w:rsid w:val="00FB7E5E"/>
    <w:rsid w:val="00FBDBAF"/>
    <w:rsid w:val="00FC057E"/>
    <w:rsid w:val="00FC1EEE"/>
    <w:rsid w:val="00FC324A"/>
    <w:rsid w:val="00FC36F7"/>
    <w:rsid w:val="00FC38F8"/>
    <w:rsid w:val="00FC3D96"/>
    <w:rsid w:val="00FC4032"/>
    <w:rsid w:val="00FC415E"/>
    <w:rsid w:val="00FC41D1"/>
    <w:rsid w:val="00FC52F7"/>
    <w:rsid w:val="00FC5500"/>
    <w:rsid w:val="00FC5F56"/>
    <w:rsid w:val="00FC63D8"/>
    <w:rsid w:val="00FC676A"/>
    <w:rsid w:val="00FC75EA"/>
    <w:rsid w:val="00FC7892"/>
    <w:rsid w:val="00FD0D63"/>
    <w:rsid w:val="00FD1F81"/>
    <w:rsid w:val="00FD2E4A"/>
    <w:rsid w:val="00FD33CD"/>
    <w:rsid w:val="00FD35E2"/>
    <w:rsid w:val="00FD3734"/>
    <w:rsid w:val="00FD379D"/>
    <w:rsid w:val="00FD4833"/>
    <w:rsid w:val="00FD4D80"/>
    <w:rsid w:val="00FD670F"/>
    <w:rsid w:val="00FD7167"/>
    <w:rsid w:val="00FD7CB5"/>
    <w:rsid w:val="00FD7DD7"/>
    <w:rsid w:val="00FE06E1"/>
    <w:rsid w:val="00FE08CE"/>
    <w:rsid w:val="00FE1CCA"/>
    <w:rsid w:val="00FE2095"/>
    <w:rsid w:val="00FE21CC"/>
    <w:rsid w:val="00FE32D4"/>
    <w:rsid w:val="00FE413F"/>
    <w:rsid w:val="00FE5153"/>
    <w:rsid w:val="00FE6538"/>
    <w:rsid w:val="00FE6914"/>
    <w:rsid w:val="00FE6DD0"/>
    <w:rsid w:val="00FE7189"/>
    <w:rsid w:val="00FE72D9"/>
    <w:rsid w:val="00FE7C37"/>
    <w:rsid w:val="00FF03A9"/>
    <w:rsid w:val="00FF040F"/>
    <w:rsid w:val="00FF134C"/>
    <w:rsid w:val="00FF1841"/>
    <w:rsid w:val="00FF2F34"/>
    <w:rsid w:val="00FF437D"/>
    <w:rsid w:val="00FF596D"/>
    <w:rsid w:val="0114C5C8"/>
    <w:rsid w:val="013CAD54"/>
    <w:rsid w:val="0146A30D"/>
    <w:rsid w:val="014E4CBE"/>
    <w:rsid w:val="017B61BD"/>
    <w:rsid w:val="019318C2"/>
    <w:rsid w:val="01C69B32"/>
    <w:rsid w:val="01DA7152"/>
    <w:rsid w:val="01DFE9BE"/>
    <w:rsid w:val="01FA1FE9"/>
    <w:rsid w:val="01FE0CC7"/>
    <w:rsid w:val="02445142"/>
    <w:rsid w:val="02658D25"/>
    <w:rsid w:val="02B63FC8"/>
    <w:rsid w:val="02C47361"/>
    <w:rsid w:val="02D18F61"/>
    <w:rsid w:val="02E45AA8"/>
    <w:rsid w:val="02F8E2EF"/>
    <w:rsid w:val="0302A777"/>
    <w:rsid w:val="03366A4E"/>
    <w:rsid w:val="034FE3C3"/>
    <w:rsid w:val="03510733"/>
    <w:rsid w:val="036AD4DD"/>
    <w:rsid w:val="0384D46C"/>
    <w:rsid w:val="03A0BE1D"/>
    <w:rsid w:val="03E1ABDF"/>
    <w:rsid w:val="04136E7B"/>
    <w:rsid w:val="0424E59D"/>
    <w:rsid w:val="04531559"/>
    <w:rsid w:val="04558962"/>
    <w:rsid w:val="04666A6D"/>
    <w:rsid w:val="04C9543D"/>
    <w:rsid w:val="050CB53F"/>
    <w:rsid w:val="0517EC22"/>
    <w:rsid w:val="0551468C"/>
    <w:rsid w:val="056D5206"/>
    <w:rsid w:val="05718584"/>
    <w:rsid w:val="0573A917"/>
    <w:rsid w:val="05844610"/>
    <w:rsid w:val="06084715"/>
    <w:rsid w:val="060D1E73"/>
    <w:rsid w:val="06287B28"/>
    <w:rsid w:val="062FC952"/>
    <w:rsid w:val="06797CE6"/>
    <w:rsid w:val="06BBAC17"/>
    <w:rsid w:val="06D7A398"/>
    <w:rsid w:val="06F306AA"/>
    <w:rsid w:val="06F6A7C7"/>
    <w:rsid w:val="0708352A"/>
    <w:rsid w:val="0746B02B"/>
    <w:rsid w:val="0775F0B7"/>
    <w:rsid w:val="07884F79"/>
    <w:rsid w:val="0790AB8B"/>
    <w:rsid w:val="07F9CF6C"/>
    <w:rsid w:val="081E440C"/>
    <w:rsid w:val="0820401A"/>
    <w:rsid w:val="08C45179"/>
    <w:rsid w:val="09316094"/>
    <w:rsid w:val="09C412C4"/>
    <w:rsid w:val="09E34D90"/>
    <w:rsid w:val="0A164FBF"/>
    <w:rsid w:val="0A1A9B89"/>
    <w:rsid w:val="0A5753FB"/>
    <w:rsid w:val="0AD9DDE7"/>
    <w:rsid w:val="0B0EC170"/>
    <w:rsid w:val="0B2C736B"/>
    <w:rsid w:val="0B4847A1"/>
    <w:rsid w:val="0B7A36CB"/>
    <w:rsid w:val="0BA4999B"/>
    <w:rsid w:val="0BB4E33C"/>
    <w:rsid w:val="0BD22889"/>
    <w:rsid w:val="0BDF2678"/>
    <w:rsid w:val="0C5C869E"/>
    <w:rsid w:val="0C7C5FF7"/>
    <w:rsid w:val="0C8C4FB5"/>
    <w:rsid w:val="0CB67503"/>
    <w:rsid w:val="0D137E78"/>
    <w:rsid w:val="0D281DC3"/>
    <w:rsid w:val="0D71EE05"/>
    <w:rsid w:val="0DADC699"/>
    <w:rsid w:val="0DC6AE53"/>
    <w:rsid w:val="0DEECCB8"/>
    <w:rsid w:val="0DEFABC4"/>
    <w:rsid w:val="0DF62466"/>
    <w:rsid w:val="0E1BFF5F"/>
    <w:rsid w:val="0E3776AD"/>
    <w:rsid w:val="0E41B204"/>
    <w:rsid w:val="0E7D5B27"/>
    <w:rsid w:val="0E925855"/>
    <w:rsid w:val="0E941A14"/>
    <w:rsid w:val="0EA2F559"/>
    <w:rsid w:val="0ED4E60A"/>
    <w:rsid w:val="0F1A0936"/>
    <w:rsid w:val="0F3ADEA7"/>
    <w:rsid w:val="0F3E365E"/>
    <w:rsid w:val="0F7E0201"/>
    <w:rsid w:val="0F9206DD"/>
    <w:rsid w:val="0F972713"/>
    <w:rsid w:val="0F9AD85C"/>
    <w:rsid w:val="0F9F8F26"/>
    <w:rsid w:val="0FA7DE84"/>
    <w:rsid w:val="0FA81347"/>
    <w:rsid w:val="0FCA377B"/>
    <w:rsid w:val="103E8BF7"/>
    <w:rsid w:val="1043BDA0"/>
    <w:rsid w:val="104E6ACC"/>
    <w:rsid w:val="104F14E3"/>
    <w:rsid w:val="1060B27E"/>
    <w:rsid w:val="1064D0A2"/>
    <w:rsid w:val="10732E10"/>
    <w:rsid w:val="10CB5A56"/>
    <w:rsid w:val="111E6574"/>
    <w:rsid w:val="115D0B7B"/>
    <w:rsid w:val="115EC04F"/>
    <w:rsid w:val="11B7224B"/>
    <w:rsid w:val="11D239C7"/>
    <w:rsid w:val="1202676B"/>
    <w:rsid w:val="122E35FD"/>
    <w:rsid w:val="12341B3C"/>
    <w:rsid w:val="123C5427"/>
    <w:rsid w:val="1244561A"/>
    <w:rsid w:val="1261DA6F"/>
    <w:rsid w:val="1274BF34"/>
    <w:rsid w:val="128B4D08"/>
    <w:rsid w:val="12A5640B"/>
    <w:rsid w:val="13710582"/>
    <w:rsid w:val="138DF400"/>
    <w:rsid w:val="13A81782"/>
    <w:rsid w:val="1416DDA6"/>
    <w:rsid w:val="141FB909"/>
    <w:rsid w:val="1428E042"/>
    <w:rsid w:val="14888A3E"/>
    <w:rsid w:val="14C57764"/>
    <w:rsid w:val="14DBB70B"/>
    <w:rsid w:val="14E26321"/>
    <w:rsid w:val="15015ACC"/>
    <w:rsid w:val="1506BEAD"/>
    <w:rsid w:val="1507FA7D"/>
    <w:rsid w:val="150EE0D4"/>
    <w:rsid w:val="15242000"/>
    <w:rsid w:val="158BD82E"/>
    <w:rsid w:val="15B02599"/>
    <w:rsid w:val="15D3BE10"/>
    <w:rsid w:val="15D95A37"/>
    <w:rsid w:val="15D9D034"/>
    <w:rsid w:val="163A0CBA"/>
    <w:rsid w:val="165A6300"/>
    <w:rsid w:val="1697A168"/>
    <w:rsid w:val="16C8DA02"/>
    <w:rsid w:val="16DD6787"/>
    <w:rsid w:val="1720C902"/>
    <w:rsid w:val="172E3FFB"/>
    <w:rsid w:val="172FAF5F"/>
    <w:rsid w:val="17423407"/>
    <w:rsid w:val="1753608F"/>
    <w:rsid w:val="176A98C6"/>
    <w:rsid w:val="1796FE5D"/>
    <w:rsid w:val="17B50C73"/>
    <w:rsid w:val="17D1A4D9"/>
    <w:rsid w:val="17FCB64D"/>
    <w:rsid w:val="181F0DA3"/>
    <w:rsid w:val="187D6B97"/>
    <w:rsid w:val="188AADE4"/>
    <w:rsid w:val="19190D63"/>
    <w:rsid w:val="1939BE92"/>
    <w:rsid w:val="197E6112"/>
    <w:rsid w:val="19B04ECE"/>
    <w:rsid w:val="19ED9C03"/>
    <w:rsid w:val="19FD9E30"/>
    <w:rsid w:val="19FDD6DB"/>
    <w:rsid w:val="1A067393"/>
    <w:rsid w:val="1A6A9E39"/>
    <w:rsid w:val="1AB2DDE2"/>
    <w:rsid w:val="1AC9779B"/>
    <w:rsid w:val="1AD1AE10"/>
    <w:rsid w:val="1AD44C64"/>
    <w:rsid w:val="1AD643C5"/>
    <w:rsid w:val="1AEAA71C"/>
    <w:rsid w:val="1B06D61E"/>
    <w:rsid w:val="1B06FDBF"/>
    <w:rsid w:val="1B0EEA4A"/>
    <w:rsid w:val="1B9B6FD6"/>
    <w:rsid w:val="1C4FB9D1"/>
    <w:rsid w:val="1C5772A5"/>
    <w:rsid w:val="1C610A28"/>
    <w:rsid w:val="1C6F44D9"/>
    <w:rsid w:val="1C89631E"/>
    <w:rsid w:val="1CFDC543"/>
    <w:rsid w:val="1D0100E3"/>
    <w:rsid w:val="1D26D62D"/>
    <w:rsid w:val="1D5EC04C"/>
    <w:rsid w:val="1D932C20"/>
    <w:rsid w:val="1DA34929"/>
    <w:rsid w:val="1DC1ABE0"/>
    <w:rsid w:val="1E1481EB"/>
    <w:rsid w:val="1E7B7230"/>
    <w:rsid w:val="1E8FE2B1"/>
    <w:rsid w:val="1E9CB570"/>
    <w:rsid w:val="1EC3BCF7"/>
    <w:rsid w:val="1F5CD073"/>
    <w:rsid w:val="1F5D7C2B"/>
    <w:rsid w:val="1F6AC836"/>
    <w:rsid w:val="1FCBA75E"/>
    <w:rsid w:val="1FDC4711"/>
    <w:rsid w:val="1FE4DB9F"/>
    <w:rsid w:val="20365CA9"/>
    <w:rsid w:val="2062FAFF"/>
    <w:rsid w:val="2064B5C0"/>
    <w:rsid w:val="206CD7EA"/>
    <w:rsid w:val="20702C90"/>
    <w:rsid w:val="20A9B747"/>
    <w:rsid w:val="20CA3E45"/>
    <w:rsid w:val="20D1C803"/>
    <w:rsid w:val="20F0C72C"/>
    <w:rsid w:val="20FB962C"/>
    <w:rsid w:val="210904AB"/>
    <w:rsid w:val="214A67D8"/>
    <w:rsid w:val="21621294"/>
    <w:rsid w:val="219409E7"/>
    <w:rsid w:val="219C08B6"/>
    <w:rsid w:val="2297668D"/>
    <w:rsid w:val="229A4FB1"/>
    <w:rsid w:val="22C9D8FF"/>
    <w:rsid w:val="23087F5F"/>
    <w:rsid w:val="23190010"/>
    <w:rsid w:val="2394E478"/>
    <w:rsid w:val="239B1614"/>
    <w:rsid w:val="23B061B5"/>
    <w:rsid w:val="23CB2C4C"/>
    <w:rsid w:val="23FB81E6"/>
    <w:rsid w:val="23FD24F5"/>
    <w:rsid w:val="240181A2"/>
    <w:rsid w:val="24091759"/>
    <w:rsid w:val="241A23BB"/>
    <w:rsid w:val="242F01CA"/>
    <w:rsid w:val="248E5390"/>
    <w:rsid w:val="24A2EA11"/>
    <w:rsid w:val="24A675E4"/>
    <w:rsid w:val="24B1312F"/>
    <w:rsid w:val="24D33BF8"/>
    <w:rsid w:val="25074391"/>
    <w:rsid w:val="25599379"/>
    <w:rsid w:val="256EA75C"/>
    <w:rsid w:val="257AFE6A"/>
    <w:rsid w:val="25BFCD91"/>
    <w:rsid w:val="25E00779"/>
    <w:rsid w:val="262B83D7"/>
    <w:rsid w:val="2664AE6A"/>
    <w:rsid w:val="2673C8AF"/>
    <w:rsid w:val="2694E723"/>
    <w:rsid w:val="26AC70DC"/>
    <w:rsid w:val="26BCDFC8"/>
    <w:rsid w:val="2714F35A"/>
    <w:rsid w:val="27541232"/>
    <w:rsid w:val="27890C42"/>
    <w:rsid w:val="27B95A84"/>
    <w:rsid w:val="27CC4E2D"/>
    <w:rsid w:val="27D9DABF"/>
    <w:rsid w:val="27E57968"/>
    <w:rsid w:val="27F689C8"/>
    <w:rsid w:val="2830B784"/>
    <w:rsid w:val="2866D68A"/>
    <w:rsid w:val="28D8A9E4"/>
    <w:rsid w:val="29037310"/>
    <w:rsid w:val="290AC821"/>
    <w:rsid w:val="290EC5DE"/>
    <w:rsid w:val="29706F51"/>
    <w:rsid w:val="297CF8EB"/>
    <w:rsid w:val="29AD7FC4"/>
    <w:rsid w:val="29B55F9E"/>
    <w:rsid w:val="29D71D38"/>
    <w:rsid w:val="2A51E64B"/>
    <w:rsid w:val="2A8A7CD7"/>
    <w:rsid w:val="2A91AA44"/>
    <w:rsid w:val="2AF4F2AD"/>
    <w:rsid w:val="2B42BB0C"/>
    <w:rsid w:val="2B7B6B77"/>
    <w:rsid w:val="2B993514"/>
    <w:rsid w:val="2BB6C4BF"/>
    <w:rsid w:val="2BC259D6"/>
    <w:rsid w:val="2BC561C8"/>
    <w:rsid w:val="2BD4E2FD"/>
    <w:rsid w:val="2C044447"/>
    <w:rsid w:val="2C0EA375"/>
    <w:rsid w:val="2C2ABB46"/>
    <w:rsid w:val="2C321D32"/>
    <w:rsid w:val="2C33788F"/>
    <w:rsid w:val="2C56AB41"/>
    <w:rsid w:val="2C6202BA"/>
    <w:rsid w:val="2C8CC496"/>
    <w:rsid w:val="2C95A26A"/>
    <w:rsid w:val="2CB7ED9B"/>
    <w:rsid w:val="2CCA7B34"/>
    <w:rsid w:val="2CCB1AD8"/>
    <w:rsid w:val="2CCCDFF1"/>
    <w:rsid w:val="2CD3FE43"/>
    <w:rsid w:val="2CEE7590"/>
    <w:rsid w:val="2CFEEF7C"/>
    <w:rsid w:val="2D013018"/>
    <w:rsid w:val="2D2E71D8"/>
    <w:rsid w:val="2D3F0882"/>
    <w:rsid w:val="2D89C6F2"/>
    <w:rsid w:val="2DE211AA"/>
    <w:rsid w:val="2DF7EB9A"/>
    <w:rsid w:val="2E419B1A"/>
    <w:rsid w:val="2E5CB24A"/>
    <w:rsid w:val="2E5EF7AC"/>
    <w:rsid w:val="2E69C6FF"/>
    <w:rsid w:val="2E9419CF"/>
    <w:rsid w:val="2EB8494B"/>
    <w:rsid w:val="2EEFC40D"/>
    <w:rsid w:val="2F1A3BA5"/>
    <w:rsid w:val="2F216485"/>
    <w:rsid w:val="2F30A81E"/>
    <w:rsid w:val="2F45129F"/>
    <w:rsid w:val="2F7C02DE"/>
    <w:rsid w:val="2F826047"/>
    <w:rsid w:val="2FAE1D6B"/>
    <w:rsid w:val="2FB98065"/>
    <w:rsid w:val="2FC8B8D2"/>
    <w:rsid w:val="2FFF7070"/>
    <w:rsid w:val="2FFFD545"/>
    <w:rsid w:val="3031227E"/>
    <w:rsid w:val="30A613BB"/>
    <w:rsid w:val="30EF711F"/>
    <w:rsid w:val="3117CC8B"/>
    <w:rsid w:val="3169E26B"/>
    <w:rsid w:val="318E9CBA"/>
    <w:rsid w:val="318F7E94"/>
    <w:rsid w:val="3193CF71"/>
    <w:rsid w:val="31AA2024"/>
    <w:rsid w:val="320B3C37"/>
    <w:rsid w:val="32139092"/>
    <w:rsid w:val="324E4F45"/>
    <w:rsid w:val="3296BA50"/>
    <w:rsid w:val="32D5F210"/>
    <w:rsid w:val="32DBE7DF"/>
    <w:rsid w:val="332DAA74"/>
    <w:rsid w:val="33338DAF"/>
    <w:rsid w:val="33377607"/>
    <w:rsid w:val="3339235A"/>
    <w:rsid w:val="333C9E1E"/>
    <w:rsid w:val="335E1A95"/>
    <w:rsid w:val="33ADA433"/>
    <w:rsid w:val="33B189D4"/>
    <w:rsid w:val="33B99D1E"/>
    <w:rsid w:val="33EAED7C"/>
    <w:rsid w:val="340F196F"/>
    <w:rsid w:val="343DDA3F"/>
    <w:rsid w:val="343FD868"/>
    <w:rsid w:val="347832E2"/>
    <w:rsid w:val="34894943"/>
    <w:rsid w:val="34AADC6D"/>
    <w:rsid w:val="34AC0463"/>
    <w:rsid w:val="34C58E10"/>
    <w:rsid w:val="35259CB9"/>
    <w:rsid w:val="35340A8F"/>
    <w:rsid w:val="35447EA8"/>
    <w:rsid w:val="3551D46E"/>
    <w:rsid w:val="3563A3A8"/>
    <w:rsid w:val="35781AF2"/>
    <w:rsid w:val="3589151D"/>
    <w:rsid w:val="35EFE8B9"/>
    <w:rsid w:val="361D2656"/>
    <w:rsid w:val="36AE6CE9"/>
    <w:rsid w:val="36C1177D"/>
    <w:rsid w:val="36C62C94"/>
    <w:rsid w:val="36E92BB8"/>
    <w:rsid w:val="3714266F"/>
    <w:rsid w:val="371E7A45"/>
    <w:rsid w:val="3721609A"/>
    <w:rsid w:val="379300F1"/>
    <w:rsid w:val="37A05F43"/>
    <w:rsid w:val="37A7A70C"/>
    <w:rsid w:val="37AA7997"/>
    <w:rsid w:val="37B36FC9"/>
    <w:rsid w:val="37B9AFC0"/>
    <w:rsid w:val="37C99641"/>
    <w:rsid w:val="3800EDF6"/>
    <w:rsid w:val="383227FB"/>
    <w:rsid w:val="384EB759"/>
    <w:rsid w:val="3906D817"/>
    <w:rsid w:val="392B744F"/>
    <w:rsid w:val="393C2FA4"/>
    <w:rsid w:val="396542E9"/>
    <w:rsid w:val="3977E7FA"/>
    <w:rsid w:val="399B5861"/>
    <w:rsid w:val="399C623A"/>
    <w:rsid w:val="39B61B04"/>
    <w:rsid w:val="3A4F6272"/>
    <w:rsid w:val="3A4FB310"/>
    <w:rsid w:val="3AF013BD"/>
    <w:rsid w:val="3B26CFD9"/>
    <w:rsid w:val="3B877DCC"/>
    <w:rsid w:val="3BA40AD4"/>
    <w:rsid w:val="3C0D1284"/>
    <w:rsid w:val="3C3B0C8B"/>
    <w:rsid w:val="3C461368"/>
    <w:rsid w:val="3C5EBD29"/>
    <w:rsid w:val="3C960AF2"/>
    <w:rsid w:val="3D81D8E6"/>
    <w:rsid w:val="3D94478E"/>
    <w:rsid w:val="3DA6E271"/>
    <w:rsid w:val="3DA8F034"/>
    <w:rsid w:val="3E812A9E"/>
    <w:rsid w:val="3E98D0DC"/>
    <w:rsid w:val="3EA825E7"/>
    <w:rsid w:val="3EB46B8F"/>
    <w:rsid w:val="3EC5D804"/>
    <w:rsid w:val="3EDDC19C"/>
    <w:rsid w:val="3EF6BC37"/>
    <w:rsid w:val="3EF7B6C3"/>
    <w:rsid w:val="3F1CCED6"/>
    <w:rsid w:val="3F8688CA"/>
    <w:rsid w:val="4004884D"/>
    <w:rsid w:val="404415D8"/>
    <w:rsid w:val="40B324C5"/>
    <w:rsid w:val="40BFCBD6"/>
    <w:rsid w:val="40E1A4E1"/>
    <w:rsid w:val="40E5E6A5"/>
    <w:rsid w:val="40EBCD39"/>
    <w:rsid w:val="41101D47"/>
    <w:rsid w:val="41335E97"/>
    <w:rsid w:val="41569058"/>
    <w:rsid w:val="41D61149"/>
    <w:rsid w:val="420430E9"/>
    <w:rsid w:val="4252B5CF"/>
    <w:rsid w:val="42B0E38D"/>
    <w:rsid w:val="42EC301F"/>
    <w:rsid w:val="42F317BE"/>
    <w:rsid w:val="43429058"/>
    <w:rsid w:val="4363875A"/>
    <w:rsid w:val="436A94EE"/>
    <w:rsid w:val="43AEB812"/>
    <w:rsid w:val="43B0847D"/>
    <w:rsid w:val="43D0E624"/>
    <w:rsid w:val="43F76C98"/>
    <w:rsid w:val="4403C8D9"/>
    <w:rsid w:val="44308AA5"/>
    <w:rsid w:val="446EBDDE"/>
    <w:rsid w:val="449261C5"/>
    <w:rsid w:val="4500F1A3"/>
    <w:rsid w:val="450D457B"/>
    <w:rsid w:val="452D4BED"/>
    <w:rsid w:val="457BD5DD"/>
    <w:rsid w:val="460F2408"/>
    <w:rsid w:val="469C36D2"/>
    <w:rsid w:val="46C04BBE"/>
    <w:rsid w:val="46C7A1CC"/>
    <w:rsid w:val="46CEC3E5"/>
    <w:rsid w:val="46D81B10"/>
    <w:rsid w:val="46EEE3AE"/>
    <w:rsid w:val="4734398F"/>
    <w:rsid w:val="477B1A8D"/>
    <w:rsid w:val="478AF52E"/>
    <w:rsid w:val="47BFA2F0"/>
    <w:rsid w:val="482389B6"/>
    <w:rsid w:val="484A4E4D"/>
    <w:rsid w:val="48523153"/>
    <w:rsid w:val="487203B3"/>
    <w:rsid w:val="488F95B0"/>
    <w:rsid w:val="48B56FF3"/>
    <w:rsid w:val="48C9F812"/>
    <w:rsid w:val="48DE1D72"/>
    <w:rsid w:val="49666024"/>
    <w:rsid w:val="496A2CC3"/>
    <w:rsid w:val="4994EC6F"/>
    <w:rsid w:val="49A89461"/>
    <w:rsid w:val="49FE5412"/>
    <w:rsid w:val="4A01A095"/>
    <w:rsid w:val="4A035505"/>
    <w:rsid w:val="4A4F57CE"/>
    <w:rsid w:val="4A9FC818"/>
    <w:rsid w:val="4AA59832"/>
    <w:rsid w:val="4ACF4ADF"/>
    <w:rsid w:val="4B085D02"/>
    <w:rsid w:val="4B0E7128"/>
    <w:rsid w:val="4B18BB0D"/>
    <w:rsid w:val="4B408073"/>
    <w:rsid w:val="4B5B0651"/>
    <w:rsid w:val="4B7A61AC"/>
    <w:rsid w:val="4C2B67D9"/>
    <w:rsid w:val="4C4ADB12"/>
    <w:rsid w:val="4C9AB234"/>
    <w:rsid w:val="4C9AC9E1"/>
    <w:rsid w:val="4CA3042B"/>
    <w:rsid w:val="4CAD8CEA"/>
    <w:rsid w:val="4CC0A6D9"/>
    <w:rsid w:val="4CC24EF9"/>
    <w:rsid w:val="4D224058"/>
    <w:rsid w:val="4D81F63A"/>
    <w:rsid w:val="4DBB6FA8"/>
    <w:rsid w:val="4DDD0ABD"/>
    <w:rsid w:val="4E12AE09"/>
    <w:rsid w:val="4E149700"/>
    <w:rsid w:val="4E263954"/>
    <w:rsid w:val="4E573E23"/>
    <w:rsid w:val="4E60C0FC"/>
    <w:rsid w:val="4E732516"/>
    <w:rsid w:val="4EABCDFF"/>
    <w:rsid w:val="4EEDB1E9"/>
    <w:rsid w:val="4F1344A7"/>
    <w:rsid w:val="4F1999DC"/>
    <w:rsid w:val="4F1F3284"/>
    <w:rsid w:val="4F24489B"/>
    <w:rsid w:val="4F765261"/>
    <w:rsid w:val="4F85FAA7"/>
    <w:rsid w:val="4F8CFA37"/>
    <w:rsid w:val="4F91AF5C"/>
    <w:rsid w:val="4FADFC2D"/>
    <w:rsid w:val="4FCACC66"/>
    <w:rsid w:val="504FE370"/>
    <w:rsid w:val="5076414C"/>
    <w:rsid w:val="50912AF2"/>
    <w:rsid w:val="50BBC660"/>
    <w:rsid w:val="50C1675E"/>
    <w:rsid w:val="510C3BC2"/>
    <w:rsid w:val="5130E6C3"/>
    <w:rsid w:val="5131D8D1"/>
    <w:rsid w:val="51C5529D"/>
    <w:rsid w:val="51F4F283"/>
    <w:rsid w:val="52290AC2"/>
    <w:rsid w:val="526136E7"/>
    <w:rsid w:val="5275A095"/>
    <w:rsid w:val="527CEE91"/>
    <w:rsid w:val="52B68CAD"/>
    <w:rsid w:val="530BF570"/>
    <w:rsid w:val="5337567A"/>
    <w:rsid w:val="533D20D4"/>
    <w:rsid w:val="537117EF"/>
    <w:rsid w:val="53FE58CB"/>
    <w:rsid w:val="5401627C"/>
    <w:rsid w:val="54421E9E"/>
    <w:rsid w:val="548E32A9"/>
    <w:rsid w:val="54CC926D"/>
    <w:rsid w:val="54F860E5"/>
    <w:rsid w:val="55114FC2"/>
    <w:rsid w:val="55283560"/>
    <w:rsid w:val="5560EF6E"/>
    <w:rsid w:val="556EF2B7"/>
    <w:rsid w:val="557B0E22"/>
    <w:rsid w:val="55C6023C"/>
    <w:rsid w:val="55E197F6"/>
    <w:rsid w:val="5604E1DF"/>
    <w:rsid w:val="56429B9A"/>
    <w:rsid w:val="566BB810"/>
    <w:rsid w:val="5680215F"/>
    <w:rsid w:val="56849778"/>
    <w:rsid w:val="56949070"/>
    <w:rsid w:val="56C2BA6D"/>
    <w:rsid w:val="56C70C5D"/>
    <w:rsid w:val="56DEE583"/>
    <w:rsid w:val="56F33C6A"/>
    <w:rsid w:val="5727E8B7"/>
    <w:rsid w:val="57B9DA9D"/>
    <w:rsid w:val="57E17560"/>
    <w:rsid w:val="57EF75B8"/>
    <w:rsid w:val="58151711"/>
    <w:rsid w:val="5821C5AD"/>
    <w:rsid w:val="586C5D2F"/>
    <w:rsid w:val="58971D00"/>
    <w:rsid w:val="589F7D32"/>
    <w:rsid w:val="589FAF71"/>
    <w:rsid w:val="58AE3E4C"/>
    <w:rsid w:val="58B2176C"/>
    <w:rsid w:val="58B5A341"/>
    <w:rsid w:val="58C66988"/>
    <w:rsid w:val="58DFB562"/>
    <w:rsid w:val="58F5965B"/>
    <w:rsid w:val="59005BAC"/>
    <w:rsid w:val="594AB215"/>
    <w:rsid w:val="5978C689"/>
    <w:rsid w:val="599780D3"/>
    <w:rsid w:val="59A5DD6A"/>
    <w:rsid w:val="59CFCFDE"/>
    <w:rsid w:val="5A0D79C5"/>
    <w:rsid w:val="5A0FE550"/>
    <w:rsid w:val="5A352E55"/>
    <w:rsid w:val="5A410219"/>
    <w:rsid w:val="5A5D1E7A"/>
    <w:rsid w:val="5A81615B"/>
    <w:rsid w:val="5A915522"/>
    <w:rsid w:val="5AA0698D"/>
    <w:rsid w:val="5AB8980A"/>
    <w:rsid w:val="5AC77D05"/>
    <w:rsid w:val="5ADD6EB3"/>
    <w:rsid w:val="5AF21D2F"/>
    <w:rsid w:val="5B19B7B0"/>
    <w:rsid w:val="5B5C988A"/>
    <w:rsid w:val="5B9A52A1"/>
    <w:rsid w:val="5BA9D016"/>
    <w:rsid w:val="5BECEA7B"/>
    <w:rsid w:val="5BF8ABB0"/>
    <w:rsid w:val="5C32539D"/>
    <w:rsid w:val="5C5FD21A"/>
    <w:rsid w:val="5CAF152E"/>
    <w:rsid w:val="5CB47827"/>
    <w:rsid w:val="5CC9FE01"/>
    <w:rsid w:val="5D002FF3"/>
    <w:rsid w:val="5D0AFE47"/>
    <w:rsid w:val="5D18211A"/>
    <w:rsid w:val="5D354318"/>
    <w:rsid w:val="5D499808"/>
    <w:rsid w:val="5D617959"/>
    <w:rsid w:val="5D711AF7"/>
    <w:rsid w:val="5D8C91C0"/>
    <w:rsid w:val="5DCE6336"/>
    <w:rsid w:val="5DF77D00"/>
    <w:rsid w:val="5DFBA27B"/>
    <w:rsid w:val="5E1A8A26"/>
    <w:rsid w:val="5E2971DB"/>
    <w:rsid w:val="5E53A0E9"/>
    <w:rsid w:val="5E68F29E"/>
    <w:rsid w:val="5F57BF58"/>
    <w:rsid w:val="5FA49902"/>
    <w:rsid w:val="5FC7BA27"/>
    <w:rsid w:val="5FFDD585"/>
    <w:rsid w:val="601AC96E"/>
    <w:rsid w:val="60239661"/>
    <w:rsid w:val="605D9EA7"/>
    <w:rsid w:val="606ABCC6"/>
    <w:rsid w:val="608C9EFF"/>
    <w:rsid w:val="609DD705"/>
    <w:rsid w:val="610F7DAC"/>
    <w:rsid w:val="613A74C8"/>
    <w:rsid w:val="61402D18"/>
    <w:rsid w:val="61B3E0A1"/>
    <w:rsid w:val="61D0318D"/>
    <w:rsid w:val="623D6DBC"/>
    <w:rsid w:val="62495007"/>
    <w:rsid w:val="6291D536"/>
    <w:rsid w:val="62D513F1"/>
    <w:rsid w:val="62EA5155"/>
    <w:rsid w:val="63032688"/>
    <w:rsid w:val="63343EAE"/>
    <w:rsid w:val="63352D9B"/>
    <w:rsid w:val="638FF845"/>
    <w:rsid w:val="6396589C"/>
    <w:rsid w:val="63AFA3E6"/>
    <w:rsid w:val="63CF864B"/>
    <w:rsid w:val="63E9ED59"/>
    <w:rsid w:val="6403E600"/>
    <w:rsid w:val="64497F88"/>
    <w:rsid w:val="647BF875"/>
    <w:rsid w:val="64896703"/>
    <w:rsid w:val="64AD1867"/>
    <w:rsid w:val="64B5B97C"/>
    <w:rsid w:val="64D39A99"/>
    <w:rsid w:val="65157DE6"/>
    <w:rsid w:val="65C71818"/>
    <w:rsid w:val="65CCE92D"/>
    <w:rsid w:val="65D9E800"/>
    <w:rsid w:val="65E45EBE"/>
    <w:rsid w:val="65E4D3A0"/>
    <w:rsid w:val="65EB7AAE"/>
    <w:rsid w:val="65EE0206"/>
    <w:rsid w:val="6664D64A"/>
    <w:rsid w:val="6687FFAA"/>
    <w:rsid w:val="66913788"/>
    <w:rsid w:val="669A67C6"/>
    <w:rsid w:val="66DD071B"/>
    <w:rsid w:val="66EC606D"/>
    <w:rsid w:val="6711D71A"/>
    <w:rsid w:val="672DCB9B"/>
    <w:rsid w:val="672EF7BA"/>
    <w:rsid w:val="67500F6B"/>
    <w:rsid w:val="6755A5DC"/>
    <w:rsid w:val="67E1C3D1"/>
    <w:rsid w:val="67E51BA2"/>
    <w:rsid w:val="67F3297A"/>
    <w:rsid w:val="68002AB3"/>
    <w:rsid w:val="68375E1F"/>
    <w:rsid w:val="683DF4AA"/>
    <w:rsid w:val="686967B7"/>
    <w:rsid w:val="686CAA26"/>
    <w:rsid w:val="686D3057"/>
    <w:rsid w:val="687136BD"/>
    <w:rsid w:val="68A43CCC"/>
    <w:rsid w:val="691C3646"/>
    <w:rsid w:val="692EA7E6"/>
    <w:rsid w:val="6933D2E7"/>
    <w:rsid w:val="69B4C5E3"/>
    <w:rsid w:val="69B58525"/>
    <w:rsid w:val="6A3BF4C6"/>
    <w:rsid w:val="6A3F5F47"/>
    <w:rsid w:val="6A4E07B9"/>
    <w:rsid w:val="6A6254A3"/>
    <w:rsid w:val="6A894E64"/>
    <w:rsid w:val="6AA91B5D"/>
    <w:rsid w:val="6AD26791"/>
    <w:rsid w:val="6ADAB9BE"/>
    <w:rsid w:val="6B0E69B6"/>
    <w:rsid w:val="6B1BD660"/>
    <w:rsid w:val="6B2833E2"/>
    <w:rsid w:val="6B31F34A"/>
    <w:rsid w:val="6B618402"/>
    <w:rsid w:val="6B64737C"/>
    <w:rsid w:val="6B8F7B1E"/>
    <w:rsid w:val="6BA1FE1B"/>
    <w:rsid w:val="6BC87A2A"/>
    <w:rsid w:val="6BD6CFF7"/>
    <w:rsid w:val="6C11C3D6"/>
    <w:rsid w:val="6C168057"/>
    <w:rsid w:val="6C2D031E"/>
    <w:rsid w:val="6C6E37F2"/>
    <w:rsid w:val="6C758915"/>
    <w:rsid w:val="6C8AF6BC"/>
    <w:rsid w:val="6CAD3B70"/>
    <w:rsid w:val="6CFC54C4"/>
    <w:rsid w:val="6D35C6B1"/>
    <w:rsid w:val="6D50CC1A"/>
    <w:rsid w:val="6D78449B"/>
    <w:rsid w:val="6DE3ECC8"/>
    <w:rsid w:val="6E04EC54"/>
    <w:rsid w:val="6E09B02A"/>
    <w:rsid w:val="6E116E48"/>
    <w:rsid w:val="6E1787AC"/>
    <w:rsid w:val="6E303BF4"/>
    <w:rsid w:val="6E7B01B4"/>
    <w:rsid w:val="6E9924C4"/>
    <w:rsid w:val="6EB4F207"/>
    <w:rsid w:val="6ECE199B"/>
    <w:rsid w:val="6ED500C5"/>
    <w:rsid w:val="6EE5C8FB"/>
    <w:rsid w:val="6F01ABEC"/>
    <w:rsid w:val="6F0F780A"/>
    <w:rsid w:val="6F319A8F"/>
    <w:rsid w:val="6F82E195"/>
    <w:rsid w:val="6FAFC0FD"/>
    <w:rsid w:val="6FE476AF"/>
    <w:rsid w:val="6FEB9D05"/>
    <w:rsid w:val="6FF8740D"/>
    <w:rsid w:val="70013750"/>
    <w:rsid w:val="700D83C9"/>
    <w:rsid w:val="70142BA5"/>
    <w:rsid w:val="701C3C58"/>
    <w:rsid w:val="7048EEEF"/>
    <w:rsid w:val="70B849D5"/>
    <w:rsid w:val="70BEC5CC"/>
    <w:rsid w:val="70C2C42D"/>
    <w:rsid w:val="70C4A6EB"/>
    <w:rsid w:val="70F49F5E"/>
    <w:rsid w:val="7101BE33"/>
    <w:rsid w:val="711E00BA"/>
    <w:rsid w:val="7120942D"/>
    <w:rsid w:val="7168689F"/>
    <w:rsid w:val="71727312"/>
    <w:rsid w:val="7186603A"/>
    <w:rsid w:val="71D1D1A4"/>
    <w:rsid w:val="71FCC464"/>
    <w:rsid w:val="7238B90E"/>
    <w:rsid w:val="7241C870"/>
    <w:rsid w:val="725864B1"/>
    <w:rsid w:val="729BF30D"/>
    <w:rsid w:val="72E33CFC"/>
    <w:rsid w:val="72ED6DCC"/>
    <w:rsid w:val="72F744F2"/>
    <w:rsid w:val="73280FB8"/>
    <w:rsid w:val="7328104B"/>
    <w:rsid w:val="732EF1DC"/>
    <w:rsid w:val="7356F748"/>
    <w:rsid w:val="737065BD"/>
    <w:rsid w:val="73A2410F"/>
    <w:rsid w:val="73D42347"/>
    <w:rsid w:val="73ED16E8"/>
    <w:rsid w:val="73F7C051"/>
    <w:rsid w:val="744B6151"/>
    <w:rsid w:val="744C01F3"/>
    <w:rsid w:val="745834EF"/>
    <w:rsid w:val="748F2BFD"/>
    <w:rsid w:val="749DF736"/>
    <w:rsid w:val="74A47536"/>
    <w:rsid w:val="74F1FDED"/>
    <w:rsid w:val="75117F3E"/>
    <w:rsid w:val="752B16E7"/>
    <w:rsid w:val="75581E73"/>
    <w:rsid w:val="7569D958"/>
    <w:rsid w:val="756FF3A8"/>
    <w:rsid w:val="7589769A"/>
    <w:rsid w:val="7599A6B4"/>
    <w:rsid w:val="759EE790"/>
    <w:rsid w:val="76243900"/>
    <w:rsid w:val="76254E58"/>
    <w:rsid w:val="763FCF5D"/>
    <w:rsid w:val="766619A7"/>
    <w:rsid w:val="76687C7E"/>
    <w:rsid w:val="766E60B1"/>
    <w:rsid w:val="768491DE"/>
    <w:rsid w:val="76A40044"/>
    <w:rsid w:val="76AD54DD"/>
    <w:rsid w:val="76AFDE28"/>
    <w:rsid w:val="76C68E78"/>
    <w:rsid w:val="770BC409"/>
    <w:rsid w:val="7767B8CC"/>
    <w:rsid w:val="77911236"/>
    <w:rsid w:val="7811FF60"/>
    <w:rsid w:val="78167BE5"/>
    <w:rsid w:val="7839D711"/>
    <w:rsid w:val="78417211"/>
    <w:rsid w:val="7852B3EC"/>
    <w:rsid w:val="785D0C0A"/>
    <w:rsid w:val="786AC899"/>
    <w:rsid w:val="78E49757"/>
    <w:rsid w:val="78E9B3A2"/>
    <w:rsid w:val="79027104"/>
    <w:rsid w:val="79120B0C"/>
    <w:rsid w:val="7947EB05"/>
    <w:rsid w:val="794CD783"/>
    <w:rsid w:val="79901953"/>
    <w:rsid w:val="79ABAF3B"/>
    <w:rsid w:val="79E3FA04"/>
    <w:rsid w:val="7A0A3327"/>
    <w:rsid w:val="7A4CF62A"/>
    <w:rsid w:val="7A4E1D3C"/>
    <w:rsid w:val="7A760137"/>
    <w:rsid w:val="7A80465C"/>
    <w:rsid w:val="7AA1DE77"/>
    <w:rsid w:val="7B87E7C5"/>
    <w:rsid w:val="7C030D20"/>
    <w:rsid w:val="7C1BE247"/>
    <w:rsid w:val="7C2CC22A"/>
    <w:rsid w:val="7C71899F"/>
    <w:rsid w:val="7C9C60D0"/>
    <w:rsid w:val="7CF4CF9A"/>
    <w:rsid w:val="7D0C698B"/>
    <w:rsid w:val="7D169D06"/>
    <w:rsid w:val="7D16D567"/>
    <w:rsid w:val="7D7B058D"/>
    <w:rsid w:val="7D7B51B6"/>
    <w:rsid w:val="7D814300"/>
    <w:rsid w:val="7D83BC5B"/>
    <w:rsid w:val="7DC7FA4F"/>
    <w:rsid w:val="7E0C48B0"/>
    <w:rsid w:val="7E4DC156"/>
    <w:rsid w:val="7E5346A8"/>
    <w:rsid w:val="7E5DCAAC"/>
    <w:rsid w:val="7EC682B5"/>
    <w:rsid w:val="7ED129B5"/>
    <w:rsid w:val="7EE91926"/>
    <w:rsid w:val="7F0D12B2"/>
    <w:rsid w:val="7F6D0130"/>
    <w:rsid w:val="7F8D2B9B"/>
    <w:rsid w:val="7F954430"/>
    <w:rsid w:val="7FACB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BF2675"/>
  <w15:docId w15:val="{0A2A2CFE-6E4B-4D66-B0FD-81EE04CC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B92903"/>
    <w:pPr>
      <w:numPr>
        <w:numId w:val="1"/>
      </w:numPr>
      <w:contextualSpacing/>
    </w:pPr>
  </w:style>
  <w:style w:type="paragraph" w:styleId="ListBullet2">
    <w:name w:val="List Bullet 2"/>
    <w:basedOn w:val="Normal"/>
    <w:unhideWhenUsed/>
    <w:rsid w:val="00B92903"/>
    <w:pPr>
      <w:numPr>
        <w:numId w:val="2"/>
      </w:numPr>
      <w:contextualSpacing/>
    </w:pPr>
  </w:style>
  <w:style w:type="paragraph" w:styleId="ListBullet3">
    <w:name w:val="List Bullet 3"/>
    <w:basedOn w:val="Normal"/>
    <w:unhideWhenUsed/>
    <w:rsid w:val="00B92903"/>
    <w:pPr>
      <w:numPr>
        <w:numId w:val="3"/>
      </w:numPr>
      <w:contextualSpacing/>
    </w:pPr>
  </w:style>
  <w:style w:type="paragraph" w:styleId="ListBullet4">
    <w:name w:val="List Bullet 4"/>
    <w:basedOn w:val="Normal"/>
    <w:unhideWhenUsed/>
    <w:rsid w:val="00B92903"/>
    <w:pPr>
      <w:numPr>
        <w:numId w:val="4"/>
      </w:numPr>
      <w:contextualSpacing/>
    </w:pPr>
  </w:style>
  <w:style w:type="paragraph" w:customStyle="1" w:styleId="Normal1">
    <w:name w:val="Normal1"/>
    <w:basedOn w:val="Normal"/>
    <w:rsid w:val="00376D77"/>
    <w:pPr>
      <w:spacing w:before="100" w:beforeAutospacing="1" w:after="100" w:afterAutospacing="1"/>
      <w:jc w:val="left"/>
    </w:pPr>
  </w:style>
  <w:style w:type="character" w:customStyle="1" w:styleId="footnotereference">
    <w:name w:val="footnotereference"/>
    <w:basedOn w:val="DefaultParagraphFont"/>
    <w:rsid w:val="00376D77"/>
  </w:style>
  <w:style w:type="character" w:styleId="Hyperlink">
    <w:name w:val="Hyperlink"/>
    <w:basedOn w:val="DefaultParagraphFont"/>
    <w:uiPriority w:val="99"/>
    <w:unhideWhenUsed/>
    <w:rsid w:val="00376D77"/>
    <w:rPr>
      <w:color w:val="0000FF"/>
      <w:u w:val="single"/>
    </w:rPr>
  </w:style>
  <w:style w:type="character" w:customStyle="1" w:styleId="UnresolvedMention1">
    <w:name w:val="Unresolved Mention1"/>
    <w:basedOn w:val="DefaultParagraphFont"/>
    <w:uiPriority w:val="99"/>
    <w:semiHidden/>
    <w:unhideWhenUsed/>
    <w:rsid w:val="00376D77"/>
    <w:rPr>
      <w:color w:val="605E5C"/>
      <w:shd w:val="clear" w:color="auto" w:fill="E1DFDD"/>
    </w:rPr>
  </w:style>
  <w:style w:type="character" w:customStyle="1" w:styleId="italic1">
    <w:name w:val="italic1"/>
    <w:rsid w:val="00784ACF"/>
    <w:rPr>
      <w:i/>
    </w:rPr>
  </w:style>
  <w:style w:type="paragraph" w:customStyle="1" w:styleId="CharCharCharCharChar1CharCharChar">
    <w:name w:val="Char Char Char Char Char1 Char Char Char"/>
    <w:basedOn w:val="Normal"/>
    <w:rsid w:val="00784ACF"/>
    <w:pPr>
      <w:spacing w:before="0" w:after="160" w:line="240" w:lineRule="exact"/>
      <w:jc w:val="left"/>
    </w:pPr>
    <w:rPr>
      <w:rFonts w:ascii="Tahoma" w:eastAsia="Times New Roman" w:hAnsi="Tahoma"/>
    </w:rPr>
  </w:style>
  <w:style w:type="paragraph" w:customStyle="1" w:styleId="Normal2">
    <w:name w:val="Normal2"/>
    <w:basedOn w:val="Normal"/>
    <w:rsid w:val="00637CD8"/>
    <w:pPr>
      <w:spacing w:before="100" w:beforeAutospacing="1" w:after="100" w:afterAutospacing="1"/>
      <w:jc w:val="left"/>
    </w:pPr>
  </w:style>
  <w:style w:type="character" w:styleId="CommentReference">
    <w:name w:val="annotation reference"/>
    <w:basedOn w:val="DefaultParagraphFont"/>
    <w:uiPriority w:val="99"/>
    <w:unhideWhenUsed/>
    <w:rsid w:val="00824EDB"/>
    <w:rPr>
      <w:sz w:val="16"/>
    </w:rPr>
  </w:style>
  <w:style w:type="paragraph" w:styleId="CommentText">
    <w:name w:val="annotation text"/>
    <w:basedOn w:val="Normal"/>
    <w:link w:val="CommentTextChar"/>
    <w:unhideWhenUsed/>
    <w:rsid w:val="00824EDB"/>
    <w:rPr>
      <w:sz w:val="20"/>
    </w:rPr>
  </w:style>
  <w:style w:type="character" w:customStyle="1" w:styleId="CommentTextChar">
    <w:name w:val="Comment Text Char"/>
    <w:basedOn w:val="DefaultParagraphFont"/>
    <w:link w:val="CommentText"/>
    <w:rsid w:val="00824EDB"/>
    <w:rPr>
      <w:rFonts w:ascii="Times New Roman" w:hAnsi="Times New Roman" w:cs="Times New Roman"/>
      <w:sz w:val="20"/>
    </w:rPr>
  </w:style>
  <w:style w:type="paragraph" w:styleId="CommentSubject">
    <w:name w:val="annotation subject"/>
    <w:basedOn w:val="CommentText"/>
    <w:next w:val="CommentText"/>
    <w:link w:val="CommentSubjectChar"/>
    <w:unhideWhenUsed/>
    <w:rsid w:val="00824EDB"/>
    <w:rPr>
      <w:b/>
    </w:rPr>
  </w:style>
  <w:style w:type="character" w:customStyle="1" w:styleId="CommentSubjectChar">
    <w:name w:val="Comment Subject Char"/>
    <w:basedOn w:val="CommentTextChar"/>
    <w:link w:val="CommentSubject"/>
    <w:rsid w:val="00824EDB"/>
    <w:rPr>
      <w:rFonts w:ascii="Times New Roman" w:hAnsi="Times New Roman" w:cs="Times New Roman"/>
      <w:b/>
      <w:sz w:val="20"/>
    </w:rPr>
  </w:style>
  <w:style w:type="paragraph" w:customStyle="1" w:styleId="FootnotesymbolCharCharCharChar">
    <w:name w:val="Footnote symbol Char Char Char Char"/>
    <w:basedOn w:val="Normal"/>
    <w:link w:val="FootnoteReference0"/>
    <w:uiPriority w:val="99"/>
    <w:rsid w:val="005935EA"/>
    <w:pPr>
      <w:spacing w:before="0" w:after="160" w:line="240" w:lineRule="exact"/>
      <w:jc w:val="left"/>
    </w:pPr>
    <w:rPr>
      <w:rFonts w:asciiTheme="minorHAnsi" w:hAnsiTheme="minorHAnsi" w:cstheme="minorBidi"/>
      <w:sz w:val="22"/>
      <w:vertAlign w:val="superscript"/>
    </w:rPr>
  </w:style>
  <w:style w:type="paragraph" w:styleId="ListParagraph">
    <w:name w:val="List Paragraph"/>
    <w:basedOn w:val="Normal"/>
    <w:link w:val="ListParagraphChar"/>
    <w:uiPriority w:val="34"/>
    <w:qFormat/>
    <w:rsid w:val="008B2719"/>
    <w:pPr>
      <w:spacing w:before="0" w:after="200" w:line="276" w:lineRule="auto"/>
      <w:ind w:left="720"/>
      <w:contextualSpacing/>
      <w:jc w:val="left"/>
    </w:pPr>
    <w:rPr>
      <w:rFonts w:ascii="Calibri" w:hAnsi="Calibri" w:cs="Calibri"/>
      <w:sz w:val="22"/>
    </w:rPr>
  </w:style>
  <w:style w:type="character" w:customStyle="1" w:styleId="ListParagraphChar">
    <w:name w:val="List Paragraph Char"/>
    <w:basedOn w:val="DefaultParagraphFont"/>
    <w:link w:val="ListParagraph"/>
    <w:uiPriority w:val="34"/>
    <w:qFormat/>
    <w:locked/>
    <w:rsid w:val="008B2719"/>
    <w:rPr>
      <w:rFonts w:ascii="Calibri" w:hAnsi="Calibri" w:cs="Calibri"/>
    </w:rPr>
  </w:style>
  <w:style w:type="paragraph" w:customStyle="1" w:styleId="CoffeyParagraph">
    <w:name w:val="Coffey Paragraph"/>
    <w:basedOn w:val="Normal"/>
    <w:link w:val="CoffeyParagraphChar"/>
    <w:qFormat/>
    <w:rsid w:val="00FE1CCA"/>
    <w:pPr>
      <w:spacing w:before="0" w:line="276" w:lineRule="auto"/>
    </w:pPr>
    <w:rPr>
      <w:rFonts w:ascii="Arial" w:eastAsia="Calibri" w:hAnsi="Arial"/>
      <w:sz w:val="20"/>
    </w:rPr>
  </w:style>
  <w:style w:type="character" w:customStyle="1" w:styleId="CoffeyParagraphChar">
    <w:name w:val="Coffey Paragraph Char"/>
    <w:link w:val="CoffeyParagraph"/>
    <w:rsid w:val="00FE1CCA"/>
    <w:rPr>
      <w:rFonts w:ascii="Arial" w:eastAsia="Calibri" w:hAnsi="Arial" w:cs="Times New Roman"/>
      <w:sz w:val="20"/>
    </w:rPr>
  </w:style>
  <w:style w:type="character" w:styleId="FollowedHyperlink">
    <w:name w:val="FollowedHyperlink"/>
    <w:basedOn w:val="DefaultParagraphFont"/>
    <w:unhideWhenUsed/>
    <w:rsid w:val="000E75BA"/>
    <w:rPr>
      <w:color w:val="800080" w:themeColor="followedHyperlink"/>
      <w:u w:val="single"/>
    </w:rPr>
  </w:style>
  <w:style w:type="paragraph" w:styleId="Revision">
    <w:name w:val="Revision"/>
    <w:hidden/>
    <w:uiPriority w:val="99"/>
    <w:semiHidden/>
    <w:rsid w:val="009941D3"/>
    <w:pPr>
      <w:spacing w:after="0" w:line="240" w:lineRule="auto"/>
    </w:pPr>
    <w:rPr>
      <w:rFonts w:ascii="Times New Roman" w:hAnsi="Times New Roman" w:cs="Times New Roman"/>
      <w:sz w:val="24"/>
    </w:rPr>
  </w:style>
  <w:style w:type="character" w:customStyle="1" w:styleId="fw-bold">
    <w:name w:val="fw-bold"/>
    <w:basedOn w:val="DefaultParagraphFont"/>
    <w:rsid w:val="00861C31"/>
  </w:style>
  <w:style w:type="paragraph" w:customStyle="1" w:styleId="Text10">
    <w:name w:val="Text1"/>
    <w:basedOn w:val="Point0number"/>
    <w:rsid w:val="006054B5"/>
  </w:style>
  <w:style w:type="paragraph" w:styleId="ListNumber">
    <w:name w:val="List Number"/>
    <w:basedOn w:val="Normal"/>
    <w:rsid w:val="004515FC"/>
    <w:pPr>
      <w:numPr>
        <w:numId w:val="12"/>
      </w:numPr>
    </w:pPr>
  </w:style>
  <w:style w:type="paragraph" w:customStyle="1" w:styleId="ListBullet1">
    <w:name w:val="List Bullet 1"/>
    <w:basedOn w:val="Normal"/>
    <w:rsid w:val="004515FC"/>
    <w:pPr>
      <w:numPr>
        <w:numId w:val="8"/>
      </w:numPr>
    </w:pPr>
  </w:style>
  <w:style w:type="paragraph" w:customStyle="1" w:styleId="ListDash">
    <w:name w:val="List Dash"/>
    <w:basedOn w:val="Normal"/>
    <w:rsid w:val="004515FC"/>
    <w:pPr>
      <w:numPr>
        <w:numId w:val="9"/>
      </w:numPr>
    </w:pPr>
  </w:style>
  <w:style w:type="paragraph" w:customStyle="1" w:styleId="ListDash1">
    <w:name w:val="List Dash 1"/>
    <w:basedOn w:val="Normal"/>
    <w:rsid w:val="004515FC"/>
    <w:pPr>
      <w:numPr>
        <w:numId w:val="10"/>
      </w:numPr>
    </w:pPr>
  </w:style>
  <w:style w:type="paragraph" w:customStyle="1" w:styleId="ListDash2">
    <w:name w:val="List Dash 2"/>
    <w:basedOn w:val="Normal"/>
    <w:rsid w:val="004515FC"/>
    <w:pPr>
      <w:numPr>
        <w:numId w:val="11"/>
      </w:numPr>
    </w:pPr>
  </w:style>
  <w:style w:type="paragraph" w:customStyle="1" w:styleId="ListNumberLevel2">
    <w:name w:val="List Number (Level 2)"/>
    <w:basedOn w:val="Normal"/>
    <w:rsid w:val="004515FC"/>
    <w:pPr>
      <w:numPr>
        <w:ilvl w:val="1"/>
        <w:numId w:val="12"/>
      </w:numPr>
    </w:pPr>
  </w:style>
  <w:style w:type="paragraph" w:customStyle="1" w:styleId="ListNumberLevel3">
    <w:name w:val="List Number (Level 3)"/>
    <w:basedOn w:val="Normal"/>
    <w:rsid w:val="004515FC"/>
    <w:pPr>
      <w:numPr>
        <w:ilvl w:val="2"/>
        <w:numId w:val="12"/>
      </w:numPr>
    </w:pPr>
  </w:style>
  <w:style w:type="paragraph" w:customStyle="1" w:styleId="ListNumberLevel4">
    <w:name w:val="List Number (Level 4)"/>
    <w:basedOn w:val="Normal"/>
    <w:rsid w:val="004515FC"/>
    <w:pPr>
      <w:numPr>
        <w:ilvl w:val="3"/>
        <w:numId w:val="12"/>
      </w:numPr>
    </w:pPr>
  </w:style>
  <w:style w:type="table" w:styleId="TableGrid">
    <w:name w:val="Table Grid"/>
    <w:basedOn w:val="TableNormal"/>
    <w:rsid w:val="004515FC"/>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4515FC"/>
    <w:pPr>
      <w:numPr>
        <w:numId w:val="16"/>
      </w:numPr>
    </w:pPr>
  </w:style>
  <w:style w:type="paragraph" w:styleId="ListNumber3">
    <w:name w:val="List Number 3"/>
    <w:basedOn w:val="Normal"/>
    <w:rsid w:val="004515FC"/>
    <w:pPr>
      <w:numPr>
        <w:numId w:val="17"/>
      </w:numPr>
    </w:pPr>
  </w:style>
  <w:style w:type="paragraph" w:styleId="ListNumber4">
    <w:name w:val="List Number 4"/>
    <w:basedOn w:val="Normal"/>
    <w:rsid w:val="004515FC"/>
    <w:pPr>
      <w:numPr>
        <w:numId w:val="18"/>
      </w:numPr>
    </w:pPr>
  </w:style>
  <w:style w:type="paragraph" w:customStyle="1" w:styleId="ListDash3">
    <w:name w:val="List Dash 3"/>
    <w:basedOn w:val="Normal"/>
    <w:rsid w:val="004515FC"/>
    <w:pPr>
      <w:numPr>
        <w:numId w:val="13"/>
      </w:numPr>
    </w:pPr>
  </w:style>
  <w:style w:type="paragraph" w:customStyle="1" w:styleId="ListDash4">
    <w:name w:val="List Dash 4"/>
    <w:basedOn w:val="Normal"/>
    <w:rsid w:val="004515FC"/>
    <w:pPr>
      <w:numPr>
        <w:numId w:val="14"/>
      </w:numPr>
    </w:pPr>
  </w:style>
  <w:style w:type="paragraph" w:customStyle="1" w:styleId="ListNumber1">
    <w:name w:val="List Number 1"/>
    <w:basedOn w:val="Text1"/>
    <w:rsid w:val="004515FC"/>
    <w:pPr>
      <w:numPr>
        <w:numId w:val="15"/>
      </w:numPr>
    </w:pPr>
  </w:style>
  <w:style w:type="paragraph" w:customStyle="1" w:styleId="ListNumber1Level2">
    <w:name w:val="List Number 1 (Level 2)"/>
    <w:basedOn w:val="Text1"/>
    <w:rsid w:val="004515FC"/>
    <w:pPr>
      <w:numPr>
        <w:ilvl w:val="1"/>
        <w:numId w:val="15"/>
      </w:numPr>
    </w:pPr>
  </w:style>
  <w:style w:type="paragraph" w:customStyle="1" w:styleId="ListNumber2Level2">
    <w:name w:val="List Number 2 (Level 2)"/>
    <w:basedOn w:val="Text2"/>
    <w:rsid w:val="004515FC"/>
    <w:pPr>
      <w:numPr>
        <w:ilvl w:val="1"/>
        <w:numId w:val="16"/>
      </w:numPr>
    </w:pPr>
  </w:style>
  <w:style w:type="paragraph" w:customStyle="1" w:styleId="ListNumber3Level2">
    <w:name w:val="List Number 3 (Level 2)"/>
    <w:basedOn w:val="Text3"/>
    <w:rsid w:val="004515FC"/>
    <w:pPr>
      <w:numPr>
        <w:ilvl w:val="1"/>
        <w:numId w:val="17"/>
      </w:numPr>
    </w:pPr>
  </w:style>
  <w:style w:type="paragraph" w:customStyle="1" w:styleId="ListNumber4Level2">
    <w:name w:val="List Number 4 (Level 2)"/>
    <w:basedOn w:val="Text4"/>
    <w:rsid w:val="004515FC"/>
    <w:pPr>
      <w:numPr>
        <w:ilvl w:val="1"/>
        <w:numId w:val="18"/>
      </w:numPr>
    </w:pPr>
  </w:style>
  <w:style w:type="paragraph" w:customStyle="1" w:styleId="ListNumber1Level3">
    <w:name w:val="List Number 1 (Level 3)"/>
    <w:basedOn w:val="Text1"/>
    <w:rsid w:val="004515FC"/>
    <w:pPr>
      <w:numPr>
        <w:ilvl w:val="2"/>
        <w:numId w:val="15"/>
      </w:numPr>
    </w:pPr>
  </w:style>
  <w:style w:type="paragraph" w:customStyle="1" w:styleId="ListNumber2Level3">
    <w:name w:val="List Number 2 (Level 3)"/>
    <w:basedOn w:val="Text2"/>
    <w:rsid w:val="004515FC"/>
    <w:pPr>
      <w:numPr>
        <w:ilvl w:val="2"/>
        <w:numId w:val="16"/>
      </w:numPr>
    </w:pPr>
  </w:style>
  <w:style w:type="paragraph" w:customStyle="1" w:styleId="ListNumber3Level3">
    <w:name w:val="List Number 3 (Level 3)"/>
    <w:basedOn w:val="Text3"/>
    <w:rsid w:val="004515FC"/>
    <w:pPr>
      <w:numPr>
        <w:ilvl w:val="2"/>
        <w:numId w:val="17"/>
      </w:numPr>
    </w:pPr>
  </w:style>
  <w:style w:type="paragraph" w:customStyle="1" w:styleId="ListNumber4Level3">
    <w:name w:val="List Number 4 (Level 3)"/>
    <w:basedOn w:val="Text4"/>
    <w:rsid w:val="004515FC"/>
    <w:pPr>
      <w:numPr>
        <w:ilvl w:val="2"/>
        <w:numId w:val="18"/>
      </w:numPr>
    </w:pPr>
  </w:style>
  <w:style w:type="paragraph" w:customStyle="1" w:styleId="ListNumber1Level4">
    <w:name w:val="List Number 1 (Level 4)"/>
    <w:basedOn w:val="Text1"/>
    <w:rsid w:val="004515FC"/>
    <w:pPr>
      <w:numPr>
        <w:ilvl w:val="3"/>
        <w:numId w:val="15"/>
      </w:numPr>
    </w:pPr>
  </w:style>
  <w:style w:type="paragraph" w:customStyle="1" w:styleId="ListNumber2Level4">
    <w:name w:val="List Number 2 (Level 4)"/>
    <w:basedOn w:val="Text2"/>
    <w:rsid w:val="004515FC"/>
    <w:pPr>
      <w:numPr>
        <w:ilvl w:val="3"/>
        <w:numId w:val="16"/>
      </w:numPr>
    </w:pPr>
  </w:style>
  <w:style w:type="paragraph" w:customStyle="1" w:styleId="ListNumber3Level4">
    <w:name w:val="List Number 3 (Level 4)"/>
    <w:basedOn w:val="Text3"/>
    <w:rsid w:val="004515FC"/>
    <w:pPr>
      <w:numPr>
        <w:ilvl w:val="3"/>
        <w:numId w:val="17"/>
      </w:numPr>
    </w:pPr>
  </w:style>
  <w:style w:type="paragraph" w:customStyle="1" w:styleId="ListNumber4Level4">
    <w:name w:val="List Number 4 (Level 4)"/>
    <w:basedOn w:val="Text4"/>
    <w:rsid w:val="004515FC"/>
    <w:pPr>
      <w:numPr>
        <w:ilvl w:val="3"/>
        <w:numId w:val="18"/>
      </w:numPr>
    </w:pPr>
  </w:style>
  <w:style w:type="paragraph" w:customStyle="1" w:styleId="Annexetitreacte">
    <w:name w:val="Annexe titre (acte)"/>
    <w:basedOn w:val="Normal"/>
    <w:next w:val="Normal"/>
    <w:rsid w:val="004515FC"/>
    <w:pPr>
      <w:jc w:val="center"/>
    </w:pPr>
    <w:rPr>
      <w:b/>
      <w:u w:val="single"/>
    </w:rPr>
  </w:style>
  <w:style w:type="paragraph" w:customStyle="1" w:styleId="Annexetitreexposglobal">
    <w:name w:val="Annexe titre (exposé global)"/>
    <w:basedOn w:val="Normal"/>
    <w:next w:val="Normal"/>
    <w:rsid w:val="004515FC"/>
    <w:pPr>
      <w:jc w:val="center"/>
    </w:pPr>
    <w:rPr>
      <w:b/>
      <w:u w:val="single"/>
    </w:rPr>
  </w:style>
  <w:style w:type="paragraph" w:customStyle="1" w:styleId="Annexetitrefichefinacte">
    <w:name w:val="Annexe titre (fiche fin. acte)"/>
    <w:basedOn w:val="Normal"/>
    <w:next w:val="Normal"/>
    <w:rsid w:val="004515FC"/>
    <w:pPr>
      <w:jc w:val="center"/>
    </w:pPr>
    <w:rPr>
      <w:b/>
      <w:u w:val="single"/>
    </w:rPr>
  </w:style>
  <w:style w:type="paragraph" w:customStyle="1" w:styleId="Annexetitrefichefinglobale">
    <w:name w:val="Annexe titre (fiche fin. globale)"/>
    <w:basedOn w:val="Normal"/>
    <w:next w:val="Normal"/>
    <w:rsid w:val="004515FC"/>
    <w:pPr>
      <w:jc w:val="center"/>
    </w:pPr>
    <w:rPr>
      <w:b/>
      <w:u w:val="single"/>
    </w:rPr>
  </w:style>
  <w:style w:type="paragraph" w:customStyle="1" w:styleId="Annexetitreglobale">
    <w:name w:val="Annexe titre (globale)"/>
    <w:basedOn w:val="Normal"/>
    <w:next w:val="Normal"/>
    <w:rsid w:val="004515FC"/>
    <w:pPr>
      <w:jc w:val="center"/>
    </w:pPr>
    <w:rPr>
      <w:b/>
      <w:u w:val="single"/>
    </w:rPr>
  </w:style>
  <w:style w:type="paragraph" w:customStyle="1" w:styleId="Exposdesmotifstitreglobal">
    <w:name w:val="Exposé des motifs titre (global)"/>
    <w:basedOn w:val="Normal"/>
    <w:next w:val="Normal"/>
    <w:rsid w:val="004515FC"/>
    <w:pPr>
      <w:jc w:val="center"/>
    </w:pPr>
    <w:rPr>
      <w:b/>
      <w:u w:val="single"/>
    </w:rPr>
  </w:style>
  <w:style w:type="paragraph" w:customStyle="1" w:styleId="Langueoriginale">
    <w:name w:val="Langue originale"/>
    <w:basedOn w:val="Normal"/>
    <w:rsid w:val="004515FC"/>
    <w:pPr>
      <w:spacing w:before="360"/>
      <w:jc w:val="center"/>
    </w:pPr>
    <w:rPr>
      <w:caps/>
    </w:rPr>
  </w:style>
  <w:style w:type="paragraph" w:customStyle="1" w:styleId="Phrasefinale">
    <w:name w:val="Phrase finale"/>
    <w:basedOn w:val="Normal"/>
    <w:next w:val="Normal"/>
    <w:rsid w:val="004515FC"/>
    <w:pPr>
      <w:spacing w:before="360" w:after="0"/>
      <w:jc w:val="center"/>
    </w:pPr>
  </w:style>
  <w:style w:type="paragraph" w:customStyle="1" w:styleId="Prliminairetitre">
    <w:name w:val="Préliminaire titre"/>
    <w:basedOn w:val="Normal"/>
    <w:next w:val="Normal"/>
    <w:rsid w:val="004515FC"/>
    <w:pPr>
      <w:spacing w:before="360" w:after="360"/>
      <w:jc w:val="center"/>
    </w:pPr>
    <w:rPr>
      <w:b/>
    </w:rPr>
  </w:style>
  <w:style w:type="paragraph" w:customStyle="1" w:styleId="Prliminairetype">
    <w:name w:val="Préliminaire type"/>
    <w:basedOn w:val="Normal"/>
    <w:next w:val="Normal"/>
    <w:rsid w:val="004515FC"/>
    <w:pPr>
      <w:spacing w:before="360" w:after="0"/>
      <w:jc w:val="center"/>
    </w:pPr>
    <w:rPr>
      <w:b/>
    </w:rPr>
  </w:style>
  <w:style w:type="paragraph" w:customStyle="1" w:styleId="Rfrenceinstitutionelle">
    <w:name w:val="Référence institutionelle"/>
    <w:basedOn w:val="Normal"/>
    <w:next w:val="Statut"/>
    <w:rsid w:val="004515FC"/>
    <w:pPr>
      <w:spacing w:before="0" w:after="240"/>
      <w:ind w:left="5103"/>
      <w:jc w:val="left"/>
    </w:pPr>
  </w:style>
  <w:style w:type="paragraph" w:customStyle="1" w:styleId="Rfrenceinterinstitutionelle">
    <w:name w:val="Référence interinstitutionelle"/>
    <w:basedOn w:val="Normal"/>
    <w:next w:val="Statut"/>
    <w:rsid w:val="004515FC"/>
    <w:pPr>
      <w:spacing w:before="0" w:after="0"/>
      <w:ind w:left="5103"/>
      <w:jc w:val="left"/>
    </w:pPr>
  </w:style>
  <w:style w:type="paragraph" w:customStyle="1" w:styleId="Rfrenceinterinstitutionelleprliminaire">
    <w:name w:val="Référence interinstitutionelle (préliminaire)"/>
    <w:basedOn w:val="Normal"/>
    <w:next w:val="Normal"/>
    <w:rsid w:val="004515FC"/>
    <w:pPr>
      <w:spacing w:before="0" w:after="0"/>
      <w:ind w:left="5103"/>
      <w:jc w:val="left"/>
    </w:pPr>
  </w:style>
  <w:style w:type="paragraph" w:customStyle="1" w:styleId="Sous-titreobjetprliminaire">
    <w:name w:val="Sous-titre objet (préliminaire)"/>
    <w:basedOn w:val="Normal"/>
    <w:rsid w:val="004515FC"/>
    <w:pPr>
      <w:spacing w:before="0" w:after="0"/>
      <w:jc w:val="center"/>
    </w:pPr>
    <w:rPr>
      <w:b/>
    </w:rPr>
  </w:style>
  <w:style w:type="paragraph" w:customStyle="1" w:styleId="Statutprliminaire">
    <w:name w:val="Statut (préliminaire)"/>
    <w:basedOn w:val="Normal"/>
    <w:next w:val="Normal"/>
    <w:rsid w:val="004515FC"/>
    <w:pPr>
      <w:spacing w:before="360" w:after="0"/>
      <w:jc w:val="center"/>
    </w:pPr>
  </w:style>
  <w:style w:type="paragraph" w:customStyle="1" w:styleId="Titreobjetprliminaire">
    <w:name w:val="Titre objet (préliminaire)"/>
    <w:basedOn w:val="Normal"/>
    <w:next w:val="Normal"/>
    <w:rsid w:val="004515FC"/>
    <w:pPr>
      <w:spacing w:before="360" w:after="360"/>
      <w:jc w:val="center"/>
    </w:pPr>
    <w:rPr>
      <w:b/>
    </w:rPr>
  </w:style>
  <w:style w:type="paragraph" w:customStyle="1" w:styleId="Typedudocumentprliminaire">
    <w:name w:val="Type du document (préliminaire)"/>
    <w:basedOn w:val="Normal"/>
    <w:next w:val="Normal"/>
    <w:rsid w:val="004515FC"/>
    <w:pPr>
      <w:spacing w:before="360" w:after="0"/>
      <w:jc w:val="center"/>
    </w:pPr>
    <w:rPr>
      <w:b/>
    </w:rPr>
  </w:style>
  <w:style w:type="paragraph" w:customStyle="1" w:styleId="Fichefinancirestandardtitre">
    <w:name w:val="Fiche financière (standard) titre"/>
    <w:basedOn w:val="Normal"/>
    <w:next w:val="Normal"/>
    <w:rsid w:val="004515FC"/>
    <w:pPr>
      <w:jc w:val="center"/>
    </w:pPr>
    <w:rPr>
      <w:b/>
      <w:u w:val="single"/>
    </w:rPr>
  </w:style>
  <w:style w:type="paragraph" w:customStyle="1" w:styleId="Fichefinancirestandardtitreacte">
    <w:name w:val="Fiche financière (standard) titre (acte)"/>
    <w:basedOn w:val="Normal"/>
    <w:next w:val="Normal"/>
    <w:rsid w:val="004515FC"/>
    <w:pPr>
      <w:jc w:val="center"/>
    </w:pPr>
    <w:rPr>
      <w:b/>
      <w:u w:val="single"/>
    </w:rPr>
  </w:style>
  <w:style w:type="paragraph" w:customStyle="1" w:styleId="Fichefinanciretravailtitre">
    <w:name w:val="Fiche financière (travail) titre"/>
    <w:basedOn w:val="Normal"/>
    <w:next w:val="Normal"/>
    <w:rsid w:val="004515FC"/>
    <w:pPr>
      <w:jc w:val="center"/>
    </w:pPr>
    <w:rPr>
      <w:b/>
      <w:u w:val="single"/>
    </w:rPr>
  </w:style>
  <w:style w:type="paragraph" w:customStyle="1" w:styleId="Fichefinanciretravailtitreacte">
    <w:name w:val="Fiche financière (travail) titre (acte)"/>
    <w:basedOn w:val="Normal"/>
    <w:next w:val="Normal"/>
    <w:rsid w:val="004515FC"/>
    <w:pPr>
      <w:jc w:val="center"/>
    </w:pPr>
    <w:rPr>
      <w:b/>
      <w:u w:val="single"/>
    </w:rPr>
  </w:style>
  <w:style w:type="paragraph" w:customStyle="1" w:styleId="Fichefinancireattributiontitre">
    <w:name w:val="Fiche financière (attribution) titre"/>
    <w:basedOn w:val="Normal"/>
    <w:next w:val="Normal"/>
    <w:rsid w:val="004515FC"/>
    <w:pPr>
      <w:jc w:val="center"/>
    </w:pPr>
    <w:rPr>
      <w:b/>
      <w:u w:val="single"/>
    </w:rPr>
  </w:style>
  <w:style w:type="paragraph" w:customStyle="1" w:styleId="Fichefinancireattributiontitreacte">
    <w:name w:val="Fiche financière (attribution) titre (acte)"/>
    <w:basedOn w:val="Normal"/>
    <w:next w:val="Normal"/>
    <w:rsid w:val="004515FC"/>
    <w:pPr>
      <w:jc w:val="center"/>
    </w:pPr>
    <w:rPr>
      <w:b/>
      <w:u w:val="single"/>
    </w:rPr>
  </w:style>
  <w:style w:type="paragraph" w:styleId="BalloonText">
    <w:name w:val="Balloon Text"/>
    <w:basedOn w:val="Normal"/>
    <w:link w:val="BalloonTextChar"/>
    <w:rsid w:val="004515FC"/>
    <w:rPr>
      <w:rFonts w:ascii="Tahoma" w:eastAsia="Times New Roman" w:hAnsi="Tahoma" w:cs="Tahoma"/>
      <w:sz w:val="16"/>
    </w:rPr>
  </w:style>
  <w:style w:type="character" w:customStyle="1" w:styleId="BalloonTextChar">
    <w:name w:val="Balloon Text Char"/>
    <w:basedOn w:val="DefaultParagraphFont"/>
    <w:link w:val="BalloonText"/>
    <w:rsid w:val="004515FC"/>
    <w:rPr>
      <w:rFonts w:ascii="Tahoma" w:eastAsia="Times New Roman" w:hAnsi="Tahoma" w:cs="Tahoma"/>
      <w:sz w:val="16"/>
    </w:rPr>
  </w:style>
  <w:style w:type="paragraph" w:styleId="Caption">
    <w:name w:val="caption"/>
    <w:basedOn w:val="Normal"/>
    <w:next w:val="Normal"/>
    <w:qFormat/>
    <w:rsid w:val="004515FC"/>
    <w:rPr>
      <w:b/>
      <w:sz w:val="20"/>
    </w:rPr>
  </w:style>
  <w:style w:type="paragraph" w:styleId="TableofFigures">
    <w:name w:val="table of figures"/>
    <w:basedOn w:val="Normal"/>
    <w:next w:val="Normal"/>
    <w:rsid w:val="004515FC"/>
  </w:style>
  <w:style w:type="character" w:styleId="PageNumber">
    <w:name w:val="page number"/>
    <w:rsid w:val="004515FC"/>
  </w:style>
  <w:style w:type="character" w:customStyle="1" w:styleId="tw4winMark">
    <w:name w:val="tw4winMark"/>
    <w:rsid w:val="004515FC"/>
    <w:rPr>
      <w:vanish/>
      <w:color w:val="800080"/>
      <w:vertAlign w:val="subscript"/>
    </w:rPr>
  </w:style>
  <w:style w:type="paragraph" w:customStyle="1" w:styleId="Sous-titreobjet">
    <w:name w:val="Sous-titre objet"/>
    <w:basedOn w:val="Normal"/>
    <w:rsid w:val="004515FC"/>
    <w:pPr>
      <w:spacing w:before="0" w:after="0"/>
      <w:jc w:val="center"/>
    </w:pPr>
    <w:rPr>
      <w:b/>
    </w:rPr>
  </w:style>
  <w:style w:type="paragraph" w:customStyle="1" w:styleId="Sous-titreobjetPagedecouverture">
    <w:name w:val="Sous-titre objet (Page de couverture)"/>
    <w:basedOn w:val="Sous-titreobjet"/>
    <w:rsid w:val="004515FC"/>
  </w:style>
  <w:style w:type="paragraph" w:customStyle="1" w:styleId="FooterCoverPage">
    <w:name w:val="Footer Cover Page"/>
    <w:basedOn w:val="Normal"/>
    <w:link w:val="FooterCoverPageChar"/>
    <w:rsid w:val="004515FC"/>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4515FC"/>
    <w:rPr>
      <w:rFonts w:ascii="Times New Roman" w:hAnsi="Times New Roman" w:cs="Times New Roman"/>
      <w:b/>
      <w:sz w:val="28"/>
    </w:rPr>
  </w:style>
  <w:style w:type="character" w:customStyle="1" w:styleId="FooterCoverPageChar">
    <w:name w:val="Footer Cover Page Char"/>
    <w:link w:val="FooterCoverPage"/>
    <w:rsid w:val="004515FC"/>
    <w:rPr>
      <w:rFonts w:ascii="Times New Roman" w:eastAsia="Calibri" w:hAnsi="Times New Roman" w:cs="Times New Roman"/>
      <w:sz w:val="24"/>
    </w:rPr>
  </w:style>
  <w:style w:type="paragraph" w:customStyle="1" w:styleId="HeaderCoverPage">
    <w:name w:val="Header Cover Page"/>
    <w:basedOn w:val="Normal"/>
    <w:link w:val="HeaderCoverPageChar"/>
    <w:rsid w:val="004515FC"/>
    <w:pPr>
      <w:tabs>
        <w:tab w:val="center" w:pos="4535"/>
        <w:tab w:val="right" w:pos="9071"/>
      </w:tabs>
      <w:spacing w:before="0"/>
    </w:pPr>
  </w:style>
  <w:style w:type="character" w:customStyle="1" w:styleId="HeaderCoverPageChar">
    <w:name w:val="Header Cover Page Char"/>
    <w:link w:val="HeaderCoverPage"/>
    <w:rsid w:val="004515FC"/>
    <w:rPr>
      <w:rFonts w:ascii="Times New Roman" w:eastAsia="Calibri" w:hAnsi="Times New Roman" w:cs="Times New Roman"/>
      <w:sz w:val="24"/>
    </w:rPr>
  </w:style>
  <w:style w:type="character" w:customStyle="1" w:styleId="FooterSensitivityChar">
    <w:name w:val="Footer Sensitivity Char"/>
    <w:rsid w:val="004515FC"/>
    <w:rPr>
      <w:rFonts w:ascii="Times New Roman" w:hAnsi="Times New Roman" w:cs="Times New Roman"/>
      <w:b/>
      <w:sz w:val="32"/>
    </w:rPr>
  </w:style>
  <w:style w:type="character" w:customStyle="1" w:styleId="HeaderSensitivityChar">
    <w:name w:val="Header Sensitivity Char"/>
    <w:rsid w:val="004515FC"/>
    <w:rPr>
      <w:rFonts w:ascii="Times New Roman" w:hAnsi="Times New Roman" w:cs="Times New Roman"/>
      <w:b/>
      <w:sz w:val="32"/>
    </w:rPr>
  </w:style>
  <w:style w:type="character" w:customStyle="1" w:styleId="HeaderSensitivityRightChar">
    <w:name w:val="Header Sensitivity Right Char"/>
    <w:rsid w:val="004515FC"/>
    <w:rPr>
      <w:rFonts w:ascii="Times New Roman" w:hAnsi="Times New Roman" w:cs="Times New Roman"/>
      <w:sz w:val="28"/>
    </w:rPr>
  </w:style>
  <w:style w:type="character" w:styleId="FootnoteReference0">
    <w:name w:val="footnote reference"/>
    <w:basedOn w:val="DefaultParagraphFont"/>
    <w:link w:val="FootnotesymbolCharCharCharChar"/>
    <w:uiPriority w:val="99"/>
    <w:semiHidden/>
    <w:unhideWhenUsed/>
    <w:rPr>
      <w:shd w:val="clear" w:color="auto" w:fill="auto"/>
      <w:vertAlign w:val="superscript"/>
    </w:rPr>
  </w:style>
  <w:style w:type="character" w:customStyle="1" w:styleId="Mention1">
    <w:name w:val="Mention1"/>
    <w:basedOn w:val="DefaultParagraphFont"/>
    <w:uiPriority w:val="99"/>
    <w:unhideWhenUsed/>
    <w:rsid w:val="00F27AFF"/>
    <w:rPr>
      <w:color w:val="2B579A"/>
      <w:shd w:val="clear" w:color="auto" w:fill="E1DFDD"/>
    </w:rPr>
  </w:style>
  <w:style w:type="character" w:customStyle="1" w:styleId="HeaderChar">
    <w:name w:val="Header Char"/>
    <w:basedOn w:val="DefaultParagraphFont"/>
    <w:link w:val="Header"/>
    <w:uiPriority w:val="99"/>
    <w:rsid w:val="004D0F60"/>
    <w:rPr>
      <w:rFonts w:ascii="Times New Roman" w:hAnsi="Times New Roman" w:cs="Times New Roman"/>
      <w:sz w:val="24"/>
      <w:lang w:val="hr-HR"/>
    </w:rPr>
  </w:style>
  <w:style w:type="character" w:customStyle="1" w:styleId="FooterChar">
    <w:name w:val="Footer Char"/>
    <w:basedOn w:val="DefaultParagraphFont"/>
    <w:link w:val="Footer"/>
    <w:uiPriority w:val="99"/>
    <w:rsid w:val="004D0F60"/>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Sensitivity">
    <w:name w:val="Header Sensitivity"/>
    <w:basedOn w:val="Normal"/>
    <w:rsid w:val="004D0F6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D0F60"/>
    <w:pPr>
      <w:spacing w:before="0"/>
      <w:jc w:val="right"/>
    </w:pPr>
    <w:rPr>
      <w:sz w:val="28"/>
    </w:rPr>
  </w:style>
  <w:style w:type="paragraph" w:customStyle="1" w:styleId="FooterSensitivity">
    <w:name w:val="Footer Sensitivity"/>
    <w:basedOn w:val="Normal"/>
    <w:rsid w:val="004D0F6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D0F60"/>
    <w:pPr>
      <w:tabs>
        <w:tab w:val="center" w:pos="4535"/>
        <w:tab w:val="right" w:pos="9071"/>
      </w:tabs>
      <w:spacing w:before="0"/>
    </w:pPr>
  </w:style>
  <w:style w:type="paragraph" w:customStyle="1" w:styleId="HeaderLandscape">
    <w:name w:val="HeaderLandscape"/>
    <w:basedOn w:val="Normal"/>
    <w:rsid w:val="004D0F60"/>
    <w:pPr>
      <w:tabs>
        <w:tab w:val="center" w:pos="7285"/>
        <w:tab w:val="right" w:pos="14003"/>
      </w:tabs>
      <w:spacing w:before="0"/>
    </w:pPr>
  </w:style>
  <w:style w:type="paragraph" w:styleId="Footer">
    <w:name w:val="footer"/>
    <w:basedOn w:val="Normal"/>
    <w:link w:val="FooterChar"/>
    <w:uiPriority w:val="99"/>
    <w:unhideWhenUsed/>
    <w:rsid w:val="004D0F6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D0F6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4561">
      <w:bodyDiv w:val="1"/>
      <w:marLeft w:val="0"/>
      <w:marRight w:val="0"/>
      <w:marTop w:val="0"/>
      <w:marBottom w:val="0"/>
      <w:divBdr>
        <w:top w:val="none" w:sz="0" w:space="0" w:color="auto"/>
        <w:left w:val="none" w:sz="0" w:space="0" w:color="auto"/>
        <w:bottom w:val="none" w:sz="0" w:space="0" w:color="auto"/>
        <w:right w:val="none" w:sz="0" w:space="0" w:color="auto"/>
      </w:divBdr>
    </w:div>
    <w:div w:id="241528941">
      <w:bodyDiv w:val="1"/>
      <w:marLeft w:val="0"/>
      <w:marRight w:val="0"/>
      <w:marTop w:val="0"/>
      <w:marBottom w:val="0"/>
      <w:divBdr>
        <w:top w:val="none" w:sz="0" w:space="0" w:color="auto"/>
        <w:left w:val="none" w:sz="0" w:space="0" w:color="auto"/>
        <w:bottom w:val="none" w:sz="0" w:space="0" w:color="auto"/>
        <w:right w:val="none" w:sz="0" w:space="0" w:color="auto"/>
      </w:divBdr>
    </w:div>
    <w:div w:id="450125082">
      <w:bodyDiv w:val="1"/>
      <w:marLeft w:val="0"/>
      <w:marRight w:val="0"/>
      <w:marTop w:val="0"/>
      <w:marBottom w:val="0"/>
      <w:divBdr>
        <w:top w:val="none" w:sz="0" w:space="0" w:color="auto"/>
        <w:left w:val="none" w:sz="0" w:space="0" w:color="auto"/>
        <w:bottom w:val="none" w:sz="0" w:space="0" w:color="auto"/>
        <w:right w:val="none" w:sz="0" w:space="0" w:color="auto"/>
      </w:divBdr>
    </w:div>
    <w:div w:id="515000774">
      <w:bodyDiv w:val="1"/>
      <w:marLeft w:val="0"/>
      <w:marRight w:val="0"/>
      <w:marTop w:val="0"/>
      <w:marBottom w:val="0"/>
      <w:divBdr>
        <w:top w:val="none" w:sz="0" w:space="0" w:color="auto"/>
        <w:left w:val="none" w:sz="0" w:space="0" w:color="auto"/>
        <w:bottom w:val="none" w:sz="0" w:space="0" w:color="auto"/>
        <w:right w:val="none" w:sz="0" w:space="0" w:color="auto"/>
      </w:divBdr>
    </w:div>
    <w:div w:id="532159898">
      <w:bodyDiv w:val="1"/>
      <w:marLeft w:val="0"/>
      <w:marRight w:val="0"/>
      <w:marTop w:val="0"/>
      <w:marBottom w:val="0"/>
      <w:divBdr>
        <w:top w:val="none" w:sz="0" w:space="0" w:color="auto"/>
        <w:left w:val="none" w:sz="0" w:space="0" w:color="auto"/>
        <w:bottom w:val="none" w:sz="0" w:space="0" w:color="auto"/>
        <w:right w:val="none" w:sz="0" w:space="0" w:color="auto"/>
      </w:divBdr>
    </w:div>
    <w:div w:id="576594804">
      <w:bodyDiv w:val="1"/>
      <w:marLeft w:val="0"/>
      <w:marRight w:val="0"/>
      <w:marTop w:val="0"/>
      <w:marBottom w:val="0"/>
      <w:divBdr>
        <w:top w:val="none" w:sz="0" w:space="0" w:color="auto"/>
        <w:left w:val="none" w:sz="0" w:space="0" w:color="auto"/>
        <w:bottom w:val="none" w:sz="0" w:space="0" w:color="auto"/>
        <w:right w:val="none" w:sz="0" w:space="0" w:color="auto"/>
      </w:divBdr>
    </w:div>
    <w:div w:id="627590626">
      <w:bodyDiv w:val="1"/>
      <w:marLeft w:val="0"/>
      <w:marRight w:val="0"/>
      <w:marTop w:val="0"/>
      <w:marBottom w:val="0"/>
      <w:divBdr>
        <w:top w:val="none" w:sz="0" w:space="0" w:color="auto"/>
        <w:left w:val="none" w:sz="0" w:space="0" w:color="auto"/>
        <w:bottom w:val="none" w:sz="0" w:space="0" w:color="auto"/>
        <w:right w:val="none" w:sz="0" w:space="0" w:color="auto"/>
      </w:divBdr>
    </w:div>
    <w:div w:id="652686814">
      <w:bodyDiv w:val="1"/>
      <w:marLeft w:val="0"/>
      <w:marRight w:val="0"/>
      <w:marTop w:val="0"/>
      <w:marBottom w:val="0"/>
      <w:divBdr>
        <w:top w:val="none" w:sz="0" w:space="0" w:color="auto"/>
        <w:left w:val="none" w:sz="0" w:space="0" w:color="auto"/>
        <w:bottom w:val="none" w:sz="0" w:space="0" w:color="auto"/>
        <w:right w:val="none" w:sz="0" w:space="0" w:color="auto"/>
      </w:divBdr>
    </w:div>
    <w:div w:id="725107448">
      <w:bodyDiv w:val="1"/>
      <w:marLeft w:val="0"/>
      <w:marRight w:val="0"/>
      <w:marTop w:val="0"/>
      <w:marBottom w:val="0"/>
      <w:divBdr>
        <w:top w:val="none" w:sz="0" w:space="0" w:color="auto"/>
        <w:left w:val="none" w:sz="0" w:space="0" w:color="auto"/>
        <w:bottom w:val="none" w:sz="0" w:space="0" w:color="auto"/>
        <w:right w:val="none" w:sz="0" w:space="0" w:color="auto"/>
      </w:divBdr>
    </w:div>
    <w:div w:id="765878921">
      <w:bodyDiv w:val="1"/>
      <w:marLeft w:val="0"/>
      <w:marRight w:val="0"/>
      <w:marTop w:val="0"/>
      <w:marBottom w:val="0"/>
      <w:divBdr>
        <w:top w:val="none" w:sz="0" w:space="0" w:color="auto"/>
        <w:left w:val="none" w:sz="0" w:space="0" w:color="auto"/>
        <w:bottom w:val="none" w:sz="0" w:space="0" w:color="auto"/>
        <w:right w:val="none" w:sz="0" w:space="0" w:color="auto"/>
      </w:divBdr>
    </w:div>
    <w:div w:id="787697424">
      <w:bodyDiv w:val="1"/>
      <w:marLeft w:val="0"/>
      <w:marRight w:val="0"/>
      <w:marTop w:val="0"/>
      <w:marBottom w:val="0"/>
      <w:divBdr>
        <w:top w:val="none" w:sz="0" w:space="0" w:color="auto"/>
        <w:left w:val="none" w:sz="0" w:space="0" w:color="auto"/>
        <w:bottom w:val="none" w:sz="0" w:space="0" w:color="auto"/>
        <w:right w:val="none" w:sz="0" w:space="0" w:color="auto"/>
      </w:divBdr>
    </w:div>
    <w:div w:id="825362970">
      <w:bodyDiv w:val="1"/>
      <w:marLeft w:val="0"/>
      <w:marRight w:val="0"/>
      <w:marTop w:val="0"/>
      <w:marBottom w:val="0"/>
      <w:divBdr>
        <w:top w:val="none" w:sz="0" w:space="0" w:color="auto"/>
        <w:left w:val="none" w:sz="0" w:space="0" w:color="auto"/>
        <w:bottom w:val="none" w:sz="0" w:space="0" w:color="auto"/>
        <w:right w:val="none" w:sz="0" w:space="0" w:color="auto"/>
      </w:divBdr>
      <w:divsChild>
        <w:div w:id="1147740207">
          <w:marLeft w:val="0"/>
          <w:marRight w:val="0"/>
          <w:marTop w:val="0"/>
          <w:marBottom w:val="0"/>
          <w:divBdr>
            <w:top w:val="none" w:sz="0" w:space="0" w:color="auto"/>
            <w:left w:val="none" w:sz="0" w:space="0" w:color="auto"/>
            <w:bottom w:val="none" w:sz="0" w:space="0" w:color="auto"/>
            <w:right w:val="none" w:sz="0" w:space="0" w:color="auto"/>
          </w:divBdr>
        </w:div>
      </w:divsChild>
    </w:div>
    <w:div w:id="871307606">
      <w:bodyDiv w:val="1"/>
      <w:marLeft w:val="0"/>
      <w:marRight w:val="0"/>
      <w:marTop w:val="0"/>
      <w:marBottom w:val="0"/>
      <w:divBdr>
        <w:top w:val="none" w:sz="0" w:space="0" w:color="auto"/>
        <w:left w:val="none" w:sz="0" w:space="0" w:color="auto"/>
        <w:bottom w:val="none" w:sz="0" w:space="0" w:color="auto"/>
        <w:right w:val="none" w:sz="0" w:space="0" w:color="auto"/>
      </w:divBdr>
      <w:divsChild>
        <w:div w:id="1208448740">
          <w:marLeft w:val="0"/>
          <w:marRight w:val="0"/>
          <w:marTop w:val="0"/>
          <w:marBottom w:val="0"/>
          <w:divBdr>
            <w:top w:val="none" w:sz="0" w:space="0" w:color="auto"/>
            <w:left w:val="none" w:sz="0" w:space="0" w:color="auto"/>
            <w:bottom w:val="none" w:sz="0" w:space="0" w:color="auto"/>
            <w:right w:val="none" w:sz="0" w:space="0" w:color="auto"/>
          </w:divBdr>
        </w:div>
      </w:divsChild>
    </w:div>
    <w:div w:id="894438397">
      <w:bodyDiv w:val="1"/>
      <w:marLeft w:val="0"/>
      <w:marRight w:val="0"/>
      <w:marTop w:val="0"/>
      <w:marBottom w:val="0"/>
      <w:divBdr>
        <w:top w:val="none" w:sz="0" w:space="0" w:color="auto"/>
        <w:left w:val="none" w:sz="0" w:space="0" w:color="auto"/>
        <w:bottom w:val="none" w:sz="0" w:space="0" w:color="auto"/>
        <w:right w:val="none" w:sz="0" w:space="0" w:color="auto"/>
      </w:divBdr>
    </w:div>
    <w:div w:id="1060783926">
      <w:bodyDiv w:val="1"/>
      <w:marLeft w:val="0"/>
      <w:marRight w:val="0"/>
      <w:marTop w:val="0"/>
      <w:marBottom w:val="0"/>
      <w:divBdr>
        <w:top w:val="none" w:sz="0" w:space="0" w:color="auto"/>
        <w:left w:val="none" w:sz="0" w:space="0" w:color="auto"/>
        <w:bottom w:val="none" w:sz="0" w:space="0" w:color="auto"/>
        <w:right w:val="none" w:sz="0" w:space="0" w:color="auto"/>
      </w:divBdr>
    </w:div>
    <w:div w:id="1102847089">
      <w:bodyDiv w:val="1"/>
      <w:marLeft w:val="0"/>
      <w:marRight w:val="0"/>
      <w:marTop w:val="0"/>
      <w:marBottom w:val="0"/>
      <w:divBdr>
        <w:top w:val="none" w:sz="0" w:space="0" w:color="auto"/>
        <w:left w:val="none" w:sz="0" w:space="0" w:color="auto"/>
        <w:bottom w:val="none" w:sz="0" w:space="0" w:color="auto"/>
        <w:right w:val="none" w:sz="0" w:space="0" w:color="auto"/>
      </w:divBdr>
      <w:divsChild>
        <w:div w:id="1466849705">
          <w:marLeft w:val="0"/>
          <w:marRight w:val="0"/>
          <w:marTop w:val="0"/>
          <w:marBottom w:val="0"/>
          <w:divBdr>
            <w:top w:val="none" w:sz="0" w:space="0" w:color="auto"/>
            <w:left w:val="none" w:sz="0" w:space="0" w:color="auto"/>
            <w:bottom w:val="none" w:sz="0" w:space="0" w:color="auto"/>
            <w:right w:val="none" w:sz="0" w:space="0" w:color="auto"/>
          </w:divBdr>
        </w:div>
      </w:divsChild>
    </w:div>
    <w:div w:id="1125538354">
      <w:bodyDiv w:val="1"/>
      <w:marLeft w:val="0"/>
      <w:marRight w:val="0"/>
      <w:marTop w:val="0"/>
      <w:marBottom w:val="0"/>
      <w:divBdr>
        <w:top w:val="none" w:sz="0" w:space="0" w:color="auto"/>
        <w:left w:val="none" w:sz="0" w:space="0" w:color="auto"/>
        <w:bottom w:val="none" w:sz="0" w:space="0" w:color="auto"/>
        <w:right w:val="none" w:sz="0" w:space="0" w:color="auto"/>
      </w:divBdr>
    </w:div>
    <w:div w:id="1136142787">
      <w:bodyDiv w:val="1"/>
      <w:marLeft w:val="0"/>
      <w:marRight w:val="0"/>
      <w:marTop w:val="0"/>
      <w:marBottom w:val="0"/>
      <w:divBdr>
        <w:top w:val="none" w:sz="0" w:space="0" w:color="auto"/>
        <w:left w:val="none" w:sz="0" w:space="0" w:color="auto"/>
        <w:bottom w:val="none" w:sz="0" w:space="0" w:color="auto"/>
        <w:right w:val="none" w:sz="0" w:space="0" w:color="auto"/>
      </w:divBdr>
    </w:div>
    <w:div w:id="1406296411">
      <w:bodyDiv w:val="1"/>
      <w:marLeft w:val="0"/>
      <w:marRight w:val="0"/>
      <w:marTop w:val="0"/>
      <w:marBottom w:val="0"/>
      <w:divBdr>
        <w:top w:val="none" w:sz="0" w:space="0" w:color="auto"/>
        <w:left w:val="none" w:sz="0" w:space="0" w:color="auto"/>
        <w:bottom w:val="none" w:sz="0" w:space="0" w:color="auto"/>
        <w:right w:val="none" w:sz="0" w:space="0" w:color="auto"/>
      </w:divBdr>
    </w:div>
    <w:div w:id="1500460747">
      <w:bodyDiv w:val="1"/>
      <w:marLeft w:val="0"/>
      <w:marRight w:val="0"/>
      <w:marTop w:val="0"/>
      <w:marBottom w:val="0"/>
      <w:divBdr>
        <w:top w:val="none" w:sz="0" w:space="0" w:color="auto"/>
        <w:left w:val="none" w:sz="0" w:space="0" w:color="auto"/>
        <w:bottom w:val="none" w:sz="0" w:space="0" w:color="auto"/>
        <w:right w:val="none" w:sz="0" w:space="0" w:color="auto"/>
      </w:divBdr>
      <w:divsChild>
        <w:div w:id="967125417">
          <w:marLeft w:val="0"/>
          <w:marRight w:val="0"/>
          <w:marTop w:val="0"/>
          <w:marBottom w:val="0"/>
          <w:divBdr>
            <w:top w:val="none" w:sz="0" w:space="0" w:color="auto"/>
            <w:left w:val="none" w:sz="0" w:space="0" w:color="auto"/>
            <w:bottom w:val="none" w:sz="0" w:space="0" w:color="auto"/>
            <w:right w:val="none" w:sz="0" w:space="0" w:color="auto"/>
          </w:divBdr>
        </w:div>
      </w:divsChild>
    </w:div>
    <w:div w:id="1753160995">
      <w:bodyDiv w:val="1"/>
      <w:marLeft w:val="0"/>
      <w:marRight w:val="0"/>
      <w:marTop w:val="0"/>
      <w:marBottom w:val="0"/>
      <w:divBdr>
        <w:top w:val="none" w:sz="0" w:space="0" w:color="auto"/>
        <w:left w:val="none" w:sz="0" w:space="0" w:color="auto"/>
        <w:bottom w:val="none" w:sz="0" w:space="0" w:color="auto"/>
        <w:right w:val="none" w:sz="0" w:space="0" w:color="auto"/>
      </w:divBdr>
    </w:div>
    <w:div w:id="1924994995">
      <w:bodyDiv w:val="1"/>
      <w:marLeft w:val="0"/>
      <w:marRight w:val="0"/>
      <w:marTop w:val="0"/>
      <w:marBottom w:val="0"/>
      <w:divBdr>
        <w:top w:val="none" w:sz="0" w:space="0" w:color="auto"/>
        <w:left w:val="none" w:sz="0" w:space="0" w:color="auto"/>
        <w:bottom w:val="none" w:sz="0" w:space="0" w:color="auto"/>
        <w:right w:val="none" w:sz="0" w:space="0" w:color="auto"/>
      </w:divBdr>
    </w:div>
    <w:div w:id="20008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data.europa.eu/eli/reg/2018/1725/o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data.europa.eu/eli/reg/2011/182/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ata.europa.eu/eli/dir/2019/997/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ata.europa.eu/eli/reg/2016/679/oj"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9/997/oj" TargetMode="External"/><Relationship Id="rId13" Type="http://schemas.openxmlformats.org/officeDocument/2006/relationships/hyperlink" Target="https://data.europa.eu/data/datasets/s2260_485_eng?locale=hr" TargetMode="External"/><Relationship Id="rId18" Type="http://schemas.openxmlformats.org/officeDocument/2006/relationships/hyperlink" Target="http://data.europa.eu/eli/reg/2016/679/oj" TargetMode="External"/><Relationship Id="rId26" Type="http://schemas.openxmlformats.org/officeDocument/2006/relationships/hyperlink" Target="http://data.europa.eu/eli/dec/2013/1313/oj" TargetMode="External"/><Relationship Id="rId3" Type="http://schemas.openxmlformats.org/officeDocument/2006/relationships/hyperlink" Target="https://eur-lex.europa.eu/legal-content/hr/ALL/?uri=CELEX%3A52020DC0690" TargetMode="External"/><Relationship Id="rId21" Type="http://schemas.openxmlformats.org/officeDocument/2006/relationships/hyperlink" Target="http://data.europa.eu/eli/reco/2008/355/oj" TargetMode="External"/><Relationship Id="rId7" Type="http://schemas.openxmlformats.org/officeDocument/2006/relationships/hyperlink" Target="https://data.consilium.europa.eu/doc/document/ST-13619-2020-INIT/en/pdf" TargetMode="External"/><Relationship Id="rId12" Type="http://schemas.openxmlformats.org/officeDocument/2006/relationships/hyperlink" Target="https://data.consilium.europa.eu/doc/document/ST-15876-2022-INIT/en/pdf" TargetMode="External"/><Relationship Id="rId17" Type="http://schemas.openxmlformats.org/officeDocument/2006/relationships/hyperlink" Target="https://commission.europa.eu/document/1abc8980-4ffc-4794-b497-9c174f56486a_en" TargetMode="External"/><Relationship Id="rId25" Type="http://schemas.openxmlformats.org/officeDocument/2006/relationships/hyperlink" Target="http://data.europa.eu/eli/reco/2008/355/oj" TargetMode="External"/><Relationship Id="rId2" Type="http://schemas.openxmlformats.org/officeDocument/2006/relationships/hyperlink" Target="http://data.europa.eu/eli/dec/1995/553/oj" TargetMode="External"/><Relationship Id="rId16" Type="http://schemas.openxmlformats.org/officeDocument/2006/relationships/hyperlink" Target="https://commission.europa.eu/document/7a196852-063e-4b0e-b828-b483cbb4533b_en" TargetMode="External"/><Relationship Id="rId20" Type="http://schemas.openxmlformats.org/officeDocument/2006/relationships/hyperlink" Target="http://data.europa.eu/eli/dec/1996/409/oj" TargetMode="External"/><Relationship Id="rId29" Type="http://schemas.openxmlformats.org/officeDocument/2006/relationships/hyperlink" Target="http://data.europa.eu/eli/reg/2018/1725/oj" TargetMode="External"/><Relationship Id="rId1" Type="http://schemas.openxmlformats.org/officeDocument/2006/relationships/hyperlink" Target="http://data.europa.eu/eli/dir/2015/637/oj" TargetMode="External"/><Relationship Id="rId6" Type="http://schemas.openxmlformats.org/officeDocument/2006/relationships/hyperlink" Target="https://eur-lex.europa.eu/legal-content/HR/TXT/?uri=CELEX:52022DC0437" TargetMode="External"/><Relationship Id="rId11" Type="http://schemas.openxmlformats.org/officeDocument/2006/relationships/hyperlink" Target="https://legal.un.org/ilc/texts/instruments/english/conventions/9_2_1963.pdf" TargetMode="External"/><Relationship Id="rId24" Type="http://schemas.openxmlformats.org/officeDocument/2006/relationships/hyperlink" Target="http://data.europa.eu/eli/dec/2010/427/oj" TargetMode="External"/><Relationship Id="rId5" Type="http://schemas.openxmlformats.org/officeDocument/2006/relationships/hyperlink" Target="https://data.consilium.europa.eu/doc/document/ST-7371-2022-INIT/hr/pdf" TargetMode="External"/><Relationship Id="rId15" Type="http://schemas.openxmlformats.org/officeDocument/2006/relationships/hyperlink" Target="https://eur-lex.europa.eu/legal-content/HR/TXT/?uri=CELEX:52020DC0730" TargetMode="External"/><Relationship Id="rId23" Type="http://schemas.openxmlformats.org/officeDocument/2006/relationships/hyperlink" Target="http://data.europa.eu/eli/dir/2019/997/oj" TargetMode="External"/><Relationship Id="rId28" Type="http://schemas.openxmlformats.org/officeDocument/2006/relationships/hyperlink" Target="http://data.europa.eu/eli/reg/2016/679/oj" TargetMode="External"/><Relationship Id="rId10" Type="http://schemas.openxmlformats.org/officeDocument/2006/relationships/hyperlink" Target="http://data.europa.eu/eli/dec/2013/1313/oj" TargetMode="External"/><Relationship Id="rId19" Type="http://schemas.openxmlformats.org/officeDocument/2006/relationships/hyperlink" Target="http://data.europa.eu/eli/reg/2018/1725/oj" TargetMode="External"/><Relationship Id="rId4" Type="http://schemas.openxmlformats.org/officeDocument/2006/relationships/hyperlink" Target="https://eur-lex.europa.eu/legal-content/HR/TXT/?uri=CELEX%3A52022DC0404" TargetMode="External"/><Relationship Id="rId9" Type="http://schemas.openxmlformats.org/officeDocument/2006/relationships/hyperlink" Target="http://data.europa.eu/eli/dec/2010/427/oj" TargetMode="External"/><Relationship Id="rId14" Type="http://schemas.openxmlformats.org/officeDocument/2006/relationships/hyperlink" Target="https://europa.eu/eurobarometer/surveys/detail/2971" TargetMode="External"/><Relationship Id="rId22" Type="http://schemas.openxmlformats.org/officeDocument/2006/relationships/hyperlink" Target="http://data.europa.eu/eli/dir/2015/637/oj" TargetMode="External"/><Relationship Id="rId27" Type="http://schemas.openxmlformats.org/officeDocument/2006/relationships/hyperlink" Target="http://data.europa.eu/eli/reg/2011/182/oj" TargetMode="External"/><Relationship Id="rId30" Type="http://schemas.openxmlformats.org/officeDocument/2006/relationships/hyperlink" Target="https://eur-lex.europa.eu/legal-content/EN/TXT/?uri=CELEX:52011SC1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7" ma:contentTypeDescription="Create a new document." ma:contentTypeScope="" ma:versionID="4f23b84c494cfaa1c66f32c38d1aa35e">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bfc11b8d216d428b61f3580c0e7481e7"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9B94-C979-4D67-AC37-03526794B5C0}">
  <ds:schemaRefs>
    <ds:schemaRef ds:uri="http://schemas.microsoft.com/sharepoint/v3/contenttype/forms"/>
  </ds:schemaRefs>
</ds:datastoreItem>
</file>

<file path=customXml/itemProps2.xml><?xml version="1.0" encoding="utf-8"?>
<ds:datastoreItem xmlns:ds="http://schemas.openxmlformats.org/officeDocument/2006/customXml" ds:itemID="{6982BE49-B8C5-44D7-B1CD-758ED650578D}">
  <ds:schemaRefs>
    <ds:schemaRef ds:uri="http://schemas.microsoft.com/office/2006/documentManagement/types"/>
    <ds:schemaRef ds:uri="http://www.w3.org/XML/1998/namespace"/>
    <ds:schemaRef ds:uri="http://schemas.microsoft.com/office/2006/metadata/properties"/>
    <ds:schemaRef ds:uri="604b4288-15a6-4b36-801c-a9875e40b072"/>
    <ds:schemaRef ds:uri="fb6c068c-bc2d-4620-b517-6a4d82a7e161"/>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5F842759-D276-463F-A6EE-B4A28364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8DCC9-1E87-4C3F-AD67-2D7F953D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43</TotalTime>
  <Pages>13</Pages>
  <Words>15771</Words>
  <Characters>89900</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105461</CharactersWithSpaces>
  <SharedDoc>false</SharedDoc>
  <HLinks>
    <vt:vector size="192" baseType="variant">
      <vt:variant>
        <vt:i4>4915224</vt:i4>
      </vt:variant>
      <vt:variant>
        <vt:i4>9</vt:i4>
      </vt:variant>
      <vt:variant>
        <vt:i4>0</vt:i4>
      </vt:variant>
      <vt:variant>
        <vt:i4>5</vt:i4>
      </vt:variant>
      <vt:variant>
        <vt:lpwstr>http://data.europa.eu/eli/reg/2016/679/oj</vt:lpwstr>
      </vt:variant>
      <vt:variant>
        <vt:lpwstr/>
      </vt:variant>
      <vt:variant>
        <vt:i4>6488173</vt:i4>
      </vt:variant>
      <vt:variant>
        <vt:i4>6</vt:i4>
      </vt:variant>
      <vt:variant>
        <vt:i4>0</vt:i4>
      </vt:variant>
      <vt:variant>
        <vt:i4>5</vt:i4>
      </vt:variant>
      <vt:variant>
        <vt:lpwstr>http://data.europa.eu/eli/reg/2018/1725/oj</vt:lpwstr>
      </vt:variant>
      <vt:variant>
        <vt:lpwstr/>
      </vt:variant>
      <vt:variant>
        <vt:i4>4194327</vt:i4>
      </vt:variant>
      <vt:variant>
        <vt:i4>3</vt:i4>
      </vt:variant>
      <vt:variant>
        <vt:i4>0</vt:i4>
      </vt:variant>
      <vt:variant>
        <vt:i4>5</vt:i4>
      </vt:variant>
      <vt:variant>
        <vt:lpwstr>http://data.europa.eu/eli/reg/2011/182/oj</vt:lpwstr>
      </vt:variant>
      <vt:variant>
        <vt:lpwstr/>
      </vt:variant>
      <vt:variant>
        <vt:i4>4784149</vt:i4>
      </vt:variant>
      <vt:variant>
        <vt:i4>0</vt:i4>
      </vt:variant>
      <vt:variant>
        <vt:i4>0</vt:i4>
      </vt:variant>
      <vt:variant>
        <vt:i4>5</vt:i4>
      </vt:variant>
      <vt:variant>
        <vt:lpwstr>http://data.europa.eu/eli/dir/2019/997/oj</vt:lpwstr>
      </vt:variant>
      <vt:variant>
        <vt:lpwstr/>
      </vt:variant>
      <vt:variant>
        <vt:i4>1048592</vt:i4>
      </vt:variant>
      <vt:variant>
        <vt:i4>87</vt:i4>
      </vt:variant>
      <vt:variant>
        <vt:i4>0</vt:i4>
      </vt:variant>
      <vt:variant>
        <vt:i4>5</vt:i4>
      </vt:variant>
      <vt:variant>
        <vt:lpwstr>https://eur-lex.europa.eu/legal-content/EN/TXT/?uri=CELEX:52011SC1556</vt:lpwstr>
      </vt:variant>
      <vt:variant>
        <vt:lpwstr/>
      </vt:variant>
      <vt:variant>
        <vt:i4>6488173</vt:i4>
      </vt:variant>
      <vt:variant>
        <vt:i4>78</vt:i4>
      </vt:variant>
      <vt:variant>
        <vt:i4>0</vt:i4>
      </vt:variant>
      <vt:variant>
        <vt:i4>5</vt:i4>
      </vt:variant>
      <vt:variant>
        <vt:lpwstr>http://data.europa.eu/eli/reg/2018/1725/oj</vt:lpwstr>
      </vt:variant>
      <vt:variant>
        <vt:lpwstr/>
      </vt:variant>
      <vt:variant>
        <vt:i4>4915224</vt:i4>
      </vt:variant>
      <vt:variant>
        <vt:i4>75</vt:i4>
      </vt:variant>
      <vt:variant>
        <vt:i4>0</vt:i4>
      </vt:variant>
      <vt:variant>
        <vt:i4>5</vt:i4>
      </vt:variant>
      <vt:variant>
        <vt:lpwstr>http://data.europa.eu/eli/reg/2016/679/oj</vt:lpwstr>
      </vt:variant>
      <vt:variant>
        <vt:lpwstr/>
      </vt:variant>
      <vt:variant>
        <vt:i4>4194327</vt:i4>
      </vt:variant>
      <vt:variant>
        <vt:i4>72</vt:i4>
      </vt:variant>
      <vt:variant>
        <vt:i4>0</vt:i4>
      </vt:variant>
      <vt:variant>
        <vt:i4>5</vt:i4>
      </vt:variant>
      <vt:variant>
        <vt:lpwstr>http://data.europa.eu/eli/reg/2011/182/oj</vt:lpwstr>
      </vt:variant>
      <vt:variant>
        <vt:lpwstr/>
      </vt:variant>
      <vt:variant>
        <vt:i4>7012477</vt:i4>
      </vt:variant>
      <vt:variant>
        <vt:i4>69</vt:i4>
      </vt:variant>
      <vt:variant>
        <vt:i4>0</vt:i4>
      </vt:variant>
      <vt:variant>
        <vt:i4>5</vt:i4>
      </vt:variant>
      <vt:variant>
        <vt:lpwstr>http://data.europa.eu/eli/dec/2013/1313/oj</vt:lpwstr>
      </vt:variant>
      <vt:variant>
        <vt:lpwstr/>
      </vt:variant>
      <vt:variant>
        <vt:i4>3145830</vt:i4>
      </vt:variant>
      <vt:variant>
        <vt:i4>66</vt:i4>
      </vt:variant>
      <vt:variant>
        <vt:i4>0</vt:i4>
      </vt:variant>
      <vt:variant>
        <vt:i4>5</vt:i4>
      </vt:variant>
      <vt:variant>
        <vt:lpwstr>http://data.europa.eu/eli/reco/2008/355/oj</vt:lpwstr>
      </vt:variant>
      <vt:variant>
        <vt:lpwstr/>
      </vt:variant>
      <vt:variant>
        <vt:i4>4259855</vt:i4>
      </vt:variant>
      <vt:variant>
        <vt:i4>63</vt:i4>
      </vt:variant>
      <vt:variant>
        <vt:i4>0</vt:i4>
      </vt:variant>
      <vt:variant>
        <vt:i4>5</vt:i4>
      </vt:variant>
      <vt:variant>
        <vt:lpwstr>http://data.europa.eu/eli/dec/2010/427/oj</vt:lpwstr>
      </vt:variant>
      <vt:variant>
        <vt:lpwstr/>
      </vt:variant>
      <vt:variant>
        <vt:i4>4784149</vt:i4>
      </vt:variant>
      <vt:variant>
        <vt:i4>60</vt:i4>
      </vt:variant>
      <vt:variant>
        <vt:i4>0</vt:i4>
      </vt:variant>
      <vt:variant>
        <vt:i4>5</vt:i4>
      </vt:variant>
      <vt:variant>
        <vt:lpwstr>http://data.europa.eu/eli/dir/2019/997/oj</vt:lpwstr>
      </vt:variant>
      <vt:variant>
        <vt:lpwstr/>
      </vt:variant>
      <vt:variant>
        <vt:i4>4849695</vt:i4>
      </vt:variant>
      <vt:variant>
        <vt:i4>57</vt:i4>
      </vt:variant>
      <vt:variant>
        <vt:i4>0</vt:i4>
      </vt:variant>
      <vt:variant>
        <vt:i4>5</vt:i4>
      </vt:variant>
      <vt:variant>
        <vt:lpwstr>http://data.europa.eu/eli/dir/2015/637/oj</vt:lpwstr>
      </vt:variant>
      <vt:variant>
        <vt:lpwstr/>
      </vt:variant>
      <vt:variant>
        <vt:i4>3145830</vt:i4>
      </vt:variant>
      <vt:variant>
        <vt:i4>54</vt:i4>
      </vt:variant>
      <vt:variant>
        <vt:i4>0</vt:i4>
      </vt:variant>
      <vt:variant>
        <vt:i4>5</vt:i4>
      </vt:variant>
      <vt:variant>
        <vt:lpwstr>http://data.europa.eu/eli/reco/2008/355/oj</vt:lpwstr>
      </vt:variant>
      <vt:variant>
        <vt:lpwstr/>
      </vt:variant>
      <vt:variant>
        <vt:i4>4194310</vt:i4>
      </vt:variant>
      <vt:variant>
        <vt:i4>51</vt:i4>
      </vt:variant>
      <vt:variant>
        <vt:i4>0</vt:i4>
      </vt:variant>
      <vt:variant>
        <vt:i4>5</vt:i4>
      </vt:variant>
      <vt:variant>
        <vt:lpwstr>http://data.europa.eu/eli/dec/1996/409/oj</vt:lpwstr>
      </vt:variant>
      <vt:variant>
        <vt:lpwstr/>
      </vt:variant>
      <vt:variant>
        <vt:i4>6488173</vt:i4>
      </vt:variant>
      <vt:variant>
        <vt:i4>48</vt:i4>
      </vt:variant>
      <vt:variant>
        <vt:i4>0</vt:i4>
      </vt:variant>
      <vt:variant>
        <vt:i4>5</vt:i4>
      </vt:variant>
      <vt:variant>
        <vt:lpwstr>http://data.europa.eu/eli/reg/2018/1725/oj</vt:lpwstr>
      </vt:variant>
      <vt:variant>
        <vt:lpwstr/>
      </vt:variant>
      <vt:variant>
        <vt:i4>4915224</vt:i4>
      </vt:variant>
      <vt:variant>
        <vt:i4>45</vt:i4>
      </vt:variant>
      <vt:variant>
        <vt:i4>0</vt:i4>
      </vt:variant>
      <vt:variant>
        <vt:i4>5</vt:i4>
      </vt:variant>
      <vt:variant>
        <vt:lpwstr>http://data.europa.eu/eli/reg/2016/679/oj</vt:lpwstr>
      </vt:variant>
      <vt:variant>
        <vt:lpwstr/>
      </vt:variant>
      <vt:variant>
        <vt:i4>196627</vt:i4>
      </vt:variant>
      <vt:variant>
        <vt:i4>42</vt:i4>
      </vt:variant>
      <vt:variant>
        <vt:i4>0</vt:i4>
      </vt:variant>
      <vt:variant>
        <vt:i4>5</vt:i4>
      </vt:variant>
      <vt:variant>
        <vt:lpwstr>https://eur-lex.europa.eu/legal-content/EN/TXT/?uri=CELEX:52020DC0730</vt:lpwstr>
      </vt:variant>
      <vt:variant>
        <vt:lpwstr/>
      </vt:variant>
      <vt:variant>
        <vt:i4>4587540</vt:i4>
      </vt:variant>
      <vt:variant>
        <vt:i4>39</vt:i4>
      </vt:variant>
      <vt:variant>
        <vt:i4>0</vt:i4>
      </vt:variant>
      <vt:variant>
        <vt:i4>5</vt:i4>
      </vt:variant>
      <vt:variant>
        <vt:lpwstr>https://data.europa.eu/data/datasets/s2260_485_eng?locale=en</vt:lpwstr>
      </vt:variant>
      <vt:variant>
        <vt:lpwstr/>
      </vt:variant>
      <vt:variant>
        <vt:i4>4587540</vt:i4>
      </vt:variant>
      <vt:variant>
        <vt:i4>36</vt:i4>
      </vt:variant>
      <vt:variant>
        <vt:i4>0</vt:i4>
      </vt:variant>
      <vt:variant>
        <vt:i4>5</vt:i4>
      </vt:variant>
      <vt:variant>
        <vt:lpwstr>https://data.europa.eu/data/datasets/s2260_485_eng?locale=en</vt:lpwstr>
      </vt:variant>
      <vt:variant>
        <vt:lpwstr/>
      </vt:variant>
      <vt:variant>
        <vt:i4>3342445</vt:i4>
      </vt:variant>
      <vt:variant>
        <vt:i4>33</vt:i4>
      </vt:variant>
      <vt:variant>
        <vt:i4>0</vt:i4>
      </vt:variant>
      <vt:variant>
        <vt:i4>5</vt:i4>
      </vt:variant>
      <vt:variant>
        <vt:lpwstr>https://data.consilium.europa.eu/doc/document/ST-15876-2022-INIT/en/pdf</vt:lpwstr>
      </vt:variant>
      <vt:variant>
        <vt:lpwstr/>
      </vt:variant>
      <vt:variant>
        <vt:i4>7667830</vt:i4>
      </vt:variant>
      <vt:variant>
        <vt:i4>30</vt:i4>
      </vt:variant>
      <vt:variant>
        <vt:i4>0</vt:i4>
      </vt:variant>
      <vt:variant>
        <vt:i4>5</vt:i4>
      </vt:variant>
      <vt:variant>
        <vt:lpwstr>https://legal.un.org/ilc/texts/instruments/english/conventions/9_2_1963.pdf</vt:lpwstr>
      </vt:variant>
      <vt:variant>
        <vt:lpwstr/>
      </vt:variant>
      <vt:variant>
        <vt:i4>7012477</vt:i4>
      </vt:variant>
      <vt:variant>
        <vt:i4>27</vt:i4>
      </vt:variant>
      <vt:variant>
        <vt:i4>0</vt:i4>
      </vt:variant>
      <vt:variant>
        <vt:i4>5</vt:i4>
      </vt:variant>
      <vt:variant>
        <vt:lpwstr>http://data.europa.eu/eli/dec/2013/1313/oj</vt:lpwstr>
      </vt:variant>
      <vt:variant>
        <vt:lpwstr/>
      </vt:variant>
      <vt:variant>
        <vt:i4>4259855</vt:i4>
      </vt:variant>
      <vt:variant>
        <vt:i4>24</vt:i4>
      </vt:variant>
      <vt:variant>
        <vt:i4>0</vt:i4>
      </vt:variant>
      <vt:variant>
        <vt:i4>5</vt:i4>
      </vt:variant>
      <vt:variant>
        <vt:lpwstr>http://data.europa.eu/eli/dec/2010/427/oj</vt:lpwstr>
      </vt:variant>
      <vt:variant>
        <vt:lpwstr/>
      </vt:variant>
      <vt:variant>
        <vt:i4>4784149</vt:i4>
      </vt:variant>
      <vt:variant>
        <vt:i4>21</vt:i4>
      </vt:variant>
      <vt:variant>
        <vt:i4>0</vt:i4>
      </vt:variant>
      <vt:variant>
        <vt:i4>5</vt:i4>
      </vt:variant>
      <vt:variant>
        <vt:lpwstr>http://data.europa.eu/eli/dir/2019/997/oj</vt:lpwstr>
      </vt:variant>
      <vt:variant>
        <vt:lpwstr/>
      </vt:variant>
      <vt:variant>
        <vt:i4>3276911</vt:i4>
      </vt:variant>
      <vt:variant>
        <vt:i4>18</vt:i4>
      </vt:variant>
      <vt:variant>
        <vt:i4>0</vt:i4>
      </vt:variant>
      <vt:variant>
        <vt:i4>5</vt:i4>
      </vt:variant>
      <vt:variant>
        <vt:lpwstr>https://data.consilium.europa.eu/doc/document/ST-13619-2020-INIT/en/pdf</vt:lpwstr>
      </vt:variant>
      <vt:variant>
        <vt:lpwstr/>
      </vt:variant>
      <vt:variant>
        <vt:i4>196626</vt:i4>
      </vt:variant>
      <vt:variant>
        <vt:i4>15</vt:i4>
      </vt:variant>
      <vt:variant>
        <vt:i4>0</vt:i4>
      </vt:variant>
      <vt:variant>
        <vt:i4>5</vt:i4>
      </vt:variant>
      <vt:variant>
        <vt:lpwstr>https://eur-lex.europa.eu/legal-content/EN/TXT/?uri=CELEX:52022DC0437</vt:lpwstr>
      </vt:variant>
      <vt:variant>
        <vt:lpwstr/>
      </vt:variant>
      <vt:variant>
        <vt:i4>7143530</vt:i4>
      </vt:variant>
      <vt:variant>
        <vt:i4>12</vt:i4>
      </vt:variant>
      <vt:variant>
        <vt:i4>0</vt:i4>
      </vt:variant>
      <vt:variant>
        <vt:i4>5</vt:i4>
      </vt:variant>
      <vt:variant>
        <vt:lpwstr>https://data.consilium.europa.eu/doc/document/ST-7371-2022-INIT/en/pdf</vt:lpwstr>
      </vt:variant>
      <vt:variant>
        <vt:lpwstr/>
      </vt:variant>
      <vt:variant>
        <vt:i4>8257569</vt:i4>
      </vt:variant>
      <vt:variant>
        <vt:i4>9</vt:i4>
      </vt:variant>
      <vt:variant>
        <vt:i4>0</vt:i4>
      </vt:variant>
      <vt:variant>
        <vt:i4>5</vt:i4>
      </vt:variant>
      <vt:variant>
        <vt:lpwstr>https://eur-lex.europa.eu/legal-content/EN/TXT/?uri=CELEX%3A52022DC0404</vt:lpwstr>
      </vt:variant>
      <vt:variant>
        <vt:lpwstr/>
      </vt:variant>
      <vt:variant>
        <vt:i4>7995445</vt:i4>
      </vt:variant>
      <vt:variant>
        <vt:i4>6</vt:i4>
      </vt:variant>
      <vt:variant>
        <vt:i4>0</vt:i4>
      </vt:variant>
      <vt:variant>
        <vt:i4>5</vt:i4>
      </vt:variant>
      <vt:variant>
        <vt:lpwstr>https://eur-lex.europa.eu/legal-content/en/ALL/?uri=CELEX%3A52020DC0690</vt:lpwstr>
      </vt:variant>
      <vt:variant>
        <vt:lpwstr/>
      </vt:variant>
      <vt:variant>
        <vt:i4>4718595</vt:i4>
      </vt:variant>
      <vt:variant>
        <vt:i4>3</vt:i4>
      </vt:variant>
      <vt:variant>
        <vt:i4>0</vt:i4>
      </vt:variant>
      <vt:variant>
        <vt:i4>5</vt:i4>
      </vt:variant>
      <vt:variant>
        <vt:lpwstr>http://data.europa.eu/eli/dec/1995/553/oj</vt:lpwstr>
      </vt:variant>
      <vt:variant>
        <vt:lpwstr/>
      </vt:variant>
      <vt:variant>
        <vt:i4>4849695</vt:i4>
      </vt:variant>
      <vt:variant>
        <vt:i4>0</vt:i4>
      </vt:variant>
      <vt:variant>
        <vt:i4>0</vt:i4>
      </vt:variant>
      <vt:variant>
        <vt:i4>5</vt:i4>
      </vt:variant>
      <vt:variant>
        <vt:lpwstr>http://data.europa.eu/eli/dir/2015/637/oj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29</cp:revision>
  <dcterms:created xsi:type="dcterms:W3CDTF">2023-11-29T08:46:00Z</dcterms:created>
  <dcterms:modified xsi:type="dcterms:W3CDTF">2024-01-17T22:15:00Z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2023-07-06T08:21:10Z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1d6b2046-8b5b-4e6f-b3b3-912bc9b343ae</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0x010100D920D94BF79903409A44EFD8C6ED4DE5</vt:lpwstr>
  </property>
  <property fmtid="{D5CDD505-2E9C-101B-9397-08002B2CF9AE}" pid="18" name="DQCStatus">
    <vt:lpwstr>Green (DQC version 03)</vt:lpwstr>
  </property>
  <property name="OP_sanitized" fmtid="{D5CDD505-2E9C-101B-9397-08002B2CF9AE}" pid="19">
    <vt:lpwstr>True</vt:lpwstr>
  </property>
</Properties>
</file>