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1707" w14:textId="71F54DC4" w:rsidR="00CA0B25" w:rsidRPr="00120AA9" w:rsidRDefault="001C7B60" w:rsidP="001C7B60">
      <w:pPr>
        <w:pStyle w:val="Pagedecouverture"/>
        <w:rPr>
          <w:noProof/>
        </w:rPr>
      </w:pPr>
      <w:r>
        <w:rPr>
          <w:noProof/>
        </w:rPr>
        <w:pict w14:anchorId="19BE8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1D0EB88-0953-4836-AF77-51615EE8706D" style="width:455.25pt;height:355.5pt">
            <v:imagedata r:id="rId11" o:title=""/>
          </v:shape>
        </w:pict>
      </w:r>
    </w:p>
    <w:p w14:paraId="70A751CA" w14:textId="77777777" w:rsidR="0034468E" w:rsidRPr="00120AA9" w:rsidRDefault="0034468E" w:rsidP="0034468E">
      <w:pPr>
        <w:rPr>
          <w:noProof/>
        </w:rPr>
        <w:sectPr w:rsidR="0034468E" w:rsidRPr="00120AA9" w:rsidSect="001C7B60">
          <w:footerReference w:type="default" r:id="rId12"/>
          <w:pgSz w:w="11907" w:h="16839"/>
          <w:pgMar w:top="1134" w:right="1417" w:bottom="1134" w:left="1417" w:header="709" w:footer="709" w:gutter="0"/>
          <w:pgNumType w:start="0"/>
          <w:cols w:space="720"/>
          <w:docGrid w:linePitch="360"/>
        </w:sectPr>
      </w:pPr>
    </w:p>
    <w:p w14:paraId="5DF9A1F3" w14:textId="777FC9B1" w:rsidR="0034468E" w:rsidRPr="00120AA9" w:rsidRDefault="00120AA9" w:rsidP="00120AA9">
      <w:pPr>
        <w:pStyle w:val="Statut"/>
        <w:rPr>
          <w:noProof/>
        </w:rPr>
      </w:pPr>
      <w:bookmarkStart w:id="0" w:name="_GoBack"/>
      <w:bookmarkEnd w:id="0"/>
      <w:r w:rsidRPr="00120AA9">
        <w:rPr>
          <w:noProof/>
        </w:rPr>
        <w:lastRenderedPageBreak/>
        <w:t>Preporuka za</w:t>
      </w:r>
    </w:p>
    <w:p w14:paraId="4CC6D2F3" w14:textId="78086662" w:rsidR="00CA0B25" w:rsidRPr="00120AA9" w:rsidRDefault="00120AA9" w:rsidP="00120AA9">
      <w:pPr>
        <w:pStyle w:val="Typedudocument"/>
        <w:rPr>
          <w:noProof/>
        </w:rPr>
      </w:pPr>
      <w:r w:rsidRPr="00120AA9">
        <w:rPr>
          <w:noProof/>
        </w:rPr>
        <w:t>PREPORUKU VIJEĆA</w:t>
      </w:r>
    </w:p>
    <w:p w14:paraId="02978ECB" w14:textId="1B0C25BE" w:rsidR="0034468E" w:rsidRPr="00120AA9" w:rsidRDefault="00120AA9" w:rsidP="00120AA9">
      <w:pPr>
        <w:pStyle w:val="Titreobjet"/>
        <w:rPr>
          <w:noProof/>
        </w:rPr>
      </w:pPr>
      <w:r w:rsidRPr="00120AA9">
        <w:rPr>
          <w:noProof/>
        </w:rPr>
        <w:t>o Nacionalnom programu reformi Malte za 2023. i davanje mišljenja Vijeća o Programu stabilnosti Malte za 2023.</w:t>
      </w:r>
    </w:p>
    <w:p w14:paraId="0B4DC569" w14:textId="77777777" w:rsidR="00CA0B25" w:rsidRPr="00120AA9" w:rsidRDefault="00CA0B25" w:rsidP="00F11038">
      <w:pPr>
        <w:pStyle w:val="Institutionquiagit"/>
        <w:rPr>
          <w:noProof/>
        </w:rPr>
      </w:pPr>
      <w:r w:rsidRPr="00120AA9">
        <w:rPr>
          <w:noProof/>
        </w:rPr>
        <w:t>VIJEĆE EUROPSKE UNIJE,</w:t>
      </w:r>
    </w:p>
    <w:p w14:paraId="419B0172" w14:textId="77777777" w:rsidR="00373387" w:rsidRPr="00120AA9" w:rsidRDefault="00373387" w:rsidP="00F11038">
      <w:pPr>
        <w:rPr>
          <w:noProof/>
        </w:rPr>
      </w:pPr>
      <w:r w:rsidRPr="00120AA9">
        <w:rPr>
          <w:noProof/>
        </w:rPr>
        <w:t>uzimajući u obzir Ugovor o funkcioniranju Europske unije, a posebno njegov članak 121. stavak 2. i članak 148. stavak 4.,</w:t>
      </w:r>
    </w:p>
    <w:p w14:paraId="72935B00" w14:textId="77777777" w:rsidR="00373387" w:rsidRPr="00120AA9" w:rsidRDefault="416F7FB2" w:rsidP="00F11038">
      <w:pPr>
        <w:rPr>
          <w:noProof/>
        </w:rPr>
      </w:pPr>
      <w:r w:rsidRPr="00120AA9">
        <w:rPr>
          <w:noProof/>
        </w:rPr>
        <w:t>uzimajući u obzir Uredbu Vijeća (EZ) br. 1466/97 od 7. srpnja 1997. o jačanju nadzora stanja proračuna i nadzora i koordinacije ekonomskih politika</w:t>
      </w:r>
      <w:r w:rsidRPr="00120AA9">
        <w:rPr>
          <w:rStyle w:val="FootnoteReference"/>
          <w:noProof/>
        </w:rPr>
        <w:footnoteReference w:id="2"/>
      </w:r>
      <w:r w:rsidRPr="00120AA9">
        <w:rPr>
          <w:noProof/>
        </w:rPr>
        <w:t>, a posebno njezin članak 5. stavak 2.,</w:t>
      </w:r>
    </w:p>
    <w:p w14:paraId="1A1715CC" w14:textId="77777777" w:rsidR="00373387" w:rsidRPr="00120AA9" w:rsidDel="0054700A" w:rsidRDefault="416F7FB2" w:rsidP="00F11038">
      <w:pPr>
        <w:rPr>
          <w:noProof/>
        </w:rPr>
      </w:pPr>
      <w:r w:rsidRPr="00120AA9">
        <w:rPr>
          <w:noProof/>
        </w:rPr>
        <w:t>uzimajući u obzir preporuku Europske komisije,</w:t>
      </w:r>
    </w:p>
    <w:p w14:paraId="02AC0443" w14:textId="77777777" w:rsidR="00373387" w:rsidRPr="00120AA9" w:rsidRDefault="00373387" w:rsidP="00F11038">
      <w:pPr>
        <w:rPr>
          <w:noProof/>
        </w:rPr>
      </w:pPr>
      <w:r w:rsidRPr="00120AA9">
        <w:rPr>
          <w:noProof/>
        </w:rPr>
        <w:t>uzimajući u obzir rezolucije Europskog parlamenta,</w:t>
      </w:r>
    </w:p>
    <w:p w14:paraId="1C2C26F4" w14:textId="77777777" w:rsidR="00373387" w:rsidRPr="00120AA9" w:rsidRDefault="00373387" w:rsidP="00F11038">
      <w:pPr>
        <w:outlineLvl w:val="0"/>
        <w:rPr>
          <w:noProof/>
        </w:rPr>
      </w:pPr>
      <w:r w:rsidRPr="00120AA9">
        <w:rPr>
          <w:noProof/>
        </w:rPr>
        <w:t>uzimajući u obzir zaključke Europskog vijeća,</w:t>
      </w:r>
    </w:p>
    <w:p w14:paraId="64DF235A" w14:textId="77777777" w:rsidR="00373387" w:rsidRPr="00120AA9" w:rsidRDefault="00373387" w:rsidP="00F11038">
      <w:pPr>
        <w:rPr>
          <w:noProof/>
        </w:rPr>
      </w:pPr>
      <w:r w:rsidRPr="00120AA9">
        <w:rPr>
          <w:noProof/>
        </w:rPr>
        <w:t>uzimajući u obzir mišljenje Odbora za zapošljavanje,</w:t>
      </w:r>
    </w:p>
    <w:p w14:paraId="5F5C13D4" w14:textId="77777777" w:rsidR="00373387" w:rsidRPr="00120AA9" w:rsidRDefault="00373387" w:rsidP="00F11038">
      <w:pPr>
        <w:rPr>
          <w:noProof/>
        </w:rPr>
      </w:pPr>
      <w:r w:rsidRPr="00120AA9">
        <w:rPr>
          <w:noProof/>
        </w:rPr>
        <w:t>uzimajući u obzir mišljenje Gospodarskog i financijskog odbora,</w:t>
      </w:r>
    </w:p>
    <w:p w14:paraId="6A718793" w14:textId="77777777" w:rsidR="00373387" w:rsidRPr="00120AA9" w:rsidRDefault="00373387" w:rsidP="00F11038">
      <w:pPr>
        <w:rPr>
          <w:noProof/>
        </w:rPr>
      </w:pPr>
      <w:r w:rsidRPr="00120AA9">
        <w:rPr>
          <w:noProof/>
        </w:rPr>
        <w:t>uzimajući u obzir mišljenje Odbora za socijalnu zaštitu,</w:t>
      </w:r>
    </w:p>
    <w:p w14:paraId="206B1142" w14:textId="77777777" w:rsidR="00006579" w:rsidRPr="00120AA9" w:rsidRDefault="00373387" w:rsidP="00F11038">
      <w:pPr>
        <w:rPr>
          <w:noProof/>
        </w:rPr>
      </w:pPr>
      <w:r w:rsidRPr="00120AA9">
        <w:rPr>
          <w:noProof/>
        </w:rPr>
        <w:t>uzimajući u obzir mišljenje Odbora za ekonomsku politiku,</w:t>
      </w:r>
    </w:p>
    <w:p w14:paraId="4681D84F" w14:textId="77777777" w:rsidR="00793D7F" w:rsidRPr="00120AA9" w:rsidRDefault="00793D7F" w:rsidP="00F11038">
      <w:pPr>
        <w:rPr>
          <w:noProof/>
        </w:rPr>
      </w:pPr>
      <w:r w:rsidRPr="00120AA9">
        <w:rPr>
          <w:noProof/>
        </w:rPr>
        <w:t>budući da:</w:t>
      </w:r>
    </w:p>
    <w:p w14:paraId="7E54258A" w14:textId="5520066D" w:rsidR="00373387" w:rsidRPr="00120AA9" w:rsidRDefault="007A7049" w:rsidP="007A7049">
      <w:pPr>
        <w:pStyle w:val="ManualConsidrant"/>
        <w:rPr>
          <w:noProof/>
        </w:rPr>
      </w:pPr>
      <w:r w:rsidRPr="007A7049">
        <w:t>(1)</w:t>
      </w:r>
      <w:r w:rsidRPr="007A7049">
        <w:tab/>
      </w:r>
      <w:r w:rsidR="6AF9BB7D" w:rsidRPr="00120AA9">
        <w:rPr>
          <w:noProof/>
        </w:rPr>
        <w:t>Uredba (EU) 2021/241 Europskog parlamenta i Vijeća</w:t>
      </w:r>
      <w:r w:rsidR="6AF9BB7D" w:rsidRPr="00120AA9">
        <w:rPr>
          <w:rStyle w:val="FootnoteReference"/>
          <w:noProof/>
        </w:rPr>
        <w:footnoteReference w:id="3"/>
      </w:r>
      <w:r w:rsidR="6AF9BB7D" w:rsidRPr="00120AA9">
        <w:rPr>
          <w:noProof/>
        </w:rPr>
        <w:t xml:space="preserve"> kojom je uspostavljen Mehanizam za oporavak i otpornost stupila je na snagu 19. veljače 2021. Mehanizmom za oporavak i otpornost pruža se financijska potpora državama članicama za provedbu reformi i ulaganja i generira fiskalni impuls koji će se financirati sredstvima EU-a. U skladu s prioritetima europskog semestra on doprinosi gospodarskom i socijalnom oporavku te provedbi održivih reformi i ulaganja, posebno u cilju promicanja zelene i digitalne tranzicije i jačanja otpornosti gospodarstava država članica. Mehanizam pomaže i u jačanju javnih financija te poticanju rasta i otvaranju radnih mjesta u srednjoročnom i dugoročnom razdoblju, poboljšanju teritorijalne kohezije unutar EU-a i podupiranju kontinuirane provedbe europskog stupa socijalnih prava. Maksimalni financijski doprinos po državi članici u okviru Mehanizma za oporavak i otpornost ažuriran je 30. lipnja 2022., u skladu s člankom 11. stavkom 2. Uredbe (EU) 2021/241. </w:t>
      </w:r>
    </w:p>
    <w:p w14:paraId="7D310CF9" w14:textId="2A5D3752" w:rsidR="00373387" w:rsidRPr="00120AA9" w:rsidRDefault="007A7049" w:rsidP="007A7049">
      <w:pPr>
        <w:pStyle w:val="ManualConsidrant"/>
        <w:rPr>
          <w:noProof/>
        </w:rPr>
      </w:pPr>
      <w:r w:rsidRPr="007A7049">
        <w:t>(2)</w:t>
      </w:r>
      <w:r w:rsidRPr="007A7049">
        <w:tab/>
      </w:r>
      <w:r w:rsidR="751DAA27" w:rsidRPr="00120AA9">
        <w:rPr>
          <w:noProof/>
        </w:rPr>
        <w:t>Komisija je 22. studenoga 2022. donijela Godišnji pregled održivog rasta za 2023.</w:t>
      </w:r>
      <w:r w:rsidR="751DAA27" w:rsidRPr="00120AA9">
        <w:rPr>
          <w:rStyle w:val="FootnoteReference"/>
          <w:noProof/>
        </w:rPr>
        <w:footnoteReference w:id="4"/>
      </w:r>
      <w:r w:rsidR="751DAA27" w:rsidRPr="00120AA9">
        <w:rPr>
          <w:noProof/>
        </w:rPr>
        <w:t xml:space="preserve">, čime je označen početak europskog semestra 2023. za koordinaciju ekonomskih politika. Europsko vijeće potvrdilo je 23. ožujka 2023. prioritete tog pregleda na temelju četiri dimenzije konkurentne održivosti. Komisija je 22. studenoga 2022. na </w:t>
      </w:r>
      <w:r w:rsidR="751DAA27" w:rsidRPr="00120AA9">
        <w:rPr>
          <w:noProof/>
        </w:rPr>
        <w:lastRenderedPageBreak/>
        <w:t xml:space="preserve">temelju Uredbe (EU) br. 1176/2011 donijela i Izvješće o mehanizmu upozoravanja za 2023., u kojem nije utvrđeno da je Malta jedna od država članica koja je možda pogođena neravnotežama ili za koju postoji rizik da bude pogođena neravnotežama i za koju je potrebno detaljno preispitivanje. Komisija je istog dana donijela i mišljenje o nacrtu proračunskog plana Malte za 2023. Komisija je donijela i Preporuku za preporuku Vijeća o ekonomskoj politici europodručja, koju je Vijeće donijelo 16. svibnja 2023., kao i Prijedlog zajedničkog izvješća o zapošljavanju za 2023., u kojem se analizira provedba smjernica za zapošljavanje i načelâ europskog stupa socijalnih prava i koji je Vijeće donijelo 13. ožujka 2023. </w:t>
      </w:r>
    </w:p>
    <w:p w14:paraId="5DCBB7BF" w14:textId="2DA83DF2" w:rsidR="00373387" w:rsidRPr="00120AA9" w:rsidRDefault="007A7049" w:rsidP="007A7049">
      <w:pPr>
        <w:pStyle w:val="ManualConsidrant"/>
        <w:rPr>
          <w:noProof/>
        </w:rPr>
      </w:pPr>
      <w:r w:rsidRPr="007A7049">
        <w:t>(3)</w:t>
      </w:r>
      <w:r w:rsidRPr="007A7049">
        <w:tab/>
      </w:r>
      <w:r w:rsidR="7EDB4484" w:rsidRPr="00120AA9">
        <w:rPr>
          <w:noProof/>
        </w:rPr>
        <w:t>Iako gospodarstva EU-a pokazuju iznimnu otpornost, geopolitički kontekst i dalje ima negativan utjecaj. Čvrsto stojeći uz Ukrajinu, EU je svoj program gospodarske i socijalne politike usmjerio na smanjenje negativnih posljedica energetskih šokova na ranjiva kućanstva i poduzeća u kratkoročnom razdoblju te na nastavak rada na zelenoj i digitalnoj tranziciji, potpori održivom i uključivom rastu, očuvanju makroekonomske stabilnosti i povećanju otpornosti u srednjoročnom razdoblju. Program je snažno usmjeren i na povećanje konkurentnosti i produktivnosti EU-a.</w:t>
      </w:r>
    </w:p>
    <w:p w14:paraId="6B550E00" w14:textId="5DF8D24A" w:rsidR="00373387" w:rsidRPr="00120AA9" w:rsidRDefault="007A7049" w:rsidP="007A7049">
      <w:pPr>
        <w:pStyle w:val="ManualConsidrant"/>
        <w:rPr>
          <w:noProof/>
        </w:rPr>
      </w:pPr>
      <w:r w:rsidRPr="007A7049">
        <w:t>(4)</w:t>
      </w:r>
      <w:r w:rsidRPr="007A7049">
        <w:tab/>
      </w:r>
      <w:r w:rsidR="59B7512D" w:rsidRPr="00120AA9">
        <w:rPr>
          <w:noProof/>
        </w:rPr>
        <w:t>Komisija je 1. veljače 2023. objavila Komunikaciju „Industrijski plan u okviru zelenog plana za doba nulte neto stope emisija”</w:t>
      </w:r>
      <w:r w:rsidR="59B7512D" w:rsidRPr="00120AA9">
        <w:rPr>
          <w:rStyle w:val="FootnoteReference"/>
          <w:noProof/>
        </w:rPr>
        <w:footnoteReference w:id="5"/>
      </w:r>
      <w:r w:rsidR="59B7512D" w:rsidRPr="00120AA9">
        <w:rPr>
          <w:noProof/>
        </w:rPr>
        <w:t xml:space="preserve"> u cilju povećanja konkurentnosti industrije EU-a s nultom neto stopom emisija i omogućivanja brzog prelaska na klimatsku neutralnost. Taj plan dopunjuje sadašnje napore u okviru europskog zelenog plana i plana REPowerEU. Cilj je tog plana omogućiti poticajnije okruženje za povećanje EU-ovih proizvodnih kapaciteta za tehnologije i proizvode s nultom neto stopom emisija koji su potrebni za ostvarenje EU-ovih ambicioznih klimatskih ciljeva</w:t>
      </w:r>
      <w:r w:rsidR="59B7512D" w:rsidRPr="00120AA9">
        <w:rPr>
          <w:rStyle w:val="normaltextrun"/>
          <w:noProof/>
          <w:color w:val="000000"/>
        </w:rPr>
        <w:t xml:space="preserve"> te osigurati pristup relevantnim kritičnim sirovinama</w:t>
      </w:r>
      <w:r w:rsidR="59B7512D" w:rsidRPr="00120AA9">
        <w:rPr>
          <w:rStyle w:val="normaltextrun"/>
          <w:noProof/>
          <w:color w:val="000000"/>
          <w:shd w:val="clear" w:color="auto" w:fill="FFFFFF"/>
        </w:rPr>
        <w:t>,</w:t>
      </w:r>
      <w:r w:rsidR="59B7512D" w:rsidRPr="00120AA9">
        <w:rPr>
          <w:rStyle w:val="normaltextrun"/>
          <w:noProof/>
          <w:color w:val="000000"/>
        </w:rPr>
        <w:t xml:space="preserve"> među ostalim diversifikacijom nabave, primjerenim iskorištavanjem geoloških resursa u državama članicama i povećanjem recikliranja sirovina.</w:t>
      </w:r>
      <w:r w:rsidR="59B7512D" w:rsidRPr="00120AA9">
        <w:rPr>
          <w:noProof/>
        </w:rPr>
        <w:t xml:space="preserve"> Plan se temelji se na četiri stupa: predvidljivom i pojednostavnjenom regulatornom okruženju, bržem pristupu financijskim sredstvima, unapređenju vještina i otvorenoj trgovini za otporne lance opskrbe. Osim toga, u cilju oblikovanja regulatornog okvira za poticanje rasta, Komisija je 16. ožujka 2023. objavila Komunikaciju „Dugoročna konkurentnost EU-a:</w:t>
      </w:r>
      <w:r w:rsidR="59B7512D" w:rsidRPr="00120AA9">
        <w:rPr>
          <w:i/>
          <w:noProof/>
        </w:rPr>
        <w:t xml:space="preserve"> </w:t>
      </w:r>
      <w:r w:rsidR="59B7512D" w:rsidRPr="00120AA9">
        <w:rPr>
          <w:noProof/>
        </w:rPr>
        <w:t>perspektiva nakon 2030.”,</w:t>
      </w:r>
      <w:r w:rsidR="59B7512D" w:rsidRPr="00120AA9">
        <w:rPr>
          <w:rStyle w:val="FootnoteReference"/>
          <w:noProof/>
        </w:rPr>
        <w:footnoteReference w:id="6"/>
      </w:r>
      <w:r w:rsidR="59B7512D" w:rsidRPr="00120AA9">
        <w:rPr>
          <w:noProof/>
        </w:rPr>
        <w:t xml:space="preserve"> koja se temelji na devet međusobno dopunjujućih pokretača konkurentnosti. U njoj se utvrđuju prioriteti politike koji se odnose na aktivno uvođenje strukturnih poboljšanja, dobro usmjerena ulaganja i regulatorne mjere za dugoročnu konkurentnost EU-a i njegovih država članica. Preporuke u nastavku pridonose ostvarenju tih prioriteta.</w:t>
      </w:r>
    </w:p>
    <w:p w14:paraId="3906FA41" w14:textId="484A1AF4" w:rsidR="00373387" w:rsidRPr="00120AA9" w:rsidRDefault="007A7049" w:rsidP="007A7049">
      <w:pPr>
        <w:pStyle w:val="ManualConsidrant"/>
        <w:rPr>
          <w:noProof/>
        </w:rPr>
      </w:pPr>
      <w:r w:rsidRPr="007A7049">
        <w:t>(5)</w:t>
      </w:r>
      <w:r w:rsidRPr="007A7049">
        <w:tab/>
      </w:r>
      <w:r w:rsidR="493AB4EC" w:rsidRPr="00120AA9">
        <w:rPr>
          <w:noProof/>
        </w:rPr>
        <w:t xml:space="preserve">Europski semestar za koordinaciju ekonomskih politika nastavlja se u 2023. razvijati u skladu s provedbom Mehanizma za oporavak i otpornost. Potpuna provedba planova za oporavak i otpornost i dalje je ključna za ostvarenje prioriteta politika u okviru europskog semestra jer se planovi odnose na sve relevantne preporuke ili na znatan dio relevantnih preporuka za pojedinu zemlju izdanih posljednjih godina. Preporuke za pojedinu zemlju iz 2019., 2020. i 2022. i dalje su jednako relevantne i za planove za oporavak i otpornost koji su revidirani, ažurirani ili izmijenjeni u skladu s člancima 14., 18. i 21. Uredbe (EU) 2021/241. </w:t>
      </w:r>
    </w:p>
    <w:p w14:paraId="5BBB6AF3" w14:textId="75BBFF9D" w:rsidR="00373387" w:rsidRPr="00120AA9" w:rsidRDefault="007A7049" w:rsidP="007A7049">
      <w:pPr>
        <w:pStyle w:val="ManualConsidrant"/>
        <w:rPr>
          <w:noProof/>
        </w:rPr>
      </w:pPr>
      <w:r w:rsidRPr="007A7049">
        <w:lastRenderedPageBreak/>
        <w:t>(6)</w:t>
      </w:r>
      <w:r w:rsidRPr="007A7049">
        <w:tab/>
      </w:r>
      <w:r w:rsidR="08D90265" w:rsidRPr="00120AA9">
        <w:rPr>
          <w:noProof/>
        </w:rPr>
        <w:t>Uredba o planu REPowerEU</w:t>
      </w:r>
      <w:r w:rsidR="08D90265" w:rsidRPr="00120AA9">
        <w:rPr>
          <w:rStyle w:val="FootnoteReference"/>
          <w:noProof/>
        </w:rPr>
        <w:footnoteReference w:id="7"/>
      </w:r>
      <w:r w:rsidR="08D90265" w:rsidRPr="00120AA9">
        <w:rPr>
          <w:noProof/>
        </w:rPr>
        <w:t xml:space="preserve"> donesena je 27. veljače 2023. s ciljem da se postupno ukine ovisnost EU-a o uvozu fosilnih goriva iz Rusije. To će doprinijeti energetskoj sigurnosti i diversifikaciji opskrbe energijom u EU-u, dok će se istodobno povećavati uvođenje energije iz obnovljivih izvora, kapaciteti za skladištenje energije i energetska učinkovitost. Uredbom se državama članicama omogućuje da u svoje nacionalne planove za oporavak i otpornost dodaju novo poglavlje o planu REPowerEU kako bi financirale ključne reforme i ulaganja kojima će se doprinijeti ostvarenju ciljeva plana REPowerEU. Tim reformama i ulaganjima doprinijet će se i povećanju konkurentnosti industrije EU-a s nultom neto stopom emisija, kako je navedeno u Industrijskom planu u okviru zelenog plana za doba nulte neto stope emisija i provedbi preporuka za pojedinu zemlju koje se odnose na energetiku i upućene su državama članicama 2022. odnosno 2023., ovisno o slučaju. Uredbom o planu REPowerEU uvodi se nova kategorija bespovratne financijske potpore koja se državama članicama stavlja na raspolaganje za financiranje novih reformi i ulaganja u energetici u okviru njihovih planova za oporavak i otpornost. </w:t>
      </w:r>
    </w:p>
    <w:p w14:paraId="4002D63A" w14:textId="299289C4" w:rsidR="00373387" w:rsidRPr="00120AA9" w:rsidRDefault="007A7049" w:rsidP="007A7049">
      <w:pPr>
        <w:pStyle w:val="ManualConsidrant"/>
        <w:rPr>
          <w:noProof/>
        </w:rPr>
      </w:pPr>
      <w:r w:rsidRPr="007A7049">
        <w:t>(7)</w:t>
      </w:r>
      <w:r w:rsidRPr="007A7049">
        <w:tab/>
      </w:r>
      <w:r w:rsidR="2694F8FE" w:rsidRPr="00120AA9">
        <w:rPr>
          <w:noProof/>
        </w:rPr>
        <w:t>Komisija je 8. ožujka 2023. donijela Komunikaciju o smjernicama za fiskalnu politiku u 2024., kako bi državama članicama olakšala pripremu programa stabilnosti i konvergencije i tako poboljšala koordinaciju politika</w:t>
      </w:r>
      <w:r w:rsidR="2694F8FE" w:rsidRPr="00120AA9">
        <w:rPr>
          <w:rStyle w:val="FootnoteReference"/>
          <w:noProof/>
        </w:rPr>
        <w:footnoteReference w:id="8"/>
      </w:r>
      <w:r w:rsidR="2694F8FE" w:rsidRPr="00120AA9">
        <w:rPr>
          <w:noProof/>
        </w:rPr>
        <w:t>. Komisija je podsjetila na to da će se opća klauzula o odstupanju iz Pakta o stabilnosti i rastu deaktivirati krajem 2023. U razdoblju 2023.–2024. pozvala je na provedbu fiskalnih politika kojima se osigurava srednjoročna održivost duga i održivo povećava potencijalni rast. Države članice pozvane su da u svojim programima stabilnosti i konvergencije za 2023. navedu kako će svojim fiskalnim planovima osigurati usklađenost s referentnom vrijednosti deficita od 3 % BDP-a te uvjerljivo i kontinuirano smanjenje duga ili zadržavanje duga na razboritim razinama u srednjoročnom razdoblju. Komisija je države članice pozvala da postupno ukinu nacionalne fiskalne mjere uvedene za zaštitu kućanstava i poduzeća od naglog porasta cijena energije, počevši od najmanje ciljanih mjera. Navela je da bi, bude li mjere potpore trebalo produljiti zbog novih pritisaka na cijene energije, države članice takve mjere trebale znatno bolje nego prije usmjeriti na ranjiva kućanstva i poduzeća. Komisija je predložila da fiskalne preporuke budu kvantificirane i diferencirane te izrađene na temelju neto primarnih rashoda, kako je predloženo u Komunikaciji Komisije o smjernicama za reformu okvira gospodarskog upravljanja EU-a</w:t>
      </w:r>
      <w:r w:rsidR="2694F8FE" w:rsidRPr="00120AA9">
        <w:rPr>
          <w:rStyle w:val="FootnoteReference"/>
          <w:noProof/>
        </w:rPr>
        <w:footnoteReference w:id="9"/>
      </w:r>
      <w:r w:rsidR="2694F8FE" w:rsidRPr="00120AA9">
        <w:rPr>
          <w:noProof/>
        </w:rPr>
        <w:t>. Preporučila je da sve države članice nastave štititi ulaganja koja financira država i osiguraju djelotvorno korištenje sredstava iz Mehanizma za oporavak i otpornost i drugih fondova EU-a, posebno za potrebe ciljeva zelene i digitalne tranzicije i otpornosti. Komisija je navela da će Vijeću predložiti pokretanje postupaka u slučaju prekomjernog deficita u proljeće 2024. na temelju podataka o realizaciji za 2023., u skladu s postojećim pravnim odredbama.</w:t>
      </w:r>
    </w:p>
    <w:p w14:paraId="47E142C4" w14:textId="206A502D" w:rsidR="00373387" w:rsidRPr="00120AA9" w:rsidRDefault="007A7049" w:rsidP="007A7049">
      <w:pPr>
        <w:pStyle w:val="ManualConsidrant"/>
        <w:rPr>
          <w:noProof/>
        </w:rPr>
      </w:pPr>
      <w:r w:rsidRPr="007A7049">
        <w:t>(8)</w:t>
      </w:r>
      <w:r w:rsidRPr="007A7049">
        <w:tab/>
      </w:r>
      <w:r w:rsidR="00753635" w:rsidRPr="00120AA9">
        <w:rPr>
          <w:noProof/>
        </w:rPr>
        <w:t xml:space="preserve">Komisija je 26. travnja 2023. predstavila zakonodavne prijedloge za provedbu opsežne reforme EU-ovih pravila gospodarskog upravljanja. Glavni je cilj tih prijedloga ojačati održivost javnog duga i reformama i ulaganjima promicati održiv i uključiv rast u svim državama članicama. Prijedlozima se državama članicama želi dati veća kontrola nad izradom njihovih srednjoročnih planova i uvesti stroži sustav provedbe kako bi se </w:t>
      </w:r>
      <w:r w:rsidR="00753635" w:rsidRPr="00120AA9">
        <w:rPr>
          <w:noProof/>
        </w:rPr>
        <w:lastRenderedPageBreak/>
        <w:t>osiguralo da države članice ispune obveze koje su preuzele u svojim srednjoročnim fiskalno-strukturnim planovima. Cilj je da se zakonodavni rad dovrši u 2023.</w:t>
      </w:r>
    </w:p>
    <w:p w14:paraId="27CB2EEC" w14:textId="6987F90D" w:rsidR="00373387" w:rsidRPr="00120AA9" w:rsidRDefault="007A7049" w:rsidP="007A7049">
      <w:pPr>
        <w:pStyle w:val="ManualConsidrant"/>
        <w:rPr>
          <w:noProof/>
        </w:rPr>
      </w:pPr>
      <w:r w:rsidRPr="007A7049">
        <w:t>(9)</w:t>
      </w:r>
      <w:r w:rsidRPr="007A7049">
        <w:tab/>
      </w:r>
      <w:r w:rsidR="2BA26F4B" w:rsidRPr="00120AA9">
        <w:rPr>
          <w:noProof/>
        </w:rPr>
        <w:t>Malta je 13. srpnja 2021. Komisiji dostavila svoj nacionalni plan za oporavak i otpornost u skladu s člankom 18. stavkom 1. Uredbe (EU) 2021/241. Na temelju članka 19. Uredbe (EU) 2021/241 Komisija je ocijenila relevantnost, djelotvornost, učinkovitost i koherentnost plana za oporavak i otpornost, u skladu sa smjernicama za ocjenjivanje iz Priloga V. toj uredbi. Vijeće je 5. listopada 2021. donijelo Odluku o odobrenju ocjene plana za oporavak i otpornost Malte</w:t>
      </w:r>
      <w:r w:rsidR="2BA26F4B" w:rsidRPr="00120AA9">
        <w:rPr>
          <w:rStyle w:val="FootnoteReference"/>
          <w:noProof/>
        </w:rPr>
        <w:footnoteReference w:id="10"/>
      </w:r>
      <w:r w:rsidR="2BA26F4B" w:rsidRPr="00120AA9">
        <w:rPr>
          <w:noProof/>
        </w:rPr>
        <w:t>. Isplata obroka ovisi o odluci Komisije, donesenoj u skladu s člankom 24. stavkom 5. Uredbe (EU) 2021/241, da je Malta u zadovoljavajućoj mjeri ostvarila relevantne ključne etape i ciljne vrijednosti utvrđene u Provedbenoj odluci Vijeća. Ostvarenje u zadovoljavajućoj mjeri podrazumijeva da mjere povezane s ostvarenim ključnim etapama i ciljnim vrijednostima nisu ukinute.</w:t>
      </w:r>
    </w:p>
    <w:p w14:paraId="38D3E5C8" w14:textId="180A9878" w:rsidR="00373387" w:rsidRPr="00120AA9" w:rsidRDefault="007A7049" w:rsidP="007A7049">
      <w:pPr>
        <w:pStyle w:val="ManualConsidrant"/>
        <w:rPr>
          <w:noProof/>
        </w:rPr>
      </w:pPr>
      <w:r w:rsidRPr="007A7049">
        <w:t>(10)</w:t>
      </w:r>
      <w:r w:rsidRPr="007A7049">
        <w:tab/>
      </w:r>
      <w:r w:rsidR="00A56EB7" w:rsidRPr="00120AA9">
        <w:rPr>
          <w:noProof/>
        </w:rPr>
        <w:t xml:space="preserve">Malta je 25. travnja 2023. dostavila Nacionalni program reformi za 2023., a 3. svibnja 2023. Program stabilnosti za 2023., u skladu s člankom 4. stavkom 1. Uredbe (EZ) br. 1466/97. Zbog njihove uzajamne povezanosti ta su dva programa ocijenjena zajedno. U skladu s člankom 27. </w:t>
      </w:r>
      <w:r w:rsidR="00A56EB7" w:rsidRPr="00120AA9">
        <w:rPr>
          <w:noProof/>
          <w:color w:val="000000" w:themeColor="text1"/>
        </w:rPr>
        <w:t>Uredbe (EU) 2021/241</w:t>
      </w:r>
      <w:r w:rsidR="00A56EB7" w:rsidRPr="00120AA9">
        <w:rPr>
          <w:noProof/>
        </w:rPr>
        <w:t xml:space="preserve">, u Nacionalnom programu reformi za 2023. uzima se u obzir i polugodišnje izvješće Malte o ostvarenom napretku u provedbi plana za oporavak i otpornost. </w:t>
      </w:r>
    </w:p>
    <w:p w14:paraId="3422FF86" w14:textId="073504EC" w:rsidR="00B21854" w:rsidRPr="00120AA9" w:rsidRDefault="007A7049" w:rsidP="007A7049">
      <w:pPr>
        <w:pStyle w:val="ManualConsidrant"/>
        <w:rPr>
          <w:noProof/>
        </w:rPr>
      </w:pPr>
      <w:r w:rsidRPr="007A7049">
        <w:t>(11)</w:t>
      </w:r>
      <w:r w:rsidRPr="007A7049">
        <w:tab/>
      </w:r>
      <w:r w:rsidR="751DAA27" w:rsidRPr="00120AA9">
        <w:rPr>
          <w:noProof/>
        </w:rPr>
        <w:t>Komisija je 24. svibnja 2023. objavila Izvješće za Maltu za 2023.</w:t>
      </w:r>
      <w:r w:rsidR="751DAA27" w:rsidRPr="00120AA9">
        <w:rPr>
          <w:rStyle w:val="FootnoteReference"/>
          <w:noProof/>
        </w:rPr>
        <w:footnoteReference w:id="11"/>
      </w:r>
      <w:r w:rsidR="751DAA27" w:rsidRPr="00120AA9">
        <w:rPr>
          <w:noProof/>
        </w:rPr>
        <w:t xml:space="preserve"> U njemu je ocijenjen napredak Malte u smislu relevantnih preporuka za tu zemlju koje je Vijeće donijelo u razdoblju od 2019. do 2022. i analizirana je provedba plana za oporavak i otpornost Malte. Na temelju te analize, u tom izvješću utvrđeni su nedostaci u odnosu na izazove koji nisu obuhvaćeni ili su samo djelomično obuhvaćeni planom za oporavak i otpornost, kao i novi i predstojeći izazovi. Ocijenjen je i napredak Malte u provedbi europskog stupa socijalnih prava i ostvarenju glavnih ciljeva EU-a u pogledu zapošljavanja, stjecanja vještina i smanjenja siromaštva, kao i napredak u ostvarenju UN-ovih ciljeva održivog razvoja. </w:t>
      </w:r>
    </w:p>
    <w:p w14:paraId="3DB197AA" w14:textId="4E2BF3CE" w:rsidR="00B21854" w:rsidRPr="00120AA9" w:rsidRDefault="007A7049" w:rsidP="007A7049">
      <w:pPr>
        <w:pStyle w:val="ManualConsidrant"/>
        <w:rPr>
          <w:noProof/>
        </w:rPr>
      </w:pPr>
      <w:r w:rsidRPr="007A7049">
        <w:t>(12)</w:t>
      </w:r>
      <w:r w:rsidRPr="007A7049">
        <w:tab/>
      </w:r>
      <w:r w:rsidR="00B21854" w:rsidRPr="00120AA9">
        <w:rPr>
          <w:noProof/>
        </w:rPr>
        <w:t>Prema podacima koje je potvrdio Eurostat</w:t>
      </w:r>
      <w:r w:rsidR="00B21854" w:rsidRPr="00120AA9">
        <w:rPr>
          <w:rStyle w:val="FootnoteReference"/>
          <w:noProof/>
        </w:rPr>
        <w:footnoteReference w:id="12"/>
      </w:r>
      <w:r w:rsidR="00B21854" w:rsidRPr="00120AA9">
        <w:rPr>
          <w:noProof/>
        </w:rPr>
        <w:t>, deficit opće države u Malti se sa 7,8 % BDP-a u 2021. smanjio na 5,8 % BDP-a u 2022., dok je dug opće države pao s 55,1 % BDP-a krajem 2021. na 53,4 % BDP-a krajem 2022. Komisija je 24. svibnja 2023. objavila izvješće na temelju članka 126. stavka 3. UFEU-a</w:t>
      </w:r>
      <w:r w:rsidR="00B21854" w:rsidRPr="00120AA9">
        <w:rPr>
          <w:rStyle w:val="FootnoteReference"/>
          <w:noProof/>
        </w:rPr>
        <w:footnoteReference w:id="13"/>
      </w:r>
      <w:r w:rsidR="00B21854" w:rsidRPr="00120AA9">
        <w:rPr>
          <w:noProof/>
        </w:rPr>
        <w:t>. U tom se izvješću razmatra proračunsko stanje Malte jer je njezin deficit opće države 2022. premašio referentnu vrijednost od 3 % BDP-a utvrđenu Ugovorom. U izvješću je zaključeno da kriterij deficita nije ispunjen. U skladu s Komunikacijom od 8. ožujka 2023.</w:t>
      </w:r>
      <w:r w:rsidR="00B21854" w:rsidRPr="00120AA9">
        <w:rPr>
          <w:rStyle w:val="FootnoteReference"/>
          <w:noProof/>
        </w:rPr>
        <w:footnoteReference w:id="14"/>
      </w:r>
      <w:r w:rsidR="00B21854" w:rsidRPr="00120AA9">
        <w:rPr>
          <w:noProof/>
        </w:rPr>
        <w:t xml:space="preserve"> Komisija nije predložila pokretanje novih postupaka u slučaju prekomjernog deficita u proljeće 2023. te je navela da će Vijeću predložiti pokretanje postupaka u slučaju prekomjernog deficita u proljeće 2024. na temelju podataka o realizaciji za 2023. Malta bi to trebala uzeti u obzir pri izvršenju svojeg proračuna za 2023. i pripremi nacrta proračunskog plana za 2024.</w:t>
      </w:r>
    </w:p>
    <w:p w14:paraId="61142262" w14:textId="43988B7C" w:rsidR="00B21854" w:rsidRPr="00120AA9" w:rsidRDefault="007A7049" w:rsidP="007A7049">
      <w:pPr>
        <w:pStyle w:val="ManualConsidrant"/>
        <w:rPr>
          <w:noProof/>
        </w:rPr>
      </w:pPr>
      <w:r w:rsidRPr="007A7049">
        <w:lastRenderedPageBreak/>
        <w:t>(13)</w:t>
      </w:r>
      <w:r w:rsidRPr="007A7049">
        <w:tab/>
      </w:r>
      <w:r w:rsidR="00B21854" w:rsidRPr="00120AA9">
        <w:rPr>
          <w:noProof/>
        </w:rPr>
        <w:t>Na saldo opće države utjecale su mjere fiskalne politike donesene radi ublažavanja gospodarskih i socijalnih posljedica povećanja cijena energije. U 2022. su te mjere koje su utjecale na smanjenje prihoda uključivale smanjenja neizravnih poreza na potrošnju energije, dok su mjere koje su utjecale na povećanje rashoda uključivale subvencije za proizvodnju energije kako bi se nadoknadili povećanje cijena uvezene električne energije i emisije ugljika.   Komisija procjenjuje da je u 2022. neto proračunski trošak tih mjera iznosio 2,5 % BDP-a. Na saldo opće države utjecao je i proračunski trošak pružanja privremene zaštite raseljenim osobama iz Ukrajine, procijenjen na 0,1 % BDP-a u 2022. Istodobno je procijenjeni trošak privremenih mjera hitne potpore zbog pandemije bolesti COVID-19 pao s 3,2 % BDP-a u 2021. na 0,8 % BDP-a u 2022.</w:t>
      </w:r>
    </w:p>
    <w:p w14:paraId="5C77EA55" w14:textId="59DE6369" w:rsidR="00B21854" w:rsidRPr="00120AA9" w:rsidRDefault="007A7049" w:rsidP="007A7049">
      <w:pPr>
        <w:pStyle w:val="ManualConsidrant"/>
        <w:rPr>
          <w:noProof/>
        </w:rPr>
      </w:pPr>
      <w:r w:rsidRPr="007A7049">
        <w:t>(14)</w:t>
      </w:r>
      <w:r w:rsidRPr="007A7049">
        <w:tab/>
      </w:r>
      <w:r w:rsidR="00B21854" w:rsidRPr="00120AA9">
        <w:rPr>
          <w:noProof/>
        </w:rPr>
        <w:t>Vijeće je 18. lipnja 2021. preporučilo Malti</w:t>
      </w:r>
      <w:r w:rsidR="00B21854" w:rsidRPr="00120AA9">
        <w:rPr>
          <w:rStyle w:val="FootnoteReference"/>
          <w:noProof/>
        </w:rPr>
        <w:footnoteReference w:id="15"/>
      </w:r>
      <w:r w:rsidR="00B21854" w:rsidRPr="00120AA9">
        <w:rPr>
          <w:noProof/>
        </w:rPr>
        <w:t xml:space="preserve"> da u 2022. zadrži poticajan smjer fiskalne politike, uključujući poticaj iz Mehanizma za oporavak i otpornost, te očuva ulaganja koja financira država. </w:t>
      </w:r>
    </w:p>
    <w:p w14:paraId="7F65ABD2" w14:textId="7B3275CE" w:rsidR="00B21854" w:rsidRPr="00120AA9" w:rsidRDefault="007A7049" w:rsidP="007A7049">
      <w:pPr>
        <w:pStyle w:val="ManualConsidrant"/>
        <w:rPr>
          <w:noProof/>
        </w:rPr>
      </w:pPr>
      <w:r w:rsidRPr="007A7049">
        <w:t>(15)</w:t>
      </w:r>
      <w:r w:rsidRPr="007A7049">
        <w:tab/>
      </w:r>
      <w:r w:rsidR="00B21854" w:rsidRPr="00120AA9">
        <w:rPr>
          <w:noProof/>
        </w:rPr>
        <w:t>Prema Komisijinim procjenama smjer fiskalne politike</w:t>
      </w:r>
      <w:r w:rsidR="00B21854" w:rsidRPr="00120AA9">
        <w:rPr>
          <w:rStyle w:val="FootnoteReference"/>
          <w:noProof/>
          <w:szCs w:val="24"/>
          <w:lang w:eastAsia="ja-JP"/>
        </w:rPr>
        <w:footnoteReference w:id="16"/>
      </w:r>
      <w:r w:rsidR="00B21854" w:rsidRPr="00120AA9">
        <w:rPr>
          <w:noProof/>
        </w:rPr>
        <w:t xml:space="preserve"> bio je u 2022. uglavnom neutralan, na –0,2 % BDP-a, što je u skladu s Preporukom Vijeća. Malta je u skladu s Preporukom Vijeća nastavila pružati potporu oporavku ulaganjima koja su financirana sredstvima iz Mehanizma za oporavak i otpornost. Rashodi financirani bespovratnim sredstvima iz Mehanizma za oporavak i otpornost i sredstvima drugih fondova EU-a iznosili su 0,9 % BDP-a u 2022. (1,1 % BDP-a u 2021.). Smanjenje rashoda financiranih bespovratnim sredstvima iz Mehanizma za oporavak i otpornost i drugih fondova EU-a u 2022. posljedica je slabije apsorpcije sredstava iz drugih fondova EU-a. Ulaganja koja financira država imala su kontrakcijski učinak od 0,2 postotna boda na smjer fiskalne politike</w:t>
      </w:r>
      <w:r w:rsidR="00B21854" w:rsidRPr="00120AA9">
        <w:rPr>
          <w:rStyle w:val="FootnoteReference"/>
          <w:noProof/>
        </w:rPr>
        <w:footnoteReference w:id="17"/>
      </w:r>
      <w:r w:rsidR="00B21854" w:rsidRPr="00120AA9">
        <w:rPr>
          <w:noProof/>
        </w:rPr>
        <w:t>. Malta stoga nije očuvala ulaganja koja financira država, što nije u skladu s Preporukom Vijeća. Ujedno je rast primarnih tekućih rashoda koje financira država (bez novih mjera na strani prihoda) imao ekspanzivan učinak od 0,9 postotnih bodova na smjer fiskalne politike. Međutim, taj znatan ekspanzivni učinak uključivao je dodatni učinak mjera fiskalne politike za ublažavanje gospodarskih i socijalnih posljedica povećanja cijena energije (dodatni neto proračunski trošak od 1,9 % BDP-a) i troškova pružanja privremene zaštite raseljenim osobama iz Ukrajine (0,1 % BDP-a). Malta je stoga u dovoljnoj mjeri zadržala pod kontrolom rast tekućih rashoda koje financira država.</w:t>
      </w:r>
    </w:p>
    <w:p w14:paraId="7A7D9B89" w14:textId="1FD64C1B" w:rsidR="00B21854" w:rsidRPr="00120AA9" w:rsidRDefault="007A7049" w:rsidP="007A7049">
      <w:pPr>
        <w:pStyle w:val="ManualConsidrant"/>
        <w:rPr>
          <w:noProof/>
        </w:rPr>
      </w:pPr>
      <w:r w:rsidRPr="007A7049">
        <w:t>(16)</w:t>
      </w:r>
      <w:r w:rsidRPr="007A7049">
        <w:tab/>
      </w:r>
      <w:r w:rsidR="00B21854" w:rsidRPr="00120AA9">
        <w:rPr>
          <w:noProof/>
        </w:rPr>
        <w:t>Makroekonomski scenarij na kojem se temelje proračunske projekcije u Programu stabilnosti realan je za 2023. i nakon nje. Vlada predviđa da će se realni BDP povećati za 4,1 % u 2023. i za 4,5 % u 2024. Za usporedbu, u Komisijinoj proljetnoj prognozi 2023. predviđa se manji rast realnog BDP-a od 3,9 % u 2023. i 4,1 % u 2024., uglavnom zbog manjeg doprinosa neto izvoza rastu.</w:t>
      </w:r>
    </w:p>
    <w:p w14:paraId="3FC4C789" w14:textId="3B2BF156" w:rsidR="00B21854" w:rsidRPr="00120AA9" w:rsidRDefault="007A7049" w:rsidP="007A7049">
      <w:pPr>
        <w:pStyle w:val="ManualConsidrant"/>
        <w:rPr>
          <w:noProof/>
        </w:rPr>
      </w:pPr>
      <w:r w:rsidRPr="007A7049">
        <w:t>(17)</w:t>
      </w:r>
      <w:r w:rsidRPr="007A7049">
        <w:tab/>
      </w:r>
      <w:r w:rsidR="00B21854" w:rsidRPr="00120AA9">
        <w:rPr>
          <w:noProof/>
        </w:rPr>
        <w:t xml:space="preserve">Vlada u Programu stabilnosti za 2023. očekuje da će se udio deficita opće države u 2023. smanjiti na 5,0 % BDP-a. Smanjenje u 2023. uglavnom je rezultat povećanja ostalih prihoda, uključujući prihode od programa za dodjelu državljanstva i prava </w:t>
      </w:r>
      <w:r w:rsidR="00B21854" w:rsidRPr="00120AA9">
        <w:rPr>
          <w:noProof/>
        </w:rPr>
        <w:lastRenderedPageBreak/>
        <w:t>boravka ulagačima, dok se smanjenje subvencija, uključujući očekivano ukidanje troškova restrukturiranja nacionalnog zračnog prijevoznika, djelomično neutralizira povećanjem intermedijarne potrošnje i bruto investicija u fiksni kapital. Prema Programu stabilnosti očekuje se da će se udio duga opće države u BDP-u povećati s 53,4 % BDP-a krajem 2022. na 54,5 % BDP-a krajem 2023. U Komisijinoj proljetnoj prognozi 2023. predviđa se državni deficit od 5,1 % BDP-a za 2023. To je u skladu s deficitom predviđenim u Programu stabilnosti. U Komisijinoj proljetnoj prognozi 2023. predviđa se sličan udio duga opće države u BDP-u od 54,8 % krajem 2023.</w:t>
      </w:r>
    </w:p>
    <w:p w14:paraId="7B27BAD7" w14:textId="16F11E81" w:rsidR="00B21854" w:rsidRPr="00120AA9" w:rsidRDefault="007A7049" w:rsidP="007A7049">
      <w:pPr>
        <w:pStyle w:val="ManualConsidrant"/>
        <w:rPr>
          <w:noProof/>
        </w:rPr>
      </w:pPr>
      <w:r w:rsidRPr="007A7049">
        <w:t>(18)</w:t>
      </w:r>
      <w:r w:rsidRPr="007A7049">
        <w:tab/>
      </w:r>
      <w:r w:rsidR="00B21854" w:rsidRPr="00120AA9">
        <w:rPr>
          <w:noProof/>
        </w:rPr>
        <w:t>Očekuje se da će na saldo države u 2023. i dalje utjecati fiskalne mjere donesene radi ublažavanja gospodarskih i socijalnih posljedica povećanja cijena energije. One se sastoje od produljenih mjera iz 2022., posebno smanjenja neizravnih poreza na potrošnju energije i subvencija za proizvodnju energije kako bi se nadoknadili povećanje cijena uvezene električne energije i emisije ugljika. U Komisijinoj proljetnoj prognozi 2023. predviđa se da će u 2023. neto proračunski trošak tih mjera potpore iznositi 1,7 % BDP-a</w:t>
      </w:r>
      <w:r w:rsidR="00B21854" w:rsidRPr="00120AA9">
        <w:rPr>
          <w:rStyle w:val="FootnoteReference"/>
          <w:noProof/>
          <w:szCs w:val="24"/>
          <w:lang w:eastAsia="ja-JP"/>
        </w:rPr>
        <w:footnoteReference w:id="18"/>
      </w:r>
      <w:r w:rsidR="00B21854" w:rsidRPr="00120AA9">
        <w:rPr>
          <w:noProof/>
        </w:rPr>
        <w:t>. Čini se da mjere u 2023. nisu usmjerene na najranjivija kućanstva i poduzeća i da ne šalju jasan cjenovni signal s ciljem smanjenja potražnje za energijom i povećanja energetske učinkovitosti. Stoga se u Komisijinoj proljetnoj prognozi 2023. predviđa da će iznos ciljanih mjera potpore koji treba uzeti u obzir pri ocjeni usklađenosti s preporukom za 2023. iznositi 0,1 % BDP-a u 2023. (u usporedbi s 0,1 % BDP-a u 2022.). Naposljetku, očekuje se da će saldu države 2023. pogodovati postupno ukidanje privremenih hitnih mjera zbog bolesti COVID-19 u iznosu od 0,8 % BDP-a.</w:t>
      </w:r>
    </w:p>
    <w:p w14:paraId="3E37D5C6" w14:textId="7559F3F6" w:rsidR="00B21854" w:rsidRPr="00120AA9" w:rsidRDefault="007A7049" w:rsidP="007A7049">
      <w:pPr>
        <w:pStyle w:val="ManualConsidrant"/>
        <w:rPr>
          <w:noProof/>
        </w:rPr>
      </w:pPr>
      <w:r w:rsidRPr="007A7049">
        <w:t>(19)</w:t>
      </w:r>
      <w:r w:rsidRPr="007A7049">
        <w:tab/>
      </w:r>
      <w:r w:rsidR="00B21854" w:rsidRPr="00120AA9">
        <w:rPr>
          <w:noProof/>
        </w:rPr>
        <w:t>Vijeće je 12. srpnja 2022. preporučilo</w:t>
      </w:r>
      <w:r w:rsidR="00B21854" w:rsidRPr="00120AA9">
        <w:rPr>
          <w:rStyle w:val="FootnoteReference"/>
          <w:noProof/>
          <w:szCs w:val="24"/>
        </w:rPr>
        <w:footnoteReference w:id="19"/>
      </w:r>
      <w:r w:rsidR="00B21854" w:rsidRPr="00120AA9">
        <w:rPr>
          <w:noProof/>
        </w:rPr>
        <w:t xml:space="preserve"> da Malta poduzme mjere čiji je cilj osigurati da rast primarnih tekućih rashoda koje financira država u 2023. bude u skladu s općim neutralnim smjerom politike</w:t>
      </w:r>
      <w:r w:rsidR="00B21854" w:rsidRPr="00120AA9">
        <w:rPr>
          <w:rStyle w:val="FootnoteReference"/>
          <w:noProof/>
          <w:szCs w:val="24"/>
        </w:rPr>
        <w:footnoteReference w:id="20"/>
      </w:r>
      <w:r w:rsidR="00B21854" w:rsidRPr="00120AA9">
        <w:rPr>
          <w:noProof/>
        </w:rPr>
        <w:t>, uzimajući u obzir stalnu privremenu i ciljanu potporu kućanstvima i poduzećima koja su najosjetljivija na povećanje cijena energije te osobama koje bježe iz Ukrajine. Malta bi se trebala pripremiti za prilagodbu postojeće potrošnje u skladu s razvojem situacije. Malti je bilo preporučeno i da poveća javna ulaganja u zelenu i digitalnu tranziciju te energetsku sigurnost uzimajući u obzir inicijativu REPowerEU, među ostalim iskorištavanjem sredstava iz Mehanizma za oporavak i otpornost i drugih fondova Unije.</w:t>
      </w:r>
    </w:p>
    <w:p w14:paraId="7F10D695" w14:textId="2A0DFAC4" w:rsidR="00B21854" w:rsidRPr="00120AA9" w:rsidRDefault="007A7049" w:rsidP="007A7049">
      <w:pPr>
        <w:pStyle w:val="ManualConsidrant"/>
        <w:rPr>
          <w:noProof/>
        </w:rPr>
      </w:pPr>
      <w:r w:rsidRPr="007A7049">
        <w:t>(20)</w:t>
      </w:r>
      <w:r w:rsidRPr="007A7049">
        <w:tab/>
      </w:r>
      <w:r w:rsidR="00B21854" w:rsidRPr="00120AA9">
        <w:rPr>
          <w:noProof/>
        </w:rPr>
        <w:t>U Komisijinoj proljetnoj prognozi 2023. predviđa se da će u 2023. smjer fiskalne politike biti kontrakcijski (+0,4 % BDP-a), u kontekstu visoke inflacije. To je u skladu s uglavnom neutralnim smjerom fiskalne politike u 2022. (–0,2 % BDP-a). Predviđa se da će rast primarnih tekućih rashoda koje financira država (bez diskrecijskih mjera na strani prihoda) u 2023. imati kontrakcijski učinak od 0,8 % BDP-a na smjer fiskalne politike. Ukupno gledajući, predviđeni rast primarnih tekućih rashoda koje financira država u skladu je s Preporukom Vijeća.</w:t>
      </w:r>
      <w:r w:rsidR="00B21854" w:rsidRPr="00120AA9">
        <w:rPr>
          <w:noProof/>
          <w:color w:val="000000" w:themeColor="text1"/>
        </w:rPr>
        <w:t xml:space="preserve"> </w:t>
      </w:r>
      <w:r w:rsidR="00B21854" w:rsidRPr="00120AA9">
        <w:rPr>
          <w:noProof/>
        </w:rPr>
        <w:t xml:space="preserve">Rashodi financirani bespovratnim sredstvima iz Mehanizma za oporavak i otpornost i sredstvima drugih fondova EU-a iznosili su u 2023. 1,6 % BDP-a, a ulaganja koja financira država imala su kontrakcijski učinak na </w:t>
      </w:r>
      <w:r w:rsidR="00B21854" w:rsidRPr="00120AA9">
        <w:rPr>
          <w:noProof/>
        </w:rPr>
        <w:lastRenderedPageBreak/>
        <w:t>smjer fiskalne politike od 0,3 postotna boda</w:t>
      </w:r>
      <w:r w:rsidR="00B21854" w:rsidRPr="00120AA9">
        <w:rPr>
          <w:rStyle w:val="FootnoteReference"/>
          <w:noProof/>
        </w:rPr>
        <w:footnoteReference w:id="21"/>
      </w:r>
      <w:r w:rsidR="00B21854" w:rsidRPr="00120AA9">
        <w:rPr>
          <w:noProof/>
        </w:rPr>
        <w:t xml:space="preserve">. Prema tome, Malta planira financirati dodatna ulaganja sredstvima iz Mehanizma za oporavak i otpornost i drugih fondova EU-a, ali se ne predviđa da će očuvati ulaganja koja financira država. Planira financirati javna ulaganja u zelenu i digitalnu tranziciju te energetsku sigurnost, prije svega obnovu privatnih i javnih zgrada uključujući bolnice i škole, elektrifikaciju prometnog sektora i projekte povezane s digitalizacijom javne uprave i privatnog sektora, što se djelomično financira sredstvima iz Mehanizma za oporavak i otpornost i drugih fondova EU-a. </w:t>
      </w:r>
    </w:p>
    <w:p w14:paraId="4405012C" w14:textId="4733D20C" w:rsidR="00B21854" w:rsidRPr="00120AA9" w:rsidRDefault="007A7049" w:rsidP="007A7049">
      <w:pPr>
        <w:pStyle w:val="ManualConsidrant"/>
        <w:rPr>
          <w:noProof/>
        </w:rPr>
      </w:pPr>
      <w:r w:rsidRPr="007A7049">
        <w:t>(21)</w:t>
      </w:r>
      <w:r w:rsidRPr="007A7049">
        <w:tab/>
      </w:r>
      <w:r w:rsidR="00B21854" w:rsidRPr="00120AA9">
        <w:rPr>
          <w:noProof/>
        </w:rPr>
        <w:t>Prema Programu stabilnosti očekuje se da će se deficit opće države smanjiti na 4,3 % BDP-a u 2024. Smanjenje u 2024. uglavnom je rezultat smanjenja subvencija, uključujući postupno ukidanje programa prijevremenog umirovljenja nacionalnog zračnog prijevoznika, i ograničenog rasta rashoda za plaće i intermedijarnu potrošnju, koji je djelomično neutraliziran povećanjem rashoda za kamate.</w:t>
      </w:r>
      <w:r w:rsidR="00B21854" w:rsidRPr="00120AA9">
        <w:rPr>
          <w:noProof/>
          <w:color w:val="000000" w:themeColor="text1"/>
        </w:rPr>
        <w:t xml:space="preserve"> </w:t>
      </w:r>
      <w:r w:rsidR="00B21854" w:rsidRPr="00120AA9">
        <w:rPr>
          <w:noProof/>
        </w:rPr>
        <w:t>Prema Programu stabilnosti očekuje se da će se krajem 2024. udio duga opće države u BDP-u povećati na 55,7 %.</w:t>
      </w:r>
      <w:r w:rsidR="00B21854" w:rsidRPr="00120AA9">
        <w:rPr>
          <w:noProof/>
          <w:color w:val="000000" w:themeColor="text1"/>
        </w:rPr>
        <w:t xml:space="preserve"> Na temelju mjera politike poznatih na datum zaključenja prognoze, u Komisijinoj proljetnoj prognozi 2023. predviđa se državni deficit od 4,5 % BDP-a u 2024. To je u skladu s deficitom predviđenim u Programu stabilnosti. U Komisijinoj proljetnoj prognozi 2023. predviđa se sličan udio duga opće države u BDP-u od 56,1 % krajem 2024. </w:t>
      </w:r>
    </w:p>
    <w:p w14:paraId="0F0AD652" w14:textId="121B951A" w:rsidR="00B21854" w:rsidRPr="00120AA9" w:rsidRDefault="007A7049" w:rsidP="007A7049">
      <w:pPr>
        <w:pStyle w:val="ManualConsidrant"/>
        <w:rPr>
          <w:noProof/>
        </w:rPr>
      </w:pPr>
      <w:r w:rsidRPr="007A7049">
        <w:t>(22)</w:t>
      </w:r>
      <w:r w:rsidRPr="007A7049">
        <w:tab/>
      </w:r>
      <w:r w:rsidR="00B21854" w:rsidRPr="00120AA9">
        <w:rPr>
          <w:noProof/>
        </w:rPr>
        <w:t>U Programu stabilnosti predviđa se postupno ukidanje nekih mjera energetske potpore u 2024. Komisija trenutačno procjenjuje da će neto trošak tih mjera energetske potpore iznositi 1,5 % BDP-a. To se temelji na pretpostavci da neće biti novih povećanja cijene energije. Čini se da većina mjere energetske potpore, koje bi, kako se planira, trebale ostati na snazi 2024., nije usmjerena na ranjiva kućanstva ili poduzeća. One ne šalju jasan cjenovni signal s ciljem smanjenja potražnje za energijom i povećanja energetske učinkovitosti.</w:t>
      </w:r>
    </w:p>
    <w:p w14:paraId="2DCCB965" w14:textId="575FD281" w:rsidR="00B21854" w:rsidRPr="00120AA9" w:rsidRDefault="007A7049" w:rsidP="007A7049">
      <w:pPr>
        <w:pStyle w:val="ManualConsidrant"/>
        <w:rPr>
          <w:noProof/>
        </w:rPr>
      </w:pPr>
      <w:r w:rsidRPr="007A7049">
        <w:t>(23)</w:t>
      </w:r>
      <w:r w:rsidRPr="007A7049">
        <w:tab/>
      </w:r>
      <w:r w:rsidR="00B21854" w:rsidRPr="00120AA9">
        <w:rPr>
          <w:noProof/>
        </w:rPr>
        <w:t>U Uredbi Vijeća (EZ) br. 1466/97 poziva se na godišnje povećanje strukturnog proračunskog salda prema srednjoročnom cilju za 0,5 % BDP-a kao mjerilo</w:t>
      </w:r>
      <w:r w:rsidR="00B21854" w:rsidRPr="00120AA9">
        <w:rPr>
          <w:rStyle w:val="FootnoteReference"/>
          <w:noProof/>
          <w:szCs w:val="24"/>
        </w:rPr>
        <w:footnoteReference w:id="22"/>
      </w:r>
      <w:r w:rsidR="00B21854" w:rsidRPr="00120AA9">
        <w:rPr>
          <w:noProof/>
        </w:rPr>
        <w:t>.  S obzirom na fiskalnu održivost</w:t>
      </w:r>
      <w:r w:rsidR="00B21854" w:rsidRPr="00120AA9">
        <w:rPr>
          <w:rStyle w:val="FootnoteReference"/>
          <w:noProof/>
          <w:szCs w:val="24"/>
        </w:rPr>
        <w:footnoteReference w:id="23"/>
      </w:r>
      <w:r w:rsidR="00B21854" w:rsidRPr="00120AA9">
        <w:rPr>
          <w:noProof/>
        </w:rPr>
        <w:t xml:space="preserve"> i potrebu za smanjenjem deficita na razinu ispod referentne vrijednosti od 3 % BDP-a, povećanje strukturnog salda za najmanje 0,5 % BDP-a bilo bi primjereno za 2024. Da bi se postiglo to povećanje, rast neto primarnih rashoda koje financira država ne bi u 2024. smio biti veći od 5,9 %, što se navodi i u ovoj preporuci. </w:t>
      </w:r>
    </w:p>
    <w:p w14:paraId="21F1149C" w14:textId="77777777" w:rsidR="00B21854" w:rsidRPr="00120AA9" w:rsidRDefault="00B21854" w:rsidP="00B21854">
      <w:pPr>
        <w:autoSpaceDE w:val="0"/>
        <w:autoSpaceDN w:val="0"/>
        <w:ind w:left="709"/>
        <w:rPr>
          <w:noProof/>
          <w:szCs w:val="24"/>
        </w:rPr>
      </w:pPr>
      <w:r w:rsidRPr="00120AA9">
        <w:rPr>
          <w:noProof/>
        </w:rPr>
        <w:t>Istovremeno bi trebalo postupno ukinuti preostale mjere energetske potpore (koje Komisija trenutačno procjenjuje na 1,7 % BDP-a u 2023.), ovisno o tržišnim kretanjima i počevši od onih koje su najmanje ciljane, a s time povezane uštede trebalo bi iskoristiti za smanjenje državnog deficita. Prema Komisijinim procjenama to bi dovelo do manjeg rasta neto primarnih rashoda od preporučenog za 2024.</w:t>
      </w:r>
    </w:p>
    <w:p w14:paraId="38B07200" w14:textId="0F700440" w:rsidR="00B21854" w:rsidRPr="00120AA9" w:rsidRDefault="007A7049" w:rsidP="007A7049">
      <w:pPr>
        <w:pStyle w:val="ManualConsidrant"/>
        <w:rPr>
          <w:noProof/>
        </w:rPr>
      </w:pPr>
      <w:r w:rsidRPr="007A7049">
        <w:lastRenderedPageBreak/>
        <w:t>(24)</w:t>
      </w:r>
      <w:r w:rsidRPr="007A7049">
        <w:tab/>
      </w:r>
      <w:r w:rsidR="00B21854" w:rsidRPr="00120AA9">
        <w:rPr>
          <w:noProof/>
        </w:rPr>
        <w:t>Uz pretpostavku nepromijenjenih politika, u Komisijinoj proljetnoj prognozi 2023. predviđa se rast neto primarnih rashoda koje financira država za 3,3 % u 2024., što je manje od preporučene stope rasta. Prilagodba koja se predviđa u Komisijinoj prognozi manja je od ušteda koje se mogu ostvariti potpunim ukidanjem mjera energetske potpore, a to je velikim dijelom zbog toga što većina tih mjera ostaje na snazi.</w:t>
      </w:r>
    </w:p>
    <w:p w14:paraId="64122EDB" w14:textId="71B387DC" w:rsidR="00B21854" w:rsidRPr="00120AA9" w:rsidRDefault="007A7049" w:rsidP="007A7049">
      <w:pPr>
        <w:pStyle w:val="ManualConsidrant"/>
        <w:rPr>
          <w:noProof/>
        </w:rPr>
      </w:pPr>
      <w:r w:rsidRPr="007A7049">
        <w:t>(25)</w:t>
      </w:r>
      <w:r w:rsidRPr="007A7049">
        <w:tab/>
      </w:r>
      <w:r w:rsidR="00B21854" w:rsidRPr="00120AA9">
        <w:rPr>
          <w:noProof/>
        </w:rPr>
        <w:t xml:space="preserve">Prema Programu stabilnosti očekuje se da će se državna ulaganja smanjiti s 3,8 % BDP-a u 2023. na 3,1 % BDP-a u 2024. Manja ulaganja rezultat su manjih ulaganja koja financira država i ulaganja koja se financiraju sredstvima EU-a koja nisu iz Mehanizma za oporavak i otpornost.  U Programu se upućuje na reforme i ulaganja za koje se očekuje da će doprinijeti fiskalnoj održivosti te održivom i uključivom rastu. To uključuje ulaganja s visokom dodanom vrijednošću i strukturne reforme za zelenu, digitalnu i energetsku tranziciju, uključujući zdravstvo i upravljanje, koji su također dio plana za oporavak i otpornost. </w:t>
      </w:r>
    </w:p>
    <w:p w14:paraId="289C84FE" w14:textId="3F566D7F" w:rsidR="00B21854" w:rsidRPr="00120AA9" w:rsidRDefault="007A7049" w:rsidP="007A7049">
      <w:pPr>
        <w:pStyle w:val="ManualConsidrant"/>
        <w:rPr>
          <w:noProof/>
        </w:rPr>
      </w:pPr>
      <w:r w:rsidRPr="007A7049">
        <w:t>(26)</w:t>
      </w:r>
      <w:r w:rsidRPr="007A7049">
        <w:tab/>
      </w:r>
      <w:r w:rsidR="00B21854" w:rsidRPr="00120AA9">
        <w:rPr>
          <w:noProof/>
        </w:rPr>
        <w:t>U Programu stabilnosti navedeni su srednjoročni fiskalni ciljevi do 2026. Prema Programu se očekuje da će se deficit opće države smanjiti na 3,6 % BDP-a u 2025. te na 2,9 % do 2026. Stoga se predviđa da deficit opće države u 2026. neće premašiti 3 % BDP-a. Prema Programu stabilnosti očekuje se da će se udio duga opće države u BDP-u povećati s 55,7 % BDP-a krajem 2024.na 56,1 % BDP-a do kraja 2026.</w:t>
      </w:r>
    </w:p>
    <w:p w14:paraId="17A6BA4D" w14:textId="7369DD29" w:rsidR="00145706" w:rsidRPr="00120AA9" w:rsidRDefault="007A7049" w:rsidP="007A7049">
      <w:pPr>
        <w:pStyle w:val="ManualConsidrant"/>
        <w:rPr>
          <w:noProof/>
        </w:rPr>
      </w:pPr>
      <w:r w:rsidRPr="007A7049">
        <w:t>(27)</w:t>
      </w:r>
      <w:r w:rsidRPr="007A7049">
        <w:tab/>
      </w:r>
      <w:r w:rsidR="00145706" w:rsidRPr="00120AA9">
        <w:rPr>
          <w:noProof/>
        </w:rPr>
        <w:t xml:space="preserve">U skladu s člankom 19. stavkom 3. točkom (b) i kriterijem 2.2. iz Priloga V. Uredbi (EU) 2021/241, plan za oporavak i otpornost sadržava opsežan skup reformi i ulaganja koji se međusobno nadopunjuju i trebaju se provesti do 2026. Provedba plana za oporavak i otpornost Malte dobro napreduje. Malta je podnijela jedan zahtjev za plaćanje za ostvarenih 19 ključnih etapa i ciljnih vrijednosti iz plana na temelju kojeg je 8. ožujka 2023. isplaćen ukupni iznos od 52,3 milijuna EUR (u bespovratnim sredstvima). Malta je 26. travnja 2023. dostavila izmjenu plana, uključujući poglavlje o planu REPowerEU. Očekuje se da će se novim predloženim poglavljem o planu REPowerEU odgovoriti na izazove povezane s opskrbom energijom i energetskom sigurnošću te ubrzati prelazak na obnovljive izvore energije. Osim toga, Malta predlaže određene izmjene izvornog plana s obzirom na smanjenje ukupne dodjele sredstava i radi prilagodbe objektivnim okolnostima. Te izmjene trenutačno razmatra Komisija, a nakon njihova donošenja treba ih odobriti Vijeće. Brzo uključivanje novog poglavlja o planu REPowerEU u plan za oporavak i otpornost omogućit će financiranje dodatnih reformi i ulaganja za potporu strateškim ciljevima Malte u području energetike i zelene tranzicije. Sustavno i učinkovito uključivanje lokalnih i regionalnih tijela, socijalnih partnera i drugih relevantnih dionika i dalje je važno za uspješnu provedbu plana za oporavak i otpornost, kao i drugih ekonomskih politika i politika zapošljavanja izvan okvira tog plana, kako bi se osigurala opća odgovornost za cjelokupni program politike. </w:t>
      </w:r>
    </w:p>
    <w:p w14:paraId="7245CE06" w14:textId="1161E3B9" w:rsidR="00373387" w:rsidRPr="00120AA9" w:rsidRDefault="007A7049" w:rsidP="007A7049">
      <w:pPr>
        <w:pStyle w:val="ManualConsidrant"/>
        <w:rPr>
          <w:noProof/>
        </w:rPr>
      </w:pPr>
      <w:r w:rsidRPr="007A7049">
        <w:t>(28)</w:t>
      </w:r>
      <w:r w:rsidRPr="007A7049">
        <w:tab/>
      </w:r>
      <w:r w:rsidR="7F1E5AAE" w:rsidRPr="00120AA9">
        <w:rPr>
          <w:noProof/>
        </w:rPr>
        <w:t>Komisija je sve programske dokumente kohezijske politike Malte odobrila u 2022. Brza provedba programâ kohezijske politike uz komplementarnost i sinergiju s planom za oporavak i otpornost, uključujući poglavlje o planu REPowerEU, iznimno je važna za zelenu i digitalnu tranziciju, povećanje gospodarske i socijalne otpornosti te uravnotežen teritorijalni razvoj u Malti.</w:t>
      </w:r>
    </w:p>
    <w:p w14:paraId="7AFDA2E7" w14:textId="504565DE" w:rsidR="005118F8" w:rsidRPr="00120AA9" w:rsidRDefault="007A7049" w:rsidP="007A7049">
      <w:pPr>
        <w:pStyle w:val="ManualConsidrant"/>
        <w:rPr>
          <w:noProof/>
        </w:rPr>
      </w:pPr>
      <w:r w:rsidRPr="007A7049">
        <w:t>(29)</w:t>
      </w:r>
      <w:r w:rsidRPr="007A7049">
        <w:tab/>
      </w:r>
      <w:r w:rsidR="29C4A139" w:rsidRPr="00120AA9">
        <w:rPr>
          <w:noProof/>
        </w:rPr>
        <w:t xml:space="preserve">Osim gospodarskih i socijalnih izazova obuhvaćenih planom za oporavak i otpornost, Malta se suočava s brojnim dodatnim izazovima koji su povezani s određenim karakteristikama poreznog sustava koje olakšavaju agresivno porezno planiranje, energetskom politikom i zelenom tranzicijom. </w:t>
      </w:r>
    </w:p>
    <w:p w14:paraId="6F5F7951" w14:textId="263EBF80" w:rsidR="00373387" w:rsidRPr="00120AA9" w:rsidRDefault="007A7049" w:rsidP="007A7049">
      <w:pPr>
        <w:pStyle w:val="ManualConsidrant"/>
        <w:rPr>
          <w:noProof/>
        </w:rPr>
      </w:pPr>
      <w:r w:rsidRPr="007A7049">
        <w:lastRenderedPageBreak/>
        <w:t>(30)</w:t>
      </w:r>
      <w:r w:rsidRPr="007A7049">
        <w:tab/>
      </w:r>
      <w:r w:rsidR="019AA54C" w:rsidRPr="00120AA9">
        <w:rPr>
          <w:noProof/>
        </w:rPr>
        <w:t>Rješavanje problema agresivnog poreznog planiranja i dalje je ključno za poboljšanje učinkovitosti i pravednosti poreznih sustava. S obzirom na učinke prelijevanja strategija agresivnog poreznog planiranja među državama članicama, neophodno je koordinirano djelovati kako bi se zakonodavstvo EU-a dopunilo nacionalnim politikama svih država članica. Malta je poduzela korake za rješavanje problema agresivnog poreznog planiranja provedbom prethodno dogovorenih međunarodnih i europskih inicijativa. Malta se obvezala riješiti taj problem i u okviru plana za oporavak i otpornost. Preuzete obveze u pogledu uvođenja pravila o transfernim cijenama i provedbe neovisne studije o izlaznim i ulaznim plaćanjima (između rezidenata EU-a i rezidenata trećih zemalja) te donošenje zakonodavstva u skladu s rezultatima te studije, korak su u dobrom smjeru. Međutim, dok Malta ne počne primjenjivati porez po odbitku na kamate, dividende i naknade za licencije koje poduzeća sa sjedištem u Malti plaćaju u jurisdikcije s nultim i niskim poreznim stopama (u ovom slučaju odnosi se na bilo koju jurisdikciju u kojoj je zakonska stopa poreza na dobit manja od 9 %, najniže zakonske stope poreza na dobit u EU-u) ili istovjetne obrambene mjere kojima se sprečava da poduzeća svoju dobit prenose u treće zemlje bez plaćanja poreza, rizici od dvostrukog neoporezivanja te dobiti i dalje su visoki. Osim toga, zbog tretmana rezidentnih trgovačkih društava koja nemaju domicil u Malti i dalje postoji rizik od dvostrukog neoporezivanja poduzeća i pojedinaca. To će se pitanje samo djelomično riješiti usklađivanjem s Direktivom EU-a o minimalnom oporezivanju, koja će se, nakon što je Malta prenese, primjenjivati samo na velika poduzeća.</w:t>
      </w:r>
    </w:p>
    <w:p w14:paraId="3CBE0CF1" w14:textId="60729158" w:rsidR="00C503E3" w:rsidRPr="00120AA9" w:rsidRDefault="007A7049" w:rsidP="007A7049">
      <w:pPr>
        <w:pStyle w:val="ManualConsidrant"/>
        <w:rPr>
          <w:noProof/>
        </w:rPr>
      </w:pPr>
      <w:r w:rsidRPr="007A7049">
        <w:t>(31)</w:t>
      </w:r>
      <w:r w:rsidRPr="007A7049">
        <w:tab/>
      </w:r>
      <w:r w:rsidR="19BD25AC" w:rsidRPr="00120AA9">
        <w:rPr>
          <w:noProof/>
        </w:rPr>
        <w:t xml:space="preserve">Fosilna goriva i dalje imaju važnu ulogu u malteškom gospodarstvu, te je Malta u velikoj mjeri ovisna o uvozu energije i izložena globalnim kretanjima cijena, iako izravno ne uvozi naftu ili plin iz Rusije. U 2021. najveći dio proizvodnje električne energije u Malti temeljio se na fosilnim gorivima, dok je udio obnovljivih izvora energije iznosio tek 11,9 %. Malta ima znatan potencijal za solarnu energiju i energiju vjetra na moru, koji je neiskorišten. Vlada se obvezala uvesti tehnologije za proizvodnju energije iz obnovljivih izvora na moru te utvrditi neobvezujući doprinos ciljnim vrijednostima EU-a za energiju iz obnovljivih izvora na moru, što je pozitivan trend politike, ali tek treba utvrditi konkretne projekte. Kapacitet i fleksibilnost elektroenergetske mreže usko su grlo za integraciju obnovljivih izvora energije i povećanje učinkovitosti, pouzdanosti i sigurnosti opskrbe električnom energijom. Za to su potrebna ulaganja u modernizaciju mreže, među ostalim u okviru bespovratnih sredstava dodijeljenih Malti u okviru plana REPowerEU. Malta radi na poboljšanju sigurnosti opskrbe energijom izgradnjom drugog elektroenergetskog spojnog voda s Italijom. </w:t>
      </w:r>
    </w:p>
    <w:p w14:paraId="62033E68" w14:textId="3D00BD7F" w:rsidR="00373387" w:rsidRPr="00120AA9" w:rsidRDefault="007A7049" w:rsidP="007A7049">
      <w:pPr>
        <w:pStyle w:val="ManualConsidrant"/>
        <w:rPr>
          <w:rFonts w:asciiTheme="minorHAnsi" w:hAnsiTheme="minorHAnsi" w:cstheme="minorBidi"/>
          <w:noProof/>
          <w:sz w:val="22"/>
        </w:rPr>
      </w:pPr>
      <w:r w:rsidRPr="007A7049">
        <w:t>(32)</w:t>
      </w:r>
      <w:r w:rsidRPr="007A7049">
        <w:tab/>
      </w:r>
      <w:r w:rsidR="5F948651" w:rsidRPr="00120AA9">
        <w:rPr>
          <w:noProof/>
        </w:rPr>
        <w:t xml:space="preserve">Doprinos Malte ciljevima energetske učinkovitosti EU-a za 2030. nizak je, a potrošnja energije u stambenim zgradama i dalje se povećava. Malta bi mogla pojačati mjere energetske učinkovitosti i smanjiti potražnju za energijom poticanjem ugradnje solarnih ploča na svim novim zgradama, osiguravanjem postavljanja prikladnih instalacija za solarnu energiju na sve nove javne i nestambene zgrade korisne podne površine veće od 250 m², uklanjanjem pravnih prepreka i pružanjem dodatnih gospodarskih poticaja vlasnicima kuća. Upotreba digitalne tehnologije, kao što su aplikacije za praćenje i reguliranje potrošnje energije, mogla bi doprinijeti povećanju energetske učinkovitosti. Djelotvornom provedbom novog nacionalnog regulatornog okvira za građevinski sektor povećala bi se kvaliteta (uključujući energetsku učinkovitost) zgrada i sigurnost gradnje. U Malti se od kolovoza 2022. do ožujka 2023. potrošnja prirodnog plina povećala za 12,7 % u odnosu na prosječnu potrošnju plina u istom razdoblju u proteklih pet godina, a taj je trend u suprotnosti s ciljnim </w:t>
      </w:r>
      <w:r w:rsidR="5F948651" w:rsidRPr="00120AA9">
        <w:rPr>
          <w:noProof/>
        </w:rPr>
        <w:lastRenderedPageBreak/>
        <w:t>smanjenjem od 15 %. Unatoč odobrenom izuzeću, Malta se potiče da uloži veće napore u privremeno smanjenje potražnje za plinom do 31. ožujka 2024.</w:t>
      </w:r>
      <w:r w:rsidR="5F948651" w:rsidRPr="00120AA9">
        <w:rPr>
          <w:rStyle w:val="FootnoteReference"/>
          <w:rFonts w:eastAsia="Times New Roman"/>
          <w:noProof/>
        </w:rPr>
        <w:footnoteReference w:id="24"/>
      </w:r>
      <w:r w:rsidR="5F948651" w:rsidRPr="00120AA9">
        <w:rPr>
          <w:noProof/>
        </w:rPr>
        <w:t xml:space="preserve"> </w:t>
      </w:r>
    </w:p>
    <w:p w14:paraId="317E1936" w14:textId="3E617CE2" w:rsidR="00466D35" w:rsidRPr="00120AA9" w:rsidRDefault="007A7049" w:rsidP="007A7049">
      <w:pPr>
        <w:pStyle w:val="ManualConsidrant"/>
        <w:rPr>
          <w:rFonts w:eastAsia="Times New Roman"/>
          <w:noProof/>
        </w:rPr>
      </w:pPr>
      <w:r w:rsidRPr="007A7049">
        <w:t>(33)</w:t>
      </w:r>
      <w:r w:rsidRPr="007A7049">
        <w:tab/>
      </w:r>
      <w:r w:rsidR="27BAE705" w:rsidRPr="00120AA9">
        <w:rPr>
          <w:noProof/>
        </w:rPr>
        <w:t>Osim toga, s obzirom na trajnu ovisnost o osobnim automobilima, emisije iz cestovnog prometa i dalje rastu te predstavljaju najveći izvor emisija stakleničkih plinova Malte izvan ETS-a. Udio vozila s nultim emisijama znatno je niži od prosjeka EU-a i vrlo se sporo povećava. Za smanjenje emisija i zagušenja prometa Malta bi trebala poboljšati javni prijevoz (točnost, kraće vrijeme putovanja), uvesti inteligentne prometne sustave (za poboljšanje protočnosti i sigurnosti prometa te poštovanja prometnih pravila) i ulagati u infrastrukturu za održivu mobilnost koja nudi sigurne alternative upotrebi osobnih automobila (kao što su sigurni, odvojeni i dobro povezani pločnici i biciklističke staze/staze za električne romobile).</w:t>
      </w:r>
    </w:p>
    <w:p w14:paraId="4D9A0901" w14:textId="67302DFF" w:rsidR="00373387" w:rsidRPr="00120AA9" w:rsidRDefault="007A7049" w:rsidP="007A7049">
      <w:pPr>
        <w:pStyle w:val="ManualConsidrant"/>
        <w:rPr>
          <w:rFonts w:eastAsia="Times New Roman"/>
          <w:noProof/>
        </w:rPr>
      </w:pPr>
      <w:r w:rsidRPr="007A7049">
        <w:t>(34)</w:t>
      </w:r>
      <w:r w:rsidRPr="007A7049">
        <w:tab/>
      </w:r>
      <w:r w:rsidR="19654FB7" w:rsidRPr="00120AA9">
        <w:rPr>
          <w:noProof/>
        </w:rPr>
        <w:t xml:space="preserve">Manjak radne snage i vještina u sektorima i zanimanjima koji su važni za zelenu tranziciju, </w:t>
      </w:r>
      <w:r w:rsidR="19654FB7" w:rsidRPr="00120AA9">
        <w:rPr>
          <w:noProof/>
          <w:color w:val="000000" w:themeColor="text1"/>
        </w:rPr>
        <w:t>uključujući prerađivačku industriju, uvođenje i održavanje tehnologija s nultom neto stopom emisija</w:t>
      </w:r>
      <w:r w:rsidR="19654FB7" w:rsidRPr="00120AA9">
        <w:rPr>
          <w:noProof/>
        </w:rPr>
        <w:t>, stvara prepreke prelasku na gospodarstvo s nultom neto stopom emisija.</w:t>
      </w:r>
      <w:r w:rsidR="19654FB7" w:rsidRPr="00120AA9">
        <w:rPr>
          <w:noProof/>
          <w:color w:val="000000" w:themeColor="text1"/>
        </w:rPr>
        <w:t xml:space="preserve"> Visokokvalitetni sustavi obrazovanja i osposobljavanja prilagođeni promjenjivim potrebama tržišta rada i ciljane mjere usavršavanja i prekvalifikacije bitni su za smanjenje nedostatka vještina te promicanje uključivanja na tržište rada i preraspodjele radne snage. Da bi se iskoristio potencijal ponude radne snage, te mjere moraju biti dostupne, posebno za pojedince te u sektorima i regijama na koje će zelena i digitalna tranzicija najviše utjecati. </w:t>
      </w:r>
      <w:r w:rsidR="19654FB7" w:rsidRPr="00120AA9">
        <w:rPr>
          <w:noProof/>
        </w:rPr>
        <w:t>U Malti je u 2022. prijavljen manjak radne snage u šest zanimanja za koja su potrebne specifične vještine ili znanja za zelenu tranziciju, uključujući radnike u proizvodnji i građevinske radnike.</w:t>
      </w:r>
    </w:p>
    <w:p w14:paraId="295843C8" w14:textId="58E869D0" w:rsidR="00373387" w:rsidRPr="00120AA9" w:rsidRDefault="007A7049" w:rsidP="007A7049">
      <w:pPr>
        <w:pStyle w:val="ManualConsidrant"/>
        <w:rPr>
          <w:noProof/>
        </w:rPr>
      </w:pPr>
      <w:r w:rsidRPr="007A7049">
        <w:t>(35)</w:t>
      </w:r>
      <w:r w:rsidRPr="007A7049">
        <w:tab/>
      </w:r>
      <w:r w:rsidR="751DAA27" w:rsidRPr="00120AA9">
        <w:rPr>
          <w:noProof/>
        </w:rPr>
        <w:t>Uzimajući u obzir Komisijinu ocjenu, Vijeće je ispitalo Program stabilnosti za 2023. i njegovo je mišljenje</w:t>
      </w:r>
      <w:r w:rsidR="751DAA27" w:rsidRPr="00120AA9">
        <w:rPr>
          <w:rStyle w:val="FootnoteReference"/>
          <w:noProof/>
        </w:rPr>
        <w:footnoteReference w:id="25"/>
      </w:r>
      <w:r w:rsidR="751DAA27" w:rsidRPr="00120AA9">
        <w:rPr>
          <w:noProof/>
        </w:rPr>
        <w:t xml:space="preserve"> navedeno u preporuci 1. u nastavku. </w:t>
      </w:r>
    </w:p>
    <w:p w14:paraId="3A2D1005" w14:textId="13FC80DD" w:rsidR="007A141C" w:rsidRPr="00120AA9" w:rsidRDefault="007A7049" w:rsidP="007A7049">
      <w:pPr>
        <w:pStyle w:val="ManualConsidrant"/>
        <w:rPr>
          <w:rStyle w:val="eop"/>
          <w:noProof/>
          <w:shd w:val="clear" w:color="auto" w:fill="FFFFFF"/>
        </w:rPr>
      </w:pPr>
      <w:bookmarkStart w:id="2" w:name="_Hlk131516908"/>
      <w:r w:rsidRPr="007A7049">
        <w:rPr>
          <w:rStyle w:val="eop"/>
        </w:rPr>
        <w:t>(36)</w:t>
      </w:r>
      <w:r w:rsidRPr="007A7049">
        <w:rPr>
          <w:rStyle w:val="eop"/>
        </w:rPr>
        <w:tab/>
      </w:r>
      <w:r w:rsidR="007A141C" w:rsidRPr="00120AA9">
        <w:rPr>
          <w:rStyle w:val="normaltextrun"/>
          <w:noProof/>
          <w:shd w:val="clear" w:color="auto" w:fill="FFFFFF"/>
        </w:rPr>
        <w:t xml:space="preserve">Imajući u vidu blisku međusobnu povezanost gospodarstava država članica europodručja i njihov zajednički doprinos funkcioniranju ekonomske i monetarne unije, Vijeće je državama članicama europodručja </w:t>
      </w:r>
      <w:r w:rsidR="007A141C" w:rsidRPr="00120AA9">
        <w:rPr>
          <w:rStyle w:val="normaltextrun"/>
          <w:noProof/>
        </w:rPr>
        <w:t>preporučilo da, među ostalim u okviru svojih planova za oporavak i otpornost, poduzmu sljedeće: i.</w:t>
      </w:r>
      <w:r w:rsidR="007A141C" w:rsidRPr="00120AA9">
        <w:rPr>
          <w:noProof/>
        </w:rPr>
        <w:t xml:space="preserve"> očuvaju održivost duga i suzdrže se od pružanja široke potpore ukupnoj potražnji u 2023., bolje usmjere fiskalne mjere poduzete za ublažavanje posljedica visokih cijena energije i razmotre odgovarajuće načine za postupno ukidanje potpore kad se smanje pritisci na cijene energije; ii. održavaju visoku razinu javnih ulaganja i promiču privatna ulaganja radi potpore zelenoj i digitalnoj tranziciji;</w:t>
      </w:r>
      <w:r w:rsidR="007A141C" w:rsidRPr="00120AA9">
        <w:rPr>
          <w:rStyle w:val="normaltextrun"/>
          <w:noProof/>
        </w:rPr>
        <w:t xml:space="preserve"> </w:t>
      </w:r>
      <w:r w:rsidR="007A141C" w:rsidRPr="00120AA9">
        <w:rPr>
          <w:rStyle w:val="normaltextrun"/>
          <w:noProof/>
          <w:shd w:val="clear" w:color="auto" w:fill="FFFFFF"/>
        </w:rPr>
        <w:t xml:space="preserve">iii. </w:t>
      </w:r>
      <w:r w:rsidR="007A141C" w:rsidRPr="00120AA9">
        <w:rPr>
          <w:noProof/>
        </w:rPr>
        <w:t>omoguće kretanja plaća kojima se ublažava gubitak kupovne moći i pritom ograniče sekundarne učinke na inflaciju, dodatno poboljšaju aktivne politike tržišta rada i rješavaju probleme nedostatka vještina;</w:t>
      </w:r>
      <w:r w:rsidR="007A141C" w:rsidRPr="00120AA9">
        <w:rPr>
          <w:rStyle w:val="normaltextrun"/>
          <w:noProof/>
          <w:shd w:val="clear" w:color="auto" w:fill="FFFFFF"/>
        </w:rPr>
        <w:t xml:space="preserve"> iv. unaprijede poslovno okruženje i o</w:t>
      </w:r>
      <w:r w:rsidR="007A141C" w:rsidRPr="00120AA9">
        <w:rPr>
          <w:noProof/>
        </w:rPr>
        <w:t xml:space="preserve">siguraju da potpora poduzećima za energiju bude troškovno učinkovita, privremena, usmjerena na poduzeća koja su sposobna opstati te da se njome zadrže poticaji za zelenu tranziciju; i v. očuvaju makrofinancijsku stabilnost i prate rizike te nastave raditi na dovršetku bankovne unije. </w:t>
      </w:r>
      <w:r w:rsidR="007A141C" w:rsidRPr="00120AA9">
        <w:rPr>
          <w:rStyle w:val="normaltextrun"/>
          <w:noProof/>
          <w:shd w:val="clear" w:color="auto" w:fill="FFFFFF"/>
        </w:rPr>
        <w:t>Za Maltu</w:t>
      </w:r>
      <w:r w:rsidR="007A141C" w:rsidRPr="00120AA9">
        <w:rPr>
          <w:noProof/>
          <w:shd w:val="clear" w:color="auto" w:fill="FFFFFF"/>
        </w:rPr>
        <w:t>,</w:t>
      </w:r>
      <w:r w:rsidR="007A141C" w:rsidRPr="00120AA9">
        <w:rPr>
          <w:noProof/>
        </w:rPr>
        <w:t xml:space="preserve"> preporuke 1., 2., 3. i 4. doprinose provedbi prve, druge, treće i četvrte </w:t>
      </w:r>
      <w:r w:rsidR="007A141C" w:rsidRPr="00120AA9">
        <w:rPr>
          <w:noProof/>
          <w:shd w:val="clear" w:color="auto" w:fill="FFFFFF"/>
        </w:rPr>
        <w:t>preporuke za europodručje.</w:t>
      </w:r>
      <w:r w:rsidR="007A141C" w:rsidRPr="00120AA9">
        <w:rPr>
          <w:rStyle w:val="eop"/>
          <w:noProof/>
          <w:shd w:val="clear" w:color="auto" w:fill="FFFFFF"/>
        </w:rPr>
        <w:t xml:space="preserve"> </w:t>
      </w:r>
    </w:p>
    <w:bookmarkEnd w:id="2"/>
    <w:p w14:paraId="6DCC6AC7" w14:textId="77777777" w:rsidR="00BA6F29" w:rsidRPr="00120AA9" w:rsidRDefault="00BA6F29" w:rsidP="00E17E7C">
      <w:pPr>
        <w:rPr>
          <w:noProof/>
        </w:rPr>
      </w:pPr>
    </w:p>
    <w:p w14:paraId="562941C3" w14:textId="77777777" w:rsidR="00D84A5E" w:rsidRPr="00120AA9" w:rsidRDefault="0A89BED1" w:rsidP="00D84A5E">
      <w:pPr>
        <w:pStyle w:val="Formuledadoption"/>
        <w:rPr>
          <w:noProof/>
        </w:rPr>
      </w:pPr>
      <w:r w:rsidRPr="00120AA9">
        <w:rPr>
          <w:noProof/>
        </w:rPr>
        <w:lastRenderedPageBreak/>
        <w:t xml:space="preserve">PREPORUČUJE da Malta u 2023. i 2024. poduzme mjere čiji je cilj: </w:t>
      </w:r>
    </w:p>
    <w:p w14:paraId="07CCBE38" w14:textId="1B61DA32" w:rsidR="00B21854" w:rsidRPr="00120AA9" w:rsidRDefault="007A7049" w:rsidP="007A7049">
      <w:pPr>
        <w:pStyle w:val="ManualNumPar1"/>
        <w:rPr>
          <w:noProof/>
        </w:rPr>
      </w:pPr>
      <w:r w:rsidRPr="007A7049">
        <w:t>1.</w:t>
      </w:r>
      <w:r w:rsidRPr="007A7049">
        <w:tab/>
      </w:r>
      <w:r w:rsidR="00B21854" w:rsidRPr="00120AA9">
        <w:rPr>
          <w:rStyle w:val="normaltextrun"/>
          <w:noProof/>
          <w:shd w:val="clear" w:color="auto" w:fill="FFFFFF"/>
        </w:rPr>
        <w:t>Postupno ukinuti mjere energetske potpore koje su na snazi do kraja 2023. i ostvarene uštede iskoristiti za smanjenje državnog deficita. Budu li zbog novih povećanja cijena energije potrebne mjere potpore, osigurati da budu usmjerene na ranjiva kućanstva i poduzeća, fiskalno pristupačne te da potiču smanjenje potrošnje energije.</w:t>
      </w:r>
    </w:p>
    <w:p w14:paraId="54AA1ECB" w14:textId="77777777" w:rsidR="00B21854" w:rsidRPr="00120AA9" w:rsidRDefault="00B21854" w:rsidP="00E17E7C">
      <w:pPr>
        <w:pStyle w:val="Text1"/>
        <w:rPr>
          <w:noProof/>
        </w:rPr>
      </w:pPr>
      <w:r w:rsidRPr="00120AA9">
        <w:rPr>
          <w:noProof/>
        </w:rPr>
        <w:t>Osigurati razboritu fiskalnu politiku, posebno ograničavanjem nominalnog povećanja neto primarnih rashoda koje financira država u 2024. na najviše 5,9 %.</w:t>
      </w:r>
    </w:p>
    <w:p w14:paraId="1D6C3148" w14:textId="77777777" w:rsidR="00FA3F26" w:rsidRPr="00120AA9" w:rsidRDefault="00B21854" w:rsidP="00E17E7C">
      <w:pPr>
        <w:pStyle w:val="Text1"/>
        <w:rPr>
          <w:noProof/>
        </w:rPr>
      </w:pPr>
      <w:r w:rsidRPr="00120AA9">
        <w:rPr>
          <w:noProof/>
        </w:rPr>
        <w:t xml:space="preserve">Očuvati javna ulaganja koja financira država i osigurati učinkovitu apsorpciju bespovratnih sredstava iz Mehanizma za oporavak i otpornost i drugih fondova EU-a, osobito radi promicanja zelene i digitalne tranzicije. </w:t>
      </w:r>
      <w:bookmarkStart w:id="3" w:name="_Hlk134464709"/>
    </w:p>
    <w:p w14:paraId="5AAB6155" w14:textId="77777777" w:rsidR="00B21854" w:rsidRPr="00120AA9" w:rsidRDefault="00B21854" w:rsidP="00E17E7C">
      <w:pPr>
        <w:pStyle w:val="Text1"/>
        <w:rPr>
          <w:noProof/>
        </w:rPr>
      </w:pPr>
      <w:r w:rsidRPr="00120AA9">
        <w:rPr>
          <w:noProof/>
        </w:rPr>
        <w:t xml:space="preserve">U razdoblju nakon 2024. nastaviti provoditi srednjoročnu fiskalnu strategiju postupne i održive konsolidacije, u kombinaciji s ulaganjima i reformama koji potiču veći održivi rast, s ciljem postizanja razboritih srednjoročnih fiskalnih pozicija. </w:t>
      </w:r>
      <w:bookmarkEnd w:id="3"/>
    </w:p>
    <w:p w14:paraId="7BC1F356" w14:textId="3A81A9F4" w:rsidR="00BB2F7D" w:rsidRPr="00120AA9" w:rsidRDefault="007A7049" w:rsidP="007A7049">
      <w:pPr>
        <w:pStyle w:val="ManualNumPar1"/>
        <w:rPr>
          <w:rFonts w:eastAsia="Times New Roman"/>
          <w:noProof/>
        </w:rPr>
      </w:pPr>
      <w:r w:rsidRPr="007A7049">
        <w:t>2.</w:t>
      </w:r>
      <w:r w:rsidRPr="007A7049">
        <w:tab/>
      </w:r>
      <w:r w:rsidR="00145706" w:rsidRPr="00120AA9">
        <w:rPr>
          <w:noProof/>
        </w:rPr>
        <w:t>Nastaviti stabilnu provedbu plana za oporavak i otpornost i brzo finalizirati njegovu dopunu, uključujući poglavlje o planu REPowerEU, kako bi ih što prije počela provoditi. Nastaviti brzu provedbu programa kohezijske politike uz komplementarnost i sinergiju s planom za oporavak i otpornost.</w:t>
      </w:r>
    </w:p>
    <w:p w14:paraId="5AA114F0" w14:textId="603A5FFF" w:rsidR="00F45165" w:rsidRPr="00120AA9" w:rsidRDefault="007A7049" w:rsidP="007A7049">
      <w:pPr>
        <w:pStyle w:val="ManualNumPar1"/>
        <w:rPr>
          <w:rFonts w:eastAsia="Times New Roman"/>
          <w:noProof/>
        </w:rPr>
      </w:pPr>
      <w:r w:rsidRPr="007A7049">
        <w:t>3.</w:t>
      </w:r>
      <w:r w:rsidRPr="007A7049">
        <w:tab/>
      </w:r>
      <w:r w:rsidR="005400DE" w:rsidRPr="00120AA9">
        <w:rPr>
          <w:noProof/>
        </w:rPr>
        <w:t>Poduzeti učinkovite mjere za uklanjanje karakteristika poreznog sustava koje pojedincima i multinacionalnim poduzećima mogu olakšati agresivno porezno planiranje, među ostalim osiguravanjem dostatnog oporezivanja izlaznih plaćanja kamata, naknada za licencije i dividendi, i izmijeniti pravila za trgovačka društva koja nemaju domicil u Malti.</w:t>
      </w:r>
    </w:p>
    <w:p w14:paraId="70AD2E33" w14:textId="6D61E927" w:rsidR="00BB2F7D" w:rsidRPr="00120AA9" w:rsidRDefault="007A7049" w:rsidP="007A7049">
      <w:pPr>
        <w:pStyle w:val="ManualNumPar1"/>
        <w:rPr>
          <w:rFonts w:eastAsia="Times New Roman"/>
          <w:noProof/>
        </w:rPr>
      </w:pPr>
      <w:r w:rsidRPr="007A7049">
        <w:t>4.</w:t>
      </w:r>
      <w:r w:rsidRPr="007A7049">
        <w:tab/>
      </w:r>
      <w:r w:rsidR="01B17070" w:rsidRPr="00120AA9">
        <w:rPr>
          <w:noProof/>
        </w:rPr>
        <w:t>Smanjiti ovisnost o fosilnim gorivima, za što je potrebno ubrzati uvođenje energije iz obnovljivih izvora, uključujući energiju vjetra na moru i solarnu energiju, te nadograditi i proširiti kapacitete elektroenergetskog sustava, uključujući prijenos, distribuciju i baterijsko skladištenje. Smanjiti potražnju za energijom poboljšanjem energetske učinkovitosti, posebno u stambenim zgradama.</w:t>
      </w:r>
      <w:r w:rsidR="01B17070" w:rsidRPr="00120AA9">
        <w:rPr>
          <w:noProof/>
          <w:sz w:val="22"/>
        </w:rPr>
        <w:t xml:space="preserve"> </w:t>
      </w:r>
      <w:r w:rsidR="01B17070" w:rsidRPr="00120AA9">
        <w:rPr>
          <w:noProof/>
        </w:rPr>
        <w:t>Smanjiti emisije iz cestovnog prometa rješavanjem pitanja prometnog zagušenja poboljšanjem kvalitete usluga javnog prijevoza, uvođenjem inteligentnih prometnih sustava i ulaganjem u infrastrukturu za održivu mobilnost. Pojačati napore na razini politika usmjerene na pružanje i stjecanje vještina potrebnih za zelenu tranziciju.</w:t>
      </w:r>
    </w:p>
    <w:p w14:paraId="3ED253C3" w14:textId="77777777" w:rsidR="00D91D05" w:rsidRPr="00120AA9" w:rsidRDefault="00D91D05" w:rsidP="00D91D05">
      <w:pPr>
        <w:pStyle w:val="Text1"/>
        <w:ind w:left="0"/>
        <w:rPr>
          <w:noProof/>
        </w:rPr>
      </w:pPr>
    </w:p>
    <w:p w14:paraId="25E435C9" w14:textId="77777777" w:rsidR="00D91D05" w:rsidRPr="00120AA9" w:rsidRDefault="00D91D05" w:rsidP="00D91D05">
      <w:pPr>
        <w:pStyle w:val="Text1"/>
        <w:ind w:left="0"/>
        <w:rPr>
          <w:noProof/>
        </w:rPr>
      </w:pPr>
    </w:p>
    <w:p w14:paraId="3EF0209C" w14:textId="73C274A2" w:rsidR="00CA0B25" w:rsidRPr="00120AA9" w:rsidRDefault="00E77ED2" w:rsidP="004D4BF8">
      <w:pPr>
        <w:pStyle w:val="Fait"/>
        <w:rPr>
          <w:noProof/>
        </w:rPr>
      </w:pPr>
      <w:r w:rsidRPr="00E77ED2">
        <w:t>Sastavljeno u Bruxellesu</w:t>
      </w:r>
    </w:p>
    <w:p w14:paraId="1D1FCA2E" w14:textId="77777777" w:rsidR="00CA0B25" w:rsidRPr="00120AA9" w:rsidRDefault="00CA0B25" w:rsidP="004D4BF8">
      <w:pPr>
        <w:pStyle w:val="Institutionquisigne"/>
        <w:rPr>
          <w:noProof/>
        </w:rPr>
      </w:pPr>
      <w:r w:rsidRPr="00120AA9">
        <w:rPr>
          <w:noProof/>
        </w:rPr>
        <w:tab/>
        <w:t>Za Vijeće</w:t>
      </w:r>
    </w:p>
    <w:p w14:paraId="679C0174" w14:textId="77777777" w:rsidR="00CA0B25" w:rsidRPr="00120AA9" w:rsidRDefault="00CA0B25" w:rsidP="00CA0B25">
      <w:pPr>
        <w:pStyle w:val="Personnequisigne"/>
        <w:rPr>
          <w:noProof/>
        </w:rPr>
      </w:pPr>
      <w:r w:rsidRPr="00120AA9">
        <w:rPr>
          <w:noProof/>
        </w:rPr>
        <w:tab/>
        <w:t>Predsjednik</w:t>
      </w:r>
    </w:p>
    <w:sectPr w:rsidR="00CA0B25" w:rsidRPr="00120AA9" w:rsidSect="001C7B60">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06206" w14:textId="77777777" w:rsidR="00A56EB7" w:rsidRDefault="00A56EB7" w:rsidP="00CA0B25">
      <w:pPr>
        <w:spacing w:before="0" w:after="0"/>
      </w:pPr>
      <w:r>
        <w:separator/>
      </w:r>
    </w:p>
  </w:endnote>
  <w:endnote w:type="continuationSeparator" w:id="0">
    <w:p w14:paraId="1FC684C9" w14:textId="77777777" w:rsidR="00A56EB7" w:rsidRDefault="00A56EB7" w:rsidP="00CA0B25">
      <w:pPr>
        <w:spacing w:before="0" w:after="0"/>
      </w:pPr>
      <w:r>
        <w:continuationSeparator/>
      </w:r>
    </w:p>
  </w:endnote>
  <w:endnote w:type="continuationNotice" w:id="1">
    <w:p w14:paraId="5387C3AB" w14:textId="77777777" w:rsidR="00A56EB7" w:rsidRDefault="00A56E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993A" w14:textId="0F00F119" w:rsidR="00391BB7" w:rsidRPr="001C7B60" w:rsidRDefault="001C7B60" w:rsidP="001C7B60">
    <w:pPr>
      <w:pStyle w:val="Footer"/>
      <w:rPr>
        <w:rFonts w:ascii="Arial" w:hAnsi="Arial" w:cs="Arial"/>
        <w:b/>
        <w:sz w:val="48"/>
      </w:rPr>
    </w:pPr>
    <w:r w:rsidRPr="001C7B60">
      <w:rPr>
        <w:rFonts w:ascii="Arial" w:hAnsi="Arial" w:cs="Arial"/>
        <w:b/>
        <w:sz w:val="48"/>
      </w:rPr>
      <w:t>HR</w:t>
    </w:r>
    <w:r w:rsidRPr="001C7B60">
      <w:rPr>
        <w:rFonts w:ascii="Arial" w:hAnsi="Arial" w:cs="Arial"/>
        <w:b/>
        <w:sz w:val="48"/>
      </w:rPr>
      <w:tab/>
    </w:r>
    <w:r w:rsidRPr="001C7B60">
      <w:rPr>
        <w:rFonts w:ascii="Arial" w:hAnsi="Arial" w:cs="Arial"/>
        <w:b/>
        <w:sz w:val="48"/>
      </w:rPr>
      <w:tab/>
    </w:r>
    <w:r w:rsidRPr="001C7B60">
      <w:tab/>
    </w:r>
    <w:r w:rsidRPr="001C7B60">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FCAFC" w14:textId="51619E80" w:rsidR="001C7B60" w:rsidRPr="001C7B60" w:rsidRDefault="001C7B60" w:rsidP="001C7B60">
    <w:pPr>
      <w:pStyle w:val="Footer"/>
      <w:rPr>
        <w:rFonts w:ascii="Arial" w:hAnsi="Arial" w:cs="Arial"/>
        <w:b/>
        <w:sz w:val="48"/>
      </w:rPr>
    </w:pPr>
    <w:r w:rsidRPr="001C7B60">
      <w:rPr>
        <w:rFonts w:ascii="Arial" w:hAnsi="Arial" w:cs="Arial"/>
        <w:b/>
        <w:sz w:val="48"/>
      </w:rPr>
      <w:t>HR</w:t>
    </w:r>
    <w:r w:rsidRPr="001C7B60">
      <w:rPr>
        <w:rFonts w:ascii="Arial" w:hAnsi="Arial" w:cs="Arial"/>
        <w:b/>
        <w:sz w:val="48"/>
      </w:rPr>
      <w:tab/>
    </w:r>
    <w:r>
      <w:fldChar w:fldCharType="begin"/>
    </w:r>
    <w:r>
      <w:instrText xml:space="preserve"> PAGE  \* MERGEFORMAT </w:instrText>
    </w:r>
    <w:r>
      <w:fldChar w:fldCharType="separate"/>
    </w:r>
    <w:r w:rsidR="004D4BF8">
      <w:rPr>
        <w:noProof/>
      </w:rPr>
      <w:t>11</w:t>
    </w:r>
    <w:r>
      <w:fldChar w:fldCharType="end"/>
    </w:r>
    <w:r>
      <w:tab/>
    </w:r>
    <w:r w:rsidRPr="001C7B60">
      <w:tab/>
    </w:r>
    <w:r w:rsidRPr="001C7B60">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4034" w14:textId="77777777" w:rsidR="001C7B60" w:rsidRPr="001C7B60" w:rsidRDefault="001C7B60" w:rsidP="001C7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B7DF" w14:textId="77777777" w:rsidR="00A56EB7" w:rsidRDefault="00A56EB7" w:rsidP="00CA0B25">
      <w:pPr>
        <w:spacing w:before="0" w:after="0"/>
      </w:pPr>
      <w:r>
        <w:separator/>
      </w:r>
    </w:p>
  </w:footnote>
  <w:footnote w:type="continuationSeparator" w:id="0">
    <w:p w14:paraId="039FF599" w14:textId="77777777" w:rsidR="00A56EB7" w:rsidRDefault="00A56EB7" w:rsidP="00CA0B25">
      <w:pPr>
        <w:spacing w:before="0" w:after="0"/>
      </w:pPr>
      <w:r>
        <w:continuationSeparator/>
      </w:r>
    </w:p>
  </w:footnote>
  <w:footnote w:type="continuationNotice" w:id="1">
    <w:p w14:paraId="7C986888" w14:textId="77777777" w:rsidR="00A56EB7" w:rsidRDefault="00A56EB7">
      <w:pPr>
        <w:spacing w:before="0" w:after="0"/>
      </w:pPr>
    </w:p>
  </w:footnote>
  <w:footnote w:id="2">
    <w:p w14:paraId="096891C3" w14:textId="77777777" w:rsidR="00A56EB7" w:rsidRPr="00494A36" w:rsidRDefault="00A56EB7" w:rsidP="00373387">
      <w:pPr>
        <w:pStyle w:val="FootnoteText"/>
      </w:pPr>
      <w:r>
        <w:rPr>
          <w:rStyle w:val="FootnoteReference"/>
        </w:rPr>
        <w:footnoteRef/>
      </w:r>
      <w:r>
        <w:tab/>
        <w:t>SL L 209, 2.8.1997., str. 1.</w:t>
      </w:r>
    </w:p>
  </w:footnote>
  <w:footnote w:id="3">
    <w:p w14:paraId="0BACA515" w14:textId="77777777" w:rsidR="00A56EB7" w:rsidRDefault="00A56EB7" w:rsidP="00373387">
      <w:pPr>
        <w:pStyle w:val="FootnoteText"/>
      </w:pPr>
      <w:r>
        <w:rPr>
          <w:rStyle w:val="FootnoteReference"/>
        </w:rPr>
        <w:footnoteRef/>
      </w:r>
      <w:r>
        <w:tab/>
        <w:t>Uredba (EU) 2021/241 Europskog parlamenta i Vijeća od 12. veljače 2021. o uspostavi Mehanizma za oporavak i otpornost (SL L 57, 18.2.2021., str. 17.).</w:t>
      </w:r>
    </w:p>
  </w:footnote>
  <w:footnote w:id="4">
    <w:p w14:paraId="7945D5CA" w14:textId="4120142C" w:rsidR="00A56EB7" w:rsidRDefault="00A56EB7" w:rsidP="6A50C796">
      <w:pPr>
        <w:pStyle w:val="FootnoteText"/>
      </w:pPr>
      <w:r>
        <w:rPr>
          <w:rStyle w:val="FootnoteReference"/>
        </w:rPr>
        <w:footnoteRef/>
      </w:r>
      <w:r>
        <w:tab/>
        <w:t>COM(2022) 780 final.</w:t>
      </w:r>
    </w:p>
  </w:footnote>
  <w:footnote w:id="5">
    <w:p w14:paraId="0727AB4F" w14:textId="6A951526" w:rsidR="00A56EB7" w:rsidRPr="000C69B9" w:rsidRDefault="00A56EB7">
      <w:pPr>
        <w:pStyle w:val="FootnoteText"/>
      </w:pPr>
      <w:r>
        <w:rPr>
          <w:rStyle w:val="FootnoteReference"/>
        </w:rPr>
        <w:footnoteRef/>
      </w:r>
      <w:r>
        <w:tab/>
        <w:t>COM(2023) 62 final.</w:t>
      </w:r>
    </w:p>
  </w:footnote>
  <w:footnote w:id="6">
    <w:p w14:paraId="17E3B22B" w14:textId="48A575E4" w:rsidR="00A56EB7" w:rsidRDefault="00A56EB7">
      <w:pPr>
        <w:pStyle w:val="FootnoteText"/>
      </w:pPr>
      <w:r>
        <w:rPr>
          <w:rStyle w:val="FootnoteReference"/>
        </w:rPr>
        <w:footnoteRef/>
      </w:r>
      <w:r>
        <w:tab/>
        <w:t xml:space="preserve">COM(2023) 168 final. </w:t>
      </w:r>
    </w:p>
  </w:footnote>
  <w:footnote w:id="7">
    <w:p w14:paraId="1536E581" w14:textId="4899EFA3" w:rsidR="00A56EB7" w:rsidRDefault="00A56EB7" w:rsidP="00DB7D6E">
      <w:pPr>
        <w:pStyle w:val="FootnoteText"/>
      </w:pPr>
      <w:r>
        <w:rPr>
          <w:rStyle w:val="FootnoteReference"/>
        </w:rPr>
        <w:footnoteRef/>
      </w:r>
      <w:r>
        <w:tab/>
        <w:t>Uredba (EU) 2023/435 Europskog parlamenta i Vijeća od 27. veljače 2023. o izmjeni Uredbe (EU) 2021/241 u pogledu poglavljâ o planu REPowerEU u planovima za oporavak i otpornost i o izmjeni uredaba (EU) br. 1303/2013, (EU) 2021/1060 i (EU) 2021/1755 te Direktive 2003/87/EZ (SL L 63, 28.2.2023., str. 1.).</w:t>
      </w:r>
    </w:p>
  </w:footnote>
  <w:footnote w:id="8">
    <w:p w14:paraId="760F3D15" w14:textId="77777777" w:rsidR="00A56EB7" w:rsidRPr="002D5F48" w:rsidRDefault="00A56EB7" w:rsidP="006F032B">
      <w:pPr>
        <w:pStyle w:val="FootnoteText"/>
      </w:pPr>
      <w:r>
        <w:rPr>
          <w:rStyle w:val="FootnoteReference"/>
        </w:rPr>
        <w:footnoteRef/>
      </w:r>
      <w:r>
        <w:tab/>
        <w:t>COM(2023) 141 final.</w:t>
      </w:r>
    </w:p>
  </w:footnote>
  <w:footnote w:id="9">
    <w:p w14:paraId="41A749D0" w14:textId="12B16810" w:rsidR="00A56EB7" w:rsidRPr="00C851E9" w:rsidRDefault="00A56EB7" w:rsidP="006F032B">
      <w:pPr>
        <w:pStyle w:val="FootnoteText"/>
      </w:pPr>
      <w:r>
        <w:rPr>
          <w:rStyle w:val="FootnoteReference"/>
        </w:rPr>
        <w:footnoteRef/>
      </w:r>
      <w:r>
        <w:tab/>
        <w:t>COM(2022) 583 final.</w:t>
      </w:r>
    </w:p>
  </w:footnote>
  <w:footnote w:id="10">
    <w:p w14:paraId="49C77BB7" w14:textId="77777777" w:rsidR="00A56EB7" w:rsidRDefault="00A56EB7" w:rsidP="00373387">
      <w:pPr>
        <w:pStyle w:val="FootnoteText"/>
      </w:pPr>
      <w:r>
        <w:rPr>
          <w:rStyle w:val="FootnoteReference"/>
        </w:rPr>
        <w:footnoteRef/>
      </w:r>
      <w:r>
        <w:tab/>
        <w:t>Provedbena odluka Vijeća od 5. listopada 2021. o odobrenju ocjene plana za oporavak i otpornost Malte (ST 11941/2021; ST 11941/2021 ADD 1).</w:t>
      </w:r>
    </w:p>
  </w:footnote>
  <w:footnote w:id="11">
    <w:p w14:paraId="04E1FC71" w14:textId="77777777" w:rsidR="00A56EB7" w:rsidRPr="00020688" w:rsidRDefault="00A56EB7" w:rsidP="00373387">
      <w:pPr>
        <w:pStyle w:val="FootnoteText"/>
      </w:pPr>
      <w:r>
        <w:rPr>
          <w:rStyle w:val="FootnoteReference"/>
        </w:rPr>
        <w:footnoteRef/>
      </w:r>
      <w:r>
        <w:tab/>
        <w:t>SWD(2023) 618 final.</w:t>
      </w:r>
    </w:p>
  </w:footnote>
  <w:footnote w:id="12">
    <w:p w14:paraId="6C9E302C" w14:textId="1078E671" w:rsidR="00B21854" w:rsidRPr="00BC4EBD" w:rsidRDefault="00B21854" w:rsidP="00C63CA7">
      <w:pPr>
        <w:pStyle w:val="FootnoteText"/>
      </w:pPr>
      <w:r>
        <w:rPr>
          <w:rStyle w:val="FootnoteReference"/>
        </w:rPr>
        <w:footnoteRef/>
      </w:r>
      <w:r>
        <w:tab/>
        <w:t xml:space="preserve">Eurostat–Euro Indicators (Pokazatelji za europodručje), </w:t>
      </w:r>
      <w:bookmarkStart w:id="1" w:name="_Hlk134625695"/>
      <w:r>
        <w:t>47/2023, 21.4.2023.</w:t>
      </w:r>
      <w:bookmarkEnd w:id="1"/>
    </w:p>
  </w:footnote>
  <w:footnote w:id="13">
    <w:p w14:paraId="0BAAFFE0" w14:textId="645F6D44" w:rsidR="00B21854" w:rsidRPr="00BC4EBD" w:rsidRDefault="00B21854" w:rsidP="00C63CA7">
      <w:pPr>
        <w:pStyle w:val="FootnoteText"/>
      </w:pPr>
      <w:r>
        <w:rPr>
          <w:rStyle w:val="FootnoteReference"/>
        </w:rPr>
        <w:footnoteRef/>
      </w:r>
      <w:r>
        <w:tab/>
        <w:t>COM(2023) 631 final, 24.5.2023.</w:t>
      </w:r>
    </w:p>
  </w:footnote>
  <w:footnote w:id="14">
    <w:p w14:paraId="3A26D977" w14:textId="7577E5C4" w:rsidR="00B21854" w:rsidRPr="00BC4EBD" w:rsidRDefault="00B21854" w:rsidP="00C63CA7">
      <w:pPr>
        <w:pStyle w:val="FootnoteText"/>
      </w:pPr>
      <w:r>
        <w:rPr>
          <w:rStyle w:val="FootnoteReference"/>
        </w:rPr>
        <w:footnoteRef/>
      </w:r>
      <w:r>
        <w:tab/>
        <w:t>COM(2023) 141 final, 8.3.2023.</w:t>
      </w:r>
    </w:p>
  </w:footnote>
  <w:footnote w:id="15">
    <w:p w14:paraId="7F7180B2" w14:textId="396FFCAA" w:rsidR="00B21854" w:rsidRPr="00BC4EBD" w:rsidRDefault="00B21854" w:rsidP="00B21854">
      <w:pPr>
        <w:pStyle w:val="FootnoteText"/>
      </w:pPr>
      <w:r>
        <w:rPr>
          <w:rStyle w:val="FootnoteReference"/>
        </w:rPr>
        <w:footnoteRef/>
      </w:r>
      <w:r>
        <w:tab/>
        <w:t>Preporuka Vijeća od 18. lipnja 2021. i davanje mišljenja Vijeća o Programu stabilnosti Malte za 2021., SL C 304, 29.7.2021., str. 83.</w:t>
      </w:r>
    </w:p>
  </w:footnote>
  <w:footnote w:id="16">
    <w:p w14:paraId="40631E08" w14:textId="1F36CC9B" w:rsidR="00B21854" w:rsidRPr="00B21854" w:rsidRDefault="00B21854" w:rsidP="00B21854">
      <w:pPr>
        <w:pStyle w:val="FootnoteText"/>
      </w:pPr>
      <w:r>
        <w:rPr>
          <w:rStyle w:val="FootnoteReference"/>
        </w:rPr>
        <w:footnoteRef/>
      </w:r>
      <w:r>
        <w:tab/>
        <w:t xml:space="preserve">Smjer fiskalne politike mjeri se kao promjena primarnih rashoda (bez diskrecijskih mjera na strani prihoda), isključujući privremene hitne mjere uvedene zbog krize uzrokovane bolešću COVID-19, ali uključujući rashode koji se financiraju bespovratnom potporom (bespovratna sredstva) iz Mehanizma za oporavak i otpornost i sredstvima drugih fondova EU-a, u odnosu na srednjoročni potencijalni rast. Za više detalja vidjeti okvir 1 u tablicama s fiskalnim statističkim podacima. </w:t>
      </w:r>
    </w:p>
  </w:footnote>
  <w:footnote w:id="17">
    <w:p w14:paraId="3583EC01" w14:textId="1918C209" w:rsidR="00B21854" w:rsidRPr="00BC4EBD" w:rsidRDefault="00B21854" w:rsidP="00B21854">
      <w:pPr>
        <w:pStyle w:val="FootnoteText"/>
        <w:spacing w:after="120"/>
      </w:pPr>
      <w:r>
        <w:rPr>
          <w:rStyle w:val="FootnoteReference"/>
        </w:rPr>
        <w:footnoteRef/>
      </w:r>
      <w:r>
        <w:tab/>
        <w:t xml:space="preserve">Ostali kapitalni rashodi koje financira država imali su kontrakcijski učinak od 0,3 postotna boda BDP-a. </w:t>
      </w:r>
    </w:p>
  </w:footnote>
  <w:footnote w:id="18">
    <w:p w14:paraId="2101A6B3" w14:textId="2482138C" w:rsidR="00B21854" w:rsidRPr="00166F81" w:rsidRDefault="00B21854" w:rsidP="00B21854">
      <w:pPr>
        <w:pStyle w:val="FootnoteText"/>
      </w:pPr>
      <w:r>
        <w:rPr>
          <w:rStyle w:val="FootnoteReference"/>
        </w:rPr>
        <w:footnoteRef/>
      </w:r>
      <w:r>
        <w:tab/>
        <w:t>Iznos predstavlja razinu godišnjih proračunskih troškova tih mjera, uključujući tekuće prihode i rashode te, prema potrebi, mjere za kapitalne rashode.</w:t>
      </w:r>
    </w:p>
  </w:footnote>
  <w:footnote w:id="19">
    <w:p w14:paraId="5764EDAE" w14:textId="4B104D7A" w:rsidR="00B21854" w:rsidRPr="00BC4EBD" w:rsidRDefault="00B21854" w:rsidP="00B21854">
      <w:pPr>
        <w:pStyle w:val="FootnoteText"/>
        <w:rPr>
          <w:i/>
          <w:iCs/>
        </w:rPr>
      </w:pPr>
      <w:r>
        <w:rPr>
          <w:rStyle w:val="FootnoteReference"/>
        </w:rPr>
        <w:footnoteRef/>
      </w:r>
      <w:r>
        <w:tab/>
        <w:t>Preporuka Vijeća od 12. srpnja 2022. o Nacionalnom programu reformi Malte i davanje mišljenja Vijeća o Programu stabilnosti Malte za 2022., SL C 334, 1.9.2022., str. 146.</w:t>
      </w:r>
      <w:r>
        <w:rPr>
          <w:i/>
        </w:rPr>
        <w:t xml:space="preserve"> </w:t>
      </w:r>
    </w:p>
  </w:footnote>
  <w:footnote w:id="20">
    <w:p w14:paraId="55FEFF15" w14:textId="0D0CB819" w:rsidR="00B21854" w:rsidRPr="00BC4EBD" w:rsidRDefault="00B21854" w:rsidP="00B21854">
      <w:pPr>
        <w:pStyle w:val="FootnoteText"/>
      </w:pPr>
      <w:r>
        <w:rPr>
          <w:rStyle w:val="FootnoteReference"/>
        </w:rPr>
        <w:footnoteRef/>
      </w:r>
      <w:r>
        <w:tab/>
        <w:t>Na temelju Komisijine proljetne prognoze 2023. procjenjuje se da će srednjoročni (prosječni desetogodišnji) potencijalni rast proizvodnje Malte, korišten za mjerenje smjera fiskalne politike, iznositi 9,5 % u nominalnom smislu.</w:t>
      </w:r>
    </w:p>
  </w:footnote>
  <w:footnote w:id="21">
    <w:p w14:paraId="328C9E6C" w14:textId="319B226D" w:rsidR="00B21854" w:rsidRPr="00166F81" w:rsidRDefault="00B21854" w:rsidP="00C63CA7">
      <w:pPr>
        <w:pStyle w:val="FootnoteText"/>
      </w:pPr>
      <w:r>
        <w:rPr>
          <w:rStyle w:val="FootnoteReference"/>
        </w:rPr>
        <w:footnoteRef/>
      </w:r>
      <w:r>
        <w:tab/>
        <w:t xml:space="preserve">Predviđa se da će učinak ostalih kapitalnih rashoda koje financira država biti neutralan i iznositi 0,0 postotnih bodova BDP-a. </w:t>
      </w:r>
    </w:p>
  </w:footnote>
  <w:footnote w:id="22">
    <w:p w14:paraId="57A66E40" w14:textId="4B76B6A8" w:rsidR="00B21854" w:rsidRPr="00B2603E" w:rsidRDefault="00B21854" w:rsidP="00B21854">
      <w:pPr>
        <w:pStyle w:val="FootnoteText"/>
      </w:pPr>
      <w:r>
        <w:rPr>
          <w:rStyle w:val="FootnoteReference"/>
        </w:rPr>
        <w:footnoteRef/>
      </w:r>
      <w:r>
        <w:tab/>
        <w:t>Usp. članak 5. Uredbe Vijeća (EZ) br. 1466/97 u kojem se propisuje i prilagodba za više od 0,5 % BDP-a za države članice čija razina duga prelazi 60 % BDP-a ili koje imaju znatne rizike u pogledu održivosti sveukupnog duga.</w:t>
      </w:r>
    </w:p>
  </w:footnote>
  <w:footnote w:id="23">
    <w:p w14:paraId="26E05F00" w14:textId="71AD6DD4" w:rsidR="00B21854" w:rsidRPr="00F859D5" w:rsidRDefault="00B21854" w:rsidP="00B21854">
      <w:pPr>
        <w:pStyle w:val="FootnoteText"/>
      </w:pPr>
      <w:r>
        <w:rPr>
          <w:rStyle w:val="FootnoteReference"/>
        </w:rPr>
        <w:footnoteRef/>
      </w:r>
      <w:r>
        <w:tab/>
        <w:t>Komisija procjenjuje da bi Malta trebala ostvariti prosječno godišnje povećanje strukturnog primarnog salda kao udjela u BDP-u od 0,3 postotnih bodova da bi postigla održivo smanjenje duga ili zadržala državni dug na razboritim razinama u srednjoročnom razdoblju. Ta se procjena temelji na Komisijinoj jesenskoj prognozi 2022. Polazište za tu procjenu je predviđanje državnog deficita i duga za 2024.</w:t>
      </w:r>
    </w:p>
  </w:footnote>
  <w:footnote w:id="24">
    <w:p w14:paraId="08A93D00" w14:textId="1F400017" w:rsidR="00A56EB7" w:rsidRPr="005A3663" w:rsidRDefault="00A56EB7">
      <w:pPr>
        <w:pStyle w:val="FootnoteText"/>
      </w:pPr>
      <w:r>
        <w:rPr>
          <w:rStyle w:val="FootnoteReference"/>
        </w:rPr>
        <w:footnoteRef/>
      </w:r>
      <w:r>
        <w:tab/>
        <w:t>Uredba Vijeća (EU) 2022/1369.</w:t>
      </w:r>
    </w:p>
  </w:footnote>
  <w:footnote w:id="25">
    <w:p w14:paraId="5F95CCBD" w14:textId="77777777" w:rsidR="00A56EB7" w:rsidRPr="008F6686" w:rsidRDefault="00A56EB7" w:rsidP="00943182">
      <w:pPr>
        <w:pStyle w:val="FootnoteText"/>
      </w:pPr>
      <w:r>
        <w:rPr>
          <w:rStyle w:val="FootnoteReference"/>
        </w:rPr>
        <w:footnoteRef/>
      </w:r>
      <w:r>
        <w:tab/>
        <w:t>U skladu s člankom 5. stavkom 2. i člankom 9. stavkom 2. Uredbe Vijeća (EZ) br. 1466/97.</w:t>
      </w:r>
    </w:p>
  </w:footnote>
</w:footnotes>
</file>

<file path=word/intelligence2.xml><?xml version="1.0" encoding="utf-8"?>
<int2:intelligence xmlns:int2="http://schemas.microsoft.com/office/intelligence/2020/intelligence" xmlns:oel="http://schemas.microsoft.com/office/2019/extlst">
  <int2:observations>
    <int2:bookmark int2:bookmarkName="_Int_XF7g9O2y" int2:invalidationBookmarkName="" int2:hashCode="Xtmc0LkefyNkzh" int2:id="vD4xuaX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6-02 17:30: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1D0EB88-0953-4836-AF77-51615EE8706D"/>
    <w:docVar w:name="LW_COVERPAGE_TYPE" w:val="1"/>
    <w:docVar w:name="LW_CROSSREFERENCE" w:val="{SWD(2023) 618 final}"/>
    <w:docVar w:name="LW_DocType" w:val="COM"/>
    <w:docVar w:name="LW_EMISSION" w:val="24.5.2023."/>
    <w:docVar w:name="LW_EMISSION_ISODATE" w:val="2023-05-24"/>
    <w:docVar w:name="LW_EMISSION_LOCATION" w:val="BRX"/>
    <w:docVar w:name="LW_EMISSION_PREFIX" w:val="Bruxelles, "/>
    <w:docVar w:name="LW_EMISSION_SUFFIX" w:val="&lt;EMPTY&gt;"/>
    <w:docVar w:name="LW_ID_DOCMODEL" w:val="SG-002"/>
    <w:docVar w:name="LW_ID_DOCSIGNATURE" w:val="SG-002"/>
    <w:docVar w:name="LW_ID_DOCSTRUCTURE" w:val="COM/PL/ORG/NOEEA"/>
    <w:docVar w:name="LW_ID_DOCTYPE" w:val="SG-002"/>
    <w:docVar w:name="LW_ID_EXP.MOTIFS.NEW" w:val="EM_PL_"/>
    <w:docVar w:name="LW_ID_STATUT" w:val="SG-002"/>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6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poruka za"/>
    <w:docVar w:name="LW_SUPERTITRE" w:val="&lt;UNUSED&gt;"/>
    <w:docVar w:name="LW_TITRE.OBJ.CP" w:val="o Nacionalnom programu reformi Malte za 2023. i davanje mišljenja Vijeća o Programu stabilnosti Malte za 2023."/>
    <w:docVar w:name="LW_TYPE.DOC.CP" w:val="PREPORUKU VIJEĆA"/>
    <w:docVar w:name="LwApiVersions" w:val="LW4CoDe 1.23.2.0; LW 8.0, Build 20211117"/>
  </w:docVars>
  <w:rsids>
    <w:rsidRoot w:val="00CA0B25"/>
    <w:rsid w:val="0000370C"/>
    <w:rsid w:val="00004EC6"/>
    <w:rsid w:val="00005282"/>
    <w:rsid w:val="00006579"/>
    <w:rsid w:val="0000740E"/>
    <w:rsid w:val="00007A9B"/>
    <w:rsid w:val="00010F9C"/>
    <w:rsid w:val="0001198C"/>
    <w:rsid w:val="00013C0A"/>
    <w:rsid w:val="000165A3"/>
    <w:rsid w:val="00020688"/>
    <w:rsid w:val="00020FE8"/>
    <w:rsid w:val="0002269A"/>
    <w:rsid w:val="00023A9B"/>
    <w:rsid w:val="0002411D"/>
    <w:rsid w:val="000245D3"/>
    <w:rsid w:val="000245DD"/>
    <w:rsid w:val="000263D7"/>
    <w:rsid w:val="00027253"/>
    <w:rsid w:val="00031AD6"/>
    <w:rsid w:val="00031DA2"/>
    <w:rsid w:val="00032E28"/>
    <w:rsid w:val="00035701"/>
    <w:rsid w:val="000370D6"/>
    <w:rsid w:val="000386EA"/>
    <w:rsid w:val="00040FDA"/>
    <w:rsid w:val="00041078"/>
    <w:rsid w:val="00043124"/>
    <w:rsid w:val="00043149"/>
    <w:rsid w:val="00044986"/>
    <w:rsid w:val="00046491"/>
    <w:rsid w:val="00050D4F"/>
    <w:rsid w:val="00052189"/>
    <w:rsid w:val="00052D21"/>
    <w:rsid w:val="000545B9"/>
    <w:rsid w:val="00060355"/>
    <w:rsid w:val="00062812"/>
    <w:rsid w:val="00062FD6"/>
    <w:rsid w:val="00063304"/>
    <w:rsid w:val="00063E2A"/>
    <w:rsid w:val="00063EF8"/>
    <w:rsid w:val="00065D5D"/>
    <w:rsid w:val="0006725B"/>
    <w:rsid w:val="0007111F"/>
    <w:rsid w:val="00071E31"/>
    <w:rsid w:val="00072591"/>
    <w:rsid w:val="00073F87"/>
    <w:rsid w:val="000810DF"/>
    <w:rsid w:val="00081A8E"/>
    <w:rsid w:val="0008364E"/>
    <w:rsid w:val="00084A34"/>
    <w:rsid w:val="00087396"/>
    <w:rsid w:val="000878D7"/>
    <w:rsid w:val="000905D8"/>
    <w:rsid w:val="00090AFE"/>
    <w:rsid w:val="000913D6"/>
    <w:rsid w:val="0009185B"/>
    <w:rsid w:val="00092CD6"/>
    <w:rsid w:val="000936AC"/>
    <w:rsid w:val="000944D9"/>
    <w:rsid w:val="00094C60"/>
    <w:rsid w:val="0009506B"/>
    <w:rsid w:val="00095791"/>
    <w:rsid w:val="00096500"/>
    <w:rsid w:val="00096D64"/>
    <w:rsid w:val="000A2391"/>
    <w:rsid w:val="000A6883"/>
    <w:rsid w:val="000A72AC"/>
    <w:rsid w:val="000B0580"/>
    <w:rsid w:val="000B0DF6"/>
    <w:rsid w:val="000B17B5"/>
    <w:rsid w:val="000B3859"/>
    <w:rsid w:val="000B394B"/>
    <w:rsid w:val="000B52E8"/>
    <w:rsid w:val="000B5474"/>
    <w:rsid w:val="000B5678"/>
    <w:rsid w:val="000B7A7D"/>
    <w:rsid w:val="000C05B6"/>
    <w:rsid w:val="000C217C"/>
    <w:rsid w:val="000C248B"/>
    <w:rsid w:val="000C2B7F"/>
    <w:rsid w:val="000C2D62"/>
    <w:rsid w:val="000C4D6A"/>
    <w:rsid w:val="000C5C73"/>
    <w:rsid w:val="000C69B9"/>
    <w:rsid w:val="000C6F6E"/>
    <w:rsid w:val="000D0476"/>
    <w:rsid w:val="000D1AA8"/>
    <w:rsid w:val="000D5FB0"/>
    <w:rsid w:val="000D7A16"/>
    <w:rsid w:val="000E13EA"/>
    <w:rsid w:val="000E3F61"/>
    <w:rsid w:val="000E40F8"/>
    <w:rsid w:val="000E4BF9"/>
    <w:rsid w:val="000E7370"/>
    <w:rsid w:val="000E768D"/>
    <w:rsid w:val="000E7B98"/>
    <w:rsid w:val="000E7D9A"/>
    <w:rsid w:val="000ECA4D"/>
    <w:rsid w:val="000F1E8E"/>
    <w:rsid w:val="000F25EF"/>
    <w:rsid w:val="000F4517"/>
    <w:rsid w:val="000F6389"/>
    <w:rsid w:val="0010048E"/>
    <w:rsid w:val="001016AD"/>
    <w:rsid w:val="001027EA"/>
    <w:rsid w:val="0010389C"/>
    <w:rsid w:val="00103C02"/>
    <w:rsid w:val="00104902"/>
    <w:rsid w:val="00105705"/>
    <w:rsid w:val="001061C2"/>
    <w:rsid w:val="00106FD8"/>
    <w:rsid w:val="001073E3"/>
    <w:rsid w:val="00107F3A"/>
    <w:rsid w:val="00110194"/>
    <w:rsid w:val="001106F6"/>
    <w:rsid w:val="00112186"/>
    <w:rsid w:val="001125B7"/>
    <w:rsid w:val="00113939"/>
    <w:rsid w:val="00114400"/>
    <w:rsid w:val="00114BB0"/>
    <w:rsid w:val="001165D9"/>
    <w:rsid w:val="00116DBC"/>
    <w:rsid w:val="0011760E"/>
    <w:rsid w:val="00120AA9"/>
    <w:rsid w:val="00122014"/>
    <w:rsid w:val="00122852"/>
    <w:rsid w:val="00125E4A"/>
    <w:rsid w:val="00126343"/>
    <w:rsid w:val="001267B4"/>
    <w:rsid w:val="0012764B"/>
    <w:rsid w:val="0012FDB7"/>
    <w:rsid w:val="00133D60"/>
    <w:rsid w:val="001357B1"/>
    <w:rsid w:val="00136F09"/>
    <w:rsid w:val="00136FDF"/>
    <w:rsid w:val="00137FF7"/>
    <w:rsid w:val="001411A8"/>
    <w:rsid w:val="001417DD"/>
    <w:rsid w:val="001427EC"/>
    <w:rsid w:val="00143F22"/>
    <w:rsid w:val="00145706"/>
    <w:rsid w:val="001469B4"/>
    <w:rsid w:val="00150CB9"/>
    <w:rsid w:val="00152242"/>
    <w:rsid w:val="00152894"/>
    <w:rsid w:val="00152E6B"/>
    <w:rsid w:val="001531F4"/>
    <w:rsid w:val="001541F4"/>
    <w:rsid w:val="00154D5D"/>
    <w:rsid w:val="00155840"/>
    <w:rsid w:val="00157C25"/>
    <w:rsid w:val="00157F28"/>
    <w:rsid w:val="00160B7A"/>
    <w:rsid w:val="00160D75"/>
    <w:rsid w:val="00162CDF"/>
    <w:rsid w:val="00163AC9"/>
    <w:rsid w:val="00164526"/>
    <w:rsid w:val="00165839"/>
    <w:rsid w:val="00170018"/>
    <w:rsid w:val="00170193"/>
    <w:rsid w:val="00170C28"/>
    <w:rsid w:val="00174118"/>
    <w:rsid w:val="00174ED3"/>
    <w:rsid w:val="00177216"/>
    <w:rsid w:val="001816E9"/>
    <w:rsid w:val="001830FF"/>
    <w:rsid w:val="001836CA"/>
    <w:rsid w:val="001837C8"/>
    <w:rsid w:val="00184152"/>
    <w:rsid w:val="00184809"/>
    <w:rsid w:val="0018523B"/>
    <w:rsid w:val="00185C62"/>
    <w:rsid w:val="00185C91"/>
    <w:rsid w:val="00187849"/>
    <w:rsid w:val="00191338"/>
    <w:rsid w:val="00194866"/>
    <w:rsid w:val="001A67F4"/>
    <w:rsid w:val="001B04B0"/>
    <w:rsid w:val="001B0520"/>
    <w:rsid w:val="001B0E57"/>
    <w:rsid w:val="001B1979"/>
    <w:rsid w:val="001B2868"/>
    <w:rsid w:val="001B40E5"/>
    <w:rsid w:val="001B4186"/>
    <w:rsid w:val="001B4263"/>
    <w:rsid w:val="001B448E"/>
    <w:rsid w:val="001B57B6"/>
    <w:rsid w:val="001B6990"/>
    <w:rsid w:val="001B6EC0"/>
    <w:rsid w:val="001B7CC8"/>
    <w:rsid w:val="001C0E58"/>
    <w:rsid w:val="001C2E44"/>
    <w:rsid w:val="001C3BC4"/>
    <w:rsid w:val="001C4D0C"/>
    <w:rsid w:val="001C7B60"/>
    <w:rsid w:val="001D28B5"/>
    <w:rsid w:val="001D414D"/>
    <w:rsid w:val="001D67F8"/>
    <w:rsid w:val="001E1AFF"/>
    <w:rsid w:val="001E22F2"/>
    <w:rsid w:val="001E2EE0"/>
    <w:rsid w:val="001E3EC2"/>
    <w:rsid w:val="001E4357"/>
    <w:rsid w:val="001E6B57"/>
    <w:rsid w:val="001F06CD"/>
    <w:rsid w:val="001F105B"/>
    <w:rsid w:val="001F15DE"/>
    <w:rsid w:val="001F258F"/>
    <w:rsid w:val="001F4700"/>
    <w:rsid w:val="001F5446"/>
    <w:rsid w:val="001F5BF5"/>
    <w:rsid w:val="001F6E8B"/>
    <w:rsid w:val="001F743C"/>
    <w:rsid w:val="001F76CB"/>
    <w:rsid w:val="001F7770"/>
    <w:rsid w:val="001F7A39"/>
    <w:rsid w:val="00200008"/>
    <w:rsid w:val="0020052A"/>
    <w:rsid w:val="00200B0B"/>
    <w:rsid w:val="00201F42"/>
    <w:rsid w:val="00204283"/>
    <w:rsid w:val="0020610B"/>
    <w:rsid w:val="002061D5"/>
    <w:rsid w:val="00211078"/>
    <w:rsid w:val="0021138C"/>
    <w:rsid w:val="00212A32"/>
    <w:rsid w:val="00212FC9"/>
    <w:rsid w:val="00213136"/>
    <w:rsid w:val="002141DA"/>
    <w:rsid w:val="00215179"/>
    <w:rsid w:val="0021524D"/>
    <w:rsid w:val="0021620D"/>
    <w:rsid w:val="002176E0"/>
    <w:rsid w:val="002223AA"/>
    <w:rsid w:val="00222908"/>
    <w:rsid w:val="0022380A"/>
    <w:rsid w:val="0022587C"/>
    <w:rsid w:val="00225892"/>
    <w:rsid w:val="00225C27"/>
    <w:rsid w:val="002274C4"/>
    <w:rsid w:val="00230555"/>
    <w:rsid w:val="00230B8E"/>
    <w:rsid w:val="00230CDA"/>
    <w:rsid w:val="00230E3F"/>
    <w:rsid w:val="0023106F"/>
    <w:rsid w:val="00232A45"/>
    <w:rsid w:val="002341A0"/>
    <w:rsid w:val="00234AD9"/>
    <w:rsid w:val="002350C7"/>
    <w:rsid w:val="0023592E"/>
    <w:rsid w:val="00237400"/>
    <w:rsid w:val="0023795A"/>
    <w:rsid w:val="00242054"/>
    <w:rsid w:val="002438E9"/>
    <w:rsid w:val="0024585C"/>
    <w:rsid w:val="00246650"/>
    <w:rsid w:val="00250F96"/>
    <w:rsid w:val="00251CCB"/>
    <w:rsid w:val="0025635A"/>
    <w:rsid w:val="00256576"/>
    <w:rsid w:val="00256ADD"/>
    <w:rsid w:val="002601C5"/>
    <w:rsid w:val="00263BD5"/>
    <w:rsid w:val="002641A6"/>
    <w:rsid w:val="002657CF"/>
    <w:rsid w:val="00267DB9"/>
    <w:rsid w:val="00270A0C"/>
    <w:rsid w:val="00272211"/>
    <w:rsid w:val="0027332C"/>
    <w:rsid w:val="002738B7"/>
    <w:rsid w:val="00273A14"/>
    <w:rsid w:val="00274980"/>
    <w:rsid w:val="002762D1"/>
    <w:rsid w:val="00277414"/>
    <w:rsid w:val="00277EBE"/>
    <w:rsid w:val="00282CA5"/>
    <w:rsid w:val="00283681"/>
    <w:rsid w:val="0028368C"/>
    <w:rsid w:val="00286AF7"/>
    <w:rsid w:val="00290DE2"/>
    <w:rsid w:val="00291422"/>
    <w:rsid w:val="002916A6"/>
    <w:rsid w:val="002A5064"/>
    <w:rsid w:val="002B1DBF"/>
    <w:rsid w:val="002B1EB8"/>
    <w:rsid w:val="002C1DB4"/>
    <w:rsid w:val="002C2C0B"/>
    <w:rsid w:val="002C48B2"/>
    <w:rsid w:val="002C5CFE"/>
    <w:rsid w:val="002C6366"/>
    <w:rsid w:val="002C6876"/>
    <w:rsid w:val="002D0AA2"/>
    <w:rsid w:val="002D13BE"/>
    <w:rsid w:val="002D278F"/>
    <w:rsid w:val="002D28B4"/>
    <w:rsid w:val="002D2E5B"/>
    <w:rsid w:val="002D5511"/>
    <w:rsid w:val="002E151B"/>
    <w:rsid w:val="002E162A"/>
    <w:rsid w:val="002E22B0"/>
    <w:rsid w:val="002E413E"/>
    <w:rsid w:val="002E415C"/>
    <w:rsid w:val="002E5146"/>
    <w:rsid w:val="002E5A33"/>
    <w:rsid w:val="002F4AD1"/>
    <w:rsid w:val="002F5813"/>
    <w:rsid w:val="002F67E1"/>
    <w:rsid w:val="002F6BBF"/>
    <w:rsid w:val="002F732D"/>
    <w:rsid w:val="00300A8F"/>
    <w:rsid w:val="0030229B"/>
    <w:rsid w:val="00302841"/>
    <w:rsid w:val="003028F9"/>
    <w:rsid w:val="0030291D"/>
    <w:rsid w:val="00302AE9"/>
    <w:rsid w:val="003042F0"/>
    <w:rsid w:val="0030470F"/>
    <w:rsid w:val="00304ACA"/>
    <w:rsid w:val="00305FC7"/>
    <w:rsid w:val="00307A55"/>
    <w:rsid w:val="003109C7"/>
    <w:rsid w:val="00310A21"/>
    <w:rsid w:val="00311B80"/>
    <w:rsid w:val="00317C5D"/>
    <w:rsid w:val="00325798"/>
    <w:rsid w:val="00325A32"/>
    <w:rsid w:val="00327745"/>
    <w:rsid w:val="003309FC"/>
    <w:rsid w:val="0033142D"/>
    <w:rsid w:val="00333AF1"/>
    <w:rsid w:val="0033634E"/>
    <w:rsid w:val="00336C6A"/>
    <w:rsid w:val="00337594"/>
    <w:rsid w:val="00341D5B"/>
    <w:rsid w:val="00342427"/>
    <w:rsid w:val="0034296C"/>
    <w:rsid w:val="0034468E"/>
    <w:rsid w:val="00344D76"/>
    <w:rsid w:val="00344D93"/>
    <w:rsid w:val="003458C8"/>
    <w:rsid w:val="00345A44"/>
    <w:rsid w:val="00351E63"/>
    <w:rsid w:val="0035237D"/>
    <w:rsid w:val="00355353"/>
    <w:rsid w:val="00355889"/>
    <w:rsid w:val="0035F0D6"/>
    <w:rsid w:val="00362443"/>
    <w:rsid w:val="0036364C"/>
    <w:rsid w:val="00363ED7"/>
    <w:rsid w:val="00365DFA"/>
    <w:rsid w:val="0036600B"/>
    <w:rsid w:val="00366308"/>
    <w:rsid w:val="00366531"/>
    <w:rsid w:val="003672A6"/>
    <w:rsid w:val="00373387"/>
    <w:rsid w:val="00374BBF"/>
    <w:rsid w:val="0037691E"/>
    <w:rsid w:val="003805BC"/>
    <w:rsid w:val="00382410"/>
    <w:rsid w:val="0038529D"/>
    <w:rsid w:val="00385653"/>
    <w:rsid w:val="003871E6"/>
    <w:rsid w:val="00390F56"/>
    <w:rsid w:val="00391353"/>
    <w:rsid w:val="00391BB7"/>
    <w:rsid w:val="00395A6C"/>
    <w:rsid w:val="00396ACD"/>
    <w:rsid w:val="00397326"/>
    <w:rsid w:val="00397B84"/>
    <w:rsid w:val="003A11B8"/>
    <w:rsid w:val="003A1302"/>
    <w:rsid w:val="003A2AE8"/>
    <w:rsid w:val="003A2F6F"/>
    <w:rsid w:val="003A3934"/>
    <w:rsid w:val="003B1328"/>
    <w:rsid w:val="003B16CA"/>
    <w:rsid w:val="003B25B3"/>
    <w:rsid w:val="003B3604"/>
    <w:rsid w:val="003B40C8"/>
    <w:rsid w:val="003B4C73"/>
    <w:rsid w:val="003B4E12"/>
    <w:rsid w:val="003B5CE8"/>
    <w:rsid w:val="003B5F0F"/>
    <w:rsid w:val="003B6752"/>
    <w:rsid w:val="003B7E42"/>
    <w:rsid w:val="003C04C4"/>
    <w:rsid w:val="003C25EB"/>
    <w:rsid w:val="003C2D8A"/>
    <w:rsid w:val="003C499E"/>
    <w:rsid w:val="003C59F5"/>
    <w:rsid w:val="003C6055"/>
    <w:rsid w:val="003C6899"/>
    <w:rsid w:val="003C6B98"/>
    <w:rsid w:val="003D2D50"/>
    <w:rsid w:val="003D2E3D"/>
    <w:rsid w:val="003D4AC4"/>
    <w:rsid w:val="003D5D64"/>
    <w:rsid w:val="003D6953"/>
    <w:rsid w:val="003E2BC7"/>
    <w:rsid w:val="003E6C30"/>
    <w:rsid w:val="003E7335"/>
    <w:rsid w:val="003E77C4"/>
    <w:rsid w:val="003F0F53"/>
    <w:rsid w:val="003F41A0"/>
    <w:rsid w:val="003F44C4"/>
    <w:rsid w:val="003F55C4"/>
    <w:rsid w:val="003F5914"/>
    <w:rsid w:val="003F6E9A"/>
    <w:rsid w:val="003F7149"/>
    <w:rsid w:val="003F7BA0"/>
    <w:rsid w:val="0040287F"/>
    <w:rsid w:val="00404841"/>
    <w:rsid w:val="0040494B"/>
    <w:rsid w:val="00410382"/>
    <w:rsid w:val="004117DA"/>
    <w:rsid w:val="00411CCA"/>
    <w:rsid w:val="00414163"/>
    <w:rsid w:val="00415149"/>
    <w:rsid w:val="00416A89"/>
    <w:rsid w:val="004217A1"/>
    <w:rsid w:val="00421DE9"/>
    <w:rsid w:val="00422BE6"/>
    <w:rsid w:val="004231A1"/>
    <w:rsid w:val="00423A50"/>
    <w:rsid w:val="004248F6"/>
    <w:rsid w:val="00425CE0"/>
    <w:rsid w:val="00427929"/>
    <w:rsid w:val="00430C1F"/>
    <w:rsid w:val="00431799"/>
    <w:rsid w:val="00431DF0"/>
    <w:rsid w:val="004344C5"/>
    <w:rsid w:val="004348BE"/>
    <w:rsid w:val="00437AA5"/>
    <w:rsid w:val="00437D4B"/>
    <w:rsid w:val="0044089F"/>
    <w:rsid w:val="00440D84"/>
    <w:rsid w:val="00442858"/>
    <w:rsid w:val="00442871"/>
    <w:rsid w:val="00442A42"/>
    <w:rsid w:val="00442E20"/>
    <w:rsid w:val="004434BB"/>
    <w:rsid w:val="00443BE1"/>
    <w:rsid w:val="00444CCA"/>
    <w:rsid w:val="00444CCB"/>
    <w:rsid w:val="00447A6C"/>
    <w:rsid w:val="0045090C"/>
    <w:rsid w:val="00450CDB"/>
    <w:rsid w:val="00453172"/>
    <w:rsid w:val="0045561B"/>
    <w:rsid w:val="004558F1"/>
    <w:rsid w:val="00456C19"/>
    <w:rsid w:val="00460B51"/>
    <w:rsid w:val="00461F87"/>
    <w:rsid w:val="004656EA"/>
    <w:rsid w:val="00466D35"/>
    <w:rsid w:val="00466DCF"/>
    <w:rsid w:val="004711A2"/>
    <w:rsid w:val="00471AA8"/>
    <w:rsid w:val="00471D5A"/>
    <w:rsid w:val="004727DE"/>
    <w:rsid w:val="0047462B"/>
    <w:rsid w:val="004750A8"/>
    <w:rsid w:val="0047564F"/>
    <w:rsid w:val="0048031A"/>
    <w:rsid w:val="00480E3F"/>
    <w:rsid w:val="00482EDF"/>
    <w:rsid w:val="00484CEF"/>
    <w:rsid w:val="00484E5E"/>
    <w:rsid w:val="00486B54"/>
    <w:rsid w:val="0048731A"/>
    <w:rsid w:val="004876E4"/>
    <w:rsid w:val="004913BB"/>
    <w:rsid w:val="00492396"/>
    <w:rsid w:val="00492956"/>
    <w:rsid w:val="00492BAB"/>
    <w:rsid w:val="00495DEB"/>
    <w:rsid w:val="00495EC6"/>
    <w:rsid w:val="00495ECB"/>
    <w:rsid w:val="004A36B0"/>
    <w:rsid w:val="004A7BFB"/>
    <w:rsid w:val="004ADA65"/>
    <w:rsid w:val="004B1E14"/>
    <w:rsid w:val="004B3394"/>
    <w:rsid w:val="004B3442"/>
    <w:rsid w:val="004B4853"/>
    <w:rsid w:val="004B5ED5"/>
    <w:rsid w:val="004B70F0"/>
    <w:rsid w:val="004C00D7"/>
    <w:rsid w:val="004C18B6"/>
    <w:rsid w:val="004C43F9"/>
    <w:rsid w:val="004D0BAB"/>
    <w:rsid w:val="004D25B2"/>
    <w:rsid w:val="004D28E5"/>
    <w:rsid w:val="004D4BF8"/>
    <w:rsid w:val="004D53F5"/>
    <w:rsid w:val="004D58A5"/>
    <w:rsid w:val="004D7038"/>
    <w:rsid w:val="004D72A8"/>
    <w:rsid w:val="004E0E89"/>
    <w:rsid w:val="004E19DA"/>
    <w:rsid w:val="004E19F9"/>
    <w:rsid w:val="004E1B54"/>
    <w:rsid w:val="004E34A0"/>
    <w:rsid w:val="004E559E"/>
    <w:rsid w:val="004F1480"/>
    <w:rsid w:val="004F4F92"/>
    <w:rsid w:val="004F5719"/>
    <w:rsid w:val="004F580E"/>
    <w:rsid w:val="004F58A1"/>
    <w:rsid w:val="004F68B0"/>
    <w:rsid w:val="004F761D"/>
    <w:rsid w:val="005016F9"/>
    <w:rsid w:val="00501A2A"/>
    <w:rsid w:val="00502EF2"/>
    <w:rsid w:val="00507DDB"/>
    <w:rsid w:val="005118F8"/>
    <w:rsid w:val="00511F24"/>
    <w:rsid w:val="005131C7"/>
    <w:rsid w:val="00514B8C"/>
    <w:rsid w:val="005164E4"/>
    <w:rsid w:val="00517205"/>
    <w:rsid w:val="0051783C"/>
    <w:rsid w:val="00523662"/>
    <w:rsid w:val="00524040"/>
    <w:rsid w:val="00525D74"/>
    <w:rsid w:val="00530F4E"/>
    <w:rsid w:val="00531417"/>
    <w:rsid w:val="00534B89"/>
    <w:rsid w:val="005350A4"/>
    <w:rsid w:val="005352DC"/>
    <w:rsid w:val="0053751B"/>
    <w:rsid w:val="00537C44"/>
    <w:rsid w:val="005400DE"/>
    <w:rsid w:val="00540654"/>
    <w:rsid w:val="005410E4"/>
    <w:rsid w:val="00542487"/>
    <w:rsid w:val="00542536"/>
    <w:rsid w:val="00542F05"/>
    <w:rsid w:val="005445F2"/>
    <w:rsid w:val="0054531C"/>
    <w:rsid w:val="0054700A"/>
    <w:rsid w:val="00547D5E"/>
    <w:rsid w:val="005503A9"/>
    <w:rsid w:val="00550670"/>
    <w:rsid w:val="00551A7E"/>
    <w:rsid w:val="00553E65"/>
    <w:rsid w:val="005542B1"/>
    <w:rsid w:val="00556211"/>
    <w:rsid w:val="00556E5C"/>
    <w:rsid w:val="005578E6"/>
    <w:rsid w:val="0056014D"/>
    <w:rsid w:val="0056043E"/>
    <w:rsid w:val="00563117"/>
    <w:rsid w:val="00563198"/>
    <w:rsid w:val="00564C6D"/>
    <w:rsid w:val="00566C42"/>
    <w:rsid w:val="0056769A"/>
    <w:rsid w:val="00570A39"/>
    <w:rsid w:val="0057222A"/>
    <w:rsid w:val="0057407D"/>
    <w:rsid w:val="00574BB4"/>
    <w:rsid w:val="00577888"/>
    <w:rsid w:val="00580846"/>
    <w:rsid w:val="005820E3"/>
    <w:rsid w:val="00582810"/>
    <w:rsid w:val="005856DA"/>
    <w:rsid w:val="00586FE4"/>
    <w:rsid w:val="0058780D"/>
    <w:rsid w:val="00590D97"/>
    <w:rsid w:val="00592FBE"/>
    <w:rsid w:val="00593C26"/>
    <w:rsid w:val="00595540"/>
    <w:rsid w:val="0059578D"/>
    <w:rsid w:val="005957DE"/>
    <w:rsid w:val="005961F9"/>
    <w:rsid w:val="005A0A4E"/>
    <w:rsid w:val="005A1A8E"/>
    <w:rsid w:val="005A1BF8"/>
    <w:rsid w:val="005A1C71"/>
    <w:rsid w:val="005A3663"/>
    <w:rsid w:val="005A45B7"/>
    <w:rsid w:val="005A5570"/>
    <w:rsid w:val="005A7C0C"/>
    <w:rsid w:val="005B1A9F"/>
    <w:rsid w:val="005B4EBD"/>
    <w:rsid w:val="005B5FA6"/>
    <w:rsid w:val="005C25FE"/>
    <w:rsid w:val="005C6408"/>
    <w:rsid w:val="005C6716"/>
    <w:rsid w:val="005C6AD2"/>
    <w:rsid w:val="005C7810"/>
    <w:rsid w:val="005D27F4"/>
    <w:rsid w:val="005D2F45"/>
    <w:rsid w:val="005D36AF"/>
    <w:rsid w:val="005D5D58"/>
    <w:rsid w:val="005D7AE0"/>
    <w:rsid w:val="005D7FF7"/>
    <w:rsid w:val="005E02A9"/>
    <w:rsid w:val="005E424C"/>
    <w:rsid w:val="005E6155"/>
    <w:rsid w:val="005E68CD"/>
    <w:rsid w:val="005E6971"/>
    <w:rsid w:val="005E731E"/>
    <w:rsid w:val="005F2FC4"/>
    <w:rsid w:val="005F2FE7"/>
    <w:rsid w:val="005F788B"/>
    <w:rsid w:val="0060067F"/>
    <w:rsid w:val="00600B2C"/>
    <w:rsid w:val="00601974"/>
    <w:rsid w:val="00601D1B"/>
    <w:rsid w:val="006033F0"/>
    <w:rsid w:val="00605870"/>
    <w:rsid w:val="00606057"/>
    <w:rsid w:val="00607004"/>
    <w:rsid w:val="006075B0"/>
    <w:rsid w:val="00616058"/>
    <w:rsid w:val="00616BA2"/>
    <w:rsid w:val="00620E03"/>
    <w:rsid w:val="00620EB9"/>
    <w:rsid w:val="006214B4"/>
    <w:rsid w:val="00626273"/>
    <w:rsid w:val="00626C86"/>
    <w:rsid w:val="006318A7"/>
    <w:rsid w:val="00631E92"/>
    <w:rsid w:val="006327BA"/>
    <w:rsid w:val="0063406B"/>
    <w:rsid w:val="00636947"/>
    <w:rsid w:val="00645543"/>
    <w:rsid w:val="00652796"/>
    <w:rsid w:val="006546A6"/>
    <w:rsid w:val="00655063"/>
    <w:rsid w:val="00656C96"/>
    <w:rsid w:val="00657317"/>
    <w:rsid w:val="00657B6B"/>
    <w:rsid w:val="0066015F"/>
    <w:rsid w:val="006609C6"/>
    <w:rsid w:val="00660DC7"/>
    <w:rsid w:val="00661C37"/>
    <w:rsid w:val="0066305E"/>
    <w:rsid w:val="006648CB"/>
    <w:rsid w:val="00664C94"/>
    <w:rsid w:val="006654AB"/>
    <w:rsid w:val="006668B0"/>
    <w:rsid w:val="0066766A"/>
    <w:rsid w:val="00670780"/>
    <w:rsid w:val="0067191E"/>
    <w:rsid w:val="006730E1"/>
    <w:rsid w:val="006744A7"/>
    <w:rsid w:val="0067502C"/>
    <w:rsid w:val="00675C17"/>
    <w:rsid w:val="006764C4"/>
    <w:rsid w:val="00677428"/>
    <w:rsid w:val="00677D27"/>
    <w:rsid w:val="00681CF3"/>
    <w:rsid w:val="006825F1"/>
    <w:rsid w:val="006870D3"/>
    <w:rsid w:val="00687937"/>
    <w:rsid w:val="006903D3"/>
    <w:rsid w:val="00690A6B"/>
    <w:rsid w:val="00692A3C"/>
    <w:rsid w:val="00693A76"/>
    <w:rsid w:val="006947BE"/>
    <w:rsid w:val="006957F9"/>
    <w:rsid w:val="00695A57"/>
    <w:rsid w:val="00695C62"/>
    <w:rsid w:val="00696675"/>
    <w:rsid w:val="00696D3F"/>
    <w:rsid w:val="00697067"/>
    <w:rsid w:val="00697C0E"/>
    <w:rsid w:val="0069DA46"/>
    <w:rsid w:val="006A25D5"/>
    <w:rsid w:val="006A2AFF"/>
    <w:rsid w:val="006A2B59"/>
    <w:rsid w:val="006A4B7A"/>
    <w:rsid w:val="006A5096"/>
    <w:rsid w:val="006A57EB"/>
    <w:rsid w:val="006B12EF"/>
    <w:rsid w:val="006B1DB1"/>
    <w:rsid w:val="006B1DBE"/>
    <w:rsid w:val="006B3862"/>
    <w:rsid w:val="006B4200"/>
    <w:rsid w:val="006B4C6A"/>
    <w:rsid w:val="006B5CAD"/>
    <w:rsid w:val="006B5EF0"/>
    <w:rsid w:val="006B60AD"/>
    <w:rsid w:val="006B7908"/>
    <w:rsid w:val="006C25A9"/>
    <w:rsid w:val="006C2F08"/>
    <w:rsid w:val="006C3A2F"/>
    <w:rsid w:val="006C3BDA"/>
    <w:rsid w:val="006C3CB9"/>
    <w:rsid w:val="006C3E6D"/>
    <w:rsid w:val="006C5799"/>
    <w:rsid w:val="006D1099"/>
    <w:rsid w:val="006D18D0"/>
    <w:rsid w:val="006D247C"/>
    <w:rsid w:val="006D35FF"/>
    <w:rsid w:val="006D3A31"/>
    <w:rsid w:val="006D7529"/>
    <w:rsid w:val="006D7745"/>
    <w:rsid w:val="006E17BE"/>
    <w:rsid w:val="006E333D"/>
    <w:rsid w:val="006E36F2"/>
    <w:rsid w:val="006E5984"/>
    <w:rsid w:val="006E703A"/>
    <w:rsid w:val="006F032B"/>
    <w:rsid w:val="006F1E2B"/>
    <w:rsid w:val="006F1EA4"/>
    <w:rsid w:val="006F2F06"/>
    <w:rsid w:val="006F37DD"/>
    <w:rsid w:val="006F399D"/>
    <w:rsid w:val="006F750C"/>
    <w:rsid w:val="006F7EFE"/>
    <w:rsid w:val="0070197D"/>
    <w:rsid w:val="00701E4D"/>
    <w:rsid w:val="00702CBB"/>
    <w:rsid w:val="00710304"/>
    <w:rsid w:val="00711CDE"/>
    <w:rsid w:val="00711F69"/>
    <w:rsid w:val="0071227A"/>
    <w:rsid w:val="007123A1"/>
    <w:rsid w:val="007141CA"/>
    <w:rsid w:val="007170DF"/>
    <w:rsid w:val="007176A9"/>
    <w:rsid w:val="007179C4"/>
    <w:rsid w:val="00720902"/>
    <w:rsid w:val="00720CE7"/>
    <w:rsid w:val="00721CBB"/>
    <w:rsid w:val="0072330D"/>
    <w:rsid w:val="00723AE4"/>
    <w:rsid w:val="00724806"/>
    <w:rsid w:val="007250E3"/>
    <w:rsid w:val="00726B25"/>
    <w:rsid w:val="0072749E"/>
    <w:rsid w:val="007279AD"/>
    <w:rsid w:val="00732331"/>
    <w:rsid w:val="0073286D"/>
    <w:rsid w:val="00734472"/>
    <w:rsid w:val="00734F37"/>
    <w:rsid w:val="007372B1"/>
    <w:rsid w:val="007378EE"/>
    <w:rsid w:val="00737E29"/>
    <w:rsid w:val="007400F7"/>
    <w:rsid w:val="007407AB"/>
    <w:rsid w:val="00741198"/>
    <w:rsid w:val="0074457E"/>
    <w:rsid w:val="00745067"/>
    <w:rsid w:val="007462D6"/>
    <w:rsid w:val="0075091B"/>
    <w:rsid w:val="007515E7"/>
    <w:rsid w:val="007517DB"/>
    <w:rsid w:val="0075221F"/>
    <w:rsid w:val="00752231"/>
    <w:rsid w:val="007522DF"/>
    <w:rsid w:val="00752A58"/>
    <w:rsid w:val="00753045"/>
    <w:rsid w:val="00753635"/>
    <w:rsid w:val="0075368F"/>
    <w:rsid w:val="00755888"/>
    <w:rsid w:val="0075626A"/>
    <w:rsid w:val="00756BD5"/>
    <w:rsid w:val="0076125E"/>
    <w:rsid w:val="00763882"/>
    <w:rsid w:val="007648FD"/>
    <w:rsid w:val="00764B36"/>
    <w:rsid w:val="007656A1"/>
    <w:rsid w:val="007658FB"/>
    <w:rsid w:val="00767893"/>
    <w:rsid w:val="00770525"/>
    <w:rsid w:val="00770C91"/>
    <w:rsid w:val="00770E55"/>
    <w:rsid w:val="007714F8"/>
    <w:rsid w:val="007721A4"/>
    <w:rsid w:val="00774DCB"/>
    <w:rsid w:val="00775892"/>
    <w:rsid w:val="00775B91"/>
    <w:rsid w:val="007800C8"/>
    <w:rsid w:val="0078108E"/>
    <w:rsid w:val="00781646"/>
    <w:rsid w:val="00781E28"/>
    <w:rsid w:val="00781ED8"/>
    <w:rsid w:val="00783336"/>
    <w:rsid w:val="00783B7E"/>
    <w:rsid w:val="00785396"/>
    <w:rsid w:val="00785DCD"/>
    <w:rsid w:val="00787692"/>
    <w:rsid w:val="0079083E"/>
    <w:rsid w:val="0079155A"/>
    <w:rsid w:val="0079286F"/>
    <w:rsid w:val="007932B6"/>
    <w:rsid w:val="00793399"/>
    <w:rsid w:val="00793D7F"/>
    <w:rsid w:val="00793FDF"/>
    <w:rsid w:val="00794F5F"/>
    <w:rsid w:val="00796E48"/>
    <w:rsid w:val="007972E7"/>
    <w:rsid w:val="0079736A"/>
    <w:rsid w:val="007A0411"/>
    <w:rsid w:val="007A141C"/>
    <w:rsid w:val="007A2B5B"/>
    <w:rsid w:val="007A4480"/>
    <w:rsid w:val="007A5925"/>
    <w:rsid w:val="007A7049"/>
    <w:rsid w:val="007B0413"/>
    <w:rsid w:val="007B37E4"/>
    <w:rsid w:val="007C1348"/>
    <w:rsid w:val="007C1CC9"/>
    <w:rsid w:val="007C2224"/>
    <w:rsid w:val="007C2D6B"/>
    <w:rsid w:val="007C376A"/>
    <w:rsid w:val="007C4A4C"/>
    <w:rsid w:val="007C4D83"/>
    <w:rsid w:val="007D0861"/>
    <w:rsid w:val="007D1C69"/>
    <w:rsid w:val="007D7E0B"/>
    <w:rsid w:val="007E010B"/>
    <w:rsid w:val="007E1EBA"/>
    <w:rsid w:val="007E4734"/>
    <w:rsid w:val="007E4AEB"/>
    <w:rsid w:val="007E4F9C"/>
    <w:rsid w:val="007E5248"/>
    <w:rsid w:val="007E6E79"/>
    <w:rsid w:val="007E7FEF"/>
    <w:rsid w:val="007F0BE3"/>
    <w:rsid w:val="007F0D42"/>
    <w:rsid w:val="007F42D0"/>
    <w:rsid w:val="007F4D86"/>
    <w:rsid w:val="007F5441"/>
    <w:rsid w:val="008001F0"/>
    <w:rsid w:val="008011B9"/>
    <w:rsid w:val="00801A2D"/>
    <w:rsid w:val="0080261D"/>
    <w:rsid w:val="00802FC2"/>
    <w:rsid w:val="008033DD"/>
    <w:rsid w:val="0080398E"/>
    <w:rsid w:val="00803EFA"/>
    <w:rsid w:val="00805FF6"/>
    <w:rsid w:val="00806029"/>
    <w:rsid w:val="0080616C"/>
    <w:rsid w:val="008134DA"/>
    <w:rsid w:val="0081387B"/>
    <w:rsid w:val="008161CB"/>
    <w:rsid w:val="00816BCC"/>
    <w:rsid w:val="008207C8"/>
    <w:rsid w:val="00820BBA"/>
    <w:rsid w:val="008214F5"/>
    <w:rsid w:val="008218DD"/>
    <w:rsid w:val="0082292B"/>
    <w:rsid w:val="0082416F"/>
    <w:rsid w:val="0082671F"/>
    <w:rsid w:val="00826B0B"/>
    <w:rsid w:val="0083165C"/>
    <w:rsid w:val="00831ADE"/>
    <w:rsid w:val="00833C41"/>
    <w:rsid w:val="00834228"/>
    <w:rsid w:val="00836D3C"/>
    <w:rsid w:val="00837C53"/>
    <w:rsid w:val="00840A0E"/>
    <w:rsid w:val="00841AA0"/>
    <w:rsid w:val="008424DA"/>
    <w:rsid w:val="00842DF9"/>
    <w:rsid w:val="008441BE"/>
    <w:rsid w:val="008469C2"/>
    <w:rsid w:val="00851649"/>
    <w:rsid w:val="00854898"/>
    <w:rsid w:val="008548CA"/>
    <w:rsid w:val="008572E0"/>
    <w:rsid w:val="00857B9B"/>
    <w:rsid w:val="008610CC"/>
    <w:rsid w:val="008626AF"/>
    <w:rsid w:val="00863B65"/>
    <w:rsid w:val="00864E61"/>
    <w:rsid w:val="00866721"/>
    <w:rsid w:val="00866CF2"/>
    <w:rsid w:val="0086703C"/>
    <w:rsid w:val="00871072"/>
    <w:rsid w:val="0087127D"/>
    <w:rsid w:val="00871B6E"/>
    <w:rsid w:val="008728EA"/>
    <w:rsid w:val="00872AF7"/>
    <w:rsid w:val="00873779"/>
    <w:rsid w:val="00873D5E"/>
    <w:rsid w:val="008747C8"/>
    <w:rsid w:val="00876B95"/>
    <w:rsid w:val="00877C41"/>
    <w:rsid w:val="00890DFA"/>
    <w:rsid w:val="00892563"/>
    <w:rsid w:val="00892570"/>
    <w:rsid w:val="008938F2"/>
    <w:rsid w:val="008954E2"/>
    <w:rsid w:val="00896321"/>
    <w:rsid w:val="0089795C"/>
    <w:rsid w:val="008A1FB1"/>
    <w:rsid w:val="008A2C1C"/>
    <w:rsid w:val="008A35B3"/>
    <w:rsid w:val="008A5D8A"/>
    <w:rsid w:val="008B0956"/>
    <w:rsid w:val="008B3931"/>
    <w:rsid w:val="008B44F4"/>
    <w:rsid w:val="008B4F74"/>
    <w:rsid w:val="008B5EDD"/>
    <w:rsid w:val="008B7A6C"/>
    <w:rsid w:val="008C0759"/>
    <w:rsid w:val="008C0BFA"/>
    <w:rsid w:val="008C2383"/>
    <w:rsid w:val="008C3672"/>
    <w:rsid w:val="008C5669"/>
    <w:rsid w:val="008C7B2A"/>
    <w:rsid w:val="008D40A8"/>
    <w:rsid w:val="008D4A9F"/>
    <w:rsid w:val="008D5374"/>
    <w:rsid w:val="008D73D7"/>
    <w:rsid w:val="008D7D99"/>
    <w:rsid w:val="008E1E56"/>
    <w:rsid w:val="008E1FFE"/>
    <w:rsid w:val="008E2359"/>
    <w:rsid w:val="008E2499"/>
    <w:rsid w:val="008E262C"/>
    <w:rsid w:val="008E2694"/>
    <w:rsid w:val="008F1ABC"/>
    <w:rsid w:val="008F4B99"/>
    <w:rsid w:val="008F6686"/>
    <w:rsid w:val="008F6959"/>
    <w:rsid w:val="008F6BB0"/>
    <w:rsid w:val="008F79B0"/>
    <w:rsid w:val="008F7A5E"/>
    <w:rsid w:val="0090063E"/>
    <w:rsid w:val="00900FDE"/>
    <w:rsid w:val="00902612"/>
    <w:rsid w:val="009042C1"/>
    <w:rsid w:val="00904C5E"/>
    <w:rsid w:val="00906AC9"/>
    <w:rsid w:val="009125A5"/>
    <w:rsid w:val="00915678"/>
    <w:rsid w:val="00916570"/>
    <w:rsid w:val="00920D88"/>
    <w:rsid w:val="009229C2"/>
    <w:rsid w:val="00924432"/>
    <w:rsid w:val="00924B33"/>
    <w:rsid w:val="00924D36"/>
    <w:rsid w:val="00925EF9"/>
    <w:rsid w:val="009315EA"/>
    <w:rsid w:val="00931856"/>
    <w:rsid w:val="00932CBD"/>
    <w:rsid w:val="00935382"/>
    <w:rsid w:val="009354AA"/>
    <w:rsid w:val="009359AD"/>
    <w:rsid w:val="00935D0F"/>
    <w:rsid w:val="00940731"/>
    <w:rsid w:val="00942073"/>
    <w:rsid w:val="00943182"/>
    <w:rsid w:val="0094460D"/>
    <w:rsid w:val="00947102"/>
    <w:rsid w:val="009476D5"/>
    <w:rsid w:val="0094780D"/>
    <w:rsid w:val="00950DA3"/>
    <w:rsid w:val="00955032"/>
    <w:rsid w:val="009609A7"/>
    <w:rsid w:val="009616B2"/>
    <w:rsid w:val="00963050"/>
    <w:rsid w:val="009633EF"/>
    <w:rsid w:val="009645B0"/>
    <w:rsid w:val="00965494"/>
    <w:rsid w:val="00966944"/>
    <w:rsid w:val="00967DA0"/>
    <w:rsid w:val="00967DB4"/>
    <w:rsid w:val="00971CEF"/>
    <w:rsid w:val="009724D7"/>
    <w:rsid w:val="009758EB"/>
    <w:rsid w:val="00976EFF"/>
    <w:rsid w:val="00982D75"/>
    <w:rsid w:val="00982E94"/>
    <w:rsid w:val="00983271"/>
    <w:rsid w:val="00984825"/>
    <w:rsid w:val="00984D24"/>
    <w:rsid w:val="00985605"/>
    <w:rsid w:val="0098592E"/>
    <w:rsid w:val="009862B0"/>
    <w:rsid w:val="00987E21"/>
    <w:rsid w:val="00990B32"/>
    <w:rsid w:val="00990C06"/>
    <w:rsid w:val="009918D6"/>
    <w:rsid w:val="00991E04"/>
    <w:rsid w:val="0099387C"/>
    <w:rsid w:val="00993904"/>
    <w:rsid w:val="009957C5"/>
    <w:rsid w:val="00995C4A"/>
    <w:rsid w:val="00995DAE"/>
    <w:rsid w:val="00996496"/>
    <w:rsid w:val="00997F93"/>
    <w:rsid w:val="009A2940"/>
    <w:rsid w:val="009A3F2A"/>
    <w:rsid w:val="009A4135"/>
    <w:rsid w:val="009A5707"/>
    <w:rsid w:val="009B0C92"/>
    <w:rsid w:val="009B1380"/>
    <w:rsid w:val="009B2B93"/>
    <w:rsid w:val="009B5D72"/>
    <w:rsid w:val="009C047A"/>
    <w:rsid w:val="009C371F"/>
    <w:rsid w:val="009C3E12"/>
    <w:rsid w:val="009C5718"/>
    <w:rsid w:val="009C5947"/>
    <w:rsid w:val="009C5F07"/>
    <w:rsid w:val="009C7738"/>
    <w:rsid w:val="009D06F9"/>
    <w:rsid w:val="009D32C4"/>
    <w:rsid w:val="009D396A"/>
    <w:rsid w:val="009D5906"/>
    <w:rsid w:val="009D7B71"/>
    <w:rsid w:val="009E0F49"/>
    <w:rsid w:val="009E29B8"/>
    <w:rsid w:val="009E3D17"/>
    <w:rsid w:val="009F107B"/>
    <w:rsid w:val="009F1089"/>
    <w:rsid w:val="009F1A58"/>
    <w:rsid w:val="009F3715"/>
    <w:rsid w:val="009F5A39"/>
    <w:rsid w:val="009F7259"/>
    <w:rsid w:val="009F781B"/>
    <w:rsid w:val="009F7F1F"/>
    <w:rsid w:val="00A03568"/>
    <w:rsid w:val="00A03DC9"/>
    <w:rsid w:val="00A04ED6"/>
    <w:rsid w:val="00A079DE"/>
    <w:rsid w:val="00A07ADB"/>
    <w:rsid w:val="00A1101A"/>
    <w:rsid w:val="00A11881"/>
    <w:rsid w:val="00A13F6C"/>
    <w:rsid w:val="00A14442"/>
    <w:rsid w:val="00A149CD"/>
    <w:rsid w:val="00A14E84"/>
    <w:rsid w:val="00A154A9"/>
    <w:rsid w:val="00A16311"/>
    <w:rsid w:val="00A17335"/>
    <w:rsid w:val="00A178D2"/>
    <w:rsid w:val="00A22AC5"/>
    <w:rsid w:val="00A23246"/>
    <w:rsid w:val="00A252AD"/>
    <w:rsid w:val="00A25E21"/>
    <w:rsid w:val="00A26D86"/>
    <w:rsid w:val="00A27569"/>
    <w:rsid w:val="00A339D4"/>
    <w:rsid w:val="00A376ED"/>
    <w:rsid w:val="00A410F7"/>
    <w:rsid w:val="00A42135"/>
    <w:rsid w:val="00A439CB"/>
    <w:rsid w:val="00A4479A"/>
    <w:rsid w:val="00A45577"/>
    <w:rsid w:val="00A4584A"/>
    <w:rsid w:val="00A46EF8"/>
    <w:rsid w:val="00A522AD"/>
    <w:rsid w:val="00A52C2C"/>
    <w:rsid w:val="00A565C7"/>
    <w:rsid w:val="00A56E61"/>
    <w:rsid w:val="00A56EB7"/>
    <w:rsid w:val="00A60876"/>
    <w:rsid w:val="00A63E0A"/>
    <w:rsid w:val="00A642A4"/>
    <w:rsid w:val="00A6575C"/>
    <w:rsid w:val="00A66D1E"/>
    <w:rsid w:val="00A70B7F"/>
    <w:rsid w:val="00A73DB6"/>
    <w:rsid w:val="00A743B7"/>
    <w:rsid w:val="00A8012F"/>
    <w:rsid w:val="00A819FC"/>
    <w:rsid w:val="00A82D9E"/>
    <w:rsid w:val="00A8645C"/>
    <w:rsid w:val="00A87719"/>
    <w:rsid w:val="00A91983"/>
    <w:rsid w:val="00A93022"/>
    <w:rsid w:val="00A93A1C"/>
    <w:rsid w:val="00A95130"/>
    <w:rsid w:val="00A95F25"/>
    <w:rsid w:val="00AA012C"/>
    <w:rsid w:val="00AA196F"/>
    <w:rsid w:val="00AA1F5C"/>
    <w:rsid w:val="00AA3F6B"/>
    <w:rsid w:val="00AA4BA3"/>
    <w:rsid w:val="00AA63C1"/>
    <w:rsid w:val="00AB015C"/>
    <w:rsid w:val="00AB1059"/>
    <w:rsid w:val="00AB279E"/>
    <w:rsid w:val="00AB2AD3"/>
    <w:rsid w:val="00AB300C"/>
    <w:rsid w:val="00AB300F"/>
    <w:rsid w:val="00AB3A99"/>
    <w:rsid w:val="00AB49A7"/>
    <w:rsid w:val="00AB5AF7"/>
    <w:rsid w:val="00AB627B"/>
    <w:rsid w:val="00AB6A21"/>
    <w:rsid w:val="00AB7B7C"/>
    <w:rsid w:val="00AC0281"/>
    <w:rsid w:val="00AC0946"/>
    <w:rsid w:val="00AC18C8"/>
    <w:rsid w:val="00AC3C8B"/>
    <w:rsid w:val="00AC4D7C"/>
    <w:rsid w:val="00AC7B5C"/>
    <w:rsid w:val="00AC7E4E"/>
    <w:rsid w:val="00AD080D"/>
    <w:rsid w:val="00AD162B"/>
    <w:rsid w:val="00AD39A4"/>
    <w:rsid w:val="00AD52CF"/>
    <w:rsid w:val="00AD7E6E"/>
    <w:rsid w:val="00AE407B"/>
    <w:rsid w:val="00AE6F43"/>
    <w:rsid w:val="00AE6F84"/>
    <w:rsid w:val="00AF255A"/>
    <w:rsid w:val="00AF3BD7"/>
    <w:rsid w:val="00AF74DA"/>
    <w:rsid w:val="00AF7B26"/>
    <w:rsid w:val="00B009C4"/>
    <w:rsid w:val="00B016ED"/>
    <w:rsid w:val="00B01D05"/>
    <w:rsid w:val="00B04572"/>
    <w:rsid w:val="00B04F5E"/>
    <w:rsid w:val="00B05686"/>
    <w:rsid w:val="00B06F4D"/>
    <w:rsid w:val="00B07AE5"/>
    <w:rsid w:val="00B11342"/>
    <w:rsid w:val="00B11680"/>
    <w:rsid w:val="00B12026"/>
    <w:rsid w:val="00B1226E"/>
    <w:rsid w:val="00B1564E"/>
    <w:rsid w:val="00B20BBD"/>
    <w:rsid w:val="00B21854"/>
    <w:rsid w:val="00B23A69"/>
    <w:rsid w:val="00B2538C"/>
    <w:rsid w:val="00B3058D"/>
    <w:rsid w:val="00B314B9"/>
    <w:rsid w:val="00B323FC"/>
    <w:rsid w:val="00B33325"/>
    <w:rsid w:val="00B349DA"/>
    <w:rsid w:val="00B350FC"/>
    <w:rsid w:val="00B35A11"/>
    <w:rsid w:val="00B366A3"/>
    <w:rsid w:val="00B402A4"/>
    <w:rsid w:val="00B4333C"/>
    <w:rsid w:val="00B435CE"/>
    <w:rsid w:val="00B44839"/>
    <w:rsid w:val="00B4758C"/>
    <w:rsid w:val="00B50C5E"/>
    <w:rsid w:val="00B51212"/>
    <w:rsid w:val="00B513E1"/>
    <w:rsid w:val="00B522B3"/>
    <w:rsid w:val="00B55E72"/>
    <w:rsid w:val="00B56A11"/>
    <w:rsid w:val="00B6133A"/>
    <w:rsid w:val="00B63C14"/>
    <w:rsid w:val="00B651C6"/>
    <w:rsid w:val="00B656AF"/>
    <w:rsid w:val="00B65972"/>
    <w:rsid w:val="00B65A4C"/>
    <w:rsid w:val="00B65C36"/>
    <w:rsid w:val="00B65D7A"/>
    <w:rsid w:val="00B703F4"/>
    <w:rsid w:val="00B71C44"/>
    <w:rsid w:val="00B73BF2"/>
    <w:rsid w:val="00B744E0"/>
    <w:rsid w:val="00B74BBB"/>
    <w:rsid w:val="00B752EF"/>
    <w:rsid w:val="00B755E1"/>
    <w:rsid w:val="00B769FC"/>
    <w:rsid w:val="00B7712A"/>
    <w:rsid w:val="00B81AB8"/>
    <w:rsid w:val="00B8271B"/>
    <w:rsid w:val="00B82C01"/>
    <w:rsid w:val="00B83367"/>
    <w:rsid w:val="00B83F38"/>
    <w:rsid w:val="00B85CD4"/>
    <w:rsid w:val="00B85F52"/>
    <w:rsid w:val="00B861D4"/>
    <w:rsid w:val="00B8654C"/>
    <w:rsid w:val="00B8792A"/>
    <w:rsid w:val="00B90BEE"/>
    <w:rsid w:val="00B93667"/>
    <w:rsid w:val="00B93C45"/>
    <w:rsid w:val="00B93FF8"/>
    <w:rsid w:val="00B946AE"/>
    <w:rsid w:val="00B94E9A"/>
    <w:rsid w:val="00B95896"/>
    <w:rsid w:val="00B9606D"/>
    <w:rsid w:val="00B975B4"/>
    <w:rsid w:val="00BA381D"/>
    <w:rsid w:val="00BA5B88"/>
    <w:rsid w:val="00BA6F29"/>
    <w:rsid w:val="00BA724A"/>
    <w:rsid w:val="00BB2F7D"/>
    <w:rsid w:val="00BB6D54"/>
    <w:rsid w:val="00BB6E54"/>
    <w:rsid w:val="00BB768B"/>
    <w:rsid w:val="00BC60E0"/>
    <w:rsid w:val="00BC662A"/>
    <w:rsid w:val="00BC730E"/>
    <w:rsid w:val="00BD104A"/>
    <w:rsid w:val="00BD2CAD"/>
    <w:rsid w:val="00BD394A"/>
    <w:rsid w:val="00BD3C3C"/>
    <w:rsid w:val="00BD6555"/>
    <w:rsid w:val="00BD6AC1"/>
    <w:rsid w:val="00BE03F1"/>
    <w:rsid w:val="00BE0ECC"/>
    <w:rsid w:val="00BE13E4"/>
    <w:rsid w:val="00BE2061"/>
    <w:rsid w:val="00BE26B4"/>
    <w:rsid w:val="00BE35BB"/>
    <w:rsid w:val="00BE5EA1"/>
    <w:rsid w:val="00BE6583"/>
    <w:rsid w:val="00BF1261"/>
    <w:rsid w:val="00BF307A"/>
    <w:rsid w:val="00BF326A"/>
    <w:rsid w:val="00BF4E38"/>
    <w:rsid w:val="00BF502E"/>
    <w:rsid w:val="00BF72EE"/>
    <w:rsid w:val="00C0019A"/>
    <w:rsid w:val="00C007AD"/>
    <w:rsid w:val="00C01A2B"/>
    <w:rsid w:val="00C036CD"/>
    <w:rsid w:val="00C0421B"/>
    <w:rsid w:val="00C047D6"/>
    <w:rsid w:val="00C10B84"/>
    <w:rsid w:val="00C124F4"/>
    <w:rsid w:val="00C13D05"/>
    <w:rsid w:val="00C15231"/>
    <w:rsid w:val="00C16C53"/>
    <w:rsid w:val="00C17052"/>
    <w:rsid w:val="00C21702"/>
    <w:rsid w:val="00C24A1B"/>
    <w:rsid w:val="00C2547A"/>
    <w:rsid w:val="00C2672E"/>
    <w:rsid w:val="00C272AA"/>
    <w:rsid w:val="00C30B46"/>
    <w:rsid w:val="00C313D5"/>
    <w:rsid w:val="00C34451"/>
    <w:rsid w:val="00C350A0"/>
    <w:rsid w:val="00C3731F"/>
    <w:rsid w:val="00C37B36"/>
    <w:rsid w:val="00C403C6"/>
    <w:rsid w:val="00C41A06"/>
    <w:rsid w:val="00C4221A"/>
    <w:rsid w:val="00C43894"/>
    <w:rsid w:val="00C4511E"/>
    <w:rsid w:val="00C45BD8"/>
    <w:rsid w:val="00C47A0C"/>
    <w:rsid w:val="00C503E3"/>
    <w:rsid w:val="00C52FC7"/>
    <w:rsid w:val="00C551DC"/>
    <w:rsid w:val="00C55D0D"/>
    <w:rsid w:val="00C574E9"/>
    <w:rsid w:val="00C57E07"/>
    <w:rsid w:val="00C60354"/>
    <w:rsid w:val="00C6046C"/>
    <w:rsid w:val="00C62C34"/>
    <w:rsid w:val="00C63CA7"/>
    <w:rsid w:val="00C74B70"/>
    <w:rsid w:val="00C75D2E"/>
    <w:rsid w:val="00C77912"/>
    <w:rsid w:val="00C80226"/>
    <w:rsid w:val="00C8233A"/>
    <w:rsid w:val="00C82CDE"/>
    <w:rsid w:val="00C831C7"/>
    <w:rsid w:val="00C8329C"/>
    <w:rsid w:val="00C849D3"/>
    <w:rsid w:val="00C85010"/>
    <w:rsid w:val="00C851E9"/>
    <w:rsid w:val="00C86F19"/>
    <w:rsid w:val="00C8742A"/>
    <w:rsid w:val="00C90543"/>
    <w:rsid w:val="00C92D30"/>
    <w:rsid w:val="00C935EC"/>
    <w:rsid w:val="00C94EAB"/>
    <w:rsid w:val="00C96D58"/>
    <w:rsid w:val="00CA0B25"/>
    <w:rsid w:val="00CA2EEF"/>
    <w:rsid w:val="00CA4646"/>
    <w:rsid w:val="00CA7B71"/>
    <w:rsid w:val="00CB00EE"/>
    <w:rsid w:val="00CB035A"/>
    <w:rsid w:val="00CB0CED"/>
    <w:rsid w:val="00CB0EEA"/>
    <w:rsid w:val="00CB1279"/>
    <w:rsid w:val="00CB177B"/>
    <w:rsid w:val="00CB5C25"/>
    <w:rsid w:val="00CB70A5"/>
    <w:rsid w:val="00CC1948"/>
    <w:rsid w:val="00CC19B4"/>
    <w:rsid w:val="00CC3BB9"/>
    <w:rsid w:val="00CC7C2A"/>
    <w:rsid w:val="00CC8FE0"/>
    <w:rsid w:val="00CD169C"/>
    <w:rsid w:val="00CD5C11"/>
    <w:rsid w:val="00CD7E22"/>
    <w:rsid w:val="00CE124C"/>
    <w:rsid w:val="00CE1851"/>
    <w:rsid w:val="00CE2067"/>
    <w:rsid w:val="00CE2398"/>
    <w:rsid w:val="00CE34DC"/>
    <w:rsid w:val="00CE36D9"/>
    <w:rsid w:val="00CE58C7"/>
    <w:rsid w:val="00CE7C14"/>
    <w:rsid w:val="00CF0640"/>
    <w:rsid w:val="00CF0D97"/>
    <w:rsid w:val="00CF3D00"/>
    <w:rsid w:val="00CF46E0"/>
    <w:rsid w:val="00CF621E"/>
    <w:rsid w:val="00CF6C9B"/>
    <w:rsid w:val="00D03AF0"/>
    <w:rsid w:val="00D10102"/>
    <w:rsid w:val="00D1287E"/>
    <w:rsid w:val="00D13A77"/>
    <w:rsid w:val="00D150CC"/>
    <w:rsid w:val="00D15C2B"/>
    <w:rsid w:val="00D15C39"/>
    <w:rsid w:val="00D17448"/>
    <w:rsid w:val="00D17D47"/>
    <w:rsid w:val="00D20435"/>
    <w:rsid w:val="00D256E3"/>
    <w:rsid w:val="00D26BAF"/>
    <w:rsid w:val="00D274B1"/>
    <w:rsid w:val="00D30D31"/>
    <w:rsid w:val="00D3102E"/>
    <w:rsid w:val="00D3105D"/>
    <w:rsid w:val="00D3290C"/>
    <w:rsid w:val="00D35447"/>
    <w:rsid w:val="00D365F5"/>
    <w:rsid w:val="00D4048E"/>
    <w:rsid w:val="00D43C5B"/>
    <w:rsid w:val="00D4444B"/>
    <w:rsid w:val="00D465FE"/>
    <w:rsid w:val="00D51ADC"/>
    <w:rsid w:val="00D53FA4"/>
    <w:rsid w:val="00D56AE1"/>
    <w:rsid w:val="00D56B1C"/>
    <w:rsid w:val="00D60D0B"/>
    <w:rsid w:val="00D622E5"/>
    <w:rsid w:val="00D64ABD"/>
    <w:rsid w:val="00D7384C"/>
    <w:rsid w:val="00D74883"/>
    <w:rsid w:val="00D75444"/>
    <w:rsid w:val="00D75B02"/>
    <w:rsid w:val="00D7711C"/>
    <w:rsid w:val="00D8114A"/>
    <w:rsid w:val="00D816DB"/>
    <w:rsid w:val="00D83BFD"/>
    <w:rsid w:val="00D84A5E"/>
    <w:rsid w:val="00D86836"/>
    <w:rsid w:val="00D873B3"/>
    <w:rsid w:val="00D90A0D"/>
    <w:rsid w:val="00D90AB9"/>
    <w:rsid w:val="00D91D05"/>
    <w:rsid w:val="00D93D5D"/>
    <w:rsid w:val="00D94E81"/>
    <w:rsid w:val="00DA3506"/>
    <w:rsid w:val="00DA381E"/>
    <w:rsid w:val="00DA4312"/>
    <w:rsid w:val="00DA44E7"/>
    <w:rsid w:val="00DA53AD"/>
    <w:rsid w:val="00DA676C"/>
    <w:rsid w:val="00DADC34"/>
    <w:rsid w:val="00DB0B8E"/>
    <w:rsid w:val="00DB1C94"/>
    <w:rsid w:val="00DB2153"/>
    <w:rsid w:val="00DB2AC8"/>
    <w:rsid w:val="00DB2D40"/>
    <w:rsid w:val="00DB391F"/>
    <w:rsid w:val="00DB3ADC"/>
    <w:rsid w:val="00DB4B20"/>
    <w:rsid w:val="00DB5D7A"/>
    <w:rsid w:val="00DB62D8"/>
    <w:rsid w:val="00DB65F9"/>
    <w:rsid w:val="00DB6697"/>
    <w:rsid w:val="00DB7429"/>
    <w:rsid w:val="00DB7D6E"/>
    <w:rsid w:val="00DC06A4"/>
    <w:rsid w:val="00DC0AA5"/>
    <w:rsid w:val="00DC0BC5"/>
    <w:rsid w:val="00DD0791"/>
    <w:rsid w:val="00DD2028"/>
    <w:rsid w:val="00DD2246"/>
    <w:rsid w:val="00DD2A90"/>
    <w:rsid w:val="00DD7F85"/>
    <w:rsid w:val="00DE0B70"/>
    <w:rsid w:val="00DE6047"/>
    <w:rsid w:val="00DF0F31"/>
    <w:rsid w:val="00DF1B15"/>
    <w:rsid w:val="00DF288A"/>
    <w:rsid w:val="00DF2D5C"/>
    <w:rsid w:val="00DF3289"/>
    <w:rsid w:val="00DF5D04"/>
    <w:rsid w:val="00DF70B8"/>
    <w:rsid w:val="00E00779"/>
    <w:rsid w:val="00E0099E"/>
    <w:rsid w:val="00E00BFB"/>
    <w:rsid w:val="00E01668"/>
    <w:rsid w:val="00E02740"/>
    <w:rsid w:val="00E04357"/>
    <w:rsid w:val="00E0520A"/>
    <w:rsid w:val="00E0630D"/>
    <w:rsid w:val="00E06F6E"/>
    <w:rsid w:val="00E07235"/>
    <w:rsid w:val="00E07944"/>
    <w:rsid w:val="00E10D99"/>
    <w:rsid w:val="00E12198"/>
    <w:rsid w:val="00E12B97"/>
    <w:rsid w:val="00E13581"/>
    <w:rsid w:val="00E14951"/>
    <w:rsid w:val="00E154F8"/>
    <w:rsid w:val="00E15634"/>
    <w:rsid w:val="00E16640"/>
    <w:rsid w:val="00E17E7C"/>
    <w:rsid w:val="00E205F8"/>
    <w:rsid w:val="00E213D2"/>
    <w:rsid w:val="00E25E8A"/>
    <w:rsid w:val="00E263D8"/>
    <w:rsid w:val="00E26CBC"/>
    <w:rsid w:val="00E26E67"/>
    <w:rsid w:val="00E31250"/>
    <w:rsid w:val="00E31934"/>
    <w:rsid w:val="00E31CBF"/>
    <w:rsid w:val="00E324E4"/>
    <w:rsid w:val="00E32E3A"/>
    <w:rsid w:val="00E33C9F"/>
    <w:rsid w:val="00E34534"/>
    <w:rsid w:val="00E34958"/>
    <w:rsid w:val="00E34B5B"/>
    <w:rsid w:val="00E375C4"/>
    <w:rsid w:val="00E4050A"/>
    <w:rsid w:val="00E41138"/>
    <w:rsid w:val="00E43543"/>
    <w:rsid w:val="00E43AEC"/>
    <w:rsid w:val="00E44277"/>
    <w:rsid w:val="00E44C6F"/>
    <w:rsid w:val="00E45302"/>
    <w:rsid w:val="00E45FC9"/>
    <w:rsid w:val="00E46516"/>
    <w:rsid w:val="00E466F6"/>
    <w:rsid w:val="00E47A74"/>
    <w:rsid w:val="00E50095"/>
    <w:rsid w:val="00E5054D"/>
    <w:rsid w:val="00E53A2A"/>
    <w:rsid w:val="00E54264"/>
    <w:rsid w:val="00E54C37"/>
    <w:rsid w:val="00E55CE7"/>
    <w:rsid w:val="00E56D3B"/>
    <w:rsid w:val="00E60311"/>
    <w:rsid w:val="00E60649"/>
    <w:rsid w:val="00E62A7A"/>
    <w:rsid w:val="00E632CD"/>
    <w:rsid w:val="00E6600B"/>
    <w:rsid w:val="00E663CF"/>
    <w:rsid w:val="00E67847"/>
    <w:rsid w:val="00E71915"/>
    <w:rsid w:val="00E72F2E"/>
    <w:rsid w:val="00E7395F"/>
    <w:rsid w:val="00E73A8C"/>
    <w:rsid w:val="00E73BF2"/>
    <w:rsid w:val="00E745DE"/>
    <w:rsid w:val="00E755D2"/>
    <w:rsid w:val="00E75DAC"/>
    <w:rsid w:val="00E77ED2"/>
    <w:rsid w:val="00E81ED1"/>
    <w:rsid w:val="00E823AE"/>
    <w:rsid w:val="00E827D4"/>
    <w:rsid w:val="00E856FA"/>
    <w:rsid w:val="00E86B7D"/>
    <w:rsid w:val="00E90E25"/>
    <w:rsid w:val="00E91488"/>
    <w:rsid w:val="00E936A8"/>
    <w:rsid w:val="00E94483"/>
    <w:rsid w:val="00E95B0E"/>
    <w:rsid w:val="00E95F77"/>
    <w:rsid w:val="00E97646"/>
    <w:rsid w:val="00E979AB"/>
    <w:rsid w:val="00E97AC0"/>
    <w:rsid w:val="00E97E3B"/>
    <w:rsid w:val="00EA3879"/>
    <w:rsid w:val="00EA464C"/>
    <w:rsid w:val="00EA4846"/>
    <w:rsid w:val="00EA48B6"/>
    <w:rsid w:val="00EA49BB"/>
    <w:rsid w:val="00EA53E5"/>
    <w:rsid w:val="00EA6A13"/>
    <w:rsid w:val="00EA6C76"/>
    <w:rsid w:val="00EB0E69"/>
    <w:rsid w:val="00EB114C"/>
    <w:rsid w:val="00EB1B6E"/>
    <w:rsid w:val="00EB3124"/>
    <w:rsid w:val="00EB42CA"/>
    <w:rsid w:val="00EB58A6"/>
    <w:rsid w:val="00EC0493"/>
    <w:rsid w:val="00EC050B"/>
    <w:rsid w:val="00EC39BC"/>
    <w:rsid w:val="00EC3AF4"/>
    <w:rsid w:val="00EC5289"/>
    <w:rsid w:val="00ED32C0"/>
    <w:rsid w:val="00ED3474"/>
    <w:rsid w:val="00ED3593"/>
    <w:rsid w:val="00ED3650"/>
    <w:rsid w:val="00ED518F"/>
    <w:rsid w:val="00ED58D7"/>
    <w:rsid w:val="00ED59A0"/>
    <w:rsid w:val="00EE0FAC"/>
    <w:rsid w:val="00EE140B"/>
    <w:rsid w:val="00EE1BD9"/>
    <w:rsid w:val="00EE2183"/>
    <w:rsid w:val="00EE3E93"/>
    <w:rsid w:val="00EE6E1A"/>
    <w:rsid w:val="00EF0223"/>
    <w:rsid w:val="00EF22B1"/>
    <w:rsid w:val="00EF5308"/>
    <w:rsid w:val="00F01483"/>
    <w:rsid w:val="00F01E80"/>
    <w:rsid w:val="00F01F04"/>
    <w:rsid w:val="00F02D72"/>
    <w:rsid w:val="00F03FB2"/>
    <w:rsid w:val="00F058F7"/>
    <w:rsid w:val="00F11038"/>
    <w:rsid w:val="00F117A6"/>
    <w:rsid w:val="00F11A57"/>
    <w:rsid w:val="00F12B90"/>
    <w:rsid w:val="00F13AF1"/>
    <w:rsid w:val="00F14EBF"/>
    <w:rsid w:val="00F15453"/>
    <w:rsid w:val="00F15699"/>
    <w:rsid w:val="00F20AAA"/>
    <w:rsid w:val="00F20B20"/>
    <w:rsid w:val="00F22E87"/>
    <w:rsid w:val="00F2375E"/>
    <w:rsid w:val="00F23FF8"/>
    <w:rsid w:val="00F27A24"/>
    <w:rsid w:val="00F300CC"/>
    <w:rsid w:val="00F32710"/>
    <w:rsid w:val="00F32A25"/>
    <w:rsid w:val="00F32DCF"/>
    <w:rsid w:val="00F334A5"/>
    <w:rsid w:val="00F342A6"/>
    <w:rsid w:val="00F355EA"/>
    <w:rsid w:val="00F36C3F"/>
    <w:rsid w:val="00F37DE5"/>
    <w:rsid w:val="00F37E1B"/>
    <w:rsid w:val="00F41FF9"/>
    <w:rsid w:val="00F43564"/>
    <w:rsid w:val="00F448C5"/>
    <w:rsid w:val="00F45165"/>
    <w:rsid w:val="00F477BC"/>
    <w:rsid w:val="00F52D5E"/>
    <w:rsid w:val="00F57166"/>
    <w:rsid w:val="00F619AD"/>
    <w:rsid w:val="00F63E6D"/>
    <w:rsid w:val="00F72886"/>
    <w:rsid w:val="00F73182"/>
    <w:rsid w:val="00F73770"/>
    <w:rsid w:val="00F75CB6"/>
    <w:rsid w:val="00F77359"/>
    <w:rsid w:val="00F774D8"/>
    <w:rsid w:val="00F77638"/>
    <w:rsid w:val="00F846DE"/>
    <w:rsid w:val="00F84C0E"/>
    <w:rsid w:val="00F86F62"/>
    <w:rsid w:val="00F87A3F"/>
    <w:rsid w:val="00F90288"/>
    <w:rsid w:val="00F917D5"/>
    <w:rsid w:val="00F91A8E"/>
    <w:rsid w:val="00F9287E"/>
    <w:rsid w:val="00F94D6D"/>
    <w:rsid w:val="00F9537C"/>
    <w:rsid w:val="00F9614C"/>
    <w:rsid w:val="00F96165"/>
    <w:rsid w:val="00FA06CD"/>
    <w:rsid w:val="00FA0808"/>
    <w:rsid w:val="00FA1954"/>
    <w:rsid w:val="00FA2B84"/>
    <w:rsid w:val="00FA3F26"/>
    <w:rsid w:val="00FA5ECF"/>
    <w:rsid w:val="00FA7A62"/>
    <w:rsid w:val="00FB00DC"/>
    <w:rsid w:val="00FB04CA"/>
    <w:rsid w:val="00FB1ABE"/>
    <w:rsid w:val="00FB2149"/>
    <w:rsid w:val="00FB3059"/>
    <w:rsid w:val="00FB3B2C"/>
    <w:rsid w:val="00FB4BC7"/>
    <w:rsid w:val="00FB5005"/>
    <w:rsid w:val="00FB592F"/>
    <w:rsid w:val="00FC0947"/>
    <w:rsid w:val="00FC11D9"/>
    <w:rsid w:val="00FC1DF3"/>
    <w:rsid w:val="00FC2396"/>
    <w:rsid w:val="00FC4E41"/>
    <w:rsid w:val="00FC53B4"/>
    <w:rsid w:val="00FC56B4"/>
    <w:rsid w:val="00FC6D22"/>
    <w:rsid w:val="00FD029B"/>
    <w:rsid w:val="00FD06AB"/>
    <w:rsid w:val="00FD1053"/>
    <w:rsid w:val="00FD3F77"/>
    <w:rsid w:val="00FD5597"/>
    <w:rsid w:val="00FE3A8D"/>
    <w:rsid w:val="00FE4F2D"/>
    <w:rsid w:val="00FE65AA"/>
    <w:rsid w:val="00FE6DFF"/>
    <w:rsid w:val="00FE7DBF"/>
    <w:rsid w:val="00FF1220"/>
    <w:rsid w:val="00FF2F84"/>
    <w:rsid w:val="00FF66B7"/>
    <w:rsid w:val="00FF6DAC"/>
    <w:rsid w:val="010A205B"/>
    <w:rsid w:val="010A5465"/>
    <w:rsid w:val="011AEDB2"/>
    <w:rsid w:val="015DFA4C"/>
    <w:rsid w:val="017FABA1"/>
    <w:rsid w:val="0180AAD9"/>
    <w:rsid w:val="0188AFB0"/>
    <w:rsid w:val="018DB6D2"/>
    <w:rsid w:val="019AA54C"/>
    <w:rsid w:val="019AFC13"/>
    <w:rsid w:val="01A20C2D"/>
    <w:rsid w:val="01A67139"/>
    <w:rsid w:val="01B17070"/>
    <w:rsid w:val="01E6DB4F"/>
    <w:rsid w:val="01FCBEF6"/>
    <w:rsid w:val="02101B77"/>
    <w:rsid w:val="0231BE75"/>
    <w:rsid w:val="02469CCE"/>
    <w:rsid w:val="02476031"/>
    <w:rsid w:val="0273285A"/>
    <w:rsid w:val="0274766E"/>
    <w:rsid w:val="02A3C6DD"/>
    <w:rsid w:val="02AA6544"/>
    <w:rsid w:val="02AE47F9"/>
    <w:rsid w:val="02B12FEB"/>
    <w:rsid w:val="0319530A"/>
    <w:rsid w:val="03231DEF"/>
    <w:rsid w:val="03257C72"/>
    <w:rsid w:val="036F5212"/>
    <w:rsid w:val="0385B61F"/>
    <w:rsid w:val="039EC17A"/>
    <w:rsid w:val="03C68886"/>
    <w:rsid w:val="03CCDE0F"/>
    <w:rsid w:val="03D41A5A"/>
    <w:rsid w:val="03F8F629"/>
    <w:rsid w:val="03F90378"/>
    <w:rsid w:val="040BCD5F"/>
    <w:rsid w:val="043040FA"/>
    <w:rsid w:val="04B69B4E"/>
    <w:rsid w:val="04C14B62"/>
    <w:rsid w:val="04D66576"/>
    <w:rsid w:val="04D88B2D"/>
    <w:rsid w:val="04DE1B32"/>
    <w:rsid w:val="04DE623D"/>
    <w:rsid w:val="0505085B"/>
    <w:rsid w:val="050F5A4D"/>
    <w:rsid w:val="0513E260"/>
    <w:rsid w:val="05231650"/>
    <w:rsid w:val="05659A99"/>
    <w:rsid w:val="057E539C"/>
    <w:rsid w:val="058114D7"/>
    <w:rsid w:val="0584F186"/>
    <w:rsid w:val="059146B5"/>
    <w:rsid w:val="0598E2CD"/>
    <w:rsid w:val="059974AF"/>
    <w:rsid w:val="05B0ACE9"/>
    <w:rsid w:val="05B77396"/>
    <w:rsid w:val="05BC9B4B"/>
    <w:rsid w:val="05C46921"/>
    <w:rsid w:val="05C73F24"/>
    <w:rsid w:val="05CC115B"/>
    <w:rsid w:val="05E58A92"/>
    <w:rsid w:val="05E75BEF"/>
    <w:rsid w:val="060A5E1D"/>
    <w:rsid w:val="060D4DE9"/>
    <w:rsid w:val="060FF3EC"/>
    <w:rsid w:val="0622D713"/>
    <w:rsid w:val="062790E5"/>
    <w:rsid w:val="063907F8"/>
    <w:rsid w:val="0647C003"/>
    <w:rsid w:val="064934C0"/>
    <w:rsid w:val="0649BD78"/>
    <w:rsid w:val="064BD3CE"/>
    <w:rsid w:val="06721376"/>
    <w:rsid w:val="06837F9A"/>
    <w:rsid w:val="068DB80B"/>
    <w:rsid w:val="06976B47"/>
    <w:rsid w:val="06BD5186"/>
    <w:rsid w:val="06BEBC77"/>
    <w:rsid w:val="06C463F6"/>
    <w:rsid w:val="070F82AE"/>
    <w:rsid w:val="070FD001"/>
    <w:rsid w:val="07120175"/>
    <w:rsid w:val="071D2B28"/>
    <w:rsid w:val="0722DFC0"/>
    <w:rsid w:val="072AB892"/>
    <w:rsid w:val="0739FE41"/>
    <w:rsid w:val="074543A8"/>
    <w:rsid w:val="076A8335"/>
    <w:rsid w:val="077C8B3C"/>
    <w:rsid w:val="07B38B0E"/>
    <w:rsid w:val="07EEF78B"/>
    <w:rsid w:val="080193F8"/>
    <w:rsid w:val="0814F421"/>
    <w:rsid w:val="08579160"/>
    <w:rsid w:val="0867E600"/>
    <w:rsid w:val="086FC932"/>
    <w:rsid w:val="0879D506"/>
    <w:rsid w:val="087EA22E"/>
    <w:rsid w:val="088D71F9"/>
    <w:rsid w:val="08A48585"/>
    <w:rsid w:val="08BF3CB0"/>
    <w:rsid w:val="08D90265"/>
    <w:rsid w:val="08DA45C5"/>
    <w:rsid w:val="08E588CD"/>
    <w:rsid w:val="08EDA5AE"/>
    <w:rsid w:val="09116B8A"/>
    <w:rsid w:val="09171A88"/>
    <w:rsid w:val="0925A812"/>
    <w:rsid w:val="092B43DC"/>
    <w:rsid w:val="092D120E"/>
    <w:rsid w:val="095C239C"/>
    <w:rsid w:val="095C9257"/>
    <w:rsid w:val="0972E20E"/>
    <w:rsid w:val="09831BB5"/>
    <w:rsid w:val="09AEB5CA"/>
    <w:rsid w:val="09B3DE99"/>
    <w:rsid w:val="09C48B92"/>
    <w:rsid w:val="09C70DF8"/>
    <w:rsid w:val="09CB221F"/>
    <w:rsid w:val="09CE0C1F"/>
    <w:rsid w:val="09EF6FA8"/>
    <w:rsid w:val="0A454598"/>
    <w:rsid w:val="0A6F1DC4"/>
    <w:rsid w:val="0A8798C1"/>
    <w:rsid w:val="0A89BED1"/>
    <w:rsid w:val="0A94465F"/>
    <w:rsid w:val="0B046BB7"/>
    <w:rsid w:val="0B1AB922"/>
    <w:rsid w:val="0B1FECA7"/>
    <w:rsid w:val="0B285FCA"/>
    <w:rsid w:val="0B332D61"/>
    <w:rsid w:val="0B3CF55B"/>
    <w:rsid w:val="0B54A5DF"/>
    <w:rsid w:val="0B6A23F5"/>
    <w:rsid w:val="0B829922"/>
    <w:rsid w:val="0B8E77AE"/>
    <w:rsid w:val="0BAE068F"/>
    <w:rsid w:val="0C0521EE"/>
    <w:rsid w:val="0C34D45B"/>
    <w:rsid w:val="0C5E95D0"/>
    <w:rsid w:val="0C943FF4"/>
    <w:rsid w:val="0C9C3BC4"/>
    <w:rsid w:val="0CBA6945"/>
    <w:rsid w:val="0CEB980C"/>
    <w:rsid w:val="0D1202F7"/>
    <w:rsid w:val="0D18CCBC"/>
    <w:rsid w:val="0D394843"/>
    <w:rsid w:val="0D46FC68"/>
    <w:rsid w:val="0D541002"/>
    <w:rsid w:val="0D5CDC4A"/>
    <w:rsid w:val="0D9097FB"/>
    <w:rsid w:val="0DD56D31"/>
    <w:rsid w:val="0E02CA67"/>
    <w:rsid w:val="0E08DFFA"/>
    <w:rsid w:val="0E2BCEB9"/>
    <w:rsid w:val="0E643DA2"/>
    <w:rsid w:val="0E822769"/>
    <w:rsid w:val="0E833E85"/>
    <w:rsid w:val="0EA10150"/>
    <w:rsid w:val="0EA6CC83"/>
    <w:rsid w:val="0EBE9AB6"/>
    <w:rsid w:val="0EC0227E"/>
    <w:rsid w:val="0EC58D02"/>
    <w:rsid w:val="0ED09ED8"/>
    <w:rsid w:val="0EDDB8B3"/>
    <w:rsid w:val="0F04AB42"/>
    <w:rsid w:val="0F0BF5BD"/>
    <w:rsid w:val="0F73A2A4"/>
    <w:rsid w:val="0F7533B3"/>
    <w:rsid w:val="0F7A003B"/>
    <w:rsid w:val="0F92B572"/>
    <w:rsid w:val="0FAC9997"/>
    <w:rsid w:val="0FB2AB7E"/>
    <w:rsid w:val="0FEAEFC4"/>
    <w:rsid w:val="0FFB654C"/>
    <w:rsid w:val="1003AF72"/>
    <w:rsid w:val="102B6F9D"/>
    <w:rsid w:val="1042D33A"/>
    <w:rsid w:val="10449C29"/>
    <w:rsid w:val="1049C226"/>
    <w:rsid w:val="10A269A2"/>
    <w:rsid w:val="10B1636D"/>
    <w:rsid w:val="10B6EAA8"/>
    <w:rsid w:val="10BACF02"/>
    <w:rsid w:val="10C3B149"/>
    <w:rsid w:val="10E8D162"/>
    <w:rsid w:val="1127A269"/>
    <w:rsid w:val="1132AD14"/>
    <w:rsid w:val="114ED7C6"/>
    <w:rsid w:val="114FAE3F"/>
    <w:rsid w:val="117F1D9B"/>
    <w:rsid w:val="118E97EA"/>
    <w:rsid w:val="11AD371C"/>
    <w:rsid w:val="11B98546"/>
    <w:rsid w:val="11BAB090"/>
    <w:rsid w:val="11D2D157"/>
    <w:rsid w:val="11E08059"/>
    <w:rsid w:val="11E32E10"/>
    <w:rsid w:val="11EFB6D2"/>
    <w:rsid w:val="1229AE89"/>
    <w:rsid w:val="122F5BB8"/>
    <w:rsid w:val="125D2D25"/>
    <w:rsid w:val="126A6DDE"/>
    <w:rsid w:val="127B54E9"/>
    <w:rsid w:val="1290B937"/>
    <w:rsid w:val="12CFB8C8"/>
    <w:rsid w:val="12EC46F8"/>
    <w:rsid w:val="12F95EE6"/>
    <w:rsid w:val="12FA9CDF"/>
    <w:rsid w:val="12FBB128"/>
    <w:rsid w:val="131DF71D"/>
    <w:rsid w:val="131EFDB8"/>
    <w:rsid w:val="131FF832"/>
    <w:rsid w:val="13254063"/>
    <w:rsid w:val="1337AEC5"/>
    <w:rsid w:val="135D5BC8"/>
    <w:rsid w:val="1377C3CC"/>
    <w:rsid w:val="138522CE"/>
    <w:rsid w:val="13E6EF1D"/>
    <w:rsid w:val="13F1DA49"/>
    <w:rsid w:val="13F9695D"/>
    <w:rsid w:val="14063E3F"/>
    <w:rsid w:val="1418D4FF"/>
    <w:rsid w:val="1433FF72"/>
    <w:rsid w:val="14489675"/>
    <w:rsid w:val="147764C3"/>
    <w:rsid w:val="147C4C1D"/>
    <w:rsid w:val="1490D171"/>
    <w:rsid w:val="1494A597"/>
    <w:rsid w:val="14B4FD43"/>
    <w:rsid w:val="14BD9D72"/>
    <w:rsid w:val="14CACD0E"/>
    <w:rsid w:val="14D65E7A"/>
    <w:rsid w:val="14D83E25"/>
    <w:rsid w:val="1525D117"/>
    <w:rsid w:val="154FC2FF"/>
    <w:rsid w:val="155A430C"/>
    <w:rsid w:val="155C03F8"/>
    <w:rsid w:val="159A6069"/>
    <w:rsid w:val="159B0EC7"/>
    <w:rsid w:val="15B9047B"/>
    <w:rsid w:val="15DDDBEF"/>
    <w:rsid w:val="15F30F9F"/>
    <w:rsid w:val="1601B80A"/>
    <w:rsid w:val="160D44D4"/>
    <w:rsid w:val="163254F3"/>
    <w:rsid w:val="16567A32"/>
    <w:rsid w:val="1659C3A7"/>
    <w:rsid w:val="1661B290"/>
    <w:rsid w:val="166C55BD"/>
    <w:rsid w:val="168CCC25"/>
    <w:rsid w:val="169DE0A0"/>
    <w:rsid w:val="16C2C44C"/>
    <w:rsid w:val="16D3DFA2"/>
    <w:rsid w:val="16D82D39"/>
    <w:rsid w:val="1714124F"/>
    <w:rsid w:val="1723A23F"/>
    <w:rsid w:val="17291664"/>
    <w:rsid w:val="17342D21"/>
    <w:rsid w:val="174E2E30"/>
    <w:rsid w:val="17803737"/>
    <w:rsid w:val="178FCE6C"/>
    <w:rsid w:val="1792F9E6"/>
    <w:rsid w:val="17A6E925"/>
    <w:rsid w:val="17E827D7"/>
    <w:rsid w:val="181B6ED1"/>
    <w:rsid w:val="183E9617"/>
    <w:rsid w:val="18410B47"/>
    <w:rsid w:val="18486BCF"/>
    <w:rsid w:val="185A8CCD"/>
    <w:rsid w:val="185FE33B"/>
    <w:rsid w:val="1879AA5B"/>
    <w:rsid w:val="18A522E3"/>
    <w:rsid w:val="18A5A756"/>
    <w:rsid w:val="18BD4688"/>
    <w:rsid w:val="18EEC267"/>
    <w:rsid w:val="18F4D9F3"/>
    <w:rsid w:val="1906C7CA"/>
    <w:rsid w:val="19143724"/>
    <w:rsid w:val="191C0798"/>
    <w:rsid w:val="191E1613"/>
    <w:rsid w:val="191FEA1E"/>
    <w:rsid w:val="1927B81B"/>
    <w:rsid w:val="19366CED"/>
    <w:rsid w:val="194BD602"/>
    <w:rsid w:val="19654FB7"/>
    <w:rsid w:val="199E4922"/>
    <w:rsid w:val="19BD25AC"/>
    <w:rsid w:val="19CB46A4"/>
    <w:rsid w:val="19CE5A2F"/>
    <w:rsid w:val="19D97C8D"/>
    <w:rsid w:val="19E6949F"/>
    <w:rsid w:val="19ECA012"/>
    <w:rsid w:val="19EF976E"/>
    <w:rsid w:val="1A02C162"/>
    <w:rsid w:val="1A3B4BC6"/>
    <w:rsid w:val="1A565F78"/>
    <w:rsid w:val="1A8A139E"/>
    <w:rsid w:val="1A943724"/>
    <w:rsid w:val="1A9735AD"/>
    <w:rsid w:val="1AA1E626"/>
    <w:rsid w:val="1AA9912D"/>
    <w:rsid w:val="1AAEB799"/>
    <w:rsid w:val="1ABD73D5"/>
    <w:rsid w:val="1AC924B4"/>
    <w:rsid w:val="1AD92E13"/>
    <w:rsid w:val="1ADC0693"/>
    <w:rsid w:val="1ADC2903"/>
    <w:rsid w:val="1B10EA2A"/>
    <w:rsid w:val="1B3A0E92"/>
    <w:rsid w:val="1B3CA74E"/>
    <w:rsid w:val="1B610D65"/>
    <w:rsid w:val="1B778305"/>
    <w:rsid w:val="1B90EA6B"/>
    <w:rsid w:val="1C007DF1"/>
    <w:rsid w:val="1C3B8FC2"/>
    <w:rsid w:val="1C4C1BB5"/>
    <w:rsid w:val="1C8897F6"/>
    <w:rsid w:val="1C905B7D"/>
    <w:rsid w:val="1CA48E25"/>
    <w:rsid w:val="1CB4D87F"/>
    <w:rsid w:val="1CB8098C"/>
    <w:rsid w:val="1CC976CB"/>
    <w:rsid w:val="1D0C0EF3"/>
    <w:rsid w:val="1D355FE0"/>
    <w:rsid w:val="1D3ED1FD"/>
    <w:rsid w:val="1D63FF27"/>
    <w:rsid w:val="1D6A5E01"/>
    <w:rsid w:val="1D91F5D3"/>
    <w:rsid w:val="1DC9A1E6"/>
    <w:rsid w:val="1DCBAE5E"/>
    <w:rsid w:val="1DD6CD9A"/>
    <w:rsid w:val="1DDED2DC"/>
    <w:rsid w:val="1E02E240"/>
    <w:rsid w:val="1E0486C7"/>
    <w:rsid w:val="1E100C8B"/>
    <w:rsid w:val="1E19BB33"/>
    <w:rsid w:val="1E2BB2C9"/>
    <w:rsid w:val="1E52516D"/>
    <w:rsid w:val="1E6EFF84"/>
    <w:rsid w:val="1E706B34"/>
    <w:rsid w:val="1E8ABDA2"/>
    <w:rsid w:val="1E968748"/>
    <w:rsid w:val="1EDB96BF"/>
    <w:rsid w:val="1F02FD36"/>
    <w:rsid w:val="1F0F151A"/>
    <w:rsid w:val="1F20C1DA"/>
    <w:rsid w:val="1F26846D"/>
    <w:rsid w:val="1F30E80C"/>
    <w:rsid w:val="1F31769F"/>
    <w:rsid w:val="1F5FED39"/>
    <w:rsid w:val="1F6E245F"/>
    <w:rsid w:val="1F72F13C"/>
    <w:rsid w:val="1F9ACCE7"/>
    <w:rsid w:val="1FA1EF29"/>
    <w:rsid w:val="1FAFEAFC"/>
    <w:rsid w:val="1FB3F124"/>
    <w:rsid w:val="1FD99A19"/>
    <w:rsid w:val="1FE92933"/>
    <w:rsid w:val="200767A3"/>
    <w:rsid w:val="200D7FB5"/>
    <w:rsid w:val="201B3070"/>
    <w:rsid w:val="205BACCF"/>
    <w:rsid w:val="205E0D98"/>
    <w:rsid w:val="20742D9B"/>
    <w:rsid w:val="20861A47"/>
    <w:rsid w:val="20956A06"/>
    <w:rsid w:val="209B52C1"/>
    <w:rsid w:val="20AB1A3E"/>
    <w:rsid w:val="20B30F39"/>
    <w:rsid w:val="20BF318B"/>
    <w:rsid w:val="20C3B526"/>
    <w:rsid w:val="20CD938D"/>
    <w:rsid w:val="20DAE2A5"/>
    <w:rsid w:val="20ECE198"/>
    <w:rsid w:val="20FB937B"/>
    <w:rsid w:val="213AE796"/>
    <w:rsid w:val="213E1C1A"/>
    <w:rsid w:val="2142E7A7"/>
    <w:rsid w:val="215FA622"/>
    <w:rsid w:val="217BC60D"/>
    <w:rsid w:val="217C9B9B"/>
    <w:rsid w:val="2189750F"/>
    <w:rsid w:val="218E29E4"/>
    <w:rsid w:val="21907AE2"/>
    <w:rsid w:val="21A5457C"/>
    <w:rsid w:val="21A7C076"/>
    <w:rsid w:val="21A80BF6"/>
    <w:rsid w:val="21B9EFB4"/>
    <w:rsid w:val="21C83791"/>
    <w:rsid w:val="21CC43A5"/>
    <w:rsid w:val="220D673A"/>
    <w:rsid w:val="22110285"/>
    <w:rsid w:val="221D1371"/>
    <w:rsid w:val="2228C133"/>
    <w:rsid w:val="2232B16D"/>
    <w:rsid w:val="225D1C3B"/>
    <w:rsid w:val="225EFDD7"/>
    <w:rsid w:val="22628EFE"/>
    <w:rsid w:val="227AD822"/>
    <w:rsid w:val="227B1C17"/>
    <w:rsid w:val="228CDF42"/>
    <w:rsid w:val="2298E3AA"/>
    <w:rsid w:val="22A523DA"/>
    <w:rsid w:val="22AB6B74"/>
    <w:rsid w:val="22BD2599"/>
    <w:rsid w:val="22CBFB40"/>
    <w:rsid w:val="22D3D108"/>
    <w:rsid w:val="230C9CE7"/>
    <w:rsid w:val="2314094A"/>
    <w:rsid w:val="23452077"/>
    <w:rsid w:val="234EA1BB"/>
    <w:rsid w:val="2363F30C"/>
    <w:rsid w:val="236FE521"/>
    <w:rsid w:val="23852DE6"/>
    <w:rsid w:val="2395AE5A"/>
    <w:rsid w:val="2399CFFA"/>
    <w:rsid w:val="239CF0C5"/>
    <w:rsid w:val="23ACD2E6"/>
    <w:rsid w:val="23D5412D"/>
    <w:rsid w:val="23D9C407"/>
    <w:rsid w:val="23E6F91E"/>
    <w:rsid w:val="240344BB"/>
    <w:rsid w:val="240C8851"/>
    <w:rsid w:val="24324D1A"/>
    <w:rsid w:val="2438E36A"/>
    <w:rsid w:val="24419582"/>
    <w:rsid w:val="2452B387"/>
    <w:rsid w:val="24580844"/>
    <w:rsid w:val="246467BE"/>
    <w:rsid w:val="247E20DB"/>
    <w:rsid w:val="24D9D931"/>
    <w:rsid w:val="24E1BE1C"/>
    <w:rsid w:val="24E6613A"/>
    <w:rsid w:val="252E585D"/>
    <w:rsid w:val="255E2F8D"/>
    <w:rsid w:val="256454D9"/>
    <w:rsid w:val="25BB9BDE"/>
    <w:rsid w:val="25E2E148"/>
    <w:rsid w:val="25E32F42"/>
    <w:rsid w:val="25E94CCD"/>
    <w:rsid w:val="25EC8ED2"/>
    <w:rsid w:val="260C4140"/>
    <w:rsid w:val="261107D6"/>
    <w:rsid w:val="261BD54F"/>
    <w:rsid w:val="263DD4EC"/>
    <w:rsid w:val="266EF458"/>
    <w:rsid w:val="26942E1F"/>
    <w:rsid w:val="2694F8FE"/>
    <w:rsid w:val="269E934C"/>
    <w:rsid w:val="26B24132"/>
    <w:rsid w:val="26DFC019"/>
    <w:rsid w:val="26FE3AEA"/>
    <w:rsid w:val="2740232A"/>
    <w:rsid w:val="2740850D"/>
    <w:rsid w:val="274B197F"/>
    <w:rsid w:val="276A05B6"/>
    <w:rsid w:val="27BAE705"/>
    <w:rsid w:val="27BBA004"/>
    <w:rsid w:val="27C01888"/>
    <w:rsid w:val="27C1D530"/>
    <w:rsid w:val="27C769BB"/>
    <w:rsid w:val="27D56221"/>
    <w:rsid w:val="280959F2"/>
    <w:rsid w:val="281A25F0"/>
    <w:rsid w:val="281B54A7"/>
    <w:rsid w:val="28332EF9"/>
    <w:rsid w:val="284CDF9C"/>
    <w:rsid w:val="284E0053"/>
    <w:rsid w:val="2866EB0F"/>
    <w:rsid w:val="287B4C4F"/>
    <w:rsid w:val="28889B46"/>
    <w:rsid w:val="28958FA6"/>
    <w:rsid w:val="28D57F37"/>
    <w:rsid w:val="28E7B849"/>
    <w:rsid w:val="28EA804D"/>
    <w:rsid w:val="28FC561F"/>
    <w:rsid w:val="2911D1FD"/>
    <w:rsid w:val="29129C3B"/>
    <w:rsid w:val="2921BE42"/>
    <w:rsid w:val="292DD7E3"/>
    <w:rsid w:val="2963B057"/>
    <w:rsid w:val="2964BBFA"/>
    <w:rsid w:val="298F6B5D"/>
    <w:rsid w:val="29AF77D0"/>
    <w:rsid w:val="29C4A139"/>
    <w:rsid w:val="29CFA14C"/>
    <w:rsid w:val="29D5C885"/>
    <w:rsid w:val="29DFD49B"/>
    <w:rsid w:val="29EA23A0"/>
    <w:rsid w:val="2A05B11C"/>
    <w:rsid w:val="2A3B242E"/>
    <w:rsid w:val="2A75344B"/>
    <w:rsid w:val="2A982680"/>
    <w:rsid w:val="2AA824EE"/>
    <w:rsid w:val="2AB49F77"/>
    <w:rsid w:val="2ACF3DE0"/>
    <w:rsid w:val="2AD28497"/>
    <w:rsid w:val="2B094E20"/>
    <w:rsid w:val="2B1EAF49"/>
    <w:rsid w:val="2B59125A"/>
    <w:rsid w:val="2B655FA2"/>
    <w:rsid w:val="2B9DC992"/>
    <w:rsid w:val="2BA26F4B"/>
    <w:rsid w:val="2BA3B2C0"/>
    <w:rsid w:val="2BA9D905"/>
    <w:rsid w:val="2BAACB47"/>
    <w:rsid w:val="2BAF1C05"/>
    <w:rsid w:val="2BDF8800"/>
    <w:rsid w:val="2BDF93E3"/>
    <w:rsid w:val="2BEABBC9"/>
    <w:rsid w:val="2BFBE942"/>
    <w:rsid w:val="2BFE56F4"/>
    <w:rsid w:val="2C20D6CD"/>
    <w:rsid w:val="2C3E38D1"/>
    <w:rsid w:val="2C4C8D7F"/>
    <w:rsid w:val="2C56C849"/>
    <w:rsid w:val="2C57B73B"/>
    <w:rsid w:val="2C638191"/>
    <w:rsid w:val="2C899BC7"/>
    <w:rsid w:val="2C9BE37E"/>
    <w:rsid w:val="2CA21F98"/>
    <w:rsid w:val="2CB7EF4D"/>
    <w:rsid w:val="2CC169C3"/>
    <w:rsid w:val="2CC71C08"/>
    <w:rsid w:val="2CE81241"/>
    <w:rsid w:val="2CEA4746"/>
    <w:rsid w:val="2CEEAAC3"/>
    <w:rsid w:val="2D192A61"/>
    <w:rsid w:val="2D5DFC6F"/>
    <w:rsid w:val="2D6EFEE9"/>
    <w:rsid w:val="2D7430AB"/>
    <w:rsid w:val="2D8CC5B0"/>
    <w:rsid w:val="2DB0F513"/>
    <w:rsid w:val="2DCE3028"/>
    <w:rsid w:val="2DFA1AF4"/>
    <w:rsid w:val="2DFEB33C"/>
    <w:rsid w:val="2E1FB486"/>
    <w:rsid w:val="2E2BC508"/>
    <w:rsid w:val="2E2E4FC2"/>
    <w:rsid w:val="2E3DB2F3"/>
    <w:rsid w:val="2E829256"/>
    <w:rsid w:val="2EA26BF2"/>
    <w:rsid w:val="2EB12EA0"/>
    <w:rsid w:val="2EDE1DF0"/>
    <w:rsid w:val="2F38966A"/>
    <w:rsid w:val="2F58F765"/>
    <w:rsid w:val="2F6E9323"/>
    <w:rsid w:val="2F712D01"/>
    <w:rsid w:val="2F78B768"/>
    <w:rsid w:val="2F9141D4"/>
    <w:rsid w:val="2F9E48FD"/>
    <w:rsid w:val="2FAB817D"/>
    <w:rsid w:val="2FBA6A25"/>
    <w:rsid w:val="2FC2A209"/>
    <w:rsid w:val="2FCD58D1"/>
    <w:rsid w:val="2FD42D0D"/>
    <w:rsid w:val="2FD89E86"/>
    <w:rsid w:val="2FF2AE40"/>
    <w:rsid w:val="304AAE56"/>
    <w:rsid w:val="30655ABB"/>
    <w:rsid w:val="307DDDDE"/>
    <w:rsid w:val="30FE3E15"/>
    <w:rsid w:val="311178D7"/>
    <w:rsid w:val="311D15CA"/>
    <w:rsid w:val="31367B95"/>
    <w:rsid w:val="314AEAF8"/>
    <w:rsid w:val="31711D72"/>
    <w:rsid w:val="3173A2DA"/>
    <w:rsid w:val="31794254"/>
    <w:rsid w:val="3192D533"/>
    <w:rsid w:val="31A732DF"/>
    <w:rsid w:val="31A7FE7E"/>
    <w:rsid w:val="31AEDB72"/>
    <w:rsid w:val="31DEE9EB"/>
    <w:rsid w:val="31EF4993"/>
    <w:rsid w:val="31FF4B63"/>
    <w:rsid w:val="3203A3AD"/>
    <w:rsid w:val="32219C99"/>
    <w:rsid w:val="32262949"/>
    <w:rsid w:val="3229E761"/>
    <w:rsid w:val="323E699E"/>
    <w:rsid w:val="323FC10D"/>
    <w:rsid w:val="327E2497"/>
    <w:rsid w:val="328613B7"/>
    <w:rsid w:val="329FEBEC"/>
    <w:rsid w:val="32A74973"/>
    <w:rsid w:val="32A89B0C"/>
    <w:rsid w:val="32CB762D"/>
    <w:rsid w:val="32D5F20C"/>
    <w:rsid w:val="32E19B12"/>
    <w:rsid w:val="32F7369F"/>
    <w:rsid w:val="32FFB3FF"/>
    <w:rsid w:val="33077F55"/>
    <w:rsid w:val="330E44F0"/>
    <w:rsid w:val="33255B15"/>
    <w:rsid w:val="3343374C"/>
    <w:rsid w:val="335BEFF3"/>
    <w:rsid w:val="337B6B48"/>
    <w:rsid w:val="339E3544"/>
    <w:rsid w:val="33A41001"/>
    <w:rsid w:val="33AC593C"/>
    <w:rsid w:val="33D062DA"/>
    <w:rsid w:val="33E18CEE"/>
    <w:rsid w:val="33EF5EAF"/>
    <w:rsid w:val="33F58478"/>
    <w:rsid w:val="33FA7657"/>
    <w:rsid w:val="34041C35"/>
    <w:rsid w:val="341ADCAB"/>
    <w:rsid w:val="34657550"/>
    <w:rsid w:val="34673366"/>
    <w:rsid w:val="347A9E73"/>
    <w:rsid w:val="3495BED8"/>
    <w:rsid w:val="34A0EDCD"/>
    <w:rsid w:val="34AC2508"/>
    <w:rsid w:val="34B50275"/>
    <w:rsid w:val="35131426"/>
    <w:rsid w:val="3524E75E"/>
    <w:rsid w:val="352F2A1C"/>
    <w:rsid w:val="352F4BD1"/>
    <w:rsid w:val="354086A0"/>
    <w:rsid w:val="354A7C41"/>
    <w:rsid w:val="35799DB9"/>
    <w:rsid w:val="357D25BD"/>
    <w:rsid w:val="3596B8DA"/>
    <w:rsid w:val="35AB55F4"/>
    <w:rsid w:val="35CA42B6"/>
    <w:rsid w:val="35D35E7E"/>
    <w:rsid w:val="35FBDBB1"/>
    <w:rsid w:val="35FC6FB3"/>
    <w:rsid w:val="36251C1C"/>
    <w:rsid w:val="3648EA42"/>
    <w:rsid w:val="364DC72F"/>
    <w:rsid w:val="3652D68A"/>
    <w:rsid w:val="36655653"/>
    <w:rsid w:val="366C8292"/>
    <w:rsid w:val="3677F854"/>
    <w:rsid w:val="36A77560"/>
    <w:rsid w:val="36B1854C"/>
    <w:rsid w:val="36B63B1F"/>
    <w:rsid w:val="36BB420D"/>
    <w:rsid w:val="36C6622A"/>
    <w:rsid w:val="36CCAA44"/>
    <w:rsid w:val="36DB8B42"/>
    <w:rsid w:val="36FB28B0"/>
    <w:rsid w:val="371207DC"/>
    <w:rsid w:val="372F72A0"/>
    <w:rsid w:val="374C7925"/>
    <w:rsid w:val="37898267"/>
    <w:rsid w:val="378B5728"/>
    <w:rsid w:val="379C08FE"/>
    <w:rsid w:val="37AC3384"/>
    <w:rsid w:val="37BE0D7C"/>
    <w:rsid w:val="37CE10FF"/>
    <w:rsid w:val="37CE7619"/>
    <w:rsid w:val="37D0E767"/>
    <w:rsid w:val="37D6C78D"/>
    <w:rsid w:val="37E11B6B"/>
    <w:rsid w:val="37E3EE6E"/>
    <w:rsid w:val="37EE7B4D"/>
    <w:rsid w:val="37F19C2B"/>
    <w:rsid w:val="37F19DA3"/>
    <w:rsid w:val="37FA6B09"/>
    <w:rsid w:val="38115F30"/>
    <w:rsid w:val="38240BCD"/>
    <w:rsid w:val="3853AEBE"/>
    <w:rsid w:val="3860AC02"/>
    <w:rsid w:val="389B526A"/>
    <w:rsid w:val="38A2F421"/>
    <w:rsid w:val="38B92911"/>
    <w:rsid w:val="38C9A92D"/>
    <w:rsid w:val="38D0209E"/>
    <w:rsid w:val="38D19061"/>
    <w:rsid w:val="38D9321F"/>
    <w:rsid w:val="38F45934"/>
    <w:rsid w:val="3919EF98"/>
    <w:rsid w:val="391DC734"/>
    <w:rsid w:val="39240753"/>
    <w:rsid w:val="392B2C30"/>
    <w:rsid w:val="392CF1C4"/>
    <w:rsid w:val="396716DE"/>
    <w:rsid w:val="3977CB97"/>
    <w:rsid w:val="397959A6"/>
    <w:rsid w:val="39ABD9AE"/>
    <w:rsid w:val="39DC1FB9"/>
    <w:rsid w:val="3A046FFB"/>
    <w:rsid w:val="3A2F5784"/>
    <w:rsid w:val="3A43C4C3"/>
    <w:rsid w:val="3A526BDF"/>
    <w:rsid w:val="3A6103B7"/>
    <w:rsid w:val="3A662856"/>
    <w:rsid w:val="3AA2A6A7"/>
    <w:rsid w:val="3AA8DD6B"/>
    <w:rsid w:val="3ABEEC9F"/>
    <w:rsid w:val="3AD900BC"/>
    <w:rsid w:val="3B021138"/>
    <w:rsid w:val="3B0AAC29"/>
    <w:rsid w:val="3B48B327"/>
    <w:rsid w:val="3B5BE3B8"/>
    <w:rsid w:val="3B79B92F"/>
    <w:rsid w:val="3BAA7F6D"/>
    <w:rsid w:val="3BE07722"/>
    <w:rsid w:val="3BE6FD31"/>
    <w:rsid w:val="3C04D753"/>
    <w:rsid w:val="3C26C933"/>
    <w:rsid w:val="3C3FAC9C"/>
    <w:rsid w:val="3C927905"/>
    <w:rsid w:val="3CA145AF"/>
    <w:rsid w:val="3CBE7CBE"/>
    <w:rsid w:val="3CDFDBBB"/>
    <w:rsid w:val="3CE28473"/>
    <w:rsid w:val="3D146533"/>
    <w:rsid w:val="3D1F5747"/>
    <w:rsid w:val="3D2A3D3A"/>
    <w:rsid w:val="3D2A6277"/>
    <w:rsid w:val="3D2AB368"/>
    <w:rsid w:val="3D355375"/>
    <w:rsid w:val="3D3DA1CE"/>
    <w:rsid w:val="3D52AEE2"/>
    <w:rsid w:val="3D580122"/>
    <w:rsid w:val="3D833548"/>
    <w:rsid w:val="3D9688BB"/>
    <w:rsid w:val="3D9CEF11"/>
    <w:rsid w:val="3DA29D86"/>
    <w:rsid w:val="3DB9261E"/>
    <w:rsid w:val="3DC8A7C7"/>
    <w:rsid w:val="3DD80C4A"/>
    <w:rsid w:val="3DE27B89"/>
    <w:rsid w:val="3DE64D2B"/>
    <w:rsid w:val="3E009BAF"/>
    <w:rsid w:val="3E1474C2"/>
    <w:rsid w:val="3E2EAB39"/>
    <w:rsid w:val="3E3F4A4D"/>
    <w:rsid w:val="3E466E65"/>
    <w:rsid w:val="3E496EEB"/>
    <w:rsid w:val="3E6591B6"/>
    <w:rsid w:val="3E6D5766"/>
    <w:rsid w:val="3E721805"/>
    <w:rsid w:val="3E851415"/>
    <w:rsid w:val="3E979101"/>
    <w:rsid w:val="3EAA8C17"/>
    <w:rsid w:val="3EB02FB6"/>
    <w:rsid w:val="3EC039A1"/>
    <w:rsid w:val="3EF46E80"/>
    <w:rsid w:val="3F0E2EE9"/>
    <w:rsid w:val="3F1F0E22"/>
    <w:rsid w:val="3F25AAA6"/>
    <w:rsid w:val="3F2C53B1"/>
    <w:rsid w:val="3F3233CD"/>
    <w:rsid w:val="3F343EF0"/>
    <w:rsid w:val="3F48842C"/>
    <w:rsid w:val="3F5561EE"/>
    <w:rsid w:val="3F6D2C43"/>
    <w:rsid w:val="3F7DED6F"/>
    <w:rsid w:val="3F807F04"/>
    <w:rsid w:val="3F86583E"/>
    <w:rsid w:val="3FB3A143"/>
    <w:rsid w:val="3FD418EA"/>
    <w:rsid w:val="3FDD04F5"/>
    <w:rsid w:val="3FE20F3B"/>
    <w:rsid w:val="3FFFA100"/>
    <w:rsid w:val="4007B6CE"/>
    <w:rsid w:val="400F6F06"/>
    <w:rsid w:val="403FAC45"/>
    <w:rsid w:val="40573575"/>
    <w:rsid w:val="40717E8A"/>
    <w:rsid w:val="408A4FA4"/>
    <w:rsid w:val="40A4A587"/>
    <w:rsid w:val="40AC4D22"/>
    <w:rsid w:val="40C34A7F"/>
    <w:rsid w:val="40C684BB"/>
    <w:rsid w:val="40C93DF7"/>
    <w:rsid w:val="40CE151B"/>
    <w:rsid w:val="40DBAE9F"/>
    <w:rsid w:val="40DF8A40"/>
    <w:rsid w:val="40F83555"/>
    <w:rsid w:val="40FDBCE1"/>
    <w:rsid w:val="4120426C"/>
    <w:rsid w:val="4151C133"/>
    <w:rsid w:val="4164EB7F"/>
    <w:rsid w:val="416F7FB2"/>
    <w:rsid w:val="417BDCD6"/>
    <w:rsid w:val="419C373E"/>
    <w:rsid w:val="41A603EC"/>
    <w:rsid w:val="41BC4868"/>
    <w:rsid w:val="41CA904E"/>
    <w:rsid w:val="41DA93AD"/>
    <w:rsid w:val="420FCCC4"/>
    <w:rsid w:val="422018FA"/>
    <w:rsid w:val="42270C4D"/>
    <w:rsid w:val="423DC006"/>
    <w:rsid w:val="42635263"/>
    <w:rsid w:val="426DDFF9"/>
    <w:rsid w:val="427B2466"/>
    <w:rsid w:val="42A1436A"/>
    <w:rsid w:val="42A19272"/>
    <w:rsid w:val="42BD58EB"/>
    <w:rsid w:val="42C0D1DE"/>
    <w:rsid w:val="42CEB1D9"/>
    <w:rsid w:val="42CECE50"/>
    <w:rsid w:val="42ECE2EE"/>
    <w:rsid w:val="42EEFE94"/>
    <w:rsid w:val="432FFD6A"/>
    <w:rsid w:val="43857AF2"/>
    <w:rsid w:val="43961F4C"/>
    <w:rsid w:val="43967F38"/>
    <w:rsid w:val="43A6859E"/>
    <w:rsid w:val="43A9C1C3"/>
    <w:rsid w:val="43D036E0"/>
    <w:rsid w:val="43D1B98E"/>
    <w:rsid w:val="43F908B2"/>
    <w:rsid w:val="43FE7AFC"/>
    <w:rsid w:val="4431358A"/>
    <w:rsid w:val="44379553"/>
    <w:rsid w:val="444BCDA0"/>
    <w:rsid w:val="446163A9"/>
    <w:rsid w:val="44652C87"/>
    <w:rsid w:val="4474081D"/>
    <w:rsid w:val="447A3B3B"/>
    <w:rsid w:val="448C486D"/>
    <w:rsid w:val="44D8CDCE"/>
    <w:rsid w:val="44DB8B16"/>
    <w:rsid w:val="44E547BB"/>
    <w:rsid w:val="44EABA3C"/>
    <w:rsid w:val="44EB64E6"/>
    <w:rsid w:val="44FCC5ED"/>
    <w:rsid w:val="450253EA"/>
    <w:rsid w:val="452A317C"/>
    <w:rsid w:val="4543D8AB"/>
    <w:rsid w:val="454BF03C"/>
    <w:rsid w:val="4552E50D"/>
    <w:rsid w:val="456C0741"/>
    <w:rsid w:val="4584C774"/>
    <w:rsid w:val="458C73C8"/>
    <w:rsid w:val="45934A2E"/>
    <w:rsid w:val="45AB0C60"/>
    <w:rsid w:val="45ADAF6B"/>
    <w:rsid w:val="45C3D57A"/>
    <w:rsid w:val="45D4A98F"/>
    <w:rsid w:val="45F7FB47"/>
    <w:rsid w:val="45F8B681"/>
    <w:rsid w:val="46189B0B"/>
    <w:rsid w:val="462A91FF"/>
    <w:rsid w:val="462B2C90"/>
    <w:rsid w:val="46661F51"/>
    <w:rsid w:val="4670383A"/>
    <w:rsid w:val="467FB7E3"/>
    <w:rsid w:val="46950B56"/>
    <w:rsid w:val="46B27047"/>
    <w:rsid w:val="46D5A07E"/>
    <w:rsid w:val="46F67E70"/>
    <w:rsid w:val="46FBACA6"/>
    <w:rsid w:val="4709B504"/>
    <w:rsid w:val="473893A0"/>
    <w:rsid w:val="474F702F"/>
    <w:rsid w:val="475A2A61"/>
    <w:rsid w:val="475E9E58"/>
    <w:rsid w:val="47806FAF"/>
    <w:rsid w:val="478B90E9"/>
    <w:rsid w:val="478D9676"/>
    <w:rsid w:val="4793D088"/>
    <w:rsid w:val="4799AF2A"/>
    <w:rsid w:val="47AE8073"/>
    <w:rsid w:val="47B605F5"/>
    <w:rsid w:val="47BFEE6F"/>
    <w:rsid w:val="47C99FD7"/>
    <w:rsid w:val="47D28D65"/>
    <w:rsid w:val="47DA1AFB"/>
    <w:rsid w:val="47EFB105"/>
    <w:rsid w:val="480C6D42"/>
    <w:rsid w:val="4833D499"/>
    <w:rsid w:val="483D2812"/>
    <w:rsid w:val="4863EFA6"/>
    <w:rsid w:val="486BE10B"/>
    <w:rsid w:val="48A2FBB2"/>
    <w:rsid w:val="48A5D1ED"/>
    <w:rsid w:val="48D4769D"/>
    <w:rsid w:val="48D723E4"/>
    <w:rsid w:val="48DE5FCE"/>
    <w:rsid w:val="48E8919A"/>
    <w:rsid w:val="48EA2210"/>
    <w:rsid w:val="48ED4356"/>
    <w:rsid w:val="48F6CABC"/>
    <w:rsid w:val="491B90C7"/>
    <w:rsid w:val="493AB4EC"/>
    <w:rsid w:val="494F76F0"/>
    <w:rsid w:val="495DF987"/>
    <w:rsid w:val="497B2F94"/>
    <w:rsid w:val="4981E713"/>
    <w:rsid w:val="49924B35"/>
    <w:rsid w:val="49A24415"/>
    <w:rsid w:val="49BEA320"/>
    <w:rsid w:val="49FE3D93"/>
    <w:rsid w:val="4A0C9594"/>
    <w:rsid w:val="4A0F4FDD"/>
    <w:rsid w:val="4A125244"/>
    <w:rsid w:val="4A38B4CA"/>
    <w:rsid w:val="4A4084C3"/>
    <w:rsid w:val="4A5CDF0C"/>
    <w:rsid w:val="4A9C9133"/>
    <w:rsid w:val="4A9D2F86"/>
    <w:rsid w:val="4AAADE88"/>
    <w:rsid w:val="4ACE1395"/>
    <w:rsid w:val="4AF379A6"/>
    <w:rsid w:val="4B018325"/>
    <w:rsid w:val="4B13BF8E"/>
    <w:rsid w:val="4B26BD83"/>
    <w:rsid w:val="4B512BB9"/>
    <w:rsid w:val="4B6951CC"/>
    <w:rsid w:val="4B6E6B5F"/>
    <w:rsid w:val="4B713D4B"/>
    <w:rsid w:val="4B89F7AC"/>
    <w:rsid w:val="4BE50CD6"/>
    <w:rsid w:val="4BEFE233"/>
    <w:rsid w:val="4C0D9859"/>
    <w:rsid w:val="4C2355A9"/>
    <w:rsid w:val="4C3572C3"/>
    <w:rsid w:val="4C4C3859"/>
    <w:rsid w:val="4C578519"/>
    <w:rsid w:val="4C5AF772"/>
    <w:rsid w:val="4C6E4AAF"/>
    <w:rsid w:val="4C894A12"/>
    <w:rsid w:val="4C9D2070"/>
    <w:rsid w:val="4CDC3B16"/>
    <w:rsid w:val="4CDE2F0C"/>
    <w:rsid w:val="4CEAE72F"/>
    <w:rsid w:val="4CF62679"/>
    <w:rsid w:val="4D0C43E6"/>
    <w:rsid w:val="4D2E82F7"/>
    <w:rsid w:val="4D360B11"/>
    <w:rsid w:val="4D3FE462"/>
    <w:rsid w:val="4D6B28A0"/>
    <w:rsid w:val="4D70A333"/>
    <w:rsid w:val="4D938C38"/>
    <w:rsid w:val="4D9E74C4"/>
    <w:rsid w:val="4DD7C358"/>
    <w:rsid w:val="4DE70EED"/>
    <w:rsid w:val="4DE85206"/>
    <w:rsid w:val="4DE939D1"/>
    <w:rsid w:val="4DEEC1CE"/>
    <w:rsid w:val="4DFB5077"/>
    <w:rsid w:val="4E01B05E"/>
    <w:rsid w:val="4E2376CE"/>
    <w:rsid w:val="4E2CA03D"/>
    <w:rsid w:val="4E54E1E5"/>
    <w:rsid w:val="4E5B6417"/>
    <w:rsid w:val="4EAF37B4"/>
    <w:rsid w:val="4EB3E484"/>
    <w:rsid w:val="4ED0683D"/>
    <w:rsid w:val="4EE3D935"/>
    <w:rsid w:val="4F04A085"/>
    <w:rsid w:val="4F190FF0"/>
    <w:rsid w:val="4F2AB878"/>
    <w:rsid w:val="4F319E07"/>
    <w:rsid w:val="4F333AA4"/>
    <w:rsid w:val="4F39B910"/>
    <w:rsid w:val="4F4400DA"/>
    <w:rsid w:val="4F56FC01"/>
    <w:rsid w:val="4F889A16"/>
    <w:rsid w:val="4F8FF4C6"/>
    <w:rsid w:val="4FA60851"/>
    <w:rsid w:val="4FB59798"/>
    <w:rsid w:val="4FB7E50F"/>
    <w:rsid w:val="4FC46729"/>
    <w:rsid w:val="4FC4C033"/>
    <w:rsid w:val="4FCB09F6"/>
    <w:rsid w:val="4FE52CE0"/>
    <w:rsid w:val="4FE730B1"/>
    <w:rsid w:val="5016DAA3"/>
    <w:rsid w:val="50224B72"/>
    <w:rsid w:val="503906D1"/>
    <w:rsid w:val="504152F3"/>
    <w:rsid w:val="50622302"/>
    <w:rsid w:val="50851CFB"/>
    <w:rsid w:val="50C7A505"/>
    <w:rsid w:val="50D8EFD3"/>
    <w:rsid w:val="50E53E14"/>
    <w:rsid w:val="510B74EB"/>
    <w:rsid w:val="510D0FE2"/>
    <w:rsid w:val="510DDF3B"/>
    <w:rsid w:val="51470F2D"/>
    <w:rsid w:val="515B85B8"/>
    <w:rsid w:val="515F3E57"/>
    <w:rsid w:val="516F8D0C"/>
    <w:rsid w:val="5172C0EF"/>
    <w:rsid w:val="5195DE02"/>
    <w:rsid w:val="51970669"/>
    <w:rsid w:val="519F7A6E"/>
    <w:rsid w:val="519FD906"/>
    <w:rsid w:val="51C34402"/>
    <w:rsid w:val="51C536F4"/>
    <w:rsid w:val="51CD33E7"/>
    <w:rsid w:val="51F631AC"/>
    <w:rsid w:val="52132335"/>
    <w:rsid w:val="525B2B20"/>
    <w:rsid w:val="526C0A4E"/>
    <w:rsid w:val="526E6833"/>
    <w:rsid w:val="5274C034"/>
    <w:rsid w:val="5278F82B"/>
    <w:rsid w:val="527AAC71"/>
    <w:rsid w:val="527E9D8F"/>
    <w:rsid w:val="528FD4F1"/>
    <w:rsid w:val="529D7A19"/>
    <w:rsid w:val="52A93D31"/>
    <w:rsid w:val="52F8E332"/>
    <w:rsid w:val="530D2C6D"/>
    <w:rsid w:val="53121680"/>
    <w:rsid w:val="5313B9B9"/>
    <w:rsid w:val="534A656E"/>
    <w:rsid w:val="535E9553"/>
    <w:rsid w:val="536227C3"/>
    <w:rsid w:val="536AB186"/>
    <w:rsid w:val="537732AF"/>
    <w:rsid w:val="5379B925"/>
    <w:rsid w:val="5399BF24"/>
    <w:rsid w:val="53B6E94E"/>
    <w:rsid w:val="53C03FE8"/>
    <w:rsid w:val="53C57351"/>
    <w:rsid w:val="53CAB89B"/>
    <w:rsid w:val="53DA1845"/>
    <w:rsid w:val="53EE2AEE"/>
    <w:rsid w:val="54014593"/>
    <w:rsid w:val="541D7B44"/>
    <w:rsid w:val="54760905"/>
    <w:rsid w:val="547F7922"/>
    <w:rsid w:val="548224B2"/>
    <w:rsid w:val="548D1550"/>
    <w:rsid w:val="5496521B"/>
    <w:rsid w:val="54A19048"/>
    <w:rsid w:val="54C62AA8"/>
    <w:rsid w:val="54EB3023"/>
    <w:rsid w:val="551A5C52"/>
    <w:rsid w:val="5551C955"/>
    <w:rsid w:val="5587FDC0"/>
    <w:rsid w:val="559671CE"/>
    <w:rsid w:val="5599BC4E"/>
    <w:rsid w:val="55B6B7D1"/>
    <w:rsid w:val="560EAE27"/>
    <w:rsid w:val="560F1407"/>
    <w:rsid w:val="56312BB8"/>
    <w:rsid w:val="5632F763"/>
    <w:rsid w:val="56550DFD"/>
    <w:rsid w:val="5675E6BC"/>
    <w:rsid w:val="5689B59F"/>
    <w:rsid w:val="56935CFC"/>
    <w:rsid w:val="56A84855"/>
    <w:rsid w:val="56C11E94"/>
    <w:rsid w:val="56C9BE83"/>
    <w:rsid w:val="56D2AEC9"/>
    <w:rsid w:val="56E93100"/>
    <w:rsid w:val="57191282"/>
    <w:rsid w:val="5727824F"/>
    <w:rsid w:val="5738E655"/>
    <w:rsid w:val="5762FA12"/>
    <w:rsid w:val="57A773D1"/>
    <w:rsid w:val="57B2B7A4"/>
    <w:rsid w:val="57B7F507"/>
    <w:rsid w:val="57BA48AD"/>
    <w:rsid w:val="57BE11AC"/>
    <w:rsid w:val="57CB0E24"/>
    <w:rsid w:val="57CCC035"/>
    <w:rsid w:val="57DF17E7"/>
    <w:rsid w:val="57F13E5A"/>
    <w:rsid w:val="57F7E00F"/>
    <w:rsid w:val="57F89602"/>
    <w:rsid w:val="583A1AE1"/>
    <w:rsid w:val="58400AD3"/>
    <w:rsid w:val="58466AF1"/>
    <w:rsid w:val="5898BAB8"/>
    <w:rsid w:val="58D4B6B6"/>
    <w:rsid w:val="58E148FF"/>
    <w:rsid w:val="58F861CA"/>
    <w:rsid w:val="58F8B12B"/>
    <w:rsid w:val="58FDC31A"/>
    <w:rsid w:val="596AACB8"/>
    <w:rsid w:val="59828D32"/>
    <w:rsid w:val="59B7512D"/>
    <w:rsid w:val="59B857BA"/>
    <w:rsid w:val="59BC0B69"/>
    <w:rsid w:val="5A129A9C"/>
    <w:rsid w:val="5A167719"/>
    <w:rsid w:val="5A8BC79A"/>
    <w:rsid w:val="5A97567A"/>
    <w:rsid w:val="5AC94CD6"/>
    <w:rsid w:val="5ADB3017"/>
    <w:rsid w:val="5AEEB67D"/>
    <w:rsid w:val="5AF51ABB"/>
    <w:rsid w:val="5B19BB57"/>
    <w:rsid w:val="5B5BE8CA"/>
    <w:rsid w:val="5B60D662"/>
    <w:rsid w:val="5B75523C"/>
    <w:rsid w:val="5B94DF7A"/>
    <w:rsid w:val="5B9A323F"/>
    <w:rsid w:val="5B9CA52C"/>
    <w:rsid w:val="5BA1B683"/>
    <w:rsid w:val="5BAF25A5"/>
    <w:rsid w:val="5BE986F3"/>
    <w:rsid w:val="5BEEFCDE"/>
    <w:rsid w:val="5C0F3508"/>
    <w:rsid w:val="5C3381AF"/>
    <w:rsid w:val="5C6FDD3B"/>
    <w:rsid w:val="5C95E422"/>
    <w:rsid w:val="5C987EC9"/>
    <w:rsid w:val="5CA7B562"/>
    <w:rsid w:val="5CBCA4C0"/>
    <w:rsid w:val="5CC2FD61"/>
    <w:rsid w:val="5CCB42CF"/>
    <w:rsid w:val="5CD08D02"/>
    <w:rsid w:val="5CD79BC3"/>
    <w:rsid w:val="5CD8B395"/>
    <w:rsid w:val="5CE161C4"/>
    <w:rsid w:val="5CE272E1"/>
    <w:rsid w:val="5CF45B56"/>
    <w:rsid w:val="5D57D13D"/>
    <w:rsid w:val="5D5D7B51"/>
    <w:rsid w:val="5D7B540B"/>
    <w:rsid w:val="5D85DAFC"/>
    <w:rsid w:val="5D92646C"/>
    <w:rsid w:val="5D9BA36D"/>
    <w:rsid w:val="5DA68CE5"/>
    <w:rsid w:val="5DB3854C"/>
    <w:rsid w:val="5DB6992F"/>
    <w:rsid w:val="5DB83E5D"/>
    <w:rsid w:val="5DE92DAA"/>
    <w:rsid w:val="5E0377F6"/>
    <w:rsid w:val="5E096203"/>
    <w:rsid w:val="5E0B3C74"/>
    <w:rsid w:val="5E0DAA15"/>
    <w:rsid w:val="5E212001"/>
    <w:rsid w:val="5E27741D"/>
    <w:rsid w:val="5E302B99"/>
    <w:rsid w:val="5E3C6EF3"/>
    <w:rsid w:val="5E427334"/>
    <w:rsid w:val="5E4D5B2F"/>
    <w:rsid w:val="5E64DE06"/>
    <w:rsid w:val="5E7AC8FF"/>
    <w:rsid w:val="5E9A7D7D"/>
    <w:rsid w:val="5EA97D68"/>
    <w:rsid w:val="5EACECAC"/>
    <w:rsid w:val="5EAD2285"/>
    <w:rsid w:val="5ED671D1"/>
    <w:rsid w:val="5F39EE19"/>
    <w:rsid w:val="5F444F67"/>
    <w:rsid w:val="5F49BC09"/>
    <w:rsid w:val="5F5FB2E2"/>
    <w:rsid w:val="5F6089D1"/>
    <w:rsid w:val="5F7CE3CE"/>
    <w:rsid w:val="5F800242"/>
    <w:rsid w:val="5F948651"/>
    <w:rsid w:val="5F966148"/>
    <w:rsid w:val="5FBDCFC5"/>
    <w:rsid w:val="5FBE63BA"/>
    <w:rsid w:val="5FDA0FB5"/>
    <w:rsid w:val="5FF00210"/>
    <w:rsid w:val="5FF22A65"/>
    <w:rsid w:val="60227A43"/>
    <w:rsid w:val="60235833"/>
    <w:rsid w:val="60415833"/>
    <w:rsid w:val="604822E3"/>
    <w:rsid w:val="6058C4AE"/>
    <w:rsid w:val="606F72B2"/>
    <w:rsid w:val="6087811D"/>
    <w:rsid w:val="609C198E"/>
    <w:rsid w:val="60B49C72"/>
    <w:rsid w:val="60C191C7"/>
    <w:rsid w:val="60D100C2"/>
    <w:rsid w:val="60F45C1C"/>
    <w:rsid w:val="60F76ADA"/>
    <w:rsid w:val="610FAA58"/>
    <w:rsid w:val="6135DDCA"/>
    <w:rsid w:val="61386332"/>
    <w:rsid w:val="6142CF2D"/>
    <w:rsid w:val="615F3873"/>
    <w:rsid w:val="61BF28E7"/>
    <w:rsid w:val="61CA9ED4"/>
    <w:rsid w:val="6216AEEF"/>
    <w:rsid w:val="623A3B3A"/>
    <w:rsid w:val="6271BBA1"/>
    <w:rsid w:val="627CAE58"/>
    <w:rsid w:val="6291C516"/>
    <w:rsid w:val="62A8A133"/>
    <w:rsid w:val="62AC6398"/>
    <w:rsid w:val="62AF2EFF"/>
    <w:rsid w:val="62BBFCEA"/>
    <w:rsid w:val="62C0AAA7"/>
    <w:rsid w:val="62C25C77"/>
    <w:rsid w:val="62C74E81"/>
    <w:rsid w:val="62C9B37D"/>
    <w:rsid w:val="62D36BC2"/>
    <w:rsid w:val="62D60137"/>
    <w:rsid w:val="62EB0228"/>
    <w:rsid w:val="62F252B3"/>
    <w:rsid w:val="62FBDD60"/>
    <w:rsid w:val="6303049D"/>
    <w:rsid w:val="63033784"/>
    <w:rsid w:val="6310763D"/>
    <w:rsid w:val="631B361B"/>
    <w:rsid w:val="6334878B"/>
    <w:rsid w:val="633508E7"/>
    <w:rsid w:val="63444080"/>
    <w:rsid w:val="63475D55"/>
    <w:rsid w:val="63643856"/>
    <w:rsid w:val="636C3D3B"/>
    <w:rsid w:val="6381A906"/>
    <w:rsid w:val="638EB8E3"/>
    <w:rsid w:val="63F607BE"/>
    <w:rsid w:val="640D8C02"/>
    <w:rsid w:val="6417695D"/>
    <w:rsid w:val="6424DFFB"/>
    <w:rsid w:val="6438248F"/>
    <w:rsid w:val="64468E3E"/>
    <w:rsid w:val="6482C932"/>
    <w:rsid w:val="64FA37EA"/>
    <w:rsid w:val="65119026"/>
    <w:rsid w:val="65637439"/>
    <w:rsid w:val="656C4568"/>
    <w:rsid w:val="6585F8BE"/>
    <w:rsid w:val="658898F8"/>
    <w:rsid w:val="658E5E56"/>
    <w:rsid w:val="65A248ED"/>
    <w:rsid w:val="65A5183A"/>
    <w:rsid w:val="65B339BE"/>
    <w:rsid w:val="65BB2744"/>
    <w:rsid w:val="65BF5582"/>
    <w:rsid w:val="65DF3DD8"/>
    <w:rsid w:val="65F06945"/>
    <w:rsid w:val="6618B260"/>
    <w:rsid w:val="662ACD70"/>
    <w:rsid w:val="662F3C4A"/>
    <w:rsid w:val="66461B37"/>
    <w:rsid w:val="665D9AF2"/>
    <w:rsid w:val="665EE90C"/>
    <w:rsid w:val="66675F1A"/>
    <w:rsid w:val="666913DA"/>
    <w:rsid w:val="6680DD49"/>
    <w:rsid w:val="66FA63A3"/>
    <w:rsid w:val="66FEDBF3"/>
    <w:rsid w:val="671919AE"/>
    <w:rsid w:val="671ED68D"/>
    <w:rsid w:val="671F9DD3"/>
    <w:rsid w:val="67279CFC"/>
    <w:rsid w:val="67347BB8"/>
    <w:rsid w:val="67423057"/>
    <w:rsid w:val="67B1E7C6"/>
    <w:rsid w:val="67D825E6"/>
    <w:rsid w:val="67DE5E74"/>
    <w:rsid w:val="67E1298D"/>
    <w:rsid w:val="681D51CC"/>
    <w:rsid w:val="682DA11D"/>
    <w:rsid w:val="6842CD12"/>
    <w:rsid w:val="684986FA"/>
    <w:rsid w:val="685CB5D1"/>
    <w:rsid w:val="689D3E6C"/>
    <w:rsid w:val="68A6FB78"/>
    <w:rsid w:val="68BA0A85"/>
    <w:rsid w:val="68C84AB4"/>
    <w:rsid w:val="68D6DD7B"/>
    <w:rsid w:val="68DDB607"/>
    <w:rsid w:val="68FC9E5F"/>
    <w:rsid w:val="693DD37D"/>
    <w:rsid w:val="69424885"/>
    <w:rsid w:val="694F856C"/>
    <w:rsid w:val="6958E76D"/>
    <w:rsid w:val="6968533D"/>
    <w:rsid w:val="6973A030"/>
    <w:rsid w:val="69767497"/>
    <w:rsid w:val="6979C9F7"/>
    <w:rsid w:val="69836670"/>
    <w:rsid w:val="69A43139"/>
    <w:rsid w:val="69BE670E"/>
    <w:rsid w:val="69E0454E"/>
    <w:rsid w:val="6A0666CC"/>
    <w:rsid w:val="6A1FC571"/>
    <w:rsid w:val="6A23561A"/>
    <w:rsid w:val="6A2F53E1"/>
    <w:rsid w:val="6A50C796"/>
    <w:rsid w:val="6A54C657"/>
    <w:rsid w:val="6A6DC89A"/>
    <w:rsid w:val="6A8E387C"/>
    <w:rsid w:val="6AB0B45F"/>
    <w:rsid w:val="6ABDE68C"/>
    <w:rsid w:val="6AC8462C"/>
    <w:rsid w:val="6ACCFC12"/>
    <w:rsid w:val="6AD0A777"/>
    <w:rsid w:val="6ADDB1E1"/>
    <w:rsid w:val="6AEA0732"/>
    <w:rsid w:val="6AF63EBB"/>
    <w:rsid w:val="6AF9BB7D"/>
    <w:rsid w:val="6B0FBCC5"/>
    <w:rsid w:val="6B174981"/>
    <w:rsid w:val="6B19D9D2"/>
    <w:rsid w:val="6B366EC8"/>
    <w:rsid w:val="6B3DAA80"/>
    <w:rsid w:val="6B49DA16"/>
    <w:rsid w:val="6B4A1A3E"/>
    <w:rsid w:val="6B52F0A4"/>
    <w:rsid w:val="6B637D5B"/>
    <w:rsid w:val="6B7A5DCB"/>
    <w:rsid w:val="6B80B142"/>
    <w:rsid w:val="6BB194FD"/>
    <w:rsid w:val="6BB5576E"/>
    <w:rsid w:val="6BD5A2E6"/>
    <w:rsid w:val="6BE6B28C"/>
    <w:rsid w:val="6BEF63F1"/>
    <w:rsid w:val="6C11BDC5"/>
    <w:rsid w:val="6C2A1380"/>
    <w:rsid w:val="6C3258C7"/>
    <w:rsid w:val="6C58420A"/>
    <w:rsid w:val="6C8F8DC9"/>
    <w:rsid w:val="6C98E656"/>
    <w:rsid w:val="6CA52488"/>
    <w:rsid w:val="6CFF96C3"/>
    <w:rsid w:val="6D09F4B1"/>
    <w:rsid w:val="6D2D5D3B"/>
    <w:rsid w:val="6D5AFB11"/>
    <w:rsid w:val="6D66747E"/>
    <w:rsid w:val="6D6EAE0B"/>
    <w:rsid w:val="6D987496"/>
    <w:rsid w:val="6D99C399"/>
    <w:rsid w:val="6D9C3D53"/>
    <w:rsid w:val="6DA3BED1"/>
    <w:rsid w:val="6DB46E48"/>
    <w:rsid w:val="6DB8309E"/>
    <w:rsid w:val="6DCFC43C"/>
    <w:rsid w:val="6DD1BED8"/>
    <w:rsid w:val="6DFCF48F"/>
    <w:rsid w:val="6DFE235D"/>
    <w:rsid w:val="6DFFFAEF"/>
    <w:rsid w:val="6E160D74"/>
    <w:rsid w:val="6E236C6B"/>
    <w:rsid w:val="6E2EB532"/>
    <w:rsid w:val="6E3A66E9"/>
    <w:rsid w:val="6E442F19"/>
    <w:rsid w:val="6E7D4080"/>
    <w:rsid w:val="6E849CE7"/>
    <w:rsid w:val="6E876B84"/>
    <w:rsid w:val="6E9AA845"/>
    <w:rsid w:val="6EC420EB"/>
    <w:rsid w:val="6ED04E35"/>
    <w:rsid w:val="6EE481A0"/>
    <w:rsid w:val="6F0B171D"/>
    <w:rsid w:val="6F3AC8EF"/>
    <w:rsid w:val="6F492D0A"/>
    <w:rsid w:val="6F4D1FAB"/>
    <w:rsid w:val="6F70AE56"/>
    <w:rsid w:val="6F8E5832"/>
    <w:rsid w:val="6F8F2E1C"/>
    <w:rsid w:val="6FB7BF27"/>
    <w:rsid w:val="6FD6387F"/>
    <w:rsid w:val="6FD8933E"/>
    <w:rsid w:val="6FD964D7"/>
    <w:rsid w:val="6FEFC56C"/>
    <w:rsid w:val="7021B937"/>
    <w:rsid w:val="7043E646"/>
    <w:rsid w:val="70636161"/>
    <w:rsid w:val="70740C9B"/>
    <w:rsid w:val="7077F473"/>
    <w:rsid w:val="70845C9B"/>
    <w:rsid w:val="7087D972"/>
    <w:rsid w:val="708E4FAE"/>
    <w:rsid w:val="70E157E8"/>
    <w:rsid w:val="70FAB3FD"/>
    <w:rsid w:val="710C53EF"/>
    <w:rsid w:val="7116D0E1"/>
    <w:rsid w:val="71252437"/>
    <w:rsid w:val="71300859"/>
    <w:rsid w:val="716011E8"/>
    <w:rsid w:val="718049DB"/>
    <w:rsid w:val="71920A83"/>
    <w:rsid w:val="71AA7CA3"/>
    <w:rsid w:val="71AB612A"/>
    <w:rsid w:val="71C8990E"/>
    <w:rsid w:val="71DF48EA"/>
    <w:rsid w:val="71F1B183"/>
    <w:rsid w:val="71FF31C2"/>
    <w:rsid w:val="721B7F89"/>
    <w:rsid w:val="721C2262"/>
    <w:rsid w:val="7256B68C"/>
    <w:rsid w:val="726DF4C4"/>
    <w:rsid w:val="72B5AA79"/>
    <w:rsid w:val="72BB2ECC"/>
    <w:rsid w:val="72C78EAB"/>
    <w:rsid w:val="72CAA599"/>
    <w:rsid w:val="72CF3F82"/>
    <w:rsid w:val="72D272F2"/>
    <w:rsid w:val="7301C764"/>
    <w:rsid w:val="7307AD9F"/>
    <w:rsid w:val="731D19DE"/>
    <w:rsid w:val="733A6D77"/>
    <w:rsid w:val="7360EF90"/>
    <w:rsid w:val="7394D25E"/>
    <w:rsid w:val="739D568E"/>
    <w:rsid w:val="739FCF3E"/>
    <w:rsid w:val="73AB62E1"/>
    <w:rsid w:val="73FC3605"/>
    <w:rsid w:val="740AC359"/>
    <w:rsid w:val="7417DA80"/>
    <w:rsid w:val="741AA525"/>
    <w:rsid w:val="74254551"/>
    <w:rsid w:val="74357AAD"/>
    <w:rsid w:val="744149E1"/>
    <w:rsid w:val="744E0BE2"/>
    <w:rsid w:val="747D059D"/>
    <w:rsid w:val="7485391A"/>
    <w:rsid w:val="7485E906"/>
    <w:rsid w:val="74A04B74"/>
    <w:rsid w:val="74AB6BF4"/>
    <w:rsid w:val="74ACB5A4"/>
    <w:rsid w:val="74D5C506"/>
    <w:rsid w:val="74F655C7"/>
    <w:rsid w:val="74FEC04E"/>
    <w:rsid w:val="750288D2"/>
    <w:rsid w:val="750827BD"/>
    <w:rsid w:val="75093633"/>
    <w:rsid w:val="7516ACC5"/>
    <w:rsid w:val="751A03F1"/>
    <w:rsid w:val="751DAA27"/>
    <w:rsid w:val="7523C7F1"/>
    <w:rsid w:val="7524836A"/>
    <w:rsid w:val="752E7361"/>
    <w:rsid w:val="75371F64"/>
    <w:rsid w:val="753D167C"/>
    <w:rsid w:val="753E03C3"/>
    <w:rsid w:val="754871E8"/>
    <w:rsid w:val="75651819"/>
    <w:rsid w:val="75724B06"/>
    <w:rsid w:val="758C0FB0"/>
    <w:rsid w:val="75A27002"/>
    <w:rsid w:val="75AAA303"/>
    <w:rsid w:val="75BCB7F4"/>
    <w:rsid w:val="75DF9EA4"/>
    <w:rsid w:val="75E3BF6D"/>
    <w:rsid w:val="75F0AC8F"/>
    <w:rsid w:val="75F87708"/>
    <w:rsid w:val="763671B5"/>
    <w:rsid w:val="763C5E59"/>
    <w:rsid w:val="764884AF"/>
    <w:rsid w:val="76618FB9"/>
    <w:rsid w:val="766F17B3"/>
    <w:rsid w:val="7679309C"/>
    <w:rsid w:val="767F7D39"/>
    <w:rsid w:val="76939285"/>
    <w:rsid w:val="769F83E8"/>
    <w:rsid w:val="76A0670C"/>
    <w:rsid w:val="76A70DC4"/>
    <w:rsid w:val="76A867C5"/>
    <w:rsid w:val="76BE5A5C"/>
    <w:rsid w:val="76CB8B82"/>
    <w:rsid w:val="76F259FF"/>
    <w:rsid w:val="76F4735A"/>
    <w:rsid w:val="7724B502"/>
    <w:rsid w:val="7725DBE3"/>
    <w:rsid w:val="7742211C"/>
    <w:rsid w:val="774D9127"/>
    <w:rsid w:val="77AEBFDA"/>
    <w:rsid w:val="77CC715C"/>
    <w:rsid w:val="77EFEB19"/>
    <w:rsid w:val="7855021C"/>
    <w:rsid w:val="78A16CBB"/>
    <w:rsid w:val="78D07603"/>
    <w:rsid w:val="78DE62D7"/>
    <w:rsid w:val="790F1662"/>
    <w:rsid w:val="7910C328"/>
    <w:rsid w:val="791FF731"/>
    <w:rsid w:val="793B5B8E"/>
    <w:rsid w:val="793FD811"/>
    <w:rsid w:val="79421445"/>
    <w:rsid w:val="795A1492"/>
    <w:rsid w:val="799EC248"/>
    <w:rsid w:val="79A237DB"/>
    <w:rsid w:val="79BE4633"/>
    <w:rsid w:val="79C36592"/>
    <w:rsid w:val="79DC8789"/>
    <w:rsid w:val="79E98CB6"/>
    <w:rsid w:val="79F09201"/>
    <w:rsid w:val="79FCEB8A"/>
    <w:rsid w:val="7A1920DE"/>
    <w:rsid w:val="7A29E90C"/>
    <w:rsid w:val="7A8FA8FB"/>
    <w:rsid w:val="7A953AD7"/>
    <w:rsid w:val="7AA240A2"/>
    <w:rsid w:val="7AA4D5C9"/>
    <w:rsid w:val="7AA9BC84"/>
    <w:rsid w:val="7AB3C5CC"/>
    <w:rsid w:val="7AB73090"/>
    <w:rsid w:val="7ABBC691"/>
    <w:rsid w:val="7AC3B5E5"/>
    <w:rsid w:val="7AE49570"/>
    <w:rsid w:val="7AEB0715"/>
    <w:rsid w:val="7B004F20"/>
    <w:rsid w:val="7B15E329"/>
    <w:rsid w:val="7B171DB0"/>
    <w:rsid w:val="7B1DBDB4"/>
    <w:rsid w:val="7B4519DB"/>
    <w:rsid w:val="7B45C2E8"/>
    <w:rsid w:val="7B48D59F"/>
    <w:rsid w:val="7B7E80B7"/>
    <w:rsid w:val="7BC1F978"/>
    <w:rsid w:val="7BC64BDC"/>
    <w:rsid w:val="7BD0F762"/>
    <w:rsid w:val="7BE52F64"/>
    <w:rsid w:val="7BE5DF23"/>
    <w:rsid w:val="7C0651C7"/>
    <w:rsid w:val="7C0B447D"/>
    <w:rsid w:val="7C1B868C"/>
    <w:rsid w:val="7C3D03AE"/>
    <w:rsid w:val="7C4FD921"/>
    <w:rsid w:val="7C55DF3C"/>
    <w:rsid w:val="7C77B6A4"/>
    <w:rsid w:val="7C810BA6"/>
    <w:rsid w:val="7CB3FB55"/>
    <w:rsid w:val="7CB553AB"/>
    <w:rsid w:val="7CCA2057"/>
    <w:rsid w:val="7CE75E5D"/>
    <w:rsid w:val="7CF11AE6"/>
    <w:rsid w:val="7D0A7999"/>
    <w:rsid w:val="7D362EB1"/>
    <w:rsid w:val="7D4FDC8A"/>
    <w:rsid w:val="7D5A424E"/>
    <w:rsid w:val="7D69F6FA"/>
    <w:rsid w:val="7D950FB0"/>
    <w:rsid w:val="7DAC3E55"/>
    <w:rsid w:val="7DE1E009"/>
    <w:rsid w:val="7E0B08B8"/>
    <w:rsid w:val="7E19CEB5"/>
    <w:rsid w:val="7E21B80C"/>
    <w:rsid w:val="7E21D52F"/>
    <w:rsid w:val="7E24558E"/>
    <w:rsid w:val="7E29B005"/>
    <w:rsid w:val="7E387E0F"/>
    <w:rsid w:val="7E470603"/>
    <w:rsid w:val="7E7EC2C1"/>
    <w:rsid w:val="7E7FB1CC"/>
    <w:rsid w:val="7EC30963"/>
    <w:rsid w:val="7EDB4484"/>
    <w:rsid w:val="7EE09B65"/>
    <w:rsid w:val="7EE61D68"/>
    <w:rsid w:val="7F0779D9"/>
    <w:rsid w:val="7F1195C2"/>
    <w:rsid w:val="7F1E5AAE"/>
    <w:rsid w:val="7F254F04"/>
    <w:rsid w:val="7F2F57BD"/>
    <w:rsid w:val="7F34D17E"/>
    <w:rsid w:val="7F38E853"/>
    <w:rsid w:val="7F3AC93A"/>
    <w:rsid w:val="7F6357A1"/>
    <w:rsid w:val="7F6E4FF9"/>
    <w:rsid w:val="7F89ABA9"/>
    <w:rsid w:val="7F9FE8C7"/>
    <w:rsid w:val="7FA2F30D"/>
    <w:rsid w:val="7FC1F342"/>
    <w:rsid w:val="7FC34CB4"/>
    <w:rsid w:val="7FCE2C6D"/>
    <w:rsid w:val="7FE67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62F10405"/>
  <w15:docId w15:val="{5A9014E2-1167-4D60-A9C2-48AB6F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2"/>
      </w:numPr>
      <w:contextualSpacing/>
    </w:pPr>
  </w:style>
  <w:style w:type="paragraph" w:styleId="ListBullet2">
    <w:name w:val="List Bullet 2"/>
    <w:basedOn w:val="Normal"/>
    <w:uiPriority w:val="99"/>
    <w:semiHidden/>
    <w:unhideWhenUsed/>
    <w:rsid w:val="00793D7F"/>
    <w:pPr>
      <w:numPr>
        <w:numId w:val="3"/>
      </w:numPr>
      <w:contextualSpacing/>
    </w:pPr>
  </w:style>
  <w:style w:type="paragraph" w:styleId="ListBullet3">
    <w:name w:val="List Bullet 3"/>
    <w:basedOn w:val="Normal"/>
    <w:uiPriority w:val="99"/>
    <w:semiHidden/>
    <w:unhideWhenUsed/>
    <w:rsid w:val="00793D7F"/>
    <w:pPr>
      <w:numPr>
        <w:numId w:val="4"/>
      </w:numPr>
      <w:contextualSpacing/>
    </w:pPr>
  </w:style>
  <w:style w:type="paragraph" w:styleId="ListBullet4">
    <w:name w:val="List Bullet 4"/>
    <w:basedOn w:val="Normal"/>
    <w:uiPriority w:val="99"/>
    <w:semiHidden/>
    <w:unhideWhenUsed/>
    <w:rsid w:val="00793D7F"/>
    <w:pPr>
      <w:numPr>
        <w:numId w:val="5"/>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6"/>
      </w:numPr>
      <w:contextualSpacing/>
    </w:pPr>
  </w:style>
  <w:style w:type="paragraph" w:styleId="ListNumber2">
    <w:name w:val="List Number 2"/>
    <w:basedOn w:val="Normal"/>
    <w:uiPriority w:val="99"/>
    <w:semiHidden/>
    <w:unhideWhenUsed/>
    <w:rsid w:val="00344D76"/>
    <w:pPr>
      <w:numPr>
        <w:numId w:val="7"/>
      </w:numPr>
      <w:contextualSpacing/>
    </w:pPr>
  </w:style>
  <w:style w:type="paragraph" w:styleId="ListNumber3">
    <w:name w:val="List Number 3"/>
    <w:basedOn w:val="Normal"/>
    <w:uiPriority w:val="99"/>
    <w:semiHidden/>
    <w:unhideWhenUsed/>
    <w:rsid w:val="00344D76"/>
    <w:pPr>
      <w:numPr>
        <w:numId w:val="8"/>
      </w:numPr>
      <w:contextualSpacing/>
    </w:pPr>
  </w:style>
  <w:style w:type="paragraph" w:styleId="ListNumber4">
    <w:name w:val="List Number 4"/>
    <w:basedOn w:val="Normal"/>
    <w:uiPriority w:val="99"/>
    <w:semiHidden/>
    <w:unhideWhenUsed/>
    <w:rsid w:val="00344D76"/>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hr-HR"/>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hr-HR"/>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004EC6"/>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857B9B"/>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E50095"/>
    <w:rPr>
      <w:color w:val="800080"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7A141C"/>
  </w:style>
  <w:style w:type="character" w:customStyle="1" w:styleId="eop">
    <w:name w:val="eop"/>
    <w:basedOn w:val="DefaultParagraphFont"/>
    <w:rsid w:val="007A141C"/>
  </w:style>
  <w:style w:type="character" w:customStyle="1" w:styleId="markedcontent">
    <w:name w:val="markedcontent"/>
    <w:basedOn w:val="DefaultParagraphFont"/>
    <w:rsid w:val="00B21854"/>
  </w:style>
  <w:style w:type="paragraph" w:styleId="Header">
    <w:name w:val="header"/>
    <w:basedOn w:val="Normal"/>
    <w:link w:val="HeaderChar"/>
    <w:uiPriority w:val="99"/>
    <w:unhideWhenUsed/>
    <w:rsid w:val="001C7B60"/>
    <w:pPr>
      <w:tabs>
        <w:tab w:val="center" w:pos="4535"/>
        <w:tab w:val="right" w:pos="9071"/>
      </w:tabs>
      <w:spacing w:before="0"/>
    </w:pPr>
  </w:style>
  <w:style w:type="character" w:customStyle="1" w:styleId="HeaderChar">
    <w:name w:val="Header Char"/>
    <w:basedOn w:val="DefaultParagraphFont"/>
    <w:link w:val="Header"/>
    <w:uiPriority w:val="99"/>
    <w:rsid w:val="001C7B60"/>
    <w:rPr>
      <w:rFonts w:ascii="Times New Roman" w:hAnsi="Times New Roman" w:cs="Times New Roman"/>
      <w:sz w:val="24"/>
      <w:lang w:val="hr-HR"/>
    </w:rPr>
  </w:style>
  <w:style w:type="paragraph" w:styleId="Footer">
    <w:name w:val="footer"/>
    <w:basedOn w:val="Normal"/>
    <w:link w:val="FooterChar"/>
    <w:uiPriority w:val="99"/>
    <w:unhideWhenUsed/>
    <w:rsid w:val="001C7B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C7B60"/>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C7B60"/>
    <w:pPr>
      <w:tabs>
        <w:tab w:val="center" w:pos="7285"/>
        <w:tab w:val="right" w:pos="14003"/>
      </w:tabs>
      <w:spacing w:before="0"/>
    </w:pPr>
  </w:style>
  <w:style w:type="paragraph" w:customStyle="1" w:styleId="FooterLandscape">
    <w:name w:val="FooterLandscape"/>
    <w:basedOn w:val="Normal"/>
    <w:rsid w:val="001C7B6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C7B6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C7B60"/>
    <w:pPr>
      <w:spacing w:before="0"/>
      <w:jc w:val="right"/>
    </w:pPr>
    <w:rPr>
      <w:sz w:val="28"/>
    </w:rPr>
  </w:style>
  <w:style w:type="paragraph" w:customStyle="1" w:styleId="FooterSensitivity">
    <w:name w:val="Footer Sensitivity"/>
    <w:basedOn w:val="Normal"/>
    <w:rsid w:val="001C7B6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302AE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70107">
      <w:bodyDiv w:val="1"/>
      <w:marLeft w:val="0"/>
      <w:marRight w:val="0"/>
      <w:marTop w:val="0"/>
      <w:marBottom w:val="0"/>
      <w:divBdr>
        <w:top w:val="none" w:sz="0" w:space="0" w:color="auto"/>
        <w:left w:val="none" w:sz="0" w:space="0" w:color="auto"/>
        <w:bottom w:val="none" w:sz="0" w:space="0" w:color="auto"/>
        <w:right w:val="none" w:sz="0" w:space="0" w:color="auto"/>
      </w:divBdr>
    </w:div>
    <w:div w:id="670572607">
      <w:bodyDiv w:val="1"/>
      <w:marLeft w:val="0"/>
      <w:marRight w:val="0"/>
      <w:marTop w:val="0"/>
      <w:marBottom w:val="0"/>
      <w:divBdr>
        <w:top w:val="none" w:sz="0" w:space="0" w:color="auto"/>
        <w:left w:val="none" w:sz="0" w:space="0" w:color="auto"/>
        <w:bottom w:val="none" w:sz="0" w:space="0" w:color="auto"/>
        <w:right w:val="none" w:sz="0" w:space="0" w:color="auto"/>
      </w:divBdr>
    </w:div>
    <w:div w:id="1095713177">
      <w:bodyDiv w:val="1"/>
      <w:marLeft w:val="0"/>
      <w:marRight w:val="0"/>
      <w:marTop w:val="0"/>
      <w:marBottom w:val="0"/>
      <w:divBdr>
        <w:top w:val="none" w:sz="0" w:space="0" w:color="auto"/>
        <w:left w:val="none" w:sz="0" w:space="0" w:color="auto"/>
        <w:bottom w:val="none" w:sz="0" w:space="0" w:color="auto"/>
        <w:right w:val="none" w:sz="0" w:space="0" w:color="auto"/>
      </w:divBdr>
    </w:div>
    <w:div w:id="1162500200">
      <w:bodyDiv w:val="1"/>
      <w:marLeft w:val="0"/>
      <w:marRight w:val="0"/>
      <w:marTop w:val="0"/>
      <w:marBottom w:val="0"/>
      <w:divBdr>
        <w:top w:val="none" w:sz="0" w:space="0" w:color="auto"/>
        <w:left w:val="none" w:sz="0" w:space="0" w:color="auto"/>
        <w:bottom w:val="none" w:sz="0" w:space="0" w:color="auto"/>
        <w:right w:val="none" w:sz="0" w:space="0" w:color="auto"/>
      </w:divBdr>
    </w:div>
    <w:div w:id="1330524931">
      <w:bodyDiv w:val="1"/>
      <w:marLeft w:val="0"/>
      <w:marRight w:val="0"/>
      <w:marTop w:val="0"/>
      <w:marBottom w:val="0"/>
      <w:divBdr>
        <w:top w:val="none" w:sz="0" w:space="0" w:color="auto"/>
        <w:left w:val="none" w:sz="0" w:space="0" w:color="auto"/>
        <w:bottom w:val="none" w:sz="0" w:space="0" w:color="auto"/>
        <w:right w:val="none" w:sz="0" w:space="0" w:color="auto"/>
      </w:divBdr>
    </w:div>
    <w:div w:id="1530801478">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334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D28839EA-1E5C-4CFA-8875-60F500877975}">
    <t:Anchor>
      <t:Comment id="1137350387"/>
    </t:Anchor>
    <t:History>
      <t:Event id="{5537BF9A-15A0-482F-9B57-6328A56D1080}" time="2023-04-18T10:54:15.311Z">
        <t:Attribution userId="S::marianne.grima@ec.europa.eu::8fcb137e-49bc-4d08-bbdd-b4a2853c4b6f" userProvider="AD" userName="GRIMA Marianne (ECFIN)"/>
        <t:Anchor>
          <t:Comment id="335107875"/>
        </t:Anchor>
        <t:Create/>
      </t:Event>
      <t:Event id="{A0366A7F-C748-4189-BFEF-33D1DF2F7FD2}" time="2023-04-18T10:54:15.311Z">
        <t:Attribution userId="S::marianne.grima@ec.europa.eu::8fcb137e-49bc-4d08-bbdd-b4a2853c4b6f" userProvider="AD" userName="GRIMA Marianne (ECFIN)"/>
        <t:Anchor>
          <t:Comment id="335107875"/>
        </t:Anchor>
        <t:Assign userId="S::Dino.PINELLI@ec.europa.eu::b5a04e57-2f42-492d-9be4-b47771a2347e" userProvider="AD" userName="PINELLI Dino (ECFIN)"/>
      </t:Event>
      <t:Event id="{AA882636-F92E-4933-B0B7-0DA85FD3758C}" time="2023-04-18T10:54:15.311Z">
        <t:Attribution userId="S::marianne.grima@ec.europa.eu::8fcb137e-49bc-4d08-bbdd-b4a2853c4b6f" userProvider="AD" userName="GRIMA Marianne (ECFIN)"/>
        <t:Anchor>
          <t:Comment id="335107875"/>
        </t:Anchor>
        <t:SetTitle title="@PINELLI Dino (ECFIN), just to confirm this final text with you (as there's a typo in the current formulation] In addition, the EU minimum tax Directive ensuring a minimum 15% effective corporate taxation for large corporations, SHOULD be transposed …"/>
      </t:Event>
      <t:Event id="{3AF98A30-6E41-40AB-9613-E05394C1CBF5}" time="2023-04-18T16:15:30.032Z">
        <t:Attribution userId="S::marianne.grima@ec.europa.eu::8fcb137e-49bc-4d08-bbdd-b4a2853c4b6f" userProvider="AD" userName="GRIMA Marianne (ECF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3533703895D964F9A76F3E97F8A1C24" ma:contentTypeVersion="5" ma:contentTypeDescription="Create a new document in this library." ma:contentTypeScope="" ma:versionID="be81afbe349d2a130a075f0d902a160f">
  <xsd:schema xmlns:xsd="http://www.w3.org/2001/XMLSchema" xmlns:xs="http://www.w3.org/2001/XMLSchema" xmlns:p="http://schemas.microsoft.com/office/2006/metadata/properties" xmlns:ns2="http://schemas.microsoft.com/sharepoint/v3/fields" xmlns:ns3="9d23c325-700d-40fa-82c8-eebc198f0ab2" xmlns:ns4="b0e4217b-6a25-4bb6-b226-fd0b2189a869" targetNamespace="http://schemas.microsoft.com/office/2006/metadata/properties" ma:root="true" ma:fieldsID="4c1f29c6a9cd69aaf725145ff19aa83a" ns2:_="" ns3:_="" ns4:_="">
    <xsd:import namespace="http://schemas.microsoft.com/sharepoint/v3/fields"/>
    <xsd:import namespace="9d23c325-700d-40fa-82c8-eebc198f0ab2"/>
    <xsd:import namespace="b0e4217b-6a25-4bb6-b226-fd0b2189a86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23c325-700d-40fa-82c8-eebc198f0a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217b-6a25-4bb6-b226-fd0b2189a8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d23c325-700d-40fa-82c8-eebc198f0ab2">EN</EC_Collab_DocumentLanguage>
    <EC_ARES_TRANSFERRED_BY xmlns="9d23c325-700d-40fa-82c8-eebc198f0ab2" xsi:nil="true"/>
    <EC_ARES_DATE_TRANSFERRED xmlns="9d23c325-700d-40fa-82c8-eebc198f0ab2" xsi:nil="true"/>
    <EC_ARES_NUMBER xmlns="9d23c325-700d-40fa-82c8-eebc198f0ab2">
      <Url xsi:nil="true"/>
      <Description xsi:nil="true"/>
    </EC_ARES_NUMBER>
    <EC_Collab_Reference xmlns="9d23c325-700d-40fa-82c8-eebc198f0ab2" xsi:nil="true"/>
    <EC_Collab_Status xmlns="9d23c325-700d-40fa-82c8-eebc198f0ab2">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9677-216F-4EA8-9EF2-3CDB5368CA4E}">
  <ds:schemaRefs>
    <ds:schemaRef ds:uri="http://schemas.microsoft.com/sharepoint/v3/contenttype/forms"/>
  </ds:schemaRefs>
</ds:datastoreItem>
</file>

<file path=customXml/itemProps2.xml><?xml version="1.0" encoding="utf-8"?>
<ds:datastoreItem xmlns:ds="http://schemas.openxmlformats.org/officeDocument/2006/customXml" ds:itemID="{2DAE5EA4-EA4D-4015-9711-05124A40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23c325-700d-40fa-82c8-eebc198f0ab2"/>
    <ds:schemaRef ds:uri="b0e4217b-6a25-4bb6-b226-fd0b218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2D87B-3DD2-4064-817C-4262C4755B23}">
  <ds:schemaRefs>
    <ds:schemaRef ds:uri="9d23c325-700d-40fa-82c8-eebc198f0ab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e4217b-6a25-4bb6-b226-fd0b2189a869"/>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76EFC26-BC18-49BB-AA1F-CB8D715A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12</Pages>
  <Words>5123</Words>
  <Characters>29771</Characters>
  <Application>Microsoft Office Word</Application>
  <DocSecurity>0</DocSecurity>
  <Lines>458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51</cp:revision>
  <dcterms:created xsi:type="dcterms:W3CDTF">2023-05-21T15:00:00Z</dcterms:created>
  <dcterms:modified xsi:type="dcterms:W3CDTF">2023-06-02T15:30:00Z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0x010100258AA79CEB83498886A3A0868112325000A3533703895D964F9A76F3E97F8A1C24</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2023-02-27T16:49:23Z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c02d7eb0-c71f-4890-869a-1781fd9c287c</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