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C107AC34-58B1-4289-86ED-07043AA41471" style="width:454.4pt;height:370.2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OBRAZLOŽENJE</w:t>
      </w:r>
    </w:p>
    <w:p>
      <w:pPr>
        <w:pStyle w:val="ManualHeading1"/>
        <w:rPr>
          <w:noProof/>
        </w:rPr>
      </w:pPr>
      <w:r>
        <w:rPr>
          <w:noProof/>
        </w:rPr>
        <w:t>1.</w:t>
      </w:r>
      <w:r>
        <w:rPr>
          <w:noProof/>
        </w:rPr>
        <w:tab/>
        <w:t>KONTEKST PRIJEDLOGA</w:t>
      </w:r>
    </w:p>
    <w:p>
      <w:pPr>
        <w:pStyle w:val="ManualHeading2"/>
        <w:rPr>
          <w:rFonts w:eastAsia="Arial Unicode MS"/>
          <w:noProof/>
        </w:rPr>
      </w:pPr>
      <w:r>
        <w:rPr>
          <w:noProof/>
          <w:color w:val="000000"/>
          <w:u w:color="000000"/>
          <w:bdr w:val="nil"/>
        </w:rPr>
        <w:t>•</w:t>
      </w:r>
      <w:r>
        <w:rPr>
          <w:noProof/>
        </w:rPr>
        <w:tab/>
        <w:t>Razlozi i ciljevi prijedloga</w:t>
      </w:r>
    </w:p>
    <w:p>
      <w:pPr>
        <w:widowControl w:val="0"/>
        <w:shd w:val="clear" w:color="auto" w:fill="FFFFFF"/>
        <w:autoSpaceDE w:val="0"/>
        <w:autoSpaceDN w:val="0"/>
        <w:adjustRightInd w:val="0"/>
        <w:spacing w:before="230" w:after="0" w:line="269" w:lineRule="exact"/>
        <w:ind w:right="86"/>
        <w:rPr>
          <w:noProof/>
          <w:highlight w:val="yellow"/>
        </w:rPr>
      </w:pPr>
      <w:r>
        <w:rPr>
          <w:noProof/>
        </w:rPr>
        <w:t>Vlada Ujedinjene Kraljevine obavijestila je Europsko vijeće 29. ožujka 2017. o namjeri Ujedinjene Kraljevine da se povuče iz Europske unije (EU). Ujedinjena Kraljevina postala je 1. veljače 2020. „treća zemlja”. Od 1. siječnja 2021., nakon isteka prijelaznog razdoblja, zajednička trgovinska politika Europske unije više se ne primjenjuje na Ujedinjenu Kraljevinu.</w:t>
      </w:r>
    </w:p>
    <w:p>
      <w:pPr>
        <w:widowControl w:val="0"/>
        <w:shd w:val="clear" w:color="auto" w:fill="FFFFFF"/>
        <w:autoSpaceDE w:val="0"/>
        <w:autoSpaceDN w:val="0"/>
        <w:adjustRightInd w:val="0"/>
        <w:spacing w:before="230" w:after="0" w:line="269" w:lineRule="exact"/>
        <w:ind w:right="86"/>
        <w:rPr>
          <w:noProof/>
        </w:rPr>
      </w:pPr>
      <w:r>
        <w:rPr>
          <w:noProof/>
        </w:rPr>
        <w:t>Zbog odluke Ujedinjene Kraljevine o povlačenju iz EU-a bilo je potrebno raspodijeliti kvantitativne obveze iz rasporeda WTO-a za EU-28 u pogledu 143 carinske kvote EU-a u okviru WTO-a za poljoprivredne, ribarske i industrijske proizvode. EU je taj postupak pokrenuo u Ženevi u listopadu 2018. Osnova tog pristupa bila je u cijelosti zadržati postojeće količine svake carinske kvote, ali ih podijeliti na dva carinska područja: EU-27 i Ujedinjenu Kraljevinu.</w:t>
      </w:r>
    </w:p>
    <w:p>
      <w:pPr>
        <w:widowControl w:val="0"/>
        <w:shd w:val="clear" w:color="auto" w:fill="FFFFFF"/>
        <w:autoSpaceDE w:val="0"/>
        <w:autoSpaceDN w:val="0"/>
        <w:adjustRightInd w:val="0"/>
        <w:spacing w:before="230" w:after="0" w:line="269" w:lineRule="exact"/>
        <w:ind w:right="86"/>
        <w:rPr>
          <w:noProof/>
        </w:rPr>
      </w:pPr>
      <w:r>
        <w:rPr>
          <w:noProof/>
        </w:rPr>
        <w:t xml:space="preserve">Paragvaj ima carinsku kvotu od 1 000 tona visokokvalitetne govedine (redni broj 094455) koja nije uključena u raspored WTO-a za EU. Ta je carinska kvota pogreškom uključena u raspodjelu i smanjena na 711 tona na strani EU-27 bez otvaranja odgovarajuće kvote na strani Ujedinjene Kraljevine. </w:t>
      </w:r>
    </w:p>
    <w:p>
      <w:pPr>
        <w:widowControl w:val="0"/>
        <w:shd w:val="clear" w:color="auto" w:fill="FFFFFF"/>
        <w:autoSpaceDE w:val="0"/>
        <w:autoSpaceDN w:val="0"/>
        <w:adjustRightInd w:val="0"/>
        <w:spacing w:before="230" w:after="0" w:line="269" w:lineRule="exact"/>
        <w:ind w:right="86"/>
        <w:rPr>
          <w:noProof/>
        </w:rPr>
      </w:pPr>
      <w:r>
        <w:rPr>
          <w:noProof/>
        </w:rPr>
        <w:t>Time je od 1. siječnja 2021. pristup Paragvaja tržištu smanjen s 1 000 tona na 711 tona.</w:t>
      </w:r>
    </w:p>
    <w:p>
      <w:pPr>
        <w:widowControl w:val="0"/>
        <w:shd w:val="clear" w:color="auto" w:fill="FFFFFF"/>
        <w:autoSpaceDE w:val="0"/>
        <w:autoSpaceDN w:val="0"/>
        <w:adjustRightInd w:val="0"/>
        <w:spacing w:before="230" w:after="0" w:line="269" w:lineRule="exact"/>
        <w:ind w:right="86"/>
        <w:rPr>
          <w:noProof/>
        </w:rPr>
      </w:pPr>
      <w:r>
        <w:rPr>
          <w:noProof/>
        </w:rPr>
        <w:t>Cilj je ove Uredbe o izmjeni ponovno uspostaviti ispravnu količinu za carinsku kvotu 094455 za EU-27 (1 000 tona).</w:t>
      </w:r>
    </w:p>
    <w:p>
      <w:pPr>
        <w:widowControl w:val="0"/>
        <w:shd w:val="clear" w:color="auto" w:fill="FFFFFF"/>
        <w:autoSpaceDE w:val="0"/>
        <w:autoSpaceDN w:val="0"/>
        <w:adjustRightInd w:val="0"/>
        <w:spacing w:before="230" w:after="0" w:line="269" w:lineRule="exact"/>
        <w:ind w:right="86"/>
        <w:rPr>
          <w:noProof/>
        </w:rPr>
      </w:pPr>
    </w:p>
    <w:p>
      <w:pPr>
        <w:pStyle w:val="ManualHeading2"/>
        <w:rPr>
          <w:rFonts w:eastAsia="Arial Unicode MS"/>
          <w:noProof/>
          <w:color w:val="000000"/>
          <w:u w:color="000000"/>
          <w:bdr w:val="nil"/>
        </w:rPr>
      </w:pPr>
      <w:r>
        <w:rPr>
          <w:noProof/>
          <w:color w:val="000000"/>
          <w:u w:color="000000"/>
          <w:bdr w:val="nil"/>
        </w:rPr>
        <w:t>•</w:t>
      </w:r>
      <w:r>
        <w:rPr>
          <w:noProof/>
        </w:rPr>
        <w:tab/>
        <w:t>Dosljednost s postojećim odredbama politike u tom području</w:t>
      </w:r>
    </w:p>
    <w:p>
      <w:pPr>
        <w:pBdr>
          <w:top w:val="nil"/>
          <w:left w:val="nil"/>
          <w:bottom w:val="nil"/>
          <w:right w:val="nil"/>
          <w:between w:val="nil"/>
          <w:bar w:val="nil"/>
        </w:pBdr>
        <w:spacing w:before="0" w:after="240"/>
        <w:rPr>
          <w:rFonts w:eastAsia="Arial Unicode MS"/>
          <w:noProof/>
        </w:rPr>
      </w:pPr>
      <w:r>
        <w:rPr>
          <w:noProof/>
        </w:rPr>
        <w:t>Ova je inicijativa u skladu s tekućim aktivnostima EU-a kojima se osigurava uredno rješavanje posljedica povlačenja Ujedinjene Kraljevine iz EU-a.</w:t>
      </w:r>
    </w:p>
    <w:p>
      <w:pPr>
        <w:pStyle w:val="ManualHeading2"/>
        <w:rPr>
          <w:rFonts w:eastAsia="Arial Unicode MS"/>
          <w:noProof/>
        </w:rPr>
      </w:pPr>
      <w:r>
        <w:rPr>
          <w:noProof/>
          <w:color w:val="000000"/>
          <w:u w:color="000000"/>
          <w:bdr w:val="nil"/>
        </w:rPr>
        <w:t>•</w:t>
      </w:r>
      <w:r>
        <w:rPr>
          <w:noProof/>
        </w:rPr>
        <w:tab/>
        <w:t>Dosljednost u odnosu na druge politike Unije</w:t>
      </w:r>
    </w:p>
    <w:p>
      <w:pPr>
        <w:pBdr>
          <w:top w:val="nil"/>
          <w:left w:val="nil"/>
          <w:bottom w:val="nil"/>
          <w:right w:val="nil"/>
          <w:between w:val="nil"/>
          <w:bar w:val="nil"/>
        </w:pBdr>
        <w:spacing w:before="0" w:after="240"/>
        <w:rPr>
          <w:rFonts w:eastAsia="Arial Unicode MS"/>
          <w:noProof/>
        </w:rPr>
      </w:pPr>
      <w:r>
        <w:rPr>
          <w:noProof/>
        </w:rPr>
        <w:t>Kako je prethodno navedeno.</w:t>
      </w:r>
    </w:p>
    <w:p>
      <w:pPr>
        <w:pStyle w:val="ManualHeading1"/>
        <w:rPr>
          <w:noProof/>
        </w:rPr>
      </w:pPr>
      <w:r>
        <w:rPr>
          <w:noProof/>
        </w:rPr>
        <w:t>2.</w:t>
      </w:r>
      <w:r>
        <w:rPr>
          <w:noProof/>
        </w:rPr>
        <w:tab/>
        <w:t>PRAVNA OSNOVA, SUPSIDIJARNOST I PROPORCIONALNOST</w:t>
      </w:r>
    </w:p>
    <w:p>
      <w:pPr>
        <w:pStyle w:val="ManualHeading2"/>
        <w:rPr>
          <w:rFonts w:eastAsia="Arial Unicode MS"/>
          <w:noProof/>
          <w:u w:color="000000"/>
          <w:bdr w:val="nil"/>
        </w:rPr>
      </w:pPr>
      <w:r>
        <w:rPr>
          <w:noProof/>
          <w:u w:color="000000"/>
          <w:bdr w:val="nil"/>
        </w:rPr>
        <w:t>•</w:t>
      </w:r>
      <w:r>
        <w:rPr>
          <w:noProof/>
        </w:rPr>
        <w:tab/>
      </w:r>
      <w:r>
        <w:rPr>
          <w:noProof/>
          <w:u w:color="000000"/>
          <w:bdr w:val="nil"/>
        </w:rPr>
        <w:t>Pravna osnova</w:t>
      </w:r>
    </w:p>
    <w:p>
      <w:pPr>
        <w:pBdr>
          <w:top w:val="nil"/>
          <w:left w:val="nil"/>
          <w:bottom w:val="nil"/>
          <w:right w:val="nil"/>
          <w:between w:val="nil"/>
          <w:bar w:val="nil"/>
        </w:pBdr>
        <w:spacing w:before="0" w:after="240"/>
        <w:rPr>
          <w:rFonts w:eastAsia="Arial Unicode MS"/>
          <w:noProof/>
        </w:rPr>
      </w:pPr>
      <w:r>
        <w:rPr>
          <w:noProof/>
        </w:rPr>
        <w:t>Članak 207. stavak 2. Ugovora o funkcioniranju Europske unije (UFEU).</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Supsidijarnost (za neisključivu nadležnost) </w:t>
      </w:r>
    </w:p>
    <w:p>
      <w:pPr>
        <w:pBdr>
          <w:top w:val="nil"/>
          <w:left w:val="nil"/>
          <w:bottom w:val="nil"/>
          <w:right w:val="nil"/>
          <w:between w:val="nil"/>
          <w:bar w:val="nil"/>
        </w:pBdr>
        <w:spacing w:before="0" w:after="240"/>
        <w:rPr>
          <w:rFonts w:eastAsia="Arial Unicode MS"/>
          <w:noProof/>
        </w:rPr>
      </w:pPr>
      <w:r>
        <w:rPr>
          <w:noProof/>
        </w:rPr>
        <w:t>Zajednička trgovinska politika u isključivoj je nadležnosti Unije.</w:t>
      </w:r>
    </w:p>
    <w:p>
      <w:pPr>
        <w:pStyle w:val="ManualHeading2"/>
        <w:rPr>
          <w:rFonts w:eastAsia="Arial Unicode MS"/>
          <w:noProof/>
          <w:u w:color="000000"/>
          <w:bdr w:val="nil"/>
        </w:rPr>
      </w:pPr>
      <w:r>
        <w:rPr>
          <w:noProof/>
          <w:u w:color="000000"/>
          <w:bdr w:val="nil"/>
        </w:rPr>
        <w:t>•</w:t>
      </w:r>
      <w:r>
        <w:rPr>
          <w:noProof/>
        </w:rPr>
        <w:tab/>
      </w:r>
      <w:r>
        <w:rPr>
          <w:noProof/>
          <w:u w:color="000000"/>
          <w:bdr w:val="nil"/>
        </w:rPr>
        <w:t>Proporcionalnost</w:t>
      </w:r>
    </w:p>
    <w:p>
      <w:pPr>
        <w:pBdr>
          <w:top w:val="nil"/>
          <w:left w:val="nil"/>
          <w:bottom w:val="nil"/>
          <w:right w:val="nil"/>
          <w:between w:val="nil"/>
          <w:bar w:val="nil"/>
        </w:pBdr>
        <w:spacing w:before="0" w:after="240"/>
        <w:rPr>
          <w:rFonts w:eastAsia="Arial Unicode MS"/>
          <w:noProof/>
        </w:rPr>
      </w:pPr>
      <w:r>
        <w:rPr>
          <w:noProof/>
        </w:rPr>
        <w:t>Predviđena mjera jedini je način da se postigne željeni rezultat.</w:t>
      </w:r>
    </w:p>
    <w:p>
      <w:pPr>
        <w:pStyle w:val="ManualHeading2"/>
        <w:rPr>
          <w:rFonts w:eastAsia="Arial Unicode MS"/>
          <w:noProof/>
          <w:u w:color="000000"/>
          <w:bdr w:val="nil"/>
        </w:rPr>
      </w:pPr>
      <w:r>
        <w:rPr>
          <w:noProof/>
          <w:u w:color="000000"/>
          <w:bdr w:val="nil"/>
        </w:rPr>
        <w:lastRenderedPageBreak/>
        <w:t>•</w:t>
      </w:r>
      <w:r>
        <w:rPr>
          <w:noProof/>
        </w:rPr>
        <w:tab/>
      </w:r>
      <w:r>
        <w:rPr>
          <w:noProof/>
          <w:u w:color="000000"/>
          <w:bdr w:val="nil"/>
        </w:rPr>
        <w:t>Odabir instrumenta</w:t>
      </w:r>
    </w:p>
    <w:p>
      <w:pPr>
        <w:pBdr>
          <w:top w:val="nil"/>
          <w:left w:val="nil"/>
          <w:bottom w:val="nil"/>
          <w:right w:val="nil"/>
          <w:between w:val="nil"/>
          <w:bar w:val="nil"/>
        </w:pBdr>
        <w:spacing w:before="0" w:after="240"/>
        <w:rPr>
          <w:rFonts w:eastAsia="Arial Unicode MS"/>
          <w:noProof/>
        </w:rPr>
      </w:pPr>
      <w:r>
        <w:rPr>
          <w:noProof/>
        </w:rPr>
        <w:t>Izvorna odredba utvrđena je uredbom Europskog parlamenta i Vijeća te se stoga mora i izmijeniti uredbom Europskog parlamenta i Vijeća.</w:t>
      </w:r>
    </w:p>
    <w:p>
      <w:pPr>
        <w:pStyle w:val="ManualHeading1"/>
        <w:rPr>
          <w:noProof/>
        </w:rPr>
      </w:pPr>
      <w:r>
        <w:rPr>
          <w:noProof/>
        </w:rPr>
        <w:t>3.</w:t>
      </w:r>
      <w:r>
        <w:rPr>
          <w:noProof/>
        </w:rPr>
        <w:tab/>
        <w:t xml:space="preserve">REZULTATI </w:t>
      </w:r>
      <w:r>
        <w:rPr>
          <w:i/>
          <w:noProof/>
        </w:rPr>
        <w:t>EX POST</w:t>
      </w:r>
      <w:r>
        <w:rPr>
          <w:noProof/>
        </w:rPr>
        <w:t xml:space="preserve"> EVALUACIJA, SAVJETOVANJA S DIONICIMA I PROCJENA UČINKA</w:t>
      </w:r>
    </w:p>
    <w:p>
      <w:pPr>
        <w:pStyle w:val="ManualHeading2"/>
        <w:rPr>
          <w:rFonts w:eastAsia="Arial Unicode MS"/>
          <w:noProof/>
          <w:u w:color="000000"/>
          <w:bdr w:val="nil"/>
        </w:rPr>
      </w:pPr>
      <w:r>
        <w:rPr>
          <w:noProof/>
          <w:u w:color="000000"/>
          <w:bdr w:val="nil"/>
        </w:rPr>
        <w:t>•</w:t>
      </w:r>
      <w:r>
        <w:rPr>
          <w:noProof/>
        </w:rPr>
        <w:tab/>
      </w:r>
      <w:r>
        <w:rPr>
          <w:i/>
          <w:noProof/>
          <w:u w:color="000000"/>
          <w:bdr w:val="nil"/>
        </w:rPr>
        <w:t>Ex post</w:t>
      </w:r>
      <w:r>
        <w:rPr>
          <w:noProof/>
          <w:u w:color="000000"/>
          <w:bdr w:val="nil"/>
        </w:rPr>
        <w:t xml:space="preserve"> evaluacije/provjere primjerenosti postojećeg zakonodavstva</w:t>
      </w:r>
    </w:p>
    <w:p>
      <w:pPr>
        <w:pBdr>
          <w:top w:val="nil"/>
          <w:left w:val="nil"/>
          <w:bottom w:val="nil"/>
          <w:right w:val="nil"/>
          <w:between w:val="nil"/>
          <w:bar w:val="nil"/>
        </w:pBdr>
        <w:spacing w:before="0" w:after="240"/>
        <w:rPr>
          <w:rFonts w:eastAsia="Arial Unicode MS"/>
          <w:noProof/>
        </w:rPr>
      </w:pPr>
      <w:r>
        <w:rPr>
          <w:noProof/>
        </w:rPr>
        <w:t>Nije primjenjivo.</w:t>
      </w:r>
    </w:p>
    <w:p>
      <w:pPr>
        <w:pStyle w:val="ManualHeading2"/>
        <w:rPr>
          <w:rFonts w:eastAsia="Arial Unicode MS"/>
          <w:noProof/>
          <w:u w:color="000000"/>
          <w:bdr w:val="nil"/>
        </w:rPr>
      </w:pPr>
      <w:r>
        <w:rPr>
          <w:noProof/>
          <w:u w:color="000000"/>
          <w:bdr w:val="nil"/>
        </w:rPr>
        <w:t>•</w:t>
      </w:r>
      <w:r>
        <w:rPr>
          <w:noProof/>
        </w:rPr>
        <w:tab/>
      </w:r>
      <w:r>
        <w:rPr>
          <w:noProof/>
          <w:u w:color="000000"/>
          <w:bdr w:val="nil"/>
        </w:rPr>
        <w:t>Savjetovanja s dionicima</w:t>
      </w:r>
    </w:p>
    <w:p>
      <w:pPr>
        <w:pBdr>
          <w:top w:val="nil"/>
          <w:left w:val="nil"/>
          <w:bottom w:val="nil"/>
          <w:right w:val="nil"/>
          <w:between w:val="nil"/>
          <w:bar w:val="nil"/>
        </w:pBdr>
        <w:spacing w:before="0" w:after="240"/>
        <w:rPr>
          <w:rFonts w:eastAsia="Arial Unicode MS"/>
          <w:noProof/>
        </w:rPr>
      </w:pPr>
      <w:r>
        <w:rPr>
          <w:noProof/>
        </w:rPr>
        <w:t>Nije primjenjivo.</w:t>
      </w:r>
    </w:p>
    <w:p>
      <w:pPr>
        <w:pStyle w:val="ManualHeading2"/>
        <w:rPr>
          <w:rFonts w:eastAsia="Arial Unicode MS"/>
          <w:noProof/>
          <w:u w:color="000000"/>
          <w:bdr w:val="nil"/>
        </w:rPr>
      </w:pPr>
      <w:r>
        <w:rPr>
          <w:noProof/>
          <w:u w:color="000000"/>
          <w:bdr w:val="nil"/>
        </w:rPr>
        <w:t>•</w:t>
      </w:r>
      <w:r>
        <w:rPr>
          <w:noProof/>
        </w:rPr>
        <w:tab/>
      </w:r>
      <w:r>
        <w:rPr>
          <w:noProof/>
          <w:u w:color="000000"/>
          <w:bdr w:val="nil"/>
        </w:rPr>
        <w:t>Prikupljanje i primjena stručnog znanja</w:t>
      </w:r>
    </w:p>
    <w:p>
      <w:pPr>
        <w:pBdr>
          <w:top w:val="nil"/>
          <w:left w:val="nil"/>
          <w:bottom w:val="nil"/>
          <w:right w:val="nil"/>
          <w:between w:val="nil"/>
          <w:bar w:val="nil"/>
        </w:pBdr>
        <w:spacing w:before="0" w:after="240"/>
        <w:rPr>
          <w:rFonts w:eastAsia="Arial Unicode MS"/>
          <w:noProof/>
        </w:rPr>
      </w:pPr>
      <w:r>
        <w:rPr>
          <w:noProof/>
        </w:rPr>
        <w:t>Nije primjenjivo.</w:t>
      </w:r>
    </w:p>
    <w:p>
      <w:pPr>
        <w:pStyle w:val="ManualHeading2"/>
        <w:rPr>
          <w:rFonts w:eastAsia="Arial Unicode MS"/>
          <w:noProof/>
          <w:u w:color="000000"/>
          <w:bdr w:val="nil"/>
        </w:rPr>
      </w:pPr>
      <w:r>
        <w:rPr>
          <w:noProof/>
          <w:u w:color="000000"/>
          <w:bdr w:val="nil"/>
        </w:rPr>
        <w:t>•</w:t>
      </w:r>
      <w:r>
        <w:rPr>
          <w:noProof/>
        </w:rPr>
        <w:tab/>
      </w:r>
      <w:r>
        <w:rPr>
          <w:noProof/>
          <w:u w:color="000000"/>
          <w:bdr w:val="nil"/>
        </w:rPr>
        <w:t>Procjena učinka</w:t>
      </w:r>
    </w:p>
    <w:p>
      <w:pPr>
        <w:pBdr>
          <w:top w:val="nil"/>
          <w:left w:val="nil"/>
          <w:bottom w:val="nil"/>
          <w:right w:val="nil"/>
          <w:between w:val="nil"/>
          <w:bar w:val="nil"/>
        </w:pBdr>
        <w:spacing w:before="0" w:after="240"/>
        <w:rPr>
          <w:rFonts w:eastAsia="Arial Unicode MS"/>
          <w:noProof/>
        </w:rPr>
      </w:pPr>
      <w:r>
        <w:rPr>
          <w:noProof/>
        </w:rPr>
        <w:t>Nije primjenjivo.</w:t>
      </w:r>
    </w:p>
    <w:p>
      <w:pPr>
        <w:pStyle w:val="ManualHeading2"/>
        <w:rPr>
          <w:rFonts w:eastAsia="Arial Unicode MS"/>
          <w:noProof/>
          <w:u w:color="000000"/>
          <w:bdr w:val="nil"/>
        </w:rPr>
      </w:pPr>
      <w:r>
        <w:rPr>
          <w:noProof/>
          <w:u w:color="000000"/>
          <w:bdr w:val="nil"/>
        </w:rPr>
        <w:t>•</w:t>
      </w:r>
      <w:r>
        <w:rPr>
          <w:noProof/>
        </w:rPr>
        <w:tab/>
      </w:r>
      <w:r>
        <w:rPr>
          <w:noProof/>
          <w:u w:color="000000"/>
          <w:bdr w:val="nil"/>
        </w:rPr>
        <w:t>Primjerenost i pojednostavnjenje propisa</w:t>
      </w:r>
    </w:p>
    <w:p>
      <w:pPr>
        <w:pBdr>
          <w:top w:val="nil"/>
          <w:left w:val="nil"/>
          <w:bottom w:val="nil"/>
          <w:right w:val="nil"/>
          <w:between w:val="nil"/>
          <w:bar w:val="nil"/>
        </w:pBdr>
        <w:spacing w:before="0" w:after="240"/>
        <w:rPr>
          <w:rFonts w:eastAsia="Arial Unicode MS"/>
          <w:noProof/>
        </w:rPr>
      </w:pPr>
      <w:r>
        <w:rPr>
          <w:noProof/>
        </w:rPr>
        <w:t>Nije primjenjivo.</w:t>
      </w:r>
    </w:p>
    <w:p>
      <w:pPr>
        <w:pStyle w:val="ManualHeading2"/>
        <w:rPr>
          <w:rFonts w:eastAsia="Arial Unicode MS"/>
          <w:noProof/>
          <w:u w:color="000000"/>
          <w:bdr w:val="nil"/>
        </w:rPr>
      </w:pPr>
      <w:r>
        <w:rPr>
          <w:noProof/>
          <w:u w:color="000000"/>
          <w:bdr w:val="nil"/>
        </w:rPr>
        <w:t>•</w:t>
      </w:r>
      <w:r>
        <w:rPr>
          <w:noProof/>
        </w:rPr>
        <w:tab/>
      </w:r>
      <w:r>
        <w:rPr>
          <w:noProof/>
          <w:u w:color="000000"/>
          <w:bdr w:val="nil"/>
        </w:rPr>
        <w:t>Temeljna prava</w:t>
      </w:r>
    </w:p>
    <w:p>
      <w:pPr>
        <w:pBdr>
          <w:top w:val="nil"/>
          <w:left w:val="nil"/>
          <w:bottom w:val="nil"/>
          <w:right w:val="nil"/>
          <w:between w:val="nil"/>
          <w:bar w:val="nil"/>
        </w:pBdr>
        <w:spacing w:before="0" w:after="240"/>
        <w:rPr>
          <w:rFonts w:eastAsia="Arial Unicode MS"/>
          <w:noProof/>
        </w:rPr>
      </w:pPr>
      <w:r>
        <w:rPr>
          <w:noProof/>
        </w:rPr>
        <w:t xml:space="preserve">Prijedlog ne utječe na temeljna prava. </w:t>
      </w:r>
    </w:p>
    <w:p>
      <w:pPr>
        <w:pStyle w:val="ManualHeading1"/>
        <w:rPr>
          <w:noProof/>
        </w:rPr>
      </w:pPr>
      <w:r>
        <w:rPr>
          <w:noProof/>
        </w:rPr>
        <w:t>4.</w:t>
      </w:r>
      <w:r>
        <w:rPr>
          <w:noProof/>
        </w:rPr>
        <w:tab/>
        <w:t>UTJECAJ NA PRORAČUN</w:t>
      </w:r>
    </w:p>
    <w:p>
      <w:pPr>
        <w:pBdr>
          <w:top w:val="nil"/>
          <w:left w:val="nil"/>
          <w:bottom w:val="nil"/>
          <w:right w:val="nil"/>
          <w:between w:val="nil"/>
          <w:bar w:val="nil"/>
        </w:pBdr>
        <w:spacing w:before="0" w:after="240"/>
        <w:rPr>
          <w:rFonts w:eastAsia="Arial Unicode MS"/>
          <w:noProof/>
        </w:rPr>
      </w:pPr>
      <w:r>
        <w:rPr>
          <w:noProof/>
        </w:rPr>
        <w:t>Nije primjenjivo.</w:t>
      </w:r>
    </w:p>
    <w:p>
      <w:pPr>
        <w:pStyle w:val="ManualHeading1"/>
        <w:rPr>
          <w:noProof/>
        </w:rPr>
      </w:pPr>
      <w:r>
        <w:rPr>
          <w:noProof/>
        </w:rPr>
        <w:t>5.</w:t>
      </w:r>
      <w:r>
        <w:rPr>
          <w:noProof/>
        </w:rPr>
        <w:tab/>
        <w:t>DRUGI ELEMENTI</w:t>
      </w:r>
    </w:p>
    <w:p>
      <w:pPr>
        <w:pStyle w:val="ManualHeading2"/>
        <w:rPr>
          <w:rFonts w:eastAsia="Arial Unicode MS"/>
          <w:noProof/>
          <w:u w:color="000000"/>
          <w:bdr w:val="nil"/>
        </w:rPr>
      </w:pPr>
      <w:r>
        <w:rPr>
          <w:noProof/>
          <w:u w:color="000000"/>
          <w:bdr w:val="nil"/>
        </w:rPr>
        <w:t>•</w:t>
      </w:r>
      <w:r>
        <w:rPr>
          <w:noProof/>
        </w:rPr>
        <w:tab/>
      </w:r>
      <w:r>
        <w:rPr>
          <w:noProof/>
          <w:u w:color="000000"/>
          <w:bdr w:val="nil"/>
        </w:rPr>
        <w:t>Planovi provedbe i mehanizmi praćenja, evaluacije i izvješćivanja</w:t>
      </w:r>
    </w:p>
    <w:p>
      <w:pPr>
        <w:pBdr>
          <w:top w:val="nil"/>
          <w:left w:val="nil"/>
          <w:bottom w:val="nil"/>
          <w:right w:val="nil"/>
          <w:between w:val="nil"/>
          <w:bar w:val="nil"/>
        </w:pBdr>
        <w:spacing w:before="0" w:after="240"/>
        <w:rPr>
          <w:rFonts w:eastAsia="Arial Unicode MS"/>
          <w:noProof/>
        </w:rPr>
      </w:pPr>
      <w:r>
        <w:rPr>
          <w:noProof/>
        </w:rPr>
        <w:t>Nije primjenjivo.</w:t>
      </w:r>
    </w:p>
    <w:p>
      <w:pPr>
        <w:pStyle w:val="ManualHeading2"/>
        <w:rPr>
          <w:rFonts w:eastAsia="Arial Unicode MS"/>
          <w:noProof/>
          <w:u w:color="000000"/>
          <w:bdr w:val="nil"/>
        </w:rPr>
      </w:pPr>
      <w:r>
        <w:rPr>
          <w:noProof/>
          <w:u w:color="000000"/>
          <w:bdr w:val="nil"/>
        </w:rPr>
        <w:t>•</w:t>
      </w:r>
      <w:r>
        <w:rPr>
          <w:noProof/>
        </w:rPr>
        <w:tab/>
      </w:r>
      <w:r>
        <w:rPr>
          <w:noProof/>
          <w:u w:color="000000"/>
          <w:bdr w:val="nil"/>
        </w:rPr>
        <w:t>Dokumenti s objašnjenjima (za direktive)</w:t>
      </w:r>
    </w:p>
    <w:p>
      <w:pPr>
        <w:pBdr>
          <w:top w:val="nil"/>
          <w:left w:val="nil"/>
          <w:bottom w:val="nil"/>
          <w:right w:val="nil"/>
          <w:between w:val="nil"/>
          <w:bar w:val="nil"/>
        </w:pBdr>
        <w:spacing w:before="0" w:after="240"/>
        <w:rPr>
          <w:rFonts w:eastAsia="Arial Unicode MS"/>
          <w:noProof/>
        </w:rPr>
      </w:pPr>
      <w:r>
        <w:rPr>
          <w:noProof/>
        </w:rPr>
        <w:t>Nije primjenjivo.</w:t>
      </w:r>
    </w:p>
    <w:p>
      <w:pPr>
        <w:pStyle w:val="ManualHeading2"/>
        <w:rPr>
          <w:rFonts w:eastAsia="Arial Unicode MS"/>
          <w:noProof/>
          <w:u w:color="000000"/>
          <w:bdr w:val="nil"/>
        </w:rPr>
      </w:pPr>
      <w:r>
        <w:rPr>
          <w:noProof/>
          <w:u w:color="000000"/>
          <w:bdr w:val="nil"/>
        </w:rPr>
        <w:t>•</w:t>
      </w:r>
      <w:r>
        <w:rPr>
          <w:noProof/>
        </w:rPr>
        <w:tab/>
      </w:r>
      <w:r>
        <w:rPr>
          <w:noProof/>
          <w:u w:color="000000"/>
          <w:bdr w:val="nil"/>
        </w:rPr>
        <w:t>Detaljno obrazloženje posebnih odredaba prijedloga</w:t>
      </w:r>
    </w:p>
    <w:p>
      <w:pPr>
        <w:pBdr>
          <w:top w:val="nil"/>
          <w:left w:val="nil"/>
          <w:bottom w:val="nil"/>
          <w:right w:val="nil"/>
          <w:between w:val="nil"/>
          <w:bar w:val="nil"/>
        </w:pBdr>
        <w:spacing w:before="0" w:after="240"/>
        <w:rPr>
          <w:noProof/>
        </w:rPr>
      </w:pPr>
      <w:r>
        <w:rPr>
          <w:noProof/>
        </w:rPr>
        <w:t>Člankom 1. Uredba (EU) 2019/216 Europskog parlamenta i Vijeća mijenja se kako bi se spriječila raspodjela carinske kvote pod rednim brojem 094455.</w:t>
      </w:r>
    </w:p>
    <w:p>
      <w:pPr>
        <w:pBdr>
          <w:top w:val="nil"/>
          <w:left w:val="nil"/>
          <w:bottom w:val="nil"/>
          <w:right w:val="nil"/>
          <w:between w:val="nil"/>
          <w:bar w:val="nil"/>
        </w:pBdr>
        <w:spacing w:before="0" w:after="240"/>
        <w:rPr>
          <w:rFonts w:eastAsia="Arial Unicode MS"/>
          <w:noProof/>
        </w:rPr>
      </w:pPr>
      <w:r>
        <w:rPr>
          <w:noProof/>
        </w:rPr>
        <w:t xml:space="preserve">Člankom 2. utvrđuje se da Uredba stupa na snagu sedmog dana od dana objave u </w:t>
      </w:r>
      <w:r>
        <w:rPr>
          <w:i/>
          <w:noProof/>
        </w:rPr>
        <w:t>Službenom listu Europske unije</w:t>
      </w:r>
      <w:r>
        <w:rPr>
          <w:noProof/>
        </w:rPr>
        <w:t>.</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2021/0146 (COD)</w:t>
      </w:r>
    </w:p>
    <w:p>
      <w:pPr>
        <w:pStyle w:val="Statut"/>
        <w:rPr>
          <w:noProof/>
        </w:rPr>
      </w:pPr>
      <w:r>
        <w:rPr>
          <w:noProof/>
        </w:rPr>
        <w:t>Prijedlog</w:t>
      </w:r>
    </w:p>
    <w:p>
      <w:pPr>
        <w:pStyle w:val="Typedudocument"/>
        <w:rPr>
          <w:noProof/>
        </w:rPr>
      </w:pPr>
      <w:r>
        <w:rPr>
          <w:noProof/>
        </w:rPr>
        <w:t>UREDBE EUROPSKOG PARLAMENTA I VIJEĆA</w:t>
      </w:r>
    </w:p>
    <w:p>
      <w:pPr>
        <w:pStyle w:val="Titreobjet"/>
        <w:rPr>
          <w:noProof/>
        </w:rPr>
      </w:pPr>
      <w:r>
        <w:rPr>
          <w:noProof/>
        </w:rPr>
        <w:t xml:space="preserve">o izmjeni Uredbe (EU) 2019/216 Europskog parlamenta i Vijeća u pogledu carinske kvote Unije za visokokvalitetnu govedinu iz Paragvaja </w:t>
      </w:r>
      <w:r>
        <w:rPr>
          <w:noProof/>
        </w:rPr>
        <w:br/>
      </w:r>
    </w:p>
    <w:p>
      <w:pPr>
        <w:pStyle w:val="Institutionquiagit"/>
        <w:rPr>
          <w:noProof/>
        </w:rPr>
      </w:pPr>
      <w:r>
        <w:rPr>
          <w:noProof/>
        </w:rPr>
        <w:t>EUROPSKI PARLAMENT I VIJEĆE EUROPSKE UNIJE,</w:t>
      </w:r>
    </w:p>
    <w:p>
      <w:pPr>
        <w:rPr>
          <w:noProof/>
        </w:rPr>
      </w:pPr>
      <w:r>
        <w:rPr>
          <w:noProof/>
        </w:rPr>
        <w:t>uzimajući u obzir Ugovor o funkcioniranju Europske unije, a posebno njegov članak 207. stavak 2.,</w:t>
      </w:r>
    </w:p>
    <w:p>
      <w:pPr>
        <w:rPr>
          <w:noProof/>
        </w:rPr>
      </w:pPr>
      <w:r>
        <w:rPr>
          <w:noProof/>
        </w:rPr>
        <w:t>uzimajući u obzir prijedlog Europske komisije,</w:t>
      </w:r>
    </w:p>
    <w:p>
      <w:pPr>
        <w:rPr>
          <w:noProof/>
        </w:rPr>
      </w:pPr>
      <w:r>
        <w:rPr>
          <w:noProof/>
        </w:rPr>
        <w:t>nakon prosljeđivanja nacrta zakonodavnog akta nacionalnim parlamentima,</w:t>
      </w:r>
    </w:p>
    <w:p>
      <w:pPr>
        <w:rPr>
          <w:noProof/>
        </w:rPr>
      </w:pPr>
      <w:r>
        <w:rPr>
          <w:noProof/>
        </w:rPr>
        <w:t>u skladu s redovnim zakonodavnim postupkom,</w:t>
      </w:r>
    </w:p>
    <w:p>
      <w:pPr>
        <w:rPr>
          <w:noProof/>
        </w:rPr>
      </w:pPr>
      <w:r>
        <w:rPr>
          <w:noProof/>
        </w:rPr>
        <w:t>budući da:</w:t>
      </w:r>
    </w:p>
    <w:p>
      <w:pPr>
        <w:pStyle w:val="ManualConsidrant"/>
        <w:rPr>
          <w:noProof/>
        </w:rPr>
      </w:pPr>
      <w:r>
        <w:t>(1)</w:t>
      </w:r>
      <w:r>
        <w:tab/>
      </w:r>
      <w:r>
        <w:rPr>
          <w:noProof/>
        </w:rPr>
        <w:t>Nakon povlačenja Ujedinjene Kraljevine iz Unije Unija i Ujedinjena Kraljevina obavijestile su ostale članice Svjetske trgovinske organizacije (WTO) da će zadržati postojeću razinu pristupa tržištu uz odgovarajuću raspodjelu između Unije i Ujedinjene Kraljevine. Metodologija raspodjele i nove količine za EU-27 utvrđene su u Uredbi (EU) 2019/216 Europskog parlamenta i Vijeća</w:t>
      </w:r>
      <w:r>
        <w:rPr>
          <w:rStyle w:val="FootnoteReference"/>
          <w:noProof/>
        </w:rPr>
        <w:footnoteReference w:id="1"/>
      </w:r>
      <w:r>
        <w:rPr>
          <w:noProof/>
        </w:rPr>
        <w:t>.</w:t>
      </w:r>
    </w:p>
    <w:p>
      <w:pPr>
        <w:pStyle w:val="ManualConsidrant"/>
        <w:rPr>
          <w:noProof/>
        </w:rPr>
      </w:pPr>
      <w:r>
        <w:t>(2)</w:t>
      </w:r>
      <w:r>
        <w:tab/>
      </w:r>
      <w:r>
        <w:rPr>
          <w:noProof/>
        </w:rPr>
        <w:t>Unijine carinske kvote koje nisu uvrštene u njezin raspored koncesija i obveza ne bi se trebale raspodijeliti.</w:t>
      </w:r>
    </w:p>
    <w:p>
      <w:pPr>
        <w:pStyle w:val="ManualConsidrant"/>
        <w:rPr>
          <w:noProof/>
        </w:rPr>
      </w:pPr>
      <w:r>
        <w:t>(3)</w:t>
      </w:r>
      <w:r>
        <w:tab/>
      </w:r>
      <w:r>
        <w:rPr>
          <w:noProof/>
        </w:rPr>
        <w:t>Uredbom Vijeća (EZ) br. 1149/2002</w:t>
      </w:r>
      <w:r>
        <w:rPr>
          <w:rStyle w:val="FootnoteReference"/>
          <w:noProof/>
        </w:rPr>
        <w:footnoteReference w:id="2"/>
      </w:r>
      <w:r>
        <w:rPr>
          <w:noProof/>
        </w:rPr>
        <w:t xml:space="preserve"> otvorena je uvozna carinska kvota od 1 000 tona visokokvalitetne svježe, rashlađene ili smrznute govedine. Iako ta carinska kvota nije uvrštena u raspored WTO-a za Uniju, ona je pogreškom raspodijeljena Uredbom (EU) 2019/216, čime je njezina količina smanjena s učinkom od 1. siječnja 2021. Stoga bi trebalo ponovno uspostaviti izvornu količinu te carinske kvote.</w:t>
      </w:r>
    </w:p>
    <w:p>
      <w:pPr>
        <w:pStyle w:val="ManualConsidrant"/>
        <w:rPr>
          <w:noProof/>
        </w:rPr>
      </w:pPr>
      <w:r>
        <w:t>(4)</w:t>
      </w:r>
      <w:r>
        <w:tab/>
      </w:r>
      <w:r>
        <w:rPr>
          <w:noProof/>
        </w:rPr>
        <w:t>Uredbu (EU) 2019/216 trebalo bi stoga na odgovarajući način izmijeniti,</w:t>
      </w:r>
    </w:p>
    <w:p>
      <w:pPr>
        <w:pStyle w:val="Formuledadoption"/>
        <w:rPr>
          <w:noProof/>
        </w:rPr>
      </w:pPr>
      <w:r>
        <w:rPr>
          <w:noProof/>
        </w:rPr>
        <w:t>DONIJELI SU OVU UREDBU:</w:t>
      </w:r>
    </w:p>
    <w:p>
      <w:pPr>
        <w:pStyle w:val="Titrearticle"/>
        <w:rPr>
          <w:noProof/>
        </w:rPr>
      </w:pPr>
      <w:r>
        <w:rPr>
          <w:noProof/>
        </w:rPr>
        <w:t>Članak 1.</w:t>
      </w:r>
    </w:p>
    <w:p>
      <w:pPr>
        <w:rPr>
          <w:noProof/>
        </w:rPr>
      </w:pPr>
      <w:r>
        <w:rPr>
          <w:noProof/>
        </w:rPr>
        <w:t>U dijelu A Priloga Uredbi (EU) 2019/216 redak koji se odnosi na redni broj 094455 (Visokokvalitetno meso od životinja vrste goveda, svježe, rashlađeno ili smrznuto, iz Paragvaja) briše se.</w:t>
      </w:r>
    </w:p>
    <w:p>
      <w:pPr>
        <w:pStyle w:val="Titrearticle"/>
        <w:rPr>
          <w:noProof/>
        </w:rPr>
      </w:pPr>
      <w:r>
        <w:rPr>
          <w:noProof/>
        </w:rPr>
        <w:t>Članak 2.</w:t>
      </w:r>
    </w:p>
    <w:p>
      <w:pPr>
        <w:rPr>
          <w:noProof/>
        </w:rPr>
      </w:pPr>
      <w:r>
        <w:rPr>
          <w:noProof/>
        </w:rPr>
        <w:t xml:space="preserve">Ova Uredba stupa na snagu sedmog dana od dana objave u </w:t>
      </w:r>
      <w:r>
        <w:rPr>
          <w:i/>
          <w:noProof/>
        </w:rPr>
        <w:t>Službenom listu Europske unije</w:t>
      </w:r>
      <w:r>
        <w:rPr>
          <w:noProof/>
        </w:rPr>
        <w:t>.</w:t>
      </w:r>
    </w:p>
    <w:p>
      <w:pPr>
        <w:pStyle w:val="Applicationdirecte"/>
        <w:rPr>
          <w:noProof/>
        </w:rPr>
      </w:pPr>
      <w:r>
        <w:rPr>
          <w:noProof/>
        </w:rPr>
        <w:t>Ova je Uredba u cijelosti obvezujuća i izravno se primjenjuje u svim državama članicama.</w:t>
      </w:r>
    </w:p>
    <w:p>
      <w:pPr>
        <w:pStyle w:val="Fait"/>
        <w:rPr>
          <w:noProof/>
        </w:rPr>
      </w:pPr>
      <w:r>
        <w:t>Sastavljeno u Bruxellesu,</w:t>
      </w:r>
    </w:p>
    <w:p>
      <w:pPr>
        <w:pStyle w:val="Institutionquisigne"/>
        <w:rPr>
          <w:noProof/>
        </w:rPr>
      </w:pPr>
      <w:r>
        <w:rPr>
          <w:noProof/>
        </w:rPr>
        <w:t>Za Europski parlament</w:t>
      </w:r>
      <w:r>
        <w:rPr>
          <w:noProof/>
        </w:rPr>
        <w:tab/>
        <w:t>Za Vijeće</w:t>
      </w:r>
    </w:p>
    <w:p>
      <w:pPr>
        <w:pStyle w:val="Personnequisigne"/>
        <w:rPr>
          <w:noProof/>
        </w:rPr>
      </w:pPr>
      <w:r>
        <w:rPr>
          <w:noProof/>
        </w:rPr>
        <w:t>Predsjednik</w:t>
      </w:r>
      <w:r>
        <w:rPr>
          <w:noProof/>
        </w:rPr>
        <w:tab/>
        <w:t>Predsjednik</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tab/>
    </w:r>
    <w:r>
      <w:rPr>
        <w:rFonts w:ascii="Arial" w:hAnsi="Arial" w:cs="Arial"/>
        <w:b/>
        <w:sz w:val="48"/>
      </w:rPr>
      <w:t>HR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fldChar w:fldCharType="begin"/>
    </w:r>
    <w:r>
      <w:instrText xml:space="preserve"> PAGE  \* MERGEFORMAT </w:instrText>
    </w:r>
    <w:r>
      <w:fldChar w:fldCharType="separate"/>
    </w:r>
    <w:r>
      <w:rPr>
        <w:noProof/>
      </w:rPr>
      <w:t>4</w:t>
    </w:r>
    <w:r>
      <w:fldChar w:fldCharType="end"/>
    </w:r>
    <w:r>
      <w:tab/>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Uredba (EU) 2019/216 Europskog parlamenta i Vijeća od 30. siječnja 2019. o raspodjeli carinskih kvota uvrštenih u raspored WTO-a za Uniju nakon povlačenja Ujedinjene Kraljevine iz Unije i izmjeni Uredbe Vijeća (EZ) br. 32/2000 (SL L 38, 8.2.2019., str. 1.).</w:t>
      </w:r>
    </w:p>
  </w:footnote>
  <w:footnote w:id="2">
    <w:p>
      <w:pPr>
        <w:pStyle w:val="FootnoteText"/>
      </w:pPr>
      <w:r>
        <w:rPr>
          <w:rStyle w:val="FootnoteReference"/>
        </w:rPr>
        <w:footnoteRef/>
      </w:r>
      <w:r>
        <w:tab/>
        <w:t>Uredba Vijeća (EZ) br. 1149/2002 od 27. lipnja 2002. o otvaranju autonomne kvote za uvoz visokokvalitetne govedine (SL L 170, 29.6.2002., str.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71264B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2C47554"/>
    <w:lvl w:ilvl="0">
      <w:start w:val="1"/>
      <w:numFmt w:val="decimal"/>
      <w:pStyle w:val="ListNumber3"/>
      <w:lvlText w:val="%1."/>
      <w:lvlJc w:val="left"/>
      <w:pPr>
        <w:tabs>
          <w:tab w:val="num" w:pos="926"/>
        </w:tabs>
        <w:ind w:left="926" w:hanging="360"/>
      </w:pPr>
    </w:lvl>
  </w:abstractNum>
  <w:abstractNum w:abstractNumId="2">
    <w:nsid w:val="FFFFFF7F"/>
    <w:multiLevelType w:val="singleLevel"/>
    <w:tmpl w:val="FFC00794"/>
    <w:lvl w:ilvl="0">
      <w:start w:val="1"/>
      <w:numFmt w:val="decimal"/>
      <w:pStyle w:val="ListNumber2"/>
      <w:lvlText w:val="%1."/>
      <w:lvlJc w:val="left"/>
      <w:pPr>
        <w:tabs>
          <w:tab w:val="num" w:pos="643"/>
        </w:tabs>
        <w:ind w:left="643" w:hanging="360"/>
      </w:pPr>
    </w:lvl>
  </w:abstractNum>
  <w:abstractNum w:abstractNumId="3">
    <w:nsid w:val="FFFFFF81"/>
    <w:multiLevelType w:val="singleLevel"/>
    <w:tmpl w:val="750CE3F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4249E5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D9E8B6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B1060D8"/>
    <w:lvl w:ilvl="0">
      <w:start w:val="1"/>
      <w:numFmt w:val="decimal"/>
      <w:pStyle w:val="ListNumber"/>
      <w:lvlText w:val="%1."/>
      <w:lvlJc w:val="left"/>
      <w:pPr>
        <w:tabs>
          <w:tab w:val="num" w:pos="360"/>
        </w:tabs>
        <w:ind w:left="360" w:hanging="360"/>
      </w:pPr>
    </w:lvl>
  </w:abstractNum>
  <w:abstractNum w:abstractNumId="7">
    <w:nsid w:val="FFFFFF89"/>
    <w:multiLevelType w:val="singleLevel"/>
    <w:tmpl w:val="D26E461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2"/>
    <w:lvlOverride w:ilvl="0">
      <w:startOverride w:val="1"/>
    </w:lvlOverride>
  </w:num>
  <w:num w:numId="6">
    <w:abstractNumId w:val="6"/>
  </w:num>
  <w:num w:numId="7">
    <w:abstractNumId w:val="2"/>
  </w:num>
  <w:num w:numId="8">
    <w:abstractNumId w:val="1"/>
  </w:num>
  <w:num w:numId="9">
    <w:abstractNumId w:val="0"/>
  </w:num>
  <w:num w:numId="10">
    <w:abstractNumId w:val="19"/>
  </w:num>
  <w:num w:numId="11">
    <w:abstractNumId w:val="12"/>
  </w:num>
  <w:num w:numId="12">
    <w:abstractNumId w:val="21"/>
  </w:num>
  <w:num w:numId="13">
    <w:abstractNumId w:val="11"/>
  </w:num>
  <w:num w:numId="14">
    <w:abstractNumId w:val="13"/>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 w:numId="24">
    <w:abstractNumId w:val="19"/>
  </w:num>
  <w:num w:numId="25">
    <w:abstractNumId w:val="12"/>
  </w:num>
  <w:num w:numId="26">
    <w:abstractNumId w:val="21"/>
  </w:num>
  <w:num w:numId="27">
    <w:abstractNumId w:val="11"/>
  </w:num>
  <w:num w:numId="28">
    <w:abstractNumId w:val="13"/>
  </w:num>
  <w:num w:numId="29">
    <w:abstractNumId w:val="14"/>
  </w:num>
  <w:num w:numId="30">
    <w:abstractNumId w:val="9"/>
  </w:num>
  <w:num w:numId="31">
    <w:abstractNumId w:val="20"/>
  </w:num>
  <w:num w:numId="32">
    <w:abstractNumId w:val="8"/>
  </w:num>
  <w:num w:numId="33">
    <w:abstractNumId w:val="15"/>
  </w:num>
  <w:num w:numId="34">
    <w:abstractNumId w:val="17"/>
  </w:num>
  <w:num w:numId="35">
    <w:abstractNumId w:val="18"/>
  </w:num>
  <w:num w:numId="36">
    <w:abstractNumId w:val="10"/>
  </w:num>
  <w:num w:numId="37">
    <w:abstractNumId w:val="16"/>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6-18 10:19:1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6"/>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C107AC34-58B1-4289-86ED-07043AA41471"/>
    <w:docVar w:name="LW_COVERPAGE_TYPE" w:val="1"/>
    <w:docVar w:name="LW_CROSSREFERENCE" w:val="&lt;UNUSED&gt;"/>
    <w:docVar w:name="LW_DocType" w:val="COM"/>
    <w:docVar w:name="LW_EMISSION" w:val="18.6.2021."/>
    <w:docVar w:name="LW_EMISSION_ISODATE" w:val="2021-06-18"/>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HR"/>
    <w:docVar w:name="LW_LEVEL_OF_SENSITIVITY" w:val="Standard treatment"/>
    <w:docVar w:name="LW_NOM.INST" w:val="EUROPSKA KOMISIJA"/>
    <w:docVar w:name="LW_NOM.INST_JOINTDOC" w:val="&lt;EMPTY&gt;"/>
    <w:docVar w:name="LW_PART_NBR" w:val="1"/>
    <w:docVar w:name="LW_PART_NBR_TOTAL" w:val="1"/>
    <w:docVar w:name="LW_REF.II.NEW.CP" w:val="COD"/>
    <w:docVar w:name="LW_REF.II.NEW.CP_NUMBER" w:val="0146"/>
    <w:docVar w:name="LW_REF.II.NEW.CP_YEAR" w:val="2021"/>
    <w:docVar w:name="LW_REF.INST.NEW" w:val="COM"/>
    <w:docVar w:name="LW_REF.INST.NEW_ADOPTED" w:val="final"/>
    <w:docVar w:name="LW_REF.INST.NEW_TEXT" w:val="(2021) 31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jedlog"/>
    <w:docVar w:name="LW_SUPERTITRE" w:val="&lt;UNUSED&gt;"/>
    <w:docVar w:name="LW_TITRE.OBJ.CP" w:val="o izmjeni Uredbe (EU) 2019/216 Europskog parlamenta i Vije\u263?a u pogledu carinske kvote Unije za visokokvalitetnu govedinu iz Paragvaja _x000b_"/>
    <w:docVar w:name="LW_TYPE.DOC.CP" w:val="UREDBE EUROPSKOG PARLAMENTA I VIJE\u262?A"/>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r-H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hr-HR"/>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1">
    <w:name w:val="Normal1"/>
    <w:basedOn w:val="Normal"/>
    <w:pPr>
      <w:spacing w:before="100" w:beforeAutospacing="1" w:after="100" w:afterAutospacing="1"/>
      <w:jc w:val="left"/>
    </w:pPr>
    <w:rPr>
      <w:rFonts w:eastAsia="Times New Roman"/>
      <w:szCs w:val="24"/>
      <w:lang w:eastAsia="fr-B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hr-H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r-H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hr-HR"/>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1">
    <w:name w:val="Normal1"/>
    <w:basedOn w:val="Normal"/>
    <w:pPr>
      <w:spacing w:before="100" w:beforeAutospacing="1" w:after="100" w:afterAutospacing="1"/>
      <w:jc w:val="left"/>
    </w:pPr>
    <w:rPr>
      <w:rFonts w:eastAsia="Times New Roman"/>
      <w:szCs w:val="24"/>
      <w:lang w:eastAsia="fr-B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hr-H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F498855-0F2C-4A2C-AD5D-0E7C30141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5</Pages>
  <Words>720</Words>
  <Characters>4366</Characters>
  <Application>Microsoft Office Word</Application>
  <DocSecurity>0</DocSecurity>
  <Lines>103</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40</cp:revision>
  <dcterms:created xsi:type="dcterms:W3CDTF">2021-06-03T11:33:00Z</dcterms:created>
  <dcterms:modified xsi:type="dcterms:W3CDTF">2021-06-18T08:19:00Z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y name="OP_sanitized" fmtid="{D5CDD505-2E9C-101B-9397-08002B2CF9AE}" pid="11">
    <vt:lpwstr>True</vt:lpwstr>
  </property>
</Properties>
</file>