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Default="00032195" w:rsidP="0003219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1B2BA4C0-9787-4257-8254-E4E7E6A8CBF7" style="width:455.25pt;height:310.5pt">
            <v:imagedata r:id="rId11" o:title=""/>
          </v:shape>
        </w:pict>
      </w:r>
    </w:p>
    <w:bookmarkEnd w:id="0"/>
    <w:p w:rsidR="00CF04CB" w:rsidRDefault="00CF04CB" w:rsidP="00CF04CB">
      <w:pPr>
        <w:rPr>
          <w:noProof/>
          <w:lang w:val="en-GB" w:eastAsia="en-IE"/>
        </w:rPr>
        <w:sectPr w:rsidR="00CF04CB" w:rsidSect="00032195">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Default="005B44C5" w:rsidP="005B44C5">
      <w:pPr>
        <w:jc w:val="center"/>
        <w:rPr>
          <w:b/>
          <w:noProof/>
        </w:rPr>
      </w:pPr>
      <w:bookmarkStart w:id="1" w:name="_GoBack"/>
      <w:bookmarkEnd w:id="1"/>
      <w:r>
        <w:rPr>
          <w:b/>
          <w:noProof/>
        </w:rPr>
        <w:lastRenderedPageBreak/>
        <w:t>Global Gateway</w:t>
      </w:r>
    </w:p>
    <w:p w:rsidR="006E5231" w:rsidRPr="009838B7" w:rsidRDefault="006E5231" w:rsidP="005B44C5">
      <w:pPr>
        <w:jc w:val="center"/>
        <w:rPr>
          <w:b/>
          <w:noProof/>
          <w:lang w:val="en-GB" w:eastAsia="en-IE"/>
        </w:rPr>
      </w:pPr>
    </w:p>
    <w:p w:rsidR="00761202" w:rsidRPr="009838B7" w:rsidRDefault="00CF47E5" w:rsidP="005B44C5">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 xml:space="preserve">Uvod </w:t>
      </w:r>
    </w:p>
    <w:p w:rsidR="004855D4" w:rsidRPr="009838B7" w:rsidRDefault="00A36A27" w:rsidP="0A6157C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Demokracije, kao i vrijednosti na kojima se one temelje, moraju dokazati da imaju rješenja za današnje globalne izazove</w:t>
      </w:r>
      <w:r>
        <w:rPr>
          <w:rFonts w:ascii="Times New Roman" w:hAnsi="Times New Roman"/>
          <w:noProof/>
          <w:sz w:val="24"/>
          <w:szCs w:val="24"/>
        </w:rPr>
        <w:t xml:space="preserve">. Moraju imati kapacitet i ambiciju da doprinesu boljem životu ljudi u cijelom svijetu. Tu činjenicu naglašava sve veća nužnost da zemlje ulažu u infrastrukturu potrebnu za uspostavu održivog blagostanja, radnih mjesta i usluga za svoje lokalne zajednice te da razvijaju tu infrastrukturu. </w:t>
      </w:r>
    </w:p>
    <w:p w:rsidR="00623B2A" w:rsidRPr="009838B7" w:rsidRDefault="00623B2A" w:rsidP="00623B2A">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Ta globalna potreba za infrastrukturom ključna je za održivi razvoj u cijelom svijetu, ali je i glavni dio plana za borbu protiv klimatskih promjena i za zaštitu okoliša, poboljšanje globalne zdravstvene sigurnosti i poticanje konkurentnosti svjetskog gospodarstva. Posljedice sadašnje nepotpune, nekompatibilne ili nepovezane globalne infrastrukture jasno su izašle na vidjelo tijekom pandemije bolesti COVID-19, a očitovale su se u obliku gospodarskog učinka i izolacije koju je prouzrokovala nedovoljna digitalna povezivost, poremećaji u lancima opskrbe ili nestašica medicinskih proizvoda. Međutim, iako je pandemija ubrzala potrebu za djelovanjem, investicijski jaz i razmjer globalnih potreba pitanja su mnogo starija od pandemije. Prema procjenama skupine G20 </w:t>
      </w:r>
      <w:r>
        <w:rPr>
          <w:rFonts w:ascii="Times New Roman" w:hAnsi="Times New Roman"/>
          <w:b/>
          <w:noProof/>
          <w:sz w:val="24"/>
          <w:szCs w:val="24"/>
        </w:rPr>
        <w:t>manjak ulaganja u globalnu infrastrukturu dosegnut će 13 bilijuna EUR do 2040.</w:t>
      </w:r>
      <w:r w:rsidRPr="009838B7">
        <w:rPr>
          <w:rFonts w:ascii="Times New Roman" w:eastAsia="Times New Roman" w:hAnsi="Times New Roman" w:cs="Times New Roman"/>
          <w:bCs/>
          <w:noProof/>
          <w:sz w:val="24"/>
          <w:szCs w:val="24"/>
          <w:vertAlign w:val="superscript"/>
          <w:lang w:val="en-GB"/>
        </w:rPr>
        <w:footnoteReference w:id="2"/>
      </w:r>
      <w:r>
        <w:rPr>
          <w:rFonts w:ascii="Times New Roman" w:hAnsi="Times New Roman"/>
          <w:noProof/>
          <w:sz w:val="24"/>
          <w:szCs w:val="24"/>
        </w:rPr>
        <w:t xml:space="preserve"> Ako uzmemo u obzir daljnja ulaganja u infrastrukturu potrebna za ograničavanje klimatskih promjena i uništavanja okoliša, taj iznos svake godine raste na 1,3 bilijuna EUR</w:t>
      </w:r>
      <w:r w:rsidRPr="009838B7">
        <w:rPr>
          <w:rFonts w:ascii="Times New Roman" w:eastAsia="Times New Roman" w:hAnsi="Times New Roman" w:cs="Times New Roman"/>
          <w:noProof/>
          <w:sz w:val="24"/>
          <w:szCs w:val="24"/>
          <w:vertAlign w:val="superscript"/>
          <w:lang w:val="en-GB"/>
        </w:rPr>
        <w:footnoteReference w:id="3"/>
      </w:r>
      <w:r>
        <w:rPr>
          <w:rFonts w:ascii="Times New Roman" w:hAnsi="Times New Roman"/>
          <w:noProof/>
          <w:sz w:val="24"/>
          <w:szCs w:val="24"/>
        </w:rPr>
        <w:t>.</w:t>
      </w:r>
    </w:p>
    <w:p w:rsidR="00833C8B" w:rsidRPr="009838B7" w:rsidRDefault="00747FF7" w:rsidP="00833C8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Suočene s</w:t>
      </w:r>
      <w:r>
        <w:rPr>
          <w:rFonts w:ascii="Times New Roman" w:hAnsi="Times New Roman"/>
          <w:noProof/>
          <w:sz w:val="24"/>
          <w:szCs w:val="24"/>
        </w:rPr>
        <w:t xml:space="preserve"> tom hitnom potrebom</w:t>
      </w:r>
      <w:r>
        <w:rPr>
          <w:rFonts w:ascii="Times New Roman" w:hAnsi="Times New Roman"/>
          <w:b/>
          <w:noProof/>
          <w:sz w:val="24"/>
          <w:szCs w:val="24"/>
        </w:rPr>
        <w:t xml:space="preserve"> za velikom količinom financijskih sredstava, zemlje trebaju pozitivnu ponudu</w:t>
      </w:r>
      <w:r>
        <w:rPr>
          <w:rFonts w:ascii="Times New Roman" w:hAnsi="Times New Roman"/>
          <w:noProof/>
          <w:sz w:val="24"/>
          <w:szCs w:val="24"/>
        </w:rPr>
        <w:t xml:space="preserve"> kad odlučuju o tome kako najbolje razvijati svoju klimatsku, energetsku, prometnu i digitalnu infrastrukturu ili kako ojačati svoje zdravstvene ili obrazovne sustave. Te odluke stvarno utječu na živote građana i na njihova sredstva za život. Stoga im je potreban pouzdan partner kako bi osmislile projekte koji su održivi i visokokvalitetni te kako bi ih provele s visokom razinom transparentnosti i u skladu s visokim standardima radi trajnih socijalnih i ekonomskih koristi za lokalne zajednice. </w:t>
      </w:r>
    </w:p>
    <w:p w:rsidR="000900D5" w:rsidRPr="009838B7" w:rsidRDefault="00656E59"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EU će ponuditi svoje financiranje po pravednim i povoljnim uvjetima kako bi ograničio rizik od zaduženosti. Pomoći će u izgradnji održive infrastrukture uz potporu, vještine i financijska sredstva potrebne za upravljanje njome. Bez odgovarajuće transparentnosti, dobrog upravljanja i visokih standarda može doći do lošeg odabira ili izrade projekata, njihove nepotpunosti ili korištenja za poticanje korupcije. To ne samo da usporava rast i osiromašuje lokalne zajednice već naposljetku uzrokuje i ovisnosti koje mogu ograničiti sposobnost zemalja da odlučuju. </w:t>
      </w:r>
    </w:p>
    <w:p w:rsidR="00D45C2F" w:rsidRPr="009838B7" w:rsidRDefault="00654653"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S obzirom na to da je riječ o globalnom izazovu, EU treba osigurati pozitivnu ponudu svojim partnerima.</w:t>
      </w:r>
      <w:r>
        <w:rPr>
          <w:rFonts w:ascii="Times New Roman" w:hAnsi="Times New Roman"/>
          <w:b/>
          <w:noProof/>
          <w:sz w:val="24"/>
          <w:szCs w:val="24"/>
        </w:rPr>
        <w:t xml:space="preserve"> Global Gateway ta je pozitivna ponuda: plan EU-a za velika ulaganja u razvoj infrastrukture u cijelom svijetu</w:t>
      </w:r>
      <w:r>
        <w:rPr>
          <w:rFonts w:ascii="Times New Roman" w:hAnsi="Times New Roman"/>
          <w:noProof/>
          <w:sz w:val="24"/>
          <w:szCs w:val="24"/>
        </w:rPr>
        <w:t xml:space="preserve">. Cilj mu je uspostaviti </w:t>
      </w:r>
      <w:r>
        <w:rPr>
          <w:rFonts w:ascii="Times New Roman" w:hAnsi="Times New Roman"/>
          <w:noProof/>
          <w:color w:val="000000" w:themeColor="text1"/>
          <w:sz w:val="24"/>
          <w:szCs w:val="24"/>
        </w:rPr>
        <w:t xml:space="preserve">veze, a ne stvoriti ovisnosti, ulagati u projekte koji se mogu ostvariti uz </w:t>
      </w:r>
      <w:r>
        <w:rPr>
          <w:rFonts w:ascii="Times New Roman" w:hAnsi="Times New Roman"/>
          <w:noProof/>
          <w:sz w:val="24"/>
          <w:szCs w:val="24"/>
        </w:rPr>
        <w:t xml:space="preserve">visoke standarde, dobro upravljanje i transparentnost te surađivati sa </w:t>
      </w:r>
      <w:r>
        <w:rPr>
          <w:rFonts w:ascii="Times New Roman" w:hAnsi="Times New Roman"/>
          <w:bCs/>
          <w:noProof/>
          <w:sz w:val="24"/>
          <w:szCs w:val="24"/>
        </w:rPr>
        <w:t>zemljama domaćinima, financijskim institucijama i privatnim sektorom</w:t>
      </w:r>
      <w:r>
        <w:rPr>
          <w:rFonts w:ascii="Times New Roman" w:hAnsi="Times New Roman"/>
          <w:noProof/>
          <w:sz w:val="24"/>
          <w:szCs w:val="24"/>
        </w:rPr>
        <w:t xml:space="preserve"> radi proširenja ulaganja u infrastrukturu kako bi se povećala naša konkurentnost, ostvarile koristi i zaštita za naše partnere, ojačale lokalne zajednice i riješili trenutačno gorući globalni problemi – od klimatskih promjena i održivog razvoja do zdravstvene sigurnosti, rodne ravnopravnosti i obrazovnih sustava. </w:t>
      </w:r>
    </w:p>
    <w:p w:rsidR="004B7389" w:rsidRPr="009838B7" w:rsidRDefault="004B7389" w:rsidP="003E6669">
      <w:pPr>
        <w:pStyle w:val="Body"/>
        <w:spacing w:after="120" w:line="240" w:lineRule="auto"/>
        <w:jc w:val="both"/>
        <w:rPr>
          <w:rFonts w:ascii="Times New Roman" w:hAnsi="Times New Roman"/>
          <w:bCs/>
          <w:noProof/>
          <w:sz w:val="24"/>
          <w:szCs w:val="24"/>
        </w:rPr>
      </w:pPr>
      <w:r>
        <w:rPr>
          <w:rFonts w:ascii="Times New Roman" w:hAnsi="Times New Roman"/>
          <w:noProof/>
          <w:sz w:val="24"/>
          <w:szCs w:val="24"/>
        </w:rPr>
        <w:t xml:space="preserve">Kako bi se ti ciljevi ostvarili, Global Gateway djelovat će u cijelom svijetu i prilagođavati se potrebama i strateškim interesima različitih regija, pri čemu će se uvijek temeljiti na vrijednostima. Usmjerit će se na </w:t>
      </w:r>
      <w:r>
        <w:rPr>
          <w:rFonts w:ascii="Times New Roman" w:hAnsi="Times New Roman"/>
          <w:b/>
          <w:bCs/>
          <w:noProof/>
          <w:sz w:val="24"/>
          <w:szCs w:val="24"/>
        </w:rPr>
        <w:t>fizičku infrastrukturu</w:t>
      </w:r>
      <w:r>
        <w:rPr>
          <w:rFonts w:ascii="Times New Roman" w:hAnsi="Times New Roman"/>
          <w:noProof/>
          <w:sz w:val="24"/>
          <w:szCs w:val="24"/>
        </w:rPr>
        <w:t xml:space="preserve">, kao što su kabeli od optičkih vlakana, čisti prometni koridori i čisti dalekovodi, kako bi se ojačale digitalne, prometne i energetske mreže. Osigurat će i </w:t>
      </w:r>
      <w:r>
        <w:rPr>
          <w:rFonts w:ascii="Times New Roman" w:hAnsi="Times New Roman"/>
          <w:b/>
          <w:bCs/>
          <w:noProof/>
          <w:sz w:val="24"/>
          <w:szCs w:val="24"/>
        </w:rPr>
        <w:t xml:space="preserve">poticajno okruženje kako bi se zajamčilo ostvarenje projekata, </w:t>
      </w:r>
      <w:r>
        <w:rPr>
          <w:rFonts w:ascii="Times New Roman" w:hAnsi="Times New Roman"/>
          <w:noProof/>
          <w:sz w:val="24"/>
          <w:szCs w:val="24"/>
        </w:rPr>
        <w:t>tako što će ponuditi privlačne uvjete za ulaganje i trgovinske uvjete pogodne za poslovanje, regulatornu konvergenciju, standardizaciju, integraciju lanaca opskrbe i financijske usluge.</w:t>
      </w:r>
    </w:p>
    <w:p w:rsidR="007B3272" w:rsidRDefault="007B3272" w:rsidP="003E6669">
      <w:pPr>
        <w:spacing w:after="120"/>
        <w:jc w:val="both"/>
        <w:rPr>
          <w:noProof/>
        </w:rPr>
      </w:pPr>
      <w:r>
        <w:rPr>
          <w:noProof/>
        </w:rPr>
        <w:t>Suočeni smo s novom znanstvenom i proizvodnom revolucijom koju je uzrokovala potreba za borbom protiv klimatskih promjena i odgovorom na prijetnje zdravlju, ali i digitalna tranzicija. Te promjene uzrokuju dodatne poteškoće za aktivnosti razvoja, ali ujedno pružaju nove prilike. Dok pomaže drugima, EU će pridonijeti i promicanju svojih interesa, jačanju otpornosti svojih lanaca opskrbe i stvaranju više prilika za trgovinu za gospodarstvo EU-a, u kojem približno 38 milijuna radnih mjesta ovisi o međunarodnoj trgovini.</w:t>
      </w:r>
    </w:p>
    <w:p w:rsidR="003E6669" w:rsidRPr="009838B7" w:rsidRDefault="003E6669" w:rsidP="003E6669">
      <w:pPr>
        <w:spacing w:after="120"/>
        <w:jc w:val="both"/>
        <w:rPr>
          <w:noProof/>
        </w:rPr>
      </w:pPr>
      <w:r>
        <w:rPr>
          <w:noProof/>
        </w:rPr>
        <w:t>Za uspostavu potrebnog dosega i ostvarivanje pogodnosti razvoja infrastrukture u EU-u i u cijelom svijetu bit će potrebna velika ulaganja. Upotrebom svih financijskih i razvojnih instrumenata na raspolaganju EU-a i uz snažnu potporu država članica</w:t>
      </w:r>
      <w:r w:rsidRPr="009838B7">
        <w:rPr>
          <w:rFonts w:eastAsia="Times New Roman"/>
          <w:noProof/>
          <w:vertAlign w:val="superscript"/>
          <w:lang w:val="en-GB"/>
        </w:rPr>
        <w:footnoteReference w:id="4"/>
      </w:r>
      <w:r>
        <w:rPr>
          <w:noProof/>
        </w:rPr>
        <w:t xml:space="preserve"> </w:t>
      </w:r>
      <w:r>
        <w:rPr>
          <w:b/>
          <w:bCs/>
          <w:noProof/>
        </w:rPr>
        <w:t>u okviru plana</w:t>
      </w:r>
      <w:r>
        <w:rPr>
          <w:noProof/>
        </w:rPr>
        <w:t xml:space="preserve"> </w:t>
      </w:r>
      <w:r>
        <w:rPr>
          <w:b/>
          <w:noProof/>
        </w:rPr>
        <w:t>Global Gateway nastojat će se mobilizirati ulaganja vrijednosti do 300 milijardi EUR od 2021. do 2027.</w:t>
      </w:r>
      <w:r>
        <w:rPr>
          <w:noProof/>
        </w:rPr>
        <w:t xml:space="preserve"> U okviru jedinstvenog djelovanja zauzet će se pristup Tima Europa, kojim se okupljaju resursi EU-a, država članica, europskih financijskih institucija i nacionalnih institucija za financiranje razvoja. Aktivno će se nastojati mobilizirati financiranje i stručno znanje iz privatnog sektora te podupirati pristup održivom financiranju.</w:t>
      </w:r>
    </w:p>
    <w:p w:rsidR="00761202" w:rsidRPr="009838B7" w:rsidRDefault="00C41701" w:rsidP="00761202">
      <w:pPr>
        <w:jc w:val="both"/>
        <w:rPr>
          <w:noProof/>
        </w:rPr>
      </w:pPr>
      <w:r>
        <w:rPr>
          <w:noProof/>
        </w:rPr>
        <w:t xml:space="preserve">Strategijom Global Gateway Europa će preuzeti svoju ulogu u smanjenju globalnog investicijskog jaza. Međutim, za ostvarenje tog cilja bit će potrebno usklađeno djelovanje partnera sličnih stavova. U tom smislu Global Gateway nadovezat će se na rad pokrenut u okviru skupine G7 te će uzajamno podupirati inicijative kao što je </w:t>
      </w:r>
      <w:r>
        <w:rPr>
          <w:i/>
          <w:iCs/>
          <w:noProof/>
        </w:rPr>
        <w:t>Build Back Better World</w:t>
      </w:r>
      <w:r>
        <w:rPr>
          <w:noProof/>
        </w:rPr>
        <w:t xml:space="preserve">. </w:t>
      </w:r>
      <w:r>
        <w:rPr>
          <w:noProof/>
          <w:color w:val="000000"/>
          <w:u w:color="000000"/>
          <w14:textOutline w14:w="0" w14:cap="flat" w14:cmpd="sng" w14:algn="ctr">
            <w14:noFill/>
            <w14:prstDash w14:val="solid"/>
            <w14:bevel/>
          </w14:textOutline>
        </w:rPr>
        <w:t>To obvezivanje na suradnju potvrđeno je na</w:t>
      </w:r>
      <w:r>
        <w:rPr>
          <w:noProof/>
        </w:rPr>
        <w:t xml:space="preserve"> Konferenciji Ujedinjenih naroda o klimatskim promjenama 2021. (COP26), na kojoj su EU i SAD okupili partnere sličnih stavova kako bi se zajednički obvezali na rješavanje klimatske krize razvojem infrastrukture koja je čista, otporna i usklađena s idejom budućnosti s nultom neto stopom emisija</w:t>
      </w:r>
      <w:r w:rsidR="00761202" w:rsidRPr="009838B7">
        <w:rPr>
          <w:rFonts w:eastAsia="Times New Roman"/>
          <w:noProof/>
          <w:vertAlign w:val="superscript"/>
          <w:lang w:val="en-GB"/>
        </w:rPr>
        <w:footnoteReference w:id="5"/>
      </w:r>
      <w:r>
        <w:rPr>
          <w:noProof/>
        </w:rPr>
        <w:t>.</w:t>
      </w:r>
    </w:p>
    <w:p w:rsidR="00761202" w:rsidRPr="00071DCC" w:rsidRDefault="00761202" w:rsidP="00761202">
      <w:pPr>
        <w:jc w:val="both"/>
        <w:rPr>
          <w:bCs/>
          <w:noProof/>
        </w:rPr>
      </w:pPr>
    </w:p>
    <w:p w:rsidR="00221889" w:rsidRPr="009838B7" w:rsidRDefault="00761202" w:rsidP="00221889">
      <w:pPr>
        <w:jc w:val="both"/>
        <w:rPr>
          <w:noProof/>
        </w:rPr>
      </w:pPr>
      <w:r>
        <w:rPr>
          <w:noProof/>
        </w:rPr>
        <w:t>Global Gateway temelji se na postignućima strategije EU-a o povezivanju Europe i Azije iz 2018., nedavno sklopljenim partnerstvima za povezivost s Japanom i Indijom te Gospodarskom i investicijskom planu za zapadni Balkan</w:t>
      </w:r>
      <w:r w:rsidR="00095B4D" w:rsidRPr="00A917D2">
        <w:rPr>
          <w:rStyle w:val="FootnoteReference"/>
          <w:rFonts w:eastAsia="Times New Roman"/>
          <w:bCs/>
          <w:noProof/>
        </w:rPr>
        <w:footnoteReference w:id="6"/>
      </w:r>
      <w:r>
        <w:rPr>
          <w:noProof/>
        </w:rPr>
        <w:t>, Istočnom partnerstvu</w:t>
      </w:r>
      <w:r w:rsidR="00095B4D" w:rsidRPr="00A917D2">
        <w:rPr>
          <w:rStyle w:val="FootnoteReference"/>
          <w:rFonts w:eastAsia="Times New Roman"/>
          <w:bCs/>
          <w:noProof/>
        </w:rPr>
        <w:footnoteReference w:id="7"/>
      </w:r>
      <w:r>
        <w:rPr>
          <w:noProof/>
        </w:rPr>
        <w:t xml:space="preserve"> i južnom susjedstvu</w:t>
      </w:r>
      <w:r w:rsidR="00095B4D" w:rsidRPr="007138D8">
        <w:rPr>
          <w:rStyle w:val="FootnoteReference"/>
          <w:rFonts w:eastAsia="Times New Roman"/>
          <w:bCs/>
          <w:noProof/>
        </w:rPr>
        <w:footnoteReference w:id="8"/>
      </w:r>
      <w:r>
        <w:rPr>
          <w:noProof/>
        </w:rPr>
        <w:t xml:space="preserve">. U potpunosti je usklađen s UN-ovim Programom do 2030. i njegovim ciljevima održivog razvoja te Pariškim sporazumom. Ponudom pozitivnog izbora za razvoj globalne infrastrukture, u okviru strategije Global Gateway ulagat će se u međunarodnu stabilnost i suradnju te pokazati kako demokratske vrijednosti ulagateljima nude sigurnost i pravednost, partnerima održivost, a ljudima u cijelom svijetu dugoročne koristi.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9838B7" w:rsidTr="00D31B16">
        <w:trPr>
          <w:trHeight w:val="841"/>
        </w:trPr>
        <w:tc>
          <w:tcPr>
            <w:tcW w:w="9209" w:type="dxa"/>
            <w:shd w:val="clear" w:color="auto" w:fill="E2EFD9" w:themeFill="accent6" w:themeFillTint="33"/>
          </w:tcPr>
          <w:p w:rsidR="00B75861" w:rsidRPr="009838B7" w:rsidRDefault="00B75861" w:rsidP="00316C80">
            <w:pPr>
              <w:spacing w:before="120" w:line="266" w:lineRule="auto"/>
              <w:jc w:val="center"/>
              <w:rPr>
                <w:b/>
                <w:noProof/>
                <w:color w:val="000000"/>
              </w:rPr>
            </w:pPr>
            <w:r>
              <w:rPr>
                <w:b/>
                <w:noProof/>
                <w:color w:val="000000"/>
              </w:rPr>
              <w:t>Pristup strategije Global Gateway</w:t>
            </w:r>
          </w:p>
          <w:p w:rsidR="00D84E81" w:rsidRPr="009838B7"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Pr>
                <w:noProof/>
                <w:color w:val="000000"/>
                <w:u w:color="000000"/>
                <w14:textOutline w14:w="0" w14:cap="flat" w14:cmpd="sng" w14:algn="ctr">
                  <w14:noFill/>
                  <w14:prstDash w14:val="solid"/>
                  <w14:bevel/>
                </w14:textOutline>
              </w:rPr>
              <w:t>U okviru strategije Global Gateway sredstva koja EU troši na razvoj globalne infrastrukture usmjeravat će se u skladu sa sljedećim glavnim načelima.</w:t>
            </w:r>
          </w:p>
          <w:p w:rsidR="00EA1AF2" w:rsidRPr="009838B7"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Pr>
                <w:rFonts w:ascii="Times New Roman" w:hAnsi="Times New Roman"/>
                <w:b/>
                <w:bCs/>
                <w:noProof/>
                <w:color w:val="1F4E79" w:themeColor="accent1" w:themeShade="80"/>
                <w:sz w:val="24"/>
                <w:szCs w:val="24"/>
              </w:rPr>
              <w:t>Demokratske vrijednosti i visoki standardi</w:t>
            </w:r>
          </w:p>
          <w:p w:rsidR="00EA1AF2" w:rsidRPr="009838B7" w:rsidRDefault="00873DE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Global Gateway ponudit će partnerskim zemljama opciju koja se temelji na vrijednostima koju mogu odabrati kad odlučuju kako ispuniti svoje potrebe za razvojem infrastrukture. Uključuje poštovanje vladavine prava, visokih </w:t>
            </w:r>
            <w:r>
              <w:rPr>
                <w:rFonts w:ascii="Times New Roman" w:hAnsi="Times New Roman"/>
                <w:noProof/>
                <w:sz w:val="24"/>
                <w:szCs w:val="24"/>
                <w:shd w:val="clear" w:color="auto" w:fill="E2EFD9" w:themeFill="accent6" w:themeFillTint="33"/>
              </w:rPr>
              <w:t xml:space="preserve">standarda ljudskih, socijalnih i </w:t>
            </w:r>
            <w:r>
              <w:rPr>
                <w:rFonts w:ascii="Times New Roman" w:hAnsi="Times New Roman"/>
                <w:bCs/>
                <w:noProof/>
                <w:sz w:val="24"/>
                <w:szCs w:val="24"/>
                <w:shd w:val="clear" w:color="auto" w:fill="E2EFD9" w:themeFill="accent6" w:themeFillTint="33"/>
              </w:rPr>
              <w:t>radničkih prava</w:t>
            </w:r>
            <w:r>
              <w:rPr>
                <w:noProof/>
              </w:rPr>
              <w:t xml:space="preserve"> </w:t>
            </w:r>
            <w:r>
              <w:rPr>
                <w:rFonts w:ascii="Times New Roman" w:hAnsi="Times New Roman"/>
                <w:noProof/>
                <w:sz w:val="24"/>
                <w:szCs w:val="24"/>
                <w:shd w:val="clear" w:color="auto" w:fill="E2EFD9" w:themeFill="accent6" w:themeFillTint="33"/>
              </w:rPr>
              <w:t>te normi koje se odnose na pitanja od međunarodnih pravila i standarda do intelektualnog</w:t>
            </w:r>
            <w:r>
              <w:rPr>
                <w:rFonts w:ascii="Times New Roman" w:hAnsi="Times New Roman"/>
                <w:noProof/>
                <w:sz w:val="24"/>
                <w:szCs w:val="24"/>
              </w:rPr>
              <w:t xml:space="preserve"> vlasništva. To znači odabir ulaganja koja su održiva za lokalne stanovnike, lokalni okoliš i lokalna gospodarstva. Time se zauzima etički pristup tako da infrastrukturni projekti ne dovode do neodrživog duga ili neželjenih ovisnosti. </w:t>
            </w:r>
          </w:p>
          <w:p w:rsidR="00EA1AF2" w:rsidRPr="009838B7" w:rsidRDefault="00B75861" w:rsidP="00316C80">
            <w:pPr>
              <w:pStyle w:val="Body"/>
              <w:spacing w:after="120" w:line="240" w:lineRule="auto"/>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Dobro upravljanje i transparentnost</w:t>
            </w:r>
          </w:p>
          <w:p w:rsidR="00B75861" w:rsidRPr="009838B7" w:rsidRDefault="001E7617"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Provedba projekata koji su u interesu građana zahtijevat će transparentnost, odgovornost i financijsku održivost. Bit će potrebni otvoren pristup javnoj nabavi i jednaki uvjeti za potencijalne ulagatelje te jasan skup dogovorenih rezultata kako bi se osiguralo da se u projektima u okviru strategije Global Gateway utvrdi što će se njima postići i da se ono što je obećano zaista i ostvari. Dionici na koje potencijalni projekti najviše utječu (lokalne zajednice, poduzeća i partneri) moraju imati priliku izraziti svoje mišljenje u okviru odgovarajućih javnih savjetovanja i uključivanja civilnog društva. Projekti bi trebali osigurati pristupačan i ravnopravan pristup uslugama i pogodnostima koje će se njima ostvariti, osobito za žene i djevojčice te osobe kojima prijeti nepovoljan položaj i isključenost. </w:t>
            </w:r>
          </w:p>
          <w:p w:rsidR="00BD3406" w:rsidRPr="009838B7" w:rsidRDefault="00C11357"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Ravnopravna partnerstva</w:t>
            </w:r>
          </w:p>
          <w:p w:rsidR="00A11BAA" w:rsidRPr="009838B7" w:rsidRDefault="00A11BA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Projekti strategije Global Gateway osmišljavat će se, razvijati i provoditi u bliskoj suradnji s partnerskim zemljama i uz savjetovanje s njima. Infrastrukturni projekti temeljit će se na potrebama i prilikama koje su u njima utvrđene za lokalna gospodarstva i lokalne zajednice te na strateškim interesima EU-a. To znači da će se </w:t>
            </w:r>
            <w:r>
              <w:rPr>
                <w:rFonts w:ascii="Times New Roman" w:hAnsi="Times New Roman"/>
                <w:bCs/>
                <w:noProof/>
                <w:sz w:val="24"/>
                <w:szCs w:val="24"/>
              </w:rPr>
              <w:t>sa zemljama razvijati ravnopravna partnerstva</w:t>
            </w:r>
            <w:r>
              <w:rPr>
                <w:rFonts w:ascii="Times New Roman" w:hAnsi="Times New Roman"/>
                <w:noProof/>
                <w:sz w:val="24"/>
                <w:szCs w:val="24"/>
              </w:rPr>
              <w:t xml:space="preserve"> i da će se osigurati da se pri planiranju projekata uzme u obzir kapacitet zemalja domaćina za održivo upravljanje infrastrukturom i njezino održavanje nakon izgradnje. </w:t>
            </w:r>
          </w:p>
          <w:p w:rsidR="00EA1AF2"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 xml:space="preserve">Zeleni i čisti razvoj </w:t>
            </w:r>
          </w:p>
          <w:p w:rsidR="00EA1AF2" w:rsidRPr="009838B7" w:rsidRDefault="00EA1AF2" w:rsidP="00316C80">
            <w:pPr>
              <w:pStyle w:val="Body"/>
              <w:spacing w:after="120" w:line="240" w:lineRule="auto"/>
              <w:jc w:val="both"/>
              <w:rPr>
                <w:b/>
                <w:bCs/>
                <w:noProof/>
                <w:color w:val="000000" w:themeColor="text1"/>
                <w:sz w:val="24"/>
                <w:szCs w:val="24"/>
              </w:rPr>
            </w:pPr>
            <w:r>
              <w:rPr>
                <w:rFonts w:ascii="Times New Roman" w:hAnsi="Times New Roman"/>
                <w:noProof/>
                <w:sz w:val="24"/>
                <w:szCs w:val="24"/>
              </w:rPr>
              <w:t xml:space="preserve">Global Gateway klimatski je neutralna strategija za ubrzanje održivog razvoja i oporavka, uspostavu uključivog rasta i otvaranje radnih mjesta te prelazak na čišće i kružnije globalno gospodarstvo. Uključivat će ulaganja u razvoj infrastrukture koja je čista, otporna na klimatske promjene i usklađena s načinima za postizanje nulte neto stope emisija. Projekti će biti u skladu s prisegom „nenanošenja štete” iz europskog zelenog plana te će se osigurati provedba procjena utjecaja na okoliš i strateških procjena utjecaja na okoliš. </w:t>
            </w:r>
          </w:p>
          <w:p w:rsidR="00D84E81"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Usmjerenost na sigurnost</w:t>
            </w:r>
          </w:p>
          <w:p w:rsidR="00B75861" w:rsidRPr="009838B7" w:rsidRDefault="00316C80" w:rsidP="00316C80">
            <w:pPr>
              <w:pStyle w:val="Body"/>
              <w:spacing w:after="120" w:line="240" w:lineRule="auto"/>
              <w:jc w:val="both"/>
              <w:rPr>
                <w:rFonts w:ascii="Times New Roman" w:hAnsi="Times New Roman"/>
                <w:noProof/>
                <w:sz w:val="24"/>
                <w:szCs w:val="24"/>
                <w:highlight w:val="red"/>
              </w:rPr>
            </w:pPr>
            <w:r>
              <w:rPr>
                <w:rFonts w:ascii="Times New Roman" w:hAnsi="Times New Roman"/>
                <w:noProof/>
                <w:sz w:val="24"/>
                <w:szCs w:val="24"/>
              </w:rPr>
              <w:t xml:space="preserve">Otpornost globalnog gospodarstva i lanaca opskrbe temelji se na sigurnoj infrastrukturi, bilo da je riječ o </w:t>
            </w:r>
            <w:r>
              <w:rPr>
                <w:rFonts w:ascii="Times New Roman" w:hAnsi="Times New Roman"/>
                <w:bCs/>
                <w:noProof/>
                <w:sz w:val="24"/>
                <w:szCs w:val="24"/>
              </w:rPr>
              <w:t>digitalnom sektoru, zdravstvu, prometu ili energetici</w:t>
            </w:r>
            <w:r>
              <w:rPr>
                <w:rFonts w:ascii="Times New Roman" w:hAnsi="Times New Roman"/>
                <w:noProof/>
                <w:sz w:val="24"/>
                <w:szCs w:val="24"/>
              </w:rPr>
              <w:t xml:space="preserve">. Projektima u okviru strategije Global Gateway ulagat će se u infrastrukturu kako bi se otklonile osjetljivosti, pružila pouzdana povezivost i gradio kapacitet za savladavanje prirodnih poteškoća ili onih koje je izazvao čovjek, fizičkih, kibernetičkih ili hibridnih prijetnji te gospodarske prisile za ostvarivanje geopolitičkih ciljeva. Osigurat će se zaštita građana od neopravdanog nadzora koji vrše javna tijela ili privatna poduzeća. </w:t>
            </w:r>
          </w:p>
          <w:p w:rsidR="008B57A3" w:rsidRPr="009838B7" w:rsidRDefault="00CA0496"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Poticanje privatnog ulaganja</w:t>
            </w:r>
          </w:p>
          <w:p w:rsidR="000C3C5D" w:rsidRPr="009838B7" w:rsidRDefault="00CA0496" w:rsidP="00316C80">
            <w:pPr>
              <w:pStyle w:val="Body"/>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Europska industrija, koja je vodeća u svijetu, znanje iz privatnog sektora i kapacitet za ulaganje daju nam jedinstvenu konkurentsku prednost u svijetu, a Global Gateway mora je u potpunosti iskoristiti kako bi bio održiva i privlačna alternativa za partnerske zemlje. Global Gateway kombinirat će i potaknuti resurse iz EU-a, njegovih država članica, financijskih institucija i multilateralnog javnog financiranja te će iskoristiti ta javna sredstva da bi privukao privatni kapital. </w:t>
            </w:r>
          </w:p>
        </w:tc>
      </w:tr>
    </w:tbl>
    <w:p w:rsidR="00221889" w:rsidRPr="00071DCC" w:rsidRDefault="00221889" w:rsidP="00D31B16">
      <w:pPr>
        <w:pStyle w:val="Body"/>
        <w:spacing w:after="120" w:line="240" w:lineRule="auto"/>
        <w:jc w:val="both"/>
        <w:rPr>
          <w:noProof/>
          <w:color w:val="000000" w:themeColor="text1"/>
        </w:rPr>
      </w:pPr>
    </w:p>
    <w:p w:rsidR="009C6059" w:rsidRPr="009838B7"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Pr>
          <w:rFonts w:ascii="Times New Roman" w:hAnsi="Times New Roman"/>
          <w:b/>
          <w:bCs/>
          <w:noProof/>
          <w:sz w:val="24"/>
        </w:rPr>
        <w:t xml:space="preserve">Prioriteti ulaganja strategije Global Gateway </w:t>
      </w:r>
    </w:p>
    <w:p w:rsidR="002270F9" w:rsidRPr="009F3620"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Global Gateway učvrstit će veze među ljudima između Europe i njezinih partnera te će njegova ulaganja biti usmjerena tamo gdje su otkriveni infrastrukturni nedostaci ili gdje su se oni proteklih godina više osjetili. Ta su područja često ključna za rješavanje gorućih globalnih problema i ulaganjem u njih srednjoročno i dugoročno ostvaruju se najveće koristi za građane.</w:t>
      </w:r>
    </w:p>
    <w:p w:rsidR="002270F9" w:rsidRPr="002270F9"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 xml:space="preserve">Prioritet će biti ulaganja u digitalizaciju, sektore zdravlja, klime i energetike, prometni sektor te u obrazovanje i istraživanje. Isto tako, glavni su prioriteti poboljšanje kvalitete i količine infrastrukture te poticajnog okruženja u zemljama i regijama korisnicama. Global Gateway osigurat će pravednu i ravnopravnu dostupnost pogodnosti koje se ostvare ulaganjem. U tom ćemo smislu jamčiti da projekti i ulaganja budu uključivi, osobito u pogledu rodne ravnopravnosti. </w:t>
      </w:r>
    </w:p>
    <w:p w:rsidR="00326377" w:rsidRPr="009838B7"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Digitalni sektor</w:t>
      </w:r>
    </w:p>
    <w:p w:rsidR="002270F9" w:rsidRPr="009F3620" w:rsidRDefault="00326377" w:rsidP="002270F9">
      <w:pPr>
        <w:jc w:val="both"/>
        <w:rPr>
          <w:rFonts w:eastAsia="Times New Roman"/>
          <w:noProof/>
        </w:rPr>
      </w:pPr>
      <w:r>
        <w:rPr>
          <w:noProof/>
        </w:rPr>
        <w:t xml:space="preserve">Pandemija bolesti COVID-19 povećala je važnost pristupa sigurnim i pouzdanim digitalnim infrastrukturama i tehnologijama koje se temelje na odgovarajućim propisima. Budući da se očekuje da će se globalni internetski promet do 2030. povećati za više od šest puta, širokopojasna povezivost postat će nužna za prelazak na podatkovno gospodarstvo i društvo. </w:t>
      </w:r>
    </w:p>
    <w:p w:rsidR="00326377" w:rsidRPr="00071DCC" w:rsidRDefault="00326377" w:rsidP="00326377">
      <w:pPr>
        <w:jc w:val="both"/>
        <w:rPr>
          <w:rFonts w:eastAsia="Times New Roman"/>
          <w:noProof/>
        </w:rPr>
      </w:pPr>
    </w:p>
    <w:p w:rsidR="00326377" w:rsidRPr="009838B7" w:rsidRDefault="00326377" w:rsidP="00326377">
      <w:pPr>
        <w:jc w:val="both"/>
        <w:rPr>
          <w:rFonts w:eastAsia="Times New Roman"/>
          <w:noProof/>
        </w:rPr>
      </w:pPr>
      <w:r>
        <w:rPr>
          <w:b/>
          <w:noProof/>
        </w:rPr>
        <w:t>EU će surađivati s partnerskim zemljama radi uvođenja digitalnih mreža i infrastruktura</w:t>
      </w:r>
      <w:r>
        <w:rPr>
          <w:noProof/>
        </w:rPr>
        <w:t xml:space="preserve"> kao što su podmorski i zemaljski kabeli od optičkih vlakana, svemirski sustavi za sigurnu komunikaciju te infrastruktura u oblaku i podatkovna infrastruktura, što zajedno pruža temelj za razmjene podataka, suradnju u računalstvu visokih performansi, umjetnu inteligenciju i promatranje Zemlje. Prednost ćemo dati regijama, zemljama i stanovništvu kojima se usluge ne pružaju u dovoljnoj mjeri radi smanjenja globalnog digitalnog jaza i jačanja sigurnih i pouzdanih digitalnih veza među njima, kao i s Europom te ostatkom svijeta. EU će smanjiti ekološki otisak digitalne infrastrukture promicanjem zelenih podatkovnih centara i uvođenjem podvodnih kabela sa senzorima za praćenje oceana.</w:t>
      </w:r>
    </w:p>
    <w:p w:rsidR="00326377" w:rsidRPr="00071DCC" w:rsidRDefault="00326377" w:rsidP="00326377">
      <w:pPr>
        <w:jc w:val="both"/>
        <w:rPr>
          <w:rFonts w:eastAsia="Times New Roman"/>
          <w:noProof/>
        </w:rPr>
      </w:pPr>
    </w:p>
    <w:p w:rsidR="00326377" w:rsidRPr="009838B7" w:rsidRDefault="00326377" w:rsidP="00326377">
      <w:pPr>
        <w:jc w:val="both"/>
        <w:rPr>
          <w:rFonts w:eastAsia="Times New Roman"/>
          <w:noProof/>
        </w:rPr>
      </w:pPr>
      <w:r>
        <w:rPr>
          <w:noProof/>
        </w:rPr>
        <w:t xml:space="preserve">Ulaganja u digitalnu infrastrukturu usmjeravat će se paketom instrumenata EU-a za kibersigurnost 5G mreža. Ona će se povezati i sa </w:t>
      </w:r>
      <w:r>
        <w:rPr>
          <w:b/>
          <w:noProof/>
        </w:rPr>
        <w:t>standardima i protokolima koji podupiru sigurnost i otpornost mreža, interoperabilnost te otvoren, pluralistički i siguran internet</w:t>
      </w:r>
      <w:r>
        <w:rPr>
          <w:noProof/>
        </w:rPr>
        <w:t xml:space="preserve">. EU će promicati i pristup otvorenom internetu jer on ima ulogu glavnog pokretača inovacija te sociopolitičkog, gospodarskog i kulturnog razvoja. </w:t>
      </w:r>
    </w:p>
    <w:p w:rsidR="00326377" w:rsidRPr="00071DCC" w:rsidRDefault="00326377" w:rsidP="00326377">
      <w:pPr>
        <w:jc w:val="both"/>
        <w:rPr>
          <w:rFonts w:eastAsia="Times New Roman"/>
          <w:noProof/>
        </w:rPr>
      </w:pPr>
    </w:p>
    <w:p w:rsidR="00326377" w:rsidRDefault="00326377" w:rsidP="00326377">
      <w:pPr>
        <w:jc w:val="both"/>
        <w:rPr>
          <w:rFonts w:eastAsia="Times New Roman"/>
          <w:noProof/>
        </w:rPr>
      </w:pPr>
      <w:r>
        <w:rPr>
          <w:noProof/>
        </w:rPr>
        <w:t>EU će ponuditi pakete za digitalno gospodarstvo</w:t>
      </w:r>
      <w:r w:rsidR="003772D6">
        <w:rPr>
          <w:rStyle w:val="FootnoteReference"/>
          <w:rFonts w:eastAsia="Times New Roman"/>
          <w:noProof/>
          <w:lang w:val="en-GB"/>
        </w:rPr>
        <w:footnoteReference w:id="9"/>
      </w:r>
      <w:r>
        <w:rPr>
          <w:noProof/>
        </w:rPr>
        <w:t xml:space="preserve"> u kojima se ulaganja u infrastrukturu kombiniraju s pomoći na razini zemlje za osiguravanje zaštite osobnih podataka, kibersigurnosti i prava na privatnost, pouzdane umjetne inteligencije te pravednih i otvorenih digitalnih tržišta. Na primjer, EU će se nadovezati na globalna kretanja prema konvergenciji s Općom uredbom o zaštiti podataka kako bi potaknuo druge zemlje na promicanje sigurnog prijenosa podataka. Global Gateway promicat će EU-ov regulatorni model otvorenih i konkurentnih tržišta za komunikacijske mreže i usluge.</w:t>
      </w:r>
    </w:p>
    <w:p w:rsidR="006C07E5" w:rsidRPr="009838B7" w:rsidRDefault="006C07E5" w:rsidP="00326377">
      <w:pPr>
        <w:jc w:val="both"/>
        <w:rPr>
          <w:rFonts w:eastAsia="Times New Roman"/>
          <w:noProof/>
          <w:color w:val="000000" w:themeColor="text1"/>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E12CCC"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E12CCC" w:rsidRDefault="006C07E5" w:rsidP="006C07E5">
            <w:pPr>
              <w:spacing w:after="120"/>
              <w:jc w:val="center"/>
              <w:rPr>
                <w:b/>
                <w:noProof/>
                <w:color w:val="1F4E79" w:themeColor="accent1" w:themeShade="80"/>
              </w:rPr>
            </w:pPr>
            <w:r>
              <w:rPr>
                <w:b/>
                <w:noProof/>
                <w:color w:val="1F4E79" w:themeColor="accent1" w:themeShade="80"/>
              </w:rPr>
              <w:t>Global Gateway na terenu</w:t>
            </w:r>
          </w:p>
          <w:p w:rsidR="00B26B34" w:rsidRPr="00E12CCC" w:rsidRDefault="00B26B34" w:rsidP="00163179">
            <w:pPr>
              <w:spacing w:after="120"/>
              <w:jc w:val="both"/>
              <w:rPr>
                <w:noProof/>
              </w:rPr>
            </w:pPr>
            <w:r>
              <w:rPr>
                <w:noProof/>
              </w:rPr>
              <w:t xml:space="preserve">Podmorskim vodom između EU-a i Latinske Amerike te kopnenom okosnicom između južnoameričkih zemalja, što ukupno čini 35 000 km mreže optičkih vlakana za brzu vezu, </w:t>
            </w:r>
            <w:r>
              <w:rPr>
                <w:b/>
                <w:noProof/>
              </w:rPr>
              <w:t>Program BELLA</w:t>
            </w:r>
            <w:r>
              <w:rPr>
                <w:noProof/>
              </w:rPr>
              <w:t xml:space="preserve"> omogućuje digitalnu autocestu za poticanje suradnje u području ulaganja i istraživanja. Ukupno financiranje bespovratnim sredstvima iznosi približno 53 milijuna EUR, uključujući 26,5 milijuna EUR koje je osigurao EU. EU će strategijom Global Gateway proširiti program BELLA na preostali dio kontinenta Latinske Amerike, uz dodatnih 15 milijuna EUR namijenjenih privlačenju financijskih sredstava iz partnerskih zemalja. BELLA će osigurati da se potrebna povezivost uspostavi za razdoblje od sljedećih 25 godina kako bi se ispunile sve veće potrebe istraživanja i obrazovanja u okviru biregionalne suradnje. Uključivat će pružanje brzog i pouzdanog pristupa planiranom regionalnom centru EU-a za usluge upravljanja kriznim situacijama programa Copernicus u Panami, čime se omogućuje sanacija problema povezanih s klimatskim nepogodama. Na temelju uspjeha programa BELLA EU se zalaže za jače partnerstvo s regijom putem </w:t>
            </w:r>
            <w:r>
              <w:rPr>
                <w:b/>
                <w:bCs/>
                <w:noProof/>
              </w:rPr>
              <w:t>digitalnog saveza EU-a i Latinske Amerike i Kariba</w:t>
            </w:r>
            <w:r>
              <w:rPr>
                <w:noProof/>
              </w:rPr>
              <w:t xml:space="preserve"> te promicanje regulatorne konvergencije i međunarodne suradnje u području zaštite podataka.</w:t>
            </w:r>
          </w:p>
        </w:tc>
      </w:tr>
    </w:tbl>
    <w:p w:rsidR="00221889" w:rsidRPr="00E12CCC" w:rsidRDefault="00221889" w:rsidP="00221889">
      <w:pPr>
        <w:jc w:val="both"/>
        <w:rPr>
          <w:rFonts w:eastAsia="Times New Roman"/>
          <w:noProof/>
          <w:color w:val="000000" w:themeColor="text1"/>
          <w:u w:val="single"/>
        </w:rPr>
      </w:pPr>
    </w:p>
    <w:p w:rsidR="00221889" w:rsidRPr="00E12CCC"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Klima i energija</w:t>
      </w:r>
    </w:p>
    <w:p w:rsidR="00F43803" w:rsidRDefault="00F42C99" w:rsidP="00F42C99">
      <w:pPr>
        <w:jc w:val="both"/>
        <w:rPr>
          <w:rFonts w:eastAsia="Times New Roman"/>
          <w:noProof/>
          <w:color w:val="000000" w:themeColor="text1"/>
        </w:rPr>
      </w:pPr>
      <w:r>
        <w:rPr>
          <w:bCs/>
          <w:noProof/>
          <w:color w:val="000000" w:themeColor="text1"/>
        </w:rPr>
        <w:t xml:space="preserve">Cjenovno pristupačan i pouzdan pristup energiji i sirovinama </w:t>
      </w:r>
      <w:r>
        <w:rPr>
          <w:noProof/>
          <w:color w:val="000000" w:themeColor="text1"/>
        </w:rPr>
        <w:t xml:space="preserve">preduvjet je za funkcioniranje gospodarstava i konkurentnost industrija. Iz energetskog sektora ujedno potječe više od </w:t>
      </w:r>
      <w:r>
        <w:rPr>
          <w:bCs/>
          <w:noProof/>
          <w:color w:val="000000" w:themeColor="text1"/>
        </w:rPr>
        <w:t xml:space="preserve">70 % globalnih emisija stakleničkih plinova </w:t>
      </w:r>
      <w:r>
        <w:rPr>
          <w:noProof/>
          <w:color w:val="000000" w:themeColor="text1"/>
        </w:rPr>
        <w:t xml:space="preserve">i njegov prelazak na čišću energiju imat će glavnu ulogu u sprečavanju destruktivnih učinaka klimatskih promjena. </w:t>
      </w:r>
      <w:r>
        <w:rPr>
          <w:b/>
          <w:noProof/>
          <w:color w:val="000000" w:themeColor="text1"/>
        </w:rPr>
        <w:t>EU se obvezao da će postati prvi klimatski neutralan kontinent do 2050.</w:t>
      </w:r>
      <w:r>
        <w:rPr>
          <w:noProof/>
          <w:color w:val="000000" w:themeColor="text1"/>
        </w:rPr>
        <w:t xml:space="preserve"> Na nedavnoj konferenciji COP26, u okviru klimatskog pakta iz Glasgowa, svijet se kolektivno obvezao na postizanje nulte neto stope globalnih emisija ugljičnog dioksida sredinom stoljeća.</w:t>
      </w:r>
    </w:p>
    <w:p w:rsidR="00F43803" w:rsidRPr="00071DCC" w:rsidRDefault="00F43803" w:rsidP="00F42C99">
      <w:pPr>
        <w:jc w:val="both"/>
        <w:rPr>
          <w:rFonts w:eastAsia="Times New Roman"/>
          <w:noProof/>
          <w:color w:val="000000" w:themeColor="text1"/>
        </w:rPr>
      </w:pPr>
    </w:p>
    <w:p w:rsidR="00F42C99" w:rsidRPr="009F3620" w:rsidRDefault="00F43803" w:rsidP="00F42C99">
      <w:pPr>
        <w:jc w:val="both"/>
        <w:rPr>
          <w:rFonts w:eastAsia="Times New Roman"/>
          <w:noProof/>
          <w:color w:val="000000" w:themeColor="text1"/>
        </w:rPr>
      </w:pPr>
      <w:r>
        <w:rPr>
          <w:noProof/>
          <w:color w:val="000000" w:themeColor="text1"/>
        </w:rPr>
        <w:t xml:space="preserve">Klimatske promjene i gubitak bioraznolikosti nerazmjerno utječu na najsiromašnije i najosjetljivije osobe, osobito u zemljama s niskim i srednjim dohotkom. Ulaganje u </w:t>
      </w:r>
      <w:r>
        <w:rPr>
          <w:b/>
          <w:noProof/>
          <w:color w:val="000000" w:themeColor="text1"/>
        </w:rPr>
        <w:t>ublažavanje klimatskih promjena i otpornost na njih</w:t>
      </w:r>
      <w:r>
        <w:rPr>
          <w:noProof/>
          <w:color w:val="000000" w:themeColor="text1"/>
        </w:rPr>
        <w:t xml:space="preserve"> u tim zemljama nije samo nužno za sigurnost opskrbe hranom, zdravstvenu i ljudsku sigurnost te zaštitu od učinaka klimatskih promjena, već predstavlja i veliku gospodarsku priliku. Kako bi se osiguralo da ta ulaganja stvarno dovedu do promjena, infrastruktura se mora oblikovati tako da odgovori na trenutačne rizike i buduće prijetnje te se mora izgraditi u skladu sa standardima koji će poticati niske ili nulte emisije i podnijeti njihov učinak. </w:t>
      </w:r>
    </w:p>
    <w:p w:rsidR="00F42C99" w:rsidRPr="00071DCC" w:rsidRDefault="00F42C99" w:rsidP="00F42C99">
      <w:pPr>
        <w:jc w:val="both"/>
        <w:rPr>
          <w:rFonts w:eastAsia="Times New Roman"/>
          <w:noProof/>
          <w:color w:val="000000" w:themeColor="text1"/>
        </w:rPr>
      </w:pPr>
    </w:p>
    <w:p w:rsidR="00F43803" w:rsidRDefault="00F43803" w:rsidP="00F42C99">
      <w:pPr>
        <w:jc w:val="both"/>
        <w:rPr>
          <w:rFonts w:eastAsia="Times New Roman"/>
          <w:noProof/>
          <w:color w:val="000000" w:themeColor="text1"/>
        </w:rPr>
      </w:pPr>
      <w:r>
        <w:rPr>
          <w:b/>
          <w:noProof/>
          <w:color w:val="000000" w:themeColor="text1"/>
        </w:rPr>
        <w:t xml:space="preserve">Ta ulaganja u infrastrukturu i prateći propisi utrt će put za </w:t>
      </w:r>
      <w:r>
        <w:rPr>
          <w:b/>
          <w:bCs/>
          <w:noProof/>
          <w:color w:val="000000" w:themeColor="text1"/>
        </w:rPr>
        <w:t>prelazak</w:t>
      </w:r>
      <w:r>
        <w:rPr>
          <w:b/>
          <w:noProof/>
          <w:color w:val="000000" w:themeColor="text1"/>
        </w:rPr>
        <w:t xml:space="preserve"> na čistu energiju</w:t>
      </w:r>
      <w:r>
        <w:rPr>
          <w:bCs/>
          <w:noProof/>
          <w:color w:val="000000" w:themeColor="text1"/>
        </w:rPr>
        <w:t>. Zajedno pružaju</w:t>
      </w:r>
      <w:r>
        <w:rPr>
          <w:noProof/>
          <w:color w:val="000000" w:themeColor="text1"/>
        </w:rPr>
        <w:t xml:space="preserve"> jedinstvenu </w:t>
      </w:r>
      <w:r>
        <w:rPr>
          <w:bCs/>
          <w:noProof/>
          <w:color w:val="000000" w:themeColor="text1"/>
        </w:rPr>
        <w:t xml:space="preserve">priliku </w:t>
      </w:r>
      <w:r>
        <w:rPr>
          <w:noProof/>
          <w:color w:val="000000" w:themeColor="text1"/>
        </w:rPr>
        <w:t>za preobrazbu gospodarstava, otvaranje novih radnih mjesta i jačanje energetske sigurnosti.</w:t>
      </w:r>
      <w:r>
        <w:rPr>
          <w:noProof/>
        </w:rPr>
        <w:t xml:space="preserve"> </w:t>
      </w:r>
      <w:r>
        <w:rPr>
          <w:noProof/>
          <w:color w:val="000000" w:themeColor="text1"/>
        </w:rPr>
        <w:t xml:space="preserve">Surađivat ćemo s partnerskim zemljama kako bismo omogućili njihovu </w:t>
      </w:r>
      <w:r>
        <w:rPr>
          <w:bCs/>
          <w:noProof/>
          <w:color w:val="000000" w:themeColor="text1"/>
        </w:rPr>
        <w:t xml:space="preserve">pravednu energetsku tranziciju </w:t>
      </w:r>
      <w:r>
        <w:rPr>
          <w:noProof/>
          <w:color w:val="000000" w:themeColor="text1"/>
        </w:rPr>
        <w:t xml:space="preserve">i </w:t>
      </w:r>
      <w:r>
        <w:rPr>
          <w:bCs/>
          <w:noProof/>
          <w:color w:val="000000" w:themeColor="text1"/>
        </w:rPr>
        <w:t>istodobno diversificirali našu opskrbu čistom energijom</w:t>
      </w:r>
      <w:r>
        <w:rPr>
          <w:noProof/>
          <w:color w:val="000000" w:themeColor="text1"/>
        </w:rPr>
        <w:t xml:space="preserve">. Podupirat ćemo </w:t>
      </w:r>
      <w:r>
        <w:rPr>
          <w:bCs/>
          <w:noProof/>
          <w:color w:val="000000" w:themeColor="text1"/>
        </w:rPr>
        <w:t>regionalnu energetsku integraciju</w:t>
      </w:r>
      <w:r>
        <w:rPr>
          <w:noProof/>
          <w:color w:val="000000" w:themeColor="text1"/>
        </w:rPr>
        <w:t xml:space="preserve"> na temelju energetske povezanosti i zajedničkih projekata kao što su odobalne vjetroelektrane u priobalnim regijama te promicati </w:t>
      </w:r>
      <w:r>
        <w:rPr>
          <w:bCs/>
          <w:noProof/>
          <w:color w:val="000000" w:themeColor="text1"/>
        </w:rPr>
        <w:t>energetsku učinkovitost</w:t>
      </w:r>
      <w:r>
        <w:rPr>
          <w:noProof/>
          <w:color w:val="000000" w:themeColor="text1"/>
        </w:rPr>
        <w:t xml:space="preserve">, </w:t>
      </w:r>
      <w:r>
        <w:rPr>
          <w:bCs/>
          <w:noProof/>
          <w:color w:val="000000" w:themeColor="text1"/>
        </w:rPr>
        <w:t xml:space="preserve">energiju iz obnovljivih izvora </w:t>
      </w:r>
      <w:r>
        <w:rPr>
          <w:noProof/>
          <w:color w:val="000000" w:themeColor="text1"/>
        </w:rPr>
        <w:t xml:space="preserve">(uključujući pametne električne mreže) i </w:t>
      </w:r>
      <w:r>
        <w:rPr>
          <w:bCs/>
          <w:noProof/>
          <w:color w:val="000000" w:themeColor="text1"/>
        </w:rPr>
        <w:t>pravednu tranziciju</w:t>
      </w:r>
      <w:r>
        <w:rPr>
          <w:noProof/>
          <w:color w:val="000000" w:themeColor="text1"/>
        </w:rPr>
        <w:t xml:space="preserve">. </w:t>
      </w:r>
    </w:p>
    <w:p w:rsidR="00F43803" w:rsidRPr="00071DCC" w:rsidRDefault="00F43803" w:rsidP="00F42C99">
      <w:pPr>
        <w:jc w:val="both"/>
        <w:rPr>
          <w:rFonts w:eastAsia="Times New Roman"/>
          <w:noProof/>
          <w:color w:val="000000" w:themeColor="text1"/>
        </w:rPr>
      </w:pPr>
    </w:p>
    <w:p w:rsidR="003123C3" w:rsidRDefault="00F42C99" w:rsidP="003123C3">
      <w:pPr>
        <w:jc w:val="both"/>
        <w:rPr>
          <w:rFonts w:eastAsia="Times New Roman"/>
          <w:noProof/>
          <w:color w:val="000000" w:themeColor="text1"/>
        </w:rPr>
      </w:pPr>
      <w:r>
        <w:rPr>
          <w:noProof/>
          <w:color w:val="000000" w:themeColor="text1"/>
        </w:rPr>
        <w:t xml:space="preserve">Surađivat ćemo s partnerskim zemljama koje imaju potencijal za razvoj proizvodnje vodika iz obnovljivih izvora i promicati uspostavu konkurentnih </w:t>
      </w:r>
      <w:r>
        <w:rPr>
          <w:bCs/>
          <w:noProof/>
          <w:color w:val="000000" w:themeColor="text1"/>
        </w:rPr>
        <w:t xml:space="preserve">tržišta </w:t>
      </w:r>
      <w:r>
        <w:rPr>
          <w:noProof/>
          <w:color w:val="000000" w:themeColor="text1"/>
        </w:rPr>
        <w:t xml:space="preserve">kako bismo omogućili da se tim vodikom koji se proizvodi izvan EU-a trguje na međunarodnoj razini bez ograničenja izvoza ili narušavanja cijena. Surađivat ćemo s partnerskim zemljama i kako bismo </w:t>
      </w:r>
      <w:r>
        <w:rPr>
          <w:noProof/>
        </w:rPr>
        <w:t>uložili u infrastrukturu za razvoj održivih i otpornih lanaca vrijednosti za sirovine</w:t>
      </w:r>
      <w:r>
        <w:rPr>
          <w:noProof/>
          <w:color w:val="000000" w:themeColor="text1"/>
        </w:rPr>
        <w:t xml:space="preserve">. </w:t>
      </w:r>
    </w:p>
    <w:p w:rsidR="00777AC4" w:rsidRPr="00071DCC"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6C07E5" w:rsidRDefault="006C07E5" w:rsidP="006C07E5">
            <w:pPr>
              <w:spacing w:after="120"/>
              <w:jc w:val="center"/>
              <w:rPr>
                <w:b/>
                <w:noProof/>
                <w:color w:val="1F4E79" w:themeColor="accent1" w:themeShade="80"/>
              </w:rPr>
            </w:pPr>
            <w:r>
              <w:rPr>
                <w:b/>
                <w:noProof/>
                <w:color w:val="1F4E79" w:themeColor="accent1" w:themeShade="80"/>
              </w:rPr>
              <w:t>Global Gateway na terenu</w:t>
            </w:r>
          </w:p>
          <w:p w:rsidR="00777AC4" w:rsidRPr="00FF1D26" w:rsidRDefault="008178F4" w:rsidP="000C31E3">
            <w:pPr>
              <w:spacing w:after="120"/>
              <w:jc w:val="both"/>
              <w:rPr>
                <w:rFonts w:eastAsia="Times New Roman"/>
                <w:noProof/>
                <w:highlight w:val="cyan"/>
                <w:bdr w:val="none" w:sz="0" w:space="0" w:color="auto" w:frame="1"/>
              </w:rPr>
            </w:pPr>
            <w:r>
              <w:rPr>
                <w:noProof/>
              </w:rPr>
              <w:t xml:space="preserve">EU će mobilizirati 2,4 milijarde EUR bespovratnih sredstava za supsaharsku Afriku i 1,08 milijardi EUR za Sjevernu Afriku kako bi podupro energiju iz obnovljivih izvora, energetsku učinkovitost, pravednu tranziciju i ozelenjivanje lokalnih lanaca vrijednosti te će udružiti snage s inicijativama kao što je </w:t>
            </w:r>
            <w:r>
              <w:rPr>
                <w:b/>
                <w:noProof/>
              </w:rPr>
              <w:t>Power Africa</w:t>
            </w:r>
            <w:r>
              <w:rPr>
                <w:noProof/>
              </w:rPr>
              <w:t xml:space="preserve">. Pomoći će razviti sektor vodika iz obnovljivih izvora stvaranjem poslovnih prilika na strani ponude i potražnje za energetski intenzivne industrije. Pokretanje </w:t>
            </w:r>
            <w:r>
              <w:rPr>
                <w:b/>
                <w:bCs/>
                <w:noProof/>
              </w:rPr>
              <w:t>Inicijative Afrike i EU-a za zelenu energiju</w:t>
            </w:r>
            <w:r>
              <w:rPr>
                <w:noProof/>
              </w:rPr>
              <w:t xml:space="preserve"> pridonijet će razvoju i integraciji regionalnih energetskih tržišta i provedbi snažnog jedinstvenog kontinentalnog tržišta električne energije Afrike.</w:t>
            </w:r>
          </w:p>
        </w:tc>
      </w:tr>
    </w:tbl>
    <w:p w:rsidR="00777AC4" w:rsidRPr="00071DCC" w:rsidRDefault="00777AC4" w:rsidP="00777AC4">
      <w:pPr>
        <w:spacing w:after="120"/>
        <w:ind w:left="714"/>
        <w:outlineLvl w:val="2"/>
        <w:rPr>
          <w:noProof/>
        </w:rPr>
      </w:pPr>
    </w:p>
    <w:p w:rsidR="00F43803" w:rsidRPr="009838B7" w:rsidRDefault="00F43803" w:rsidP="00F43803">
      <w:pPr>
        <w:pStyle w:val="Body"/>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2.3. Promet</w:t>
      </w:r>
    </w:p>
    <w:p w:rsidR="00F43803" w:rsidRPr="009F3620" w:rsidRDefault="00F43803" w:rsidP="00F43803">
      <w:pPr>
        <w:jc w:val="both"/>
        <w:rPr>
          <w:rFonts w:eastAsia="Times New Roman"/>
          <w:noProof/>
          <w:color w:val="000000" w:themeColor="text1"/>
        </w:rPr>
      </w:pPr>
      <w:r>
        <w:rPr>
          <w:noProof/>
          <w:color w:val="000000" w:themeColor="text1"/>
        </w:rPr>
        <w:t xml:space="preserve">Prometne mreže </w:t>
      </w:r>
      <w:r>
        <w:rPr>
          <w:bCs/>
          <w:noProof/>
          <w:color w:val="000000" w:themeColor="text1"/>
        </w:rPr>
        <w:t>ključni su pokretači uspješnih gospodarstava i društava</w:t>
      </w:r>
      <w:r>
        <w:rPr>
          <w:noProof/>
          <w:color w:val="000000" w:themeColor="text1"/>
        </w:rPr>
        <w:t xml:space="preserve">. Povezuju nas s partnerima i omogućuju međunarodnu trgovinu. Isto tako, prijevoz je glavni sektor u borbi protiv klimatskih promjena te razvoju i uvođenju digitalnih tehnologija. </w:t>
      </w:r>
    </w:p>
    <w:p w:rsidR="00F43803" w:rsidRPr="00071DCC"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Global Gateway promicat će ulaganja u globalnu infrastrukturu kojom se stvaraju </w:t>
      </w:r>
      <w:r>
        <w:rPr>
          <w:b/>
          <w:bCs/>
          <w:noProof/>
          <w:color w:val="000000" w:themeColor="text1"/>
        </w:rPr>
        <w:t>održive, pametne, otporne, uključive i sigurne prometne mreže za sve vrste prijevoza</w:t>
      </w:r>
      <w:r>
        <w:rPr>
          <w:noProof/>
          <w:color w:val="000000" w:themeColor="text1"/>
        </w:rPr>
        <w:t xml:space="preserve">, uključujući željeznicu, ceste, luke, zračne luke, logistiku i granične prijelaze, te će povezati te načine u </w:t>
      </w:r>
      <w:r>
        <w:rPr>
          <w:b/>
          <w:bCs/>
          <w:noProof/>
          <w:color w:val="000000" w:themeColor="text1"/>
        </w:rPr>
        <w:t xml:space="preserve">multimodalni sustav. </w:t>
      </w:r>
      <w:r>
        <w:rPr>
          <w:noProof/>
          <w:color w:val="000000" w:themeColor="text1"/>
        </w:rPr>
        <w:t>Provodit ćemo projekte prometne infrastrukture koji potiču održivi razvoj partnerskih zemalja i smanjuju emisije stakleničkih plinova, a istodobno omogućuju diversifikaciju njihovih lanaca opskrbe. Nastojat ćemo i unaprijediti naš položaj svjetskog prometnog čvorišta.</w:t>
      </w:r>
    </w:p>
    <w:p w:rsidR="00F43803" w:rsidRPr="00C27846" w:rsidRDefault="00F43803" w:rsidP="00F43803">
      <w:pPr>
        <w:jc w:val="both"/>
        <w:rPr>
          <w:noProof/>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FF1D26"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F43803" w:rsidRDefault="00F43803" w:rsidP="00583351">
            <w:pPr>
              <w:spacing w:after="120"/>
              <w:jc w:val="center"/>
              <w:rPr>
                <w:b/>
                <w:noProof/>
                <w:color w:val="1F4E79" w:themeColor="accent1" w:themeShade="80"/>
              </w:rPr>
            </w:pPr>
            <w:r>
              <w:rPr>
                <w:b/>
                <w:noProof/>
                <w:color w:val="1F4E79" w:themeColor="accent1" w:themeShade="80"/>
              </w:rPr>
              <w:t>Global Gateway na terenu</w:t>
            </w:r>
          </w:p>
          <w:p w:rsidR="00F43803" w:rsidRPr="00F15FA1" w:rsidRDefault="00BC5700" w:rsidP="00B46CE0">
            <w:pPr>
              <w:spacing w:after="120"/>
              <w:jc w:val="both"/>
              <w:rPr>
                <w:noProof/>
                <w:highlight w:val="cyan"/>
              </w:rPr>
            </w:pPr>
            <w:r>
              <w:rPr>
                <w:noProof/>
              </w:rPr>
              <w:t xml:space="preserve">EU će osigurati dodatnih 4,6 milijardi EUR za poboljšanje </w:t>
            </w:r>
            <w:r>
              <w:rPr>
                <w:b/>
                <w:noProof/>
              </w:rPr>
              <w:t>održivih prometnih veza</w:t>
            </w:r>
            <w:r>
              <w:rPr>
                <w:noProof/>
              </w:rPr>
              <w:t xml:space="preserve">, u skladu sa zelenom i digitalnom tranzicijom. Nakon što je uspješno proširio transeuropsku prometnu mrežu (TEN-T) EU-a na zapadni Balkan, Tursku i regiju Istočnog partnerstva EU će nastaviti raditi na dovršetku zajednički dogovorene prioritetne infrastrukture te će aktivno surađivati s partnerima na donošenju transmediteranske prometne mreže (TMN-T) u južnom susjedstvu. Promicat će jačanje veza sa susjednim strateškim koridorima u supsaharskoj Africi i središnjoj Aziji, unapređivati regulatorno okruženje i promicati standarde EU-a i međunarodne standarde. </w:t>
            </w:r>
          </w:p>
        </w:tc>
      </w:tr>
    </w:tbl>
    <w:p w:rsidR="00F43803" w:rsidRPr="00071DCC"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U okviru strategije Global Gateway poticat će se </w:t>
      </w:r>
      <w:r>
        <w:rPr>
          <w:bCs/>
          <w:noProof/>
          <w:color w:val="000000" w:themeColor="text1"/>
        </w:rPr>
        <w:t>konvergencija s europskim ili međunarodnim tehničkim, socijalnim i ekološkim standardima te standardima tržišnog natjecanja</w:t>
      </w:r>
      <w:r>
        <w:rPr>
          <w:noProof/>
          <w:color w:val="000000" w:themeColor="text1"/>
        </w:rPr>
        <w:t xml:space="preserve">, uzajamnost u pristupu tržištu i jednaki uvjeti u području planiranja i razvoja prometne infrastrukture. Nastojat će se poboljšati infrastruktura za napajanje i punjenje za vozila s nultim emisijama i poticati nabava goriva iz obnovljivih izvora i niskougljičnih goriva. Usto, nastojat će se ojačati zračne i pomorske veze s ključnim partnerima, a istodobno će se određivati novi standardi za poboljšanje ekološke i društvene održivosti, uspostavu poštenog tržišnog natjecanja i smanjenje emisija u tim sektorima. </w:t>
      </w:r>
    </w:p>
    <w:p w:rsidR="00F43803" w:rsidRPr="00071DCC" w:rsidRDefault="00F43803" w:rsidP="00F43803">
      <w:pPr>
        <w:jc w:val="both"/>
        <w:rPr>
          <w:rFonts w:eastAsia="Times New Roman"/>
          <w:noProof/>
          <w:color w:val="000000" w:themeColor="text1"/>
        </w:rPr>
      </w:pPr>
    </w:p>
    <w:p w:rsidR="00326377" w:rsidRPr="009838B7" w:rsidRDefault="00F43803" w:rsidP="00326377">
      <w:pPr>
        <w:pStyle w:val="Body"/>
        <w:spacing w:after="120" w:line="240" w:lineRule="auto"/>
        <w:jc w:val="both"/>
        <w:outlineLvl w:val="1"/>
        <w:rPr>
          <w:b/>
          <w:bCs/>
          <w:i/>
          <w:noProof/>
          <w:color w:val="000000" w:themeColor="text1"/>
        </w:rPr>
      </w:pPr>
      <w:r>
        <w:rPr>
          <w:rFonts w:ascii="Times New Roman" w:hAnsi="Times New Roman"/>
          <w:b/>
          <w:bCs/>
          <w:i/>
          <w:noProof/>
          <w:sz w:val="24"/>
          <w:szCs w:val="24"/>
        </w:rPr>
        <w:t>2.4. Zdravlje</w:t>
      </w:r>
    </w:p>
    <w:p w:rsidR="00F42C99" w:rsidRPr="009F3620" w:rsidRDefault="00F42C99" w:rsidP="00F42C99">
      <w:pPr>
        <w:jc w:val="both"/>
        <w:rPr>
          <w:rFonts w:eastAsia="Times New Roman"/>
          <w:noProof/>
          <w:sz w:val="12"/>
          <w:szCs w:val="12"/>
        </w:rPr>
      </w:pPr>
      <w:r>
        <w:rPr>
          <w:noProof/>
        </w:rPr>
        <w:t xml:space="preserve">Pandemija je razotkrila slabosti zdravstvenih sustava i nestabilnost farmaceutskih lanaca opskrbe. Istaknula je i </w:t>
      </w:r>
      <w:r>
        <w:rPr>
          <w:noProof/>
          <w:color w:val="000000" w:themeColor="text1"/>
        </w:rPr>
        <w:t xml:space="preserve">velike razlike u </w:t>
      </w:r>
      <w:r>
        <w:rPr>
          <w:bCs/>
          <w:noProof/>
          <w:color w:val="000000" w:themeColor="text1"/>
        </w:rPr>
        <w:t>kapacitetima medicinske proizvodnje</w:t>
      </w:r>
      <w:r>
        <w:rPr>
          <w:noProof/>
          <w:color w:val="000000" w:themeColor="text1"/>
        </w:rPr>
        <w:t xml:space="preserve"> u različitim dijelovima svijeta. Na primjer, Afrika i dalje uvozi 99 % svojih cjepiva. </w:t>
      </w:r>
      <w:r>
        <w:rPr>
          <w:noProof/>
        </w:rPr>
        <w:t xml:space="preserve">Međutim, </w:t>
      </w:r>
      <w:r>
        <w:rPr>
          <w:b/>
          <w:noProof/>
        </w:rPr>
        <w:t>zdravstvena pitanja uvelike nadilaze okvir pandemije</w:t>
      </w:r>
      <w:r>
        <w:rPr>
          <w:noProof/>
        </w:rPr>
        <w:t>. Procjenjuje se da svake godine 8,6 milijuna ljudi u zemljama s niskim i srednjim dohotkom umre od stanja koja se mogu liječiti, uključujući bolesti koje se mogu spriječiti cijepljenjem, poremećaje u majki i ozljede u cestovnim nesrećama</w:t>
      </w:r>
      <w:r w:rsidRPr="009F3620">
        <w:rPr>
          <w:rFonts w:eastAsia="Times New Roman"/>
          <w:noProof/>
          <w:vertAlign w:val="superscript"/>
          <w:lang w:val="en-IE"/>
        </w:rPr>
        <w:footnoteReference w:id="10"/>
      </w:r>
      <w:r>
        <w:rPr>
          <w:noProof/>
        </w:rPr>
        <w:t xml:space="preserve">. </w:t>
      </w:r>
    </w:p>
    <w:p w:rsidR="00F42C99" w:rsidRPr="00071DCC" w:rsidRDefault="00F42C99" w:rsidP="00F42C99">
      <w:pPr>
        <w:jc w:val="both"/>
        <w:rPr>
          <w:rFonts w:eastAsia="Times New Roman"/>
          <w:noProof/>
        </w:rPr>
      </w:pPr>
    </w:p>
    <w:p w:rsidR="00F42C99" w:rsidRPr="009F3620" w:rsidRDefault="00F42C99" w:rsidP="00F42C99">
      <w:pPr>
        <w:jc w:val="both"/>
        <w:rPr>
          <w:rFonts w:eastAsia="Times New Roman"/>
          <w:noProof/>
        </w:rPr>
      </w:pPr>
      <w:r>
        <w:rPr>
          <w:noProof/>
        </w:rPr>
        <w:t>U okviru strategije Global Gateway prioritet će biti sigurnost lanaca opskrbe i razvoj lokalne proizvodnje. Kad je riječ o sigurnosti lanaca opskrbe, EU će surađivati s partnerskim zemljama kako bi diversificirale svoje farmaceutske lance opskrbe. Uklanjanju zastoja u međunarodnim lancima opskrbe pridonijet će i Tijelo EU-a za pripravnost i odgovor na zdravstvene krize (HERA).</w:t>
      </w:r>
    </w:p>
    <w:p w:rsidR="00F42C99" w:rsidRPr="00071DCC" w:rsidRDefault="00F42C99" w:rsidP="00F42C99">
      <w:pPr>
        <w:jc w:val="both"/>
        <w:rPr>
          <w:rFonts w:eastAsia="Times New Roman"/>
          <w:noProof/>
        </w:rPr>
      </w:pPr>
    </w:p>
    <w:p w:rsidR="00F43803" w:rsidRDefault="00F42C99" w:rsidP="00F42C99">
      <w:pPr>
        <w:jc w:val="both"/>
        <w:rPr>
          <w:rFonts w:eastAsia="Times New Roman"/>
          <w:noProof/>
        </w:rPr>
      </w:pPr>
      <w:r>
        <w:rPr>
          <w:noProof/>
        </w:rPr>
        <w:t xml:space="preserve">Kontinenti moraju moći proizvoditi svoja cjepiva. EU će nastojati spriječiti buduće zdravstvene krize jačanjem kapaciteta u cijelom svijetu. To uključuje izgradnju proizvodnih kapaciteta u trećim zemljama. </w:t>
      </w:r>
    </w:p>
    <w:p w:rsidR="00F43803" w:rsidRPr="00071DCC" w:rsidRDefault="00F43803" w:rsidP="00F42C99">
      <w:pPr>
        <w:jc w:val="both"/>
        <w:rPr>
          <w:rFonts w:eastAsia="Times New Roman"/>
          <w:noProof/>
        </w:rPr>
      </w:pPr>
    </w:p>
    <w:p w:rsidR="00F42C99" w:rsidRDefault="00F43803" w:rsidP="00F42C99">
      <w:pPr>
        <w:jc w:val="both"/>
        <w:rPr>
          <w:rFonts w:eastAsia="Times New Roman"/>
          <w:iCs/>
          <w:noProof/>
        </w:rPr>
      </w:pPr>
      <w:r>
        <w:rPr>
          <w:b/>
          <w:noProof/>
        </w:rPr>
        <w:t>HERA</w:t>
      </w:r>
      <w:r>
        <w:rPr>
          <w:noProof/>
        </w:rPr>
        <w:t xml:space="preserve"> će uspostaviti blisku suradnju s globalnim partnerima radi jačanja globalnog nadzora, olakšavanja međunarodne suradnje i potpore medicinskim protumjerama ako dođe do zdravstvene krize, podupiranja zemalja s niskim i srednjim dohotkom u izgradnji stručnog znanja i razvoju proizvodnih i distribucijskih kapaciteta te podupiranja pristupa medicinskim protumjerama koje financira EU.</w:t>
      </w:r>
    </w:p>
    <w:p w:rsidR="00F42C99" w:rsidRPr="00071DCC" w:rsidRDefault="00F42C99" w:rsidP="00F42C99">
      <w:pPr>
        <w:jc w:val="both"/>
        <w:rPr>
          <w:rFonts w:eastAsia="Times New Roman"/>
          <w:noProof/>
        </w:rPr>
      </w:pPr>
    </w:p>
    <w:p w:rsidR="00F43803" w:rsidRDefault="00F42C99" w:rsidP="00F42C99">
      <w:pPr>
        <w:jc w:val="both"/>
        <w:rPr>
          <w:rFonts w:eastAsia="Times New Roman"/>
          <w:iCs/>
          <w:noProof/>
        </w:rPr>
      </w:pPr>
      <w:r>
        <w:rPr>
          <w:noProof/>
        </w:rPr>
        <w:t xml:space="preserve">Global Gateway olakšavat će i ulaganje u održivu infrastrukturu i regulatorno okruženje za lokalnu proizvodnju lijekova i medicinskih tehnologija, što će pak pomoći u integraciji trenutačno fragmentiranih tržišta i promicanju istraživanja i prekograničnih inovacija u zdravstvenoj zaštiti; to će nam </w:t>
      </w:r>
      <w:r>
        <w:rPr>
          <w:b/>
          <w:noProof/>
        </w:rPr>
        <w:t>pomoći da porazimo bolesti kao što su COVID-19, malarija, žuta groznica, tuberkuloza i HIV/AIDS.</w:t>
      </w:r>
      <w:r>
        <w:rPr>
          <w:noProof/>
        </w:rPr>
        <w:t xml:space="preserve"> </w:t>
      </w:r>
    </w:p>
    <w:p w:rsidR="00F43803" w:rsidRPr="00071DCC"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B1334A" w:rsidRDefault="00C279F8" w:rsidP="00583351">
            <w:pPr>
              <w:jc w:val="both"/>
              <w:rPr>
                <w:rFonts w:eastAsia="Times New Roman"/>
                <w:iCs/>
                <w:noProof/>
              </w:rPr>
            </w:pPr>
            <w:r>
              <w:rPr>
                <w:b/>
                <w:bCs/>
                <w:iCs/>
                <w:noProof/>
              </w:rPr>
              <w:t xml:space="preserve">Europski centar za sprečavanje i kontrolu bolesti (ECDC) </w:t>
            </w:r>
            <w:r>
              <w:rPr>
                <w:noProof/>
              </w:rPr>
              <w:t>pridonijet će jačanju kapaciteta afričkih centara za kontrolu i prevenciju bolesti (Africa CDC) u smislu spremnosti i odgovora na prijetnje zdravlju. Ta suradnja temeljit će se na postojećim partnerstvima, a pridonijet će i olakšavanju usklađenog nadzora i prikupljanju zdravstvenih podataka na razini kontinenta o prioritetnim zaraznim bolestima koje često izbijaju te podupiranju provedbe razvojne strategije za radnu snagu u javnom zdravstvu Africa CDC-a.</w:t>
            </w:r>
          </w:p>
        </w:tc>
      </w:tr>
    </w:tbl>
    <w:p w:rsidR="00C279F8" w:rsidRPr="00071DCC" w:rsidRDefault="00C279F8" w:rsidP="00F42C99">
      <w:pPr>
        <w:jc w:val="both"/>
        <w:rPr>
          <w:rFonts w:eastAsia="Times New Roman"/>
          <w:iCs/>
          <w:noProof/>
        </w:rPr>
      </w:pPr>
    </w:p>
    <w:p w:rsidR="00221889" w:rsidRPr="009838B7"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Pr>
          <w:rFonts w:ascii="Times New Roman" w:hAnsi="Times New Roman"/>
          <w:b/>
          <w:bCs/>
          <w:i/>
          <w:noProof/>
          <w:sz w:val="24"/>
          <w:szCs w:val="24"/>
        </w:rPr>
        <w:t xml:space="preserve">2.5. Obrazovanje i istraživanje </w:t>
      </w:r>
    </w:p>
    <w:p w:rsidR="00221889" w:rsidRPr="009838B7" w:rsidRDefault="00221889" w:rsidP="00221889">
      <w:pPr>
        <w:jc w:val="both"/>
        <w:rPr>
          <w:rFonts w:eastAsia="Times New Roman"/>
          <w:noProof/>
        </w:rPr>
      </w:pPr>
      <w:r>
        <w:rPr>
          <w:noProof/>
        </w:rPr>
        <w:t>Obrazovanje je ključno za pravedna i uključiva društva i za njihov dugoročni gospodarski uspjeh. Pandemija bolesti COVID-19 otkrila je slabosti u obrazovnim sustavima u cijelom svijetu. Sredstva izdvojena za obrazovanje u zemljama u razvoju često nisu dovoljna dok se broj učenika povećava. Procjenjuje se da će se broj učenika u svijetu utrostručiti u sljedeća dva desetljeća.</w:t>
      </w:r>
    </w:p>
    <w:p w:rsidR="00221889" w:rsidRPr="00071DCC" w:rsidRDefault="00221889" w:rsidP="00221889">
      <w:pPr>
        <w:jc w:val="both"/>
        <w:rPr>
          <w:rFonts w:eastAsia="Times New Roman"/>
          <w:noProof/>
        </w:rPr>
      </w:pPr>
    </w:p>
    <w:p w:rsidR="00221889" w:rsidRPr="000C31E3" w:rsidRDefault="00221889" w:rsidP="00221889">
      <w:pPr>
        <w:spacing w:after="120"/>
        <w:jc w:val="both"/>
        <w:rPr>
          <w:rFonts w:eastAsia="Times New Roman"/>
          <w:noProof/>
        </w:rPr>
      </w:pPr>
      <w:r>
        <w:rPr>
          <w:noProof/>
        </w:rPr>
        <w:t xml:space="preserve">EU će ulagati u kvalitetno obrazovanje, uključujući digitalno obrazovanje, s perspektivom cjeloživotnog učenja, a posebnu će pažnju posvetiti uključivanju djevojčica, žena i drugih osjetljivih skupina, koje često rjeđe pohađaju školu. Pomoći ćemo partnerskim zemljama da preobraze svoje obrazovne sustave i uklone nedostatke u poučavanju, osposobljavanju i učenju na svim razinama. </w:t>
      </w:r>
    </w:p>
    <w:p w:rsidR="00777AC4" w:rsidRPr="006C07E5" w:rsidRDefault="00221889" w:rsidP="00700BFA">
      <w:pPr>
        <w:spacing w:after="240"/>
        <w:jc w:val="both"/>
        <w:rPr>
          <w:rFonts w:eastAsia="Times New Roman"/>
          <w:noProof/>
        </w:rPr>
      </w:pPr>
      <w:r>
        <w:rPr>
          <w:noProof/>
        </w:rPr>
        <w:t>Olakšat ćemo i mobilnost učenika i studenata, osoblja, nastavnog osoblja i pripravnika te ojačati mreže i uzajamno učenje među visokim učilištima. Prošireni program Erasmus+ otvara takve prilike za ljude iz cijelog svijeta.</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8769C"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08769C" w:rsidRDefault="00C279F8" w:rsidP="00316E2D">
            <w:pPr>
              <w:spacing w:before="160" w:after="120" w:line="256" w:lineRule="auto"/>
              <w:jc w:val="both"/>
              <w:rPr>
                <w:noProof/>
              </w:rPr>
            </w:pPr>
            <w:r>
              <w:rPr>
                <w:b/>
                <w:bCs/>
                <w:noProof/>
              </w:rPr>
              <w:t xml:space="preserve">Program Erasmus+ </w:t>
            </w:r>
            <w:r>
              <w:rPr>
                <w:noProof/>
              </w:rPr>
              <w:t xml:space="preserve">ima jaku međunarodnu dimenziju. Jača mobilnost i razmjene između europskog prostora obrazovanja i partnerskih zemalja razvojem uključivijih i održivijih obrazovnih sustava te povećanjem kapaciteta za upravljanje i rukovođenje na svim razinama obrazovnog sektora. Ukupni iznos dodijeljen za razdoblje 2014.–2020. iznosio je 1,8 milijardi EUR. Međunarodni dio programa Erasmus+ za razdoblje 2021.–2027. proširit će se dodatnim financiranjem od ukupno 2,2 milijarde EUR iz instrumenata EU-a za vanjsko financiranje kako bi se ojačala europska ponuda mobilnosti i suradnje u području obrazovanja, osposobljavanja, mladih i sporta u cijelom svijetu. </w:t>
            </w:r>
          </w:p>
        </w:tc>
      </w:tr>
    </w:tbl>
    <w:p w:rsidR="00C279F8" w:rsidRPr="00071DCC" w:rsidRDefault="00C279F8" w:rsidP="006B2419">
      <w:pPr>
        <w:spacing w:after="120"/>
        <w:jc w:val="both"/>
        <w:rPr>
          <w:rFonts w:eastAsia="Times New Roman"/>
          <w:noProof/>
        </w:rPr>
      </w:pPr>
    </w:p>
    <w:p w:rsidR="00D65E34" w:rsidRDefault="00897848" w:rsidP="006B2419">
      <w:pPr>
        <w:spacing w:after="120"/>
        <w:jc w:val="both"/>
        <w:rPr>
          <w:rFonts w:eastAsia="Times New Roman"/>
          <w:noProof/>
        </w:rPr>
      </w:pPr>
      <w:r>
        <w:rPr>
          <w:noProof/>
        </w:rPr>
        <w:t xml:space="preserve">EU će surađivati s partnerskim zemljama kako bi pojačao suradnju u području istraživanja i inovacija. </w:t>
      </w:r>
    </w:p>
    <w:p w:rsidR="00976C21" w:rsidRDefault="00D65E34" w:rsidP="006B2419">
      <w:pPr>
        <w:spacing w:after="120"/>
        <w:jc w:val="both"/>
        <w:rPr>
          <w:rFonts w:eastAsia="Calibri" w:cs="Calibri"/>
          <w:noProof/>
          <w:color w:val="000000" w:themeColor="text1"/>
        </w:rPr>
      </w:pPr>
      <w:r>
        <w:rPr>
          <w:noProof/>
        </w:rPr>
        <w:t xml:space="preserve">Obzor Europa, najveći svjetski javno financirani multilateralni program za istraživanja i inovacije, nudi istraživačima i inovatorima izvan Europe priliku da sudjeluju u aktivnostima zajedničkog istraživanja i inovacija, programima mobilnosti i multilateralnim partnerstvima za istraživanja i inovacije koje financira EU. Program Obzor Europa sad nudi mogućnost pridruživanja zemalja iz cijelog svijeta koje dijele temeljne vrijednosti i snažan profil u području znanosti, tehnologije i inovacija. </w:t>
      </w:r>
      <w:r>
        <w:rPr>
          <w:noProof/>
          <w:color w:val="000000" w:themeColor="text1"/>
        </w:rPr>
        <w:t>Komisija će ispitati i mogućnosti povezivanja poduzetničkih inkubatora i inovatora u cijelom svijetu.</w:t>
      </w:r>
    </w:p>
    <w:p w:rsidR="00221889" w:rsidRPr="00071DCC" w:rsidRDefault="00221889" w:rsidP="00221889">
      <w:pPr>
        <w:jc w:val="both"/>
        <w:rPr>
          <w:rFonts w:eastAsia="Times New Roman"/>
          <w:noProof/>
          <w:color w:val="000000" w:themeColor="text1"/>
          <w:highlight w:val="yellow"/>
        </w:rPr>
      </w:pPr>
    </w:p>
    <w:p w:rsidR="00221889" w:rsidRPr="009838B7" w:rsidRDefault="00221889" w:rsidP="00221889">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Model ulaganja i ostvarenja strategije Global Gateway</w:t>
      </w:r>
    </w:p>
    <w:p w:rsidR="00221889" w:rsidRPr="009838B7" w:rsidRDefault="009C6059" w:rsidP="00221889">
      <w:pPr>
        <w:jc w:val="both"/>
        <w:rPr>
          <w:rFonts w:eastAsia="Times New Roman"/>
          <w:noProof/>
        </w:rPr>
      </w:pPr>
      <w:r>
        <w:rPr>
          <w:noProof/>
        </w:rPr>
        <w:t xml:space="preserve">Kako bi se osigurao opseg potrebnog ulaganja, u okviru strategije Global Gateway mobilizirat će se veća količina i bolja ulaganja u međunarodnu infrastrukturu. To zahtijeva novi i inovativni pristup financiranju i </w:t>
      </w:r>
      <w:r>
        <w:rPr>
          <w:b/>
          <w:bCs/>
          <w:noProof/>
        </w:rPr>
        <w:t>unapređenje našeg postojećeg paketa instrumenata</w:t>
      </w:r>
      <w:r>
        <w:rPr>
          <w:noProof/>
        </w:rPr>
        <w:t xml:space="preserve">. Global Gateway oslonit će se na </w:t>
      </w:r>
      <w:r>
        <w:rPr>
          <w:b/>
          <w:bCs/>
          <w:noProof/>
        </w:rPr>
        <w:t xml:space="preserve">instrumente za smanjivanje rizika, </w:t>
      </w:r>
      <w:r>
        <w:rPr>
          <w:noProof/>
        </w:rPr>
        <w:t xml:space="preserve">kao što su jamstva i mješovito financiranje, kako bi se privukla kombinirana sredstva iz javnog i privatnog sektora. </w:t>
      </w:r>
      <w:r>
        <w:rPr>
          <w:b/>
          <w:bCs/>
          <w:noProof/>
        </w:rPr>
        <w:t>Financijski instrumenti kombinirat će se s operativnim instrumentima</w:t>
      </w:r>
      <w:r>
        <w:rPr>
          <w:noProof/>
        </w:rPr>
        <w:t xml:space="preserve">, kao što su tehnička pomoć, politički i gospodarski dijalog, sporazumi o trgovini i ulaganjima te </w:t>
      </w:r>
      <w:r>
        <w:rPr>
          <w:noProof/>
          <w:color w:val="000000" w:themeColor="text1"/>
        </w:rPr>
        <w:t>standardizacija, kako bi se pridonijelo stvaranju boljih uvjeta za kvalitetna ulaganja.</w:t>
      </w:r>
    </w:p>
    <w:p w:rsidR="00221889" w:rsidRPr="00071DCC" w:rsidRDefault="00221889" w:rsidP="00221889">
      <w:pPr>
        <w:jc w:val="both"/>
        <w:rPr>
          <w:rFonts w:eastAsia="Times New Roman"/>
          <w:noProof/>
        </w:rPr>
      </w:pPr>
    </w:p>
    <w:p w:rsidR="00221889" w:rsidRPr="009838B7" w:rsidRDefault="009C6059" w:rsidP="00221889">
      <w:pPr>
        <w:jc w:val="both"/>
        <w:rPr>
          <w:rFonts w:eastAsia="Times New Roman"/>
          <w:b/>
          <w:bCs/>
          <w:i/>
          <w:noProof/>
        </w:rPr>
      </w:pPr>
      <w:r>
        <w:rPr>
          <w:b/>
          <w:bCs/>
          <w:i/>
          <w:noProof/>
        </w:rPr>
        <w:t>3.1. Proširenje ulaganja</w:t>
      </w:r>
    </w:p>
    <w:p w:rsidR="009C6059" w:rsidRPr="009838B7" w:rsidRDefault="009C6059" w:rsidP="00221889">
      <w:pPr>
        <w:jc w:val="both"/>
        <w:rPr>
          <w:rFonts w:eastAsia="Times New Roman"/>
          <w:b/>
          <w:bCs/>
          <w:i/>
          <w:noProof/>
          <w:lang w:val="en-GB"/>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9838B7"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9838B7" w:rsidRDefault="009C6059" w:rsidP="00583351">
            <w:pPr>
              <w:spacing w:line="257" w:lineRule="auto"/>
              <w:jc w:val="center"/>
              <w:rPr>
                <w:rFonts w:eastAsia="Times New Roman"/>
                <w:b/>
                <w:bCs/>
                <w:iCs/>
                <w:noProof/>
                <w:color w:val="1F4E79" w:themeColor="accent1" w:themeShade="80"/>
              </w:rPr>
            </w:pPr>
            <w:r>
              <w:rPr>
                <w:b/>
                <w:bCs/>
                <w:iCs/>
                <w:noProof/>
                <w:color w:val="1F4E79" w:themeColor="accent1" w:themeShade="80"/>
              </w:rPr>
              <w:t>Global Gateway – financije</w:t>
            </w:r>
          </w:p>
          <w:p w:rsidR="009C6059" w:rsidRPr="009838B7" w:rsidRDefault="009C6059" w:rsidP="00583351">
            <w:pPr>
              <w:spacing w:line="257" w:lineRule="auto"/>
              <w:jc w:val="center"/>
              <w:rPr>
                <w:rFonts w:eastAsia="Times New Roman"/>
                <w:b/>
                <w:bCs/>
                <w:i/>
                <w:iCs/>
                <w:noProof/>
                <w:color w:val="000000" w:themeColor="text1"/>
                <w:lang w:val="en-GB"/>
              </w:rPr>
            </w:pPr>
          </w:p>
          <w:p w:rsidR="00095B4D" w:rsidRDefault="00095B4D" w:rsidP="00F36F0F">
            <w:pPr>
              <w:jc w:val="both"/>
              <w:rPr>
                <w:rFonts w:eastAsia="Times New Roman"/>
                <w:noProof/>
              </w:rPr>
            </w:pPr>
            <w:r>
              <w:rPr>
                <w:noProof/>
              </w:rPr>
              <w:t>Strategijom Global Gateway nastoje se mobilizirati ulaganja u razvoj infrastrukture u vrijednosti</w:t>
            </w:r>
            <w:r>
              <w:rPr>
                <w:b/>
                <w:bCs/>
                <w:noProof/>
              </w:rPr>
              <w:t xml:space="preserve"> do 300 milijardi EUR u razdoblju 2021.–2027.</w:t>
            </w:r>
            <w:r>
              <w:rPr>
                <w:noProof/>
              </w:rPr>
              <w:t xml:space="preserve"> </w:t>
            </w:r>
          </w:p>
          <w:p w:rsidR="00095B4D" w:rsidRPr="00095B4D" w:rsidRDefault="00095B4D" w:rsidP="00A70795">
            <w:pPr>
              <w:spacing w:before="120"/>
              <w:jc w:val="both"/>
              <w:rPr>
                <w:rFonts w:eastAsia="Times New Roman"/>
                <w:noProof/>
              </w:rPr>
            </w:pPr>
            <w:r>
              <w:rPr>
                <w:noProof/>
              </w:rPr>
              <w:t>Taj se iznos sastoji od:</w:t>
            </w:r>
          </w:p>
          <w:p w:rsidR="00095B4D" w:rsidRPr="002B4EA4" w:rsidRDefault="00095B4D" w:rsidP="00A70795">
            <w:pPr>
              <w:pStyle w:val="ListParagraph"/>
              <w:numPr>
                <w:ilvl w:val="0"/>
                <w:numId w:val="33"/>
              </w:numPr>
              <w:spacing w:before="120" w:after="120"/>
              <w:jc w:val="both"/>
              <w:rPr>
                <w:rFonts w:eastAsia="Times New Roman"/>
                <w:noProof/>
              </w:rPr>
            </w:pPr>
            <w:r>
              <w:rPr>
                <w:rFonts w:ascii="Times New Roman" w:hAnsi="Times New Roman"/>
                <w:noProof/>
                <w:color w:val="auto"/>
                <w:sz w:val="24"/>
                <w:szCs w:val="24"/>
              </w:rPr>
              <w:t>ulaganja u vrijednosti do 135 milijardi EUR koja omogućuje EFOR+, uključujući novu inicijativu s EIB-om, koja bi mogla privući 25 milijardi EUR dodatnih ulaganja</w:t>
            </w:r>
            <w:r w:rsidR="002B4EA4">
              <w:rPr>
                <w:rStyle w:val="FootnoteReference"/>
                <w:rFonts w:ascii="Times New Roman" w:eastAsia="Times New Roman" w:hAnsi="Times New Roman" w:cs="Times New Roman"/>
                <w:noProof/>
                <w:color w:val="auto"/>
                <w:sz w:val="24"/>
                <w:szCs w:val="24"/>
                <w:lang w:val="en-GB" w:eastAsia="en-US"/>
              </w:rPr>
              <w:footnoteReference w:id="11"/>
            </w:r>
            <w:r>
              <w:rPr>
                <w:rFonts w:ascii="Times New Roman" w:hAnsi="Times New Roman"/>
                <w:noProof/>
                <w:color w:val="auto"/>
                <w:sz w:val="24"/>
                <w:szCs w:val="24"/>
              </w:rPr>
              <w:t>,</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financiranja bespovratnim sredstvima vrijednosti do 18 milijardi EUR u okviru drugih programa vanjske pomoći EU-a, </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145 milijardi EUR predviđenih ulaganja iz europskih financijskih institucija i institucija za financiranje razvoja,</w:t>
            </w:r>
          </w:p>
          <w:p w:rsidR="00CC620F" w:rsidRPr="000C3853"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EU namjerava bolje koordinirati svoje države članice kako bi ojačao svoju stratešku ulogu u odborima multilateralnih razvojnih banaka i tako podupro projekte strategije Global Gateway.</w:t>
            </w:r>
          </w:p>
        </w:tc>
      </w:tr>
    </w:tbl>
    <w:p w:rsidR="00221889" w:rsidRPr="00071DCC" w:rsidRDefault="00221889" w:rsidP="00221889">
      <w:pPr>
        <w:jc w:val="both"/>
        <w:rPr>
          <w:rFonts w:eastAsia="Times New Roman"/>
          <w:b/>
          <w:bCs/>
          <w:noProof/>
        </w:rPr>
      </w:pPr>
    </w:p>
    <w:p w:rsidR="0048612B" w:rsidRPr="009F3620" w:rsidRDefault="00450E64" w:rsidP="0048612B">
      <w:pPr>
        <w:spacing w:line="259" w:lineRule="auto"/>
        <w:jc w:val="both"/>
        <w:rPr>
          <w:rFonts w:eastAsia="Times New Roman"/>
          <w:noProof/>
          <w:color w:val="000000" w:themeColor="text1"/>
        </w:rPr>
      </w:pPr>
      <w:r>
        <w:rPr>
          <w:noProof/>
        </w:rPr>
        <w:t xml:space="preserve">EU očekuje </w:t>
      </w:r>
      <w:r>
        <w:rPr>
          <w:b/>
          <w:bCs/>
          <w:noProof/>
        </w:rPr>
        <w:t>povećanje proračunske potrošnje</w:t>
      </w:r>
      <w:r>
        <w:rPr>
          <w:noProof/>
        </w:rPr>
        <w:t xml:space="preserve"> na infrastrukturu u trećim zemljama. Od 2014. do 2020. EU je uložio 14 % svojeg proračuna za vanjsko djelovanje (9,62 milijarde EUR) na projekte za povezivost.</w:t>
      </w:r>
      <w:r>
        <w:rPr>
          <w:noProof/>
          <w:color w:val="000000" w:themeColor="text1"/>
        </w:rPr>
        <w:t xml:space="preserve"> U proračunskom ciklusu 2021.–2027. taj će se iznos vjerojatno znatno povećati. Instrument za susjedstvo, razvoj i međunarodnu suradnju (NDICI) – Globalna Europa, kojim se financira suradnja s trećim zemljama, ima ukupni proračun od 79 milijardi EUR i cilj mu je potrošiti 35 % proračuna na djelovanje u području klime. Osim toga, približno 10 % sredstava tog instrumenta namijenit će se digitalnim mjerama. </w:t>
      </w:r>
    </w:p>
    <w:p w:rsidR="00221889" w:rsidRPr="00071DCC" w:rsidRDefault="00221889" w:rsidP="00221889">
      <w:pPr>
        <w:spacing w:line="259" w:lineRule="auto"/>
        <w:jc w:val="both"/>
        <w:rPr>
          <w:rFonts w:eastAsia="Times New Roman"/>
          <w:noProof/>
          <w:color w:val="000000" w:themeColor="text1"/>
        </w:rPr>
      </w:pPr>
    </w:p>
    <w:p w:rsidR="00E93B45" w:rsidRPr="00E93B45" w:rsidRDefault="00E93B45" w:rsidP="006B2419">
      <w:pPr>
        <w:spacing w:line="259" w:lineRule="auto"/>
        <w:jc w:val="both"/>
        <w:rPr>
          <w:rFonts w:eastAsia="Times New Roman"/>
          <w:noProof/>
          <w:color w:val="000000" w:themeColor="text1"/>
        </w:rPr>
      </w:pPr>
      <w:r>
        <w:rPr>
          <w:noProof/>
          <w:color w:val="000000" w:themeColor="text1"/>
        </w:rPr>
        <w:t xml:space="preserve">Služit ćemo se i </w:t>
      </w:r>
      <w:r>
        <w:rPr>
          <w:b/>
          <w:bCs/>
          <w:noProof/>
          <w:color w:val="000000" w:themeColor="text1"/>
        </w:rPr>
        <w:t>inovativnim financijskim instrumentima kako bismo privukli privatni kapital</w:t>
      </w:r>
      <w:r>
        <w:rPr>
          <w:noProof/>
          <w:color w:val="000000" w:themeColor="text1"/>
        </w:rPr>
        <w:t xml:space="preserve">. Instrumentom za susjedstvo, razvoj i međunarodnu suradnju uspostavlja se jamstveni kapacitet Unije vrijednosti do 53,4 milijarde EUR. EU može privući privatna ulaganja i svojim Instrumentom pretpristupne pomoći (IPA) III, programima Interreg i InvestEU te programom za istraživanja i inovacije Obzor Europa. </w:t>
      </w:r>
      <w:r>
        <w:rPr>
          <w:b/>
          <w:bCs/>
          <w:noProof/>
          <w:color w:val="000000" w:themeColor="text1"/>
        </w:rPr>
        <w:t>Europski fond za održivi razvoj plus (EFOR+)</w:t>
      </w:r>
      <w:r>
        <w:rPr>
          <w:noProof/>
          <w:color w:val="000000" w:themeColor="text1"/>
        </w:rPr>
        <w:t xml:space="preserve"> bit će naš glavni financijski instrument za mobiliziranje ulaganja u okviru strategije Global Gateway. Jamstva koja on daje koristit će se za aktivnosti smanjivanja rizika i privlačenje privatnog ulaganja, u suradnji s Europskom investicijskom bankom i drugim europskim financijskim institucijama, na primjer Europskom bankom za obnovu i razvoj.</w:t>
      </w:r>
    </w:p>
    <w:p w:rsidR="00221889" w:rsidRPr="00071DCC" w:rsidRDefault="00221889" w:rsidP="00221889">
      <w:pPr>
        <w:spacing w:line="259" w:lineRule="auto"/>
        <w:jc w:val="both"/>
        <w:rPr>
          <w:rFonts w:eastAsia="Times New Roman"/>
          <w:noProof/>
          <w:color w:val="000000" w:themeColor="text1"/>
        </w:rPr>
      </w:pPr>
    </w:p>
    <w:p w:rsidR="00221889" w:rsidRDefault="00E93B45" w:rsidP="00221889">
      <w:pPr>
        <w:spacing w:line="259" w:lineRule="auto"/>
        <w:jc w:val="both"/>
        <w:rPr>
          <w:rStyle w:val="normaltextrun"/>
          <w:noProof/>
        </w:rPr>
      </w:pPr>
      <w:r>
        <w:rPr>
          <w:rStyle w:val="normaltextrun"/>
          <w:noProof/>
          <w:color w:val="000000"/>
        </w:rPr>
        <w:t xml:space="preserve">U nastojanju da proširi svoj paket financijskih instrumenata, EU </w:t>
      </w:r>
      <w:r>
        <w:rPr>
          <w:rStyle w:val="normaltextrun"/>
          <w:noProof/>
        </w:rPr>
        <w:t xml:space="preserve">ispituje mogućnost uspostave </w:t>
      </w:r>
      <w:r>
        <w:rPr>
          <w:b/>
          <w:bCs/>
          <w:noProof/>
        </w:rPr>
        <w:t xml:space="preserve">europskog instrumenta za izvozne kredite </w:t>
      </w:r>
      <w:r>
        <w:rPr>
          <w:noProof/>
        </w:rPr>
        <w:t xml:space="preserve">kako bi dopunio postojeće mehanizme za izvozne kredite na razini država članica i povećao ukupnu snagu EU-a u tom području. </w:t>
      </w:r>
      <w:r>
        <w:rPr>
          <w:rStyle w:val="normaltextrun"/>
          <w:noProof/>
          <w:color w:val="000000"/>
        </w:rPr>
        <w:t>Instrument</w:t>
      </w:r>
      <w:r>
        <w:rPr>
          <w:rStyle w:val="normaltextrun"/>
          <w:noProof/>
        </w:rPr>
        <w:t xml:space="preserve"> bi pomogao</w:t>
      </w:r>
      <w:r>
        <w:rPr>
          <w:noProof/>
        </w:rPr>
        <w:t xml:space="preserve"> </w:t>
      </w:r>
      <w:r>
        <w:rPr>
          <w:rStyle w:val="normaltextrun"/>
          <w:noProof/>
          <w:color w:val="000000"/>
        </w:rPr>
        <w:t xml:space="preserve">osigurati </w:t>
      </w:r>
      <w:r>
        <w:rPr>
          <w:rStyle w:val="normaltextrun"/>
          <w:noProof/>
        </w:rPr>
        <w:t>jednake uvjete za poduzeća iz EU-a na tržištima trećih zemalja, na kojima se sve češće moraju natjecati sa stranim konkurentima koji dobivaju veliku potporu od svojih vlada, što im olakšava sudjelovanje u infrastrukturnim projektima.</w:t>
      </w:r>
    </w:p>
    <w:p w:rsidR="00ED6D2C" w:rsidRPr="00071DCC"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A652A2"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B46CE0" w:rsidRDefault="00221889" w:rsidP="00EE5DF2">
            <w:pPr>
              <w:spacing w:before="120" w:line="266" w:lineRule="auto"/>
              <w:jc w:val="center"/>
              <w:rPr>
                <w:b/>
                <w:noProof/>
                <w:color w:val="000000"/>
              </w:rPr>
            </w:pPr>
            <w:r>
              <w:rPr>
                <w:b/>
                <w:noProof/>
                <w:color w:val="000000"/>
              </w:rPr>
              <w:t xml:space="preserve"> Financiranje strategije Global Gateway sredstvima instrumenta EFOR+</w:t>
            </w:r>
          </w:p>
          <w:p w:rsidR="00EE5DF2" w:rsidRPr="00A652A2" w:rsidRDefault="00EE5DF2" w:rsidP="00EE5DF2">
            <w:pPr>
              <w:spacing w:line="257" w:lineRule="auto"/>
              <w:jc w:val="center"/>
              <w:rPr>
                <w:rFonts w:eastAsia="Times New Roman"/>
                <w:b/>
                <w:bCs/>
                <w:iCs/>
                <w:noProof/>
                <w:color w:val="1F4E79" w:themeColor="accent1" w:themeShade="80"/>
                <w:lang w:val="en-GB"/>
              </w:rPr>
            </w:pPr>
          </w:p>
          <w:p w:rsidR="00221889" w:rsidRPr="000C3853" w:rsidRDefault="00221889" w:rsidP="00221889">
            <w:pPr>
              <w:pStyle w:val="Body"/>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EFOR+ inovativni je instrument koji će pomoći u stvaranju ulaganja u različite sektore strategije Global Gateway putem jamstava i kombiniranih bespovratnih sredstava. Stavlja na raspolaganje 40 milijardi EUR u jamstvima.</w:t>
            </w:r>
          </w:p>
          <w:p w:rsidR="00221889" w:rsidRPr="000C3853" w:rsidRDefault="00221889" w:rsidP="00221889">
            <w:pPr>
              <w:pStyle w:val="Body"/>
              <w:spacing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rPr>
              <w:t>Jamstva</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Jamstva instrumenta EFOR+ nude se po povoljnim, vrlo konkurentnim uvjetima. Omogućuju privatnim ulagateljima financiranje projekata na zahtjevnijim tržištima jer preuzimaju rizike nestabilnijih okruženja, a istodobno se izbjegava narušavanje tržišta.</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Budući da EFOR+ pokriva dio rizika, partneri Unije za financiranje razvoja mogu dopuniti jamstva instrumenta EFOR+ vlastitim sredstvima, što će ujedno privući dodatne ulagatelje. Programi ulaganja provodit će se u dva glavna pravca:</w:t>
            </w:r>
          </w:p>
          <w:p w:rsidR="00221889" w:rsidRPr="000C3853" w:rsidRDefault="00221889" w:rsidP="00221889">
            <w:pPr>
              <w:pStyle w:val="Heading3"/>
              <w:numPr>
                <w:ilvl w:val="0"/>
                <w:numId w:val="10"/>
              </w:numPr>
              <w:spacing w:before="0" w:after="120" w:line="240" w:lineRule="auto"/>
              <w:jc w:val="both"/>
              <w:rPr>
                <w:noProof/>
              </w:rPr>
            </w:pPr>
            <w:r>
              <w:rPr>
                <w:noProof/>
              </w:rPr>
              <w:t xml:space="preserve">u partnerstvu s EIB-om EU će osigurati jamstvo za 26,7 milijardi EUR financiranja </w:t>
            </w:r>
            <w:r>
              <w:rPr>
                <w:b w:val="0"/>
                <w:noProof/>
              </w:rPr>
              <w:t>kako bi podupro ulaganja u nekoliko sektora, kao što su čista energija, zelena infrastruktura i zdravlje, za koje EIB već ima dobre rezultate iz prethodnog mandata za vanjsko kreditiranje.</w:t>
            </w:r>
            <w:r>
              <w:rPr>
                <w:b w:val="0"/>
                <w:bCs w:val="0"/>
                <w:noProof/>
              </w:rPr>
              <w:t xml:space="preserve"> Pruženo pokriće rizika omogućit će EIB-u da ponudi zajmove partnerskim zemljama kako bi mogle održivo ulagati u povezivost i druge prioritetne sektore. Jamstvo Unije imat će najveći učinak na ulaganja strategije Global Gateway u partnerskim zemljama u kojima su državni rizici i drugi rizici javnog sektora i dalje velike prepreke ulaganju. Partnerskim pristupom u okviru instrumenta EFOR+ osigurat će se snažno usmjeravanje u skladu s prioritetima strategije Global Gateway, pri čemu će se promicati sinergije i komplementarnost sa svim područjima vanjskog djelovanja EU-a;</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kao sektorsku sastavnicu</w:t>
            </w:r>
            <w:r>
              <w:rPr>
                <w:noProof/>
              </w:rPr>
              <w:t xml:space="preserve"> otvorene arhitekture instrumenta EFOR+ (13 milijardi EUR) </w:t>
            </w:r>
            <w:r>
              <w:rPr>
                <w:b w:val="0"/>
                <w:bCs w:val="0"/>
                <w:noProof/>
              </w:rPr>
              <w:t>Komisija će predložiti posebnu</w:t>
            </w:r>
            <w:r>
              <w:rPr>
                <w:noProof/>
              </w:rPr>
              <w:t xml:space="preserve"> sastavnicu za strategiju Global Gateway</w:t>
            </w:r>
            <w:r>
              <w:rPr>
                <w:b w:val="0"/>
                <w:bCs w:val="0"/>
                <w:noProof/>
              </w:rPr>
              <w:t xml:space="preserve">, koja će zajedno s drugim tematskim sastavnicama, kao što je sastavnica za održivo financiranje, biti usmjerena na sektore kao što su održiva energija, čisti promet i digitalizacija. Stvorit će se namjenska podsastavnica za digitalnu povezivost s pristupom na razini zemlje kako bi se pojačala konvergencija s paketima EU-a za digitalno gospodarstvo. Suradnja s više europskih financijskih institucija omogućit će potpuno iskorištavanje bogatog geografskog i sektorskog stručnog znanja kojim te institucije raspolažu kako bi se uklonile poteškoće pri ulaganju na koje privatni sektor nailazi u zemljama domaćinima. </w:t>
            </w:r>
          </w:p>
          <w:p w:rsidR="00221889" w:rsidRPr="000C3853" w:rsidRDefault="00221889" w:rsidP="00221889">
            <w:pPr>
              <w:pStyle w:val="Body"/>
              <w:spacing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szCs w:val="24"/>
              </w:rPr>
              <w:t>Mješovito financiranje</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 xml:space="preserve">Ako projekti imaju javnu dodanu vrijednost koja nije monetizirana i koja se ne može pokriti jamstvima, EU će koristiti </w:t>
            </w:r>
            <w:r>
              <w:rPr>
                <w:noProof/>
              </w:rPr>
              <w:t xml:space="preserve">mehanizme mješovitog financiranja </w:t>
            </w:r>
            <w:r>
              <w:rPr>
                <w:b w:val="0"/>
                <w:bCs w:val="0"/>
                <w:noProof/>
              </w:rPr>
              <w:t xml:space="preserve">instrumenta EFOR+. Ti mehanizmi koriste bespovratna sredstva i zajmove za potporu investicijskim projektima neprihvatljivima za bankovno financiranje u partnerskim zemljama EU-a i poboljšavaju njihovu održivost, otpornost na klimatske promjene i učinak na razvoj. </w:t>
            </w:r>
          </w:p>
          <w:p w:rsidR="00221889" w:rsidRPr="000C3853" w:rsidRDefault="00221889" w:rsidP="00221889">
            <w:pPr>
              <w:pStyle w:val="Body"/>
              <w:spacing w:after="120" w:line="240" w:lineRule="auto"/>
              <w:jc w:val="both"/>
              <w:rPr>
                <w:rFonts w:ascii="Times New Roman" w:hAnsi="Times New Roman"/>
                <w:noProof/>
                <w:sz w:val="24"/>
                <w:szCs w:val="24"/>
                <w:highlight w:val="yellow"/>
              </w:rPr>
            </w:pPr>
            <w:r>
              <w:rPr>
                <w:rFonts w:ascii="Times New Roman" w:hAnsi="Times New Roman"/>
                <w:noProof/>
                <w:sz w:val="24"/>
                <w:szCs w:val="24"/>
              </w:rPr>
              <w:t xml:space="preserve">Financiranje koje podupire EFOR+ </w:t>
            </w:r>
            <w:r>
              <w:rPr>
                <w:rFonts w:ascii="Times New Roman" w:hAnsi="Times New Roman"/>
                <w:b/>
                <w:bCs/>
                <w:noProof/>
                <w:sz w:val="24"/>
                <w:szCs w:val="24"/>
              </w:rPr>
              <w:t>oslanjat će se na mehanizme za isključivanje neuobičajeno niskih ponuda</w:t>
            </w:r>
            <w:r>
              <w:rPr>
                <w:rFonts w:ascii="Times New Roman" w:hAnsi="Times New Roman"/>
                <w:noProof/>
                <w:sz w:val="24"/>
                <w:szCs w:val="24"/>
              </w:rPr>
              <w:t xml:space="preserve">, koje ugrožavaju stvarnu provedbu projekata ili načela strategije Global Gateway, te </w:t>
            </w:r>
            <w:r>
              <w:rPr>
                <w:rFonts w:ascii="Times New Roman" w:hAnsi="Times New Roman"/>
                <w:b/>
                <w:bCs/>
                <w:noProof/>
                <w:sz w:val="24"/>
                <w:szCs w:val="24"/>
              </w:rPr>
              <w:t>stranih subvencija</w:t>
            </w:r>
            <w:r>
              <w:rPr>
                <w:rFonts w:ascii="Times New Roman" w:hAnsi="Times New Roman"/>
                <w:noProof/>
                <w:sz w:val="24"/>
                <w:szCs w:val="24"/>
              </w:rPr>
              <w:t xml:space="preserve"> kojima se narušavaju jednaki uvjeti nadmetanja. Pažnja će se posvetiti i tome da se ne naruše trgovina i ulaganja kad EU financira projekte u trećim zemljama. EU-ovi partneri za financiranje razvoja trebali bi poštovati standarde javne nabave slične onima koji se primjenjuju u EU-u. </w:t>
            </w:r>
          </w:p>
          <w:p w:rsidR="00221889" w:rsidRPr="000C3853" w:rsidRDefault="00221889" w:rsidP="00960DF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Ako se EFOR+ bude morao aktivirati zbog nepovoljnog regulatornog okruženja ili vanjskih čimbenika koji se ne odražavaju u tržišnim cijenama (npr. emisije CO</w:t>
            </w:r>
            <w:r>
              <w:rPr>
                <w:rFonts w:ascii="Times New Roman" w:hAnsi="Times New Roman"/>
                <w:noProof/>
                <w:sz w:val="24"/>
                <w:szCs w:val="24"/>
                <w:vertAlign w:val="subscript"/>
              </w:rPr>
              <w:t>2</w:t>
            </w:r>
            <w:r>
              <w:rPr>
                <w:rFonts w:ascii="Times New Roman" w:hAnsi="Times New Roman"/>
                <w:noProof/>
                <w:sz w:val="24"/>
                <w:szCs w:val="24"/>
              </w:rPr>
              <w:t xml:space="preserve">), EU će surađivati s partnerskom zemljom kako bi </w:t>
            </w:r>
            <w:r>
              <w:rPr>
                <w:rFonts w:ascii="Times New Roman" w:hAnsi="Times New Roman"/>
                <w:b/>
                <w:bCs/>
                <w:noProof/>
                <w:sz w:val="24"/>
                <w:szCs w:val="24"/>
              </w:rPr>
              <w:t>otklonili te temeljne nedostatke</w:t>
            </w:r>
            <w:r>
              <w:rPr>
                <w:rFonts w:ascii="Times New Roman" w:hAnsi="Times New Roman"/>
                <w:noProof/>
                <w:sz w:val="24"/>
                <w:szCs w:val="24"/>
              </w:rPr>
              <w:t>. To bi trebalo smanjiti ovisnost partnerske zemlje o budućoj vanjskoj pomoći.</w:t>
            </w:r>
          </w:p>
        </w:tc>
      </w:tr>
    </w:tbl>
    <w:p w:rsidR="006B2419" w:rsidRPr="009838B7" w:rsidRDefault="006B2419" w:rsidP="00221889">
      <w:pPr>
        <w:pStyle w:val="paragraph"/>
        <w:spacing w:before="0" w:beforeAutospacing="0" w:after="0" w:afterAutospacing="0"/>
        <w:jc w:val="both"/>
        <w:textAlignment w:val="baseline"/>
        <w:rPr>
          <w:rStyle w:val="normaltextrun"/>
          <w:b/>
          <w:bCs/>
          <w:i/>
          <w:noProof/>
        </w:rPr>
      </w:pPr>
    </w:p>
    <w:p w:rsidR="00221889" w:rsidRPr="009838B7" w:rsidRDefault="009C6059" w:rsidP="00221889">
      <w:pPr>
        <w:pStyle w:val="paragraph"/>
        <w:spacing w:before="0" w:beforeAutospacing="0" w:after="0" w:afterAutospacing="0"/>
        <w:jc w:val="both"/>
        <w:textAlignment w:val="baseline"/>
        <w:rPr>
          <w:rStyle w:val="eop"/>
          <w:i/>
          <w:noProof/>
        </w:rPr>
      </w:pPr>
      <w:r>
        <w:rPr>
          <w:rStyle w:val="normaltextrun"/>
          <w:b/>
          <w:bCs/>
          <w:i/>
          <w:noProof/>
        </w:rPr>
        <w:t>3.2. Poticajno okruženje za ulaganja</w:t>
      </w:r>
    </w:p>
    <w:p w:rsidR="00EE5DF2" w:rsidRPr="009838B7" w:rsidRDefault="00EE5DF2" w:rsidP="00700BFA">
      <w:pPr>
        <w:pStyle w:val="paragraph"/>
        <w:spacing w:before="120" w:beforeAutospacing="0" w:after="0" w:afterAutospacing="0"/>
        <w:jc w:val="both"/>
        <w:textAlignment w:val="baseline"/>
        <w:rPr>
          <w:rStyle w:val="normaltextrun"/>
          <w:noProof/>
          <w:color w:val="000000"/>
        </w:rPr>
      </w:pPr>
      <w:r>
        <w:rPr>
          <w:noProof/>
        </w:rPr>
        <w:t>Poticajno okruženje ima ključnu ulogu u mobilizaciji većih ulaganja u infrastrukturu koja ispunjavaju i visoke tehničke, ekološke i socijalne standarde te standarde tržišnog natjecanja i upravljanja</w:t>
      </w:r>
      <w:r>
        <w:rPr>
          <w:rStyle w:val="normaltextrun"/>
          <w:noProof/>
          <w:color w:val="000000"/>
        </w:rPr>
        <w:t>. EU će se služiti svojim alatima kako bi poboljšao uvjete za privlačenje kvalitetnih ulaganja u partnerskim zemljama. To će uključivati nekoliko smjerova djelovanja:</w:t>
      </w:r>
    </w:p>
    <w:p w:rsidR="00EE5DF2" w:rsidRPr="009838B7"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jačanje </w:t>
      </w:r>
      <w:r>
        <w:rPr>
          <w:rStyle w:val="normaltextrun"/>
          <w:b/>
          <w:bCs/>
          <w:noProof/>
          <w:color w:val="000000"/>
        </w:rPr>
        <w:t>mobilizacije domaćih resursa</w:t>
      </w:r>
      <w:r>
        <w:rPr>
          <w:rStyle w:val="normaltextrun"/>
          <w:noProof/>
          <w:color w:val="000000"/>
        </w:rPr>
        <w:t xml:space="preserve">, </w:t>
      </w:r>
      <w:r>
        <w:rPr>
          <w:rStyle w:val="normaltextrun"/>
          <w:b/>
          <w:bCs/>
          <w:noProof/>
          <w:color w:val="000000"/>
        </w:rPr>
        <w:t xml:space="preserve">upravljanja javnim financijama </w:t>
      </w:r>
      <w:r>
        <w:rPr>
          <w:rStyle w:val="normaltextrun"/>
          <w:noProof/>
          <w:color w:val="000000"/>
        </w:rPr>
        <w:t xml:space="preserve">i </w:t>
      </w:r>
      <w:r>
        <w:rPr>
          <w:rStyle w:val="normaltextrun"/>
          <w:b/>
          <w:bCs/>
          <w:noProof/>
          <w:color w:val="000000"/>
        </w:rPr>
        <w:t xml:space="preserve">upravljanja dugom </w:t>
      </w:r>
      <w:r>
        <w:rPr>
          <w:rStyle w:val="normaltextrun"/>
          <w:noProof/>
          <w:color w:val="000000"/>
        </w:rPr>
        <w:t xml:space="preserve">te poboljšanje </w:t>
      </w:r>
      <w:r>
        <w:rPr>
          <w:rStyle w:val="normaltextrun"/>
          <w:b/>
          <w:bCs/>
          <w:noProof/>
          <w:color w:val="000000"/>
        </w:rPr>
        <w:t>održivosti duga;</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olakšavanje reformi u partnerskim zemljama za uspostavu </w:t>
      </w:r>
      <w:r>
        <w:rPr>
          <w:rStyle w:val="normaltextrun"/>
          <w:b/>
          <w:noProof/>
          <w:color w:val="000000"/>
        </w:rPr>
        <w:t>transparentnih, nediskriminirajućih i održivih regulatornih okvira</w:t>
      </w:r>
      <w:r>
        <w:rPr>
          <w:rStyle w:val="normaltextrun"/>
          <w:noProof/>
          <w:color w:val="000000"/>
        </w:rPr>
        <w:t xml:space="preserve"> usklađenih s međunarodnim standardima te jačanje njihova kapaciteta za izvršavanje usklađenosti s pravnim obvezama;</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Pr>
          <w:rStyle w:val="normaltextrun"/>
          <w:noProof/>
        </w:rPr>
        <w:t xml:space="preserve">poboljšanje toka </w:t>
      </w:r>
      <w:r>
        <w:rPr>
          <w:rStyle w:val="normaltextrun"/>
          <w:b/>
          <w:noProof/>
        </w:rPr>
        <w:t xml:space="preserve">održivog financiranja </w:t>
      </w:r>
      <w:r>
        <w:rPr>
          <w:rStyle w:val="normaltextrun"/>
          <w:noProof/>
        </w:rPr>
        <w:t>promicanjem relevantnih taksonomija, standarda i objava. Komisija izrađuje</w:t>
      </w:r>
      <w:r>
        <w:rPr>
          <w:noProof/>
        </w:rPr>
        <w:t xml:space="preserve"> sveobuhvatnu strategiju za proširenje pristupa održivom financiranju u zemljama s niskim i srednjim dohotkom;</w:t>
      </w:r>
    </w:p>
    <w:p w:rsidR="00EE5DF2" w:rsidRPr="009838B7"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Pr>
          <w:rFonts w:ascii="Times New Roman" w:hAnsi="Times New Roman"/>
          <w:noProof/>
          <w:sz w:val="24"/>
          <w:szCs w:val="24"/>
        </w:rPr>
        <w:t>poboljšanje kapaciteta partnerskih zemalja za izradu infrastrukturnih planova i pripremu</w:t>
      </w:r>
      <w:r>
        <w:rPr>
          <w:rFonts w:ascii="Times New Roman" w:hAnsi="Times New Roman"/>
          <w:b/>
          <w:noProof/>
          <w:sz w:val="24"/>
          <w:szCs w:val="24"/>
        </w:rPr>
        <w:t xml:space="preserve"> vjerodostojnih portfelja projekata </w:t>
      </w:r>
      <w:r>
        <w:rPr>
          <w:rFonts w:ascii="Times New Roman" w:hAnsi="Times New Roman"/>
          <w:noProof/>
          <w:sz w:val="24"/>
          <w:szCs w:val="24"/>
        </w:rPr>
        <w:t>usklađenih s nacionalnim strategijama razvoja i potrebama;</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Pr>
          <w:rStyle w:val="normaltextrun"/>
          <w:noProof/>
        </w:rPr>
        <w:t xml:space="preserve">poticanje </w:t>
      </w:r>
      <w:r>
        <w:rPr>
          <w:rStyle w:val="normaltextrun"/>
          <w:b/>
          <w:noProof/>
        </w:rPr>
        <w:t xml:space="preserve">poštovanja međunarodnih </w:t>
      </w:r>
      <w:r>
        <w:rPr>
          <w:rStyle w:val="normaltextrun"/>
          <w:b/>
          <w:bCs/>
          <w:noProof/>
        </w:rPr>
        <w:t>standarda za infrastrukturnu potrošnju</w:t>
      </w:r>
      <w:r>
        <w:rPr>
          <w:rStyle w:val="normaltextrun"/>
          <w:bCs/>
          <w:noProof/>
        </w:rPr>
        <w:t xml:space="preserve"> drugih bilateralnih i multilateralnih pružatelja financiranja;</w:t>
      </w:r>
    </w:p>
    <w:p w:rsidR="00EE5DF2" w:rsidRPr="009838B7" w:rsidRDefault="00EE5DF2" w:rsidP="00EE5DF2">
      <w:pPr>
        <w:pStyle w:val="paragraph"/>
        <w:numPr>
          <w:ilvl w:val="0"/>
          <w:numId w:val="28"/>
        </w:numPr>
        <w:spacing w:before="0" w:beforeAutospacing="0" w:after="0" w:afterAutospacing="0"/>
        <w:jc w:val="both"/>
        <w:textAlignment w:val="baseline"/>
        <w:rPr>
          <w:rStyle w:val="eop"/>
          <w:noProof/>
          <w:color w:val="000000"/>
        </w:rPr>
      </w:pPr>
      <w:r>
        <w:rPr>
          <w:rStyle w:val="normaltextrun"/>
          <w:noProof/>
          <w:color w:val="000000"/>
        </w:rPr>
        <w:t xml:space="preserve">aktivno sudjelovanje u relevantnim </w:t>
      </w:r>
      <w:r>
        <w:rPr>
          <w:rStyle w:val="normaltextrun"/>
          <w:b/>
          <w:bCs/>
          <w:noProof/>
          <w:color w:val="000000"/>
        </w:rPr>
        <w:t>međunarodnim tijelima za utvrđivanje standarda</w:t>
      </w:r>
      <w:r>
        <w:rPr>
          <w:rStyle w:val="normaltextrun"/>
          <w:noProof/>
          <w:color w:val="000000"/>
        </w:rPr>
        <w:t>.</w:t>
      </w:r>
      <w:r>
        <w:rPr>
          <w:rStyle w:val="eop"/>
          <w:noProof/>
          <w:color w:val="000000"/>
        </w:rPr>
        <w:t> </w:t>
      </w:r>
    </w:p>
    <w:p w:rsidR="00EE5DF2" w:rsidRPr="00071DCC"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A652A2"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B46CE0" w:rsidRDefault="00EE5DF2" w:rsidP="00700BFA">
            <w:pPr>
              <w:spacing w:before="120" w:after="120" w:line="266" w:lineRule="auto"/>
              <w:jc w:val="center"/>
              <w:rPr>
                <w:b/>
                <w:noProof/>
                <w:color w:val="000000"/>
              </w:rPr>
            </w:pPr>
            <w:r>
              <w:rPr>
                <w:b/>
                <w:noProof/>
                <w:color w:val="000000"/>
              </w:rPr>
              <w:t>Bolja infrastrukturna potrošnja – EU će:</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promicati upotrebu </w:t>
            </w:r>
            <w:r>
              <w:rPr>
                <w:rFonts w:ascii="Times New Roman" w:hAnsi="Times New Roman"/>
                <w:b/>
                <w:noProof/>
                <w:sz w:val="24"/>
                <w:szCs w:val="24"/>
              </w:rPr>
              <w:t>multilateralnih instrumenata</w:t>
            </w:r>
            <w:r>
              <w:rPr>
                <w:rFonts w:ascii="Times New Roman" w:hAnsi="Times New Roman"/>
                <w:noProof/>
                <w:sz w:val="24"/>
                <w:szCs w:val="24"/>
              </w:rPr>
              <w:t xml:space="preserve">, kao što su okvir MMF-a za procjenu upravljanja javnim ulaganjima (PIMA), metodologija OECD-a za procjenu sustava javne nabave (MAPS) i model za procjenu fiskalnog rizika za javno-privatna partnerstva (PFRAM) MMF-a/Svjetske banke, radi poboljšanja </w:t>
            </w:r>
            <w:r>
              <w:rPr>
                <w:rFonts w:ascii="Times New Roman" w:hAnsi="Times New Roman"/>
                <w:b/>
                <w:noProof/>
                <w:sz w:val="24"/>
                <w:szCs w:val="24"/>
              </w:rPr>
              <w:t>pripreme projekata</w:t>
            </w:r>
            <w:r>
              <w:rPr>
                <w:rFonts w:ascii="Times New Roman" w:hAnsi="Times New Roman"/>
                <w:noProof/>
                <w:sz w:val="24"/>
                <w:szCs w:val="24"/>
              </w:rPr>
              <w:t xml:space="preserve"> i osiguravanja </w:t>
            </w:r>
            <w:r>
              <w:rPr>
                <w:rFonts w:ascii="Times New Roman" w:hAnsi="Times New Roman"/>
                <w:b/>
                <w:noProof/>
                <w:sz w:val="24"/>
                <w:szCs w:val="24"/>
              </w:rPr>
              <w:t>vrijednosti za novac</w:t>
            </w:r>
            <w:r>
              <w:rPr>
                <w:rFonts w:ascii="Times New Roman" w:hAnsi="Times New Roman"/>
                <w:noProof/>
                <w:sz w:val="24"/>
                <w:szCs w:val="24"/>
              </w:rPr>
              <w:t xml:space="preserve"> u infrastrukturi,</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pružati </w:t>
            </w:r>
            <w:r>
              <w:rPr>
                <w:rFonts w:ascii="Times New Roman" w:hAnsi="Times New Roman"/>
                <w:b/>
                <w:noProof/>
                <w:sz w:val="24"/>
                <w:szCs w:val="24"/>
              </w:rPr>
              <w:t>tehničku pomoć</w:t>
            </w:r>
            <w:r>
              <w:rPr>
                <w:rFonts w:ascii="Times New Roman" w:hAnsi="Times New Roman"/>
                <w:noProof/>
                <w:sz w:val="24"/>
                <w:szCs w:val="24"/>
              </w:rPr>
              <w:t xml:space="preserve"> za izgradnju kapaciteta i tehničke studije u partnerskim zemljama putem programa Instrumenta za susjedstvo, razvoj i međunarodnu suradnju – Globalna Europa i Instrumenta za tehničku potporu za države članice EU-a, što omogućuje razmjenu znanja među nacionalnim upravama u okviru programa kao što je TAIEX,</w:t>
            </w:r>
          </w:p>
          <w:p w:rsidR="00EE5DF2" w:rsidRPr="000C3853" w:rsidRDefault="00EE5DF2" w:rsidP="00EE5DF2">
            <w:pPr>
              <w:pStyle w:val="ListParagraph"/>
              <w:numPr>
                <w:ilvl w:val="0"/>
                <w:numId w:val="33"/>
              </w:numPr>
              <w:jc w:val="both"/>
              <w:rPr>
                <w:rFonts w:eastAsia="Times New Roman"/>
                <w:noProof/>
                <w:sz w:val="24"/>
                <w:szCs w:val="24"/>
              </w:rPr>
            </w:pPr>
            <w:r>
              <w:rPr>
                <w:rFonts w:ascii="Times New Roman" w:hAnsi="Times New Roman"/>
                <w:noProof/>
                <w:sz w:val="24"/>
                <w:szCs w:val="24"/>
              </w:rPr>
              <w:t xml:space="preserve">promicati provedbu </w:t>
            </w:r>
            <w:r>
              <w:rPr>
                <w:rFonts w:ascii="Times New Roman" w:hAnsi="Times New Roman"/>
                <w:b/>
                <w:noProof/>
                <w:sz w:val="24"/>
                <w:szCs w:val="24"/>
              </w:rPr>
              <w:t>načela skupine G20 za ulaganja u kvalitetnu infrastrukturu</w:t>
            </w:r>
            <w:r>
              <w:rPr>
                <w:rFonts w:ascii="Times New Roman" w:hAnsi="Times New Roman"/>
                <w:noProof/>
                <w:sz w:val="24"/>
                <w:szCs w:val="24"/>
              </w:rPr>
              <w:t xml:space="preserve"> na međunarodnoj razini.</w:t>
            </w:r>
          </w:p>
        </w:tc>
      </w:tr>
    </w:tbl>
    <w:p w:rsidR="00EE5DF2" w:rsidRPr="00071DCC" w:rsidRDefault="00EE5DF2" w:rsidP="00EE5DF2">
      <w:pPr>
        <w:jc w:val="both"/>
        <w:rPr>
          <w:rFonts w:eastAsia="Times New Roman"/>
          <w:b/>
          <w:bCs/>
          <w:noProof/>
        </w:rPr>
      </w:pPr>
    </w:p>
    <w:p w:rsidR="00221889" w:rsidRPr="009838B7"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Koordinacija djelovanja s partnerima sličnih stavova</w:t>
      </w:r>
    </w:p>
    <w:p w:rsidR="00221889" w:rsidRPr="00946F4D" w:rsidRDefault="00144208" w:rsidP="00221889">
      <w:pPr>
        <w:spacing w:after="120"/>
        <w:jc w:val="both"/>
        <w:rPr>
          <w:rFonts w:eastAsia="Times New Roman"/>
          <w:noProof/>
        </w:rPr>
      </w:pPr>
      <w:r>
        <w:rPr>
          <w:noProof/>
        </w:rPr>
        <w:t xml:space="preserve">U provedbi strategije Global Gateway EU će blisko surađivati s partnerima sličnih stavova kako bi </w:t>
      </w:r>
      <w:r>
        <w:rPr>
          <w:b/>
          <w:bCs/>
          <w:noProof/>
        </w:rPr>
        <w:t>ostvarili sinergije među svojim pojedinačnim aktivnostima</w:t>
      </w:r>
      <w:r>
        <w:rPr>
          <w:noProof/>
        </w:rPr>
        <w:t xml:space="preserve"> u području povezivosti i kvalitetne infrastrukture s trećim zemljama i kako bi postigli najveći učinak u premošćivanju globalnog infrastrukturnog jaza. Ta suradnja obuhvaćat će sve aspekte našeg rada, uključujući koordinaciju politika, suradnju na zajedničkim ili usporednim projektima i njihovo sufinanciranje, zajedničke aktivnosti sa zemljama domaćinima, privatnim sektorom i međunarodnim financijskim institucijama te suradnju u kontekstu relevantnih foruma za utvrđivanje međunarodnih standarda.</w:t>
      </w:r>
    </w:p>
    <w:p w:rsidR="00221889" w:rsidRPr="009838B7" w:rsidRDefault="00221889" w:rsidP="00221889">
      <w:pPr>
        <w:spacing w:after="120"/>
        <w:jc w:val="both"/>
        <w:rPr>
          <w:rFonts w:eastAsia="Times New Roman"/>
          <w:noProof/>
        </w:rPr>
      </w:pPr>
      <w:r>
        <w:rPr>
          <w:b/>
          <w:noProof/>
        </w:rPr>
        <w:t>Skupina G7</w:t>
      </w:r>
      <w:r>
        <w:rPr>
          <w:noProof/>
        </w:rPr>
        <w:t xml:space="preserve"> već je uspostavila velik broj inicijativa kojima podupire održivu infrastrukturu u partnerskim zemljama. EU je potpuno posvećen znatnoj promjeni u financiranju infrastrukture na koju su se obvezali čelnici skupine G7 na </w:t>
      </w:r>
      <w:r>
        <w:rPr>
          <w:b/>
          <w:noProof/>
        </w:rPr>
        <w:t>sastanku na vrhu u Carbis Bayu</w:t>
      </w:r>
      <w:r>
        <w:rPr>
          <w:noProof/>
        </w:rPr>
        <w:t xml:space="preserve"> u lipnju 2021. i ima aktivnu ulogu u ostvarivanju te ambicije. Shvaća to kao dugoročno partnerstvo kojem će se moći pridružiti i drugi.</w:t>
      </w:r>
    </w:p>
    <w:p w:rsidR="00221889" w:rsidRDefault="00221889" w:rsidP="00221889">
      <w:pPr>
        <w:spacing w:after="120"/>
        <w:jc w:val="both"/>
        <w:rPr>
          <w:rFonts w:eastAsia="Times New Roman"/>
          <w:noProof/>
        </w:rPr>
      </w:pPr>
      <w:r>
        <w:rPr>
          <w:noProof/>
          <w:color w:val="000000" w:themeColor="text1"/>
        </w:rPr>
        <w:t xml:space="preserve">EU je već </w:t>
      </w:r>
      <w:r>
        <w:rPr>
          <w:noProof/>
        </w:rPr>
        <w:t xml:space="preserve">sklopio </w:t>
      </w:r>
      <w:r>
        <w:rPr>
          <w:b/>
          <w:bCs/>
          <w:noProof/>
        </w:rPr>
        <w:t>partnerstva za povezivost</w:t>
      </w:r>
      <w:r>
        <w:rPr>
          <w:noProof/>
        </w:rPr>
        <w:t xml:space="preserve"> s Japanom i Indijom. Namjerava uspostaviti partnerstvo za povezivost i s Udruženjem država jugoistočne Azije (ASEAN) na temelju izjave ministara iz 2020. EU i SAD pokrenuli su početkom godine Vijeće za trgovinu i tehnologiju u kojem stranke surađuju i na promicanju sigurne i održive međunarodne digitalne povezivosti. EU će nastojati produbiti suradnju sa SAD-om te Kanadom i Republikom Korejom i drugim partnerima sličnih stavova. </w:t>
      </w:r>
    </w:p>
    <w:p w:rsidR="006B2419" w:rsidRPr="00C41701"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Kako bi istaknula strategiju u političkom programu, Europska unija učinit će Global Gateway prioritetnom temom na multilateralnim i, prema potrebi, bilateralnim </w:t>
      </w:r>
      <w:r>
        <w:rPr>
          <w:rFonts w:ascii="Times New Roman" w:hAnsi="Times New Roman"/>
          <w:bCs/>
          <w:noProof/>
          <w:color w:val="000000" w:themeColor="text1"/>
          <w:sz w:val="24"/>
          <w:szCs w:val="24"/>
        </w:rPr>
        <w:t>sastancima na vrhu s našim međunarodnim partnerima, za početak na predstojećem</w:t>
      </w:r>
      <w:r>
        <w:rPr>
          <w:rFonts w:ascii="Times New Roman" w:hAnsi="Times New Roman"/>
          <w:b/>
          <w:bCs/>
          <w:noProof/>
          <w:color w:val="000000" w:themeColor="text1"/>
          <w:sz w:val="24"/>
          <w:szCs w:val="24"/>
        </w:rPr>
        <w:t xml:space="preserve"> sastanku na vrhu između EU-a i Istočnog partnerstva, nakon kojeg slijedi sastanak na vrhu između EU-a i Afričke unije</w:t>
      </w:r>
      <w:r>
        <w:rPr>
          <w:rFonts w:ascii="Times New Roman" w:hAnsi="Times New Roman"/>
          <w:noProof/>
          <w:color w:val="000000" w:themeColor="text1"/>
          <w:sz w:val="24"/>
          <w:szCs w:val="24"/>
        </w:rPr>
        <w:t xml:space="preserve">. Integrirat će načela strategije Global Gateway i u svoju suradnju na povezivosti s partnerskim regijama, organizacijama i zemljama. </w:t>
      </w:r>
    </w:p>
    <w:p w:rsidR="00221889" w:rsidRPr="009838B7"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Upravljanje i komunikacija</w:t>
      </w:r>
    </w:p>
    <w:p w:rsidR="00221889" w:rsidRPr="009838B7" w:rsidRDefault="00221889" w:rsidP="00221889">
      <w:pPr>
        <w:spacing w:after="120"/>
        <w:jc w:val="both"/>
        <w:rPr>
          <w:rFonts w:eastAsia="Times New Roman"/>
          <w:noProof/>
        </w:rPr>
      </w:pPr>
      <w:r>
        <w:rPr>
          <w:noProof/>
        </w:rPr>
        <w:t xml:space="preserve">Projekti strategije Global Gateway izrađivat će se i provoditi putem </w:t>
      </w:r>
      <w:r>
        <w:rPr>
          <w:b/>
          <w:bCs/>
          <w:noProof/>
        </w:rPr>
        <w:t>inicijativa Tima Europa</w:t>
      </w:r>
      <w:r>
        <w:rPr>
          <w:noProof/>
        </w:rPr>
        <w:t xml:space="preserve">. Institucije EU-a, države članice i europske financijske institucije surađivat će s europskim poduzećima te vladama, civilnim društvom i privatnim sektorom u partnerskim zemljama. </w:t>
      </w:r>
    </w:p>
    <w:p w:rsidR="00645063" w:rsidRDefault="00D112A9" w:rsidP="00645063">
      <w:pPr>
        <w:spacing w:after="120"/>
        <w:jc w:val="both"/>
        <w:rPr>
          <w:rFonts w:eastAsia="Times New Roman"/>
          <w:noProof/>
          <w:color w:val="000000" w:themeColor="text1"/>
        </w:rPr>
      </w:pPr>
      <w:r>
        <w:rPr>
          <w:noProof/>
          <w:color w:val="000000" w:themeColor="text1"/>
        </w:rPr>
        <w:t xml:space="preserve">Za provedbu strategije Global Gateway bit će zaduženi Visoki predstavnik/potpredsjednik Komisije i odgovorni povjerenici, pod ukupnim </w:t>
      </w:r>
      <w:r>
        <w:rPr>
          <w:b/>
          <w:noProof/>
          <w:color w:val="000000" w:themeColor="text1"/>
        </w:rPr>
        <w:t xml:space="preserve">upravljanjem </w:t>
      </w:r>
      <w:r>
        <w:rPr>
          <w:noProof/>
          <w:color w:val="000000" w:themeColor="text1"/>
        </w:rPr>
        <w:t xml:space="preserve">predsjednice Komisije. U tom kontekstu osnovat će se </w:t>
      </w:r>
      <w:r>
        <w:rPr>
          <w:b/>
          <w:noProof/>
          <w:color w:val="000000" w:themeColor="text1"/>
        </w:rPr>
        <w:t>Odbor za Global Gateway</w:t>
      </w:r>
      <w:r>
        <w:rPr>
          <w:noProof/>
          <w:color w:val="000000" w:themeColor="text1"/>
        </w:rPr>
        <w:t xml:space="preserve"> koji će pružati strateške smjernice za tu inicijativu, posebno s obzirom na razvoj projekata Tima Europa. </w:t>
      </w:r>
    </w:p>
    <w:p w:rsidR="00221889" w:rsidRPr="009838B7"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Komisija će osnovati </w:t>
      </w:r>
      <w:r>
        <w:rPr>
          <w:rFonts w:ascii="Times New Roman" w:hAnsi="Times New Roman"/>
          <w:b/>
          <w:bCs/>
          <w:noProof/>
          <w:color w:val="000000" w:themeColor="text1"/>
          <w:sz w:val="24"/>
          <w:szCs w:val="24"/>
        </w:rPr>
        <w:t xml:space="preserve">poslovnu savjetodavnu skupinu za Global Gateway. </w:t>
      </w:r>
      <w:r>
        <w:rPr>
          <w:rFonts w:ascii="Times New Roman" w:hAnsi="Times New Roman"/>
          <w:noProof/>
          <w:color w:val="000000" w:themeColor="text1"/>
          <w:sz w:val="24"/>
          <w:szCs w:val="24"/>
        </w:rPr>
        <w:t xml:space="preserve">Ta će skupina osigurati uključivanje privatnog sektora, bit će lako dostupna i u njoj će se raspravljati o provedbi strategije Global Gateway. Primat će informacije iz poslovnog sektora i dijeliti znanje kako bi što više povećala učinak i učinkovitost ulaganja. Bit će komplementarna postojećim organizacijama za poslovnu potporu i neće dovoditi u pitanje njihov rad. Uspostavit će se i dijalog s </w:t>
      </w:r>
      <w:r>
        <w:rPr>
          <w:rFonts w:ascii="Times New Roman" w:hAnsi="Times New Roman"/>
          <w:b/>
          <w:noProof/>
          <w:color w:val="000000" w:themeColor="text1"/>
          <w:sz w:val="24"/>
          <w:szCs w:val="24"/>
        </w:rPr>
        <w:t xml:space="preserve">civilnim društvom </w:t>
      </w:r>
      <w:r>
        <w:rPr>
          <w:rFonts w:ascii="Times New Roman" w:hAnsi="Times New Roman"/>
          <w:noProof/>
          <w:color w:val="000000" w:themeColor="text1"/>
          <w:sz w:val="24"/>
          <w:szCs w:val="24"/>
        </w:rPr>
        <w:t xml:space="preserve">kako bi se osigurao potpuno uključiv pristup. </w:t>
      </w:r>
    </w:p>
    <w:p w:rsidR="00221889" w:rsidRPr="009838B7"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Kako bi poduprle to djelovanje, </w:t>
      </w:r>
      <w:r>
        <w:rPr>
          <w:rFonts w:ascii="Times New Roman" w:hAnsi="Times New Roman"/>
          <w:b/>
          <w:noProof/>
          <w:color w:val="000000" w:themeColor="text1"/>
          <w:sz w:val="24"/>
          <w:szCs w:val="24"/>
        </w:rPr>
        <w:t>delegacije EU-a</w:t>
      </w:r>
      <w:r>
        <w:rPr>
          <w:rFonts w:ascii="Times New Roman" w:hAnsi="Times New Roman"/>
          <w:noProof/>
          <w:color w:val="000000" w:themeColor="text1"/>
          <w:sz w:val="24"/>
          <w:szCs w:val="24"/>
        </w:rPr>
        <w:t xml:space="preserve"> u bliskoj suradnji s državama članicama EU-a u okviru pristupa Tima Europa imat će ključnu ulogu u koordinaciji sa svim dionicima na terenu i u uspostavi kontakata s partnerskim zemljama kako bi se identificirali projekti, pronašlo financiranje za njih i pratila njihova provedba. To će biti dio šireg diplomatskog djelovanja koje će se poduzeti zajedno s državama članicama radi promicanja modela Global Gateway te gospodarskih i socijalnih koristi i koristi za okoliš koje će se njime ostvariti. </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EU će pokrenuti </w:t>
      </w:r>
      <w:r>
        <w:rPr>
          <w:rFonts w:ascii="Times New Roman" w:hAnsi="Times New Roman"/>
          <w:b/>
          <w:bCs/>
          <w:noProof/>
          <w:sz w:val="24"/>
          <w:szCs w:val="24"/>
        </w:rPr>
        <w:t>informativnu kampanju</w:t>
      </w:r>
      <w:r>
        <w:rPr>
          <w:rFonts w:ascii="Times New Roman" w:hAnsi="Times New Roman"/>
          <w:noProof/>
          <w:sz w:val="24"/>
          <w:szCs w:val="24"/>
        </w:rPr>
        <w:t xml:space="preserve"> u partnerskim zemljama kako bi građanima i institucionalnim dionicima objasnio pristup strategije Global Gateway te će pozvati države članice i europske financijske institucije da udruže snage u toj komunikaciji. Komisija će 2022. organizirati i namjensku komunikacijsku kampanju strategije Global Gateway unutar EU-a.</w:t>
      </w:r>
    </w:p>
    <w:p w:rsidR="00221889" w:rsidRPr="009838B7"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Pr>
          <w:rFonts w:ascii="Times New Roman" w:hAnsi="Times New Roman"/>
          <w:b/>
          <w:bCs/>
          <w:noProof/>
          <w:color w:val="000000" w:themeColor="text1"/>
          <w:sz w:val="24"/>
          <w:szCs w:val="24"/>
        </w:rPr>
        <w:t>Buduće djelovanje</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Strategijom Global Gateway nastoji se kombinirati </w:t>
      </w:r>
      <w:r>
        <w:rPr>
          <w:rFonts w:ascii="Times New Roman" w:hAnsi="Times New Roman"/>
          <w:b/>
          <w:noProof/>
          <w:sz w:val="24"/>
          <w:szCs w:val="24"/>
        </w:rPr>
        <w:t>kapital i stručno znanje Tima Europa</w:t>
      </w:r>
      <w:r>
        <w:rPr>
          <w:rFonts w:ascii="Times New Roman" w:hAnsi="Times New Roman"/>
          <w:noProof/>
          <w:sz w:val="24"/>
          <w:szCs w:val="24"/>
        </w:rPr>
        <w:t xml:space="preserve">, njegovih međunarodnih partnera i privatnog sektora. Temeljit će se na potrebama naših partnerskih zemalja i strateškim interesima Europske unije. U tom ćemo smislu razvijati Global Gateway zajedno </w:t>
      </w:r>
      <w:r>
        <w:rPr>
          <w:rFonts w:ascii="Times New Roman" w:hAnsi="Times New Roman"/>
          <w:noProof/>
          <w:color w:val="000000" w:themeColor="text1"/>
          <w:sz w:val="24"/>
          <w:szCs w:val="24"/>
        </w:rPr>
        <w:t xml:space="preserve">s partnerskim zemljama i pozivati na aktivno sudjelovanje civilnog društva i lokalnog privatnog sektora u našim raspravama. </w:t>
      </w:r>
      <w:r>
        <w:rPr>
          <w:rFonts w:ascii="Times New Roman" w:hAnsi="Times New Roman"/>
          <w:noProof/>
          <w:sz w:val="24"/>
          <w:szCs w:val="24"/>
        </w:rPr>
        <w:t xml:space="preserve">EU će sad uspostaviti kontakt s drugim zemljama koje žele partnerstvo. Surađivat ćemo i s </w:t>
      </w:r>
      <w:r>
        <w:rPr>
          <w:rFonts w:ascii="Times New Roman" w:hAnsi="Times New Roman"/>
          <w:b/>
          <w:noProof/>
          <w:sz w:val="24"/>
          <w:szCs w:val="24"/>
        </w:rPr>
        <w:t>privatnim sektorom</w:t>
      </w:r>
      <w:r>
        <w:rPr>
          <w:rFonts w:ascii="Times New Roman" w:hAnsi="Times New Roman"/>
          <w:noProof/>
          <w:sz w:val="24"/>
          <w:szCs w:val="24"/>
        </w:rPr>
        <w:t xml:space="preserve"> kako bismo potaknuli uključivanje njegova kapitala, stručnog znanja i iskustva. </w:t>
      </w:r>
    </w:p>
    <w:p w:rsidR="00386747" w:rsidRPr="00946F4D" w:rsidRDefault="00221889" w:rsidP="00645063">
      <w:pPr>
        <w:spacing w:after="120"/>
        <w:jc w:val="both"/>
        <w:rPr>
          <w:rFonts w:eastAsia="Times New Roman"/>
          <w:noProof/>
          <w:color w:val="000000" w:themeColor="text1"/>
        </w:rPr>
      </w:pPr>
      <w:r>
        <w:rPr>
          <w:noProof/>
          <w:color w:val="000000" w:themeColor="text1"/>
        </w:rPr>
        <w:t>Napredak u provedbi strategije Global Gateway</w:t>
      </w:r>
      <w:r>
        <w:rPr>
          <w:bCs/>
          <w:noProof/>
          <w:color w:val="000000" w:themeColor="text1"/>
        </w:rPr>
        <w:t xml:space="preserve"> </w:t>
      </w:r>
      <w:r>
        <w:rPr>
          <w:b/>
          <w:bCs/>
          <w:noProof/>
          <w:color w:val="000000" w:themeColor="text1"/>
        </w:rPr>
        <w:t>redovito će se i proaktivno pratiti i procjenjivati te će se o njemu izvješćivati</w:t>
      </w:r>
      <w:r>
        <w:rPr>
          <w:noProof/>
          <w:color w:val="000000" w:themeColor="text1"/>
        </w:rPr>
        <w:t xml:space="preserve">. Strategija će se prema potrebi </w:t>
      </w:r>
      <w:r>
        <w:rPr>
          <w:bCs/>
          <w:noProof/>
          <w:color w:val="000000" w:themeColor="text1"/>
        </w:rPr>
        <w:t>prilagoditi</w:t>
      </w:r>
      <w:r>
        <w:rPr>
          <w:noProof/>
          <w:color w:val="000000" w:themeColor="text1"/>
        </w:rPr>
        <w:t>.</w:t>
      </w:r>
      <w:r>
        <w:rPr>
          <w:noProof/>
        </w:rPr>
        <w:t xml:space="preserve"> </w:t>
      </w:r>
      <w:r>
        <w:rPr>
          <w:noProof/>
          <w:color w:val="000000" w:themeColor="text1"/>
        </w:rPr>
        <w:t xml:space="preserve">Komisija i Visoki predstavnik predani su </w:t>
      </w:r>
      <w:r>
        <w:rPr>
          <w:bCs/>
          <w:noProof/>
          <w:color w:val="000000" w:themeColor="text1"/>
        </w:rPr>
        <w:t>brzoj</w:t>
      </w:r>
      <w:r>
        <w:rPr>
          <w:noProof/>
          <w:color w:val="000000" w:themeColor="text1"/>
        </w:rPr>
        <w:t xml:space="preserve"> </w:t>
      </w:r>
      <w:r>
        <w:rPr>
          <w:bCs/>
          <w:noProof/>
          <w:color w:val="000000" w:themeColor="text1"/>
        </w:rPr>
        <w:t xml:space="preserve">provedbi </w:t>
      </w:r>
      <w:r>
        <w:rPr>
          <w:noProof/>
          <w:color w:val="000000" w:themeColor="text1"/>
        </w:rPr>
        <w:t xml:space="preserve">strategije i redovito će o njoj obavješćivati </w:t>
      </w:r>
      <w:r>
        <w:rPr>
          <w:bCs/>
          <w:noProof/>
          <w:color w:val="000000" w:themeColor="text1"/>
        </w:rPr>
        <w:t>Vijeće i Parlament</w:t>
      </w:r>
      <w:r>
        <w:rPr>
          <w:noProof/>
          <w:color w:val="000000" w:themeColor="text1"/>
        </w:rPr>
        <w:t>.</w:t>
      </w:r>
    </w:p>
    <w:p w:rsidR="00221889" w:rsidRPr="009838B7" w:rsidRDefault="00221889" w:rsidP="00221889">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Na temelju uspjeha Europskog foruma povezivosti 2019. na kojem su sudjelovale neke partnerske zemlje EU-a i ključni dionici EU će organizirati redovite sastanke </w:t>
      </w:r>
      <w:r>
        <w:rPr>
          <w:rFonts w:ascii="Times New Roman" w:hAnsi="Times New Roman"/>
          <w:b/>
          <w:bCs/>
          <w:noProof/>
          <w:color w:val="000000" w:themeColor="text1"/>
          <w:sz w:val="24"/>
          <w:szCs w:val="24"/>
        </w:rPr>
        <w:t>Foruma Global Gateway</w:t>
      </w:r>
      <w:r>
        <w:rPr>
          <w:rFonts w:ascii="Times New Roman" w:hAnsi="Times New Roman"/>
          <w:bCs/>
          <w:noProof/>
          <w:color w:val="000000" w:themeColor="text1"/>
          <w:sz w:val="24"/>
          <w:szCs w:val="24"/>
        </w:rPr>
        <w:t>.</w:t>
      </w:r>
      <w:r>
        <w:rPr>
          <w:rFonts w:ascii="Times New Roman" w:hAnsi="Times New Roman"/>
          <w:noProof/>
          <w:sz w:val="24"/>
          <w:szCs w:val="24"/>
        </w:rPr>
        <w:t xml:space="preserve"> Komisija će u </w:t>
      </w:r>
      <w:r>
        <w:rPr>
          <w:rFonts w:ascii="Times New Roman" w:hAnsi="Times New Roman"/>
          <w:b/>
          <w:bCs/>
          <w:noProof/>
          <w:color w:val="000000" w:themeColor="text1"/>
          <w:sz w:val="24"/>
          <w:szCs w:val="24"/>
        </w:rPr>
        <w:t>lipnju 2022. organizirati sastanak s dionicima</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 xml:space="preserve">kako bi razmotrili napredak ostvaren u provedbi strategije Global Gateway i razgovarali o daljnjim koracima. </w:t>
      </w:r>
    </w:p>
    <w:p w:rsidR="000D54BC" w:rsidRPr="00071DCC" w:rsidRDefault="000D54BC" w:rsidP="00644243">
      <w:pPr>
        <w:pStyle w:val="Body"/>
        <w:rPr>
          <w:noProof/>
        </w:rPr>
      </w:pPr>
    </w:p>
    <w:sectPr w:rsidR="000D54BC" w:rsidRPr="00071DCC"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D6F" w:rsidRDefault="003D0D6F">
      <w:r>
        <w:separator/>
      </w:r>
    </w:p>
  </w:endnote>
  <w:endnote w:type="continuationSeparator" w:id="0">
    <w:p w:rsidR="003D0D6F" w:rsidRDefault="003D0D6F">
      <w:r>
        <w:continuationSeparator/>
      </w:r>
    </w:p>
  </w:endnote>
  <w:endnote w:type="continuationNotice" w:id="1">
    <w:p w:rsidR="003D0D6F" w:rsidRDefault="003D0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195" w:rsidRPr="00032195" w:rsidRDefault="00032195" w:rsidP="00032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E03" w:rsidRPr="00032195" w:rsidRDefault="00032195" w:rsidP="00032195">
    <w:pPr>
      <w:pStyle w:val="FooterCoverPage"/>
      <w:rPr>
        <w:rFonts w:ascii="Arial" w:hAnsi="Arial" w:cs="Arial"/>
        <w:b/>
        <w:sz w:val="48"/>
      </w:rPr>
    </w:pPr>
    <w:r w:rsidRPr="00032195">
      <w:rPr>
        <w:rFonts w:ascii="Arial" w:hAnsi="Arial" w:cs="Arial"/>
        <w:b/>
        <w:sz w:val="48"/>
      </w:rPr>
      <w:t>HR</w:t>
    </w:r>
    <w:r w:rsidRPr="00032195">
      <w:rPr>
        <w:rFonts w:ascii="Arial" w:hAnsi="Arial" w:cs="Arial"/>
        <w:b/>
        <w:sz w:val="48"/>
      </w:rPr>
      <w:tab/>
    </w:r>
    <w:r w:rsidRPr="00032195">
      <w:rPr>
        <w:rFonts w:ascii="Arial" w:hAnsi="Arial" w:cs="Arial"/>
        <w:b/>
        <w:sz w:val="48"/>
      </w:rPr>
      <w:tab/>
    </w:r>
    <w:r w:rsidRPr="00032195">
      <w:tab/>
    </w:r>
    <w:r w:rsidRPr="00032195">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195" w:rsidRPr="00032195" w:rsidRDefault="00032195" w:rsidP="0003219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032195">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D6F" w:rsidRDefault="003D0D6F">
      <w:r>
        <w:separator/>
      </w:r>
    </w:p>
  </w:footnote>
  <w:footnote w:type="continuationSeparator" w:id="0">
    <w:p w:rsidR="003D0D6F" w:rsidRDefault="003D0D6F">
      <w:r>
        <w:continuationSeparator/>
      </w:r>
    </w:p>
  </w:footnote>
  <w:footnote w:type="continuationNotice" w:id="1">
    <w:p w:rsidR="003D0D6F" w:rsidRDefault="003D0D6F"/>
  </w:footnote>
  <w:footnote w:id="2">
    <w:p w:rsidR="00F73C7F" w:rsidRDefault="00F73C7F" w:rsidP="00623B2A">
      <w:pPr>
        <w:pStyle w:val="FootnoteText"/>
        <w:jc w:val="both"/>
      </w:pPr>
      <w:r>
        <w:rPr>
          <w:rFonts w:ascii="Times New Roman" w:eastAsia="Times New Roman" w:hAnsi="Times New Roman" w:cs="Times New Roman"/>
          <w:b/>
          <w:bCs/>
          <w:sz w:val="24"/>
          <w:szCs w:val="24"/>
          <w:vertAlign w:val="superscript"/>
        </w:rPr>
        <w:footnoteRef/>
      </w:r>
      <w:r>
        <w:rPr>
          <w:rFonts w:ascii="Times New Roman" w:hAnsi="Times New Roman"/>
        </w:rPr>
        <w:t xml:space="preserve"> Centar za globalnu infrastrukturu: </w:t>
      </w:r>
      <w:hyperlink r:id="rId1" w:history="1">
        <w:r>
          <w:rPr>
            <w:rStyle w:val="Hyperlink0"/>
            <w:rFonts w:eastAsia="Calibri"/>
          </w:rPr>
          <w:t>https://outlook.gihub.org/</w:t>
        </w:r>
      </w:hyperlink>
      <w:r>
        <w:t>.</w:t>
      </w:r>
      <w:r>
        <w:rPr>
          <w:rFonts w:ascii="Times New Roman" w:hAnsi="Times New Roman"/>
        </w:rPr>
        <w:t xml:space="preserve"> </w:t>
      </w:r>
    </w:p>
  </w:footnote>
  <w:footnote w:id="3">
    <w:p w:rsidR="00F73C7F" w:rsidRDefault="00F73C7F" w:rsidP="00623B2A">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Rozenberg, Julie; Fay, Marianne, 2019., </w:t>
      </w:r>
      <w:r>
        <w:rPr>
          <w:rFonts w:ascii="Times New Roman" w:hAnsi="Times New Roman"/>
          <w:i/>
          <w:iCs/>
        </w:rPr>
        <w:t>Beyond the Gap: How Countries Can Afford the Infrastructure They Need while Protecting the Planet</w:t>
      </w:r>
      <w:r>
        <w:rPr>
          <w:rFonts w:ascii="Times New Roman" w:hAnsi="Times New Roman"/>
        </w:rPr>
        <w:t xml:space="preserve"> (Premošćivanje investicijskog jaza: kako zemlje mogu izgraditi infrastrukturu koja im je potrebna i istodobno zaštititi planet), Washington, DC: Svjetska banka. </w:t>
      </w:r>
    </w:p>
  </w:footnote>
  <w:footnote w:id="4">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Zaključci Vijeća 10629/21 „Globalno povezana Europa” od 12. srpnja 2021.</w:t>
      </w:r>
    </w:p>
  </w:footnote>
  <w:footnote w:id="5">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hyperlink r:id="rId2">
        <w:r>
          <w:rPr>
            <w:rStyle w:val="Hyperlink0"/>
            <w:rFonts w:eastAsia="Calibri"/>
          </w:rPr>
          <w:t>https://ec.europa.eu/commission/presscorner/detail/en/statement_21_5767</w:t>
        </w:r>
      </w:hyperlink>
      <w:r>
        <w:rPr>
          <w:rFonts w:ascii="Times New Roman" w:hAnsi="Times New Roman"/>
        </w:rPr>
        <w:t xml:space="preserve"> </w:t>
      </w:r>
    </w:p>
  </w:footnote>
  <w:footnote w:id="6">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Komunikacija „Gospodarski i investicijski plan za zapadni Balkan”, COM(2020) 641 final.</w:t>
      </w:r>
    </w:p>
  </w:footnote>
  <w:footnote w:id="7">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Zajednička komunikacija „Jačanje otpornosti – Istočno partnerstvo koje donosi koristi za sve”, JOIN(2020) 7 final i zajednički radni dokument službi „Oporavak, otpornost i reforma: prioriteti Istočnog partnerstva nakon 2020.”, SWD(2021) 186 final.</w:t>
      </w:r>
    </w:p>
  </w:footnote>
  <w:footnote w:id="8">
    <w:p w:rsidR="00095B4D" w:rsidRPr="004A0D05" w:rsidRDefault="00095B4D" w:rsidP="00024C9D">
      <w:pPr>
        <w:pStyle w:val="FootnoteText"/>
        <w:jc w:val="both"/>
      </w:pPr>
      <w:r>
        <w:rPr>
          <w:rStyle w:val="FootnoteReference"/>
          <w:rFonts w:ascii="Times New Roman" w:hAnsi="Times New Roman" w:cs="Times New Roman"/>
        </w:rPr>
        <w:footnoteRef/>
      </w:r>
      <w:r>
        <w:rPr>
          <w:rFonts w:ascii="Times New Roman" w:hAnsi="Times New Roman"/>
        </w:rPr>
        <w:t xml:space="preserve"> Zajednička komunikacija „Obnovljeno partnerstvo s južnim susjedstvom – Nova agenda za Sredozemlje”, JOIN(2021) 2 final, i zajednički radni dokument službi „Obnovljeno partnerstvo s južnim susjedstvom – Gospodarski i investicijski plan za južno susjedstvo”, SWD(2021) 23 final.</w:t>
      </w:r>
    </w:p>
  </w:footnote>
  <w:footnote w:id="9">
    <w:p w:rsidR="00F73C7F" w:rsidRPr="003772D6" w:rsidRDefault="00F73C7F" w:rsidP="003772D6">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rPr>
        <w:t xml:space="preserve"> Komunikacija Komisije „Digitalni kompas 2030.: europski pristup za digitalno desetljeće”, COM(2021) 118 final, 9.3.2021.</w:t>
      </w:r>
    </w:p>
  </w:footnote>
  <w:footnote w:id="10">
    <w:p w:rsidR="00B64130" w:rsidRDefault="00F73C7F" w:rsidP="00B64130">
      <w:r>
        <w:rPr>
          <w:sz w:val="20"/>
          <w:szCs w:val="20"/>
          <w:vertAlign w:val="superscript"/>
          <w:lang w:val="en-IE"/>
        </w:rPr>
        <w:footnoteRef/>
      </w:r>
      <w:r>
        <w:rPr>
          <w:sz w:val="20"/>
          <w:szCs w:val="20"/>
        </w:rPr>
        <w:t xml:space="preserve"> Kruk, Margaret E.; Gage, Anna D.; Joseph, Naima T.; Danaei, Goodarz; García-Saisó, Sebastián; Salomon, Joshua A.,</w:t>
      </w:r>
      <w:r>
        <w:rPr>
          <w:i/>
          <w:iCs/>
          <w:sz w:val="20"/>
          <w:szCs w:val="20"/>
        </w:rPr>
        <w:t xml:space="preserve"> Mortality due to low-quality health systems in the universal health coverage era: a systematic analysis of amenable deaths in 137 countries</w:t>
      </w:r>
      <w:r>
        <w:rPr>
          <w:sz w:val="20"/>
          <w:szCs w:val="20"/>
        </w:rPr>
        <w:t xml:space="preserve"> (Smrtnost zbog slabe kvalitete zdravstvenih sustava u doba univerzalnog zdravstvenog osiguranja: sustavna analiza smrtnih slučajeva koji se mogu izbjeći uz odgovarajuću zdravstvenu skrb u 137 zemalja), The Lancet 392.10160 (2018.), str. 2203.–2212., </w:t>
      </w:r>
      <w:hyperlink r:id="rId3" w:history="1">
        <w:r>
          <w:rPr>
            <w:rStyle w:val="Hyperlink"/>
            <w:sz w:val="20"/>
            <w:szCs w:val="20"/>
          </w:rPr>
          <w:t>https://doi.org/10.1016/S0140-6736(18)31668-4</w:t>
        </w:r>
      </w:hyperlink>
      <w:r>
        <w:rPr>
          <w:sz w:val="20"/>
          <w:szCs w:val="20"/>
        </w:rPr>
        <w:t>.</w:t>
      </w:r>
    </w:p>
    <w:p w:rsidR="00F73C7F" w:rsidRPr="00071DCC" w:rsidRDefault="00F73C7F" w:rsidP="00A358E3">
      <w:pPr>
        <w:jc w:val="both"/>
        <w:rPr>
          <w:rFonts w:eastAsia="Times New Roman"/>
          <w:sz w:val="20"/>
          <w:szCs w:val="20"/>
        </w:rPr>
      </w:pPr>
    </w:p>
  </w:footnote>
  <w:footnote w:id="11">
    <w:p w:rsidR="002B4EA4" w:rsidRPr="00A358E3" w:rsidRDefault="002B4EA4" w:rsidP="002B4EA4">
      <w:pPr>
        <w:spacing w:line="259" w:lineRule="auto"/>
        <w:jc w:val="both"/>
        <w:rPr>
          <w:rFonts w:eastAsia="Times New Roman"/>
          <w:sz w:val="20"/>
          <w:szCs w:val="20"/>
        </w:rPr>
      </w:pPr>
      <w:r>
        <w:rPr>
          <w:rStyle w:val="FootnoteReference"/>
          <w:sz w:val="20"/>
          <w:szCs w:val="20"/>
        </w:rPr>
        <w:footnoteRef/>
      </w:r>
      <w:r>
        <w:rPr>
          <w:sz w:val="20"/>
          <w:szCs w:val="20"/>
        </w:rPr>
        <w:t xml:space="preserve"> Komisija predlaže novu inicijativu Global Gateway kako bi odgovorila na znatno povećanje ulaganja koje se financira iz proračuna EU-a. Stavit će na raspolaganje dodatnih 750 milijuna EUR u razdoblju 2022.–2027. u godišnjim tranšama pod uvjetom da i EIB uloži sredstva u skladu s odgovarajućim dogovorom i da se provedba tih projekata odvija prema planu. U tu svrhu hitno treba unaprijediti rad na identifikaciji i procjeni projekata. Komisija predlaže da se to evaluira 2024. kako bi se prema potrebi povećao proračun.</w:t>
      </w:r>
    </w:p>
    <w:p w:rsidR="002B4EA4" w:rsidRPr="00492062" w:rsidRDefault="002B4E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195" w:rsidRPr="00032195" w:rsidRDefault="00032195" w:rsidP="00032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195" w:rsidRPr="00032195" w:rsidRDefault="00032195" w:rsidP="0003219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195" w:rsidRPr="00032195" w:rsidRDefault="00032195" w:rsidP="0003219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55ECCD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B2BA4C0-9787-4257-8254-E4E7E6A8CBF7"/>
    <w:docVar w:name="LW_COVERPAGE_TYPE" w:val="1"/>
    <w:docVar w:name="LW_CROSSREFERENCE" w:val="&lt;UNUSED&gt;"/>
    <w:docVar w:name="LW_DocType" w:val="NORMAL"/>
    <w:docVar w:name="LW_EMISSION" w:val="1.12.2021."/>
    <w:docVar w:name="LW_EMISSION_ISODATE" w:val="2021-12-01"/>
    <w:docVar w:name="LW_EMISSION_LOCATION" w:val="BRX"/>
    <w:docVar w:name="LW_EMISSION_PREFIX" w:val="Bruxelles, "/>
    <w:docVar w:name="LW_EMISSION_SUFFIX" w:val="&lt;EMPTY&gt;"/>
    <w:docVar w:name="LW_ID_DOCTYPE_NONLW" w:val="CP-042"/>
    <w:docVar w:name="LW_LANGUE" w:val="HR"/>
    <w:docVar w:name="LW_LEVEL_OF_SENSITIVITY" w:val="Standard treatment"/>
    <w:docVar w:name="LW_NOM.INST" w:val="EUROPSKA KOMISIJA"/>
    <w:docVar w:name="LW_NOM.INST_JOINTDOC" w:val="VISOKI PREDSTAVNIK_x000b_UNIJE ZA VANJSKE_x000b_ POSLOVE I _x000b_SIGURNOSNU POLITIKU"/>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lobal Gateway"/>
    <w:docVar w:name="LW_TYPE.DOC.CP" w:val="Zajednička komunikacija Europskog parlamenta, Vijeća, Europskog gospodarskog i socijalnog odbora, Odbora regija i Europske investicijske banke"/>
    <w:docVar w:name="LwApiVersions" w:val="LW4CoDe 1.23.2.0; LW 8.0, Build 20211117"/>
  </w:docVars>
  <w:rsids>
    <w:rsidRoot w:val="0022089A"/>
    <w:rsid w:val="00004917"/>
    <w:rsid w:val="00005C22"/>
    <w:rsid w:val="00005D39"/>
    <w:rsid w:val="0000D59E"/>
    <w:rsid w:val="00021CB2"/>
    <w:rsid w:val="00022E42"/>
    <w:rsid w:val="00023CCB"/>
    <w:rsid w:val="00024C9D"/>
    <w:rsid w:val="00032195"/>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1DCC"/>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6FD6"/>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C77E9"/>
    <w:rsid w:val="001D0664"/>
    <w:rsid w:val="001D0779"/>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5B35"/>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55B4"/>
    <w:rsid w:val="00346F94"/>
    <w:rsid w:val="0035412A"/>
    <w:rsid w:val="00354193"/>
    <w:rsid w:val="003544A4"/>
    <w:rsid w:val="00354817"/>
    <w:rsid w:val="00354B8E"/>
    <w:rsid w:val="003609D4"/>
    <w:rsid w:val="00362CC2"/>
    <w:rsid w:val="00371606"/>
    <w:rsid w:val="003737B4"/>
    <w:rsid w:val="003747ED"/>
    <w:rsid w:val="003766BC"/>
    <w:rsid w:val="003772D6"/>
    <w:rsid w:val="00381BC6"/>
    <w:rsid w:val="00383C4E"/>
    <w:rsid w:val="00383F4C"/>
    <w:rsid w:val="0038471B"/>
    <w:rsid w:val="00386747"/>
    <w:rsid w:val="00391193"/>
    <w:rsid w:val="00391337"/>
    <w:rsid w:val="00391BCC"/>
    <w:rsid w:val="00394937"/>
    <w:rsid w:val="003971C3"/>
    <w:rsid w:val="003A0CFF"/>
    <w:rsid w:val="003A1593"/>
    <w:rsid w:val="003A1942"/>
    <w:rsid w:val="003A64C3"/>
    <w:rsid w:val="003B0280"/>
    <w:rsid w:val="003B109B"/>
    <w:rsid w:val="003B32E1"/>
    <w:rsid w:val="003C1916"/>
    <w:rsid w:val="003C779C"/>
    <w:rsid w:val="003D0D6F"/>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3B8"/>
    <w:rsid w:val="005B44C5"/>
    <w:rsid w:val="005B4D3C"/>
    <w:rsid w:val="005C2C16"/>
    <w:rsid w:val="005C5005"/>
    <w:rsid w:val="005C6239"/>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4FE1"/>
    <w:rsid w:val="006E5231"/>
    <w:rsid w:val="006E77D5"/>
    <w:rsid w:val="006F0A2C"/>
    <w:rsid w:val="006F0A38"/>
    <w:rsid w:val="006F2207"/>
    <w:rsid w:val="006F2E7D"/>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91AF7"/>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2976"/>
    <w:rsid w:val="008D73FE"/>
    <w:rsid w:val="008E139F"/>
    <w:rsid w:val="008E55AF"/>
    <w:rsid w:val="008F051F"/>
    <w:rsid w:val="008F3A63"/>
    <w:rsid w:val="008F681D"/>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E1907"/>
    <w:rsid w:val="009E2600"/>
    <w:rsid w:val="009E5C2E"/>
    <w:rsid w:val="009E607C"/>
    <w:rsid w:val="009F1281"/>
    <w:rsid w:val="009F1557"/>
    <w:rsid w:val="009F2B64"/>
    <w:rsid w:val="009F2FE7"/>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402D9"/>
    <w:rsid w:val="00B42FD1"/>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6B18"/>
    <w:rsid w:val="00B9758F"/>
    <w:rsid w:val="00BA15B4"/>
    <w:rsid w:val="00BA679E"/>
    <w:rsid w:val="00BB2267"/>
    <w:rsid w:val="00BB2DB3"/>
    <w:rsid w:val="00BB2E23"/>
    <w:rsid w:val="00BB2F82"/>
    <w:rsid w:val="00BB36AF"/>
    <w:rsid w:val="00BB37EB"/>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CF7E03"/>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1399"/>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75F4"/>
    <w:rsid w:val="00F521A7"/>
    <w:rsid w:val="00F52D16"/>
    <w:rsid w:val="00F55800"/>
    <w:rsid w:val="00F57E76"/>
    <w:rsid w:val="00F6060E"/>
    <w:rsid w:val="00F62A80"/>
    <w:rsid w:val="00F63A9C"/>
    <w:rsid w:val="00F718D1"/>
    <w:rsid w:val="00F73C7F"/>
    <w:rsid w:val="00F73CF1"/>
    <w:rsid w:val="00F74074"/>
    <w:rsid w:val="00F75D02"/>
    <w:rsid w:val="00F778DD"/>
    <w:rsid w:val="00F8040F"/>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hr-HR"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hr-HR"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hr-HR"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hr-HR"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hr-HR"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hr-HR"/>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hr-HR"/>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hr-HR"/>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hr-HR"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en/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3.xml><?xml version="1.0" encoding="utf-8"?>
<ds:datastoreItem xmlns:ds="http://schemas.openxmlformats.org/officeDocument/2006/customXml" ds:itemID="{72E2FE93-9CFD-45A6-A69B-DC09107CDD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B7425A-1C0F-4771-890D-E3A4B922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5523</Words>
  <Characters>34304</Characters>
  <Application>Microsoft Office Word</Application>
  <DocSecurity>0</DocSecurity>
  <Lines>544</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28</cp:revision>
  <cp:lastPrinted>2021-11-30T09:25:00Z</cp:lastPrinted>
  <dcterms:created xsi:type="dcterms:W3CDTF">2021-11-30T18:47:00Z</dcterms:created>
  <dcterms:modified xsi:type="dcterms:W3CDTF">2021-12-15T21:51:00Z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ContentTypeId">
    <vt:lpwstr>0x010100145173D67C871A429D9A58E9AC77F1F6</vt:lpwstr>
  </property>
  <property name="OP_sanitized" fmtid="{D5CDD505-2E9C-101B-9397-08002B2CF9AE}" pid="10">
    <vt:lpwstr>True</vt:lpwstr>
  </property>
</Properties>
</file>