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5A" w:rsidRPr="0029272A" w:rsidRDefault="00DA14E3" w:rsidP="00DA14E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F353457-41E4-41D0-BE26-79C774017F27" style="width:455.25pt;height:405.75pt">
            <v:imagedata r:id="rId11" o:title=""/>
          </v:shape>
        </w:pict>
      </w:r>
    </w:p>
    <w:bookmarkEnd w:id="0"/>
    <w:p w:rsidR="00D8285A" w:rsidRPr="0029272A" w:rsidRDefault="00D8285A" w:rsidP="00D8285A">
      <w:pPr>
        <w:rPr>
          <w:noProof/>
        </w:rPr>
        <w:sectPr w:rsidR="00D8285A" w:rsidRPr="0029272A" w:rsidSect="00DA14E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DF6261" w:rsidRPr="0029272A" w:rsidRDefault="00DF6261" w:rsidP="00DF6261">
      <w:pPr>
        <w:pStyle w:val="Pagedecouverture"/>
        <w:rPr>
          <w:noProof/>
        </w:rPr>
      </w:pPr>
      <w:bookmarkStart w:id="1" w:name="_GoBack"/>
      <w:bookmarkEnd w:id="1"/>
    </w:p>
    <w:p w:rsidR="00DF6261" w:rsidRPr="0029272A" w:rsidRDefault="00DF6261" w:rsidP="00DF6261">
      <w:pPr>
        <w:spacing w:after="240" w:line="360" w:lineRule="auto"/>
        <w:ind w:left="567"/>
        <w:jc w:val="both"/>
        <w:rPr>
          <w:rFonts w:ascii="Times New Roman" w:hAnsi="Times New Roman" w:cs="Times New Roman"/>
          <w:i/>
          <w:noProof/>
          <w:sz w:val="24"/>
          <w:szCs w:val="24"/>
        </w:rPr>
      </w:pPr>
      <w:r w:rsidRPr="0029272A">
        <w:rPr>
          <w:rFonts w:ascii="Times New Roman" w:hAnsi="Times New Roman"/>
          <w:noProof/>
          <w:sz w:val="24"/>
          <w:szCs w:val="24"/>
        </w:rPr>
        <w:t>„Ovo je desetljeće u kojem će se odlučiti hoćemo li uspjeti u borbi protiv klimatske krize i krize bioraznolikosti.</w:t>
      </w:r>
      <w:r w:rsidRPr="0029272A">
        <w:rPr>
          <w:rFonts w:ascii="Times New Roman" w:hAnsi="Times New Roman"/>
          <w:i/>
          <w:noProof/>
          <w:sz w:val="24"/>
          <w:szCs w:val="24"/>
        </w:rPr>
        <w:t xml:space="preserve"> </w:t>
      </w:r>
      <w:r w:rsidRPr="0029272A">
        <w:rPr>
          <w:rFonts w:ascii="Times New Roman" w:hAnsi="Times New Roman"/>
          <w:noProof/>
          <w:sz w:val="24"/>
          <w:szCs w:val="24"/>
        </w:rPr>
        <w:t>Čak 90 % Europljana smatra da bi trebalo poduzeti mjere za smanjenje naših emisija i postizanje klimatske neutralnosti Europske unije do 2050.</w:t>
      </w:r>
      <w:r w:rsidRPr="0029272A">
        <w:rPr>
          <w:rFonts w:ascii="Times New Roman" w:hAnsi="Times New Roman"/>
          <w:i/>
          <w:noProof/>
          <w:sz w:val="24"/>
          <w:szCs w:val="24"/>
        </w:rPr>
        <w:t xml:space="preserve"> </w:t>
      </w:r>
      <w:r w:rsidRPr="0029272A">
        <w:rPr>
          <w:rFonts w:ascii="Times New Roman" w:hAnsi="Times New Roman"/>
          <w:noProof/>
          <w:sz w:val="24"/>
          <w:szCs w:val="24"/>
        </w:rPr>
        <w:t>EU je postavio ambiciozne ciljeve, a Komisija je put do njihova ostvarivanja utvrdila u svojim prijedlozima.</w:t>
      </w:r>
      <w:r w:rsidRPr="0029272A">
        <w:rPr>
          <w:rFonts w:ascii="Times New Roman" w:hAnsi="Times New Roman"/>
          <w:i/>
          <w:noProof/>
          <w:sz w:val="24"/>
          <w:szCs w:val="24"/>
        </w:rPr>
        <w:t xml:space="preserve"> </w:t>
      </w:r>
      <w:r w:rsidRPr="0029272A">
        <w:rPr>
          <w:rFonts w:ascii="Times New Roman" w:hAnsi="Times New Roman"/>
          <w:noProof/>
          <w:sz w:val="24"/>
          <w:szCs w:val="24"/>
        </w:rPr>
        <w:t>Zelena i zdrava budućnost za sve iziskuje intenzivan rad svakog sektora i svake države članice.</w:t>
      </w:r>
      <w:r w:rsidRPr="0029272A">
        <w:rPr>
          <w:rFonts w:ascii="Times New Roman" w:hAnsi="Times New Roman"/>
          <w:i/>
          <w:noProof/>
          <w:sz w:val="24"/>
          <w:szCs w:val="24"/>
        </w:rPr>
        <w:t xml:space="preserve"> </w:t>
      </w:r>
      <w:r w:rsidRPr="0029272A">
        <w:rPr>
          <w:rFonts w:ascii="Times New Roman" w:hAnsi="Times New Roman"/>
          <w:noProof/>
          <w:sz w:val="24"/>
          <w:szCs w:val="24"/>
        </w:rPr>
        <w:t>Europska tranzicija bit će p</w:t>
      </w:r>
      <w:r w:rsidR="00097BA9">
        <w:rPr>
          <w:rFonts w:ascii="Times New Roman" w:hAnsi="Times New Roman"/>
          <w:noProof/>
          <w:sz w:val="24"/>
          <w:szCs w:val="24"/>
        </w:rPr>
        <w:t>ravedna</w:t>
      </w:r>
      <w:r w:rsidRPr="0029272A">
        <w:rPr>
          <w:rFonts w:ascii="Times New Roman" w:hAnsi="Times New Roman"/>
          <w:noProof/>
          <w:sz w:val="24"/>
          <w:szCs w:val="24"/>
        </w:rPr>
        <w:t>, zelena i konkurentna.”</w:t>
      </w:r>
    </w:p>
    <w:p w:rsidR="00DF6261" w:rsidRPr="0029272A" w:rsidRDefault="00DF6261" w:rsidP="00DF6261">
      <w:pPr>
        <w:spacing w:after="120" w:line="240" w:lineRule="auto"/>
        <w:ind w:left="567"/>
        <w:jc w:val="both"/>
        <w:rPr>
          <w:rFonts w:ascii="Times New Roman" w:hAnsi="Times New Roman" w:cs="Times New Roman"/>
          <w:noProof/>
          <w:sz w:val="24"/>
          <w:szCs w:val="24"/>
        </w:rPr>
      </w:pPr>
    </w:p>
    <w:p w:rsidR="00DF6261" w:rsidRPr="0029272A" w:rsidRDefault="00DF6261" w:rsidP="00D1350D">
      <w:pPr>
        <w:pStyle w:val="Heading1"/>
        <w:numPr>
          <w:ilvl w:val="0"/>
          <w:numId w:val="0"/>
        </w:numPr>
        <w:spacing w:line="240" w:lineRule="auto"/>
        <w:ind w:left="567" w:right="522"/>
        <w:jc w:val="both"/>
        <w:rPr>
          <w:b w:val="0"/>
          <w:i/>
          <w:noProof/>
        </w:rPr>
      </w:pPr>
      <w:r w:rsidRPr="0029272A">
        <w:rPr>
          <w:noProof/>
        </w:rPr>
        <w:t>Frans Timmermans</w:t>
      </w:r>
      <w:r w:rsidRPr="0029272A">
        <w:rPr>
          <w:b w:val="0"/>
          <w:noProof/>
        </w:rPr>
        <w:t>,</w:t>
      </w:r>
      <w:r w:rsidRPr="0029272A">
        <w:rPr>
          <w:noProof/>
          <w:shd w:val="clear" w:color="auto" w:fill="FFFFFF"/>
        </w:rPr>
        <w:t xml:space="preserve"> </w:t>
      </w:r>
      <w:r w:rsidRPr="0029272A">
        <w:rPr>
          <w:b w:val="0"/>
          <w:noProof/>
          <w:shd w:val="clear" w:color="auto" w:fill="FFFFFF"/>
        </w:rPr>
        <w:t>izvršni potpredsjednik za europski zeleni plan</w:t>
      </w:r>
    </w:p>
    <w:p w:rsidR="00DF6261" w:rsidRPr="0029272A" w:rsidRDefault="00DF6261" w:rsidP="00DF6261">
      <w:pPr>
        <w:spacing w:after="120" w:line="240" w:lineRule="auto"/>
        <w:ind w:left="567"/>
        <w:jc w:val="both"/>
        <w:rPr>
          <w:rFonts w:ascii="Times New Roman" w:hAnsi="Times New Roman" w:cs="Times New Roman"/>
          <w:noProof/>
          <w:sz w:val="24"/>
          <w:szCs w:val="24"/>
        </w:rPr>
      </w:pPr>
    </w:p>
    <w:p w:rsidR="00DF6261" w:rsidRPr="0029272A" w:rsidRDefault="00DF6261" w:rsidP="00DF6261">
      <w:pPr>
        <w:spacing w:line="240" w:lineRule="auto"/>
        <w:jc w:val="both"/>
        <w:rPr>
          <w:noProof/>
          <w:lang w:eastAsia="en-GB"/>
        </w:rPr>
      </w:pPr>
    </w:p>
    <w:p w:rsidR="00DF6261" w:rsidRPr="0029272A" w:rsidRDefault="00DF6261" w:rsidP="00DF6261">
      <w:pPr>
        <w:spacing w:line="240" w:lineRule="auto"/>
        <w:jc w:val="both"/>
        <w:rPr>
          <w:noProof/>
          <w:lang w:eastAsia="en-GB"/>
        </w:rPr>
      </w:pPr>
    </w:p>
    <w:p w:rsidR="00DF6261" w:rsidRPr="0029272A" w:rsidRDefault="00DF6261" w:rsidP="00DF6261">
      <w:pPr>
        <w:jc w:val="both"/>
        <w:rPr>
          <w:noProof/>
        </w:rPr>
      </w:pPr>
      <w:r w:rsidRPr="0029272A">
        <w:rPr>
          <w:noProof/>
        </w:rPr>
        <w:br w:type="page"/>
      </w:r>
    </w:p>
    <w:p w:rsidR="00DF6261" w:rsidRPr="0029272A" w:rsidRDefault="00DF6261" w:rsidP="00DF6261">
      <w:pPr>
        <w:spacing w:line="240" w:lineRule="auto"/>
        <w:jc w:val="both"/>
        <w:rPr>
          <w:noProof/>
          <w:lang w:eastAsia="en-GB"/>
        </w:rPr>
      </w:pPr>
    </w:p>
    <w:p w:rsidR="00DF6261" w:rsidRPr="0029272A" w:rsidRDefault="00DF6261" w:rsidP="00DF6261">
      <w:pPr>
        <w:pStyle w:val="Heading1"/>
        <w:spacing w:before="0" w:after="120" w:line="240" w:lineRule="auto"/>
        <w:ind w:left="714" w:hanging="357"/>
        <w:jc w:val="both"/>
        <w:rPr>
          <w:noProof/>
          <w:szCs w:val="24"/>
        </w:rPr>
      </w:pPr>
      <w:r w:rsidRPr="0029272A">
        <w:rPr>
          <w:noProof/>
        </w:rPr>
        <w:t>ISPUNJAVANJE MEĐUNARODNIH OBVEZA EU-a</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EU je premašio svoj cilj smanjenja emisija stakleničkih plinova do 2020., čije je nezapamćeno smanjenje zabilježeno te godine zbog pandemije bolesti COVID-19.</w:t>
      </w:r>
    </w:p>
    <w:p w:rsidR="00685E44" w:rsidRPr="0029272A" w:rsidRDefault="00DF6261">
      <w:pPr>
        <w:spacing w:after="240" w:line="240" w:lineRule="auto"/>
        <w:jc w:val="both"/>
        <w:rPr>
          <w:rFonts w:ascii="Times New Roman" w:hAnsi="Times New Roman" w:cs="Times New Roman"/>
          <w:noProof/>
          <w:color w:val="000000"/>
          <w:sz w:val="24"/>
          <w:szCs w:val="24"/>
        </w:rPr>
      </w:pPr>
      <w:r w:rsidRPr="0029272A">
        <w:rPr>
          <w:rFonts w:ascii="Times New Roman" w:hAnsi="Times New Roman"/>
          <w:noProof/>
          <w:sz w:val="24"/>
          <w:szCs w:val="24"/>
        </w:rPr>
        <w:t>Emisije stakleničkih plinova u EU-27, uključujući međunarodni zračni promet</w:t>
      </w:r>
      <w:r w:rsidRPr="0029272A">
        <w:rPr>
          <w:rStyle w:val="FootnoteReference"/>
          <w:rFonts w:ascii="Times New Roman" w:hAnsi="Times New Roman" w:cs="Times New Roman"/>
          <w:noProof/>
          <w:sz w:val="24"/>
          <w:szCs w:val="24"/>
        </w:rPr>
        <w:footnoteReference w:id="2"/>
      </w:r>
      <w:r w:rsidRPr="0029272A">
        <w:rPr>
          <w:rFonts w:ascii="Times New Roman" w:hAnsi="Times New Roman"/>
          <w:noProof/>
          <w:sz w:val="24"/>
          <w:szCs w:val="24"/>
        </w:rPr>
        <w:t>, smanjile su se 2020. za 31 %</w:t>
      </w:r>
      <w:r w:rsidRPr="0029272A">
        <w:rPr>
          <w:rStyle w:val="FootnoteReference"/>
          <w:rFonts w:ascii="Times New Roman" w:hAnsi="Times New Roman" w:cs="Times New Roman"/>
          <w:noProof/>
          <w:sz w:val="24"/>
          <w:szCs w:val="24"/>
        </w:rPr>
        <w:footnoteReference w:id="3"/>
      </w:r>
      <w:r w:rsidRPr="0029272A">
        <w:rPr>
          <w:rFonts w:ascii="Times New Roman" w:hAnsi="Times New Roman"/>
          <w:noProof/>
          <w:sz w:val="24"/>
          <w:szCs w:val="24"/>
        </w:rPr>
        <w:t xml:space="preserve"> u odnosu na razine iz 1990. i time </w:t>
      </w:r>
      <w:r w:rsidRPr="0029272A">
        <w:rPr>
          <w:rFonts w:ascii="Times New Roman" w:hAnsi="Times New Roman"/>
          <w:b/>
          <w:noProof/>
          <w:sz w:val="24"/>
          <w:szCs w:val="24"/>
        </w:rPr>
        <w:t>dosegle svoju najnižu razinu u 30 godina</w:t>
      </w:r>
      <w:r w:rsidRPr="0029272A">
        <w:rPr>
          <w:rFonts w:ascii="Times New Roman" w:hAnsi="Times New Roman"/>
          <w:noProof/>
          <w:sz w:val="24"/>
          <w:szCs w:val="24"/>
        </w:rPr>
        <w:t>. Ako se uključe emisije i uklanjanje stakleničkih plinova iz korištenja zemljišta, prenamjene zemljišta i šumarstva (LULUCF), dobiva se neto smanjenje emisija od 34 %.</w:t>
      </w:r>
      <w:r w:rsidRPr="0029272A">
        <w:rPr>
          <w:rStyle w:val="FootnoteReference"/>
          <w:rFonts w:ascii="Times New Roman" w:hAnsi="Times New Roman" w:cs="Times New Roman"/>
          <w:noProof/>
          <w:sz w:val="24"/>
          <w:szCs w:val="24"/>
        </w:rPr>
        <w:footnoteReference w:id="4"/>
      </w:r>
      <w:r w:rsidRPr="0029272A">
        <w:rPr>
          <w:rFonts w:ascii="Times New Roman" w:hAnsi="Times New Roman"/>
          <w:noProof/>
          <w:sz w:val="24"/>
          <w:szCs w:val="24"/>
        </w:rPr>
        <w:t xml:space="preserve"> </w:t>
      </w:r>
      <w:r w:rsidRPr="0029272A">
        <w:rPr>
          <w:rFonts w:ascii="Times New Roman" w:hAnsi="Times New Roman"/>
          <w:b/>
          <w:noProof/>
          <w:sz w:val="24"/>
          <w:szCs w:val="24"/>
        </w:rPr>
        <w:t>EU je stoga znatno premašio svoj cilj iz Okvirne konvencije UN-a o promjeni klime</w:t>
      </w:r>
      <w:r w:rsidRPr="0029272A">
        <w:rPr>
          <w:rFonts w:ascii="Times New Roman" w:hAnsi="Times New Roman"/>
          <w:noProof/>
          <w:sz w:val="24"/>
          <w:szCs w:val="24"/>
        </w:rPr>
        <w:t xml:space="preserve"> </w:t>
      </w:r>
      <w:r w:rsidR="00F15BF4">
        <w:rPr>
          <w:rFonts w:ascii="Times New Roman" w:hAnsi="Times New Roman"/>
          <w:noProof/>
          <w:sz w:val="24"/>
          <w:szCs w:val="24"/>
        </w:rPr>
        <w:t>(</w:t>
      </w:r>
      <w:r w:rsidRPr="0029272A">
        <w:rPr>
          <w:rFonts w:ascii="Times New Roman" w:hAnsi="Times New Roman"/>
          <w:noProof/>
          <w:sz w:val="24"/>
          <w:szCs w:val="24"/>
        </w:rPr>
        <w:t>UNFCCC), tj. cilj smanjenja emisija stakleničkih plinova za 20 % do 2020. u usporedbi s 1990.</w:t>
      </w:r>
      <w:r w:rsidRPr="0029272A">
        <w:rPr>
          <w:rStyle w:val="FootnoteReference"/>
          <w:rFonts w:ascii="Times New Roman" w:hAnsi="Times New Roman" w:cs="Times New Roman"/>
          <w:noProof/>
          <w:sz w:val="24"/>
          <w:szCs w:val="24"/>
        </w:rPr>
        <w:footnoteReference w:id="5"/>
      </w:r>
      <w:r w:rsidRPr="0029272A">
        <w:rPr>
          <w:rFonts w:ascii="Times New Roman" w:hAnsi="Times New Roman"/>
          <w:noProof/>
          <w:sz w:val="24"/>
          <w:szCs w:val="24"/>
        </w:rPr>
        <w:t xml:space="preserve">. To je uspio i prije izbijanja pandemije bolesti COVID-19 jer je u proteklom desetljeću kontinuirano radio na dekarbonizaciji. </w:t>
      </w:r>
      <w:r w:rsidRPr="0029272A">
        <w:rPr>
          <w:rFonts w:ascii="Times New Roman" w:hAnsi="Times New Roman"/>
          <w:noProof/>
          <w:color w:val="000000"/>
          <w:sz w:val="24"/>
          <w:szCs w:val="24"/>
        </w:rPr>
        <w:t xml:space="preserve">Od uvođenja sustava EU-a za trgovanje emisijama (ETS EU-a) 2005. emisije u obuhvaćenim sektorima (proizvodnja energije, većina industrijske proizvodnje i letova u Europskom gospodarskom prostoru (EGP)) smanjile su se za otprilike 43 %, čime se znatno pridonijelo postizanju sveukupnog cilja EU-a za 2020. U sektorima koji nisu obuhvaćeni ETS-om (kao što su industrija koja nije obuhvaćena ETS-om, promet, zgrade, poljoprivreda i otpad) emisije su se smanjile za 16 % u odnosu na 2005., što znači da je premašen i cilj raspodjele tereta za 2020. (–10 %). Prema preliminarnom simuliranom obračunu u okviru Kyotskog protokola godišnji obračunani neto krediti iz LULUCF-a smanjili su se od 2013. do 2019. </w:t>
      </w:r>
    </w:p>
    <w:p w:rsidR="00DF6261" w:rsidRPr="0029272A" w:rsidRDefault="0060616F">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Od 1990. </w:t>
      </w:r>
      <w:r w:rsidRPr="0029272A">
        <w:rPr>
          <w:rFonts w:ascii="Times New Roman" w:hAnsi="Times New Roman"/>
          <w:b/>
          <w:noProof/>
          <w:sz w:val="24"/>
          <w:szCs w:val="24"/>
        </w:rPr>
        <w:t>ukupan BDP EU-a povećao se za više od 50 %</w:t>
      </w:r>
      <w:r w:rsidRPr="0029272A">
        <w:rPr>
          <w:rFonts w:ascii="Times New Roman" w:hAnsi="Times New Roman"/>
          <w:noProof/>
          <w:sz w:val="24"/>
          <w:szCs w:val="24"/>
        </w:rPr>
        <w:t>, dok se 2020. intenzitet emisija stakleničkih plinova gospodarstva, koji se definira kao omjer emisija i BDP-a</w:t>
      </w:r>
      <w:r w:rsidRPr="0029272A">
        <w:rPr>
          <w:rStyle w:val="FootnoteReference"/>
          <w:rFonts w:ascii="Times New Roman" w:hAnsi="Times New Roman" w:cs="Times New Roman"/>
          <w:noProof/>
          <w:sz w:val="24"/>
          <w:szCs w:val="24"/>
        </w:rPr>
        <w:footnoteReference w:id="6"/>
      </w:r>
      <w:r w:rsidRPr="0029272A">
        <w:rPr>
          <w:rFonts w:ascii="Times New Roman" w:hAnsi="Times New Roman"/>
          <w:noProof/>
          <w:sz w:val="24"/>
          <w:szCs w:val="24"/>
        </w:rPr>
        <w:t>, smanjio na 271 g ekvivalenta CO</w:t>
      </w:r>
      <w:r w:rsidRPr="0029272A">
        <w:rPr>
          <w:rFonts w:ascii="Times New Roman" w:hAnsi="Times New Roman"/>
          <w:noProof/>
          <w:sz w:val="24"/>
          <w:szCs w:val="24"/>
          <w:vertAlign w:val="subscript"/>
        </w:rPr>
        <w:t>2</w:t>
      </w:r>
      <w:r w:rsidRPr="0029272A">
        <w:rPr>
          <w:rFonts w:ascii="Times New Roman" w:hAnsi="Times New Roman"/>
          <w:noProof/>
          <w:sz w:val="24"/>
          <w:szCs w:val="24"/>
        </w:rPr>
        <w:t>/EUR</w:t>
      </w:r>
      <w:r w:rsidRPr="0029272A">
        <w:rPr>
          <w:rFonts w:ascii="Times New Roman" w:hAnsi="Times New Roman"/>
          <w:noProof/>
          <w:sz w:val="24"/>
          <w:szCs w:val="24"/>
          <w:vertAlign w:val="subscript"/>
        </w:rPr>
        <w:t>2015</w:t>
      </w:r>
      <w:r w:rsidR="002E6B5E">
        <w:rPr>
          <w:rFonts w:ascii="Times New Roman" w:hAnsi="Times New Roman"/>
          <w:noProof/>
          <w:sz w:val="24"/>
          <w:szCs w:val="24"/>
          <w:vertAlign w:val="subscript"/>
        </w:rPr>
        <w:t>.</w:t>
      </w:r>
      <w:r w:rsidRPr="0029272A">
        <w:rPr>
          <w:rFonts w:ascii="Times New Roman" w:hAnsi="Times New Roman"/>
          <w:noProof/>
          <w:sz w:val="24"/>
          <w:szCs w:val="24"/>
        </w:rPr>
        <w:t>, što je manje od polovine razine iz 1990. To pokazuje da dekarbonizacija i gospodarski rast mogu ići ruku pod ruku, kako je istaknuto u novoj strategiji rasta EU-a odnosno europskom zelenom planu</w:t>
      </w:r>
      <w:r w:rsidRPr="0029272A">
        <w:rPr>
          <w:rStyle w:val="FootnoteReference"/>
          <w:rFonts w:ascii="Times New Roman" w:hAnsi="Times New Roman" w:cs="Times New Roman"/>
          <w:noProof/>
          <w:color w:val="000000"/>
          <w:sz w:val="24"/>
          <w:szCs w:val="24"/>
        </w:rPr>
        <w:footnoteReference w:id="7"/>
      </w:r>
      <w:r w:rsidRPr="0029272A">
        <w:rPr>
          <w:rFonts w:ascii="Times New Roman" w:hAnsi="Times New Roman"/>
          <w:noProof/>
          <w:sz w:val="24"/>
          <w:szCs w:val="24"/>
        </w:rPr>
        <w:t>.</w:t>
      </w:r>
    </w:p>
    <w:p w:rsidR="00BE46EE"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Emisije stakleničkih plinova smanjile su se 2020. za gotovo 10 % u odnosu na 2019.,</w:t>
      </w:r>
      <w:r w:rsidRPr="0029272A">
        <w:rPr>
          <w:rFonts w:ascii="Times New Roman" w:hAnsi="Times New Roman"/>
          <w:noProof/>
          <w:color w:val="000000"/>
          <w:sz w:val="24"/>
          <w:szCs w:val="24"/>
        </w:rPr>
        <w:t xml:space="preserve"> što je </w:t>
      </w:r>
      <w:r w:rsidRPr="0029272A">
        <w:rPr>
          <w:rFonts w:ascii="Times New Roman" w:hAnsi="Times New Roman"/>
          <w:b/>
          <w:noProof/>
          <w:color w:val="000000"/>
          <w:sz w:val="24"/>
          <w:szCs w:val="24"/>
        </w:rPr>
        <w:t>dosad nezabilježeno privremeno smanjenje</w:t>
      </w:r>
      <w:r w:rsidRPr="0029272A">
        <w:rPr>
          <w:rFonts w:ascii="Times New Roman" w:hAnsi="Times New Roman"/>
          <w:noProof/>
          <w:color w:val="000000"/>
          <w:sz w:val="24"/>
          <w:szCs w:val="24"/>
        </w:rPr>
        <w:t xml:space="preserve"> emisija koje je posljedica pandemije. Emisije iz stacionarnih postrojenja u okviru ETS-a EU-a naglo su se smanjile za 11,4 %, dok su se emisije izvan ETS-a smanjile za 5,6 %. U sektoru zračnog prometa zabilježeno je nezapamćeno smanjenje (–63,5 %) emisija iz letova u EGP-u, kao i na globalnoj razini (–54 %) iz međunarodnog zračnog prometa</w:t>
      </w:r>
      <w:r w:rsidRPr="0029272A">
        <w:rPr>
          <w:rStyle w:val="FootnoteReference"/>
          <w:rFonts w:ascii="Times New Roman" w:eastAsia="Times New Roman" w:hAnsi="Times New Roman" w:cs="Times New Roman"/>
          <w:noProof/>
          <w:color w:val="000000"/>
          <w:sz w:val="24"/>
          <w:szCs w:val="24"/>
        </w:rPr>
        <w:footnoteReference w:id="8"/>
      </w:r>
      <w:r w:rsidRPr="0029272A">
        <w:rPr>
          <w:rFonts w:ascii="Times New Roman" w:hAnsi="Times New Roman"/>
          <w:noProof/>
          <w:color w:val="000000"/>
          <w:sz w:val="24"/>
          <w:szCs w:val="24"/>
        </w:rPr>
        <w:t>. Međutim, nedavna studija</w:t>
      </w:r>
      <w:r w:rsidRPr="0029272A">
        <w:rPr>
          <w:rFonts w:ascii="Times New Roman" w:hAnsi="Times New Roman" w:cs="Times New Roman"/>
          <w:noProof/>
          <w:sz w:val="24"/>
          <w:szCs w:val="24"/>
          <w:vertAlign w:val="superscript"/>
        </w:rPr>
        <w:footnoteReference w:id="9"/>
      </w:r>
      <w:r w:rsidRPr="0029272A">
        <w:rPr>
          <w:rFonts w:ascii="Times New Roman" w:hAnsi="Times New Roman"/>
          <w:noProof/>
          <w:color w:val="000000"/>
          <w:sz w:val="24"/>
          <w:szCs w:val="24"/>
        </w:rPr>
        <w:t xml:space="preserve"> pokazuje da </w:t>
      </w:r>
      <w:r w:rsidRPr="0029272A">
        <w:rPr>
          <w:rFonts w:ascii="Times New Roman" w:hAnsi="Times New Roman"/>
          <w:noProof/>
          <w:sz w:val="24"/>
          <w:szCs w:val="24"/>
        </w:rPr>
        <w:t>emisije iz zračnog prometa koje nisu povezane s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čine više od polovine (66 %) efektivn</w:t>
      </w:r>
      <w:r w:rsidR="009823D1">
        <w:rPr>
          <w:rFonts w:ascii="Times New Roman" w:hAnsi="Times New Roman"/>
          <w:noProof/>
          <w:sz w:val="24"/>
          <w:szCs w:val="24"/>
        </w:rPr>
        <w:t xml:space="preserve">og </w:t>
      </w:r>
      <w:r w:rsidR="003220E3">
        <w:rPr>
          <w:rFonts w:ascii="Times New Roman" w:hAnsi="Times New Roman"/>
          <w:noProof/>
          <w:sz w:val="24"/>
          <w:szCs w:val="24"/>
        </w:rPr>
        <w:t xml:space="preserve">utjecaja </w:t>
      </w:r>
      <w:r w:rsidRPr="0029272A">
        <w:rPr>
          <w:rFonts w:ascii="Times New Roman" w:hAnsi="Times New Roman"/>
          <w:noProof/>
          <w:sz w:val="24"/>
          <w:szCs w:val="24"/>
        </w:rPr>
        <w:t>zrakoplovstv</w:t>
      </w:r>
      <w:r w:rsidR="009823D1">
        <w:rPr>
          <w:rFonts w:ascii="Times New Roman" w:hAnsi="Times New Roman"/>
          <w:noProof/>
          <w:sz w:val="24"/>
          <w:szCs w:val="24"/>
        </w:rPr>
        <w:t>a</w:t>
      </w:r>
      <w:r w:rsidR="003220E3">
        <w:rPr>
          <w:rFonts w:ascii="Times New Roman" w:hAnsi="Times New Roman"/>
          <w:noProof/>
          <w:sz w:val="24"/>
          <w:szCs w:val="24"/>
        </w:rPr>
        <w:t xml:space="preserve"> na promjenu u ravnoteži zračenja (</w:t>
      </w:r>
      <w:r w:rsidR="003220E3" w:rsidRPr="003220E3">
        <w:rPr>
          <w:rFonts w:ascii="Times New Roman" w:hAnsi="Times New Roman"/>
          <w:i/>
          <w:noProof/>
          <w:sz w:val="24"/>
          <w:szCs w:val="24"/>
        </w:rPr>
        <w:t>radiative forcing</w:t>
      </w:r>
      <w:r w:rsidR="003220E3">
        <w:rPr>
          <w:rFonts w:ascii="Times New Roman" w:hAnsi="Times New Roman"/>
          <w:noProof/>
          <w:sz w:val="24"/>
          <w:szCs w:val="24"/>
        </w:rPr>
        <w:t>)</w:t>
      </w:r>
      <w:r w:rsidRPr="0029272A">
        <w:rPr>
          <w:rFonts w:ascii="Times New Roman" w:hAnsi="Times New Roman"/>
          <w:noProof/>
          <w:sz w:val="24"/>
          <w:szCs w:val="24"/>
        </w:rPr>
        <w:t xml:space="preserve"> (2018.). Zbog toga je potrebno razmotriti najbolje načine za daljnje rješavanje pitanja učinaka emisija koje nisu povezane s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kako bi se ispunili klimatski ciljevi EU-a i Pariškog sporazuma, što bi predstavljalo dopunu dosadašnjem djelovanju u području klime.   </w:t>
      </w:r>
    </w:p>
    <w:p w:rsidR="00085441" w:rsidRPr="0029272A" w:rsidRDefault="00FB26F4">
      <w:pPr>
        <w:spacing w:after="240" w:line="240" w:lineRule="auto"/>
        <w:jc w:val="both"/>
        <w:rPr>
          <w:rFonts w:ascii="Times New Roman" w:hAnsi="Times New Roman" w:cs="Times New Roman"/>
          <w:b/>
          <w:noProof/>
          <w:color w:val="000000"/>
          <w:sz w:val="24"/>
          <w:szCs w:val="24"/>
        </w:rPr>
      </w:pPr>
      <w:r w:rsidRPr="0029272A">
        <w:rPr>
          <w:rFonts w:ascii="Times New Roman" w:hAnsi="Times New Roman"/>
          <w:noProof/>
          <w:color w:val="000000"/>
          <w:sz w:val="24"/>
          <w:szCs w:val="24"/>
        </w:rPr>
        <w:t>Iako je jedan od energetski najučinkovitijih načina prijevoza, emisije iz sektora pomorskog prometa iznosile su približno 3–4 % svih emisija CO</w:t>
      </w:r>
      <w:r w:rsidRPr="0029272A">
        <w:rPr>
          <w:rFonts w:ascii="Times New Roman" w:hAnsi="Times New Roman"/>
          <w:noProof/>
          <w:color w:val="000000"/>
          <w:sz w:val="24"/>
          <w:szCs w:val="24"/>
          <w:vertAlign w:val="subscript"/>
        </w:rPr>
        <w:t>2</w:t>
      </w:r>
      <w:r w:rsidRPr="0029272A">
        <w:rPr>
          <w:rFonts w:ascii="Times New Roman" w:hAnsi="Times New Roman"/>
          <w:noProof/>
          <w:color w:val="000000"/>
          <w:sz w:val="24"/>
          <w:szCs w:val="24"/>
        </w:rPr>
        <w:t xml:space="preserve"> u EU-u u razdoblju 2018.–2019., pri čemu je približno 60 % tih emisija potjecalo iz putovanja u luku ili iz luke izvan EGP-a</w:t>
      </w:r>
      <w:r w:rsidRPr="0029272A">
        <w:rPr>
          <w:rStyle w:val="FootnoteReference"/>
          <w:rFonts w:ascii="Times New Roman" w:hAnsi="Times New Roman" w:cs="Times New Roman"/>
          <w:noProof/>
          <w:color w:val="000000"/>
          <w:sz w:val="24"/>
          <w:szCs w:val="24"/>
        </w:rPr>
        <w:footnoteReference w:id="10"/>
      </w:r>
      <w:r w:rsidRPr="0029272A">
        <w:rPr>
          <w:rFonts w:ascii="Times New Roman" w:hAnsi="Times New Roman"/>
          <w:noProof/>
          <w:color w:val="000000"/>
          <w:sz w:val="24"/>
          <w:szCs w:val="24"/>
        </w:rPr>
        <w:t>. I pandemija je 2020. iznimno utjecala na taj sektor (–15 % u emisijama CO</w:t>
      </w:r>
      <w:r w:rsidRPr="0029272A">
        <w:rPr>
          <w:rFonts w:ascii="Times New Roman" w:hAnsi="Times New Roman"/>
          <w:noProof/>
          <w:color w:val="000000"/>
          <w:sz w:val="24"/>
          <w:szCs w:val="24"/>
          <w:vertAlign w:val="subscript"/>
        </w:rPr>
        <w:t>2</w:t>
      </w:r>
      <w:r w:rsidRPr="0029272A">
        <w:rPr>
          <w:rFonts w:ascii="Times New Roman" w:hAnsi="Times New Roman"/>
          <w:noProof/>
          <w:color w:val="000000"/>
          <w:sz w:val="24"/>
          <w:szCs w:val="24"/>
        </w:rPr>
        <w:t xml:space="preserve"> u odnosu na prethodnu godinu)</w:t>
      </w:r>
      <w:r w:rsidRPr="0029272A">
        <w:rPr>
          <w:rStyle w:val="FootnoteReference"/>
          <w:rFonts w:ascii="Times New Roman" w:hAnsi="Times New Roman" w:cs="Times New Roman"/>
          <w:noProof/>
          <w:color w:val="000000"/>
          <w:sz w:val="24"/>
          <w:szCs w:val="24"/>
        </w:rPr>
        <w:footnoteReference w:id="11"/>
      </w:r>
      <w:r w:rsidRPr="0029272A">
        <w:rPr>
          <w:rFonts w:ascii="Times New Roman" w:hAnsi="Times New Roman"/>
          <w:noProof/>
          <w:color w:val="000000"/>
          <w:sz w:val="24"/>
          <w:szCs w:val="24"/>
        </w:rPr>
        <w:t>. Unatoč svemu što je dosad postignuto, vrlo je važno podsjetiti da bi brz gospodarski oporavak mogao dovesti do velikog i brzog povećanja emisija ako se poticajne mjere ne usmjere na zelenu tranziciju. Konačno, s obzirom na dosad nezabilježene učinke klimatskih promjena</w:t>
      </w:r>
      <w:r w:rsidRPr="0029272A">
        <w:rPr>
          <w:rStyle w:val="FootnoteReference"/>
          <w:rFonts w:ascii="Times New Roman" w:hAnsi="Times New Roman" w:cs="Times New Roman"/>
          <w:noProof/>
          <w:color w:val="000000"/>
          <w:sz w:val="24"/>
          <w:szCs w:val="24"/>
        </w:rPr>
        <w:footnoteReference w:id="12"/>
      </w:r>
      <w:r w:rsidRPr="0029272A">
        <w:rPr>
          <w:rFonts w:ascii="Times New Roman" w:hAnsi="Times New Roman"/>
          <w:noProof/>
          <w:color w:val="000000"/>
          <w:sz w:val="24"/>
          <w:szCs w:val="24"/>
        </w:rPr>
        <w:t xml:space="preserve">, </w:t>
      </w:r>
      <w:r w:rsidRPr="0029272A">
        <w:rPr>
          <w:rFonts w:ascii="Times New Roman" w:hAnsi="Times New Roman"/>
          <w:b/>
          <w:noProof/>
          <w:color w:val="000000"/>
          <w:sz w:val="24"/>
          <w:szCs w:val="24"/>
        </w:rPr>
        <w:t xml:space="preserve">moramo djelovati brže nego dosad kako bismo osigurali zelenu, pravednu i prosperitetnu budućnost. </w:t>
      </w:r>
    </w:p>
    <w:p w:rsidR="009D5AB7" w:rsidRPr="0029272A" w:rsidRDefault="0011150E" w:rsidP="00F06FA3">
      <w:pPr>
        <w:spacing w:after="240" w:line="240" w:lineRule="auto"/>
        <w:jc w:val="both"/>
        <w:rPr>
          <w:rFonts w:ascii="Calibri" w:hAnsi="Calibri" w:cs="Calibri"/>
          <w:noProof/>
        </w:rPr>
      </w:pPr>
      <w:r w:rsidRPr="0011150E">
        <w:rPr>
          <w:noProof/>
          <w:lang w:val="en-GB" w:eastAsia="en-GB"/>
        </w:rPr>
        <w:drawing>
          <wp:inline distT="0" distB="0" distL="0" distR="0">
            <wp:extent cx="5731510" cy="4226508"/>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226508"/>
                    </a:xfrm>
                    <a:prstGeom prst="rect">
                      <a:avLst/>
                    </a:prstGeom>
                    <a:noFill/>
                    <a:ln>
                      <a:noFill/>
                    </a:ln>
                  </pic:spPr>
                </pic:pic>
              </a:graphicData>
            </a:graphic>
          </wp:inline>
        </w:drawing>
      </w:r>
    </w:p>
    <w:p w:rsidR="00DF6261" w:rsidRPr="0029272A" w:rsidRDefault="00DF6261" w:rsidP="00B7742C">
      <w:pPr>
        <w:overflowPunct w:val="0"/>
        <w:autoSpaceDE w:val="0"/>
        <w:autoSpaceDN w:val="0"/>
        <w:adjustRightInd w:val="0"/>
        <w:spacing w:line="240" w:lineRule="auto"/>
        <w:jc w:val="both"/>
        <w:textAlignment w:val="baseline"/>
        <w:rPr>
          <w:b/>
          <w:noProof/>
          <w:sz w:val="20"/>
          <w:szCs w:val="20"/>
        </w:rPr>
      </w:pPr>
      <w:r w:rsidRPr="0029272A">
        <w:rPr>
          <w:rFonts w:ascii="Calibri" w:hAnsi="Calibri"/>
          <w:b/>
          <w:noProof/>
          <w:sz w:val="20"/>
          <w:szCs w:val="20"/>
        </w:rPr>
        <w:t>Slika 1.: Ukupne emisije stakleničkih plinova u EU-27 (uključujući međunarodni zračni promet) i uklanjanja za razdoblje 1990.–2020., ciljevi, predviđene emisije i uklanjanja na temelju modela, za razdoblje 2020.–2050.</w:t>
      </w:r>
      <w:r w:rsidRPr="0029272A">
        <w:rPr>
          <w:rStyle w:val="FootnoteReference"/>
          <w:b/>
          <w:noProof/>
          <w:sz w:val="20"/>
          <w:szCs w:val="20"/>
        </w:rPr>
        <w:footnoteReference w:id="13"/>
      </w:r>
    </w:p>
    <w:p w:rsidR="00480B80" w:rsidRPr="0029272A" w:rsidRDefault="00480B80" w:rsidP="00B7742C">
      <w:pPr>
        <w:spacing w:after="240" w:line="240" w:lineRule="auto"/>
        <w:jc w:val="both"/>
        <w:rPr>
          <w:noProof/>
          <w:szCs w:val="24"/>
        </w:rPr>
      </w:pP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Veliki korak u europskom djelovanju u području klime</w:t>
      </w:r>
    </w:p>
    <w:p w:rsidR="009401B3" w:rsidRPr="0029272A" w:rsidRDefault="00DF6261" w:rsidP="00B7742C">
      <w:pPr>
        <w:pStyle w:val="CAPRbody"/>
        <w:spacing w:after="240"/>
        <w:rPr>
          <w:b/>
          <w:bCs/>
          <w:noProof/>
          <w:color w:val="FF0000"/>
          <w:sz w:val="20"/>
        </w:rPr>
      </w:pPr>
      <w:r w:rsidRPr="0029272A">
        <w:rPr>
          <w:noProof/>
          <w:color w:val="000000"/>
          <w:szCs w:val="24"/>
        </w:rPr>
        <w:t xml:space="preserve">U skladu s Pariškim sporazumom EU je u prosincu 2019. postavio </w:t>
      </w:r>
      <w:r w:rsidRPr="0029272A">
        <w:rPr>
          <w:b/>
          <w:noProof/>
          <w:color w:val="000000"/>
          <w:szCs w:val="24"/>
        </w:rPr>
        <w:t>cilj klimatske neutralnosti do 2050.</w:t>
      </w:r>
      <w:r w:rsidRPr="0029272A">
        <w:rPr>
          <w:noProof/>
          <w:color w:val="000000"/>
          <w:szCs w:val="24"/>
        </w:rPr>
        <w:t xml:space="preserve"> EU je donio i europski zeleni plan, svoj plan djelovanja u više sektora za postizanje zelene i pravedne tranzicije, u kojem digitalne tehnologije imaju sve važniju ulogu u ublažavanju klimatskih promjena i prilagodbi klimatskim promjenama. Nakon objave Komisijina </w:t>
      </w:r>
      <w:r w:rsidRPr="0029272A">
        <w:rPr>
          <w:b/>
          <w:noProof/>
          <w:color w:val="000000"/>
          <w:szCs w:val="24"/>
        </w:rPr>
        <w:t>Plana za postizanje klimatskog cilja</w:t>
      </w:r>
      <w:r w:rsidRPr="0029272A">
        <w:rPr>
          <w:rStyle w:val="FootnoteReference"/>
          <w:noProof/>
          <w:color w:val="000000"/>
          <w:szCs w:val="24"/>
        </w:rPr>
        <w:footnoteReference w:id="14"/>
      </w:r>
      <w:r w:rsidRPr="0029272A">
        <w:rPr>
          <w:b/>
          <w:noProof/>
          <w:color w:val="000000"/>
          <w:szCs w:val="24"/>
        </w:rPr>
        <w:t xml:space="preserve"> </w:t>
      </w:r>
      <w:r w:rsidRPr="0029272A">
        <w:rPr>
          <w:noProof/>
          <w:color w:val="000000"/>
          <w:szCs w:val="24"/>
        </w:rPr>
        <w:t xml:space="preserve">do 2030. u kojem se predlaže uravnoteženiji put prema klimatskoj neutralnosti, Europsko vijeće podržalo je u prosincu 2020. ambiciozniji cilj smanjenja neto emisija za najmanje 55 % do 2030. (prethodno –40 % stakleničkih plinova). EU i njegove države članice stoga su u prosincu 2020. UNFCCC-u dostavile ažurirane </w:t>
      </w:r>
      <w:r w:rsidRPr="0029272A">
        <w:rPr>
          <w:b/>
          <w:bCs/>
          <w:noProof/>
          <w:color w:val="000000"/>
          <w:szCs w:val="24"/>
        </w:rPr>
        <w:t>nacionalno utvrđene doprinose</w:t>
      </w:r>
      <w:r w:rsidRPr="0029272A">
        <w:rPr>
          <w:noProof/>
          <w:color w:val="000000"/>
          <w:szCs w:val="24"/>
        </w:rPr>
        <w:t xml:space="preserve">. </w:t>
      </w:r>
      <w:r w:rsidRPr="0029272A">
        <w:rPr>
          <w:noProof/>
        </w:rPr>
        <w:t>Do listopada 2021. 20 država članica</w:t>
      </w:r>
      <w:r w:rsidRPr="0029272A">
        <w:rPr>
          <w:rStyle w:val="FootnoteReference"/>
          <w:noProof/>
          <w:szCs w:val="24"/>
        </w:rPr>
        <w:footnoteReference w:id="15"/>
      </w:r>
      <w:r w:rsidRPr="0029272A">
        <w:rPr>
          <w:noProof/>
        </w:rPr>
        <w:t xml:space="preserve"> dostavilo je EU-u svoje </w:t>
      </w:r>
      <w:r w:rsidRPr="0029272A">
        <w:rPr>
          <w:b/>
          <w:noProof/>
          <w:szCs w:val="24"/>
        </w:rPr>
        <w:t>dugoročne strategije</w:t>
      </w:r>
      <w:r w:rsidRPr="0029272A">
        <w:rPr>
          <w:rStyle w:val="FootnoteReference"/>
          <w:noProof/>
          <w:szCs w:val="24"/>
        </w:rPr>
        <w:footnoteReference w:id="16"/>
      </w:r>
      <w:r w:rsidRPr="0029272A">
        <w:rPr>
          <w:noProof/>
        </w:rPr>
        <w:t>, države članice potiču se da razmotre ažuriranje i, po mogućnosti, povećaju svoje ambicije.</w:t>
      </w:r>
    </w:p>
    <w:p w:rsidR="00DF6261" w:rsidRPr="0029272A" w:rsidRDefault="00DF6261">
      <w:pPr>
        <w:spacing w:after="240" w:line="240" w:lineRule="auto"/>
        <w:jc w:val="both"/>
        <w:rPr>
          <w:rFonts w:ascii="Times New Roman" w:hAnsi="Times New Roman" w:cs="Times New Roman"/>
          <w:noProof/>
          <w:color w:val="000000"/>
          <w:sz w:val="24"/>
          <w:szCs w:val="24"/>
        </w:rPr>
      </w:pPr>
      <w:r w:rsidRPr="0029272A">
        <w:rPr>
          <w:rFonts w:ascii="Times New Roman" w:hAnsi="Times New Roman"/>
          <w:noProof/>
          <w:color w:val="000000"/>
          <w:sz w:val="24"/>
          <w:szCs w:val="24"/>
        </w:rPr>
        <w:t xml:space="preserve">Donošenjem i stupanjem na snagu </w:t>
      </w:r>
      <w:r w:rsidRPr="0029272A">
        <w:rPr>
          <w:rFonts w:ascii="Times New Roman" w:hAnsi="Times New Roman"/>
          <w:b/>
          <w:noProof/>
          <w:color w:val="000000"/>
          <w:sz w:val="24"/>
          <w:szCs w:val="24"/>
        </w:rPr>
        <w:t>Europskog zakona o klimi</w:t>
      </w:r>
      <w:r w:rsidRPr="0029272A">
        <w:rPr>
          <w:rStyle w:val="FootnoteReference"/>
          <w:rFonts w:ascii="Times New Roman" w:hAnsi="Times New Roman" w:cs="Times New Roman"/>
          <w:noProof/>
          <w:color w:val="000000"/>
          <w:sz w:val="24"/>
          <w:szCs w:val="24"/>
        </w:rPr>
        <w:footnoteReference w:id="17"/>
      </w:r>
      <w:r w:rsidRPr="0029272A">
        <w:rPr>
          <w:rFonts w:ascii="Times New Roman" w:hAnsi="Times New Roman"/>
          <w:b/>
          <w:noProof/>
          <w:color w:val="000000"/>
          <w:sz w:val="24"/>
          <w:szCs w:val="24"/>
        </w:rPr>
        <w:t xml:space="preserve"> </w:t>
      </w:r>
      <w:r w:rsidRPr="0029272A">
        <w:rPr>
          <w:rFonts w:ascii="Times New Roman" w:hAnsi="Times New Roman"/>
          <w:noProof/>
          <w:color w:val="000000"/>
          <w:sz w:val="24"/>
          <w:szCs w:val="24"/>
        </w:rPr>
        <w:t xml:space="preserve">u lipnju 2021., ciljevi za 2030. i 2050. postali su pravno obvezujući u EU-u. Tim se zakonom ujedno ograničava i mjera u kojoj se uklanjanja ugljika mogu uračunati u smanjenje emisija u 2030. kako bi se provelo dovoljno aktivnosti ublažavanja. Sektore se poziva da pripreme planove djelovanja za postizanje cilja klimatske neutralnosti i uspostavlja se </w:t>
      </w:r>
      <w:r w:rsidRPr="0029272A">
        <w:rPr>
          <w:rFonts w:ascii="Times New Roman" w:hAnsi="Times New Roman"/>
          <w:b/>
          <w:noProof/>
          <w:color w:val="000000"/>
          <w:sz w:val="24"/>
          <w:szCs w:val="24"/>
        </w:rPr>
        <w:t>Europski znanstveni savjetodavni odbor za klimatske promjene</w:t>
      </w:r>
      <w:r w:rsidRPr="0029272A">
        <w:rPr>
          <w:rFonts w:ascii="Times New Roman" w:hAnsi="Times New Roman"/>
          <w:noProof/>
          <w:color w:val="000000"/>
          <w:sz w:val="24"/>
          <w:szCs w:val="24"/>
        </w:rPr>
        <w:t xml:space="preserve">. </w:t>
      </w:r>
    </w:p>
    <w:p w:rsidR="007C521E" w:rsidRPr="0029272A" w:rsidRDefault="00DF6261" w:rsidP="00B7742C">
      <w:pPr>
        <w:spacing w:after="240" w:line="240" w:lineRule="auto"/>
        <w:jc w:val="both"/>
        <w:rPr>
          <w:rFonts w:ascii="Times New Roman" w:eastAsia="Times New Roman" w:hAnsi="Times New Roman" w:cs="Times New Roman"/>
          <w:noProof/>
          <w:color w:val="000000"/>
          <w:sz w:val="24"/>
          <w:szCs w:val="24"/>
        </w:rPr>
      </w:pPr>
      <w:r w:rsidRPr="0029272A">
        <w:rPr>
          <w:rFonts w:ascii="Times New Roman" w:hAnsi="Times New Roman"/>
          <w:noProof/>
          <w:color w:val="000000"/>
          <w:sz w:val="24"/>
          <w:szCs w:val="24"/>
        </w:rPr>
        <w:t xml:space="preserve">Da bi okvir politike EU-a bio prikladan za novi klimatski cilj za 2030., Komisija je u srpnju 2021. predložila dotad </w:t>
      </w:r>
      <w:r w:rsidRPr="0029272A">
        <w:rPr>
          <w:rFonts w:ascii="Times New Roman" w:hAnsi="Times New Roman"/>
          <w:b/>
          <w:noProof/>
          <w:color w:val="000000"/>
          <w:sz w:val="24"/>
          <w:szCs w:val="24"/>
        </w:rPr>
        <w:t>najopsežniji paket klimatskih i energetskih zakonodavnih akata</w:t>
      </w:r>
      <w:r w:rsidRPr="0029272A">
        <w:rPr>
          <w:rStyle w:val="FootnoteReference"/>
          <w:rFonts w:ascii="Times New Roman" w:eastAsia="Times New Roman" w:hAnsi="Times New Roman" w:cs="Times New Roman"/>
          <w:noProof/>
          <w:color w:val="000000"/>
          <w:sz w:val="24"/>
          <w:szCs w:val="24"/>
        </w:rPr>
        <w:footnoteReference w:id="18"/>
      </w:r>
      <w:r w:rsidRPr="0029272A">
        <w:rPr>
          <w:rFonts w:ascii="Times New Roman" w:hAnsi="Times New Roman"/>
          <w:noProof/>
          <w:color w:val="000000"/>
          <w:sz w:val="24"/>
          <w:szCs w:val="24"/>
        </w:rPr>
        <w:t>. Paketom se nastoji postupno unijeti promjene i pružiti niz alata koji podržavaju društveno prihvatljivu tranziciju. U paketu se predlažu smanjenje gornje granice emisija stakleničkih plinova u okviru postojećeg ETS-a EU-a, proširenje sustava određivanja cijene ugljika na sektor pomorskog prometa i načini poticanja uporabe održivih alternativnih goriva u sektorima pomorskog i zračnog prometa. Nadalje, predlažu se i postupno ukidanje besplatnih emisijskih jedinica u sektoru zračnog prometa i, prema potrebi, primjena globalnog Programa za neutralizaciju i smanjenje emisija ugljika za međunarodno zrakoplovstvo (CORSIA) na letove izvan EGP-a, kao i zaseban sustav trgovanja emisijama za goriva koja se upotrebljavaju u cestovnom prometu i zgradama, povećanje cilja smanjenja emisija CO</w:t>
      </w:r>
      <w:r w:rsidRPr="0029272A">
        <w:rPr>
          <w:rFonts w:ascii="Times New Roman" w:hAnsi="Times New Roman"/>
          <w:noProof/>
          <w:color w:val="000000"/>
          <w:sz w:val="24"/>
          <w:szCs w:val="24"/>
          <w:vertAlign w:val="subscript"/>
        </w:rPr>
        <w:t>2</w:t>
      </w:r>
      <w:r w:rsidRPr="0029272A">
        <w:rPr>
          <w:rFonts w:ascii="Times New Roman" w:hAnsi="Times New Roman"/>
          <w:noProof/>
          <w:color w:val="000000"/>
          <w:sz w:val="24"/>
          <w:szCs w:val="24"/>
        </w:rPr>
        <w:t xml:space="preserve"> iz novih automobila i kombija te brže uvođenje infrastrukture za alternativna goriva. Za sektore koji trenutačno nisu obuhvaćeni ETS-om EU-a (zgrade, cestovni i domaći pomorski promet, poljoprivreda, otpad i male industrije) u paketu se predviđa povećanje obvezujućih ciljeva smanjenja emisija stakleničkih plinova za svaku državu članicu. Utvrđeni su i konkretni ciljevi očuvanja i povećanja prirodnih ponora ugljika, veći ciljevi za korištenje obnovljivih izvora energije i mjere ubrzanja njihova uvođenja u sve sektore krajnje uporabe te mjere poticanja integracije energetskog sustava. Utvrđeni su i veći ciljevi povećanja energetske učinkovitosti i zahtijevaju se opsežnije mjere štednje energije, uključujući više stope obnove javnih zgrada, predlaže se oporezivanje izvora energije u skladu s klimatskim ciljevima i predstavljaju se mjere sprječavanja istjecanja ugljika. Komisija je u srpnju 2021. donijela i novu strategiju EU-a za šume za 2030.</w:t>
      </w:r>
      <w:r w:rsidRPr="0029272A">
        <w:rPr>
          <w:rStyle w:val="FootnoteReference"/>
          <w:rFonts w:ascii="Times New Roman" w:eastAsia="Times New Roman" w:hAnsi="Times New Roman" w:cs="Times New Roman"/>
          <w:noProof/>
          <w:color w:val="000000"/>
          <w:sz w:val="24"/>
          <w:szCs w:val="24"/>
        </w:rPr>
        <w:footnoteReference w:id="19"/>
      </w:r>
      <w:r w:rsidRPr="0029272A">
        <w:rPr>
          <w:rFonts w:ascii="Times New Roman" w:hAnsi="Times New Roman"/>
          <w:noProof/>
          <w:color w:val="000000"/>
          <w:sz w:val="24"/>
          <w:szCs w:val="24"/>
        </w:rPr>
        <w:t xml:space="preserve"> U njoj se prepoznaje središnja uloga šuma i cijelog vrijednosnog lanca koji se temelji na šumama u ostvarivanju ciljeva bioraznolikosti EU-a i novog c</w:t>
      </w:r>
      <w:r w:rsidR="00496F13">
        <w:rPr>
          <w:rFonts w:ascii="Times New Roman" w:hAnsi="Times New Roman"/>
          <w:noProof/>
          <w:color w:val="000000"/>
          <w:sz w:val="24"/>
          <w:szCs w:val="24"/>
        </w:rPr>
        <w:t>i</w:t>
      </w:r>
      <w:r w:rsidRPr="0029272A">
        <w:rPr>
          <w:rFonts w:ascii="Times New Roman" w:hAnsi="Times New Roman"/>
          <w:noProof/>
          <w:color w:val="000000"/>
          <w:sz w:val="24"/>
          <w:szCs w:val="24"/>
        </w:rPr>
        <w:t xml:space="preserve">lja smanjenja emisija stakleničkih plinova i klimatske neutralnosti do 2050. </w:t>
      </w:r>
    </w:p>
    <w:p w:rsidR="00252A5E" w:rsidRPr="0029272A" w:rsidRDefault="007A36CB">
      <w:pPr>
        <w:spacing w:after="240" w:line="240" w:lineRule="auto"/>
        <w:jc w:val="both"/>
        <w:rPr>
          <w:rFonts w:ascii="Times New Roman" w:eastAsia="Times New Roman" w:hAnsi="Times New Roman" w:cs="Times New Roman"/>
          <w:noProof/>
          <w:sz w:val="24"/>
          <w:szCs w:val="24"/>
        </w:rPr>
      </w:pPr>
      <w:r w:rsidRPr="0029272A">
        <w:rPr>
          <w:rFonts w:ascii="Times New Roman" w:hAnsi="Times New Roman"/>
          <w:noProof/>
          <w:sz w:val="24"/>
          <w:szCs w:val="24"/>
        </w:rPr>
        <w:t xml:space="preserve">Budući da </w:t>
      </w:r>
      <w:r w:rsidR="002E6B5E">
        <w:rPr>
          <w:rFonts w:ascii="Times New Roman" w:hAnsi="Times New Roman"/>
          <w:noProof/>
          <w:sz w:val="24"/>
          <w:szCs w:val="24"/>
        </w:rPr>
        <w:t xml:space="preserve">sve </w:t>
      </w:r>
      <w:r w:rsidRPr="0029272A">
        <w:rPr>
          <w:rFonts w:ascii="Times New Roman" w:hAnsi="Times New Roman"/>
          <w:noProof/>
          <w:sz w:val="24"/>
          <w:szCs w:val="24"/>
        </w:rPr>
        <w:t xml:space="preserve">države članice ne kreću </w:t>
      </w:r>
      <w:r w:rsidR="002E6B5E">
        <w:rPr>
          <w:rFonts w:ascii="Times New Roman" w:hAnsi="Times New Roman"/>
          <w:noProof/>
          <w:sz w:val="24"/>
          <w:szCs w:val="24"/>
        </w:rPr>
        <w:t>s</w:t>
      </w:r>
      <w:r w:rsidRPr="0029272A">
        <w:rPr>
          <w:rFonts w:ascii="Times New Roman" w:hAnsi="Times New Roman"/>
          <w:noProof/>
          <w:sz w:val="24"/>
          <w:szCs w:val="24"/>
        </w:rPr>
        <w:t xml:space="preserve"> iste polazne točke i da će na svaku od njih zelena tranzicija drukčije utjecati, </w:t>
      </w:r>
      <w:r w:rsidRPr="0029272A">
        <w:rPr>
          <w:rFonts w:ascii="Times New Roman" w:hAnsi="Times New Roman"/>
          <w:b/>
          <w:noProof/>
          <w:sz w:val="24"/>
          <w:szCs w:val="24"/>
        </w:rPr>
        <w:t>ključno je da ta tranzicija bude pravedna</w:t>
      </w:r>
      <w:r w:rsidRPr="0029272A">
        <w:rPr>
          <w:rFonts w:ascii="Times New Roman" w:hAnsi="Times New Roman"/>
          <w:noProof/>
          <w:sz w:val="24"/>
          <w:szCs w:val="24"/>
        </w:rPr>
        <w:t xml:space="preserve">. Povećanje ciljeva smanjenja emisija za svaku državu članicu temelji se na njihovu BDP-u po stanovniku, koji je prilagođen kako bi se uzele u obzir troškovna učinkovitost i konkretne nacionalne okolnosti. Kako bi se ublažili distribucijski i socijalni učinci tranzicije među državama članicama i unutar njih, u paketu se predlaže i povećanje sredstava Fonda za modernizaciju te prenošenje dijela prihoda novog ETS-a za cestovni promet i zgrade preko </w:t>
      </w:r>
      <w:r w:rsidR="004C1735">
        <w:rPr>
          <w:rFonts w:ascii="Times New Roman" w:hAnsi="Times New Roman"/>
          <w:noProof/>
          <w:sz w:val="24"/>
          <w:szCs w:val="24"/>
        </w:rPr>
        <w:t xml:space="preserve">novog </w:t>
      </w:r>
      <w:r w:rsidRPr="0029272A">
        <w:rPr>
          <w:rFonts w:ascii="Times New Roman" w:hAnsi="Times New Roman"/>
          <w:noProof/>
          <w:sz w:val="24"/>
          <w:szCs w:val="24"/>
        </w:rPr>
        <w:t xml:space="preserve">Socijalnog fonda za klimatsku politiku u ranjiva kućanstva, mikropoduzeća i korisnike prijevoznih usluga. </w:t>
      </w:r>
    </w:p>
    <w:p w:rsidR="00613CE0" w:rsidRPr="0029272A" w:rsidRDefault="00471B44" w:rsidP="00B7742C">
      <w:pPr>
        <w:pStyle w:val="CAPRbody"/>
        <w:rPr>
          <w:noProof/>
          <w:szCs w:val="24"/>
        </w:rPr>
      </w:pPr>
      <w:r w:rsidRPr="0029272A">
        <w:rPr>
          <w:noProof/>
        </w:rPr>
        <w:t xml:space="preserve">Radi prilagodbe neizbježnim utjecajima klimatskih promjena i postizanja klimatski otpornog društva do 2050. Komisija je 2021. donijela </w:t>
      </w:r>
      <w:r w:rsidRPr="0029272A">
        <w:rPr>
          <w:b/>
          <w:noProof/>
          <w:szCs w:val="24"/>
        </w:rPr>
        <w:t>novu strategiju za prilagodbu klimatskim promjenama</w:t>
      </w:r>
      <w:r w:rsidRPr="0029272A">
        <w:rPr>
          <w:noProof/>
          <w:szCs w:val="24"/>
          <w:vertAlign w:val="superscript"/>
          <w:lang w:eastAsia="en-GB"/>
        </w:rPr>
        <w:footnoteReference w:id="20"/>
      </w:r>
      <w:r w:rsidRPr="0029272A">
        <w:rPr>
          <w:noProof/>
        </w:rPr>
        <w:t xml:space="preserve">. </w:t>
      </w:r>
      <w:r w:rsidRPr="0029272A">
        <w:rPr>
          <w:noProof/>
          <w:color w:val="000000"/>
          <w:szCs w:val="24"/>
        </w:rPr>
        <w:t xml:space="preserve">Njome se potiče pametnija, brža i sustavnija prilagodba radi poboljšanja sposobnosti prilagodbe i minimaliziranja osjetljivosti na klimatske utjecaje država članica i EU-a u cjelini te jačanja suradnje s partnerskim zemljama u cijelom svijetu. </w:t>
      </w:r>
      <w:r w:rsidRPr="0029272A">
        <w:rPr>
          <w:noProof/>
        </w:rPr>
        <w:t xml:space="preserve">EU je UNFCCC-u u listopadu 2021. podnio svoju </w:t>
      </w:r>
      <w:r w:rsidRPr="0029272A">
        <w:rPr>
          <w:b/>
          <w:noProof/>
          <w:szCs w:val="24"/>
        </w:rPr>
        <w:t>Komunikaciju o prilagodbi</w:t>
      </w:r>
      <w:r w:rsidRPr="0029272A">
        <w:rPr>
          <w:noProof/>
        </w:rPr>
        <w:t xml:space="preserve"> u kojoj su utvrđene ambicije EU-a kako su definirane u strategiji EU-a za prilagodu te na temelju primjer</w:t>
      </w:r>
      <w:r w:rsidR="0099025E">
        <w:rPr>
          <w:noProof/>
        </w:rPr>
        <w:t>a</w:t>
      </w:r>
      <w:r w:rsidRPr="0029272A">
        <w:rPr>
          <w:noProof/>
        </w:rPr>
        <w:t xml:space="preserve"> dobre prakse država članica</w:t>
      </w:r>
      <w:r w:rsidRPr="0029272A">
        <w:rPr>
          <w:rStyle w:val="FootnoteReference"/>
          <w:noProof/>
          <w:szCs w:val="24"/>
        </w:rPr>
        <w:footnoteReference w:id="21"/>
      </w:r>
      <w:r w:rsidRPr="0029272A">
        <w:rPr>
          <w:noProof/>
        </w:rPr>
        <w:t>.</w:t>
      </w:r>
    </w:p>
    <w:p w:rsidR="00DF6261" w:rsidRPr="0029272A" w:rsidRDefault="00DF6261" w:rsidP="00B7742C">
      <w:pPr>
        <w:spacing w:after="240" w:line="240" w:lineRule="auto"/>
        <w:jc w:val="both"/>
        <w:rPr>
          <w:rFonts w:ascii="Times New Roman" w:hAnsi="Times New Roman" w:cs="Times New Roman"/>
          <w:b/>
          <w:i/>
          <w:noProof/>
          <w:sz w:val="24"/>
          <w:szCs w:val="24"/>
        </w:rPr>
      </w:pPr>
      <w:r w:rsidRPr="0029272A">
        <w:rPr>
          <w:rFonts w:ascii="Times New Roman" w:hAnsi="Times New Roman"/>
          <w:b/>
          <w:i/>
          <w:noProof/>
          <w:sz w:val="24"/>
          <w:szCs w:val="24"/>
        </w:rPr>
        <w:t>Financiranje zelene tranzicije</w:t>
      </w:r>
    </w:p>
    <w:p w:rsidR="007C521E" w:rsidRPr="0029272A" w:rsidRDefault="00DF6261">
      <w:pPr>
        <w:spacing w:after="240" w:line="240" w:lineRule="auto"/>
        <w:jc w:val="both"/>
        <w:rPr>
          <w:rFonts w:ascii="Times New Roman" w:eastAsia="Times New Roman" w:hAnsi="Times New Roman" w:cs="Times New Roman"/>
          <w:b/>
          <w:noProof/>
          <w:color w:val="000000"/>
          <w:sz w:val="24"/>
          <w:szCs w:val="24"/>
        </w:rPr>
      </w:pPr>
      <w:r w:rsidRPr="0029272A">
        <w:rPr>
          <w:rFonts w:ascii="Times New Roman" w:hAnsi="Times New Roman"/>
          <w:noProof/>
          <w:color w:val="000000"/>
          <w:sz w:val="24"/>
          <w:szCs w:val="24"/>
        </w:rPr>
        <w:t xml:space="preserve">Zelena tranzicija iziskivat će nezapamćena ulaganja u inovacije i nove tehnologije u narednim godinama. Procjenjuje se da će EU, uz </w:t>
      </w:r>
      <w:r w:rsidRPr="0029272A">
        <w:rPr>
          <w:rFonts w:ascii="Times New Roman" w:hAnsi="Times New Roman"/>
          <w:b/>
          <w:noProof/>
          <w:color w:val="000000"/>
          <w:sz w:val="24"/>
          <w:szCs w:val="24"/>
        </w:rPr>
        <w:t>130 milijardi EUR godišnje</w:t>
      </w:r>
      <w:r w:rsidRPr="0029272A">
        <w:rPr>
          <w:rStyle w:val="FootnoteReference"/>
          <w:rFonts w:ascii="Times New Roman" w:eastAsia="Times New Roman" w:hAnsi="Times New Roman" w:cs="Times New Roman"/>
          <w:noProof/>
          <w:color w:val="000000"/>
          <w:sz w:val="24"/>
          <w:szCs w:val="24"/>
        </w:rPr>
        <w:footnoteReference w:id="22"/>
      </w:r>
      <w:r w:rsidRPr="0029272A">
        <w:rPr>
          <w:rFonts w:ascii="Times New Roman" w:hAnsi="Times New Roman"/>
          <w:noProof/>
          <w:color w:val="000000"/>
          <w:sz w:val="24"/>
          <w:szCs w:val="24"/>
        </w:rPr>
        <w:t xml:space="preserve"> za druge okolišne ciljeve, u usporedbi s razdobljem 2011.–2020. morati uložiti dodatnih </w:t>
      </w:r>
      <w:r w:rsidRPr="0029272A">
        <w:rPr>
          <w:rFonts w:ascii="Times New Roman" w:hAnsi="Times New Roman"/>
          <w:b/>
          <w:noProof/>
          <w:color w:val="000000"/>
          <w:sz w:val="24"/>
          <w:szCs w:val="24"/>
        </w:rPr>
        <w:t>390 milijardi EUR godišnje</w:t>
      </w:r>
      <w:r w:rsidRPr="0029272A">
        <w:rPr>
          <w:rStyle w:val="FootnoteReference"/>
          <w:rFonts w:ascii="Times New Roman" w:eastAsia="Times New Roman" w:hAnsi="Times New Roman" w:cs="Times New Roman"/>
          <w:noProof/>
          <w:color w:val="000000"/>
          <w:sz w:val="24"/>
          <w:szCs w:val="24"/>
        </w:rPr>
        <w:footnoteReference w:id="23"/>
      </w:r>
      <w:r w:rsidRPr="0029272A">
        <w:rPr>
          <w:rFonts w:ascii="Times New Roman" w:hAnsi="Times New Roman"/>
          <w:noProof/>
          <w:color w:val="000000"/>
          <w:sz w:val="24"/>
          <w:szCs w:val="24"/>
          <w:vertAlign w:val="superscript"/>
        </w:rPr>
        <w:t>,</w:t>
      </w:r>
      <w:r w:rsidRPr="0029272A">
        <w:rPr>
          <w:rStyle w:val="FootnoteReference"/>
          <w:rFonts w:ascii="Times New Roman" w:eastAsia="Times New Roman" w:hAnsi="Times New Roman" w:cs="Times New Roman"/>
          <w:noProof/>
          <w:color w:val="000000"/>
          <w:sz w:val="24"/>
          <w:szCs w:val="24"/>
        </w:rPr>
        <w:footnoteReference w:id="24"/>
      </w:r>
      <w:r w:rsidRPr="0029272A">
        <w:rPr>
          <w:rFonts w:ascii="Times New Roman" w:hAnsi="Times New Roman"/>
          <w:noProof/>
          <w:color w:val="000000"/>
          <w:sz w:val="24"/>
          <w:szCs w:val="24"/>
        </w:rPr>
        <w:t xml:space="preserve"> kako bi postigao svoj cilj smanjenja emisija za 2030. Pritom se moraju uskladiti svi izvori financiranja – javni i privatni, nacionalni i multilateralni. U novom višegodišnjem financijskom okviru (VFO), instrumentu Next Generation EU (NGEU), regulatornim i javno-privatnim inicijativama te paketu iz srpnja 2021. predlaže se znatno povećanje financijskih sredstava za borbu protiv klimatskih promjena.</w:t>
      </w:r>
    </w:p>
    <w:p w:rsidR="008B0370" w:rsidRPr="0029272A" w:rsidRDefault="004741B6" w:rsidP="00B7742C">
      <w:pPr>
        <w:spacing w:after="240" w:line="240" w:lineRule="auto"/>
        <w:jc w:val="both"/>
        <w:rPr>
          <w:rFonts w:ascii="Times New Roman" w:eastAsia="Times New Roman" w:hAnsi="Times New Roman" w:cs="Times New Roman"/>
          <w:noProof/>
          <w:color w:val="000000"/>
          <w:sz w:val="24"/>
          <w:szCs w:val="24"/>
        </w:rPr>
      </w:pPr>
      <w:r w:rsidRPr="0029272A">
        <w:rPr>
          <w:rFonts w:ascii="Times New Roman" w:hAnsi="Times New Roman"/>
          <w:noProof/>
          <w:color w:val="000000"/>
          <w:sz w:val="24"/>
          <w:szCs w:val="24"/>
        </w:rPr>
        <w:t>Kako bi se pokrenula privatna ulaganja</w:t>
      </w:r>
      <w:r w:rsidRPr="0029272A">
        <w:rPr>
          <w:rStyle w:val="FootnoteReference"/>
          <w:rFonts w:ascii="Times New Roman" w:eastAsia="Times New Roman" w:hAnsi="Times New Roman" w:cs="Times New Roman"/>
          <w:noProof/>
          <w:color w:val="000000"/>
          <w:sz w:val="24"/>
          <w:szCs w:val="24"/>
        </w:rPr>
        <w:footnoteReference w:id="25"/>
      </w:r>
      <w:r w:rsidRPr="0029272A">
        <w:rPr>
          <w:rFonts w:ascii="Times New Roman" w:hAnsi="Times New Roman"/>
          <w:noProof/>
          <w:color w:val="000000"/>
          <w:sz w:val="24"/>
          <w:szCs w:val="24"/>
        </w:rPr>
        <w:t xml:space="preserve">, 2021. donesena je </w:t>
      </w:r>
      <w:r w:rsidRPr="0029272A">
        <w:rPr>
          <w:rFonts w:ascii="Times New Roman" w:hAnsi="Times New Roman"/>
          <w:b/>
          <w:noProof/>
          <w:color w:val="000000"/>
          <w:sz w:val="24"/>
          <w:szCs w:val="24"/>
        </w:rPr>
        <w:t>Obnovljena strategija održivog financiranja</w:t>
      </w:r>
      <w:r w:rsidRPr="0029272A">
        <w:rPr>
          <w:rStyle w:val="FootnoteReference"/>
          <w:rFonts w:ascii="Times New Roman" w:eastAsia="Times New Roman" w:hAnsi="Times New Roman" w:cs="Times New Roman"/>
          <w:noProof/>
          <w:color w:val="000000"/>
          <w:sz w:val="24"/>
          <w:szCs w:val="24"/>
        </w:rPr>
        <w:footnoteReference w:id="26"/>
      </w:r>
      <w:r w:rsidRPr="0029272A">
        <w:rPr>
          <w:rFonts w:ascii="Times New Roman" w:hAnsi="Times New Roman"/>
          <w:noProof/>
          <w:color w:val="000000"/>
          <w:sz w:val="24"/>
          <w:szCs w:val="24"/>
        </w:rPr>
        <w:t xml:space="preserve">. Kako bi se preusmjerio privatni kapital, Komisija je donijela </w:t>
      </w:r>
      <w:r w:rsidRPr="0029272A">
        <w:rPr>
          <w:rFonts w:ascii="Times New Roman" w:hAnsi="Times New Roman"/>
          <w:b/>
          <w:noProof/>
          <w:color w:val="000000"/>
          <w:sz w:val="24"/>
          <w:szCs w:val="24"/>
        </w:rPr>
        <w:t>Uredbu</w:t>
      </w:r>
      <w:r w:rsidRPr="0029272A">
        <w:rPr>
          <w:rFonts w:ascii="Times New Roman" w:hAnsi="Times New Roman"/>
          <w:noProof/>
          <w:color w:val="000000"/>
          <w:sz w:val="24"/>
          <w:szCs w:val="24"/>
        </w:rPr>
        <w:t xml:space="preserve"> </w:t>
      </w:r>
      <w:r w:rsidRPr="0029272A">
        <w:rPr>
          <w:rFonts w:ascii="Times New Roman" w:hAnsi="Times New Roman"/>
          <w:b/>
          <w:bCs/>
          <w:noProof/>
          <w:color w:val="000000"/>
          <w:sz w:val="24"/>
          <w:szCs w:val="24"/>
        </w:rPr>
        <w:t>o taksonomiji</w:t>
      </w:r>
      <w:r w:rsidRPr="0029272A">
        <w:rPr>
          <w:rFonts w:ascii="Times New Roman" w:hAnsi="Times New Roman"/>
          <w:b/>
          <w:noProof/>
          <w:color w:val="000000"/>
          <w:sz w:val="24"/>
          <w:szCs w:val="24"/>
        </w:rPr>
        <w:t xml:space="preserve"> održivog financiranja</w:t>
      </w:r>
      <w:r w:rsidRPr="0029272A">
        <w:rPr>
          <w:rStyle w:val="FootnoteReference"/>
          <w:rFonts w:ascii="Times New Roman" w:eastAsia="Times New Roman" w:hAnsi="Times New Roman" w:cs="Times New Roman"/>
          <w:noProof/>
          <w:color w:val="000000"/>
          <w:sz w:val="24"/>
          <w:szCs w:val="24"/>
        </w:rPr>
        <w:footnoteReference w:id="27"/>
      </w:r>
      <w:r w:rsidRPr="0029272A">
        <w:rPr>
          <w:rFonts w:ascii="Times New Roman" w:hAnsi="Times New Roman"/>
          <w:noProof/>
          <w:color w:val="000000"/>
          <w:sz w:val="24"/>
          <w:szCs w:val="24"/>
        </w:rPr>
        <w:t>,</w:t>
      </w:r>
      <w:r w:rsidRPr="0029272A">
        <w:rPr>
          <w:rFonts w:ascii="Times New Roman" w:hAnsi="Times New Roman"/>
          <w:b/>
          <w:noProof/>
          <w:color w:val="000000"/>
          <w:sz w:val="24"/>
          <w:szCs w:val="24"/>
        </w:rPr>
        <w:t xml:space="preserve"> </w:t>
      </w:r>
      <w:r w:rsidRPr="0029272A">
        <w:rPr>
          <w:rFonts w:ascii="Times New Roman" w:hAnsi="Times New Roman"/>
          <w:noProof/>
          <w:color w:val="000000"/>
          <w:sz w:val="24"/>
          <w:szCs w:val="24"/>
        </w:rPr>
        <w:t xml:space="preserve">u kojoj se utvrđuje okvir za </w:t>
      </w:r>
      <w:r w:rsidRPr="0029272A">
        <w:rPr>
          <w:rFonts w:ascii="Times New Roman" w:hAnsi="Times New Roman"/>
          <w:b/>
          <w:noProof/>
          <w:color w:val="000000"/>
          <w:sz w:val="24"/>
          <w:szCs w:val="24"/>
        </w:rPr>
        <w:t>taksonomiju EU-a</w:t>
      </w:r>
      <w:r w:rsidRPr="0029272A">
        <w:rPr>
          <w:rFonts w:ascii="Times New Roman" w:hAnsi="Times New Roman"/>
          <w:noProof/>
          <w:color w:val="000000"/>
          <w:sz w:val="24"/>
          <w:szCs w:val="24"/>
        </w:rPr>
        <w:t>, tj. klasifikaciju okolišno održivih ekonomskih djelatnosti za poduzeća, ulagatelje i oblikovatelje politika. Prvi je dio usmjeren na ublažavanje klimatskih promjena i prilagodbu klimatskim promjenama u određenim sektorima</w:t>
      </w:r>
      <w:r w:rsidRPr="0029272A">
        <w:rPr>
          <w:rStyle w:val="FootnoteReference"/>
          <w:rFonts w:ascii="Times New Roman" w:eastAsia="Times New Roman" w:hAnsi="Times New Roman" w:cs="Times New Roman"/>
          <w:noProof/>
          <w:color w:val="000000"/>
          <w:sz w:val="24"/>
          <w:szCs w:val="24"/>
        </w:rPr>
        <w:footnoteReference w:id="28"/>
      </w:r>
      <w:r w:rsidRPr="0029272A">
        <w:rPr>
          <w:noProof/>
        </w:rPr>
        <w:t>.</w:t>
      </w:r>
      <w:r w:rsidRPr="0029272A">
        <w:rPr>
          <w:rFonts w:ascii="Times New Roman" w:hAnsi="Times New Roman"/>
          <w:noProof/>
          <w:color w:val="000000"/>
          <w:sz w:val="24"/>
          <w:szCs w:val="24"/>
        </w:rPr>
        <w:t xml:space="preserve"> Druge okolišne i socijalne dimenzije dovršit će se 2022. Do kraja 2021. Komisija će objaviti izvješće s opisima odredaba potrebnih za obuhvaćanje ekonomskih djelatnosti koje nemaju znatan učinak na okolišnu održivost i </w:t>
      </w:r>
      <w:r w:rsidR="00BB2229">
        <w:rPr>
          <w:rFonts w:ascii="Times New Roman" w:hAnsi="Times New Roman"/>
          <w:noProof/>
          <w:color w:val="000000"/>
          <w:sz w:val="24"/>
          <w:szCs w:val="24"/>
        </w:rPr>
        <w:t>ekonomskih</w:t>
      </w:r>
      <w:r w:rsidRPr="0029272A">
        <w:rPr>
          <w:rFonts w:ascii="Times New Roman" w:hAnsi="Times New Roman"/>
          <w:noProof/>
          <w:color w:val="000000"/>
          <w:sz w:val="24"/>
          <w:szCs w:val="24"/>
        </w:rPr>
        <w:t xml:space="preserve"> djelatnosti koje znatno štete okolišnoj održivosti</w:t>
      </w:r>
      <w:r w:rsidRPr="0029272A">
        <w:rPr>
          <w:rStyle w:val="FootnoteReference"/>
          <w:rFonts w:ascii="Times New Roman" w:eastAsia="Times New Roman" w:hAnsi="Times New Roman" w:cs="Times New Roman"/>
          <w:noProof/>
          <w:color w:val="000000"/>
          <w:sz w:val="24"/>
          <w:szCs w:val="24"/>
        </w:rPr>
        <w:footnoteReference w:id="29"/>
      </w:r>
      <w:r w:rsidRPr="0029272A">
        <w:rPr>
          <w:noProof/>
        </w:rPr>
        <w:t>.</w:t>
      </w:r>
      <w:r w:rsidRPr="0029272A">
        <w:rPr>
          <w:rFonts w:ascii="Times New Roman" w:hAnsi="Times New Roman"/>
          <w:noProof/>
          <w:color w:val="000000"/>
          <w:sz w:val="24"/>
          <w:szCs w:val="24"/>
        </w:rPr>
        <w:t xml:space="preserve"> EU i dalje surađuje s ključnim partnerima s </w:t>
      </w:r>
      <w:r w:rsidRPr="0029272A">
        <w:rPr>
          <w:rFonts w:ascii="Times New Roman" w:hAnsi="Times New Roman"/>
          <w:b/>
          <w:noProof/>
          <w:color w:val="000000"/>
          <w:sz w:val="24"/>
          <w:szCs w:val="24"/>
        </w:rPr>
        <w:t>Međunarodne platforme za održivo financiranje</w:t>
      </w:r>
      <w:r w:rsidRPr="0029272A">
        <w:rPr>
          <w:rStyle w:val="FootnoteReference"/>
          <w:rFonts w:ascii="Times New Roman" w:eastAsia="Times New Roman" w:hAnsi="Times New Roman" w:cs="Times New Roman"/>
          <w:bCs/>
          <w:noProof/>
          <w:color w:val="000000"/>
          <w:sz w:val="24"/>
          <w:szCs w:val="24"/>
        </w:rPr>
        <w:footnoteReference w:id="30"/>
      </w:r>
      <w:r w:rsidRPr="0029272A">
        <w:rPr>
          <w:rFonts w:ascii="Times New Roman" w:hAnsi="Times New Roman"/>
          <w:noProof/>
          <w:color w:val="000000"/>
          <w:sz w:val="24"/>
          <w:szCs w:val="24"/>
        </w:rPr>
        <w:t xml:space="preserve"> na olakšavanju prekograničnih održivih ulaganja, prvenstveno na temelju potencijalne </w:t>
      </w:r>
      <w:r w:rsidRPr="0029272A">
        <w:rPr>
          <w:rFonts w:ascii="Times New Roman" w:hAnsi="Times New Roman"/>
          <w:b/>
          <w:bCs/>
          <w:noProof/>
          <w:color w:val="000000"/>
          <w:sz w:val="24"/>
          <w:szCs w:val="24"/>
        </w:rPr>
        <w:t>zajedničke osnovne taksonomije</w:t>
      </w:r>
      <w:r w:rsidRPr="0029272A">
        <w:rPr>
          <w:rFonts w:ascii="Times New Roman" w:hAnsi="Times New Roman"/>
          <w:noProof/>
          <w:color w:val="000000"/>
          <w:sz w:val="24"/>
          <w:szCs w:val="24"/>
        </w:rPr>
        <w:t xml:space="preserve">. Nadalje, Komisija je podnijela </w:t>
      </w:r>
      <w:r w:rsidRPr="0029272A">
        <w:rPr>
          <w:rFonts w:ascii="Times New Roman" w:hAnsi="Times New Roman"/>
          <w:b/>
          <w:bCs/>
          <w:noProof/>
          <w:color w:val="000000"/>
          <w:sz w:val="24"/>
          <w:szCs w:val="24"/>
        </w:rPr>
        <w:t>Prijedlog Direktive o korporativnom izvješćivanju o održivosti (CSRD)</w:t>
      </w:r>
      <w:r w:rsidRPr="0029272A">
        <w:rPr>
          <w:rStyle w:val="FootnoteReference"/>
          <w:rFonts w:ascii="Times New Roman" w:eastAsia="Times New Roman" w:hAnsi="Times New Roman" w:cs="Times New Roman"/>
          <w:noProof/>
          <w:color w:val="000000"/>
          <w:sz w:val="24"/>
          <w:szCs w:val="24"/>
        </w:rPr>
        <w:footnoteReference w:id="31"/>
      </w:r>
      <w:r w:rsidRPr="0029272A">
        <w:rPr>
          <w:rFonts w:ascii="Times New Roman" w:hAnsi="Times New Roman"/>
          <w:noProof/>
          <w:color w:val="000000"/>
          <w:sz w:val="24"/>
          <w:szCs w:val="24"/>
        </w:rPr>
        <w:t xml:space="preserve">, kojim bi se izmijenili postojeći zahtjevi za nefinancijsko izvješćivanje, izvješćivanje proširilo na sva velika društva i sva društva uvrštena na uređena tržišta, osim uvrštenih mikropoduzeća, te kojom se predviđa revizija objavljenih informacija. Time bi se znatno povećala transparentnost. </w:t>
      </w:r>
    </w:p>
    <w:p w:rsidR="00A802DF" w:rsidRPr="0029272A" w:rsidRDefault="00A802DF" w:rsidP="00B7742C">
      <w:pPr>
        <w:spacing w:after="240" w:line="240" w:lineRule="auto"/>
        <w:jc w:val="both"/>
        <w:rPr>
          <w:rFonts w:ascii="Times New Roman" w:eastAsia="Times New Roman" w:hAnsi="Times New Roman" w:cs="Times New Roman"/>
          <w:noProof/>
          <w:sz w:val="24"/>
          <w:szCs w:val="24"/>
        </w:rPr>
      </w:pPr>
      <w:r w:rsidRPr="0029272A">
        <w:rPr>
          <w:rFonts w:ascii="Times New Roman" w:hAnsi="Times New Roman"/>
          <w:noProof/>
          <w:sz w:val="24"/>
          <w:szCs w:val="24"/>
        </w:rPr>
        <w:t xml:space="preserve">U EU-u su </w:t>
      </w:r>
      <w:r w:rsidRPr="0029272A">
        <w:rPr>
          <w:rFonts w:ascii="Times New Roman" w:hAnsi="Times New Roman"/>
          <w:b/>
          <w:noProof/>
          <w:sz w:val="24"/>
          <w:szCs w:val="24"/>
        </w:rPr>
        <w:t>industrijski savezi</w:t>
      </w:r>
      <w:r w:rsidRPr="0029272A">
        <w:rPr>
          <w:rFonts w:ascii="Times New Roman" w:hAnsi="Times New Roman"/>
          <w:noProof/>
          <w:sz w:val="24"/>
          <w:szCs w:val="24"/>
        </w:rPr>
        <w:t xml:space="preserve"> instrumenti politike za mobilizaciju ulaganja u ključne sektore, a uključuju Europski savez za baterije, Savez za čisti vodik i Europski savez za sirovine.</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 xml:space="preserve">Put do zelenog i pravednog oporavka </w:t>
      </w:r>
    </w:p>
    <w:p w:rsidR="00DF6261" w:rsidRPr="0029272A" w:rsidRDefault="00DF6261" w:rsidP="00B7742C">
      <w:pPr>
        <w:spacing w:after="240" w:line="240" w:lineRule="auto"/>
        <w:jc w:val="both"/>
        <w:rPr>
          <w:rFonts w:ascii="Times New Roman" w:eastAsia="Times New Roman" w:hAnsi="Times New Roman" w:cs="Times New Roman"/>
          <w:noProof/>
          <w:color w:val="000000"/>
          <w:sz w:val="24"/>
          <w:szCs w:val="24"/>
        </w:rPr>
      </w:pPr>
      <w:r w:rsidRPr="0029272A">
        <w:rPr>
          <w:rFonts w:ascii="Times New Roman" w:hAnsi="Times New Roman"/>
          <w:noProof/>
          <w:color w:val="000000"/>
          <w:sz w:val="24"/>
          <w:szCs w:val="24"/>
        </w:rPr>
        <w:t xml:space="preserve">Od izbijanja pandemije 2020. europski zeleni plan glavni je element rada EU-a na oblikovanju paketa za oporavak i dugoročnog proračuna EU-a (2021.–2027.). Nakon što se Europsko vijeće prošle godine s time složilo, </w:t>
      </w:r>
      <w:r w:rsidRPr="0029272A">
        <w:rPr>
          <w:rFonts w:ascii="Times New Roman" w:hAnsi="Times New Roman"/>
          <w:b/>
          <w:noProof/>
          <w:color w:val="000000"/>
          <w:sz w:val="24"/>
          <w:szCs w:val="24"/>
        </w:rPr>
        <w:t>najmanje 30 % od</w:t>
      </w:r>
      <w:r w:rsidRPr="0029272A">
        <w:rPr>
          <w:rFonts w:ascii="Times New Roman" w:hAnsi="Times New Roman"/>
          <w:noProof/>
          <w:color w:val="000000"/>
          <w:sz w:val="24"/>
          <w:szCs w:val="24"/>
        </w:rPr>
        <w:t xml:space="preserve"> </w:t>
      </w:r>
      <w:r w:rsidRPr="0029272A">
        <w:rPr>
          <w:rFonts w:ascii="Times New Roman" w:hAnsi="Times New Roman"/>
          <w:b/>
          <w:bCs/>
          <w:noProof/>
          <w:color w:val="000000"/>
          <w:sz w:val="24"/>
          <w:szCs w:val="24"/>
        </w:rPr>
        <w:t>1,8 bilijuna EUR</w:t>
      </w:r>
      <w:r w:rsidRPr="0029272A">
        <w:rPr>
          <w:rFonts w:ascii="Times New Roman" w:hAnsi="Times New Roman"/>
          <w:noProof/>
          <w:color w:val="000000"/>
          <w:sz w:val="24"/>
          <w:szCs w:val="24"/>
        </w:rPr>
        <w:t xml:space="preserve"> </w:t>
      </w:r>
      <w:r w:rsidRPr="0029272A">
        <w:rPr>
          <w:rFonts w:ascii="Times New Roman" w:hAnsi="Times New Roman"/>
          <w:b/>
          <w:noProof/>
          <w:color w:val="000000"/>
          <w:sz w:val="24"/>
          <w:szCs w:val="24"/>
        </w:rPr>
        <w:t>privremenog instrumenta za oporavak Next Generation EU i proračuna za razdoblje 2021.–2027.</w:t>
      </w:r>
      <w:r w:rsidRPr="0029272A">
        <w:rPr>
          <w:rFonts w:ascii="Times New Roman" w:hAnsi="Times New Roman"/>
          <w:noProof/>
          <w:color w:val="000000"/>
          <w:sz w:val="24"/>
          <w:szCs w:val="24"/>
        </w:rPr>
        <w:t xml:space="preserve">, tj. </w:t>
      </w:r>
      <w:r w:rsidRPr="0029272A">
        <w:rPr>
          <w:rFonts w:ascii="Times New Roman" w:hAnsi="Times New Roman"/>
          <w:bCs/>
          <w:noProof/>
          <w:color w:val="000000"/>
          <w:sz w:val="24"/>
          <w:szCs w:val="24"/>
        </w:rPr>
        <w:t>540 milijardi EUR</w:t>
      </w:r>
      <w:r w:rsidRPr="0029272A">
        <w:rPr>
          <w:rFonts w:ascii="Times New Roman" w:hAnsi="Times New Roman"/>
          <w:noProof/>
          <w:color w:val="000000"/>
          <w:sz w:val="24"/>
          <w:szCs w:val="24"/>
        </w:rPr>
        <w:t xml:space="preserve">, izdvojit će se za politike i programe povezane s klimom. Komisija će financirati 30 % instrumenta Next Generation EU izdavanjem zelenih obveznica, čime će se dopuniti klimatski rashodi u okviru </w:t>
      </w:r>
      <w:r w:rsidRPr="0029272A">
        <w:rPr>
          <w:rFonts w:ascii="Times New Roman" w:hAnsi="Times New Roman"/>
          <w:b/>
          <w:noProof/>
          <w:color w:val="000000"/>
          <w:sz w:val="24"/>
          <w:szCs w:val="24"/>
        </w:rPr>
        <w:t>Mehanizma za oporavak i otpornost</w:t>
      </w:r>
      <w:r w:rsidRPr="0029272A">
        <w:rPr>
          <w:rFonts w:ascii="Times New Roman" w:hAnsi="Times New Roman"/>
          <w:noProof/>
          <w:color w:val="000000"/>
          <w:sz w:val="24"/>
          <w:szCs w:val="24"/>
        </w:rPr>
        <w:t>. Kako bi dobile potporu iz Mehanizma za oporavak i otpornost</w:t>
      </w:r>
      <w:r w:rsidRPr="0029272A">
        <w:rPr>
          <w:rFonts w:ascii="Times New Roman" w:hAnsi="Times New Roman" w:cs="Times New Roman"/>
          <w:noProof/>
          <w:sz w:val="24"/>
          <w:szCs w:val="24"/>
          <w:vertAlign w:val="superscript"/>
        </w:rPr>
        <w:footnoteReference w:id="32"/>
      </w:r>
      <w:r w:rsidRPr="0029272A">
        <w:rPr>
          <w:rFonts w:ascii="Times New Roman" w:hAnsi="Times New Roman"/>
          <w:noProof/>
          <w:color w:val="000000"/>
          <w:sz w:val="24"/>
          <w:szCs w:val="24"/>
        </w:rPr>
        <w:t>,</w:t>
      </w:r>
      <w:r w:rsidRPr="0029272A">
        <w:rPr>
          <w:rFonts w:ascii="Times New Roman" w:hAnsi="Times New Roman"/>
          <w:noProof/>
          <w:sz w:val="24"/>
          <w:szCs w:val="24"/>
          <w:vertAlign w:val="superscript"/>
        </w:rPr>
        <w:t xml:space="preserve"> </w:t>
      </w:r>
      <w:r w:rsidRPr="0029272A">
        <w:rPr>
          <w:rFonts w:ascii="Times New Roman" w:hAnsi="Times New Roman"/>
          <w:noProof/>
          <w:color w:val="000000"/>
          <w:sz w:val="24"/>
          <w:szCs w:val="24"/>
        </w:rPr>
        <w:t>okosnice instrumenta Next Generation EU, države članice morale su 2021. izraditi nacionalne planove za oporavak i otpornost u kojima su opisale kako namjeravaju potrošiti svoja nacionalna dodijeljena sredstva. Ti planovi moraju biti usklađeni s nacionalnim klimatskim i energetskim planovima, ispuniti konkretni cilj od 37 % klimatskih rashoda i poštovati načelo „nenanošenja bitne štete” kako bi se izbjegli negativni učinci na klimatske i okolišne ciljeve</w:t>
      </w:r>
      <w:r w:rsidRPr="0029272A">
        <w:rPr>
          <w:rFonts w:ascii="Times New Roman" w:hAnsi="Times New Roman" w:cs="Times New Roman"/>
          <w:noProof/>
          <w:sz w:val="24"/>
          <w:szCs w:val="24"/>
          <w:vertAlign w:val="superscript"/>
        </w:rPr>
        <w:footnoteReference w:id="33"/>
      </w:r>
      <w:r w:rsidRPr="0029272A">
        <w:rPr>
          <w:rFonts w:ascii="Times New Roman" w:hAnsi="Times New Roman"/>
          <w:noProof/>
          <w:color w:val="000000"/>
          <w:sz w:val="24"/>
          <w:szCs w:val="24"/>
        </w:rPr>
        <w:t>. Države članice čije je planove za oporavak i otpornost Komisij</w:t>
      </w:r>
      <w:r w:rsidR="006F3084">
        <w:rPr>
          <w:rFonts w:ascii="Times New Roman" w:hAnsi="Times New Roman"/>
          <w:noProof/>
          <w:color w:val="000000"/>
          <w:sz w:val="24"/>
          <w:szCs w:val="24"/>
        </w:rPr>
        <w:t>a</w:t>
      </w:r>
      <w:r w:rsidRPr="0029272A">
        <w:rPr>
          <w:rFonts w:ascii="Times New Roman" w:hAnsi="Times New Roman"/>
          <w:noProof/>
          <w:color w:val="000000"/>
          <w:sz w:val="24"/>
          <w:szCs w:val="24"/>
        </w:rPr>
        <w:t xml:space="preserve"> ocijenila premašile su prethodno navedeni cilj tako što su namijenile oko 40 % sredstava za klimu</w:t>
      </w:r>
      <w:r w:rsidRPr="0029272A">
        <w:rPr>
          <w:rStyle w:val="FootnoteReference"/>
          <w:rFonts w:ascii="Times New Roman" w:eastAsia="Times New Roman" w:hAnsi="Times New Roman" w:cs="Times New Roman"/>
          <w:noProof/>
          <w:color w:val="000000"/>
          <w:sz w:val="24"/>
          <w:szCs w:val="24"/>
        </w:rPr>
        <w:footnoteReference w:id="34"/>
      </w:r>
      <w:r w:rsidRPr="0029272A">
        <w:rPr>
          <w:rFonts w:ascii="Times New Roman" w:hAnsi="Times New Roman"/>
          <w:noProof/>
          <w:color w:val="000000"/>
          <w:sz w:val="24"/>
          <w:szCs w:val="24"/>
        </w:rPr>
        <w:t xml:space="preserve">. </w:t>
      </w:r>
    </w:p>
    <w:p w:rsidR="00CE50C8" w:rsidRPr="0029272A" w:rsidRDefault="00B6794B" w:rsidP="00B7742C">
      <w:pPr>
        <w:spacing w:after="240" w:line="240" w:lineRule="auto"/>
        <w:jc w:val="both"/>
        <w:rPr>
          <w:rFonts w:eastAsia="Times New Roman"/>
          <w:noProof/>
          <w:color w:val="000000"/>
          <w:szCs w:val="24"/>
        </w:rPr>
      </w:pPr>
      <w:r w:rsidRPr="0029272A">
        <w:rPr>
          <w:rFonts w:ascii="Times New Roman" w:hAnsi="Times New Roman"/>
          <w:b/>
          <w:noProof/>
          <w:color w:val="000000"/>
          <w:sz w:val="24"/>
          <w:szCs w:val="24"/>
        </w:rPr>
        <w:t>Mehanizam za pravednu tranziciju</w:t>
      </w:r>
      <w:r w:rsidRPr="0029272A">
        <w:rPr>
          <w:rFonts w:ascii="Times New Roman" w:hAnsi="Times New Roman"/>
          <w:noProof/>
          <w:color w:val="000000"/>
          <w:sz w:val="24"/>
          <w:szCs w:val="24"/>
        </w:rPr>
        <w:t xml:space="preserve"> uspostavljen je kako bi se osiguralo da se tranzicija prema klimatski neutralnom gospodarstvu odvija na pravedan način tako da nitko nije zapostavljen</w:t>
      </w:r>
      <w:r w:rsidRPr="0029272A">
        <w:rPr>
          <w:rFonts w:ascii="Times New Roman" w:hAnsi="Times New Roman"/>
          <w:noProof/>
          <w:sz w:val="24"/>
          <w:szCs w:val="24"/>
        </w:rPr>
        <w:t xml:space="preserve">. Očekuje se da će se tim novim alatom mobilizirati približno 55 milijardi EUR </w:t>
      </w:r>
      <w:r w:rsidRPr="0029272A">
        <w:rPr>
          <w:rFonts w:ascii="Times New Roman" w:hAnsi="Times New Roman"/>
          <w:noProof/>
          <w:color w:val="000000"/>
          <w:sz w:val="24"/>
          <w:szCs w:val="24"/>
        </w:rPr>
        <w:t xml:space="preserve">za ublažavanje </w:t>
      </w:r>
      <w:r w:rsidRPr="0029272A">
        <w:rPr>
          <w:rFonts w:ascii="Times New Roman" w:hAnsi="Times New Roman"/>
          <w:noProof/>
          <w:sz w:val="24"/>
          <w:szCs w:val="24"/>
        </w:rPr>
        <w:t>socioekonomskog učinka klimatske tranzicije</w:t>
      </w:r>
      <w:r w:rsidRPr="0029272A">
        <w:rPr>
          <w:rFonts w:ascii="Times New Roman" w:hAnsi="Times New Roman"/>
          <w:noProof/>
          <w:color w:val="000000"/>
          <w:sz w:val="24"/>
          <w:szCs w:val="24"/>
        </w:rPr>
        <w:t xml:space="preserve"> u najpogođenijim regijama i sektorima. </w:t>
      </w:r>
      <w:r w:rsidRPr="0029272A">
        <w:rPr>
          <w:rFonts w:ascii="Times New Roman" w:hAnsi="Times New Roman"/>
          <w:noProof/>
          <w:sz w:val="24"/>
          <w:szCs w:val="24"/>
        </w:rPr>
        <w:t xml:space="preserve">Države članice pripremaju </w:t>
      </w:r>
      <w:r w:rsidRPr="0029272A">
        <w:rPr>
          <w:rFonts w:ascii="Times New Roman" w:hAnsi="Times New Roman"/>
          <w:b/>
          <w:noProof/>
          <w:sz w:val="24"/>
          <w:szCs w:val="24"/>
        </w:rPr>
        <w:t>teritorijalne planove za pravednu tranziciju</w:t>
      </w:r>
      <w:r w:rsidRPr="0029272A">
        <w:rPr>
          <w:rFonts w:ascii="Times New Roman" w:hAnsi="Times New Roman"/>
          <w:noProof/>
          <w:sz w:val="24"/>
          <w:szCs w:val="24"/>
        </w:rPr>
        <w:t xml:space="preserve"> u kojima su navedena najteže pogođena područja i opisan njihov postupak tranzicije.</w:t>
      </w:r>
      <w:r w:rsidRPr="0029272A">
        <w:rPr>
          <w:rFonts w:ascii="Times New Roman" w:hAnsi="Times New Roman"/>
          <w:noProof/>
          <w:color w:val="000000"/>
          <w:sz w:val="24"/>
          <w:szCs w:val="24"/>
        </w:rPr>
        <w:t xml:space="preserve"> Za ostvarenje energetskih i klimatskih ciljeva ključno je da se ulaganjima podrže prekvalifikacija i usavršavanje radnika u sektorima teško pogođenima tranzicijom te olakšaju promjene na tržištu rada.</w:t>
      </w:r>
      <w:r w:rsidRPr="0029272A">
        <w:rPr>
          <w:rFonts w:ascii="Times New Roman" w:hAnsi="Times New Roman" w:cs="Times New Roman"/>
          <w:noProof/>
          <w:sz w:val="24"/>
          <w:szCs w:val="24"/>
          <w:vertAlign w:val="superscript"/>
        </w:rPr>
        <w:footnoteReference w:id="35"/>
      </w:r>
      <w:r w:rsidRPr="0029272A">
        <w:rPr>
          <w:rFonts w:ascii="Times New Roman" w:hAnsi="Times New Roman"/>
          <w:noProof/>
          <w:color w:val="000000"/>
          <w:sz w:val="24"/>
          <w:szCs w:val="24"/>
        </w:rPr>
        <w:t>.</w:t>
      </w:r>
      <w:r w:rsidRPr="0029272A">
        <w:rPr>
          <w:rStyle w:val="FootnoteReference"/>
          <w:rFonts w:ascii="Times New Roman" w:hAnsi="Times New Roman"/>
          <w:noProof/>
          <w:sz w:val="24"/>
          <w:szCs w:val="24"/>
        </w:rPr>
        <w:t xml:space="preserve"> </w:t>
      </w:r>
      <w:r w:rsidRPr="0029272A">
        <w:rPr>
          <w:rFonts w:ascii="Times New Roman" w:hAnsi="Times New Roman"/>
          <w:noProof/>
          <w:color w:val="000000"/>
          <w:sz w:val="24"/>
          <w:szCs w:val="24"/>
        </w:rPr>
        <w:t>Osim toga, Platforma za pravednu tranziciju</w:t>
      </w:r>
      <w:r w:rsidRPr="0029272A">
        <w:rPr>
          <w:rFonts w:ascii="Times New Roman" w:hAnsi="Times New Roman" w:cs="Times New Roman"/>
          <w:noProof/>
          <w:sz w:val="24"/>
          <w:szCs w:val="24"/>
          <w:vertAlign w:val="superscript"/>
        </w:rPr>
        <w:footnoteReference w:id="36"/>
      </w:r>
      <w:r w:rsidRPr="0029272A">
        <w:rPr>
          <w:rFonts w:ascii="Times New Roman" w:hAnsi="Times New Roman"/>
          <w:noProof/>
          <w:color w:val="000000"/>
          <w:sz w:val="24"/>
          <w:szCs w:val="24"/>
        </w:rPr>
        <w:t xml:space="preserve"> uspostavljena je radi pružanja pomoći regijama koje se oslanjaju na kruta fosilna goriva i industrije s visokim emisijama ugljika te stvaranja prostora za otvoreni dijalog i razmjene. </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 xml:space="preserve">Pojačano djelovanje gradova i građana u području klime </w:t>
      </w:r>
    </w:p>
    <w:p w:rsidR="004B7214" w:rsidRPr="0029272A" w:rsidRDefault="00DF6261">
      <w:pPr>
        <w:overflowPunct w:val="0"/>
        <w:autoSpaceDE w:val="0"/>
        <w:autoSpaceDN w:val="0"/>
        <w:adjustRightInd w:val="0"/>
        <w:spacing w:after="240" w:line="240" w:lineRule="auto"/>
        <w:jc w:val="both"/>
        <w:textAlignment w:val="baseline"/>
        <w:rPr>
          <w:rFonts w:ascii="Times New Roman" w:eastAsia="Times New Roman" w:hAnsi="Times New Roman" w:cs="Times New Roman"/>
          <w:noProof/>
          <w:color w:val="000000"/>
          <w:sz w:val="24"/>
          <w:szCs w:val="24"/>
        </w:rPr>
      </w:pPr>
      <w:r w:rsidRPr="0029272A">
        <w:rPr>
          <w:rFonts w:ascii="Times New Roman" w:hAnsi="Times New Roman"/>
          <w:noProof/>
          <w:color w:val="000000"/>
          <w:sz w:val="24"/>
          <w:szCs w:val="24"/>
        </w:rPr>
        <w:t xml:space="preserve">Borba protiv klimatskih promjena zajednička je odgovornost. Ljudi i gradovi diljem EU-a sve intenzivnije rade na tome. Komisija je u prosincu 2020. pokrenula </w:t>
      </w:r>
      <w:r w:rsidRPr="0029272A">
        <w:rPr>
          <w:rFonts w:ascii="Times New Roman" w:hAnsi="Times New Roman"/>
          <w:b/>
          <w:noProof/>
          <w:color w:val="000000"/>
          <w:sz w:val="24"/>
          <w:szCs w:val="24"/>
        </w:rPr>
        <w:t>europski klimatski pakt</w:t>
      </w:r>
      <w:r w:rsidRPr="0029272A">
        <w:rPr>
          <w:rStyle w:val="FootnoteReference"/>
          <w:rFonts w:ascii="Times New Roman" w:eastAsia="Times New Roman" w:hAnsi="Times New Roman" w:cs="Times New Roman"/>
          <w:noProof/>
          <w:color w:val="000000"/>
          <w:sz w:val="24"/>
          <w:szCs w:val="24"/>
        </w:rPr>
        <w:footnoteReference w:id="37"/>
      </w:r>
      <w:r w:rsidRPr="0029272A">
        <w:rPr>
          <w:rFonts w:ascii="Times New Roman" w:hAnsi="Times New Roman"/>
          <w:noProof/>
          <w:color w:val="000000"/>
          <w:sz w:val="24"/>
          <w:szCs w:val="24"/>
        </w:rPr>
        <w:t xml:space="preserve"> kako bi se građanima putem djelotvorne platforme dala veća uloga u osmišljavanju djelovanja za ublažavanje i prilagodbu. Do srpnja 2021. bilo je više od tisuću prijava za pridruživanje paktu, a više od 500 građana već djeluju kao potpuno aktivni ambasadori.</w:t>
      </w:r>
      <w:r w:rsidRPr="0029272A">
        <w:rPr>
          <w:rStyle w:val="FootnoteReference"/>
          <w:rFonts w:ascii="Times New Roman" w:eastAsia="Times New Roman" w:hAnsi="Times New Roman" w:cs="Times New Roman"/>
          <w:noProof/>
          <w:color w:val="000000"/>
          <w:sz w:val="24"/>
          <w:szCs w:val="24"/>
        </w:rPr>
        <w:footnoteReference w:id="38"/>
      </w:r>
      <w:r w:rsidRPr="0029272A">
        <w:rPr>
          <w:rFonts w:ascii="Times New Roman" w:hAnsi="Times New Roman"/>
          <w:noProof/>
          <w:color w:val="000000"/>
          <w:sz w:val="24"/>
          <w:szCs w:val="24"/>
        </w:rPr>
        <w:t>.</w:t>
      </w:r>
    </w:p>
    <w:p w:rsidR="00346BA4" w:rsidRPr="0029272A" w:rsidRDefault="00DF6261">
      <w:pPr>
        <w:overflowPunct w:val="0"/>
        <w:autoSpaceDE w:val="0"/>
        <w:autoSpaceDN w:val="0"/>
        <w:adjustRightInd w:val="0"/>
        <w:spacing w:after="240" w:line="240" w:lineRule="auto"/>
        <w:jc w:val="both"/>
        <w:textAlignment w:val="baseline"/>
        <w:rPr>
          <w:rFonts w:ascii="Times New Roman" w:eastAsia="Times New Roman" w:hAnsi="Times New Roman" w:cs="Times New Roman"/>
          <w:noProof/>
          <w:color w:val="000000"/>
          <w:sz w:val="24"/>
          <w:szCs w:val="24"/>
        </w:rPr>
      </w:pPr>
      <w:r w:rsidRPr="0029272A">
        <w:rPr>
          <w:rFonts w:ascii="Times New Roman" w:hAnsi="Times New Roman"/>
          <w:noProof/>
          <w:color w:val="000000"/>
          <w:sz w:val="24"/>
          <w:szCs w:val="24"/>
        </w:rPr>
        <w:t xml:space="preserve">Do kraja 2020. oko 9 900 europskih gradova pridružilo se </w:t>
      </w:r>
      <w:r w:rsidRPr="0029272A">
        <w:rPr>
          <w:rFonts w:ascii="Times New Roman" w:hAnsi="Times New Roman"/>
          <w:b/>
          <w:noProof/>
          <w:color w:val="000000"/>
          <w:sz w:val="24"/>
          <w:szCs w:val="24"/>
        </w:rPr>
        <w:t>Sporazumu gradonačelnika EU-a</w:t>
      </w:r>
      <w:r w:rsidRPr="0029272A">
        <w:rPr>
          <w:rStyle w:val="FootnoteReference"/>
          <w:rFonts w:ascii="Times New Roman" w:eastAsia="Times New Roman" w:hAnsi="Times New Roman" w:cs="Times New Roman"/>
          <w:noProof/>
          <w:color w:val="000000"/>
          <w:sz w:val="24"/>
          <w:szCs w:val="24"/>
        </w:rPr>
        <w:footnoteReference w:id="39"/>
      </w:r>
      <w:r w:rsidRPr="0029272A">
        <w:rPr>
          <w:rFonts w:ascii="Times New Roman" w:hAnsi="Times New Roman"/>
          <w:noProof/>
          <w:color w:val="000000"/>
          <w:sz w:val="24"/>
          <w:szCs w:val="24"/>
        </w:rPr>
        <w:t xml:space="preserve">, u okviru kojeg se zajednički obvezalo na smanjenje emisija stakleničkih plinova za 30 % do 2020. te za 47 % do 2030. u usporedbi s 2005. U Okvirnom programu za istraživanja i inovacije Obzor Europa Komisija pokreće i </w:t>
      </w:r>
      <w:r w:rsidRPr="0029272A">
        <w:rPr>
          <w:rFonts w:ascii="Times New Roman" w:hAnsi="Times New Roman"/>
          <w:b/>
          <w:noProof/>
          <w:color w:val="000000"/>
          <w:sz w:val="24"/>
          <w:szCs w:val="24"/>
        </w:rPr>
        <w:t>misiju za „klimatski neutralne i pametne gradove”</w:t>
      </w:r>
      <w:r w:rsidRPr="0029272A">
        <w:rPr>
          <w:rFonts w:ascii="Times New Roman" w:hAnsi="Times New Roman"/>
          <w:noProof/>
          <w:color w:val="000000"/>
          <w:sz w:val="24"/>
          <w:szCs w:val="24"/>
        </w:rPr>
        <w:t xml:space="preserve"> za najmanje 100 gradova kako bi postigli klimatsku neutralnost do 2030. i radi poticanja eksperimentiranja i inovacija, dok će se drugim misijama, tj. misijama za prilagodbu klimatskim promjenama, za oceane i unutarnje vode te za zdravlje tla, promicati djelovanje u području klime na temelju opsežnog građanskog angažmana. </w:t>
      </w:r>
    </w:p>
    <w:p w:rsidR="00DF6261" w:rsidRPr="0029272A" w:rsidRDefault="005D784C">
      <w:pPr>
        <w:spacing w:before="0" w:after="200"/>
        <w:rPr>
          <w:rFonts w:ascii="Times New Roman" w:eastAsia="Times New Roman" w:hAnsi="Times New Roman" w:cs="Times New Roman"/>
          <w:b/>
          <w:noProof/>
          <w:color w:val="000000"/>
          <w:sz w:val="24"/>
          <w:szCs w:val="24"/>
        </w:rPr>
      </w:pPr>
      <w:r w:rsidRPr="0029272A">
        <w:rPr>
          <w:noProof/>
        </w:rPr>
        <w:br w:type="page"/>
      </w:r>
    </w:p>
    <w:p w:rsidR="00DF6261" w:rsidRPr="0029272A" w:rsidRDefault="00DF6261" w:rsidP="00DF6261">
      <w:pPr>
        <w:pStyle w:val="Heading1"/>
        <w:spacing w:before="0" w:after="240" w:line="240" w:lineRule="auto"/>
        <w:ind w:left="714" w:hanging="357"/>
        <w:jc w:val="both"/>
        <w:rPr>
          <w:noProof/>
        </w:rPr>
      </w:pPr>
      <w:r w:rsidRPr="0029272A">
        <w:rPr>
          <w:noProof/>
        </w:rPr>
        <w:t xml:space="preserve">SUSTAV EU-a ZA TRGOVANJE EMISIJAMA </w:t>
      </w:r>
    </w:p>
    <w:p w:rsidR="00DF6261" w:rsidRPr="0029272A" w:rsidRDefault="00DF6261" w:rsidP="00DF6261">
      <w:pPr>
        <w:spacing w:after="240" w:line="240" w:lineRule="auto"/>
        <w:jc w:val="both"/>
        <w:rPr>
          <w:rFonts w:ascii="Times New Roman" w:hAnsi="Times New Roman" w:cs="Times New Roman"/>
          <w:noProof/>
          <w:sz w:val="24"/>
        </w:rPr>
      </w:pPr>
      <w:r w:rsidRPr="0029272A">
        <w:rPr>
          <w:rFonts w:ascii="Times New Roman" w:hAnsi="Times New Roman"/>
          <w:noProof/>
          <w:sz w:val="24"/>
          <w:szCs w:val="24"/>
        </w:rPr>
        <w:t>Sustav EU-a za trgovanje emisijama (ETS)</w:t>
      </w:r>
      <w:r w:rsidRPr="0029272A">
        <w:rPr>
          <w:rStyle w:val="FootnoteReference"/>
          <w:rFonts w:ascii="Times New Roman" w:hAnsi="Times New Roman" w:cs="Times New Roman"/>
          <w:noProof/>
          <w:sz w:val="24"/>
          <w:szCs w:val="24"/>
        </w:rPr>
        <w:footnoteReference w:id="40"/>
      </w:r>
      <w:r w:rsidRPr="0029272A">
        <w:rPr>
          <w:rFonts w:ascii="Times New Roman" w:hAnsi="Times New Roman"/>
          <w:noProof/>
          <w:sz w:val="24"/>
          <w:szCs w:val="24"/>
        </w:rPr>
        <w:t xml:space="preserve"> trenutačno obuhvaća približno 36 % ukupnih emisija stakleničkih plinova u EU-u iz gotovo 9 500 elektrana i proizvodnih pogona (tj. stacionarnih postrojenja) te letova unutar EGP-a</w:t>
      </w:r>
      <w:r w:rsidRPr="0029272A">
        <w:rPr>
          <w:rStyle w:val="FootnoteReference"/>
          <w:rFonts w:ascii="Times New Roman" w:hAnsi="Times New Roman" w:cs="Times New Roman"/>
          <w:noProof/>
          <w:sz w:val="24"/>
          <w:szCs w:val="24"/>
        </w:rPr>
        <w:footnoteReference w:id="41"/>
      </w:r>
      <w:r w:rsidRPr="0029272A">
        <w:rPr>
          <w:rFonts w:ascii="Times New Roman" w:hAnsi="Times New Roman"/>
          <w:noProof/>
          <w:sz w:val="24"/>
          <w:szCs w:val="24"/>
        </w:rPr>
        <w:t>. Od 2005. do 2020. emisije iz stacionarnih postrojenja u okviru ETS-a EU-a već su se smanjile za ukupno 43 %.</w:t>
      </w:r>
      <w:r w:rsidRPr="0029272A">
        <w:rPr>
          <w:rStyle w:val="FootnoteReference"/>
          <w:rFonts w:ascii="Times New Roman" w:hAnsi="Times New Roman" w:cs="Times New Roman"/>
          <w:noProof/>
          <w:sz w:val="24"/>
          <w:szCs w:val="24"/>
        </w:rPr>
        <w:footnoteReference w:id="42"/>
      </w:r>
      <w:r w:rsidRPr="0029272A">
        <w:rPr>
          <w:rFonts w:ascii="Times New Roman" w:hAnsi="Times New Roman"/>
          <w:noProof/>
          <w:sz w:val="24"/>
          <w:szCs w:val="24"/>
        </w:rPr>
        <w:t xml:space="preserve"> Tom su smanjenju najviše pridonijeli sektori proizvodnje električne i toplinske energije (–15 %), što je odraz već utvrđenih trendova dekarbonizacije (kao što su prelazak s ugljena na prirodni plin u proizvodnji energije i zamjena fosilnih goriva obnovljivim izvorima energije na temelju politika EU-a i država članica u području energije iz obnovljivih izvora) i smanjena potrošnja električne energije u 2020. zbog pandemije. Procjenjuje se da su se 2020. zbog učinaka pandemije emisije iz stacionarnih postrojenja smanjile za 11,4 %, dok su emisije iz industrije zabilježile najveće smanjenje (–7 %) od 2013., tj. od početka 3. faze ETS-a EU-a, a zračni promet nezapamćeno smanjenje (–63,5 %). </w:t>
      </w:r>
    </w:p>
    <w:p w:rsidR="00DF6261" w:rsidRPr="0029272A" w:rsidRDefault="0011150E" w:rsidP="00DF6261">
      <w:pPr>
        <w:spacing w:after="120" w:line="240" w:lineRule="auto"/>
        <w:jc w:val="both"/>
        <w:rPr>
          <w:noProof/>
          <w:highlight w:val="yellow"/>
        </w:rPr>
      </w:pPr>
      <w:r w:rsidRPr="0011150E">
        <w:rPr>
          <w:noProof/>
          <w:highlight w:val="yellow"/>
          <w:lang w:val="en-GB" w:eastAsia="en-GB"/>
        </w:rPr>
        <w:drawing>
          <wp:inline distT="0" distB="0" distL="0" distR="0">
            <wp:extent cx="5731510" cy="3443321"/>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443321"/>
                    </a:xfrm>
                    <a:prstGeom prst="rect">
                      <a:avLst/>
                    </a:prstGeom>
                    <a:noFill/>
                    <a:ln>
                      <a:noFill/>
                    </a:ln>
                  </pic:spPr>
                </pic:pic>
              </a:graphicData>
            </a:graphic>
          </wp:inline>
        </w:drawing>
      </w:r>
    </w:p>
    <w:p w:rsidR="00DF6261" w:rsidRPr="0029272A" w:rsidRDefault="00DF6261">
      <w:pPr>
        <w:pStyle w:val="Caption"/>
        <w:spacing w:line="240" w:lineRule="auto"/>
        <w:jc w:val="both"/>
        <w:rPr>
          <w:noProof/>
        </w:rPr>
      </w:pPr>
      <w:r w:rsidRPr="0029272A">
        <w:rPr>
          <w:noProof/>
        </w:rPr>
        <w:t>Slika 2.: Verificirane (povijesne) emisije u okviru ETS-a u razdoblju 2005.–2020. u Mt ekvivalenta CO</w:t>
      </w:r>
      <w:r w:rsidRPr="0029272A">
        <w:rPr>
          <w:noProof/>
          <w:vertAlign w:val="subscript"/>
        </w:rPr>
        <w:t>2</w:t>
      </w:r>
      <w:r w:rsidRPr="0029272A">
        <w:rPr>
          <w:rStyle w:val="FootnoteReference"/>
          <w:noProof/>
        </w:rPr>
        <w:footnoteReference w:id="43"/>
      </w:r>
      <w:r w:rsidRPr="0029272A">
        <w:rPr>
          <w:noProof/>
        </w:rPr>
        <w:t>, predviđanja država članica uz postojeće mjere za razdoblje 2021.–2030., gornje granice ETS-a u 2., 3. i 4. fazi te akumulirani višak emisijskih jedinica u okviru ETS-a u razdoblju 2008.–2020., uključujući Ujedinjenu Kraljevinu (Sjeverna Irska), Norvešku i Island</w:t>
      </w:r>
    </w:p>
    <w:p w:rsidR="00754A9F" w:rsidRPr="0029272A" w:rsidRDefault="0064779F" w:rsidP="00B7742C">
      <w:pPr>
        <w:pStyle w:val="Body"/>
        <w:spacing w:after="240"/>
        <w:rPr>
          <w:rFonts w:cs="Times New Roman"/>
          <w:noProof/>
        </w:rPr>
      </w:pPr>
      <w:r w:rsidRPr="0029272A">
        <w:rPr>
          <w:noProof/>
        </w:rPr>
        <w:t>Posljednjih nekoliko godina 3. faze obilježio je pojačani signal cijene ugljika. Isto je zabilježeno i 2020. i 2021. tijekom kojih je, unatoč teškoj gospodarskoj situaciji u industriji i zračnom prometu uzrokovanoj pandemijom, cijena ugljika ostala stabilna zbog visokih cijena plina i očekivanja na tržištu da će ciljevi za 2030. biti ambiciozniji. Cijene ugljika povećale su se tijekom 2021., što je pridonijelo većim veleprodajnim cijenama električne energije, ali znatno manje nego povećana cijena plina.</w:t>
      </w:r>
    </w:p>
    <w:p w:rsidR="0064779F" w:rsidRPr="0029272A" w:rsidRDefault="00880799" w:rsidP="00B7742C">
      <w:pPr>
        <w:pStyle w:val="Body"/>
        <w:spacing w:after="240"/>
        <w:rPr>
          <w:noProof/>
        </w:rPr>
      </w:pPr>
      <w:r w:rsidRPr="0029272A">
        <w:rPr>
          <w:noProof/>
        </w:rPr>
        <w:t>Komisija svake godine objavljuje višak emisijskih jedinica za prethodnu godinu. Višak za 2020. u svibnju 2021. iznosio je približno 1,58 milijardi</w:t>
      </w:r>
      <w:r w:rsidRPr="0029272A">
        <w:rPr>
          <w:rFonts w:cs="Times New Roman"/>
          <w:noProof/>
          <w:vertAlign w:val="superscript"/>
        </w:rPr>
        <w:footnoteReference w:id="44"/>
      </w:r>
      <w:r w:rsidRPr="0029272A">
        <w:rPr>
          <w:noProof/>
        </w:rPr>
        <w:t xml:space="preserve">, što je neznatno više nego 2019. (1,39 milijardi) jer su se emisije kontinuirano smanjivale zbog pandemije. S obzirom na postojeći višak, količina emisijskih jedinica za dražbovnu prodaju u razdoblju od rujna 2021. do kolovoza 2022. smanjit će se za 378 milijuna emisijskih jedinica. Prvo preispitivanje </w:t>
      </w:r>
      <w:r w:rsidRPr="0029272A">
        <w:rPr>
          <w:b/>
          <w:noProof/>
        </w:rPr>
        <w:t>rezerve za stabilnost tržišta</w:t>
      </w:r>
      <w:r w:rsidRPr="0029272A">
        <w:rPr>
          <w:rStyle w:val="FootnoteReference"/>
          <w:noProof/>
        </w:rPr>
        <w:footnoteReference w:id="45"/>
      </w:r>
      <w:r w:rsidRPr="0029272A">
        <w:rPr>
          <w:noProof/>
        </w:rPr>
        <w:t xml:space="preserve">, koja funkcionira od 2019., pokazalo je da je rezerva, usprkos smanjenju emisija uslijed pandemije bolesti COVID-19, ispunila svoj cilj smanjenja povijesnog viška i stabilizacije tržišta. Točnije, dosad je u nju prenesena gotovo 1,1 milijarda emisijskih jedinica (smanjene količine za dražbovnu prodaju) i očekuje se da će se taj trend nastaviti i u narednim godinama. </w:t>
      </w:r>
    </w:p>
    <w:p w:rsidR="0064779F" w:rsidRPr="0029272A" w:rsidRDefault="0064779F">
      <w:pPr>
        <w:pStyle w:val="Body"/>
        <w:spacing w:after="240"/>
        <w:rPr>
          <w:rStyle w:val="None"/>
          <w:rFonts w:eastAsia="Calibri" w:cs="Calibri"/>
          <w:noProof/>
        </w:rPr>
      </w:pPr>
      <w:r w:rsidRPr="0029272A">
        <w:rPr>
          <w:noProof/>
        </w:rPr>
        <w:t xml:space="preserve">Kad je riječ o </w:t>
      </w:r>
      <w:r w:rsidRPr="0029272A">
        <w:rPr>
          <w:b/>
          <w:noProof/>
        </w:rPr>
        <w:t>međunarodnim jedinicama</w:t>
      </w:r>
      <w:r w:rsidRPr="0029272A">
        <w:rPr>
          <w:noProof/>
        </w:rPr>
        <w:t>, tržišni analitičari procijenili su na početku 3. faze da će međunarodne jedinice na čije se korištenje imalo pravo i koje su iskorištene u 2. i 3. fazi (2008.–2020.) iznositi otprilike 1,6 milijardi. U svibnju 2021.</w:t>
      </w:r>
      <w:r w:rsidRPr="0029272A">
        <w:rPr>
          <w:rFonts w:cs="Times New Roman"/>
          <w:noProof/>
          <w:vertAlign w:val="superscript"/>
        </w:rPr>
        <w:footnoteReference w:id="46"/>
      </w:r>
      <w:r w:rsidRPr="0029272A">
        <w:rPr>
          <w:noProof/>
        </w:rPr>
        <w:t xml:space="preserve"> ukupan broj iskorištenih ili razmijenjenih jedinica iznosio je približno 1,565 milijardi ili gotovo 98 % procijenjene maksimalne vrijednosti. Samo u 3. fazi (2013.–2020.) razmijenjeno je 506,3 milijuna međunarodnih jedinica. </w:t>
      </w:r>
      <w:r w:rsidRPr="0029272A">
        <w:rPr>
          <w:rStyle w:val="None"/>
          <w:noProof/>
        </w:rPr>
        <w:t>U skladu s odredbama Direktive o ETS-u EU-a međunarodne jedinice u četvrtom razdoblju trgovanja (2021.–2030.) više se neće moći upotrijebiti za usklađivanje s ETS-om EU-a.</w:t>
      </w:r>
    </w:p>
    <w:p w:rsidR="00DF6261"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b/>
          <w:noProof/>
          <w:sz w:val="24"/>
          <w:szCs w:val="24"/>
        </w:rPr>
        <w:t>Prihodi od dražbovne prodaje emisijskih jedinica na europskom tržištu ugljika</w:t>
      </w:r>
      <w:r w:rsidRPr="0029272A">
        <w:rPr>
          <w:rFonts w:ascii="Times New Roman" w:hAnsi="Times New Roman"/>
          <w:noProof/>
          <w:sz w:val="24"/>
          <w:szCs w:val="24"/>
        </w:rPr>
        <w:t xml:space="preserve"> nastavili su rasti 2020. zbog sve veće cijene ugljika. Ukupni prihodi koje su države članice, Ujedinjena Kraljevina i zemlje EGP-a ostvarile od dražbi od 2012. do 30. lipnja 2021. iznosili su gotovo 83,5 milijardi EUR. Samo 2020. ostvareni su ukupni prihodi od 16,5 milijardi EUR (EU-27 zajedno s EGP-om) ili 19 milijardi EUR ako se uključi Ujedinjena Kraljevina. U prvih šest mjeseci 2021. prihodi (EU-27 zajedno s EGP-om) iznosili su približno 14 milijardi EUR</w:t>
      </w:r>
      <w:r w:rsidRPr="0029272A">
        <w:rPr>
          <w:rStyle w:val="FootnoteReference"/>
          <w:rFonts w:ascii="Times New Roman" w:hAnsi="Times New Roman" w:cs="Times New Roman"/>
          <w:noProof/>
          <w:sz w:val="24"/>
          <w:szCs w:val="24"/>
        </w:rPr>
        <w:footnoteReference w:id="47"/>
      </w:r>
      <w:r w:rsidRPr="0029272A">
        <w:rPr>
          <w:rFonts w:ascii="Times New Roman" w:hAnsi="Times New Roman"/>
          <w:noProof/>
          <w:sz w:val="24"/>
          <w:szCs w:val="24"/>
        </w:rPr>
        <w:t xml:space="preserve">. </w:t>
      </w:r>
    </w:p>
    <w:p w:rsidR="00645510" w:rsidRPr="0029272A" w:rsidRDefault="00645510" w:rsidP="00B7742C">
      <w:pPr>
        <w:spacing w:after="240" w:line="240" w:lineRule="auto"/>
        <w:jc w:val="both"/>
        <w:rPr>
          <w:noProof/>
          <w:szCs w:val="24"/>
        </w:rPr>
      </w:pPr>
      <w:r w:rsidRPr="0029272A">
        <w:rPr>
          <w:rFonts w:ascii="Times New Roman" w:hAnsi="Times New Roman"/>
          <w:b/>
          <w:i/>
          <w:noProof/>
          <w:sz w:val="24"/>
          <w:szCs w:val="24"/>
        </w:rPr>
        <w:t>Mjere u zračnom i pomorskom prometu</w:t>
      </w:r>
    </w:p>
    <w:p w:rsidR="00645510" w:rsidRPr="0029272A" w:rsidRDefault="00645510">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Za emisije iz zračnog prometa izvan Europe, tj. emisije iz dolaznih letova u EGP i odlaznih letova u druge zemlje, osim letova za Ujedinjenu Kraljevinu i Švicarsku, trenutačno se ne određuje cijena u okviru ETS-a EU-a u skladu s odredbom o zamrzavanju provedbe propisa iz Direktive o ETS-u EU-a. </w:t>
      </w:r>
    </w:p>
    <w:p w:rsidR="00A66A23" w:rsidRPr="0029272A" w:rsidRDefault="00645510">
      <w:pPr>
        <w:spacing w:after="240" w:line="240" w:lineRule="auto"/>
        <w:jc w:val="both"/>
        <w:rPr>
          <w:rFonts w:ascii="Times New Roman" w:eastAsia="Times New Roman" w:hAnsi="Times New Roman" w:cs="Times New Roman"/>
          <w:noProof/>
          <w:color w:val="000000"/>
          <w:sz w:val="24"/>
          <w:szCs w:val="24"/>
        </w:rPr>
      </w:pPr>
      <w:r w:rsidRPr="0029272A">
        <w:rPr>
          <w:rFonts w:ascii="Times New Roman" w:hAnsi="Times New Roman"/>
          <w:noProof/>
          <w:sz w:val="24"/>
          <w:szCs w:val="24"/>
        </w:rPr>
        <w:t xml:space="preserve">EU je 2021. nastavio podupirati provedbu početne </w:t>
      </w:r>
      <w:r w:rsidR="004C1735">
        <w:rPr>
          <w:rFonts w:ascii="Times New Roman" w:hAnsi="Times New Roman"/>
          <w:noProof/>
          <w:sz w:val="24"/>
          <w:szCs w:val="24"/>
        </w:rPr>
        <w:t>s</w:t>
      </w:r>
      <w:r w:rsidRPr="0029272A">
        <w:rPr>
          <w:rFonts w:ascii="Times New Roman" w:hAnsi="Times New Roman"/>
          <w:noProof/>
          <w:sz w:val="24"/>
          <w:szCs w:val="24"/>
        </w:rPr>
        <w:t xml:space="preserve">trategije </w:t>
      </w:r>
      <w:r w:rsidR="004C1735" w:rsidRPr="0029272A">
        <w:rPr>
          <w:rFonts w:ascii="Times New Roman" w:hAnsi="Times New Roman"/>
          <w:noProof/>
          <w:sz w:val="24"/>
          <w:szCs w:val="24"/>
        </w:rPr>
        <w:t xml:space="preserve">Međunarodne pomorske organizacije </w:t>
      </w:r>
      <w:r w:rsidR="004C1735">
        <w:rPr>
          <w:rFonts w:ascii="Times New Roman" w:hAnsi="Times New Roman"/>
          <w:noProof/>
          <w:sz w:val="24"/>
          <w:szCs w:val="24"/>
        </w:rPr>
        <w:t xml:space="preserve">u vezi sa </w:t>
      </w:r>
      <w:r w:rsidRPr="0029272A">
        <w:rPr>
          <w:rFonts w:ascii="Times New Roman" w:hAnsi="Times New Roman"/>
          <w:noProof/>
          <w:sz w:val="24"/>
          <w:szCs w:val="24"/>
        </w:rPr>
        <w:t>smanjenj</w:t>
      </w:r>
      <w:r w:rsidR="004C1735">
        <w:rPr>
          <w:rFonts w:ascii="Times New Roman" w:hAnsi="Times New Roman"/>
          <w:noProof/>
          <w:sz w:val="24"/>
          <w:szCs w:val="24"/>
        </w:rPr>
        <w:t>em</w:t>
      </w:r>
      <w:r w:rsidRPr="0029272A">
        <w:rPr>
          <w:rFonts w:ascii="Times New Roman" w:hAnsi="Times New Roman"/>
          <w:noProof/>
          <w:sz w:val="24"/>
          <w:szCs w:val="24"/>
        </w:rPr>
        <w:t xml:space="preserve"> stakleničkih plinova, koja je usmjerena na kratkoročne mjere. Komisija je potpisala i memorandum o razumijevanju za novo partnerstvo u okviru Obzora Europa u kojem će </w:t>
      </w:r>
      <w:r w:rsidR="004C1735">
        <w:rPr>
          <w:rFonts w:ascii="Times New Roman" w:hAnsi="Times New Roman"/>
          <w:noProof/>
          <w:sz w:val="24"/>
          <w:szCs w:val="24"/>
        </w:rPr>
        <w:t xml:space="preserve">se </w:t>
      </w:r>
      <w:r w:rsidRPr="0029272A">
        <w:rPr>
          <w:rFonts w:ascii="Times New Roman" w:hAnsi="Times New Roman"/>
          <w:noProof/>
          <w:sz w:val="24"/>
          <w:szCs w:val="24"/>
        </w:rPr>
        <w:t xml:space="preserve">uložiti do 3,8 milijardi EUR u istraživanje i inovacije kako bi se do 2030. osmislila i demonstrirala primjenjiva rješenja s nultim emisijama za sve glavne vrste brodova i brodskih usluga. U srpnju 2021. predložila </w:t>
      </w:r>
      <w:r w:rsidR="00DE07B1">
        <w:rPr>
          <w:rFonts w:ascii="Times New Roman" w:hAnsi="Times New Roman"/>
          <w:noProof/>
          <w:sz w:val="24"/>
          <w:szCs w:val="24"/>
        </w:rPr>
        <w:t xml:space="preserve">je </w:t>
      </w:r>
      <w:r w:rsidRPr="0029272A">
        <w:rPr>
          <w:rFonts w:ascii="Times New Roman" w:hAnsi="Times New Roman"/>
          <w:noProof/>
          <w:sz w:val="24"/>
          <w:szCs w:val="24"/>
        </w:rPr>
        <w:t>proširenje ETS-a EU-a na emisije iz pomorskog prometa i kako bi se poticala uporaba održivih alternativnih goriva u tom sektoru.</w:t>
      </w:r>
      <w:r w:rsidRPr="0029272A">
        <w:rPr>
          <w:noProof/>
        </w:rPr>
        <w:t xml:space="preserve"> </w:t>
      </w:r>
    </w:p>
    <w:p w:rsidR="00DF6261" w:rsidRPr="0029272A" w:rsidRDefault="00DF6261">
      <w:pPr>
        <w:pStyle w:val="Heading1"/>
        <w:spacing w:before="0" w:after="240" w:line="240" w:lineRule="auto"/>
        <w:ind w:left="714" w:hanging="357"/>
        <w:jc w:val="both"/>
        <w:rPr>
          <w:noProof/>
        </w:rPr>
      </w:pPr>
      <w:r w:rsidRPr="0029272A">
        <w:rPr>
          <w:noProof/>
        </w:rPr>
        <w:t xml:space="preserve">EMISIJE POVEZANE S RASPODJELOM TERETA </w:t>
      </w:r>
    </w:p>
    <w:p w:rsidR="002D18B1"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Emisije iz sektora koji nisu uključeni u ETS, kao što su promet, industrija koja nije obuhvaćena ETS-om, zgrade, poljoprivreda i otpad, obuhvaćene su zakonodavstvom EU-a o raspodjeli tereta. U Odluci o raspodjeli tereta (Odluka br. 406/2009/EZ) utvrđeni su nacionalni ciljevi u pogledu emisija za 2020. izraženi kao promjena u postocima u odnosu na razine iz 2005. Utvrđene su i godišnje emisijske kvote koje države članice</w:t>
      </w:r>
      <w:r w:rsidRPr="0029272A">
        <w:rPr>
          <w:rStyle w:val="FootnoteReference"/>
          <w:rFonts w:ascii="Times New Roman" w:hAnsi="Times New Roman" w:cs="Times New Roman"/>
          <w:noProof/>
          <w:sz w:val="24"/>
          <w:szCs w:val="24"/>
        </w:rPr>
        <w:footnoteReference w:id="48"/>
      </w:r>
      <w:r w:rsidRPr="0029272A">
        <w:rPr>
          <w:rFonts w:ascii="Times New Roman" w:hAnsi="Times New Roman"/>
          <w:noProof/>
          <w:sz w:val="24"/>
          <w:szCs w:val="24"/>
        </w:rPr>
        <w:t xml:space="preserve"> moraju poštovati. Na sličan su način u sljednici odnosno Uredbi o raspodjeli tereta</w:t>
      </w:r>
      <w:r w:rsidRPr="0029272A">
        <w:rPr>
          <w:rStyle w:val="FootnoteReference"/>
          <w:rFonts w:ascii="Times New Roman" w:hAnsi="Times New Roman" w:cs="Times New Roman"/>
          <w:noProof/>
          <w:sz w:val="24"/>
          <w:szCs w:val="24"/>
        </w:rPr>
        <w:footnoteReference w:id="49"/>
      </w:r>
      <w:r w:rsidRPr="0029272A">
        <w:rPr>
          <w:rFonts w:ascii="Times New Roman" w:hAnsi="Times New Roman"/>
          <w:noProof/>
          <w:sz w:val="24"/>
          <w:szCs w:val="24"/>
        </w:rPr>
        <w:t xml:space="preserve"> utvrđeni nacionalni ciljevi emisija za 2030. i godišnje emisijske kvote za razdoblje 2021.–2030., među ostalim za Island i Norvešku</w:t>
      </w:r>
      <w:r w:rsidRPr="0029272A">
        <w:rPr>
          <w:rStyle w:val="FootnoteReference"/>
          <w:rFonts w:ascii="Times New Roman" w:hAnsi="Times New Roman" w:cs="Times New Roman"/>
          <w:noProof/>
          <w:color w:val="000000"/>
          <w:sz w:val="24"/>
          <w:szCs w:val="24"/>
        </w:rPr>
        <w:footnoteReference w:id="50"/>
      </w:r>
      <w:r w:rsidRPr="0029272A">
        <w:rPr>
          <w:rFonts w:ascii="Times New Roman" w:hAnsi="Times New Roman"/>
          <w:noProof/>
          <w:sz w:val="24"/>
          <w:szCs w:val="24"/>
        </w:rPr>
        <w:t xml:space="preserve">. </w:t>
      </w:r>
      <w:r w:rsidRPr="0029272A">
        <w:rPr>
          <w:rFonts w:ascii="Times New Roman" w:hAnsi="Times New Roman"/>
          <w:noProof/>
          <w:color w:val="000000"/>
          <w:sz w:val="24"/>
          <w:szCs w:val="24"/>
        </w:rPr>
        <w:t>Island i Norveška poduzeli su dodatne mjere za provedbu Uredbe o raspodjeli tereta i obje su zemlje Komisiji već dostavile svoje nacionalne planove</w:t>
      </w:r>
      <w:r w:rsidRPr="0029272A">
        <w:rPr>
          <w:rStyle w:val="FootnoteReference"/>
          <w:rFonts w:ascii="Times New Roman" w:hAnsi="Times New Roman" w:cs="Times New Roman"/>
          <w:noProof/>
          <w:color w:val="000000"/>
          <w:sz w:val="24"/>
          <w:szCs w:val="24"/>
        </w:rPr>
        <w:footnoteReference w:id="51"/>
      </w:r>
      <w:r w:rsidRPr="0029272A">
        <w:rPr>
          <w:rFonts w:ascii="Times New Roman" w:hAnsi="Times New Roman"/>
          <w:noProof/>
          <w:color w:val="000000"/>
          <w:sz w:val="24"/>
          <w:szCs w:val="24"/>
          <w:vertAlign w:val="superscript"/>
        </w:rPr>
        <w:t>,</w:t>
      </w:r>
      <w:r w:rsidRPr="0029272A">
        <w:rPr>
          <w:rStyle w:val="FootnoteReference"/>
          <w:rFonts w:ascii="Times New Roman" w:hAnsi="Times New Roman" w:cs="Times New Roman"/>
          <w:noProof/>
          <w:color w:val="000000"/>
          <w:sz w:val="24"/>
          <w:szCs w:val="24"/>
        </w:rPr>
        <w:footnoteReference w:id="52"/>
      </w:r>
      <w:r w:rsidRPr="0029272A">
        <w:rPr>
          <w:rFonts w:ascii="Times New Roman" w:hAnsi="Times New Roman"/>
          <w:noProof/>
          <w:color w:val="000000"/>
          <w:sz w:val="24"/>
          <w:szCs w:val="24"/>
        </w:rPr>
        <w:t xml:space="preserve">. </w:t>
      </w:r>
    </w:p>
    <w:p w:rsidR="009C1881" w:rsidRPr="0029272A" w:rsidRDefault="00045400">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Otkad je sustav za raspodjelu tereta pokrenut 2013.</w:t>
      </w:r>
      <w:r w:rsidR="00A95EB2">
        <w:rPr>
          <w:rFonts w:ascii="Times New Roman" w:hAnsi="Times New Roman"/>
          <w:noProof/>
          <w:sz w:val="24"/>
          <w:szCs w:val="24"/>
        </w:rPr>
        <w:t>,</w:t>
      </w:r>
      <w:r w:rsidRPr="0029272A">
        <w:rPr>
          <w:rFonts w:ascii="Times New Roman" w:hAnsi="Times New Roman"/>
          <w:noProof/>
          <w:sz w:val="24"/>
          <w:szCs w:val="24"/>
        </w:rPr>
        <w:t xml:space="preserve"> emisije u cijelom EU-u svake su godine niže od ukupne granične vrijednosti. Emisije u EU-27 obuhvaćene Odlukom o raspodjeli tereta bile su za gotovo 11 % niže 2019. u odnosu na 2005. Stoga je cilj za 2020. (–10 %) premašen i prije krize uzrokovane bolešću COVID-19 (slika 3.).</w:t>
      </w:r>
    </w:p>
    <w:p w:rsidR="00BE46EE" w:rsidRPr="0029272A" w:rsidRDefault="00185161">
      <w:pPr>
        <w:spacing w:after="240" w:line="240" w:lineRule="auto"/>
        <w:jc w:val="both"/>
        <w:rPr>
          <w:rFonts w:ascii="Times New Roman" w:hAnsi="Times New Roman" w:cs="Times New Roman"/>
          <w:noProof/>
          <w:sz w:val="24"/>
          <w:szCs w:val="24"/>
        </w:rPr>
      </w:pPr>
      <w:r w:rsidRPr="00185161">
        <w:rPr>
          <w:noProof/>
          <w:lang w:val="en-GB" w:eastAsia="en-GB"/>
        </w:rPr>
        <w:drawing>
          <wp:inline distT="0" distB="0" distL="0" distR="0">
            <wp:extent cx="5730770" cy="3497580"/>
            <wp:effectExtent l="0" t="0" r="38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5220" cy="3500296"/>
                    </a:xfrm>
                    <a:prstGeom prst="rect">
                      <a:avLst/>
                    </a:prstGeom>
                    <a:noFill/>
                    <a:ln>
                      <a:noFill/>
                    </a:ln>
                  </pic:spPr>
                </pic:pic>
              </a:graphicData>
            </a:graphic>
          </wp:inline>
        </w:drawing>
      </w:r>
    </w:p>
    <w:p w:rsidR="009C1881" w:rsidRPr="0029272A" w:rsidRDefault="132DBCBD" w:rsidP="00B7742C">
      <w:pPr>
        <w:spacing w:line="240" w:lineRule="auto"/>
        <w:jc w:val="both"/>
        <w:rPr>
          <w:b/>
          <w:noProof/>
          <w:sz w:val="20"/>
          <w:szCs w:val="20"/>
        </w:rPr>
      </w:pPr>
      <w:r w:rsidRPr="0029272A">
        <w:rPr>
          <w:b/>
          <w:bCs/>
          <w:noProof/>
          <w:sz w:val="20"/>
          <w:szCs w:val="20"/>
        </w:rPr>
        <w:t>Slika 3.</w:t>
      </w:r>
      <w:r w:rsidRPr="0029272A">
        <w:rPr>
          <w:b/>
          <w:noProof/>
          <w:sz w:val="20"/>
          <w:szCs w:val="20"/>
        </w:rPr>
        <w:t>: Emisije u sektorima obuhvaćenima zakonodavstvom o raspodjeli tereta za razdoblje 2005.–2030. i godišnje emisijske kvote, EU-27 te Island i Norveška (Mt ekvivalenta CO</w:t>
      </w:r>
      <w:r w:rsidRPr="0029272A">
        <w:rPr>
          <w:b/>
          <w:noProof/>
          <w:sz w:val="20"/>
          <w:szCs w:val="20"/>
          <w:vertAlign w:val="subscript"/>
        </w:rPr>
        <w:t>2</w:t>
      </w:r>
      <w:r w:rsidRPr="0029272A">
        <w:rPr>
          <w:b/>
          <w:noProof/>
          <w:sz w:val="20"/>
          <w:szCs w:val="20"/>
        </w:rPr>
        <w:t>)</w:t>
      </w:r>
      <w:r w:rsidRPr="0029272A">
        <w:rPr>
          <w:rStyle w:val="FootnoteReference"/>
          <w:b/>
          <w:noProof/>
          <w:sz w:val="20"/>
          <w:szCs w:val="20"/>
        </w:rPr>
        <w:footnoteReference w:id="53"/>
      </w:r>
      <w:r w:rsidRPr="0029272A">
        <w:rPr>
          <w:rFonts w:ascii="Calibri" w:hAnsi="Calibri"/>
          <w:b/>
          <w:bCs/>
          <w:noProof/>
          <w:sz w:val="20"/>
          <w:szCs w:val="20"/>
          <w:highlight w:val="yellow"/>
        </w:rPr>
        <w:t xml:space="preserve"> </w:t>
      </w:r>
    </w:p>
    <w:p w:rsidR="009C1881" w:rsidRPr="0029272A" w:rsidRDefault="009C1881" w:rsidP="00B7742C">
      <w:pPr>
        <w:spacing w:after="240" w:line="240" w:lineRule="auto"/>
        <w:jc w:val="both"/>
        <w:rPr>
          <w:noProof/>
          <w:szCs w:val="24"/>
        </w:rPr>
      </w:pPr>
      <w:r w:rsidRPr="0029272A">
        <w:rPr>
          <w:rFonts w:ascii="Times New Roman" w:hAnsi="Times New Roman"/>
          <w:b/>
          <w:i/>
          <w:noProof/>
          <w:sz w:val="24"/>
          <w:szCs w:val="24"/>
        </w:rPr>
        <w:t>Usklađenost država članica s obvezama raspodjele tereta u razdoblju 2013.–2020.</w:t>
      </w:r>
    </w:p>
    <w:p w:rsidR="009C1881" w:rsidRPr="0029272A" w:rsidRDefault="009C188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Sve države članice ispunile su svoje obveze raspodjele tereta u razdoblju 2013.–2018. Malta je premašila svoje godišnje emisijske kvote u svakoj od tih godina, ali je pokrila manjak kupovanjem godišnjih emisijskih kvota od Bugarske. Svoje godišnje emisijske kvote 2018. premašili su i Austrija, Belgija, Bugarska, Cipar, Estonija, Finska, Njemačka, Irska, Luksemburg i Poljska, ali mogli su iskoristiti viškove iz prethodnih godina. Švedska i Ujedinjena Kraljevina otkazale su višak godišnjih emisijskih kvota 2018. radi poboljšanja okolišnog integriteta sustava.</w:t>
      </w:r>
      <w:r w:rsidRPr="0029272A">
        <w:rPr>
          <w:rStyle w:val="FootnoteReference"/>
          <w:rFonts w:ascii="Times New Roman" w:hAnsi="Times New Roman" w:cs="Times New Roman"/>
          <w:noProof/>
          <w:sz w:val="24"/>
          <w:szCs w:val="24"/>
        </w:rPr>
        <w:footnoteReference w:id="54"/>
      </w:r>
      <w:r w:rsidRPr="0029272A">
        <w:rPr>
          <w:rFonts w:ascii="Times New Roman" w:hAnsi="Times New Roman"/>
          <w:noProof/>
          <w:sz w:val="24"/>
          <w:szCs w:val="24"/>
        </w:rPr>
        <w:t xml:space="preserve"> Preostale države članice prenijele su višak kvota za eventualnu kasniju uporabu. Za usklađivanje s obvezama raspodjele tereta nisu upotrijebljene jedinice iz međunarodnih projekata u okviru mehanizma čistog razvoja ni zajednička provedba.</w:t>
      </w:r>
    </w:p>
    <w:p w:rsidR="005F310D" w:rsidRPr="0029272A" w:rsidRDefault="009C188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U tijeku je ciklus usklađivanja za 2019. Prema godišnjem pregledu inventara na temelju Odluke o raspodjeli tereta Malta je premašila svoje godišnje emisijske kvote za 22 % i stoga će ih opet morati kupiti. Devet drugih država članica</w:t>
      </w:r>
      <w:r w:rsidRPr="0029272A">
        <w:rPr>
          <w:rStyle w:val="FootnoteReference"/>
          <w:rFonts w:ascii="Times New Roman" w:hAnsi="Times New Roman" w:cs="Times New Roman"/>
          <w:noProof/>
          <w:sz w:val="24"/>
          <w:szCs w:val="24"/>
        </w:rPr>
        <w:footnoteReference w:id="55"/>
      </w:r>
      <w:r w:rsidRPr="0029272A">
        <w:rPr>
          <w:rFonts w:ascii="Times New Roman" w:hAnsi="Times New Roman"/>
          <w:noProof/>
          <w:sz w:val="24"/>
          <w:szCs w:val="24"/>
        </w:rPr>
        <w:t xml:space="preserve"> premašilo je svoje godišnje emisijske kvote za 2019. do 18 %. Te zemlje, osim Njemačke i Irske, imaju dovoljno viška godišnjih emisijskih kvota prenesenih iz prethodnih godina. Zamjenski podaci o inventaru za 2020. pokazuju da su Bugarska, Cipar, Finska, Njemačka, Irska i Malta premašile svoje godišnje emisijske kvote od 0,4 % (Finska) do 14 % (Irska). Države članice koje nisu prenijele višak godišnjih emisijskih kvota (Irska, Njemačka i Malt</w:t>
      </w:r>
      <w:r w:rsidR="00022AD8">
        <w:rPr>
          <w:rFonts w:ascii="Times New Roman" w:hAnsi="Times New Roman"/>
          <w:noProof/>
          <w:sz w:val="24"/>
          <w:szCs w:val="24"/>
        </w:rPr>
        <w:t>a</w:t>
      </w:r>
      <w:r w:rsidRPr="0029272A">
        <w:rPr>
          <w:rFonts w:ascii="Times New Roman" w:hAnsi="Times New Roman"/>
          <w:noProof/>
          <w:sz w:val="24"/>
          <w:szCs w:val="24"/>
        </w:rPr>
        <w:t xml:space="preserve">) mogu primijeniti mehanizme fleksibilnosti iz Odluke o raspodjeli tereta (povrh prenošenja i posuđivanja godišnjih emisijskih kvota). </w:t>
      </w:r>
    </w:p>
    <w:p w:rsidR="009C1881" w:rsidRPr="0029272A" w:rsidRDefault="003D0A13">
      <w:pPr>
        <w:spacing w:after="120" w:line="240" w:lineRule="auto"/>
        <w:rPr>
          <w:rFonts w:ascii="Times New Roman" w:hAnsi="Times New Roman" w:cs="Times New Roman"/>
          <w:noProof/>
          <w:sz w:val="24"/>
          <w:szCs w:val="24"/>
        </w:rPr>
      </w:pPr>
      <w:r w:rsidRPr="003D0A13">
        <w:rPr>
          <w:noProof/>
          <w:lang w:val="en-GB" w:eastAsia="en-GB"/>
        </w:rPr>
        <w:drawing>
          <wp:inline distT="0" distB="0" distL="0" distR="0">
            <wp:extent cx="5731510" cy="617928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6179284"/>
                    </a:xfrm>
                    <a:prstGeom prst="rect">
                      <a:avLst/>
                    </a:prstGeom>
                    <a:noFill/>
                    <a:ln>
                      <a:noFill/>
                    </a:ln>
                  </pic:spPr>
                </pic:pic>
              </a:graphicData>
            </a:graphic>
          </wp:inline>
        </w:drawing>
      </w:r>
    </w:p>
    <w:p w:rsidR="009C1881" w:rsidRPr="0029272A" w:rsidRDefault="009C1881" w:rsidP="00B7742C">
      <w:pPr>
        <w:spacing w:line="240" w:lineRule="auto"/>
        <w:jc w:val="both"/>
        <w:rPr>
          <w:b/>
          <w:noProof/>
          <w:sz w:val="20"/>
          <w:szCs w:val="20"/>
        </w:rPr>
      </w:pPr>
      <w:r w:rsidRPr="0029272A">
        <w:rPr>
          <w:b/>
          <w:noProof/>
          <w:sz w:val="20"/>
          <w:szCs w:val="20"/>
        </w:rPr>
        <w:t>Slika 4.: Kumulativni višak godišnjih emisijskih kvota kao postotak emisija iz referentne godine 2005., 2013.–2019. za EU-27 i Ujedinjenu Kraljevinu</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 xml:space="preserve">Napredak u ostvarivanju ciljeva raspodjele tereta za 2030. </w:t>
      </w:r>
    </w:p>
    <w:p w:rsidR="00DF6261" w:rsidRPr="0029272A" w:rsidRDefault="00DF6261" w:rsidP="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Države članice planiraju, donose i provode politike i mjere kako bi postigle svoje trenutačne ciljeve raspodjele tereta za 2030. na temelju </w:t>
      </w:r>
      <w:r w:rsidR="00A95EB2" w:rsidRPr="00A95EB2">
        <w:rPr>
          <w:rFonts w:ascii="Times New Roman" w:hAnsi="Times New Roman"/>
          <w:noProof/>
          <w:sz w:val="24"/>
          <w:szCs w:val="24"/>
        </w:rPr>
        <w:t>Uredbe o raspodjeli tereta</w:t>
      </w:r>
      <w:r w:rsidRPr="0029272A">
        <w:rPr>
          <w:rFonts w:ascii="Times New Roman" w:hAnsi="Times New Roman"/>
          <w:noProof/>
          <w:sz w:val="24"/>
          <w:szCs w:val="24"/>
        </w:rPr>
        <w:t>. Kad bi se nacionalne politike koje se provode objedinile, emisije povezane s raspodjelom tereta u EU-27 smanjile bi se za 22 % do 2030. u usporedbi s 2005. To je znatno manje od aktualnog cilja smanjenja emisija od ukupno 30 % i ambicioznijeg cilja od 40 % predloženog u srpnju 2021. Čak i da se provedu sve dodatne politike o kojima su izvijestile države članice, jedva bi se postigao cilj od 30 %. Zbog toga postoji velika i neodgodiva potreba da države članice izrade i provedu planove za dodatno djelovanje u području klime u sektorima povezanima s raspodjelom tereta.</w:t>
      </w:r>
      <w:r w:rsidRPr="0029272A">
        <w:rPr>
          <w:rFonts w:ascii="Times New Roman" w:hAnsi="Times New Roman"/>
          <w:noProof/>
          <w:color w:val="FF0000"/>
          <w:sz w:val="24"/>
          <w:szCs w:val="24"/>
        </w:rPr>
        <w:t xml:space="preserve"> </w:t>
      </w:r>
    </w:p>
    <w:p w:rsidR="009F10D5" w:rsidRPr="0029272A" w:rsidRDefault="003D0A13">
      <w:pPr>
        <w:pStyle w:val="Caption"/>
        <w:spacing w:after="120" w:line="240" w:lineRule="auto"/>
        <w:rPr>
          <w:noProof/>
          <w:highlight w:val="yellow"/>
        </w:rPr>
      </w:pPr>
      <w:r w:rsidRPr="003D0A13">
        <w:rPr>
          <w:noProof/>
          <w:highlight w:val="yellow"/>
          <w:lang w:val="en-GB" w:eastAsia="en-GB"/>
        </w:rPr>
        <w:drawing>
          <wp:inline distT="0" distB="0" distL="0" distR="0">
            <wp:extent cx="4579620" cy="678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9620" cy="6781800"/>
                    </a:xfrm>
                    <a:prstGeom prst="rect">
                      <a:avLst/>
                    </a:prstGeom>
                    <a:noFill/>
                    <a:ln>
                      <a:noFill/>
                    </a:ln>
                  </pic:spPr>
                </pic:pic>
              </a:graphicData>
            </a:graphic>
          </wp:inline>
        </w:drawing>
      </w:r>
    </w:p>
    <w:p w:rsidR="00DF6261" w:rsidRPr="0029272A" w:rsidRDefault="00DF6261" w:rsidP="00B7742C">
      <w:pPr>
        <w:pStyle w:val="Caption"/>
        <w:spacing w:line="240" w:lineRule="auto"/>
        <w:jc w:val="both"/>
        <w:rPr>
          <w:rFonts w:ascii="Times New Roman" w:hAnsi="Times New Roman"/>
          <w:noProof/>
          <w:sz w:val="24"/>
          <w:szCs w:val="24"/>
        </w:rPr>
      </w:pPr>
      <w:r w:rsidRPr="0029272A">
        <w:rPr>
          <w:noProof/>
        </w:rPr>
        <w:t>Slika 5.</w:t>
      </w:r>
      <w:r w:rsidRPr="0029272A">
        <w:rPr>
          <w:rStyle w:val="FootnoteReference"/>
          <w:noProof/>
        </w:rPr>
        <w:footnoteReference w:id="56"/>
      </w:r>
      <w:r w:rsidRPr="0029272A">
        <w:rPr>
          <w:noProof/>
        </w:rPr>
        <w:t>: Razlike između ciljeva iz Uredbe o raspodjeli tereta za 2030. i predviđenih emisija</w:t>
      </w:r>
      <w:r w:rsidRPr="0029272A">
        <w:rPr>
          <w:rStyle w:val="FootnoteReference"/>
          <w:noProof/>
        </w:rPr>
        <w:footnoteReference w:id="57"/>
      </w:r>
      <w:r w:rsidRPr="0029272A">
        <w:rPr>
          <w:noProof/>
        </w:rPr>
        <w:t xml:space="preserve"> uz postojeće mjere i uz dodatne mjere kao postotak emisija iz referentne godine 2005. za EU-27, Island i Norvešku. Pozitivne vrijednosti ukazuju na to da se predviđa ostvarenje ciljeva preko granične vrijednosti, negativne vrijednosti ukazuju na to da se predviđeni ciljevi neće ostvariti.</w:t>
      </w:r>
    </w:p>
    <w:p w:rsidR="00DF6261" w:rsidRPr="0029272A" w:rsidRDefault="00531BDB" w:rsidP="00B7742C">
      <w:pPr>
        <w:spacing w:after="240" w:line="240" w:lineRule="auto"/>
        <w:jc w:val="both"/>
        <w:rPr>
          <w:noProof/>
          <w:szCs w:val="24"/>
        </w:rPr>
      </w:pPr>
      <w:r w:rsidRPr="0029272A">
        <w:rPr>
          <w:rFonts w:ascii="Times New Roman" w:hAnsi="Times New Roman"/>
          <w:b/>
          <w:i/>
          <w:noProof/>
          <w:sz w:val="24"/>
          <w:szCs w:val="24"/>
        </w:rPr>
        <w:t>Politike u ključnim sektorima</w:t>
      </w:r>
    </w:p>
    <w:p w:rsidR="00DF6261" w:rsidRPr="0029272A" w:rsidRDefault="00C372E9" w:rsidP="00DF6261">
      <w:pPr>
        <w:spacing w:after="12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U </w:t>
      </w:r>
      <w:r w:rsidRPr="0029272A">
        <w:rPr>
          <w:rFonts w:ascii="Times New Roman" w:hAnsi="Times New Roman"/>
          <w:b/>
          <w:noProof/>
          <w:sz w:val="24"/>
          <w:szCs w:val="24"/>
        </w:rPr>
        <w:t>sektoru cestovnog prometa</w:t>
      </w:r>
      <w:r w:rsidRPr="0029272A">
        <w:rPr>
          <w:rFonts w:ascii="Times New Roman" w:hAnsi="Times New Roman"/>
          <w:noProof/>
          <w:sz w:val="24"/>
          <w:szCs w:val="24"/>
        </w:rPr>
        <w:t xml:space="preserve">, koji je drugi najveći izvor u EU-u, emisije su se nakon financijske krize smanjile da bi 2019. ponovno dosegle razinu iz 2005. Očekuje se da će se ponovno povećati nakon pandemije i da nije vjerojatno da će se smanjiti bez dodatnih mjera. </w:t>
      </w:r>
      <w:r w:rsidRPr="0029272A">
        <w:rPr>
          <w:rFonts w:ascii="Times New Roman" w:hAnsi="Times New Roman"/>
          <w:b/>
          <w:noProof/>
          <w:sz w:val="24"/>
          <w:szCs w:val="24"/>
        </w:rPr>
        <w:t>Standardi emisija CO</w:t>
      </w:r>
      <w:r w:rsidRPr="0029272A">
        <w:rPr>
          <w:rFonts w:ascii="Times New Roman" w:hAnsi="Times New Roman"/>
          <w:b/>
          <w:noProof/>
          <w:sz w:val="24"/>
          <w:szCs w:val="24"/>
          <w:vertAlign w:val="subscript"/>
        </w:rPr>
        <w:t>2</w:t>
      </w:r>
      <w:r w:rsidRPr="0029272A">
        <w:rPr>
          <w:rFonts w:ascii="Times New Roman" w:hAnsi="Times New Roman"/>
          <w:b/>
          <w:noProof/>
          <w:sz w:val="24"/>
          <w:szCs w:val="24"/>
        </w:rPr>
        <w:t xml:space="preserve"> koji se odnose na nove automobile, kombije i teška vozila</w:t>
      </w:r>
      <w:r w:rsidRPr="0029272A">
        <w:rPr>
          <w:rFonts w:ascii="Times New Roman" w:hAnsi="Times New Roman"/>
          <w:noProof/>
          <w:sz w:val="24"/>
          <w:szCs w:val="24"/>
        </w:rPr>
        <w:t xml:space="preserve"> stoga su ključni pokretači smanjenja emisija u cestovnom prometu. Prosječne emisije iz novih automobila smanjile su se sa 122,3 g CO</w:t>
      </w:r>
      <w:r w:rsidRPr="0029272A">
        <w:rPr>
          <w:rFonts w:ascii="Times New Roman" w:hAnsi="Times New Roman"/>
          <w:noProof/>
          <w:sz w:val="24"/>
          <w:szCs w:val="24"/>
          <w:vertAlign w:val="subscript"/>
        </w:rPr>
        <w:t>2</w:t>
      </w:r>
      <w:r w:rsidRPr="0029272A">
        <w:rPr>
          <w:rFonts w:ascii="Times New Roman" w:hAnsi="Times New Roman"/>
          <w:noProof/>
          <w:sz w:val="24"/>
          <w:szCs w:val="24"/>
        </w:rPr>
        <w:t>/km u 2019. na 107,8 g CO</w:t>
      </w:r>
      <w:r w:rsidRPr="0029272A">
        <w:rPr>
          <w:rFonts w:ascii="Times New Roman" w:hAnsi="Times New Roman"/>
          <w:noProof/>
          <w:sz w:val="24"/>
          <w:szCs w:val="24"/>
          <w:vertAlign w:val="subscript"/>
        </w:rPr>
        <w:t>2</w:t>
      </w:r>
      <w:r w:rsidRPr="0029272A">
        <w:rPr>
          <w:rFonts w:ascii="Times New Roman" w:hAnsi="Times New Roman"/>
          <w:noProof/>
          <w:sz w:val="24"/>
          <w:szCs w:val="24"/>
        </w:rPr>
        <w:t>/km u 2020.</w:t>
      </w:r>
      <w:r w:rsidRPr="0029272A">
        <w:rPr>
          <w:rStyle w:val="FootnoteReference"/>
          <w:rFonts w:ascii="Times New Roman" w:hAnsi="Times New Roman" w:cs="Times New Roman"/>
          <w:noProof/>
          <w:sz w:val="24"/>
          <w:szCs w:val="24"/>
        </w:rPr>
        <w:footnoteReference w:id="58"/>
      </w:r>
      <w:r w:rsidRPr="0029272A">
        <w:rPr>
          <w:rFonts w:ascii="Times New Roman" w:hAnsi="Times New Roman"/>
          <w:noProof/>
          <w:sz w:val="24"/>
          <w:szCs w:val="24"/>
        </w:rPr>
        <w:t xml:space="preserve"> Riječ je o dosad najvećem godišnjem smanjenju od uvođenja standarda emisija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u 2010., a posljedica je postupnog uvođenja strože ciljne vrijednosti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u 2020. Nadalje, to upućuje i na učinak ciljanih mjera oporavka koje su uspostavile države članice kako bi potaknule uporabu vozila s nultim i niskim emisijama te ulaganja u infrastrukturu za punjenje. U usporedbi s 2019. broj registriranih električnih vozila utrostručio se 2020. (s 3,5 % na više od 11 %, od čega su 6 % potpuno električna vozila, a 5 % hibridna vozila na punjenje). I prosječne emisije iz novih kombija smanjile su se 2020. </w:t>
      </w:r>
      <w:r w:rsidR="00184EB2">
        <w:rPr>
          <w:rFonts w:ascii="Times New Roman" w:hAnsi="Times New Roman"/>
          <w:noProof/>
          <w:sz w:val="24"/>
          <w:szCs w:val="24"/>
        </w:rPr>
        <w:t>n</w:t>
      </w:r>
      <w:r w:rsidRPr="0029272A">
        <w:rPr>
          <w:rFonts w:ascii="Times New Roman" w:hAnsi="Times New Roman"/>
          <w:noProof/>
          <w:sz w:val="24"/>
          <w:szCs w:val="24"/>
        </w:rPr>
        <w:t>a 155,7 g CO</w:t>
      </w:r>
      <w:r w:rsidRPr="0029272A">
        <w:rPr>
          <w:rFonts w:ascii="Times New Roman" w:hAnsi="Times New Roman"/>
          <w:noProof/>
          <w:sz w:val="24"/>
          <w:szCs w:val="24"/>
          <w:vertAlign w:val="subscript"/>
        </w:rPr>
        <w:t>2</w:t>
      </w:r>
      <w:r w:rsidRPr="0029272A">
        <w:rPr>
          <w:rFonts w:ascii="Times New Roman" w:hAnsi="Times New Roman"/>
          <w:noProof/>
          <w:sz w:val="24"/>
          <w:szCs w:val="24"/>
        </w:rPr>
        <w:t>/km zbog strožih standarda (slika 6.). Udio emisija iz teških vozila, kao što su kamioni, teški kombiji, gradski i međugradski autobusi, u ukupnim emisijama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iz cestovnog prometa iznosio je oko 30 %. Postojećim zakonodavstvom propisano je smanjenje prosječnih emisija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voznog parka novih teških kamiona određenog proizvođača za 15 % od 2025. i 30 % od 2030. u usporedbi s referentnom vrijednosti iz 2019.</w:t>
      </w:r>
    </w:p>
    <w:p w:rsidR="000559F5" w:rsidRPr="0029272A" w:rsidRDefault="003D0A13" w:rsidP="00DF6261">
      <w:pPr>
        <w:spacing w:after="120" w:line="240" w:lineRule="auto"/>
        <w:jc w:val="both"/>
        <w:rPr>
          <w:rFonts w:ascii="Times New Roman" w:hAnsi="Times New Roman" w:cs="Times New Roman"/>
          <w:noProof/>
          <w:sz w:val="24"/>
          <w:szCs w:val="24"/>
        </w:rPr>
      </w:pPr>
      <w:r w:rsidRPr="003D0A13">
        <w:rPr>
          <w:noProof/>
          <w:lang w:val="en-GB" w:eastAsia="en-GB"/>
        </w:rPr>
        <w:drawing>
          <wp:inline distT="0" distB="0" distL="0" distR="0">
            <wp:extent cx="5731510" cy="3750595"/>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3750595"/>
                    </a:xfrm>
                    <a:prstGeom prst="rect">
                      <a:avLst/>
                    </a:prstGeom>
                    <a:noFill/>
                    <a:ln>
                      <a:noFill/>
                    </a:ln>
                  </pic:spPr>
                </pic:pic>
              </a:graphicData>
            </a:graphic>
          </wp:inline>
        </w:drawing>
      </w:r>
    </w:p>
    <w:p w:rsidR="005D784C" w:rsidRPr="0029272A" w:rsidRDefault="005D784C" w:rsidP="00DF6261">
      <w:pPr>
        <w:spacing w:after="120" w:line="240" w:lineRule="auto"/>
        <w:jc w:val="both"/>
        <w:rPr>
          <w:rFonts w:ascii="Times New Roman" w:hAnsi="Times New Roman" w:cs="Times New Roman"/>
          <w:noProof/>
          <w:sz w:val="24"/>
          <w:szCs w:val="24"/>
        </w:rPr>
      </w:pPr>
    </w:p>
    <w:p w:rsidR="00DF6261" w:rsidRPr="0029272A" w:rsidRDefault="003D0A13" w:rsidP="00DF6261">
      <w:pPr>
        <w:spacing w:line="240" w:lineRule="auto"/>
        <w:rPr>
          <w:noProof/>
        </w:rPr>
      </w:pPr>
      <w:r w:rsidRPr="003D0A13">
        <w:rPr>
          <w:noProof/>
          <w:lang w:val="en-GB" w:eastAsia="en-GB"/>
        </w:rPr>
        <w:drawing>
          <wp:inline distT="0" distB="0" distL="0" distR="0">
            <wp:extent cx="5731510" cy="3747526"/>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3747526"/>
                    </a:xfrm>
                    <a:prstGeom prst="rect">
                      <a:avLst/>
                    </a:prstGeom>
                    <a:noFill/>
                    <a:ln>
                      <a:noFill/>
                    </a:ln>
                  </pic:spPr>
                </pic:pic>
              </a:graphicData>
            </a:graphic>
          </wp:inline>
        </w:drawing>
      </w:r>
    </w:p>
    <w:p w:rsidR="00DF6261" w:rsidRPr="0029272A" w:rsidRDefault="00DF6261" w:rsidP="00B7742C">
      <w:pPr>
        <w:pStyle w:val="Caption"/>
        <w:spacing w:line="240" w:lineRule="auto"/>
        <w:rPr>
          <w:noProof/>
          <w:sz w:val="24"/>
          <w:szCs w:val="24"/>
        </w:rPr>
      </w:pPr>
      <w:r w:rsidRPr="0029272A">
        <w:rPr>
          <w:noProof/>
        </w:rPr>
        <w:t>Slika 6.: Prosječne emisije (g CO</w:t>
      </w:r>
      <w:r w:rsidRPr="0029272A">
        <w:rPr>
          <w:noProof/>
          <w:vertAlign w:val="subscript"/>
        </w:rPr>
        <w:t>2</w:t>
      </w:r>
      <w:r w:rsidRPr="0029272A">
        <w:rPr>
          <w:noProof/>
        </w:rPr>
        <w:t>/km) za novoprodane automobile i kombije te ciljevi za cijeli vozni park</w:t>
      </w:r>
      <w:r w:rsidRPr="0029272A">
        <w:rPr>
          <w:rStyle w:val="FootnoteReference"/>
          <w:noProof/>
        </w:rPr>
        <w:footnoteReference w:id="59"/>
      </w:r>
    </w:p>
    <w:p w:rsidR="00394A8F" w:rsidRPr="0029272A" w:rsidRDefault="00DF6261" w:rsidP="00394A8F">
      <w:pPr>
        <w:spacing w:after="120" w:line="240" w:lineRule="auto"/>
        <w:jc w:val="both"/>
        <w:rPr>
          <w:rFonts w:ascii="Times New Roman" w:eastAsia="Times New Roman" w:hAnsi="Times New Roman" w:cs="Times New Roman"/>
          <w:noProof/>
          <w:sz w:val="24"/>
          <w:szCs w:val="24"/>
        </w:rPr>
      </w:pPr>
      <w:r w:rsidRPr="0029272A">
        <w:rPr>
          <w:rFonts w:ascii="Times New Roman" w:hAnsi="Times New Roman"/>
          <w:b/>
          <w:noProof/>
          <w:sz w:val="24"/>
          <w:szCs w:val="24"/>
        </w:rPr>
        <w:t>Direktiva o kvaliteti goriva</w:t>
      </w:r>
      <w:r w:rsidRPr="0029272A">
        <w:rPr>
          <w:rFonts w:ascii="Times New Roman" w:hAnsi="Times New Roman"/>
          <w:noProof/>
          <w:sz w:val="24"/>
          <w:szCs w:val="24"/>
        </w:rPr>
        <w:t xml:space="preserve"> još je jedan alat koji se u prometnom sektoru primjenjuje za smanjenje emisija, a u njoj se nalaže smanjenje intenziteta emisija stakleničkih plinova tijekom cijelog životnog ciklusa goriva za 6 % do 2020. u usporedbi s 2010. Prosječni intenzitet stakleničkih plinova iz goriva isporučenih 2019. bio je za 4,3 % manji nego 2010. (slika 7.). Ostvareni napredak znatno se razlikuje među zemljama koje su dostavile izvješće i gotovo sve države članice trebaju brzo poduzeti daljnje radnje kako bi ostvarile cilj za 2020. U srpnju je u okviru revizije Direktive o energiji iz obnovljivih izvora predložen cilj smanjenja intenziteta stakleničkih plinova za 13 % za sva goriva namijenjena uporabi u prometu do 2030. Osim toga, države članice moraju ispuniti podciljeve za obnovljiva goriva nebiološkog podrijetla (2,6 %) i napredna biogoriva (2,2 %).</w:t>
      </w:r>
    </w:p>
    <w:p w:rsidR="00DF6261" w:rsidRPr="0029272A" w:rsidRDefault="00C6302B" w:rsidP="00DF6261">
      <w:pPr>
        <w:spacing w:after="120" w:line="240" w:lineRule="auto"/>
        <w:jc w:val="both"/>
        <w:rPr>
          <w:rFonts w:ascii="Times New Roman" w:eastAsia="Times New Roman" w:hAnsi="Times New Roman" w:cs="Times New Roman"/>
          <w:noProof/>
          <w:sz w:val="24"/>
          <w:szCs w:val="24"/>
        </w:rPr>
      </w:pPr>
      <w:r w:rsidRPr="00C6302B">
        <w:rPr>
          <w:noProof/>
          <w:lang w:val="en-GB" w:eastAsia="en-GB"/>
        </w:rPr>
        <w:drawing>
          <wp:inline distT="0" distB="0" distL="0" distR="0">
            <wp:extent cx="5731510" cy="3787162"/>
            <wp:effectExtent l="0" t="0" r="254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3787162"/>
                    </a:xfrm>
                    <a:prstGeom prst="rect">
                      <a:avLst/>
                    </a:prstGeom>
                    <a:noFill/>
                    <a:ln>
                      <a:noFill/>
                    </a:ln>
                  </pic:spPr>
                </pic:pic>
              </a:graphicData>
            </a:graphic>
          </wp:inline>
        </w:drawing>
      </w:r>
    </w:p>
    <w:p w:rsidR="00DF6261" w:rsidRPr="0029272A" w:rsidRDefault="00DF6261">
      <w:pPr>
        <w:spacing w:line="240" w:lineRule="auto"/>
        <w:rPr>
          <w:rFonts w:ascii="Times New Roman" w:eastAsia="Times New Roman" w:hAnsi="Times New Roman" w:cs="Times New Roman"/>
          <w:noProof/>
          <w:sz w:val="24"/>
          <w:szCs w:val="24"/>
        </w:rPr>
      </w:pPr>
      <w:r w:rsidRPr="0029272A">
        <w:rPr>
          <w:b/>
          <w:bCs/>
          <w:noProof/>
          <w:sz w:val="20"/>
          <w:szCs w:val="20"/>
        </w:rPr>
        <w:t xml:space="preserve">Slika 7.: </w:t>
      </w:r>
      <w:r w:rsidRPr="0029272A">
        <w:rPr>
          <w:b/>
          <w:noProof/>
          <w:sz w:val="20"/>
          <w:szCs w:val="20"/>
        </w:rPr>
        <w:t>Smanjenja intenziteta emisija stakleničkih plinova iz goriva koja su ostvarili dobavljači goriva u EU-u u 27 država članica i Ujedinjenoj Kraljevini, 2010.–2019.</w:t>
      </w:r>
    </w:p>
    <w:p w:rsidR="003F1328" w:rsidRPr="0029272A" w:rsidRDefault="004B7214" w:rsidP="00B7742C">
      <w:pPr>
        <w:pStyle w:val="NormalWeb"/>
        <w:spacing w:before="120" w:beforeAutospacing="0" w:after="240" w:afterAutospacing="0"/>
        <w:jc w:val="both"/>
        <w:rPr>
          <w:noProof/>
        </w:rPr>
      </w:pPr>
      <w:r w:rsidRPr="0029272A">
        <w:rPr>
          <w:b/>
          <w:bCs/>
          <w:noProof/>
        </w:rPr>
        <w:t>Fluorirani plinovi</w:t>
      </w:r>
      <w:r w:rsidRPr="0029272A">
        <w:rPr>
          <w:noProof/>
        </w:rPr>
        <w:t xml:space="preserve"> (F-plinovi) su vrlo snažni staklenički plinovi čije se emisije računaju na temelju Odluke o raspodjeli tereta. Od 2019. EU se mora pridržavati i ograničenja potrošnje fluorougljikovodika u skladu s </w:t>
      </w:r>
      <w:r w:rsidRPr="0029272A">
        <w:rPr>
          <w:i/>
          <w:noProof/>
        </w:rPr>
        <w:t>Montrealskim protokolom o tvarima koje oštećuju ozonski sloj</w:t>
      </w:r>
      <w:r w:rsidRPr="0029272A">
        <w:rPr>
          <w:noProof/>
        </w:rPr>
        <w:t>. Cilj je aktualne Uredbe o F-plinovima</w:t>
      </w:r>
      <w:r w:rsidRPr="0029272A">
        <w:rPr>
          <w:rStyle w:val="FootnoteReference"/>
          <w:noProof/>
        </w:rPr>
        <w:footnoteReference w:id="60"/>
      </w:r>
      <w:r w:rsidRPr="0029272A">
        <w:rPr>
          <w:noProof/>
        </w:rPr>
        <w:t xml:space="preserve"> da se emisije smanje poticanjem prelaska s F-plinova s vrlo visokim potencijalom globalnog zagrijavanja na plinove s nižim potencijalom globalnog zagrijavanja. Količina F-plinova isporučena na tržište EU-a već je smanjena 2020. za 40 % u usporedbi s 2015. ako se mjeri s obzirom na njezin mogući klimatski učinak. Nadalje, potrošnja fluorougljikovodika u EU-u bila je znatno niža od ograničenja za 2020. iz </w:t>
      </w:r>
      <w:r w:rsidRPr="0029272A">
        <w:rPr>
          <w:i/>
          <w:noProof/>
        </w:rPr>
        <w:t>Protokola</w:t>
      </w:r>
      <w:r w:rsidRPr="0029272A">
        <w:rPr>
          <w:noProof/>
        </w:rPr>
        <w:t>. U 2021. Komisija je nastavila s proširenjem svojeg sustava praćenja u stvarnom vremenu, tj. okruženja jedinstvenog sučelja EU-a za carinu, kako bi nadležnim tijelima država članica pomogla u sprječavanju nezakonitog uvoza fluorougljikovodika koji nisu obuhvaćeni sustavom kvota.</w:t>
      </w:r>
    </w:p>
    <w:p w:rsidR="004B7214" w:rsidRPr="0029272A" w:rsidRDefault="004B7214" w:rsidP="00B7742C">
      <w:pPr>
        <w:pStyle w:val="NormalWeb"/>
        <w:spacing w:before="120" w:beforeAutospacing="0" w:after="240" w:afterAutospacing="0"/>
        <w:jc w:val="both"/>
        <w:rPr>
          <w:noProof/>
        </w:rPr>
      </w:pPr>
      <w:r w:rsidRPr="0029272A">
        <w:rPr>
          <w:noProof/>
        </w:rPr>
        <w:t xml:space="preserve">U mnogim slučajevima F-plinovi su zamijenjeni </w:t>
      </w:r>
      <w:r w:rsidRPr="0029272A">
        <w:rPr>
          <w:b/>
          <w:noProof/>
        </w:rPr>
        <w:t>tvarima koje oštećuju ozonski sloj</w:t>
      </w:r>
      <w:r w:rsidRPr="0029272A">
        <w:rPr>
          <w:noProof/>
        </w:rPr>
        <w:t xml:space="preserve"> koje su često i vrlo snažni staklenički plinovi. Dosad je EU postupno ukinuo potrošnju tvari koje oštećuju ozonski sloj i time uspješno ispunio svoje obveze iz </w:t>
      </w:r>
      <w:r w:rsidRPr="0029272A">
        <w:rPr>
          <w:i/>
          <w:noProof/>
        </w:rPr>
        <w:t>Montrealskog protokola</w:t>
      </w:r>
      <w:r w:rsidRPr="0029272A">
        <w:rPr>
          <w:noProof/>
        </w:rPr>
        <w:t xml:space="preserve">. Međutim, </w:t>
      </w:r>
      <w:r w:rsidR="00B62F0D">
        <w:rPr>
          <w:noProof/>
        </w:rPr>
        <w:t>s obzirom na to</w:t>
      </w:r>
      <w:r w:rsidRPr="0029272A">
        <w:rPr>
          <w:noProof/>
        </w:rPr>
        <w:t xml:space="preserve"> da se tvari koje oštećuju ozonski sloj i dalje mogu upotrebljavati za određene izuzete aktivnosti, važno je da se nastave primjenjivati politike povezane s njima. </w:t>
      </w:r>
    </w:p>
    <w:p w:rsidR="004B7214" w:rsidRPr="0029272A" w:rsidRDefault="004B7214">
      <w:pPr>
        <w:pStyle w:val="NormalWeb"/>
        <w:spacing w:before="0" w:beforeAutospacing="0" w:after="120" w:afterAutospacing="0"/>
        <w:jc w:val="both"/>
        <w:rPr>
          <w:noProof/>
        </w:rPr>
      </w:pPr>
    </w:p>
    <w:p w:rsidR="00E60145" w:rsidRPr="0029272A" w:rsidRDefault="00E60145">
      <w:pPr>
        <w:pStyle w:val="NormalWeb"/>
        <w:spacing w:before="0" w:beforeAutospacing="0" w:after="120" w:afterAutospacing="0"/>
        <w:jc w:val="both"/>
        <w:rPr>
          <w:noProof/>
        </w:rPr>
      </w:pPr>
    </w:p>
    <w:p w:rsidR="00DF6261" w:rsidRPr="0029272A" w:rsidRDefault="00DF6261" w:rsidP="00DF6261">
      <w:pPr>
        <w:pStyle w:val="Heading1"/>
        <w:spacing w:after="240" w:line="240" w:lineRule="auto"/>
        <w:ind w:left="714" w:hanging="357"/>
        <w:jc w:val="both"/>
        <w:rPr>
          <w:noProof/>
        </w:rPr>
      </w:pPr>
      <w:r w:rsidRPr="0029272A">
        <w:rPr>
          <w:noProof/>
        </w:rPr>
        <w:t>KORIŠTENJE ZEMLJIŠTA, PRENAMJENA ZEMLJIŠTA I ŠUMARSTVO (LULUCF)</w:t>
      </w:r>
    </w:p>
    <w:p w:rsidR="00AE5C2D" w:rsidRPr="0029272A" w:rsidRDefault="00DF6261" w:rsidP="00B7742C">
      <w:pPr>
        <w:spacing w:after="240" w:line="240" w:lineRule="auto"/>
        <w:jc w:val="both"/>
        <w:rPr>
          <w:rFonts w:ascii="Times New Roman" w:hAnsi="Times New Roman" w:cs="Times New Roman"/>
          <w:noProof/>
          <w:spacing w:val="-6"/>
          <w:sz w:val="24"/>
          <w:szCs w:val="24"/>
        </w:rPr>
      </w:pPr>
      <w:r w:rsidRPr="0029272A">
        <w:rPr>
          <w:rFonts w:ascii="Times New Roman" w:hAnsi="Times New Roman"/>
          <w:noProof/>
          <w:sz w:val="24"/>
          <w:szCs w:val="24"/>
        </w:rPr>
        <w:t>LULUCF-om se emisije stakleničkih plinova mogu ispuštati u atmosferu, ali i iz nje ukloniti CO</w:t>
      </w:r>
      <w:r w:rsidRPr="0029272A">
        <w:rPr>
          <w:rFonts w:ascii="Times New Roman" w:hAnsi="Times New Roman"/>
          <w:noProof/>
          <w:sz w:val="24"/>
          <w:szCs w:val="24"/>
          <w:vertAlign w:val="subscript"/>
        </w:rPr>
        <w:t>2</w:t>
      </w:r>
      <w:r w:rsidRPr="0029272A">
        <w:rPr>
          <w:rFonts w:ascii="Times New Roman" w:hAnsi="Times New Roman"/>
          <w:noProof/>
          <w:sz w:val="24"/>
          <w:szCs w:val="24"/>
        </w:rPr>
        <w:t>. Države članice obvezale su se od 2013. do 2020. osigurati da se uklanjanje emisija stakleničkih plinova i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koje je rezultat dodatnog djelovanja uzima u obzir za ostvarivanje njihova cilja smanjenja iz Kyotskog protokola. Od 2021. okvir klimatske i energetske politike EU-a do 2030. uključuje emisije i uklanjanja iz zemljišnog sektora uporabom niza prilagođenih obračunskih pravila iz Kyotskog protokola. </w:t>
      </w:r>
    </w:p>
    <w:p w:rsidR="00A207B9" w:rsidRPr="0029272A" w:rsidRDefault="00DF6261"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U skladu s Uredbom o LULUCF-u</w:t>
      </w:r>
      <w:r w:rsidRPr="0029272A">
        <w:rPr>
          <w:rStyle w:val="FootnoteReference"/>
          <w:rFonts w:ascii="Times New Roman" w:hAnsi="Times New Roman" w:cs="Times New Roman"/>
          <w:noProof/>
          <w:sz w:val="24"/>
          <w:szCs w:val="24"/>
        </w:rPr>
        <w:footnoteReference w:id="61"/>
      </w:r>
      <w:r w:rsidRPr="0029272A">
        <w:rPr>
          <w:rFonts w:ascii="Times New Roman" w:hAnsi="Times New Roman"/>
          <w:noProof/>
          <w:sz w:val="24"/>
          <w:szCs w:val="24"/>
        </w:rPr>
        <w:t xml:space="preserve"> svaka država članica mora osigurati da su od 2021. do 2030. obračunane emisije stakleničkih plinova iz korištenja zemljišta, prenamjene zemljišta i šumarstva uravnotežene barem odgovarajućom količinom obračunanog uklanjanja CO</w:t>
      </w:r>
      <w:r w:rsidRPr="0029272A">
        <w:rPr>
          <w:rFonts w:ascii="Times New Roman" w:hAnsi="Times New Roman"/>
          <w:noProof/>
          <w:sz w:val="24"/>
          <w:szCs w:val="24"/>
          <w:vertAlign w:val="subscript"/>
        </w:rPr>
        <w:t>2</w:t>
      </w:r>
      <w:r w:rsidRPr="0029272A">
        <w:rPr>
          <w:rFonts w:ascii="Times New Roman" w:hAnsi="Times New Roman"/>
          <w:noProof/>
          <w:sz w:val="24"/>
          <w:szCs w:val="24"/>
        </w:rPr>
        <w:t xml:space="preserve"> iz atmosfere (pravilo o neutralnoj ili pozitivnoj bilanci). Utvrđene su i referentne razine za šume u državama članicama za razdoblje 2021.–2025.</w:t>
      </w:r>
      <w:r w:rsidRPr="0029272A">
        <w:rPr>
          <w:rFonts w:ascii="Times New Roman" w:hAnsi="Times New Roman" w:cs="Times New Roman"/>
          <w:noProof/>
          <w:sz w:val="24"/>
          <w:szCs w:val="24"/>
          <w:vertAlign w:val="superscript"/>
        </w:rPr>
        <w:footnoteReference w:id="62"/>
      </w:r>
      <w:r w:rsidRPr="0029272A">
        <w:rPr>
          <w:rFonts w:ascii="Times New Roman" w:hAnsi="Times New Roman"/>
          <w:noProof/>
          <w:sz w:val="24"/>
          <w:szCs w:val="24"/>
        </w:rPr>
        <w:t xml:space="preserve"> Nadzorno tijelo EFTA-e (ESA) utvrdilo je te razine za Island i Norvešku</w:t>
      </w:r>
      <w:r w:rsidRPr="0029272A">
        <w:rPr>
          <w:rFonts w:ascii="Times New Roman" w:hAnsi="Times New Roman" w:cs="Times New Roman"/>
          <w:noProof/>
          <w:sz w:val="24"/>
          <w:szCs w:val="24"/>
          <w:vertAlign w:val="superscript"/>
        </w:rPr>
        <w:footnoteReference w:id="63"/>
      </w:r>
      <w:r w:rsidRPr="0029272A">
        <w:rPr>
          <w:rFonts w:ascii="Times New Roman" w:hAnsi="Times New Roman"/>
          <w:noProof/>
          <w:sz w:val="24"/>
          <w:szCs w:val="24"/>
        </w:rPr>
        <w:t xml:space="preserve"> na temelju sličnog postupka. </w:t>
      </w:r>
    </w:p>
    <w:p w:rsidR="005D784C" w:rsidRPr="0029272A" w:rsidRDefault="00973F65" w:rsidP="00B34BAC">
      <w:pPr>
        <w:keepNext/>
        <w:spacing w:line="240" w:lineRule="auto"/>
        <w:jc w:val="center"/>
        <w:rPr>
          <w:noProof/>
        </w:rPr>
      </w:pPr>
      <w:r w:rsidRPr="00973F65">
        <w:rPr>
          <w:noProof/>
          <w:lang w:val="en-GB" w:eastAsia="en-GB"/>
        </w:rPr>
        <w:drawing>
          <wp:inline distT="0" distB="0" distL="0" distR="0">
            <wp:extent cx="5731510" cy="219184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2191845"/>
                    </a:xfrm>
                    <a:prstGeom prst="rect">
                      <a:avLst/>
                    </a:prstGeom>
                    <a:noFill/>
                    <a:ln>
                      <a:noFill/>
                    </a:ln>
                  </pic:spPr>
                </pic:pic>
              </a:graphicData>
            </a:graphic>
          </wp:inline>
        </w:drawing>
      </w:r>
    </w:p>
    <w:p w:rsidR="005D784C" w:rsidRPr="0029272A" w:rsidRDefault="005D784C" w:rsidP="00B7742C">
      <w:pPr>
        <w:pStyle w:val="Caption"/>
        <w:spacing w:line="240" w:lineRule="auto"/>
        <w:jc w:val="both"/>
        <w:rPr>
          <w:noProof/>
        </w:rPr>
      </w:pPr>
      <w:r w:rsidRPr="0029272A">
        <w:rPr>
          <w:noProof/>
        </w:rPr>
        <w:t>Slika 8.: Prijavljene (</w:t>
      </w:r>
      <w:r w:rsidR="00F41022">
        <w:rPr>
          <w:noProof/>
        </w:rPr>
        <w:t>P</w:t>
      </w:r>
      <w:r w:rsidRPr="0029272A">
        <w:rPr>
          <w:noProof/>
        </w:rPr>
        <w:t>) i preliminarne obračunane (</w:t>
      </w:r>
      <w:r w:rsidR="00F41022">
        <w:rPr>
          <w:noProof/>
        </w:rPr>
        <w:t>O</w:t>
      </w:r>
      <w:r w:rsidRPr="0029272A">
        <w:rPr>
          <w:noProof/>
        </w:rPr>
        <w:t>) emisije i uklanjanja u okviru Kyotskog protokola, drugo obvezujuće razdoblje, EU-27</w:t>
      </w:r>
      <w:r w:rsidRPr="0029272A">
        <w:rPr>
          <w:rStyle w:val="FootnoteReference"/>
          <w:noProof/>
        </w:rPr>
        <w:t xml:space="preserve"> </w:t>
      </w:r>
      <w:r w:rsidRPr="0029272A">
        <w:rPr>
          <w:rStyle w:val="FootnoteReference"/>
          <w:noProof/>
        </w:rPr>
        <w:footnoteReference w:id="64"/>
      </w:r>
    </w:p>
    <w:p w:rsidR="0056125E" w:rsidRPr="0029272A" w:rsidRDefault="0056125E" w:rsidP="0056125E">
      <w:pPr>
        <w:spacing w:after="240" w:line="240" w:lineRule="auto"/>
        <w:jc w:val="both"/>
        <w:rPr>
          <w:rFonts w:ascii="Times New Roman" w:hAnsi="Times New Roman" w:cs="Times New Roman"/>
          <w:noProof/>
          <w:spacing w:val="-6"/>
          <w:sz w:val="24"/>
          <w:szCs w:val="24"/>
        </w:rPr>
      </w:pPr>
      <w:r w:rsidRPr="0029272A">
        <w:rPr>
          <w:rFonts w:ascii="Times New Roman" w:hAnsi="Times New Roman"/>
          <w:noProof/>
          <w:sz w:val="24"/>
          <w:szCs w:val="24"/>
        </w:rPr>
        <w:t>Na slici 8. u razdoblju 2013.–2019. vidljivo je smanjenje ponora „prijavljenih” emisija i uklanjanja po aktivnosti u EU-u te prosječna neto uklanjanja od –344,9 Mt ekvivalenta CO</w:t>
      </w:r>
      <w:r w:rsidRPr="0029272A">
        <w:rPr>
          <w:rFonts w:ascii="Times New Roman" w:hAnsi="Times New Roman"/>
          <w:noProof/>
          <w:sz w:val="24"/>
          <w:szCs w:val="24"/>
          <w:vertAlign w:val="subscript"/>
        </w:rPr>
        <w:t>2</w:t>
      </w:r>
      <w:r w:rsidRPr="0029272A">
        <w:rPr>
          <w:rFonts w:ascii="Times New Roman" w:hAnsi="Times New Roman"/>
          <w:noProof/>
          <w:sz w:val="24"/>
          <w:szCs w:val="24"/>
        </w:rPr>
        <w:t>.  Primjenom posebnih obračunskih pravila Kyotskog protokola „obračunana” bilanca proizvela je prosječni ponor (ili kredit) od –115,0 Mt ekvivalenta CO</w:t>
      </w:r>
      <w:r w:rsidRPr="0029272A">
        <w:rPr>
          <w:rFonts w:ascii="Times New Roman" w:hAnsi="Times New Roman"/>
          <w:noProof/>
          <w:sz w:val="24"/>
          <w:szCs w:val="24"/>
          <w:vertAlign w:val="subscript"/>
        </w:rPr>
        <w:t>2</w:t>
      </w:r>
      <w:r w:rsidRPr="0029272A">
        <w:rPr>
          <w:rFonts w:ascii="Times New Roman" w:hAnsi="Times New Roman"/>
          <w:noProof/>
          <w:sz w:val="24"/>
          <w:szCs w:val="24"/>
        </w:rPr>
        <w:t>. Obračunani neto krediti smanjili su</w:t>
      </w:r>
      <w:r w:rsidR="00E44D2E">
        <w:rPr>
          <w:rFonts w:ascii="Times New Roman" w:hAnsi="Times New Roman"/>
          <w:noProof/>
          <w:sz w:val="24"/>
          <w:szCs w:val="24"/>
        </w:rPr>
        <w:t xml:space="preserve"> </w:t>
      </w:r>
      <w:r w:rsidRPr="0029272A">
        <w:rPr>
          <w:rFonts w:ascii="Times New Roman" w:hAnsi="Times New Roman"/>
          <w:noProof/>
          <w:sz w:val="24"/>
          <w:szCs w:val="24"/>
        </w:rPr>
        <w:t>se</w:t>
      </w:r>
      <w:r w:rsidR="00E44D2E">
        <w:rPr>
          <w:rFonts w:ascii="Times New Roman" w:hAnsi="Times New Roman"/>
          <w:noProof/>
          <w:sz w:val="24"/>
          <w:szCs w:val="24"/>
        </w:rPr>
        <w:t xml:space="preserve"> </w:t>
      </w:r>
      <w:r w:rsidRPr="0029272A">
        <w:rPr>
          <w:rFonts w:ascii="Times New Roman" w:hAnsi="Times New Roman"/>
          <w:noProof/>
          <w:sz w:val="24"/>
          <w:szCs w:val="24"/>
        </w:rPr>
        <w:t>s</w:t>
      </w:r>
      <w:r w:rsidR="00E44D2E">
        <w:rPr>
          <w:rFonts w:ascii="Times New Roman" w:hAnsi="Times New Roman"/>
          <w:noProof/>
          <w:sz w:val="24"/>
          <w:szCs w:val="24"/>
        </w:rPr>
        <w:t xml:space="preserve"> </w:t>
      </w:r>
      <w:r w:rsidRPr="0029272A">
        <w:rPr>
          <w:rFonts w:ascii="Times New Roman" w:hAnsi="Times New Roman"/>
          <w:noProof/>
          <w:sz w:val="24"/>
          <w:szCs w:val="24"/>
        </w:rPr>
        <w:t>–153,3</w:t>
      </w:r>
      <w:r w:rsidR="00E44D2E">
        <w:rPr>
          <w:rFonts w:ascii="Times New Roman" w:hAnsi="Times New Roman"/>
          <w:noProof/>
          <w:sz w:val="24"/>
          <w:szCs w:val="24"/>
        </w:rPr>
        <w:t xml:space="preserve"> </w:t>
      </w:r>
      <w:r w:rsidRPr="0029272A">
        <w:rPr>
          <w:rFonts w:ascii="Times New Roman" w:hAnsi="Times New Roman"/>
          <w:noProof/>
          <w:sz w:val="24"/>
          <w:szCs w:val="24"/>
        </w:rPr>
        <w:t>na</w:t>
      </w:r>
      <w:r w:rsidR="00E44D2E">
        <w:rPr>
          <w:rFonts w:ascii="Times New Roman" w:hAnsi="Times New Roman"/>
          <w:noProof/>
          <w:sz w:val="24"/>
          <w:szCs w:val="24"/>
        </w:rPr>
        <w:t xml:space="preserve"> </w:t>
      </w:r>
      <w:r w:rsidRPr="0029272A">
        <w:rPr>
          <w:rFonts w:ascii="Times New Roman" w:hAnsi="Times New Roman"/>
          <w:noProof/>
          <w:sz w:val="24"/>
          <w:szCs w:val="24"/>
        </w:rPr>
        <w:t>–85,3 Mt ekvivalenta CO</w:t>
      </w:r>
      <w:r w:rsidRPr="0029272A">
        <w:rPr>
          <w:rFonts w:ascii="Times New Roman" w:hAnsi="Times New Roman"/>
          <w:noProof/>
          <w:sz w:val="24"/>
          <w:szCs w:val="24"/>
          <w:vertAlign w:val="subscript"/>
        </w:rPr>
        <w:t>2</w:t>
      </w:r>
      <w:r w:rsidRPr="0029272A">
        <w:rPr>
          <w:rStyle w:val="FootnoteReference"/>
          <w:rFonts w:ascii="Times New Roman" w:hAnsi="Times New Roman" w:cs="Times New Roman"/>
          <w:noProof/>
          <w:spacing w:val="-6"/>
          <w:sz w:val="24"/>
          <w:szCs w:val="24"/>
        </w:rPr>
        <w:footnoteReference w:id="65"/>
      </w:r>
      <w:r w:rsidRPr="0029272A">
        <w:rPr>
          <w:rFonts w:ascii="Times New Roman" w:hAnsi="Times New Roman"/>
          <w:noProof/>
          <w:sz w:val="24"/>
          <w:szCs w:val="24"/>
        </w:rPr>
        <w:t>. Te količine uključuju „obvezne” aktivnosti, tj. pošumljavanje/ponovno pošumljavanje, krčenje šuma i gospodarenje šumama, i aktivnosti „odabrane” na temelju Kyotskog protokola</w:t>
      </w:r>
      <w:r w:rsidRPr="0029272A">
        <w:rPr>
          <w:rStyle w:val="FootnoteReference"/>
          <w:rFonts w:ascii="Times New Roman" w:hAnsi="Times New Roman" w:cs="Times New Roman"/>
          <w:noProof/>
          <w:spacing w:val="-6"/>
          <w:sz w:val="24"/>
          <w:szCs w:val="24"/>
        </w:rPr>
        <w:footnoteReference w:id="66"/>
      </w:r>
      <w:r w:rsidRPr="0029272A">
        <w:rPr>
          <w:rFonts w:ascii="Times New Roman" w:hAnsi="Times New Roman"/>
          <w:noProof/>
          <w:sz w:val="24"/>
          <w:szCs w:val="24"/>
        </w:rPr>
        <w:t>.</w:t>
      </w:r>
    </w:p>
    <w:p w:rsidR="000756CC" w:rsidRPr="0029272A" w:rsidRDefault="00FB2277" w:rsidP="00B7742C">
      <w:pPr>
        <w:pStyle w:val="Body"/>
        <w:spacing w:after="240"/>
        <w:rPr>
          <w:rFonts w:cs="Times New Roman"/>
          <w:noProof/>
        </w:rPr>
      </w:pPr>
      <w:r w:rsidRPr="0029272A">
        <w:rPr>
          <w:noProof/>
        </w:rPr>
        <w:t>Glavni pokretač smanjenja ponora iz LULUCF-a u EU-u je smanjenje prijavljenih neto uklanjanja i obračunanih neto kredita u okviru gospodarenja šumama u razdoblju 2013.–2019.</w:t>
      </w:r>
      <w:r w:rsidRPr="0029272A">
        <w:rPr>
          <w:rFonts w:cs="Times New Roman"/>
          <w:noProof/>
          <w:vertAlign w:val="superscript"/>
        </w:rPr>
        <w:footnoteReference w:id="67"/>
      </w:r>
      <w:r w:rsidRPr="0029272A">
        <w:rPr>
          <w:noProof/>
        </w:rPr>
        <w:t xml:space="preserve"> Smanjenje uklanjanja ugljika posljedica je kombinacije čimbenika, među ostalim povećanja potražnje za drvom (npr. 2018. u Finskoj), sve više šuma koje su sazrele za sječu (Estonija, Latvija) i češćih prirodnih nepogoda kao što su najezda insekata (Češka od 2015.), oluje (2019. u Poljskoj), suše i šumski požari (npr. 2017. u Italiji i Portugalu)</w:t>
      </w:r>
      <w:r w:rsidRPr="0029272A">
        <w:rPr>
          <w:noProof/>
          <w:vertAlign w:val="superscript"/>
        </w:rPr>
        <w:footnoteReference w:id="68"/>
      </w:r>
      <w:r w:rsidRPr="0029272A">
        <w:rPr>
          <w:noProof/>
        </w:rPr>
        <w:t>. U skladu s preliminarnim procjenama donesenima uz pomoć obračunskih pravila za drugo obvezujuće razdoblje Kyotskog protokola, neto terećenja LULUCF-a u Cipru, Finskoj i Nizozemskoj manja su od 1 Mt ekvivalenta CO</w:t>
      </w:r>
      <w:r w:rsidRPr="0029272A">
        <w:rPr>
          <w:noProof/>
          <w:vertAlign w:val="subscript"/>
        </w:rPr>
        <w:t>2</w:t>
      </w:r>
      <w:r w:rsidRPr="0029272A">
        <w:rPr>
          <w:noProof/>
        </w:rPr>
        <w:t xml:space="preserve"> godišnje. Više razine terećenja predviđaju se za Češku (2,6 Mt ekvivalenta CO</w:t>
      </w:r>
      <w:r w:rsidRPr="0029272A">
        <w:rPr>
          <w:noProof/>
          <w:vertAlign w:val="subscript"/>
        </w:rPr>
        <w:t>2</w:t>
      </w:r>
      <w:r w:rsidRPr="0029272A">
        <w:rPr>
          <w:noProof/>
        </w:rPr>
        <w:t xml:space="preserve"> godišnje), Latviju (2,4 Mt ekvivalenta CO</w:t>
      </w:r>
      <w:r w:rsidRPr="0029272A">
        <w:rPr>
          <w:noProof/>
          <w:vertAlign w:val="subscript"/>
        </w:rPr>
        <w:t>2</w:t>
      </w:r>
      <w:r w:rsidRPr="0029272A">
        <w:rPr>
          <w:noProof/>
        </w:rPr>
        <w:t xml:space="preserve"> godišnje) i Sloveniju (3,9 Mt ekvivalenta CO</w:t>
      </w:r>
      <w:r w:rsidRPr="0029272A">
        <w:rPr>
          <w:noProof/>
          <w:vertAlign w:val="subscript"/>
        </w:rPr>
        <w:t>2</w:t>
      </w:r>
      <w:r w:rsidRPr="0029272A">
        <w:rPr>
          <w:noProof/>
        </w:rPr>
        <w:t xml:space="preserve"> godišnje). </w:t>
      </w:r>
    </w:p>
    <w:p w:rsidR="005D784C" w:rsidRPr="0029272A" w:rsidRDefault="00AC5DF0"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color w:val="000000"/>
          <w:sz w:val="24"/>
          <w:szCs w:val="24"/>
          <w:u w:color="000000"/>
          <w:bdr w:val="nil"/>
          <w14:textOutline w14:w="0" w14:cap="flat" w14:cmpd="sng" w14:algn="ctr">
            <w14:noFill/>
            <w14:prstDash w14:val="solid"/>
            <w14:bevel/>
          </w14:textOutline>
        </w:rPr>
        <w:t>Kako bi se preokrenulo smanjenje neto uklanjanja iz LULUCF-a, Komisija je predložila novi cilj smanjenja ponora ugljika za 310 Mt ekvivalenta CO</w:t>
      </w:r>
      <w:r w:rsidRPr="0029272A">
        <w:rPr>
          <w:rFonts w:ascii="Times New Roman" w:hAnsi="Times New Roman"/>
          <w:noProof/>
          <w:color w:val="000000"/>
          <w:sz w:val="24"/>
          <w:szCs w:val="24"/>
          <w:u w:color="000000"/>
          <w:bdr w:val="nil"/>
          <w:vertAlign w:val="subscript"/>
          <w14:textOutline w14:w="0" w14:cap="flat" w14:cmpd="sng" w14:algn="ctr">
            <w14:noFill/>
            <w14:prstDash w14:val="solid"/>
            <w14:bevel/>
          </w14:textOutline>
        </w:rPr>
        <w:t>2</w:t>
      </w:r>
      <w:r w:rsidRPr="0029272A">
        <w:rPr>
          <w:rFonts w:ascii="Times New Roman" w:hAnsi="Times New Roman"/>
          <w:noProof/>
          <w:color w:val="000000"/>
          <w:sz w:val="24"/>
          <w:szCs w:val="24"/>
          <w:u w:color="000000"/>
          <w:bdr w:val="nil"/>
          <w14:textOutline w14:w="0" w14:cap="flat" w14:cmpd="sng" w14:algn="ctr">
            <w14:noFill/>
            <w14:prstDash w14:val="solid"/>
            <w14:bevel/>
          </w14:textOutline>
        </w:rPr>
        <w:t xml:space="preserve"> do 2030. te klimatski neutralan zemljišni sektor do 2035. u kojem se kombiniraju neto uklanjanja iz LULUCF-a i emisije iz stočarstva i gnojiva</w:t>
      </w:r>
      <w:r w:rsidRPr="0029272A">
        <w:rPr>
          <w:rFonts w:ascii="Times New Roman" w:eastAsia="Arial Unicode MS" w:hAnsi="Times New Roman" w:cs="Times New Roman"/>
          <w:noProof/>
          <w:color w:val="000000"/>
          <w:sz w:val="24"/>
          <w:szCs w:val="24"/>
          <w:u w:color="000000"/>
          <w:bdr w:val="nil"/>
          <w:vertAlign w:val="superscript"/>
        </w:rPr>
        <w:footnoteReference w:id="69"/>
      </w:r>
      <w:r w:rsidRPr="0029272A">
        <w:rPr>
          <w:rFonts w:ascii="Times New Roman" w:hAnsi="Times New Roman"/>
          <w:noProof/>
          <w:color w:val="000000"/>
          <w:sz w:val="24"/>
          <w:szCs w:val="24"/>
          <w:u w:color="000000"/>
          <w:bdr w:val="nil"/>
          <w14:textOutline w14:w="0" w14:cap="flat" w14:cmpd="sng" w14:algn="ctr">
            <w14:noFill/>
            <w14:prstDash w14:val="solid"/>
            <w14:bevel/>
          </w14:textOutline>
        </w:rPr>
        <w:t>.</w:t>
      </w:r>
    </w:p>
    <w:p w:rsidR="00DF6261" w:rsidRPr="0029272A" w:rsidRDefault="005D784C" w:rsidP="00DF6261">
      <w:pPr>
        <w:pStyle w:val="Heading1"/>
        <w:spacing w:after="240" w:line="240" w:lineRule="auto"/>
        <w:ind w:left="714" w:hanging="357"/>
        <w:jc w:val="both"/>
        <w:rPr>
          <w:noProof/>
        </w:rPr>
      </w:pPr>
      <w:r w:rsidRPr="0029272A">
        <w:rPr>
          <w:noProof/>
        </w:rPr>
        <w:br w:type="page"/>
        <w:t xml:space="preserve">PRILAGODBA KLIMATSKIM PROMJENAMA </w:t>
      </w:r>
    </w:p>
    <w:p w:rsidR="00B846B8" w:rsidRPr="0029272A" w:rsidRDefault="00B846B8" w:rsidP="00B7742C">
      <w:pPr>
        <w:pStyle w:val="paragraph"/>
        <w:spacing w:before="120" w:beforeAutospacing="0" w:after="240" w:afterAutospacing="0"/>
        <w:jc w:val="both"/>
        <w:textAlignment w:val="baseline"/>
        <w:rPr>
          <w:rStyle w:val="normaltextrun"/>
          <w:rFonts w:eastAsiaTheme="majorEastAsia"/>
          <w:b/>
          <w:noProof/>
          <w:szCs w:val="32"/>
        </w:rPr>
      </w:pPr>
      <w:r w:rsidRPr="0029272A">
        <w:rPr>
          <w:rStyle w:val="normaltextrun"/>
          <w:noProof/>
        </w:rPr>
        <w:t xml:space="preserve">Prilagodba klimatskim promjenama sad se uključuje u politike i dugoročni proračun EU-a. Do 2020. sve države članice donijele su nacionalnu strategiju ili plan prilagodbe. Platforma Climate-ADAPT postala je referentna točka za informacije o prilagodbi. Komisija je 2021. donijela </w:t>
      </w:r>
      <w:r w:rsidRPr="0029272A">
        <w:rPr>
          <w:rStyle w:val="normaltextrun"/>
          <w:b/>
          <w:noProof/>
        </w:rPr>
        <w:t>novu strategiju EU-a za prilagodbu klimatskim promjenama</w:t>
      </w:r>
      <w:r w:rsidRPr="0029272A">
        <w:rPr>
          <w:rStyle w:val="FootnoteReference"/>
          <w:noProof/>
        </w:rPr>
        <w:footnoteReference w:id="70"/>
      </w:r>
      <w:r w:rsidRPr="0029272A">
        <w:rPr>
          <w:rStyle w:val="normaltextrun"/>
          <w:noProof/>
        </w:rPr>
        <w:t>,</w:t>
      </w:r>
      <w:r w:rsidRPr="0029272A">
        <w:rPr>
          <w:rStyle w:val="normaltextrun"/>
          <w:b/>
          <w:noProof/>
        </w:rPr>
        <w:t xml:space="preserve"> </w:t>
      </w:r>
      <w:r w:rsidRPr="0029272A">
        <w:rPr>
          <w:rStyle w:val="normaltextrun"/>
          <w:noProof/>
        </w:rPr>
        <w:t xml:space="preserve">kojom se utvrđuje put za pripremu za neizbježne utjecaje klimatskih promjena i otpornost na klimatske promjene do 2050. To će se postići unapređenjem i razmjenom znanja (npr. putem platformi i opservatorija EU-a) te prikupljanjem veće količine boljih podataka o klimatskim rizicima i gubicima. U strategiji se ističe da bi trebalo poduprijeti razvoj politika na svim razinama i u svim sektorima, posebno </w:t>
      </w:r>
      <w:r w:rsidRPr="0029272A">
        <w:rPr>
          <w:rStyle w:val="normaltextrun"/>
          <w:b/>
          <w:noProof/>
        </w:rPr>
        <w:t>lokalnu i pravednu otpornost</w:t>
      </w:r>
      <w:r w:rsidRPr="0029272A">
        <w:rPr>
          <w:rStyle w:val="normaltextrun"/>
          <w:noProof/>
        </w:rPr>
        <w:t xml:space="preserve">. Razmatra se makrofiskalna važnost rizika od klimatskih promjena i prirodnih katastrofa te se ističe važnost uključivanja otpornosti na klimatske promjene u nacionalne fiskalne okvire. Osim toga, promiču se prirodna rješenja. </w:t>
      </w:r>
    </w:p>
    <w:p w:rsidR="005D784C" w:rsidRPr="0029272A" w:rsidRDefault="007B4943" w:rsidP="00B7742C">
      <w:pPr>
        <w:pStyle w:val="paragraph"/>
        <w:spacing w:before="120" w:beforeAutospacing="0" w:after="240" w:afterAutospacing="0"/>
        <w:jc w:val="both"/>
        <w:textAlignment w:val="baseline"/>
        <w:rPr>
          <w:rStyle w:val="normaltextrun"/>
          <w:rFonts w:eastAsiaTheme="majorEastAsia"/>
          <w:noProof/>
        </w:rPr>
      </w:pPr>
      <w:r w:rsidRPr="0029272A">
        <w:rPr>
          <w:rStyle w:val="normaltextrun"/>
          <w:noProof/>
        </w:rPr>
        <w:t xml:space="preserve">Brža rješenja za prilagodbu ispitat će se i proširiti u okviru misije Obzora Europa za prilagodbu klimatskim promjenama. Cilj je poduprijeti najmanje 150 regija i zajednica te ispitati najmanje 75 dubinskih demonstracija. Za mjere prilagodbe izravno su važne i misije Obzora Europa za zdravlje tla, klimatski neutralne gradove te oceane i unutarnje vode. </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Prvo ocjenjivanje izvješća o nacionalnim politikama prilagodbe</w:t>
      </w:r>
    </w:p>
    <w:p w:rsidR="00DF6261" w:rsidRPr="0029272A" w:rsidRDefault="00DC69B4"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Od 2021. države članice moraju dostavljati izvješća o nacionalnim politikama prilagodbe</w:t>
      </w:r>
      <w:r w:rsidRPr="0029272A">
        <w:rPr>
          <w:rStyle w:val="FootnoteReference"/>
          <w:rFonts w:ascii="Times New Roman" w:hAnsi="Times New Roman" w:cs="Times New Roman"/>
          <w:noProof/>
          <w:sz w:val="24"/>
          <w:szCs w:val="24"/>
        </w:rPr>
        <w:footnoteReference w:id="71"/>
      </w:r>
      <w:r w:rsidRPr="0029272A">
        <w:rPr>
          <w:rFonts w:ascii="Times New Roman" w:hAnsi="Times New Roman"/>
          <w:noProof/>
          <w:sz w:val="24"/>
          <w:szCs w:val="24"/>
        </w:rPr>
        <w:t>. Sve države članice dostavile su to izvješće. Iako je još prerano za ocjenu stvarnog napretka u provedbi, može se napraviti pregled uočenih ključnih nepogoda i budućih rizika u odnosu na koje se može mjeriti napredak u 2023.</w:t>
      </w:r>
      <w:r w:rsidRPr="0029272A">
        <w:rPr>
          <w:rStyle w:val="FootnoteReference"/>
          <w:rFonts w:ascii="Times New Roman" w:hAnsi="Times New Roman" w:cs="Times New Roman"/>
          <w:noProof/>
          <w:sz w:val="24"/>
          <w:szCs w:val="24"/>
        </w:rPr>
        <w:footnoteReference w:id="72"/>
      </w:r>
      <w:r w:rsidRPr="0029272A">
        <w:rPr>
          <w:rFonts w:ascii="Times New Roman" w:hAnsi="Times New Roman"/>
          <w:noProof/>
          <w:sz w:val="24"/>
          <w:szCs w:val="24"/>
        </w:rPr>
        <w:t xml:space="preserve"> </w:t>
      </w:r>
    </w:p>
    <w:p w:rsidR="00841888" w:rsidRPr="0029272A" w:rsidRDefault="00D256E7"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Najčešće akutne nepogode uočene u državama članicama su toplinski valovi i suše (u svim zemljama), jake oborine (posljedične poplave), oluje, odroni tla i šumski požari (velik broj zemalja u svim klimatskim zonama</w:t>
      </w:r>
      <w:r w:rsidRPr="0029272A">
        <w:rPr>
          <w:rFonts w:ascii="Times New Roman" w:hAnsi="Times New Roman" w:cs="Times New Roman"/>
          <w:noProof/>
          <w:sz w:val="24"/>
          <w:szCs w:val="24"/>
          <w:vertAlign w:val="superscript"/>
        </w:rPr>
        <w:footnoteReference w:id="73"/>
      </w:r>
      <w:r w:rsidRPr="0029272A">
        <w:rPr>
          <w:rFonts w:ascii="Times New Roman" w:hAnsi="Times New Roman"/>
          <w:noProof/>
          <w:sz w:val="24"/>
          <w:szCs w:val="24"/>
        </w:rPr>
        <w:t xml:space="preserve">). Najčešće uočene kronične nepogode </w:t>
      </w:r>
      <w:r w:rsidR="00CE2268">
        <w:rPr>
          <w:rFonts w:ascii="Times New Roman" w:hAnsi="Times New Roman"/>
          <w:noProof/>
          <w:sz w:val="24"/>
          <w:szCs w:val="24"/>
        </w:rPr>
        <w:t xml:space="preserve">su </w:t>
      </w:r>
      <w:r w:rsidRPr="0029272A">
        <w:rPr>
          <w:rFonts w:ascii="Times New Roman" w:hAnsi="Times New Roman"/>
          <w:noProof/>
          <w:sz w:val="24"/>
          <w:szCs w:val="24"/>
        </w:rPr>
        <w:t>promjene temperature, promjene u obrascima i vrsti oborina (i veća varijabilnost) i erozija obale. Određene se nepogode ističu, ali o njima se izvješćuje samo u određenim klimatskim zonama: nestašice vode, degradacije tla i erozije gotovo i nema na sjeveru</w:t>
      </w:r>
      <w:r w:rsidR="006B5FCD">
        <w:rPr>
          <w:rFonts w:ascii="Times New Roman" w:hAnsi="Times New Roman"/>
          <w:noProof/>
          <w:sz w:val="24"/>
          <w:szCs w:val="24"/>
        </w:rPr>
        <w:t>,</w:t>
      </w:r>
      <w:r w:rsidRPr="0029272A">
        <w:rPr>
          <w:rFonts w:ascii="Times New Roman" w:hAnsi="Times New Roman"/>
          <w:noProof/>
          <w:sz w:val="24"/>
          <w:szCs w:val="24"/>
        </w:rPr>
        <w:t xml:space="preserve"> promjene tokova vjetra uglavnom pogađaju sjever i istok, prodor slane vode posebno je problem na jugu. Sveukupno su najveći broj nepogoda prijavile Finska, Francuska i Španjolska, a najmanji Irska, Italija i Luksemburg. Više od 60 % država članica navelo je da su zdravstvo, poljoprivreda i prehrana, šumarstvo, bioraznolikost, upravljanje vodama, turizam i energija sektori koje će najviše pogoditi budući klimatski rizici. Porutgal, Španjolska i Švedska prijavili su najviše sektora podložnih budućim rizicima.</w:t>
      </w:r>
    </w:p>
    <w:p w:rsidR="00370A88" w:rsidRPr="0029272A" w:rsidRDefault="00370A88">
      <w:pPr>
        <w:spacing w:before="0" w:after="200"/>
        <w:rPr>
          <w:rFonts w:ascii="Times New Roman" w:eastAsiaTheme="majorEastAsia" w:hAnsi="Times New Roman" w:cs="Times New Roman"/>
          <w:b/>
          <w:noProof/>
          <w:sz w:val="24"/>
          <w:szCs w:val="24"/>
        </w:rPr>
      </w:pPr>
      <w:r w:rsidRPr="0029272A">
        <w:rPr>
          <w:noProof/>
        </w:rPr>
        <w:br w:type="page"/>
      </w:r>
    </w:p>
    <w:p w:rsidR="00DF6261" w:rsidRPr="0029272A" w:rsidRDefault="00DF6261" w:rsidP="00E624FB">
      <w:pPr>
        <w:pStyle w:val="Heading1"/>
        <w:spacing w:before="0" w:after="240" w:line="240" w:lineRule="auto"/>
        <w:ind w:left="714" w:hanging="357"/>
        <w:jc w:val="both"/>
        <w:rPr>
          <w:noProof/>
        </w:rPr>
      </w:pPr>
      <w:r w:rsidRPr="0029272A">
        <w:rPr>
          <w:noProof/>
        </w:rPr>
        <w:t>FINANCIRANJE DJELOVANJA U PODRUČJU KLIME</w:t>
      </w:r>
      <w:bookmarkStart w:id="2" w:name="_Toc526502291"/>
      <w:bookmarkStart w:id="3" w:name="_Toc529975170"/>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Uključivanje klimatskih politika u proračun EU-a</w:t>
      </w:r>
      <w:bookmarkEnd w:id="2"/>
      <w:bookmarkEnd w:id="3"/>
      <w:r w:rsidRPr="0029272A">
        <w:rPr>
          <w:rFonts w:ascii="Times New Roman" w:hAnsi="Times New Roman"/>
          <w:b/>
          <w:i/>
          <w:noProof/>
          <w:sz w:val="24"/>
          <w:szCs w:val="24"/>
        </w:rPr>
        <w:t xml:space="preserve"> </w:t>
      </w:r>
    </w:p>
    <w:p w:rsidR="00505AD0" w:rsidRPr="0029272A" w:rsidRDefault="00675EA2">
      <w:pPr>
        <w:spacing w:after="240" w:line="240" w:lineRule="auto"/>
        <w:jc w:val="both"/>
        <w:rPr>
          <w:rFonts w:ascii="Times New Roman" w:eastAsia="Times New Roman" w:hAnsi="Times New Roman" w:cs="Times New Roman"/>
          <w:noProof/>
          <w:sz w:val="24"/>
          <w:szCs w:val="24"/>
        </w:rPr>
      </w:pPr>
      <w:r w:rsidRPr="0029272A">
        <w:rPr>
          <w:rFonts w:ascii="Times New Roman" w:hAnsi="Times New Roman"/>
          <w:noProof/>
          <w:sz w:val="24"/>
          <w:szCs w:val="24"/>
        </w:rPr>
        <w:t xml:space="preserve">Kao što je navedeno u 1. poglavlju, tranzicija na klimatsku neutralnost i otpornost na klimatske promjene iziskuje znatna ulaganja. Najmanje </w:t>
      </w:r>
      <w:r w:rsidRPr="0029272A">
        <w:rPr>
          <w:rFonts w:ascii="Times New Roman" w:hAnsi="Times New Roman"/>
          <w:b/>
          <w:noProof/>
          <w:sz w:val="24"/>
          <w:szCs w:val="24"/>
        </w:rPr>
        <w:t>30 %</w:t>
      </w:r>
      <w:r w:rsidRPr="0029272A">
        <w:rPr>
          <w:rFonts w:ascii="Times New Roman" w:hAnsi="Times New Roman"/>
          <w:noProof/>
          <w:sz w:val="24"/>
          <w:szCs w:val="24"/>
        </w:rPr>
        <w:t xml:space="preserve"> </w:t>
      </w:r>
      <w:r w:rsidRPr="0029272A">
        <w:rPr>
          <w:rFonts w:ascii="Times New Roman" w:hAnsi="Times New Roman"/>
          <w:b/>
          <w:noProof/>
          <w:sz w:val="24"/>
          <w:szCs w:val="24"/>
        </w:rPr>
        <w:t>sljedećeg dugoročnog proračuna EU-a</w:t>
      </w:r>
      <w:r w:rsidRPr="0029272A">
        <w:rPr>
          <w:rFonts w:ascii="Times New Roman" w:hAnsi="Times New Roman"/>
          <w:noProof/>
          <w:sz w:val="24"/>
          <w:szCs w:val="24"/>
        </w:rPr>
        <w:t xml:space="preserve"> (2021.–2027.), dosad najviši udio proračuna, izdvojeno </w:t>
      </w:r>
      <w:r w:rsidR="00542FB4">
        <w:rPr>
          <w:rFonts w:ascii="Times New Roman" w:hAnsi="Times New Roman"/>
          <w:noProof/>
          <w:sz w:val="24"/>
          <w:szCs w:val="24"/>
        </w:rPr>
        <w:t xml:space="preserve">je </w:t>
      </w:r>
      <w:r w:rsidRPr="0029272A">
        <w:rPr>
          <w:rFonts w:ascii="Times New Roman" w:hAnsi="Times New Roman"/>
          <w:noProof/>
          <w:sz w:val="24"/>
          <w:szCs w:val="24"/>
        </w:rPr>
        <w:t>za djelovanje u području klime (povećanje s 20 % u razdoblju 2014.–2020.). To iznosi približno 625 milijardi EUR u usporedbi s približno 210 milijardi EUR u prethodnom razdoblju. Posebni programi potrošnje imaju ambicioznije klimatske ciljeve (Obzor Europa 35 %, Kohezijski fond 37 %, ZPP 40 %, Instrument za povezivanje Europe 60 %, program LIFE 61 %, Fond za pravednu tranziciju</w:t>
      </w:r>
      <w:r w:rsidRPr="0029272A">
        <w:rPr>
          <w:rStyle w:val="FootnoteReference"/>
          <w:rFonts w:ascii="Times New Roman" w:hAnsi="Times New Roman" w:cs="Times New Roman"/>
          <w:noProof/>
          <w:sz w:val="24"/>
          <w:szCs w:val="24"/>
        </w:rPr>
        <w:footnoteReference w:id="74"/>
      </w:r>
      <w:r w:rsidRPr="0029272A">
        <w:rPr>
          <w:rFonts w:ascii="Times New Roman" w:hAnsi="Times New Roman"/>
          <w:noProof/>
          <w:sz w:val="24"/>
          <w:szCs w:val="24"/>
        </w:rPr>
        <w:t xml:space="preserve"> 100 %) i još više pridonose sveukupnom cilju proračuna. </w:t>
      </w:r>
    </w:p>
    <w:p w:rsidR="00517ECC" w:rsidRPr="0029272A" w:rsidRDefault="006802CF">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Da bi mogle iskoristiti </w:t>
      </w:r>
      <w:r w:rsidRPr="0029272A">
        <w:rPr>
          <w:rFonts w:ascii="Times New Roman" w:hAnsi="Times New Roman"/>
          <w:b/>
          <w:noProof/>
          <w:sz w:val="24"/>
          <w:szCs w:val="24"/>
        </w:rPr>
        <w:t>zajmove i bespovratna sredstva u iznosu do 723,8 milijardi EUR u okviru</w:t>
      </w:r>
      <w:r w:rsidRPr="0029272A">
        <w:rPr>
          <w:rFonts w:ascii="Times New Roman" w:hAnsi="Times New Roman"/>
          <w:noProof/>
          <w:sz w:val="24"/>
          <w:szCs w:val="24"/>
        </w:rPr>
        <w:t xml:space="preserve"> </w:t>
      </w:r>
      <w:r w:rsidRPr="0029272A">
        <w:rPr>
          <w:rFonts w:ascii="Times New Roman" w:hAnsi="Times New Roman"/>
          <w:b/>
          <w:noProof/>
          <w:sz w:val="24"/>
          <w:szCs w:val="24"/>
        </w:rPr>
        <w:t>Mehanizma za oporavak i otpornost</w:t>
      </w:r>
      <w:r w:rsidRPr="0029272A">
        <w:rPr>
          <w:rFonts w:ascii="Times New Roman" w:hAnsi="Times New Roman"/>
          <w:noProof/>
          <w:sz w:val="24"/>
          <w:szCs w:val="24"/>
        </w:rPr>
        <w:t>, države članice su 2021. izrađivale planove za oporavak i otpornost. Tim su planovima predviđena ulaganja i inicijative za reformu koji donose dodanu vrijednost za EU u cjelini, kao što su razvoj i korištenje obnovljivih izvora energije, uključujući vodik, obnova i energetska učinkovitost zgrada te uspostava infrastrukture za alternativna goriva ili željeznički promet. Posebna ciljna vrijednost od 37 % rashoda za klimu premašena je jer su kombinirana ulaganja za borbu protiv klimatskih promjena u 22 ocijenjena plana za opravak i otpornost koja je Komisija odobrila</w:t>
      </w:r>
      <w:r w:rsidRPr="0029272A">
        <w:rPr>
          <w:rStyle w:val="FootnoteReference"/>
          <w:rFonts w:ascii="Times New Roman" w:hAnsi="Times New Roman" w:cs="Times New Roman"/>
          <w:noProof/>
          <w:sz w:val="24"/>
          <w:szCs w:val="24"/>
        </w:rPr>
        <w:footnoteReference w:id="75"/>
      </w:r>
      <w:r w:rsidRPr="0029272A">
        <w:rPr>
          <w:rFonts w:ascii="Times New Roman" w:hAnsi="Times New Roman"/>
          <w:noProof/>
          <w:sz w:val="24"/>
          <w:szCs w:val="24"/>
        </w:rPr>
        <w:t xml:space="preserve"> iznosila 177 milijardi EUR ili oko 40 % ukupnih dodijeljenih sredstava</w:t>
      </w:r>
      <w:r w:rsidR="00DE5D3F">
        <w:rPr>
          <w:rFonts w:ascii="Times New Roman" w:hAnsi="Times New Roman"/>
          <w:noProof/>
          <w:sz w:val="24"/>
          <w:szCs w:val="24"/>
        </w:rPr>
        <w:t xml:space="preserve"> </w:t>
      </w:r>
      <w:r w:rsidRPr="0029272A">
        <w:rPr>
          <w:rFonts w:ascii="Times New Roman" w:hAnsi="Times New Roman"/>
          <w:noProof/>
          <w:sz w:val="24"/>
          <w:szCs w:val="24"/>
        </w:rPr>
        <w:t>u okviru Mehanizma za oporavak i otpornost. Oko 43 % iznosa dodijeljenog klimatskim mjerama bit će namijenjeno za energiju iz obnovljivih izvora i mreže te energetsku učinkovitost, a 35 % za održivu mobilnost. Stoga planovi za oporavak i otpornost već sada mogu pomoći državama članicama da ostvare ambicioznije ciljeve za 2030. Komisija je uključila kriterije tehničke provjere iz taksonomije EU-a ako je bilo moguće kako bi pratila potrošnju u području klime u okviru Mehanizma za oporavak i otpornost te strukturnih fondova. Okvirom za zelene obveznice instrumenta Next Generation EU</w:t>
      </w:r>
      <w:r w:rsidRPr="0029272A">
        <w:rPr>
          <w:rFonts w:ascii="Times New Roman" w:hAnsi="Times New Roman" w:cs="Times New Roman"/>
          <w:noProof/>
          <w:sz w:val="24"/>
          <w:szCs w:val="24"/>
          <w:vertAlign w:val="superscript"/>
        </w:rPr>
        <w:footnoteReference w:id="76"/>
      </w:r>
      <w:r w:rsidRPr="0029272A">
        <w:rPr>
          <w:rFonts w:ascii="Times New Roman" w:hAnsi="Times New Roman"/>
          <w:noProof/>
          <w:sz w:val="24"/>
          <w:szCs w:val="24"/>
        </w:rPr>
        <w:t>, koji je donesen u rujnu 2021., pružaju se potrebna jamstva da će se iz prihoda financirati zelena ulaganja i ulaganja u području klime u okviru Mehanizma za oporavak i otpornost.</w:t>
      </w:r>
    </w:p>
    <w:p w:rsidR="00DF6261" w:rsidRPr="0029272A" w:rsidRDefault="00DF6261">
      <w:pPr>
        <w:spacing w:after="240" w:line="240" w:lineRule="auto"/>
        <w:jc w:val="both"/>
        <w:rPr>
          <w:rFonts w:ascii="Times New Roman" w:eastAsia="Times New Roman" w:hAnsi="Times New Roman" w:cs="Times New Roman"/>
          <w:noProof/>
          <w:sz w:val="24"/>
          <w:szCs w:val="24"/>
        </w:rPr>
      </w:pPr>
      <w:r w:rsidRPr="0029272A">
        <w:rPr>
          <w:rFonts w:ascii="Times New Roman" w:hAnsi="Times New Roman"/>
          <w:b/>
          <w:noProof/>
          <w:sz w:val="24"/>
          <w:szCs w:val="24"/>
        </w:rPr>
        <w:t xml:space="preserve">Očekuje se da će se u okviru mehanizma za pravednu tranziciju mobilizirati </w:t>
      </w:r>
      <w:r w:rsidRPr="0029272A">
        <w:rPr>
          <w:rFonts w:ascii="Times New Roman" w:hAnsi="Times New Roman"/>
          <w:noProof/>
          <w:sz w:val="24"/>
          <w:szCs w:val="24"/>
        </w:rPr>
        <w:t xml:space="preserve">ulaganja </w:t>
      </w:r>
      <w:r w:rsidRPr="0029272A">
        <w:rPr>
          <w:rFonts w:ascii="Times New Roman" w:hAnsi="Times New Roman"/>
          <w:b/>
          <w:noProof/>
          <w:sz w:val="24"/>
          <w:szCs w:val="24"/>
        </w:rPr>
        <w:t>u iznosu od oko 55 milijardi EUR</w:t>
      </w:r>
      <w:r w:rsidRPr="0029272A">
        <w:rPr>
          <w:rFonts w:ascii="Times New Roman" w:hAnsi="Times New Roman"/>
          <w:noProof/>
          <w:sz w:val="24"/>
          <w:szCs w:val="24"/>
        </w:rPr>
        <w:t xml:space="preserve"> (2021.–2027.), a taj mehanizam čine tri stupa: </w:t>
      </w:r>
    </w:p>
    <w:p w:rsidR="00DF6261" w:rsidRPr="0029272A" w:rsidRDefault="00DF6261" w:rsidP="00B7742C">
      <w:pPr>
        <w:pStyle w:val="ListParagraph"/>
        <w:numPr>
          <w:ilvl w:val="0"/>
          <w:numId w:val="21"/>
        </w:numPr>
        <w:spacing w:before="0" w:after="120" w:line="240" w:lineRule="auto"/>
        <w:jc w:val="both"/>
        <w:rPr>
          <w:rFonts w:ascii="Times New Roman" w:eastAsia="Times New Roman" w:hAnsi="Times New Roman" w:cs="Times New Roman"/>
          <w:noProof/>
          <w:sz w:val="24"/>
          <w:szCs w:val="24"/>
        </w:rPr>
      </w:pPr>
      <w:r w:rsidRPr="0029272A">
        <w:rPr>
          <w:rFonts w:ascii="Times New Roman" w:hAnsi="Times New Roman"/>
          <w:b/>
          <w:noProof/>
          <w:sz w:val="24"/>
          <w:szCs w:val="24"/>
        </w:rPr>
        <w:t xml:space="preserve">Fond za pravednu tranziciju </w:t>
      </w:r>
      <w:r w:rsidRPr="0029272A">
        <w:rPr>
          <w:rFonts w:ascii="Times New Roman" w:hAnsi="Times New Roman"/>
          <w:noProof/>
          <w:sz w:val="24"/>
          <w:szCs w:val="24"/>
        </w:rPr>
        <w:t>s najmanje</w:t>
      </w:r>
      <w:r w:rsidRPr="0029272A">
        <w:rPr>
          <w:rFonts w:ascii="Times New Roman" w:hAnsi="Times New Roman"/>
          <w:b/>
          <w:noProof/>
          <w:sz w:val="24"/>
          <w:szCs w:val="24"/>
        </w:rPr>
        <w:t xml:space="preserve"> </w:t>
      </w:r>
      <w:r w:rsidRPr="0029272A">
        <w:rPr>
          <w:rFonts w:ascii="Times New Roman" w:hAnsi="Times New Roman"/>
          <w:noProof/>
          <w:sz w:val="24"/>
          <w:szCs w:val="24"/>
        </w:rPr>
        <w:t xml:space="preserve">25 milijardi EUR; </w:t>
      </w:r>
    </w:p>
    <w:p w:rsidR="001953C7" w:rsidRPr="0029272A" w:rsidRDefault="00DF6261" w:rsidP="00B7742C">
      <w:pPr>
        <w:pStyle w:val="ListParagraph"/>
        <w:numPr>
          <w:ilvl w:val="0"/>
          <w:numId w:val="21"/>
        </w:numPr>
        <w:spacing w:before="0" w:after="120" w:line="240" w:lineRule="auto"/>
        <w:jc w:val="both"/>
        <w:rPr>
          <w:rFonts w:ascii="Times New Roman" w:eastAsia="Times New Roman" w:hAnsi="Times New Roman" w:cs="Times New Roman"/>
          <w:noProof/>
          <w:sz w:val="24"/>
          <w:szCs w:val="24"/>
        </w:rPr>
      </w:pPr>
      <w:r w:rsidRPr="0029272A">
        <w:rPr>
          <w:rFonts w:ascii="Times New Roman" w:hAnsi="Times New Roman"/>
          <w:b/>
          <w:noProof/>
          <w:sz w:val="24"/>
          <w:szCs w:val="24"/>
        </w:rPr>
        <w:t>program za pravednu tranziciju u okviru programa InvestEU</w:t>
      </w:r>
      <w:r w:rsidRPr="0029272A">
        <w:rPr>
          <w:rFonts w:ascii="Times New Roman" w:hAnsi="Times New Roman"/>
          <w:noProof/>
          <w:sz w:val="24"/>
          <w:szCs w:val="24"/>
        </w:rPr>
        <w:t xml:space="preserve"> – proračunsko jamstvo u okviru programa InvestEU za mobilizaciju privatnih ulaganja;</w:t>
      </w:r>
    </w:p>
    <w:p w:rsidR="00DF6261" w:rsidRPr="0029272A" w:rsidRDefault="00DF6261">
      <w:pPr>
        <w:pStyle w:val="ListParagraph"/>
        <w:numPr>
          <w:ilvl w:val="0"/>
          <w:numId w:val="21"/>
        </w:numPr>
        <w:spacing w:after="240" w:line="240" w:lineRule="auto"/>
        <w:jc w:val="both"/>
        <w:rPr>
          <w:rFonts w:ascii="Times New Roman" w:hAnsi="Times New Roman" w:cs="Times New Roman"/>
          <w:noProof/>
          <w:sz w:val="24"/>
          <w:szCs w:val="24"/>
        </w:rPr>
      </w:pPr>
      <w:r w:rsidRPr="0029272A">
        <w:rPr>
          <w:rFonts w:ascii="Times New Roman" w:hAnsi="Times New Roman"/>
          <w:b/>
          <w:noProof/>
          <w:sz w:val="24"/>
          <w:szCs w:val="24"/>
        </w:rPr>
        <w:t>instrument za kreditiranje u javnom sektoru</w:t>
      </w:r>
      <w:r w:rsidRPr="0029272A">
        <w:rPr>
          <w:rFonts w:ascii="Times New Roman" w:hAnsi="Times New Roman"/>
          <w:noProof/>
          <w:sz w:val="24"/>
          <w:szCs w:val="24"/>
        </w:rPr>
        <w:t xml:space="preserve">, u kojem se će spojiti 1,5 milijardi EUR bespovratnih sredstava iz proračuna EU-a i 10 milijardi EUR zajmova Europske investicijske banke (EIB) kako bi se mobiliziralo oko 18 milijardi EUR javnog ulaganja. </w:t>
      </w:r>
    </w:p>
    <w:p w:rsidR="00C043B2" w:rsidRPr="0029272A" w:rsidRDefault="00C043B2">
      <w:pPr>
        <w:pStyle w:val="ListParagraph"/>
        <w:spacing w:after="240" w:line="240" w:lineRule="auto"/>
        <w:ind w:left="0"/>
        <w:jc w:val="both"/>
        <w:rPr>
          <w:rFonts w:ascii="Times New Roman" w:eastAsia="Times New Roman" w:hAnsi="Times New Roman" w:cs="Times New Roman"/>
          <w:noProof/>
          <w:sz w:val="24"/>
          <w:szCs w:val="24"/>
          <w:lang w:eastAsia="en-GB"/>
        </w:rPr>
      </w:pPr>
    </w:p>
    <w:p w:rsidR="00C5179C" w:rsidRPr="0029272A" w:rsidRDefault="00DF6261">
      <w:pPr>
        <w:pStyle w:val="ListParagraph"/>
        <w:spacing w:after="240" w:line="240" w:lineRule="auto"/>
        <w:ind w:left="0"/>
        <w:jc w:val="both"/>
        <w:rPr>
          <w:rFonts w:ascii="Times New Roman" w:eastAsia="Times New Roman" w:hAnsi="Times New Roman" w:cs="Times New Roman"/>
          <w:noProof/>
          <w:sz w:val="24"/>
          <w:szCs w:val="24"/>
        </w:rPr>
      </w:pPr>
      <w:r w:rsidRPr="0029272A">
        <w:rPr>
          <w:rFonts w:ascii="Times New Roman" w:hAnsi="Times New Roman"/>
          <w:noProof/>
          <w:sz w:val="24"/>
          <w:szCs w:val="24"/>
        </w:rPr>
        <w:t>Od 2021. dijelovima različitih programa EU-a koji pridonose europskom zelenom planu, kao što su Instrument za povezivanje Europe, program Obzor Europa, Inovacijski fond, program LIFE, instrument za kreditiranje u okviru mehanizma za pravednu tranziciju itd., upravljat će jedno tijelo – Europska izvršna agencija za klimu, infrastrukturu i okoliš (CINEA).</w:t>
      </w:r>
    </w:p>
    <w:p w:rsidR="007446DD" w:rsidRPr="0029272A" w:rsidRDefault="007446DD">
      <w:pPr>
        <w:pStyle w:val="ListParagraph"/>
        <w:spacing w:after="240" w:line="240" w:lineRule="auto"/>
        <w:ind w:left="0"/>
        <w:jc w:val="both"/>
        <w:rPr>
          <w:rFonts w:ascii="Times New Roman" w:eastAsia="Times New Roman" w:hAnsi="Times New Roman" w:cs="Times New Roman"/>
          <w:noProof/>
          <w:sz w:val="24"/>
          <w:szCs w:val="24"/>
          <w:lang w:eastAsia="en-GB"/>
        </w:rPr>
      </w:pPr>
    </w:p>
    <w:p w:rsidR="007446DD" w:rsidRPr="0029272A" w:rsidDel="00C5179C" w:rsidRDefault="007446DD">
      <w:pPr>
        <w:pStyle w:val="ListParagraph"/>
        <w:spacing w:after="240" w:line="240" w:lineRule="auto"/>
        <w:ind w:left="0"/>
        <w:jc w:val="both"/>
        <w:rPr>
          <w:rFonts w:ascii="Times New Roman" w:hAnsi="Times New Roman" w:cs="Times New Roman"/>
          <w:noProof/>
          <w:sz w:val="24"/>
          <w:szCs w:val="24"/>
        </w:rPr>
      </w:pP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 xml:space="preserve">Uporaba prihoda od dražbi emisijskih jedinica u okviru EU ETS-a u državama članicama </w:t>
      </w:r>
    </w:p>
    <w:p w:rsidR="00113E38" w:rsidRPr="0029272A" w:rsidRDefault="002015D8" w:rsidP="00B7742C">
      <w:pPr>
        <w:spacing w:before="0" w:after="120" w:line="240" w:lineRule="auto"/>
        <w:jc w:val="both"/>
        <w:rPr>
          <w:rFonts w:ascii="Times New Roman" w:hAnsi="Times New Roman" w:cs="Times New Roman"/>
          <w:noProof/>
          <w:sz w:val="24"/>
          <w:szCs w:val="24"/>
        </w:rPr>
      </w:pPr>
      <w:r w:rsidRPr="0029272A">
        <w:rPr>
          <w:rFonts w:ascii="Times New Roman" w:hAnsi="Times New Roman"/>
          <w:noProof/>
          <w:sz w:val="24"/>
          <w:szCs w:val="24"/>
        </w:rPr>
        <w:t>S obzirom na znatno povećanje cijene ugljika u 3. fazi povećali su se i prihodi od dražbovne prodaje s 3,1 milijardu EUR u 2013. na 14,4 milijarde EUR u 2020. u EU-27. Na temelju godišnjih izvješća procjenjuje se da je 75 % ukupnih prihoda (56,5 milijardi EUR) iskorišteno za potrebe u području klime i energetike u 3. fazi, odnosno 72 % u 2020. Države članice u praksi troše više na klimatske promjene i energetiku nego što ostvare prihoda od dražbovne prodaje.</w:t>
      </w:r>
      <w:r w:rsidRPr="0029272A">
        <w:rPr>
          <w:rFonts w:ascii="Times New Roman" w:hAnsi="Times New Roman" w:cs="Times New Roman"/>
          <w:noProof/>
          <w:sz w:val="24"/>
          <w:szCs w:val="24"/>
          <w:vertAlign w:val="superscript"/>
        </w:rPr>
        <w:footnoteReference w:id="77"/>
      </w:r>
    </w:p>
    <w:p w:rsidR="00113E38" w:rsidRPr="0029272A" w:rsidRDefault="00973F65" w:rsidP="00B7742C">
      <w:pPr>
        <w:spacing w:line="240" w:lineRule="auto"/>
        <w:jc w:val="both"/>
        <w:rPr>
          <w:b/>
          <w:noProof/>
          <w:sz w:val="20"/>
          <w:szCs w:val="20"/>
        </w:rPr>
      </w:pPr>
      <w:r w:rsidRPr="00973F65">
        <w:rPr>
          <w:noProof/>
          <w:lang w:val="en-GB" w:eastAsia="en-GB"/>
        </w:rPr>
        <w:drawing>
          <wp:inline distT="0" distB="0" distL="0" distR="0">
            <wp:extent cx="5731510" cy="251788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2517889"/>
                    </a:xfrm>
                    <a:prstGeom prst="rect">
                      <a:avLst/>
                    </a:prstGeom>
                    <a:noFill/>
                    <a:ln>
                      <a:noFill/>
                    </a:ln>
                  </pic:spPr>
                </pic:pic>
              </a:graphicData>
            </a:graphic>
          </wp:inline>
        </w:drawing>
      </w:r>
      <w:r w:rsidR="004321C4" w:rsidRPr="0029272A">
        <w:rPr>
          <w:b/>
          <w:noProof/>
          <w:sz w:val="20"/>
          <w:szCs w:val="20"/>
        </w:rPr>
        <w:t>Slika 9.: Prihodi od dražbovne prodaje i prijavljena uporaba (u milijardama EUR), 2013.–2020., EU-27</w:t>
      </w:r>
    </w:p>
    <w:p w:rsidR="00AE4C2E" w:rsidRPr="0029272A" w:rsidRDefault="00113E38" w:rsidP="00B7742C">
      <w:pPr>
        <w:spacing w:after="120" w:line="240" w:lineRule="auto"/>
        <w:jc w:val="both"/>
        <w:rPr>
          <w:b/>
          <w:noProof/>
          <w:sz w:val="20"/>
          <w:szCs w:val="20"/>
        </w:rPr>
      </w:pPr>
      <w:r w:rsidRPr="0029272A">
        <w:rPr>
          <w:rFonts w:ascii="Times New Roman" w:hAnsi="Times New Roman"/>
          <w:noProof/>
          <w:sz w:val="24"/>
          <w:szCs w:val="24"/>
        </w:rPr>
        <w:t xml:space="preserve">U 3. fazi dodatni godišnji prihodi ostvareni zbog rasta cijena ugljika uglavnom su potrošeni na domaćoj razini, dok je prijavljena godišnja međunarodna potrošnja bila prilično stabilna (oko 100–200 milijuna EUR godišnje) i uglavnom usmjerena u zemlje u razvoju preko multilateralnih fondova i institucija. Na slici 10. prikazano je na što su se od 2013. trošili prijavljeni prihodi.  </w:t>
      </w:r>
    </w:p>
    <w:p w:rsidR="00113E38" w:rsidRPr="0029272A" w:rsidRDefault="00005EC3">
      <w:pPr>
        <w:rPr>
          <w:b/>
          <w:noProof/>
          <w:sz w:val="20"/>
          <w:szCs w:val="20"/>
        </w:rPr>
      </w:pPr>
      <w:r w:rsidRPr="00005EC3">
        <w:rPr>
          <w:noProof/>
          <w:lang w:val="en-GB" w:eastAsia="en-GB"/>
        </w:rPr>
        <w:drawing>
          <wp:inline distT="0" distB="0" distL="0" distR="0">
            <wp:extent cx="4488180" cy="27279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88180" cy="2727960"/>
                    </a:xfrm>
                    <a:prstGeom prst="rect">
                      <a:avLst/>
                    </a:prstGeom>
                    <a:noFill/>
                    <a:ln>
                      <a:noFill/>
                    </a:ln>
                  </pic:spPr>
                </pic:pic>
              </a:graphicData>
            </a:graphic>
          </wp:inline>
        </w:drawing>
      </w:r>
    </w:p>
    <w:p w:rsidR="00113E38" w:rsidRPr="0029272A" w:rsidRDefault="00113E38" w:rsidP="00B7742C">
      <w:pPr>
        <w:spacing w:line="240" w:lineRule="auto"/>
        <w:jc w:val="both"/>
        <w:rPr>
          <w:b/>
          <w:noProof/>
          <w:sz w:val="20"/>
          <w:szCs w:val="20"/>
        </w:rPr>
      </w:pPr>
      <w:r w:rsidRPr="0029272A">
        <w:rPr>
          <w:b/>
          <w:noProof/>
          <w:sz w:val="20"/>
          <w:szCs w:val="20"/>
        </w:rPr>
        <w:t>Slika 10.: Prijavljen domaći i međunarodni udio prihoda potrošen na klimatske promjene i energetiku, 2013.–2020., EU-27</w:t>
      </w:r>
    </w:p>
    <w:p w:rsidR="007446DD" w:rsidRPr="0029272A" w:rsidRDefault="007446DD" w:rsidP="00B7742C">
      <w:pPr>
        <w:spacing w:line="240" w:lineRule="auto"/>
        <w:jc w:val="both"/>
        <w:rPr>
          <w:b/>
          <w:noProof/>
          <w:sz w:val="20"/>
          <w:szCs w:val="20"/>
        </w:rPr>
      </w:pPr>
    </w:p>
    <w:p w:rsidR="002015D8" w:rsidRPr="0029272A" w:rsidRDefault="002015D8" w:rsidP="00B7742C">
      <w:pPr>
        <w:spacing w:before="0" w:after="120" w:line="240" w:lineRule="auto"/>
        <w:jc w:val="both"/>
        <w:rPr>
          <w:b/>
          <w:noProof/>
          <w:sz w:val="20"/>
          <w:szCs w:val="20"/>
        </w:rPr>
      </w:pPr>
      <w:r w:rsidRPr="0029272A">
        <w:rPr>
          <w:rFonts w:ascii="Times New Roman" w:hAnsi="Times New Roman"/>
          <w:noProof/>
          <w:sz w:val="24"/>
          <w:szCs w:val="24"/>
        </w:rPr>
        <w:t>Naposljetku, države članice potrošile su 2020.</w:t>
      </w:r>
      <w:r w:rsidRPr="0029272A">
        <w:rPr>
          <w:rStyle w:val="FootnoteReference"/>
          <w:rFonts w:ascii="Times New Roman" w:hAnsi="Times New Roman" w:cs="Times New Roman"/>
          <w:noProof/>
          <w:sz w:val="24"/>
          <w:szCs w:val="24"/>
        </w:rPr>
        <w:footnoteReference w:id="78"/>
      </w:r>
      <w:r w:rsidRPr="0029272A">
        <w:rPr>
          <w:rStyle w:val="Heading2Char"/>
          <w:szCs w:val="24"/>
        </w:rPr>
        <w:t xml:space="preserve"> </w:t>
      </w:r>
      <w:r w:rsidRPr="0029272A">
        <w:rPr>
          <w:rFonts w:ascii="Times New Roman" w:hAnsi="Times New Roman"/>
          <w:noProof/>
          <w:sz w:val="24"/>
          <w:szCs w:val="24"/>
        </w:rPr>
        <w:t xml:space="preserve">većinu svojih prijavljenih prihoda na izravnu potporu, tj. na ugradnju tehnologija za smanjenje emisija (npr. obnovljivi izvori energije). </w:t>
      </w:r>
    </w:p>
    <w:p w:rsidR="00113E38" w:rsidRPr="0029272A" w:rsidRDefault="00D12F6E">
      <w:pPr>
        <w:rPr>
          <w:b/>
          <w:noProof/>
          <w:sz w:val="20"/>
          <w:szCs w:val="20"/>
        </w:rPr>
      </w:pPr>
      <w:r w:rsidRPr="00D12F6E">
        <w:rPr>
          <w:noProof/>
          <w:lang w:val="en-GB" w:eastAsia="en-GB"/>
        </w:rPr>
        <w:drawing>
          <wp:inline distT="0" distB="0" distL="0" distR="0">
            <wp:extent cx="5731510" cy="3047653"/>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3047653"/>
                    </a:xfrm>
                    <a:prstGeom prst="rect">
                      <a:avLst/>
                    </a:prstGeom>
                    <a:noFill/>
                    <a:ln>
                      <a:noFill/>
                    </a:ln>
                  </pic:spPr>
                </pic:pic>
              </a:graphicData>
            </a:graphic>
          </wp:inline>
        </w:drawing>
      </w:r>
    </w:p>
    <w:p w:rsidR="0056125E" w:rsidRPr="0029272A" w:rsidRDefault="00113E38" w:rsidP="00B7742C">
      <w:pPr>
        <w:spacing w:line="240" w:lineRule="auto"/>
        <w:jc w:val="both"/>
        <w:rPr>
          <w:b/>
          <w:noProof/>
          <w:sz w:val="20"/>
          <w:szCs w:val="20"/>
        </w:rPr>
      </w:pPr>
      <w:r w:rsidRPr="0029272A">
        <w:rPr>
          <w:b/>
          <w:noProof/>
          <w:sz w:val="20"/>
          <w:szCs w:val="20"/>
        </w:rPr>
        <w:t>Slika 11.: Prijavljeni udio prema vrsti potpore potrošen na klimatske promjene i energetiku na domaćem području (uklj. planirano) 2020., EU-27</w:t>
      </w:r>
    </w:p>
    <w:p w:rsidR="007446DD" w:rsidRPr="0029272A" w:rsidRDefault="007446DD" w:rsidP="00B7742C">
      <w:pPr>
        <w:spacing w:line="240" w:lineRule="auto"/>
        <w:jc w:val="both"/>
        <w:rPr>
          <w:b/>
          <w:noProof/>
          <w:sz w:val="20"/>
          <w:szCs w:val="20"/>
        </w:rPr>
      </w:pPr>
    </w:p>
    <w:p w:rsidR="007446DD" w:rsidRPr="0029272A" w:rsidRDefault="007446DD" w:rsidP="00B7742C">
      <w:pPr>
        <w:spacing w:line="240" w:lineRule="auto"/>
        <w:jc w:val="both"/>
        <w:rPr>
          <w:b/>
          <w:noProof/>
          <w:sz w:val="20"/>
          <w:szCs w:val="20"/>
        </w:rPr>
      </w:pP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Program NER300</w:t>
      </w:r>
    </w:p>
    <w:p w:rsidR="00DF6261" w:rsidRPr="0029272A" w:rsidRDefault="00DF6261">
      <w:pPr>
        <w:spacing w:after="240" w:line="240" w:lineRule="auto"/>
        <w:ind w:right="57"/>
        <w:jc w:val="both"/>
        <w:rPr>
          <w:rFonts w:ascii="Times New Roman" w:hAnsi="Times New Roman" w:cs="Times New Roman"/>
          <w:noProof/>
          <w:color w:val="000000" w:themeColor="text1"/>
          <w:sz w:val="24"/>
          <w:szCs w:val="24"/>
        </w:rPr>
      </w:pPr>
      <w:r w:rsidRPr="0029272A">
        <w:rPr>
          <w:rFonts w:ascii="Times New Roman" w:hAnsi="Times New Roman"/>
          <w:noProof/>
          <w:color w:val="000000" w:themeColor="text1"/>
          <w:sz w:val="24"/>
          <w:szCs w:val="24"/>
        </w:rPr>
        <w:t xml:space="preserve">NER300 je opsežan program financiranja inovativnih demonstracijskih projekata proizvodnje energije s niskim emisijama ugljika u EU-u koji su povezani s tehnologijama za energiju iz obnovljivih izvora i ekološki sigurnim hvatanjem i skladištenjem ugljika na komercijalnoj razini. Program se financira iz monetizacije 300 milijuna emisijskih jedinica iz Rezerve za nove sudionike u okviru 3. faze ETS-a. </w:t>
      </w:r>
      <w:r w:rsidRPr="0029272A">
        <w:rPr>
          <w:rFonts w:ascii="Times New Roman" w:hAnsi="Times New Roman"/>
          <w:noProof/>
          <w:sz w:val="24"/>
          <w:szCs w:val="24"/>
        </w:rPr>
        <w:t xml:space="preserve">Sredstva u iznosu od 2,1 milijarde EUR dodijeljena su </w:t>
      </w:r>
      <w:r w:rsidRPr="0029272A">
        <w:rPr>
          <w:rFonts w:ascii="Times New Roman" w:hAnsi="Times New Roman"/>
          <w:noProof/>
          <w:color w:val="000000" w:themeColor="text1"/>
          <w:sz w:val="24"/>
          <w:szCs w:val="24"/>
        </w:rPr>
        <w:t xml:space="preserve">za ukupno 39 projekata </w:t>
      </w:r>
      <w:r w:rsidRPr="0029272A">
        <w:rPr>
          <w:rFonts w:ascii="Times New Roman" w:hAnsi="Times New Roman"/>
          <w:noProof/>
          <w:sz w:val="24"/>
          <w:szCs w:val="24"/>
        </w:rPr>
        <w:t xml:space="preserve">u 20 država članica. Projekti su u različitim fazama, ali 23 su povučena zbog poteškoća u prikupljanju dovoljno vlasničkog kapitala i/ili privlačenju dodatne financijske potpore. </w:t>
      </w:r>
    </w:p>
    <w:p w:rsidR="00DF6261" w:rsidRPr="0029272A" w:rsidRDefault="00DF6261">
      <w:pPr>
        <w:spacing w:after="240" w:line="240" w:lineRule="auto"/>
        <w:ind w:right="57"/>
        <w:jc w:val="both"/>
        <w:rPr>
          <w:rFonts w:ascii="Times New Roman" w:hAnsi="Times New Roman" w:cs="Times New Roman"/>
          <w:noProof/>
          <w:color w:val="000000" w:themeColor="text1"/>
          <w:sz w:val="24"/>
          <w:szCs w:val="24"/>
        </w:rPr>
      </w:pPr>
      <w:r w:rsidRPr="0029272A">
        <w:rPr>
          <w:rFonts w:ascii="Times New Roman" w:hAnsi="Times New Roman"/>
          <w:noProof/>
          <w:color w:val="000000" w:themeColor="text1"/>
          <w:sz w:val="24"/>
          <w:szCs w:val="24"/>
        </w:rPr>
        <w:t>Tim povlačenjima oslobodilo se gotovo 1,5 milijardi EUR. Izmijenjena Odluka o programu NER300 omogućila je ponovno ulaganje neiskorištenih sredstava u iznosu od 708,7 milijuna EUR u okviru postojećih financijskih instrumenata. Dosad su u okviru demonstracijskih projekata proizvodnje energije u sklopu inicijative InnovFin (InnovFin EDP) i dužničkog instrumenta u okviru Instrumenta za povezivanje Europe (CEF DI), kojima upravlja EIB, sredstva dodijeljena još trima inovativnim projektima za punjenje i skladištenje energije te proizvodnju i distribuciju vodika. Preostala neiskorištena sredstva prenijet će se u Inovacijski fond, u koji je već preneseno 746,6 milijuna EUR. To pokazuje da uspostavljeni mehanizam mješovitog financiranja dobro radi i da bi se neiskorištena sredstva u potpunosti mogla dodijeliti do kraja 2022.</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Inovacijski fond</w:t>
      </w:r>
    </w:p>
    <w:p w:rsidR="00DF6261" w:rsidRPr="0029272A" w:rsidRDefault="00DF6261">
      <w:pPr>
        <w:spacing w:after="240" w:line="240" w:lineRule="auto"/>
        <w:jc w:val="both"/>
        <w:rPr>
          <w:rFonts w:ascii="Times New Roman" w:hAnsi="Times New Roman" w:cs="Times New Roman"/>
          <w:noProof/>
          <w:color w:val="000000" w:themeColor="text1"/>
          <w:sz w:val="24"/>
          <w:szCs w:val="24"/>
        </w:rPr>
      </w:pPr>
      <w:r w:rsidRPr="0029272A">
        <w:rPr>
          <w:rFonts w:ascii="Times New Roman" w:hAnsi="Times New Roman"/>
          <w:noProof/>
          <w:color w:val="000000" w:themeColor="text1"/>
          <w:sz w:val="24"/>
          <w:szCs w:val="24"/>
        </w:rPr>
        <w:t xml:space="preserve">Fond se financira iz dražbovne prodaje 450 milijuna emisijskih jedinica od 2020. do 2030. i svih neiskorištenih sredstava iz programa NER300. Objedinjuje oko 25 milijardi EUR (po cijeni ugljika od 50 EUR po toni) do 2030. i jedan je od najvećih svjetskih programa za komercijalne demonstracije inovativnih tehnologija s niskim emisijama ugljika u industrijama koje troše mnogo energije, inovativnih obnovljivih izvora energije, skladištenja energije te hvatanja, upotrebe i skladištenja ugljika. </w:t>
      </w:r>
    </w:p>
    <w:p w:rsidR="00DF6261" w:rsidRPr="0029272A" w:rsidRDefault="00C043B2" w:rsidP="00B7742C">
      <w:pPr>
        <w:pStyle w:val="Heading2"/>
        <w:spacing w:before="120" w:after="240" w:line="240" w:lineRule="auto"/>
        <w:rPr>
          <w:b w:val="0"/>
          <w:i w:val="0"/>
          <w:noProof/>
        </w:rPr>
      </w:pPr>
      <w:r w:rsidRPr="0029272A">
        <w:rPr>
          <w:b w:val="0"/>
          <w:i w:val="0"/>
          <w:noProof/>
          <w:color w:val="000000" w:themeColor="text1"/>
        </w:rPr>
        <w:t xml:space="preserve">Prvi pozivi na podnošenje prijedloga 2020. privukli su veliku pozornost društava svih veličina i raznih sektora iz EU-27, Islanda i Norveške. Odabrana su 32 mala projekta i pozvana radi pripreme dodjele bespovratnih sredstava u ukupnom iznosu od 118 milijuna EUR. U okviru poziva za velike projekte za 66 </w:t>
      </w:r>
      <w:r w:rsidRPr="0029272A">
        <w:rPr>
          <w:b w:val="0"/>
          <w:i w:val="0"/>
          <w:noProof/>
        </w:rPr>
        <w:t xml:space="preserve">najbolje rangiranih projekata (od 311 podnesenog prijedloga) podneseni su cjeloviti prijedlozi u vrijednosti od 6 milijardi EUR (u odnosu na sredstva predviđena pozivom u iznosu od 1 milijarde EUR). Od tih velikih projekata odabrano je 15 projekata kako bi im se pružila pomoć za razvoj projekta (4 milijuna EUR). </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Fond za modernizaciju</w:t>
      </w:r>
    </w:p>
    <w:p w:rsidR="00DF6261"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Fond za modernizaciju, koji funkcionira od 2021., jedan je od ključnih instrumenata za financiranje potpore dekarbonizaciji u 10 država članica s nižim primanjima, uključujući pravednu tranziciju. Financira se iz dražbovne prodaje više od 640 milijuna emisijskih jedinica u okviru ETS-a (2020.–2030.), što uključuje dobrovoljne prijenose iz država članica korisnica, i objedinjuje oko 31 milijardu EUR (po cijeni ugljika od 50 EUR po toni) do 2030. </w:t>
      </w:r>
    </w:p>
    <w:p w:rsidR="00DF6261"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U prvom polugodišnjem ciklusu isplata financira se šest višegodišnjih programa u vrijednosti od 304 milijuna EUR u Češkoj, Mađarskoj i Poljskoj, koji su usmjereni na obnovljive izvore energije, energetsku učinkovitost, pametne električne mreže te na razvoj elektroenergetske mreže i energetskih zajednica. </w:t>
      </w:r>
    </w:p>
    <w:p w:rsidR="00DF6261" w:rsidRPr="0029272A" w:rsidRDefault="00DF6261" w:rsidP="00B7742C">
      <w:pPr>
        <w:spacing w:after="240" w:line="240" w:lineRule="auto"/>
        <w:jc w:val="both"/>
        <w:rPr>
          <w:noProof/>
          <w:szCs w:val="24"/>
        </w:rPr>
      </w:pPr>
      <w:bookmarkStart w:id="4" w:name="_Toc526502289"/>
      <w:bookmarkStart w:id="5" w:name="_Toc529975168"/>
      <w:r w:rsidRPr="0029272A">
        <w:rPr>
          <w:rFonts w:ascii="Times New Roman" w:hAnsi="Times New Roman"/>
          <w:b/>
          <w:i/>
          <w:noProof/>
          <w:sz w:val="24"/>
          <w:szCs w:val="24"/>
        </w:rPr>
        <w:t>Program LIFE</w:t>
      </w:r>
      <w:bookmarkEnd w:id="4"/>
      <w:bookmarkEnd w:id="5"/>
    </w:p>
    <w:p w:rsidR="00DF6261" w:rsidRPr="0029272A" w:rsidRDefault="00DF6261" w:rsidP="00DF6261">
      <w:pPr>
        <w:spacing w:after="240" w:line="240" w:lineRule="auto"/>
        <w:jc w:val="both"/>
        <w:rPr>
          <w:rFonts w:ascii="Times New Roman" w:hAnsi="Times New Roman" w:cs="Times New Roman"/>
          <w:noProof/>
          <w:color w:val="1F497D"/>
          <w:sz w:val="24"/>
          <w:szCs w:val="24"/>
        </w:rPr>
      </w:pPr>
      <w:r w:rsidRPr="0029272A">
        <w:rPr>
          <w:rFonts w:ascii="Times New Roman" w:hAnsi="Times New Roman"/>
          <w:noProof/>
          <w:sz w:val="24"/>
          <w:szCs w:val="24"/>
        </w:rPr>
        <w:t xml:space="preserve">Program LIFE </w:t>
      </w:r>
      <w:r w:rsidR="00E25E0F">
        <w:rPr>
          <w:rFonts w:ascii="Times New Roman" w:hAnsi="Times New Roman"/>
          <w:noProof/>
          <w:sz w:val="24"/>
          <w:szCs w:val="24"/>
        </w:rPr>
        <w:t xml:space="preserve">je </w:t>
      </w:r>
      <w:r w:rsidRPr="0029272A">
        <w:rPr>
          <w:rFonts w:ascii="Times New Roman" w:hAnsi="Times New Roman"/>
          <w:noProof/>
          <w:sz w:val="24"/>
          <w:szCs w:val="24"/>
        </w:rPr>
        <w:t>instrument EU-a za financiranje djelovanja u području zaštite okoliša i klime te sufinanciranje projekata s europskom dodanom vrijednošću. Proračun za razdoblje 2021.–2027. znatno je povećan na 5,43 milijarde EUR i raspodijeljen je na četiri potprograma:</w:t>
      </w:r>
    </w:p>
    <w:p w:rsidR="00DF6261" w:rsidRPr="0029272A" w:rsidRDefault="00D12F6E" w:rsidP="00B7742C">
      <w:pPr>
        <w:spacing w:after="120" w:line="240" w:lineRule="auto"/>
        <w:rPr>
          <w:rFonts w:ascii="Times New Roman" w:eastAsia="Times New Roman" w:hAnsi="Times New Roman" w:cs="Times New Roman"/>
          <w:noProof/>
          <w:sz w:val="24"/>
          <w:szCs w:val="24"/>
        </w:rPr>
      </w:pPr>
      <w:r w:rsidRPr="00D12F6E">
        <w:rPr>
          <w:noProof/>
          <w:lang w:val="en-GB" w:eastAsia="en-GB"/>
        </w:rPr>
        <w:drawing>
          <wp:inline distT="0" distB="0" distL="0" distR="0">
            <wp:extent cx="4579620" cy="26441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9620" cy="2644140"/>
                    </a:xfrm>
                    <a:prstGeom prst="rect">
                      <a:avLst/>
                    </a:prstGeom>
                    <a:noFill/>
                    <a:ln>
                      <a:noFill/>
                    </a:ln>
                  </pic:spPr>
                </pic:pic>
              </a:graphicData>
            </a:graphic>
          </wp:inline>
        </w:drawing>
      </w:r>
    </w:p>
    <w:p w:rsidR="00DF6261" w:rsidRPr="0029272A" w:rsidRDefault="00DF6261" w:rsidP="00DF6261">
      <w:pPr>
        <w:pStyle w:val="Caption"/>
        <w:spacing w:line="240" w:lineRule="auto"/>
        <w:jc w:val="both"/>
        <w:rPr>
          <w:noProof/>
        </w:rPr>
      </w:pPr>
      <w:r w:rsidRPr="0029272A">
        <w:rPr>
          <w:noProof/>
        </w:rPr>
        <w:t xml:space="preserve">Slika 12.: Dodjela proračunskih sredstava za LIFE 2021.–2027. (u milijardama EUR) </w:t>
      </w:r>
    </w:p>
    <w:p w:rsidR="00DF6261" w:rsidRPr="0029272A" w:rsidRDefault="00DF6261" w:rsidP="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Broj prijedloga podnesenih u okviru poziva na podnošenje prijedloga za LIFE 2020. za područje „Djelovanje u području klime” bio je znatno veći nego prethodnih godina. Osim toga, novi potprogram „Prijelaz na čistu energiju” izravno pomaže u ublažavanju klimatskih promjena, a većina projekata u okviru područja „Okoliš” također donosi povezane koristi za klimu.</w:t>
      </w:r>
    </w:p>
    <w:p w:rsidR="00DF6261" w:rsidRPr="0029272A" w:rsidRDefault="00DF6261" w:rsidP="00B7742C">
      <w:pPr>
        <w:spacing w:after="240" w:line="240" w:lineRule="auto"/>
        <w:jc w:val="both"/>
        <w:rPr>
          <w:noProof/>
          <w:szCs w:val="24"/>
        </w:rPr>
      </w:pPr>
      <w:r w:rsidRPr="0029272A">
        <w:rPr>
          <w:rFonts w:ascii="Times New Roman" w:hAnsi="Times New Roman"/>
          <w:b/>
          <w:i/>
          <w:noProof/>
          <w:sz w:val="24"/>
          <w:szCs w:val="24"/>
        </w:rPr>
        <w:t>Instrument za tehničku potporu (TSI)</w:t>
      </w:r>
    </w:p>
    <w:p w:rsidR="00DF6261" w:rsidRPr="0029272A" w:rsidRDefault="00DF6261" w:rsidP="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Prilagođena tehnička potpora za izradu i provedbu reformi u području klime i dalje se proširuje s obzirom na to da svaki treći projekt u okviru TSI-ja 2021. podupire europski zeleni plan. Neke države članice dobile su tehničku potporu za pripremu planova za oporavak i otpornost te više od 60 % projekata u okviru TSI-ja 2021. podupire njihovu provedbu, uključujući načelo „ne</w:t>
      </w:r>
      <w:r w:rsidR="00E25E0F">
        <w:rPr>
          <w:rFonts w:ascii="Times New Roman" w:hAnsi="Times New Roman"/>
          <w:noProof/>
          <w:sz w:val="24"/>
          <w:szCs w:val="24"/>
        </w:rPr>
        <w:t>nanošenja</w:t>
      </w:r>
      <w:r w:rsidRPr="0029272A">
        <w:rPr>
          <w:rFonts w:ascii="Times New Roman" w:hAnsi="Times New Roman"/>
          <w:noProof/>
          <w:sz w:val="24"/>
          <w:szCs w:val="24"/>
        </w:rPr>
        <w:t xml:space="preserve"> bitn</w:t>
      </w:r>
      <w:r w:rsidR="00E25E0F">
        <w:rPr>
          <w:rFonts w:ascii="Times New Roman" w:hAnsi="Times New Roman"/>
          <w:noProof/>
          <w:sz w:val="24"/>
          <w:szCs w:val="24"/>
        </w:rPr>
        <w:t>e</w:t>
      </w:r>
      <w:r w:rsidRPr="0029272A">
        <w:rPr>
          <w:rFonts w:ascii="Times New Roman" w:hAnsi="Times New Roman"/>
          <w:noProof/>
          <w:sz w:val="24"/>
          <w:szCs w:val="24"/>
        </w:rPr>
        <w:t xml:space="preserve"> štet</w:t>
      </w:r>
      <w:r w:rsidR="00E25E0F">
        <w:rPr>
          <w:rFonts w:ascii="Times New Roman" w:hAnsi="Times New Roman"/>
          <w:noProof/>
          <w:sz w:val="24"/>
          <w:szCs w:val="24"/>
        </w:rPr>
        <w:t>e</w:t>
      </w:r>
      <w:r w:rsidRPr="0029272A">
        <w:rPr>
          <w:rFonts w:ascii="Times New Roman" w:hAnsi="Times New Roman"/>
          <w:noProof/>
          <w:sz w:val="24"/>
          <w:szCs w:val="24"/>
        </w:rPr>
        <w:t xml:space="preserve">”, i/ili zelene komponente njihovih planova. Osposobljavanje o zelenom proračunu održano je 2021. i 17 država članica dobilo je potporu za pripremu svojih teritorijalnih planova za pravednu tranziciju. </w:t>
      </w:r>
    </w:p>
    <w:p w:rsidR="00671114" w:rsidRPr="0029272A" w:rsidRDefault="00671114">
      <w:pPr>
        <w:spacing w:before="0" w:after="200"/>
        <w:rPr>
          <w:rFonts w:ascii="Times New Roman" w:eastAsiaTheme="majorEastAsia" w:hAnsi="Times New Roman" w:cs="Times New Roman"/>
          <w:b/>
          <w:noProof/>
          <w:sz w:val="24"/>
          <w:szCs w:val="32"/>
        </w:rPr>
      </w:pPr>
      <w:r w:rsidRPr="0029272A">
        <w:rPr>
          <w:noProof/>
        </w:rPr>
        <w:br w:type="page"/>
      </w:r>
    </w:p>
    <w:p w:rsidR="00DF6261" w:rsidRPr="0029272A" w:rsidRDefault="00DF6261" w:rsidP="00DF6261">
      <w:pPr>
        <w:pStyle w:val="Heading1"/>
        <w:spacing w:before="0" w:after="240" w:line="240" w:lineRule="auto"/>
        <w:ind w:left="714" w:hanging="357"/>
        <w:jc w:val="both"/>
        <w:rPr>
          <w:noProof/>
        </w:rPr>
      </w:pPr>
      <w:r w:rsidRPr="0029272A">
        <w:rPr>
          <w:noProof/>
        </w:rPr>
        <w:t>MEĐUNARODNO DJELOVANJE U PODRUČJU KLIME</w:t>
      </w:r>
    </w:p>
    <w:p w:rsidR="003C5E2C" w:rsidRPr="0029272A" w:rsidRDefault="00DF6261"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EU je i dalje bio uzor drugima za postizanje klimatske neutralnosti i otpornosti na klimatske promjene do 2050. U skladu s Pariškim sporazumom EU je povećao svoj cilj za 2030. te je UNFCCC-u dostavio ažurirane nacionalno utvrđene doprinose. U provedbi Pariškog sporazuma EU surađuje s međunarodnim partnerima, potiče i pomaže u postizanju najviših mogućih ambicija te je pokazao solidarnost u otklanjanju učinaka klimatskih promjena. Nakon EU-a više od 50 drugih zemalja koje čine više od polovine svjetskog gospodarstva obvezalo se na nultu neto stopu emisija oko sredine stoljeća, uključujući Kinu, SAD i Japan. </w:t>
      </w:r>
      <w:r w:rsidR="00730DA4">
        <w:rPr>
          <w:rFonts w:ascii="Times New Roman" w:hAnsi="Times New Roman"/>
          <w:noProof/>
          <w:sz w:val="24"/>
          <w:szCs w:val="24"/>
        </w:rPr>
        <w:t xml:space="preserve">Zadnjih mjeseci </w:t>
      </w:r>
      <w:r w:rsidRPr="0029272A">
        <w:rPr>
          <w:rFonts w:ascii="Times New Roman" w:hAnsi="Times New Roman"/>
          <w:noProof/>
          <w:sz w:val="24"/>
          <w:szCs w:val="24"/>
        </w:rPr>
        <w:t xml:space="preserve">EU je započeo nove dijaloge o klimi s Indijom i SAD-om te je sklopio zeleni savez s Japanom. </w:t>
      </w:r>
    </w:p>
    <w:p w:rsidR="00DF6261" w:rsidRPr="0029272A" w:rsidRDefault="00497DF2">
      <w:pPr>
        <w:spacing w:after="240" w:line="240" w:lineRule="auto"/>
        <w:jc w:val="both"/>
        <w:rPr>
          <w:rFonts w:ascii="Times New Roman" w:hAnsi="Times New Roman" w:cs="Times New Roman"/>
          <w:b/>
          <w:i/>
          <w:noProof/>
          <w:sz w:val="24"/>
          <w:szCs w:val="24"/>
        </w:rPr>
      </w:pPr>
      <w:r w:rsidRPr="0029272A">
        <w:rPr>
          <w:rFonts w:ascii="Times New Roman" w:hAnsi="Times New Roman"/>
          <w:b/>
          <w:i/>
          <w:noProof/>
          <w:sz w:val="24"/>
          <w:szCs w:val="24"/>
        </w:rPr>
        <w:t xml:space="preserve">Zapadni Balkan i europsko susjedstvo </w:t>
      </w:r>
    </w:p>
    <w:p w:rsidR="00E93119" w:rsidRPr="0029272A" w:rsidRDefault="00E93119">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EU je nastavio podupirati izradu dugoročnih strategija te sustava za praćenje, izvješćivanje i verifikaciju radi poboljšanja upravljanja i mobilizacije resursa u pretpristupnim zemljama i zemljama susjedstva.</w:t>
      </w:r>
    </w:p>
    <w:p w:rsidR="00DF6261" w:rsidRPr="0029272A" w:rsidRDefault="00796F09">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Krajem 2020. čelnici zemalja zapadnog Balkana obvezali su se na klimatsku neutralnost do 2050. i smanjenje subvencija za fosilna goriva te podržali Gospodarski i investicijski plan u vrijednosti od 9 milijardi EUR. Ta se sredstva mogu iskoristiti za mobilizaciju 20 milijardi EUR u okviru novog instrumenta jamstva za zapadni Balkan. Energetska zajednica</w:t>
      </w:r>
      <w:r w:rsidRPr="0029272A">
        <w:rPr>
          <w:rStyle w:val="FootnoteReference"/>
          <w:rFonts w:ascii="Times New Roman" w:hAnsi="Times New Roman" w:cs="Times New Roman"/>
          <w:noProof/>
          <w:sz w:val="24"/>
          <w:szCs w:val="24"/>
        </w:rPr>
        <w:footnoteReference w:id="79"/>
      </w:r>
      <w:r w:rsidRPr="0029272A">
        <w:rPr>
          <w:rFonts w:ascii="Times New Roman" w:hAnsi="Times New Roman"/>
          <w:noProof/>
          <w:sz w:val="24"/>
          <w:szCs w:val="24"/>
        </w:rPr>
        <w:t xml:space="preserve"> intenzivnije je radila na donošenju energetskog i klimatskog okvira za 2030., plana dekarbonizacije i Uredbe o upravljanju</w:t>
      </w:r>
      <w:r w:rsidRPr="0029272A">
        <w:rPr>
          <w:rStyle w:val="FootnoteReference"/>
          <w:rFonts w:ascii="Times New Roman" w:hAnsi="Times New Roman" w:cs="Times New Roman"/>
          <w:noProof/>
          <w:sz w:val="24"/>
          <w:szCs w:val="24"/>
        </w:rPr>
        <w:footnoteReference w:id="80"/>
      </w:r>
      <w:r w:rsidRPr="0029272A">
        <w:rPr>
          <w:rFonts w:ascii="Times New Roman" w:hAnsi="Times New Roman"/>
          <w:noProof/>
          <w:sz w:val="24"/>
          <w:szCs w:val="24"/>
        </w:rPr>
        <w:t xml:space="preserve"> te Direktive o promicanju uporabe energije iz obnovljivih izvora i Direktive o energetskoj učinkovitosti. </w:t>
      </w:r>
    </w:p>
    <w:p w:rsidR="00497DF2" w:rsidRPr="0029272A" w:rsidRDefault="00497DF2">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 xml:space="preserve">Ostvaren je dobar napredak u dijalogu o klimatskim pitanjima u okviru Unije za Mediteran, posebno s Marokom i Jordanom. Zemlje Istočnog partnerstva potvrdile su svoju obvezu jačanja suradnje i donijele Gospodarski i investicijski plan 2021. Kako bi uskladila svoje politike i zakonodavstvo s europskim zelenim planom, Ukrajina je s EU-om otvorila dijalog o tome. EU je podupirao i ažuriranje nacionalno utvrđenih doprinosa za Moldovu, Gruziju i Armeniju u okviru regionalnog projekta EU4Climate. </w:t>
      </w:r>
    </w:p>
    <w:p w:rsidR="00CA0847" w:rsidRPr="0029272A" w:rsidRDefault="00CA0847" w:rsidP="00CA0847">
      <w:pPr>
        <w:spacing w:after="240" w:line="240" w:lineRule="auto"/>
        <w:jc w:val="both"/>
        <w:rPr>
          <w:rFonts w:ascii="Times New Roman" w:hAnsi="Times New Roman" w:cs="Times New Roman"/>
          <w:b/>
          <w:i/>
          <w:noProof/>
          <w:sz w:val="24"/>
          <w:szCs w:val="24"/>
        </w:rPr>
      </w:pPr>
      <w:r w:rsidRPr="0029272A">
        <w:rPr>
          <w:rFonts w:ascii="Times New Roman" w:hAnsi="Times New Roman"/>
          <w:b/>
          <w:i/>
          <w:noProof/>
          <w:sz w:val="24"/>
          <w:szCs w:val="24"/>
        </w:rPr>
        <w:t xml:space="preserve">Podupiranje zemalja u razvoju </w:t>
      </w:r>
    </w:p>
    <w:p w:rsidR="00E80B7E" w:rsidRPr="0029272A" w:rsidRDefault="00DF6261">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EU i njegovih 27 država članica najveći su svjetski pružatelj međunarodnih javnih financijskih sredstava za borbu protiv klimatskih promjena i znatno doprinose zajedničkom cilju razvijenih zemalja da osiguraju 100 milijardi USD godišnje za potporu djelovanju u području klime u zemljama u razvoju. Taj doprinos se više nego udvostručio od 2013. te je 2019. iznosio gotovo 22 milijarde EUR</w:t>
      </w:r>
      <w:r w:rsidRPr="0029272A">
        <w:rPr>
          <w:rStyle w:val="FootnoteReference"/>
          <w:rFonts w:ascii="Times New Roman" w:hAnsi="Times New Roman" w:cs="Times New Roman"/>
          <w:noProof/>
          <w:sz w:val="24"/>
          <w:szCs w:val="24"/>
        </w:rPr>
        <w:footnoteReference w:id="81"/>
      </w:r>
      <w:r w:rsidRPr="0029272A">
        <w:rPr>
          <w:noProof/>
        </w:rPr>
        <w:t>.</w:t>
      </w:r>
      <w:r w:rsidRPr="0029272A">
        <w:rPr>
          <w:rFonts w:ascii="Times New Roman" w:hAnsi="Times New Roman"/>
          <w:noProof/>
          <w:sz w:val="24"/>
          <w:szCs w:val="24"/>
        </w:rPr>
        <w:t xml:space="preserve"> Na primjer, inicijativa Globalni savez za borbu protiv klimatskih promjena plus (GCCA+) pomogla je u financiranju 80 projekata za otpornost na klimatske promjene i pripremu nacionalno utvrđenih doprinosa u Africi, Aziji te karipskoj i pacifičkoj regiji.</w:t>
      </w:r>
    </w:p>
    <w:p w:rsidR="002A3752" w:rsidRPr="0029272A" w:rsidRDefault="00DF6261"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Cilj je strategije EU-a za prilagodbu iz 2021. povećanje međunarodnog financiranja kako bi se izgradila otpornost na klimatske promjene i poticala razmjena dobre prakse i stručnog znanja te se pritom promicali podnacionalni, nacionalni i regionalni pristupi u partnerskim zemljama. Globalni instrument za tehničku pomoć pokrenut je 2020. radi poboljšanja nacionalno utvrđenih doprinosa, izrade i provedbe nacionalnih planova prilagodbe, zemljišnih politika i praksi, strategija za smanjenje rizika od katastrofa i strategija za razvoj s niskim emisijama ugljika / klimatski neutralan razvoj. EU je 2021. utvrdio mjere za daljnje uključivanje učinaka klimatskih promjena i okolišnih čimbenika u politiku i praksu humanitarne pomoći</w:t>
      </w:r>
      <w:r w:rsidRPr="0029272A">
        <w:rPr>
          <w:rStyle w:val="FootnoteReference"/>
          <w:rFonts w:ascii="Times New Roman" w:hAnsi="Times New Roman" w:cs="Times New Roman"/>
          <w:noProof/>
          <w:sz w:val="24"/>
          <w:szCs w:val="24"/>
        </w:rPr>
        <w:footnoteReference w:id="82"/>
      </w:r>
      <w:r w:rsidRPr="0029272A">
        <w:rPr>
          <w:rFonts w:ascii="Times New Roman" w:hAnsi="Times New Roman"/>
          <w:noProof/>
          <w:sz w:val="24"/>
          <w:szCs w:val="24"/>
        </w:rPr>
        <w:t>.</w:t>
      </w:r>
    </w:p>
    <w:p w:rsidR="00AD750F" w:rsidRPr="0029272A" w:rsidRDefault="00AD750F" w:rsidP="00B7742C">
      <w:pPr>
        <w:spacing w:after="240" w:line="240" w:lineRule="auto"/>
        <w:jc w:val="both"/>
        <w:rPr>
          <w:rFonts w:ascii="Times New Roman" w:hAnsi="Times New Roman" w:cs="Times New Roman"/>
          <w:noProof/>
          <w:sz w:val="24"/>
          <w:szCs w:val="24"/>
        </w:rPr>
      </w:pPr>
      <w:r w:rsidRPr="0029272A">
        <w:rPr>
          <w:rFonts w:ascii="Times New Roman" w:hAnsi="Times New Roman"/>
          <w:noProof/>
          <w:sz w:val="24"/>
          <w:szCs w:val="24"/>
        </w:rPr>
        <w:t>Konačno, očekuje se da će u razdoblju od 2021. do 2027. u okviru programa Globalna Europa izdvojiti oko 28 milijardi EUR za djelovanje u području klime objedinjavanjem svih programa vanjskog djelovanja EU-a u jedan financijski instrument. U tijeku je rad na programima na državnoj, regionalnoj i tematskoj razini</w:t>
      </w:r>
      <w:r w:rsidR="00CC1795">
        <w:rPr>
          <w:rFonts w:ascii="Times New Roman" w:hAnsi="Times New Roman"/>
          <w:noProof/>
          <w:sz w:val="24"/>
          <w:szCs w:val="24"/>
        </w:rPr>
        <w:t>,</w:t>
      </w:r>
      <w:r w:rsidRPr="0029272A">
        <w:rPr>
          <w:rFonts w:ascii="Times New Roman" w:hAnsi="Times New Roman"/>
          <w:noProof/>
          <w:sz w:val="24"/>
          <w:szCs w:val="24"/>
        </w:rPr>
        <w:t xml:space="preserve"> </w:t>
      </w:r>
      <w:r w:rsidR="00DC3505">
        <w:rPr>
          <w:rFonts w:ascii="Times New Roman" w:hAnsi="Times New Roman"/>
          <w:noProof/>
          <w:sz w:val="24"/>
          <w:szCs w:val="24"/>
        </w:rPr>
        <w:t>pri čemu</w:t>
      </w:r>
      <w:r w:rsidRPr="0029272A">
        <w:rPr>
          <w:rFonts w:ascii="Times New Roman" w:hAnsi="Times New Roman"/>
          <w:noProof/>
          <w:sz w:val="24"/>
          <w:szCs w:val="24"/>
        </w:rPr>
        <w:t xml:space="preserve"> se prioritet daje klimatskim promjenama, na primjer, u izgradnji mira i odgovoru na krizu. </w:t>
      </w:r>
    </w:p>
    <w:p w:rsidR="00FC06E6" w:rsidRPr="0029272A" w:rsidRDefault="00FC06E6" w:rsidP="00C043B2">
      <w:pPr>
        <w:spacing w:line="240" w:lineRule="auto"/>
        <w:jc w:val="both"/>
        <w:rPr>
          <w:noProof/>
        </w:rPr>
      </w:pPr>
    </w:p>
    <w:sectPr w:rsidR="00FC06E6" w:rsidRPr="0029272A" w:rsidSect="0028123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A7" w:rsidRDefault="002032A7" w:rsidP="00D8285A">
      <w:pPr>
        <w:spacing w:line="240" w:lineRule="auto"/>
      </w:pPr>
      <w:r>
        <w:separator/>
      </w:r>
    </w:p>
  </w:endnote>
  <w:endnote w:type="continuationSeparator" w:id="0">
    <w:p w:rsidR="002032A7" w:rsidRDefault="002032A7" w:rsidP="00D8285A">
      <w:pPr>
        <w:spacing w:line="240" w:lineRule="auto"/>
      </w:pPr>
      <w:r>
        <w:continuationSeparator/>
      </w:r>
    </w:p>
  </w:endnote>
  <w:endnote w:type="continuationNotice" w:id="1">
    <w:p w:rsidR="002032A7" w:rsidRDefault="002032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E3" w:rsidRPr="00DA14E3" w:rsidRDefault="00DA14E3" w:rsidP="00DA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A9" w:rsidRPr="00DA14E3" w:rsidRDefault="00DA14E3" w:rsidP="00DA14E3">
    <w:pPr>
      <w:pStyle w:val="FooterCoverPage"/>
      <w:rPr>
        <w:rFonts w:ascii="Arial" w:hAnsi="Arial" w:cs="Arial"/>
        <w:b/>
        <w:sz w:val="48"/>
      </w:rPr>
    </w:pPr>
    <w:r w:rsidRPr="00DA14E3">
      <w:rPr>
        <w:rFonts w:ascii="Arial" w:hAnsi="Arial" w:cs="Arial"/>
        <w:b/>
        <w:sz w:val="48"/>
      </w:rPr>
      <w:t>HR</w:t>
    </w:r>
    <w:r w:rsidRPr="00DA14E3">
      <w:rPr>
        <w:rFonts w:ascii="Arial" w:hAnsi="Arial" w:cs="Arial"/>
        <w:b/>
        <w:sz w:val="48"/>
      </w:rPr>
      <w:tab/>
    </w:r>
    <w:r w:rsidRPr="00DA14E3">
      <w:rPr>
        <w:rFonts w:ascii="Arial" w:hAnsi="Arial" w:cs="Arial"/>
        <w:b/>
        <w:sz w:val="48"/>
      </w:rPr>
      <w:tab/>
    </w:r>
    <w:r w:rsidRPr="00DA14E3">
      <w:tab/>
    </w:r>
    <w:r w:rsidRPr="00DA14E3">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E3" w:rsidRPr="00DA14E3" w:rsidRDefault="00DA14E3" w:rsidP="00DA14E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4AC" w:rsidRDefault="007544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513672"/>
      <w:docPartObj>
        <w:docPartGallery w:val="Page Numbers (Bottom of Page)"/>
        <w:docPartUnique/>
      </w:docPartObj>
    </w:sdtPr>
    <w:sdtEndPr/>
    <w:sdtContent>
      <w:p w:rsidR="007544AC" w:rsidRDefault="007544AC">
        <w:pPr>
          <w:pStyle w:val="Footer"/>
          <w:jc w:val="center"/>
        </w:pPr>
        <w:r>
          <w:fldChar w:fldCharType="begin"/>
        </w:r>
        <w:r>
          <w:instrText xml:space="preserve"> PAGE   \* MERGEFORMAT </w:instrText>
        </w:r>
        <w:r>
          <w:fldChar w:fldCharType="separate"/>
        </w:r>
        <w:r w:rsidR="00DA14E3">
          <w:rPr>
            <w:noProof/>
          </w:rPr>
          <w:t>1</w:t>
        </w:r>
        <w:r>
          <w:fldChar w:fldCharType="end"/>
        </w:r>
      </w:p>
    </w:sdtContent>
  </w:sdt>
  <w:p w:rsidR="007544AC" w:rsidRDefault="007544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4AC" w:rsidRDefault="00754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A7" w:rsidRDefault="002032A7" w:rsidP="00D8285A">
      <w:pPr>
        <w:spacing w:line="240" w:lineRule="auto"/>
      </w:pPr>
      <w:r>
        <w:separator/>
      </w:r>
    </w:p>
  </w:footnote>
  <w:footnote w:type="continuationSeparator" w:id="0">
    <w:p w:rsidR="002032A7" w:rsidRDefault="002032A7" w:rsidP="00D8285A">
      <w:pPr>
        <w:spacing w:line="240" w:lineRule="auto"/>
      </w:pPr>
      <w:r>
        <w:continuationSeparator/>
      </w:r>
    </w:p>
  </w:footnote>
  <w:footnote w:type="continuationNotice" w:id="1">
    <w:p w:rsidR="002032A7" w:rsidRDefault="002032A7">
      <w:pPr>
        <w:spacing w:line="240" w:lineRule="auto"/>
      </w:pPr>
    </w:p>
  </w:footnote>
  <w:footnote w:id="2">
    <w:p w:rsidR="007544AC" w:rsidRPr="00F24281" w:rsidRDefault="007544AC" w:rsidP="00480B80">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Svi odlazni letovi iz zračnih luka u EU-u.</w:t>
      </w:r>
    </w:p>
  </w:footnote>
  <w:footnote w:id="3">
    <w:p w:rsidR="007544AC" w:rsidRPr="00F24281" w:rsidRDefault="007544AC" w:rsidP="00480B80">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Style w:val="FootnoteReference"/>
          <w:rFonts w:ascii="Times New Roman" w:hAnsi="Times New Roman"/>
          <w:noProof/>
          <w:sz w:val="18"/>
          <w:szCs w:val="18"/>
        </w:rPr>
        <w:t xml:space="preserve"> </w:t>
      </w:r>
      <w:r>
        <w:rPr>
          <w:rFonts w:ascii="Times New Roman" w:hAnsi="Times New Roman"/>
          <w:noProof/>
          <w:sz w:val="18"/>
          <w:szCs w:val="18"/>
        </w:rPr>
        <w:t>Usklađeni inventar emisija stakleničkih plinova u EU-u na temelju podnesaka država članica. Podaci koji nedostaju za BG dopunjeni su na temelju podataka iz Dnevnika transakcija Europske unije (EUTL), Eurostata, Eurocontrola, predviđanja za 2021. i podataka iz prethodnih godina.</w:t>
      </w:r>
    </w:p>
  </w:footnote>
  <w:footnote w:id="4">
    <w:p w:rsidR="007544AC" w:rsidRPr="00787BC5" w:rsidRDefault="007544AC">
      <w:pPr>
        <w:pStyle w:val="End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Podaci koji nedostaju za LULUCF za DK, EE, HR, HU, LV i SI dopunjeni su na temelju predviđanja država članica za 2021. </w:t>
      </w:r>
    </w:p>
  </w:footnote>
  <w:footnote w:id="5">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Uz svoj cilj na temelju UNFCCC-a, zajedno s Islandom i Ujedinjenom Kraljevinom EU-27 preuzeo je i obvezu smanjenja emisija u drugom obvezujućem razdoblju Kyotskog protokola (2013.–2020.). Cilj je smanjiti emisije za 20 %. Pojedinosti vidjeti u radnom dokumentu službi Komisije (SWD).</w:t>
      </w:r>
    </w:p>
  </w:footnote>
  <w:footnote w:id="6">
    <w:p w:rsidR="007544AC" w:rsidRPr="00F24281" w:rsidRDefault="007544AC">
      <w:pPr>
        <w:pStyle w:val="End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Omjer se navodi kao primjer; statistički nije precizan s obzirom na to da BDP (nacionalno računovodstvo) i emisije (područje) imaju različita područja primjene.</w:t>
      </w:r>
    </w:p>
  </w:footnote>
  <w:footnote w:id="7">
    <w:p w:rsidR="007544AC" w:rsidRPr="006520D9" w:rsidRDefault="007544AC">
      <w:pPr>
        <w:pStyle w:val="FootnoteText"/>
        <w:spacing w:before="0"/>
        <w:jc w:val="both"/>
        <w:rPr>
          <w:rFonts w:ascii="Times New Roman" w:hAnsi="Times New Roman" w:cs="Times New Roman"/>
          <w:noProof/>
          <w:sz w:val="18"/>
          <w:szCs w:val="18"/>
          <w:shd w:val="clear" w:color="auto" w:fill="FFFFFF"/>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Fonts w:ascii="Times New Roman" w:hAnsi="Times New Roman"/>
          <w:noProof/>
          <w:sz w:val="18"/>
          <w:szCs w:val="18"/>
          <w:shd w:val="clear" w:color="auto" w:fill="FFFFFF"/>
        </w:rPr>
        <w:t>COM(2019) 640 final.</w:t>
      </w:r>
    </w:p>
  </w:footnote>
  <w:footnote w:id="8">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Fonts w:ascii="Times New Roman" w:hAnsi="Times New Roman"/>
          <w:noProof/>
          <w:sz w:val="18"/>
          <w:szCs w:val="18"/>
          <w:shd w:val="clear" w:color="auto" w:fill="FFFFFF"/>
        </w:rPr>
        <w:t>Međunarodna organizacija civilnog zrakoplovstva (ICAO), C-WP/15209, svibanj 2021.</w:t>
      </w:r>
    </w:p>
  </w:footnote>
  <w:footnote w:id="9">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Fonts w:ascii="Times New Roman" w:hAnsi="Times New Roman"/>
          <w:noProof/>
          <w:sz w:val="18"/>
          <w:szCs w:val="18"/>
          <w:shd w:val="clear" w:color="auto" w:fill="FFFFFF"/>
        </w:rPr>
        <w:t>SWD(2020) 277 final.</w:t>
      </w:r>
    </w:p>
  </w:footnote>
  <w:footnote w:id="10">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2015/757.</w:t>
      </w:r>
    </w:p>
  </w:footnote>
  <w:footnote w:id="11">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Preliminarne procjene na temelju podataka iz sustava THETIS-MRV.</w:t>
      </w:r>
    </w:p>
  </w:footnote>
  <w:footnote w:id="12">
    <w:p w:rsidR="007544AC" w:rsidRPr="00787BC5"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Fonts w:ascii="Times New Roman" w:hAnsi="Times New Roman"/>
          <w:noProof/>
          <w:sz w:val="18"/>
          <w:szCs w:val="18"/>
          <w:shd w:val="clear" w:color="auto" w:fill="FFFFFF"/>
        </w:rPr>
        <w:t>Međuvladin panel o klimatskim promjenama (IPCC), prvi dio Šestog izvješća o procjeni, 2021.</w:t>
      </w:r>
    </w:p>
  </w:footnote>
  <w:footnote w:id="13">
    <w:p w:rsidR="007544AC" w:rsidRPr="006702FB" w:rsidRDefault="007544AC">
      <w:pPr>
        <w:spacing w:before="0" w:line="240" w:lineRule="auto"/>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Style w:val="FootnoteReference"/>
          <w:rFonts w:ascii="Times New Roman" w:hAnsi="Times New Roman"/>
          <w:noProof/>
          <w:sz w:val="18"/>
          <w:szCs w:val="18"/>
        </w:rPr>
        <w:t xml:space="preserve"> </w:t>
      </w:r>
      <w:r>
        <w:rPr>
          <w:rFonts w:ascii="Times New Roman" w:hAnsi="Times New Roman"/>
          <w:noProof/>
          <w:sz w:val="18"/>
          <w:szCs w:val="18"/>
        </w:rPr>
        <w:t>1. Povijesne emisije stakleničkih plinova i uklanjanja (1990.–2020.) temelje se na inventaru stakleničkih plinova Europske agencije za okoliš za 2021. 2. Predviđene emisije i uklanjanja (2021.–2050.) temelje se na referentnom scenariju EU-a za 2020. („referentna vrijednost”; sive crte) i scenariju politike MIX (narančaste crte) kojim se podupiru inicijative politike „ostvarivanja europskog zelenog plana”. 3. U izračunu emisija stakleničkih plinova i njihovih predviđanja upotrebljavaju se potencijali globalnog zagrijavanja iz Četvrtog izvješća o procjeni (AR4) Međuvladina panela o klimatskim promjenama kako bi se emisije koje ne sadržavaju CO</w:t>
      </w:r>
      <w:r>
        <w:rPr>
          <w:rFonts w:ascii="Times New Roman" w:hAnsi="Times New Roman"/>
          <w:noProof/>
          <w:sz w:val="18"/>
          <w:szCs w:val="18"/>
          <w:vertAlign w:val="subscript"/>
        </w:rPr>
        <w:t>2</w:t>
      </w:r>
      <w:r>
        <w:rPr>
          <w:rFonts w:ascii="Times New Roman" w:hAnsi="Times New Roman"/>
          <w:noProof/>
          <w:sz w:val="18"/>
          <w:szCs w:val="18"/>
        </w:rPr>
        <w:t xml:space="preserve"> pretvorile u emisije ekvivalenta CO</w:t>
      </w:r>
      <w:r>
        <w:rPr>
          <w:rFonts w:ascii="Times New Roman" w:hAnsi="Times New Roman"/>
          <w:noProof/>
          <w:sz w:val="18"/>
          <w:szCs w:val="18"/>
          <w:vertAlign w:val="subscript"/>
        </w:rPr>
        <w:t>2</w:t>
      </w:r>
      <w:r>
        <w:rPr>
          <w:rFonts w:ascii="Times New Roman" w:hAnsi="Times New Roman"/>
          <w:noProof/>
          <w:sz w:val="18"/>
          <w:szCs w:val="18"/>
        </w:rPr>
        <w:t>. 4. Cilj za 2030. (Europski zakon o klimi)</w:t>
      </w:r>
      <w:r>
        <w:rPr>
          <w:rFonts w:ascii="Times New Roman" w:hAnsi="Times New Roman"/>
          <w:sz w:val="18"/>
          <w:szCs w:val="18"/>
        </w:rPr>
        <w:t xml:space="preserve"> </w:t>
      </w:r>
      <w:r>
        <w:rPr>
          <w:rFonts w:ascii="Times New Roman" w:hAnsi="Times New Roman"/>
          <w:noProof/>
          <w:sz w:val="18"/>
          <w:szCs w:val="18"/>
        </w:rPr>
        <w:t>glasi: „[smanjiti] neto emisije stakleničkih plinova, odnosno emisije nakon što se odbiju uklanjanja, u cijelom gospodarstvu i unutar Unije […] za najmanje 55 % u usporedbi s razinama iz 1990.”. Radi usporedbe, točka za „cilj za 2030.” prikazana je na –55 % razine neto emisija stakleničkih plinova iz 1990.</w:t>
      </w:r>
    </w:p>
  </w:footnote>
  <w:footnote w:id="14">
    <w:p w:rsidR="007544AC" w:rsidRPr="00787BC5"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shd w:val="clear" w:color="auto" w:fill="FFFFFF"/>
        </w:rPr>
        <w:t xml:space="preserve"> COM(2020) 562 i SWD(2020) 176 final.</w:t>
      </w:r>
    </w:p>
  </w:footnote>
  <w:footnote w:id="15">
    <w:p w:rsidR="007544AC" w:rsidRPr="006702FB"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sidR="00D967D3" w:rsidRPr="00D967D3">
        <w:rPr>
          <w:rFonts w:ascii="Times New Roman" w:hAnsi="Times New Roman"/>
          <w:noProof/>
          <w:sz w:val="18"/>
          <w:szCs w:val="18"/>
        </w:rPr>
        <w:t>AT, BE, CZ, DE, DK, EE, EL, ES, FI, FR, HR, HU, IT, LV, LT, NL, PT, SE, SI, SK</w:t>
      </w:r>
      <w:r>
        <w:rPr>
          <w:rFonts w:ascii="Times New Roman" w:hAnsi="Times New Roman"/>
          <w:noProof/>
          <w:sz w:val="18"/>
          <w:szCs w:val="18"/>
        </w:rPr>
        <w:t>. Sažeta tablica o procjeni nalazi se u radnom dokumentu službi (SWD). Litva je u srpnju 2021. dostavila ažuriranu dugoročnu strategiju. Mađarska je u rujnu 2021. donijela konačnu nacionalnu dugoročnu strategiju u kojoj je potvrdila cilj postizanja klimatske neutralnosti do 2050. Strategiju još nije službeno dostavila Komisiji. Luksemburška vlada donijela je u srpnju 2021. nacrt nacionalne dugoročne strategije. Prije njezina konačnog donošenja provest će se javno savjetovanje.</w:t>
      </w:r>
    </w:p>
  </w:footnote>
  <w:footnote w:id="16">
    <w:p w:rsidR="007544AC" w:rsidRPr="004234D7" w:rsidRDefault="007544AC">
      <w:pPr>
        <w:pStyle w:val="Char1"/>
        <w:spacing w:before="0" w:after="0" w:line="240" w:lineRule="auto"/>
        <w:rPr>
          <w:rStyle w:val="FootnoteReference"/>
          <w:rFonts w:ascii="Times New Roman" w:hAnsi="Times New Roman" w:cs="Times New Roman"/>
          <w:noProof/>
          <w:sz w:val="18"/>
          <w:szCs w:val="18"/>
          <w:vertAlign w:val="baseline"/>
        </w:rPr>
      </w:pPr>
      <w:r>
        <w:rPr>
          <w:rStyle w:val="FootnoteReference"/>
          <w:rFonts w:ascii="Times New Roman" w:hAnsi="Times New Roman" w:cs="Times New Roman"/>
          <w:noProof/>
          <w:sz w:val="18"/>
          <w:szCs w:val="18"/>
        </w:rPr>
        <w:footnoteRef/>
      </w:r>
      <w:r>
        <w:rPr>
          <w:noProof/>
        </w:rPr>
        <w:t xml:space="preserve"> </w:t>
      </w:r>
      <w:r w:rsidRPr="004234D7">
        <w:rPr>
          <w:rFonts w:ascii="Times New Roman" w:hAnsi="Times New Roman"/>
          <w:noProof/>
          <w:sz w:val="18"/>
          <w:szCs w:val="18"/>
          <w:vertAlign w:val="baseline"/>
        </w:rPr>
        <w:t xml:space="preserve">U skladu s člankom 15. </w:t>
      </w:r>
      <w:r w:rsidRPr="004234D7">
        <w:rPr>
          <w:rStyle w:val="FootnoteReference"/>
          <w:rFonts w:ascii="Times New Roman" w:hAnsi="Times New Roman"/>
          <w:noProof/>
          <w:sz w:val="18"/>
          <w:szCs w:val="18"/>
          <w:vertAlign w:val="baseline"/>
        </w:rPr>
        <w:t>Uredbe (EU) 2018/1999</w:t>
      </w:r>
      <w:r w:rsidRPr="004234D7">
        <w:rPr>
          <w:rFonts w:ascii="Times New Roman" w:hAnsi="Times New Roman"/>
          <w:noProof/>
          <w:sz w:val="18"/>
          <w:szCs w:val="18"/>
          <w:vertAlign w:val="baseline"/>
        </w:rPr>
        <w:t xml:space="preserve"> u kojem se navodi da bi države članice trebale dostaviti svoje dugoročne strategije do siječnja 2020.</w:t>
      </w:r>
    </w:p>
  </w:footnote>
  <w:footnote w:id="17">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Fonts w:ascii="Times New Roman" w:hAnsi="Times New Roman"/>
          <w:noProof/>
          <w:sz w:val="18"/>
          <w:szCs w:val="18"/>
          <w:shd w:val="clear" w:color="auto" w:fill="FFFFFF"/>
        </w:rPr>
        <w:t>Uredba (EU) 2021/1119.</w:t>
      </w:r>
      <w:r>
        <w:rPr>
          <w:noProof/>
        </w:rPr>
        <w:tab/>
      </w:r>
    </w:p>
  </w:footnote>
  <w:footnote w:id="18">
    <w:p w:rsidR="007544AC" w:rsidRPr="00787BC5"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COM(2021) 550 final. Više pojedinosti vidjeti u radnom dokumentu službi Kom</w:t>
      </w:r>
      <w:r w:rsidR="0029272A">
        <w:rPr>
          <w:rFonts w:ascii="Times New Roman" w:hAnsi="Times New Roman"/>
          <w:noProof/>
          <w:sz w:val="18"/>
          <w:szCs w:val="18"/>
        </w:rPr>
        <w:t>i</w:t>
      </w:r>
      <w:r>
        <w:rPr>
          <w:rFonts w:ascii="Times New Roman" w:hAnsi="Times New Roman"/>
          <w:noProof/>
          <w:sz w:val="18"/>
          <w:szCs w:val="18"/>
        </w:rPr>
        <w:t>sije (SWD).</w:t>
      </w:r>
    </w:p>
  </w:footnote>
  <w:footnote w:id="19">
    <w:p w:rsidR="007544AC" w:rsidRPr="00197B70"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COM(2021) 572 final.</w:t>
      </w:r>
    </w:p>
  </w:footnote>
  <w:footnote w:id="20">
    <w:p w:rsidR="007544AC" w:rsidRPr="00197B70"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COM(2021) 82 final.</w:t>
      </w:r>
    </w:p>
  </w:footnote>
  <w:footnote w:id="21">
    <w:p w:rsidR="00197B70" w:rsidRPr="00B7742C" w:rsidRDefault="00197B70" w:rsidP="00B7742C">
      <w:pPr>
        <w:pStyle w:val="FootnoteText"/>
        <w:spacing w:before="0"/>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hyperlink r:id="rId1" w:history="1">
        <w:r>
          <w:rPr>
            <w:rStyle w:val="Hyperlink"/>
            <w:rFonts w:ascii="Times New Roman" w:hAnsi="Times New Roman"/>
            <w:noProof/>
            <w:sz w:val="18"/>
            <w:szCs w:val="18"/>
          </w:rPr>
          <w:t>https://unfccc.int/documents/307266</w:t>
        </w:r>
      </w:hyperlink>
      <w:r>
        <w:rPr>
          <w:rFonts w:ascii="Times New Roman" w:hAnsi="Times New Roman"/>
          <w:noProof/>
          <w:sz w:val="18"/>
          <w:szCs w:val="18"/>
        </w:rPr>
        <w:t xml:space="preserve"> </w:t>
      </w:r>
    </w:p>
  </w:footnote>
  <w:footnote w:id="22">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COM(2020) 456 final.</w:t>
      </w:r>
    </w:p>
  </w:footnote>
  <w:footnote w:id="23">
    <w:p w:rsidR="007544AC" w:rsidRPr="00197B70"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SWD(2021) 621 final. </w:t>
      </w:r>
    </w:p>
  </w:footnote>
  <w:footnote w:id="24">
    <w:p w:rsidR="007544AC" w:rsidRPr="00A933D3" w:rsidRDefault="007544AC" w:rsidP="00B7742C">
      <w:pPr>
        <w:pStyle w:val="FootnoteText"/>
        <w:spacing w:before="0"/>
        <w:rPr>
          <w:noProof/>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Te procjene ne uključuju ulaganja kao što su prekvalifikacija i usavršavanje radne snage; potporu promjenama na tržištu rada i restrukturiranju te izravne prihode ugroženim kućanstvima.</w:t>
      </w:r>
    </w:p>
  </w:footnote>
  <w:footnote w:id="25">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shd w:val="clear" w:color="auto" w:fill="FFFFFF"/>
        </w:rPr>
        <w:t>„Održivo financiranje” odnosi na postupak uzimanja u obzir klimatskih, okolišnih i socijalnih aspekata u odlukama o ulaganju, što dovodi do većeg ulaganja u dugoročnije i održive djelatnosti.</w:t>
      </w:r>
    </w:p>
  </w:footnote>
  <w:footnote w:id="26">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SWD(2021) 180 final.</w:t>
      </w:r>
    </w:p>
  </w:footnote>
  <w:footnote w:id="27">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2020/852.</w:t>
      </w:r>
    </w:p>
  </w:footnote>
  <w:footnote w:id="28">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Style w:val="FootnoteReference"/>
          <w:rFonts w:ascii="Times New Roman" w:hAnsi="Times New Roman"/>
          <w:noProof/>
          <w:sz w:val="18"/>
          <w:szCs w:val="18"/>
        </w:rPr>
        <w:t xml:space="preserve"> </w:t>
      </w:r>
      <w:r>
        <w:rPr>
          <w:rFonts w:ascii="Times New Roman" w:hAnsi="Times New Roman"/>
          <w:noProof/>
          <w:sz w:val="18"/>
          <w:szCs w:val="18"/>
        </w:rPr>
        <w:t>Delegirana uredba Komisije o dopuni Uredbe (EU) 2020/852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(C/2021/2800 final).</w:t>
      </w:r>
    </w:p>
  </w:footnote>
  <w:footnote w:id="29">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Izvješće propisano člankom 26. stavkom 2. Uredbe o taksonomiji.</w:t>
      </w:r>
    </w:p>
  </w:footnote>
  <w:footnote w:id="30">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Ona objedinjuje 17 zemalja na koje se odnosi više od 55 % svjetskih emisija stakleničkih plinova.</w:t>
      </w:r>
    </w:p>
  </w:footnote>
  <w:footnote w:id="31">
    <w:p w:rsidR="007544AC" w:rsidRPr="00F24281" w:rsidRDefault="007544AC">
      <w:pPr>
        <w:pStyle w:val="NormalWeb"/>
        <w:shd w:val="clear" w:color="auto" w:fill="FFFFFF" w:themeFill="background1"/>
        <w:spacing w:before="0" w:beforeAutospacing="0" w:after="0" w:afterAutospacing="0"/>
        <w:jc w:val="both"/>
        <w:rPr>
          <w:noProof/>
          <w:sz w:val="18"/>
          <w:szCs w:val="18"/>
        </w:rPr>
      </w:pPr>
      <w:r>
        <w:rPr>
          <w:rStyle w:val="FootnoteReference"/>
          <w:noProof/>
          <w:sz w:val="18"/>
          <w:szCs w:val="18"/>
        </w:rPr>
        <w:footnoteRef/>
      </w:r>
      <w:r>
        <w:rPr>
          <w:noProof/>
          <w:sz w:val="18"/>
          <w:szCs w:val="18"/>
        </w:rPr>
        <w:t xml:space="preserve"> COM(2021) 189 final.</w:t>
      </w:r>
    </w:p>
  </w:footnote>
  <w:footnote w:id="32">
    <w:p w:rsidR="007544AC" w:rsidRPr="00F24281" w:rsidRDefault="007544AC">
      <w:pPr>
        <w:spacing w:before="0" w:line="240" w:lineRule="auto"/>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2021/241.</w:t>
      </w:r>
    </w:p>
  </w:footnote>
  <w:footnote w:id="33">
    <w:p w:rsidR="007544AC" w:rsidRPr="00F24281" w:rsidRDefault="007544AC" w:rsidP="0025227B">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Style w:val="FootnoteReference"/>
          <w:noProof/>
        </w:rPr>
        <w:t xml:space="preserve"> </w:t>
      </w:r>
      <w:r>
        <w:rPr>
          <w:rFonts w:ascii="Times New Roman" w:hAnsi="Times New Roman"/>
          <w:noProof/>
          <w:sz w:val="18"/>
          <w:szCs w:val="18"/>
        </w:rPr>
        <w:t xml:space="preserve"> Na primjer, nisu dopuštena ulaganja u fosilna goriva i infrastrukturu, ulaganja u nove ceste ili spaljivanje otpada.</w:t>
      </w:r>
      <w:r>
        <w:rPr>
          <w:rFonts w:ascii="Times New Roman" w:hAnsi="Times New Roman"/>
          <w:noProof/>
          <w:color w:val="000000"/>
          <w:sz w:val="18"/>
          <w:szCs w:val="18"/>
        </w:rPr>
        <w:t xml:space="preserve"> </w:t>
      </w:r>
    </w:p>
  </w:footnote>
  <w:footnote w:id="34">
    <w:p w:rsidR="0025227B" w:rsidRDefault="007544AC" w:rsidP="0025227B">
      <w:pPr>
        <w:pStyle w:val="FootnoteText"/>
        <w:spacing w:before="0"/>
        <w:jc w:val="both"/>
        <w:rPr>
          <w:rFonts w:ascii="Calibri" w:hAnsi="Calibri" w:cs="Calibri"/>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Rashodi prijavljeni za Mehanizam za oporavak i otpornost su Komisijine procjene koje se temelje na podacima o praćenju klime objavljenima u okviru Komisijinih analiza planova za oporavak i otpornost. Dostavljeni podaci obuhvaćaju 22 nacionalna plana za oporavak i otpornost koje je Komisija ocijenila i odobrila do 5. listopada, a kako se planovi budu ocjenjivali, tako će iznos rasti.</w:t>
      </w:r>
    </w:p>
    <w:p w:rsidR="007544AC" w:rsidRPr="00B7742C" w:rsidRDefault="007544AC">
      <w:pPr>
        <w:pStyle w:val="FootnoteText"/>
        <w:spacing w:before="0"/>
        <w:rPr>
          <w:rFonts w:ascii="Times New Roman" w:hAnsi="Times New Roman" w:cs="Times New Roman"/>
          <w:sz w:val="18"/>
          <w:szCs w:val="18"/>
        </w:rPr>
      </w:pPr>
    </w:p>
  </w:footnote>
  <w:footnote w:id="35">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shd w:val="clear" w:color="auto" w:fill="FFFFFF"/>
        </w:rPr>
        <w:t>Pregled</w:t>
      </w:r>
      <w:r>
        <w:rPr>
          <w:noProof/>
        </w:rPr>
        <w:t xml:space="preserve"> </w:t>
      </w:r>
      <w:hyperlink r:id="rId2" w:history="1">
        <w:r>
          <w:rPr>
            <w:rFonts w:ascii="Times New Roman" w:hAnsi="Times New Roman"/>
            <w:noProof/>
            <w:sz w:val="18"/>
            <w:szCs w:val="18"/>
            <w:shd w:val="clear" w:color="auto" w:fill="FFFFFF"/>
          </w:rPr>
          <w:t>razvoja u zapošljavanju i socijalnoj politici 2020.</w:t>
        </w:r>
      </w:hyperlink>
    </w:p>
  </w:footnote>
  <w:footnote w:id="36">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hyperlink r:id="rId3" w:anchor=":~:text=The%20Just%20Transition%20Platform%20aims%20to%20assist%20EU,support%20and%20knowledge%20related%20to%20the%20just%20transition." w:history="1">
        <w:r>
          <w:rPr>
            <w:rStyle w:val="Hyperlink"/>
            <w:rFonts w:ascii="Times New Roman" w:hAnsi="Times New Roman"/>
            <w:noProof/>
            <w:sz w:val="18"/>
            <w:szCs w:val="18"/>
          </w:rPr>
          <w:t>https://ec.europa.eu/info/strategy/priorities-2019-2024/european-green-deal/finance-and-green-deal/just-transition-mechanism/just-transition-platform_hr</w:t>
        </w:r>
      </w:hyperlink>
    </w:p>
  </w:footnote>
  <w:footnote w:id="37">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hyperlink r:id="rId4" w:history="1">
        <w:r>
          <w:rPr>
            <w:rStyle w:val="Hyperlink"/>
            <w:rFonts w:ascii="Times New Roman" w:hAnsi="Times New Roman"/>
            <w:noProof/>
            <w:sz w:val="18"/>
            <w:szCs w:val="18"/>
          </w:rPr>
          <w:t>https://europa.eu/climate-pact/index_en</w:t>
        </w:r>
      </w:hyperlink>
      <w:r>
        <w:rPr>
          <w:rFonts w:ascii="Times New Roman" w:hAnsi="Times New Roman"/>
          <w:noProof/>
          <w:sz w:val="18"/>
          <w:szCs w:val="18"/>
        </w:rPr>
        <w:t xml:space="preserve"> </w:t>
      </w:r>
    </w:p>
  </w:footnote>
  <w:footnote w:id="38">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hyperlink r:id="rId5" w:history="1">
        <w:r>
          <w:rPr>
            <w:rStyle w:val="Hyperlink"/>
            <w:rFonts w:ascii="Times New Roman" w:hAnsi="Times New Roman"/>
            <w:noProof/>
            <w:sz w:val="18"/>
            <w:szCs w:val="18"/>
          </w:rPr>
          <w:t>https://europa.eu/climate-pact/ambassadors/meet-our-ambassadors_hr</w:t>
        </w:r>
      </w:hyperlink>
    </w:p>
  </w:footnote>
  <w:footnote w:id="39">
    <w:p w:rsidR="007544AC" w:rsidRPr="00F24281" w:rsidRDefault="007544AC">
      <w:pPr>
        <w:pStyle w:val="Comment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hyperlink r:id="rId6" w:history="1">
        <w:r>
          <w:rPr>
            <w:rStyle w:val="Hyperlink"/>
            <w:rFonts w:ascii="Times New Roman" w:hAnsi="Times New Roman"/>
            <w:noProof/>
            <w:sz w:val="18"/>
            <w:szCs w:val="18"/>
          </w:rPr>
          <w:t>https://www.covenantofmayors.eu/about/covenant-initiative/covenant-in-figures.html</w:t>
        </w:r>
      </w:hyperlink>
      <w:r>
        <w:rPr>
          <w:rFonts w:ascii="Times New Roman" w:hAnsi="Times New Roman"/>
          <w:noProof/>
          <w:sz w:val="18"/>
          <w:szCs w:val="18"/>
        </w:rPr>
        <w:t xml:space="preserve"> </w:t>
      </w:r>
    </w:p>
  </w:footnote>
  <w:footnote w:id="40">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Obuhvaća EU-27, Island, Lihtenštajn, Norvešku i Sjevernu Irsku. Do 2021. obuhvaćao je i Ujedinjenu Kraljevinu.</w:t>
      </w:r>
      <w:r>
        <w:rPr>
          <w:rFonts w:ascii="Times New Roman" w:hAnsi="Times New Roman"/>
          <w:noProof/>
          <w:color w:val="111111"/>
          <w:sz w:val="18"/>
          <w:szCs w:val="18"/>
          <w:shd w:val="clear" w:color="auto" w:fill="FFFFFF"/>
        </w:rPr>
        <w:t xml:space="preserve"> </w:t>
      </w:r>
    </w:p>
  </w:footnote>
  <w:footnote w:id="41">
    <w:p w:rsidR="007544AC" w:rsidRPr="00F24281" w:rsidRDefault="007544AC">
      <w:pPr>
        <w:shd w:val="clear" w:color="auto" w:fill="FFFFFF" w:themeFill="background1"/>
        <w:spacing w:before="0" w:line="240" w:lineRule="auto"/>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Obuhvaća samo emisije CO</w:t>
      </w:r>
      <w:r>
        <w:rPr>
          <w:rFonts w:ascii="Times New Roman" w:hAnsi="Times New Roman"/>
          <w:noProof/>
          <w:sz w:val="18"/>
          <w:szCs w:val="18"/>
          <w:vertAlign w:val="subscript"/>
        </w:rPr>
        <w:t>2</w:t>
      </w:r>
      <w:r>
        <w:rPr>
          <w:rFonts w:ascii="Times New Roman" w:hAnsi="Times New Roman"/>
          <w:noProof/>
          <w:sz w:val="18"/>
          <w:szCs w:val="18"/>
        </w:rPr>
        <w:t xml:space="preserve"> iz letova unutar EGP-a i letova za Švicarsku i Ujedinjenu Kraljevinu.</w:t>
      </w:r>
    </w:p>
  </w:footnote>
  <w:footnote w:id="42">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Verificirane emisije iz Registra Unije.</w:t>
      </w:r>
    </w:p>
  </w:footnote>
  <w:footnote w:id="43">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Zbog promjena područja primjene ETS-a vremenska razdoblja prije 2013. nisu dosljedna. Slika obuhvaća sve zemlje koje sudjeluju u ETS-u EU-a u navedenim godinama. Gornja granica u 4. fazi uz postojeći cilj od 40 %.  U gornjoj granici za razdoblje 2021.–2030. uzeto je u obzir povlačenje Ujedinjene Kraljevine. </w:t>
      </w:r>
    </w:p>
  </w:footnote>
  <w:footnote w:id="44">
    <w:p w:rsidR="007544AC" w:rsidRPr="0029272A" w:rsidRDefault="007544AC">
      <w:pPr>
        <w:pStyle w:val="FootnoteText"/>
        <w:spacing w:before="0"/>
        <w:jc w:val="both"/>
        <w:rPr>
          <w:rFonts w:ascii="Times New Roman" w:hAnsi="Times New Roman" w:cs="Times New Roman"/>
          <w:noProof/>
          <w:sz w:val="18"/>
          <w:szCs w:val="18"/>
        </w:rPr>
      </w:pPr>
      <w:r w:rsidRPr="0029272A">
        <w:rPr>
          <w:rStyle w:val="FootnoteReference"/>
          <w:rFonts w:ascii="Times New Roman" w:hAnsi="Times New Roman" w:cs="Times New Roman"/>
          <w:noProof/>
          <w:sz w:val="18"/>
          <w:szCs w:val="18"/>
        </w:rPr>
        <w:footnoteRef/>
      </w:r>
      <w:r w:rsidRPr="0029272A">
        <w:rPr>
          <w:rFonts w:ascii="Times New Roman" w:hAnsi="Times New Roman"/>
          <w:noProof/>
          <w:sz w:val="18"/>
          <w:szCs w:val="18"/>
        </w:rPr>
        <w:t xml:space="preserve"> C(2021) 3266 final. </w:t>
      </w:r>
    </w:p>
  </w:footnote>
  <w:footnote w:id="45">
    <w:p w:rsidR="007544AC" w:rsidRPr="0029272A" w:rsidRDefault="007544AC">
      <w:pPr>
        <w:autoSpaceDE w:val="0"/>
        <w:autoSpaceDN w:val="0"/>
        <w:spacing w:before="0" w:line="240" w:lineRule="auto"/>
        <w:jc w:val="both"/>
        <w:rPr>
          <w:rFonts w:ascii="Times New Roman" w:hAnsi="Times New Roman" w:cs="Times New Roman"/>
          <w:noProof/>
          <w:sz w:val="18"/>
          <w:szCs w:val="18"/>
        </w:rPr>
      </w:pPr>
      <w:r w:rsidRPr="0029272A">
        <w:rPr>
          <w:rStyle w:val="FootnoteReference"/>
          <w:rFonts w:ascii="Times New Roman" w:hAnsi="Times New Roman" w:cs="Times New Roman"/>
          <w:noProof/>
          <w:sz w:val="18"/>
          <w:szCs w:val="18"/>
        </w:rPr>
        <w:footnoteRef/>
      </w:r>
      <w:r w:rsidRPr="0029272A">
        <w:rPr>
          <w:rFonts w:ascii="Times New Roman" w:hAnsi="Times New Roman"/>
          <w:noProof/>
          <w:sz w:val="18"/>
          <w:szCs w:val="18"/>
        </w:rPr>
        <w:t xml:space="preserve"> Prilog 7. dokumentu SWD(2021) 601 final.</w:t>
      </w:r>
    </w:p>
  </w:footnote>
  <w:footnote w:id="46">
    <w:p w:rsidR="007544AC" w:rsidRPr="0029272A" w:rsidRDefault="007544AC">
      <w:pPr>
        <w:pStyle w:val="FootnoteText"/>
        <w:spacing w:before="0"/>
        <w:jc w:val="both"/>
        <w:rPr>
          <w:rFonts w:ascii="Times New Roman" w:hAnsi="Times New Roman" w:cs="Times New Roman"/>
          <w:noProof/>
          <w:sz w:val="18"/>
          <w:szCs w:val="18"/>
        </w:rPr>
      </w:pPr>
      <w:r w:rsidRPr="0029272A">
        <w:rPr>
          <w:rStyle w:val="FootnoteReference"/>
          <w:rFonts w:ascii="Times New Roman" w:hAnsi="Times New Roman" w:cs="Times New Roman"/>
          <w:noProof/>
          <w:sz w:val="18"/>
          <w:szCs w:val="18"/>
        </w:rPr>
        <w:footnoteRef/>
      </w:r>
      <w:r w:rsidRPr="0029272A">
        <w:rPr>
          <w:rFonts w:ascii="Times New Roman" w:hAnsi="Times New Roman"/>
          <w:noProof/>
          <w:sz w:val="18"/>
          <w:szCs w:val="18"/>
        </w:rPr>
        <w:t xml:space="preserve"> Međunarodne jedinice mogle su se razmjenjivati do kraja travnja 2021., tj. do kraja ciklusa usklađivanja za 2020. </w:t>
      </w:r>
    </w:p>
  </w:footnote>
  <w:footnote w:id="47">
    <w:p w:rsidR="007544AC" w:rsidRPr="0029272A" w:rsidRDefault="007544AC">
      <w:pPr>
        <w:spacing w:before="0" w:line="240" w:lineRule="auto"/>
        <w:jc w:val="both"/>
        <w:rPr>
          <w:rFonts w:ascii="Times New Roman" w:hAnsi="Times New Roman" w:cs="Times New Roman"/>
          <w:noProof/>
          <w:sz w:val="18"/>
          <w:szCs w:val="18"/>
        </w:rPr>
      </w:pPr>
      <w:r w:rsidRPr="0029272A">
        <w:rPr>
          <w:rStyle w:val="FootnoteReference"/>
          <w:rFonts w:ascii="Times New Roman" w:hAnsi="Times New Roman" w:cs="Times New Roman"/>
          <w:noProof/>
          <w:sz w:val="18"/>
          <w:szCs w:val="18"/>
        </w:rPr>
        <w:footnoteRef/>
      </w:r>
      <w:r w:rsidRPr="0029272A">
        <w:rPr>
          <w:rFonts w:ascii="Times New Roman" w:hAnsi="Times New Roman"/>
          <w:noProof/>
          <w:sz w:val="18"/>
          <w:szCs w:val="18"/>
        </w:rPr>
        <w:t xml:space="preserve">Svi iznosi uključuju emisijske jedinice prodane na dražbi za Inovacijski fond i Fond za modernizaciju. </w:t>
      </w:r>
    </w:p>
  </w:footnote>
  <w:footnote w:id="48">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U skladu sa Sporazumom o povlačenju, Ujedinjena Kraljevina i dalje primjenjuje ključne odredbe Odluke o raspodjeli tereta.</w:t>
      </w:r>
    </w:p>
  </w:footnote>
  <w:footnote w:id="49">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2018/842.</w:t>
      </w:r>
    </w:p>
  </w:footnote>
  <w:footnote w:id="50">
    <w:p w:rsidR="007544AC" w:rsidRPr="001152F5" w:rsidRDefault="007544AC">
      <w:pPr>
        <w:spacing w:before="0" w:line="240" w:lineRule="auto"/>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Odluka ESA-e br. 204/21/COL od 21. srpnja 2021. </w:t>
      </w:r>
    </w:p>
  </w:footnote>
  <w:footnote w:id="51">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Prosinac 2019.:</w:t>
      </w:r>
      <w:r>
        <w:rPr>
          <w:rFonts w:ascii="Times New Roman" w:hAnsi="Times New Roman"/>
          <w:noProof/>
          <w:color w:val="1F497D"/>
          <w:sz w:val="18"/>
          <w:szCs w:val="18"/>
        </w:rPr>
        <w:t xml:space="preserve"> </w:t>
      </w:r>
      <w:hyperlink r:id="rId7" w:history="1">
        <w:r>
          <w:rPr>
            <w:rStyle w:val="Hyperlink"/>
            <w:rFonts w:ascii="Times New Roman" w:hAnsi="Times New Roman"/>
            <w:noProof/>
            <w:sz w:val="18"/>
            <w:szCs w:val="18"/>
          </w:rPr>
          <w:t>Norv</w:t>
        </w:r>
        <w:r w:rsidR="00A95EB2">
          <w:rPr>
            <w:rStyle w:val="Hyperlink"/>
            <w:rFonts w:ascii="Times New Roman" w:hAnsi="Times New Roman"/>
            <w:noProof/>
            <w:sz w:val="18"/>
            <w:szCs w:val="18"/>
          </w:rPr>
          <w:t>eški nacionalni plan povezan s O</w:t>
        </w:r>
        <w:r>
          <w:rPr>
            <w:rStyle w:val="Hyperlink"/>
            <w:rFonts w:ascii="Times New Roman" w:hAnsi="Times New Roman"/>
            <w:noProof/>
            <w:sz w:val="18"/>
            <w:szCs w:val="18"/>
          </w:rPr>
          <w:t>dlukom Zajedničkog odbora EGP-a br. 269/2019 od 25. listopada 2019.</w:t>
        </w:r>
      </w:hyperlink>
    </w:p>
  </w:footnote>
  <w:footnote w:id="52">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Studeni 2020.:</w:t>
      </w:r>
      <w:r>
        <w:rPr>
          <w:rFonts w:ascii="Times New Roman" w:hAnsi="Times New Roman"/>
          <w:noProof/>
          <w:color w:val="1F497D"/>
          <w:sz w:val="18"/>
          <w:szCs w:val="18"/>
        </w:rPr>
        <w:t xml:space="preserve"> </w:t>
      </w:r>
      <w:hyperlink r:id="rId8" w:history="1">
        <w:r>
          <w:rPr>
            <w:rStyle w:val="Hyperlink"/>
            <w:rFonts w:ascii="Times New Roman" w:hAnsi="Times New Roman"/>
            <w:noProof/>
            <w:sz w:val="18"/>
            <w:szCs w:val="18"/>
          </w:rPr>
          <w:t>Islandski nacionalni plan izdan u skladu s Izjavom povezanom s Odlukom Zajedničkog odbora EGP-a br. 269/2019 od 25. listopada 2019.</w:t>
        </w:r>
      </w:hyperlink>
    </w:p>
  </w:footnote>
  <w:footnote w:id="53">
    <w:p w:rsidR="007544AC" w:rsidRPr="006520D9" w:rsidRDefault="007544AC">
      <w:pPr>
        <w:pStyle w:val="Comment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 xml:space="preserve">Slika se temelji na predviđanjima koja su države članice dostavile na temelju </w:t>
      </w:r>
      <w:r>
        <w:rPr>
          <w:rFonts w:ascii="Times New Roman" w:hAnsi="Times New Roman"/>
          <w:noProof/>
          <w:sz w:val="18"/>
          <w:szCs w:val="18"/>
          <w:shd w:val="clear" w:color="auto" w:fill="FFFFFF"/>
        </w:rPr>
        <w:t>Uredbe (EU) 2021/1119</w:t>
      </w:r>
      <w:r>
        <w:rPr>
          <w:rFonts w:ascii="Times New Roman" w:hAnsi="Times New Roman"/>
          <w:noProof/>
          <w:sz w:val="18"/>
          <w:szCs w:val="18"/>
        </w:rPr>
        <w:t xml:space="preserve">, a pripremila ju je i kvalitetu provjerila Europska agencija za okoliš. Do 2020. podaci se daju samo za EU-27, a od 2021. i za Island i Norvešku. </w:t>
      </w:r>
    </w:p>
  </w:footnote>
  <w:footnote w:id="54">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Švedska je izbrisala 5,8 Mt, a Ujedinjena Kraljevina 27,4 Mt.</w:t>
      </w:r>
    </w:p>
  </w:footnote>
  <w:footnote w:id="55">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AT, BE CY, DE, EE, FI, IE, LU, PL. </w:t>
      </w:r>
    </w:p>
  </w:footnote>
  <w:footnote w:id="56">
    <w:p w:rsidR="007544AC" w:rsidRPr="006520D9" w:rsidRDefault="007544AC">
      <w:pPr>
        <w:pStyle w:val="End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Objedinjene godišnje emisijske kvote za 27 država članica ne podudaraju se u potpunosti s aktualnim ciljevima smanjenja na temelju raspodjele tereta na razini EU-a izraženima u postocima. Više pojedinosti vidjeti u radnom dokumentu službi Kom</w:t>
      </w:r>
      <w:r w:rsidR="0029272A">
        <w:rPr>
          <w:rFonts w:ascii="Times New Roman" w:hAnsi="Times New Roman"/>
          <w:noProof/>
          <w:sz w:val="18"/>
          <w:szCs w:val="18"/>
        </w:rPr>
        <w:t>i</w:t>
      </w:r>
      <w:r>
        <w:rPr>
          <w:rFonts w:ascii="Times New Roman" w:hAnsi="Times New Roman"/>
          <w:noProof/>
          <w:sz w:val="18"/>
          <w:szCs w:val="18"/>
        </w:rPr>
        <w:t xml:space="preserve">sije (SWD). </w:t>
      </w:r>
    </w:p>
  </w:footnote>
  <w:footnote w:id="57">
    <w:p w:rsidR="007544AC" w:rsidRPr="00787BC5"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Europska agencija za okoliš popunila je „predviđanja uz dodatne mjere” koja nedostaju „predviđanjima uz postojeće mjere”. Izvorni podaci imaju drukčije mjerne parametre, što je približno ispravljeno konverzijom. Razlike stoga služe samo kao ogledni primjeri. Više pojedinosti vidjeti u radnom dokumentu službi </w:t>
      </w:r>
      <w:r w:rsidR="00B62F0D">
        <w:rPr>
          <w:rFonts w:ascii="Times New Roman" w:hAnsi="Times New Roman"/>
          <w:noProof/>
          <w:sz w:val="18"/>
          <w:szCs w:val="18"/>
        </w:rPr>
        <w:t xml:space="preserve">Komisije </w:t>
      </w:r>
      <w:r>
        <w:rPr>
          <w:rFonts w:ascii="Times New Roman" w:hAnsi="Times New Roman"/>
          <w:noProof/>
          <w:sz w:val="18"/>
          <w:szCs w:val="18"/>
        </w:rPr>
        <w:t xml:space="preserve">(SWD). </w:t>
      </w:r>
    </w:p>
  </w:footnote>
  <w:footnote w:id="58">
    <w:p w:rsidR="007544AC" w:rsidRPr="006520D9" w:rsidRDefault="007544AC">
      <w:pPr>
        <w:pStyle w:val="FootnoteText"/>
        <w:spacing w:before="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Privremeni podaci koje je objavila Europska agencija za okoliš.</w:t>
      </w:r>
    </w:p>
  </w:footnote>
  <w:footnote w:id="59">
    <w:p w:rsidR="007544AC" w:rsidRPr="00F24281" w:rsidRDefault="007544AC">
      <w:pPr>
        <w:pStyle w:val="FootnoteText"/>
        <w:spacing w:before="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Ciljne vrijednosti za razdoblje 2020.–2024. treba izračunati </w:t>
      </w:r>
      <w:r w:rsidR="009823D1">
        <w:rPr>
          <w:rFonts w:ascii="Times New Roman" w:hAnsi="Times New Roman"/>
          <w:sz w:val="18"/>
          <w:szCs w:val="18"/>
        </w:rPr>
        <w:t>u okviru</w:t>
      </w:r>
      <w:r>
        <w:rPr>
          <w:rFonts w:ascii="Times New Roman" w:hAnsi="Times New Roman"/>
          <w:sz w:val="18"/>
          <w:szCs w:val="18"/>
        </w:rPr>
        <w:t xml:space="preserve"> globalno usklađeno</w:t>
      </w:r>
      <w:r w:rsidR="009823D1">
        <w:rPr>
          <w:rFonts w:ascii="Times New Roman" w:hAnsi="Times New Roman"/>
          <w:sz w:val="18"/>
          <w:szCs w:val="18"/>
        </w:rPr>
        <w:t>g</w:t>
      </w:r>
      <w:r>
        <w:rPr>
          <w:rFonts w:ascii="Times New Roman" w:hAnsi="Times New Roman"/>
          <w:sz w:val="18"/>
          <w:szCs w:val="18"/>
        </w:rPr>
        <w:t xml:space="preserve"> ispitno</w:t>
      </w:r>
      <w:r w:rsidR="009823D1">
        <w:rPr>
          <w:rFonts w:ascii="Times New Roman" w:hAnsi="Times New Roman"/>
          <w:sz w:val="18"/>
          <w:szCs w:val="18"/>
        </w:rPr>
        <w:t>g</w:t>
      </w:r>
      <w:r>
        <w:rPr>
          <w:rFonts w:ascii="Times New Roman" w:hAnsi="Times New Roman"/>
          <w:sz w:val="18"/>
          <w:szCs w:val="18"/>
        </w:rPr>
        <w:t xml:space="preserve"> postupk</w:t>
      </w:r>
      <w:r w:rsidR="009823D1">
        <w:rPr>
          <w:rFonts w:ascii="Times New Roman" w:hAnsi="Times New Roman"/>
          <w:sz w:val="18"/>
          <w:szCs w:val="18"/>
        </w:rPr>
        <w:t>a</w:t>
      </w:r>
      <w:r>
        <w:rPr>
          <w:rFonts w:ascii="Times New Roman" w:hAnsi="Times New Roman"/>
          <w:sz w:val="18"/>
          <w:szCs w:val="18"/>
        </w:rPr>
        <w:t xml:space="preserve"> za laka vozila (WLTP).</w:t>
      </w:r>
    </w:p>
  </w:footnote>
  <w:footnote w:id="60">
    <w:p w:rsidR="007544AC" w:rsidRPr="00F24281" w:rsidRDefault="007544AC">
      <w:pPr>
        <w:pStyle w:val="FootnoteText"/>
        <w:spacing w:before="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Uredba (EU) 517/2014.</w:t>
      </w:r>
    </w:p>
  </w:footnote>
  <w:footnote w:id="61">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2018/841.</w:t>
      </w:r>
    </w:p>
  </w:footnote>
  <w:footnote w:id="62">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Delegirana uredba (EU) 2021/268, prateći dokument SWD/2020/0236 final i znanstvena analiza (Vizzarri, M., Pilli, R., Korosuo, A. i dr. </w:t>
      </w:r>
      <w:r>
        <w:rPr>
          <w:rFonts w:ascii="Times New Roman" w:hAnsi="Times New Roman"/>
          <w:i/>
          <w:iCs/>
          <w:noProof/>
          <w:sz w:val="18"/>
          <w:szCs w:val="18"/>
        </w:rPr>
        <w:t>Setting the forest reference levels in the European Union:</w:t>
      </w:r>
      <w:r>
        <w:rPr>
          <w:rFonts w:ascii="Times New Roman" w:hAnsi="Times New Roman"/>
          <w:noProof/>
          <w:sz w:val="18"/>
          <w:szCs w:val="18"/>
        </w:rPr>
        <w:t xml:space="preserve"> </w:t>
      </w:r>
      <w:r>
        <w:rPr>
          <w:rFonts w:ascii="Times New Roman" w:hAnsi="Times New Roman"/>
          <w:i/>
          <w:noProof/>
          <w:sz w:val="18"/>
          <w:szCs w:val="18"/>
        </w:rPr>
        <w:t>overview and challenges</w:t>
      </w:r>
      <w:r>
        <w:rPr>
          <w:rFonts w:ascii="Times New Roman" w:hAnsi="Times New Roman"/>
          <w:noProof/>
          <w:sz w:val="18"/>
          <w:szCs w:val="18"/>
        </w:rPr>
        <w:t xml:space="preserve"> (Utvrđivanje referentnih razina za šume u Europskoj uniji: pregled i izazovi). Carbon Balance Manage 16, 23 (2021.)). </w:t>
      </w:r>
    </w:p>
  </w:footnote>
  <w:footnote w:id="63">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hyperlink r:id="rId9" w:history="1">
        <w:r>
          <w:rPr>
            <w:rFonts w:ascii="Times New Roman" w:hAnsi="Times New Roman"/>
            <w:noProof/>
            <w:sz w:val="18"/>
            <w:szCs w:val="18"/>
          </w:rPr>
          <w:t xml:space="preserve">Odluka ESA-e br. 157/20/COL </w:t>
        </w:r>
      </w:hyperlink>
      <w:r>
        <w:rPr>
          <w:rFonts w:ascii="Times New Roman" w:hAnsi="Times New Roman"/>
          <w:noProof/>
          <w:sz w:val="18"/>
          <w:szCs w:val="18"/>
        </w:rPr>
        <w:t xml:space="preserve">od 16. prosinca 2020. </w:t>
      </w:r>
    </w:p>
  </w:footnote>
  <w:footnote w:id="64">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Prijavljene emisije i uklanjanja iz LULUCF-a u okviru Kyotskog protokola kako je ovdje prikazano temelje se na određenim aktivnostima i nisu iste kao prijavljene emisije i uklanjanja iz LULUCF-a koji se temelje na zemljištu u okviru inventara Konvencije UNFCCC sa slike 1. </w:t>
      </w:r>
    </w:p>
  </w:footnote>
  <w:footnote w:id="65">
    <w:p w:rsidR="0056125E" w:rsidRPr="006520D9" w:rsidRDefault="0056125E" w:rsidP="0056125E">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Uzorak u vremenskim razdobljima prijavljenih emisija i uklanjanja iz EU-a razlikuje se od obračuna zbog primjene obračunskih pravila, prvenstveno primjene gornje granice na kredite u okviru gospodarenja šumama koja iznosi 3,5 % ukupnih emisija stakleničkih plinova u referentnoj godini.</w:t>
      </w:r>
    </w:p>
  </w:footnote>
  <w:footnote w:id="66">
    <w:p w:rsidR="0056125E" w:rsidRPr="006520D9" w:rsidRDefault="0056125E" w:rsidP="0056125E">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DK, DE, IE, ES, IT i PT odabrali su da će u obračun uključiti gospodarenje poljoprivrednim zemljištima; DE, DK, IE, IT i PT odabrali su i gospodarenje pašnjacima; RO je odabrala obnovu vegetacije.</w:t>
      </w:r>
    </w:p>
  </w:footnote>
  <w:footnote w:id="67">
    <w:p w:rsidR="007544AC" w:rsidRPr="00B7742C" w:rsidRDefault="007544AC">
      <w:pPr>
        <w:pStyle w:val="FootnoteText"/>
        <w:spacing w:before="0"/>
        <w:jc w:val="both"/>
        <w:rPr>
          <w:rStyle w:val="FootnoteReference"/>
          <w:rFonts w:ascii="Times New Roman" w:hAnsi="Times New Roman" w:cs="Times New Roman"/>
          <w:noProof/>
          <w:sz w:val="18"/>
          <w:szCs w:val="18"/>
          <w:vertAlign w:val="baseline"/>
        </w:rPr>
      </w:pPr>
      <w:r>
        <w:rPr>
          <w:rStyle w:val="FootnoteReference"/>
          <w:rFonts w:ascii="Times New Roman" w:hAnsi="Times New Roman" w:cs="Times New Roman"/>
          <w:noProof/>
          <w:sz w:val="18"/>
          <w:szCs w:val="18"/>
        </w:rPr>
        <w:footnoteRef/>
      </w:r>
      <w:r>
        <w:rPr>
          <w:rStyle w:val="FootnoteReference"/>
          <w:rFonts w:ascii="Times New Roman" w:hAnsi="Times New Roman"/>
          <w:noProof/>
          <w:sz w:val="18"/>
          <w:szCs w:val="18"/>
          <w:vertAlign w:val="baseline"/>
        </w:rPr>
        <w:t xml:space="preserve"> </w:t>
      </w:r>
      <w:r>
        <w:rPr>
          <w:rFonts w:ascii="Times New Roman" w:hAnsi="Times New Roman"/>
          <w:noProof/>
          <w:sz w:val="18"/>
          <w:szCs w:val="18"/>
        </w:rPr>
        <w:t>Druga bitna kretanja ili promjene: neto uklanjanja ili krediti u okviru pošumljavanja/ponovnog pošumljavanja smanjili su se za 7 Mt ekvivalenta CO</w:t>
      </w:r>
      <w:r>
        <w:rPr>
          <w:rFonts w:ascii="Times New Roman" w:hAnsi="Times New Roman"/>
          <w:noProof/>
          <w:sz w:val="18"/>
          <w:szCs w:val="18"/>
          <w:vertAlign w:val="subscript"/>
        </w:rPr>
        <w:t>2</w:t>
      </w:r>
      <w:r>
        <w:rPr>
          <w:rFonts w:ascii="Times New Roman" w:hAnsi="Times New Roman"/>
          <w:noProof/>
          <w:sz w:val="18"/>
          <w:szCs w:val="18"/>
        </w:rPr>
        <w:t xml:space="preserve"> u 2017.; neto emisije (krediti) u okviru gospodarenja poljoprivrednim zemljištima smanjile su se (povećale) za 5 Mt ekvivalenta CO</w:t>
      </w:r>
      <w:r>
        <w:rPr>
          <w:rFonts w:ascii="Times New Roman" w:hAnsi="Times New Roman"/>
          <w:noProof/>
          <w:sz w:val="18"/>
          <w:szCs w:val="18"/>
          <w:vertAlign w:val="subscript"/>
        </w:rPr>
        <w:t>2</w:t>
      </w:r>
      <w:r>
        <w:rPr>
          <w:rFonts w:ascii="Times New Roman" w:hAnsi="Times New Roman"/>
          <w:noProof/>
          <w:sz w:val="18"/>
          <w:szCs w:val="18"/>
        </w:rPr>
        <w:t xml:space="preserve"> u sedmogodišnjem razdoblju.</w:t>
      </w:r>
    </w:p>
  </w:footnote>
  <w:footnote w:id="68">
    <w:p w:rsidR="007544AC" w:rsidRPr="00F2428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Grassi, G., Fiorese, G., Pilli, R., Jonsson, K., Blujdea, V., Korosuo, A. i Vizzarri, M., </w:t>
      </w:r>
      <w:r>
        <w:rPr>
          <w:rFonts w:ascii="Times New Roman" w:hAnsi="Times New Roman"/>
          <w:i/>
          <w:iCs/>
          <w:noProof/>
          <w:sz w:val="18"/>
          <w:szCs w:val="18"/>
        </w:rPr>
        <w:t>Brief on the role of the forest-based bioeconomy in mitigating climate change through carbon storage and material substitution</w:t>
      </w:r>
      <w:r>
        <w:rPr>
          <w:rFonts w:ascii="Times New Roman" w:hAnsi="Times New Roman"/>
          <w:noProof/>
          <w:sz w:val="18"/>
          <w:szCs w:val="18"/>
        </w:rPr>
        <w:t xml:space="preserve"> (Sažetak o ulozi biogospodarstva koje se temelji na šumama u ublažavanju klimatskih promjena putem skladištenja ugljika i zamjene materijala), ur. Sanchez Lopez, J., Jasinevičius, G. i Avraamides, M., Europska komisija, 2021., </w:t>
      </w:r>
      <w:hyperlink r:id="rId10" w:history="1">
        <w:r>
          <w:rPr>
            <w:rFonts w:ascii="Times New Roman" w:hAnsi="Times New Roman"/>
            <w:noProof/>
            <w:sz w:val="18"/>
            <w:szCs w:val="18"/>
          </w:rPr>
          <w:t>JRC124374</w:t>
        </w:r>
      </w:hyperlink>
      <w:r>
        <w:rPr>
          <w:rFonts w:ascii="Times New Roman" w:hAnsi="Times New Roman"/>
          <w:noProof/>
          <w:sz w:val="18"/>
          <w:szCs w:val="18"/>
        </w:rPr>
        <w:t>.</w:t>
      </w:r>
    </w:p>
  </w:footnote>
  <w:footnote w:id="69">
    <w:p w:rsidR="007544AC" w:rsidRPr="00787BC5"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To se temelji na emisijama i uklanjanjima iz LULUCF-a koji se temelje na zemljištu i prijavljeni su UNFCCC-u. Prosječna neto uklanjanja u sektoru LULUCF-a u EU-u iznosila su –268 Mt ekvivalenta CO</w:t>
      </w:r>
      <w:r>
        <w:rPr>
          <w:rFonts w:ascii="Times New Roman" w:hAnsi="Times New Roman"/>
          <w:noProof/>
          <w:sz w:val="18"/>
          <w:szCs w:val="18"/>
          <w:vertAlign w:val="subscript"/>
        </w:rPr>
        <w:t>2</w:t>
      </w:r>
      <w:r>
        <w:rPr>
          <w:rFonts w:ascii="Times New Roman" w:hAnsi="Times New Roman"/>
          <w:noProof/>
          <w:sz w:val="18"/>
          <w:szCs w:val="18"/>
        </w:rPr>
        <w:t xml:space="preserve"> u razdoblju 2016.–2018.</w:t>
      </w:r>
    </w:p>
  </w:footnote>
  <w:footnote w:id="70">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COM(2021) 82.</w:t>
      </w:r>
    </w:p>
  </w:footnote>
  <w:footnote w:id="71">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Članak 29. </w:t>
      </w:r>
      <w:r>
        <w:rPr>
          <w:rStyle w:val="FootnoteReference"/>
          <w:rFonts w:ascii="Times New Roman" w:hAnsi="Times New Roman"/>
          <w:noProof/>
          <w:sz w:val="18"/>
          <w:szCs w:val="18"/>
          <w:vertAlign w:val="baseline"/>
        </w:rPr>
        <w:t xml:space="preserve"> Uredbe (EU) 2018/1999</w:t>
      </w:r>
      <w:r>
        <w:rPr>
          <w:rFonts w:ascii="Times New Roman" w:hAnsi="Times New Roman"/>
          <w:noProof/>
          <w:sz w:val="18"/>
          <w:szCs w:val="18"/>
        </w:rPr>
        <w:t>.</w:t>
      </w:r>
    </w:p>
  </w:footnote>
  <w:footnote w:id="72">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Pojedinosti vidjeti u radnom dokumentu službi Komisije (SWD).</w:t>
      </w:r>
    </w:p>
  </w:footnote>
  <w:footnote w:id="73">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Grupiranje zemalja u klimatske zone na temelju nomenklature najčešće korištene u procjenama Europske agencije za okoliš i Komisije povezanima s klimom: sjeverne zemlje (</w:t>
      </w:r>
      <w:r w:rsidR="00DE4E1A" w:rsidRPr="00DE4E1A">
        <w:rPr>
          <w:rFonts w:ascii="Times New Roman" w:hAnsi="Times New Roman"/>
          <w:noProof/>
          <w:sz w:val="18"/>
          <w:szCs w:val="18"/>
        </w:rPr>
        <w:t>DK, EE, FI, IE, LT, LV, SE</w:t>
      </w:r>
      <w:r>
        <w:rPr>
          <w:rFonts w:ascii="Times New Roman" w:hAnsi="Times New Roman"/>
          <w:noProof/>
          <w:sz w:val="18"/>
          <w:szCs w:val="18"/>
        </w:rPr>
        <w:t>), istočne zemlje (</w:t>
      </w:r>
      <w:r w:rsidR="00DE4E1A" w:rsidRPr="00DE4E1A">
        <w:rPr>
          <w:rFonts w:ascii="Times New Roman" w:hAnsi="Times New Roman"/>
          <w:noProof/>
          <w:sz w:val="18"/>
          <w:szCs w:val="18"/>
        </w:rPr>
        <w:t>BG, CZ, HU, PL, RO, SK</w:t>
      </w:r>
      <w:r>
        <w:rPr>
          <w:rFonts w:ascii="Times New Roman" w:hAnsi="Times New Roman"/>
          <w:noProof/>
          <w:sz w:val="18"/>
          <w:szCs w:val="18"/>
        </w:rPr>
        <w:t>), južne zemlje (</w:t>
      </w:r>
      <w:r w:rsidR="00DE4E1A" w:rsidRPr="00DE4E1A">
        <w:rPr>
          <w:rFonts w:ascii="Times New Roman" w:hAnsi="Times New Roman"/>
          <w:noProof/>
          <w:sz w:val="18"/>
          <w:szCs w:val="18"/>
        </w:rPr>
        <w:t>CY, EL, ES, HR, IT, MT, PT, SI</w:t>
      </w:r>
      <w:r>
        <w:rPr>
          <w:rFonts w:ascii="Times New Roman" w:hAnsi="Times New Roman"/>
          <w:noProof/>
          <w:sz w:val="18"/>
          <w:szCs w:val="18"/>
        </w:rPr>
        <w:t>) i zapadne zemlje (</w:t>
      </w:r>
      <w:r w:rsidR="00DE4E1A" w:rsidRPr="00DE4E1A">
        <w:rPr>
          <w:rFonts w:ascii="Times New Roman" w:hAnsi="Times New Roman"/>
          <w:noProof/>
          <w:sz w:val="18"/>
          <w:szCs w:val="18"/>
        </w:rPr>
        <w:t>AT, BE, FR, DE, LU, NL</w:t>
      </w:r>
      <w:r>
        <w:rPr>
          <w:rFonts w:ascii="Times New Roman" w:hAnsi="Times New Roman"/>
          <w:noProof/>
          <w:sz w:val="18"/>
          <w:szCs w:val="18"/>
        </w:rPr>
        <w:t>).</w:t>
      </w:r>
    </w:p>
  </w:footnote>
  <w:footnote w:id="74">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Uredba (EU) 2021/1056.</w:t>
      </w:r>
    </w:p>
  </w:footnote>
  <w:footnote w:id="75">
    <w:p w:rsidR="0025227B" w:rsidRPr="0025227B" w:rsidRDefault="0025227B" w:rsidP="0025227B">
      <w:pPr>
        <w:pStyle w:val="FootnoteText"/>
        <w:spacing w:before="0"/>
        <w:jc w:val="both"/>
        <w:rPr>
          <w:noProof/>
        </w:rPr>
      </w:pPr>
      <w:r>
        <w:rPr>
          <w:rStyle w:val="FootnoteReference"/>
          <w:noProof/>
        </w:rPr>
        <w:footnoteRef/>
      </w:r>
      <w:r>
        <w:rPr>
          <w:noProof/>
        </w:rPr>
        <w:t xml:space="preserve"> </w:t>
      </w:r>
      <w:r>
        <w:rPr>
          <w:rFonts w:ascii="Times New Roman" w:hAnsi="Times New Roman"/>
          <w:noProof/>
          <w:sz w:val="18"/>
          <w:szCs w:val="18"/>
        </w:rPr>
        <w:t>Vidjeti bilješku 33 za objašnjenja primijenjene metodologije.</w:t>
      </w:r>
      <w:r>
        <w:rPr>
          <w:noProof/>
        </w:rPr>
        <w:t xml:space="preserve"> </w:t>
      </w:r>
    </w:p>
  </w:footnote>
  <w:footnote w:id="76">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SWD(2021) 242.</w:t>
      </w:r>
    </w:p>
  </w:footnote>
  <w:footnote w:id="77">
    <w:p w:rsidR="007544AC" w:rsidRPr="006520D9" w:rsidRDefault="007544AC">
      <w:pPr>
        <w:pStyle w:val="FootnoteText"/>
        <w:spacing w:before="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Vidjeti radni dokument službi Komisije (SWD) za pregled prihoda i prijavljene potrošnje po godinama. </w:t>
      </w:r>
    </w:p>
  </w:footnote>
  <w:footnote w:id="78">
    <w:p w:rsidR="007544AC" w:rsidRPr="006520D9" w:rsidRDefault="007544AC">
      <w:pPr>
        <w:spacing w:before="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Države članice prvi su put 2020. izvijestile o vrsti potpore koja se upotrebljava na njihovu području u skladu s člankom 5. </w:t>
      </w:r>
      <w:hyperlink r:id="rId11" w:history="1">
        <w:r>
          <w:rPr>
            <w:rFonts w:ascii="Times New Roman" w:hAnsi="Times New Roman"/>
            <w:sz w:val="18"/>
            <w:szCs w:val="18"/>
          </w:rPr>
          <w:t>Provedbene uredbe (EU) 2020/1208</w:t>
        </w:r>
      </w:hyperlink>
      <w:r>
        <w:rPr>
          <w:rFonts w:ascii="Times New Roman" w:hAnsi="Times New Roman"/>
          <w:sz w:val="18"/>
          <w:szCs w:val="18"/>
        </w:rPr>
        <w:t>.</w:t>
      </w:r>
    </w:p>
  </w:footnote>
  <w:footnote w:id="79">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noProof/>
          <w:sz w:val="18"/>
          <w:szCs w:val="18"/>
        </w:rPr>
        <w:t>Albanija, Bosna i Hercegovina, Kosovo, Sjeverna Makedonija, Gruzija, Moldova, Crna Gora, Srbija i Ukrajina.</w:t>
      </w:r>
    </w:p>
  </w:footnote>
  <w:footnote w:id="80">
    <w:p w:rsidR="007544AC" w:rsidRPr="00495651"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Fonts w:ascii="Times New Roman" w:hAnsi="Times New Roman"/>
          <w:noProof/>
          <w:sz w:val="18"/>
          <w:szCs w:val="18"/>
        </w:rPr>
        <w:t xml:space="preserve"> </w:t>
      </w:r>
      <w:r>
        <w:rPr>
          <w:rStyle w:val="FootnoteReference"/>
          <w:rFonts w:ascii="Times New Roman" w:hAnsi="Times New Roman"/>
          <w:noProof/>
          <w:sz w:val="18"/>
          <w:szCs w:val="18"/>
          <w:vertAlign w:val="baseline"/>
        </w:rPr>
        <w:t>Uredba (EU) 2018/1999</w:t>
      </w:r>
      <w:r>
        <w:rPr>
          <w:rFonts w:ascii="Times New Roman" w:hAnsi="Times New Roman"/>
          <w:noProof/>
          <w:sz w:val="18"/>
          <w:szCs w:val="18"/>
        </w:rPr>
        <w:t>.</w:t>
      </w:r>
    </w:p>
  </w:footnote>
  <w:footnote w:id="81">
    <w:p w:rsidR="007544AC" w:rsidRPr="00813C18" w:rsidRDefault="007544AC">
      <w:pPr>
        <w:pStyle w:val="FootnoteText"/>
        <w:spacing w:before="0"/>
        <w:rPr>
          <w:rStyle w:val="FootnoteReference"/>
          <w:rFonts w:ascii="Times New Roman" w:hAnsi="Times New Roman" w:cs="Times New Roman"/>
          <w:noProof/>
          <w:sz w:val="18"/>
          <w:szCs w:val="18"/>
        </w:rPr>
      </w:pPr>
      <w:r>
        <w:rPr>
          <w:rStyle w:val="FootnoteReference"/>
          <w:rFonts w:ascii="Times New Roman" w:hAnsi="Times New Roman" w:cs="Times New Roman"/>
          <w:noProof/>
          <w:sz w:val="18"/>
          <w:szCs w:val="18"/>
        </w:rPr>
        <w:footnoteRef/>
      </w:r>
      <w:r>
        <w:rPr>
          <w:rStyle w:val="FootnoteReference"/>
          <w:rFonts w:ascii="Times New Roman" w:hAnsi="Times New Roman"/>
          <w:noProof/>
          <w:sz w:val="18"/>
          <w:szCs w:val="18"/>
        </w:rPr>
        <w:t xml:space="preserve"> </w:t>
      </w:r>
      <w:r>
        <w:rPr>
          <w:rFonts w:ascii="Times New Roman" w:hAnsi="Times New Roman"/>
          <w:noProof/>
          <w:sz w:val="18"/>
          <w:szCs w:val="18"/>
        </w:rPr>
        <w:t>Podaci za 2020. slijede.</w:t>
      </w:r>
    </w:p>
  </w:footnote>
  <w:footnote w:id="82">
    <w:p w:rsidR="007544AC" w:rsidRPr="006520D9" w:rsidRDefault="007544AC">
      <w:pPr>
        <w:pStyle w:val="FootnoteText"/>
        <w:spacing w:before="0"/>
        <w:jc w:val="both"/>
        <w:rPr>
          <w:rFonts w:ascii="Times New Roman" w:hAnsi="Times New Roman" w:cs="Times New Roman"/>
          <w:noProof/>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Style w:val="FootnoteReference"/>
          <w:rFonts w:ascii="Times New Roman" w:hAnsi="Times New Roman"/>
          <w:noProof/>
          <w:sz w:val="18"/>
          <w:szCs w:val="18"/>
          <w:vertAlign w:val="baseline"/>
        </w:rPr>
        <w:t>COM(2021) 110 final</w:t>
      </w:r>
      <w:r>
        <w:rPr>
          <w:rFonts w:ascii="Times New Roman" w:hAnsi="Times New Roman"/>
          <w:noProof/>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E3" w:rsidRPr="00DA14E3" w:rsidRDefault="00DA14E3" w:rsidP="00DA1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E3" w:rsidRPr="00DA14E3" w:rsidRDefault="00DA14E3" w:rsidP="00DA14E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E3" w:rsidRPr="00DA14E3" w:rsidRDefault="00DA14E3" w:rsidP="00DA14E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4AC" w:rsidRDefault="007544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4AC" w:rsidRDefault="007544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4AC" w:rsidRDefault="0075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ED"/>
    <w:multiLevelType w:val="multilevel"/>
    <w:tmpl w:val="FD0C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07C6"/>
    <w:multiLevelType w:val="hybridMultilevel"/>
    <w:tmpl w:val="E9C8391E"/>
    <w:lvl w:ilvl="0" w:tplc="E6A4CE56">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D0C91"/>
    <w:multiLevelType w:val="hybridMultilevel"/>
    <w:tmpl w:val="99DC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6CDC"/>
    <w:multiLevelType w:val="hybridMultilevel"/>
    <w:tmpl w:val="1D20ABA2"/>
    <w:lvl w:ilvl="0" w:tplc="F7CE6628">
      <w:start w:val="1"/>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06D5"/>
    <w:multiLevelType w:val="hybridMultilevel"/>
    <w:tmpl w:val="AE127D78"/>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0FB82979"/>
    <w:multiLevelType w:val="hybridMultilevel"/>
    <w:tmpl w:val="90766390"/>
    <w:lvl w:ilvl="0" w:tplc="271A58E6">
      <w:start w:val="1"/>
      <w:numFmt w:val="bullet"/>
      <w:lvlText w:val="•"/>
      <w:lvlJc w:val="left"/>
      <w:pPr>
        <w:tabs>
          <w:tab w:val="num" w:pos="720"/>
        </w:tabs>
        <w:ind w:left="720" w:hanging="360"/>
      </w:pPr>
      <w:rPr>
        <w:rFonts w:ascii="Times New Roman" w:hAnsi="Times New Roman" w:cs="Times New Roman" w:hint="default"/>
      </w:rPr>
    </w:lvl>
    <w:lvl w:ilvl="1" w:tplc="F3E64094">
      <w:start w:val="1"/>
      <w:numFmt w:val="bullet"/>
      <w:lvlText w:val="•"/>
      <w:lvlJc w:val="left"/>
      <w:pPr>
        <w:tabs>
          <w:tab w:val="num" w:pos="1440"/>
        </w:tabs>
        <w:ind w:left="1440" w:hanging="360"/>
      </w:pPr>
      <w:rPr>
        <w:rFonts w:ascii="Times New Roman" w:hAnsi="Times New Roman" w:cs="Times New Roman" w:hint="default"/>
      </w:rPr>
    </w:lvl>
    <w:lvl w:ilvl="2" w:tplc="FEE8BA8E">
      <w:start w:val="1"/>
      <w:numFmt w:val="bullet"/>
      <w:lvlText w:val="•"/>
      <w:lvlJc w:val="left"/>
      <w:pPr>
        <w:tabs>
          <w:tab w:val="num" w:pos="2160"/>
        </w:tabs>
        <w:ind w:left="2160" w:hanging="360"/>
      </w:pPr>
      <w:rPr>
        <w:rFonts w:ascii="Times New Roman" w:hAnsi="Times New Roman" w:cs="Times New Roman" w:hint="default"/>
      </w:rPr>
    </w:lvl>
    <w:lvl w:ilvl="3" w:tplc="89BECA9C">
      <w:start w:val="1"/>
      <w:numFmt w:val="bullet"/>
      <w:lvlText w:val="•"/>
      <w:lvlJc w:val="left"/>
      <w:pPr>
        <w:tabs>
          <w:tab w:val="num" w:pos="2880"/>
        </w:tabs>
        <w:ind w:left="2880" w:hanging="360"/>
      </w:pPr>
      <w:rPr>
        <w:rFonts w:ascii="Times New Roman" w:hAnsi="Times New Roman" w:cs="Times New Roman" w:hint="default"/>
      </w:rPr>
    </w:lvl>
    <w:lvl w:ilvl="4" w:tplc="4114ECB0">
      <w:start w:val="1"/>
      <w:numFmt w:val="bullet"/>
      <w:lvlText w:val="•"/>
      <w:lvlJc w:val="left"/>
      <w:pPr>
        <w:tabs>
          <w:tab w:val="num" w:pos="3600"/>
        </w:tabs>
        <w:ind w:left="3600" w:hanging="360"/>
      </w:pPr>
      <w:rPr>
        <w:rFonts w:ascii="Times New Roman" w:hAnsi="Times New Roman" w:cs="Times New Roman" w:hint="default"/>
      </w:rPr>
    </w:lvl>
    <w:lvl w:ilvl="5" w:tplc="ACDE6EEA">
      <w:start w:val="1"/>
      <w:numFmt w:val="bullet"/>
      <w:lvlText w:val="•"/>
      <w:lvlJc w:val="left"/>
      <w:pPr>
        <w:tabs>
          <w:tab w:val="num" w:pos="4320"/>
        </w:tabs>
        <w:ind w:left="4320" w:hanging="360"/>
      </w:pPr>
      <w:rPr>
        <w:rFonts w:ascii="Times New Roman" w:hAnsi="Times New Roman" w:cs="Times New Roman" w:hint="default"/>
      </w:rPr>
    </w:lvl>
    <w:lvl w:ilvl="6" w:tplc="62943654">
      <w:start w:val="1"/>
      <w:numFmt w:val="bullet"/>
      <w:lvlText w:val="•"/>
      <w:lvlJc w:val="left"/>
      <w:pPr>
        <w:tabs>
          <w:tab w:val="num" w:pos="5040"/>
        </w:tabs>
        <w:ind w:left="5040" w:hanging="360"/>
      </w:pPr>
      <w:rPr>
        <w:rFonts w:ascii="Times New Roman" w:hAnsi="Times New Roman" w:cs="Times New Roman" w:hint="default"/>
      </w:rPr>
    </w:lvl>
    <w:lvl w:ilvl="7" w:tplc="98323E4C">
      <w:start w:val="1"/>
      <w:numFmt w:val="bullet"/>
      <w:lvlText w:val="•"/>
      <w:lvlJc w:val="left"/>
      <w:pPr>
        <w:tabs>
          <w:tab w:val="num" w:pos="5760"/>
        </w:tabs>
        <w:ind w:left="5760" w:hanging="360"/>
      </w:pPr>
      <w:rPr>
        <w:rFonts w:ascii="Times New Roman" w:hAnsi="Times New Roman" w:cs="Times New Roman" w:hint="default"/>
      </w:rPr>
    </w:lvl>
    <w:lvl w:ilvl="8" w:tplc="7AAECA8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40A82FB"/>
    <w:multiLevelType w:val="hybridMultilevel"/>
    <w:tmpl w:val="0EDC7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A092B"/>
    <w:multiLevelType w:val="hybridMultilevel"/>
    <w:tmpl w:val="D20CA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C0733"/>
    <w:multiLevelType w:val="hybridMultilevel"/>
    <w:tmpl w:val="F7647636"/>
    <w:lvl w:ilvl="0" w:tplc="3D0EC9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F1AAC"/>
    <w:multiLevelType w:val="hybridMultilevel"/>
    <w:tmpl w:val="381E32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280462E"/>
    <w:multiLevelType w:val="hybridMultilevel"/>
    <w:tmpl w:val="3DC2A79E"/>
    <w:lvl w:ilvl="0" w:tplc="6A9C6FD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FB07E7"/>
    <w:multiLevelType w:val="hybridMultilevel"/>
    <w:tmpl w:val="8DD6A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D1A85"/>
    <w:multiLevelType w:val="hybridMultilevel"/>
    <w:tmpl w:val="D5F48372"/>
    <w:lvl w:ilvl="0" w:tplc="8D56B75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C15D99"/>
    <w:multiLevelType w:val="hybridMultilevel"/>
    <w:tmpl w:val="E486AD5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381413F7"/>
    <w:multiLevelType w:val="multilevel"/>
    <w:tmpl w:val="436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24816"/>
    <w:multiLevelType w:val="hybridMultilevel"/>
    <w:tmpl w:val="80B2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E79EF"/>
    <w:multiLevelType w:val="hybridMultilevel"/>
    <w:tmpl w:val="29EE08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914441"/>
    <w:multiLevelType w:val="multilevel"/>
    <w:tmpl w:val="634A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C0042"/>
    <w:multiLevelType w:val="hybridMultilevel"/>
    <w:tmpl w:val="1BCCBB74"/>
    <w:lvl w:ilvl="0" w:tplc="C540C85A">
      <w:start w:val="1"/>
      <w:numFmt w:val="bullet"/>
      <w:lvlText w:val=""/>
      <w:lvlJc w:val="left"/>
      <w:pPr>
        <w:ind w:left="720" w:hanging="360"/>
      </w:pPr>
      <w:rPr>
        <w:rFonts w:ascii="Symbol" w:hAnsi="Symbol" w:hint="default"/>
      </w:rPr>
    </w:lvl>
    <w:lvl w:ilvl="1" w:tplc="A0963930">
      <w:start w:val="1"/>
      <w:numFmt w:val="bullet"/>
      <w:lvlText w:val="o"/>
      <w:lvlJc w:val="left"/>
      <w:pPr>
        <w:ind w:left="1440" w:hanging="360"/>
      </w:pPr>
      <w:rPr>
        <w:rFonts w:ascii="Courier New" w:hAnsi="Courier New" w:hint="default"/>
      </w:rPr>
    </w:lvl>
    <w:lvl w:ilvl="2" w:tplc="51C20EFA">
      <w:start w:val="1"/>
      <w:numFmt w:val="bullet"/>
      <w:lvlText w:val=""/>
      <w:lvlJc w:val="left"/>
      <w:pPr>
        <w:ind w:left="2160" w:hanging="360"/>
      </w:pPr>
      <w:rPr>
        <w:rFonts w:ascii="Wingdings" w:hAnsi="Wingdings" w:hint="default"/>
      </w:rPr>
    </w:lvl>
    <w:lvl w:ilvl="3" w:tplc="F29CD534">
      <w:start w:val="1"/>
      <w:numFmt w:val="bullet"/>
      <w:lvlText w:val=""/>
      <w:lvlJc w:val="left"/>
      <w:pPr>
        <w:ind w:left="2880" w:hanging="360"/>
      </w:pPr>
      <w:rPr>
        <w:rFonts w:ascii="Symbol" w:hAnsi="Symbol" w:hint="default"/>
      </w:rPr>
    </w:lvl>
    <w:lvl w:ilvl="4" w:tplc="D4263F68">
      <w:start w:val="1"/>
      <w:numFmt w:val="bullet"/>
      <w:lvlText w:val="o"/>
      <w:lvlJc w:val="left"/>
      <w:pPr>
        <w:ind w:left="3600" w:hanging="360"/>
      </w:pPr>
      <w:rPr>
        <w:rFonts w:ascii="Courier New" w:hAnsi="Courier New" w:hint="default"/>
      </w:rPr>
    </w:lvl>
    <w:lvl w:ilvl="5" w:tplc="D48A3154">
      <w:start w:val="1"/>
      <w:numFmt w:val="bullet"/>
      <w:lvlText w:val=""/>
      <w:lvlJc w:val="left"/>
      <w:pPr>
        <w:ind w:left="4320" w:hanging="360"/>
      </w:pPr>
      <w:rPr>
        <w:rFonts w:ascii="Wingdings" w:hAnsi="Wingdings" w:hint="default"/>
      </w:rPr>
    </w:lvl>
    <w:lvl w:ilvl="6" w:tplc="B9EC09F6">
      <w:start w:val="1"/>
      <w:numFmt w:val="bullet"/>
      <w:lvlText w:val=""/>
      <w:lvlJc w:val="left"/>
      <w:pPr>
        <w:ind w:left="5040" w:hanging="360"/>
      </w:pPr>
      <w:rPr>
        <w:rFonts w:ascii="Symbol" w:hAnsi="Symbol" w:hint="default"/>
      </w:rPr>
    </w:lvl>
    <w:lvl w:ilvl="7" w:tplc="8AE26C6C">
      <w:start w:val="1"/>
      <w:numFmt w:val="bullet"/>
      <w:lvlText w:val="o"/>
      <w:lvlJc w:val="left"/>
      <w:pPr>
        <w:ind w:left="5760" w:hanging="360"/>
      </w:pPr>
      <w:rPr>
        <w:rFonts w:ascii="Courier New" w:hAnsi="Courier New" w:hint="default"/>
      </w:rPr>
    </w:lvl>
    <w:lvl w:ilvl="8" w:tplc="DE588F16">
      <w:start w:val="1"/>
      <w:numFmt w:val="bullet"/>
      <w:lvlText w:val=""/>
      <w:lvlJc w:val="left"/>
      <w:pPr>
        <w:ind w:left="6480" w:hanging="360"/>
      </w:pPr>
      <w:rPr>
        <w:rFonts w:ascii="Wingdings" w:hAnsi="Wingdings" w:hint="default"/>
      </w:rPr>
    </w:lvl>
  </w:abstractNum>
  <w:abstractNum w:abstractNumId="21" w15:restartNumberingAfterBreak="0">
    <w:nsid w:val="462C4759"/>
    <w:multiLevelType w:val="hybridMultilevel"/>
    <w:tmpl w:val="B3BEED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059D8"/>
    <w:multiLevelType w:val="hybridMultilevel"/>
    <w:tmpl w:val="D0B07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5A544D"/>
    <w:multiLevelType w:val="hybridMultilevel"/>
    <w:tmpl w:val="380449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0080A3B"/>
    <w:multiLevelType w:val="hybridMultilevel"/>
    <w:tmpl w:val="53EE480A"/>
    <w:lvl w:ilvl="0" w:tplc="10B0758E">
      <w:start w:val="1"/>
      <w:numFmt w:val="bullet"/>
      <w:lvlText w:val=""/>
      <w:lvlJc w:val="left"/>
      <w:pPr>
        <w:ind w:left="720" w:hanging="360"/>
      </w:pPr>
      <w:rPr>
        <w:rFonts w:ascii="Symbol" w:hAnsi="Symbol" w:hint="default"/>
      </w:rPr>
    </w:lvl>
    <w:lvl w:ilvl="1" w:tplc="3DC630C6">
      <w:start w:val="1"/>
      <w:numFmt w:val="bullet"/>
      <w:lvlText w:val="o"/>
      <w:lvlJc w:val="left"/>
      <w:pPr>
        <w:ind w:left="1440" w:hanging="360"/>
      </w:pPr>
      <w:rPr>
        <w:rFonts w:ascii="Courier New" w:hAnsi="Courier New" w:hint="default"/>
      </w:rPr>
    </w:lvl>
    <w:lvl w:ilvl="2" w:tplc="802EF448">
      <w:start w:val="1"/>
      <w:numFmt w:val="bullet"/>
      <w:lvlText w:val=""/>
      <w:lvlJc w:val="left"/>
      <w:pPr>
        <w:ind w:left="2160" w:hanging="360"/>
      </w:pPr>
      <w:rPr>
        <w:rFonts w:ascii="Wingdings" w:hAnsi="Wingdings" w:hint="default"/>
      </w:rPr>
    </w:lvl>
    <w:lvl w:ilvl="3" w:tplc="FC2819CA">
      <w:start w:val="1"/>
      <w:numFmt w:val="bullet"/>
      <w:lvlText w:val=""/>
      <w:lvlJc w:val="left"/>
      <w:pPr>
        <w:ind w:left="2880" w:hanging="360"/>
      </w:pPr>
      <w:rPr>
        <w:rFonts w:ascii="Symbol" w:hAnsi="Symbol" w:hint="default"/>
      </w:rPr>
    </w:lvl>
    <w:lvl w:ilvl="4" w:tplc="9E9C6ED4">
      <w:start w:val="1"/>
      <w:numFmt w:val="bullet"/>
      <w:lvlText w:val="o"/>
      <w:lvlJc w:val="left"/>
      <w:pPr>
        <w:ind w:left="3600" w:hanging="360"/>
      </w:pPr>
      <w:rPr>
        <w:rFonts w:ascii="Courier New" w:hAnsi="Courier New" w:hint="default"/>
      </w:rPr>
    </w:lvl>
    <w:lvl w:ilvl="5" w:tplc="4CFCEB3A">
      <w:start w:val="1"/>
      <w:numFmt w:val="bullet"/>
      <w:lvlText w:val=""/>
      <w:lvlJc w:val="left"/>
      <w:pPr>
        <w:ind w:left="4320" w:hanging="360"/>
      </w:pPr>
      <w:rPr>
        <w:rFonts w:ascii="Wingdings" w:hAnsi="Wingdings" w:hint="default"/>
      </w:rPr>
    </w:lvl>
    <w:lvl w:ilvl="6" w:tplc="A2E6DBFA">
      <w:start w:val="1"/>
      <w:numFmt w:val="bullet"/>
      <w:lvlText w:val=""/>
      <w:lvlJc w:val="left"/>
      <w:pPr>
        <w:ind w:left="5040" w:hanging="360"/>
      </w:pPr>
      <w:rPr>
        <w:rFonts w:ascii="Symbol" w:hAnsi="Symbol" w:hint="default"/>
      </w:rPr>
    </w:lvl>
    <w:lvl w:ilvl="7" w:tplc="92728EF8">
      <w:start w:val="1"/>
      <w:numFmt w:val="bullet"/>
      <w:lvlText w:val="o"/>
      <w:lvlJc w:val="left"/>
      <w:pPr>
        <w:ind w:left="5760" w:hanging="360"/>
      </w:pPr>
      <w:rPr>
        <w:rFonts w:ascii="Courier New" w:hAnsi="Courier New" w:hint="default"/>
      </w:rPr>
    </w:lvl>
    <w:lvl w:ilvl="8" w:tplc="59B6169E">
      <w:start w:val="1"/>
      <w:numFmt w:val="bullet"/>
      <w:lvlText w:val=""/>
      <w:lvlJc w:val="left"/>
      <w:pPr>
        <w:ind w:left="6480" w:hanging="360"/>
      </w:pPr>
      <w:rPr>
        <w:rFonts w:ascii="Wingdings" w:hAnsi="Wingdings" w:hint="default"/>
      </w:rPr>
    </w:lvl>
  </w:abstractNum>
  <w:abstractNum w:abstractNumId="25" w15:restartNumberingAfterBreak="0">
    <w:nsid w:val="57EE161B"/>
    <w:multiLevelType w:val="multilevel"/>
    <w:tmpl w:val="5D3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260EF"/>
    <w:multiLevelType w:val="hybridMultilevel"/>
    <w:tmpl w:val="2F042B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DE8527F"/>
    <w:multiLevelType w:val="hybridMultilevel"/>
    <w:tmpl w:val="56BA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35B73"/>
    <w:multiLevelType w:val="hybridMultilevel"/>
    <w:tmpl w:val="9230B450"/>
    <w:lvl w:ilvl="0" w:tplc="5A2CDB7A">
      <w:numFmt w:val="bullet"/>
      <w:lvlText w:val="-"/>
      <w:lvlJc w:val="left"/>
      <w:pPr>
        <w:ind w:left="360" w:hanging="360"/>
      </w:pPr>
      <w:rPr>
        <w:rFonts w:ascii="Segoe UI" w:eastAsia="Times New Roman" w:hAnsi="Segoe UI" w:cs="Segoe U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6B20C41"/>
    <w:multiLevelType w:val="hybridMultilevel"/>
    <w:tmpl w:val="29EE0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86A79B3"/>
    <w:multiLevelType w:val="hybridMultilevel"/>
    <w:tmpl w:val="BC26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D1BB8"/>
    <w:multiLevelType w:val="hybridMultilevel"/>
    <w:tmpl w:val="A3F47958"/>
    <w:lvl w:ilvl="0" w:tplc="F7CE662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55E52"/>
    <w:multiLevelType w:val="hybridMultilevel"/>
    <w:tmpl w:val="CE12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95A5C"/>
    <w:multiLevelType w:val="hybridMultilevel"/>
    <w:tmpl w:val="992E1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67821"/>
    <w:multiLevelType w:val="hybridMultilevel"/>
    <w:tmpl w:val="BB5A0504"/>
    <w:lvl w:ilvl="0" w:tplc="ADFA0610">
      <w:start w:val="1"/>
      <w:numFmt w:val="bullet"/>
      <w:lvlText w:val=""/>
      <w:lvlJc w:val="left"/>
      <w:pPr>
        <w:ind w:left="720" w:hanging="360"/>
      </w:pPr>
      <w:rPr>
        <w:rFonts w:ascii="Symbol" w:hAnsi="Symbol" w:hint="default"/>
      </w:rPr>
    </w:lvl>
    <w:lvl w:ilvl="1" w:tplc="F794771C">
      <w:start w:val="1"/>
      <w:numFmt w:val="bullet"/>
      <w:lvlText w:val="o"/>
      <w:lvlJc w:val="left"/>
      <w:pPr>
        <w:ind w:left="1440" w:hanging="360"/>
      </w:pPr>
      <w:rPr>
        <w:rFonts w:ascii="Courier New" w:hAnsi="Courier New" w:hint="default"/>
      </w:rPr>
    </w:lvl>
    <w:lvl w:ilvl="2" w:tplc="D7D48B62">
      <w:start w:val="1"/>
      <w:numFmt w:val="bullet"/>
      <w:lvlText w:val=""/>
      <w:lvlJc w:val="left"/>
      <w:pPr>
        <w:ind w:left="2160" w:hanging="360"/>
      </w:pPr>
      <w:rPr>
        <w:rFonts w:ascii="Wingdings" w:hAnsi="Wingdings" w:hint="default"/>
      </w:rPr>
    </w:lvl>
    <w:lvl w:ilvl="3" w:tplc="ADEA786C">
      <w:start w:val="1"/>
      <w:numFmt w:val="bullet"/>
      <w:lvlText w:val=""/>
      <w:lvlJc w:val="left"/>
      <w:pPr>
        <w:ind w:left="2880" w:hanging="360"/>
      </w:pPr>
      <w:rPr>
        <w:rFonts w:ascii="Symbol" w:hAnsi="Symbol" w:hint="default"/>
      </w:rPr>
    </w:lvl>
    <w:lvl w:ilvl="4" w:tplc="3C8E7CAC">
      <w:start w:val="1"/>
      <w:numFmt w:val="bullet"/>
      <w:lvlText w:val="o"/>
      <w:lvlJc w:val="left"/>
      <w:pPr>
        <w:ind w:left="3600" w:hanging="360"/>
      </w:pPr>
      <w:rPr>
        <w:rFonts w:ascii="Courier New" w:hAnsi="Courier New" w:hint="default"/>
      </w:rPr>
    </w:lvl>
    <w:lvl w:ilvl="5" w:tplc="525E61A2">
      <w:start w:val="1"/>
      <w:numFmt w:val="bullet"/>
      <w:lvlText w:val=""/>
      <w:lvlJc w:val="left"/>
      <w:pPr>
        <w:ind w:left="4320" w:hanging="360"/>
      </w:pPr>
      <w:rPr>
        <w:rFonts w:ascii="Wingdings" w:hAnsi="Wingdings" w:hint="default"/>
      </w:rPr>
    </w:lvl>
    <w:lvl w:ilvl="6" w:tplc="E94EDB82">
      <w:start w:val="1"/>
      <w:numFmt w:val="bullet"/>
      <w:lvlText w:val=""/>
      <w:lvlJc w:val="left"/>
      <w:pPr>
        <w:ind w:left="5040" w:hanging="360"/>
      </w:pPr>
      <w:rPr>
        <w:rFonts w:ascii="Symbol" w:hAnsi="Symbol" w:hint="default"/>
      </w:rPr>
    </w:lvl>
    <w:lvl w:ilvl="7" w:tplc="A45CE11E">
      <w:start w:val="1"/>
      <w:numFmt w:val="bullet"/>
      <w:lvlText w:val="o"/>
      <w:lvlJc w:val="left"/>
      <w:pPr>
        <w:ind w:left="5760" w:hanging="360"/>
      </w:pPr>
      <w:rPr>
        <w:rFonts w:ascii="Courier New" w:hAnsi="Courier New" w:hint="default"/>
      </w:rPr>
    </w:lvl>
    <w:lvl w:ilvl="8" w:tplc="F638493A">
      <w:start w:val="1"/>
      <w:numFmt w:val="bullet"/>
      <w:lvlText w:val=""/>
      <w:lvlJc w:val="left"/>
      <w:pPr>
        <w:ind w:left="6480" w:hanging="360"/>
      </w:pPr>
      <w:rPr>
        <w:rFonts w:ascii="Wingdings" w:hAnsi="Wingdings" w:hint="default"/>
      </w:rPr>
    </w:lvl>
  </w:abstractNum>
  <w:abstractNum w:abstractNumId="35" w15:restartNumberingAfterBreak="0">
    <w:nsid w:val="73991137"/>
    <w:multiLevelType w:val="hybridMultilevel"/>
    <w:tmpl w:val="4D26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E6A7D"/>
    <w:multiLevelType w:val="hybridMultilevel"/>
    <w:tmpl w:val="D2BAC042"/>
    <w:lvl w:ilvl="0" w:tplc="DCCC25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F4423B"/>
    <w:multiLevelType w:val="hybridMultilevel"/>
    <w:tmpl w:val="0AEEB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D65670C"/>
    <w:multiLevelType w:val="hybridMultilevel"/>
    <w:tmpl w:val="63CE6B9E"/>
    <w:lvl w:ilvl="0" w:tplc="3B6ACA74">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CF3F4A"/>
    <w:multiLevelType w:val="hybridMultilevel"/>
    <w:tmpl w:val="61A6A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578C6"/>
    <w:multiLevelType w:val="multilevel"/>
    <w:tmpl w:val="191CD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4"/>
  </w:num>
  <w:num w:numId="3">
    <w:abstractNumId w:val="24"/>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22"/>
  </w:num>
  <w:num w:numId="9">
    <w:abstractNumId w:val="35"/>
  </w:num>
  <w:num w:numId="10">
    <w:abstractNumId w:val="39"/>
  </w:num>
  <w:num w:numId="11">
    <w:abstractNumId w:val="1"/>
    <w:lvlOverride w:ilvl="0">
      <w:startOverride w:val="1"/>
    </w:lvlOverride>
  </w:num>
  <w:num w:numId="12">
    <w:abstractNumId w:val="15"/>
  </w:num>
  <w:num w:numId="13">
    <w:abstractNumId w:val="9"/>
  </w:num>
  <w:num w:numId="14">
    <w:abstractNumId w:val="5"/>
  </w:num>
  <w:num w:numId="15">
    <w:abstractNumId w:val="11"/>
  </w:num>
  <w:num w:numId="16">
    <w:abstractNumId w:val="32"/>
  </w:num>
  <w:num w:numId="17">
    <w:abstractNumId w:val="1"/>
    <w:lvlOverride w:ilvl="0">
      <w:startOverride w:val="1"/>
    </w:lvlOverride>
  </w:num>
  <w:num w:numId="18">
    <w:abstractNumId w:val="36"/>
  </w:num>
  <w:num w:numId="19">
    <w:abstractNumId w:val="7"/>
  </w:num>
  <w:num w:numId="20">
    <w:abstractNumId w:val="12"/>
  </w:num>
  <w:num w:numId="21">
    <w:abstractNumId w:val="18"/>
  </w:num>
  <w:num w:numId="22">
    <w:abstractNumId w:val="6"/>
  </w:num>
  <w:num w:numId="23">
    <w:abstractNumId w:val="8"/>
  </w:num>
  <w:num w:numId="24">
    <w:abstractNumId w:val="31"/>
  </w:num>
  <w:num w:numId="25">
    <w:abstractNumId w:val="3"/>
  </w:num>
  <w:num w:numId="26">
    <w:abstractNumId w:val="1"/>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7"/>
  </w:num>
  <w:num w:numId="32">
    <w:abstractNumId w:val="16"/>
  </w:num>
  <w:num w:numId="33">
    <w:abstractNumId w:val="40"/>
  </w:num>
  <w:num w:numId="34">
    <w:abstractNumId w:val="38"/>
  </w:num>
  <w:num w:numId="35">
    <w:abstractNumId w:val="33"/>
  </w:num>
  <w:num w:numId="36">
    <w:abstractNumId w:val="23"/>
  </w:num>
  <w:num w:numId="37">
    <w:abstractNumId w:val="23"/>
  </w:num>
  <w:num w:numId="38">
    <w:abstractNumId w:val="17"/>
  </w:num>
  <w:num w:numId="39">
    <w:abstractNumId w:val="2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7"/>
  </w:num>
  <w:num w:numId="43">
    <w:abstractNumId w:val="37"/>
  </w:num>
  <w:num w:numId="44">
    <w:abstractNumId w:val="13"/>
  </w:num>
  <w:num w:numId="45">
    <w:abstractNumId w:val="2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F353457-41E4-41D0-BE26-79C774017F27"/>
    <w:docVar w:name="LW_COVERPAGE_TYPE" w:val="1"/>
    <w:docVar w:name="LW_CROSSREFERENCE" w:val="{COM(2021) 950 final} - {SWD(2021) 298 final}"/>
    <w:docVar w:name="LW_DocType" w:val="NORMAL"/>
    <w:docVar w:name="LW_EMISSION" w:val="26.10.2021."/>
    <w:docVar w:name="LW_EMISSION_ISODATE" w:val="2021-10-26"/>
    <w:docVar w:name="LW_EMISSION_LOCATION" w:val="BRX"/>
    <w:docVar w:name="LW_EMISSION_PREFIX" w:val="Bruxelles, "/>
    <w:docVar w:name="LW_EMISSION_SUFFIX" w:val="&lt;EMPTY&gt;"/>
    <w:docVar w:name="LW_ID_DOCTYPE_NONLW" w:val="CP-008"/>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1) 9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brzavanje europskog djelovanja u podru\u269?ju klime radi zelene, pravedne i prosperitetne budu\u263?nosti&lt;/FMT&gt;_x000d__x000b__x000d__x000d__x000d__x000d__x000d__x000d__x000d__x000d__x000b__x000d__x000d__x000d__x000d__x000d__x000d__x000b__x000d__x000d__x000d__x000d__x000d__x000d__x000b__x000d__x000d__x000b_Izvje\u353?\u263?e o djelovanju EU-a u podru\u269?ju klime 2021."/>
    <w:docVar w:name="LW_TYPE.DOC.CP" w:val="IZVJE\u352?\u262?E KOMISIJE EUROPSKOM PARLAMENTU, VIJE\u262?U, EUROPSKOM GOSPODARSKOM I SOCIJALNOM ODBORU I ODBORU REGIJA"/>
    <w:docVar w:name="LwApiVersions" w:val="LW4CoDe 1.23.1.0; LW 8.0, Build 20210728"/>
  </w:docVars>
  <w:rsids>
    <w:rsidRoot w:val="00D8285A"/>
    <w:rsid w:val="000030E2"/>
    <w:rsid w:val="00003A53"/>
    <w:rsid w:val="00005EC3"/>
    <w:rsid w:val="00006F27"/>
    <w:rsid w:val="0001054E"/>
    <w:rsid w:val="000110F0"/>
    <w:rsid w:val="00012679"/>
    <w:rsid w:val="00021877"/>
    <w:rsid w:val="00021884"/>
    <w:rsid w:val="00022AD8"/>
    <w:rsid w:val="00024A46"/>
    <w:rsid w:val="00024E85"/>
    <w:rsid w:val="000266E8"/>
    <w:rsid w:val="00026C2F"/>
    <w:rsid w:val="0002787B"/>
    <w:rsid w:val="000334A1"/>
    <w:rsid w:val="000358C3"/>
    <w:rsid w:val="000378C8"/>
    <w:rsid w:val="00037B13"/>
    <w:rsid w:val="00037D70"/>
    <w:rsid w:val="00045400"/>
    <w:rsid w:val="000479F7"/>
    <w:rsid w:val="00050337"/>
    <w:rsid w:val="000509F6"/>
    <w:rsid w:val="000524C6"/>
    <w:rsid w:val="00052A9F"/>
    <w:rsid w:val="00052C02"/>
    <w:rsid w:val="00055082"/>
    <w:rsid w:val="000559F5"/>
    <w:rsid w:val="00060229"/>
    <w:rsid w:val="00060917"/>
    <w:rsid w:val="00062493"/>
    <w:rsid w:val="00065EE5"/>
    <w:rsid w:val="00067916"/>
    <w:rsid w:val="00070C4B"/>
    <w:rsid w:val="00074B78"/>
    <w:rsid w:val="000756CC"/>
    <w:rsid w:val="00076167"/>
    <w:rsid w:val="00077AF0"/>
    <w:rsid w:val="00081418"/>
    <w:rsid w:val="0008235C"/>
    <w:rsid w:val="00085441"/>
    <w:rsid w:val="00087C7A"/>
    <w:rsid w:val="000904FB"/>
    <w:rsid w:val="00095025"/>
    <w:rsid w:val="00097BA9"/>
    <w:rsid w:val="00097E6E"/>
    <w:rsid w:val="00097F4B"/>
    <w:rsid w:val="000A3E44"/>
    <w:rsid w:val="000A7ED3"/>
    <w:rsid w:val="000B2562"/>
    <w:rsid w:val="000B4C78"/>
    <w:rsid w:val="000B7BC8"/>
    <w:rsid w:val="000D03AA"/>
    <w:rsid w:val="000D10A5"/>
    <w:rsid w:val="000E1B57"/>
    <w:rsid w:val="000E4C88"/>
    <w:rsid w:val="000E4FEC"/>
    <w:rsid w:val="000E5F47"/>
    <w:rsid w:val="000E64A1"/>
    <w:rsid w:val="000F04FB"/>
    <w:rsid w:val="000F2A51"/>
    <w:rsid w:val="000F2D48"/>
    <w:rsid w:val="000F392F"/>
    <w:rsid w:val="000F579B"/>
    <w:rsid w:val="00100559"/>
    <w:rsid w:val="00104B46"/>
    <w:rsid w:val="001051FF"/>
    <w:rsid w:val="0010568E"/>
    <w:rsid w:val="001056A6"/>
    <w:rsid w:val="00105AF6"/>
    <w:rsid w:val="00107C10"/>
    <w:rsid w:val="00110DED"/>
    <w:rsid w:val="001113C2"/>
    <w:rsid w:val="0011150E"/>
    <w:rsid w:val="00112B91"/>
    <w:rsid w:val="00112E8C"/>
    <w:rsid w:val="00113E38"/>
    <w:rsid w:val="001152F5"/>
    <w:rsid w:val="0011564C"/>
    <w:rsid w:val="00116FCB"/>
    <w:rsid w:val="00117870"/>
    <w:rsid w:val="001245D6"/>
    <w:rsid w:val="00126F31"/>
    <w:rsid w:val="00130AC0"/>
    <w:rsid w:val="001346E7"/>
    <w:rsid w:val="001355C3"/>
    <w:rsid w:val="00137854"/>
    <w:rsid w:val="001400C6"/>
    <w:rsid w:val="00140387"/>
    <w:rsid w:val="00145F27"/>
    <w:rsid w:val="00151730"/>
    <w:rsid w:val="00152684"/>
    <w:rsid w:val="00157C7E"/>
    <w:rsid w:val="0016001C"/>
    <w:rsid w:val="001601E1"/>
    <w:rsid w:val="00163354"/>
    <w:rsid w:val="001658B7"/>
    <w:rsid w:val="0018139A"/>
    <w:rsid w:val="00182F62"/>
    <w:rsid w:val="00184E6C"/>
    <w:rsid w:val="00184EB2"/>
    <w:rsid w:val="00185161"/>
    <w:rsid w:val="001923EA"/>
    <w:rsid w:val="00193E2C"/>
    <w:rsid w:val="001953C7"/>
    <w:rsid w:val="00196BE7"/>
    <w:rsid w:val="00197B70"/>
    <w:rsid w:val="001A02A1"/>
    <w:rsid w:val="001A4BF6"/>
    <w:rsid w:val="001B244E"/>
    <w:rsid w:val="001B315F"/>
    <w:rsid w:val="001B4E2F"/>
    <w:rsid w:val="001B6A06"/>
    <w:rsid w:val="001C42E5"/>
    <w:rsid w:val="001C4B63"/>
    <w:rsid w:val="001C56FB"/>
    <w:rsid w:val="001C5D99"/>
    <w:rsid w:val="001C7592"/>
    <w:rsid w:val="001D1922"/>
    <w:rsid w:val="001D2BCB"/>
    <w:rsid w:val="001D5516"/>
    <w:rsid w:val="001D6139"/>
    <w:rsid w:val="001D6821"/>
    <w:rsid w:val="001D75C8"/>
    <w:rsid w:val="001E1124"/>
    <w:rsid w:val="001E33B0"/>
    <w:rsid w:val="001E686B"/>
    <w:rsid w:val="001F03B2"/>
    <w:rsid w:val="001F16F6"/>
    <w:rsid w:val="001F1926"/>
    <w:rsid w:val="001F27DD"/>
    <w:rsid w:val="001F540D"/>
    <w:rsid w:val="001F6940"/>
    <w:rsid w:val="001F7E5A"/>
    <w:rsid w:val="00200878"/>
    <w:rsid w:val="002015D8"/>
    <w:rsid w:val="002032A7"/>
    <w:rsid w:val="00205BAC"/>
    <w:rsid w:val="002065E1"/>
    <w:rsid w:val="002076F7"/>
    <w:rsid w:val="00207E29"/>
    <w:rsid w:val="00215DC4"/>
    <w:rsid w:val="0021775A"/>
    <w:rsid w:val="0022670F"/>
    <w:rsid w:val="00226D25"/>
    <w:rsid w:val="0022743F"/>
    <w:rsid w:val="00234732"/>
    <w:rsid w:val="002354F4"/>
    <w:rsid w:val="00237B03"/>
    <w:rsid w:val="00240B22"/>
    <w:rsid w:val="00241998"/>
    <w:rsid w:val="00241A1A"/>
    <w:rsid w:val="00243D41"/>
    <w:rsid w:val="00244822"/>
    <w:rsid w:val="002450B7"/>
    <w:rsid w:val="002510E6"/>
    <w:rsid w:val="0025227B"/>
    <w:rsid w:val="00252A5E"/>
    <w:rsid w:val="0025330C"/>
    <w:rsid w:val="0025384D"/>
    <w:rsid w:val="0025443A"/>
    <w:rsid w:val="002546B3"/>
    <w:rsid w:val="00254B10"/>
    <w:rsid w:val="0025549A"/>
    <w:rsid w:val="00255DC4"/>
    <w:rsid w:val="00256190"/>
    <w:rsid w:val="00256A06"/>
    <w:rsid w:val="00261E3F"/>
    <w:rsid w:val="00263C88"/>
    <w:rsid w:val="0026711C"/>
    <w:rsid w:val="002671D0"/>
    <w:rsid w:val="00267B59"/>
    <w:rsid w:val="0027346C"/>
    <w:rsid w:val="00273B06"/>
    <w:rsid w:val="00275DCA"/>
    <w:rsid w:val="00277789"/>
    <w:rsid w:val="0028123A"/>
    <w:rsid w:val="00282156"/>
    <w:rsid w:val="00285044"/>
    <w:rsid w:val="00286772"/>
    <w:rsid w:val="00287BF2"/>
    <w:rsid w:val="002901BB"/>
    <w:rsid w:val="0029272A"/>
    <w:rsid w:val="0029570F"/>
    <w:rsid w:val="002A19A2"/>
    <w:rsid w:val="002A1D67"/>
    <w:rsid w:val="002A2044"/>
    <w:rsid w:val="002A321C"/>
    <w:rsid w:val="002A3752"/>
    <w:rsid w:val="002A3991"/>
    <w:rsid w:val="002A50F9"/>
    <w:rsid w:val="002A6C25"/>
    <w:rsid w:val="002A71BE"/>
    <w:rsid w:val="002B0A81"/>
    <w:rsid w:val="002B0FF1"/>
    <w:rsid w:val="002B58C9"/>
    <w:rsid w:val="002C0FBC"/>
    <w:rsid w:val="002C2D77"/>
    <w:rsid w:val="002D18B1"/>
    <w:rsid w:val="002D2EFB"/>
    <w:rsid w:val="002D503E"/>
    <w:rsid w:val="002D5B53"/>
    <w:rsid w:val="002E0342"/>
    <w:rsid w:val="002E09EA"/>
    <w:rsid w:val="002E408D"/>
    <w:rsid w:val="002E499E"/>
    <w:rsid w:val="002E5355"/>
    <w:rsid w:val="002E6B5E"/>
    <w:rsid w:val="002F0150"/>
    <w:rsid w:val="002F65FE"/>
    <w:rsid w:val="002F7699"/>
    <w:rsid w:val="003034EF"/>
    <w:rsid w:val="003036C6"/>
    <w:rsid w:val="00304ED8"/>
    <w:rsid w:val="0030530D"/>
    <w:rsid w:val="00306A03"/>
    <w:rsid w:val="003154C2"/>
    <w:rsid w:val="003158C0"/>
    <w:rsid w:val="00316E0B"/>
    <w:rsid w:val="00317237"/>
    <w:rsid w:val="003220E3"/>
    <w:rsid w:val="003226AB"/>
    <w:rsid w:val="0032538C"/>
    <w:rsid w:val="00325D3E"/>
    <w:rsid w:val="0033499F"/>
    <w:rsid w:val="00336AD2"/>
    <w:rsid w:val="003416B0"/>
    <w:rsid w:val="00344550"/>
    <w:rsid w:val="003462A4"/>
    <w:rsid w:val="00346BA4"/>
    <w:rsid w:val="00346E84"/>
    <w:rsid w:val="00360400"/>
    <w:rsid w:val="00364E93"/>
    <w:rsid w:val="00366158"/>
    <w:rsid w:val="00370A88"/>
    <w:rsid w:val="00370FE0"/>
    <w:rsid w:val="0038130C"/>
    <w:rsid w:val="00386943"/>
    <w:rsid w:val="003871B4"/>
    <w:rsid w:val="003903AD"/>
    <w:rsid w:val="00393418"/>
    <w:rsid w:val="00394A8F"/>
    <w:rsid w:val="00395C74"/>
    <w:rsid w:val="003A40B1"/>
    <w:rsid w:val="003A6B97"/>
    <w:rsid w:val="003B419D"/>
    <w:rsid w:val="003B5151"/>
    <w:rsid w:val="003B5780"/>
    <w:rsid w:val="003B64F3"/>
    <w:rsid w:val="003B685B"/>
    <w:rsid w:val="003B69FC"/>
    <w:rsid w:val="003B6B8D"/>
    <w:rsid w:val="003C17D8"/>
    <w:rsid w:val="003C5E2C"/>
    <w:rsid w:val="003C6B5B"/>
    <w:rsid w:val="003D0A13"/>
    <w:rsid w:val="003D0D6E"/>
    <w:rsid w:val="003D18BC"/>
    <w:rsid w:val="003D1F01"/>
    <w:rsid w:val="003D3612"/>
    <w:rsid w:val="003D3B8E"/>
    <w:rsid w:val="003D40FE"/>
    <w:rsid w:val="003D42AC"/>
    <w:rsid w:val="003D7DD0"/>
    <w:rsid w:val="003E1853"/>
    <w:rsid w:val="003E30F6"/>
    <w:rsid w:val="003E3B9E"/>
    <w:rsid w:val="003E4AFC"/>
    <w:rsid w:val="003E5475"/>
    <w:rsid w:val="003F07A7"/>
    <w:rsid w:val="003F12A7"/>
    <w:rsid w:val="003F1328"/>
    <w:rsid w:val="003F28A6"/>
    <w:rsid w:val="003F2A6F"/>
    <w:rsid w:val="003F2A97"/>
    <w:rsid w:val="003F2E1D"/>
    <w:rsid w:val="0040099F"/>
    <w:rsid w:val="00401EB6"/>
    <w:rsid w:val="00405200"/>
    <w:rsid w:val="00405A45"/>
    <w:rsid w:val="00405F06"/>
    <w:rsid w:val="00406805"/>
    <w:rsid w:val="0040791B"/>
    <w:rsid w:val="00411FD0"/>
    <w:rsid w:val="00416C2C"/>
    <w:rsid w:val="00420D7A"/>
    <w:rsid w:val="004219CD"/>
    <w:rsid w:val="004225C8"/>
    <w:rsid w:val="004234D7"/>
    <w:rsid w:val="00426E56"/>
    <w:rsid w:val="00430379"/>
    <w:rsid w:val="004321C4"/>
    <w:rsid w:val="00433547"/>
    <w:rsid w:val="0043474C"/>
    <w:rsid w:val="00435748"/>
    <w:rsid w:val="0044471B"/>
    <w:rsid w:val="004450D5"/>
    <w:rsid w:val="00446F7E"/>
    <w:rsid w:val="00450569"/>
    <w:rsid w:val="00450AF0"/>
    <w:rsid w:val="004520B4"/>
    <w:rsid w:val="00453DBF"/>
    <w:rsid w:val="00455201"/>
    <w:rsid w:val="00455A0C"/>
    <w:rsid w:val="004568A6"/>
    <w:rsid w:val="00457954"/>
    <w:rsid w:val="00464186"/>
    <w:rsid w:val="00466601"/>
    <w:rsid w:val="00471B44"/>
    <w:rsid w:val="004741B6"/>
    <w:rsid w:val="00475C17"/>
    <w:rsid w:val="00477F42"/>
    <w:rsid w:val="00480B80"/>
    <w:rsid w:val="00480C06"/>
    <w:rsid w:val="00483C3C"/>
    <w:rsid w:val="004849FC"/>
    <w:rsid w:val="004857D1"/>
    <w:rsid w:val="00485E99"/>
    <w:rsid w:val="00490A09"/>
    <w:rsid w:val="00491E36"/>
    <w:rsid w:val="00491FF4"/>
    <w:rsid w:val="0049503A"/>
    <w:rsid w:val="00495651"/>
    <w:rsid w:val="00496F13"/>
    <w:rsid w:val="004970BE"/>
    <w:rsid w:val="00497DF2"/>
    <w:rsid w:val="004A055E"/>
    <w:rsid w:val="004A22BC"/>
    <w:rsid w:val="004A2809"/>
    <w:rsid w:val="004A482E"/>
    <w:rsid w:val="004B023F"/>
    <w:rsid w:val="004B12B0"/>
    <w:rsid w:val="004B2AB5"/>
    <w:rsid w:val="004B45E8"/>
    <w:rsid w:val="004B7214"/>
    <w:rsid w:val="004C1735"/>
    <w:rsid w:val="004C3429"/>
    <w:rsid w:val="004C52A0"/>
    <w:rsid w:val="004C649D"/>
    <w:rsid w:val="004C6B58"/>
    <w:rsid w:val="004C7675"/>
    <w:rsid w:val="004D0169"/>
    <w:rsid w:val="004D13F8"/>
    <w:rsid w:val="004D4323"/>
    <w:rsid w:val="004D4F9F"/>
    <w:rsid w:val="004E1F64"/>
    <w:rsid w:val="004E4CD5"/>
    <w:rsid w:val="004E662A"/>
    <w:rsid w:val="004E7449"/>
    <w:rsid w:val="004E751E"/>
    <w:rsid w:val="004F0826"/>
    <w:rsid w:val="004F1C2D"/>
    <w:rsid w:val="004F213C"/>
    <w:rsid w:val="004F5B68"/>
    <w:rsid w:val="004F5E54"/>
    <w:rsid w:val="004F6C3C"/>
    <w:rsid w:val="004F714F"/>
    <w:rsid w:val="0050198A"/>
    <w:rsid w:val="005034D3"/>
    <w:rsid w:val="00503B32"/>
    <w:rsid w:val="00505AD0"/>
    <w:rsid w:val="00505ADA"/>
    <w:rsid w:val="00512F19"/>
    <w:rsid w:val="0051359A"/>
    <w:rsid w:val="005140BE"/>
    <w:rsid w:val="0051567E"/>
    <w:rsid w:val="0051730D"/>
    <w:rsid w:val="00517A74"/>
    <w:rsid w:val="00517ECC"/>
    <w:rsid w:val="00524F31"/>
    <w:rsid w:val="00525C5A"/>
    <w:rsid w:val="00525E75"/>
    <w:rsid w:val="00526ECF"/>
    <w:rsid w:val="005270E7"/>
    <w:rsid w:val="005312B5"/>
    <w:rsid w:val="00531BDB"/>
    <w:rsid w:val="0054092B"/>
    <w:rsid w:val="00540F68"/>
    <w:rsid w:val="005410F2"/>
    <w:rsid w:val="00542FB4"/>
    <w:rsid w:val="00543136"/>
    <w:rsid w:val="00545629"/>
    <w:rsid w:val="00545ED4"/>
    <w:rsid w:val="00546955"/>
    <w:rsid w:val="00547D31"/>
    <w:rsid w:val="00551932"/>
    <w:rsid w:val="0055279F"/>
    <w:rsid w:val="0055294F"/>
    <w:rsid w:val="00553871"/>
    <w:rsid w:val="00555498"/>
    <w:rsid w:val="00555E95"/>
    <w:rsid w:val="00556C48"/>
    <w:rsid w:val="00557627"/>
    <w:rsid w:val="0056125E"/>
    <w:rsid w:val="00563389"/>
    <w:rsid w:val="0056459B"/>
    <w:rsid w:val="00571571"/>
    <w:rsid w:val="005727A5"/>
    <w:rsid w:val="00574B16"/>
    <w:rsid w:val="005800D1"/>
    <w:rsid w:val="00580315"/>
    <w:rsid w:val="005804DF"/>
    <w:rsid w:val="00581DE6"/>
    <w:rsid w:val="005835E6"/>
    <w:rsid w:val="00584B8B"/>
    <w:rsid w:val="00584E20"/>
    <w:rsid w:val="00590F68"/>
    <w:rsid w:val="0059135C"/>
    <w:rsid w:val="0059195E"/>
    <w:rsid w:val="005979D7"/>
    <w:rsid w:val="005A1907"/>
    <w:rsid w:val="005A1F6B"/>
    <w:rsid w:val="005A2FB1"/>
    <w:rsid w:val="005A5962"/>
    <w:rsid w:val="005A7CF6"/>
    <w:rsid w:val="005B18DD"/>
    <w:rsid w:val="005B492C"/>
    <w:rsid w:val="005B582A"/>
    <w:rsid w:val="005B638E"/>
    <w:rsid w:val="005B6CF4"/>
    <w:rsid w:val="005C015F"/>
    <w:rsid w:val="005C0B1D"/>
    <w:rsid w:val="005C0FB3"/>
    <w:rsid w:val="005C6263"/>
    <w:rsid w:val="005C6CE0"/>
    <w:rsid w:val="005D01F4"/>
    <w:rsid w:val="005D10AF"/>
    <w:rsid w:val="005D14AA"/>
    <w:rsid w:val="005D1D2F"/>
    <w:rsid w:val="005D2901"/>
    <w:rsid w:val="005D3EC2"/>
    <w:rsid w:val="005D4665"/>
    <w:rsid w:val="005D6066"/>
    <w:rsid w:val="005D75F8"/>
    <w:rsid w:val="005D784C"/>
    <w:rsid w:val="005E12A6"/>
    <w:rsid w:val="005E228D"/>
    <w:rsid w:val="005E3225"/>
    <w:rsid w:val="005E4142"/>
    <w:rsid w:val="005F134D"/>
    <w:rsid w:val="005F1462"/>
    <w:rsid w:val="005F2A55"/>
    <w:rsid w:val="005F310D"/>
    <w:rsid w:val="005F4661"/>
    <w:rsid w:val="005F66FF"/>
    <w:rsid w:val="00601255"/>
    <w:rsid w:val="00602E10"/>
    <w:rsid w:val="00604C33"/>
    <w:rsid w:val="0060616F"/>
    <w:rsid w:val="00613CE0"/>
    <w:rsid w:val="0061423A"/>
    <w:rsid w:val="006218FE"/>
    <w:rsid w:val="00622435"/>
    <w:rsid w:val="006238F1"/>
    <w:rsid w:val="00632F03"/>
    <w:rsid w:val="00633CCB"/>
    <w:rsid w:val="00634721"/>
    <w:rsid w:val="00637678"/>
    <w:rsid w:val="0064080B"/>
    <w:rsid w:val="006414F9"/>
    <w:rsid w:val="006426A4"/>
    <w:rsid w:val="00644CDA"/>
    <w:rsid w:val="00645510"/>
    <w:rsid w:val="006474C5"/>
    <w:rsid w:val="0064779F"/>
    <w:rsid w:val="00647B89"/>
    <w:rsid w:val="00650FAA"/>
    <w:rsid w:val="006510E8"/>
    <w:rsid w:val="006520D9"/>
    <w:rsid w:val="00657A7B"/>
    <w:rsid w:val="00662566"/>
    <w:rsid w:val="00664031"/>
    <w:rsid w:val="00664A0C"/>
    <w:rsid w:val="00664AEC"/>
    <w:rsid w:val="00664B3E"/>
    <w:rsid w:val="00667989"/>
    <w:rsid w:val="006702FB"/>
    <w:rsid w:val="00671114"/>
    <w:rsid w:val="00671794"/>
    <w:rsid w:val="0067240C"/>
    <w:rsid w:val="00675352"/>
    <w:rsid w:val="00675EA2"/>
    <w:rsid w:val="00676C65"/>
    <w:rsid w:val="0067757D"/>
    <w:rsid w:val="006802CF"/>
    <w:rsid w:val="00685E44"/>
    <w:rsid w:val="00687D3D"/>
    <w:rsid w:val="00691270"/>
    <w:rsid w:val="006929F8"/>
    <w:rsid w:val="00693B34"/>
    <w:rsid w:val="006944E0"/>
    <w:rsid w:val="00695D52"/>
    <w:rsid w:val="006A119A"/>
    <w:rsid w:val="006A1DC9"/>
    <w:rsid w:val="006A6DB2"/>
    <w:rsid w:val="006B0ECD"/>
    <w:rsid w:val="006B5FCD"/>
    <w:rsid w:val="006C03F0"/>
    <w:rsid w:val="006C2F41"/>
    <w:rsid w:val="006C2FA1"/>
    <w:rsid w:val="006C3B1A"/>
    <w:rsid w:val="006C52D5"/>
    <w:rsid w:val="006D2F41"/>
    <w:rsid w:val="006D5D42"/>
    <w:rsid w:val="006D6CD3"/>
    <w:rsid w:val="006D7581"/>
    <w:rsid w:val="006E00F7"/>
    <w:rsid w:val="006E036C"/>
    <w:rsid w:val="006E27F7"/>
    <w:rsid w:val="006E2A3A"/>
    <w:rsid w:val="006E3D8D"/>
    <w:rsid w:val="006E5BEC"/>
    <w:rsid w:val="006E5E1D"/>
    <w:rsid w:val="006E76F5"/>
    <w:rsid w:val="006F1317"/>
    <w:rsid w:val="006F2E68"/>
    <w:rsid w:val="006F3084"/>
    <w:rsid w:val="006F3DBA"/>
    <w:rsid w:val="006F4CED"/>
    <w:rsid w:val="00700185"/>
    <w:rsid w:val="00705EDE"/>
    <w:rsid w:val="00706CEC"/>
    <w:rsid w:val="00712853"/>
    <w:rsid w:val="007170AC"/>
    <w:rsid w:val="00721371"/>
    <w:rsid w:val="007215E2"/>
    <w:rsid w:val="00730DA4"/>
    <w:rsid w:val="00731FC1"/>
    <w:rsid w:val="00732D7F"/>
    <w:rsid w:val="00735E9F"/>
    <w:rsid w:val="007364A3"/>
    <w:rsid w:val="00736D77"/>
    <w:rsid w:val="00740098"/>
    <w:rsid w:val="00740B47"/>
    <w:rsid w:val="007436F7"/>
    <w:rsid w:val="007446DD"/>
    <w:rsid w:val="0074579F"/>
    <w:rsid w:val="00747692"/>
    <w:rsid w:val="00752CE6"/>
    <w:rsid w:val="007544AC"/>
    <w:rsid w:val="00754A9F"/>
    <w:rsid w:val="0075542B"/>
    <w:rsid w:val="007604A0"/>
    <w:rsid w:val="00762B2C"/>
    <w:rsid w:val="0076480F"/>
    <w:rsid w:val="00765218"/>
    <w:rsid w:val="00766ED0"/>
    <w:rsid w:val="007703D0"/>
    <w:rsid w:val="00772D0A"/>
    <w:rsid w:val="00772F60"/>
    <w:rsid w:val="007776B6"/>
    <w:rsid w:val="00780CF9"/>
    <w:rsid w:val="00786486"/>
    <w:rsid w:val="00786C9A"/>
    <w:rsid w:val="00787BC5"/>
    <w:rsid w:val="00790912"/>
    <w:rsid w:val="00790A1D"/>
    <w:rsid w:val="00794F35"/>
    <w:rsid w:val="00795100"/>
    <w:rsid w:val="0079674F"/>
    <w:rsid w:val="00796A6B"/>
    <w:rsid w:val="00796F09"/>
    <w:rsid w:val="007A1AF4"/>
    <w:rsid w:val="007A36CB"/>
    <w:rsid w:val="007A4020"/>
    <w:rsid w:val="007A4444"/>
    <w:rsid w:val="007A505F"/>
    <w:rsid w:val="007B0144"/>
    <w:rsid w:val="007B25FB"/>
    <w:rsid w:val="007B3F44"/>
    <w:rsid w:val="007B3F9E"/>
    <w:rsid w:val="007B43E0"/>
    <w:rsid w:val="007B4943"/>
    <w:rsid w:val="007B51BA"/>
    <w:rsid w:val="007B782B"/>
    <w:rsid w:val="007B7A99"/>
    <w:rsid w:val="007C175C"/>
    <w:rsid w:val="007C290F"/>
    <w:rsid w:val="007C319A"/>
    <w:rsid w:val="007C382C"/>
    <w:rsid w:val="007C38BF"/>
    <w:rsid w:val="007C521E"/>
    <w:rsid w:val="007D09B3"/>
    <w:rsid w:val="007D191B"/>
    <w:rsid w:val="007D1B4E"/>
    <w:rsid w:val="007D4893"/>
    <w:rsid w:val="007D500F"/>
    <w:rsid w:val="007D5115"/>
    <w:rsid w:val="007D598D"/>
    <w:rsid w:val="007D6AC6"/>
    <w:rsid w:val="007D758D"/>
    <w:rsid w:val="007E0B30"/>
    <w:rsid w:val="007E0D91"/>
    <w:rsid w:val="007E54EC"/>
    <w:rsid w:val="007E616F"/>
    <w:rsid w:val="007F186F"/>
    <w:rsid w:val="007F2832"/>
    <w:rsid w:val="007F2C27"/>
    <w:rsid w:val="007F3AA2"/>
    <w:rsid w:val="007F40A2"/>
    <w:rsid w:val="007F4FE3"/>
    <w:rsid w:val="007F7816"/>
    <w:rsid w:val="0080141A"/>
    <w:rsid w:val="00801691"/>
    <w:rsid w:val="00810192"/>
    <w:rsid w:val="00813A3B"/>
    <w:rsid w:val="00813C18"/>
    <w:rsid w:val="008166AC"/>
    <w:rsid w:val="008203AC"/>
    <w:rsid w:val="00822FA8"/>
    <w:rsid w:val="008238B3"/>
    <w:rsid w:val="00823DD2"/>
    <w:rsid w:val="00823ECC"/>
    <w:rsid w:val="00824787"/>
    <w:rsid w:val="008267A7"/>
    <w:rsid w:val="008307BF"/>
    <w:rsid w:val="00833224"/>
    <w:rsid w:val="00835378"/>
    <w:rsid w:val="008353D7"/>
    <w:rsid w:val="00837D8B"/>
    <w:rsid w:val="00840407"/>
    <w:rsid w:val="00841888"/>
    <w:rsid w:val="00844618"/>
    <w:rsid w:val="008474CD"/>
    <w:rsid w:val="008526FD"/>
    <w:rsid w:val="0085289D"/>
    <w:rsid w:val="008528C3"/>
    <w:rsid w:val="00852927"/>
    <w:rsid w:val="008532AF"/>
    <w:rsid w:val="00856B07"/>
    <w:rsid w:val="0086172B"/>
    <w:rsid w:val="00861FAB"/>
    <w:rsid w:val="008659EF"/>
    <w:rsid w:val="0087034F"/>
    <w:rsid w:val="00870831"/>
    <w:rsid w:val="008752FE"/>
    <w:rsid w:val="00876CA5"/>
    <w:rsid w:val="00877B91"/>
    <w:rsid w:val="00880799"/>
    <w:rsid w:val="0088092A"/>
    <w:rsid w:val="008824D2"/>
    <w:rsid w:val="008831FE"/>
    <w:rsid w:val="00883F1D"/>
    <w:rsid w:val="00884612"/>
    <w:rsid w:val="0088529D"/>
    <w:rsid w:val="00887198"/>
    <w:rsid w:val="00892835"/>
    <w:rsid w:val="008956CA"/>
    <w:rsid w:val="00896821"/>
    <w:rsid w:val="008A2010"/>
    <w:rsid w:val="008A3F76"/>
    <w:rsid w:val="008A609E"/>
    <w:rsid w:val="008B0370"/>
    <w:rsid w:val="008B1DEE"/>
    <w:rsid w:val="008B200D"/>
    <w:rsid w:val="008B2991"/>
    <w:rsid w:val="008B77A3"/>
    <w:rsid w:val="008C0715"/>
    <w:rsid w:val="008C0D1D"/>
    <w:rsid w:val="008C252E"/>
    <w:rsid w:val="008C3717"/>
    <w:rsid w:val="008C510B"/>
    <w:rsid w:val="008C70F8"/>
    <w:rsid w:val="008C77B2"/>
    <w:rsid w:val="008D038A"/>
    <w:rsid w:val="008D3ECF"/>
    <w:rsid w:val="008D539E"/>
    <w:rsid w:val="008D6F74"/>
    <w:rsid w:val="008D7605"/>
    <w:rsid w:val="008D7873"/>
    <w:rsid w:val="008D7C07"/>
    <w:rsid w:val="008E323D"/>
    <w:rsid w:val="008E46E4"/>
    <w:rsid w:val="008E5509"/>
    <w:rsid w:val="008E7211"/>
    <w:rsid w:val="008E7C14"/>
    <w:rsid w:val="008F361B"/>
    <w:rsid w:val="008F399C"/>
    <w:rsid w:val="008F39E2"/>
    <w:rsid w:val="008F4325"/>
    <w:rsid w:val="008F4DB9"/>
    <w:rsid w:val="008F6E30"/>
    <w:rsid w:val="009002D3"/>
    <w:rsid w:val="00900CA0"/>
    <w:rsid w:val="009013F5"/>
    <w:rsid w:val="00903FE9"/>
    <w:rsid w:val="00906818"/>
    <w:rsid w:val="00915FDD"/>
    <w:rsid w:val="009216FF"/>
    <w:rsid w:val="00921862"/>
    <w:rsid w:val="00922130"/>
    <w:rsid w:val="00924979"/>
    <w:rsid w:val="00924C02"/>
    <w:rsid w:val="00926A0D"/>
    <w:rsid w:val="009274A5"/>
    <w:rsid w:val="00930FF3"/>
    <w:rsid w:val="00932025"/>
    <w:rsid w:val="00933772"/>
    <w:rsid w:val="00936052"/>
    <w:rsid w:val="00937A09"/>
    <w:rsid w:val="009401B3"/>
    <w:rsid w:val="00940591"/>
    <w:rsid w:val="00943041"/>
    <w:rsid w:val="00943BA9"/>
    <w:rsid w:val="009457AF"/>
    <w:rsid w:val="0095511D"/>
    <w:rsid w:val="00960E32"/>
    <w:rsid w:val="0096449C"/>
    <w:rsid w:val="00966583"/>
    <w:rsid w:val="009700EC"/>
    <w:rsid w:val="00970887"/>
    <w:rsid w:val="00971FED"/>
    <w:rsid w:val="00973F65"/>
    <w:rsid w:val="00975920"/>
    <w:rsid w:val="0097738A"/>
    <w:rsid w:val="00977E5C"/>
    <w:rsid w:val="009800E9"/>
    <w:rsid w:val="009812EB"/>
    <w:rsid w:val="009823D1"/>
    <w:rsid w:val="00984876"/>
    <w:rsid w:val="00985E0B"/>
    <w:rsid w:val="009870DE"/>
    <w:rsid w:val="009900E7"/>
    <w:rsid w:val="0099025E"/>
    <w:rsid w:val="00990B17"/>
    <w:rsid w:val="00991FE9"/>
    <w:rsid w:val="00993BD6"/>
    <w:rsid w:val="00997B28"/>
    <w:rsid w:val="009A2E71"/>
    <w:rsid w:val="009A3E42"/>
    <w:rsid w:val="009A67B5"/>
    <w:rsid w:val="009A6A07"/>
    <w:rsid w:val="009A7B25"/>
    <w:rsid w:val="009B0EEE"/>
    <w:rsid w:val="009B45C1"/>
    <w:rsid w:val="009B68AB"/>
    <w:rsid w:val="009B71FE"/>
    <w:rsid w:val="009C1881"/>
    <w:rsid w:val="009C3246"/>
    <w:rsid w:val="009C3787"/>
    <w:rsid w:val="009C3FEA"/>
    <w:rsid w:val="009C6CF7"/>
    <w:rsid w:val="009D034D"/>
    <w:rsid w:val="009D1F6F"/>
    <w:rsid w:val="009D218C"/>
    <w:rsid w:val="009D21CD"/>
    <w:rsid w:val="009D3F07"/>
    <w:rsid w:val="009D497B"/>
    <w:rsid w:val="009D5797"/>
    <w:rsid w:val="009D5AB7"/>
    <w:rsid w:val="009D6F00"/>
    <w:rsid w:val="009D7836"/>
    <w:rsid w:val="009E07E4"/>
    <w:rsid w:val="009E2B22"/>
    <w:rsid w:val="009E66FA"/>
    <w:rsid w:val="009F0999"/>
    <w:rsid w:val="009F10D5"/>
    <w:rsid w:val="009F17E3"/>
    <w:rsid w:val="009F50D5"/>
    <w:rsid w:val="009F5C07"/>
    <w:rsid w:val="009F5DFA"/>
    <w:rsid w:val="00A02E86"/>
    <w:rsid w:val="00A03FE1"/>
    <w:rsid w:val="00A04176"/>
    <w:rsid w:val="00A055B8"/>
    <w:rsid w:val="00A057D4"/>
    <w:rsid w:val="00A179B1"/>
    <w:rsid w:val="00A20630"/>
    <w:rsid w:val="00A207B9"/>
    <w:rsid w:val="00A230D7"/>
    <w:rsid w:val="00A30C5B"/>
    <w:rsid w:val="00A320B1"/>
    <w:rsid w:val="00A36418"/>
    <w:rsid w:val="00A411A6"/>
    <w:rsid w:val="00A4123E"/>
    <w:rsid w:val="00A45969"/>
    <w:rsid w:val="00A466D1"/>
    <w:rsid w:val="00A47863"/>
    <w:rsid w:val="00A47D96"/>
    <w:rsid w:val="00A51FA5"/>
    <w:rsid w:val="00A57F21"/>
    <w:rsid w:val="00A610DC"/>
    <w:rsid w:val="00A618D9"/>
    <w:rsid w:val="00A61B50"/>
    <w:rsid w:val="00A61E65"/>
    <w:rsid w:val="00A66A23"/>
    <w:rsid w:val="00A66F40"/>
    <w:rsid w:val="00A7061A"/>
    <w:rsid w:val="00A71EDE"/>
    <w:rsid w:val="00A72733"/>
    <w:rsid w:val="00A74089"/>
    <w:rsid w:val="00A7571E"/>
    <w:rsid w:val="00A75806"/>
    <w:rsid w:val="00A75FF9"/>
    <w:rsid w:val="00A802DF"/>
    <w:rsid w:val="00A824DA"/>
    <w:rsid w:val="00A85575"/>
    <w:rsid w:val="00A86624"/>
    <w:rsid w:val="00A920DF"/>
    <w:rsid w:val="00A92DE5"/>
    <w:rsid w:val="00A933D3"/>
    <w:rsid w:val="00A95EB2"/>
    <w:rsid w:val="00A96076"/>
    <w:rsid w:val="00A96F4B"/>
    <w:rsid w:val="00AB2180"/>
    <w:rsid w:val="00AB2412"/>
    <w:rsid w:val="00AB33AE"/>
    <w:rsid w:val="00AB5F60"/>
    <w:rsid w:val="00AC2E2C"/>
    <w:rsid w:val="00AC36E5"/>
    <w:rsid w:val="00AC3C9B"/>
    <w:rsid w:val="00AC51C3"/>
    <w:rsid w:val="00AC5DBE"/>
    <w:rsid w:val="00AC5DF0"/>
    <w:rsid w:val="00AD0BE4"/>
    <w:rsid w:val="00AD36B9"/>
    <w:rsid w:val="00AD3DD0"/>
    <w:rsid w:val="00AD750F"/>
    <w:rsid w:val="00AD7862"/>
    <w:rsid w:val="00AD7CE7"/>
    <w:rsid w:val="00AE0102"/>
    <w:rsid w:val="00AE0186"/>
    <w:rsid w:val="00AE3910"/>
    <w:rsid w:val="00AE4C2E"/>
    <w:rsid w:val="00AE5C2D"/>
    <w:rsid w:val="00AF0102"/>
    <w:rsid w:val="00AF09F6"/>
    <w:rsid w:val="00AF0C23"/>
    <w:rsid w:val="00AF0EDF"/>
    <w:rsid w:val="00AF2055"/>
    <w:rsid w:val="00AF2C5E"/>
    <w:rsid w:val="00AF2F46"/>
    <w:rsid w:val="00AF3236"/>
    <w:rsid w:val="00AF651C"/>
    <w:rsid w:val="00B02067"/>
    <w:rsid w:val="00B02F9B"/>
    <w:rsid w:val="00B04A2E"/>
    <w:rsid w:val="00B0597C"/>
    <w:rsid w:val="00B05A5D"/>
    <w:rsid w:val="00B05C01"/>
    <w:rsid w:val="00B20031"/>
    <w:rsid w:val="00B2170D"/>
    <w:rsid w:val="00B25A4A"/>
    <w:rsid w:val="00B26645"/>
    <w:rsid w:val="00B27940"/>
    <w:rsid w:val="00B3393D"/>
    <w:rsid w:val="00B33A76"/>
    <w:rsid w:val="00B34BAC"/>
    <w:rsid w:val="00B40B92"/>
    <w:rsid w:val="00B4140B"/>
    <w:rsid w:val="00B421EB"/>
    <w:rsid w:val="00B42DCC"/>
    <w:rsid w:val="00B43C5C"/>
    <w:rsid w:val="00B43C68"/>
    <w:rsid w:val="00B45148"/>
    <w:rsid w:val="00B45BB6"/>
    <w:rsid w:val="00B45DE7"/>
    <w:rsid w:val="00B5079A"/>
    <w:rsid w:val="00B51C2F"/>
    <w:rsid w:val="00B533D2"/>
    <w:rsid w:val="00B54631"/>
    <w:rsid w:val="00B5566D"/>
    <w:rsid w:val="00B55E7D"/>
    <w:rsid w:val="00B5662E"/>
    <w:rsid w:val="00B61851"/>
    <w:rsid w:val="00B62F0D"/>
    <w:rsid w:val="00B636E3"/>
    <w:rsid w:val="00B668E0"/>
    <w:rsid w:val="00B6794B"/>
    <w:rsid w:val="00B7218B"/>
    <w:rsid w:val="00B73659"/>
    <w:rsid w:val="00B7425C"/>
    <w:rsid w:val="00B75B78"/>
    <w:rsid w:val="00B7742C"/>
    <w:rsid w:val="00B81625"/>
    <w:rsid w:val="00B82548"/>
    <w:rsid w:val="00B846B8"/>
    <w:rsid w:val="00B858B5"/>
    <w:rsid w:val="00B87953"/>
    <w:rsid w:val="00B918DA"/>
    <w:rsid w:val="00B93DD0"/>
    <w:rsid w:val="00B954D4"/>
    <w:rsid w:val="00B961DA"/>
    <w:rsid w:val="00BA02B7"/>
    <w:rsid w:val="00BA3C73"/>
    <w:rsid w:val="00BA46B9"/>
    <w:rsid w:val="00BA5859"/>
    <w:rsid w:val="00BA740B"/>
    <w:rsid w:val="00BA7C8A"/>
    <w:rsid w:val="00BB0232"/>
    <w:rsid w:val="00BB048E"/>
    <w:rsid w:val="00BB1AE0"/>
    <w:rsid w:val="00BB2229"/>
    <w:rsid w:val="00BB30AC"/>
    <w:rsid w:val="00BB4C10"/>
    <w:rsid w:val="00BB5E69"/>
    <w:rsid w:val="00BB7A71"/>
    <w:rsid w:val="00BC215A"/>
    <w:rsid w:val="00BC5E39"/>
    <w:rsid w:val="00BC6D76"/>
    <w:rsid w:val="00BD012B"/>
    <w:rsid w:val="00BD0449"/>
    <w:rsid w:val="00BD30B5"/>
    <w:rsid w:val="00BD5531"/>
    <w:rsid w:val="00BE0D99"/>
    <w:rsid w:val="00BE4204"/>
    <w:rsid w:val="00BE46EE"/>
    <w:rsid w:val="00BE54B7"/>
    <w:rsid w:val="00BE650B"/>
    <w:rsid w:val="00BE68E5"/>
    <w:rsid w:val="00BE745C"/>
    <w:rsid w:val="00BF3388"/>
    <w:rsid w:val="00BF4442"/>
    <w:rsid w:val="00BF694F"/>
    <w:rsid w:val="00C00BD9"/>
    <w:rsid w:val="00C01843"/>
    <w:rsid w:val="00C02348"/>
    <w:rsid w:val="00C02D60"/>
    <w:rsid w:val="00C043B2"/>
    <w:rsid w:val="00C047E7"/>
    <w:rsid w:val="00C108E4"/>
    <w:rsid w:val="00C10BFC"/>
    <w:rsid w:val="00C11B5F"/>
    <w:rsid w:val="00C155DC"/>
    <w:rsid w:val="00C162AA"/>
    <w:rsid w:val="00C168C3"/>
    <w:rsid w:val="00C1757F"/>
    <w:rsid w:val="00C17647"/>
    <w:rsid w:val="00C20FD9"/>
    <w:rsid w:val="00C260C4"/>
    <w:rsid w:val="00C26478"/>
    <w:rsid w:val="00C301EE"/>
    <w:rsid w:val="00C32185"/>
    <w:rsid w:val="00C3470C"/>
    <w:rsid w:val="00C372E9"/>
    <w:rsid w:val="00C37355"/>
    <w:rsid w:val="00C500C2"/>
    <w:rsid w:val="00C5179C"/>
    <w:rsid w:val="00C61A3F"/>
    <w:rsid w:val="00C6302B"/>
    <w:rsid w:val="00C66D96"/>
    <w:rsid w:val="00C67C52"/>
    <w:rsid w:val="00C70D56"/>
    <w:rsid w:val="00C74D4D"/>
    <w:rsid w:val="00C80764"/>
    <w:rsid w:val="00C8265B"/>
    <w:rsid w:val="00C844D3"/>
    <w:rsid w:val="00C8495E"/>
    <w:rsid w:val="00C8518B"/>
    <w:rsid w:val="00C86844"/>
    <w:rsid w:val="00C91424"/>
    <w:rsid w:val="00C944CA"/>
    <w:rsid w:val="00C965E7"/>
    <w:rsid w:val="00CA008D"/>
    <w:rsid w:val="00CA0847"/>
    <w:rsid w:val="00CA4611"/>
    <w:rsid w:val="00CA5444"/>
    <w:rsid w:val="00CA5DEC"/>
    <w:rsid w:val="00CB0767"/>
    <w:rsid w:val="00CB0B0B"/>
    <w:rsid w:val="00CB1DC2"/>
    <w:rsid w:val="00CB2A18"/>
    <w:rsid w:val="00CB36AE"/>
    <w:rsid w:val="00CB478F"/>
    <w:rsid w:val="00CC0B2F"/>
    <w:rsid w:val="00CC0CDB"/>
    <w:rsid w:val="00CC1795"/>
    <w:rsid w:val="00CC2E04"/>
    <w:rsid w:val="00CC5B79"/>
    <w:rsid w:val="00CC6DF1"/>
    <w:rsid w:val="00CD2231"/>
    <w:rsid w:val="00CD32E5"/>
    <w:rsid w:val="00CD606A"/>
    <w:rsid w:val="00CE1FBA"/>
    <w:rsid w:val="00CE2268"/>
    <w:rsid w:val="00CE27BB"/>
    <w:rsid w:val="00CE31C4"/>
    <w:rsid w:val="00CE3443"/>
    <w:rsid w:val="00CE50C8"/>
    <w:rsid w:val="00CE6FE7"/>
    <w:rsid w:val="00CE783C"/>
    <w:rsid w:val="00CF009E"/>
    <w:rsid w:val="00CF09B5"/>
    <w:rsid w:val="00CF143A"/>
    <w:rsid w:val="00D021EC"/>
    <w:rsid w:val="00D035D4"/>
    <w:rsid w:val="00D03BF4"/>
    <w:rsid w:val="00D05DB6"/>
    <w:rsid w:val="00D06E2B"/>
    <w:rsid w:val="00D1121F"/>
    <w:rsid w:val="00D117FC"/>
    <w:rsid w:val="00D11895"/>
    <w:rsid w:val="00D12F6E"/>
    <w:rsid w:val="00D1350D"/>
    <w:rsid w:val="00D159A8"/>
    <w:rsid w:val="00D17894"/>
    <w:rsid w:val="00D203A8"/>
    <w:rsid w:val="00D2085B"/>
    <w:rsid w:val="00D21826"/>
    <w:rsid w:val="00D231EF"/>
    <w:rsid w:val="00D256E7"/>
    <w:rsid w:val="00D30A12"/>
    <w:rsid w:val="00D318EC"/>
    <w:rsid w:val="00D31EA7"/>
    <w:rsid w:val="00D3335C"/>
    <w:rsid w:val="00D342ED"/>
    <w:rsid w:val="00D446EB"/>
    <w:rsid w:val="00D45DFE"/>
    <w:rsid w:val="00D46513"/>
    <w:rsid w:val="00D47FE2"/>
    <w:rsid w:val="00D51435"/>
    <w:rsid w:val="00D53EFE"/>
    <w:rsid w:val="00D54646"/>
    <w:rsid w:val="00D560FE"/>
    <w:rsid w:val="00D60BE2"/>
    <w:rsid w:val="00D61E39"/>
    <w:rsid w:val="00D62B2D"/>
    <w:rsid w:val="00D73BDB"/>
    <w:rsid w:val="00D758AA"/>
    <w:rsid w:val="00D7624D"/>
    <w:rsid w:val="00D76FCD"/>
    <w:rsid w:val="00D8285A"/>
    <w:rsid w:val="00D83484"/>
    <w:rsid w:val="00D834B4"/>
    <w:rsid w:val="00D849B9"/>
    <w:rsid w:val="00D876D7"/>
    <w:rsid w:val="00D91ECC"/>
    <w:rsid w:val="00D947CC"/>
    <w:rsid w:val="00D962EC"/>
    <w:rsid w:val="00D967D3"/>
    <w:rsid w:val="00D97ABE"/>
    <w:rsid w:val="00DA14E3"/>
    <w:rsid w:val="00DA4FE3"/>
    <w:rsid w:val="00DA540D"/>
    <w:rsid w:val="00DA5EE3"/>
    <w:rsid w:val="00DA5F5C"/>
    <w:rsid w:val="00DA7D03"/>
    <w:rsid w:val="00DB3512"/>
    <w:rsid w:val="00DB3620"/>
    <w:rsid w:val="00DB4462"/>
    <w:rsid w:val="00DC0D4B"/>
    <w:rsid w:val="00DC1076"/>
    <w:rsid w:val="00DC304C"/>
    <w:rsid w:val="00DC3505"/>
    <w:rsid w:val="00DC40E5"/>
    <w:rsid w:val="00DC4C91"/>
    <w:rsid w:val="00DC4D19"/>
    <w:rsid w:val="00DC69B4"/>
    <w:rsid w:val="00DD0F9F"/>
    <w:rsid w:val="00DD2415"/>
    <w:rsid w:val="00DD7109"/>
    <w:rsid w:val="00DE07B1"/>
    <w:rsid w:val="00DE18BB"/>
    <w:rsid w:val="00DE3499"/>
    <w:rsid w:val="00DE4E1A"/>
    <w:rsid w:val="00DE502B"/>
    <w:rsid w:val="00DE5D3F"/>
    <w:rsid w:val="00DE67E3"/>
    <w:rsid w:val="00DE6CDA"/>
    <w:rsid w:val="00DF2840"/>
    <w:rsid w:val="00DF577C"/>
    <w:rsid w:val="00DF6261"/>
    <w:rsid w:val="00DF78E2"/>
    <w:rsid w:val="00E017C6"/>
    <w:rsid w:val="00E02115"/>
    <w:rsid w:val="00E032D2"/>
    <w:rsid w:val="00E06A8D"/>
    <w:rsid w:val="00E10085"/>
    <w:rsid w:val="00E1085D"/>
    <w:rsid w:val="00E15176"/>
    <w:rsid w:val="00E164A7"/>
    <w:rsid w:val="00E21FF9"/>
    <w:rsid w:val="00E22569"/>
    <w:rsid w:val="00E22B33"/>
    <w:rsid w:val="00E239CC"/>
    <w:rsid w:val="00E25309"/>
    <w:rsid w:val="00E25E0F"/>
    <w:rsid w:val="00E26B7B"/>
    <w:rsid w:val="00E32233"/>
    <w:rsid w:val="00E32B14"/>
    <w:rsid w:val="00E34096"/>
    <w:rsid w:val="00E3546C"/>
    <w:rsid w:val="00E3718C"/>
    <w:rsid w:val="00E41250"/>
    <w:rsid w:val="00E42366"/>
    <w:rsid w:val="00E43780"/>
    <w:rsid w:val="00E44D2E"/>
    <w:rsid w:val="00E45360"/>
    <w:rsid w:val="00E46B0C"/>
    <w:rsid w:val="00E51FE9"/>
    <w:rsid w:val="00E55917"/>
    <w:rsid w:val="00E56D10"/>
    <w:rsid w:val="00E57670"/>
    <w:rsid w:val="00E60145"/>
    <w:rsid w:val="00E605F8"/>
    <w:rsid w:val="00E61435"/>
    <w:rsid w:val="00E624FB"/>
    <w:rsid w:val="00E70131"/>
    <w:rsid w:val="00E726CC"/>
    <w:rsid w:val="00E7645D"/>
    <w:rsid w:val="00E777E6"/>
    <w:rsid w:val="00E80B7E"/>
    <w:rsid w:val="00E8176C"/>
    <w:rsid w:val="00E83278"/>
    <w:rsid w:val="00E8619C"/>
    <w:rsid w:val="00E919B9"/>
    <w:rsid w:val="00E924C5"/>
    <w:rsid w:val="00E93119"/>
    <w:rsid w:val="00E95E89"/>
    <w:rsid w:val="00EA0A4F"/>
    <w:rsid w:val="00EA2794"/>
    <w:rsid w:val="00EA5CB5"/>
    <w:rsid w:val="00EB1FCD"/>
    <w:rsid w:val="00EC0126"/>
    <w:rsid w:val="00EC0566"/>
    <w:rsid w:val="00EC215B"/>
    <w:rsid w:val="00EC27C8"/>
    <w:rsid w:val="00EC48F0"/>
    <w:rsid w:val="00EC57E6"/>
    <w:rsid w:val="00EC775A"/>
    <w:rsid w:val="00EC7C29"/>
    <w:rsid w:val="00ED40D3"/>
    <w:rsid w:val="00ED5E2C"/>
    <w:rsid w:val="00ED68E7"/>
    <w:rsid w:val="00ED7168"/>
    <w:rsid w:val="00EE1ADF"/>
    <w:rsid w:val="00EE27F1"/>
    <w:rsid w:val="00EE36B1"/>
    <w:rsid w:val="00EE58B7"/>
    <w:rsid w:val="00EE5F2B"/>
    <w:rsid w:val="00EF174B"/>
    <w:rsid w:val="00EF4125"/>
    <w:rsid w:val="00EF4144"/>
    <w:rsid w:val="00EF62E4"/>
    <w:rsid w:val="00EF6316"/>
    <w:rsid w:val="00EF6974"/>
    <w:rsid w:val="00EF6E62"/>
    <w:rsid w:val="00F038F6"/>
    <w:rsid w:val="00F03A74"/>
    <w:rsid w:val="00F05931"/>
    <w:rsid w:val="00F06215"/>
    <w:rsid w:val="00F06FA3"/>
    <w:rsid w:val="00F13685"/>
    <w:rsid w:val="00F156F0"/>
    <w:rsid w:val="00F15BF4"/>
    <w:rsid w:val="00F218F1"/>
    <w:rsid w:val="00F22D1C"/>
    <w:rsid w:val="00F238A4"/>
    <w:rsid w:val="00F23CA9"/>
    <w:rsid w:val="00F24281"/>
    <w:rsid w:val="00F24473"/>
    <w:rsid w:val="00F27778"/>
    <w:rsid w:val="00F306E0"/>
    <w:rsid w:val="00F31441"/>
    <w:rsid w:val="00F31F80"/>
    <w:rsid w:val="00F337BE"/>
    <w:rsid w:val="00F358CA"/>
    <w:rsid w:val="00F3779C"/>
    <w:rsid w:val="00F41022"/>
    <w:rsid w:val="00F42C1F"/>
    <w:rsid w:val="00F4397D"/>
    <w:rsid w:val="00F43B2F"/>
    <w:rsid w:val="00F44E66"/>
    <w:rsid w:val="00F4506B"/>
    <w:rsid w:val="00F467D9"/>
    <w:rsid w:val="00F47416"/>
    <w:rsid w:val="00F51D1A"/>
    <w:rsid w:val="00F52A8F"/>
    <w:rsid w:val="00F61165"/>
    <w:rsid w:val="00F63664"/>
    <w:rsid w:val="00F65088"/>
    <w:rsid w:val="00F65604"/>
    <w:rsid w:val="00F657E5"/>
    <w:rsid w:val="00F74934"/>
    <w:rsid w:val="00F76CDF"/>
    <w:rsid w:val="00F81A36"/>
    <w:rsid w:val="00F83C7B"/>
    <w:rsid w:val="00F85EB3"/>
    <w:rsid w:val="00F8659D"/>
    <w:rsid w:val="00F87D29"/>
    <w:rsid w:val="00F9228B"/>
    <w:rsid w:val="00F92328"/>
    <w:rsid w:val="00F92402"/>
    <w:rsid w:val="00F92B23"/>
    <w:rsid w:val="00F95571"/>
    <w:rsid w:val="00F958F8"/>
    <w:rsid w:val="00F95F69"/>
    <w:rsid w:val="00F967F8"/>
    <w:rsid w:val="00F97083"/>
    <w:rsid w:val="00F9750E"/>
    <w:rsid w:val="00F97A1B"/>
    <w:rsid w:val="00FA3A69"/>
    <w:rsid w:val="00FA41E1"/>
    <w:rsid w:val="00FA602F"/>
    <w:rsid w:val="00FA7699"/>
    <w:rsid w:val="00FB2277"/>
    <w:rsid w:val="00FB26F4"/>
    <w:rsid w:val="00FB2753"/>
    <w:rsid w:val="00FB30CE"/>
    <w:rsid w:val="00FB3F92"/>
    <w:rsid w:val="00FB4C49"/>
    <w:rsid w:val="00FB70C8"/>
    <w:rsid w:val="00FB78AD"/>
    <w:rsid w:val="00FC06E6"/>
    <w:rsid w:val="00FC2085"/>
    <w:rsid w:val="00FC69F0"/>
    <w:rsid w:val="00FC722B"/>
    <w:rsid w:val="00FD0652"/>
    <w:rsid w:val="00FD19C8"/>
    <w:rsid w:val="00FD204D"/>
    <w:rsid w:val="00FD2179"/>
    <w:rsid w:val="00FD7E12"/>
    <w:rsid w:val="00FE02F2"/>
    <w:rsid w:val="00FE48C8"/>
    <w:rsid w:val="00FE6F38"/>
    <w:rsid w:val="00FF1484"/>
    <w:rsid w:val="00FF1714"/>
    <w:rsid w:val="00FF4207"/>
    <w:rsid w:val="00FF6885"/>
    <w:rsid w:val="00FF7E35"/>
    <w:rsid w:val="132DBCBD"/>
    <w:rsid w:val="4399FE6F"/>
    <w:rsid w:val="6F3D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3871219-4603-4FBF-AF32-B0067DE4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E6"/>
    <w:pPr>
      <w:spacing w:before="120" w:after="0"/>
    </w:pPr>
  </w:style>
  <w:style w:type="paragraph" w:styleId="Heading1">
    <w:name w:val="heading 1"/>
    <w:basedOn w:val="Normal"/>
    <w:next w:val="Normal"/>
    <w:link w:val="Heading1Char"/>
    <w:uiPriority w:val="9"/>
    <w:qFormat/>
    <w:rsid w:val="00DF6261"/>
    <w:pPr>
      <w:keepNext/>
      <w:keepLines/>
      <w:numPr>
        <w:numId w:val="4"/>
      </w:numPr>
      <w:spacing w:before="240" w:line="259" w:lineRule="auto"/>
      <w:outlineLvl w:val="0"/>
    </w:pPr>
    <w:rPr>
      <w:rFonts w:ascii="Times New Roman" w:eastAsiaTheme="majorEastAsia" w:hAnsi="Times New Roman" w:cs="Times New Roman"/>
      <w:b/>
      <w:sz w:val="24"/>
      <w:szCs w:val="32"/>
    </w:rPr>
  </w:style>
  <w:style w:type="paragraph" w:styleId="Heading2">
    <w:name w:val="heading 2"/>
    <w:basedOn w:val="Normal"/>
    <w:next w:val="Normal"/>
    <w:link w:val="Heading2Char"/>
    <w:uiPriority w:val="9"/>
    <w:unhideWhenUsed/>
    <w:qFormat/>
    <w:rsid w:val="00DF6261"/>
    <w:pPr>
      <w:keepNext/>
      <w:keepLines/>
      <w:spacing w:before="40" w:line="259" w:lineRule="auto"/>
      <w:jc w:val="both"/>
      <w:outlineLvl w:val="1"/>
    </w:pPr>
    <w:rPr>
      <w:rFonts w:ascii="Times New Roman" w:eastAsiaTheme="majorEastAsia" w:hAnsi="Times New Roman" w:cs="Times New Roman"/>
      <w:b/>
      <w:i/>
      <w:sz w:val="24"/>
      <w:szCs w:val="26"/>
    </w:rPr>
  </w:style>
  <w:style w:type="paragraph" w:styleId="Heading3">
    <w:name w:val="heading 3"/>
    <w:basedOn w:val="Normal"/>
    <w:next w:val="Normal"/>
    <w:link w:val="Heading3Char"/>
    <w:uiPriority w:val="9"/>
    <w:unhideWhenUsed/>
    <w:qFormat/>
    <w:rsid w:val="00DF6261"/>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F6261"/>
    <w:pPr>
      <w:keepNext/>
      <w:keepLines/>
      <w:spacing w:before="40" w:line="259" w:lineRule="auto"/>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077AF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8285A"/>
    <w:rPr>
      <w:color w:val="0000FF"/>
      <w:shd w:val="clear" w:color="auto" w:fill="auto"/>
    </w:rPr>
  </w:style>
  <w:style w:type="paragraph" w:customStyle="1" w:styleId="Pagedecouverture">
    <w:name w:val="Page de couverture"/>
    <w:basedOn w:val="Normal"/>
    <w:next w:val="Normal"/>
    <w:rsid w:val="00D8285A"/>
    <w:pPr>
      <w:spacing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8285A"/>
    <w:pPr>
      <w:tabs>
        <w:tab w:val="center" w:pos="4680"/>
        <w:tab w:val="right" w:pos="9360"/>
      </w:tabs>
      <w:spacing w:line="240" w:lineRule="auto"/>
    </w:pPr>
  </w:style>
  <w:style w:type="character" w:customStyle="1" w:styleId="HeaderChar">
    <w:name w:val="Header Char"/>
    <w:basedOn w:val="DefaultParagraphFont"/>
    <w:link w:val="Header"/>
    <w:uiPriority w:val="99"/>
    <w:rsid w:val="00D8285A"/>
    <w:rPr>
      <w:noProof/>
    </w:rPr>
  </w:style>
  <w:style w:type="paragraph" w:styleId="Footer">
    <w:name w:val="footer"/>
    <w:basedOn w:val="Normal"/>
    <w:link w:val="FooterChar"/>
    <w:uiPriority w:val="99"/>
    <w:unhideWhenUsed/>
    <w:rsid w:val="00D8285A"/>
    <w:pPr>
      <w:tabs>
        <w:tab w:val="center" w:pos="4680"/>
        <w:tab w:val="right" w:pos="9360"/>
      </w:tabs>
      <w:spacing w:line="240" w:lineRule="auto"/>
    </w:pPr>
  </w:style>
  <w:style w:type="character" w:customStyle="1" w:styleId="FooterChar">
    <w:name w:val="Footer Char"/>
    <w:basedOn w:val="DefaultParagraphFont"/>
    <w:link w:val="Footer"/>
    <w:uiPriority w:val="99"/>
    <w:rsid w:val="00D8285A"/>
    <w:rPr>
      <w:noProof/>
    </w:rPr>
  </w:style>
  <w:style w:type="paragraph" w:customStyle="1" w:styleId="FooterCoverPage">
    <w:name w:val="Footer Cover Page"/>
    <w:basedOn w:val="Normal"/>
    <w:link w:val="FooterCoverPageChar"/>
    <w:rsid w:val="00D8285A"/>
    <w:pPr>
      <w:tabs>
        <w:tab w:val="center" w:pos="4535"/>
        <w:tab w:val="right" w:pos="9071"/>
        <w:tab w:val="right" w:pos="9921"/>
      </w:tabs>
      <w:spacing w:before="36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8285A"/>
    <w:rPr>
      <w:rFonts w:ascii="Times New Roman" w:hAnsi="Times New Roman" w:cs="Times New Roman"/>
      <w:sz w:val="24"/>
    </w:rPr>
  </w:style>
  <w:style w:type="paragraph" w:customStyle="1" w:styleId="FooterSensitivity">
    <w:name w:val="Footer Sensitivity"/>
    <w:basedOn w:val="Normal"/>
    <w:link w:val="FooterSensitivityChar"/>
    <w:rsid w:val="00D8285A"/>
    <w:pPr>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8285A"/>
    <w:rPr>
      <w:rFonts w:ascii="Times New Roman" w:hAnsi="Times New Roman" w:cs="Times New Roman"/>
      <w:b/>
      <w:sz w:val="32"/>
    </w:rPr>
  </w:style>
  <w:style w:type="paragraph" w:customStyle="1" w:styleId="HeaderCoverPage">
    <w:name w:val="Header Cover Page"/>
    <w:basedOn w:val="Normal"/>
    <w:link w:val="HeaderCoverPageChar"/>
    <w:rsid w:val="00D8285A"/>
    <w:pPr>
      <w:tabs>
        <w:tab w:val="center" w:pos="4535"/>
        <w:tab w:val="right" w:pos="9071"/>
      </w:tabs>
      <w:spacing w:before="0"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8285A"/>
    <w:rPr>
      <w:rFonts w:ascii="Times New Roman" w:hAnsi="Times New Roman" w:cs="Times New Roman"/>
      <w:sz w:val="24"/>
    </w:rPr>
  </w:style>
  <w:style w:type="paragraph" w:customStyle="1" w:styleId="HeaderSensitivity">
    <w:name w:val="Header Sensitivity"/>
    <w:basedOn w:val="Normal"/>
    <w:link w:val="HeaderSensitivityChar"/>
    <w:rsid w:val="00D8285A"/>
    <w:pPr>
      <w:pBdr>
        <w:top w:val="single" w:sz="4" w:space="1" w:color="auto"/>
        <w:left w:val="single" w:sz="4" w:space="4" w:color="auto"/>
        <w:bottom w:val="single" w:sz="4" w:space="1" w:color="auto"/>
        <w:right w:val="single" w:sz="4" w:space="4" w:color="auto"/>
      </w:pBdr>
      <w:spacing w:before="0"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8285A"/>
    <w:rPr>
      <w:rFonts w:ascii="Times New Roman" w:hAnsi="Times New Roman" w:cs="Times New Roman"/>
      <w:b/>
      <w:sz w:val="32"/>
    </w:rPr>
  </w:style>
  <w:style w:type="paragraph" w:customStyle="1" w:styleId="HeaderSensitivityRight">
    <w:name w:val="Header Sensitivity Right"/>
    <w:basedOn w:val="Normal"/>
    <w:link w:val="HeaderSensitivityRightChar"/>
    <w:rsid w:val="00D8285A"/>
    <w:pPr>
      <w:spacing w:before="0"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8285A"/>
    <w:rPr>
      <w:rFonts w:ascii="Times New Roman" w:hAnsi="Times New Roman" w:cs="Times New Roman"/>
      <w:sz w:val="28"/>
    </w:rPr>
  </w:style>
  <w:style w:type="character" w:customStyle="1" w:styleId="Heading1Char">
    <w:name w:val="Heading 1 Char"/>
    <w:basedOn w:val="DefaultParagraphFont"/>
    <w:link w:val="Heading1"/>
    <w:uiPriority w:val="9"/>
    <w:rsid w:val="00DF6261"/>
    <w:rPr>
      <w:rFonts w:ascii="Times New Roman" w:eastAsiaTheme="majorEastAsia" w:hAnsi="Times New Roman" w:cs="Times New Roman"/>
      <w:b/>
      <w:noProof/>
      <w:sz w:val="24"/>
      <w:szCs w:val="32"/>
    </w:rPr>
  </w:style>
  <w:style w:type="character" w:customStyle="1" w:styleId="Heading2Char">
    <w:name w:val="Heading 2 Char"/>
    <w:basedOn w:val="DefaultParagraphFont"/>
    <w:link w:val="Heading2"/>
    <w:uiPriority w:val="9"/>
    <w:rsid w:val="00DF6261"/>
    <w:rPr>
      <w:rFonts w:ascii="Times New Roman" w:eastAsiaTheme="majorEastAsia" w:hAnsi="Times New Roman" w:cs="Times New Roman"/>
      <w:b/>
      <w:i/>
      <w:noProof/>
      <w:sz w:val="24"/>
      <w:szCs w:val="26"/>
    </w:rPr>
  </w:style>
  <w:style w:type="character" w:customStyle="1" w:styleId="Heading3Char">
    <w:name w:val="Heading 3 Char"/>
    <w:basedOn w:val="DefaultParagraphFont"/>
    <w:link w:val="Heading3"/>
    <w:uiPriority w:val="9"/>
    <w:rsid w:val="00DF6261"/>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rsid w:val="00DF6261"/>
    <w:rPr>
      <w:rFonts w:asciiTheme="majorHAnsi" w:eastAsiaTheme="majorEastAsia" w:hAnsiTheme="majorHAnsi" w:cstheme="majorBidi"/>
      <w:i/>
      <w:iCs/>
      <w:noProof/>
      <w:color w:val="365F91" w:themeColor="accent1" w:themeShade="BF"/>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rsid w:val="00DF6261"/>
    <w:pPr>
      <w:spacing w:after="160" w:line="259" w:lineRule="auto"/>
      <w:ind w:left="720"/>
      <w:contextualSpacing/>
    </w:pPr>
  </w:style>
  <w:style w:type="character" w:styleId="Hyperlink">
    <w:name w:val="Hyperlink"/>
    <w:basedOn w:val="DefaultParagraphFont"/>
    <w:uiPriority w:val="99"/>
    <w:unhideWhenUsed/>
    <w:rsid w:val="00DF6261"/>
    <w:rPr>
      <w:color w:val="0000FF" w:themeColor="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DF6261"/>
    <w:pPr>
      <w:spacing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DF6261"/>
    <w:rPr>
      <w:noProof/>
      <w:sz w:val="20"/>
      <w:szCs w:val="20"/>
    </w:rPr>
  </w:style>
  <w:style w:type="character" w:styleId="CommentReference">
    <w:name w:val="annotation reference"/>
    <w:basedOn w:val="DefaultParagraphFont"/>
    <w:uiPriority w:val="99"/>
    <w:semiHidden/>
    <w:unhideWhenUsed/>
    <w:qFormat/>
    <w:rsid w:val="00DF6261"/>
    <w:rPr>
      <w:sz w:val="16"/>
      <w:szCs w:val="16"/>
    </w:rPr>
  </w:style>
  <w:style w:type="paragraph" w:styleId="CommentText">
    <w:name w:val="annotation text"/>
    <w:basedOn w:val="Normal"/>
    <w:link w:val="CommentTextChar"/>
    <w:uiPriority w:val="99"/>
    <w:unhideWhenUsed/>
    <w:qFormat/>
    <w:rsid w:val="00DF6261"/>
    <w:pPr>
      <w:spacing w:line="240" w:lineRule="auto"/>
    </w:pPr>
    <w:rPr>
      <w:sz w:val="20"/>
      <w:szCs w:val="20"/>
    </w:rPr>
  </w:style>
  <w:style w:type="character" w:customStyle="1" w:styleId="CommentTextChar">
    <w:name w:val="Comment Text Char"/>
    <w:basedOn w:val="DefaultParagraphFont"/>
    <w:link w:val="CommentText"/>
    <w:uiPriority w:val="99"/>
    <w:qFormat/>
    <w:rsid w:val="00DF6261"/>
    <w:rPr>
      <w:sz w:val="20"/>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R,ftref,16 P"/>
    <w:basedOn w:val="DefaultParagraphFont"/>
    <w:link w:val="FootnoteReferenceCharCarCharCharCarCharCarCharCarCharCarCharCharCarCarCharCharCharCharCharCarCharCarCharCharCarCharCar"/>
    <w:uiPriority w:val="99"/>
    <w:unhideWhenUsed/>
    <w:qFormat/>
    <w:rsid w:val="00DF6261"/>
    <w:rPr>
      <w:vertAlign w:val="superscript"/>
    </w:rPr>
  </w:style>
  <w:style w:type="paragraph" w:styleId="BalloonText">
    <w:name w:val="Balloon Text"/>
    <w:basedOn w:val="Normal"/>
    <w:link w:val="BalloonTextChar"/>
    <w:uiPriority w:val="99"/>
    <w:semiHidden/>
    <w:unhideWhenUsed/>
    <w:rsid w:val="00DF62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61"/>
    <w:rPr>
      <w:rFonts w:ascii="Segoe UI" w:hAnsi="Segoe UI" w:cs="Segoe UI"/>
      <w:noProof/>
      <w:sz w:val="18"/>
      <w:szCs w:val="18"/>
    </w:rPr>
  </w:style>
  <w:style w:type="paragraph" w:styleId="Caption">
    <w:name w:val="caption"/>
    <w:aliases w:val="Table Header"/>
    <w:basedOn w:val="Normal"/>
    <w:next w:val="Normal"/>
    <w:link w:val="CaptionChar"/>
    <w:uiPriority w:val="35"/>
    <w:unhideWhenUsed/>
    <w:qFormat/>
    <w:rsid w:val="00DF6261"/>
    <w:rPr>
      <w:rFonts w:ascii="Calibri" w:eastAsia="Calibri" w:hAnsi="Calibri" w:cs="Times New Roman"/>
      <w:b/>
      <w:bCs/>
      <w:sz w:val="20"/>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DF6261"/>
    <w:pPr>
      <w:spacing w:after="160" w:line="240" w:lineRule="exact"/>
    </w:pPr>
    <w:rPr>
      <w:vertAlign w:val="superscript"/>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rsid w:val="00DF626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DF6261"/>
    <w:pPr>
      <w:spacing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DF6261"/>
    <w:pPr>
      <w:spacing w:after="160"/>
    </w:pPr>
    <w:rPr>
      <w:b/>
      <w:bCs/>
    </w:rPr>
  </w:style>
  <w:style w:type="character" w:customStyle="1" w:styleId="CommentSubjectChar">
    <w:name w:val="Comment Subject Char"/>
    <w:basedOn w:val="CommentTextChar"/>
    <w:link w:val="CommentSubject"/>
    <w:uiPriority w:val="99"/>
    <w:semiHidden/>
    <w:rsid w:val="00DF6261"/>
    <w:rPr>
      <w:b/>
      <w:bCs/>
      <w:sz w:val="20"/>
      <w:szCs w:val="20"/>
    </w:rPr>
  </w:style>
  <w:style w:type="character" w:customStyle="1" w:styleId="CaptionChar">
    <w:name w:val="Caption Char"/>
    <w:aliases w:val="Table Header Char"/>
    <w:link w:val="Caption"/>
    <w:uiPriority w:val="35"/>
    <w:locked/>
    <w:rsid w:val="00DF6261"/>
    <w:rPr>
      <w:rFonts w:ascii="Calibri" w:eastAsia="Calibri" w:hAnsi="Calibri" w:cs="Times New Roman"/>
      <w:b/>
      <w:bCs/>
      <w:sz w:val="20"/>
      <w:szCs w:val="20"/>
    </w:rPr>
  </w:style>
  <w:style w:type="paragraph" w:styleId="NormalWeb">
    <w:name w:val="Normal (Web)"/>
    <w:basedOn w:val="Normal"/>
    <w:uiPriority w:val="99"/>
    <w:unhideWhenUsed/>
    <w:rsid w:val="00DF62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F6261"/>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F626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26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F6261"/>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6261"/>
    <w:rPr>
      <w:rFonts w:eastAsiaTheme="minorEastAsia"/>
      <w:color w:val="5A5A5A" w:themeColor="text1" w:themeTint="A5"/>
      <w:spacing w:val="15"/>
    </w:rPr>
  </w:style>
  <w:style w:type="character" w:styleId="SubtleEmphasis">
    <w:name w:val="Subtle Emphasis"/>
    <w:basedOn w:val="DefaultParagraphFont"/>
    <w:uiPriority w:val="19"/>
    <w:qFormat/>
    <w:rsid w:val="00DF6261"/>
    <w:rPr>
      <w:i/>
      <w:iCs/>
      <w:color w:val="404040" w:themeColor="text1" w:themeTint="BF"/>
    </w:rPr>
  </w:style>
  <w:style w:type="character" w:styleId="Emphasis">
    <w:name w:val="Emphasis"/>
    <w:basedOn w:val="DefaultParagraphFont"/>
    <w:uiPriority w:val="20"/>
    <w:qFormat/>
    <w:rsid w:val="00DF6261"/>
    <w:rPr>
      <w:i/>
      <w:iCs/>
    </w:rPr>
  </w:style>
  <w:style w:type="paragraph" w:styleId="Revision">
    <w:name w:val="Revision"/>
    <w:hidden/>
    <w:uiPriority w:val="99"/>
    <w:semiHidden/>
    <w:rsid w:val="00DF6261"/>
    <w:pPr>
      <w:spacing w:after="0" w:line="240" w:lineRule="auto"/>
    </w:pPr>
  </w:style>
  <w:style w:type="character" w:styleId="FollowedHyperlink">
    <w:name w:val="FollowedHyperlink"/>
    <w:basedOn w:val="DefaultParagraphFont"/>
    <w:uiPriority w:val="99"/>
    <w:semiHidden/>
    <w:unhideWhenUsed/>
    <w:rsid w:val="00DF6261"/>
    <w:rPr>
      <w:color w:val="800080" w:themeColor="followedHyperlink"/>
      <w:u w:val="single"/>
    </w:rPr>
  </w:style>
  <w:style w:type="table" w:styleId="TableGrid">
    <w:name w:val="Table Grid"/>
    <w:basedOn w:val="TableNormal"/>
    <w:uiPriority w:val="59"/>
    <w:rsid w:val="00DF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F6261"/>
    <w:pPr>
      <w:spacing w:line="240" w:lineRule="auto"/>
    </w:pPr>
    <w:rPr>
      <w:sz w:val="20"/>
      <w:szCs w:val="20"/>
    </w:rPr>
  </w:style>
  <w:style w:type="character" w:customStyle="1" w:styleId="EndnoteTextChar">
    <w:name w:val="Endnote Text Char"/>
    <w:basedOn w:val="DefaultParagraphFont"/>
    <w:link w:val="EndnoteText"/>
    <w:uiPriority w:val="99"/>
    <w:rsid w:val="00DF6261"/>
    <w:rPr>
      <w:noProof/>
      <w:sz w:val="20"/>
      <w:szCs w:val="20"/>
    </w:rPr>
  </w:style>
  <w:style w:type="character" w:styleId="EndnoteReference">
    <w:name w:val="endnote reference"/>
    <w:basedOn w:val="DefaultParagraphFont"/>
    <w:uiPriority w:val="99"/>
    <w:semiHidden/>
    <w:unhideWhenUsed/>
    <w:rsid w:val="00DF6261"/>
    <w:rPr>
      <w:vertAlign w:val="superscript"/>
    </w:rPr>
  </w:style>
  <w:style w:type="paragraph" w:styleId="NoSpacing">
    <w:name w:val="No Spacing"/>
    <w:uiPriority w:val="1"/>
    <w:qFormat/>
    <w:rsid w:val="00DF6261"/>
    <w:pPr>
      <w:spacing w:after="0" w:line="240" w:lineRule="auto"/>
    </w:pPr>
  </w:style>
  <w:style w:type="character" w:styleId="IntenseEmphasis">
    <w:name w:val="Intense Emphasis"/>
    <w:basedOn w:val="DefaultParagraphFont"/>
    <w:uiPriority w:val="21"/>
    <w:qFormat/>
    <w:rsid w:val="00DF6261"/>
    <w:rPr>
      <w:i/>
      <w:iCs/>
      <w:color w:val="4F81BD" w:themeColor="accent1"/>
    </w:rPr>
  </w:style>
  <w:style w:type="character" w:customStyle="1" w:styleId="Briefinglist1Char">
    <w:name w:val="Briefing list 1 Char"/>
    <w:link w:val="Briefinglist1"/>
    <w:locked/>
    <w:rsid w:val="00DF6261"/>
    <w:rPr>
      <w:rFonts w:ascii="Arial" w:hAnsi="Arial" w:cs="Arial"/>
      <w:szCs w:val="24"/>
    </w:rPr>
  </w:style>
  <w:style w:type="paragraph" w:customStyle="1" w:styleId="Briefinglist1">
    <w:name w:val="Briefing list 1"/>
    <w:basedOn w:val="Normal"/>
    <w:link w:val="Briefinglist1Char"/>
    <w:qFormat/>
    <w:rsid w:val="00DF6261"/>
    <w:pPr>
      <w:keepLines/>
      <w:numPr>
        <w:numId w:val="19"/>
      </w:numPr>
      <w:spacing w:after="120" w:line="240" w:lineRule="auto"/>
      <w:jc w:val="both"/>
    </w:pPr>
    <w:rPr>
      <w:rFonts w:ascii="Arial" w:hAnsi="Arial" w:cs="Arial"/>
      <w:szCs w:val="24"/>
    </w:rPr>
  </w:style>
  <w:style w:type="character" w:styleId="Strong">
    <w:name w:val="Strong"/>
    <w:basedOn w:val="DefaultParagraphFont"/>
    <w:uiPriority w:val="22"/>
    <w:qFormat/>
    <w:rsid w:val="00DF6261"/>
    <w:rPr>
      <w:b/>
      <w:bCs/>
    </w:rPr>
  </w:style>
  <w:style w:type="character" w:customStyle="1" w:styleId="Hyperlink0">
    <w:name w:val="Hyperlink.0"/>
    <w:basedOn w:val="DefaultParagraphFont"/>
    <w:rsid w:val="00DF6261"/>
    <w:rPr>
      <w:color w:val="0563C1"/>
      <w:sz w:val="18"/>
      <w:szCs w:val="18"/>
      <w:u w:val="single" w:color="0563C1"/>
      <w14:textOutline w14:w="0" w14:cap="rnd" w14:cmpd="sng" w14:algn="ctr">
        <w14:noFill/>
        <w14:prstDash w14:val="solid"/>
        <w14:bevel/>
      </w14:textOutline>
    </w:rPr>
  </w:style>
  <w:style w:type="paragraph" w:customStyle="1" w:styleId="Body">
    <w:name w:val="Body"/>
    <w:rsid w:val="00DF6261"/>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None">
    <w:name w:val="None"/>
    <w:rsid w:val="00DF6261"/>
  </w:style>
  <w:style w:type="paragraph" w:customStyle="1" w:styleId="Text1">
    <w:name w:val="Text 1"/>
    <w:link w:val="Text1Char"/>
    <w:uiPriority w:val="1"/>
    <w:qFormat/>
    <w:rsid w:val="00DF6261"/>
    <w:pPr>
      <w:pBdr>
        <w:top w:val="nil"/>
        <w:left w:val="nil"/>
        <w:bottom w:val="nil"/>
        <w:right w:val="nil"/>
        <w:between w:val="nil"/>
        <w:bar w:val="nil"/>
      </w:pBdr>
      <w:spacing w:before="120" w:after="120" w:line="240" w:lineRule="auto"/>
      <w:ind w:left="360" w:hanging="360"/>
      <w:jc w:val="both"/>
    </w:pPr>
    <w:rPr>
      <w:rFonts w:ascii="Times New Roman" w:eastAsia="Arial Unicode MS" w:hAnsi="Times New Roman" w:cs="Arial Unicode MS"/>
      <w:color w:val="000000"/>
      <w:sz w:val="24"/>
      <w:szCs w:val="24"/>
      <w:u w:color="000000"/>
      <w:bdr w:val="nil"/>
      <w:lang w:eastAsia="en-GB"/>
    </w:rPr>
  </w:style>
  <w:style w:type="character" w:customStyle="1" w:styleId="Text1Char">
    <w:name w:val="Text 1 Char"/>
    <w:basedOn w:val="DefaultParagraphFont"/>
    <w:link w:val="Text1"/>
    <w:uiPriority w:val="1"/>
    <w:locked/>
    <w:rsid w:val="00DF6261"/>
    <w:rPr>
      <w:rFonts w:ascii="Times New Roman" w:eastAsia="Arial Unicode MS" w:hAnsi="Times New Roman" w:cs="Arial Unicode MS"/>
      <w:color w:val="000000"/>
      <w:sz w:val="24"/>
      <w:szCs w:val="24"/>
      <w:u w:color="000000"/>
      <w:bdr w:val="nil"/>
      <w:lang w:val="hr-HR" w:eastAsia="en-GB"/>
    </w:rPr>
  </w:style>
  <w:style w:type="paragraph" w:customStyle="1" w:styleId="datetime">
    <w:name w:val="datetime"/>
    <w:basedOn w:val="Normal"/>
    <w:uiPriority w:val="99"/>
    <w:rsid w:val="00DF6261"/>
    <w:pPr>
      <w:spacing w:after="100" w:afterAutospacing="1" w:line="240" w:lineRule="auto"/>
      <w:jc w:val="both"/>
    </w:pPr>
    <w:rPr>
      <w:rFonts w:ascii="Times New Roman" w:hAnsi="Times New Roman" w:cs="Times New Roman"/>
      <w:sz w:val="24"/>
      <w:szCs w:val="24"/>
      <w:lang w:eastAsia="en-GB"/>
    </w:rPr>
  </w:style>
  <w:style w:type="paragraph" w:customStyle="1" w:styleId="Normal2">
    <w:name w:val="Normal2"/>
    <w:basedOn w:val="Normal"/>
    <w:uiPriority w:val="99"/>
    <w:rsid w:val="00DF6261"/>
    <w:pPr>
      <w:spacing w:before="100" w:beforeAutospacing="1" w:after="100" w:afterAutospacing="1" w:line="240" w:lineRule="auto"/>
    </w:pPr>
    <w:rPr>
      <w:rFonts w:ascii="Times New Roman" w:hAnsi="Times New Roman" w:cs="Times New Roman"/>
      <w:sz w:val="24"/>
      <w:szCs w:val="24"/>
    </w:rPr>
  </w:style>
  <w:style w:type="character" w:customStyle="1" w:styleId="visible-description">
    <w:name w:val="visible-description"/>
    <w:basedOn w:val="DefaultParagraphFont"/>
    <w:rsid w:val="00DF6261"/>
  </w:style>
  <w:style w:type="character" w:customStyle="1" w:styleId="show-more-description">
    <w:name w:val="show-more-description"/>
    <w:basedOn w:val="DefaultParagraphFont"/>
    <w:rsid w:val="00DF6261"/>
  </w:style>
  <w:style w:type="paragraph" w:customStyle="1" w:styleId="Char1">
    <w:name w:val="Char1"/>
    <w:aliases w:val="(NECG) Footnote Reference,fr,Style 6,Signature Ch"/>
    <w:basedOn w:val="Normal"/>
    <w:uiPriority w:val="99"/>
    <w:rsid w:val="00DF6261"/>
    <w:pPr>
      <w:spacing w:after="160" w:line="240" w:lineRule="exact"/>
      <w:jc w:val="both"/>
    </w:pPr>
    <w:rPr>
      <w:vertAlign w:val="superscript"/>
    </w:rPr>
  </w:style>
  <w:style w:type="paragraph" w:customStyle="1" w:styleId="paragraph">
    <w:name w:val="paragraph"/>
    <w:basedOn w:val="Normal"/>
    <w:rsid w:val="00DF62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6261"/>
  </w:style>
  <w:style w:type="character" w:customStyle="1" w:styleId="eop">
    <w:name w:val="eop"/>
    <w:basedOn w:val="DefaultParagraphFont"/>
    <w:rsid w:val="00DF6261"/>
  </w:style>
  <w:style w:type="character" w:customStyle="1" w:styleId="scxw37327740">
    <w:name w:val="scxw37327740"/>
    <w:basedOn w:val="DefaultParagraphFont"/>
    <w:rsid w:val="00DF6261"/>
  </w:style>
  <w:style w:type="character" w:customStyle="1" w:styleId="spellingerror">
    <w:name w:val="spellingerror"/>
    <w:basedOn w:val="DefaultParagraphFont"/>
    <w:rsid w:val="00DF6261"/>
  </w:style>
  <w:style w:type="character" w:customStyle="1" w:styleId="scxw6602268">
    <w:name w:val="scxw6602268"/>
    <w:basedOn w:val="DefaultParagraphFont"/>
    <w:rsid w:val="00DF6261"/>
  </w:style>
  <w:style w:type="paragraph" w:customStyle="1" w:styleId="I-Standardtext">
    <w:name w:val="ÖI-Standardtext"/>
    <w:basedOn w:val="Normal"/>
    <w:qFormat/>
    <w:rsid w:val="00DF6261"/>
    <w:pPr>
      <w:spacing w:after="180" w:line="280" w:lineRule="atLeast"/>
      <w:jc w:val="both"/>
    </w:pPr>
    <w:rPr>
      <w:rFonts w:ascii="Arial" w:hAnsi="Arial"/>
    </w:rPr>
  </w:style>
  <w:style w:type="character" w:customStyle="1" w:styleId="findhit">
    <w:name w:val="findhit"/>
    <w:basedOn w:val="DefaultParagraphFont"/>
    <w:rsid w:val="00DF6261"/>
  </w:style>
  <w:style w:type="character" w:customStyle="1" w:styleId="scxw119860584">
    <w:name w:val="scxw119860584"/>
    <w:basedOn w:val="DefaultParagraphFont"/>
    <w:rsid w:val="00DF6261"/>
  </w:style>
  <w:style w:type="character" w:customStyle="1" w:styleId="hyperlink00">
    <w:name w:val="hyperlink0"/>
    <w:basedOn w:val="DefaultParagraphFont"/>
    <w:rsid w:val="00DF6261"/>
  </w:style>
  <w:style w:type="character" w:customStyle="1" w:styleId="Emphasis1">
    <w:name w:val="Emphasis1"/>
    <w:basedOn w:val="DefaultParagraphFont"/>
    <w:rsid w:val="00DF6261"/>
  </w:style>
  <w:style w:type="character" w:customStyle="1" w:styleId="scxw215405909">
    <w:name w:val="scxw215405909"/>
    <w:basedOn w:val="DefaultParagraphFont"/>
    <w:rsid w:val="00F51D1A"/>
  </w:style>
  <w:style w:type="character" w:customStyle="1" w:styleId="Heading7Char">
    <w:name w:val="Heading 7 Char"/>
    <w:basedOn w:val="DefaultParagraphFont"/>
    <w:link w:val="Heading7"/>
    <w:semiHidden/>
    <w:rsid w:val="00077AF0"/>
    <w:rPr>
      <w:rFonts w:asciiTheme="majorHAnsi" w:eastAsiaTheme="majorEastAsia" w:hAnsiTheme="majorHAnsi" w:cstheme="majorBidi"/>
      <w:i/>
      <w:iCs/>
      <w:noProof/>
      <w:color w:val="243F60" w:themeColor="accent1" w:themeShade="7F"/>
    </w:rPr>
  </w:style>
  <w:style w:type="paragraph" w:customStyle="1" w:styleId="Copies">
    <w:name w:val="Copies"/>
    <w:basedOn w:val="Normal"/>
    <w:next w:val="Normal"/>
    <w:uiPriority w:val="99"/>
    <w:rsid w:val="00B04A2E"/>
    <w:pPr>
      <w:tabs>
        <w:tab w:val="left" w:pos="5669"/>
      </w:tabs>
      <w:spacing w:before="480" w:line="240" w:lineRule="auto"/>
      <w:ind w:left="1984" w:hanging="1984"/>
    </w:pPr>
    <w:rPr>
      <w:rFonts w:ascii="Times New Roman" w:eastAsia="Times New Roman" w:hAnsi="Times New Roman" w:cs="Times New Roman"/>
      <w:sz w:val="24"/>
      <w:szCs w:val="20"/>
      <w:lang w:eastAsia="en-GB"/>
    </w:rPr>
  </w:style>
  <w:style w:type="paragraph" w:customStyle="1" w:styleId="CAPRGraphtitles">
    <w:name w:val="CAPR Graph titles"/>
    <w:basedOn w:val="Normal"/>
    <w:link w:val="CAPRGraphtitlesChar"/>
    <w:qFormat/>
    <w:rsid w:val="00731FC1"/>
    <w:pPr>
      <w:spacing w:before="0" w:line="240" w:lineRule="auto"/>
      <w:jc w:val="both"/>
    </w:pPr>
    <w:rPr>
      <w:rFonts w:ascii="Calibri" w:eastAsia="Calibri" w:hAnsi="Calibri" w:cs="Times New Roman"/>
      <w:b/>
      <w:bCs/>
      <w:sz w:val="20"/>
      <w:szCs w:val="18"/>
    </w:rPr>
  </w:style>
  <w:style w:type="paragraph" w:customStyle="1" w:styleId="CAPRExamples">
    <w:name w:val="CAPR Examples"/>
    <w:basedOn w:val="Normal"/>
    <w:link w:val="CAPRExamplesChar"/>
    <w:qFormat/>
    <w:rsid w:val="00731FC1"/>
    <w:pPr>
      <w:spacing w:line="240" w:lineRule="auto"/>
      <w:jc w:val="both"/>
    </w:pPr>
    <w:rPr>
      <w:rFonts w:ascii="Garamond" w:hAnsi="Garamond"/>
      <w:sz w:val="24"/>
    </w:rPr>
  </w:style>
  <w:style w:type="character" w:customStyle="1" w:styleId="CAPRGraphtitlesChar">
    <w:name w:val="CAPR Graph titles Char"/>
    <w:basedOn w:val="DefaultParagraphFont"/>
    <w:link w:val="CAPRGraphtitles"/>
    <w:rsid w:val="00731FC1"/>
    <w:rPr>
      <w:rFonts w:ascii="Calibri" w:eastAsia="Calibri" w:hAnsi="Calibri" w:cs="Times New Roman"/>
      <w:b/>
      <w:bCs/>
      <w:noProof/>
      <w:sz w:val="20"/>
      <w:szCs w:val="18"/>
      <w:lang w:val="hr-HR"/>
    </w:rPr>
  </w:style>
  <w:style w:type="character" w:customStyle="1" w:styleId="CAPRExamplesChar">
    <w:name w:val="CAPR Examples Char"/>
    <w:basedOn w:val="DefaultParagraphFont"/>
    <w:link w:val="CAPRExamples"/>
    <w:rsid w:val="00731FC1"/>
    <w:rPr>
      <w:rFonts w:ascii="Garamond" w:hAnsi="Garamond"/>
      <w:sz w:val="24"/>
    </w:rPr>
  </w:style>
  <w:style w:type="character" w:customStyle="1" w:styleId="CAPRbodyChar">
    <w:name w:val="CAPR body Char"/>
    <w:basedOn w:val="DefaultParagraphFont"/>
    <w:link w:val="CAPRbody"/>
    <w:locked/>
    <w:rsid w:val="009401B3"/>
    <w:rPr>
      <w:rFonts w:ascii="Times New Roman" w:hAnsi="Times New Roman" w:cs="Times New Roman"/>
      <w:sz w:val="24"/>
    </w:rPr>
  </w:style>
  <w:style w:type="paragraph" w:customStyle="1" w:styleId="CAPRbody">
    <w:name w:val="CAPR body"/>
    <w:basedOn w:val="Normal"/>
    <w:link w:val="CAPRbodyChar"/>
    <w:qFormat/>
    <w:rsid w:val="009401B3"/>
    <w:pPr>
      <w:spacing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1050">
      <w:bodyDiv w:val="1"/>
      <w:marLeft w:val="0"/>
      <w:marRight w:val="0"/>
      <w:marTop w:val="0"/>
      <w:marBottom w:val="0"/>
      <w:divBdr>
        <w:top w:val="none" w:sz="0" w:space="0" w:color="auto"/>
        <w:left w:val="none" w:sz="0" w:space="0" w:color="auto"/>
        <w:bottom w:val="none" w:sz="0" w:space="0" w:color="auto"/>
        <w:right w:val="none" w:sz="0" w:space="0" w:color="auto"/>
      </w:divBdr>
    </w:div>
    <w:div w:id="224948520">
      <w:bodyDiv w:val="1"/>
      <w:marLeft w:val="0"/>
      <w:marRight w:val="0"/>
      <w:marTop w:val="0"/>
      <w:marBottom w:val="0"/>
      <w:divBdr>
        <w:top w:val="none" w:sz="0" w:space="0" w:color="auto"/>
        <w:left w:val="none" w:sz="0" w:space="0" w:color="auto"/>
        <w:bottom w:val="none" w:sz="0" w:space="0" w:color="auto"/>
        <w:right w:val="none" w:sz="0" w:space="0" w:color="auto"/>
      </w:divBdr>
    </w:div>
    <w:div w:id="287931147">
      <w:bodyDiv w:val="1"/>
      <w:marLeft w:val="0"/>
      <w:marRight w:val="0"/>
      <w:marTop w:val="0"/>
      <w:marBottom w:val="0"/>
      <w:divBdr>
        <w:top w:val="none" w:sz="0" w:space="0" w:color="auto"/>
        <w:left w:val="none" w:sz="0" w:space="0" w:color="auto"/>
        <w:bottom w:val="none" w:sz="0" w:space="0" w:color="auto"/>
        <w:right w:val="none" w:sz="0" w:space="0" w:color="auto"/>
      </w:divBdr>
    </w:div>
    <w:div w:id="350766690">
      <w:bodyDiv w:val="1"/>
      <w:marLeft w:val="0"/>
      <w:marRight w:val="0"/>
      <w:marTop w:val="0"/>
      <w:marBottom w:val="0"/>
      <w:divBdr>
        <w:top w:val="none" w:sz="0" w:space="0" w:color="auto"/>
        <w:left w:val="none" w:sz="0" w:space="0" w:color="auto"/>
        <w:bottom w:val="none" w:sz="0" w:space="0" w:color="auto"/>
        <w:right w:val="none" w:sz="0" w:space="0" w:color="auto"/>
      </w:divBdr>
    </w:div>
    <w:div w:id="392312072">
      <w:bodyDiv w:val="1"/>
      <w:marLeft w:val="0"/>
      <w:marRight w:val="0"/>
      <w:marTop w:val="0"/>
      <w:marBottom w:val="0"/>
      <w:divBdr>
        <w:top w:val="none" w:sz="0" w:space="0" w:color="auto"/>
        <w:left w:val="none" w:sz="0" w:space="0" w:color="auto"/>
        <w:bottom w:val="none" w:sz="0" w:space="0" w:color="auto"/>
        <w:right w:val="none" w:sz="0" w:space="0" w:color="auto"/>
      </w:divBdr>
    </w:div>
    <w:div w:id="399910932">
      <w:bodyDiv w:val="1"/>
      <w:marLeft w:val="0"/>
      <w:marRight w:val="0"/>
      <w:marTop w:val="0"/>
      <w:marBottom w:val="0"/>
      <w:divBdr>
        <w:top w:val="none" w:sz="0" w:space="0" w:color="auto"/>
        <w:left w:val="none" w:sz="0" w:space="0" w:color="auto"/>
        <w:bottom w:val="none" w:sz="0" w:space="0" w:color="auto"/>
        <w:right w:val="none" w:sz="0" w:space="0" w:color="auto"/>
      </w:divBdr>
    </w:div>
    <w:div w:id="473640864">
      <w:bodyDiv w:val="1"/>
      <w:marLeft w:val="0"/>
      <w:marRight w:val="0"/>
      <w:marTop w:val="0"/>
      <w:marBottom w:val="0"/>
      <w:divBdr>
        <w:top w:val="none" w:sz="0" w:space="0" w:color="auto"/>
        <w:left w:val="none" w:sz="0" w:space="0" w:color="auto"/>
        <w:bottom w:val="none" w:sz="0" w:space="0" w:color="auto"/>
        <w:right w:val="none" w:sz="0" w:space="0" w:color="auto"/>
      </w:divBdr>
    </w:div>
    <w:div w:id="500780561">
      <w:bodyDiv w:val="1"/>
      <w:marLeft w:val="0"/>
      <w:marRight w:val="0"/>
      <w:marTop w:val="0"/>
      <w:marBottom w:val="0"/>
      <w:divBdr>
        <w:top w:val="none" w:sz="0" w:space="0" w:color="auto"/>
        <w:left w:val="none" w:sz="0" w:space="0" w:color="auto"/>
        <w:bottom w:val="none" w:sz="0" w:space="0" w:color="auto"/>
        <w:right w:val="none" w:sz="0" w:space="0" w:color="auto"/>
      </w:divBdr>
    </w:div>
    <w:div w:id="513810714">
      <w:bodyDiv w:val="1"/>
      <w:marLeft w:val="0"/>
      <w:marRight w:val="0"/>
      <w:marTop w:val="0"/>
      <w:marBottom w:val="0"/>
      <w:divBdr>
        <w:top w:val="none" w:sz="0" w:space="0" w:color="auto"/>
        <w:left w:val="none" w:sz="0" w:space="0" w:color="auto"/>
        <w:bottom w:val="none" w:sz="0" w:space="0" w:color="auto"/>
        <w:right w:val="none" w:sz="0" w:space="0" w:color="auto"/>
      </w:divBdr>
    </w:div>
    <w:div w:id="559247835">
      <w:bodyDiv w:val="1"/>
      <w:marLeft w:val="0"/>
      <w:marRight w:val="0"/>
      <w:marTop w:val="0"/>
      <w:marBottom w:val="0"/>
      <w:divBdr>
        <w:top w:val="none" w:sz="0" w:space="0" w:color="auto"/>
        <w:left w:val="none" w:sz="0" w:space="0" w:color="auto"/>
        <w:bottom w:val="none" w:sz="0" w:space="0" w:color="auto"/>
        <w:right w:val="none" w:sz="0" w:space="0" w:color="auto"/>
      </w:divBdr>
    </w:div>
    <w:div w:id="573707094">
      <w:bodyDiv w:val="1"/>
      <w:marLeft w:val="0"/>
      <w:marRight w:val="0"/>
      <w:marTop w:val="0"/>
      <w:marBottom w:val="0"/>
      <w:divBdr>
        <w:top w:val="none" w:sz="0" w:space="0" w:color="auto"/>
        <w:left w:val="none" w:sz="0" w:space="0" w:color="auto"/>
        <w:bottom w:val="none" w:sz="0" w:space="0" w:color="auto"/>
        <w:right w:val="none" w:sz="0" w:space="0" w:color="auto"/>
      </w:divBdr>
    </w:div>
    <w:div w:id="584338345">
      <w:bodyDiv w:val="1"/>
      <w:marLeft w:val="0"/>
      <w:marRight w:val="0"/>
      <w:marTop w:val="0"/>
      <w:marBottom w:val="0"/>
      <w:divBdr>
        <w:top w:val="none" w:sz="0" w:space="0" w:color="auto"/>
        <w:left w:val="none" w:sz="0" w:space="0" w:color="auto"/>
        <w:bottom w:val="none" w:sz="0" w:space="0" w:color="auto"/>
        <w:right w:val="none" w:sz="0" w:space="0" w:color="auto"/>
      </w:divBdr>
    </w:div>
    <w:div w:id="623733634">
      <w:bodyDiv w:val="1"/>
      <w:marLeft w:val="0"/>
      <w:marRight w:val="0"/>
      <w:marTop w:val="0"/>
      <w:marBottom w:val="0"/>
      <w:divBdr>
        <w:top w:val="none" w:sz="0" w:space="0" w:color="auto"/>
        <w:left w:val="none" w:sz="0" w:space="0" w:color="auto"/>
        <w:bottom w:val="none" w:sz="0" w:space="0" w:color="auto"/>
        <w:right w:val="none" w:sz="0" w:space="0" w:color="auto"/>
      </w:divBdr>
    </w:div>
    <w:div w:id="649987982">
      <w:bodyDiv w:val="1"/>
      <w:marLeft w:val="0"/>
      <w:marRight w:val="0"/>
      <w:marTop w:val="0"/>
      <w:marBottom w:val="0"/>
      <w:divBdr>
        <w:top w:val="none" w:sz="0" w:space="0" w:color="auto"/>
        <w:left w:val="none" w:sz="0" w:space="0" w:color="auto"/>
        <w:bottom w:val="none" w:sz="0" w:space="0" w:color="auto"/>
        <w:right w:val="none" w:sz="0" w:space="0" w:color="auto"/>
      </w:divBdr>
    </w:div>
    <w:div w:id="657999222">
      <w:bodyDiv w:val="1"/>
      <w:marLeft w:val="0"/>
      <w:marRight w:val="0"/>
      <w:marTop w:val="0"/>
      <w:marBottom w:val="0"/>
      <w:divBdr>
        <w:top w:val="none" w:sz="0" w:space="0" w:color="auto"/>
        <w:left w:val="none" w:sz="0" w:space="0" w:color="auto"/>
        <w:bottom w:val="none" w:sz="0" w:space="0" w:color="auto"/>
        <w:right w:val="none" w:sz="0" w:space="0" w:color="auto"/>
      </w:divBdr>
    </w:div>
    <w:div w:id="683214133">
      <w:bodyDiv w:val="1"/>
      <w:marLeft w:val="0"/>
      <w:marRight w:val="0"/>
      <w:marTop w:val="0"/>
      <w:marBottom w:val="0"/>
      <w:divBdr>
        <w:top w:val="none" w:sz="0" w:space="0" w:color="auto"/>
        <w:left w:val="none" w:sz="0" w:space="0" w:color="auto"/>
        <w:bottom w:val="none" w:sz="0" w:space="0" w:color="auto"/>
        <w:right w:val="none" w:sz="0" w:space="0" w:color="auto"/>
      </w:divBdr>
    </w:div>
    <w:div w:id="695036887">
      <w:bodyDiv w:val="1"/>
      <w:marLeft w:val="0"/>
      <w:marRight w:val="0"/>
      <w:marTop w:val="0"/>
      <w:marBottom w:val="0"/>
      <w:divBdr>
        <w:top w:val="none" w:sz="0" w:space="0" w:color="auto"/>
        <w:left w:val="none" w:sz="0" w:space="0" w:color="auto"/>
        <w:bottom w:val="none" w:sz="0" w:space="0" w:color="auto"/>
        <w:right w:val="none" w:sz="0" w:space="0" w:color="auto"/>
      </w:divBdr>
    </w:div>
    <w:div w:id="703020032">
      <w:bodyDiv w:val="1"/>
      <w:marLeft w:val="0"/>
      <w:marRight w:val="0"/>
      <w:marTop w:val="0"/>
      <w:marBottom w:val="0"/>
      <w:divBdr>
        <w:top w:val="none" w:sz="0" w:space="0" w:color="auto"/>
        <w:left w:val="none" w:sz="0" w:space="0" w:color="auto"/>
        <w:bottom w:val="none" w:sz="0" w:space="0" w:color="auto"/>
        <w:right w:val="none" w:sz="0" w:space="0" w:color="auto"/>
      </w:divBdr>
    </w:div>
    <w:div w:id="839464823">
      <w:bodyDiv w:val="1"/>
      <w:marLeft w:val="0"/>
      <w:marRight w:val="0"/>
      <w:marTop w:val="0"/>
      <w:marBottom w:val="0"/>
      <w:divBdr>
        <w:top w:val="none" w:sz="0" w:space="0" w:color="auto"/>
        <w:left w:val="none" w:sz="0" w:space="0" w:color="auto"/>
        <w:bottom w:val="none" w:sz="0" w:space="0" w:color="auto"/>
        <w:right w:val="none" w:sz="0" w:space="0" w:color="auto"/>
      </w:divBdr>
    </w:div>
    <w:div w:id="880096201">
      <w:bodyDiv w:val="1"/>
      <w:marLeft w:val="0"/>
      <w:marRight w:val="0"/>
      <w:marTop w:val="0"/>
      <w:marBottom w:val="0"/>
      <w:divBdr>
        <w:top w:val="none" w:sz="0" w:space="0" w:color="auto"/>
        <w:left w:val="none" w:sz="0" w:space="0" w:color="auto"/>
        <w:bottom w:val="none" w:sz="0" w:space="0" w:color="auto"/>
        <w:right w:val="none" w:sz="0" w:space="0" w:color="auto"/>
      </w:divBdr>
    </w:div>
    <w:div w:id="891309760">
      <w:bodyDiv w:val="1"/>
      <w:marLeft w:val="0"/>
      <w:marRight w:val="0"/>
      <w:marTop w:val="0"/>
      <w:marBottom w:val="0"/>
      <w:divBdr>
        <w:top w:val="none" w:sz="0" w:space="0" w:color="auto"/>
        <w:left w:val="none" w:sz="0" w:space="0" w:color="auto"/>
        <w:bottom w:val="none" w:sz="0" w:space="0" w:color="auto"/>
        <w:right w:val="none" w:sz="0" w:space="0" w:color="auto"/>
      </w:divBdr>
    </w:div>
    <w:div w:id="933441442">
      <w:bodyDiv w:val="1"/>
      <w:marLeft w:val="0"/>
      <w:marRight w:val="0"/>
      <w:marTop w:val="0"/>
      <w:marBottom w:val="0"/>
      <w:divBdr>
        <w:top w:val="none" w:sz="0" w:space="0" w:color="auto"/>
        <w:left w:val="none" w:sz="0" w:space="0" w:color="auto"/>
        <w:bottom w:val="none" w:sz="0" w:space="0" w:color="auto"/>
        <w:right w:val="none" w:sz="0" w:space="0" w:color="auto"/>
      </w:divBdr>
    </w:div>
    <w:div w:id="991718575">
      <w:bodyDiv w:val="1"/>
      <w:marLeft w:val="0"/>
      <w:marRight w:val="0"/>
      <w:marTop w:val="0"/>
      <w:marBottom w:val="0"/>
      <w:divBdr>
        <w:top w:val="none" w:sz="0" w:space="0" w:color="auto"/>
        <w:left w:val="none" w:sz="0" w:space="0" w:color="auto"/>
        <w:bottom w:val="none" w:sz="0" w:space="0" w:color="auto"/>
        <w:right w:val="none" w:sz="0" w:space="0" w:color="auto"/>
      </w:divBdr>
    </w:div>
    <w:div w:id="1070693831">
      <w:bodyDiv w:val="1"/>
      <w:marLeft w:val="0"/>
      <w:marRight w:val="0"/>
      <w:marTop w:val="0"/>
      <w:marBottom w:val="0"/>
      <w:divBdr>
        <w:top w:val="none" w:sz="0" w:space="0" w:color="auto"/>
        <w:left w:val="none" w:sz="0" w:space="0" w:color="auto"/>
        <w:bottom w:val="none" w:sz="0" w:space="0" w:color="auto"/>
        <w:right w:val="none" w:sz="0" w:space="0" w:color="auto"/>
      </w:divBdr>
    </w:div>
    <w:div w:id="1099830989">
      <w:bodyDiv w:val="1"/>
      <w:marLeft w:val="0"/>
      <w:marRight w:val="0"/>
      <w:marTop w:val="0"/>
      <w:marBottom w:val="0"/>
      <w:divBdr>
        <w:top w:val="none" w:sz="0" w:space="0" w:color="auto"/>
        <w:left w:val="none" w:sz="0" w:space="0" w:color="auto"/>
        <w:bottom w:val="none" w:sz="0" w:space="0" w:color="auto"/>
        <w:right w:val="none" w:sz="0" w:space="0" w:color="auto"/>
      </w:divBdr>
    </w:div>
    <w:div w:id="1130396127">
      <w:bodyDiv w:val="1"/>
      <w:marLeft w:val="0"/>
      <w:marRight w:val="0"/>
      <w:marTop w:val="0"/>
      <w:marBottom w:val="0"/>
      <w:divBdr>
        <w:top w:val="none" w:sz="0" w:space="0" w:color="auto"/>
        <w:left w:val="none" w:sz="0" w:space="0" w:color="auto"/>
        <w:bottom w:val="none" w:sz="0" w:space="0" w:color="auto"/>
        <w:right w:val="none" w:sz="0" w:space="0" w:color="auto"/>
      </w:divBdr>
    </w:div>
    <w:div w:id="1138768072">
      <w:bodyDiv w:val="1"/>
      <w:marLeft w:val="0"/>
      <w:marRight w:val="0"/>
      <w:marTop w:val="0"/>
      <w:marBottom w:val="0"/>
      <w:divBdr>
        <w:top w:val="none" w:sz="0" w:space="0" w:color="auto"/>
        <w:left w:val="none" w:sz="0" w:space="0" w:color="auto"/>
        <w:bottom w:val="none" w:sz="0" w:space="0" w:color="auto"/>
        <w:right w:val="none" w:sz="0" w:space="0" w:color="auto"/>
      </w:divBdr>
    </w:div>
    <w:div w:id="1146976440">
      <w:bodyDiv w:val="1"/>
      <w:marLeft w:val="0"/>
      <w:marRight w:val="0"/>
      <w:marTop w:val="0"/>
      <w:marBottom w:val="0"/>
      <w:divBdr>
        <w:top w:val="none" w:sz="0" w:space="0" w:color="auto"/>
        <w:left w:val="none" w:sz="0" w:space="0" w:color="auto"/>
        <w:bottom w:val="none" w:sz="0" w:space="0" w:color="auto"/>
        <w:right w:val="none" w:sz="0" w:space="0" w:color="auto"/>
      </w:divBdr>
    </w:div>
    <w:div w:id="1196232133">
      <w:bodyDiv w:val="1"/>
      <w:marLeft w:val="0"/>
      <w:marRight w:val="0"/>
      <w:marTop w:val="0"/>
      <w:marBottom w:val="0"/>
      <w:divBdr>
        <w:top w:val="none" w:sz="0" w:space="0" w:color="auto"/>
        <w:left w:val="none" w:sz="0" w:space="0" w:color="auto"/>
        <w:bottom w:val="none" w:sz="0" w:space="0" w:color="auto"/>
        <w:right w:val="none" w:sz="0" w:space="0" w:color="auto"/>
      </w:divBdr>
    </w:div>
    <w:div w:id="1197891007">
      <w:bodyDiv w:val="1"/>
      <w:marLeft w:val="0"/>
      <w:marRight w:val="0"/>
      <w:marTop w:val="0"/>
      <w:marBottom w:val="0"/>
      <w:divBdr>
        <w:top w:val="none" w:sz="0" w:space="0" w:color="auto"/>
        <w:left w:val="none" w:sz="0" w:space="0" w:color="auto"/>
        <w:bottom w:val="none" w:sz="0" w:space="0" w:color="auto"/>
        <w:right w:val="none" w:sz="0" w:space="0" w:color="auto"/>
      </w:divBdr>
    </w:div>
    <w:div w:id="1208878676">
      <w:bodyDiv w:val="1"/>
      <w:marLeft w:val="0"/>
      <w:marRight w:val="0"/>
      <w:marTop w:val="0"/>
      <w:marBottom w:val="0"/>
      <w:divBdr>
        <w:top w:val="none" w:sz="0" w:space="0" w:color="auto"/>
        <w:left w:val="none" w:sz="0" w:space="0" w:color="auto"/>
        <w:bottom w:val="none" w:sz="0" w:space="0" w:color="auto"/>
        <w:right w:val="none" w:sz="0" w:space="0" w:color="auto"/>
      </w:divBdr>
    </w:div>
    <w:div w:id="1308585694">
      <w:bodyDiv w:val="1"/>
      <w:marLeft w:val="0"/>
      <w:marRight w:val="0"/>
      <w:marTop w:val="0"/>
      <w:marBottom w:val="0"/>
      <w:divBdr>
        <w:top w:val="none" w:sz="0" w:space="0" w:color="auto"/>
        <w:left w:val="none" w:sz="0" w:space="0" w:color="auto"/>
        <w:bottom w:val="none" w:sz="0" w:space="0" w:color="auto"/>
        <w:right w:val="none" w:sz="0" w:space="0" w:color="auto"/>
      </w:divBdr>
    </w:div>
    <w:div w:id="1391419927">
      <w:bodyDiv w:val="1"/>
      <w:marLeft w:val="0"/>
      <w:marRight w:val="0"/>
      <w:marTop w:val="0"/>
      <w:marBottom w:val="0"/>
      <w:divBdr>
        <w:top w:val="none" w:sz="0" w:space="0" w:color="auto"/>
        <w:left w:val="none" w:sz="0" w:space="0" w:color="auto"/>
        <w:bottom w:val="none" w:sz="0" w:space="0" w:color="auto"/>
        <w:right w:val="none" w:sz="0" w:space="0" w:color="auto"/>
      </w:divBdr>
    </w:div>
    <w:div w:id="1402412586">
      <w:bodyDiv w:val="1"/>
      <w:marLeft w:val="0"/>
      <w:marRight w:val="0"/>
      <w:marTop w:val="0"/>
      <w:marBottom w:val="0"/>
      <w:divBdr>
        <w:top w:val="none" w:sz="0" w:space="0" w:color="auto"/>
        <w:left w:val="none" w:sz="0" w:space="0" w:color="auto"/>
        <w:bottom w:val="none" w:sz="0" w:space="0" w:color="auto"/>
        <w:right w:val="none" w:sz="0" w:space="0" w:color="auto"/>
      </w:divBdr>
    </w:div>
    <w:div w:id="1458986496">
      <w:bodyDiv w:val="1"/>
      <w:marLeft w:val="0"/>
      <w:marRight w:val="0"/>
      <w:marTop w:val="0"/>
      <w:marBottom w:val="0"/>
      <w:divBdr>
        <w:top w:val="none" w:sz="0" w:space="0" w:color="auto"/>
        <w:left w:val="none" w:sz="0" w:space="0" w:color="auto"/>
        <w:bottom w:val="none" w:sz="0" w:space="0" w:color="auto"/>
        <w:right w:val="none" w:sz="0" w:space="0" w:color="auto"/>
      </w:divBdr>
    </w:div>
    <w:div w:id="1476144540">
      <w:bodyDiv w:val="1"/>
      <w:marLeft w:val="0"/>
      <w:marRight w:val="0"/>
      <w:marTop w:val="0"/>
      <w:marBottom w:val="0"/>
      <w:divBdr>
        <w:top w:val="none" w:sz="0" w:space="0" w:color="auto"/>
        <w:left w:val="none" w:sz="0" w:space="0" w:color="auto"/>
        <w:bottom w:val="none" w:sz="0" w:space="0" w:color="auto"/>
        <w:right w:val="none" w:sz="0" w:space="0" w:color="auto"/>
      </w:divBdr>
    </w:div>
    <w:div w:id="1490171726">
      <w:bodyDiv w:val="1"/>
      <w:marLeft w:val="0"/>
      <w:marRight w:val="0"/>
      <w:marTop w:val="0"/>
      <w:marBottom w:val="0"/>
      <w:divBdr>
        <w:top w:val="none" w:sz="0" w:space="0" w:color="auto"/>
        <w:left w:val="none" w:sz="0" w:space="0" w:color="auto"/>
        <w:bottom w:val="none" w:sz="0" w:space="0" w:color="auto"/>
        <w:right w:val="none" w:sz="0" w:space="0" w:color="auto"/>
      </w:divBdr>
    </w:div>
    <w:div w:id="1569657050">
      <w:bodyDiv w:val="1"/>
      <w:marLeft w:val="0"/>
      <w:marRight w:val="0"/>
      <w:marTop w:val="0"/>
      <w:marBottom w:val="0"/>
      <w:divBdr>
        <w:top w:val="none" w:sz="0" w:space="0" w:color="auto"/>
        <w:left w:val="none" w:sz="0" w:space="0" w:color="auto"/>
        <w:bottom w:val="none" w:sz="0" w:space="0" w:color="auto"/>
        <w:right w:val="none" w:sz="0" w:space="0" w:color="auto"/>
      </w:divBdr>
    </w:div>
    <w:div w:id="1570529581">
      <w:bodyDiv w:val="1"/>
      <w:marLeft w:val="0"/>
      <w:marRight w:val="0"/>
      <w:marTop w:val="0"/>
      <w:marBottom w:val="0"/>
      <w:divBdr>
        <w:top w:val="none" w:sz="0" w:space="0" w:color="auto"/>
        <w:left w:val="none" w:sz="0" w:space="0" w:color="auto"/>
        <w:bottom w:val="none" w:sz="0" w:space="0" w:color="auto"/>
        <w:right w:val="none" w:sz="0" w:space="0" w:color="auto"/>
      </w:divBdr>
    </w:div>
    <w:div w:id="1618174264">
      <w:bodyDiv w:val="1"/>
      <w:marLeft w:val="0"/>
      <w:marRight w:val="0"/>
      <w:marTop w:val="0"/>
      <w:marBottom w:val="0"/>
      <w:divBdr>
        <w:top w:val="none" w:sz="0" w:space="0" w:color="auto"/>
        <w:left w:val="none" w:sz="0" w:space="0" w:color="auto"/>
        <w:bottom w:val="none" w:sz="0" w:space="0" w:color="auto"/>
        <w:right w:val="none" w:sz="0" w:space="0" w:color="auto"/>
      </w:divBdr>
    </w:div>
    <w:div w:id="1681466100">
      <w:bodyDiv w:val="1"/>
      <w:marLeft w:val="0"/>
      <w:marRight w:val="0"/>
      <w:marTop w:val="0"/>
      <w:marBottom w:val="0"/>
      <w:divBdr>
        <w:top w:val="none" w:sz="0" w:space="0" w:color="auto"/>
        <w:left w:val="none" w:sz="0" w:space="0" w:color="auto"/>
        <w:bottom w:val="none" w:sz="0" w:space="0" w:color="auto"/>
        <w:right w:val="none" w:sz="0" w:space="0" w:color="auto"/>
      </w:divBdr>
    </w:div>
    <w:div w:id="1770077066">
      <w:bodyDiv w:val="1"/>
      <w:marLeft w:val="0"/>
      <w:marRight w:val="0"/>
      <w:marTop w:val="0"/>
      <w:marBottom w:val="0"/>
      <w:divBdr>
        <w:top w:val="none" w:sz="0" w:space="0" w:color="auto"/>
        <w:left w:val="none" w:sz="0" w:space="0" w:color="auto"/>
        <w:bottom w:val="none" w:sz="0" w:space="0" w:color="auto"/>
        <w:right w:val="none" w:sz="0" w:space="0" w:color="auto"/>
      </w:divBdr>
    </w:div>
    <w:div w:id="1779596296">
      <w:bodyDiv w:val="1"/>
      <w:marLeft w:val="0"/>
      <w:marRight w:val="0"/>
      <w:marTop w:val="0"/>
      <w:marBottom w:val="0"/>
      <w:divBdr>
        <w:top w:val="none" w:sz="0" w:space="0" w:color="auto"/>
        <w:left w:val="none" w:sz="0" w:space="0" w:color="auto"/>
        <w:bottom w:val="none" w:sz="0" w:space="0" w:color="auto"/>
        <w:right w:val="none" w:sz="0" w:space="0" w:color="auto"/>
      </w:divBdr>
    </w:div>
    <w:div w:id="1815414812">
      <w:bodyDiv w:val="1"/>
      <w:marLeft w:val="0"/>
      <w:marRight w:val="0"/>
      <w:marTop w:val="0"/>
      <w:marBottom w:val="0"/>
      <w:divBdr>
        <w:top w:val="none" w:sz="0" w:space="0" w:color="auto"/>
        <w:left w:val="none" w:sz="0" w:space="0" w:color="auto"/>
        <w:bottom w:val="none" w:sz="0" w:space="0" w:color="auto"/>
        <w:right w:val="none" w:sz="0" w:space="0" w:color="auto"/>
      </w:divBdr>
    </w:div>
    <w:div w:id="1844853804">
      <w:bodyDiv w:val="1"/>
      <w:marLeft w:val="0"/>
      <w:marRight w:val="0"/>
      <w:marTop w:val="0"/>
      <w:marBottom w:val="0"/>
      <w:divBdr>
        <w:top w:val="none" w:sz="0" w:space="0" w:color="auto"/>
        <w:left w:val="none" w:sz="0" w:space="0" w:color="auto"/>
        <w:bottom w:val="none" w:sz="0" w:space="0" w:color="auto"/>
        <w:right w:val="none" w:sz="0" w:space="0" w:color="auto"/>
      </w:divBdr>
    </w:div>
    <w:div w:id="1878927752">
      <w:bodyDiv w:val="1"/>
      <w:marLeft w:val="0"/>
      <w:marRight w:val="0"/>
      <w:marTop w:val="0"/>
      <w:marBottom w:val="0"/>
      <w:divBdr>
        <w:top w:val="none" w:sz="0" w:space="0" w:color="auto"/>
        <w:left w:val="none" w:sz="0" w:space="0" w:color="auto"/>
        <w:bottom w:val="none" w:sz="0" w:space="0" w:color="auto"/>
        <w:right w:val="none" w:sz="0" w:space="0" w:color="auto"/>
      </w:divBdr>
    </w:div>
    <w:div w:id="1921019993">
      <w:bodyDiv w:val="1"/>
      <w:marLeft w:val="0"/>
      <w:marRight w:val="0"/>
      <w:marTop w:val="0"/>
      <w:marBottom w:val="0"/>
      <w:divBdr>
        <w:top w:val="none" w:sz="0" w:space="0" w:color="auto"/>
        <w:left w:val="none" w:sz="0" w:space="0" w:color="auto"/>
        <w:bottom w:val="none" w:sz="0" w:space="0" w:color="auto"/>
        <w:right w:val="none" w:sz="0" w:space="0" w:color="auto"/>
      </w:divBdr>
    </w:div>
    <w:div w:id="1927222434">
      <w:bodyDiv w:val="1"/>
      <w:marLeft w:val="0"/>
      <w:marRight w:val="0"/>
      <w:marTop w:val="0"/>
      <w:marBottom w:val="0"/>
      <w:divBdr>
        <w:top w:val="none" w:sz="0" w:space="0" w:color="auto"/>
        <w:left w:val="none" w:sz="0" w:space="0" w:color="auto"/>
        <w:bottom w:val="none" w:sz="0" w:space="0" w:color="auto"/>
        <w:right w:val="none" w:sz="0" w:space="0" w:color="auto"/>
      </w:divBdr>
    </w:div>
    <w:div w:id="1928034121">
      <w:bodyDiv w:val="1"/>
      <w:marLeft w:val="0"/>
      <w:marRight w:val="0"/>
      <w:marTop w:val="0"/>
      <w:marBottom w:val="0"/>
      <w:divBdr>
        <w:top w:val="none" w:sz="0" w:space="0" w:color="auto"/>
        <w:left w:val="none" w:sz="0" w:space="0" w:color="auto"/>
        <w:bottom w:val="none" w:sz="0" w:space="0" w:color="auto"/>
        <w:right w:val="none" w:sz="0" w:space="0" w:color="auto"/>
      </w:divBdr>
    </w:div>
    <w:div w:id="1929997554">
      <w:bodyDiv w:val="1"/>
      <w:marLeft w:val="0"/>
      <w:marRight w:val="0"/>
      <w:marTop w:val="0"/>
      <w:marBottom w:val="0"/>
      <w:divBdr>
        <w:top w:val="none" w:sz="0" w:space="0" w:color="auto"/>
        <w:left w:val="none" w:sz="0" w:space="0" w:color="auto"/>
        <w:bottom w:val="none" w:sz="0" w:space="0" w:color="auto"/>
        <w:right w:val="none" w:sz="0" w:space="0" w:color="auto"/>
      </w:divBdr>
    </w:div>
    <w:div w:id="1939867174">
      <w:bodyDiv w:val="1"/>
      <w:marLeft w:val="0"/>
      <w:marRight w:val="0"/>
      <w:marTop w:val="0"/>
      <w:marBottom w:val="0"/>
      <w:divBdr>
        <w:top w:val="none" w:sz="0" w:space="0" w:color="auto"/>
        <w:left w:val="none" w:sz="0" w:space="0" w:color="auto"/>
        <w:bottom w:val="none" w:sz="0" w:space="0" w:color="auto"/>
        <w:right w:val="none" w:sz="0" w:space="0" w:color="auto"/>
      </w:divBdr>
    </w:div>
    <w:div w:id="1969047960">
      <w:bodyDiv w:val="1"/>
      <w:marLeft w:val="0"/>
      <w:marRight w:val="0"/>
      <w:marTop w:val="0"/>
      <w:marBottom w:val="0"/>
      <w:divBdr>
        <w:top w:val="none" w:sz="0" w:space="0" w:color="auto"/>
        <w:left w:val="none" w:sz="0" w:space="0" w:color="auto"/>
        <w:bottom w:val="none" w:sz="0" w:space="0" w:color="auto"/>
        <w:right w:val="none" w:sz="0" w:space="0" w:color="auto"/>
      </w:divBdr>
    </w:div>
    <w:div w:id="2004812480">
      <w:bodyDiv w:val="1"/>
      <w:marLeft w:val="0"/>
      <w:marRight w:val="0"/>
      <w:marTop w:val="0"/>
      <w:marBottom w:val="0"/>
      <w:divBdr>
        <w:top w:val="none" w:sz="0" w:space="0" w:color="auto"/>
        <w:left w:val="none" w:sz="0" w:space="0" w:color="auto"/>
        <w:bottom w:val="none" w:sz="0" w:space="0" w:color="auto"/>
        <w:right w:val="none" w:sz="0" w:space="0" w:color="auto"/>
      </w:divBdr>
    </w:div>
    <w:div w:id="2007904834">
      <w:bodyDiv w:val="1"/>
      <w:marLeft w:val="0"/>
      <w:marRight w:val="0"/>
      <w:marTop w:val="0"/>
      <w:marBottom w:val="0"/>
      <w:divBdr>
        <w:top w:val="none" w:sz="0" w:space="0" w:color="auto"/>
        <w:left w:val="none" w:sz="0" w:space="0" w:color="auto"/>
        <w:bottom w:val="none" w:sz="0" w:space="0" w:color="auto"/>
        <w:right w:val="none" w:sz="0" w:space="0" w:color="auto"/>
      </w:divBdr>
    </w:div>
    <w:div w:id="2075202201">
      <w:bodyDiv w:val="1"/>
      <w:marLeft w:val="0"/>
      <w:marRight w:val="0"/>
      <w:marTop w:val="0"/>
      <w:marBottom w:val="0"/>
      <w:divBdr>
        <w:top w:val="none" w:sz="0" w:space="0" w:color="auto"/>
        <w:left w:val="none" w:sz="0" w:space="0" w:color="auto"/>
        <w:bottom w:val="none" w:sz="0" w:space="0" w:color="auto"/>
        <w:right w:val="none" w:sz="0" w:space="0" w:color="auto"/>
      </w:divBdr>
    </w:div>
    <w:div w:id="21202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stjornarradid.is/library/02-Rit--skyrslur-og-skrar/Iceland%20National%20Plan%202020.pdf" TargetMode="External"/><Relationship Id="rId3" Type="http://schemas.openxmlformats.org/officeDocument/2006/relationships/hyperlink" Target="https://ec.europa.eu/info/strategy/priorities-2019-2024/european-green-deal/finance-and-green-deal/just-transition-mechanism/just-transition-platform_hr" TargetMode="External"/><Relationship Id="rId7" Type="http://schemas.openxmlformats.org/officeDocument/2006/relationships/hyperlink" Target="https://www.regjeringen.no/en/dokumenter/norways-national-plan-related-to-the-decision-of-the-eea-joint-commitee-no-269-2019-of-26-october-2019/id2684252/" TargetMode="External"/><Relationship Id="rId2" Type="http://schemas.openxmlformats.org/officeDocument/2006/relationships/hyperlink" Target="http://ec.europa.eu/social/esde2020" TargetMode="External"/><Relationship Id="rId1" Type="http://schemas.openxmlformats.org/officeDocument/2006/relationships/hyperlink" Target="https://unfccc.int/documents/307266" TargetMode="External"/><Relationship Id="rId6" Type="http://schemas.openxmlformats.org/officeDocument/2006/relationships/hyperlink" Target="https://www.covenantofmayors.eu/about/covenant-initiative/covenant-in-figures.html" TargetMode="External"/><Relationship Id="rId11" Type="http://schemas.openxmlformats.org/officeDocument/2006/relationships/hyperlink" Target="https://eur-lex.europa.eu/legal-content/HR/TXT/?uri=CELEX:32020R1208" TargetMode="External"/><Relationship Id="rId5" Type="http://schemas.openxmlformats.org/officeDocument/2006/relationships/hyperlink" Target="https://europa.eu/climate-pact/ambassadors/meet-our-ambassadors_hr" TargetMode="External"/><Relationship Id="rId10" Type="http://schemas.openxmlformats.org/officeDocument/2006/relationships/hyperlink" Target="https://publications.jrc.ec.europa.eu/repository/handle/JRC124374" TargetMode="External"/><Relationship Id="rId4" Type="http://schemas.openxmlformats.org/officeDocument/2006/relationships/hyperlink" Target="https://europa.eu/climate-pact/index_en" TargetMode="External"/><Relationship Id="rId9" Type="http://schemas.openxmlformats.org/officeDocument/2006/relationships/hyperlink" Target="https://www.eftasurv.int/cms/sites/default/files/documents/gopro/Determination%20of%20the%20forest%20reference%20levels%20(FR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860d912c-537d-45a8-8150-6acaed830b3a">Draft</EC_Collab_Status>
    <_Status xmlns="http://schemas.microsoft.com/sharepoint/v3/fields">Not Started</_Status>
    <EC_Collab_Reference xmlns="860d912c-537d-45a8-8150-6acaed830b3a" xsi:nil="true"/>
    <EC_Collab_DocumentLanguage xmlns="860d912c-537d-45a8-8150-6acaed830b3a">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6847E1B8AD23243ABCBDF4B7200F2DF" ma:contentTypeVersion="0" ma:contentTypeDescription="Create a new document in this library." ma:contentTypeScope="" ma:versionID="9a4cabf7f0ec1910422d457b83992ea6">
  <xsd:schema xmlns:xsd="http://www.w3.org/2001/XMLSchema" xmlns:xs="http://www.w3.org/2001/XMLSchema" xmlns:p="http://schemas.microsoft.com/office/2006/metadata/properties" xmlns:ns2="http://schemas.microsoft.com/sharepoint/v3/fields" xmlns:ns3="860d912c-537d-45a8-8150-6acaed830b3a" targetNamespace="http://schemas.microsoft.com/office/2006/metadata/properties" ma:root="true" ma:fieldsID="4e9f4e14874d6c160478bed546b860fb" ns2:_="" ns3:_="">
    <xsd:import namespace="http://schemas.microsoft.com/sharepoint/v3/fields"/>
    <xsd:import namespace="860d912c-537d-45a8-8150-6acaed830b3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60d912c-537d-45a8-8150-6acaed830b3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B975A4C-32C0-4E64-BEE1-0FDAD968193B}">
  <ds:schemaRefs>
    <ds:schemaRef ds:uri="http://schemas.microsoft.com/office/2006/metadata/properties"/>
    <ds:schemaRef ds:uri="http://schemas.microsoft.com/office/infopath/2007/PartnerControls"/>
    <ds:schemaRef ds:uri="860d912c-537d-45a8-8150-6acaed830b3a"/>
    <ds:schemaRef ds:uri="http://schemas.microsoft.com/sharepoint/v3/fields"/>
  </ds:schemaRefs>
</ds:datastoreItem>
</file>

<file path=customXml/itemProps2.xml><?xml version="1.0" encoding="utf-8"?>
<ds:datastoreItem xmlns:ds="http://schemas.openxmlformats.org/officeDocument/2006/customXml" ds:itemID="{B4AE1CBA-F055-4692-803C-7E629D6DA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60d912c-537d-45a8-8150-6acaed830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CC916-F9D6-4B8A-A5C8-A8AA00EEB61F}">
  <ds:schemaRefs>
    <ds:schemaRef ds:uri="http://schemas.microsoft.com/sharepoint/v3/contenttype/forms"/>
  </ds:schemaRefs>
</ds:datastoreItem>
</file>

<file path=customXml/itemProps4.xml><?xml version="1.0" encoding="utf-8"?>
<ds:datastoreItem xmlns:ds="http://schemas.openxmlformats.org/officeDocument/2006/customXml" ds:itemID="{114ED40E-C01D-45A5-ADC5-05B5B324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27</Pages>
  <Words>7136</Words>
  <Characters>40895</Characters>
  <Application>Microsoft Office Word</Application>
  <DocSecurity>0</DocSecurity>
  <Lines>629</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72</cp:revision>
  <dcterms:created xsi:type="dcterms:W3CDTF">2021-10-26T10:44:00Z</dcterms:created>
  <dcterms:modified xsi:type="dcterms:W3CDTF">2021-10-27T08:02:00Z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ContentTypeId">
    <vt:lpwstr>0x010100258AA79CEB83498886A3A0868112325000D6847E1B8AD23243ABCBDF4B7200F2DF</vt:lpwstr>
  </property>
  <property fmtid="{D5CDD505-2E9C-101B-9397-08002B2CF9AE}" pid="10" name="_LW_INVALIDATED__LW_INVALIDATED__LW_INVALIDATED__LW_INVALIDATED__LW_INVALIDATED_ContentTypeId">
    <vt:lpwstr>0x010100258AA79CEB83498886A3A0868112325000D6847E1B8AD23243ABCBDF4B7200F2DF</vt:lpwstr>
  </property>
  <property name="OP_sanitized" fmtid="{D5CDD505-2E9C-101B-9397-08002B2CF9AE}" pid="11">
    <vt:lpwstr>True</vt:lpwstr>
  </property>
</Properties>
</file>