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A058280-3941-4B42-994D-B18185F29320" style="width:450.7pt;height:347.8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2"/>
        <w:numPr>
          <w:ilvl w:val="0"/>
          <w:numId w:val="7"/>
        </w:numPr>
        <w:spacing w:before="240" w:after="120" w:line="240" w:lineRule="auto"/>
        <w:ind w:left="357" w:hanging="357"/>
        <w:jc w:val="both"/>
        <w:rPr>
          <w:rFonts w:ascii="Times New Roman Bold" w:eastAsia="Times New Roman" w:hAnsi="Times New Roman Bold" w:cs="Times New Roman"/>
          <w:b/>
          <w:bCs/>
          <w:caps/>
          <w:noProof/>
          <w:color w:val="000000" w:themeColor="text1"/>
          <w:sz w:val="24"/>
          <w:szCs w:val="24"/>
        </w:rPr>
      </w:pPr>
      <w:bookmarkStart w:id="1" w:name="_GoBack"/>
      <w:bookmarkEnd w:id="1"/>
      <w:r>
        <w:rPr>
          <w:rFonts w:ascii="Times New Roman Bold" w:hAnsi="Times New Roman Bold"/>
          <w:b/>
          <w:bCs/>
          <w:caps/>
          <w:noProof/>
          <w:color w:val="000000" w:themeColor="text1"/>
          <w:sz w:val="24"/>
          <w:szCs w:val="24"/>
        </w:rPr>
        <w:lastRenderedPageBreak/>
        <w:t xml:space="preserve">Izazov pred nama: Iskorištavanje europske intelektualne imovine radi poticanja oporavka i otpornosti </w:t>
      </w:r>
    </w:p>
    <w:p>
      <w:pPr>
        <w:spacing w:before="120" w:after="120" w:line="240" w:lineRule="auto"/>
        <w:jc w:val="both"/>
        <w:rPr>
          <w:rFonts w:eastAsia="Times New Roman"/>
          <w:noProof/>
          <w:color w:val="000000" w:themeColor="text1"/>
        </w:rPr>
      </w:pPr>
      <w:r>
        <w:rPr>
          <w:rFonts w:ascii="Times New Roman" w:hAnsi="Times New Roman"/>
          <w:b/>
          <w:bCs/>
          <w:noProof/>
          <w:color w:val="000000" w:themeColor="text1"/>
          <w:sz w:val="24"/>
          <w:szCs w:val="24"/>
        </w:rPr>
        <w:t>Nematerijalna imovina</w:t>
      </w:r>
      <w:r>
        <w:rPr>
          <w:rFonts w:ascii="Times New Roman" w:hAnsi="Times New Roman"/>
          <w:noProof/>
          <w:color w:val="000000" w:themeColor="text1"/>
          <w:sz w:val="24"/>
          <w:szCs w:val="24"/>
        </w:rPr>
        <w:t xml:space="preserve">, kao što su izumi, umjetnička i kulturna djela, robne marke, softver, znanje i iskustvo, poslovni procesi i podaci, </w:t>
      </w:r>
      <w:r>
        <w:rPr>
          <w:rFonts w:ascii="Times New Roman" w:hAnsi="Times New Roman"/>
          <w:b/>
          <w:bCs/>
          <w:noProof/>
          <w:color w:val="000000" w:themeColor="text1"/>
          <w:sz w:val="24"/>
          <w:szCs w:val="24"/>
        </w:rPr>
        <w:t>stupovi su današnjega gospodarstva</w:t>
      </w:r>
      <w:r>
        <w:rPr>
          <w:rFonts w:ascii="Times New Roman" w:hAnsi="Times New Roman"/>
          <w:noProof/>
          <w:color w:val="000000" w:themeColor="text1"/>
          <w:sz w:val="24"/>
          <w:szCs w:val="24"/>
        </w:rPr>
        <w:t>. U protekla dva desetljeća godišnja ulaganja u „proizvode intelektualnog vlasništva”</w:t>
      </w:r>
      <w:r>
        <w:rPr>
          <w:rStyle w:val="FootnoteReference"/>
          <w:rFonts w:ascii="Times New Roman" w:eastAsia="Times New Roman" w:hAnsi="Times New Roman" w:cs="Times New Roman"/>
          <w:noProof/>
          <w:color w:val="000000" w:themeColor="text1"/>
          <w:sz w:val="24"/>
          <w:szCs w:val="24"/>
        </w:rPr>
        <w:footnoteReference w:id="2"/>
      </w:r>
      <w:r>
        <w:rPr>
          <w:rFonts w:ascii="Times New Roman" w:hAnsi="Times New Roman"/>
          <w:noProof/>
          <w:color w:val="000000" w:themeColor="text1"/>
          <w:sz w:val="24"/>
          <w:szCs w:val="24"/>
        </w:rPr>
        <w:t xml:space="preserve"> povećala su se za 87 % u EU-u, dok su ulaganja u materijalnu imovinu (ne računamo li rezidencijalne nekretnine) porasla za samo 30 %. I gospodarska kriza koja je počela 2008.</w:t>
      </w:r>
      <w:r>
        <w:rPr>
          <w:rStyle w:val="FootnoteReference"/>
          <w:rFonts w:ascii="Times New Roman" w:eastAsia="Times New Roman" w:hAnsi="Times New Roman" w:cs="Times New Roman"/>
          <w:noProof/>
          <w:color w:val="000000" w:themeColor="text1"/>
          <w:sz w:val="24"/>
          <w:szCs w:val="24"/>
        </w:rPr>
        <w:footnoteReference w:id="3"/>
      </w:r>
      <w:r>
        <w:rPr>
          <w:rFonts w:ascii="Times New Roman" w:hAnsi="Times New Roman"/>
          <w:noProof/>
          <w:color w:val="000000" w:themeColor="text1"/>
          <w:sz w:val="24"/>
          <w:szCs w:val="24"/>
        </w:rPr>
        <w:t xml:space="preserve"> znatno je manje utjecala na ulaganja u nematerijalnu imovinu.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Prava intelektualnog vlasništva, tj. patenti, žigovi, dizajn, autorska prava i srodna prava, oznake zemljopisnog podrijetla i oplemenjivačka prava na biljnu sortu te pravila o zaštiti poslovne tajne poduzetnicima i društvima omogućuju valorizaciju njihove nematerijalne imovine. U današnjem gospodarstvu industrijski proizvodi i procesi sve se više oslanjaju na nematerijalnu imovinu zaštićenu pravima intelektualnog vlasništva, a dobro upravljanje intelektualnim vlasništvom postalo je neophodan dio svake uspješne poslovne strategije. </w:t>
      </w:r>
      <w:r>
        <w:rPr>
          <w:rFonts w:ascii="Times New Roman" w:hAnsi="Times New Roman"/>
          <w:b/>
          <w:noProof/>
          <w:color w:val="000000" w:themeColor="text1"/>
          <w:sz w:val="24"/>
          <w:szCs w:val="24"/>
        </w:rPr>
        <w:t>Industrije koje se intenzivno koriste pravima intelektualnog vlasništva</w:t>
      </w:r>
      <w:r>
        <w:rPr>
          <w:rFonts w:ascii="Times New Roman" w:hAnsi="Times New Roman"/>
          <w:noProof/>
          <w:color w:val="000000" w:themeColor="text1"/>
          <w:sz w:val="24"/>
          <w:szCs w:val="24"/>
        </w:rPr>
        <w:t xml:space="preserve"> imaju važnu ulogu u gospodarstvu EU-a, a društvu </w:t>
      </w:r>
      <w:r>
        <w:rPr>
          <w:rFonts w:ascii="Times New Roman" w:hAnsi="Times New Roman"/>
          <w:b/>
          <w:noProof/>
          <w:color w:val="000000" w:themeColor="text1"/>
          <w:sz w:val="24"/>
          <w:szCs w:val="24"/>
        </w:rPr>
        <w:t>nude vrijedna i održiva radna mjesta</w:t>
      </w:r>
      <w:r>
        <w:rPr>
          <w:rFonts w:ascii="Times New Roman" w:hAnsi="Times New Roman"/>
          <w:noProof/>
          <w:color w:val="000000" w:themeColor="text1"/>
          <w:sz w:val="24"/>
          <w:szCs w:val="24"/>
        </w:rPr>
        <w:t>. Iz njih danas proizlazi gotovo 45 % europskog BDP-a, a izravno pridonose stvaranju gotovo 30 % svih radnih mjesta</w:t>
      </w:r>
      <w:r>
        <w:rPr>
          <w:rFonts w:ascii="Times New Roman" w:eastAsia="Times New Roman" w:hAnsi="Times New Roman" w:cs="Times New Roman"/>
          <w:noProof/>
          <w:color w:val="000000" w:themeColor="text1"/>
          <w:sz w:val="24"/>
          <w:szCs w:val="24"/>
          <w:vertAlign w:val="superscript"/>
        </w:rPr>
        <w:footnoteReference w:id="4"/>
      </w:r>
      <w:r>
        <w:rPr>
          <w:rFonts w:ascii="Times New Roman" w:hAnsi="Times New Roman"/>
          <w:noProof/>
          <w:color w:val="000000" w:themeColor="text1"/>
          <w:sz w:val="24"/>
          <w:szCs w:val="24"/>
        </w:rPr>
        <w:t xml:space="preserve">. Brojni </w:t>
      </w:r>
      <w:r>
        <w:rPr>
          <w:rFonts w:ascii="Times New Roman" w:hAnsi="Times New Roman"/>
          <w:b/>
          <w:noProof/>
          <w:color w:val="000000" w:themeColor="text1"/>
          <w:sz w:val="24"/>
          <w:szCs w:val="24"/>
        </w:rPr>
        <w:t>europski industrijski ekosustavi</w:t>
      </w:r>
      <w:r>
        <w:rPr>
          <w:rFonts w:ascii="Times New Roman" w:hAnsi="Times New Roman"/>
          <w:noProof/>
          <w:color w:val="000000" w:themeColor="text1"/>
          <w:sz w:val="24"/>
          <w:szCs w:val="24"/>
        </w:rPr>
        <w:t xml:space="preserve"> ne mogu napredovati bez učinkovite zaštite intelektualnog vlasništva i učinkovitih alata za trgovanje nematerijalnom imovinom.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Intelektualno vlasništvo neophodno je za postizanje globalne konkurentnosti. Broj prijava za registraciju prava intelektualnog vlasništva raste u cijelom svijetu, pa i u EU-u.</w:t>
      </w:r>
      <w:r>
        <w:rPr>
          <w:noProof/>
        </w:rPr>
        <w:t xml:space="preserve"> </w:t>
      </w:r>
      <w:r>
        <w:rPr>
          <w:rFonts w:ascii="Times New Roman" w:hAnsi="Times New Roman"/>
          <w:noProof/>
          <w:color w:val="000000" w:themeColor="text1"/>
          <w:sz w:val="24"/>
          <w:szCs w:val="24"/>
        </w:rPr>
        <w:t xml:space="preserve">Od 2010. do 2019. broj europskih priznatih patenata porastao je s 58 000 na oko 137 000. Taj je porast, međutim, manji nego u drugim dijelovima svijeta, posebno u Aziji, gdje gospodarstva brzo hvataju korak sa stvaranjem intelektualnog vlasništva.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EU ima sredstva koja su mu potrebna da ostane konkurentan u globalnoj utrci za tehnološko vodstvo. Uspostavio je i čvrst okvir za intelektualno vlasništvo. Primjerice, postojanje jedinstvenog mehanizma prijave omogućuje zaštitu žiga, dizajna i biljnih sorti u cijeloj Europi i ostvarivanje prava koja proizlaze iz njihove zaštite. Kvaliteta patenata priznatih u Europi pri samom je svjetskom vrhu</w:t>
      </w:r>
      <w:r>
        <w:rPr>
          <w:rStyle w:val="FootnoteReference"/>
          <w:rFonts w:ascii="Times New Roman" w:eastAsia="Times New Roman" w:hAnsi="Times New Roman" w:cs="Times New Roman"/>
          <w:noProof/>
          <w:color w:val="000000" w:themeColor="text1"/>
          <w:sz w:val="24"/>
          <w:szCs w:val="24"/>
        </w:rPr>
        <w:footnoteReference w:id="5"/>
      </w:r>
      <w:r>
        <w:rPr>
          <w:rFonts w:ascii="Times New Roman" w:hAnsi="Times New Roman"/>
          <w:noProof/>
          <w:color w:val="000000" w:themeColor="text1"/>
          <w:sz w:val="24"/>
          <w:szCs w:val="24"/>
        </w:rPr>
        <w:t>, a europski inovatori predvodnici su u području zelenih tehnologija</w:t>
      </w:r>
      <w:r>
        <w:rPr>
          <w:rStyle w:val="FootnoteReference"/>
          <w:rFonts w:ascii="Times New Roman" w:eastAsia="Times New Roman" w:hAnsi="Times New Roman" w:cs="Times New Roman"/>
          <w:noProof/>
          <w:color w:val="000000" w:themeColor="text1"/>
          <w:sz w:val="24"/>
          <w:szCs w:val="24"/>
        </w:rPr>
        <w:footnoteReference w:id="6"/>
      </w:r>
      <w:r>
        <w:rPr>
          <w:rFonts w:ascii="Times New Roman" w:hAnsi="Times New Roman"/>
          <w:noProof/>
          <w:color w:val="000000" w:themeColor="text1"/>
          <w:sz w:val="24"/>
          <w:szCs w:val="24"/>
        </w:rPr>
        <w:t>. Prijavili su velik dio zelenih patenata u svijetu</w:t>
      </w:r>
      <w:r>
        <w:rPr>
          <w:rStyle w:val="FootnoteReference"/>
          <w:rFonts w:ascii="Times New Roman" w:eastAsia="Times New Roman" w:hAnsi="Times New Roman" w:cs="Times New Roman"/>
          <w:noProof/>
          <w:color w:val="000000" w:themeColor="text1"/>
          <w:sz w:val="24"/>
          <w:szCs w:val="24"/>
        </w:rPr>
        <w:footnoteReference w:id="7"/>
      </w:r>
      <w:r>
        <w:rPr>
          <w:rFonts w:ascii="Times New Roman" w:hAnsi="Times New Roman"/>
          <w:noProof/>
          <w:color w:val="000000" w:themeColor="text1"/>
          <w:sz w:val="24"/>
          <w:szCs w:val="24"/>
        </w:rPr>
        <w:t xml:space="preserve">, a osobito se ističu u zaštiti intelektualnog vlasništva povezanog s tehnologijama kao što su prilagodba klimatskim promjenama, hvatanje i skladištenje ugljika te pročišćavanje vode i obrada </w:t>
      </w:r>
      <w:r>
        <w:rPr>
          <w:rFonts w:ascii="Times New Roman" w:hAnsi="Times New Roman"/>
          <w:noProof/>
          <w:color w:val="000000" w:themeColor="text1"/>
          <w:sz w:val="24"/>
          <w:szCs w:val="24"/>
        </w:rPr>
        <w:lastRenderedPageBreak/>
        <w:t>otpada</w:t>
      </w:r>
      <w:r>
        <w:rPr>
          <w:rStyle w:val="FootnoteReference"/>
          <w:rFonts w:ascii="Times New Roman" w:eastAsia="Times New Roman" w:hAnsi="Times New Roman" w:cs="Times New Roman"/>
          <w:noProof/>
          <w:color w:val="000000" w:themeColor="text1"/>
          <w:sz w:val="24"/>
          <w:szCs w:val="24"/>
        </w:rPr>
        <w:footnoteReference w:id="8"/>
      </w:r>
      <w:r>
        <w:rPr>
          <w:rFonts w:ascii="Times New Roman" w:hAnsi="Times New Roman"/>
          <w:noProof/>
          <w:color w:val="000000" w:themeColor="text1"/>
          <w:sz w:val="24"/>
          <w:szCs w:val="24"/>
        </w:rPr>
        <w:t xml:space="preserve">. Europska društva predvode i u nekim digitalnim tehnologijama, kao što su tehnologije povezivosti. </w:t>
      </w:r>
    </w:p>
    <w:p>
      <w:pPr>
        <w:pStyle w:val="xmsonormal"/>
        <w:spacing w:before="120" w:after="120"/>
        <w:jc w:val="both"/>
        <w:rPr>
          <w:noProof/>
          <w:color w:val="000000" w:themeColor="text1"/>
        </w:rPr>
      </w:pPr>
      <w:r>
        <w:rPr>
          <w:b/>
          <w:noProof/>
          <w:color w:val="000000" w:themeColor="text1"/>
        </w:rPr>
        <w:t>Moramo nastaviti koristiti svoje prednosti</w:t>
      </w:r>
      <w:r>
        <w:rPr>
          <w:noProof/>
          <w:color w:val="000000" w:themeColor="text1"/>
        </w:rPr>
        <w:t xml:space="preserve"> i prema potrebi ažurirati okvir EU-a gdje je to potrebno te donositi dobro prilagođene politike u području intelektualnog vlasništva kako bi se poduzećima omogućilo da iskoriste svoje izume i djela, a istodobno osiguraju da oni služe gospodarstvu i društvu općenito. U EU-u ne nedostaje inventivnosti i kreativnosti. Stoga moramo u najvećoj mogućoj mjeri povećati poticaje kako bismo iskoristili taj potencijal i </w:t>
      </w:r>
      <w:r>
        <w:rPr>
          <w:b/>
          <w:bCs/>
          <w:noProof/>
          <w:color w:val="000000" w:themeColor="text1"/>
        </w:rPr>
        <w:t>usmjerili poduzeća prema gospodarskom oporavku</w:t>
      </w:r>
      <w:r>
        <w:rPr>
          <w:rFonts w:eastAsia="Times New Roman"/>
          <w:noProof/>
          <w:color w:val="000000" w:themeColor="text1"/>
          <w:vertAlign w:val="superscript"/>
        </w:rPr>
        <w:footnoteReference w:id="9"/>
      </w:r>
      <w:r>
        <w:rPr>
          <w:b/>
          <w:bCs/>
          <w:noProof/>
          <w:color w:val="000000" w:themeColor="text1"/>
        </w:rPr>
        <w:t>, a Europu prema svjetskom ekološkom i digitalnom vodstvu.</w:t>
      </w:r>
      <w:r>
        <w:rPr>
          <w:noProof/>
          <w:color w:val="000000" w:themeColor="text1"/>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Neka od najvažnijih </w:t>
      </w:r>
      <w:r>
        <w:rPr>
          <w:rFonts w:ascii="Times New Roman" w:hAnsi="Times New Roman"/>
          <w:b/>
          <w:bCs/>
          <w:noProof/>
          <w:color w:val="000000" w:themeColor="text1"/>
          <w:sz w:val="24"/>
          <w:szCs w:val="24"/>
        </w:rPr>
        <w:t>socijalnih pitanja</w:t>
      </w:r>
      <w:r>
        <w:rPr>
          <w:rFonts w:ascii="Times New Roman" w:hAnsi="Times New Roman"/>
          <w:noProof/>
          <w:color w:val="000000" w:themeColor="text1"/>
          <w:sz w:val="24"/>
          <w:szCs w:val="24"/>
        </w:rPr>
        <w:t xml:space="preserve"> našeg doba, primjerice omogućivanje zelene tranzicije ili osiguravanje primjerene zdravstvene skrbi za sve, </w:t>
      </w:r>
      <w:r>
        <w:rPr>
          <w:rFonts w:ascii="Times New Roman" w:hAnsi="Times New Roman"/>
          <w:b/>
          <w:bCs/>
          <w:noProof/>
          <w:color w:val="000000" w:themeColor="text1"/>
          <w:sz w:val="24"/>
          <w:szCs w:val="24"/>
        </w:rPr>
        <w:t>ne mogu se riješiti bez inovativnih rješenja</w:t>
      </w:r>
      <w:r>
        <w:rPr>
          <w:rFonts w:ascii="Times New Roman" w:hAnsi="Times New Roman"/>
          <w:noProof/>
          <w:color w:val="000000" w:themeColor="text1"/>
          <w:sz w:val="24"/>
          <w:szCs w:val="24"/>
        </w:rPr>
        <w:t>. Na primjer, razvijanje ekosustava obnovljive energije i niskougljičnih energetskih ekosustava ovisi o brzom razvoju i uvođenju najsuvremenijih tehnologija te učinkovitim alatima za razmjenu kritične nematerijalne imovine, kao što su podaci. Za razvoj uspješnog zdravstvenog ekosustava u Europi potreban je transparentan sustav poticaja za intelektualno vlasništvo kojim se pojačava inovativnost i istodobno osigurava učinkovit pristup cjenovno pristupačnim lijekovima. I uspjeh kulturnih i kreativnih sektora ovisi o učinkovitoj zaštiti intelektualnog vlasništva</w:t>
      </w:r>
      <w:r>
        <w:rPr>
          <w:rStyle w:val="FootnoteReference"/>
          <w:rFonts w:ascii="Times New Roman" w:eastAsia="Times New Roman" w:hAnsi="Times New Roman" w:cs="Times New Roman"/>
          <w:noProof/>
          <w:color w:val="000000" w:themeColor="text1"/>
          <w:sz w:val="24"/>
          <w:szCs w:val="24"/>
        </w:rPr>
        <w:footnoteReference w:id="10"/>
      </w:r>
      <w:r>
        <w:rPr>
          <w:rFonts w:ascii="Times New Roman" w:hAnsi="Times New Roman"/>
          <w:noProof/>
          <w:color w:val="000000" w:themeColor="text1"/>
          <w:sz w:val="24"/>
          <w:szCs w:val="24"/>
        </w:rPr>
        <w:t>.</w:t>
      </w:r>
    </w:p>
    <w:p>
      <w:pPr>
        <w:pStyle w:val="xmsonormal"/>
        <w:spacing w:after="120"/>
        <w:jc w:val="both"/>
        <w:rPr>
          <w:noProof/>
          <w:color w:val="000000" w:themeColor="text1"/>
        </w:rPr>
      </w:pPr>
      <w:r>
        <w:rPr>
          <w:noProof/>
          <w:color w:val="000000" w:themeColor="text1"/>
        </w:rPr>
        <w:t>Kriza uzrokovana bolešću COVID-19 pokazala je da je EU ovisan o kritičnim inovacijama i tehnologijama i podsjetila Europu koliko su važni učinkoviti propisi o intelektualnom vlasništvu i alati za brzo uvođenje kritičnog intelektualnog vlasništva. Prava intelektualnog vlasništva i njihova uloga u konkurentnoj i inovativnoj europskoj farmaceutskoj industriji dio su i nove farmaceutske strategije za Europu</w:t>
      </w:r>
      <w:r>
        <w:rPr>
          <w:rStyle w:val="FootnoteReference"/>
          <w:noProof/>
          <w:color w:val="000000" w:themeColor="text1"/>
        </w:rPr>
        <w:footnoteReference w:id="11"/>
      </w:r>
      <w:r>
        <w:rPr>
          <w:noProof/>
          <w:color w:val="000000" w:themeColor="text1"/>
        </w:rPr>
        <w:t>.</w:t>
      </w:r>
    </w:p>
    <w:p>
      <w:pPr>
        <w:pStyle w:val="xmsonormal"/>
        <w:jc w:val="both"/>
        <w:rPr>
          <w:rFonts w:eastAsia="Times New Roman"/>
          <w:noProof/>
          <w:color w:val="000000" w:themeColor="text1"/>
        </w:rPr>
      </w:pPr>
      <w:r>
        <w:rPr>
          <w:b/>
          <w:noProof/>
          <w:color w:val="000000" w:themeColor="text1"/>
        </w:rPr>
        <w:t>Tehnološka revolucija</w:t>
      </w:r>
      <w:r>
        <w:rPr>
          <w:noProof/>
          <w:color w:val="000000" w:themeColor="text1"/>
        </w:rPr>
        <w:t xml:space="preserve"> – podatkovno gospodarstvo i društvo, zaokret prema umjetnoj inteligenciji, sve važnije nove tehnologije kao što su lanci blokova, 3D ispis i internet stvari, kao i razvoj novih poslovnih modela kao što su ekonomija platformi te podatkovno i kružno gospodarstvo – jedinstvena su prilika za modernizaciju našeg pristupa zaštiti naše nematerijalne imovine. U posljednjim desetljećima postignut je znatan napredak u stvaranju jedinstvenog tržišta za intelektualno vlasništvo, od čega je gospodarstvo EU-a imalo velike koristi. Dostupno je i mnoštvo alata kojima se inovativna rješenja čine dostupnima društvu</w:t>
      </w:r>
      <w:r>
        <w:rPr>
          <w:rFonts w:eastAsia="Times New Roman"/>
          <w:noProof/>
          <w:color w:val="000000" w:themeColor="text1"/>
          <w:vertAlign w:val="superscript"/>
        </w:rPr>
        <w:footnoteReference w:id="12"/>
      </w:r>
      <w:r>
        <w:rPr>
          <w:noProof/>
          <w:color w:val="000000" w:themeColor="text1"/>
        </w:rPr>
        <w:t xml:space="preserve">. No način na koji poduzeća iz EU-a štite nematerijalni kapital i donose korist za europsko društvo još se može poboljšati. </w:t>
      </w:r>
    </w:p>
    <w:p>
      <w:pPr>
        <w:pStyle w:val="xmsonormal"/>
        <w:jc w:val="both"/>
        <w:rPr>
          <w:rFonts w:eastAsia="Times New Roman"/>
          <w:noProof/>
          <w:color w:val="000000" w:themeColor="text1"/>
        </w:rPr>
      </w:pPr>
    </w:p>
    <w:p>
      <w:pPr>
        <w:pStyle w:val="xmsonormal"/>
        <w:keepNext/>
        <w:rPr>
          <w:rFonts w:eastAsia="Times New Roman"/>
          <w:noProof/>
          <w:color w:val="000000" w:themeColor="text1"/>
        </w:rPr>
      </w:pPr>
      <w:r>
        <w:rPr>
          <w:noProof/>
          <w:color w:val="000000" w:themeColor="text1"/>
        </w:rPr>
        <w:t xml:space="preserve">Utvrdili smo </w:t>
      </w:r>
      <w:r>
        <w:rPr>
          <w:b/>
          <w:bCs/>
          <w:noProof/>
          <w:color w:val="000000" w:themeColor="text1"/>
        </w:rPr>
        <w:t>pet područja za poboljšanje</w:t>
      </w:r>
      <w:r>
        <w:rPr>
          <w:noProof/>
          <w:color w:val="000000" w:themeColor="text1"/>
        </w:rPr>
        <w:t>:</w:t>
      </w:r>
    </w:p>
    <w:p>
      <w:pPr>
        <w:pStyle w:val="xmsonormal"/>
        <w:keepNext/>
        <w:rPr>
          <w:rFonts w:eastAsia="Times New Roman"/>
          <w:noProof/>
          <w:color w:val="000000" w:themeColor="text1"/>
        </w:rPr>
      </w:pPr>
    </w:p>
    <w:p>
      <w:pPr>
        <w:pStyle w:val="ListParagraph"/>
        <w:keepNext/>
        <w:numPr>
          <w:ilvl w:val="0"/>
          <w:numId w:val="51"/>
        </w:num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Prvo, iako je već postignut znatan napredak, </w:t>
      </w:r>
      <w:r>
        <w:rPr>
          <w:rFonts w:ascii="Times New Roman" w:hAnsi="Times New Roman"/>
          <w:b/>
          <w:bCs/>
          <w:noProof/>
          <w:color w:val="000000" w:themeColor="text1"/>
          <w:sz w:val="24"/>
          <w:szCs w:val="24"/>
        </w:rPr>
        <w:t>neki dijelovi sustava intelektualnog vlasništva EU-a i dalje su previše fragmentirani</w:t>
      </w:r>
      <w:r>
        <w:rPr>
          <w:rFonts w:ascii="Times New Roman" w:hAnsi="Times New Roman"/>
          <w:noProof/>
          <w:sz w:val="24"/>
          <w:szCs w:val="24"/>
        </w:rPr>
        <w:t>, a neki su postupci složeni i skupi te ponekad nejasni</w:t>
      </w:r>
      <w:r>
        <w:rPr>
          <w:rFonts w:ascii="Times New Roman" w:hAnsi="Times New Roman"/>
          <w:noProof/>
          <w:color w:val="000000" w:themeColor="text1"/>
          <w:sz w:val="24"/>
          <w:szCs w:val="24"/>
        </w:rPr>
        <w:t>.</w:t>
      </w:r>
    </w:p>
    <w:p>
      <w:pPr>
        <w:pStyle w:val="xmsonormal"/>
        <w:spacing w:before="120" w:after="120"/>
        <w:jc w:val="both"/>
        <w:rPr>
          <w:rFonts w:eastAsia="Times New Roman"/>
          <w:noProof/>
          <w:color w:val="000000" w:themeColor="text1"/>
        </w:rPr>
      </w:pPr>
      <w:r>
        <w:rPr>
          <w:noProof/>
        </w:rPr>
        <w:t xml:space="preserve">Europski patenti moraju proći kroz skupe nacionalne postupke upisa prijava patenta u registar te se paralelni sporovi o patentima mogu voditi u više država EU-a. Kad je riječ o farmaceutskim proizvodima, svjedodžba o dodatnoj zaštiti za lijekove dostupna je samo na nacionalnoj razini. Trebalo bi poboljšati zaštitu dizajna i oznake zemljopisnog podrijetla. </w:t>
      </w:r>
      <w:r>
        <w:rPr>
          <w:noProof/>
          <w:color w:val="000000" w:themeColor="text1"/>
        </w:rPr>
        <w:t xml:space="preserve">Ako je za zaštitu prava intelektualnog vlasništva potrebna registracija, jedinstveni sustavi za sve postupke, kojima se osigurava odgovarajuća zaštita, trebali bi biti pravilo, a ne iznimka. </w:t>
      </w:r>
    </w:p>
    <w:p>
      <w:pPr>
        <w:pStyle w:val="xmsonormal"/>
        <w:spacing w:before="120" w:after="240"/>
        <w:jc w:val="both"/>
        <w:rPr>
          <w:rFonts w:eastAsia="Times New Roman"/>
          <w:noProof/>
          <w:color w:val="000000" w:themeColor="text1"/>
        </w:rPr>
      </w:pPr>
      <w:r>
        <w:rPr>
          <w:noProof/>
        </w:rPr>
        <w:t>Uravnotežena zaštita dizajna u digitalnom okruženju postaje još važnija u kontekstu digitalne transformacije. Primjerice, kako bi se osigurala neometana primjena tehnologija 3D ispisa, potrebna nam je jasnoća u području zaštite datoteka za 3D ispis i ograničenja privatne uporabe dizajna. Potrebni su nam jasni odgovori na nova pitanja, na primjer kako zaštititi izume koji su razvijeni ili primijenjeni uz pomoć umjetne inteligencije</w:t>
      </w:r>
      <w:r>
        <w:rPr>
          <w:rStyle w:val="FootnoteReference"/>
          <w:noProof/>
          <w:lang w:val="en-IE"/>
        </w:rPr>
        <w:footnoteReference w:id="13"/>
      </w:r>
      <w:r>
        <w:rPr>
          <w:noProof/>
        </w:rPr>
        <w:t xml:space="preserve"> i kako osigurati da se popravci i ponovna uporaba ne blokiraju nepoštenim ili pretjerano ograničavajućim praksama u području intelektualnog vlasništva</w:t>
      </w:r>
      <w:r>
        <w:rPr>
          <w:rStyle w:val="FootnoteReference"/>
          <w:rFonts w:eastAsia="Times New Roman"/>
          <w:noProof/>
          <w:color w:val="000000" w:themeColor="text1"/>
        </w:rPr>
        <w:footnoteReference w:id="14"/>
      </w:r>
      <w:r>
        <w:rPr>
          <w:noProof/>
        </w:rPr>
        <w:t>.</w:t>
      </w:r>
      <w:r>
        <w:rPr>
          <w:noProof/>
          <w:color w:val="000000" w:themeColor="text1"/>
        </w:rPr>
        <w:t xml:space="preserve"> </w:t>
      </w:r>
      <w:r>
        <w:rPr>
          <w:noProof/>
        </w:rPr>
        <w:t>Istodobno moramo bolje iskoristiti potencijal novih tehnologija, kao što su umjetna inteligencija i lanci blokova, kako bismo povećali učinkovitost naših sustava intelektualnog vlasništva.</w:t>
      </w:r>
      <w:r>
        <w:rPr>
          <w:noProof/>
          <w:color w:val="000000" w:themeColor="text1"/>
        </w:rPr>
        <w:t xml:space="preserve"> </w:t>
      </w:r>
    </w:p>
    <w:p>
      <w:pPr>
        <w:pStyle w:val="ListParagraph"/>
        <w:keepNext/>
        <w:numPr>
          <w:ilvl w:val="0"/>
          <w:numId w:val="51"/>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Drugo, previše poduzeća, </w:t>
      </w:r>
      <w:r>
        <w:rPr>
          <w:rFonts w:ascii="Times New Roman" w:hAnsi="Times New Roman"/>
          <w:b/>
          <w:bCs/>
          <w:noProof/>
          <w:sz w:val="24"/>
          <w:szCs w:val="24"/>
        </w:rPr>
        <w:t>posebno malih i srednjih</w:t>
      </w:r>
      <w:r>
        <w:rPr>
          <w:rFonts w:ascii="Times New Roman" w:hAnsi="Times New Roman"/>
          <w:noProof/>
          <w:sz w:val="24"/>
          <w:szCs w:val="24"/>
        </w:rPr>
        <w:t xml:space="preserve">, i previše znanstvenika </w:t>
      </w:r>
      <w:r>
        <w:rPr>
          <w:rFonts w:ascii="Times New Roman" w:hAnsi="Times New Roman"/>
          <w:b/>
          <w:bCs/>
          <w:noProof/>
          <w:sz w:val="24"/>
          <w:szCs w:val="24"/>
        </w:rPr>
        <w:t>ne iskorištavaju u potpunosti prilike</w:t>
      </w:r>
      <w:r>
        <w:rPr>
          <w:rFonts w:ascii="Times New Roman" w:hAnsi="Times New Roman"/>
          <w:noProof/>
          <w:sz w:val="24"/>
          <w:szCs w:val="24"/>
        </w:rPr>
        <w:t xml:space="preserve"> koje pruža zaštita intelektualnog vlasništva.</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Samo je 9 % MSP-ova u EU-u registriralo prava intelektualnog vlasništva. Tijekom ove krize broj prijava intelektualnog vlasništva smanjio se, što smanjuje konkurentnost i otpornost poduzeća. Nedavne analize pokazuju da se mala i srednja poduzeća nevoljko koriste pravima intelektualnog vlasništva uglavnom zbog nedostatka znanja o toj temi</w:t>
      </w:r>
      <w:r>
        <w:rPr>
          <w:rFonts w:ascii="Times New Roman" w:hAnsi="Times New Roman" w:cs="Times New Roman"/>
          <w:noProof/>
          <w:sz w:val="24"/>
          <w:szCs w:val="24"/>
          <w:vertAlign w:val="superscript"/>
        </w:rPr>
        <w:footnoteReference w:id="15"/>
      </w:r>
      <w:r>
        <w:rPr>
          <w:rFonts w:ascii="Times New Roman" w:hAnsi="Times New Roman"/>
          <w:noProof/>
          <w:sz w:val="24"/>
          <w:szCs w:val="24"/>
        </w:rPr>
        <w:t xml:space="preserve">, a čak i ako se koriste njima, smatraju da je sustav preskup i složen te da se u njemu teško snalaziti. </w:t>
      </w:r>
    </w:p>
    <w:p>
      <w:pPr>
        <w:spacing w:before="60" w:after="120" w:line="240" w:lineRule="auto"/>
        <w:jc w:val="both"/>
        <w:rPr>
          <w:rFonts w:ascii="Times New Roman" w:hAnsi="Times New Roman" w:cs="Times New Roman"/>
          <w:noProof/>
          <w:sz w:val="24"/>
          <w:szCs w:val="24"/>
        </w:rPr>
      </w:pPr>
      <w:r>
        <w:rPr>
          <w:rFonts w:ascii="Times New Roman" w:hAnsi="Times New Roman"/>
          <w:noProof/>
          <w:sz w:val="24"/>
          <w:szCs w:val="24"/>
        </w:rPr>
        <w:t>Osim što je zaštita intelektualnog vlasništva niska, MSP-ovi je ne iskorištavaju u dovoljnoj mjeri na tržištu. Za financijske analitičare i ulagače intelektualno vlasništvo ključan je element vrijednosti poduzeća i pokazatelj njegovih tehnoloških sposobnosti i sposobnosti rasta. Međutim, MSP-ovi koji se temelje na znanju i žele financirati svoje poslovanje često ne mogu valorizirati svoj nematerijalni kapital jer nemaju odgovarajuće strategije u području intelektualnog vlasništva. U financijskom je sektoru vrednovanje patenta ili žiga ključno jer su zajmodavci ili ulagači uglavnom zainteresirani za zamjenjive zaloge</w:t>
      </w:r>
      <w:r>
        <w:rPr>
          <w:rFonts w:ascii="Times New Roman" w:hAnsi="Times New Roman" w:cs="Times New Roman"/>
          <w:noProof/>
          <w:sz w:val="24"/>
          <w:szCs w:val="24"/>
          <w:vertAlign w:val="superscript"/>
        </w:rPr>
        <w:footnoteReference w:id="16"/>
      </w:r>
      <w:r>
        <w:rPr>
          <w:rFonts w:ascii="Times New Roman" w:hAnsi="Times New Roman"/>
          <w:noProof/>
          <w:sz w:val="24"/>
          <w:szCs w:val="24"/>
        </w:rPr>
        <w:t xml:space="preserve">, a ne u tolikoj mjeri za sama prava monopola.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Dobro upravljanje intelektualnim vlasništvom važno je i zbog valorizacije te primjene rezultata istraživanja i razvoja u Europi. Primjerice, iako 26 % visokovrijednih znanstvenih publikacija o umjetnoj inteligenciji dolazi iz Europe, samo 13 % glavnih podnositelja i 7 % poduzeća koja podnose patentne prijave u području umjetne inteligencije dolazi iz Europe</w:t>
      </w:r>
      <w:r>
        <w:rPr>
          <w:rFonts w:ascii="Times New Roman" w:hAnsi="Times New Roman" w:cs="Times New Roman"/>
          <w:noProof/>
          <w:sz w:val="24"/>
          <w:szCs w:val="24"/>
          <w:vertAlign w:val="superscript"/>
          <w:lang w:val="en-IE"/>
        </w:rPr>
        <w:footnoteReference w:id="17"/>
      </w:r>
      <w:r>
        <w:rPr>
          <w:rFonts w:ascii="Times New Roman" w:hAnsi="Times New Roman"/>
          <w:noProof/>
          <w:sz w:val="24"/>
          <w:szCs w:val="24"/>
        </w:rPr>
        <w:t xml:space="preserve">. </w:t>
      </w:r>
    </w:p>
    <w:p>
      <w:pPr>
        <w:pStyle w:val="ListParagraph"/>
        <w:keepNext/>
        <w:numPr>
          <w:ilvl w:val="0"/>
          <w:numId w:val="51"/>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Treće, </w:t>
      </w:r>
      <w:r>
        <w:rPr>
          <w:rFonts w:ascii="Times New Roman" w:hAnsi="Times New Roman"/>
          <w:b/>
          <w:bCs/>
          <w:noProof/>
          <w:sz w:val="24"/>
          <w:szCs w:val="24"/>
        </w:rPr>
        <w:t>alati za olakšavanje pristupa intelektualnom vlasništvu</w:t>
      </w:r>
      <w:r>
        <w:rPr>
          <w:rFonts w:ascii="Times New Roman" w:hAnsi="Times New Roman"/>
          <w:noProof/>
          <w:sz w:val="24"/>
          <w:szCs w:val="24"/>
        </w:rPr>
        <w:t xml:space="preserve"> (i stoga korištenja i širenja tehnologija) </w:t>
      </w:r>
      <w:r>
        <w:rPr>
          <w:rFonts w:ascii="Times New Roman" w:hAnsi="Times New Roman"/>
          <w:b/>
          <w:bCs/>
          <w:noProof/>
          <w:sz w:val="24"/>
          <w:szCs w:val="24"/>
        </w:rPr>
        <w:t>nisu dovoljno razvijeni</w:t>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Kriza uzrokovana bolešću COVID-19 pokazala je da smo ovisni o kritičnim inovacijama i tehnologijama, posebice u zdravstvenom sektoru. </w:t>
      </w:r>
      <w:r>
        <w:rPr>
          <w:rFonts w:ascii="Times New Roman" w:hAnsi="Times New Roman"/>
          <w:noProof/>
          <w:sz w:val="24"/>
        </w:rPr>
        <w:t>EU bi trebao poboljšati alate kako bi takve inovacije i tehnologije učinio dostupnima kad je potrebno, a da se istodobno osigura pravedan povrat ulaganja.</w:t>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Licenciranje patenata bitnih za normu često je složen i skup postupak i za nositelje patenata i one koji primjenjuju tehnologije. S obzirom na sve veću važnost patenata bitnih za normu (na primjer, postoji više od 95 000 jedinstvenih patenata i patentnih prijava u području standarda 5G</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xml:space="preserve">) potreban nam je mnogo jasniji i predvidljiviji okvir kojim se potiču pregovori u dobroj vjeri umjesto sporova.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Iako razmjena podataka dobiva na važnosti u mnogim sektorima, implikacije koje okvir za intelektualno vlasništvo ima za razmjenu podataka i dalje nisu potpuno jasne. </w:t>
      </w:r>
    </w:p>
    <w:p>
      <w:pPr>
        <w:pStyle w:val="xmsonormal"/>
        <w:keepNext/>
        <w:numPr>
          <w:ilvl w:val="0"/>
          <w:numId w:val="51"/>
        </w:numPr>
        <w:spacing w:before="120" w:after="120"/>
        <w:jc w:val="both"/>
        <w:rPr>
          <w:noProof/>
        </w:rPr>
      </w:pPr>
      <w:r>
        <w:rPr>
          <w:noProof/>
        </w:rPr>
        <w:t xml:space="preserve">Četvrto, unatoč stalnim nastojanjima da se taj trend zaustavi, </w:t>
      </w:r>
      <w:r>
        <w:rPr>
          <w:b/>
          <w:bCs/>
          <w:noProof/>
        </w:rPr>
        <w:t>krivotvorenje i piratstvo i dalje rastu</w:t>
      </w:r>
      <w:r>
        <w:rPr>
          <w:noProof/>
        </w:rPr>
        <w:t>, a pritom iskorištavaju i digitalne tehnologije.</w:t>
      </w:r>
    </w:p>
    <w:p>
      <w:pPr>
        <w:pStyle w:val="xmsonormal"/>
        <w:spacing w:before="120" w:after="240"/>
        <w:jc w:val="both"/>
        <w:rPr>
          <w:noProof/>
        </w:rPr>
      </w:pPr>
      <w:r>
        <w:rPr>
          <w:noProof/>
        </w:rPr>
        <w:t>U EU se uveze krivotvorene i piratske robe u vrijednosti i do 121 milijarde EUR, odnosno 6,8 % uvoza 2016. (2013. ona je predstavljala 5 % uvoza)</w:t>
      </w:r>
      <w:r>
        <w:rPr>
          <w:noProof/>
          <w:vertAlign w:val="superscript"/>
        </w:rPr>
        <w:footnoteReference w:id="19"/>
      </w:r>
      <w:r>
        <w:rPr>
          <w:noProof/>
        </w:rPr>
        <w:t>, što je izravni uzrok gubitaka prihoda od prodaje od 50 milijardi EUR i gubitka 416 000 radnih mjesta</w:t>
      </w:r>
      <w:r>
        <w:rPr>
          <w:noProof/>
          <w:vertAlign w:val="superscript"/>
        </w:rPr>
        <w:footnoteReference w:id="20"/>
      </w:r>
      <w:r>
        <w:rPr>
          <w:noProof/>
        </w:rPr>
        <w:t>. Procjenjuje se da kiberkrađa poslovnih tajni u EU-u uzrokuje gubitak od 60 milijardi EUR</w:t>
      </w:r>
      <w:r>
        <w:rPr>
          <w:noProof/>
          <w:vertAlign w:val="superscript"/>
        </w:rPr>
        <w:footnoteReference w:id="21"/>
      </w:r>
      <w:r>
        <w:rPr>
          <w:noProof/>
        </w:rPr>
        <w:t xml:space="preserve">. </w:t>
      </w:r>
    </w:p>
    <w:p>
      <w:pPr>
        <w:pStyle w:val="xmsonormal"/>
        <w:keepNext/>
        <w:numPr>
          <w:ilvl w:val="0"/>
          <w:numId w:val="52"/>
        </w:numPr>
        <w:spacing w:before="120" w:after="120"/>
        <w:jc w:val="both"/>
        <w:rPr>
          <w:noProof/>
        </w:rPr>
      </w:pPr>
      <w:r>
        <w:rPr>
          <w:noProof/>
        </w:rPr>
        <w:t xml:space="preserve">Peto, </w:t>
      </w:r>
      <w:r>
        <w:rPr>
          <w:b/>
          <w:noProof/>
        </w:rPr>
        <w:t>nepoštene prakse česte su na globalnoj razini</w:t>
      </w:r>
      <w:r>
        <w:rPr>
          <w:noProof/>
        </w:rPr>
        <w:t xml:space="preserve"> pa poduzeća iz EU-a često gube prilikom poslovanja u inozemstvu. </w:t>
      </w:r>
    </w:p>
    <w:p>
      <w:pPr>
        <w:pStyle w:val="xmsonormal"/>
        <w:spacing w:before="120" w:after="120"/>
        <w:jc w:val="both"/>
        <w:rPr>
          <w:noProof/>
        </w:rPr>
      </w:pPr>
      <w:r>
        <w:rPr>
          <w:noProof/>
        </w:rPr>
        <w:t xml:space="preserve">Zaštita intelektualnog vlasništva u određenim zemljama izvan EU-a nije dovoljna, što često šteti poduzećima iz EU-a. </w:t>
      </w:r>
      <w:r>
        <w:rPr>
          <w:b/>
          <w:bCs/>
          <w:noProof/>
        </w:rPr>
        <w:t>EU mora iskoristiti svoj potencijal da postavlja norme na globalnoj razini.</w:t>
      </w:r>
      <w:r>
        <w:rPr>
          <w:noProof/>
        </w:rPr>
        <w:t xml:space="preserve"> Borba protiv zlouporabe, primjerice zlonamjerne prijave intelektualnog vlasništva i drugih načina otuđenja, mora se pojačati, a EU prije svega mora dati dobar primjer i razviti najsuvremenija regulatorna rješenja za globalna pitanja, kao što je licenciranje patenata bitnih za normu ili način na koji se mogu razmjenjivati podaci.</w:t>
      </w:r>
    </w:p>
    <w:p>
      <w:pPr>
        <w:pStyle w:val="xmsonormal"/>
        <w:spacing w:before="120" w:after="120"/>
        <w:jc w:val="both"/>
        <w:rPr>
          <w:noProof/>
          <w:color w:val="000000" w:themeColor="text1"/>
        </w:rPr>
      </w:pPr>
      <w:r>
        <w:rPr>
          <w:noProof/>
          <w:color w:val="000000" w:themeColor="text1"/>
        </w:rPr>
        <w:t>Kako bi se svladalo tih pet izazova, u ovom se akcijskom planu, uzimajući u obzir doprinose država članica i dionika</w:t>
      </w:r>
      <w:r>
        <w:rPr>
          <w:rStyle w:val="FootnoteReference"/>
          <w:noProof/>
          <w:color w:val="000000" w:themeColor="text1"/>
        </w:rPr>
        <w:footnoteReference w:id="22"/>
      </w:r>
      <w:r>
        <w:rPr>
          <w:noProof/>
          <w:color w:val="000000" w:themeColor="text1"/>
        </w:rPr>
        <w:t>, utvrđuje</w:t>
      </w:r>
      <w:r>
        <w:rPr>
          <w:b/>
          <w:bCs/>
          <w:noProof/>
          <w:color w:val="000000" w:themeColor="text1"/>
        </w:rPr>
        <w:t xml:space="preserve"> pet ključnih područja</w:t>
      </w:r>
      <w:r>
        <w:rPr>
          <w:noProof/>
          <w:color w:val="000000" w:themeColor="text1"/>
        </w:rPr>
        <w:t xml:space="preserve"> i konkretni prijedlozi mjera za:</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poboljšanje sustava zaštite intelektualnog vlasništva,</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poticanje uporabe i primjene intelektualnog vlasništva, posebno u MSP-ovima, </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olakšavanje pristupa nematerijalnoj imovini i njezine razmjene, uz jamčenje pravednog povrata ulaganja,</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osiguravanje bolje provedbe prava intelektualnog vlasništva, i</w:t>
      </w:r>
    </w:p>
    <w:p>
      <w:pPr>
        <w:pStyle w:val="ListParagraph"/>
        <w:numPr>
          <w:ilvl w:val="0"/>
          <w:numId w:val="1"/>
        </w:numPr>
        <w:spacing w:before="120" w:after="36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poboljšanje poštenih praksi na globalnoj razini. </w:t>
      </w:r>
    </w:p>
    <w:p>
      <w:pPr>
        <w:pStyle w:val="Heading2"/>
        <w:numPr>
          <w:ilvl w:val="0"/>
          <w:numId w:val="7"/>
        </w:numPr>
        <w:spacing w:before="240" w:after="120" w:line="240" w:lineRule="auto"/>
        <w:ind w:left="357" w:hanging="357"/>
        <w:jc w:val="both"/>
        <w:rPr>
          <w:rFonts w:ascii="Times New Roman" w:eastAsia="Times New Roman" w:hAnsi="Times New Roman" w:cs="Times New Roman"/>
          <w:b/>
          <w:bCs/>
          <w:noProof/>
          <w:color w:val="000000" w:themeColor="text1"/>
          <w:sz w:val="28"/>
          <w:szCs w:val="28"/>
        </w:rPr>
      </w:pPr>
      <w:r>
        <w:rPr>
          <w:rFonts w:ascii="Times New Roman" w:hAnsi="Times New Roman"/>
          <w:b/>
          <w:bCs/>
          <w:smallCaps/>
          <w:noProof/>
          <w:color w:val="000000" w:themeColor="text1"/>
          <w:sz w:val="28"/>
          <w:szCs w:val="28"/>
        </w:rPr>
        <w:t xml:space="preserve">Bolja zaštita intelektualnog vlasništva </w:t>
      </w:r>
      <w:r>
        <w:rPr>
          <w:noProof/>
        </w:rPr>
        <w:tab/>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Najvažniji je prioritet </w:t>
      </w:r>
      <w:r>
        <w:rPr>
          <w:rFonts w:ascii="Times New Roman" w:hAnsi="Times New Roman"/>
          <w:b/>
          <w:bCs/>
          <w:noProof/>
          <w:color w:val="000000" w:themeColor="text1"/>
          <w:sz w:val="24"/>
          <w:szCs w:val="24"/>
        </w:rPr>
        <w:t>inovatorima iz EU-a osigurati pristup brzim, učinkovitim i povoljnim alatima za zaštitu</w:t>
      </w:r>
      <w:r>
        <w:rPr>
          <w:rFonts w:ascii="Times New Roman" w:hAnsi="Times New Roman"/>
          <w:noProof/>
          <w:color w:val="000000" w:themeColor="text1"/>
          <w:sz w:val="24"/>
          <w:szCs w:val="24"/>
        </w:rPr>
        <w:t xml:space="preserve">. Stoga moramo nastojati još više smanjiti fragmentaciju i složenost te osigurati usklađenost pravila s potrebama novog zelenog i digitalnoga gospodarstva.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Kako bismo to ostvarili, moramo osigurati </w:t>
      </w:r>
      <w:r>
        <w:rPr>
          <w:rFonts w:ascii="Times New Roman" w:hAnsi="Times New Roman"/>
          <w:b/>
          <w:bCs/>
          <w:noProof/>
          <w:color w:val="000000" w:themeColor="text1"/>
          <w:sz w:val="24"/>
          <w:szCs w:val="24"/>
        </w:rPr>
        <w:t>uvođenje jedinstvenog patentnog sustava</w:t>
      </w:r>
      <w:r>
        <w:rPr>
          <w:rFonts w:ascii="Times New Roman" w:hAnsi="Times New Roman"/>
          <w:noProof/>
          <w:color w:val="000000" w:themeColor="text1"/>
          <w:sz w:val="24"/>
          <w:szCs w:val="24"/>
        </w:rPr>
        <w:t>. To će biti jedinstven sustav za poduzeća koji će znatno pojednostavniti patentiranje u EU-u, čime će se povećati transparentnost i olakšati licenciranje. Stjecanje jedinstvenog patenta (koji pokriva do 25 država članica)</w:t>
      </w:r>
      <w:r>
        <w:rPr>
          <w:rStyle w:val="FootnoteReference"/>
          <w:rFonts w:ascii="Times New Roman" w:eastAsia="Times New Roman" w:hAnsi="Times New Roman" w:cs="Times New Roman"/>
          <w:noProof/>
          <w:color w:val="000000" w:themeColor="text1"/>
          <w:sz w:val="24"/>
          <w:szCs w:val="24"/>
          <w:lang w:val="en-IE"/>
        </w:rPr>
        <w:footnoteReference w:id="23"/>
      </w:r>
      <w:r>
        <w:rPr>
          <w:rFonts w:ascii="Times New Roman" w:hAnsi="Times New Roman"/>
          <w:noProof/>
          <w:color w:val="000000" w:themeColor="text1"/>
          <w:sz w:val="24"/>
          <w:szCs w:val="24"/>
        </w:rPr>
        <w:t xml:space="preserve"> i njegovo održavanje u uobičajenom trajanju iznosit će oko 10 000 EUR, što je gotovo šest puta manje od trenutačne cijene stjecanja i održavanja jednakovrijedne zaštite. Usto, zahvaljujući centraliziranom sustavu rješavanja sporova pred novim Jedinstvenim sudom za patente poboljšat će se pravna sigurnost i izbjeći usporedni sporovi u više država članica, čime će se znatno smanjiti troškovi sudskih postupaka. Jedinstveni patentni sustav stoga će biti najvažniji alat za industrijski oporavak EU-a, posebno u ekosustavima energije iz obnovljivih izvora, elektronike, obrane i mobilnosti te zrakoplovno-svemirskim ekosustavima.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Glavni korak koji nedostaje da bi se uveo jedinstveni patentni sustav njemačka je ratifikacija Sporazuma o Jedinstvenom sudu za patente, koja je sada moguća zbog nedavne odluke njemačkog Ustavnog suda</w:t>
      </w:r>
      <w:r>
        <w:rPr>
          <w:rStyle w:val="FootnoteReference"/>
          <w:rFonts w:ascii="Times New Roman" w:eastAsia="Times New Roman" w:hAnsi="Times New Roman" w:cs="Times New Roman"/>
          <w:noProof/>
          <w:color w:val="000000" w:themeColor="text1"/>
          <w:sz w:val="24"/>
          <w:szCs w:val="24"/>
          <w:lang w:val="en-IE"/>
        </w:rPr>
        <w:footnoteReference w:id="24"/>
      </w:r>
      <w:r>
        <w:rPr>
          <w:rFonts w:ascii="Times New Roman" w:hAnsi="Times New Roman"/>
          <w:noProof/>
          <w:color w:val="000000" w:themeColor="text1"/>
          <w:sz w:val="24"/>
          <w:szCs w:val="24"/>
        </w:rPr>
        <w:t>. Nakon završetka postupka ratifikacije, kako bi jedinstveni patentni sustav postao funkcionalan u državama članicama ugovornicama, Komisija će surađivati s Europskim patentnim uredom i državama članicama ugovornicama</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hAnsi="Times New Roman"/>
          <w:noProof/>
          <w:color w:val="000000" w:themeColor="text1"/>
          <w:sz w:val="24"/>
          <w:szCs w:val="24"/>
        </w:rPr>
        <w:t xml:space="preserve">, a one koje to još nisu poticati da se pridruže novom sustavu.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 patentima su povezane i </w:t>
      </w:r>
      <w:r>
        <w:rPr>
          <w:rFonts w:ascii="Times New Roman" w:hAnsi="Times New Roman"/>
          <w:b/>
          <w:noProof/>
          <w:color w:val="000000" w:themeColor="text1"/>
          <w:sz w:val="24"/>
          <w:szCs w:val="24"/>
        </w:rPr>
        <w:t>svjedodžbe o dodatnoj zaštiti</w:t>
      </w:r>
      <w:r>
        <w:rPr>
          <w:rFonts w:ascii="Times New Roman" w:hAnsi="Times New Roman"/>
          <w:noProof/>
          <w:color w:val="000000" w:themeColor="text1"/>
          <w:sz w:val="24"/>
          <w:szCs w:val="24"/>
        </w:rPr>
        <w:t>, kojima se lijekovima i sredstvima za zaštitu bilja zaštićenima patentom koji prolaze dugotrajna klinička ispitivanja i postupke odobravanja za stavljanje na tržište omogućuje dodatno razdoblje zaštite intelektualnog vlasništva. Komisija je 2019. uvela „izuzeće za proizvodnju” za svjedodžbe o dodatnoj zaštiti</w:t>
      </w:r>
      <w:r>
        <w:rPr>
          <w:rStyle w:val="FootnoteReference"/>
          <w:rFonts w:ascii="Times New Roman" w:eastAsia="Times New Roman" w:hAnsi="Times New Roman" w:cs="Times New Roman"/>
          <w:noProof/>
          <w:color w:val="000000" w:themeColor="text1"/>
          <w:sz w:val="24"/>
          <w:szCs w:val="24"/>
        </w:rPr>
        <w:footnoteReference w:id="26"/>
      </w:r>
      <w:r>
        <w:rPr>
          <w:rFonts w:ascii="Times New Roman" w:hAnsi="Times New Roman"/>
          <w:noProof/>
          <w:color w:val="000000" w:themeColor="text1"/>
          <w:sz w:val="24"/>
          <w:szCs w:val="24"/>
        </w:rPr>
        <w:t>, a nedavno je dovršila detaljnu evaluaciju sustava tih svjedodžbi</w:t>
      </w:r>
      <w:r>
        <w:rPr>
          <w:rStyle w:val="FootnoteReference"/>
          <w:rFonts w:ascii="Times New Roman" w:eastAsia="Times New Roman" w:hAnsi="Times New Roman" w:cs="Times New Roman"/>
          <w:noProof/>
          <w:color w:val="000000" w:themeColor="text1"/>
          <w:sz w:val="24"/>
          <w:szCs w:val="24"/>
        </w:rPr>
        <w:footnoteReference w:id="27"/>
      </w:r>
      <w:r>
        <w:rPr>
          <w:rFonts w:ascii="Times New Roman" w:hAnsi="Times New Roman"/>
          <w:noProof/>
          <w:color w:val="000000" w:themeColor="text1"/>
          <w:sz w:val="24"/>
          <w:szCs w:val="24"/>
        </w:rPr>
        <w:t xml:space="preserve">. Ona je pokazala da je sustav svjedodžbi o dodatnoj zaštiti i dalje relevantan, iako je njegova primjena u državama članicama fragmentirana. Posljedica toga su neučinkovitost, netransparentnost i nepredvidivost, što predstavlja prepreku inovatorima i proizvođačima generičkih lijekova, a na kraju šteti i pacijentima. Komisija procjenjuje načine rješavanja tih problema, a neke mogućnosti su uvođenje jedinstvenog mehanizma za izdavanje svjedodžbe o dodatnoj zaštiti i/ili uvođenje jedinstvene svjedodžbe o dodatnoj zaštiti.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U kontekstu nove farmaceutske strategije za Europu Komisija pobliže proučava načine optimiranja poticaja i nagrada kako bi se podržale inovacije, odgovorilo na potrebe, osiguralo brzo stavljanje na tržište i time cjenovnu pristupačnost te neprekinutu opskrbu lijekovima, uključujući generičke i bioslične lijekove. U tom bi području inovacije trebale odgovarati potrebama i biti dostupne svim pacijentima koji od njih mogu imati koristi.</w:t>
      </w:r>
      <w:r>
        <w:rPr>
          <w:noProof/>
          <w:color w:val="FF0000"/>
        </w:rPr>
        <w:t xml:space="preserve"> </w:t>
      </w:r>
      <w:r>
        <w:rPr>
          <w:rFonts w:ascii="Times New Roman" w:hAnsi="Times New Roman"/>
          <w:noProof/>
          <w:color w:val="000000" w:themeColor="text1"/>
          <w:sz w:val="24"/>
          <w:szCs w:val="24"/>
        </w:rPr>
        <w:t>U tom kontekstu Komisija među ostalim razmatra režim za lijekove za rijetke bolesti i pedijatrijske lijekove</w:t>
      </w:r>
      <w:r>
        <w:rPr>
          <w:rFonts w:ascii="Times New Roman" w:eastAsia="Times New Roman" w:hAnsi="Times New Roman" w:cs="Times New Roman"/>
          <w:noProof/>
          <w:color w:val="000000" w:themeColor="text1"/>
          <w:sz w:val="24"/>
          <w:szCs w:val="24"/>
          <w:vertAlign w:val="superscript"/>
        </w:rPr>
        <w:footnoteReference w:id="28"/>
      </w:r>
      <w:r>
        <w:rPr>
          <w:rFonts w:ascii="Times New Roman" w:hAnsi="Times New Roman"/>
          <w:noProof/>
          <w:color w:val="000000" w:themeColor="text1"/>
          <w:sz w:val="24"/>
          <w:szCs w:val="24"/>
        </w:rPr>
        <w:t xml:space="preserve"> te izuzeće Bolar</w:t>
      </w:r>
      <w:r>
        <w:rPr>
          <w:rFonts w:ascii="Times New Roman" w:eastAsia="Times New Roman" w:hAnsi="Times New Roman" w:cs="Times New Roman"/>
          <w:noProof/>
          <w:color w:val="000000" w:themeColor="text1"/>
          <w:sz w:val="24"/>
          <w:szCs w:val="24"/>
          <w:vertAlign w:val="superscript"/>
        </w:rPr>
        <w:footnoteReference w:id="29"/>
      </w:r>
      <w:r>
        <w:rPr>
          <w:rFonts w:ascii="Times New Roman" w:hAnsi="Times New Roman"/>
          <w:noProof/>
          <w:color w:val="000000" w:themeColor="text1"/>
          <w:sz w:val="24"/>
          <w:szCs w:val="24"/>
        </w:rPr>
        <w:t>.</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Nakon uspješne reforme zakonodavstva EU-a o žigu</w:t>
      </w:r>
      <w:r>
        <w:rPr>
          <w:rStyle w:val="FootnoteReference"/>
          <w:rFonts w:ascii="Times New Roman" w:eastAsia="Times New Roman" w:hAnsi="Times New Roman" w:cs="Times New Roman"/>
          <w:noProof/>
          <w:color w:val="000000" w:themeColor="text1"/>
          <w:sz w:val="24"/>
          <w:szCs w:val="24"/>
        </w:rPr>
        <w:footnoteReference w:id="30"/>
      </w:r>
      <w:r>
        <w:rPr>
          <w:rFonts w:ascii="Times New Roman" w:hAnsi="Times New Roman"/>
          <w:noProof/>
          <w:color w:val="000000" w:themeColor="text1"/>
          <w:sz w:val="24"/>
          <w:szCs w:val="24"/>
        </w:rPr>
        <w:t xml:space="preserve"> Komisija će </w:t>
      </w:r>
      <w:r>
        <w:rPr>
          <w:rFonts w:ascii="Times New Roman" w:hAnsi="Times New Roman"/>
          <w:b/>
          <w:noProof/>
          <w:color w:val="000000" w:themeColor="text1"/>
          <w:sz w:val="24"/>
          <w:szCs w:val="24"/>
        </w:rPr>
        <w:t>revidirati zakonodavstvo EU-a o zaštiti dizajna</w:t>
      </w:r>
      <w:r>
        <w:rPr>
          <w:rFonts w:ascii="Times New Roman" w:hAnsi="Times New Roman"/>
          <w:noProof/>
          <w:color w:val="000000" w:themeColor="text1"/>
          <w:sz w:val="24"/>
          <w:szCs w:val="24"/>
        </w:rPr>
        <w:t xml:space="preserve"> kako bi poboljšala dostupnost i cjenovnu pristupačnost zaštite dizajna u EU-u, posebno za ekosustave tekstila, namještaja i elektronike, te osigurala da režim zaštite dizajna bolje podupire prelazak na digitalno i zeleno gospodarstvo. Dizajn proizvod čini privlačnim, a dobro dizajnirani proizvodi proizvođačima daju znatnu konkurentsku prednost. Nedavna evaluacija</w:t>
      </w:r>
      <w:r>
        <w:rPr>
          <w:rStyle w:val="FootnoteReference"/>
          <w:rFonts w:ascii="Times New Roman" w:eastAsia="Times New Roman" w:hAnsi="Times New Roman" w:cs="Times New Roman"/>
          <w:noProof/>
          <w:color w:val="000000" w:themeColor="text1"/>
          <w:sz w:val="24"/>
          <w:szCs w:val="24"/>
        </w:rPr>
        <w:footnoteReference w:id="31"/>
      </w:r>
      <w:r>
        <w:rPr>
          <w:rFonts w:ascii="Times New Roman" w:hAnsi="Times New Roman"/>
          <w:noProof/>
          <w:color w:val="000000" w:themeColor="text1"/>
          <w:sz w:val="24"/>
          <w:szCs w:val="24"/>
        </w:rPr>
        <w:t xml:space="preserve"> zakonodavstva EU-a o zaštiti dizajna</w:t>
      </w:r>
      <w:r>
        <w:rPr>
          <w:rStyle w:val="FootnoteReference"/>
          <w:rFonts w:ascii="Times New Roman" w:eastAsia="Times New Roman" w:hAnsi="Times New Roman" w:cs="Times New Roman"/>
          <w:noProof/>
          <w:color w:val="000000" w:themeColor="text1"/>
          <w:sz w:val="24"/>
          <w:szCs w:val="24"/>
        </w:rPr>
        <w:footnoteReference w:id="32"/>
      </w:r>
      <w:r>
        <w:rPr>
          <w:rFonts w:ascii="Times New Roman" w:hAnsi="Times New Roman"/>
          <w:noProof/>
          <w:color w:val="000000" w:themeColor="text1"/>
          <w:sz w:val="24"/>
          <w:szCs w:val="24"/>
        </w:rPr>
        <w:t xml:space="preserve"> pokazala je da sustavi dizajna EU-a općenito dobro funkcioniraju, no i dalje postoje neki nedostaci. Postupci registracije djelomično su zastarjeli, a ponekad uključuju nepotrebno administrativno opterećenje, dok zaštita novih oblika dizajna (npr. animirani dizajn, grafička korisnička sučelja) nije dovoljno jasna. Nedovoljna jasnoća o opsegu prava na dizajn problematična je, posebno zbog sve veće uporabe 3D ispisa ili u slučaju provedbe prava dizajna u odnosu na robu kojom se povređuje pravo u provozu kroz EU. I na kraju, zbog samo djelomičnog usklađivanja zaštite dizajna sastavnih dijelova koji se upotrebljavaju za popravak kompleksnih proizvoda, gospodarski važno tržište rezervnih dijelova i dalje je vrlo fragmentirano, što dovodi do ozbiljnog narušavanja tržišnog natjecanja i otežava prijelaz na održivije i zelenije gospodarstvo.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Europi je potreban i </w:t>
      </w:r>
      <w:r>
        <w:rPr>
          <w:rFonts w:ascii="Times New Roman" w:hAnsi="Times New Roman"/>
          <w:b/>
          <w:bCs/>
          <w:noProof/>
          <w:color w:val="000000" w:themeColor="text1"/>
          <w:sz w:val="24"/>
          <w:szCs w:val="24"/>
        </w:rPr>
        <w:t>novi pristup zaštiti oznaka zemljopisnog podrijetla</w:t>
      </w:r>
      <w:r>
        <w:rPr>
          <w:rFonts w:ascii="Times New Roman" w:hAnsi="Times New Roman"/>
          <w:noProof/>
          <w:color w:val="000000" w:themeColor="text1"/>
          <w:sz w:val="24"/>
          <w:szCs w:val="24"/>
        </w:rPr>
        <w:t>. Oznake zemljopisnog podrijetla nazivi su proizvoda povezani s prirodnim okolišem i znanjem i iskustvom lokalnih proizvođača. Dio su europske kulturne baštine i pridonose društvenoj, ekološkoj i gospodarskoj održivosti ruralnoga gospodarstva</w:t>
      </w:r>
      <w:r>
        <w:rPr>
          <w:rStyle w:val="FootnoteReference"/>
          <w:rFonts w:ascii="Times New Roman" w:eastAsia="Times New Roman" w:hAnsi="Times New Roman" w:cs="Times New Roman"/>
          <w:noProof/>
          <w:color w:val="000000" w:themeColor="text1"/>
          <w:sz w:val="24"/>
          <w:szCs w:val="24"/>
        </w:rPr>
        <w:footnoteReference w:id="33"/>
      </w:r>
      <w:r>
        <w:rPr>
          <w:rFonts w:ascii="Times New Roman" w:hAnsi="Times New Roman"/>
          <w:noProof/>
          <w:color w:val="000000" w:themeColor="text1"/>
          <w:sz w:val="24"/>
          <w:szCs w:val="24"/>
        </w:rPr>
        <w:t>, a ponekad se nazivaju i „ruralnim pravima intelektualnog vlasništva”. Oznake zemljopisnog podrijetla imaju i veliku gospodarsku vrijednost u poljoprivrednom sektoru. Prihodi od prodaje poljoprivredno-prehrambenih proizvoda i pića čiji su nazivi zaštićeni u EU-u kao oznake zemljopisnog podrijetla 2017. su iznosili 74,76 milijardi EUR</w:t>
      </w:r>
      <w:r>
        <w:rPr>
          <w:rFonts w:ascii="Times New Roman" w:hAnsi="Times New Roman"/>
          <w:noProof/>
          <w:color w:val="000000" w:themeColor="text1"/>
        </w:rPr>
        <w:t xml:space="preserve"> </w:t>
      </w:r>
      <w:r>
        <w:rPr>
          <w:rFonts w:ascii="Times New Roman" w:hAnsi="Times New Roman"/>
          <w:noProof/>
          <w:color w:val="000000" w:themeColor="text1"/>
          <w:sz w:val="24"/>
          <w:szCs w:val="24"/>
        </w:rPr>
        <w:t>u EU-u, što je 7 % ukupne prodajne vrijednosti proizvoda europskog sektora hrane i pića. Proizvodi s oznakom zemljopisnog podrijetla osim toga čine 15,5 % ukupnog izvoza poljoprivredno-prehrambenih proizvoda iz EU-a, a za zaštićene nazive proizvoda viša je cjenovna premija</w:t>
      </w:r>
      <w:r>
        <w:rPr>
          <w:rStyle w:val="FootnoteReference"/>
          <w:rFonts w:ascii="Times New Roman" w:eastAsia="Times New Roman" w:hAnsi="Times New Roman" w:cs="Times New Roman"/>
          <w:noProof/>
          <w:color w:val="000000" w:themeColor="text1"/>
          <w:sz w:val="24"/>
          <w:szCs w:val="24"/>
        </w:rPr>
        <w:footnoteReference w:id="34"/>
      </w:r>
      <w:r>
        <w:rPr>
          <w:rFonts w:ascii="Times New Roman" w:hAnsi="Times New Roman"/>
          <w:noProof/>
          <w:color w:val="000000" w:themeColor="text1"/>
          <w:sz w:val="24"/>
          <w:szCs w:val="24"/>
        </w:rPr>
        <w:t>. No i tu ima prostora za napredak: važeća pravila o zaštiti i provedbi mogla bi biti preciznija, a mogla bi se i preciznije utvrditi uloga država članica i Komisije u postupku registracije. Usto, za različite vrste poljoprivrednih proizvoda postoje različiti sustavi oznaka zemljopisnog podrijetla. Komisija će na temelju rezultata evaluacije koja je u tijeku</w:t>
      </w:r>
      <w:r>
        <w:rPr>
          <w:rStyle w:val="FootnoteReference"/>
          <w:rFonts w:ascii="Times New Roman" w:eastAsia="Times New Roman" w:hAnsi="Times New Roman" w:cs="Times New Roman"/>
          <w:noProof/>
          <w:color w:val="000000" w:themeColor="text1"/>
          <w:sz w:val="24"/>
          <w:szCs w:val="24"/>
        </w:rPr>
        <w:footnoteReference w:id="35"/>
      </w:r>
      <w:r>
        <w:rPr>
          <w:rFonts w:ascii="Times New Roman" w:hAnsi="Times New Roman"/>
          <w:noProof/>
          <w:color w:val="000000" w:themeColor="text1"/>
          <w:sz w:val="24"/>
          <w:szCs w:val="24"/>
        </w:rPr>
        <w:t xml:space="preserve"> razmotriti kako </w:t>
      </w:r>
      <w:r>
        <w:rPr>
          <w:rFonts w:ascii="Times New Roman" w:hAnsi="Times New Roman"/>
          <w:b/>
          <w:bCs/>
          <w:noProof/>
          <w:color w:val="000000" w:themeColor="text1"/>
          <w:sz w:val="24"/>
          <w:szCs w:val="24"/>
        </w:rPr>
        <w:t>ojačati,</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modernizirati, pojednostavniti i bolje provoditi zaštitu proizvoda s oznakom zemljopisnog podrijetla za poljoprivredne proizvode, hranu, vina i žestoka pića</w:t>
      </w:r>
      <w:r>
        <w:rPr>
          <w:rStyle w:val="FootnoteReference"/>
          <w:rFonts w:ascii="Times New Roman" w:eastAsia="Times New Roman" w:hAnsi="Times New Roman" w:cs="Times New Roman"/>
          <w:noProof/>
          <w:color w:val="000000" w:themeColor="text1"/>
          <w:sz w:val="24"/>
          <w:szCs w:val="24"/>
        </w:rPr>
        <w:footnoteReference w:id="36"/>
      </w:r>
      <w:r>
        <w:rPr>
          <w:noProof/>
        </w:rPr>
        <w:t>.</w:t>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Samo neke države članice imaju propise za zaštitu nepoljoprivrednih oznaka zemljopisnog podrijetla (kao što su rukotvorine). Na razini EU-a trenutačno ne postoji jedinstveni mehanizam za zaštitu nepoljoprivrednih oznaka zemljopisnog podrijetla, koje su često važan dio lokalnog identiteta, privlače turiste, čuvaju jedinstvene vještine i doprinose otvaranju radnih mjesta. Nedavna studija</w:t>
      </w:r>
      <w:r>
        <w:rPr>
          <w:rStyle w:val="FootnoteReference"/>
          <w:rFonts w:ascii="Times New Roman" w:eastAsia="Times New Roman" w:hAnsi="Times New Roman" w:cs="Times New Roman"/>
          <w:noProof/>
          <w:color w:val="000000" w:themeColor="text1"/>
          <w:sz w:val="24"/>
          <w:szCs w:val="24"/>
        </w:rPr>
        <w:footnoteReference w:id="37"/>
      </w:r>
      <w:r>
        <w:rPr>
          <w:rFonts w:ascii="Times New Roman" w:hAnsi="Times New Roman"/>
          <w:noProof/>
          <w:color w:val="000000" w:themeColor="text1"/>
          <w:sz w:val="24"/>
          <w:szCs w:val="24"/>
        </w:rPr>
        <w:t xml:space="preserve"> pokazala je da bi za gospodarstvo EU-a bila korisna uspostava harmoniziranog sustava za nepoljoprivredne proizvode, koji bi potrošačima omogućio bolju vidljivost i označivanje autentičnosti tih proizvoda. Mogao bi proizvođačima pomoći da ostanu konkurentni i surađuju u tržišnim nišama te potaknuti razvoj manje razvijenih regija</w:t>
      </w:r>
      <w:r>
        <w:rPr>
          <w:rStyle w:val="FootnoteReference"/>
          <w:rFonts w:ascii="Times New Roman" w:eastAsia="Times New Roman" w:hAnsi="Times New Roman" w:cs="Times New Roman"/>
          <w:noProof/>
          <w:color w:val="000000" w:themeColor="text1"/>
          <w:sz w:val="24"/>
          <w:szCs w:val="24"/>
        </w:rPr>
        <w:footnoteReference w:id="38"/>
      </w:r>
      <w:r>
        <w:rPr>
          <w:rFonts w:ascii="Times New Roman" w:hAnsi="Times New Roman"/>
          <w:noProof/>
          <w:color w:val="000000" w:themeColor="text1"/>
          <w:sz w:val="24"/>
          <w:szCs w:val="24"/>
        </w:rPr>
        <w:t xml:space="preserve">. Stoga će u okviru opće reforme sustava oznaka zemljopisnog podrijetla Komisija, na temelju dubinske procjene učinka potencijalnih troškova i koristi, razmotriti izvedivost uspostave </w:t>
      </w:r>
      <w:r>
        <w:rPr>
          <w:rFonts w:ascii="Times New Roman" w:hAnsi="Times New Roman"/>
          <w:b/>
          <w:bCs/>
          <w:noProof/>
          <w:color w:val="000000" w:themeColor="text1"/>
          <w:sz w:val="24"/>
          <w:szCs w:val="24"/>
        </w:rPr>
        <w:t>učinkovitog i transparentnog EU-ovog sustava zaštite oznaka zemljopisnog podrijetla za nepoljoprivredne proizvode</w:t>
      </w:r>
      <w:r>
        <w:rPr>
          <w:rFonts w:ascii="Times New Roman" w:hAnsi="Times New Roman"/>
          <w:noProof/>
          <w:color w:val="000000" w:themeColor="text1"/>
          <w:sz w:val="24"/>
          <w:szCs w:val="24"/>
        </w:rPr>
        <w:t>. To bi EU-u omogućilo i da potpuno iskoristi prednosti međunarodnog sustava oznaka izvornosti i oznaka zemljopisnog podrijetla</w:t>
      </w:r>
      <w:r>
        <w:rPr>
          <w:rStyle w:val="FootnoteReference"/>
          <w:rFonts w:ascii="Times New Roman" w:eastAsia="Times New Roman" w:hAnsi="Times New Roman" w:cs="Times New Roman"/>
          <w:noProof/>
          <w:color w:val="000000" w:themeColor="text1"/>
          <w:sz w:val="24"/>
          <w:szCs w:val="24"/>
        </w:rPr>
        <w:footnoteReference w:id="39"/>
      </w:r>
      <w:r>
        <w:rPr>
          <w:rFonts w:ascii="Times New Roman" w:hAnsi="Times New Roman"/>
          <w:noProof/>
          <w:color w:val="000000" w:themeColor="text1"/>
          <w:sz w:val="24"/>
          <w:szCs w:val="24"/>
        </w:rPr>
        <w:t xml:space="preserve"> i općenito mu dalo prednost pri promicanju priznavanja oznaka zemljopisnog podrijetla EU-a u svijetu.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Sustav </w:t>
      </w:r>
      <w:r>
        <w:rPr>
          <w:rFonts w:ascii="Times New Roman" w:hAnsi="Times New Roman"/>
          <w:b/>
          <w:bCs/>
          <w:noProof/>
          <w:color w:val="000000" w:themeColor="text1"/>
          <w:sz w:val="24"/>
          <w:szCs w:val="24"/>
        </w:rPr>
        <w:t>oplemenjivačkog prava Zajednice na biljnu sortu</w:t>
      </w:r>
      <w:r>
        <w:rPr>
          <w:rFonts w:ascii="Times New Roman" w:hAnsi="Times New Roman"/>
          <w:noProof/>
          <w:color w:val="000000" w:themeColor="text1"/>
          <w:sz w:val="24"/>
          <w:szCs w:val="24"/>
        </w:rPr>
        <w:t xml:space="preserve"> ima vrlo važnu ulogu i u gospodarstvu EU-a. Solidan sustav oplemenjivačkog prava na biljnu sortu poticaj je uzgajivačima da razvijaju nove sorte i tako pridonose postizanju ciljeva europskog zelenog plana i UN-ovih ciljeva održivog razvoja. Komisija će nastaviti </w:t>
      </w:r>
      <w:r>
        <w:rPr>
          <w:rFonts w:ascii="Times New Roman" w:hAnsi="Times New Roman"/>
          <w:b/>
          <w:bCs/>
          <w:noProof/>
          <w:color w:val="000000" w:themeColor="text1"/>
          <w:sz w:val="24"/>
          <w:szCs w:val="24"/>
        </w:rPr>
        <w:t>pratiti pravilnu primjenu tog sustava i nastojati poboljšati aspekte koje je potrebno poboljšati</w:t>
      </w:r>
      <w:r>
        <w:rPr>
          <w:rFonts w:ascii="Times New Roman" w:eastAsia="Times New Roman" w:hAnsi="Times New Roman" w:cs="Times New Roman"/>
          <w:noProof/>
          <w:color w:val="000000" w:themeColor="text1"/>
          <w:sz w:val="24"/>
          <w:szCs w:val="24"/>
          <w:vertAlign w:val="superscript"/>
          <w:lang w:val="en-US"/>
        </w:rPr>
        <w:footnoteReference w:id="40"/>
      </w:r>
      <w:r>
        <w:rPr>
          <w:rFonts w:ascii="Times New Roman" w:hAnsi="Times New Roman"/>
          <w:noProof/>
          <w:color w:val="000000" w:themeColor="text1"/>
          <w:sz w:val="24"/>
          <w:szCs w:val="24"/>
        </w:rPr>
        <w:t>. Zaključak evaluacije zakonodavstva o oplemenjivačkom pravu Zajednice na biljnu sortu iz 2011. bio je da sustav općenito dobro funkcionira i da ga treba zadržati, uz neke vrlo ciljane izmjene. Valjanost tog zaključka potvrdili su i nedavno utvrđeni nedostaci</w:t>
      </w:r>
      <w:r>
        <w:rPr>
          <w:rStyle w:val="FootnoteReference"/>
          <w:rFonts w:ascii="Times New Roman" w:eastAsia="Times New Roman" w:hAnsi="Times New Roman" w:cs="Times New Roman"/>
          <w:noProof/>
          <w:color w:val="000000" w:themeColor="text1"/>
          <w:sz w:val="24"/>
          <w:szCs w:val="24"/>
        </w:rPr>
        <w:footnoteReference w:id="41"/>
      </w:r>
      <w:r>
        <w:rPr>
          <w:rFonts w:ascii="Times New Roman" w:hAnsi="Times New Roman"/>
          <w:noProof/>
          <w:color w:val="000000" w:themeColor="text1"/>
          <w:sz w:val="24"/>
          <w:szCs w:val="24"/>
        </w:rPr>
        <w:t xml:space="preserve"> koji bi se mogli ukloniti, nakon evaluacije, u okviru ciljane revizije zakonodavstva u srednjoročnom razdoblju.</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Osim spomenutih reformi Komisija će, zajedno s dionicima i uredima za intelektualno vlasništvo, razmotriti </w:t>
      </w:r>
      <w:r>
        <w:rPr>
          <w:rFonts w:ascii="Times New Roman" w:hAnsi="Times New Roman"/>
          <w:b/>
          <w:bCs/>
          <w:noProof/>
          <w:color w:val="000000" w:themeColor="text1"/>
          <w:sz w:val="24"/>
          <w:szCs w:val="24"/>
        </w:rPr>
        <w:t>uporabu novih tehnologija</w:t>
      </w:r>
      <w:r>
        <w:rPr>
          <w:rFonts w:ascii="Times New Roman" w:hAnsi="Times New Roman"/>
          <w:noProof/>
          <w:color w:val="000000" w:themeColor="text1"/>
          <w:sz w:val="24"/>
          <w:szCs w:val="24"/>
        </w:rPr>
        <w:t xml:space="preserve">, kao što su umjetna inteligencija i lanci blokova, za </w:t>
      </w:r>
      <w:r>
        <w:rPr>
          <w:rFonts w:ascii="Times New Roman" w:hAnsi="Times New Roman"/>
          <w:b/>
          <w:bCs/>
          <w:noProof/>
          <w:color w:val="000000" w:themeColor="text1"/>
          <w:sz w:val="24"/>
          <w:szCs w:val="24"/>
        </w:rPr>
        <w:t>daljnje poboljšanje učinkovitosti naših sustava intelektualnog vlasništva</w:t>
      </w:r>
      <w:r>
        <w:rPr>
          <w:rFonts w:ascii="Times New Roman" w:hAnsi="Times New Roman"/>
          <w:noProof/>
          <w:color w:val="000000" w:themeColor="text1"/>
          <w:sz w:val="24"/>
          <w:szCs w:val="24"/>
        </w:rPr>
        <w:t>. Naime, nove tehnologije mogu olakšati zaštitu intelektualnog vlasništva</w:t>
      </w:r>
      <w:r>
        <w:rPr>
          <w:rStyle w:val="FootnoteReference"/>
          <w:rFonts w:ascii="Times New Roman" w:eastAsia="Times New Roman" w:hAnsi="Times New Roman" w:cs="Times New Roman"/>
          <w:noProof/>
          <w:color w:val="000000" w:themeColor="text1"/>
          <w:sz w:val="24"/>
          <w:szCs w:val="24"/>
          <w:lang w:val="en-IE"/>
        </w:rPr>
        <w:footnoteReference w:id="42"/>
      </w:r>
      <w:r>
        <w:rPr>
          <w:rFonts w:ascii="Times New Roman" w:hAnsi="Times New Roman"/>
          <w:noProof/>
          <w:color w:val="000000" w:themeColor="text1"/>
          <w:sz w:val="24"/>
          <w:szCs w:val="24"/>
        </w:rPr>
        <w:t>, poboljšati transparentnost te omogućiti lakšu distribuciju pristojbi za licencije</w:t>
      </w:r>
      <w:r>
        <w:rPr>
          <w:rStyle w:val="FootnoteReference"/>
          <w:rFonts w:ascii="Times New Roman" w:eastAsia="Times New Roman" w:hAnsi="Times New Roman" w:cs="Times New Roman"/>
          <w:noProof/>
          <w:color w:val="000000" w:themeColor="text1"/>
          <w:sz w:val="24"/>
          <w:szCs w:val="24"/>
          <w:lang w:val="en-IE"/>
        </w:rPr>
        <w:footnoteReference w:id="43"/>
      </w:r>
      <w:r>
        <w:rPr>
          <w:rFonts w:ascii="Times New Roman" w:hAnsi="Times New Roman"/>
          <w:noProof/>
          <w:color w:val="000000" w:themeColor="text1"/>
          <w:sz w:val="24"/>
          <w:szCs w:val="24"/>
        </w:rPr>
        <w:t xml:space="preserve"> i učinkovitiju borbu protiv krivotvorenja i piratstva.</w:t>
      </w:r>
      <w:r>
        <w:rPr>
          <w:rFonts w:ascii="Times New Roman" w:hAnsi="Times New Roman"/>
          <w:noProof/>
          <w:color w:val="000000"/>
          <w:sz w:val="24"/>
          <w:szCs w:val="24"/>
        </w:rPr>
        <w:t xml:space="preserve"> </w:t>
      </w:r>
      <w:r>
        <w:rPr>
          <w:rFonts w:ascii="Times New Roman" w:hAnsi="Times New Roman"/>
          <w:noProof/>
          <w:color w:val="000000" w:themeColor="text1"/>
          <w:sz w:val="24"/>
          <w:szCs w:val="24"/>
        </w:rPr>
        <w:t xml:space="preserve">Kako bi istražila potencijal novih tehnologija i potaknula njihovo uvođenje, Komisija će poticati </w:t>
      </w:r>
      <w:r>
        <w:rPr>
          <w:rFonts w:ascii="Times New Roman" w:hAnsi="Times New Roman"/>
          <w:b/>
          <w:bCs/>
          <w:noProof/>
          <w:color w:val="000000" w:themeColor="text1"/>
          <w:sz w:val="24"/>
          <w:szCs w:val="24"/>
        </w:rPr>
        <w:t>dijalog u tom sektoru</w:t>
      </w:r>
      <w:r>
        <w:rPr>
          <w:rFonts w:ascii="Times New Roman" w:hAnsi="Times New Roman"/>
          <w:noProof/>
          <w:color w:val="000000" w:themeColor="text1"/>
          <w:sz w:val="24"/>
          <w:szCs w:val="24"/>
        </w:rPr>
        <w:t xml:space="preserve">, koji će služiti kao prostor za raspravu i pratiti brojne inicijative u tom području.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Osim toga, digitalna revolucija od nas zahtijeva i da </w:t>
      </w:r>
      <w:r>
        <w:rPr>
          <w:rFonts w:ascii="Times New Roman" w:hAnsi="Times New Roman"/>
          <w:b/>
          <w:noProof/>
          <w:color w:val="000000" w:themeColor="text1"/>
          <w:sz w:val="24"/>
          <w:szCs w:val="24"/>
        </w:rPr>
        <w:t>razmislimo o tome kako i što treba zaštititi</w:t>
      </w:r>
      <w:r>
        <w:rPr>
          <w:rFonts w:ascii="Times New Roman" w:hAnsi="Times New Roman"/>
          <w:noProof/>
          <w:color w:val="000000" w:themeColor="text1"/>
          <w:sz w:val="24"/>
          <w:szCs w:val="24"/>
        </w:rPr>
        <w:t xml:space="preserve">. </w:t>
      </w:r>
      <w:r>
        <w:rPr>
          <w:rFonts w:ascii="Times New Roman" w:hAnsi="Times New Roman"/>
          <w:b/>
          <w:bCs/>
          <w:noProof/>
          <w:sz w:val="24"/>
          <w:szCs w:val="24"/>
        </w:rPr>
        <w:t>Tehnologije umjetne inteligencije</w:t>
      </w:r>
      <w:r>
        <w:rPr>
          <w:rFonts w:ascii="Times New Roman" w:hAnsi="Times New Roman"/>
          <w:noProof/>
          <w:sz w:val="24"/>
          <w:szCs w:val="24"/>
        </w:rPr>
        <w:t xml:space="preserve"> stvaraju nova djela i izume. U nekim slučajevima, na primjer u kulturnom sektoru, uporaba izumiteljskih strojeva mogla bi postati norma. Zbog tih se promjena postavlja pitanje kakva bi se zaštita trebala pružiti proizvodima stvorenima uz pomoć tehnologija umjetne inteligencije. </w:t>
      </w:r>
      <w:r>
        <w:rPr>
          <w:rFonts w:ascii="Times New Roman" w:hAnsi="Times New Roman"/>
          <w:noProof/>
          <w:color w:val="000000" w:themeColor="text1"/>
          <w:sz w:val="24"/>
          <w:szCs w:val="24"/>
        </w:rPr>
        <w:t xml:space="preserve">O utjecaju umjetne inteligencije na prava intelektualnog vlasništva raspravlja se i u Europi i u međunarodnoj zajednici (vidjeti odjeljak 6.). U studiji </w:t>
      </w:r>
      <w:r>
        <w:rPr>
          <w:rFonts w:ascii="Times New Roman" w:hAnsi="Times New Roman"/>
          <w:noProof/>
          <w:sz w:val="24"/>
          <w:szCs w:val="24"/>
        </w:rPr>
        <w:t>objavljenoj danas</w:t>
      </w:r>
      <w:r>
        <w:rPr>
          <w:rStyle w:val="FootnoteReference"/>
          <w:rFonts w:ascii="Times New Roman" w:hAnsi="Times New Roman"/>
          <w:noProof/>
          <w:sz w:val="24"/>
          <w:szCs w:val="24"/>
        </w:rPr>
        <w:footnoteReference w:id="44"/>
      </w:r>
      <w:r>
        <w:rPr>
          <w:rFonts w:ascii="Times New Roman" w:hAnsi="Times New Roman"/>
          <w:noProof/>
          <w:color w:val="000000" w:themeColor="text1"/>
          <w:sz w:val="24"/>
          <w:szCs w:val="24"/>
        </w:rPr>
        <w:t xml:space="preserve"> naglašava se potreba da se razlikuju izumi i djela stvoreni uz pomoć tehnologija umjetne inteligencije i oni koje su stvorile isključivo tehnologije umjetne inteligencije. Iako su izumi i djela koje su tehnologije umjetne inteligencije stvorile autonomno i dalje uglavnom pitanje za budućnost, stajalište je Komisije da se prema tim tehnologijama ne bi trebalo postupati kao prema autorima ili izumiteljima. </w:t>
      </w:r>
      <w:r>
        <w:rPr>
          <w:rFonts w:ascii="Times New Roman" w:hAnsi="Times New Roman"/>
          <w:noProof/>
          <w:sz w:val="24"/>
          <w:szCs w:val="24"/>
        </w:rPr>
        <w:t>To je potvrđeno i stajalištem koje je zauzeo EPO u predmetu DABUS</w:t>
      </w:r>
      <w:r>
        <w:rPr>
          <w:rStyle w:val="FootnoteReference"/>
          <w:rFonts w:ascii="Times New Roman" w:eastAsia="Times New Roman" w:hAnsi="Times New Roman" w:cs="Times New Roman"/>
          <w:noProof/>
          <w:color w:val="000000" w:themeColor="text1"/>
          <w:sz w:val="24"/>
          <w:szCs w:val="24"/>
        </w:rPr>
        <w:footnoteReference w:id="45"/>
      </w:r>
      <w:r>
        <w:rPr>
          <w:rFonts w:ascii="Times New Roman" w:hAnsi="Times New Roman"/>
          <w:noProof/>
          <w:sz w:val="24"/>
          <w:szCs w:val="24"/>
        </w:rPr>
        <w:t>.</w:t>
      </w:r>
      <w:r>
        <w:rPr>
          <w:rFonts w:ascii="Times New Roman" w:hAnsi="Times New Roman"/>
          <w:noProof/>
          <w:color w:val="000000" w:themeColor="text1"/>
          <w:sz w:val="24"/>
          <w:szCs w:val="24"/>
        </w:rPr>
        <w:t xml:space="preserve"> Studija je pokazala i da su postojeći okvir EU-a za intelektualno vlasništvo i Europska patentna konvencija u velikoj mjeri primjereni instrumenti za svladavanje izazova koje predstavljaju izumi i djela nastali uz pomoć umjetne inteligencije. Međutim, i dalje postoje nedostaci u usklađivanju</w:t>
      </w:r>
      <w:r>
        <w:rPr>
          <w:rStyle w:val="FootnoteReference"/>
          <w:rFonts w:ascii="Times New Roman" w:eastAsia="Times New Roman" w:hAnsi="Times New Roman" w:cs="Times New Roman"/>
          <w:noProof/>
          <w:color w:val="000000" w:themeColor="text1"/>
          <w:sz w:val="24"/>
          <w:szCs w:val="24"/>
        </w:rPr>
        <w:footnoteReference w:id="46"/>
      </w:r>
      <w:r>
        <w:rPr>
          <w:rFonts w:ascii="Times New Roman" w:hAnsi="Times New Roman"/>
          <w:noProof/>
          <w:color w:val="000000" w:themeColor="text1"/>
          <w:sz w:val="24"/>
          <w:szCs w:val="24"/>
        </w:rPr>
        <w:t xml:space="preserve"> i ima mjesta za poboljšanje</w:t>
      </w:r>
      <w:r>
        <w:rPr>
          <w:rStyle w:val="FootnoteReference"/>
          <w:rFonts w:ascii="Times New Roman" w:eastAsia="Times New Roman" w:hAnsi="Times New Roman" w:cs="Times New Roman"/>
          <w:noProof/>
          <w:color w:val="000000" w:themeColor="text1"/>
          <w:sz w:val="24"/>
          <w:szCs w:val="24"/>
        </w:rPr>
        <w:footnoteReference w:id="47"/>
      </w:r>
      <w:r>
        <w:rPr>
          <w:rFonts w:ascii="Times New Roman" w:hAnsi="Times New Roman"/>
          <w:noProof/>
          <w:color w:val="000000" w:themeColor="text1"/>
          <w:sz w:val="24"/>
          <w:szCs w:val="24"/>
        </w:rPr>
        <w:t xml:space="preserve">, čime bi se trebalo pozabaviti kako bi europska izvrsnost u umjetnoj inteligenciji napredovala. Prvi korak koji će Komisija poduzeti bit će utvrđivanje i analiza svih otvorenih pitanja i rasprava s dionicima. Već spomenuti dijalog u tom sektoru mogao bi biti koristan u tom kontekstu.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Konačno, Komisija će </w:t>
      </w:r>
      <w:r>
        <w:rPr>
          <w:rFonts w:ascii="Times New Roman" w:hAnsi="Times New Roman"/>
          <w:b/>
          <w:bCs/>
          <w:noProof/>
          <w:color w:val="000000" w:themeColor="text1"/>
          <w:sz w:val="24"/>
          <w:szCs w:val="24"/>
        </w:rPr>
        <w:t>osigurati dosljednu i suvremenu primjenu pravila</w:t>
      </w:r>
      <w:r>
        <w:rPr>
          <w:rFonts w:ascii="Times New Roman" w:hAnsi="Times New Roman"/>
          <w:noProof/>
          <w:color w:val="000000" w:themeColor="text1"/>
          <w:sz w:val="24"/>
          <w:szCs w:val="24"/>
        </w:rPr>
        <w:t>, u suradnji s državama članicama i dionicima.</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U području </w:t>
      </w:r>
      <w:r>
        <w:rPr>
          <w:rFonts w:ascii="Times New Roman" w:hAnsi="Times New Roman"/>
          <w:b/>
          <w:bCs/>
          <w:noProof/>
          <w:color w:val="000000" w:themeColor="text1"/>
          <w:sz w:val="24"/>
          <w:szCs w:val="24"/>
        </w:rPr>
        <w:t>autorskih prava</w:t>
      </w:r>
      <w:r>
        <w:rPr>
          <w:rFonts w:ascii="Times New Roman" w:hAnsi="Times New Roman"/>
          <w:noProof/>
          <w:color w:val="000000" w:themeColor="text1"/>
          <w:sz w:val="24"/>
          <w:szCs w:val="24"/>
        </w:rPr>
        <w:t xml:space="preserve"> glavni cilj Komisije je podupiranje pravodobnog i učinkovitog prenošenja i provedbe dviju nedavno donesenih direktiva o modernizaciji okvira EU-a za autorska prava</w:t>
      </w:r>
      <w:r>
        <w:rPr>
          <w:rStyle w:val="FootnoteReference"/>
          <w:rFonts w:ascii="Times New Roman" w:eastAsia="Times New Roman" w:hAnsi="Times New Roman" w:cs="Times New Roman"/>
          <w:noProof/>
          <w:color w:val="000000" w:themeColor="text1"/>
          <w:sz w:val="24"/>
          <w:szCs w:val="24"/>
        </w:rPr>
        <w:footnoteReference w:id="48"/>
      </w:r>
      <w:r>
        <w:rPr>
          <w:rFonts w:ascii="Times New Roman" w:hAnsi="Times New Roman"/>
          <w:noProof/>
          <w:color w:val="000000" w:themeColor="text1"/>
          <w:sz w:val="24"/>
          <w:szCs w:val="24"/>
        </w:rPr>
        <w:t>.</w:t>
      </w:r>
      <w:r>
        <w:rPr>
          <w:rFonts w:ascii="Times New Roman" w:hAnsi="Times New Roman"/>
          <w:noProof/>
        </w:rPr>
        <w:t xml:space="preserve"> </w:t>
      </w:r>
      <w:r>
        <w:rPr>
          <w:rFonts w:ascii="Times New Roman" w:hAnsi="Times New Roman"/>
          <w:noProof/>
          <w:color w:val="000000" w:themeColor="text1"/>
          <w:sz w:val="24"/>
          <w:szCs w:val="24"/>
        </w:rPr>
        <w:t>To se uglavnom odnosi na provedbu članka 17. Direktive o autorskim pravima, u kojem se iznosi poseban pravni režim za uporabu sadržaja zaštićenog autorskim pravom od strane platformi za razmjenu sadržaja koji učitavaju korisnici. Komisija je provela opsežan dijalog s dionicima i prikupila stajališta relevantnih dionika o najvažnijim temama povezanima s primjenom tog članka. Razmotrit će ishode dijaloga i uskoro izdati smjernice za potporu državama članicama pri provedbi te odredbe. U vezi s postojećim okvirom EU-a za autorska prava, Komisija će raditi i na nizu izvješća koja proizlaze iz određenih odredbi kao što su klauzule o preispitivanju iz više instrumenata EU-a o autorskim pravima, primjerice Direktive o trajanju zaštite, Direktive o kolektivnom ostvarivanju prava, takozvane Direktive o Marakeškom ugovoru i Uredbe o prenosivosti</w:t>
      </w:r>
      <w:r>
        <w:rPr>
          <w:rStyle w:val="FootnoteReference"/>
          <w:rFonts w:ascii="Times New Roman" w:eastAsia="Times New Roman" w:hAnsi="Times New Roman" w:cs="Times New Roman"/>
          <w:noProof/>
          <w:color w:val="000000" w:themeColor="text1"/>
          <w:sz w:val="24"/>
          <w:szCs w:val="24"/>
        </w:rPr>
        <w:footnoteReference w:id="49"/>
      </w:r>
      <w:r>
        <w:rPr>
          <w:rFonts w:ascii="Times New Roman" w:hAnsi="Times New Roman"/>
          <w:noProof/>
          <w:color w:val="000000" w:themeColor="text1"/>
          <w:sz w:val="24"/>
          <w:szCs w:val="24"/>
        </w:rPr>
        <w:t>.</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Za biotehnološko tržište, koje se brzo razvija, važna je primjena </w:t>
      </w:r>
      <w:r>
        <w:rPr>
          <w:rFonts w:ascii="Times New Roman" w:hAnsi="Times New Roman"/>
          <w:b/>
          <w:bCs/>
          <w:noProof/>
          <w:color w:val="000000" w:themeColor="text1"/>
          <w:sz w:val="24"/>
        </w:rPr>
        <w:t>Direktive o biotehnološkim izumima</w:t>
      </w:r>
      <w:r>
        <w:rPr>
          <w:rStyle w:val="FootnoteReference"/>
          <w:rFonts w:ascii="Times New Roman" w:eastAsia="Times New Roman" w:hAnsi="Times New Roman" w:cs="Times New Roman"/>
          <w:noProof/>
          <w:color w:val="000000" w:themeColor="text1"/>
          <w:sz w:val="24"/>
          <w:szCs w:val="24"/>
          <w:lang w:val="en-US"/>
        </w:rPr>
        <w:footnoteReference w:id="50"/>
      </w:r>
      <w:r>
        <w:rPr>
          <w:rFonts w:ascii="Times New Roman" w:hAnsi="Times New Roman"/>
          <w:noProof/>
          <w:color w:val="000000" w:themeColor="text1"/>
          <w:sz w:val="24"/>
        </w:rPr>
        <w:t>.</w:t>
      </w:r>
      <w:r>
        <w:rPr>
          <w:rFonts w:ascii="Times New Roman" w:hAnsi="Times New Roman"/>
          <w:noProof/>
          <w:color w:val="000000" w:themeColor="text1"/>
          <w:sz w:val="24"/>
          <w:szCs w:val="24"/>
        </w:rPr>
        <w:t xml:space="preserve"> Patenti u području biotehnologije velik su poticaj, no trebaju se priznavati u opravdanim okolnostima. </w:t>
      </w:r>
      <w:r>
        <w:rPr>
          <w:rFonts w:ascii="Times New Roman" w:hAnsi="Times New Roman"/>
          <w:noProof/>
          <w:color w:val="000000" w:themeColor="text1"/>
          <w:sz w:val="24"/>
        </w:rPr>
        <w:t>Direktiva o biotehnološkim izumima uravnotežen je okvir u tom pogledu, a njezinu će primjenu Komisija pomno pratiti</w:t>
      </w:r>
      <w:r>
        <w:rPr>
          <w:rStyle w:val="FootnoteReference"/>
          <w:rFonts w:ascii="Times New Roman" w:eastAsia="Times New Roman" w:hAnsi="Times New Roman" w:cs="Times New Roman"/>
          <w:noProof/>
          <w:color w:val="000000" w:themeColor="text1"/>
          <w:sz w:val="24"/>
          <w:szCs w:val="24"/>
        </w:rPr>
        <w:footnoteReference w:id="51"/>
      </w:r>
      <w:r>
        <w:rPr>
          <w:noProof/>
        </w:rPr>
        <w:t>.</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noProof/>
          <w:color w:val="000000" w:themeColor="text1"/>
        </w:rPr>
      </w:pPr>
      <w:r>
        <w:rPr>
          <w:rFonts w:ascii="Times New Roman" w:hAnsi="Times New Roman"/>
          <w:b/>
          <w:bCs/>
          <w:noProof/>
          <w:color w:val="000000" w:themeColor="text1"/>
          <w:sz w:val="24"/>
          <w:szCs w:val="24"/>
        </w:rPr>
        <w:t>Kako bi se poboljšala zaštita prava intelektualnog vlasništva u EU-u, Komisija će:</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podržati brzo uvođenje </w:t>
      </w:r>
      <w:r>
        <w:rPr>
          <w:rFonts w:ascii="Times New Roman" w:hAnsi="Times New Roman"/>
          <w:b/>
          <w:bCs/>
          <w:noProof/>
          <w:color w:val="000000" w:themeColor="text1"/>
          <w:sz w:val="24"/>
          <w:szCs w:val="24"/>
        </w:rPr>
        <w:t>jedinstvenog patentnog sustava</w:t>
      </w:r>
      <w:r>
        <w:rPr>
          <w:rFonts w:ascii="Times New Roman" w:hAnsi="Times New Roman"/>
          <w:noProof/>
          <w:color w:val="000000" w:themeColor="text1"/>
          <w:sz w:val="24"/>
          <w:szCs w:val="24"/>
        </w:rPr>
        <w:t xml:space="preserve"> kako bi se stvorio jedinstven sustav za patentnu zaštitu i provedbu u cijelom EU-u (2021.),</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optimirati </w:t>
      </w:r>
      <w:r>
        <w:rPr>
          <w:rFonts w:ascii="Times New Roman" w:hAnsi="Times New Roman"/>
          <w:b/>
          <w:bCs/>
          <w:noProof/>
          <w:color w:val="000000" w:themeColor="text1"/>
          <w:sz w:val="24"/>
          <w:szCs w:val="24"/>
        </w:rPr>
        <w:t>sustav svjedodžbi o dodatnoj zaštiti</w:t>
      </w:r>
      <w:r>
        <w:rPr>
          <w:rFonts w:ascii="Times New Roman" w:hAnsi="Times New Roman"/>
          <w:noProof/>
          <w:color w:val="000000" w:themeColor="text1"/>
          <w:sz w:val="24"/>
          <w:szCs w:val="24"/>
        </w:rPr>
        <w:t xml:space="preserve"> i učiniti ga transparentnijim i učinkovitijim (prvo tromjesečje 2022.), </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hAnsi="Times New Roman"/>
          <w:noProof/>
          <w:color w:val="000000" w:themeColor="text1"/>
          <w:sz w:val="24"/>
          <w:szCs w:val="24"/>
        </w:rPr>
        <w:t xml:space="preserve">modernizirati zakonodavstvo EU-a o </w:t>
      </w:r>
      <w:r>
        <w:rPr>
          <w:rFonts w:ascii="Times New Roman" w:hAnsi="Times New Roman"/>
          <w:b/>
          <w:bCs/>
          <w:noProof/>
          <w:color w:val="000000" w:themeColor="text1"/>
          <w:sz w:val="24"/>
          <w:szCs w:val="24"/>
        </w:rPr>
        <w:t>industrijskom dizajnu</w:t>
      </w:r>
      <w:r>
        <w:rPr>
          <w:rFonts w:ascii="Times New Roman" w:hAnsi="Times New Roman"/>
          <w:noProof/>
          <w:color w:val="000000" w:themeColor="text1"/>
          <w:sz w:val="24"/>
          <w:szCs w:val="24"/>
        </w:rPr>
        <w:t xml:space="preserve"> kako bi ga učinila pristupačnijim i poboljšala potporu tranziciji na digitalno i zeleno gospodarstvo (posljednje tromjesečje 2021.),</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hAnsi="Times New Roman"/>
          <w:noProof/>
          <w:color w:val="000000" w:themeColor="text1"/>
          <w:sz w:val="24"/>
          <w:szCs w:val="24"/>
        </w:rPr>
        <w:t xml:space="preserve">ojačati sustav zaštite </w:t>
      </w:r>
      <w:r>
        <w:rPr>
          <w:rFonts w:ascii="Times New Roman" w:hAnsi="Times New Roman"/>
          <w:b/>
          <w:bCs/>
          <w:noProof/>
          <w:color w:val="000000" w:themeColor="text1"/>
          <w:sz w:val="24"/>
          <w:szCs w:val="24"/>
        </w:rPr>
        <w:t>oznaka zemljopisnog podrijetla za poljoprivredne proizvode</w:t>
      </w:r>
      <w:r>
        <w:rPr>
          <w:rFonts w:ascii="Times New Roman" w:hAnsi="Times New Roman"/>
          <w:noProof/>
          <w:color w:val="000000" w:themeColor="text1"/>
          <w:sz w:val="24"/>
          <w:szCs w:val="24"/>
        </w:rPr>
        <w:t xml:space="preserve"> kako bi ga učinila učinkovitijim i razmotriti, na temelju procjene učinka, treba li predložiti sustav zaštite EU-a za </w:t>
      </w:r>
      <w:r>
        <w:rPr>
          <w:rFonts w:ascii="Times New Roman" w:hAnsi="Times New Roman"/>
          <w:b/>
          <w:bCs/>
          <w:noProof/>
          <w:color w:val="000000" w:themeColor="text1"/>
          <w:sz w:val="24"/>
          <w:szCs w:val="24"/>
        </w:rPr>
        <w:t>oznake zemljopisnog podrijetla za nepoljoprivredne proizvode</w:t>
      </w:r>
      <w:r>
        <w:rPr>
          <w:rFonts w:ascii="Times New Roman" w:hAnsi="Times New Roman"/>
          <w:noProof/>
          <w:color w:val="000000" w:themeColor="text1"/>
          <w:sz w:val="24"/>
          <w:szCs w:val="24"/>
        </w:rPr>
        <w:t xml:space="preserve"> (posljednje tromjesečje 2021.), </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hAnsi="Times New Roman"/>
          <w:noProof/>
          <w:color w:val="000000" w:themeColor="text1"/>
          <w:sz w:val="24"/>
          <w:szCs w:val="24"/>
        </w:rPr>
        <w:t xml:space="preserve">provesti evaluaciju </w:t>
      </w:r>
      <w:r>
        <w:rPr>
          <w:rFonts w:ascii="Times New Roman" w:hAnsi="Times New Roman"/>
          <w:b/>
          <w:noProof/>
          <w:color w:val="000000" w:themeColor="text1"/>
          <w:sz w:val="24"/>
          <w:szCs w:val="24"/>
        </w:rPr>
        <w:t>zakonodavstva o biljnim sortama</w:t>
      </w:r>
      <w:r>
        <w:rPr>
          <w:rFonts w:ascii="Times New Roman" w:hAnsi="Times New Roman"/>
          <w:noProof/>
          <w:color w:val="000000" w:themeColor="text1"/>
          <w:sz w:val="24"/>
          <w:szCs w:val="24"/>
        </w:rPr>
        <w:t xml:space="preserve"> (posljednje tromjesečje 2022.).</w:t>
      </w:r>
    </w:p>
    <w:p>
      <w:pPr>
        <w:pStyle w:val="ListParagraph"/>
        <w:numPr>
          <w:ilvl w:val="0"/>
          <w:numId w:val="7"/>
        </w:numPr>
        <w:spacing w:before="360" w:after="120" w:line="240" w:lineRule="auto"/>
        <w:ind w:left="357" w:hanging="357"/>
        <w:contextualSpacing w:val="0"/>
        <w:jc w:val="both"/>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 xml:space="preserve">Promicanje i učinkovita uporaba i primjena intelektualnog vlasništva, posebno u MSP-ovima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Pametne strategije intelektualnog vlasništva mogu biti katalizator rasta, no europski inovatori i stvaratelji često ne shvaćaju prednosti intelektualnog vlasništva, što uvelike smanjuje sposobnost EU-a da inovira i ojača svoju otpornost u najvažnijim područjima gospodarstva.</w:t>
      </w:r>
      <w:r>
        <w:rPr>
          <w:noProof/>
        </w:rPr>
        <w:t xml:space="preserve"> </w:t>
      </w:r>
      <w:r>
        <w:rPr>
          <w:rFonts w:ascii="Times New Roman" w:hAnsi="Times New Roman"/>
          <w:noProof/>
          <w:color w:val="000000" w:themeColor="text1"/>
          <w:sz w:val="24"/>
          <w:szCs w:val="24"/>
        </w:rPr>
        <w:t>Europa bi trebala iskoristiti vrijednost znanja koje naša poduzeća neprestano stvaraju, razvijaju i razmjenjuju tako da im pomogne</w:t>
      </w:r>
      <w:r>
        <w:rPr>
          <w:noProof/>
        </w:rPr>
        <w:t xml:space="preserve"> </w:t>
      </w:r>
      <w:r>
        <w:rPr>
          <w:rFonts w:ascii="Times New Roman" w:hAnsi="Times New Roman"/>
          <w:noProof/>
          <w:color w:val="000000" w:themeColor="text1"/>
          <w:sz w:val="24"/>
          <w:szCs w:val="24"/>
        </w:rPr>
        <w:t>aktivnije upravljati tom imovinom i olakša pristup vlasničkom kapitalu i financiranju.</w:t>
      </w:r>
    </w:p>
    <w:p>
      <w:pPr>
        <w:keepNext/>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Kako bi to postigla, Komisija će: </w:t>
      </w:r>
    </w:p>
    <w:p>
      <w:pPr>
        <w:numPr>
          <w:ilvl w:val="0"/>
          <w:numId w:val="45"/>
        </w:numPr>
        <w:spacing w:after="12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kratkoročno, zajedno s EUIPO-om, ponuditi financijsku potporu ili </w:t>
      </w:r>
      <w:r>
        <w:rPr>
          <w:rFonts w:ascii="Times New Roman" w:hAnsi="Times New Roman"/>
          <w:b/>
          <w:bCs/>
          <w:noProof/>
          <w:color w:val="000000" w:themeColor="text1"/>
          <w:sz w:val="24"/>
          <w:szCs w:val="24"/>
        </w:rPr>
        <w:t>vaučere za intelektualno vlasništvo</w:t>
      </w:r>
      <w:r>
        <w:rPr>
          <w:rFonts w:ascii="Times New Roman" w:hAnsi="Times New Roman"/>
          <w:noProof/>
          <w:color w:val="000000" w:themeColor="text1"/>
          <w:sz w:val="24"/>
          <w:szCs w:val="24"/>
        </w:rPr>
        <w:t xml:space="preserve"> za MSP-ove pogođene krizom uzrokovanom bolešću COVID-19 i tako im pomoći u upravljanu njihovim portfeljima intelektualnog vlasništva. Taj bi se program, s jednogodišnjim proračunom od 20 milijuna EUR</w:t>
      </w:r>
      <w:r>
        <w:rPr>
          <w:rStyle w:val="FootnoteReference"/>
          <w:rFonts w:ascii="Times New Roman" w:eastAsia="Times New Roman" w:hAnsi="Times New Roman" w:cs="Times New Roman"/>
          <w:noProof/>
          <w:color w:val="000000" w:themeColor="text1"/>
          <w:sz w:val="24"/>
          <w:szCs w:val="24"/>
          <w:lang w:val="en-US"/>
        </w:rPr>
        <w:footnoteReference w:id="52"/>
      </w:r>
      <w:r>
        <w:rPr>
          <w:rFonts w:ascii="Times New Roman" w:hAnsi="Times New Roman"/>
          <w:noProof/>
          <w:color w:val="000000" w:themeColor="text1"/>
          <w:sz w:val="24"/>
          <w:szCs w:val="24"/>
        </w:rPr>
        <w:t>, trebao pokrenuti 1. siječnja 2021., a obuhvaćat će djelomične povrate za registraciju žigova i dizajna te za ispitivanje intelektualnog vlasništva (stručan pregled nematerijalne imovine društva i početno savjetovanje o strateškom upravljanju tom imovinom).</w:t>
      </w:r>
      <w:r>
        <w:rPr>
          <w:rFonts w:ascii="Times New Roman" w:hAnsi="Times New Roman"/>
          <w:noProof/>
          <w:color w:val="000000" w:themeColor="text1"/>
          <w:sz w:val="24"/>
          <w:szCs w:val="24"/>
          <w:vertAlign w:val="superscript"/>
        </w:rPr>
        <w:t xml:space="preserve"> </w:t>
      </w:r>
    </w:p>
    <w:p>
      <w:pPr>
        <w:numPr>
          <w:ilvl w:val="0"/>
          <w:numId w:val="45"/>
        </w:numPr>
        <w:spacing w:after="120" w:line="240" w:lineRule="auto"/>
        <w:jc w:val="both"/>
        <w:rPr>
          <w:noProof/>
        </w:rPr>
      </w:pPr>
      <w:r>
        <w:rPr>
          <w:rFonts w:ascii="Times New Roman" w:hAnsi="Times New Roman"/>
          <w:noProof/>
          <w:color w:val="000000" w:themeColor="text1"/>
          <w:sz w:val="24"/>
        </w:rPr>
        <w:t>Istodobno će nastaviti davati prilagođene</w:t>
      </w:r>
      <w:r>
        <w:rPr>
          <w:rStyle w:val="FootnoteReference"/>
          <w:rFonts w:ascii="Times New Roman" w:eastAsiaTheme="majorEastAsia" w:hAnsi="Times New Roman" w:cs="Times New Roman"/>
          <w:noProof/>
          <w:color w:val="000000" w:themeColor="text1"/>
          <w:sz w:val="24"/>
          <w:szCs w:val="24"/>
        </w:rPr>
        <w:footnoteReference w:id="53"/>
      </w:r>
      <w:r>
        <w:rPr>
          <w:rFonts w:ascii="Times New Roman" w:hAnsi="Times New Roman"/>
          <w:noProof/>
          <w:color w:val="000000" w:themeColor="text1"/>
          <w:sz w:val="24"/>
        </w:rPr>
        <w:t xml:space="preserve"> </w:t>
      </w:r>
      <w:r>
        <w:rPr>
          <w:rFonts w:ascii="Times New Roman" w:hAnsi="Times New Roman"/>
          <w:b/>
          <w:bCs/>
          <w:noProof/>
          <w:color w:val="000000" w:themeColor="text1"/>
          <w:sz w:val="24"/>
        </w:rPr>
        <w:t>savjete o intelektualnom vlasništvu</w:t>
      </w:r>
      <w:r>
        <w:rPr>
          <w:rFonts w:ascii="Times New Roman" w:hAnsi="Times New Roman"/>
          <w:noProof/>
          <w:color w:val="000000" w:themeColor="text1"/>
          <w:sz w:val="24"/>
        </w:rPr>
        <w:t xml:space="preserve"> u okviru programa Obzor Europa, odnosno pomagati poduzećima u različitim fazama procesa istraživanja i inovacija.</w:t>
      </w:r>
      <w:r>
        <w:rPr>
          <w:rFonts w:ascii="Times New Roman" w:hAnsi="Times New Roman"/>
          <w:noProof/>
          <w:color w:val="000000" w:themeColor="text1"/>
          <w:sz w:val="24"/>
          <w:szCs w:val="24"/>
        </w:rPr>
        <w:t xml:space="preserve"> Usto će istražiti mogućnosti proširenja savjetovanja na druge EU-ove istraživačke i investicijske programe, uključujući savjetodavni centar u okviru programa InvestEU. Za odabranu skupinu vrlo inovativnih poduzeća Komisija će uz strateško savjetovanje osigurati i financijsku potporu kako bi ta poduzeća razvila portfelje intelektualnog vlasništva</w:t>
      </w:r>
      <w:r>
        <w:rPr>
          <w:rFonts w:ascii="Times New Roman" w:eastAsiaTheme="majorEastAsia" w:hAnsi="Times New Roman" w:cs="Times New Roman"/>
          <w:noProof/>
          <w:color w:val="000000" w:themeColor="text1"/>
          <w:sz w:val="24"/>
          <w:szCs w:val="24"/>
          <w:vertAlign w:val="superscript"/>
        </w:rPr>
        <w:footnoteReference w:id="54"/>
      </w:r>
      <w:r>
        <w:rPr>
          <w:rFonts w:ascii="Times New Roman" w:hAnsi="Times New Roman"/>
          <w:noProof/>
          <w:color w:val="000000" w:themeColor="text1"/>
          <w:sz w:val="24"/>
          <w:szCs w:val="24"/>
        </w:rPr>
        <w:t>.</w:t>
      </w:r>
    </w:p>
    <w:p>
      <w:pPr>
        <w:numPr>
          <w:ilvl w:val="0"/>
          <w:numId w:val="45"/>
        </w:num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U širem smislu, Komisija će, u suradnji s EUIPO-om, omogućiti centralizirani pristup informacijama i savjetima o intelektualnom vlasništvu</w:t>
      </w:r>
      <w:r>
        <w:rPr>
          <w:rFonts w:ascii="Times New Roman" w:eastAsia="Times New Roman" w:hAnsi="Times New Roman" w:cs="Times New Roman"/>
          <w:noProof/>
          <w:color w:val="000000" w:themeColor="text1"/>
          <w:sz w:val="24"/>
          <w:szCs w:val="24"/>
          <w:vertAlign w:val="superscript"/>
        </w:rPr>
        <w:footnoteReference w:id="55"/>
      </w:r>
      <w:r>
        <w:rPr>
          <w:rFonts w:ascii="Times New Roman" w:hAnsi="Times New Roman"/>
          <w:noProof/>
          <w:color w:val="000000" w:themeColor="text1"/>
          <w:sz w:val="24"/>
          <w:szCs w:val="24"/>
        </w:rPr>
        <w:t>. EUIPO</w:t>
      </w:r>
      <w:r>
        <w:rPr>
          <w:rFonts w:ascii="Times New Roman" w:eastAsia="Times New Roman" w:hAnsi="Times New Roman" w:cs="Times New Roman"/>
          <w:noProof/>
          <w:color w:val="000000" w:themeColor="text1"/>
          <w:sz w:val="24"/>
          <w:szCs w:val="24"/>
          <w:vertAlign w:val="superscript"/>
        </w:rPr>
        <w:footnoteReference w:id="56"/>
      </w:r>
      <w:r>
        <w:rPr>
          <w:rFonts w:ascii="Times New Roman" w:hAnsi="Times New Roman"/>
          <w:noProof/>
          <w:color w:val="000000" w:themeColor="text1"/>
          <w:sz w:val="24"/>
          <w:szCs w:val="24"/>
        </w:rPr>
        <w:t xml:space="preserve"> će razviti platformu, </w:t>
      </w:r>
      <w:r>
        <w:rPr>
          <w:rFonts w:ascii="Times New Roman" w:hAnsi="Times New Roman"/>
          <w:b/>
          <w:bCs/>
          <w:noProof/>
          <w:color w:val="000000" w:themeColor="text1"/>
          <w:sz w:val="24"/>
          <w:szCs w:val="24"/>
        </w:rPr>
        <w:t>Europski informacijski centar za intelektualno vlasništvo</w:t>
      </w:r>
      <w:r>
        <w:rPr>
          <w:rFonts w:ascii="Times New Roman" w:hAnsi="Times New Roman"/>
          <w:noProof/>
          <w:color w:val="000000" w:themeColor="text1"/>
          <w:sz w:val="24"/>
          <w:szCs w:val="24"/>
        </w:rPr>
        <w:t>, koja će biti povezana s jedinstvenim digitalnim pristupnikom i omogućiti pristup svim relevantnim informacijama o formalnostima povezanima s intelektualnim vlasništvom, no i povezanim uslugama (npr. o prijavi naziva domene, registraciji tvrtke poduzeća), kao i jednostavne sustave pohranjivanja za MSP-ove. Kako bi doprla do malih poduzeća, Komisija će također pružati potporu i savjetovanje u području intelektualnog vlasništva putem mreža za potporu MSP-ovima</w:t>
      </w:r>
      <w:r>
        <w:rPr>
          <w:rFonts w:ascii="Times New Roman" w:eastAsia="Times New Roman" w:hAnsi="Times New Roman" w:cs="Times New Roman"/>
          <w:noProof/>
          <w:color w:val="000000" w:themeColor="text1"/>
          <w:sz w:val="24"/>
          <w:szCs w:val="24"/>
          <w:vertAlign w:val="superscript"/>
        </w:rPr>
        <w:footnoteReference w:id="57"/>
      </w:r>
      <w:r>
        <w:rPr>
          <w:rFonts w:ascii="Times New Roman" w:hAnsi="Times New Roman"/>
          <w:noProof/>
          <w:color w:val="000000" w:themeColor="text1"/>
          <w:sz w:val="24"/>
          <w:szCs w:val="24"/>
        </w:rPr>
        <w:t>.</w:t>
      </w:r>
    </w:p>
    <w:p>
      <w:pPr>
        <w:numPr>
          <w:ilvl w:val="0"/>
          <w:numId w:val="45"/>
        </w:numPr>
        <w:spacing w:after="120" w:line="240" w:lineRule="auto"/>
        <w:jc w:val="both"/>
        <w:rPr>
          <w:noProof/>
        </w:rPr>
      </w:pPr>
      <w:r>
        <w:rPr>
          <w:rFonts w:ascii="Times New Roman" w:hAnsi="Times New Roman"/>
          <w:noProof/>
          <w:sz w:val="24"/>
          <w:szCs w:val="24"/>
        </w:rPr>
        <w:t xml:space="preserve">I na kraju, Komisija će MSP-ovima </w:t>
      </w:r>
      <w:r>
        <w:rPr>
          <w:rFonts w:ascii="Times New Roman" w:hAnsi="Times New Roman"/>
          <w:b/>
          <w:noProof/>
          <w:sz w:val="24"/>
          <w:szCs w:val="24"/>
        </w:rPr>
        <w:t>olakšati korištenje prednosti intelektualnog vlasništva za pristup financiranju</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Iako je nematerijalna imovina često među najvrjednijom imovinom, ispitivanje je pokazalo da tek mali broj MSP-ova iskoristi svoje intelektualno vlasništvo za pristup financiranju</w:t>
      </w:r>
      <w:r>
        <w:rPr>
          <w:rFonts w:ascii="Times New Roman" w:eastAsiaTheme="majorEastAsia" w:hAnsi="Times New Roman" w:cs="Times New Roman"/>
          <w:noProof/>
          <w:color w:val="000000" w:themeColor="text1"/>
          <w:sz w:val="24"/>
          <w:szCs w:val="24"/>
          <w:vertAlign w:val="superscript"/>
        </w:rPr>
        <w:footnoteReference w:id="58"/>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Banke i fondovi rizičnog kapitala nerado odobravaju financiranje na temelju intelektualnog vlasništva, a kriza uzrokovana bolešću COVID-19 dodatno je pojačala tu nesklonost riziku. Nedavna studija pokazala je da postoje očiti nedostaci u financiranju MSP-ova korištenjem njihove intelektualne imovine</w:t>
      </w:r>
      <w:r>
        <w:rPr>
          <w:rFonts w:ascii="Times New Roman" w:eastAsiaTheme="majorEastAsia" w:hAnsi="Times New Roman" w:cs="Times New Roman"/>
          <w:noProof/>
          <w:color w:val="000000" w:themeColor="text1"/>
          <w:sz w:val="24"/>
          <w:szCs w:val="24"/>
          <w:vertAlign w:val="superscript"/>
        </w:rPr>
        <w:footnoteReference w:id="59"/>
      </w:r>
      <w:r>
        <w:rPr>
          <w:rFonts w:ascii="Times New Roman" w:hAnsi="Times New Roman"/>
          <w:noProof/>
          <w:sz w:val="24"/>
          <w:szCs w:val="24"/>
        </w:rPr>
        <w:t>. Komisija će s financijskom zajednicom raspravljati o tome kako bi vrednovanje intelektualnog vlasništva moglo pomoći da se bolje iskoristi intelektualna imovina MSP-ova</w:t>
      </w:r>
      <w:r>
        <w:rPr>
          <w:rFonts w:ascii="Times New Roman" w:eastAsiaTheme="majorEastAsia" w:hAnsi="Times New Roman" w:cs="Times New Roman"/>
          <w:noProof/>
          <w:color w:val="000000" w:themeColor="text1"/>
          <w:sz w:val="24"/>
          <w:szCs w:val="24"/>
          <w:vertAlign w:val="superscript"/>
        </w:rPr>
        <w:footnoteReference w:id="60"/>
      </w:r>
      <w:r>
        <w:rPr>
          <w:rFonts w:ascii="Times New Roman" w:hAnsi="Times New Roman"/>
          <w:noProof/>
          <w:sz w:val="24"/>
          <w:szCs w:val="24"/>
        </w:rPr>
        <w:t>. Putem pilot-projekta „Tehnička dubinska analiza”, najavljenog u strategiji za MSP-ove, testirat će se evaluacija intelektualnog vlasništva u širem, tehnološkom kontekstu</w:t>
      </w:r>
      <w:r>
        <w:rPr>
          <w:rFonts w:ascii="Times New Roman" w:hAnsi="Times New Roman" w:cs="Times New Roman"/>
          <w:noProof/>
          <w:sz w:val="24"/>
          <w:szCs w:val="24"/>
          <w:vertAlign w:val="superscript"/>
        </w:rPr>
        <w:footnoteReference w:id="61"/>
      </w:r>
      <w:r>
        <w:rPr>
          <w:rFonts w:ascii="Times New Roman" w:hAnsi="Times New Roman"/>
          <w:noProof/>
          <w:sz w:val="24"/>
          <w:szCs w:val="24"/>
        </w:rPr>
        <w:t>. Na temelju iskustva s postojećim mehanizmima bankovnih jamstava</w:t>
      </w:r>
      <w:r>
        <w:rPr>
          <w:rFonts w:ascii="Times New Roman" w:eastAsiaTheme="majorEastAsia" w:hAnsi="Times New Roman" w:cs="Times New Roman"/>
          <w:noProof/>
          <w:color w:val="000000" w:themeColor="text1"/>
          <w:sz w:val="24"/>
          <w:szCs w:val="24"/>
          <w:vertAlign w:val="superscript"/>
        </w:rPr>
        <w:footnoteReference w:id="62"/>
      </w:r>
      <w:r>
        <w:rPr>
          <w:rFonts w:ascii="Times New Roman" w:hAnsi="Times New Roman"/>
          <w:noProof/>
          <w:sz w:val="24"/>
          <w:szCs w:val="24"/>
        </w:rPr>
        <w:t xml:space="preserve"> Komisija će istražiti kako bolje iskoristiti jamstva za potporu MSP-ovima i stvarateljima u projektima koji se temelje na intelektualnom vlasništvu.</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Uz aktivnosti usmjerene na MSP-ove, u komunikaciji Komisije „Novi EIP za istraživanje i inovacije”</w:t>
      </w:r>
      <w:r>
        <w:rPr>
          <w:rStyle w:val="FootnoteReference"/>
          <w:rFonts w:ascii="Times New Roman" w:hAnsi="Times New Roman"/>
          <w:noProof/>
          <w:color w:val="000000" w:themeColor="text1"/>
          <w:sz w:val="24"/>
        </w:rPr>
        <w:footnoteReference w:id="63"/>
      </w:r>
      <w:r>
        <w:rPr>
          <w:rFonts w:ascii="Times New Roman" w:hAnsi="Times New Roman"/>
          <w:noProof/>
          <w:sz w:val="24"/>
        </w:rPr>
        <w:t xml:space="preserve"> naglašena je i potreba za pretvaranjem rezultata vrhunskih europskih istraživanja u disruptivne inovacije i </w:t>
      </w:r>
      <w:r>
        <w:rPr>
          <w:rFonts w:ascii="Times New Roman" w:hAnsi="Times New Roman"/>
          <w:b/>
          <w:bCs/>
          <w:noProof/>
          <w:sz w:val="24"/>
        </w:rPr>
        <w:t>promicanjem boljeg upravljanja intelektualnim vlasništvom u široj istraživačko-inovacijskoj zajednici</w:t>
      </w:r>
      <w:r>
        <w:rPr>
          <w:rFonts w:ascii="Times New Roman" w:hAnsi="Times New Roman"/>
          <w:noProof/>
          <w:sz w:val="24"/>
        </w:rPr>
        <w:t>.</w:t>
      </w:r>
      <w:r>
        <w:rPr>
          <w:rFonts w:ascii="Times New Roman" w:hAnsi="Times New Roman"/>
          <w:noProof/>
          <w:color w:val="000000" w:themeColor="text1"/>
          <w:sz w:val="24"/>
          <w:szCs w:val="24"/>
        </w:rPr>
        <w:t xml:space="preserve"> Stoga će Komisija pokrenuti informativnu kampanju kako bi potaknula ulagače da valoriziraju intelektualno vlasništvo pri vrednovanju društava.</w:t>
      </w:r>
      <w:r>
        <w:rPr>
          <w:rFonts w:ascii="Times New Roman" w:hAnsi="Times New Roman"/>
          <w:b/>
          <w:noProof/>
          <w:color w:val="000000" w:themeColor="text1"/>
          <w:sz w:val="24"/>
        </w:rPr>
        <w:t xml:space="preserve"> </w:t>
      </w:r>
      <w:r>
        <w:rPr>
          <w:rFonts w:ascii="Times New Roman" w:hAnsi="Times New Roman"/>
          <w:noProof/>
          <w:sz w:val="24"/>
        </w:rPr>
        <w:t>Na primjer, Komisija će donijeti ažuriranu preporuku o upravljanju intelektualnim vlasništvom pri prijenosu znanja putem vodećih načela za valorizaciju znanja.</w:t>
      </w:r>
      <w:r>
        <w:rPr>
          <w:rFonts w:ascii="Times New Roman" w:hAnsi="Times New Roman"/>
          <w:noProof/>
          <w:sz w:val="24"/>
          <w:szCs w:val="24"/>
        </w:rPr>
        <w:t xml:space="preserve"> </w:t>
      </w:r>
      <w:r>
        <w:rPr>
          <w:rFonts w:ascii="Times New Roman" w:hAnsi="Times New Roman"/>
          <w:bCs/>
          <w:noProof/>
          <w:sz w:val="24"/>
          <w:szCs w:val="24"/>
        </w:rPr>
        <w:t>U okviru te revizije objavit će se kodeks prakse za pametnu uporabu intelektualnog vlasništva, a bit će dostupna i potpora iz programa InvestEU za nositelje projekata u obliku tehničkih, financijskih i pravnih savjeta, među ostalim i o intelektualnom vlasništvu.</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sz w:val="24"/>
          <w:szCs w:val="24"/>
        </w:rPr>
        <w:t xml:space="preserve">Poduzet će se i koraci kako bi se </w:t>
      </w:r>
      <w:r>
        <w:rPr>
          <w:rFonts w:ascii="Times New Roman" w:hAnsi="Times New Roman"/>
          <w:b/>
          <w:bCs/>
          <w:noProof/>
          <w:sz w:val="24"/>
          <w:szCs w:val="24"/>
        </w:rPr>
        <w:t>osigurala pravedna i učinkovita uporaba intelektualnog vlasništva koje se financira javnim sredstvima</w:t>
      </w:r>
      <w:r>
        <w:rPr>
          <w:rFonts w:ascii="Times New Roman" w:hAnsi="Times New Roman"/>
          <w:noProof/>
          <w:sz w:val="24"/>
          <w:szCs w:val="24"/>
        </w:rPr>
        <w:t>.</w:t>
      </w:r>
      <w:r>
        <w:rPr>
          <w:rFonts w:ascii="Times New Roman" w:hAnsi="Times New Roman"/>
          <w:noProof/>
          <w:color w:val="000000" w:themeColor="text1"/>
          <w:sz w:val="24"/>
          <w:szCs w:val="24"/>
        </w:rPr>
        <w:t xml:space="preserve"> Komisija je već pokrenula novu platformu za valorizaciju rezultata istraživanja i inovacija koje financira EU</w:t>
      </w:r>
      <w:r>
        <w:rPr>
          <w:rFonts w:ascii="Times New Roman" w:eastAsiaTheme="majorEastAsia" w:hAnsi="Times New Roman" w:cs="Times New Roman"/>
          <w:noProof/>
          <w:color w:val="000000" w:themeColor="text1"/>
          <w:sz w:val="24"/>
          <w:szCs w:val="24"/>
          <w:vertAlign w:val="superscript"/>
        </w:rPr>
        <w:footnoteReference w:id="64"/>
      </w:r>
      <w:r>
        <w:rPr>
          <w:rFonts w:ascii="Times New Roman" w:hAnsi="Times New Roman"/>
          <w:noProof/>
          <w:color w:val="000000" w:themeColor="text1"/>
          <w:sz w:val="24"/>
          <w:szCs w:val="24"/>
        </w:rPr>
        <w:t xml:space="preserve"> i platformu putem koje se predstavljaju istraživanja i inovacije koje podupire EU za borbu protiv širenja koronavirusa i pripravnost za druge epidemije</w:t>
      </w:r>
      <w:r>
        <w:rPr>
          <w:rFonts w:ascii="Times New Roman" w:eastAsiaTheme="majorEastAsia" w:hAnsi="Times New Roman" w:cs="Times New Roman"/>
          <w:noProof/>
          <w:color w:val="000000" w:themeColor="text1"/>
          <w:sz w:val="24"/>
          <w:szCs w:val="24"/>
          <w:vertAlign w:val="superscript"/>
          <w:lang w:val="en-US"/>
        </w:rPr>
        <w:footnoteReference w:id="65"/>
      </w:r>
      <w:r>
        <w:rPr>
          <w:rFonts w:ascii="Times New Roman" w:hAnsi="Times New Roman"/>
          <w:noProof/>
          <w:color w:val="000000" w:themeColor="text1"/>
          <w:sz w:val="24"/>
          <w:szCs w:val="24"/>
        </w:rPr>
        <w:t xml:space="preserve">. Na taj način želi postići da se </w:t>
      </w:r>
      <w:r>
        <w:rPr>
          <w:rFonts w:ascii="Times New Roman" w:hAnsi="Times New Roman"/>
          <w:b/>
          <w:noProof/>
          <w:color w:val="000000" w:themeColor="text1"/>
          <w:sz w:val="24"/>
          <w:szCs w:val="24"/>
        </w:rPr>
        <w:t>rezultati ostvareni uporabom sredstava EU-a iskoriste za dobrobit gospodarstva EU-a</w:t>
      </w:r>
      <w:r>
        <w:rPr>
          <w:rFonts w:ascii="Times New Roman" w:hAnsi="Times New Roman"/>
          <w:noProof/>
          <w:color w:val="000000" w:themeColor="text1"/>
          <w:sz w:val="24"/>
          <w:szCs w:val="24"/>
        </w:rPr>
        <w:t>. Stoga će podnositelji zahtjeva u programu Obzor Europa, ako će se intelektualno vlasništvo u okviru rezultata istraživanja upotrebljavati prvenstveno u nepridruženim trećim zemljama, morati objasniti zašto je to u interesu EU-a</w:t>
      </w:r>
      <w:r>
        <w:rPr>
          <w:rStyle w:val="FootnoteReference"/>
          <w:rFonts w:ascii="Times New Roman" w:eastAsiaTheme="majorEastAsia" w:hAnsi="Times New Roman" w:cs="Times New Roman"/>
          <w:noProof/>
          <w:color w:val="000000" w:themeColor="text1"/>
          <w:sz w:val="24"/>
          <w:szCs w:val="24"/>
        </w:rPr>
        <w:footnoteReference w:id="66"/>
      </w:r>
      <w:r>
        <w:rPr>
          <w:rFonts w:ascii="Times New Roman" w:hAnsi="Times New Roman"/>
          <w:noProof/>
          <w:color w:val="000000" w:themeColor="text1"/>
          <w:sz w:val="24"/>
          <w:szCs w:val="24"/>
        </w:rPr>
        <w:t xml:space="preserve">. </w:t>
      </w:r>
    </w:p>
    <w:p>
      <w:pPr>
        <w:spacing w:before="120"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Usto, zaštita intelektualnog vlasništva i širenje novih tehnologija i dalje će biti središnji element važnih projekata od zajedničkog europskog interesa (IPCEI) povezanih s istraživanjem i inovacijama te financiranja u okviru Europskog fonda za regionalni razvoj.</w:t>
      </w:r>
    </w:p>
    <w:p>
      <w:pPr>
        <w:spacing w:before="120" w:after="24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Osim toga, potrebno je i </w:t>
      </w:r>
      <w:r>
        <w:rPr>
          <w:rFonts w:ascii="Times New Roman" w:hAnsi="Times New Roman"/>
          <w:b/>
          <w:bCs/>
          <w:noProof/>
          <w:color w:val="000000" w:themeColor="text1"/>
          <w:sz w:val="24"/>
          <w:szCs w:val="24"/>
        </w:rPr>
        <w:t>poboljšati uvjete za poduzeća u području zaštite i uporabe intelektualnog vlasništva u javnoj nabavi</w:t>
      </w:r>
      <w:r>
        <w:rPr>
          <w:rFonts w:ascii="Times New Roman" w:hAnsi="Times New Roman"/>
          <w:noProof/>
          <w:color w:val="000000" w:themeColor="text1"/>
          <w:sz w:val="24"/>
          <w:szCs w:val="24"/>
        </w:rPr>
        <w:t xml:space="preserve"> kako bi se potaknule inovacije i gospodarstvo. Države članice trebale bi razmotriti mogućnost prepuštanja intelektualnog vlasništva izvođačima, ako je to prikladno, osim ako postoje prevladavajući javni interesi ili nekompatibilne strategije za otvorene dozvole. Kako je najavljeno u strategiji za MSP-ove, Komisija će u ažuriranim smjernicama o javnoj nabavi inovativnih rješenja pojasniti pitanja povezana s intelektualnim vlasništvom u javnoj nabavi.</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heme="majorEastAsia" w:hAnsi="Times New Roman" w:cs="Times New Roman"/>
          <w:b/>
          <w:bCs/>
          <w:noProof/>
          <w:color w:val="000000" w:themeColor="text1"/>
          <w:sz w:val="24"/>
          <w:szCs w:val="24"/>
        </w:rPr>
      </w:pPr>
      <w:r>
        <w:rPr>
          <w:rFonts w:ascii="Times New Roman" w:hAnsi="Times New Roman"/>
          <w:b/>
          <w:bCs/>
          <w:noProof/>
          <w:color w:val="000000" w:themeColor="text1"/>
          <w:sz w:val="24"/>
          <w:szCs w:val="24"/>
        </w:rPr>
        <w:t>Kako bi se povećala primjena i uporaba intelektualnog vlasništva, Komisija će:</w:t>
      </w:r>
    </w:p>
    <w:p>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zajedno s EUIPO-om razviti program financiranja registracije prava intelektualnog vlasništva i strateškog savjetovanja o intelektualnom vlasništvu putem </w:t>
      </w:r>
      <w:r>
        <w:rPr>
          <w:rFonts w:ascii="Times New Roman" w:hAnsi="Times New Roman"/>
          <w:b/>
          <w:bCs/>
          <w:noProof/>
          <w:color w:val="000000" w:themeColor="text1"/>
          <w:sz w:val="24"/>
          <w:szCs w:val="24"/>
        </w:rPr>
        <w:t>vaučera za intelektualno vlasništvo za MSP-ove</w:t>
      </w:r>
      <w:r>
        <w:rPr>
          <w:rFonts w:ascii="Times New Roman" w:hAnsi="Times New Roman"/>
          <w:noProof/>
          <w:color w:val="000000" w:themeColor="text1"/>
          <w:sz w:val="24"/>
          <w:szCs w:val="24"/>
        </w:rPr>
        <w:t xml:space="preserve"> (prvo tromjesečje 2021.),</w:t>
      </w:r>
    </w:p>
    <w:p>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rPr>
      </w:pPr>
      <w:r>
        <w:rPr>
          <w:rFonts w:ascii="Times New Roman" w:hAnsi="Times New Roman"/>
          <w:b/>
          <w:noProof/>
          <w:color w:val="000000" w:themeColor="text1"/>
          <w:sz w:val="24"/>
        </w:rPr>
        <w:t>uvesti usluge pomoći u području intelektualnog vlasništva za MSP-ove</w:t>
      </w:r>
      <w:r>
        <w:rPr>
          <w:rFonts w:ascii="Times New Roman" w:hAnsi="Times New Roman"/>
          <w:noProof/>
          <w:color w:val="000000" w:themeColor="text1"/>
          <w:sz w:val="24"/>
        </w:rPr>
        <w:t xml:space="preserve"> u okviru programa Obzor i proširiti ih na druge programe EU-a (2020. i kasnije).</w:t>
      </w:r>
    </w:p>
    <w:p>
      <w:pPr>
        <w:pStyle w:val="Heading2"/>
        <w:numPr>
          <w:ilvl w:val="0"/>
          <w:numId w:val="7"/>
        </w:numPr>
        <w:spacing w:before="360" w:after="240" w:line="240" w:lineRule="auto"/>
        <w:ind w:left="357" w:hanging="357"/>
        <w:jc w:val="both"/>
        <w:rPr>
          <w:rFonts w:ascii="Times New Roman" w:eastAsia="Times New Roman" w:hAnsi="Times New Roman" w:cs="Times New Roman"/>
          <w:b/>
          <w:bCs/>
          <w:smallCaps/>
          <w:noProof/>
          <w:color w:val="000000" w:themeColor="text1"/>
          <w:sz w:val="24"/>
          <w:szCs w:val="24"/>
        </w:rPr>
      </w:pPr>
      <w:r>
        <w:rPr>
          <w:rFonts w:ascii="Times New Roman" w:hAnsi="Times New Roman"/>
          <w:b/>
          <w:bCs/>
          <w:smallCaps/>
          <w:noProof/>
          <w:color w:val="000000" w:themeColor="text1"/>
          <w:sz w:val="24"/>
          <w:szCs w:val="24"/>
        </w:rPr>
        <w:t>Lakši pristup imovini zaštićenoj pravom intelektualnog vlasništva i njezina razmjena</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U današnjem gospodarstvu iznimno je važan lakši i brži pristup znanju, podacima i tehnologijama, uključujući one zaštićene pravom intelektualnog vlasništva. Otpornom, zelenom</w:t>
      </w:r>
      <w:r>
        <w:rPr>
          <w:rStyle w:val="FootnoteReference"/>
          <w:rFonts w:ascii="Times New Roman" w:eastAsiaTheme="majorEastAsia" w:hAnsi="Times New Roman" w:cs="Times New Roman"/>
          <w:noProof/>
          <w:color w:val="000000" w:themeColor="text1"/>
          <w:sz w:val="24"/>
          <w:szCs w:val="24"/>
        </w:rPr>
        <w:footnoteReference w:id="67"/>
      </w:r>
      <w:r>
        <w:rPr>
          <w:rFonts w:ascii="Times New Roman" w:hAnsi="Times New Roman"/>
          <w:noProof/>
          <w:color w:val="000000" w:themeColor="text1"/>
          <w:sz w:val="24"/>
          <w:szCs w:val="24"/>
        </w:rPr>
        <w:t xml:space="preserve"> i konkurentnom gospodarstvu potrebni su alati za lakši pristup kritičnim tehnologijama zaštićenima pravom intelektualnog vlasništva u kriznim vremenima, lakše licenciranje autorskih prava i patenata bitnih za normu te promicanje razmjene podataka. </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Bolji alati za lakši pristup kritičnom intelektualnom vlasništvu u kriznim vremenima</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b/>
          <w:noProof/>
          <w:sz w:val="24"/>
          <w:szCs w:val="24"/>
        </w:rPr>
        <w:t>Kriza nastala zbog pandemije bolesti COVID-19</w:t>
      </w:r>
      <w:r>
        <w:rPr>
          <w:rFonts w:ascii="Times New Roman" w:hAnsi="Times New Roman"/>
          <w:noProof/>
          <w:sz w:val="24"/>
          <w:szCs w:val="24"/>
        </w:rPr>
        <w:t xml:space="preserve"> pokazala je koliko je važan učinkovit sustav intelektualnog vlasništva koji nudi snažan poticaj za inovacije i jednostavan pristup intelektualnom vlasništvu za tehnologije.</w:t>
      </w:r>
      <w:r>
        <w:rPr>
          <w:rFonts w:ascii="Times New Roman" w:hAnsi="Times New Roman"/>
          <w:noProof/>
          <w:color w:val="000000"/>
          <w:sz w:val="24"/>
          <w:szCs w:val="24"/>
        </w:rPr>
        <w:t xml:space="preserve"> </w:t>
      </w:r>
      <w:r>
        <w:rPr>
          <w:rFonts w:ascii="Times New Roman" w:hAnsi="Times New Roman"/>
          <w:noProof/>
          <w:color w:val="000000" w:themeColor="text1"/>
          <w:sz w:val="24"/>
          <w:szCs w:val="24"/>
        </w:rPr>
        <w:t xml:space="preserve">Financiranje istraživanja i razvoja te poticaji potrebni su za brz razvoj i dostupnost novih tehnologija, kao što su cjepiva ili nove terapije. Stoga moramo osigurati bolje alate kako bi sustav intelektualnog vlasništva dopuštao pristup kritičnim tehnologijama kad i gdje je to potrebno, a istodobno inovatorima omogućio odgovarajući povrat ulaganja. </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Trenutačna </w:t>
      </w:r>
      <w:r>
        <w:rPr>
          <w:rFonts w:ascii="Times New Roman" w:hAnsi="Times New Roman"/>
          <w:b/>
          <w:bCs/>
          <w:noProof/>
          <w:color w:val="000000" w:themeColor="text1"/>
          <w:sz w:val="24"/>
          <w:szCs w:val="24"/>
        </w:rPr>
        <w:t>zdravstvena kriza pokazala je da je naš sustav intelektualnog vlasništva otporan</w:t>
      </w:r>
      <w:r>
        <w:rPr>
          <w:rFonts w:ascii="Times New Roman" w:hAnsi="Times New Roman"/>
          <w:noProof/>
          <w:color w:val="000000" w:themeColor="text1"/>
          <w:sz w:val="24"/>
          <w:szCs w:val="24"/>
        </w:rPr>
        <w:t xml:space="preserve">. Razlog tomu uvelike su snažan angažman i suradnja javnih i privatnih aktera te inicijative za unapređenje razvoja i dostupnosti cjepiva i drugih kritičnih zaliha. </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themeColor="text1"/>
          <w:sz w:val="24"/>
          <w:szCs w:val="24"/>
        </w:rPr>
        <w:t>Komisija podupire dobrovoljno udruživanje i licenciranje intelektualnog vlasništva povezanog s terapeuticima i cjepivima protiv bolesti COVID-19</w:t>
      </w:r>
      <w:r>
        <w:rPr>
          <w:rStyle w:val="FootnoteReference"/>
          <w:rFonts w:ascii="Times New Roman" w:eastAsiaTheme="majorEastAsia" w:hAnsi="Times New Roman" w:cs="Times New Roman"/>
          <w:noProof/>
          <w:color w:val="000000" w:themeColor="text1"/>
          <w:sz w:val="24"/>
          <w:szCs w:val="24"/>
        </w:rPr>
        <w:footnoteReference w:id="68"/>
      </w:r>
      <w:r>
        <w:rPr>
          <w:rFonts w:ascii="Times New Roman" w:hAnsi="Times New Roman"/>
          <w:noProof/>
          <w:color w:val="000000" w:themeColor="text1"/>
          <w:sz w:val="24"/>
          <w:szCs w:val="24"/>
        </w:rPr>
        <w:t>, u skladu s rezolucijom Svjetske zdravstvene skupštine</w:t>
      </w:r>
      <w:r>
        <w:rPr>
          <w:rStyle w:val="FootnoteReference"/>
          <w:rFonts w:ascii="Times New Roman" w:eastAsiaTheme="majorEastAsia" w:hAnsi="Times New Roman" w:cs="Times New Roman"/>
          <w:noProof/>
          <w:color w:val="000000" w:themeColor="text1"/>
          <w:sz w:val="24"/>
          <w:szCs w:val="24"/>
        </w:rPr>
        <w:footnoteReference w:id="69"/>
      </w:r>
      <w:r>
        <w:rPr>
          <w:rFonts w:ascii="Times New Roman" w:hAnsi="Times New Roman"/>
          <w:noProof/>
          <w:color w:val="000000" w:themeColor="text1"/>
          <w:sz w:val="24"/>
          <w:szCs w:val="24"/>
        </w:rPr>
        <w:t>.</w:t>
      </w:r>
      <w:r>
        <w:rPr>
          <w:rFonts w:ascii="Times New Roman" w:hAnsi="Times New Roman"/>
          <w:noProof/>
          <w:color w:val="000000"/>
          <w:sz w:val="24"/>
          <w:szCs w:val="24"/>
        </w:rPr>
        <w:t xml:space="preserve"> Takvi bi se programi trebali temeljiti na dobrovoljnom sudjelovanju, svima osigurati jednak pristup te omogućiti nositeljima intelektualnog vlasništva uravnotežen povrat ulaganja. </w:t>
      </w:r>
      <w:r>
        <w:rPr>
          <w:rFonts w:ascii="Times New Roman" w:hAnsi="Times New Roman"/>
          <w:noProof/>
          <w:color w:val="000000"/>
          <w:sz w:val="24"/>
        </w:rPr>
        <w:t>Komisija je poduzela korake i za promicanje suradnje u privatnom sektoru kako bi se učinkovito rješavali problemi nestašice kritičnih proizvoda i usluga</w:t>
      </w:r>
      <w:r>
        <w:rPr>
          <w:rStyle w:val="FootnoteReference"/>
          <w:rFonts w:ascii="Times New Roman" w:hAnsi="Times New Roman"/>
          <w:noProof/>
          <w:color w:val="000000"/>
          <w:sz w:val="24"/>
          <w:lang w:val="en-US"/>
        </w:rPr>
        <w:footnoteReference w:id="70"/>
      </w:r>
      <w:r>
        <w:rPr>
          <w:rFonts w:ascii="Times New Roman" w:hAnsi="Times New Roman"/>
          <w:noProof/>
          <w:color w:val="000000"/>
          <w:sz w:val="24"/>
        </w:rPr>
        <w:t xml:space="preserve"> te osigurala dostupnost rezultata programa istraživanja i razvoja koji se financiraju iz javnih sredstava u EU-u i državama članica, posebno kad je to potrebno za povećanje proizvodnje neophodnih materijala</w:t>
      </w:r>
      <w:r>
        <w:rPr>
          <w:rStyle w:val="FootnoteReference"/>
          <w:rFonts w:ascii="Times New Roman" w:hAnsi="Times New Roman"/>
          <w:noProof/>
          <w:color w:val="000000"/>
          <w:sz w:val="24"/>
          <w:szCs w:val="24"/>
          <w:lang w:val="en-US"/>
        </w:rPr>
        <w:footnoteReference w:id="71"/>
      </w:r>
      <w:r>
        <w:rPr>
          <w:rFonts w:ascii="Times New Roman" w:hAnsi="Times New Roman"/>
          <w:noProof/>
          <w:color w:val="000000"/>
          <w:sz w:val="24"/>
        </w:rPr>
        <w:t>.</w:t>
      </w:r>
      <w:r>
        <w:rPr>
          <w:rFonts w:ascii="Times New Roman" w:hAnsi="Times New Roman"/>
          <w:noProof/>
          <w:color w:val="000000"/>
          <w:sz w:val="24"/>
          <w:szCs w:val="24"/>
        </w:rPr>
        <w:t xml:space="preserve"> </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Komisija smatra da će u budućnosti, međutim, biti potrebni bolji </w:t>
      </w:r>
      <w:r>
        <w:rPr>
          <w:rFonts w:ascii="Times New Roman" w:hAnsi="Times New Roman"/>
          <w:b/>
          <w:bCs/>
          <w:noProof/>
          <w:color w:val="000000"/>
          <w:sz w:val="24"/>
          <w:szCs w:val="24"/>
        </w:rPr>
        <w:t>alati</w:t>
      </w:r>
      <w:r>
        <w:rPr>
          <w:rFonts w:ascii="Times New Roman" w:hAnsi="Times New Roman"/>
          <w:noProof/>
          <w:color w:val="000000"/>
          <w:sz w:val="24"/>
          <w:szCs w:val="24"/>
        </w:rPr>
        <w:t xml:space="preserve"> za </w:t>
      </w:r>
      <w:r>
        <w:rPr>
          <w:rFonts w:ascii="Times New Roman" w:hAnsi="Times New Roman"/>
          <w:b/>
          <w:bCs/>
          <w:noProof/>
          <w:color w:val="000000"/>
          <w:sz w:val="24"/>
          <w:szCs w:val="24"/>
        </w:rPr>
        <w:t>rješavanje kriznih situacija</w:t>
      </w:r>
      <w:r>
        <w:rPr>
          <w:rFonts w:ascii="Times New Roman" w:hAnsi="Times New Roman"/>
          <w:noProof/>
          <w:color w:val="000000"/>
          <w:sz w:val="24"/>
          <w:szCs w:val="24"/>
        </w:rPr>
        <w:t xml:space="preserve">. </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Traži način za poticanje </w:t>
      </w:r>
      <w:r>
        <w:rPr>
          <w:rFonts w:ascii="Times New Roman" w:hAnsi="Times New Roman"/>
          <w:b/>
          <w:bCs/>
          <w:noProof/>
          <w:color w:val="000000"/>
          <w:sz w:val="24"/>
          <w:szCs w:val="24"/>
        </w:rPr>
        <w:t>brzog udruživanja kritičnog intelektualnog vlasništva u krizi</w:t>
      </w:r>
      <w:r>
        <w:rPr>
          <w:rFonts w:ascii="Times New Roman" w:hAnsi="Times New Roman"/>
          <w:noProof/>
          <w:color w:val="000000"/>
          <w:sz w:val="24"/>
          <w:szCs w:val="24"/>
        </w:rPr>
        <w:t>, primjerice putem novih sustava licenciranja kako bi kritično intelektualno vlasništvo postalo privremeno dostupno kontroliranim putem i tako se omogućilo brzo povećanje proizvodnje proizvoda zaštićenih pravom intelektualnog vlasništva, među ostalim prenamjenom proizvodnje.</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Konačno, Komisija smatra da je potrebno osigurati uspostavu </w:t>
      </w:r>
      <w:r>
        <w:rPr>
          <w:rFonts w:ascii="Times New Roman" w:hAnsi="Times New Roman"/>
          <w:b/>
          <w:bCs/>
          <w:noProof/>
          <w:color w:val="000000"/>
          <w:sz w:val="24"/>
          <w:szCs w:val="24"/>
        </w:rPr>
        <w:t>učinkovitih sustava za izdavanje prisilnih licencija</w:t>
      </w:r>
      <w:r>
        <w:rPr>
          <w:rFonts w:ascii="Times New Roman" w:hAnsi="Times New Roman"/>
          <w:noProof/>
          <w:color w:val="000000"/>
          <w:sz w:val="24"/>
          <w:szCs w:val="24"/>
        </w:rPr>
        <w:t xml:space="preserve"> koji bi se upotrebljavali </w:t>
      </w:r>
      <w:r>
        <w:rPr>
          <w:rFonts w:ascii="Times New Roman" w:hAnsi="Times New Roman"/>
          <w:b/>
          <w:bCs/>
          <w:noProof/>
          <w:color w:val="000000"/>
          <w:sz w:val="24"/>
          <w:szCs w:val="24"/>
        </w:rPr>
        <w:t>u krajnjoj nuždi</w:t>
      </w:r>
      <w:r>
        <w:rPr>
          <w:rFonts w:ascii="Times New Roman" w:hAnsi="Times New Roman"/>
          <w:noProof/>
          <w:color w:val="000000"/>
          <w:sz w:val="24"/>
          <w:szCs w:val="24"/>
        </w:rPr>
        <w:t xml:space="preserve"> i kao sigurnosna mjera kada drugi načini osiguravanja dostupnosti intelektualnog vlasništva ne uspiju. Sporazum o trgovinskim aspektima prava intelektualnog vlasništva (TRIPS) Svjetske trgovinske organizacije omogućuje izdavanje prisilnih licencija pod navedenim uvjetima, npr. ako državno tijelo osobi koja se želi koristiti patentiranim izumom to dopusti bez privole vlasnika patenta. Taj se postupak može ubrzati u slučaju izvanrednog stanja u nekoj državi. Uzimajući u obzir i Deklaraciju iz Dohe o Sporazumu o trgovinskim aspektima prava intelektualnoga vlasništva i javnom zdravlju, jasno je da svaka članica Svjetske trgovinske organizacije nema samo pravo izdavati prisilne licencije, nego ima i slobodu odrediti na kojem temelju se one izdaju.</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sz w:val="24"/>
          <w:szCs w:val="24"/>
        </w:rPr>
        <w:t>U Europi je prisilno licenciranje uglavnom uređeno nacionalnim pravom</w:t>
      </w:r>
      <w:r>
        <w:rPr>
          <w:rStyle w:val="FootnoteReference"/>
          <w:rFonts w:ascii="Times New Roman" w:hAnsi="Times New Roman"/>
          <w:noProof/>
          <w:color w:val="000000"/>
          <w:sz w:val="24"/>
          <w:szCs w:val="24"/>
          <w:lang w:val="en-US"/>
        </w:rPr>
        <w:footnoteReference w:id="72"/>
      </w:r>
      <w:r>
        <w:rPr>
          <w:rFonts w:ascii="Times New Roman" w:hAnsi="Times New Roman"/>
          <w:noProof/>
          <w:color w:val="000000"/>
          <w:sz w:val="24"/>
          <w:szCs w:val="24"/>
        </w:rPr>
        <w:t xml:space="preserve">. Komisija poziva države članice da osiguraju što veću učinkovitost alata, primjerice tako da uspostave postupke za ubrzano izdavanje prisilnih licencija u hitnim situacijama. Isto tako, smatra da je potrebna snažnija koordinacija u tom području kako bi se izbjeglo narušavanje inovacija i trgovine. </w:t>
      </w:r>
      <w:r>
        <w:rPr>
          <w:rFonts w:ascii="Times New Roman" w:hAnsi="Times New Roman"/>
          <w:b/>
          <w:bCs/>
          <w:noProof/>
          <w:color w:val="000000"/>
          <w:sz w:val="24"/>
          <w:szCs w:val="24"/>
        </w:rPr>
        <w:t>Pravovremena koordinacija i razmjena informacija</w:t>
      </w:r>
      <w:r>
        <w:rPr>
          <w:rFonts w:ascii="Times New Roman" w:hAnsi="Times New Roman"/>
          <w:noProof/>
          <w:color w:val="000000"/>
          <w:sz w:val="24"/>
          <w:szCs w:val="24"/>
        </w:rPr>
        <w:t xml:space="preserve"> među državama članicama, na primjer o trajanju i naknadama za te licencije, trebala bi omogućiti da se ostvare maksimalne pogodnosti, a istodobno izbjegne prekomjerno narušavanje. Komisija će zajedno s državama članicama istražiti mogućnost uspostave mehanizma za koordinaciju u hitnim slučajevima koji se može pokrenuti u kratkom roku kada države članice razmatraju izdavanje prisilne licencije.</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Bolja transparentnost za lakše licenciranje intelektualnog vlasništva, posebice u pogledu autorskih prava</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Kako bi se olakšalo licenciranje i razmjena intelektualnog vlasništva, potrebna je </w:t>
      </w:r>
      <w:r>
        <w:rPr>
          <w:rFonts w:ascii="Times New Roman" w:hAnsi="Times New Roman"/>
          <w:b/>
          <w:bCs/>
          <w:noProof/>
          <w:color w:val="000000" w:themeColor="text1"/>
          <w:sz w:val="24"/>
          <w:szCs w:val="24"/>
        </w:rPr>
        <w:t>veća transparentnost u pogledu vlasništva i upravljanja</w:t>
      </w:r>
      <w:r>
        <w:rPr>
          <w:rFonts w:ascii="Times New Roman" w:hAnsi="Times New Roman"/>
          <w:noProof/>
          <w:color w:val="000000" w:themeColor="text1"/>
          <w:sz w:val="24"/>
          <w:szCs w:val="24"/>
        </w:rPr>
        <w:t xml:space="preserve"> za sve vrste intelektualnog vlasništva. U području patenata znatan će se napredak postići uvođenjem jedinstvenog patenta. </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U postizanju veće transparentnosti i boljeg upravljanja pravima, posebice u području </w:t>
      </w:r>
      <w:r>
        <w:rPr>
          <w:rFonts w:ascii="Times New Roman" w:hAnsi="Times New Roman"/>
          <w:b/>
          <w:bCs/>
          <w:noProof/>
          <w:color w:val="000000" w:themeColor="text1"/>
          <w:sz w:val="24"/>
          <w:szCs w:val="24"/>
        </w:rPr>
        <w:t>autorskih prava</w:t>
      </w:r>
      <w:r>
        <w:rPr>
          <w:rFonts w:ascii="Times New Roman" w:hAnsi="Times New Roman"/>
          <w:noProof/>
          <w:color w:val="000000" w:themeColor="text1"/>
          <w:sz w:val="24"/>
          <w:szCs w:val="24"/>
        </w:rPr>
        <w:t xml:space="preserve"> i poboljšane identifikacije nositelja prava, mogla bi pomoći i </w:t>
      </w:r>
      <w:r>
        <w:rPr>
          <w:rFonts w:ascii="Times New Roman" w:hAnsi="Times New Roman"/>
          <w:b/>
          <w:bCs/>
          <w:noProof/>
          <w:color w:val="000000" w:themeColor="text1"/>
          <w:sz w:val="24"/>
          <w:szCs w:val="24"/>
        </w:rPr>
        <w:t>uporaba visokokvalitetnih metapodataka i novih tehnologija</w:t>
      </w:r>
      <w:r>
        <w:rPr>
          <w:rFonts w:ascii="Times New Roman" w:hAnsi="Times New Roman"/>
          <w:noProof/>
          <w:color w:val="000000" w:themeColor="text1"/>
          <w:sz w:val="24"/>
          <w:szCs w:val="24"/>
        </w:rPr>
        <w:t>, kao što je lanac blokova</w:t>
      </w:r>
      <w:r>
        <w:rPr>
          <w:rStyle w:val="FootnoteReference"/>
          <w:rFonts w:ascii="Times New Roman" w:eastAsiaTheme="majorEastAsia" w:hAnsi="Times New Roman" w:cs="Times New Roman"/>
          <w:noProof/>
          <w:color w:val="000000" w:themeColor="text1"/>
          <w:sz w:val="24"/>
          <w:szCs w:val="24"/>
        </w:rPr>
        <w:footnoteReference w:id="73"/>
      </w:r>
      <w:r>
        <w:rPr>
          <w:rFonts w:ascii="Times New Roman" w:hAnsi="Times New Roman"/>
          <w:noProof/>
          <w:color w:val="000000" w:themeColor="text1"/>
          <w:sz w:val="24"/>
          <w:szCs w:val="24"/>
        </w:rPr>
        <w:t>.</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Komisija pokreće studiju o autorskim pravima i novim tehnologijama čija će glavna tema biti upravljanje podacima o autorskim pravima i umjetna inteligencija, a rezultati bi trebali biti objavljeni 2021. Komisija će nastaviti suradnju s relevantnim dionicima radi promicanja kvalitete podataka o autorskim pravima i postizanja funkcionalne „</w:t>
      </w:r>
      <w:r>
        <w:rPr>
          <w:rFonts w:ascii="Times New Roman" w:hAnsi="Times New Roman"/>
          <w:b/>
          <w:bCs/>
          <w:noProof/>
          <w:color w:val="000000" w:themeColor="text1"/>
          <w:sz w:val="24"/>
          <w:szCs w:val="24"/>
        </w:rPr>
        <w:t>autorskopravne infrastrukture</w:t>
      </w:r>
      <w:r>
        <w:rPr>
          <w:rFonts w:ascii="Times New Roman" w:hAnsi="Times New Roman"/>
          <w:noProof/>
          <w:color w:val="000000" w:themeColor="text1"/>
          <w:sz w:val="24"/>
          <w:szCs w:val="24"/>
        </w:rPr>
        <w:t>”</w:t>
      </w:r>
      <w:r>
        <w:rPr>
          <w:rStyle w:val="FootnoteReference"/>
          <w:rFonts w:ascii="Times New Roman" w:eastAsiaTheme="majorEastAsia" w:hAnsi="Times New Roman" w:cs="Times New Roman"/>
          <w:noProof/>
          <w:color w:val="000000" w:themeColor="text1"/>
          <w:sz w:val="24"/>
          <w:szCs w:val="24"/>
        </w:rPr>
        <w:footnoteReference w:id="74"/>
      </w:r>
      <w:r>
        <w:rPr>
          <w:rFonts w:ascii="Times New Roman" w:hAnsi="Times New Roman"/>
          <w:noProof/>
          <w:color w:val="000000" w:themeColor="text1"/>
          <w:sz w:val="24"/>
          <w:szCs w:val="24"/>
        </w:rPr>
        <w:t xml:space="preserve"> (npr. vjerodostojne i ažurne informacije o nositeljima prava, općim uvjetima i mogućnostima licenciranja)</w:t>
      </w:r>
      <w:r>
        <w:rPr>
          <w:rFonts w:ascii="Times New Roman" w:eastAsiaTheme="majorEastAsia" w:hAnsi="Times New Roman" w:cs="Times New Roman"/>
          <w:noProof/>
          <w:color w:val="000000" w:themeColor="text1"/>
          <w:sz w:val="24"/>
          <w:szCs w:val="24"/>
          <w:vertAlign w:val="superscript"/>
        </w:rPr>
        <w:footnoteReference w:id="75"/>
      </w:r>
      <w:r>
        <w:rPr>
          <w:rFonts w:ascii="Times New Roman" w:hAnsi="Times New Roman"/>
          <w:noProof/>
          <w:color w:val="000000" w:themeColor="text1"/>
          <w:sz w:val="24"/>
          <w:szCs w:val="24"/>
        </w:rPr>
        <w:t>.</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Patenti bitni za normu</w:t>
      </w:r>
    </w:p>
    <w:p>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b/>
          <w:bCs/>
          <w:noProof/>
          <w:color w:val="000000" w:themeColor="text1"/>
          <w:sz w:val="24"/>
          <w:szCs w:val="24"/>
        </w:rPr>
        <w:t>Patenti bitni za normu</w:t>
      </w:r>
      <w:r>
        <w:rPr>
          <w:rFonts w:ascii="Times New Roman" w:hAnsi="Times New Roman"/>
          <w:noProof/>
          <w:color w:val="000000" w:themeColor="text1"/>
          <w:sz w:val="24"/>
          <w:szCs w:val="24"/>
        </w:rPr>
        <w:t xml:space="preserve"> patenti su za tehnologije uključene u norme. Broj patenata bitnih za normu i nositelja takvih patenata raste (npr. u području standarda mobilne povezivosti sve je veća skupina nositelja patenata bitnih za normu u ETSI prijavila više od 25 000 patentnih porodica</w:t>
      </w:r>
      <w:r>
        <w:rPr>
          <w:rStyle w:val="FootnoteReference"/>
          <w:rFonts w:ascii="Times New Roman" w:eastAsiaTheme="majorEastAsia" w:hAnsi="Times New Roman" w:cs="Times New Roman"/>
          <w:noProof/>
          <w:color w:val="000000" w:themeColor="text1"/>
          <w:sz w:val="24"/>
          <w:szCs w:val="24"/>
        </w:rPr>
        <w:footnoteReference w:id="76"/>
      </w:r>
      <w:r>
        <w:rPr>
          <w:rFonts w:ascii="Times New Roman" w:hAnsi="Times New Roman"/>
          <w:noProof/>
          <w:color w:val="000000" w:themeColor="text1"/>
          <w:sz w:val="24"/>
          <w:szCs w:val="24"/>
        </w:rPr>
        <w:t>, a norme za tehnologije u nastajanju također često sadržavaju patente bitne za normu).</w:t>
      </w:r>
      <w:r>
        <w:rPr>
          <w:noProof/>
        </w:rPr>
        <w:t xml:space="preserve"> </w:t>
      </w:r>
      <w:r>
        <w:rPr>
          <w:rFonts w:ascii="Times New Roman" w:hAnsi="Times New Roman"/>
          <w:noProof/>
          <w:color w:val="000000" w:themeColor="text1"/>
          <w:sz w:val="24"/>
          <w:szCs w:val="24"/>
        </w:rPr>
        <w:t xml:space="preserve">Patenti bitni za normu imaju važnu ulogu u razvoju standarda 5G i interneta stvari. Za digitalnu integraciju predmeta, uređaja, senzora i predmeta za svakodnevnu uporabu u umreženim automobilima, zdravstvu, energetici, pametnim gradovima i drugim namjenama potrebna su interoperabilna rješenja koja se temelje na normama. </w:t>
      </w:r>
    </w:p>
    <w:p>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S obzirom na to neophodno je imati stabilna, djelotvorna i pravedna pravila o licenciranju patenata bitnih za normu. Usprkos smjernicama iz Komunikacije o patentima bitnima za normu iz 2017.</w:t>
      </w:r>
      <w:r>
        <w:rPr>
          <w:rStyle w:val="FootnoteReference"/>
          <w:rFonts w:ascii="Times New Roman" w:eastAsiaTheme="majorEastAsia" w:hAnsi="Times New Roman" w:cs="Times New Roman"/>
          <w:noProof/>
          <w:color w:val="000000" w:themeColor="text1"/>
          <w:sz w:val="24"/>
          <w:szCs w:val="24"/>
        </w:rPr>
        <w:footnoteReference w:id="77"/>
      </w:r>
      <w:r>
        <w:rPr>
          <w:rFonts w:ascii="Times New Roman" w:hAnsi="Times New Roman"/>
          <w:noProof/>
          <w:color w:val="000000" w:themeColor="text1"/>
          <w:sz w:val="24"/>
          <w:szCs w:val="24"/>
        </w:rPr>
        <w:t>, neka poduzeća i dalje teško postižu dogovore o licenciranju patenata bitnih za normu. To često dovodi do sporova u kojima nositelji patenata tvrde da je došlo do povrede patenta bitnog za normu, a druga stranka tvrdi da je nositelj patenta naveo nepoštene uvjete u sporazumu o licenciranju. Iako su trenutačno najveći sporovi u sektoru automobilske industrije, oni mogu nastati i drugdje jer je licenciranje patenata bitnih za normu relevantno i u zdravstvenom ekosustavu, energetskom ekosustavu, ekosustavu pametne proizvodnje, digitalnom ekosustavu i ekosustavu elektronike</w:t>
      </w:r>
      <w:r>
        <w:rPr>
          <w:rStyle w:val="FootnoteReference"/>
          <w:rFonts w:ascii="Times New Roman" w:eastAsiaTheme="majorEastAsia" w:hAnsi="Times New Roman" w:cs="Times New Roman"/>
          <w:noProof/>
          <w:color w:val="000000" w:themeColor="text1"/>
          <w:sz w:val="24"/>
          <w:szCs w:val="24"/>
        </w:rPr>
        <w:footnoteReference w:id="78"/>
      </w:r>
      <w:r>
        <w:rPr>
          <w:rFonts w:ascii="Times New Roman" w:hAnsi="Times New Roman"/>
          <w:noProof/>
          <w:color w:val="000000" w:themeColor="text1"/>
          <w:sz w:val="24"/>
          <w:szCs w:val="24"/>
        </w:rPr>
        <w:t xml:space="preserve">. </w:t>
      </w:r>
    </w:p>
    <w:p>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Kratkoročno, Komisija će olakšati inicijative pod vodstvom industrije kako bi se smanjili problemi i broj sporova među akterima u nekim sektorima.</w:t>
      </w:r>
    </w:p>
    <w:p>
      <w:pPr>
        <w:spacing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Komisija će istodobno, na temelju pristupa iz 2017., razmotriti donošenje </w:t>
      </w:r>
      <w:r>
        <w:rPr>
          <w:rFonts w:ascii="Times New Roman" w:hAnsi="Times New Roman"/>
          <w:b/>
          <w:bCs/>
          <w:noProof/>
          <w:color w:val="000000" w:themeColor="text1"/>
          <w:sz w:val="24"/>
          <w:szCs w:val="24"/>
        </w:rPr>
        <w:t>reformi</w:t>
      </w:r>
      <w:r>
        <w:rPr>
          <w:rFonts w:ascii="Times New Roman" w:hAnsi="Times New Roman"/>
          <w:noProof/>
          <w:color w:val="000000" w:themeColor="text1"/>
          <w:sz w:val="24"/>
          <w:szCs w:val="24"/>
        </w:rPr>
        <w:t xml:space="preserve"> kako bi se dodatno pojasnio okvir kojim se uređuje prijavljivanje, licenciranje i ostvarivanje prava iz patenata bitnih za normu. Primjerice, razmotrit će uspostavu neovisnog sustava provjera bitnosti trećih strana radi poboljšanja pravne sigurnosti i smanjenja troškova sudskih postupaka</w:t>
      </w:r>
      <w:r>
        <w:rPr>
          <w:rStyle w:val="FootnoteReference"/>
          <w:rFonts w:ascii="Times New Roman" w:eastAsiaTheme="majorEastAsia" w:hAnsi="Times New Roman" w:cs="Times New Roman"/>
          <w:noProof/>
          <w:color w:val="000000" w:themeColor="text1"/>
          <w:sz w:val="24"/>
          <w:szCs w:val="24"/>
        </w:rPr>
        <w:footnoteReference w:id="79"/>
      </w:r>
      <w:r>
        <w:rPr>
          <w:rFonts w:ascii="Times New Roman" w:hAnsi="Times New Roman"/>
          <w:noProof/>
          <w:color w:val="000000" w:themeColor="text1"/>
          <w:sz w:val="24"/>
          <w:szCs w:val="24"/>
        </w:rPr>
        <w:t xml:space="preserve">. U potencijalnim reformama uzet će se u obzir iskustvo stečeno na temelju smjernica iz Komunikacije o patentima bitnima za normu iz 2017. i rasprava s relevantnim dionicima. </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Promicanje razmjene podataka</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Konačno, kako je utvrđeno u novoj Europskoj strategiji za podatke</w:t>
      </w:r>
      <w:r>
        <w:rPr>
          <w:rStyle w:val="FootnoteReference"/>
          <w:rFonts w:ascii="Times New Roman" w:eastAsia="Times New Roman" w:hAnsi="Times New Roman" w:cs="Times New Roman"/>
          <w:noProof/>
          <w:color w:val="000000" w:themeColor="text1"/>
          <w:sz w:val="24"/>
          <w:szCs w:val="24"/>
        </w:rPr>
        <w:footnoteReference w:id="80"/>
      </w:r>
      <w:r>
        <w:rPr>
          <w:rFonts w:ascii="Times New Roman" w:hAnsi="Times New Roman"/>
          <w:noProof/>
          <w:color w:val="000000" w:themeColor="text1"/>
          <w:sz w:val="24"/>
          <w:szCs w:val="24"/>
        </w:rPr>
        <w:t xml:space="preserve">, EU treba čvrst </w:t>
      </w:r>
      <w:r>
        <w:rPr>
          <w:rFonts w:ascii="Times New Roman" w:hAnsi="Times New Roman"/>
          <w:b/>
          <w:bCs/>
          <w:noProof/>
          <w:color w:val="000000" w:themeColor="text1"/>
          <w:sz w:val="24"/>
          <w:szCs w:val="24"/>
        </w:rPr>
        <w:t>okvir koji će poduzećima omogućiti stvaranje, razmjenu i uporabu podataka te pristup njima</w:t>
      </w:r>
      <w:r>
        <w:rPr>
          <w:rFonts w:ascii="Times New Roman" w:hAnsi="Times New Roman"/>
          <w:noProof/>
          <w:color w:val="000000" w:themeColor="text1"/>
          <w:sz w:val="24"/>
          <w:szCs w:val="24"/>
        </w:rPr>
        <w:t>. Vrijednost podatkovnoga gospodarstva EU-a 2025. bit će gotovo trostruko veća nego 2018. i iznosit će 829 milijardi EUR, odnosno 5,8 % BDP-a EU-a</w:t>
      </w:r>
      <w:r>
        <w:rPr>
          <w:rStyle w:val="FootnoteReference"/>
          <w:rFonts w:ascii="Times New Roman" w:eastAsia="Times New Roman" w:hAnsi="Times New Roman" w:cs="Times New Roman"/>
          <w:noProof/>
          <w:color w:val="000000" w:themeColor="text1"/>
          <w:sz w:val="24"/>
          <w:szCs w:val="24"/>
        </w:rPr>
        <w:footnoteReference w:id="81"/>
      </w:r>
      <w:r>
        <w:rPr>
          <w:rFonts w:ascii="Times New Roman" w:hAnsi="Times New Roman"/>
          <w:noProof/>
          <w:color w:val="000000" w:themeColor="text1"/>
          <w:sz w:val="24"/>
          <w:szCs w:val="24"/>
        </w:rPr>
        <w:t xml:space="preserve">. </w:t>
      </w:r>
      <w:r>
        <w:rPr>
          <w:rFonts w:ascii="Times New Roman" w:hAnsi="Times New Roman"/>
          <w:noProof/>
          <w:sz w:val="24"/>
          <w:szCs w:val="24"/>
        </w:rPr>
        <w:t xml:space="preserve">Budući da se neki podaci mogu zaštititi pravima intelektualnog vlasništva ili kao poslovne tajne, Komisija trenutačno ocjenjuje okvir za intelektualno vlasništvo kako bi osigurala ravnotežu između potrebe za poticanjem razmjene podataka (npr. olakšavanjem MSP-ovima pristup podacima i njihovu uporabu, olakšavanjem popravaka) i potrebe za zaštitom legitimnih interesa.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Za poticanje razmjene podataka potrebno je sigurno okruženje u kojem poduzeća mogu nastaviti ulagati u generiranje i prikupljanje podataka i razmjenjivati ih na siguran način, znajući da se njihovi osjetljivi poslovni podaci neće nezakonito prikupljati, koristiti niti otkivati. </w:t>
      </w:r>
      <w:r>
        <w:rPr>
          <w:rFonts w:ascii="Times New Roman" w:hAnsi="Times New Roman"/>
          <w:b/>
          <w:bCs/>
          <w:noProof/>
          <w:color w:val="000000" w:themeColor="text1"/>
          <w:sz w:val="24"/>
          <w:szCs w:val="24"/>
        </w:rPr>
        <w:t>Direktivom o poslovnoj tajni</w:t>
      </w:r>
      <w:r>
        <w:rPr>
          <w:rStyle w:val="FootnoteReference"/>
          <w:rFonts w:ascii="Times New Roman" w:eastAsia="Times New Roman" w:hAnsi="Times New Roman" w:cs="Times New Roman"/>
          <w:noProof/>
          <w:color w:val="000000" w:themeColor="text1"/>
          <w:sz w:val="24"/>
          <w:szCs w:val="24"/>
        </w:rPr>
        <w:footnoteReference w:id="82"/>
      </w:r>
      <w:r>
        <w:rPr>
          <w:rFonts w:ascii="Times New Roman" w:hAnsi="Times New Roman"/>
          <w:noProof/>
          <w:color w:val="000000" w:themeColor="text1"/>
          <w:sz w:val="24"/>
          <w:szCs w:val="24"/>
        </w:rPr>
        <w:t xml:space="preserve"> već se pružaju učinkovita sredstva za zaštitu, no možda je potrebno pojasniti njezino područje primjene, npr. utvrditi koje se vrste ili skupovi podataka mogu smatrati „poslovnim tajnama”, može li se postojećim skupom izuzeća poduprijeti podatkovno i zeleno</w:t>
      </w:r>
      <w:r>
        <w:rPr>
          <w:rStyle w:val="FootnoteReference"/>
          <w:rFonts w:ascii="Times New Roman" w:eastAsia="Times New Roman" w:hAnsi="Times New Roman" w:cs="Times New Roman"/>
          <w:noProof/>
          <w:color w:val="000000" w:themeColor="text1"/>
          <w:sz w:val="24"/>
          <w:szCs w:val="24"/>
          <w:lang w:val="en-US"/>
        </w:rPr>
        <w:footnoteReference w:id="83"/>
      </w:r>
      <w:r>
        <w:rPr>
          <w:rFonts w:ascii="Times New Roman" w:hAnsi="Times New Roman"/>
          <w:noProof/>
          <w:color w:val="000000" w:themeColor="text1"/>
          <w:sz w:val="24"/>
          <w:szCs w:val="24"/>
        </w:rPr>
        <w:t xml:space="preserve"> gospodarstvo te hoće li se i kako alati iz te direktive upotrijebiti za učinkovitu borbu protiv nezakonitog pribavljanja, korištenja ili otkrivanja podataka i skupova podataka. Kako bi razjasnila ta pitanja i utvrdila najbolje prakse Komisija je pokrenula studiju, s posebnim naglaskom na strateške sektore, uključujući zdravstvo i automobilski sektor. Na temelju dobivenih rezultata i u skladu s aktom o podacima</w:t>
      </w:r>
      <w:r>
        <w:rPr>
          <w:rStyle w:val="FootnoteReference"/>
          <w:rFonts w:ascii="Times New Roman" w:eastAsia="Times New Roman" w:hAnsi="Times New Roman" w:cs="Times New Roman"/>
          <w:noProof/>
          <w:color w:val="000000" w:themeColor="text1"/>
          <w:sz w:val="24"/>
          <w:szCs w:val="24"/>
          <w:lang w:val="en-US"/>
        </w:rPr>
        <w:footnoteReference w:id="84"/>
      </w:r>
      <w:r>
        <w:rPr>
          <w:rFonts w:ascii="Times New Roman" w:hAnsi="Times New Roman"/>
          <w:noProof/>
          <w:color w:val="000000" w:themeColor="text1"/>
          <w:sz w:val="24"/>
          <w:szCs w:val="24"/>
        </w:rPr>
        <w:t xml:space="preserve"> razmotrit će potrebu za daljnjim koracima, npr. za ciljanim smjernicama.</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szCs w:val="24"/>
        </w:rPr>
        <w:t>Direktivom o bazama podataka</w:t>
      </w:r>
      <w:r>
        <w:rPr>
          <w:rStyle w:val="FootnoteReference"/>
          <w:rFonts w:ascii="Times New Roman" w:eastAsia="Times New Roman" w:hAnsi="Times New Roman" w:cs="Times New Roman"/>
          <w:noProof/>
          <w:color w:val="000000" w:themeColor="text1"/>
          <w:sz w:val="24"/>
          <w:szCs w:val="24"/>
        </w:rPr>
        <w:footnoteReference w:id="85"/>
      </w:r>
      <w:r>
        <w:rPr>
          <w:rFonts w:ascii="Times New Roman" w:hAnsi="Times New Roman"/>
          <w:noProof/>
          <w:color w:val="000000" w:themeColor="text1"/>
          <w:sz w:val="24"/>
          <w:szCs w:val="24"/>
        </w:rPr>
        <w:t xml:space="preserve"> predviđeno je da su baze podataka, u koje su uložena znatna sredstva, zaštićene pravom </w:t>
      </w:r>
      <w:r>
        <w:rPr>
          <w:rFonts w:ascii="Times New Roman" w:hAnsi="Times New Roman"/>
          <w:i/>
          <w:iCs/>
          <w:noProof/>
          <w:color w:val="000000" w:themeColor="text1"/>
          <w:sz w:val="24"/>
          <w:szCs w:val="24"/>
        </w:rPr>
        <w:t>sui generis</w:t>
      </w:r>
      <w:r>
        <w:rPr>
          <w:rFonts w:ascii="Times New Roman" w:hAnsi="Times New Roman"/>
          <w:noProof/>
          <w:color w:val="000000" w:themeColor="text1"/>
          <w:sz w:val="24"/>
          <w:szCs w:val="24"/>
        </w:rPr>
        <w:t xml:space="preserve">. </w:t>
      </w:r>
      <w:r>
        <w:rPr>
          <w:rFonts w:ascii="Times New Roman" w:hAnsi="Times New Roman"/>
          <w:noProof/>
          <w:sz w:val="24"/>
          <w:szCs w:val="24"/>
        </w:rPr>
        <w:t>Nedavna je evaluacija</w:t>
      </w:r>
      <w:r>
        <w:rPr>
          <w:rStyle w:val="FootnoteReference"/>
          <w:rFonts w:ascii="Times New Roman" w:eastAsia="Times New Roman" w:hAnsi="Times New Roman" w:cs="Times New Roman"/>
          <w:noProof/>
          <w:color w:val="000000"/>
          <w:sz w:val="24"/>
          <w:szCs w:val="24"/>
          <w:lang w:val="en-US"/>
        </w:rPr>
        <w:footnoteReference w:id="86"/>
      </w:r>
      <w:r>
        <w:rPr>
          <w:rFonts w:ascii="Times New Roman" w:hAnsi="Times New Roman"/>
          <w:noProof/>
          <w:sz w:val="24"/>
          <w:szCs w:val="24"/>
        </w:rPr>
        <w:t xml:space="preserve"> pokazala da Direktiva o bazama podataka pruža dodanu vrijednost, no mogla bi se preispitati kako bi se olakšao pristup podacima i njihova uporaba.</w:t>
      </w:r>
      <w:r>
        <w:rPr>
          <w:rFonts w:ascii="Times New Roman" w:hAnsi="Times New Roman"/>
          <w:noProof/>
          <w:color w:val="000000" w:themeColor="text1"/>
          <w:sz w:val="24"/>
          <w:szCs w:val="24"/>
        </w:rPr>
        <w:t xml:space="preserve"> U okviru Europske strategije za podatke Komisija će revidirati tu direktivu kako bi se olakšala razmjena strojno generiranih podataka i podataka generiranih u kontekstu interneta stvari te trgovanje njima. Ta će revizija biti obuhvaćena aktom o podacima</w:t>
      </w:r>
      <w:r>
        <w:rPr>
          <w:rStyle w:val="FootnoteReference"/>
          <w:rFonts w:ascii="Times New Roman" w:eastAsia="Times New Roman" w:hAnsi="Times New Roman" w:cs="Times New Roman"/>
          <w:noProof/>
          <w:color w:val="000000" w:themeColor="text1"/>
          <w:sz w:val="24"/>
          <w:szCs w:val="24"/>
        </w:rPr>
        <w:footnoteReference w:id="87"/>
      </w:r>
      <w:r>
        <w:rPr>
          <w:rFonts w:ascii="Times New Roman" w:hAnsi="Times New Roman"/>
          <w:noProof/>
          <w:color w:val="000000" w:themeColor="text1"/>
          <w:sz w:val="24"/>
          <w:szCs w:val="24"/>
        </w:rPr>
        <w:t>, a pri njezinoj provedbi uzet će se u obzir inicijative o razmjeni podataka u području protumonopolskih propisa</w:t>
      </w:r>
      <w:r>
        <w:rPr>
          <w:rStyle w:val="FootnoteReference"/>
          <w:rFonts w:ascii="Times New Roman" w:eastAsia="Times New Roman" w:hAnsi="Times New Roman" w:cs="Times New Roman"/>
          <w:noProof/>
          <w:color w:val="000000" w:themeColor="text1"/>
          <w:sz w:val="24"/>
          <w:szCs w:val="24"/>
        </w:rPr>
        <w:footnoteReference w:id="88"/>
      </w:r>
      <w:r>
        <w:rPr>
          <w:rFonts w:ascii="Times New Roman" w:hAnsi="Times New Roman"/>
          <w:noProof/>
          <w:color w:val="000000" w:themeColor="text1"/>
          <w:sz w:val="24"/>
          <w:szCs w:val="24"/>
        </w:rPr>
        <w:t xml:space="preserve">.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 xml:space="preserve">Kako bi se olakšalo licenciranje i razmjena intelektualnog vlasništva, Komisija će: </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osigurati </w:t>
      </w:r>
      <w:r>
        <w:rPr>
          <w:rFonts w:ascii="Times New Roman" w:hAnsi="Times New Roman"/>
          <w:b/>
          <w:bCs/>
          <w:noProof/>
          <w:color w:val="000000" w:themeColor="text1"/>
          <w:sz w:val="24"/>
          <w:szCs w:val="24"/>
        </w:rPr>
        <w:t>dostupnost kritičnog intelektualnog vlasništva u kriznim vremenima</w:t>
      </w:r>
      <w:r>
        <w:rPr>
          <w:rFonts w:ascii="Times New Roman" w:hAnsi="Times New Roman"/>
          <w:noProof/>
          <w:color w:val="000000" w:themeColor="text1"/>
          <w:sz w:val="24"/>
          <w:szCs w:val="24"/>
        </w:rPr>
        <w:t>, među ostalim putem novih alata za licenciranje i sustava za koordinaciju prisilnog licenciranja (2021.–2022.),</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poboljšati </w:t>
      </w:r>
      <w:r>
        <w:rPr>
          <w:rFonts w:ascii="Times New Roman" w:hAnsi="Times New Roman"/>
          <w:b/>
          <w:bCs/>
          <w:noProof/>
          <w:color w:val="000000" w:themeColor="text1"/>
          <w:sz w:val="24"/>
          <w:szCs w:val="24"/>
        </w:rPr>
        <w:t>transparentnost i predvidivost licenciranja patenata bitnih za normu</w:t>
      </w:r>
      <w:r>
        <w:rPr>
          <w:rFonts w:ascii="Times New Roman" w:hAnsi="Times New Roman"/>
          <w:noProof/>
          <w:color w:val="000000" w:themeColor="text1"/>
          <w:sz w:val="24"/>
          <w:szCs w:val="24"/>
        </w:rPr>
        <w:t xml:space="preserve"> putem inicijativa pod vodstvom industrije u sektorima na koje se to najviše odnosi, u kombinaciji s mogućim reformama (prema potrebi i regulatornim reformama), kako bi se pojasnio i poboljšao okvir za patente bitne za normu i ponudili učinkoviti alati za transparentnost (prvo tromjesečje 2022.),</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promicati </w:t>
      </w:r>
      <w:r>
        <w:rPr>
          <w:rFonts w:ascii="Times New Roman" w:hAnsi="Times New Roman"/>
          <w:b/>
          <w:bCs/>
          <w:noProof/>
          <w:color w:val="000000" w:themeColor="text1"/>
          <w:sz w:val="24"/>
          <w:szCs w:val="24"/>
        </w:rPr>
        <w:t>pristup podacima i njihovu razmjenu</w:t>
      </w:r>
      <w:r>
        <w:rPr>
          <w:rFonts w:ascii="Times New Roman" w:hAnsi="Times New Roman"/>
          <w:noProof/>
          <w:color w:val="000000" w:themeColor="text1"/>
          <w:sz w:val="24"/>
          <w:szCs w:val="24"/>
        </w:rPr>
        <w:t>, istodobno štiteći legitimne interese, tako da se pojasne određene ključne odredbe Direktive o poslovnoj tajni i revidira Direktiva o bazama podataka (treće tromjesečje 2021.).</w:t>
      </w:r>
    </w:p>
    <w:p>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Borba protiv povreda prava intelektualnog vlasništva</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Učinkovita provedba dio je funkcionalnog sustava intelektualnog vlasništva. Komisija i dalje pomno </w:t>
      </w:r>
      <w:r>
        <w:rPr>
          <w:rFonts w:ascii="Times New Roman" w:hAnsi="Times New Roman"/>
          <w:b/>
          <w:bCs/>
          <w:noProof/>
          <w:color w:val="000000" w:themeColor="text1"/>
          <w:sz w:val="24"/>
          <w:szCs w:val="24"/>
        </w:rPr>
        <w:t>prati primjenu Direktive o provedbi prava intelektualnog vlasništva</w:t>
      </w:r>
      <w:r>
        <w:rPr>
          <w:rStyle w:val="FootnoteReference"/>
          <w:rFonts w:ascii="Times New Roman" w:eastAsia="Times New Roman" w:hAnsi="Times New Roman" w:cs="Times New Roman"/>
          <w:noProof/>
          <w:color w:val="000000" w:themeColor="text1"/>
          <w:sz w:val="24"/>
          <w:szCs w:val="24"/>
        </w:rPr>
        <w:footnoteReference w:id="89"/>
      </w:r>
      <w:r>
        <w:rPr>
          <w:rFonts w:ascii="Times New Roman" w:hAnsi="Times New Roman"/>
          <w:noProof/>
          <w:color w:val="000000" w:themeColor="text1"/>
          <w:sz w:val="24"/>
          <w:szCs w:val="24"/>
        </w:rPr>
        <w:t xml:space="preserve"> kako bi osigurala učinkovitu i uravnoteženu sudsku zaštitu. Pritom surađuje s državama članicama i dionicima na primjeni novih smjernica Komisije</w:t>
      </w:r>
      <w:r>
        <w:rPr>
          <w:rStyle w:val="FootnoteReference"/>
          <w:rFonts w:ascii="Times New Roman" w:eastAsia="Times New Roman" w:hAnsi="Times New Roman" w:cs="Times New Roman"/>
          <w:noProof/>
          <w:color w:val="000000" w:themeColor="text1"/>
          <w:sz w:val="24"/>
          <w:szCs w:val="24"/>
        </w:rPr>
        <w:footnoteReference w:id="90"/>
      </w:r>
      <w:r>
        <w:rPr>
          <w:rFonts w:ascii="Times New Roman" w:hAnsi="Times New Roman"/>
          <w:noProof/>
          <w:color w:val="000000" w:themeColor="text1"/>
          <w:sz w:val="24"/>
          <w:szCs w:val="24"/>
        </w:rPr>
        <w:t>, kako bi se osigurala, primjerice, usklađena i djelotvorna primjena sudskih zabrana u svim državama članicama ako su za to ostvareni svi uvjeti, uključujući uvjet proporcionalnosti.</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U području patenata uspostava Jedinstvenog suda za patente trebala bi dodatno olakšati i pojednostavniti provedbu patentnog prava.</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Komisija smatra da je svakako potrebno pojačati borbu protiv krivotvorenja i piratstva. U 2016. u EU je uvezeno krivotvorene i piratske robe u vrijednosti i do 121 milijarde EUR, odnosno 6,8 % uvoza EU-a (2013. ona je predstavljala 5 % uvoza)</w:t>
      </w:r>
      <w:r>
        <w:rPr>
          <w:rStyle w:val="FootnoteReference"/>
          <w:rFonts w:ascii="Times New Roman" w:eastAsia="Times New Roman" w:hAnsi="Times New Roman" w:cs="Times New Roman"/>
          <w:noProof/>
          <w:color w:val="000000" w:themeColor="text1"/>
          <w:sz w:val="24"/>
          <w:szCs w:val="24"/>
        </w:rPr>
        <w:footnoteReference w:id="91"/>
      </w:r>
      <w:r>
        <w:rPr>
          <w:rFonts w:ascii="Times New Roman" w:hAnsi="Times New Roman"/>
          <w:noProof/>
          <w:color w:val="000000" w:themeColor="text1"/>
          <w:sz w:val="24"/>
          <w:szCs w:val="24"/>
        </w:rPr>
        <w:t>. Krivotvoreni proizvodi na tržištu EU-a dovode do izravnoga gubitka prihoda od prodaje od 50 milijardi EUR i izravnoga gubitka 416 000 radnih mjesta godišnje</w:t>
      </w:r>
      <w:r>
        <w:rPr>
          <w:rStyle w:val="FootnoteReference"/>
          <w:rFonts w:ascii="Times New Roman" w:eastAsia="Times New Roman" w:hAnsi="Times New Roman" w:cs="Times New Roman"/>
          <w:noProof/>
          <w:color w:val="000000" w:themeColor="text1"/>
          <w:sz w:val="24"/>
          <w:szCs w:val="24"/>
        </w:rPr>
        <w:footnoteReference w:id="92"/>
      </w:r>
      <w:r>
        <w:rPr>
          <w:rFonts w:ascii="Times New Roman" w:hAnsi="Times New Roman"/>
          <w:noProof/>
          <w:color w:val="000000" w:themeColor="text1"/>
          <w:sz w:val="24"/>
          <w:szCs w:val="24"/>
        </w:rPr>
        <w:t>. Oni su i ozbiljna prijetnja za zdravlje, sigurnost i zaštitu potrošača (npr. krivotvorene maske za lice)</w:t>
      </w:r>
      <w:r>
        <w:rPr>
          <w:rStyle w:val="FootnoteReference"/>
          <w:rFonts w:ascii="Times New Roman" w:eastAsia="Times New Roman" w:hAnsi="Times New Roman" w:cs="Times New Roman"/>
          <w:noProof/>
          <w:color w:val="000000" w:themeColor="text1"/>
          <w:sz w:val="24"/>
          <w:szCs w:val="24"/>
        </w:rPr>
        <w:footnoteReference w:id="93"/>
      </w:r>
      <w:r>
        <w:rPr>
          <w:rFonts w:ascii="Times New Roman" w:hAnsi="Times New Roman"/>
          <w:noProof/>
          <w:color w:val="000000" w:themeColor="text1"/>
          <w:sz w:val="24"/>
          <w:szCs w:val="24"/>
        </w:rPr>
        <w:t xml:space="preserve"> i imaju negativan učinak na okoliš</w:t>
      </w:r>
      <w:r>
        <w:rPr>
          <w:rStyle w:val="FootnoteReference"/>
          <w:rFonts w:ascii="Times New Roman" w:eastAsia="Times New Roman" w:hAnsi="Times New Roman" w:cs="Times New Roman"/>
          <w:noProof/>
          <w:color w:val="000000" w:themeColor="text1"/>
          <w:sz w:val="24"/>
          <w:szCs w:val="24"/>
        </w:rPr>
        <w:footnoteReference w:id="94"/>
      </w:r>
      <w:r>
        <w:rPr>
          <w:rFonts w:ascii="Times New Roman" w:hAnsi="Times New Roman"/>
          <w:noProof/>
          <w:color w:val="000000" w:themeColor="text1"/>
          <w:sz w:val="24"/>
          <w:szCs w:val="24"/>
        </w:rPr>
        <w:t>.</w:t>
      </w:r>
      <w:r>
        <w:rPr>
          <w:noProof/>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Na internetu su se pojavili novi oblici povreda prava intelektualnog vlasništva, kao što je kiberkrađa poslovnih tajni (procjenjuje se da je u EU-u uzrokovala gubitak od 60 milijardi EUR</w:t>
      </w:r>
      <w:r>
        <w:rPr>
          <w:rFonts w:ascii="Times New Roman" w:eastAsia="Times New Roman" w:hAnsi="Times New Roman" w:cs="Times New Roman"/>
          <w:noProof/>
          <w:color w:val="000000" w:themeColor="text1"/>
          <w:sz w:val="24"/>
          <w:szCs w:val="24"/>
          <w:vertAlign w:val="superscript"/>
        </w:rPr>
        <w:footnoteReference w:id="95"/>
      </w:r>
      <w:r>
        <w:rPr>
          <w:rFonts w:ascii="Times New Roman" w:hAnsi="Times New Roman"/>
          <w:noProof/>
          <w:color w:val="000000" w:themeColor="text1"/>
          <w:sz w:val="24"/>
          <w:szCs w:val="24"/>
        </w:rPr>
        <w:t>), nezakonita televizija utemeljena na internetskom protokolu (IPTV) i drugi oblici nezakonitog prijenosa (</w:t>
      </w:r>
      <w:r>
        <w:rPr>
          <w:rFonts w:ascii="Times New Roman" w:hAnsi="Times New Roman"/>
          <w:i/>
          <w:iCs/>
          <w:noProof/>
          <w:color w:val="000000" w:themeColor="text1"/>
          <w:sz w:val="24"/>
          <w:szCs w:val="24"/>
        </w:rPr>
        <w:t>streaminga</w:t>
      </w:r>
      <w:r>
        <w:rPr>
          <w:rFonts w:ascii="Times New Roman" w:hAnsi="Times New Roman"/>
          <w:noProof/>
          <w:color w:val="000000" w:themeColor="text1"/>
          <w:sz w:val="24"/>
          <w:szCs w:val="24"/>
        </w:rPr>
        <w:t>) (uživo). Oni predstavljaju nove izazove za proizvođače, kreativnu i kulturnu industriju te sportski sektor.</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Komisija je već najavila da će do kraja godine donijeti nova </w:t>
      </w:r>
      <w:r>
        <w:rPr>
          <w:rFonts w:ascii="Times New Roman" w:hAnsi="Times New Roman"/>
          <w:b/>
          <w:bCs/>
          <w:noProof/>
          <w:color w:val="000000" w:themeColor="text1"/>
          <w:sz w:val="24"/>
          <w:szCs w:val="24"/>
        </w:rPr>
        <w:t>jasnija i ažurirana pravila o odgovornosti za internetske platforme</w:t>
      </w:r>
      <w:r>
        <w:rPr>
          <w:rFonts w:ascii="Times New Roman" w:hAnsi="Times New Roman"/>
          <w:noProof/>
          <w:color w:val="000000" w:themeColor="text1"/>
          <w:sz w:val="24"/>
          <w:szCs w:val="24"/>
        </w:rPr>
        <w:t xml:space="preserve"> i ukloniti čimbenike koji ih odvraćaju od dobrovoljnog uklanjanja nezakonitog sadržaja (robe ili usluga) za koji su posrednici. Predviđenim prijedlogom Akta o digitalnim uslugama nastojat će se uskladiti skup konkretnih, obvezujućih i proporcionalnih obveza povezanih s digitalnim uslugama, koje će se provoditi na temelju ojačanog nadzornog okvira</w:t>
      </w:r>
      <w:r>
        <w:rPr>
          <w:rFonts w:ascii="Times New Roman" w:eastAsiaTheme="majorEastAsia" w:hAnsi="Times New Roman" w:cs="Times New Roman"/>
          <w:noProof/>
          <w:color w:val="000000" w:themeColor="text1"/>
          <w:sz w:val="24"/>
          <w:szCs w:val="24"/>
          <w:vertAlign w:val="superscript"/>
        </w:rPr>
        <w:footnoteReference w:id="96"/>
      </w:r>
      <w:r>
        <w:rPr>
          <w:rFonts w:ascii="Times New Roman" w:hAnsi="Times New Roman"/>
          <w:noProof/>
          <w:color w:val="000000" w:themeColor="text1"/>
          <w:sz w:val="24"/>
          <w:szCs w:val="24"/>
        </w:rPr>
        <w:t>.</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Osim toga </w:t>
      </w:r>
      <w:r>
        <w:rPr>
          <w:rFonts w:ascii="Times New Roman" w:hAnsi="Times New Roman"/>
          <w:b/>
          <w:bCs/>
          <w:noProof/>
          <w:color w:val="000000" w:themeColor="text1"/>
          <w:sz w:val="24"/>
          <w:szCs w:val="24"/>
        </w:rPr>
        <w:t>potrebno je znatno povećati kapacitete tijela za izvršavanje zakonodavstva.</w:t>
      </w:r>
      <w:r>
        <w:rPr>
          <w:rFonts w:ascii="Times New Roman" w:hAnsi="Times New Roman"/>
          <w:noProof/>
          <w:color w:val="000000" w:themeColor="text1"/>
          <w:sz w:val="24"/>
          <w:szCs w:val="24"/>
        </w:rPr>
        <w:t xml:space="preserve"> Krivotvorenje i piratstvo moraju postati veći prioritet. Komisija poziva države članice i Vijeće da kaznena djela u području intelektualnog vlasništva učine jednim od prioriteta sljedećeg ciklusa politike EU-a – Europske multidisciplinarne platforme za borbu protiv kaznenih djela (EMPACT)</w:t>
      </w:r>
      <w:r>
        <w:rPr>
          <w:rFonts w:ascii="Times New Roman" w:eastAsia="Times New Roman" w:hAnsi="Times New Roman" w:cs="Times New Roman"/>
          <w:noProof/>
          <w:color w:val="000000" w:themeColor="text1"/>
          <w:sz w:val="24"/>
          <w:szCs w:val="24"/>
          <w:vertAlign w:val="superscript"/>
        </w:rPr>
        <w:footnoteReference w:id="97"/>
      </w:r>
      <w:r>
        <w:rPr>
          <w:rFonts w:ascii="Times New Roman" w:hAnsi="Times New Roman"/>
          <w:noProof/>
          <w:color w:val="000000" w:themeColor="text1"/>
          <w:sz w:val="24"/>
          <w:szCs w:val="24"/>
        </w:rPr>
        <w:t>, za razdoblje 2022.–2025. Planira i poboljšati provedbu prava intelektualnog vlasništva na razini EU-a tako da se neke ovlasti Komisije prošire na Europski ured za borbu protiv prijevara (OLAF) i dodijele mu se kako bi on, uz sprečavanje ulaska krivotvorene robe na jedinstveno tržište, mogao sprečavati i nezakonitu proizvodnju krivotvorene robe u EU-u</w:t>
      </w:r>
      <w:r>
        <w:rPr>
          <w:rFonts w:ascii="Times New Roman" w:eastAsia="Times New Roman" w:hAnsi="Times New Roman" w:cs="Times New Roman"/>
          <w:noProof/>
          <w:color w:val="000000" w:themeColor="text1"/>
          <w:sz w:val="24"/>
          <w:szCs w:val="24"/>
          <w:vertAlign w:val="superscript"/>
        </w:rPr>
        <w:footnoteReference w:id="98"/>
      </w:r>
      <w:r>
        <w:rPr>
          <w:rFonts w:ascii="Times New Roman" w:hAnsi="Times New Roman"/>
          <w:noProof/>
          <w:color w:val="000000" w:themeColor="text1"/>
          <w:sz w:val="24"/>
          <w:szCs w:val="24"/>
        </w:rPr>
        <w:t xml:space="preserve">. Komisija usto potiče sve relevantne dionike da nastave surađivati s Europolom kako bi se poboljšala procjena prijetnji te učinkovito i koordinirano borilo protiv kaznenih djela u području intelektualnog vlasništva.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Komisija će pružiti podršku i carinskim tijelima država članica kako bi se poboljšalo upravljanje rizicima i unaprijedile mjere za borbu protiv prijevara, konkretno tako da će uspostaviti kapacitete za analizu podataka na razini EU-a, bolje opskrbiti države članice opremom za carinske provjere i jačati suradnju unutar EU-a i s carinskim tijelima partnerskih zemalja</w:t>
      </w:r>
      <w:r>
        <w:rPr>
          <w:rStyle w:val="FootnoteReference"/>
          <w:rFonts w:ascii="Times New Roman" w:eastAsia="Times New Roman" w:hAnsi="Times New Roman" w:cs="Times New Roman"/>
          <w:noProof/>
          <w:color w:val="000000" w:themeColor="text1"/>
          <w:sz w:val="24"/>
          <w:szCs w:val="24"/>
        </w:rPr>
        <w:footnoteReference w:id="99"/>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Pojačat će suradnju među svim uključenim stranama – nositeljima prava, dobavljačima, različitim skupinama posrednika (npr. internetskim platformama, društvenim mrežama, oglašivačkom industrijom, pružateljima platnih usluga, registrarima/registrima naziva domena i poduzećima za prijevoz i logistiku) i javnim tijelima za izvršavanje zakonodavstva (uključujući upravna tijela, carinu, policiju, tijela za nadzor tržišta i javne tužitelje) radi suzbijanja piratstva i krivotvorenja. Kako bi to postigla, izradit će </w:t>
      </w:r>
      <w:r>
        <w:rPr>
          <w:rFonts w:ascii="Times New Roman" w:hAnsi="Times New Roman"/>
          <w:b/>
          <w:bCs/>
          <w:noProof/>
          <w:color w:val="000000" w:themeColor="text1"/>
          <w:sz w:val="24"/>
          <w:szCs w:val="24"/>
        </w:rPr>
        <w:t>paket instrumenata EU-a za borbu protiv krivotvorenja</w:t>
      </w:r>
      <w:r>
        <w:rPr>
          <w:rFonts w:ascii="Times New Roman" w:hAnsi="Times New Roman"/>
          <w:noProof/>
          <w:color w:val="000000" w:themeColor="text1"/>
          <w:sz w:val="24"/>
          <w:szCs w:val="24"/>
        </w:rPr>
        <w:t>, koji će se temeljiti na, među ostalim, opisanim praksama i načelima razvijenima u kontekstu raznih inicijativa pod vodstvom industrije</w:t>
      </w:r>
      <w:r>
        <w:rPr>
          <w:rStyle w:val="FootnoteReference"/>
          <w:rFonts w:ascii="Times New Roman" w:eastAsia="Times New Roman" w:hAnsi="Times New Roman" w:cs="Times New Roman"/>
          <w:noProof/>
          <w:color w:val="000000" w:themeColor="text1"/>
          <w:sz w:val="24"/>
          <w:szCs w:val="24"/>
        </w:rPr>
        <w:footnoteReference w:id="100"/>
      </w:r>
      <w:r>
        <w:rPr>
          <w:rFonts w:ascii="Times New Roman" w:hAnsi="Times New Roman"/>
          <w:noProof/>
          <w:color w:val="000000" w:themeColor="text1"/>
          <w:sz w:val="24"/>
          <w:szCs w:val="24"/>
        </w:rPr>
        <w:t>. Tim paketom instrumenata pojasnit će se uloge i odgovornosti te utvrditi način suradnje. Jedan od njegovih glavnih elemenata je razmjena relevantnih podataka o proizvođačima i trgovcima, u skladu s pravom EU-a o zaštiti podataka, za što će možda biti potrebne preciznije smjernice</w:t>
      </w:r>
      <w:r>
        <w:rPr>
          <w:rStyle w:val="FootnoteReference"/>
          <w:rFonts w:ascii="Times New Roman" w:eastAsia="Times New Roman" w:hAnsi="Times New Roman" w:cs="Times New Roman"/>
          <w:noProof/>
          <w:color w:val="000000" w:themeColor="text1"/>
          <w:sz w:val="24"/>
          <w:szCs w:val="24"/>
        </w:rPr>
        <w:footnoteReference w:id="101"/>
      </w:r>
      <w:r>
        <w:rPr>
          <w:rFonts w:ascii="Times New Roman" w:hAnsi="Times New Roman"/>
          <w:noProof/>
          <w:color w:val="000000" w:themeColor="text1"/>
          <w:sz w:val="24"/>
          <w:szCs w:val="24"/>
        </w:rPr>
        <w:t>. Paketom instrumenata promicat će se i uporaba novih tehnologija, kao što su prepoznavanje slike, umjetna inteligencija i lanac blokova</w:t>
      </w:r>
      <w:r>
        <w:rPr>
          <w:rStyle w:val="FootnoteReference"/>
          <w:rFonts w:ascii="Times New Roman" w:eastAsia="Times New Roman" w:hAnsi="Times New Roman" w:cs="Times New Roman"/>
          <w:noProof/>
          <w:color w:val="000000" w:themeColor="text1"/>
          <w:sz w:val="24"/>
          <w:szCs w:val="24"/>
        </w:rPr>
        <w:footnoteReference w:id="102"/>
      </w:r>
      <w:r>
        <w:rPr>
          <w:rFonts w:ascii="Times New Roman" w:hAnsi="Times New Roman"/>
          <w:noProof/>
          <w:color w:val="000000" w:themeColor="text1"/>
          <w:sz w:val="24"/>
          <w:szCs w:val="24"/>
        </w:rPr>
        <w:t>. Prema potrebi, u okviru paketa instrumenata bit će utvrđene referentne vrijednosti kako bi se omogućilo mjerenje napretka.</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Nakon uspješno provedenih preventivnih i represivnih mjera protiv lažnih proizvoda povezanih s bolešću COVID-19</w:t>
      </w:r>
      <w:r>
        <w:rPr>
          <w:rStyle w:val="FootnoteReference"/>
          <w:rFonts w:ascii="Times New Roman" w:eastAsia="Times New Roman" w:hAnsi="Times New Roman" w:cs="Times New Roman"/>
          <w:noProof/>
          <w:color w:val="000000" w:themeColor="text1"/>
          <w:sz w:val="24"/>
          <w:szCs w:val="24"/>
        </w:rPr>
        <w:footnoteReference w:id="103"/>
      </w:r>
      <w:r>
        <w:rPr>
          <w:rFonts w:ascii="Times New Roman" w:hAnsi="Times New Roman"/>
          <w:noProof/>
          <w:color w:val="000000" w:themeColor="text1"/>
          <w:sz w:val="24"/>
          <w:szCs w:val="24"/>
        </w:rPr>
        <w:t xml:space="preserve">, Komisija će promicati </w:t>
      </w:r>
      <w:r>
        <w:rPr>
          <w:rFonts w:ascii="Times New Roman" w:hAnsi="Times New Roman"/>
          <w:b/>
          <w:bCs/>
          <w:noProof/>
          <w:color w:val="000000" w:themeColor="text1"/>
          <w:sz w:val="24"/>
          <w:szCs w:val="24"/>
        </w:rPr>
        <w:t>kampanje</w:t>
      </w:r>
      <w:r>
        <w:rPr>
          <w:rFonts w:ascii="Times New Roman" w:hAnsi="Times New Roman"/>
          <w:noProof/>
          <w:color w:val="000000" w:themeColor="text1"/>
          <w:sz w:val="24"/>
          <w:szCs w:val="24"/>
        </w:rPr>
        <w:t xml:space="preserve"> za borbu protiv ulaska krivotvorene robe koja je najštetnija za potrošače</w:t>
      </w:r>
      <w:r>
        <w:rPr>
          <w:rStyle w:val="FootnoteReference"/>
          <w:rFonts w:ascii="Times New Roman" w:eastAsia="Times New Roman" w:hAnsi="Times New Roman" w:cs="Times New Roman"/>
          <w:noProof/>
          <w:color w:val="000000" w:themeColor="text1"/>
          <w:sz w:val="24"/>
          <w:szCs w:val="24"/>
        </w:rPr>
        <w:footnoteReference w:id="104"/>
      </w:r>
      <w:r>
        <w:rPr>
          <w:rFonts w:ascii="Times New Roman" w:hAnsi="Times New Roman"/>
          <w:noProof/>
          <w:color w:val="000000" w:themeColor="text1"/>
          <w:sz w:val="24"/>
          <w:szCs w:val="24"/>
        </w:rPr>
        <w:t xml:space="preserve"> na tržište. </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Konačno, gospodarski učinak kiberkrađe poslovnih tajni mogao bi se drastično smanjiti </w:t>
      </w:r>
      <w:r>
        <w:rPr>
          <w:rFonts w:ascii="Times New Roman" w:hAnsi="Times New Roman"/>
          <w:b/>
          <w:bCs/>
          <w:noProof/>
          <w:color w:val="000000" w:themeColor="text1"/>
          <w:sz w:val="24"/>
          <w:szCs w:val="24"/>
        </w:rPr>
        <w:t>informiranjem o kibersigurnosti i vještim upravljanjem intelektualnim vlasništvom</w:t>
      </w:r>
      <w:r>
        <w:rPr>
          <w:rFonts w:ascii="Times New Roman" w:hAnsi="Times New Roman"/>
          <w:noProof/>
          <w:color w:val="000000" w:themeColor="text1"/>
          <w:sz w:val="24"/>
          <w:szCs w:val="24"/>
        </w:rPr>
        <w:t>. U okviru strategije za sigurnosnu uniju</w:t>
      </w:r>
      <w:r>
        <w:rPr>
          <w:rStyle w:val="FootnoteReference"/>
          <w:rFonts w:ascii="Times New Roman" w:eastAsia="Times New Roman" w:hAnsi="Times New Roman" w:cs="Times New Roman"/>
          <w:noProof/>
          <w:color w:val="000000" w:themeColor="text1"/>
          <w:sz w:val="24"/>
          <w:szCs w:val="24"/>
        </w:rPr>
        <w:footnoteReference w:id="105"/>
      </w:r>
      <w:r>
        <w:rPr>
          <w:rFonts w:ascii="Times New Roman" w:hAnsi="Times New Roman"/>
          <w:noProof/>
          <w:color w:val="000000" w:themeColor="text1"/>
          <w:sz w:val="24"/>
          <w:szCs w:val="24"/>
        </w:rPr>
        <w:t xml:space="preserve"> i mjera za jačanje vještina na području kibersigurnosti i informiranosti navedenih u njoj Komisija će, u suradnji s EUIPO-om, državama članicama i poslovnom zajednicom, razviti alate za informiranje i ciljane smjernice kako bi se povećala otpornost poduzeća iz EU-a (posebno MSP-ova) na kiberkrađe poslovnih tajni.</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Kako bi se borila protiv povreda prava intelektualnog vlasništva, Komisija će:</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pojasniti i ažurirati </w:t>
      </w:r>
      <w:r>
        <w:rPr>
          <w:rFonts w:ascii="Times New Roman" w:hAnsi="Times New Roman"/>
          <w:b/>
          <w:noProof/>
          <w:color w:val="000000" w:themeColor="text1"/>
          <w:sz w:val="24"/>
          <w:szCs w:val="24"/>
        </w:rPr>
        <w:t>odgovornosti u području digitalnih usluga, posebno internetskih platformi</w:t>
      </w:r>
      <w:r>
        <w:rPr>
          <w:rFonts w:ascii="Times New Roman" w:hAnsi="Times New Roman"/>
          <w:noProof/>
          <w:color w:val="000000" w:themeColor="text1"/>
          <w:sz w:val="24"/>
          <w:szCs w:val="24"/>
        </w:rPr>
        <w:t>, putem Akta o digitalnim uslugama (četvrto tromjesečje 2020.),</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ojačati ulogu OLAF-a u borbi protiv krivotvorenja i piratstva (2022.),</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szCs w:val="24"/>
        </w:rPr>
        <w:t>izraditi paket instrumenata EU-a za borbu protiv krivotvorenja</w:t>
      </w:r>
      <w:r>
        <w:rPr>
          <w:rFonts w:ascii="Times New Roman" w:hAnsi="Times New Roman"/>
          <w:noProof/>
          <w:color w:val="000000" w:themeColor="text1"/>
          <w:sz w:val="24"/>
          <w:szCs w:val="24"/>
        </w:rPr>
        <w:t>, kojim će se utvrditi načela za zajedničko djelovanje, suradnju i razmjenu podataka među nositeljima prava, posrednicima i tijelima za izvršavanje zakonodavstva (drugo tromjesečje 2022.).</w:t>
      </w:r>
    </w:p>
    <w:p>
      <w:pPr>
        <w:pStyle w:val="Heading2"/>
        <w:numPr>
          <w:ilvl w:val="0"/>
          <w:numId w:val="7"/>
        </w:numPr>
        <w:spacing w:before="360" w:after="120" w:line="240" w:lineRule="auto"/>
        <w:ind w:left="357" w:hanging="357"/>
        <w:jc w:val="both"/>
        <w:rPr>
          <w:rFonts w:ascii="Times New Roman" w:eastAsia="Times New Roman" w:hAnsi="Times New Roman" w:cs="Times New Roman"/>
          <w:b/>
          <w:bCs/>
          <w:noProof/>
          <w:color w:val="000000" w:themeColor="text1"/>
          <w:sz w:val="28"/>
          <w:szCs w:val="28"/>
        </w:rPr>
      </w:pPr>
      <w:r>
        <w:rPr>
          <w:rFonts w:ascii="Times New Roman" w:hAnsi="Times New Roman"/>
          <w:b/>
          <w:bCs/>
          <w:smallCaps/>
          <w:noProof/>
          <w:color w:val="000000" w:themeColor="text1"/>
          <w:sz w:val="28"/>
          <w:szCs w:val="28"/>
        </w:rPr>
        <w:t>POŠTENE PRAKSE NA GLOBALNOJ RAZINI</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Intelektualno vlasništvo ima veliku ulogu u trgovini i ulaganjima te u našim odnosima sa zemljama koje nisu članice EU-a. Čak 93 % izvoza robe EU-a u ostatak svijeta dolazi iz industrija koje se intenzivno koriste pravima intelektualnog vlasništva</w:t>
      </w:r>
      <w:r>
        <w:rPr>
          <w:rFonts w:ascii="Times New Roman" w:eastAsia="Times New Roman" w:hAnsi="Times New Roman" w:cs="Times New Roman"/>
          <w:noProof/>
          <w:color w:val="000000" w:themeColor="text1"/>
          <w:sz w:val="24"/>
          <w:szCs w:val="24"/>
          <w:vertAlign w:val="superscript"/>
        </w:rPr>
        <w:footnoteReference w:id="106"/>
      </w:r>
      <w:r>
        <w:rPr>
          <w:rFonts w:ascii="Times New Roman" w:hAnsi="Times New Roman"/>
          <w:noProof/>
          <w:color w:val="000000" w:themeColor="text1"/>
          <w:sz w:val="24"/>
          <w:szCs w:val="24"/>
        </w:rPr>
        <w:t>. Sve više zemalja u svim dijelovima svijeta koristi se intelektualnim vlasništvom kako bi potaknule svoj razvoj i nacionalnu konkurentnost. Politike za zaštitu intelektualnog vlasništva geopolitički sve su važnije</w:t>
      </w:r>
      <w:r>
        <w:rPr>
          <w:rStyle w:val="FootnoteReference"/>
          <w:rFonts w:ascii="Times New Roman" w:eastAsia="Times New Roman" w:hAnsi="Times New Roman" w:cs="Times New Roman"/>
          <w:noProof/>
          <w:color w:val="000000" w:themeColor="text1"/>
          <w:sz w:val="24"/>
          <w:szCs w:val="24"/>
          <w:lang w:val="en-IE"/>
        </w:rPr>
        <w:footnoteReference w:id="107"/>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Naša se poduzeća pri poslovanju u inozemstvu moraju moći oslanjati na stabilne ravnopravne uvjete na globalnoj razini. Međutim, pokazalo se</w:t>
      </w:r>
      <w:r>
        <w:rPr>
          <w:rStyle w:val="FootnoteReference"/>
          <w:rFonts w:ascii="Times New Roman" w:eastAsia="Times New Roman" w:hAnsi="Times New Roman" w:cs="Times New Roman"/>
          <w:noProof/>
          <w:color w:val="000000" w:themeColor="text1"/>
          <w:sz w:val="24"/>
          <w:szCs w:val="24"/>
        </w:rPr>
        <w:footnoteReference w:id="108"/>
      </w:r>
      <w:r>
        <w:rPr>
          <w:rFonts w:ascii="Times New Roman" w:hAnsi="Times New Roman"/>
          <w:noProof/>
          <w:color w:val="000000" w:themeColor="text1"/>
          <w:sz w:val="24"/>
          <w:szCs w:val="24"/>
        </w:rPr>
        <w:t xml:space="preserve"> da se i dalje suočavaju s velikim poteškoćama kad posluju u zemljama izvan EU-a, primjerice nedostatnim propisima o intelektualnom vlasništvu i njihovom nedostatnom primjenom, prisilnim prijenosom tehnologije i drugim nepoštenim praksama – ograničavanjem prava intelektualnog vlasništva nad rezultatima zajedničkih istraživanja, vrlo općenitim izvanteritorijalnim zabranama pokretanja postupka i kiberkrađom.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 xml:space="preserve">Zahvaljujući svojem velikom jedinstvenom tržištu </w:t>
      </w:r>
      <w:r>
        <w:rPr>
          <w:rFonts w:ascii="Times New Roman" w:hAnsi="Times New Roman"/>
          <w:b/>
          <w:bCs/>
          <w:noProof/>
          <w:sz w:val="24"/>
          <w:szCs w:val="24"/>
        </w:rPr>
        <w:t>EU je u jedinstvenom položaju da postavlja standarde u području intelektualnog vlasništva</w:t>
      </w:r>
      <w:r>
        <w:rPr>
          <w:rFonts w:ascii="Times New Roman" w:hAnsi="Times New Roman"/>
          <w:noProof/>
          <w:sz w:val="24"/>
          <w:szCs w:val="24"/>
        </w:rPr>
        <w:t xml:space="preserve">. On se može boriti za stabilan i učinkovit globalni okvir za intelektualno vlasništvo te će to i dalje činiti. </w:t>
      </w:r>
      <w:r>
        <w:rPr>
          <w:rFonts w:ascii="Times New Roman" w:hAnsi="Times New Roman"/>
          <w:noProof/>
          <w:color w:val="000000" w:themeColor="text1"/>
          <w:sz w:val="24"/>
          <w:szCs w:val="24"/>
        </w:rPr>
        <w:t xml:space="preserve">Istodobno se moramo </w:t>
      </w:r>
      <w:r>
        <w:rPr>
          <w:rFonts w:ascii="Times New Roman" w:hAnsi="Times New Roman"/>
          <w:b/>
          <w:bCs/>
          <w:noProof/>
          <w:color w:val="000000" w:themeColor="text1"/>
          <w:sz w:val="24"/>
          <w:szCs w:val="24"/>
        </w:rPr>
        <w:t>bolje zaštititi od krađe intelektualnog vlasništva</w:t>
      </w:r>
      <w:r>
        <w:rPr>
          <w:rFonts w:ascii="Times New Roman" w:hAnsi="Times New Roman"/>
          <w:noProof/>
          <w:color w:val="000000" w:themeColor="text1"/>
          <w:sz w:val="24"/>
          <w:szCs w:val="24"/>
        </w:rPr>
        <w:t>, špijunaže i drugih zlouporaba intelektualnog vlasništva počinjenih izvan EU-a, ali koje utječu na europska tržišta. Osim toga, države članice trebale bi posebno obratiti pažnju na učinkovitu zaštitu intelektualnog vlasništva u području kritičnih tehnologija kako bi se osigurala naša otpornost u strateškim sektorima.</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Kako bi se to postiglo, Komisija će poduzeti sljedeće:</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 xml:space="preserve">U kontekstu </w:t>
      </w:r>
      <w:r>
        <w:rPr>
          <w:rFonts w:ascii="Times New Roman" w:hAnsi="Times New Roman"/>
          <w:b/>
          <w:bCs/>
          <w:noProof/>
          <w:sz w:val="24"/>
          <w:szCs w:val="24"/>
        </w:rPr>
        <w:t>sporazumâ o slobodnoj trgovini</w:t>
      </w:r>
      <w:r>
        <w:rPr>
          <w:rFonts w:ascii="Times New Roman" w:hAnsi="Times New Roman"/>
          <w:noProof/>
          <w:sz w:val="24"/>
          <w:szCs w:val="24"/>
        </w:rPr>
        <w:t xml:space="preserve"> Komisija će i dalje nastojati u njih uključiti ambiciozna poglavlja o intelektualnom vlasništvu i visoke standarde zaštite kako bi se osigurali jednaki uvjeti za poduzeća iz EU-a i potaknuo gospodarski rast.</w:t>
      </w:r>
      <w:r>
        <w:rPr>
          <w:rFonts w:ascii="Times New Roman" w:hAnsi="Times New Roman"/>
          <w:noProof/>
          <w:color w:val="000000" w:themeColor="text1"/>
          <w:sz w:val="24"/>
          <w:szCs w:val="24"/>
        </w:rPr>
        <w:t xml:space="preserve"> Nastojat će u potpunosti provesti odredbe o intelektualnom vlasništvu u postojećim sporazumima o slobodnoj trgovini, među ostalim i rješavanjem sporova te, ovisno o slučaju, primjenom Uredbe o ostvarivanju prava nakon što se ona izmijeni.</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 xml:space="preserve">Komisija će u potpunosti iskoristiti priliku za </w:t>
      </w:r>
      <w:r>
        <w:rPr>
          <w:rFonts w:ascii="Times New Roman" w:hAnsi="Times New Roman"/>
          <w:b/>
          <w:bCs/>
          <w:noProof/>
          <w:sz w:val="24"/>
          <w:szCs w:val="24"/>
        </w:rPr>
        <w:t>dijalog o intelektualnom vlasništvu</w:t>
      </w:r>
      <w:r>
        <w:rPr>
          <w:rFonts w:ascii="Times New Roman" w:hAnsi="Times New Roman"/>
          <w:noProof/>
          <w:sz w:val="24"/>
          <w:szCs w:val="24"/>
        </w:rPr>
        <w:t xml:space="preserve"> s glavnim trgovinskim partnerima i drugim prioritetnim zemljama, kao što su Sjedinjene Američke Države, Kina, Republika Koreja, Tajland, Turska i Brazil, kako bi promicala reforme, a dodatno će povećati i doseg svojih ključnih programa za intelektualno vlasništvo u okviru kojih nudi tehničku suradnju u Kini, jugoistočnoj Aziji i Latinskoj Americi.</w:t>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Nastavit će promicati ravnopravne uvjete na globalnoj razini te istodobno nastojati pojačati zaštitu poduzeća iz EU-a od nepoštenih praksi. Pri tome će se koristiti </w:t>
      </w:r>
      <w:r>
        <w:rPr>
          <w:rFonts w:ascii="Times New Roman" w:hAnsi="Times New Roman"/>
          <w:b/>
          <w:bCs/>
          <w:noProof/>
          <w:color w:val="000000" w:themeColor="text1"/>
          <w:sz w:val="24"/>
          <w:szCs w:val="24"/>
        </w:rPr>
        <w:t>popisom za praćenje krivotvorina i piratstva</w:t>
      </w:r>
      <w:r>
        <w:rPr>
          <w:rStyle w:val="FootnoteReference"/>
          <w:rFonts w:ascii="Times New Roman" w:eastAsia="Times New Roman" w:hAnsi="Times New Roman" w:cs="Times New Roman"/>
          <w:noProof/>
          <w:color w:val="000000" w:themeColor="text1"/>
          <w:sz w:val="24"/>
          <w:szCs w:val="24"/>
          <w:lang w:val="en-IE"/>
        </w:rPr>
        <w:footnoteReference w:id="109"/>
      </w:r>
      <w:r>
        <w:rPr>
          <w:rFonts w:ascii="Times New Roman" w:hAnsi="Times New Roman"/>
          <w:noProof/>
          <w:color w:val="000000" w:themeColor="text1"/>
          <w:sz w:val="24"/>
          <w:szCs w:val="24"/>
        </w:rPr>
        <w:t xml:space="preserve">, u kojem su prijavljena tržišta i pružatelji usluga koji se već bave krivotvorenjem i piratstvom, omogućuju ga ili od njega imaju koristi, i </w:t>
      </w:r>
      <w:r>
        <w:rPr>
          <w:rFonts w:ascii="Times New Roman" w:hAnsi="Times New Roman"/>
          <w:b/>
          <w:bCs/>
          <w:noProof/>
          <w:color w:val="000000" w:themeColor="text1"/>
          <w:sz w:val="24"/>
          <w:szCs w:val="24"/>
        </w:rPr>
        <w:t>izvješćem o trećim zemljama</w:t>
      </w:r>
      <w:r>
        <w:rPr>
          <w:rStyle w:val="FootnoteReference"/>
          <w:rFonts w:ascii="Times New Roman" w:eastAsia="Times New Roman" w:hAnsi="Times New Roman" w:cs="Times New Roman"/>
          <w:noProof/>
          <w:color w:val="000000" w:themeColor="text1"/>
          <w:sz w:val="24"/>
          <w:szCs w:val="24"/>
          <w:lang w:val="en-IE"/>
        </w:rPr>
        <w:footnoteReference w:id="110"/>
      </w:r>
      <w:r>
        <w:rPr>
          <w:rFonts w:ascii="Times New Roman" w:hAnsi="Times New Roman"/>
          <w:noProof/>
          <w:color w:val="000000" w:themeColor="text1"/>
          <w:sz w:val="24"/>
          <w:szCs w:val="24"/>
        </w:rPr>
        <w:t xml:space="preserve">, gdje su navedene treće zemlje u kojima je razina zaštite i provedbe prava intelektualnog vlasništva (na internetu i izvan njega) najviše zabrinjavajuća. Taj popis i Izvješće redovito će se ažurirati, a mjere za uklanjanje utvrđenih nedostataka pomno će se pratiti.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Nadalje, Komisija je u svojim smjernicama o izravnim stranim ulaganjima i zaštiti europske strateške imovine iz ožujka 2020. pozvala države članice da u potpunosti iskoriste mehanizme za </w:t>
      </w:r>
      <w:r>
        <w:rPr>
          <w:rFonts w:ascii="Times New Roman" w:hAnsi="Times New Roman"/>
          <w:b/>
          <w:noProof/>
          <w:color w:val="000000" w:themeColor="text1"/>
          <w:sz w:val="24"/>
          <w:szCs w:val="24"/>
        </w:rPr>
        <w:t>provjeru stranih ulaganja</w:t>
      </w:r>
      <w:r>
        <w:rPr>
          <w:rFonts w:ascii="Times New Roman" w:hAnsi="Times New Roman"/>
          <w:noProof/>
          <w:color w:val="000000" w:themeColor="text1"/>
          <w:sz w:val="24"/>
          <w:szCs w:val="24"/>
        </w:rPr>
        <w:t>, a one koje još nemaju takav mehanizam da uspostave sveobuhvatan mehanizam za provjeru ulaganja kako bi riješile pitanja sigurnosti i pravnog poretka povezana s izravnim stranim ulaganjima ključnog intelektualnog vlasništva u Europskoj uniji</w:t>
      </w:r>
      <w:r>
        <w:rPr>
          <w:rFonts w:ascii="Times New Roman" w:eastAsia="Times New Roman" w:hAnsi="Times New Roman" w:cs="Times New Roman"/>
          <w:noProof/>
          <w:color w:val="000000" w:themeColor="text1"/>
          <w:sz w:val="24"/>
          <w:szCs w:val="24"/>
          <w:vertAlign w:val="superscript"/>
          <w:lang w:val="en-US"/>
        </w:rPr>
        <w:footnoteReference w:id="111"/>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Komisija također smatra da je potrebno osigurati da sve zemlje izvan EU-a i njihova poduzeća poštuju pravila, među ostalim kad surađuju s europskim istraživačkim organizacijama. </w:t>
      </w:r>
      <w:r>
        <w:rPr>
          <w:rFonts w:ascii="Times New Roman" w:hAnsi="Times New Roman"/>
          <w:noProof/>
          <w:sz w:val="24"/>
          <w:szCs w:val="24"/>
        </w:rPr>
        <w:t xml:space="preserve">U tu svrhu će se razviti </w:t>
      </w:r>
      <w:r>
        <w:rPr>
          <w:rFonts w:ascii="Times New Roman" w:hAnsi="Times New Roman"/>
          <w:b/>
          <w:bCs/>
          <w:noProof/>
          <w:sz w:val="24"/>
          <w:szCs w:val="24"/>
        </w:rPr>
        <w:t>novi okvirni uvjeti za međunarodnu suradnju u području istraživanja sa subjektima u zemljama izvan EU-a</w:t>
      </w:r>
      <w:r>
        <w:rPr>
          <w:rFonts w:ascii="Times New Roman" w:hAnsi="Times New Roman"/>
          <w:noProof/>
          <w:sz w:val="24"/>
          <w:szCs w:val="24"/>
        </w:rPr>
        <w:t>.</w:t>
      </w:r>
      <w:r>
        <w:rPr>
          <w:rFonts w:ascii="Times New Roman" w:hAnsi="Times New Roman"/>
          <w:noProof/>
          <w:color w:val="000000" w:themeColor="text1"/>
          <w:sz w:val="24"/>
          <w:szCs w:val="24"/>
        </w:rPr>
        <w:t xml:space="preserve"> Oni će osigurati pravedan globalni inovacijski ekosustav koji ne dovodi do narušavanja i temelji se na jednakim uvjetima i reciprocitetu, zadržavajući pritom visoke etičke standarde i znanstveni integritet. Stoga će Komisija izdati smjernice o stranim uplitanjima usmjerenima na sveučilišta i visoka učilišta EU-a kako bi ih upozorila na moguće krađe intelektualnog vlasništva prilikom međunarodne suradnje (2021.).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U području vanjskih poslova Komisija će, u suradnji s Visokim predstavnikom i državama članicama, biti spremna primijeniti dostupne mjere ograničavanja za borbu protiv </w:t>
      </w:r>
      <w:r>
        <w:rPr>
          <w:rFonts w:ascii="Times New Roman" w:hAnsi="Times New Roman"/>
          <w:b/>
          <w:bCs/>
          <w:noProof/>
          <w:color w:val="000000" w:themeColor="text1"/>
          <w:sz w:val="24"/>
          <w:szCs w:val="24"/>
        </w:rPr>
        <w:t>kiberšpijunaže</w:t>
      </w:r>
      <w:r>
        <w:rPr>
          <w:rFonts w:ascii="Times New Roman" w:hAnsi="Times New Roman"/>
          <w:noProof/>
          <w:color w:val="000000" w:themeColor="text1"/>
          <w:sz w:val="24"/>
          <w:szCs w:val="24"/>
        </w:rPr>
        <w:t xml:space="preserve"> koju prakticiraju privatna i državna tijela radi stjecanja najsuvremenijeg europskog intelektualnog vlasništva</w:t>
      </w:r>
      <w:r>
        <w:rPr>
          <w:rStyle w:val="FootnoteReference"/>
          <w:rFonts w:ascii="Times New Roman" w:eastAsia="Times New Roman" w:hAnsi="Times New Roman" w:cs="Times New Roman"/>
          <w:noProof/>
          <w:color w:val="000000" w:themeColor="text1"/>
          <w:sz w:val="24"/>
          <w:szCs w:val="24"/>
        </w:rPr>
        <w:footnoteReference w:id="112"/>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 xml:space="preserve">Iznimno je važno da </w:t>
      </w:r>
      <w:r>
        <w:rPr>
          <w:rFonts w:ascii="Times New Roman" w:hAnsi="Times New Roman"/>
          <w:b/>
          <w:bCs/>
          <w:noProof/>
          <w:sz w:val="24"/>
          <w:szCs w:val="24"/>
        </w:rPr>
        <w:t xml:space="preserve">EU nastupa snažno i ujedinjeno </w:t>
      </w:r>
      <w:r>
        <w:rPr>
          <w:rFonts w:ascii="Times New Roman" w:hAnsi="Times New Roman"/>
          <w:noProof/>
          <w:sz w:val="24"/>
          <w:szCs w:val="24"/>
        </w:rPr>
        <w:t>na globalnim forumima kao što su Svjetska organizacija za intelektualno vlasništvo (WIPO), Svjetska trgovinska organizacija (WTO), Međunarodna unija za zaštitu novih biljnih sorti (UPOV), Svjetska zdravstvena organizacija (WHO) i Organizacija za gospodarsku suradnju i razvoj (OECD). Komisija će surađivati s državama članicama i drugim dionicima na utvrđivanju i očuvanju globalnih standarda za zaštitu intelektualnog vlasništva i najboljih mogućih rješenja za nove izazove, kao što je potreba za osiguravanjem jednakog pristupa terapijama, cjepivima i dijagnostici u borbi protiv bolesti COVID-19.</w:t>
      </w:r>
      <w:r>
        <w:rPr>
          <w:rFonts w:ascii="Times New Roman" w:hAnsi="Times New Roman"/>
          <w:noProof/>
          <w:color w:val="000000" w:themeColor="text1"/>
          <w:sz w:val="24"/>
          <w:szCs w:val="24"/>
        </w:rPr>
        <w:t xml:space="preserve"> Rasprava u WIPO-u o implikacijama umjetne inteligencije za intelektualno vlasništvo također predstavlja jedinstvenu priliku da Europa iskoristi svoj utjecaj u trenutku donošenja odluka, što može imati dugotrajan učinak na digitalnu transformaciju cijeloga svjetskoga gospodarstva.</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Kako bi zaštitila vrijednost robnih marki, Komisija će razmotriti </w:t>
      </w:r>
      <w:r>
        <w:rPr>
          <w:rFonts w:ascii="Times New Roman" w:hAnsi="Times New Roman"/>
          <w:b/>
          <w:noProof/>
          <w:color w:val="000000" w:themeColor="text1"/>
          <w:sz w:val="24"/>
          <w:szCs w:val="24"/>
        </w:rPr>
        <w:t>pristupanje EU-a Singapurskom ugovoru o pravu žiga</w:t>
      </w:r>
      <w:r>
        <w:rPr>
          <w:rFonts w:ascii="Times New Roman" w:hAnsi="Times New Roman"/>
          <w:noProof/>
          <w:color w:val="000000" w:themeColor="text1"/>
          <w:sz w:val="24"/>
          <w:szCs w:val="24"/>
        </w:rPr>
        <w:t xml:space="preserve">. Surađivat će s međunarodnim partnerima u zaštiti oznaka zemljopisnog podrijetla u cijelom svijetu putem multilateralnog lisabonskog registra WIPO-a. </w:t>
      </w:r>
      <w:r>
        <w:rPr>
          <w:rFonts w:ascii="Times New Roman" w:hAnsi="Times New Roman"/>
          <w:noProof/>
          <w:sz w:val="24"/>
          <w:szCs w:val="24"/>
        </w:rPr>
        <w:t>Osim toga, aktivnije će sudjelovati na globalnim internetskim forumima kako bi se osiguralo da se međunarodnim sustavom naziva domena u potpunosti poštuju prava intelektualnog vlasništva, uključujući oznake zemljopisnog podrijetla, i da se zaštita intelektualnog vlasništva na odgovarajući način odražava u politikama o upravljanju prostorima naziva domena i pristupu informacijama o korisnicima domene („WHOIS”).</w:t>
      </w:r>
      <w:r>
        <w:rPr>
          <w:rFonts w:ascii="Times New Roman" w:hAnsi="Times New Roman"/>
          <w:noProof/>
          <w:color w:val="000000" w:themeColor="text1"/>
          <w:sz w:val="24"/>
          <w:szCs w:val="24"/>
        </w:rPr>
        <w:t xml:space="preserve"> U području </w:t>
      </w:r>
      <w:r>
        <w:rPr>
          <w:rFonts w:ascii="Times New Roman" w:hAnsi="Times New Roman"/>
          <w:b/>
          <w:bCs/>
          <w:noProof/>
          <w:color w:val="000000" w:themeColor="text1"/>
          <w:sz w:val="24"/>
          <w:szCs w:val="24"/>
        </w:rPr>
        <w:t>autorskog prava</w:t>
      </w:r>
      <w:r>
        <w:rPr>
          <w:rFonts w:ascii="Times New Roman" w:hAnsi="Times New Roman"/>
          <w:noProof/>
          <w:color w:val="000000" w:themeColor="text1"/>
          <w:sz w:val="24"/>
          <w:szCs w:val="24"/>
        </w:rPr>
        <w:t xml:space="preserve"> Komisija će i dalje biti aktivna u pregovorima WOIP-a kako bi se postigao dogovor o novom ugovoru o međunarodnoj zaštiti organizacija za </w:t>
      </w:r>
      <w:r>
        <w:rPr>
          <w:rFonts w:ascii="Times New Roman" w:hAnsi="Times New Roman"/>
          <w:b/>
          <w:bCs/>
          <w:noProof/>
          <w:color w:val="000000" w:themeColor="text1"/>
          <w:sz w:val="24"/>
          <w:szCs w:val="24"/>
        </w:rPr>
        <w:t>radiodifuziju</w:t>
      </w:r>
      <w:r>
        <w:rPr>
          <w:rFonts w:ascii="Times New Roman" w:hAnsi="Times New Roman"/>
          <w:noProof/>
          <w:color w:val="000000" w:themeColor="text1"/>
          <w:sz w:val="24"/>
          <w:szCs w:val="24"/>
        </w:rPr>
        <w:t xml:space="preserve">. </w:t>
      </w:r>
      <w:r>
        <w:rPr>
          <w:rFonts w:ascii="Times New Roman" w:hAnsi="Times New Roman"/>
          <w:noProof/>
          <w:sz w:val="24"/>
          <w:szCs w:val="24"/>
        </w:rPr>
        <w:t xml:space="preserve">Nastojat će i osigurati da EU ratificira </w:t>
      </w:r>
      <w:r>
        <w:rPr>
          <w:rFonts w:ascii="Times New Roman" w:hAnsi="Times New Roman"/>
          <w:b/>
          <w:bCs/>
          <w:noProof/>
          <w:sz w:val="24"/>
          <w:szCs w:val="24"/>
        </w:rPr>
        <w:t>Pekinški ugovor WIPO-a</w:t>
      </w:r>
      <w:r>
        <w:rPr>
          <w:rFonts w:ascii="Times New Roman" w:hAnsi="Times New Roman"/>
          <w:noProof/>
          <w:sz w:val="24"/>
          <w:szCs w:val="24"/>
        </w:rPr>
        <w:t xml:space="preserve"> (koji je EU potpisao 2013.), kojim se osigurava međunarodna zaštita audiovizualne izvedbe.</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Komisija će i dalje pomagati europskim poduzećima u inozemstvu. Osim postojećih međunarodnih </w:t>
      </w:r>
      <w:r>
        <w:rPr>
          <w:rFonts w:ascii="Times New Roman" w:hAnsi="Times New Roman"/>
          <w:b/>
          <w:bCs/>
          <w:noProof/>
          <w:color w:val="000000" w:themeColor="text1"/>
          <w:sz w:val="24"/>
          <w:szCs w:val="24"/>
        </w:rPr>
        <w:t>službi za pomoć u području intelektualnog vlasništva za MSP-ove</w:t>
      </w:r>
      <w:r>
        <w:rPr>
          <w:rFonts w:ascii="Times New Roman" w:hAnsi="Times New Roman"/>
          <w:noProof/>
          <w:color w:val="000000" w:themeColor="text1"/>
          <w:sz w:val="24"/>
          <w:szCs w:val="24"/>
        </w:rPr>
        <w:t xml:space="preserve"> u Kini, jugoistočnoj Aziji i Latinskoj Americi</w:t>
      </w:r>
      <w:r>
        <w:rPr>
          <w:rStyle w:val="FootnoteReference"/>
          <w:rFonts w:ascii="Times New Roman" w:eastAsia="Times New Roman" w:hAnsi="Times New Roman" w:cs="Times New Roman"/>
          <w:noProof/>
          <w:color w:val="000000" w:themeColor="text1"/>
          <w:sz w:val="24"/>
          <w:szCs w:val="24"/>
        </w:rPr>
        <w:footnoteReference w:id="113"/>
      </w:r>
      <w:r>
        <w:rPr>
          <w:rFonts w:ascii="Times New Roman" w:hAnsi="Times New Roman"/>
          <w:noProof/>
          <w:color w:val="000000" w:themeColor="text1"/>
          <w:sz w:val="24"/>
          <w:szCs w:val="24"/>
        </w:rPr>
        <w:t xml:space="preserve">, osnovat će novu takvu službu za pomoć europskim poduzećima u Indiji (početak 2021.). </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Konačno, Komisija će </w:t>
      </w:r>
      <w:r>
        <w:rPr>
          <w:rFonts w:ascii="Times New Roman" w:hAnsi="Times New Roman"/>
          <w:b/>
          <w:bCs/>
          <w:noProof/>
          <w:color w:val="000000" w:themeColor="text1"/>
          <w:sz w:val="24"/>
          <w:szCs w:val="24"/>
        </w:rPr>
        <w:t>zemljama u razvoju intenzivnije pružati stručnu tehničku pomoć</w:t>
      </w:r>
      <w:r>
        <w:rPr>
          <w:rFonts w:ascii="Times New Roman" w:hAnsi="Times New Roman"/>
          <w:noProof/>
          <w:color w:val="000000" w:themeColor="text1"/>
          <w:sz w:val="24"/>
          <w:szCs w:val="24"/>
        </w:rPr>
        <w:t xml:space="preserve"> kako bi najbolje iskoristile intelektualno vlasništvo za svoj gospodarski rast. Primjerice, u okviru akcijskog plana za prava intelektualnog vlasništva u Africi, promicat će kvalitetnije stvaranje i zaštitu intelektualnog vlasništva i upravljanje njime (uključujući oznake zemljopisnog podrijetla</w:t>
      </w:r>
      <w:r>
        <w:rPr>
          <w:rFonts w:ascii="Times New Roman" w:eastAsia="Times New Roman" w:hAnsi="Times New Roman" w:cs="Times New Roman"/>
          <w:noProof/>
          <w:color w:val="000000" w:themeColor="text1"/>
          <w:sz w:val="24"/>
          <w:szCs w:val="24"/>
          <w:vertAlign w:val="superscript"/>
          <w:lang w:val="en-US"/>
        </w:rPr>
        <w:footnoteReference w:id="114"/>
      </w:r>
      <w:r>
        <w:rPr>
          <w:rFonts w:ascii="Times New Roman" w:hAnsi="Times New Roman"/>
          <w:noProof/>
          <w:color w:val="000000" w:themeColor="text1"/>
          <w:sz w:val="24"/>
          <w:szCs w:val="24"/>
        </w:rPr>
        <w:t>) na tom kontinentu</w:t>
      </w:r>
      <w:r>
        <w:rPr>
          <w:rStyle w:val="FootnoteReference"/>
          <w:rFonts w:ascii="Times New Roman" w:eastAsia="Times New Roman" w:hAnsi="Times New Roman" w:cs="Times New Roman"/>
          <w:noProof/>
          <w:color w:val="000000" w:themeColor="text1"/>
          <w:sz w:val="24"/>
          <w:szCs w:val="24"/>
        </w:rPr>
        <w:footnoteReference w:id="115"/>
      </w:r>
      <w:r>
        <w:rPr>
          <w:rFonts w:ascii="Times New Roman" w:hAnsi="Times New Roman"/>
          <w:noProof/>
          <w:color w:val="000000" w:themeColor="text1"/>
          <w:sz w:val="24"/>
          <w:szCs w:val="24"/>
        </w:rPr>
        <w:t xml:space="preserve">. </w:t>
      </w:r>
    </w:p>
    <w:p>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 xml:space="preserve">Suradnja s državama članicama i dionicima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Komisija računa na to da će Europski parlament i Vijeće, kao i svi dionici, podržati ovaj akcijski plan i mjere koje su u njega uključene te pomoći u njihovoj provedbi.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Također poziva države članice da razviju </w:t>
      </w:r>
      <w:r>
        <w:rPr>
          <w:rFonts w:ascii="Times New Roman" w:hAnsi="Times New Roman"/>
          <w:b/>
          <w:bCs/>
          <w:noProof/>
          <w:color w:val="000000" w:themeColor="text1"/>
          <w:sz w:val="24"/>
          <w:szCs w:val="24"/>
        </w:rPr>
        <w:t>nacionalne politike i strategije u području intelektualnog vlasništva</w:t>
      </w:r>
      <w:r>
        <w:rPr>
          <w:rFonts w:ascii="Times New Roman" w:hAnsi="Times New Roman"/>
          <w:noProof/>
          <w:color w:val="000000" w:themeColor="text1"/>
          <w:sz w:val="24"/>
          <w:szCs w:val="24"/>
        </w:rPr>
        <w:t xml:space="preserve"> u skladu s ciljevima utvrđenima u ovom akcijskom planu te da bolju zaštitu i provedbu intelektualnog vlasništva učine prioritetom za svoj gospodarski oporavak.</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Komisija će također poticati raspravu među svim relevantnim akterima, posebno u relevantnim sektorskim ekosustavima, kako bi politike u području intelektualnog vlasništva bolje odražavale promjenjive okolnosti i potrebe industrije EU-a, u skladu s Komisijinim planom i izvješćem o strateškim predviđanjima</w:t>
      </w:r>
      <w:r>
        <w:rPr>
          <w:rStyle w:val="FootnoteReference"/>
          <w:rFonts w:ascii="Times New Roman" w:eastAsia="Times New Roman" w:hAnsi="Times New Roman" w:cs="Times New Roman"/>
          <w:noProof/>
          <w:color w:val="000000" w:themeColor="text1"/>
          <w:sz w:val="24"/>
          <w:szCs w:val="24"/>
          <w:lang w:val="en-US"/>
        </w:rPr>
        <w:footnoteReference w:id="116"/>
      </w:r>
      <w:r>
        <w:rPr>
          <w:rFonts w:ascii="Times New Roman" w:hAnsi="Times New Roman"/>
          <w:noProof/>
          <w:color w:val="000000" w:themeColor="text1"/>
          <w:sz w:val="24"/>
          <w:szCs w:val="24"/>
        </w:rPr>
        <w:t xml:space="preserve">. Stoga će održavati redovite rasprave o pitanjima povezanima s intelektualnim vlasništvom u kontekstu postojećih događanja i foruma na kojima se oblikuje industrijska politika. </w:t>
      </w:r>
    </w:p>
    <w:p>
      <w:pPr>
        <w:spacing w:line="240" w:lineRule="auto"/>
        <w:rPr>
          <w:rFonts w:ascii="Times New Roman" w:eastAsia="Times New Roman" w:hAnsi="Times New Roman" w:cs="Times New Roman"/>
          <w:noProof/>
          <w:color w:val="000000" w:themeColor="text1"/>
          <w:sz w:val="24"/>
          <w:szCs w:val="24"/>
        </w:rPr>
      </w:pPr>
      <w:r>
        <w:rPr>
          <w:noProof/>
        </w:rPr>
        <w:br w:type="page"/>
      </w:r>
    </w:p>
    <w:p>
      <w:pPr>
        <w:spacing w:line="240" w:lineRule="auto"/>
        <w:rPr>
          <w:noProof/>
        </w:rPr>
      </w:pPr>
      <w:r>
        <w:rPr>
          <w:rFonts w:ascii="Times New Roman" w:hAnsi="Times New Roman"/>
          <w:b/>
          <w:bCs/>
          <w:smallCaps/>
          <w:noProof/>
          <w:color w:val="000000" w:themeColor="text1"/>
          <w:sz w:val="28"/>
          <w:szCs w:val="28"/>
        </w:rPr>
        <w:t>Dodatak I.</w:t>
      </w:r>
      <w:r>
        <w:rPr>
          <w:noProof/>
        </w:rPr>
        <w:t xml:space="preserve"> </w:t>
      </w:r>
    </w:p>
    <w:p>
      <w:pPr>
        <w:spacing w:line="240" w:lineRule="auto"/>
        <w:rPr>
          <w:rFonts w:ascii="Times New Roman" w:hAnsi="Times New Roman"/>
          <w:b/>
          <w:bCs/>
          <w:smallCaps/>
          <w:noProof/>
          <w:color w:val="000000" w:themeColor="text1"/>
          <w:sz w:val="28"/>
          <w:szCs w:val="28"/>
        </w:rPr>
      </w:pPr>
      <w:r>
        <w:rPr>
          <w:rFonts w:ascii="Times New Roman" w:hAnsi="Times New Roman"/>
          <w:b/>
          <w:bCs/>
          <w:smallCaps/>
          <w:noProof/>
          <w:color w:val="000000" w:themeColor="text1"/>
          <w:sz w:val="28"/>
          <w:szCs w:val="28"/>
        </w:rPr>
        <w:t>Doprinos industrija koje se intenzivno koriste pravima intelektualnog vlasništva zapošljavanju</w:t>
      </w:r>
      <w:r>
        <w:rPr>
          <w:noProof/>
        </w:rPr>
        <w:t xml:space="preserve"> </w:t>
      </w:r>
      <w:r>
        <w:rPr>
          <w:noProof/>
        </w:rPr>
        <w:br/>
      </w:r>
      <w:r>
        <w:rPr>
          <w:rFonts w:ascii="Times New Roman" w:hAnsi="Times New Roman"/>
          <w:b/>
          <w:bCs/>
          <w:smallCaps/>
          <w:noProof/>
          <w:color w:val="000000" w:themeColor="text1"/>
          <w:sz w:val="28"/>
          <w:szCs w:val="28"/>
        </w:rPr>
        <w:t>u industrijskim ekosustavima</w:t>
      </w:r>
    </w:p>
    <w:p>
      <w:pPr>
        <w:spacing w:line="240" w:lineRule="auto"/>
        <w:rPr>
          <w:rFonts w:ascii="Times New Roman" w:eastAsia="Times New Roman" w:hAnsi="Times New Roman" w:cs="Times New Roman"/>
          <w:b/>
          <w:bCs/>
          <w:smallCaps/>
          <w:noProof/>
          <w:color w:val="000000" w:themeColor="text1"/>
          <w:sz w:val="28"/>
          <w:szCs w:val="28"/>
        </w:rPr>
      </w:pPr>
    </w:p>
    <w:p>
      <w:pPr>
        <w:spacing w:line="240" w:lineRule="auto"/>
        <w:rPr>
          <w:noProof/>
        </w:rPr>
      </w:pPr>
      <w:r>
        <w:rPr>
          <w:noProof/>
          <w:lang w:val="en-GB" w:eastAsia="en-GB"/>
        </w:rPr>
        <w:drawing>
          <wp:inline distT="0" distB="0" distL="0" distR="0">
            <wp:extent cx="5655310" cy="52223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5310" cy="5222317"/>
                    </a:xfrm>
                    <a:prstGeom prst="rect">
                      <a:avLst/>
                    </a:prstGeom>
                    <a:noFill/>
                    <a:ln>
                      <a:noFill/>
                    </a:ln>
                  </pic:spPr>
                </pic:pic>
              </a:graphicData>
            </a:graphic>
          </wp:inline>
        </w:drawing>
      </w:r>
    </w:p>
    <w:p>
      <w:pPr>
        <w:spacing w:line="240" w:lineRule="auto"/>
        <w:jc w:val="center"/>
        <w:rPr>
          <w:rFonts w:ascii="Times New Roman" w:hAnsi="Times New Roman" w:cs="Times New Roman"/>
          <w:noProof/>
          <w:sz w:val="20"/>
          <w:szCs w:val="20"/>
        </w:rPr>
      </w:pPr>
      <w:r>
        <w:rPr>
          <w:rFonts w:ascii="Times New Roman" w:hAnsi="Times New Roman"/>
          <w:noProof/>
          <w:sz w:val="20"/>
          <w:szCs w:val="20"/>
        </w:rPr>
        <w:t>Izvor: Izračuni EUIPO-a i Komisije na temelju podataka iz studije „Industrije koje se intenzivno koriste pravima intelektualnog vlasništva i ekonomska učinkovitost u Europskoj uniji”, EPO i EUIPO, 2019.</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U ovom je grafikonu prikazan doprinos industrija koje se intenzivno koriste pravima intelektualnog vlasništva zapošljavanju u različitim industrijskim ekosustavima. Doprinos zdravstvenog ekosustava u području prava intelektualnog vlasništva naizgled je nizak jer doprinos farmaceutskog sektora i sektora medicinskih proizvoda, koji se intenzivno koriste pravima intelektualnog vlasništva, zapošljavanju iznosi samo 6 %, a drugi sektori kao što su bolnice i medicinska skrb ne koriste se intenzivno pravima intelektualnog vlasništva.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U grafikonu je prikazan doprinos poduzeća koja su nositelji prava intelektualnog vlasništva zapošljavanju u EU-u. To znači da je djelomično prikazan utjecaj prava intelektualnog vlasništva na gospodarstvo. On ne odražava širi učinak prava intelektualnog vlasništva na poduzeća koja možda sama nisu nositelji prava intelektualnog vlasništva, ali se koriste elementima zaštićenima pravom intelektualnog vlasništva u svojim proizvodima ili uslugama (npr. nositelji franšize, nositelji tehnološke licencije, podizvođači, ugostiteljstvo ili maloprodajni sektor pri razmjeni proizvoda kulturnih industrija).</w:t>
      </w:r>
    </w:p>
    <w:sectPr>
      <w:headerReference w:type="even" r:id="rId20"/>
      <w:headerReference w:type="default" r:id="rId21"/>
      <w:footerReference w:type="even" r:id="rId22"/>
      <w:footerReference w:type="default" r:id="rId23"/>
      <w:headerReference w:type="first" r:id="rId24"/>
      <w:footerReference w:type="first" r:id="rId25"/>
      <w:pgSz w:w="11906" w:h="16838"/>
      <w:pgMar w:top="1303" w:right="1440" w:bottom="993" w:left="1560" w:header="708" w:footer="1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altName w:val="Arial"/>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24008355"/>
      <w:docPartObj>
        <w:docPartGallery w:val="Page Numbers (Bottom of Page)"/>
        <w:docPartUnique/>
      </w:docPartObj>
    </w:sdtPr>
    <w:sdtEndPr>
      <w:rPr>
        <w:noProof/>
      </w:rPr>
    </w:sdtEnd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p>
    <w:pPr>
      <w:pStyle w:val="Footer"/>
      <w:rPr>
        <w:rFonts w:ascii="Times New Roman" w:hAnsi="Times New Roman" w:cs="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Prema normama SNA2008/ESA2010, kategorijom „proizvodi intelektualnog vlasništva” u sustavima nacionalnih računa obuhvaćen je niz primjera konkretne nematerijalne imovine, kao što su istraživanje i razvoj, istraživanje ruda, računalni softver i baze podataka te zabava, književni ili umjetnički izvornici.</w:t>
      </w:r>
    </w:p>
  </w:footnote>
  <w:footnote w:id="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rPr>
        <w:t>Unlocking investment in intangible assets</w:t>
      </w:r>
      <w:r>
        <w:rPr>
          <w:rFonts w:ascii="Times New Roman" w:hAnsi="Times New Roman"/>
        </w:rPr>
        <w:t xml:space="preserve"> (Usmjeravanje ulaganja u nematerijalnu imovinu), </w:t>
      </w:r>
      <w:hyperlink r:id="rId1" w:history="1">
        <w:r>
          <w:rPr>
            <w:rStyle w:val="Hyperlink"/>
            <w:rFonts w:ascii="Times New Roman" w:hAnsi="Times New Roman"/>
          </w:rPr>
          <w:t>dokument za raspravu Glavne uprave za gospodarske i financijske poslove 047</w:t>
        </w:r>
      </w:hyperlink>
      <w:r>
        <w:rPr>
          <w:rFonts w:ascii="Times New Roman" w:hAnsi="Times New Roman"/>
        </w:rPr>
        <w:t>, svibanj 2017.</w:t>
      </w:r>
    </w:p>
  </w:footnote>
  <w:footnote w:id="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anchor="tab3" w:history="1">
        <w:r>
          <w:rPr>
            <w:rStyle w:val="Hyperlink"/>
            <w:rFonts w:ascii="Times New Roman" w:hAnsi="Times New Roman"/>
          </w:rPr>
          <w:t>Industrije koje se intenzivno koriste pravima intelektualnog vlasništva i ekonomska učinkovitost u EU-u</w:t>
        </w:r>
      </w:hyperlink>
      <w:r>
        <w:rPr>
          <w:rFonts w:ascii="Times New Roman" w:hAnsi="Times New Roman"/>
        </w:rPr>
        <w:t>, EUIPO i EPO, 2019.</w:t>
      </w:r>
    </w:p>
  </w:footnote>
  <w:footnote w:id="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i/>
          <w:iCs/>
        </w:rPr>
        <w:t>Hidden treasures. Mapping Europe’s sources of competitive advantage in doing business</w:t>
      </w:r>
      <w:r>
        <w:rPr>
          <w:rFonts w:ascii="Times New Roman" w:hAnsi="Times New Roman"/>
        </w:rPr>
        <w:t xml:space="preserve"> (Skrivena blaga. Europski izvori konkurentske prednosti u poslovanju), D. Kalff, A. Renda, Centar za studije europskih politika (CEPS), Bruxelles 2019., str. 59.; vidjeti i </w:t>
      </w:r>
      <w:hyperlink r:id="rId3" w:history="1">
        <w:r>
          <w:rPr>
            <w:rStyle w:val="Hyperlink"/>
            <w:rFonts w:ascii="Times New Roman" w:hAnsi="Times New Roman"/>
          </w:rPr>
          <w:t>izvješće o kvaliteti Europskog patentnog ureda</w:t>
        </w:r>
      </w:hyperlink>
      <w:r>
        <w:rPr>
          <w:rFonts w:ascii="Times New Roman" w:hAnsi="Times New Roman"/>
        </w:rPr>
        <w:t>, 2018.</w:t>
      </w:r>
    </w:p>
  </w:footnote>
  <w:footnote w:id="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t xml:space="preserve"> </w:t>
      </w:r>
      <w:hyperlink r:id="rId4" w:history="1">
        <w:r>
          <w:rPr>
            <w:rStyle w:val="Hyperlink"/>
            <w:rFonts w:ascii="Times New Roman" w:hAnsi="Times New Roman"/>
          </w:rPr>
          <w:t>Europska ljestvica rezultata ulaganja poduzeća EU-a u istraživanje i razvoj</w:t>
        </w:r>
      </w:hyperlink>
      <w:r>
        <w:rPr>
          <w:rFonts w:ascii="Times New Roman" w:hAnsi="Times New Roman"/>
        </w:rPr>
        <w:t xml:space="preserve"> iz 2019.</w:t>
      </w:r>
    </w:p>
  </w:footnote>
  <w:footnote w:id="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Udio prijava u okviru Ugovora o suradnji u području patenata u odnosu na društvene izazove. Vidjeti odjeljak o klimi i okolišu u</w:t>
      </w:r>
      <w:r>
        <w:t xml:space="preserve"> </w:t>
      </w:r>
      <w:hyperlink r:id="rId5" w:history="1">
        <w:r>
          <w:rPr>
            <w:rStyle w:val="Hyperlink"/>
            <w:rFonts w:ascii="Times New Roman" w:hAnsi="Times New Roman"/>
          </w:rPr>
          <w:t>izvješću o uspješnosti u području znanosti, istraživanja i inovacija u EU-u iz 2020.</w:t>
        </w:r>
      </w:hyperlink>
      <w:r>
        <w:rPr>
          <w:rFonts w:ascii="Times New Roman" w:hAnsi="Times New Roman"/>
        </w:rPr>
        <w:t xml:space="preserve"> </w:t>
      </w:r>
    </w:p>
  </w:footnote>
  <w:footnote w:id="8">
    <w:p>
      <w:pPr>
        <w:pStyle w:val="FootnoteText"/>
        <w:spacing w:after="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Vidjeti: </w:t>
      </w:r>
      <w:hyperlink r:id="rId6" w:history="1">
        <w:r>
          <w:rPr>
            <w:rStyle w:val="Hyperlink"/>
            <w:rFonts w:ascii="Times New Roman" w:hAnsi="Times New Roman"/>
            <w:i/>
          </w:rPr>
          <w:t>Climate change mitigation technologies in Europe – evidence from patent and economic data</w:t>
        </w:r>
      </w:hyperlink>
      <w:r>
        <w:rPr>
          <w:rFonts w:ascii="Times New Roman" w:hAnsi="Times New Roman"/>
        </w:rPr>
        <w:t xml:space="preserve"> (Tehnologije za ublažavanje klimatskih promjena u Europi – dokazi iz podataka o patentima i ekonomskih podataka), EPO, 2015.</w:t>
      </w:r>
    </w:p>
  </w:footnote>
  <w:footnote w:id="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Istraživanja pokazuju da mala i srednja poduzeća koja se koriste pravima intelektualnog vlasništva rastu brže i otpornija su na gospodarske krize – </w:t>
      </w:r>
      <w:hyperlink r:id="rId7" w:history="1">
        <w:r>
          <w:rPr>
            <w:rStyle w:val="Hyperlink"/>
            <w:rFonts w:ascii="Times New Roman" w:hAnsi="Times New Roman"/>
            <w:i/>
          </w:rPr>
          <w:t>High-growth firms and intellectual property rights</w:t>
        </w:r>
        <w:r>
          <w:rPr>
            <w:rStyle w:val="Hyperlink"/>
            <w:rFonts w:ascii="Times New Roman" w:hAnsi="Times New Roman"/>
            <w:color w:val="auto"/>
            <w:u w:val="none"/>
          </w:rPr>
          <w:t xml:space="preserve"> (Poduzeća koja brzo rastu i prava intelektualnog vlasništva), EUIPO i EPO, 2019.</w:t>
        </w:r>
      </w:hyperlink>
    </w:p>
  </w:footnote>
  <w:footnote w:id="10">
    <w:p>
      <w:pPr>
        <w:pStyle w:val="FootnoteText"/>
        <w:spacing w:after="0"/>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U Dodatku I. nalazi se prikaz uloge industrija koje se intenzivno koriste pravima intelektualnog vlasništva u različitim ekosustavima.</w:t>
      </w:r>
    </w:p>
  </w:footnote>
  <w:footnote w:id="11">
    <w:p>
      <w:pPr>
        <w:pStyle w:val="FootnoteText"/>
        <w:spacing w:after="0"/>
        <w:rPr>
          <w:color w:val="FF0000"/>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hyperlink r:id="rId8" w:history="1">
        <w:r>
          <w:rPr>
            <w:rStyle w:val="Hyperlink"/>
            <w:rFonts w:ascii="Times New Roman" w:hAnsi="Times New Roman"/>
          </w:rPr>
          <w:t>COM(2020) 761</w:t>
        </w:r>
      </w:hyperlink>
    </w:p>
  </w:footnote>
  <w:footnote w:id="12">
    <w:p>
      <w:pPr>
        <w:pStyle w:val="FootnoteText"/>
        <w:spacing w:after="0"/>
        <w:jc w:val="both"/>
        <w:rPr>
          <w:rFonts w:ascii="Times New Roman" w:hAnsi="Times New Roman" w:cs="Times New Roman"/>
        </w:rPr>
      </w:pPr>
      <w:r>
        <w:rPr>
          <w:rStyle w:val="FootnoteReference"/>
        </w:rPr>
        <w:footnoteRef/>
      </w:r>
      <w:r>
        <w:t xml:space="preserve"> </w:t>
      </w:r>
      <w:r>
        <w:rPr>
          <w:rFonts w:ascii="Times New Roman" w:hAnsi="Times New Roman"/>
          <w:color w:val="000000" w:themeColor="text1"/>
        </w:rPr>
        <w:t xml:space="preserve">Primjerice, jedinstveni mehanizam prijave omogućuje zaštitu žiga, industrijskog dizajna ili biljne sorte u cijelom EU-u, a postoje i zajednička pravila o zaštiti poslovne tajne. </w:t>
      </w:r>
    </w:p>
  </w:footnote>
  <w:footnote w:id="1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Studija </w:t>
      </w:r>
      <w:hyperlink r:id="rId9" w:history="1">
        <w:r>
          <w:rPr>
            <w:rStyle w:val="Hyperlink"/>
            <w:rFonts w:ascii="Times New Roman" w:hAnsi="Times New Roman"/>
            <w:i/>
          </w:rPr>
          <w:t>Trends and developments in Artificial Intelligence – Challenges to the IPR framework</w:t>
        </w:r>
      </w:hyperlink>
      <w:r>
        <w:t xml:space="preserve"> </w:t>
      </w:r>
      <w:r>
        <w:rPr>
          <w:rFonts w:ascii="Times New Roman" w:hAnsi="Times New Roman"/>
        </w:rPr>
        <w:t xml:space="preserve">(Trendovi i napredak u području umjetne inteligencije – Izazovi u području okvira prava intelektualnog vlasništva), IVIR i JIPP, studeni 2020. </w:t>
      </w:r>
    </w:p>
  </w:footnote>
  <w:footnote w:id="14">
    <w:p>
      <w:pPr>
        <w:pStyle w:val="FootnoteText"/>
        <w:spacing w:after="0"/>
        <w:jc w:val="both"/>
      </w:pPr>
      <w:r>
        <w:rPr>
          <w:rStyle w:val="FootnoteReference"/>
        </w:rPr>
        <w:footnoteRef/>
      </w:r>
      <w:r>
        <w:t xml:space="preserve"> </w:t>
      </w:r>
      <w:hyperlink r:id="rId10" w:history="1">
        <w:r>
          <w:rPr>
            <w:rFonts w:ascii="Times New Roman" w:hAnsi="Times New Roman"/>
          </w:rPr>
          <w:t>Vidjeti relevantne zahtjeve iz provedbenih uredbi o ekološkom dizajnu iz listopada 2019.:</w:t>
        </w:r>
      </w:hyperlink>
      <w:r>
        <w:rPr>
          <w:rFonts w:ascii="Times New Roman" w:hAnsi="Times New Roman"/>
        </w:rPr>
        <w:t xml:space="preserve"> </w:t>
      </w:r>
      <w:r>
        <w:rPr>
          <w:rFonts w:ascii="Times New Roman" w:hAnsi="Times New Roman"/>
          <w:color w:val="000000" w:themeColor="text1"/>
        </w:rPr>
        <w:t>C(2019) 2120–7, C(2019) 5380, C(2019) 6843.</w:t>
      </w:r>
    </w:p>
  </w:footnote>
  <w:footnote w:id="15">
    <w:p>
      <w:pPr>
        <w:pStyle w:val="FootnoteText"/>
        <w:tabs>
          <w:tab w:val="left" w:pos="142"/>
          <w:tab w:val="left" w:pos="284"/>
        </w:tabs>
        <w:spacing w:after="0"/>
        <w:jc w:val="both"/>
        <w:rPr>
          <w:rFonts w:ascii="Times New Roman" w:hAnsi="Times New Roman" w:cs="Times New Roman"/>
          <w:color w:val="FF0000"/>
        </w:rPr>
      </w:pPr>
      <w:r>
        <w:rPr>
          <w:rStyle w:val="FootnoteReference"/>
          <w:rFonts w:ascii="Times New Roman" w:hAnsi="Times New Roman" w:cs="Times New Roman"/>
        </w:rPr>
        <w:footnoteRef/>
      </w:r>
      <w:r>
        <w:t xml:space="preserve"> </w:t>
      </w:r>
      <w:r>
        <w:rPr>
          <w:rFonts w:ascii="Times New Roman" w:hAnsi="Times New Roman"/>
        </w:rPr>
        <w:t xml:space="preserve">MSP-ovi koji nisu posjedovali prava intelektualnog vlasništva naveli su nedostatak znanja o toj temi kao glavni razlog za nepodnošenje prijava za registraciju (38 % ispitanika). </w:t>
      </w:r>
      <w:hyperlink r:id="rId11" w:history="1">
        <w:r>
          <w:rPr>
            <w:rStyle w:val="Hyperlink"/>
            <w:rFonts w:ascii="Times New Roman" w:hAnsi="Times New Roman"/>
            <w:i/>
          </w:rPr>
          <w:t>Intellectual property SME scoreboard</w:t>
        </w:r>
      </w:hyperlink>
      <w:r>
        <w:rPr>
          <w:rFonts w:ascii="Times New Roman" w:hAnsi="Times New Roman"/>
        </w:rPr>
        <w:t xml:space="preserve"> (Pregled stanja u području intelektualnog vlasništva za MSP-ove), EUIPO, 2019.</w:t>
      </w:r>
    </w:p>
  </w:footnote>
  <w:footnote w:id="16">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Cilj ga je često prodati ili licencirati i tako monetizirati nematerijalnu imovinu.</w:t>
      </w:r>
    </w:p>
  </w:footnote>
  <w:footnote w:id="17">
    <w:p>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Izvješće </w:t>
      </w:r>
      <w:hyperlink r:id="rId12" w:history="1">
        <w:r>
          <w:rPr>
            <w:rStyle w:val="Hyperlink"/>
            <w:rFonts w:ascii="Times New Roman" w:hAnsi="Times New Roman"/>
            <w:i/>
          </w:rPr>
          <w:t>Science, Research and Innovation Performance of the EU 2020</w:t>
        </w:r>
      </w:hyperlink>
      <w:r>
        <w:rPr>
          <w:rFonts w:ascii="Times New Roman" w:hAnsi="Times New Roman"/>
        </w:rPr>
        <w:t xml:space="preserve"> (Uspješnost u području znanosti, istraživanja i inovacija u EU-u iz 2020.).</w:t>
      </w:r>
    </w:p>
  </w:footnote>
  <w:footnote w:id="18">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i/>
          </w:rPr>
          <w:t>Fact finding study on patents declared to the 5G standard</w:t>
        </w:r>
      </w:hyperlink>
      <w:r>
        <w:rPr>
          <w:rFonts w:ascii="Times New Roman" w:hAnsi="Times New Roman"/>
        </w:rPr>
        <w:t xml:space="preserve"> (Studija za utvrđivanje činjenica o patentima prijavljenima za standard 5G), IPlytics, 2020.</w:t>
      </w:r>
    </w:p>
  </w:footnote>
  <w:footnote w:id="19">
    <w:p>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i/>
          </w:rPr>
          <w:t>Trends in Trade in Counterfeit and Pirated Goods</w:t>
        </w:r>
      </w:hyperlink>
      <w:r>
        <w:t xml:space="preserve"> </w:t>
      </w:r>
      <w:r>
        <w:rPr>
          <w:rFonts w:ascii="Times New Roman" w:hAnsi="Times New Roman"/>
        </w:rPr>
        <w:t>(Kretanja u trgovini krivotvorenom i piratskom robom), OECD i EUIPO, 2019.</w:t>
      </w:r>
    </w:p>
  </w:footnote>
  <w:footnote w:id="20">
    <w:p>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anchor="Status_Report_2020" w:history="1">
        <w:r>
          <w:rPr>
            <w:rStyle w:val="Hyperlink"/>
            <w:rFonts w:ascii="Times New Roman" w:hAnsi="Times New Roman"/>
            <w:i/>
            <w:iCs/>
          </w:rPr>
          <w:t>Status Report on IPR infringement</w:t>
        </w:r>
      </w:hyperlink>
      <w:r>
        <w:rPr>
          <w:rFonts w:ascii="Times New Roman" w:hAnsi="Times New Roman"/>
        </w:rPr>
        <w:t xml:space="preserve"> (Izvješće o statusu povrede prava intelektualnog vlasništva), EUIPO, 2020.: </w:t>
      </w:r>
      <w:r>
        <w:rPr>
          <w:rFonts w:ascii="Times New Roman" w:hAnsi="Times New Roman"/>
          <w:color w:val="000000" w:themeColor="text1"/>
        </w:rPr>
        <w:t>prosječni godišnji podaci, 2013.–2017</w:t>
      </w:r>
      <w:r>
        <w:t>.</w:t>
      </w:r>
    </w:p>
  </w:footnote>
  <w:footnote w:id="21">
    <w:p>
      <w:pPr>
        <w:pStyle w:val="FootnoteText"/>
        <w:tabs>
          <w:tab w:val="left" w:pos="142"/>
          <w:tab w:val="left" w:pos="284"/>
        </w:tabs>
        <w:spacing w:after="0"/>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i/>
          </w:rPr>
          <w:t>The scale and impact of industrial espionage and theft of trade secrets through cyber</w:t>
        </w:r>
      </w:hyperlink>
      <w:r>
        <w:rPr>
          <w:rFonts w:ascii="Times New Roman" w:hAnsi="Times New Roman"/>
        </w:rPr>
        <w:t xml:space="preserve"> (Razmjer i posljedice industrijske kiberšpijunaže i kiberkrađe poslovnih tajni), 2018.</w:t>
      </w:r>
    </w:p>
  </w:footnote>
  <w:footnote w:id="2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Ovaj se akcijski plan temelji na povratnim informacijama o </w:t>
      </w:r>
      <w:hyperlink r:id="rId17" w:history="1">
        <w:r>
          <w:rPr>
            <w:rStyle w:val="Hyperlink"/>
            <w:rFonts w:ascii="Times New Roman" w:hAnsi="Times New Roman"/>
          </w:rPr>
          <w:t>planu djelovanja</w:t>
        </w:r>
      </w:hyperlink>
      <w:r>
        <w:rPr>
          <w:rFonts w:ascii="Times New Roman" w:hAnsi="Times New Roman"/>
        </w:rPr>
        <w:t xml:space="preserve"> te doprinosima država članica i dionika primljenima u pisanom obliku i tijekom rasprava na konferencijama o budućoj politici u području intelektualnog vlasništva te ciljanih rasprava u Parlamentu i Vijeću.</w:t>
      </w:r>
    </w:p>
  </w:footnote>
  <w:footnote w:id="2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Jedinstveni patentni sustav primjenjuje se putem pojačane suradnje 25 država članica sudionica (sve države članice EU-a osim Španjolske i Hrvatske).</w:t>
      </w:r>
    </w:p>
  </w:footnote>
  <w:footnote w:id="24">
    <w:p>
      <w:pPr>
        <w:pStyle w:val="FootnoteText"/>
        <w:spacing w:after="0"/>
      </w:pPr>
      <w:r>
        <w:rPr>
          <w:rStyle w:val="FootnoteReference"/>
          <w:rFonts w:ascii="Times New Roman" w:hAnsi="Times New Roman"/>
        </w:rPr>
        <w:footnoteRef/>
      </w:r>
      <w:r>
        <w:rPr>
          <w:rFonts w:ascii="Times New Roman" w:hAnsi="Times New Roman"/>
        </w:rPr>
        <w:t xml:space="preserve"> </w:t>
      </w:r>
      <w:hyperlink r:id="rId18" w:history="1">
        <w:r>
          <w:rPr>
            <w:rStyle w:val="Hyperlink"/>
            <w:rFonts w:ascii="Times New Roman" w:hAnsi="Times New Roman"/>
          </w:rPr>
          <w:t>Uredba od 13. veljače 2020.</w:t>
        </w:r>
      </w:hyperlink>
      <w:r>
        <w:rPr>
          <w:rFonts w:ascii="Times New Roman" w:hAnsi="Times New Roman"/>
        </w:rPr>
        <w:t>, 2 BvR 739/17, objavljena 20. ožujka 2020.</w:t>
      </w:r>
    </w:p>
  </w:footnote>
  <w:footnote w:id="2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Osim što će Njemačka morati ratificirati Sporazum o Jedinstvenom sudu za patente, države članice morat će odobriti „razdoblje privremene primjene”. To će omogućiti dovršetak institucijske i praktične uspostave Suda prije uvođenja jedinstvenog patentnog sustava. U skladu s </w:t>
      </w:r>
      <w:hyperlink r:id="rId19" w:history="1">
        <w:r>
          <w:rPr>
            <w:rStyle w:val="Hyperlink"/>
            <w:rFonts w:ascii="Times New Roman" w:hAnsi="Times New Roman"/>
          </w:rPr>
          <w:t>Uredbom (EU) br. 1257/2012</w:t>
        </w:r>
      </w:hyperlink>
      <w:r>
        <w:rPr>
          <w:rFonts w:ascii="Times New Roman" w:hAnsi="Times New Roman"/>
        </w:rPr>
        <w:t xml:space="preserve"> o provedbi pojačane suradnje u području stvaranja jedinstvene patentne zaštite Komisija i EPO morat će sklopiti i radni sporazum kojim se uspostavlja bliska suradnja u području funkcioniranja jedinstvenog patentnog sustava.</w:t>
      </w:r>
      <w:r>
        <w:t xml:space="preserve"> </w:t>
      </w:r>
      <w:r>
        <w:rPr>
          <w:rFonts w:ascii="Times New Roman" w:hAnsi="Times New Roman"/>
        </w:rPr>
        <w:t>Ne očekuje se da će povlačenje Ujedinjene Kraljevine iz EU-a otežati uvođenje jedinstvenog patentnog sustava.</w:t>
      </w:r>
    </w:p>
  </w:footnote>
  <w:footnote w:id="2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rPr>
          <w:t>Uredba (EU) br. 2019/933</w:t>
        </w:r>
      </w:hyperlink>
      <w:r>
        <w:rPr>
          <w:rFonts w:ascii="Times New Roman" w:hAnsi="Times New Roman"/>
        </w:rPr>
        <w:t xml:space="preserve"> o izmjeni Uredbe (EZ) br. 469/2009 o svjedodžbi o dodatnoj zaštiti za lijekove.</w:t>
      </w:r>
    </w:p>
  </w:footnote>
  <w:footnote w:id="27">
    <w:p>
      <w:pPr>
        <w:pStyle w:val="FootnoteText"/>
        <w:spacing w:after="0"/>
        <w:jc w:val="both"/>
        <w:rPr>
          <w:rFonts w:ascii="Times New Roman" w:hAnsi="Times New Roman"/>
        </w:rPr>
      </w:pPr>
      <w:r>
        <w:rPr>
          <w:rStyle w:val="FootnoteReference"/>
          <w:rFonts w:ascii="Times New Roman" w:hAnsi="Times New Roman" w:cs="Times New Roman"/>
        </w:rPr>
        <w:footnoteRef/>
      </w:r>
      <w:r>
        <w:rPr>
          <w:rFonts w:ascii="Times New Roman" w:hAnsi="Times New Roman"/>
          <w:i/>
          <w:iCs/>
        </w:rPr>
        <w:t xml:space="preserve"> </w:t>
      </w:r>
      <w:r>
        <w:rPr>
          <w:rFonts w:ascii="Times New Roman" w:hAnsi="Times New Roman"/>
        </w:rPr>
        <w:t>Evaluacija sustava EU-a svjedodžbi o dodatnoj zaštiti – SWD/2020/8508.</w:t>
      </w:r>
    </w:p>
  </w:footnote>
  <w:footnote w:id="2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Style w:val="Hyperlink"/>
            <w:rFonts w:ascii="Times New Roman" w:hAnsi="Times New Roman"/>
          </w:rPr>
          <w:t>Nova industrijska strategija za Europu</w:t>
        </w:r>
      </w:hyperlink>
      <w:r>
        <w:rPr>
          <w:rFonts w:ascii="Times New Roman" w:hAnsi="Times New Roman"/>
        </w:rPr>
        <w:t>, COM(2020) 102 final</w:t>
      </w:r>
      <w:r>
        <w:rPr>
          <w:rStyle w:val="Hyperlink"/>
          <w:rFonts w:ascii="Times New Roman" w:hAnsi="Times New Roman"/>
          <w:color w:val="auto"/>
          <w:u w:val="none"/>
        </w:rPr>
        <w:t>, str. 14.; „</w:t>
      </w:r>
      <w:hyperlink r:id="rId22" w:history="1">
        <w:r>
          <w:rPr>
            <w:rStyle w:val="Hyperlink"/>
            <w:rFonts w:ascii="Times New Roman" w:hAnsi="Times New Roman"/>
          </w:rPr>
          <w:t>Plan djelovanja za farmaceutske proizvode – sigurni i cjenovno pristupačni lijekovi (nova strategija EU-a)</w:t>
        </w:r>
      </w:hyperlink>
      <w:r>
        <w:rPr>
          <w:rStyle w:val="Hyperlink"/>
          <w:rFonts w:ascii="Times New Roman" w:hAnsi="Times New Roman"/>
          <w:color w:val="auto"/>
          <w:u w:val="none"/>
        </w:rPr>
        <w:t>”.</w:t>
      </w:r>
    </w:p>
  </w:footnote>
  <w:footnote w:id="2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Izuzeće Bolar je obrana za povredu patenta važna posebno za lijekove, pri čemu treća strana može iskorištavati pantentirani izum, tijekom ograničenog razdoblja do isteka roka trajanja patenta, samo za istraživanje i ispitivanje i radi dobivanja potrebnih regulatornih odobrenja.</w:t>
      </w:r>
    </w:p>
  </w:footnote>
  <w:footnote w:id="3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Europski parlament odobrio je 15. prosinca 2015. paket reformi u području žiga. </w:t>
      </w:r>
      <w:hyperlink r:id="rId23" w:history="1">
        <w:r>
          <w:rPr>
            <w:rStyle w:val="Hyperlink"/>
            <w:rFonts w:ascii="Times New Roman" w:hAnsi="Times New Roman"/>
          </w:rPr>
          <w:t>https://ec.europa.eu/growth/industry/policy/intellectual-property/trade-mark-protection_hr</w:t>
        </w:r>
      </w:hyperlink>
      <w:r>
        <w:rPr>
          <w:rFonts w:ascii="Times New Roman" w:hAnsi="Times New Roman"/>
        </w:rPr>
        <w:t>.</w:t>
      </w:r>
    </w:p>
  </w:footnote>
  <w:footnote w:id="31">
    <w:p>
      <w:pPr>
        <w:pStyle w:val="FootnoteText"/>
        <w:spacing w:after="0"/>
        <w:rPr>
          <w:rFonts w:ascii="Times New Roman" w:hAnsi="Times New Roman" w:cs="Times New Roman"/>
          <w:color w:val="FF0000"/>
        </w:rPr>
      </w:pPr>
      <w:r>
        <w:rPr>
          <w:rStyle w:val="FootnoteReference"/>
          <w:rFonts w:ascii="Times New Roman" w:hAnsi="Times New Roman"/>
        </w:rPr>
        <w:footnoteRef/>
      </w:r>
      <w:r>
        <w:rPr>
          <w:rFonts w:ascii="Times New Roman" w:hAnsi="Times New Roman"/>
        </w:rPr>
        <w:t xml:space="preserve"> </w:t>
      </w:r>
      <w:hyperlink r:id="rId24" w:history="1">
        <w:r>
          <w:rPr>
            <w:rStyle w:val="Hyperlink"/>
            <w:rFonts w:ascii="Times New Roman" w:hAnsi="Times New Roman"/>
          </w:rPr>
          <w:t>Izvješće o evaluaciji zakonodavstva EU-a o zaštiti dizajna</w:t>
        </w:r>
      </w:hyperlink>
      <w:r>
        <w:rPr>
          <w:rFonts w:ascii="Times New Roman" w:hAnsi="Times New Roman"/>
        </w:rPr>
        <w:t>.</w:t>
      </w:r>
    </w:p>
  </w:footnote>
  <w:footnote w:id="3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5" w:history="1">
        <w:r>
          <w:rPr>
            <w:rStyle w:val="Hyperlink"/>
            <w:rFonts w:ascii="Times New Roman" w:hAnsi="Times New Roman"/>
          </w:rPr>
          <w:t>Direktiva 98/71/EZ</w:t>
        </w:r>
      </w:hyperlink>
      <w:r>
        <w:rPr>
          <w:rFonts w:ascii="Times New Roman" w:hAnsi="Times New Roman"/>
        </w:rPr>
        <w:t xml:space="preserve"> o pravnoj zaštiti dizajna i </w:t>
      </w:r>
      <w:hyperlink r:id="rId26" w:history="1">
        <w:r>
          <w:rPr>
            <w:rStyle w:val="Hyperlink"/>
            <w:rFonts w:ascii="Times New Roman" w:hAnsi="Times New Roman"/>
          </w:rPr>
          <w:t>Uredba Vijeća (EZ) br. 6/2002</w:t>
        </w:r>
      </w:hyperlink>
      <w:r>
        <w:rPr>
          <w:rFonts w:ascii="Times New Roman" w:hAnsi="Times New Roman"/>
        </w:rPr>
        <w:t xml:space="preserve"> o dizajnu Zajednice. </w:t>
      </w:r>
    </w:p>
  </w:footnote>
  <w:footnote w:id="3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Vidjeti </w:t>
      </w:r>
      <w:hyperlink r:id="rId27" w:history="1">
        <w:r>
          <w:rPr>
            <w:rStyle w:val="Hyperlink"/>
            <w:rFonts w:ascii="Times New Roman" w:hAnsi="Times New Roman"/>
          </w:rPr>
          <w:t>strategiju „Od polja do stola”</w:t>
        </w:r>
      </w:hyperlink>
      <w:r>
        <w:rPr>
          <w:rFonts w:ascii="Times New Roman" w:hAnsi="Times New Roman"/>
        </w:rPr>
        <w:t>, kojom Komisija nastoji povećati održivost kriterija za oznake zemljopisnog podrijetla.</w:t>
      </w:r>
    </w:p>
  </w:footnote>
  <w:footnote w:id="3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8" w:history="1">
        <w:r>
          <w:rPr>
            <w:rStyle w:val="Hyperlink"/>
            <w:rFonts w:ascii="Times New Roman" w:hAnsi="Times New Roman"/>
            <w:i/>
          </w:rPr>
          <w:t>Evaluation of (agricultural) GI and Traditional Specialities Guaranteed protected in the EU</w:t>
        </w:r>
      </w:hyperlink>
      <w:r>
        <w:t xml:space="preserve"> </w:t>
      </w:r>
      <w:r>
        <w:rPr>
          <w:rFonts w:ascii="Times New Roman" w:hAnsi="Times New Roman"/>
        </w:rPr>
        <w:t>(Evaluacija (poljoprivrednih) oznaka zemljopisnog podrijetla i zajamčeno tradicionalnih specijaliteta zaštićenih u EU-u), 2019.</w:t>
      </w:r>
    </w:p>
  </w:footnote>
  <w:footnote w:id="3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9" w:history="1">
        <w:r>
          <w:rPr>
            <w:rStyle w:val="Hyperlink"/>
            <w:rFonts w:ascii="Times New Roman" w:hAnsi="Times New Roman"/>
            <w:i/>
          </w:rPr>
          <w:t>Evaluation of (agricultural) GI and Traditional Specialities Guaranteed protected in the EU</w:t>
        </w:r>
      </w:hyperlink>
      <w:r>
        <w:t xml:space="preserve"> </w:t>
      </w:r>
      <w:r>
        <w:rPr>
          <w:rFonts w:ascii="Times New Roman" w:hAnsi="Times New Roman"/>
        </w:rPr>
        <w:t xml:space="preserve">(Evaluacija (poljoprivrednih) oznaka zemljopisnog podrijetla i zajamčeno tradicionalnih specijaliteta zaštićenih u EU-u), 2019. </w:t>
      </w:r>
    </w:p>
  </w:footnote>
  <w:footnote w:id="3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Revizija sustava oznaka zemljopisnog podrijetla EU-a – poljoprivredni i prehrambeni proizvodi, vina i jaka alkoholna pića (</w:t>
      </w:r>
      <w:hyperlink r:id="rId30" w:history="1">
        <w:r>
          <w:rPr>
            <w:rStyle w:val="Hyperlink"/>
            <w:rFonts w:ascii="Times New Roman" w:hAnsi="Times New Roman"/>
          </w:rPr>
          <w:t>savjetovanje IIA</w:t>
        </w:r>
      </w:hyperlink>
      <w:r>
        <w:rPr>
          <w:rFonts w:ascii="Times New Roman" w:hAnsi="Times New Roman"/>
        </w:rPr>
        <w:t>).</w:t>
      </w:r>
    </w:p>
  </w:footnote>
  <w:footnote w:id="3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1" w:history="1">
        <w:r>
          <w:rPr>
            <w:rStyle w:val="Hyperlink"/>
            <w:rFonts w:ascii="Times New Roman" w:hAnsi="Times New Roman"/>
            <w:i/>
          </w:rPr>
          <w:t>Economic aspects of geographical indication protection at the EU level for non-agricultural products</w:t>
        </w:r>
      </w:hyperlink>
      <w:r>
        <w:rPr>
          <w:rFonts w:ascii="Times New Roman" w:hAnsi="Times New Roman"/>
        </w:rPr>
        <w:t xml:space="preserve"> (Gospodarski aspekti zaštite oznaka zemljopisnog podrijetla na razini EU-a za nepoljoprivredne proizvode), 2020.</w:t>
      </w:r>
    </w:p>
  </w:footnote>
  <w:footnote w:id="38">
    <w:p>
      <w:pPr>
        <w:pStyle w:val="FootnoteText"/>
        <w:spacing w:after="0"/>
        <w:jc w:val="both"/>
        <w:rPr>
          <w:rFonts w:ascii="Times New Roman" w:hAnsi="Times New Roman" w:cs="Times New Roman"/>
          <w:szCs w:val="22"/>
        </w:rPr>
      </w:pPr>
      <w:r>
        <w:rPr>
          <w:rStyle w:val="FootnoteReference"/>
          <w:rFonts w:ascii="Times New Roman" w:hAnsi="Times New Roman" w:cs="Times New Roman"/>
        </w:rPr>
        <w:footnoteRef/>
      </w:r>
      <w:r>
        <w:rPr>
          <w:rFonts w:ascii="Times New Roman" w:hAnsi="Times New Roman"/>
          <w:szCs w:val="22"/>
        </w:rPr>
        <w:t xml:space="preserve"> Preciznije rečeno, uvođenje zaštite oznaka zemljopisnog podrijetla za nepoljoprivredne proizvode na razini EU-a dugoročno bi moglo dovesti do ukupnog očekivanog povećanja trgovine unutar EU-a za otprilike 4,9–6,6 % trenutačnog izvoza unutar EU-a (37,6 milijardi do 50 milijardi EUR). Prema predviđanjima, primjenom jedinstvenog sustava regionalna stopa zaposlenosti povećala bi se za 0,12–0,14 %, a u cijelom EU-u moglo bi se otvoriti 284 000–338 000 novih radnih mjesta. Vidjeti</w:t>
      </w:r>
      <w:r>
        <w:rPr>
          <w:szCs w:val="22"/>
        </w:rPr>
        <w:t xml:space="preserve"> </w:t>
      </w:r>
      <w:hyperlink r:id="rId32" w:history="1">
        <w:r>
          <w:rPr>
            <w:rStyle w:val="Hyperlink"/>
            <w:rFonts w:ascii="Times New Roman" w:hAnsi="Times New Roman"/>
            <w:i/>
            <w:iCs/>
            <w:szCs w:val="22"/>
          </w:rPr>
          <w:t>Geographical indications for non-agricultural products. Cost of non-Europe report</w:t>
        </w:r>
      </w:hyperlink>
      <w:r>
        <w:rPr>
          <w:rFonts w:ascii="Times New Roman" w:hAnsi="Times New Roman"/>
          <w:szCs w:val="22"/>
        </w:rPr>
        <w:t xml:space="preserve"> (Oznake zemljopisnog podrijetla za nepoljoprivredne proizvode. Izvješće o cijeni nedjelovanja na europskoj razini), 2019.</w:t>
      </w:r>
    </w:p>
  </w:footnote>
  <w:footnote w:id="3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Na temelju </w:t>
      </w:r>
      <w:hyperlink r:id="rId33" w:history="1">
        <w:r>
          <w:rPr>
            <w:rStyle w:val="Hyperlink"/>
            <w:rFonts w:ascii="Times New Roman" w:hAnsi="Times New Roman"/>
          </w:rPr>
          <w:t>Lisabonskog sustava za međunarodnu registraciju oznaka izvornosti i oznaka zemljopisnog podrijetla</w:t>
        </w:r>
      </w:hyperlink>
      <w:r>
        <w:rPr>
          <w:rFonts w:ascii="Times New Roman" w:hAnsi="Times New Roman"/>
        </w:rPr>
        <w:t>, kojim upravlja Svjetska organizacija za intelektualno vlasništvo.</w:t>
      </w:r>
    </w:p>
  </w:footnote>
  <w:footnote w:id="4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4" w:anchor="tab3" w:history="1">
        <w:r>
          <w:rPr>
            <w:rStyle w:val="Hyperlink"/>
            <w:rFonts w:ascii="Times New Roman" w:hAnsi="Times New Roman"/>
          </w:rPr>
          <w:t>Industrije koje se intenzivno koriste pravima intelektualnog vlasništva i ekonomska učinkovitost u EU-u</w:t>
        </w:r>
      </w:hyperlink>
      <w:r>
        <w:rPr>
          <w:rFonts w:ascii="Times New Roman" w:hAnsi="Times New Roman"/>
        </w:rPr>
        <w:t>, EUIPO i EPO, 2019.</w:t>
      </w:r>
    </w:p>
  </w:footnote>
  <w:footnote w:id="4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Putem povratnih informacija dionika, analiza odluka Suda Europske unije i preporuka međuinstitucijske radne skupine.</w:t>
      </w:r>
    </w:p>
  </w:footnote>
  <w:footnote w:id="42">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Primjerice ubrzavanjem pretraživanja novosti i postupaka registracije.</w:t>
      </w:r>
    </w:p>
  </w:footnote>
  <w:footnote w:id="4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Metapodaci o autorskim pravima u pogledu posjedovanja i licenciranja intelektualnog vlasništva.</w:t>
      </w:r>
    </w:p>
  </w:footnote>
  <w:footnote w:id="44">
    <w:p>
      <w:pPr>
        <w:spacing w:after="0" w:line="240" w:lineRule="auto"/>
        <w:jc w:val="both"/>
        <w:rPr>
          <w:color w:val="000000" w:themeColor="text1"/>
        </w:rPr>
      </w:pPr>
      <w:r>
        <w:rPr>
          <w:rStyle w:val="FootnoteReference"/>
        </w:rPr>
        <w:footnoteRef/>
      </w:r>
      <w:r>
        <w:rPr>
          <w:color w:val="000000" w:themeColor="text1"/>
        </w:rPr>
        <w:t xml:space="preserve"> </w:t>
      </w:r>
      <w:r>
        <w:rPr>
          <w:rFonts w:ascii="Times New Roman" w:hAnsi="Times New Roman"/>
          <w:color w:val="000000" w:themeColor="text1"/>
          <w:sz w:val="20"/>
          <w:szCs w:val="20"/>
        </w:rPr>
        <w:t>Studija</w:t>
      </w:r>
      <w:r>
        <w:rPr>
          <w:color w:val="000000" w:themeColor="text1"/>
        </w:rPr>
        <w:t xml:space="preserve"> </w:t>
      </w:r>
      <w:hyperlink r:id="rId35" w:history="1">
        <w:r>
          <w:rPr>
            <w:rStyle w:val="Hyperlink"/>
            <w:rFonts w:ascii="Times New Roman" w:hAnsi="Times New Roman"/>
            <w:i/>
            <w:sz w:val="20"/>
            <w:szCs w:val="20"/>
          </w:rPr>
          <w:t>Trends and developments in Artificial Intelligence – Challenges to the IPR framework</w:t>
        </w:r>
      </w:hyperlink>
      <w:r>
        <w:rPr>
          <w:color w:val="000000" w:themeColor="text1"/>
        </w:rPr>
        <w:t xml:space="preserve"> </w:t>
      </w:r>
      <w:r>
        <w:rPr>
          <w:rFonts w:ascii="Times New Roman" w:hAnsi="Times New Roman"/>
          <w:color w:val="000000" w:themeColor="text1"/>
          <w:sz w:val="20"/>
          <w:szCs w:val="20"/>
        </w:rPr>
        <w:t xml:space="preserve">(Trendovi i napredak u području umjetne inteligencije – Izazovi u području okvira prava intelektualnog vlasništva), istraživanje IVIR-a i JIPP-a, studeni 2020. </w:t>
      </w:r>
    </w:p>
  </w:footnote>
  <w:footnote w:id="45">
    <w:p>
      <w:pPr>
        <w:pStyle w:val="FootnoteText"/>
        <w:spacing w:after="0"/>
        <w:jc w:val="both"/>
        <w:rPr>
          <w:rFonts w:ascii="Times New Roman" w:hAnsi="Times New Roman" w:cs="Times New Roman"/>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U 2018. EPO je primio dvije europske prijave patenta</w:t>
      </w:r>
      <w:r>
        <w:rPr>
          <w:rFonts w:ascii="Times New Roman" w:hAnsi="Times New Roman"/>
        </w:rPr>
        <w:t>. u kojima je stroj DABUS bio naveden kao izumitelj. EPO je odbio obje prijave. Smatrao je da izumitelj naveden u europskom patentu mora biti fizička osoba. Osim toga, prema njegovu se tumačenju pojam izumitelj odnosi na fizičku osobu u skladu s međunarodno primjenjivim standardom. Protiv tih odluka podnesena je žalba.</w:t>
      </w:r>
    </w:p>
  </w:footnote>
  <w:footnote w:id="4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Primjerice, u studiji je naglašena neusklađenost pravila o autorstvu i vlasništvu autorskih prava, koja može dovesti do različitih nacionalnih rješenja u slučaju djela nastalih uz pomoć umjetne inteligencije.</w:t>
      </w:r>
    </w:p>
  </w:footnote>
  <w:footnote w:id="4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 studiji su, na primjer, navedene preporuke za prilagodbu koncepata patentnog prava, kao što je inventivna razina i obveza otkrivanja, na izume nastale uz pomoć umjetne inteligencije. </w:t>
      </w:r>
    </w:p>
  </w:footnote>
  <w:footnote w:id="4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rPr>
          <w:t>Direktiva (EU) 2019/790</w:t>
        </w:r>
      </w:hyperlink>
      <w:r>
        <w:rPr>
          <w:rFonts w:ascii="Times New Roman" w:hAnsi="Times New Roman"/>
        </w:rPr>
        <w:t xml:space="preserve"> o autorskom pravu i srodnim pravima na jedinstvenom digitalnom tržištu i izmjeni direktiva 96/9/EZ i 2001/29/EZ; </w:t>
      </w:r>
      <w:hyperlink r:id="rId37" w:history="1">
        <w:r>
          <w:rPr>
            <w:rStyle w:val="Hyperlink"/>
            <w:rFonts w:ascii="Times New Roman" w:hAnsi="Times New Roman"/>
          </w:rPr>
          <w:t>Direktiva (EU) 2019/789</w:t>
        </w:r>
      </w:hyperlink>
      <w:r>
        <w:rPr>
          <w:rFonts w:ascii="Times New Roman" w:hAnsi="Times New Roman"/>
        </w:rPr>
        <w:t xml:space="preserve"> o utvrđivanju pravila o ostvarivanju autorskog prava i srodnih prava koja se primjenjuju na određene internetske prijenose organizacija za radiodifuziju i reemitiranja televizijskih i radijskih programa te o izmjeni Direktive Vijeća 93/83/EEZ. Države članice moraju prenijeti te direktive do 7. lipnja 2021.</w:t>
      </w:r>
    </w:p>
  </w:footnote>
  <w:footnote w:id="4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
            <w:rFonts w:ascii="Times New Roman" w:hAnsi="Times New Roman"/>
          </w:rPr>
          <w:t>Direktiva 2011/77/EU</w:t>
        </w:r>
      </w:hyperlink>
      <w:r>
        <w:rPr>
          <w:rFonts w:ascii="Times New Roman" w:hAnsi="Times New Roman"/>
        </w:rPr>
        <w:t xml:space="preserve"> o izmjeni Direktive 2006/116/EZ o trajanju zaštite autorskog prava i određenih srodnih prava</w:t>
      </w:r>
      <w:r>
        <w:t>;</w:t>
      </w:r>
      <w:r>
        <w:rPr>
          <w:rFonts w:ascii="Times New Roman" w:hAnsi="Times New Roman"/>
        </w:rPr>
        <w:t xml:space="preserve"> </w:t>
      </w:r>
      <w:hyperlink r:id="rId39" w:history="1">
        <w:r>
          <w:rPr>
            <w:rStyle w:val="Hyperlink"/>
            <w:rFonts w:ascii="Times New Roman" w:hAnsi="Times New Roman"/>
          </w:rPr>
          <w:t>Direktiva 2014/26/EU</w:t>
        </w:r>
      </w:hyperlink>
      <w:r>
        <w:rPr>
          <w:rFonts w:ascii="Times New Roman" w:hAnsi="Times New Roman"/>
        </w:rPr>
        <w:t xml:space="preserve"> o kolektivnom ostvarivanju autorskog prava i srodnih prava te izdavanju odobrenja za više državnih područja za prava na internetsko korištenje glazbenih djela; </w:t>
      </w:r>
      <w:hyperlink r:id="rId40" w:history="1">
        <w:r>
          <w:rPr>
            <w:rStyle w:val="Hyperlink"/>
            <w:rFonts w:ascii="Times New Roman" w:hAnsi="Times New Roman"/>
          </w:rPr>
          <w:t>Direktiva (EU) 2017/1564</w:t>
        </w:r>
      </w:hyperlink>
      <w:r>
        <w:t xml:space="preserve"> </w:t>
      </w:r>
      <w:r>
        <w:rPr>
          <w:rFonts w:ascii="Times New Roman" w:hAnsi="Times New Roman"/>
        </w:rPr>
        <w:t xml:space="preserve">o određenim dopuštenim upotrebama određenih djela i drugih predmeta zaštite koji su zaštićeni autorskim pravom i srodnim pravima u korist osoba koje su slijepe, koje imaju oštećenje vida ili imaju drugih poteškoća u korištenju tiskanim materijalima; </w:t>
      </w:r>
      <w:hyperlink r:id="rId41" w:history="1">
        <w:r>
          <w:rPr>
            <w:rStyle w:val="Hyperlink"/>
            <w:rFonts w:ascii="Times New Roman" w:hAnsi="Times New Roman"/>
          </w:rPr>
          <w:t>Uredba (EU) 2017/1128</w:t>
        </w:r>
      </w:hyperlink>
      <w:r>
        <w:t xml:space="preserve"> </w:t>
      </w:r>
      <w:r>
        <w:rPr>
          <w:rFonts w:ascii="Times New Roman" w:hAnsi="Times New Roman"/>
        </w:rPr>
        <w:t>o prekograničnoj prenosivosti usluga internetskog sadržaja na unutarnjem tržištu.</w:t>
      </w:r>
    </w:p>
  </w:footnote>
  <w:footnote w:id="5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2" w:history="1">
        <w:r>
          <w:rPr>
            <w:rStyle w:val="Hyperlink"/>
            <w:rFonts w:ascii="Times New Roman" w:hAnsi="Times New Roman"/>
          </w:rPr>
          <w:t>Direktiva 98/44/EZ</w:t>
        </w:r>
      </w:hyperlink>
      <w:r>
        <w:rPr>
          <w:rFonts w:ascii="Times New Roman" w:hAnsi="Times New Roman"/>
        </w:rPr>
        <w:t xml:space="preserve"> o pravnoj zaštiti biotehnoloških izuma.</w:t>
      </w:r>
    </w:p>
  </w:footnote>
  <w:footnote w:id="51">
    <w:p>
      <w:pPr>
        <w:pStyle w:val="FootnoteText"/>
        <w:spacing w:after="0"/>
        <w:jc w:val="both"/>
      </w:pPr>
      <w:r>
        <w:rPr>
          <w:rStyle w:val="FootnoteReference"/>
          <w:rFonts w:ascii="Times New Roman" w:hAnsi="Times New Roman" w:cs="Times New Roman"/>
        </w:rPr>
        <w:footnoteRef/>
      </w:r>
      <w:r>
        <w:rPr>
          <w:rFonts w:ascii="Times New Roman" w:hAnsi="Times New Roman"/>
        </w:rPr>
        <w:t xml:space="preserve"> Kako bi se osigurala puna provedba Komisijine </w:t>
      </w:r>
      <w:hyperlink r:id="rId43" w:history="1">
        <w:r>
          <w:rPr>
            <w:rStyle w:val="Hyperlink"/>
            <w:rFonts w:ascii="Times New Roman" w:hAnsi="Times New Roman"/>
          </w:rPr>
          <w:t>Obavijesti o određenim člancima Direktive 98/44/EZ Europskog parlamenta i Vijeća o pravnoj zaštiti biotehnoloških izuma</w:t>
        </w:r>
      </w:hyperlink>
      <w:r>
        <w:rPr>
          <w:rFonts w:ascii="Times New Roman" w:hAnsi="Times New Roman"/>
        </w:rPr>
        <w:t xml:space="preserve"> od 3. studenoga 2016., koju su podržali Parlament i Vijeće, u kojoj je pojašnjeno da proizvodi koji potječu iz postupaka koji su u osnovi biološki ne mogu biti patentirani.</w:t>
      </w:r>
    </w:p>
  </w:footnote>
  <w:footnote w:id="52">
    <w:p>
      <w:pPr>
        <w:pStyle w:val="FootnoteText"/>
        <w:spacing w:after="0"/>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Iz programa COSME i uglavnom financijskih sredstava iz viška EUIPO-a. </w:t>
      </w:r>
    </w:p>
  </w:footnote>
  <w:footnote w:id="53">
    <w:p>
      <w:pPr>
        <w:pStyle w:val="FootnoteText"/>
        <w:spacing w:after="0"/>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Za trenutačni program vidjeti </w:t>
      </w:r>
      <w:hyperlink r:id="rId44" w:history="1">
        <w:r>
          <w:rPr>
            <w:rStyle w:val="Hyperlink"/>
            <w:rFonts w:ascii="Times New Roman" w:hAnsi="Times New Roman"/>
          </w:rPr>
          <w:t>IPA4SME</w:t>
        </w:r>
      </w:hyperlink>
      <w:r>
        <w:rPr>
          <w:rFonts w:ascii="Times New Roman" w:hAnsi="Times New Roman"/>
        </w:rPr>
        <w:t>.</w:t>
      </w:r>
    </w:p>
  </w:footnote>
  <w:footnote w:id="5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 će testirati taj koncept u okviru projekta </w:t>
      </w:r>
      <w:hyperlink r:id="rId45" w:history="1">
        <w:r>
          <w:rPr>
            <w:rStyle w:val="Hyperlink"/>
            <w:rFonts w:ascii="Times New Roman" w:hAnsi="Times New Roman"/>
            <w:i/>
            <w:iCs/>
          </w:rPr>
          <w:t>Closing the finance gap for IPR-driven start-ups and SMEs</w:t>
        </w:r>
      </w:hyperlink>
      <w:r>
        <w:rPr>
          <w:rStyle w:val="Hyperlink"/>
          <w:color w:val="auto"/>
          <w:u w:val="none"/>
        </w:rPr>
        <w:t xml:space="preserve"> </w:t>
      </w:r>
      <w:r>
        <w:rPr>
          <w:rStyle w:val="Hyperlink"/>
          <w:rFonts w:ascii="Times New Roman" w:hAnsi="Times New Roman"/>
          <w:color w:val="auto"/>
          <w:u w:val="none"/>
        </w:rPr>
        <w:t>(Uklanjanje nedostataka u financiranju novoosnovanih poduzeća i MSP-ova koji se temelje na pravu intelektualnog vlasništva).</w:t>
      </w:r>
      <w:r>
        <w:rPr>
          <w:rFonts w:ascii="Times New Roman" w:hAnsi="Times New Roman"/>
        </w:rPr>
        <w:t xml:space="preserve"> </w:t>
      </w:r>
    </w:p>
  </w:footnote>
  <w:footnote w:id="5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 bi svi MSP-ovi mogli jednostavno doći do savjeta, kako je naglašeno u strategiji za MSP-ove.</w:t>
      </w:r>
    </w:p>
  </w:footnote>
  <w:footnote w:id="5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Riječ je o inicijativi u okviru EUIPO-ova programa za MSP-ove, koja će se razvijati u suradnji s Mrežom EU-a za intelektualno vlasništvo (EUIPN), koja se sastoji od EUIPO-a i nacionalnih ureda za intelektualno vlasništvo država članica EU-a.</w:t>
      </w:r>
    </w:p>
  </w:footnote>
  <w:footnote w:id="5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Savjetovanja se provode putem mreža ili savjetnika u Europskoj poduzetničkoj mreži, inovacijskim centrima, </w:t>
      </w:r>
      <w:hyperlink r:id="rId46" w:history="1">
        <w:r>
          <w:rPr>
            <w:rStyle w:val="Hyperlink"/>
            <w:rFonts w:ascii="Times New Roman" w:hAnsi="Times New Roman"/>
          </w:rPr>
          <w:t>mrežama klastera</w:t>
        </w:r>
      </w:hyperlink>
      <w:r>
        <w:rPr>
          <w:rFonts w:ascii="Times New Roman" w:hAnsi="Times New Roman"/>
        </w:rPr>
        <w:t xml:space="preserve"> ili savjetodavnom centru programa InvestEU (koji se temelji na </w:t>
      </w:r>
      <w:hyperlink r:id="rId47" w:history="1">
        <w:r>
          <w:rPr>
            <w:rStyle w:val="Hyperlink"/>
            <w:rFonts w:ascii="Times New Roman" w:hAnsi="Times New Roman"/>
          </w:rPr>
          <w:t>Europskom savjetodavnom centru za ulaganja</w:t>
        </w:r>
      </w:hyperlink>
      <w:r>
        <w:rPr>
          <w:rFonts w:ascii="Times New Roman" w:hAnsi="Times New Roman"/>
        </w:rPr>
        <w:t>).</w:t>
      </w:r>
    </w:p>
  </w:footnote>
  <w:footnote w:id="5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Prema </w:t>
      </w:r>
      <w:hyperlink r:id="rId48" w:history="1">
        <w:r>
          <w:rPr>
            <w:rStyle w:val="Hyperlink"/>
            <w:rFonts w:ascii="Times New Roman" w:hAnsi="Times New Roman"/>
          </w:rPr>
          <w:t>pokazateljima EUIPO-a za MSP-ove</w:t>
        </w:r>
      </w:hyperlink>
      <w:r>
        <w:rPr>
          <w:rFonts w:ascii="Times New Roman" w:hAnsi="Times New Roman"/>
        </w:rPr>
        <w:t xml:space="preserve"> iz 2019., samo je 13 % MSP-ova koji su nositelji prava intelektualnog vlasništva pokušalo iskoristiti nematerijalnu imovinu za pristup financiranju, od čega ih je 9 % u tome uspjelo, a 4 % nije. </w:t>
      </w:r>
    </w:p>
  </w:footnote>
  <w:footnote w:id="59">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Studija </w:t>
      </w:r>
      <w:hyperlink r:id="rId49" w:history="1">
        <w:r>
          <w:rPr>
            <w:rStyle w:val="Hyperlink"/>
            <w:rFonts w:ascii="Times New Roman" w:hAnsi="Times New Roman"/>
            <w:i/>
            <w:iCs/>
          </w:rPr>
          <w:t>Financing intangibles: Is there a market failure?</w:t>
        </w:r>
      </w:hyperlink>
      <w:r>
        <w:rPr>
          <w:rFonts w:ascii="Times New Roman" w:hAnsi="Times New Roman"/>
        </w:rPr>
        <w:t xml:space="preserve"> (Financiranje nematerijalne imovine: funkcionira li tržište?), Europska komisija, 2020.</w:t>
      </w:r>
    </w:p>
  </w:footnote>
  <w:footnote w:id="6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 se može postići putem programa InvestEU i temeljit će se na iskustvu stečenom u okviru projekta „Financiranje, učenje, inovacije i patentiranje za kulturne i kreativne industrije” i studije </w:t>
      </w:r>
      <w:hyperlink r:id="rId50" w:history="1">
        <w:r>
          <w:rPr>
            <w:rStyle w:val="Hyperlink"/>
            <w:rFonts w:ascii="Times New Roman" w:hAnsi="Times New Roman"/>
            <w:i/>
          </w:rPr>
          <w:t>Financing intangibles: Is there a market failure?</w:t>
        </w:r>
      </w:hyperlink>
      <w:r>
        <w:rPr>
          <w:rFonts w:ascii="Times New Roman" w:hAnsi="Times New Roman"/>
        </w:rPr>
        <w:t xml:space="preserve"> (Financiranje nematerijalne imovine: funkcionira li tržište?), EK, 2020.</w:t>
      </w:r>
    </w:p>
  </w:footnote>
  <w:footnote w:id="61">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1" w:history="1">
        <w:r>
          <w:rPr>
            <w:rStyle w:val="Hyperlink"/>
            <w:rFonts w:ascii="Times New Roman" w:hAnsi="Times New Roman"/>
          </w:rPr>
          <w:t>Komunikacija Komisije</w:t>
        </w:r>
      </w:hyperlink>
      <w:r>
        <w:rPr>
          <w:rFonts w:ascii="Times New Roman" w:hAnsi="Times New Roman"/>
        </w:rPr>
        <w:t xml:space="preserve"> Strategija za MSP-ove i održivu i digitalnu Europu,</w:t>
      </w:r>
      <w:r>
        <w:rPr>
          <w:rFonts w:ascii="Times New Roman" w:hAnsi="Times New Roman"/>
          <w:b/>
          <w:color w:val="444444"/>
          <w:shd w:val="clear" w:color="auto" w:fill="FFFFFF"/>
        </w:rPr>
        <w:t xml:space="preserve"> </w:t>
      </w:r>
      <w:r>
        <w:rPr>
          <w:rFonts w:ascii="Times New Roman" w:hAnsi="Times New Roman"/>
        </w:rPr>
        <w:t xml:space="preserve">COM(2020) 103 final, 10. ožujka 2020. </w:t>
      </w:r>
    </w:p>
  </w:footnote>
  <w:footnote w:id="62">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Vidjeti </w:t>
      </w:r>
      <w:hyperlink r:id="rId52" w:history="1">
        <w:r>
          <w:rPr>
            <w:rStyle w:val="Hyperlink"/>
            <w:rFonts w:ascii="Times New Roman" w:hAnsi="Times New Roman"/>
            <w:sz w:val="20"/>
            <w:szCs w:val="20"/>
          </w:rPr>
          <w:t>instrument za davanje jamstava MSP-ovima InnovFin</w:t>
        </w:r>
      </w:hyperlink>
      <w:r>
        <w:rPr>
          <w:rFonts w:ascii="Times New Roman" w:hAnsi="Times New Roman"/>
          <w:sz w:val="20"/>
          <w:szCs w:val="20"/>
        </w:rPr>
        <w:t xml:space="preserve"> ili instrument za davanje jamstava za kulturni i kreativni sektor.</w:t>
      </w:r>
    </w:p>
  </w:footnote>
  <w:footnote w:id="6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3" w:history="1">
        <w:r>
          <w:rPr>
            <w:rStyle w:val="Hyperlink"/>
            <w:rFonts w:ascii="Times New Roman" w:hAnsi="Times New Roman"/>
          </w:rPr>
          <w:t>Komunikacija o europskom istraživačkom prostoru</w:t>
        </w:r>
      </w:hyperlink>
      <w:r>
        <w:t>.</w:t>
      </w:r>
    </w:p>
  </w:footnote>
  <w:footnote w:id="6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Vidjeti </w:t>
      </w:r>
      <w:hyperlink r:id="rId54" w:history="1">
        <w:r>
          <w:rPr>
            <w:rStyle w:val="Hyperlink"/>
            <w:rFonts w:ascii="Times New Roman" w:hAnsi="Times New Roman"/>
          </w:rPr>
          <w:t>platformu za rezultate Obzora</w:t>
        </w:r>
      </w:hyperlink>
      <w:r>
        <w:rPr>
          <w:rFonts w:ascii="Times New Roman" w:hAnsi="Times New Roman"/>
        </w:rPr>
        <w:t>.</w:t>
      </w:r>
    </w:p>
  </w:footnote>
  <w:footnote w:id="6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Vidjeti platformu za </w:t>
      </w:r>
      <w:hyperlink r:id="rId55" w:history="1">
        <w:r>
          <w:rPr>
            <w:rStyle w:val="Hyperlink"/>
            <w:rFonts w:ascii="Times New Roman" w:hAnsi="Times New Roman"/>
          </w:rPr>
          <w:t>istraživanje i inovacije u borbi protiv koronavirusa</w:t>
        </w:r>
      </w:hyperlink>
      <w:r>
        <w:rPr>
          <w:rFonts w:ascii="Times New Roman" w:hAnsi="Times New Roman"/>
        </w:rPr>
        <w:t xml:space="preserve">. </w:t>
      </w:r>
    </w:p>
  </w:footnote>
  <w:footnote w:id="66">
    <w:p>
      <w:pPr>
        <w:pStyle w:val="FootnoteText"/>
        <w:jc w:val="both"/>
        <w:rPr>
          <w:rFonts w:ascii="Times New Roman" w:hAnsi="Times New Roman" w:cs="Times New Roman"/>
          <w:color w:val="FF0000"/>
        </w:rPr>
      </w:pPr>
      <w:r>
        <w:rPr>
          <w:rStyle w:val="FootnoteReference"/>
          <w:rFonts w:ascii="Times New Roman" w:hAnsi="Times New Roman" w:cs="Times New Roman"/>
        </w:rPr>
        <w:footnoteRef/>
      </w:r>
      <w:r>
        <w:t xml:space="preserve"> </w:t>
      </w:r>
      <w:r>
        <w:rPr>
          <w:rFonts w:ascii="Times New Roman" w:hAnsi="Times New Roman"/>
        </w:rPr>
        <w:t>Osim toga, u okviru Europskog fonda za obranu postoje posebne odredbe za zaštitu rezultata istraživanja i razvoja za koje je pružena financijska potpora i njihove dostupnosti u EU-u. Te odredbe uključuju obvezu prethodnog obavještavanja Komisije u slučaju prijenosa vlasništva nad rezultatima i povezanog intelektualnog vlasništva (i izdavanja isključive licencije za istraživanja) nepridruženim trećim zemljama ili subjektima iz trećih zemalja i obvezu povrata sredstava EU-a ako bi taj prijenos rezultata/intelektualnog vlasništva bio u suprotnosti sa sigurnosnim i obrambenim interesima Unije i država članica ili ciljevima Europskog obrambenog fonda.</w:t>
      </w:r>
    </w:p>
  </w:footnote>
  <w:footnote w:id="67">
    <w:p>
      <w:pPr>
        <w:pStyle w:val="FootnoteText"/>
        <w:spacing w:after="0"/>
        <w:jc w:val="both"/>
      </w:pPr>
      <w:r>
        <w:rPr>
          <w:rStyle w:val="FootnoteReference"/>
        </w:rPr>
        <w:footnoteRef/>
      </w:r>
      <w:r>
        <w:t xml:space="preserve"> </w:t>
      </w:r>
      <w:r>
        <w:rPr>
          <w:rFonts w:ascii="Times New Roman" w:hAnsi="Times New Roman"/>
        </w:rPr>
        <w:t>U području podataka o okolišu (koji omogućuju razvoj procjene životnog ciklusa), podaci uređeni pravom intelektualnog vlasništva trebali bi biti u ravnoteži s javnim interesom da se izračuna ekološki otisak proizvoda i organizacija.</w:t>
      </w:r>
    </w:p>
  </w:footnote>
  <w:footnote w:id="6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6" w:history="1">
        <w:r>
          <w:rPr>
            <w:rStyle w:val="Hyperlink"/>
            <w:rFonts w:ascii="Times New Roman" w:hAnsi="Times New Roman"/>
          </w:rPr>
          <w:t>Komunikacija Komisije</w:t>
        </w:r>
      </w:hyperlink>
      <w:r>
        <w:rPr>
          <w:rFonts w:ascii="Times New Roman" w:hAnsi="Times New Roman"/>
        </w:rPr>
        <w:t xml:space="preserve"> – Strategija EU-a za cjepiva protiv bolesti COVID-19, COM(2020) 245 final, 17. lipnja 2020.</w:t>
      </w:r>
    </w:p>
  </w:footnote>
  <w:footnote w:id="6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7" w:history="1">
        <w:r>
          <w:rPr>
            <w:rStyle w:val="Hyperlink"/>
            <w:rFonts w:ascii="Times New Roman" w:hAnsi="Times New Roman"/>
          </w:rPr>
          <w:t>Rezolucija sa 73. zasjedanja Svjetske zdravstvene skupštine.</w:t>
        </w:r>
      </w:hyperlink>
    </w:p>
  </w:footnote>
  <w:footnote w:id="7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8" w:history="1">
        <w:r>
          <w:rPr>
            <w:rStyle w:val="Hyperlink"/>
            <w:rFonts w:ascii="Times New Roman" w:hAnsi="Times New Roman"/>
          </w:rPr>
          <w:t>Komunikacija Komisije</w:t>
        </w:r>
      </w:hyperlink>
      <w:r>
        <w:rPr>
          <w:rFonts w:ascii="Times New Roman" w:hAnsi="Times New Roman"/>
        </w:rPr>
        <w:t xml:space="preserve"> – Privremeni okvir za procjenu protumonopolskih pitanja povezanih s poslovnom suradnjom pri odgovoru na hitne situacije proizašle iz aktualne pandemije bolesti COVID-19, C(2020) 3200 final.</w:t>
      </w:r>
    </w:p>
  </w:footnote>
  <w:footnote w:id="7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9" w:history="1">
        <w:r>
          <w:rPr>
            <w:rStyle w:val="Hyperlink"/>
            <w:rFonts w:ascii="Times New Roman" w:hAnsi="Times New Roman"/>
          </w:rPr>
          <w:t>Manifest za istraživanje bolesti COVID-19 u EU-u</w:t>
        </w:r>
      </w:hyperlink>
      <w:r>
        <w:rPr>
          <w:rFonts w:ascii="Times New Roman" w:hAnsi="Times New Roman"/>
        </w:rPr>
        <w:t xml:space="preserve">, čiji je cilj omogućiti maksimalnu dostupnost rezultata istraživanja u borbi protiv bolesti COVID-19, do sada je podržalo više od 600 organizacija (sveučilišta, istraživački instituti, privatna društva uključujući MSP-ove i organizacije civilnog društva) te više od 1 800 pojedinaca iz cijele Europe, pa i šire. </w:t>
      </w:r>
    </w:p>
  </w:footnote>
  <w:footnote w:id="7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Jedina je iznimka</w:t>
      </w:r>
      <w:r>
        <w:t xml:space="preserve"> </w:t>
      </w:r>
      <w:hyperlink r:id="rId60" w:history="1">
        <w:r>
          <w:rPr>
            <w:rStyle w:val="Hyperlink"/>
            <w:rFonts w:ascii="Times New Roman" w:hAnsi="Times New Roman"/>
          </w:rPr>
          <w:t>Uredba (EZ) br. 816/2006</w:t>
        </w:r>
      </w:hyperlink>
      <w:r>
        <w:rPr>
          <w:rFonts w:ascii="Times New Roman" w:hAnsi="Times New Roman"/>
        </w:rPr>
        <w:t>, kojom se predviđa poseban režim obveznog licenciranja u skladu s člankom 31.a Sporazuma o trgovinskim aspektima prava intelektualnoga vlasništva i odnosi se na proizvodnju farmaceutskih proizvoda za izvoz u zemlje s javnozdravstvenim problemima.</w:t>
      </w:r>
    </w:p>
  </w:footnote>
  <w:footnote w:id="7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Vidjeti i </w:t>
      </w:r>
      <w:hyperlink r:id="rId61" w:history="1">
        <w:r>
          <w:rPr>
            <w:rStyle w:val="Hyperlink"/>
            <w:rFonts w:ascii="Times New Roman" w:hAnsi="Times New Roman"/>
          </w:rPr>
          <w:t>Dokument Vijeća 15016/19</w:t>
        </w:r>
      </w:hyperlink>
      <w:r>
        <w:rPr>
          <w:rFonts w:ascii="Times New Roman" w:hAnsi="Times New Roman"/>
        </w:rPr>
        <w:t xml:space="preserve"> „Razvoj infrastrukture u području autorskih prava – Pregled rada i napretka tijekom finskog predsjedanja”.</w:t>
      </w:r>
    </w:p>
  </w:footnote>
  <w:footnote w:id="7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Skup pravila, tehnologija i institucija povezanih s praksama upravljanja podacima u kreativnom sektoru.</w:t>
      </w:r>
    </w:p>
  </w:footnote>
  <w:footnote w:id="75">
    <w:p>
      <w:pPr>
        <w:pStyle w:val="FootnoteText"/>
        <w:spacing w:after="0"/>
        <w:jc w:val="both"/>
        <w:rPr>
          <w:rFonts w:ascii="Times New Roman" w:hAnsi="Times New Roman" w:cs="Times New Roman"/>
          <w:highlight w:val="green"/>
        </w:rPr>
      </w:pPr>
      <w:r>
        <w:rPr>
          <w:rStyle w:val="FootnoteReference"/>
          <w:rFonts w:ascii="Times New Roman" w:hAnsi="Times New Roman" w:cs="Times New Roman"/>
        </w:rPr>
        <w:footnoteRef/>
      </w:r>
      <w:r>
        <w:t xml:space="preserve"> </w:t>
      </w:r>
      <w:r>
        <w:rPr>
          <w:rFonts w:ascii="Times New Roman" w:hAnsi="Times New Roman"/>
        </w:rPr>
        <w:t xml:space="preserve">Vidjeti </w:t>
      </w:r>
      <w:hyperlink r:id="rId62" w:history="1">
        <w:r>
          <w:rPr>
            <w:rStyle w:val="Hyperlink"/>
            <w:rFonts w:ascii="Times New Roman" w:hAnsi="Times New Roman"/>
          </w:rPr>
          <w:t>SMART 2019/0038</w:t>
        </w:r>
      </w:hyperlink>
      <w:r>
        <w:rPr>
          <w:rFonts w:ascii="Times New Roman" w:hAnsi="Times New Roman"/>
        </w:rPr>
        <w:t xml:space="preserve"> – </w:t>
      </w:r>
      <w:r>
        <w:rPr>
          <w:rFonts w:ascii="Times New Roman" w:hAnsi="Times New Roman"/>
          <w:i/>
          <w:iCs/>
        </w:rPr>
        <w:t>Study on Copyright and New technologies: copyright data management and Artificial Intelligence</w:t>
      </w:r>
      <w:r>
        <w:rPr>
          <w:rFonts w:ascii="Times New Roman" w:hAnsi="Times New Roman"/>
        </w:rPr>
        <w:t xml:space="preserve"> (Studija o autorskim pravima i novim tehnologijama: upravljanje podacima o autorskim pravima i umjetna inteligencija). </w:t>
      </w:r>
    </w:p>
  </w:footnote>
  <w:footnote w:id="76">
    <w:p>
      <w:pPr>
        <w:pStyle w:val="FootnoteText"/>
        <w:spacing w:after="0"/>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w:t>
      </w:r>
      <w:hyperlink r:id="rId63" w:history="1">
        <w:r>
          <w:rPr>
            <w:rStyle w:val="Hyperlink"/>
            <w:rFonts w:ascii="Times New Roman" w:hAnsi="Times New Roman"/>
            <w:i/>
          </w:rPr>
          <w:t>Landscape study of potentially essential patents disclosed to ETSI</w:t>
        </w:r>
      </w:hyperlink>
      <w:r>
        <w:rPr>
          <w:rFonts w:ascii="Times New Roman" w:hAnsi="Times New Roman"/>
        </w:rPr>
        <w:t xml:space="preserve"> (Pregled patenata potencijalno bitnih za normu otkrivenih ETSI-ju), 2020. </w:t>
      </w:r>
    </w:p>
  </w:footnote>
  <w:footnote w:id="7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4" w:history="1">
        <w:r>
          <w:rPr>
            <w:rStyle w:val="Hyperlink"/>
            <w:rFonts w:ascii="Times New Roman" w:hAnsi="Times New Roman"/>
          </w:rPr>
          <w:t>Komunikacija Komisije</w:t>
        </w:r>
      </w:hyperlink>
      <w:r>
        <w:rPr>
          <w:rFonts w:ascii="Times New Roman" w:hAnsi="Times New Roman"/>
        </w:rPr>
        <w:t xml:space="preserve"> – Utvrđivanje pristupa EU-a patentima bitnima za normu, COM(2017) 712 final, 29. studenoga 2017. </w:t>
      </w:r>
    </w:p>
  </w:footnote>
  <w:footnote w:id="78">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Kao i u području pametnog zdravstva, pametne energije i interneta stvari.</w:t>
      </w:r>
    </w:p>
  </w:footnote>
  <w:footnote w:id="7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5" w:history="1">
        <w:r>
          <w:rPr>
            <w:rStyle w:val="Hyperlink"/>
            <w:rFonts w:ascii="Times New Roman" w:hAnsi="Times New Roman"/>
          </w:rPr>
          <w:t>Izvješće o pilot-studiji – provjera bitnosti patenata bitnih za normu</w:t>
        </w:r>
      </w:hyperlink>
      <w:r>
        <w:rPr>
          <w:rFonts w:ascii="Times New Roman" w:hAnsi="Times New Roman"/>
          <w:i/>
          <w:color w:val="FF0000"/>
        </w:rPr>
        <w:t xml:space="preserve"> </w:t>
      </w:r>
    </w:p>
  </w:footnote>
  <w:footnote w:id="8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6" w:history="1">
        <w:r>
          <w:rPr>
            <w:rStyle w:val="Hyperlink"/>
            <w:rFonts w:ascii="Times New Roman" w:hAnsi="Times New Roman"/>
          </w:rPr>
          <w:t>Komunikacija Komisije</w:t>
        </w:r>
      </w:hyperlink>
      <w:r>
        <w:rPr>
          <w:rFonts w:ascii="Times New Roman" w:hAnsi="Times New Roman"/>
        </w:rPr>
        <w:t xml:space="preserve"> – Europska strategija za podatke, (COM)2020 66 final, 19. veljače 2020. </w:t>
      </w:r>
    </w:p>
  </w:footnote>
  <w:footnote w:id="81">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Vidjeti </w:t>
      </w:r>
      <w:hyperlink r:id="rId67" w:history="1">
        <w:r>
          <w:rPr>
            <w:rStyle w:val="Hyperlink"/>
            <w:rFonts w:ascii="Times New Roman" w:hAnsi="Times New Roman"/>
          </w:rPr>
          <w:t>informativni članak o strategiji za podatke</w:t>
        </w:r>
      </w:hyperlink>
      <w:r>
        <w:rPr>
          <w:rFonts w:ascii="Times New Roman" w:hAnsi="Times New Roman"/>
        </w:rPr>
        <w:t>.</w:t>
      </w:r>
    </w:p>
  </w:footnote>
  <w:footnote w:id="8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8" w:history="1">
        <w:r>
          <w:rPr>
            <w:rStyle w:val="Hyperlink"/>
            <w:rFonts w:ascii="Times New Roman" w:hAnsi="Times New Roman"/>
          </w:rPr>
          <w:t>Direktiva (EU) 2016/943</w:t>
        </w:r>
      </w:hyperlink>
      <w:r>
        <w:rPr>
          <w:rFonts w:ascii="Times New Roman" w:hAnsi="Times New Roman"/>
          <w:bCs/>
          <w:color w:val="000000"/>
          <w:shd w:val="clear" w:color="auto" w:fill="FFFFFF"/>
        </w:rPr>
        <w:t xml:space="preserve"> o zaštiti neotkrivenih znanja i iskustva te poslovnih informacija (poslovne tajne) od nezakonitog pribavljanja, korištenja i otkrivanja.</w:t>
      </w:r>
    </w:p>
  </w:footnote>
  <w:footnote w:id="83">
    <w:p>
      <w:pPr>
        <w:pStyle w:val="FootnoteText"/>
        <w:spacing w:after="0"/>
        <w:jc w:val="both"/>
        <w:rPr>
          <w:rFonts w:ascii="Times New Roman" w:hAnsi="Times New Roman" w:cs="Times New Roman"/>
          <w:bCs/>
          <w:color w:val="000000"/>
          <w:shd w:val="clear" w:color="auto" w:fill="FFFFFF"/>
        </w:rPr>
      </w:pPr>
      <w:r>
        <w:rPr>
          <w:rStyle w:val="FootnoteReference"/>
          <w:rFonts w:ascii="Times New Roman" w:hAnsi="Times New Roman"/>
        </w:rPr>
        <w:footnoteRef/>
      </w:r>
      <w:r>
        <w:rPr>
          <w:rFonts w:ascii="Times New Roman" w:hAnsi="Times New Roman"/>
        </w:rPr>
        <w:t xml:space="preserve"> </w:t>
      </w:r>
      <w:r>
        <w:rPr>
          <w:rFonts w:ascii="Times New Roman" w:hAnsi="Times New Roman"/>
          <w:bCs/>
          <w:color w:val="000000"/>
          <w:shd w:val="clear" w:color="auto" w:fill="FFFFFF"/>
        </w:rPr>
        <w:t xml:space="preserve">U sektoru tinte za pisače i spremnika s tintom, primjerice, proizvođači originalne opreme protive se tome da treće strane ponovno proizvode njihove proizvode. S druge strane, neovisni ponovni proizvođači (posebno MSP-ovi) nemaju sredstva za pokretanje sudskih postupaka protiv velikih proizvođača originalne opreme, čak i ako je ponovna proizvodnja zakonita. Ta potencijalna prepreka možda će manja društva odvratiti od ulaska na tržište ponovne proizvodnje. </w:t>
      </w:r>
      <w:r>
        <w:rPr>
          <w:rFonts w:ascii="Times New Roman" w:hAnsi="Times New Roman"/>
        </w:rPr>
        <w:t xml:space="preserve">Vidjeti: </w:t>
      </w:r>
      <w:r>
        <w:rPr>
          <w:rFonts w:ascii="Times New Roman" w:hAnsi="Times New Roman"/>
          <w:i/>
          <w:iCs/>
        </w:rPr>
        <w:t>Study on the implementation of product design requirements set out in Article 4 of the WEEE Directive, The case of re-usability of printer cartridges: final report</w:t>
      </w:r>
      <w:r>
        <w:rPr>
          <w:rFonts w:ascii="Times New Roman" w:hAnsi="Times New Roman"/>
        </w:rPr>
        <w:t xml:space="preserve"> (Studija o provedbi zahtjeva za dizajn proizvoda iz članka 4. Direktive o otpadnoj električnoj i elektroničkoj opremi. Slučaj ponovne iskoristivosti spremnika s tintom: konačno izvješće), Kling et al, za Europsku komisiju Glavna uprava za okoliš, 2018.</w:t>
      </w:r>
    </w:p>
  </w:footnote>
  <w:footnote w:id="8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Europskom strategijom za podatke predviđa se istraživanje potrebe za zakonodavnim mjerama u području pitanja koja utječu na odnose između dionika u podatkovnom gospodarstvu. Pritom je namjera potaknuti međusektorsku razmjenu podataka. Takva pitanja (npr. u području razmjene podataka između poduzeća i državnih tijela, razmjene podataka među poduzećima na temelju prava na zajednički generirane podatke) mogla bi biti obuhvaćena aktom o podacima (2021.).</w:t>
      </w:r>
    </w:p>
  </w:footnote>
  <w:footnote w:id="8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9" w:history="1">
        <w:r>
          <w:rPr>
            <w:rStyle w:val="Hyperlink"/>
            <w:rFonts w:ascii="Times New Roman" w:hAnsi="Times New Roman"/>
          </w:rPr>
          <w:t>Direktiva 96/9/EZ</w:t>
        </w:r>
      </w:hyperlink>
      <w:r>
        <w:rPr>
          <w:rFonts w:ascii="Times New Roman" w:hAnsi="Times New Roman"/>
          <w:b/>
          <w:bCs/>
          <w:color w:val="000000"/>
          <w:shd w:val="clear" w:color="auto" w:fill="FFFFFF"/>
        </w:rPr>
        <w:t xml:space="preserve"> </w:t>
      </w:r>
      <w:r>
        <w:rPr>
          <w:rFonts w:ascii="Times New Roman" w:hAnsi="Times New Roman"/>
          <w:bCs/>
          <w:color w:val="000000"/>
          <w:shd w:val="clear" w:color="auto" w:fill="FFFFFF"/>
        </w:rPr>
        <w:t>o pravnoj zaštiti baza podataka.</w:t>
      </w:r>
    </w:p>
  </w:footnote>
  <w:footnote w:id="8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0" w:history="1">
        <w:r>
          <w:rPr>
            <w:rStyle w:val="Hyperlink"/>
            <w:rFonts w:ascii="Times New Roman" w:hAnsi="Times New Roman"/>
          </w:rPr>
          <w:t>Evaluacija Direktive 96/9/EZ</w:t>
        </w:r>
      </w:hyperlink>
      <w:r>
        <w:rPr>
          <w:rFonts w:ascii="Times New Roman" w:hAnsi="Times New Roman"/>
        </w:rPr>
        <w:t xml:space="preserve"> o pravnoj zaštiti baza podataka, SWD(2018) 147 final. </w:t>
      </w:r>
    </w:p>
  </w:footnote>
  <w:footnote w:id="87">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1" w:history="1">
        <w:r>
          <w:rPr>
            <w:rStyle w:val="Hyperlink"/>
            <w:rFonts w:ascii="Times New Roman" w:hAnsi="Times New Roman"/>
          </w:rPr>
          <w:t>Program rada Komisije za 2021.</w:t>
        </w:r>
      </w:hyperlink>
    </w:p>
  </w:footnote>
  <w:footnote w:id="88">
    <w:p>
      <w:pPr>
        <w:pStyle w:val="FootnoteText"/>
        <w:spacing w:after="0"/>
        <w:jc w:val="both"/>
      </w:pPr>
      <w:r>
        <w:rPr>
          <w:rStyle w:val="FootnoteReference"/>
        </w:rPr>
        <w:footnoteRef/>
      </w:r>
      <w:r>
        <w:t xml:space="preserve"> </w:t>
      </w:r>
      <w:r>
        <w:rPr>
          <w:rFonts w:ascii="Times New Roman" w:hAnsi="Times New Roman"/>
          <w:color w:val="000000" w:themeColor="text1"/>
        </w:rPr>
        <w:t>Razmjena podataka smatra se razmjenom informacija koja mora biti u skladu s protumonopolskim propisima navedenima u horizontalnim smjernicama Komisije, u kojima se objašnjava koje se vrste informacija smiju razmjenjivati. Revizijom tih smjernica utvrdit će se jesu li, u okviru novih oblika suradnje u istraživanju i razvoju, potrebne smjernice za razmjenu podataka. Komisija će usto razmotriti jesu li potrebne dodatne smjernice o tome u kojim slučajevima pristup podacima može postati obvezan u skladu s doktrinom o bitnoj infrastrukturi.</w:t>
      </w:r>
    </w:p>
  </w:footnote>
  <w:footnote w:id="8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2" w:history="1">
        <w:r>
          <w:rPr>
            <w:rStyle w:val="Hyperlink"/>
            <w:rFonts w:ascii="Times New Roman" w:hAnsi="Times New Roman"/>
          </w:rPr>
          <w:t>Direktiva 2004/48/EZ</w:t>
        </w:r>
      </w:hyperlink>
      <w:r>
        <w:rPr>
          <w:rFonts w:ascii="Times New Roman" w:hAnsi="Times New Roman"/>
        </w:rPr>
        <w:t xml:space="preserve"> </w:t>
      </w:r>
      <w:r>
        <w:rPr>
          <w:rFonts w:ascii="Times New Roman" w:hAnsi="Times New Roman"/>
          <w:bCs/>
        </w:rPr>
        <w:t>o provedbi prava intelektualnog vlasništva.</w:t>
      </w:r>
    </w:p>
  </w:footnote>
  <w:footnote w:id="9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fldChar w:fldCharType="begin"/>
      </w:r>
      <w:r>
        <w:fldChar w:fldCharType="separate"/>
      </w:r>
      <w:r>
        <w:rPr>
          <w:rStyle w:val="Hyperlink"/>
          <w:rFonts w:ascii="Times New Roman" w:hAnsi="Times New Roman" w:cs="Times New Roman"/>
        </w:rPr>
        <w:t>Commission communication</w:t>
      </w:r>
      <w:r>
        <w:rPr>
          <w:rStyle w:val="Hyperlink"/>
          <w:rFonts w:ascii="Times New Roman" w:hAnsi="Times New Roman" w:cs="Times New Roman"/>
        </w:rPr>
        <w:fldChar w:fldCharType="end"/>
      </w:r>
      <w:hyperlink r:id="rId73" w:history="1">
        <w:r>
          <w:rPr>
            <w:rStyle w:val="Hyperlink"/>
            <w:rFonts w:ascii="Times New Roman" w:hAnsi="Times New Roman"/>
          </w:rPr>
          <w:t>Smjernice o određenim aspektima Direktive 2004/48/EZ</w:t>
        </w:r>
      </w:hyperlink>
      <w:r>
        <w:rPr>
          <w:rFonts w:ascii="Times New Roman" w:hAnsi="Times New Roman"/>
        </w:rPr>
        <w:t xml:space="preserve"> o provedbi prava intelektualnog vlasništva, COM(2017) 708 final, 29. studenoga 2017.</w:t>
      </w:r>
    </w:p>
  </w:footnote>
  <w:footnote w:id="91">
    <w:p>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74" w:history="1">
        <w:r>
          <w:rPr>
            <w:rStyle w:val="Hyperlink"/>
            <w:rFonts w:ascii="Times New Roman" w:hAnsi="Times New Roman"/>
            <w:i/>
          </w:rPr>
          <w:t>Trends in Trade in Counterfeit and Pirated Goods</w:t>
        </w:r>
      </w:hyperlink>
      <w:r>
        <w:t xml:space="preserve"> </w:t>
      </w:r>
      <w:r>
        <w:rPr>
          <w:rFonts w:ascii="Times New Roman" w:hAnsi="Times New Roman"/>
        </w:rPr>
        <w:t>(Kretanja u trgovini krivotvorenom i piratskom robom), OECD i EUIPO, 2019.</w:t>
      </w:r>
    </w:p>
  </w:footnote>
  <w:footnote w:id="92">
    <w:p>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75" w:anchor="Status_Report_2020" w:history="1">
        <w:r>
          <w:rPr>
            <w:rStyle w:val="Hyperlink"/>
            <w:rFonts w:ascii="Times New Roman" w:hAnsi="Times New Roman"/>
            <w:i/>
            <w:iCs/>
          </w:rPr>
          <w:t>Status Report on IPR infringement</w:t>
        </w:r>
      </w:hyperlink>
      <w:r>
        <w:t xml:space="preserve"> </w:t>
      </w:r>
      <w:r>
        <w:rPr>
          <w:rFonts w:ascii="Times New Roman" w:hAnsi="Times New Roman"/>
        </w:rPr>
        <w:t>(Izvješće o statusu povrede prava intelektualnog vlasništva), EUIPO, 2020.: prosječni godišnji podaci, 2013.–2017.</w:t>
      </w:r>
    </w:p>
  </w:footnote>
  <w:footnote w:id="93">
    <w:p>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76" w:history="1">
        <w:r>
          <w:rPr>
            <w:rStyle w:val="Hyperlink"/>
            <w:rFonts w:ascii="Times New Roman" w:hAnsi="Times New Roman"/>
            <w:i/>
          </w:rPr>
          <w:t>Qualitative Study on Risks Posed by Counterfeits to Consumers</w:t>
        </w:r>
      </w:hyperlink>
      <w:r>
        <w:rPr>
          <w:rFonts w:ascii="Times New Roman" w:hAnsi="Times New Roman"/>
        </w:rPr>
        <w:t xml:space="preserve"> (Kvalitativna studija o rizicima koje krivotvorena roba predstavlja za potrošače), EUIPO 2019.</w:t>
      </w:r>
    </w:p>
  </w:footnote>
  <w:footnote w:id="94">
    <w:p>
      <w:pPr>
        <w:pStyle w:val="FootnoteText"/>
        <w:spacing w:after="0"/>
      </w:pPr>
      <w:r>
        <w:rPr>
          <w:rStyle w:val="FootnoteReference"/>
          <w:rFonts w:ascii="Times New Roman" w:hAnsi="Times New Roman"/>
        </w:rPr>
        <w:footnoteRef/>
      </w:r>
      <w:r>
        <w:t xml:space="preserve"> </w:t>
      </w:r>
      <w:r>
        <w:rPr>
          <w:rFonts w:ascii="Times New Roman" w:hAnsi="Times New Roman"/>
        </w:rPr>
        <w:t xml:space="preserve">Vidjeti operacije provedene uz pomoć Europskog ureda za borbu protiv prijevara, npr. zapljena 550 tona nezakonitih ili krivotvorenih pesticida 2019. u okviru akcije </w:t>
      </w:r>
      <w:r>
        <w:rPr>
          <w:rFonts w:ascii="Times New Roman" w:hAnsi="Times New Roman"/>
          <w:i/>
          <w:iCs/>
        </w:rPr>
        <w:t>Silver Axe IV</w:t>
      </w:r>
      <w:r>
        <w:rPr>
          <w:rFonts w:ascii="Times New Roman" w:hAnsi="Times New Roman"/>
        </w:rPr>
        <w:t xml:space="preserve"> (vidjeti</w:t>
      </w:r>
      <w:r>
        <w:t xml:space="preserve"> </w:t>
      </w:r>
      <w:hyperlink r:id="rId77" w:history="1">
        <w:r>
          <w:rPr>
            <w:rStyle w:val="Hyperlink"/>
            <w:rFonts w:ascii="Times New Roman" w:hAnsi="Times New Roman"/>
          </w:rPr>
          <w:t>priopćenje za medije</w:t>
        </w:r>
      </w:hyperlink>
      <w:r>
        <w:rPr>
          <w:rFonts w:ascii="Times New Roman" w:hAnsi="Times New Roman"/>
        </w:rPr>
        <w:t>).</w:t>
      </w:r>
    </w:p>
  </w:footnote>
  <w:footnote w:id="95">
    <w:p>
      <w:pPr>
        <w:pStyle w:val="FootnoteText"/>
        <w:spacing w:after="0"/>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hyperlink r:id="rId78" w:history="1">
        <w:r>
          <w:rPr>
            <w:rStyle w:val="Hyperlink"/>
            <w:rFonts w:ascii="Times New Roman" w:hAnsi="Times New Roman"/>
            <w:i/>
          </w:rPr>
          <w:t>The scale and impact of industrial espionage and theft of trade secrets through cyber</w:t>
        </w:r>
      </w:hyperlink>
      <w:r>
        <w:t xml:space="preserve"> </w:t>
      </w:r>
      <w:r>
        <w:rPr>
          <w:rFonts w:ascii="Times New Roman" w:hAnsi="Times New Roman"/>
        </w:rPr>
        <w:t>(Razmjer i posljedice industrijske kiberšpijunaže i kiberkrađe poslovnih tajni), 2018.</w:t>
      </w:r>
    </w:p>
  </w:footnote>
  <w:footnote w:id="9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Vidjeti </w:t>
      </w:r>
      <w:hyperlink r:id="rId79" w:history="1">
        <w:r>
          <w:rPr>
            <w:rStyle w:val="Hyperlink"/>
            <w:rFonts w:ascii="Times New Roman" w:hAnsi="Times New Roman"/>
          </w:rPr>
          <w:t>javno savjetovanje</w:t>
        </w:r>
      </w:hyperlink>
      <w:r>
        <w:rPr>
          <w:rFonts w:ascii="Times New Roman" w:hAnsi="Times New Roman"/>
        </w:rPr>
        <w:t xml:space="preserve"> pokrenuto 2. lipnja 2020. i povezane korake.</w:t>
      </w:r>
    </w:p>
  </w:footnote>
  <w:footnote w:id="9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0" w:history="1">
        <w:r>
          <w:rPr>
            <w:rStyle w:val="Hyperlink"/>
            <w:rFonts w:ascii="Times New Roman" w:hAnsi="Times New Roman"/>
          </w:rPr>
          <w:t>Europska multidisciplinarna platforma za borbu protiv kaznenih djela.</w:t>
        </w:r>
      </w:hyperlink>
    </w:p>
  </w:footnote>
  <w:footnote w:id="98">
    <w:p>
      <w:pPr>
        <w:pStyle w:val="FootnoteText"/>
        <w:spacing w:after="0"/>
        <w:jc w:val="both"/>
        <w:rPr>
          <w:rFonts w:ascii="Times New Roman" w:hAnsi="Times New Roman" w:cs="Times New Roman"/>
        </w:rPr>
      </w:pPr>
      <w:r>
        <w:rPr>
          <w:rStyle w:val="FootnoteReference"/>
          <w:rFonts w:ascii="Times New Roman" w:hAnsi="Times New Roman" w:cs="Times New Roman"/>
          <w:shd w:val="clear" w:color="auto" w:fill="FFFFFF" w:themeFill="background1"/>
        </w:rPr>
        <w:footnoteRef/>
      </w:r>
      <w:r>
        <w:rPr>
          <w:rFonts w:ascii="Times New Roman" w:hAnsi="Times New Roman"/>
          <w:shd w:val="clear" w:color="auto" w:fill="FFFFFF" w:themeFill="background1"/>
        </w:rPr>
        <w:t xml:space="preserve"> </w:t>
      </w:r>
      <w:hyperlink r:id="rId81" w:history="1">
        <w:r>
          <w:rPr>
            <w:rStyle w:val="Hyperlink"/>
            <w:rFonts w:ascii="Times New Roman" w:hAnsi="Times New Roman"/>
          </w:rPr>
          <w:t>Komunikacija Komisije</w:t>
        </w:r>
      </w:hyperlink>
      <w:r>
        <w:rPr>
          <w:rFonts w:ascii="Times New Roman" w:hAnsi="Times New Roman"/>
        </w:rPr>
        <w:t xml:space="preserve"> –</w:t>
      </w:r>
      <w:r>
        <w:rPr>
          <w:rFonts w:ascii="Times New Roman" w:hAnsi="Times New Roman"/>
          <w:shd w:val="clear" w:color="auto" w:fill="FFFFFF" w:themeFill="background1"/>
        </w:rPr>
        <w:t xml:space="preserve"> Dugoročni akcijski plan za bolju provedbu i osiguravanje primjene pravila jedinstvenog tržišta, COM(2020) 94 final, str. 11. – 12.</w:t>
      </w:r>
      <w:r>
        <w:rPr>
          <w:rFonts w:ascii="Times New Roman" w:hAnsi="Times New Roman"/>
        </w:rPr>
        <w:t>, 10. ožujka 2020.</w:t>
      </w:r>
    </w:p>
  </w:footnote>
  <w:footnote w:id="9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Vidjeti</w:t>
      </w:r>
      <w:r>
        <w:t xml:space="preserve"> </w:t>
      </w:r>
      <w:hyperlink r:id="rId82" w:history="1">
        <w:r>
          <w:rPr>
            <w:rStyle w:val="Hyperlink"/>
            <w:rFonts w:ascii="Times New Roman" w:hAnsi="Times New Roman"/>
          </w:rPr>
          <w:t>carinski akcijski plan</w:t>
        </w:r>
      </w:hyperlink>
      <w:r>
        <w:rPr>
          <w:rFonts w:ascii="Times New Roman" w:hAnsi="Times New Roman"/>
        </w:rPr>
        <w:t>, COM(2020) 581 final, 28. rujna 2020.</w:t>
      </w:r>
    </w:p>
  </w:footnote>
  <w:footnote w:id="10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Vidjeti, primjerice, nedavno objavljena izvješća o funkcioniranju </w:t>
      </w:r>
      <w:hyperlink r:id="rId83" w:history="1">
        <w:r>
          <w:rPr>
            <w:rStyle w:val="Hyperlink"/>
            <w:rFonts w:ascii="Times New Roman" w:hAnsi="Times New Roman"/>
          </w:rPr>
          <w:t>memoranduma o razumijevanju o prodaji krivotvorene robe na internetu</w:t>
        </w:r>
      </w:hyperlink>
      <w:r>
        <w:rPr>
          <w:rStyle w:val="Hyperlink"/>
          <w:rFonts w:ascii="Times New Roman" w:hAnsi="Times New Roman"/>
          <w:u w:val="none"/>
        </w:rPr>
        <w:t xml:space="preserve"> </w:t>
      </w:r>
      <w:r>
        <w:rPr>
          <w:rStyle w:val="Hyperlink"/>
          <w:rFonts w:ascii="Times New Roman" w:hAnsi="Times New Roman"/>
          <w:color w:val="auto"/>
          <w:u w:val="none"/>
        </w:rPr>
        <w:t xml:space="preserve">i </w:t>
      </w:r>
      <w:hyperlink r:id="rId84" w:history="1">
        <w:r>
          <w:rPr>
            <w:rStyle w:val="Hyperlink"/>
            <w:rFonts w:ascii="Times New Roman" w:hAnsi="Times New Roman"/>
          </w:rPr>
          <w:t>memoranduma o razumijevanju o internetskom oglašavanju i pravima intelektualnog vlasništva</w:t>
        </w:r>
      </w:hyperlink>
      <w:r>
        <w:rPr>
          <w:rStyle w:val="Hyperlink"/>
          <w:rFonts w:ascii="Times New Roman" w:hAnsi="Times New Roman"/>
          <w:color w:val="auto"/>
          <w:u w:val="none"/>
        </w:rPr>
        <w:t>.</w:t>
      </w:r>
    </w:p>
  </w:footnote>
  <w:footnote w:id="10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Proširenje </w:t>
      </w:r>
      <w:hyperlink r:id="rId85" w:history="1">
        <w:r>
          <w:rPr>
            <w:rStyle w:val="Hyperlink"/>
            <w:rFonts w:ascii="Times New Roman" w:hAnsi="Times New Roman"/>
          </w:rPr>
          <w:t>portala za provedbu prava intelektualnog vlasništva</w:t>
        </w:r>
      </w:hyperlink>
      <w:r>
        <w:rPr>
          <w:rFonts w:ascii="Times New Roman" w:hAnsi="Times New Roman"/>
        </w:rPr>
        <w:t xml:space="preserve">, kojim upravlja EUIPO, omogućit će učinkovitiju razmjenu podataka među svim relevantnim stranama. To proširenje će, primjerice, uključivati integraciju podataka o pravima intelektualnog vlasništva koji još nisu bili obuhvaćeni portalom, kao što su oplemenjivačka prava na biljnu sortu i oznake zemljopisnog podrijetla. </w:t>
      </w:r>
    </w:p>
  </w:footnote>
  <w:footnote w:id="10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Vidjeti, primjerice, forum o rješenjima za borbu protiv krivotvorenja utemeljenima na lancu blokova (</w:t>
      </w:r>
      <w:hyperlink r:id="rId86" w:history="1">
        <w:r>
          <w:rPr>
            <w:rStyle w:val="Hyperlink"/>
            <w:rFonts w:ascii="Times New Roman" w:hAnsi="Times New Roman"/>
            <w:i/>
            <w:iCs/>
          </w:rPr>
          <w:t>Anti-Counterfeiting Blockathon Forum</w:t>
        </w:r>
      </w:hyperlink>
      <w:r>
        <w:rPr>
          <w:rFonts w:ascii="Times New Roman" w:hAnsi="Times New Roman"/>
        </w:rPr>
        <w:t>) Europske promatračnice za povrede prava intelektualnog vlasništva. Njegov je cilj izgradnja zajedničke infrastrukture lanca blokova koja omogućuje povezivanje svih sudionika (posrednika, nositelja prava i tijela za izvršavanje zakonodavstva) i razmjenu podataka kako bi se lanci opskrbe zaštitili od krivotvorene robe.</w:t>
      </w:r>
    </w:p>
  </w:footnote>
  <w:footnote w:id="10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Vidjeti: </w:t>
      </w:r>
      <w:hyperlink r:id="rId87" w:history="1">
        <w:r>
          <w:rPr>
            <w:rStyle w:val="Hyperlink"/>
            <w:rFonts w:ascii="Times New Roman" w:hAnsi="Times New Roman"/>
            <w:shd w:val="clear" w:color="auto" w:fill="FFFFFF"/>
          </w:rPr>
          <w:t>OLAF pokreće istragu lažnih proizvoda povezanih s bolešću COVID-19</w:t>
        </w:r>
      </w:hyperlink>
      <w:r>
        <w:rPr>
          <w:rFonts w:ascii="Times New Roman" w:hAnsi="Times New Roman"/>
        </w:rPr>
        <w:t xml:space="preserve">. Vidjeti i: </w:t>
      </w:r>
      <w:hyperlink r:id="rId88" w:history="1">
        <w:r>
          <w:rPr>
            <w:rStyle w:val="Hyperlink"/>
            <w:rFonts w:ascii="Times New Roman" w:hAnsi="Times New Roman"/>
          </w:rPr>
          <w:t>Pregled</w:t>
        </w:r>
      </w:hyperlink>
      <w:r>
        <w:rPr>
          <w:rFonts w:ascii="Times New Roman" w:hAnsi="Times New Roman"/>
        </w:rPr>
        <w:t xml:space="preserve"> nezakonitih aktivnosti i djela te </w:t>
      </w:r>
      <w:hyperlink r:id="rId89" w:history="1">
        <w:r>
          <w:rPr>
            <w:rStyle w:val="Hyperlink"/>
            <w:rFonts w:ascii="Times New Roman" w:hAnsi="Times New Roman"/>
          </w:rPr>
          <w:t>prijevare povezane s bolešću COVID-19</w:t>
        </w:r>
      </w:hyperlink>
      <w:r>
        <w:rPr>
          <w:rFonts w:ascii="Times New Roman" w:hAnsi="Times New Roman"/>
        </w:rPr>
        <w:t>.</w:t>
      </w:r>
    </w:p>
  </w:footnote>
  <w:footnote w:id="10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Europski potrošački centri izrađuju materijale za informiranje potrošača o rizicima povezanima s krivotvorenom robom. </w:t>
      </w:r>
      <w:hyperlink r:id="rId90" w:history="1">
        <w:r>
          <w:rPr>
            <w:rStyle w:val="Hyperlink"/>
            <w:rFonts w:ascii="Times New Roman" w:hAnsi="Times New Roman"/>
          </w:rPr>
          <w:t xml:space="preserve">Savjeti za potrošače </w:t>
        </w:r>
      </w:hyperlink>
      <w:r>
        <w:rPr>
          <w:rFonts w:ascii="Times New Roman" w:hAnsi="Times New Roman"/>
        </w:rPr>
        <w:t xml:space="preserve">i </w:t>
      </w:r>
      <w:hyperlink r:id="rId91" w:history="1">
        <w:r>
          <w:rPr>
            <w:rStyle w:val="Hyperlink"/>
            <w:rFonts w:ascii="Times New Roman" w:hAnsi="Times New Roman"/>
          </w:rPr>
          <w:t>Izvješće Europskog potrošačkog centra o krivotvorenju</w:t>
        </w:r>
      </w:hyperlink>
      <w:r>
        <w:rPr>
          <w:rFonts w:ascii="Times New Roman" w:hAnsi="Times New Roman"/>
        </w:rPr>
        <w:t>.</w:t>
      </w:r>
    </w:p>
  </w:footnote>
  <w:footnote w:id="105">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Strategija za sigurnosnu uniju, COM(2020) 605 final (str. 25.).</w:t>
      </w:r>
    </w:p>
  </w:footnote>
  <w:footnote w:id="106">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2" w:history="1">
        <w:r>
          <w:rPr>
            <w:rStyle w:val="Hyperlink"/>
            <w:rFonts w:ascii="Times New Roman" w:hAnsi="Times New Roman"/>
            <w:i/>
          </w:rPr>
          <w:t>Status Report on IPR infringement</w:t>
        </w:r>
      </w:hyperlink>
      <w:r>
        <w:rPr>
          <w:rFonts w:ascii="Times New Roman" w:hAnsi="Times New Roman"/>
        </w:rPr>
        <w:t xml:space="preserve"> (Izvješće o statusu povrede prava intelektualnog vlasništva), Europska promatračnica za povrede prava intelektualnog vlasništva, 2019.</w:t>
      </w:r>
    </w:p>
  </w:footnote>
  <w:footnote w:id="10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Vidjeti npr. </w:t>
      </w:r>
      <w:hyperlink r:id="rId93" w:history="1">
        <w:r>
          <w:rPr>
            <w:rStyle w:val="Hyperlink"/>
            <w:rFonts w:ascii="Times New Roman" w:hAnsi="Times New Roman"/>
          </w:rPr>
          <w:t>izjavu članica skupine G7</w:t>
        </w:r>
      </w:hyperlink>
      <w:r>
        <w:rPr>
          <w:rFonts w:ascii="Times New Roman" w:hAnsi="Times New Roman"/>
        </w:rPr>
        <w:t xml:space="preserve"> iz 2019.</w:t>
      </w:r>
    </w:p>
  </w:footnote>
  <w:footnote w:id="10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4" w:history="1">
        <w:r>
          <w:rPr>
            <w:rStyle w:val="Hyperlink"/>
            <w:rFonts w:ascii="Times New Roman" w:hAnsi="Times New Roman"/>
          </w:rPr>
          <w:t>Izvješće Komisije</w:t>
        </w:r>
      </w:hyperlink>
      <w:r>
        <w:rPr>
          <w:rFonts w:ascii="Times New Roman" w:hAnsi="Times New Roman"/>
        </w:rPr>
        <w:t xml:space="preserve"> o zaštiti i provedbi prava intelektualnog vlasništva u trećim zemljama, SWD(2019) 452 final/2.</w:t>
      </w:r>
    </w:p>
  </w:footnote>
  <w:footnote w:id="10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5" w:history="1">
        <w:r>
          <w:rPr>
            <w:rStyle w:val="Hyperlink"/>
            <w:rFonts w:ascii="Times New Roman" w:hAnsi="Times New Roman"/>
          </w:rPr>
          <w:t>SWD(2018) 492</w:t>
        </w:r>
      </w:hyperlink>
      <w:r>
        <w:rPr>
          <w:rStyle w:val="Hyperlink"/>
          <w:rFonts w:ascii="Times New Roman" w:hAnsi="Times New Roman"/>
          <w:color w:val="auto"/>
          <w:u w:val="none"/>
        </w:rPr>
        <w:t>.</w:t>
      </w:r>
      <w:r>
        <w:rPr>
          <w:rFonts w:ascii="Times New Roman" w:hAnsi="Times New Roman"/>
        </w:rPr>
        <w:t xml:space="preserve"> </w:t>
      </w:r>
    </w:p>
  </w:footnote>
  <w:footnote w:id="11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6" w:history="1">
        <w:r>
          <w:rPr>
            <w:rStyle w:val="Hyperlink"/>
            <w:rFonts w:ascii="Times New Roman" w:hAnsi="Times New Roman"/>
          </w:rPr>
          <w:t>SWD(2019) 452</w:t>
        </w:r>
      </w:hyperlink>
      <w:r>
        <w:rPr>
          <w:rFonts w:ascii="Times New Roman" w:hAnsi="Times New Roman"/>
        </w:rPr>
        <w:t>.</w:t>
      </w:r>
    </w:p>
  </w:footnote>
  <w:footnote w:id="11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7" w:history="1">
        <w:r>
          <w:rPr>
            <w:rStyle w:val="Hyperlink"/>
            <w:rFonts w:ascii="Times New Roman" w:hAnsi="Times New Roman"/>
          </w:rPr>
          <w:t>Komunikacija Komisije</w:t>
        </w:r>
      </w:hyperlink>
      <w:r>
        <w:rPr>
          <w:rFonts w:ascii="Times New Roman" w:hAnsi="Times New Roman"/>
        </w:rPr>
        <w:t xml:space="preserve"> – </w:t>
      </w:r>
      <w:r>
        <w:rPr>
          <w:rFonts w:ascii="Times New Roman" w:hAnsi="Times New Roman"/>
          <w:bCs/>
        </w:rPr>
        <w:t xml:space="preserve">Smjernice za države članice o izravnim stranim ulaganjima i slobodnom kretanju kapitala iz trećih zemalja te o zaštiti europske strateške imovine do početka primjene Uredbe (EU) 2019/452 (Uredba o provjeri izravnih stranih ulaganja) </w:t>
      </w:r>
      <w:r>
        <w:rPr>
          <w:rFonts w:ascii="Times New Roman" w:hAnsi="Times New Roman"/>
        </w:rPr>
        <w:t>(2020/C 99 I/01).</w:t>
      </w:r>
      <w:r>
        <w:rPr>
          <w:rFonts w:ascii="Times New Roman" w:hAnsi="Times New Roman"/>
          <w:sz w:val="24"/>
          <w:szCs w:val="24"/>
        </w:rPr>
        <w:t xml:space="preserve"> </w:t>
      </w:r>
      <w:r>
        <w:rPr>
          <w:rFonts w:ascii="Times New Roman" w:hAnsi="Times New Roman"/>
        </w:rPr>
        <w:t>Riječ je o, primjerice, tehnologijama za proizvodnju osobne zaštitne opreme ili budućih cjepiva.</w:t>
      </w:r>
    </w:p>
  </w:footnote>
  <w:footnote w:id="112">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8" w:history="1">
        <w:r>
          <w:rPr>
            <w:rStyle w:val="Hyperlink"/>
            <w:rFonts w:ascii="Times New Roman" w:hAnsi="Times New Roman"/>
          </w:rPr>
          <w:t>Odluka Vijeća (ZVSP) 2020/1127</w:t>
        </w:r>
      </w:hyperlink>
      <w:r>
        <w:rPr>
          <w:rFonts w:ascii="Times New Roman" w:hAnsi="Times New Roman"/>
        </w:rPr>
        <w:t>.</w:t>
      </w:r>
    </w:p>
  </w:footnote>
  <w:footnote w:id="11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9" w:history="1">
        <w:r>
          <w:rPr>
            <w:rStyle w:val="Hyperlink"/>
            <w:rFonts w:ascii="Times New Roman" w:hAnsi="Times New Roman"/>
          </w:rPr>
          <w:t>Međunarodna služba za pomoć u području intelektualnog vlasništva za MSP-ove</w:t>
        </w:r>
      </w:hyperlink>
      <w:r>
        <w:rPr>
          <w:rFonts w:ascii="Times New Roman" w:hAnsi="Times New Roman"/>
        </w:rPr>
        <w:t xml:space="preserve">. </w:t>
      </w:r>
    </w:p>
  </w:footnote>
  <w:footnote w:id="11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0" w:history="1">
        <w:r>
          <w:rPr>
            <w:rStyle w:val="Hyperlink"/>
            <w:rFonts w:ascii="Times New Roman" w:hAnsi="Times New Roman"/>
          </w:rPr>
          <w:t>Kontinentalna strategija za oznake zemljopisnog podrijetla u Africi 2018.–2023.</w:t>
        </w:r>
      </w:hyperlink>
    </w:p>
  </w:footnote>
  <w:footnote w:id="115">
    <w:p>
      <w:pPr>
        <w:pStyle w:val="FootnoteText"/>
        <w:spacing w:after="0"/>
        <w:jc w:val="both"/>
        <w:rPr>
          <w:rFonts w:ascii="Times New Roman" w:hAnsi="Times New Roman" w:cs="Times New Roman"/>
          <w:sz w:val="18"/>
          <w:szCs w:val="18"/>
          <w:highlight w:val="yellow"/>
        </w:rPr>
      </w:pPr>
      <w:r>
        <w:rPr>
          <w:rStyle w:val="FootnoteReference"/>
          <w:rFonts w:ascii="Times New Roman" w:hAnsi="Times New Roman" w:cs="Times New Roman"/>
          <w:szCs w:val="18"/>
        </w:rPr>
        <w:footnoteRef/>
      </w:r>
      <w:r>
        <w:rPr>
          <w:rFonts w:ascii="Times New Roman" w:hAnsi="Times New Roman"/>
          <w:szCs w:val="18"/>
        </w:rPr>
        <w:t xml:space="preserve"> </w:t>
      </w:r>
      <w:hyperlink r:id="rId101" w:history="1">
        <w:r>
          <w:rPr>
            <w:rStyle w:val="Hyperlink"/>
            <w:rFonts w:ascii="Times New Roman" w:hAnsi="Times New Roman"/>
            <w:szCs w:val="18"/>
          </w:rPr>
          <w:t>Partnerstvo EU-a i Afrike</w:t>
        </w:r>
      </w:hyperlink>
      <w:r>
        <w:rPr>
          <w:rFonts w:ascii="Times New Roman" w:hAnsi="Times New Roman"/>
          <w:szCs w:val="18"/>
        </w:rPr>
        <w:t xml:space="preserve">. </w:t>
      </w:r>
    </w:p>
  </w:footnote>
  <w:footnote w:id="116">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2" w:history="1">
        <w:r>
          <w:rPr>
            <w:rStyle w:val="Hyperlink"/>
            <w:rFonts w:ascii="Times New Roman" w:hAnsi="Times New Roman"/>
          </w:rPr>
          <w:t>Izvješće o strateškim predviđanjima 2020.</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7BCB"/>
    <w:multiLevelType w:val="hybridMultilevel"/>
    <w:tmpl w:val="C436D3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2702645"/>
    <w:multiLevelType w:val="hybridMultilevel"/>
    <w:tmpl w:val="9AC8729A"/>
    <w:lvl w:ilvl="0" w:tplc="080C0001">
      <w:start w:val="1"/>
      <w:numFmt w:val="bullet"/>
      <w:lvlText w:val=""/>
      <w:lvlJc w:val="left"/>
      <w:pPr>
        <w:tabs>
          <w:tab w:val="num" w:pos="720"/>
        </w:tabs>
        <w:ind w:left="720" w:hanging="360"/>
      </w:pPr>
      <w:rPr>
        <w:rFonts w:ascii="Symbol" w:hAnsi="Symbol" w:hint="default"/>
      </w:rPr>
    </w:lvl>
    <w:lvl w:ilvl="1" w:tplc="22462764" w:tentative="1">
      <w:start w:val="1"/>
      <w:numFmt w:val="bullet"/>
      <w:lvlText w:val="•"/>
      <w:lvlJc w:val="left"/>
      <w:pPr>
        <w:tabs>
          <w:tab w:val="num" w:pos="1440"/>
        </w:tabs>
        <w:ind w:left="1440" w:hanging="360"/>
      </w:pPr>
      <w:rPr>
        <w:rFonts w:ascii="Arial" w:hAnsi="Arial" w:hint="default"/>
      </w:rPr>
    </w:lvl>
    <w:lvl w:ilvl="2" w:tplc="B4EC6900" w:tentative="1">
      <w:start w:val="1"/>
      <w:numFmt w:val="bullet"/>
      <w:lvlText w:val="•"/>
      <w:lvlJc w:val="left"/>
      <w:pPr>
        <w:tabs>
          <w:tab w:val="num" w:pos="2160"/>
        </w:tabs>
        <w:ind w:left="2160" w:hanging="360"/>
      </w:pPr>
      <w:rPr>
        <w:rFonts w:ascii="Arial" w:hAnsi="Arial" w:hint="default"/>
      </w:rPr>
    </w:lvl>
    <w:lvl w:ilvl="3" w:tplc="8CA05F34" w:tentative="1">
      <w:start w:val="1"/>
      <w:numFmt w:val="bullet"/>
      <w:lvlText w:val="•"/>
      <w:lvlJc w:val="left"/>
      <w:pPr>
        <w:tabs>
          <w:tab w:val="num" w:pos="2880"/>
        </w:tabs>
        <w:ind w:left="2880" w:hanging="360"/>
      </w:pPr>
      <w:rPr>
        <w:rFonts w:ascii="Arial" w:hAnsi="Arial" w:hint="default"/>
      </w:rPr>
    </w:lvl>
    <w:lvl w:ilvl="4" w:tplc="A3965932" w:tentative="1">
      <w:start w:val="1"/>
      <w:numFmt w:val="bullet"/>
      <w:lvlText w:val="•"/>
      <w:lvlJc w:val="left"/>
      <w:pPr>
        <w:tabs>
          <w:tab w:val="num" w:pos="3600"/>
        </w:tabs>
        <w:ind w:left="3600" w:hanging="360"/>
      </w:pPr>
      <w:rPr>
        <w:rFonts w:ascii="Arial" w:hAnsi="Arial" w:hint="default"/>
      </w:rPr>
    </w:lvl>
    <w:lvl w:ilvl="5" w:tplc="39C49318" w:tentative="1">
      <w:start w:val="1"/>
      <w:numFmt w:val="bullet"/>
      <w:lvlText w:val="•"/>
      <w:lvlJc w:val="left"/>
      <w:pPr>
        <w:tabs>
          <w:tab w:val="num" w:pos="4320"/>
        </w:tabs>
        <w:ind w:left="4320" w:hanging="360"/>
      </w:pPr>
      <w:rPr>
        <w:rFonts w:ascii="Arial" w:hAnsi="Arial" w:hint="default"/>
      </w:rPr>
    </w:lvl>
    <w:lvl w:ilvl="6" w:tplc="95707ECC" w:tentative="1">
      <w:start w:val="1"/>
      <w:numFmt w:val="bullet"/>
      <w:lvlText w:val="•"/>
      <w:lvlJc w:val="left"/>
      <w:pPr>
        <w:tabs>
          <w:tab w:val="num" w:pos="5040"/>
        </w:tabs>
        <w:ind w:left="5040" w:hanging="360"/>
      </w:pPr>
      <w:rPr>
        <w:rFonts w:ascii="Arial" w:hAnsi="Arial" w:hint="default"/>
      </w:rPr>
    </w:lvl>
    <w:lvl w:ilvl="7" w:tplc="DC5EB6DE" w:tentative="1">
      <w:start w:val="1"/>
      <w:numFmt w:val="bullet"/>
      <w:lvlText w:val="•"/>
      <w:lvlJc w:val="left"/>
      <w:pPr>
        <w:tabs>
          <w:tab w:val="num" w:pos="5760"/>
        </w:tabs>
        <w:ind w:left="5760" w:hanging="360"/>
      </w:pPr>
      <w:rPr>
        <w:rFonts w:ascii="Arial" w:hAnsi="Arial" w:hint="default"/>
      </w:rPr>
    </w:lvl>
    <w:lvl w:ilvl="8" w:tplc="17E402A2" w:tentative="1">
      <w:start w:val="1"/>
      <w:numFmt w:val="bullet"/>
      <w:lvlText w:val="•"/>
      <w:lvlJc w:val="left"/>
      <w:pPr>
        <w:tabs>
          <w:tab w:val="num" w:pos="6480"/>
        </w:tabs>
        <w:ind w:left="6480" w:hanging="360"/>
      </w:pPr>
      <w:rPr>
        <w:rFonts w:ascii="Arial" w:hAnsi="Arial" w:hint="default"/>
      </w:rPr>
    </w:lvl>
  </w:abstractNum>
  <w:abstractNum w:abstractNumId="2">
    <w:nsid w:val="037E1B4C"/>
    <w:multiLevelType w:val="hybridMultilevel"/>
    <w:tmpl w:val="CA466A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09F65E40"/>
    <w:multiLevelType w:val="hybridMultilevel"/>
    <w:tmpl w:val="30C0B7C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nsid w:val="11E22D63"/>
    <w:multiLevelType w:val="hybridMultilevel"/>
    <w:tmpl w:val="960251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43C7922"/>
    <w:multiLevelType w:val="hybridMultilevel"/>
    <w:tmpl w:val="DCDA1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B57DE7"/>
    <w:multiLevelType w:val="hybridMultilevel"/>
    <w:tmpl w:val="7B9C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E52709"/>
    <w:multiLevelType w:val="hybridMultilevel"/>
    <w:tmpl w:val="5FD04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D9A4BDD"/>
    <w:multiLevelType w:val="hybridMultilevel"/>
    <w:tmpl w:val="186E7C56"/>
    <w:lvl w:ilvl="0" w:tplc="33A25AE2">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20C90629"/>
    <w:multiLevelType w:val="hybridMultilevel"/>
    <w:tmpl w:val="21505F7E"/>
    <w:lvl w:ilvl="0" w:tplc="BBAC3CFA">
      <w:start w:val="1"/>
      <w:numFmt w:val="bullet"/>
      <w:lvlText w:val=""/>
      <w:lvlJc w:val="left"/>
      <w:pPr>
        <w:ind w:left="720" w:hanging="360"/>
      </w:pPr>
      <w:rPr>
        <w:rFonts w:ascii="Symbol" w:hAnsi="Symbol"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0D00363"/>
    <w:multiLevelType w:val="hybridMultilevel"/>
    <w:tmpl w:val="3D4A9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3BD44E8"/>
    <w:multiLevelType w:val="hybridMultilevel"/>
    <w:tmpl w:val="70E45718"/>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29322E81"/>
    <w:multiLevelType w:val="hybridMultilevel"/>
    <w:tmpl w:val="74960D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2AD974AD"/>
    <w:multiLevelType w:val="hybridMultilevel"/>
    <w:tmpl w:val="BDE23454"/>
    <w:lvl w:ilvl="0" w:tplc="FBA0CE60">
      <w:start w:val="1"/>
      <w:numFmt w:val="bullet"/>
      <w:lvlText w:val=""/>
      <w:lvlJc w:val="left"/>
      <w:pPr>
        <w:ind w:left="720" w:hanging="360"/>
      </w:pPr>
      <w:rPr>
        <w:rFonts w:ascii="Symbol" w:hAnsi="Symbol" w:hint="default"/>
      </w:rPr>
    </w:lvl>
    <w:lvl w:ilvl="1" w:tplc="B858AF66">
      <w:start w:val="1"/>
      <w:numFmt w:val="bullet"/>
      <w:lvlText w:val="o"/>
      <w:lvlJc w:val="left"/>
      <w:pPr>
        <w:ind w:left="1440" w:hanging="360"/>
      </w:pPr>
      <w:rPr>
        <w:rFonts w:ascii="Courier New" w:hAnsi="Courier New" w:hint="default"/>
      </w:rPr>
    </w:lvl>
    <w:lvl w:ilvl="2" w:tplc="5E36BF94">
      <w:start w:val="1"/>
      <w:numFmt w:val="bullet"/>
      <w:lvlText w:val=""/>
      <w:lvlJc w:val="left"/>
      <w:pPr>
        <w:ind w:left="2160" w:hanging="360"/>
      </w:pPr>
      <w:rPr>
        <w:rFonts w:ascii="Wingdings" w:hAnsi="Wingdings" w:hint="default"/>
      </w:rPr>
    </w:lvl>
    <w:lvl w:ilvl="3" w:tplc="07746604">
      <w:start w:val="1"/>
      <w:numFmt w:val="bullet"/>
      <w:lvlText w:val=""/>
      <w:lvlJc w:val="left"/>
      <w:pPr>
        <w:ind w:left="2880" w:hanging="360"/>
      </w:pPr>
      <w:rPr>
        <w:rFonts w:ascii="Symbol" w:hAnsi="Symbol" w:hint="default"/>
      </w:rPr>
    </w:lvl>
    <w:lvl w:ilvl="4" w:tplc="085289F0">
      <w:start w:val="1"/>
      <w:numFmt w:val="bullet"/>
      <w:lvlText w:val="o"/>
      <w:lvlJc w:val="left"/>
      <w:pPr>
        <w:ind w:left="3600" w:hanging="360"/>
      </w:pPr>
      <w:rPr>
        <w:rFonts w:ascii="Courier New" w:hAnsi="Courier New" w:hint="default"/>
      </w:rPr>
    </w:lvl>
    <w:lvl w:ilvl="5" w:tplc="2BB66C6C">
      <w:start w:val="1"/>
      <w:numFmt w:val="bullet"/>
      <w:lvlText w:val=""/>
      <w:lvlJc w:val="left"/>
      <w:pPr>
        <w:ind w:left="4320" w:hanging="360"/>
      </w:pPr>
      <w:rPr>
        <w:rFonts w:ascii="Wingdings" w:hAnsi="Wingdings" w:hint="default"/>
      </w:rPr>
    </w:lvl>
    <w:lvl w:ilvl="6" w:tplc="C56E9DA0">
      <w:start w:val="1"/>
      <w:numFmt w:val="bullet"/>
      <w:lvlText w:val=""/>
      <w:lvlJc w:val="left"/>
      <w:pPr>
        <w:ind w:left="5040" w:hanging="360"/>
      </w:pPr>
      <w:rPr>
        <w:rFonts w:ascii="Symbol" w:hAnsi="Symbol" w:hint="default"/>
      </w:rPr>
    </w:lvl>
    <w:lvl w:ilvl="7" w:tplc="8430C052">
      <w:start w:val="1"/>
      <w:numFmt w:val="bullet"/>
      <w:lvlText w:val="o"/>
      <w:lvlJc w:val="left"/>
      <w:pPr>
        <w:ind w:left="5760" w:hanging="360"/>
      </w:pPr>
      <w:rPr>
        <w:rFonts w:ascii="Courier New" w:hAnsi="Courier New" w:hint="default"/>
      </w:rPr>
    </w:lvl>
    <w:lvl w:ilvl="8" w:tplc="C00C2388">
      <w:start w:val="1"/>
      <w:numFmt w:val="bullet"/>
      <w:lvlText w:val=""/>
      <w:lvlJc w:val="left"/>
      <w:pPr>
        <w:ind w:left="6480" w:hanging="360"/>
      </w:pPr>
      <w:rPr>
        <w:rFonts w:ascii="Wingdings" w:hAnsi="Wingdings" w:hint="default"/>
      </w:rPr>
    </w:lvl>
  </w:abstractNum>
  <w:abstractNum w:abstractNumId="14">
    <w:nsid w:val="2CBF51F3"/>
    <w:multiLevelType w:val="multilevel"/>
    <w:tmpl w:val="372ACE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305454A9"/>
    <w:multiLevelType w:val="hybridMultilevel"/>
    <w:tmpl w:val="2EA86A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4514443"/>
    <w:multiLevelType w:val="hybridMultilevel"/>
    <w:tmpl w:val="78AAB69A"/>
    <w:lvl w:ilvl="0" w:tplc="FEFC8F3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347E038C"/>
    <w:multiLevelType w:val="hybridMultilevel"/>
    <w:tmpl w:val="836EA88A"/>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nsid w:val="37A5779E"/>
    <w:multiLevelType w:val="hybridMultilevel"/>
    <w:tmpl w:val="5412B02C"/>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37B42773"/>
    <w:multiLevelType w:val="hybridMultilevel"/>
    <w:tmpl w:val="1DB8A334"/>
    <w:lvl w:ilvl="0" w:tplc="D4EE276C">
      <w:start w:val="1"/>
      <w:numFmt w:val="upperRoman"/>
      <w:lvlText w:val="%1."/>
      <w:lvlJc w:val="left"/>
      <w:pPr>
        <w:ind w:left="720" w:hanging="360"/>
      </w:pPr>
      <w:rPr>
        <w:rFonts w:ascii="Times New Roman" w:hAnsi="Times New Roman"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1542D6"/>
    <w:multiLevelType w:val="hybridMultilevel"/>
    <w:tmpl w:val="B1E08762"/>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Times New Roman"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Times New Roman"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Times New Roman" w:hint="default"/>
      </w:rPr>
    </w:lvl>
    <w:lvl w:ilvl="8" w:tplc="080C0005">
      <w:start w:val="1"/>
      <w:numFmt w:val="bullet"/>
      <w:lvlText w:val=""/>
      <w:lvlJc w:val="left"/>
      <w:pPr>
        <w:ind w:left="6120" w:hanging="360"/>
      </w:pPr>
      <w:rPr>
        <w:rFonts w:ascii="Wingdings" w:hAnsi="Wingdings" w:hint="default"/>
      </w:rPr>
    </w:lvl>
  </w:abstractNum>
  <w:abstractNum w:abstractNumId="21">
    <w:nsid w:val="3B1D0BCE"/>
    <w:multiLevelType w:val="hybridMultilevel"/>
    <w:tmpl w:val="2DB4C3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E952DED"/>
    <w:multiLevelType w:val="hybridMultilevel"/>
    <w:tmpl w:val="47528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EEF195F"/>
    <w:multiLevelType w:val="hybridMultilevel"/>
    <w:tmpl w:val="EDC2E2EA"/>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F4E4E9A"/>
    <w:multiLevelType w:val="hybridMultilevel"/>
    <w:tmpl w:val="5EC64E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nsid w:val="45614B48"/>
    <w:multiLevelType w:val="hybridMultilevel"/>
    <w:tmpl w:val="305A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5615C9B"/>
    <w:multiLevelType w:val="hybridMultilevel"/>
    <w:tmpl w:val="F7EA72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4D39518B"/>
    <w:multiLevelType w:val="hybridMultilevel"/>
    <w:tmpl w:val="F550A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595004B"/>
    <w:multiLevelType w:val="hybridMultilevel"/>
    <w:tmpl w:val="B80C1C8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nsid w:val="59571564"/>
    <w:multiLevelType w:val="hybridMultilevel"/>
    <w:tmpl w:val="85C6A2CE"/>
    <w:lvl w:ilvl="0" w:tplc="8F1E15CC">
      <w:start w:val="29"/>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367575"/>
    <w:multiLevelType w:val="hybridMultilevel"/>
    <w:tmpl w:val="FA180A98"/>
    <w:lvl w:ilvl="0" w:tplc="BBAC3C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DBD78B2"/>
    <w:multiLevelType w:val="hybridMultilevel"/>
    <w:tmpl w:val="78B070FA"/>
    <w:lvl w:ilvl="0" w:tplc="F98295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6875BF"/>
    <w:multiLevelType w:val="multilevel"/>
    <w:tmpl w:val="0809001F"/>
    <w:lvl w:ilvl="0">
      <w:start w:val="1"/>
      <w:numFmt w:val="decimal"/>
      <w:lvlText w:val="%1."/>
      <w:lvlJc w:val="left"/>
      <w:pPr>
        <w:ind w:left="360" w:hanging="360"/>
      </w:pPr>
    </w:lvl>
    <w:lvl w:ilvl="1">
      <w:start w:val="1"/>
      <w:numFmt w:val="decimal"/>
      <w:lvlText w:val="%1.%2."/>
      <w:lvlJc w:val="left"/>
      <w:pPr>
        <w:ind w:left="596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F272FFA"/>
    <w:multiLevelType w:val="hybridMultilevel"/>
    <w:tmpl w:val="72628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521E5E"/>
    <w:multiLevelType w:val="hybridMultilevel"/>
    <w:tmpl w:val="73FE6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3B3ACF"/>
    <w:multiLevelType w:val="hybridMultilevel"/>
    <w:tmpl w:val="BC989A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624B2F68"/>
    <w:multiLevelType w:val="hybridMultilevel"/>
    <w:tmpl w:val="52B6815A"/>
    <w:lvl w:ilvl="0" w:tplc="86EC95A4">
      <w:numFmt w:val="bullet"/>
      <w:lvlText w:val="-"/>
      <w:lvlJc w:val="left"/>
      <w:pPr>
        <w:ind w:left="720" w:hanging="360"/>
      </w:pPr>
      <w:rPr>
        <w:rFonts w:ascii="Calibri" w:eastAsia="DengXi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68A30646"/>
    <w:multiLevelType w:val="hybridMultilevel"/>
    <w:tmpl w:val="B41AC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6D616723"/>
    <w:multiLevelType w:val="hybridMultilevel"/>
    <w:tmpl w:val="120CAF50"/>
    <w:lvl w:ilvl="0" w:tplc="806C174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nsid w:val="6E2555AA"/>
    <w:multiLevelType w:val="hybridMultilevel"/>
    <w:tmpl w:val="4CC80EAA"/>
    <w:lvl w:ilvl="0" w:tplc="8E42EF4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6F6D7973"/>
    <w:multiLevelType w:val="hybridMultilevel"/>
    <w:tmpl w:val="07AC97A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41">
    <w:nsid w:val="705712DD"/>
    <w:multiLevelType w:val="hybridMultilevel"/>
    <w:tmpl w:val="EE000012"/>
    <w:lvl w:ilvl="0" w:tplc="1F0679D8">
      <w:numFmt w:val="bullet"/>
      <w:lvlText w:val="-"/>
      <w:lvlJc w:val="left"/>
      <w:pPr>
        <w:ind w:left="360" w:hanging="360"/>
      </w:pPr>
      <w:rPr>
        <w:rFonts w:ascii="Times New Roman" w:eastAsiaTheme="minorHAns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nsid w:val="711C119C"/>
    <w:multiLevelType w:val="hybridMultilevel"/>
    <w:tmpl w:val="9356B9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nsid w:val="720F0066"/>
    <w:multiLevelType w:val="hybridMultilevel"/>
    <w:tmpl w:val="E8665532"/>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nsid w:val="722F3D90"/>
    <w:multiLevelType w:val="hybridMultilevel"/>
    <w:tmpl w:val="13D06D9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5">
    <w:nsid w:val="73124B66"/>
    <w:multiLevelType w:val="hybridMultilevel"/>
    <w:tmpl w:val="7B5266BE"/>
    <w:lvl w:ilvl="0" w:tplc="9B9E8AC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nsid w:val="76932469"/>
    <w:multiLevelType w:val="hybridMultilevel"/>
    <w:tmpl w:val="5D82DC12"/>
    <w:lvl w:ilvl="0" w:tplc="806C17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C010A81"/>
    <w:multiLevelType w:val="hybridMultilevel"/>
    <w:tmpl w:val="33547E40"/>
    <w:lvl w:ilvl="0" w:tplc="9440E9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E40419A"/>
    <w:multiLevelType w:val="hybridMultilevel"/>
    <w:tmpl w:val="28D27BD6"/>
    <w:lvl w:ilvl="0" w:tplc="65141D94">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9">
    <w:nsid w:val="7F7921B0"/>
    <w:multiLevelType w:val="hybridMultilevel"/>
    <w:tmpl w:val="50367F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
  </w:num>
  <w:num w:numId="3">
    <w:abstractNumId w:val="40"/>
  </w:num>
  <w:num w:numId="4">
    <w:abstractNumId w:val="30"/>
  </w:num>
  <w:num w:numId="5">
    <w:abstractNumId w:val="28"/>
  </w:num>
  <w:num w:numId="6">
    <w:abstractNumId w:val="44"/>
  </w:num>
  <w:num w:numId="7">
    <w:abstractNumId w:val="32"/>
  </w:num>
  <w:num w:numId="8">
    <w:abstractNumId w:val="31"/>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7"/>
  </w:num>
  <w:num w:numId="16">
    <w:abstractNumId w:val="37"/>
  </w:num>
  <w:num w:numId="17">
    <w:abstractNumId w:val="5"/>
  </w:num>
  <w:num w:numId="18">
    <w:abstractNumId w:val="0"/>
  </w:num>
  <w:num w:numId="19">
    <w:abstractNumId w:val="23"/>
  </w:num>
  <w:num w:numId="20">
    <w:abstractNumId w:val="41"/>
  </w:num>
  <w:num w:numId="21">
    <w:abstractNumId w:val="4"/>
  </w:num>
  <w:num w:numId="22">
    <w:abstractNumId w:val="35"/>
  </w:num>
  <w:num w:numId="23">
    <w:abstractNumId w:val="15"/>
  </w:num>
  <w:num w:numId="24">
    <w:abstractNumId w:val="49"/>
  </w:num>
  <w:num w:numId="25">
    <w:abstractNumId w:val="19"/>
  </w:num>
  <w:num w:numId="26">
    <w:abstractNumId w:val="9"/>
  </w:num>
  <w:num w:numId="27">
    <w:abstractNumId w:val="16"/>
  </w:num>
  <w:num w:numId="28">
    <w:abstractNumId w:val="24"/>
  </w:num>
  <w:num w:numId="29">
    <w:abstractNumId w:val="47"/>
  </w:num>
  <w:num w:numId="30">
    <w:abstractNumId w:val="3"/>
  </w:num>
  <w:num w:numId="31">
    <w:abstractNumId w:val="42"/>
  </w:num>
  <w:num w:numId="32">
    <w:abstractNumId w:val="43"/>
  </w:num>
  <w:num w:numId="33">
    <w:abstractNumId w:val="26"/>
  </w:num>
  <w:num w:numId="34">
    <w:abstractNumId w:val="48"/>
  </w:num>
  <w:num w:numId="35">
    <w:abstractNumId w:val="26"/>
  </w:num>
  <w:num w:numId="36">
    <w:abstractNumId w:val="18"/>
  </w:num>
  <w:num w:numId="37">
    <w:abstractNumId w:val="39"/>
  </w:num>
  <w:num w:numId="38">
    <w:abstractNumId w:val="17"/>
  </w:num>
  <w:num w:numId="39">
    <w:abstractNumId w:val="11"/>
  </w:num>
  <w:num w:numId="40">
    <w:abstractNumId w:val="8"/>
  </w:num>
  <w:num w:numId="41">
    <w:abstractNumId w:val="22"/>
  </w:num>
  <w:num w:numId="42">
    <w:abstractNumId w:val="34"/>
  </w:num>
  <w:num w:numId="43">
    <w:abstractNumId w:val="10"/>
  </w:num>
  <w:num w:numId="44">
    <w:abstractNumId w:val="30"/>
  </w:num>
  <w:num w:numId="45">
    <w:abstractNumId w:val="21"/>
  </w:num>
  <w:num w:numId="46">
    <w:abstractNumId w:val="12"/>
  </w:num>
  <w:num w:numId="47">
    <w:abstractNumId w:val="25"/>
  </w:num>
  <w:num w:numId="48">
    <w:abstractNumId w:val="20"/>
  </w:num>
  <w:num w:numId="49">
    <w:abstractNumId w:val="29"/>
  </w:num>
  <w:num w:numId="50">
    <w:abstractNumId w:val="36"/>
  </w:num>
  <w:num w:numId="51">
    <w:abstractNumId w:val="6"/>
  </w:num>
  <w:num w:numId="52">
    <w:abstractNumId w:val="33"/>
  </w:num>
  <w:num w:numId="53">
    <w:abstractNumId w:val="45"/>
  </w:num>
  <w:num w:numId="54">
    <w:abstractNumId w:val="46"/>
  </w:num>
  <w:num w:numId="55">
    <w:abstractNumId w:val="38"/>
  </w:num>
  <w:num w:numId="56">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nl-NL" w:vendorID="64" w:dllVersion="131078" w:nlCheck="1" w:checkStyle="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A058280-3941-4B42-994D-B18185F29320"/>
    <w:docVar w:name="LW_COVERPAGE_TYPE" w:val="1"/>
    <w:docVar w:name="LW_CROSSREFERENCE" w:val="&lt;UNUSED&gt;"/>
    <w:docVar w:name="LW_DocType" w:val="NORMAL"/>
    <w:docVar w:name="LW_EMISSION" w:val="25.11.2020."/>
    <w:docVar w:name="LW_EMISSION_ISODATE" w:val="2020-11-25"/>
    <w:docVar w:name="LW_EMISSION_LOCATION" w:val="BRX"/>
    <w:docVar w:name="LW_EMISSION_PREFIX" w:val="Bruxelles, "/>
    <w:docVar w:name="LW_EMISSION_SUFFIX" w:val="&lt;EMPTY&gt;"/>
    <w:docVar w:name="LW_ID_DOCTYPE_NONLW" w:val="CP-014"/>
    <w:docVar w:name="LW_LANGUE" w:val="HR"/>
    <w:docVar w:name="LW_LEVEL_OF_SENSITIVITY" w:val="Standard treatmen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20) 7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skori\u353?tavanje inovacijskog potencijala EU-a_x000d__x000d__x000d__x000d__x000d__x000d__x000d__x000d__x000d__x000d__x000d__x000d__x000d__x000d__x000d__x000b_Akcijski plan za intelektualno vlasni\u353?tvo za oporavak i otpornost EU-a_x000b__x000d__x000d__x000d__x000d__x000d__x000d__x000d__x000d__x000d__x000d__x000d__x000d__x000d__x000d__x000b_"/>
    <w:docVar w:name="LW_TYPE.DOC.CP" w:val="KOMUNIKACIJA KOMISIJE EUROPSKOM PARLAMENTU, VIJE\u262?U, EUROPSKOM GOSPODARSKOM I SOCIJALNOM ODBORU I ODBORU REGIJA"/>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3"/>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nhideWhenUsed/>
    <w:qFormat/>
    <w:pPr>
      <w:spacing w:after="6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rPr>
  </w:style>
  <w:style w:type="character" w:customStyle="1" w:styleId="CommentTextChar">
    <w:name w:val="Comment Text Char"/>
    <w:basedOn w:val="DefaultParagraphFont"/>
    <w:link w:val="CommentText"/>
    <w:uiPriority w:val="99"/>
    <w:rPr>
      <w:sz w:val="20"/>
      <w:szCs w:val="20"/>
      <w:lang w:val="hr-HR"/>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b/>
      <w:bCs/>
      <w:sz w:val="20"/>
      <w:szCs w:val="20"/>
      <w:lang w:val="hr-HR"/>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unhideWhenUsed/>
    <w:pPr>
      <w:spacing w:after="8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customStyle="1" w:styleId="CharCharChar">
    <w:name w:val="Char Char Char"/>
    <w:basedOn w:val="Normal"/>
    <w:link w:val="FootnoteReference"/>
    <w:uiPriority w:val="99"/>
    <w:pPr>
      <w:spacing w:after="160" w:line="240" w:lineRule="exact"/>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dttext">
    <w:name w:val="dttext"/>
    <w:basedOn w:val="DefaultParagraphFont"/>
  </w:style>
  <w:style w:type="character" w:customStyle="1" w:styleId="ex-sent">
    <w:name w:val="ex-sent"/>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locked/>
  </w:style>
  <w:style w:type="paragraph" w:customStyle="1" w:styleId="xmsonormal">
    <w:name w:val="xmsonormal"/>
    <w:basedOn w:val="Normal"/>
    <w:pPr>
      <w:spacing w:after="0" w:line="240" w:lineRule="auto"/>
    </w:pPr>
    <w:rPr>
      <w:rFonts w:ascii="Times New Roman" w:hAnsi="Times New Roman" w:cs="Times New Roman"/>
      <w:sz w:val="24"/>
      <w:szCs w:val="24"/>
      <w:lang w:eastAsia="fr-BE"/>
    </w:rPr>
  </w:style>
  <w:style w:type="paragraph" w:customStyle="1" w:styleId="LTTBody1">
    <w:name w:val="LTT Body 1"/>
    <w:basedOn w:val="Normal"/>
    <w:qFormat/>
    <w:pPr>
      <w:numPr>
        <w:numId w:val="38"/>
      </w:numPr>
      <w:spacing w:after="0" w:line="240" w:lineRule="auto"/>
    </w:pPr>
    <w:rPr>
      <w:rFonts w:ascii="Calibri" w:eastAsia="Times New Roman" w:hAnsi="Calibri" w:cs="Calibri"/>
      <w:sz w:val="28"/>
      <w:szCs w:val="28"/>
      <w:lang w:eastAsia="en-GB"/>
    </w:rPr>
  </w:style>
  <w:style w:type="paragraph" w:customStyle="1" w:styleId="xmsonormal0">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Spacing">
    <w:name w:val="No Spacing"/>
    <w:uiPriority w:val="1"/>
    <w:qFormat/>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3"/>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nhideWhenUsed/>
    <w:qFormat/>
    <w:pPr>
      <w:spacing w:after="6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rPr>
  </w:style>
  <w:style w:type="character" w:customStyle="1" w:styleId="CommentTextChar">
    <w:name w:val="Comment Text Char"/>
    <w:basedOn w:val="DefaultParagraphFont"/>
    <w:link w:val="CommentText"/>
    <w:uiPriority w:val="99"/>
    <w:rPr>
      <w:sz w:val="20"/>
      <w:szCs w:val="20"/>
      <w:lang w:val="hr-HR"/>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b/>
      <w:bCs/>
      <w:sz w:val="20"/>
      <w:szCs w:val="20"/>
      <w:lang w:val="hr-HR"/>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unhideWhenUsed/>
    <w:pPr>
      <w:spacing w:after="8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customStyle="1" w:styleId="CharCharChar">
    <w:name w:val="Char Char Char"/>
    <w:basedOn w:val="Normal"/>
    <w:link w:val="FootnoteReference"/>
    <w:uiPriority w:val="99"/>
    <w:pPr>
      <w:spacing w:after="160" w:line="240" w:lineRule="exact"/>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dttext">
    <w:name w:val="dttext"/>
    <w:basedOn w:val="DefaultParagraphFont"/>
  </w:style>
  <w:style w:type="character" w:customStyle="1" w:styleId="ex-sent">
    <w:name w:val="ex-sent"/>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locked/>
  </w:style>
  <w:style w:type="paragraph" w:customStyle="1" w:styleId="xmsonormal">
    <w:name w:val="xmsonormal"/>
    <w:basedOn w:val="Normal"/>
    <w:pPr>
      <w:spacing w:after="0" w:line="240" w:lineRule="auto"/>
    </w:pPr>
    <w:rPr>
      <w:rFonts w:ascii="Times New Roman" w:hAnsi="Times New Roman" w:cs="Times New Roman"/>
      <w:sz w:val="24"/>
      <w:szCs w:val="24"/>
      <w:lang w:eastAsia="fr-BE"/>
    </w:rPr>
  </w:style>
  <w:style w:type="paragraph" w:customStyle="1" w:styleId="LTTBody1">
    <w:name w:val="LTT Body 1"/>
    <w:basedOn w:val="Normal"/>
    <w:qFormat/>
    <w:pPr>
      <w:numPr>
        <w:numId w:val="38"/>
      </w:numPr>
      <w:spacing w:after="0" w:line="240" w:lineRule="auto"/>
    </w:pPr>
    <w:rPr>
      <w:rFonts w:ascii="Calibri" w:eastAsia="Times New Roman" w:hAnsi="Calibri" w:cs="Calibri"/>
      <w:sz w:val="28"/>
      <w:szCs w:val="28"/>
      <w:lang w:eastAsia="en-GB"/>
    </w:rPr>
  </w:style>
  <w:style w:type="paragraph" w:customStyle="1" w:styleId="xmsonormal0">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5776">
      <w:bodyDiv w:val="1"/>
      <w:marLeft w:val="0"/>
      <w:marRight w:val="0"/>
      <w:marTop w:val="0"/>
      <w:marBottom w:val="0"/>
      <w:divBdr>
        <w:top w:val="none" w:sz="0" w:space="0" w:color="auto"/>
        <w:left w:val="none" w:sz="0" w:space="0" w:color="auto"/>
        <w:bottom w:val="none" w:sz="0" w:space="0" w:color="auto"/>
        <w:right w:val="none" w:sz="0" w:space="0" w:color="auto"/>
      </w:divBdr>
    </w:div>
    <w:div w:id="15080572">
      <w:bodyDiv w:val="1"/>
      <w:marLeft w:val="0"/>
      <w:marRight w:val="0"/>
      <w:marTop w:val="0"/>
      <w:marBottom w:val="0"/>
      <w:divBdr>
        <w:top w:val="none" w:sz="0" w:space="0" w:color="auto"/>
        <w:left w:val="none" w:sz="0" w:space="0" w:color="auto"/>
        <w:bottom w:val="none" w:sz="0" w:space="0" w:color="auto"/>
        <w:right w:val="none" w:sz="0" w:space="0" w:color="auto"/>
      </w:divBdr>
      <w:divsChild>
        <w:div w:id="307058495">
          <w:marLeft w:val="708"/>
          <w:marRight w:val="0"/>
          <w:marTop w:val="0"/>
          <w:marBottom w:val="120"/>
          <w:divBdr>
            <w:top w:val="none" w:sz="0" w:space="0" w:color="auto"/>
            <w:left w:val="none" w:sz="0" w:space="0" w:color="auto"/>
            <w:bottom w:val="none" w:sz="0" w:space="0" w:color="auto"/>
            <w:right w:val="none" w:sz="0" w:space="0" w:color="auto"/>
          </w:divBdr>
        </w:div>
        <w:div w:id="871184280">
          <w:marLeft w:val="708"/>
          <w:marRight w:val="0"/>
          <w:marTop w:val="0"/>
          <w:marBottom w:val="120"/>
          <w:divBdr>
            <w:top w:val="none" w:sz="0" w:space="0" w:color="auto"/>
            <w:left w:val="none" w:sz="0" w:space="0" w:color="auto"/>
            <w:bottom w:val="none" w:sz="0" w:space="0" w:color="auto"/>
            <w:right w:val="none" w:sz="0" w:space="0" w:color="auto"/>
          </w:divBdr>
        </w:div>
        <w:div w:id="1254971391">
          <w:marLeft w:val="708"/>
          <w:marRight w:val="0"/>
          <w:marTop w:val="0"/>
          <w:marBottom w:val="120"/>
          <w:divBdr>
            <w:top w:val="none" w:sz="0" w:space="0" w:color="auto"/>
            <w:left w:val="none" w:sz="0" w:space="0" w:color="auto"/>
            <w:bottom w:val="none" w:sz="0" w:space="0" w:color="auto"/>
            <w:right w:val="none" w:sz="0" w:space="0" w:color="auto"/>
          </w:divBdr>
        </w:div>
        <w:div w:id="1786579571">
          <w:marLeft w:val="708"/>
          <w:marRight w:val="0"/>
          <w:marTop w:val="0"/>
          <w:marBottom w:val="120"/>
          <w:divBdr>
            <w:top w:val="none" w:sz="0" w:space="0" w:color="auto"/>
            <w:left w:val="none" w:sz="0" w:space="0" w:color="auto"/>
            <w:bottom w:val="none" w:sz="0" w:space="0" w:color="auto"/>
            <w:right w:val="none" w:sz="0" w:space="0" w:color="auto"/>
          </w:divBdr>
        </w:div>
        <w:div w:id="1527870752">
          <w:marLeft w:val="708"/>
          <w:marRight w:val="0"/>
          <w:marTop w:val="0"/>
          <w:marBottom w:val="120"/>
          <w:divBdr>
            <w:top w:val="none" w:sz="0" w:space="0" w:color="auto"/>
            <w:left w:val="none" w:sz="0" w:space="0" w:color="auto"/>
            <w:bottom w:val="none" w:sz="0" w:space="0" w:color="auto"/>
            <w:right w:val="none" w:sz="0" w:space="0" w:color="auto"/>
          </w:divBdr>
        </w:div>
        <w:div w:id="1749812314">
          <w:marLeft w:val="708"/>
          <w:marRight w:val="0"/>
          <w:marTop w:val="0"/>
          <w:marBottom w:val="120"/>
          <w:divBdr>
            <w:top w:val="none" w:sz="0" w:space="0" w:color="auto"/>
            <w:left w:val="none" w:sz="0" w:space="0" w:color="auto"/>
            <w:bottom w:val="none" w:sz="0" w:space="0" w:color="auto"/>
            <w:right w:val="none" w:sz="0" w:space="0" w:color="auto"/>
          </w:divBdr>
        </w:div>
        <w:div w:id="216163628">
          <w:marLeft w:val="708"/>
          <w:marRight w:val="0"/>
          <w:marTop w:val="0"/>
          <w:marBottom w:val="240"/>
          <w:divBdr>
            <w:top w:val="none" w:sz="0" w:space="0" w:color="auto"/>
            <w:left w:val="none" w:sz="0" w:space="0" w:color="auto"/>
            <w:bottom w:val="none" w:sz="0" w:space="0" w:color="auto"/>
            <w:right w:val="none" w:sz="0" w:space="0" w:color="auto"/>
          </w:divBdr>
        </w:div>
      </w:divsChild>
    </w:div>
    <w:div w:id="20515221">
      <w:bodyDiv w:val="1"/>
      <w:marLeft w:val="0"/>
      <w:marRight w:val="0"/>
      <w:marTop w:val="0"/>
      <w:marBottom w:val="0"/>
      <w:divBdr>
        <w:top w:val="none" w:sz="0" w:space="0" w:color="auto"/>
        <w:left w:val="none" w:sz="0" w:space="0" w:color="auto"/>
        <w:bottom w:val="none" w:sz="0" w:space="0" w:color="auto"/>
        <w:right w:val="none" w:sz="0" w:space="0" w:color="auto"/>
      </w:divBdr>
      <w:divsChild>
        <w:div w:id="95760924">
          <w:marLeft w:val="547"/>
          <w:marRight w:val="0"/>
          <w:marTop w:val="96"/>
          <w:marBottom w:val="0"/>
          <w:divBdr>
            <w:top w:val="none" w:sz="0" w:space="0" w:color="auto"/>
            <w:left w:val="none" w:sz="0" w:space="0" w:color="auto"/>
            <w:bottom w:val="none" w:sz="0" w:space="0" w:color="auto"/>
            <w:right w:val="none" w:sz="0" w:space="0" w:color="auto"/>
          </w:divBdr>
        </w:div>
      </w:divsChild>
    </w:div>
    <w:div w:id="30962281">
      <w:bodyDiv w:val="1"/>
      <w:marLeft w:val="0"/>
      <w:marRight w:val="0"/>
      <w:marTop w:val="0"/>
      <w:marBottom w:val="0"/>
      <w:divBdr>
        <w:top w:val="none" w:sz="0" w:space="0" w:color="auto"/>
        <w:left w:val="none" w:sz="0" w:space="0" w:color="auto"/>
        <w:bottom w:val="none" w:sz="0" w:space="0" w:color="auto"/>
        <w:right w:val="none" w:sz="0" w:space="0" w:color="auto"/>
      </w:divBdr>
    </w:div>
    <w:div w:id="51925532">
      <w:bodyDiv w:val="1"/>
      <w:marLeft w:val="0"/>
      <w:marRight w:val="0"/>
      <w:marTop w:val="0"/>
      <w:marBottom w:val="0"/>
      <w:divBdr>
        <w:top w:val="none" w:sz="0" w:space="0" w:color="auto"/>
        <w:left w:val="none" w:sz="0" w:space="0" w:color="auto"/>
        <w:bottom w:val="none" w:sz="0" w:space="0" w:color="auto"/>
        <w:right w:val="none" w:sz="0" w:space="0" w:color="auto"/>
      </w:divBdr>
    </w:div>
    <w:div w:id="65033102">
      <w:bodyDiv w:val="1"/>
      <w:marLeft w:val="0"/>
      <w:marRight w:val="0"/>
      <w:marTop w:val="0"/>
      <w:marBottom w:val="0"/>
      <w:divBdr>
        <w:top w:val="none" w:sz="0" w:space="0" w:color="auto"/>
        <w:left w:val="none" w:sz="0" w:space="0" w:color="auto"/>
        <w:bottom w:val="none" w:sz="0" w:space="0" w:color="auto"/>
        <w:right w:val="none" w:sz="0" w:space="0" w:color="auto"/>
      </w:divBdr>
    </w:div>
    <w:div w:id="75903329">
      <w:bodyDiv w:val="1"/>
      <w:marLeft w:val="0"/>
      <w:marRight w:val="0"/>
      <w:marTop w:val="0"/>
      <w:marBottom w:val="0"/>
      <w:divBdr>
        <w:top w:val="none" w:sz="0" w:space="0" w:color="auto"/>
        <w:left w:val="none" w:sz="0" w:space="0" w:color="auto"/>
        <w:bottom w:val="none" w:sz="0" w:space="0" w:color="auto"/>
        <w:right w:val="none" w:sz="0" w:space="0" w:color="auto"/>
      </w:divBdr>
    </w:div>
    <w:div w:id="95445364">
      <w:bodyDiv w:val="1"/>
      <w:marLeft w:val="0"/>
      <w:marRight w:val="0"/>
      <w:marTop w:val="0"/>
      <w:marBottom w:val="0"/>
      <w:divBdr>
        <w:top w:val="none" w:sz="0" w:space="0" w:color="auto"/>
        <w:left w:val="none" w:sz="0" w:space="0" w:color="auto"/>
        <w:bottom w:val="none" w:sz="0" w:space="0" w:color="auto"/>
        <w:right w:val="none" w:sz="0" w:space="0" w:color="auto"/>
      </w:divBdr>
    </w:div>
    <w:div w:id="111287696">
      <w:bodyDiv w:val="1"/>
      <w:marLeft w:val="0"/>
      <w:marRight w:val="0"/>
      <w:marTop w:val="0"/>
      <w:marBottom w:val="0"/>
      <w:divBdr>
        <w:top w:val="none" w:sz="0" w:space="0" w:color="auto"/>
        <w:left w:val="none" w:sz="0" w:space="0" w:color="auto"/>
        <w:bottom w:val="none" w:sz="0" w:space="0" w:color="auto"/>
        <w:right w:val="none" w:sz="0" w:space="0" w:color="auto"/>
      </w:divBdr>
    </w:div>
    <w:div w:id="112361071">
      <w:bodyDiv w:val="1"/>
      <w:marLeft w:val="0"/>
      <w:marRight w:val="0"/>
      <w:marTop w:val="0"/>
      <w:marBottom w:val="0"/>
      <w:divBdr>
        <w:top w:val="none" w:sz="0" w:space="0" w:color="auto"/>
        <w:left w:val="none" w:sz="0" w:space="0" w:color="auto"/>
        <w:bottom w:val="none" w:sz="0" w:space="0" w:color="auto"/>
        <w:right w:val="none" w:sz="0" w:space="0" w:color="auto"/>
      </w:divBdr>
    </w:div>
    <w:div w:id="123734857">
      <w:bodyDiv w:val="1"/>
      <w:marLeft w:val="0"/>
      <w:marRight w:val="0"/>
      <w:marTop w:val="0"/>
      <w:marBottom w:val="0"/>
      <w:divBdr>
        <w:top w:val="none" w:sz="0" w:space="0" w:color="auto"/>
        <w:left w:val="none" w:sz="0" w:space="0" w:color="auto"/>
        <w:bottom w:val="none" w:sz="0" w:space="0" w:color="auto"/>
        <w:right w:val="none" w:sz="0" w:space="0" w:color="auto"/>
      </w:divBdr>
    </w:div>
    <w:div w:id="141821794">
      <w:bodyDiv w:val="1"/>
      <w:marLeft w:val="0"/>
      <w:marRight w:val="0"/>
      <w:marTop w:val="0"/>
      <w:marBottom w:val="0"/>
      <w:divBdr>
        <w:top w:val="none" w:sz="0" w:space="0" w:color="auto"/>
        <w:left w:val="none" w:sz="0" w:space="0" w:color="auto"/>
        <w:bottom w:val="none" w:sz="0" w:space="0" w:color="auto"/>
        <w:right w:val="none" w:sz="0" w:space="0" w:color="auto"/>
      </w:divBdr>
    </w:div>
    <w:div w:id="150027669">
      <w:bodyDiv w:val="1"/>
      <w:marLeft w:val="0"/>
      <w:marRight w:val="0"/>
      <w:marTop w:val="0"/>
      <w:marBottom w:val="0"/>
      <w:divBdr>
        <w:top w:val="none" w:sz="0" w:space="0" w:color="auto"/>
        <w:left w:val="none" w:sz="0" w:space="0" w:color="auto"/>
        <w:bottom w:val="none" w:sz="0" w:space="0" w:color="auto"/>
        <w:right w:val="none" w:sz="0" w:space="0" w:color="auto"/>
      </w:divBdr>
      <w:divsChild>
        <w:div w:id="944730387">
          <w:marLeft w:val="1166"/>
          <w:marRight w:val="0"/>
          <w:marTop w:val="96"/>
          <w:marBottom w:val="0"/>
          <w:divBdr>
            <w:top w:val="none" w:sz="0" w:space="0" w:color="auto"/>
            <w:left w:val="none" w:sz="0" w:space="0" w:color="auto"/>
            <w:bottom w:val="none" w:sz="0" w:space="0" w:color="auto"/>
            <w:right w:val="none" w:sz="0" w:space="0" w:color="auto"/>
          </w:divBdr>
        </w:div>
        <w:div w:id="346179209">
          <w:marLeft w:val="1166"/>
          <w:marRight w:val="0"/>
          <w:marTop w:val="96"/>
          <w:marBottom w:val="0"/>
          <w:divBdr>
            <w:top w:val="none" w:sz="0" w:space="0" w:color="auto"/>
            <w:left w:val="none" w:sz="0" w:space="0" w:color="auto"/>
            <w:bottom w:val="none" w:sz="0" w:space="0" w:color="auto"/>
            <w:right w:val="none" w:sz="0" w:space="0" w:color="auto"/>
          </w:divBdr>
        </w:div>
        <w:div w:id="861281040">
          <w:marLeft w:val="1166"/>
          <w:marRight w:val="0"/>
          <w:marTop w:val="96"/>
          <w:marBottom w:val="0"/>
          <w:divBdr>
            <w:top w:val="none" w:sz="0" w:space="0" w:color="auto"/>
            <w:left w:val="none" w:sz="0" w:space="0" w:color="auto"/>
            <w:bottom w:val="none" w:sz="0" w:space="0" w:color="auto"/>
            <w:right w:val="none" w:sz="0" w:space="0" w:color="auto"/>
          </w:divBdr>
        </w:div>
        <w:div w:id="1697073804">
          <w:marLeft w:val="1166"/>
          <w:marRight w:val="0"/>
          <w:marTop w:val="96"/>
          <w:marBottom w:val="0"/>
          <w:divBdr>
            <w:top w:val="none" w:sz="0" w:space="0" w:color="auto"/>
            <w:left w:val="none" w:sz="0" w:space="0" w:color="auto"/>
            <w:bottom w:val="none" w:sz="0" w:space="0" w:color="auto"/>
            <w:right w:val="none" w:sz="0" w:space="0" w:color="auto"/>
          </w:divBdr>
        </w:div>
      </w:divsChild>
    </w:div>
    <w:div w:id="180625679">
      <w:bodyDiv w:val="1"/>
      <w:marLeft w:val="0"/>
      <w:marRight w:val="0"/>
      <w:marTop w:val="0"/>
      <w:marBottom w:val="0"/>
      <w:divBdr>
        <w:top w:val="none" w:sz="0" w:space="0" w:color="auto"/>
        <w:left w:val="none" w:sz="0" w:space="0" w:color="auto"/>
        <w:bottom w:val="none" w:sz="0" w:space="0" w:color="auto"/>
        <w:right w:val="none" w:sz="0" w:space="0" w:color="auto"/>
      </w:divBdr>
    </w:div>
    <w:div w:id="187376593">
      <w:bodyDiv w:val="1"/>
      <w:marLeft w:val="0"/>
      <w:marRight w:val="0"/>
      <w:marTop w:val="0"/>
      <w:marBottom w:val="0"/>
      <w:divBdr>
        <w:top w:val="none" w:sz="0" w:space="0" w:color="auto"/>
        <w:left w:val="none" w:sz="0" w:space="0" w:color="auto"/>
        <w:bottom w:val="none" w:sz="0" w:space="0" w:color="auto"/>
        <w:right w:val="none" w:sz="0" w:space="0" w:color="auto"/>
      </w:divBdr>
      <w:divsChild>
        <w:div w:id="2129616879">
          <w:marLeft w:val="446"/>
          <w:marRight w:val="0"/>
          <w:marTop w:val="0"/>
          <w:marBottom w:val="120"/>
          <w:divBdr>
            <w:top w:val="none" w:sz="0" w:space="0" w:color="auto"/>
            <w:left w:val="none" w:sz="0" w:space="0" w:color="auto"/>
            <w:bottom w:val="none" w:sz="0" w:space="0" w:color="auto"/>
            <w:right w:val="none" w:sz="0" w:space="0" w:color="auto"/>
          </w:divBdr>
        </w:div>
      </w:divsChild>
    </w:div>
    <w:div w:id="192690848">
      <w:bodyDiv w:val="1"/>
      <w:marLeft w:val="0"/>
      <w:marRight w:val="0"/>
      <w:marTop w:val="0"/>
      <w:marBottom w:val="0"/>
      <w:divBdr>
        <w:top w:val="none" w:sz="0" w:space="0" w:color="auto"/>
        <w:left w:val="none" w:sz="0" w:space="0" w:color="auto"/>
        <w:bottom w:val="none" w:sz="0" w:space="0" w:color="auto"/>
        <w:right w:val="none" w:sz="0" w:space="0" w:color="auto"/>
      </w:divBdr>
    </w:div>
    <w:div w:id="218059727">
      <w:bodyDiv w:val="1"/>
      <w:marLeft w:val="0"/>
      <w:marRight w:val="0"/>
      <w:marTop w:val="0"/>
      <w:marBottom w:val="0"/>
      <w:divBdr>
        <w:top w:val="none" w:sz="0" w:space="0" w:color="auto"/>
        <w:left w:val="none" w:sz="0" w:space="0" w:color="auto"/>
        <w:bottom w:val="none" w:sz="0" w:space="0" w:color="auto"/>
        <w:right w:val="none" w:sz="0" w:space="0" w:color="auto"/>
      </w:divBdr>
    </w:div>
    <w:div w:id="257907103">
      <w:bodyDiv w:val="1"/>
      <w:marLeft w:val="0"/>
      <w:marRight w:val="0"/>
      <w:marTop w:val="0"/>
      <w:marBottom w:val="0"/>
      <w:divBdr>
        <w:top w:val="none" w:sz="0" w:space="0" w:color="auto"/>
        <w:left w:val="none" w:sz="0" w:space="0" w:color="auto"/>
        <w:bottom w:val="none" w:sz="0" w:space="0" w:color="auto"/>
        <w:right w:val="none" w:sz="0" w:space="0" w:color="auto"/>
      </w:divBdr>
    </w:div>
    <w:div w:id="296254773">
      <w:bodyDiv w:val="1"/>
      <w:marLeft w:val="0"/>
      <w:marRight w:val="0"/>
      <w:marTop w:val="0"/>
      <w:marBottom w:val="0"/>
      <w:divBdr>
        <w:top w:val="none" w:sz="0" w:space="0" w:color="auto"/>
        <w:left w:val="none" w:sz="0" w:space="0" w:color="auto"/>
        <w:bottom w:val="none" w:sz="0" w:space="0" w:color="auto"/>
        <w:right w:val="none" w:sz="0" w:space="0" w:color="auto"/>
      </w:divBdr>
    </w:div>
    <w:div w:id="317810452">
      <w:bodyDiv w:val="1"/>
      <w:marLeft w:val="0"/>
      <w:marRight w:val="0"/>
      <w:marTop w:val="0"/>
      <w:marBottom w:val="0"/>
      <w:divBdr>
        <w:top w:val="none" w:sz="0" w:space="0" w:color="auto"/>
        <w:left w:val="none" w:sz="0" w:space="0" w:color="auto"/>
        <w:bottom w:val="none" w:sz="0" w:space="0" w:color="auto"/>
        <w:right w:val="none" w:sz="0" w:space="0" w:color="auto"/>
      </w:divBdr>
    </w:div>
    <w:div w:id="328872841">
      <w:bodyDiv w:val="1"/>
      <w:marLeft w:val="0"/>
      <w:marRight w:val="0"/>
      <w:marTop w:val="0"/>
      <w:marBottom w:val="0"/>
      <w:divBdr>
        <w:top w:val="none" w:sz="0" w:space="0" w:color="auto"/>
        <w:left w:val="none" w:sz="0" w:space="0" w:color="auto"/>
        <w:bottom w:val="none" w:sz="0" w:space="0" w:color="auto"/>
        <w:right w:val="none" w:sz="0" w:space="0" w:color="auto"/>
      </w:divBdr>
      <w:divsChild>
        <w:div w:id="2116292449">
          <w:marLeft w:val="547"/>
          <w:marRight w:val="0"/>
          <w:marTop w:val="96"/>
          <w:marBottom w:val="0"/>
          <w:divBdr>
            <w:top w:val="none" w:sz="0" w:space="0" w:color="auto"/>
            <w:left w:val="none" w:sz="0" w:space="0" w:color="auto"/>
            <w:bottom w:val="none" w:sz="0" w:space="0" w:color="auto"/>
            <w:right w:val="none" w:sz="0" w:space="0" w:color="auto"/>
          </w:divBdr>
        </w:div>
        <w:div w:id="623737731">
          <w:marLeft w:val="547"/>
          <w:marRight w:val="0"/>
          <w:marTop w:val="96"/>
          <w:marBottom w:val="0"/>
          <w:divBdr>
            <w:top w:val="none" w:sz="0" w:space="0" w:color="auto"/>
            <w:left w:val="none" w:sz="0" w:space="0" w:color="auto"/>
            <w:bottom w:val="none" w:sz="0" w:space="0" w:color="auto"/>
            <w:right w:val="none" w:sz="0" w:space="0" w:color="auto"/>
          </w:divBdr>
        </w:div>
        <w:div w:id="1073818604">
          <w:marLeft w:val="547"/>
          <w:marRight w:val="0"/>
          <w:marTop w:val="96"/>
          <w:marBottom w:val="0"/>
          <w:divBdr>
            <w:top w:val="none" w:sz="0" w:space="0" w:color="auto"/>
            <w:left w:val="none" w:sz="0" w:space="0" w:color="auto"/>
            <w:bottom w:val="none" w:sz="0" w:space="0" w:color="auto"/>
            <w:right w:val="none" w:sz="0" w:space="0" w:color="auto"/>
          </w:divBdr>
        </w:div>
      </w:divsChild>
    </w:div>
    <w:div w:id="342512705">
      <w:bodyDiv w:val="1"/>
      <w:marLeft w:val="0"/>
      <w:marRight w:val="0"/>
      <w:marTop w:val="0"/>
      <w:marBottom w:val="0"/>
      <w:divBdr>
        <w:top w:val="none" w:sz="0" w:space="0" w:color="auto"/>
        <w:left w:val="none" w:sz="0" w:space="0" w:color="auto"/>
        <w:bottom w:val="none" w:sz="0" w:space="0" w:color="auto"/>
        <w:right w:val="none" w:sz="0" w:space="0" w:color="auto"/>
      </w:divBdr>
    </w:div>
    <w:div w:id="352732379">
      <w:bodyDiv w:val="1"/>
      <w:marLeft w:val="0"/>
      <w:marRight w:val="0"/>
      <w:marTop w:val="0"/>
      <w:marBottom w:val="0"/>
      <w:divBdr>
        <w:top w:val="none" w:sz="0" w:space="0" w:color="auto"/>
        <w:left w:val="none" w:sz="0" w:space="0" w:color="auto"/>
        <w:bottom w:val="none" w:sz="0" w:space="0" w:color="auto"/>
        <w:right w:val="none" w:sz="0" w:space="0" w:color="auto"/>
      </w:divBdr>
    </w:div>
    <w:div w:id="368383863">
      <w:bodyDiv w:val="1"/>
      <w:marLeft w:val="0"/>
      <w:marRight w:val="0"/>
      <w:marTop w:val="0"/>
      <w:marBottom w:val="0"/>
      <w:divBdr>
        <w:top w:val="none" w:sz="0" w:space="0" w:color="auto"/>
        <w:left w:val="none" w:sz="0" w:space="0" w:color="auto"/>
        <w:bottom w:val="none" w:sz="0" w:space="0" w:color="auto"/>
        <w:right w:val="none" w:sz="0" w:space="0" w:color="auto"/>
      </w:divBdr>
    </w:div>
    <w:div w:id="378629068">
      <w:bodyDiv w:val="1"/>
      <w:marLeft w:val="0"/>
      <w:marRight w:val="0"/>
      <w:marTop w:val="0"/>
      <w:marBottom w:val="0"/>
      <w:divBdr>
        <w:top w:val="none" w:sz="0" w:space="0" w:color="auto"/>
        <w:left w:val="none" w:sz="0" w:space="0" w:color="auto"/>
        <w:bottom w:val="none" w:sz="0" w:space="0" w:color="auto"/>
        <w:right w:val="none" w:sz="0" w:space="0" w:color="auto"/>
      </w:divBdr>
    </w:div>
    <w:div w:id="379207867">
      <w:bodyDiv w:val="1"/>
      <w:marLeft w:val="0"/>
      <w:marRight w:val="0"/>
      <w:marTop w:val="0"/>
      <w:marBottom w:val="0"/>
      <w:divBdr>
        <w:top w:val="none" w:sz="0" w:space="0" w:color="auto"/>
        <w:left w:val="none" w:sz="0" w:space="0" w:color="auto"/>
        <w:bottom w:val="none" w:sz="0" w:space="0" w:color="auto"/>
        <w:right w:val="none" w:sz="0" w:space="0" w:color="auto"/>
      </w:divBdr>
    </w:div>
    <w:div w:id="389114436">
      <w:bodyDiv w:val="1"/>
      <w:marLeft w:val="0"/>
      <w:marRight w:val="0"/>
      <w:marTop w:val="0"/>
      <w:marBottom w:val="0"/>
      <w:divBdr>
        <w:top w:val="none" w:sz="0" w:space="0" w:color="auto"/>
        <w:left w:val="none" w:sz="0" w:space="0" w:color="auto"/>
        <w:bottom w:val="none" w:sz="0" w:space="0" w:color="auto"/>
        <w:right w:val="none" w:sz="0" w:space="0" w:color="auto"/>
      </w:divBdr>
    </w:div>
    <w:div w:id="400100991">
      <w:bodyDiv w:val="1"/>
      <w:marLeft w:val="0"/>
      <w:marRight w:val="0"/>
      <w:marTop w:val="0"/>
      <w:marBottom w:val="0"/>
      <w:divBdr>
        <w:top w:val="none" w:sz="0" w:space="0" w:color="auto"/>
        <w:left w:val="none" w:sz="0" w:space="0" w:color="auto"/>
        <w:bottom w:val="none" w:sz="0" w:space="0" w:color="auto"/>
        <w:right w:val="none" w:sz="0" w:space="0" w:color="auto"/>
      </w:divBdr>
    </w:div>
    <w:div w:id="404301799">
      <w:bodyDiv w:val="1"/>
      <w:marLeft w:val="0"/>
      <w:marRight w:val="0"/>
      <w:marTop w:val="0"/>
      <w:marBottom w:val="0"/>
      <w:divBdr>
        <w:top w:val="none" w:sz="0" w:space="0" w:color="auto"/>
        <w:left w:val="none" w:sz="0" w:space="0" w:color="auto"/>
        <w:bottom w:val="none" w:sz="0" w:space="0" w:color="auto"/>
        <w:right w:val="none" w:sz="0" w:space="0" w:color="auto"/>
      </w:divBdr>
    </w:div>
    <w:div w:id="414279391">
      <w:bodyDiv w:val="1"/>
      <w:marLeft w:val="0"/>
      <w:marRight w:val="0"/>
      <w:marTop w:val="0"/>
      <w:marBottom w:val="0"/>
      <w:divBdr>
        <w:top w:val="none" w:sz="0" w:space="0" w:color="auto"/>
        <w:left w:val="none" w:sz="0" w:space="0" w:color="auto"/>
        <w:bottom w:val="none" w:sz="0" w:space="0" w:color="auto"/>
        <w:right w:val="none" w:sz="0" w:space="0" w:color="auto"/>
      </w:divBdr>
    </w:div>
    <w:div w:id="448547138">
      <w:bodyDiv w:val="1"/>
      <w:marLeft w:val="0"/>
      <w:marRight w:val="0"/>
      <w:marTop w:val="0"/>
      <w:marBottom w:val="0"/>
      <w:divBdr>
        <w:top w:val="none" w:sz="0" w:space="0" w:color="auto"/>
        <w:left w:val="none" w:sz="0" w:space="0" w:color="auto"/>
        <w:bottom w:val="none" w:sz="0" w:space="0" w:color="auto"/>
        <w:right w:val="none" w:sz="0" w:space="0" w:color="auto"/>
      </w:divBdr>
    </w:div>
    <w:div w:id="479231175">
      <w:bodyDiv w:val="1"/>
      <w:marLeft w:val="0"/>
      <w:marRight w:val="0"/>
      <w:marTop w:val="0"/>
      <w:marBottom w:val="0"/>
      <w:divBdr>
        <w:top w:val="none" w:sz="0" w:space="0" w:color="auto"/>
        <w:left w:val="none" w:sz="0" w:space="0" w:color="auto"/>
        <w:bottom w:val="none" w:sz="0" w:space="0" w:color="auto"/>
        <w:right w:val="none" w:sz="0" w:space="0" w:color="auto"/>
      </w:divBdr>
    </w:div>
    <w:div w:id="487135702">
      <w:bodyDiv w:val="1"/>
      <w:marLeft w:val="0"/>
      <w:marRight w:val="0"/>
      <w:marTop w:val="0"/>
      <w:marBottom w:val="0"/>
      <w:divBdr>
        <w:top w:val="none" w:sz="0" w:space="0" w:color="auto"/>
        <w:left w:val="none" w:sz="0" w:space="0" w:color="auto"/>
        <w:bottom w:val="none" w:sz="0" w:space="0" w:color="auto"/>
        <w:right w:val="none" w:sz="0" w:space="0" w:color="auto"/>
      </w:divBdr>
    </w:div>
    <w:div w:id="501629493">
      <w:bodyDiv w:val="1"/>
      <w:marLeft w:val="0"/>
      <w:marRight w:val="0"/>
      <w:marTop w:val="0"/>
      <w:marBottom w:val="0"/>
      <w:divBdr>
        <w:top w:val="none" w:sz="0" w:space="0" w:color="auto"/>
        <w:left w:val="none" w:sz="0" w:space="0" w:color="auto"/>
        <w:bottom w:val="none" w:sz="0" w:space="0" w:color="auto"/>
        <w:right w:val="none" w:sz="0" w:space="0" w:color="auto"/>
      </w:divBdr>
    </w:div>
    <w:div w:id="518662007">
      <w:bodyDiv w:val="1"/>
      <w:marLeft w:val="0"/>
      <w:marRight w:val="0"/>
      <w:marTop w:val="0"/>
      <w:marBottom w:val="0"/>
      <w:divBdr>
        <w:top w:val="none" w:sz="0" w:space="0" w:color="auto"/>
        <w:left w:val="none" w:sz="0" w:space="0" w:color="auto"/>
        <w:bottom w:val="none" w:sz="0" w:space="0" w:color="auto"/>
        <w:right w:val="none" w:sz="0" w:space="0" w:color="auto"/>
      </w:divBdr>
    </w:div>
    <w:div w:id="528300775">
      <w:bodyDiv w:val="1"/>
      <w:marLeft w:val="0"/>
      <w:marRight w:val="0"/>
      <w:marTop w:val="0"/>
      <w:marBottom w:val="0"/>
      <w:divBdr>
        <w:top w:val="none" w:sz="0" w:space="0" w:color="auto"/>
        <w:left w:val="none" w:sz="0" w:space="0" w:color="auto"/>
        <w:bottom w:val="none" w:sz="0" w:space="0" w:color="auto"/>
        <w:right w:val="none" w:sz="0" w:space="0" w:color="auto"/>
      </w:divBdr>
    </w:div>
    <w:div w:id="577634729">
      <w:bodyDiv w:val="1"/>
      <w:marLeft w:val="0"/>
      <w:marRight w:val="0"/>
      <w:marTop w:val="0"/>
      <w:marBottom w:val="0"/>
      <w:divBdr>
        <w:top w:val="none" w:sz="0" w:space="0" w:color="auto"/>
        <w:left w:val="none" w:sz="0" w:space="0" w:color="auto"/>
        <w:bottom w:val="none" w:sz="0" w:space="0" w:color="auto"/>
        <w:right w:val="none" w:sz="0" w:space="0" w:color="auto"/>
      </w:divBdr>
    </w:div>
    <w:div w:id="579604185">
      <w:bodyDiv w:val="1"/>
      <w:marLeft w:val="0"/>
      <w:marRight w:val="0"/>
      <w:marTop w:val="0"/>
      <w:marBottom w:val="0"/>
      <w:divBdr>
        <w:top w:val="none" w:sz="0" w:space="0" w:color="auto"/>
        <w:left w:val="none" w:sz="0" w:space="0" w:color="auto"/>
        <w:bottom w:val="none" w:sz="0" w:space="0" w:color="auto"/>
        <w:right w:val="none" w:sz="0" w:space="0" w:color="auto"/>
      </w:divBdr>
    </w:div>
    <w:div w:id="613514056">
      <w:bodyDiv w:val="1"/>
      <w:marLeft w:val="0"/>
      <w:marRight w:val="0"/>
      <w:marTop w:val="0"/>
      <w:marBottom w:val="0"/>
      <w:divBdr>
        <w:top w:val="none" w:sz="0" w:space="0" w:color="auto"/>
        <w:left w:val="none" w:sz="0" w:space="0" w:color="auto"/>
        <w:bottom w:val="none" w:sz="0" w:space="0" w:color="auto"/>
        <w:right w:val="none" w:sz="0" w:space="0" w:color="auto"/>
      </w:divBdr>
      <w:divsChild>
        <w:div w:id="180509162">
          <w:marLeft w:val="547"/>
          <w:marRight w:val="0"/>
          <w:marTop w:val="96"/>
          <w:marBottom w:val="0"/>
          <w:divBdr>
            <w:top w:val="none" w:sz="0" w:space="0" w:color="auto"/>
            <w:left w:val="none" w:sz="0" w:space="0" w:color="auto"/>
            <w:bottom w:val="none" w:sz="0" w:space="0" w:color="auto"/>
            <w:right w:val="none" w:sz="0" w:space="0" w:color="auto"/>
          </w:divBdr>
        </w:div>
        <w:div w:id="902103678">
          <w:marLeft w:val="547"/>
          <w:marRight w:val="0"/>
          <w:marTop w:val="96"/>
          <w:marBottom w:val="0"/>
          <w:divBdr>
            <w:top w:val="none" w:sz="0" w:space="0" w:color="auto"/>
            <w:left w:val="none" w:sz="0" w:space="0" w:color="auto"/>
            <w:bottom w:val="none" w:sz="0" w:space="0" w:color="auto"/>
            <w:right w:val="none" w:sz="0" w:space="0" w:color="auto"/>
          </w:divBdr>
        </w:div>
      </w:divsChild>
    </w:div>
    <w:div w:id="641886670">
      <w:bodyDiv w:val="1"/>
      <w:marLeft w:val="0"/>
      <w:marRight w:val="0"/>
      <w:marTop w:val="0"/>
      <w:marBottom w:val="0"/>
      <w:divBdr>
        <w:top w:val="none" w:sz="0" w:space="0" w:color="auto"/>
        <w:left w:val="none" w:sz="0" w:space="0" w:color="auto"/>
        <w:bottom w:val="none" w:sz="0" w:space="0" w:color="auto"/>
        <w:right w:val="none" w:sz="0" w:space="0" w:color="auto"/>
      </w:divBdr>
    </w:div>
    <w:div w:id="666983776">
      <w:bodyDiv w:val="1"/>
      <w:marLeft w:val="0"/>
      <w:marRight w:val="0"/>
      <w:marTop w:val="0"/>
      <w:marBottom w:val="0"/>
      <w:divBdr>
        <w:top w:val="none" w:sz="0" w:space="0" w:color="auto"/>
        <w:left w:val="none" w:sz="0" w:space="0" w:color="auto"/>
        <w:bottom w:val="none" w:sz="0" w:space="0" w:color="auto"/>
        <w:right w:val="none" w:sz="0" w:space="0" w:color="auto"/>
      </w:divBdr>
    </w:div>
    <w:div w:id="722406283">
      <w:bodyDiv w:val="1"/>
      <w:marLeft w:val="0"/>
      <w:marRight w:val="0"/>
      <w:marTop w:val="0"/>
      <w:marBottom w:val="0"/>
      <w:divBdr>
        <w:top w:val="none" w:sz="0" w:space="0" w:color="auto"/>
        <w:left w:val="none" w:sz="0" w:space="0" w:color="auto"/>
        <w:bottom w:val="none" w:sz="0" w:space="0" w:color="auto"/>
        <w:right w:val="none" w:sz="0" w:space="0" w:color="auto"/>
      </w:divBdr>
    </w:div>
    <w:div w:id="728577993">
      <w:bodyDiv w:val="1"/>
      <w:marLeft w:val="0"/>
      <w:marRight w:val="0"/>
      <w:marTop w:val="0"/>
      <w:marBottom w:val="0"/>
      <w:divBdr>
        <w:top w:val="none" w:sz="0" w:space="0" w:color="auto"/>
        <w:left w:val="none" w:sz="0" w:space="0" w:color="auto"/>
        <w:bottom w:val="none" w:sz="0" w:space="0" w:color="auto"/>
        <w:right w:val="none" w:sz="0" w:space="0" w:color="auto"/>
      </w:divBdr>
    </w:div>
    <w:div w:id="762577031">
      <w:bodyDiv w:val="1"/>
      <w:marLeft w:val="0"/>
      <w:marRight w:val="0"/>
      <w:marTop w:val="0"/>
      <w:marBottom w:val="0"/>
      <w:divBdr>
        <w:top w:val="none" w:sz="0" w:space="0" w:color="auto"/>
        <w:left w:val="none" w:sz="0" w:space="0" w:color="auto"/>
        <w:bottom w:val="none" w:sz="0" w:space="0" w:color="auto"/>
        <w:right w:val="none" w:sz="0" w:space="0" w:color="auto"/>
      </w:divBdr>
    </w:div>
    <w:div w:id="782921427">
      <w:bodyDiv w:val="1"/>
      <w:marLeft w:val="0"/>
      <w:marRight w:val="0"/>
      <w:marTop w:val="0"/>
      <w:marBottom w:val="0"/>
      <w:divBdr>
        <w:top w:val="none" w:sz="0" w:space="0" w:color="auto"/>
        <w:left w:val="none" w:sz="0" w:space="0" w:color="auto"/>
        <w:bottom w:val="none" w:sz="0" w:space="0" w:color="auto"/>
        <w:right w:val="none" w:sz="0" w:space="0" w:color="auto"/>
      </w:divBdr>
    </w:div>
    <w:div w:id="816729917">
      <w:bodyDiv w:val="1"/>
      <w:marLeft w:val="0"/>
      <w:marRight w:val="0"/>
      <w:marTop w:val="0"/>
      <w:marBottom w:val="0"/>
      <w:divBdr>
        <w:top w:val="none" w:sz="0" w:space="0" w:color="auto"/>
        <w:left w:val="none" w:sz="0" w:space="0" w:color="auto"/>
        <w:bottom w:val="none" w:sz="0" w:space="0" w:color="auto"/>
        <w:right w:val="none" w:sz="0" w:space="0" w:color="auto"/>
      </w:divBdr>
      <w:divsChild>
        <w:div w:id="2039697862">
          <w:marLeft w:val="0"/>
          <w:marRight w:val="0"/>
          <w:marTop w:val="120"/>
          <w:marBottom w:val="120"/>
          <w:divBdr>
            <w:top w:val="none" w:sz="0" w:space="0" w:color="auto"/>
            <w:left w:val="none" w:sz="0" w:space="0" w:color="auto"/>
            <w:bottom w:val="none" w:sz="0" w:space="0" w:color="auto"/>
            <w:right w:val="none" w:sz="0" w:space="0" w:color="auto"/>
          </w:divBdr>
        </w:div>
      </w:divsChild>
    </w:div>
    <w:div w:id="843397277">
      <w:bodyDiv w:val="1"/>
      <w:marLeft w:val="0"/>
      <w:marRight w:val="0"/>
      <w:marTop w:val="0"/>
      <w:marBottom w:val="0"/>
      <w:divBdr>
        <w:top w:val="none" w:sz="0" w:space="0" w:color="auto"/>
        <w:left w:val="none" w:sz="0" w:space="0" w:color="auto"/>
        <w:bottom w:val="none" w:sz="0" w:space="0" w:color="auto"/>
        <w:right w:val="none" w:sz="0" w:space="0" w:color="auto"/>
      </w:divBdr>
    </w:div>
    <w:div w:id="862327803">
      <w:bodyDiv w:val="1"/>
      <w:marLeft w:val="0"/>
      <w:marRight w:val="0"/>
      <w:marTop w:val="0"/>
      <w:marBottom w:val="0"/>
      <w:divBdr>
        <w:top w:val="none" w:sz="0" w:space="0" w:color="auto"/>
        <w:left w:val="none" w:sz="0" w:space="0" w:color="auto"/>
        <w:bottom w:val="none" w:sz="0" w:space="0" w:color="auto"/>
        <w:right w:val="none" w:sz="0" w:space="0" w:color="auto"/>
      </w:divBdr>
    </w:div>
    <w:div w:id="914752571">
      <w:bodyDiv w:val="1"/>
      <w:marLeft w:val="0"/>
      <w:marRight w:val="0"/>
      <w:marTop w:val="0"/>
      <w:marBottom w:val="0"/>
      <w:divBdr>
        <w:top w:val="none" w:sz="0" w:space="0" w:color="auto"/>
        <w:left w:val="none" w:sz="0" w:space="0" w:color="auto"/>
        <w:bottom w:val="none" w:sz="0" w:space="0" w:color="auto"/>
        <w:right w:val="none" w:sz="0" w:space="0" w:color="auto"/>
      </w:divBdr>
      <w:divsChild>
        <w:div w:id="413555600">
          <w:marLeft w:val="547"/>
          <w:marRight w:val="0"/>
          <w:marTop w:val="115"/>
          <w:marBottom w:val="0"/>
          <w:divBdr>
            <w:top w:val="none" w:sz="0" w:space="0" w:color="auto"/>
            <w:left w:val="none" w:sz="0" w:space="0" w:color="auto"/>
            <w:bottom w:val="none" w:sz="0" w:space="0" w:color="auto"/>
            <w:right w:val="none" w:sz="0" w:space="0" w:color="auto"/>
          </w:divBdr>
        </w:div>
      </w:divsChild>
    </w:div>
    <w:div w:id="920791018">
      <w:bodyDiv w:val="1"/>
      <w:marLeft w:val="0"/>
      <w:marRight w:val="0"/>
      <w:marTop w:val="0"/>
      <w:marBottom w:val="0"/>
      <w:divBdr>
        <w:top w:val="none" w:sz="0" w:space="0" w:color="auto"/>
        <w:left w:val="none" w:sz="0" w:space="0" w:color="auto"/>
        <w:bottom w:val="none" w:sz="0" w:space="0" w:color="auto"/>
        <w:right w:val="none" w:sz="0" w:space="0" w:color="auto"/>
      </w:divBdr>
    </w:div>
    <w:div w:id="924000213">
      <w:bodyDiv w:val="1"/>
      <w:marLeft w:val="0"/>
      <w:marRight w:val="0"/>
      <w:marTop w:val="0"/>
      <w:marBottom w:val="0"/>
      <w:divBdr>
        <w:top w:val="none" w:sz="0" w:space="0" w:color="auto"/>
        <w:left w:val="none" w:sz="0" w:space="0" w:color="auto"/>
        <w:bottom w:val="none" w:sz="0" w:space="0" w:color="auto"/>
        <w:right w:val="none" w:sz="0" w:space="0" w:color="auto"/>
      </w:divBdr>
      <w:divsChild>
        <w:div w:id="1225676042">
          <w:marLeft w:val="708"/>
          <w:marRight w:val="0"/>
          <w:marTop w:val="0"/>
          <w:marBottom w:val="120"/>
          <w:divBdr>
            <w:top w:val="none" w:sz="0" w:space="0" w:color="auto"/>
            <w:left w:val="none" w:sz="0" w:space="0" w:color="auto"/>
            <w:bottom w:val="none" w:sz="0" w:space="0" w:color="auto"/>
            <w:right w:val="none" w:sz="0" w:space="0" w:color="auto"/>
          </w:divBdr>
        </w:div>
        <w:div w:id="226385208">
          <w:marLeft w:val="708"/>
          <w:marRight w:val="0"/>
          <w:marTop w:val="0"/>
          <w:marBottom w:val="120"/>
          <w:divBdr>
            <w:top w:val="none" w:sz="0" w:space="0" w:color="auto"/>
            <w:left w:val="none" w:sz="0" w:space="0" w:color="auto"/>
            <w:bottom w:val="none" w:sz="0" w:space="0" w:color="auto"/>
            <w:right w:val="none" w:sz="0" w:space="0" w:color="auto"/>
          </w:divBdr>
        </w:div>
        <w:div w:id="1634603105">
          <w:marLeft w:val="708"/>
          <w:marRight w:val="0"/>
          <w:marTop w:val="0"/>
          <w:marBottom w:val="120"/>
          <w:divBdr>
            <w:top w:val="none" w:sz="0" w:space="0" w:color="auto"/>
            <w:left w:val="none" w:sz="0" w:space="0" w:color="auto"/>
            <w:bottom w:val="none" w:sz="0" w:space="0" w:color="auto"/>
            <w:right w:val="none" w:sz="0" w:space="0" w:color="auto"/>
          </w:divBdr>
        </w:div>
        <w:div w:id="1544177364">
          <w:marLeft w:val="708"/>
          <w:marRight w:val="0"/>
          <w:marTop w:val="0"/>
          <w:marBottom w:val="120"/>
          <w:divBdr>
            <w:top w:val="none" w:sz="0" w:space="0" w:color="auto"/>
            <w:left w:val="none" w:sz="0" w:space="0" w:color="auto"/>
            <w:bottom w:val="none" w:sz="0" w:space="0" w:color="auto"/>
            <w:right w:val="none" w:sz="0" w:space="0" w:color="auto"/>
          </w:divBdr>
        </w:div>
        <w:div w:id="1200892489">
          <w:marLeft w:val="708"/>
          <w:marRight w:val="0"/>
          <w:marTop w:val="0"/>
          <w:marBottom w:val="120"/>
          <w:divBdr>
            <w:top w:val="none" w:sz="0" w:space="0" w:color="auto"/>
            <w:left w:val="none" w:sz="0" w:space="0" w:color="auto"/>
            <w:bottom w:val="none" w:sz="0" w:space="0" w:color="auto"/>
            <w:right w:val="none" w:sz="0" w:space="0" w:color="auto"/>
          </w:divBdr>
        </w:div>
        <w:div w:id="886452097">
          <w:marLeft w:val="708"/>
          <w:marRight w:val="0"/>
          <w:marTop w:val="0"/>
          <w:marBottom w:val="120"/>
          <w:divBdr>
            <w:top w:val="none" w:sz="0" w:space="0" w:color="auto"/>
            <w:left w:val="none" w:sz="0" w:space="0" w:color="auto"/>
            <w:bottom w:val="none" w:sz="0" w:space="0" w:color="auto"/>
            <w:right w:val="none" w:sz="0" w:space="0" w:color="auto"/>
          </w:divBdr>
        </w:div>
        <w:div w:id="2105227523">
          <w:marLeft w:val="708"/>
          <w:marRight w:val="0"/>
          <w:marTop w:val="0"/>
          <w:marBottom w:val="240"/>
          <w:divBdr>
            <w:top w:val="none" w:sz="0" w:space="0" w:color="auto"/>
            <w:left w:val="none" w:sz="0" w:space="0" w:color="auto"/>
            <w:bottom w:val="none" w:sz="0" w:space="0" w:color="auto"/>
            <w:right w:val="none" w:sz="0" w:space="0" w:color="auto"/>
          </w:divBdr>
        </w:div>
      </w:divsChild>
    </w:div>
    <w:div w:id="933437286">
      <w:bodyDiv w:val="1"/>
      <w:marLeft w:val="0"/>
      <w:marRight w:val="0"/>
      <w:marTop w:val="0"/>
      <w:marBottom w:val="0"/>
      <w:divBdr>
        <w:top w:val="none" w:sz="0" w:space="0" w:color="auto"/>
        <w:left w:val="none" w:sz="0" w:space="0" w:color="auto"/>
        <w:bottom w:val="none" w:sz="0" w:space="0" w:color="auto"/>
        <w:right w:val="none" w:sz="0" w:space="0" w:color="auto"/>
      </w:divBdr>
      <w:divsChild>
        <w:div w:id="201989220">
          <w:marLeft w:val="1166"/>
          <w:marRight w:val="0"/>
          <w:marTop w:val="96"/>
          <w:marBottom w:val="0"/>
          <w:divBdr>
            <w:top w:val="none" w:sz="0" w:space="0" w:color="auto"/>
            <w:left w:val="none" w:sz="0" w:space="0" w:color="auto"/>
            <w:bottom w:val="none" w:sz="0" w:space="0" w:color="auto"/>
            <w:right w:val="none" w:sz="0" w:space="0" w:color="auto"/>
          </w:divBdr>
        </w:div>
      </w:divsChild>
    </w:div>
    <w:div w:id="936519788">
      <w:bodyDiv w:val="1"/>
      <w:marLeft w:val="0"/>
      <w:marRight w:val="0"/>
      <w:marTop w:val="0"/>
      <w:marBottom w:val="0"/>
      <w:divBdr>
        <w:top w:val="none" w:sz="0" w:space="0" w:color="auto"/>
        <w:left w:val="none" w:sz="0" w:space="0" w:color="auto"/>
        <w:bottom w:val="none" w:sz="0" w:space="0" w:color="auto"/>
        <w:right w:val="none" w:sz="0" w:space="0" w:color="auto"/>
      </w:divBdr>
      <w:divsChild>
        <w:div w:id="1196968575">
          <w:marLeft w:val="1656"/>
          <w:marRight w:val="0"/>
          <w:marTop w:val="0"/>
          <w:marBottom w:val="0"/>
          <w:divBdr>
            <w:top w:val="none" w:sz="0" w:space="0" w:color="auto"/>
            <w:left w:val="none" w:sz="0" w:space="0" w:color="auto"/>
            <w:bottom w:val="none" w:sz="0" w:space="0" w:color="auto"/>
            <w:right w:val="none" w:sz="0" w:space="0" w:color="auto"/>
          </w:divBdr>
        </w:div>
        <w:div w:id="256600513">
          <w:marLeft w:val="1656"/>
          <w:marRight w:val="0"/>
          <w:marTop w:val="0"/>
          <w:marBottom w:val="0"/>
          <w:divBdr>
            <w:top w:val="none" w:sz="0" w:space="0" w:color="auto"/>
            <w:left w:val="none" w:sz="0" w:space="0" w:color="auto"/>
            <w:bottom w:val="none" w:sz="0" w:space="0" w:color="auto"/>
            <w:right w:val="none" w:sz="0" w:space="0" w:color="auto"/>
          </w:divBdr>
        </w:div>
        <w:div w:id="1363289042">
          <w:marLeft w:val="1656"/>
          <w:marRight w:val="0"/>
          <w:marTop w:val="0"/>
          <w:marBottom w:val="0"/>
          <w:divBdr>
            <w:top w:val="none" w:sz="0" w:space="0" w:color="auto"/>
            <w:left w:val="none" w:sz="0" w:space="0" w:color="auto"/>
            <w:bottom w:val="none" w:sz="0" w:space="0" w:color="auto"/>
            <w:right w:val="none" w:sz="0" w:space="0" w:color="auto"/>
          </w:divBdr>
        </w:div>
      </w:divsChild>
    </w:div>
    <w:div w:id="948706211">
      <w:bodyDiv w:val="1"/>
      <w:marLeft w:val="0"/>
      <w:marRight w:val="0"/>
      <w:marTop w:val="0"/>
      <w:marBottom w:val="0"/>
      <w:divBdr>
        <w:top w:val="none" w:sz="0" w:space="0" w:color="auto"/>
        <w:left w:val="none" w:sz="0" w:space="0" w:color="auto"/>
        <w:bottom w:val="none" w:sz="0" w:space="0" w:color="auto"/>
        <w:right w:val="none" w:sz="0" w:space="0" w:color="auto"/>
      </w:divBdr>
    </w:div>
    <w:div w:id="956183670">
      <w:bodyDiv w:val="1"/>
      <w:marLeft w:val="0"/>
      <w:marRight w:val="0"/>
      <w:marTop w:val="0"/>
      <w:marBottom w:val="0"/>
      <w:divBdr>
        <w:top w:val="none" w:sz="0" w:space="0" w:color="auto"/>
        <w:left w:val="none" w:sz="0" w:space="0" w:color="auto"/>
        <w:bottom w:val="none" w:sz="0" w:space="0" w:color="auto"/>
        <w:right w:val="none" w:sz="0" w:space="0" w:color="auto"/>
      </w:divBdr>
    </w:div>
    <w:div w:id="958218298">
      <w:bodyDiv w:val="1"/>
      <w:marLeft w:val="0"/>
      <w:marRight w:val="0"/>
      <w:marTop w:val="0"/>
      <w:marBottom w:val="0"/>
      <w:divBdr>
        <w:top w:val="none" w:sz="0" w:space="0" w:color="auto"/>
        <w:left w:val="none" w:sz="0" w:space="0" w:color="auto"/>
        <w:bottom w:val="none" w:sz="0" w:space="0" w:color="auto"/>
        <w:right w:val="none" w:sz="0" w:space="0" w:color="auto"/>
      </w:divBdr>
    </w:div>
    <w:div w:id="971716597">
      <w:bodyDiv w:val="1"/>
      <w:marLeft w:val="0"/>
      <w:marRight w:val="0"/>
      <w:marTop w:val="0"/>
      <w:marBottom w:val="0"/>
      <w:divBdr>
        <w:top w:val="none" w:sz="0" w:space="0" w:color="auto"/>
        <w:left w:val="none" w:sz="0" w:space="0" w:color="auto"/>
        <w:bottom w:val="none" w:sz="0" w:space="0" w:color="auto"/>
        <w:right w:val="none" w:sz="0" w:space="0" w:color="auto"/>
      </w:divBdr>
    </w:div>
    <w:div w:id="972173675">
      <w:bodyDiv w:val="1"/>
      <w:marLeft w:val="0"/>
      <w:marRight w:val="0"/>
      <w:marTop w:val="0"/>
      <w:marBottom w:val="0"/>
      <w:divBdr>
        <w:top w:val="none" w:sz="0" w:space="0" w:color="auto"/>
        <w:left w:val="none" w:sz="0" w:space="0" w:color="auto"/>
        <w:bottom w:val="none" w:sz="0" w:space="0" w:color="auto"/>
        <w:right w:val="none" w:sz="0" w:space="0" w:color="auto"/>
      </w:divBdr>
      <w:divsChild>
        <w:div w:id="1863086136">
          <w:marLeft w:val="1267"/>
          <w:marRight w:val="0"/>
          <w:marTop w:val="120"/>
          <w:marBottom w:val="120"/>
          <w:divBdr>
            <w:top w:val="none" w:sz="0" w:space="0" w:color="auto"/>
            <w:left w:val="none" w:sz="0" w:space="0" w:color="auto"/>
            <w:bottom w:val="none" w:sz="0" w:space="0" w:color="auto"/>
            <w:right w:val="none" w:sz="0" w:space="0" w:color="auto"/>
          </w:divBdr>
        </w:div>
      </w:divsChild>
    </w:div>
    <w:div w:id="995301809">
      <w:bodyDiv w:val="1"/>
      <w:marLeft w:val="0"/>
      <w:marRight w:val="0"/>
      <w:marTop w:val="0"/>
      <w:marBottom w:val="0"/>
      <w:divBdr>
        <w:top w:val="none" w:sz="0" w:space="0" w:color="auto"/>
        <w:left w:val="none" w:sz="0" w:space="0" w:color="auto"/>
        <w:bottom w:val="none" w:sz="0" w:space="0" w:color="auto"/>
        <w:right w:val="none" w:sz="0" w:space="0" w:color="auto"/>
      </w:divBdr>
    </w:div>
    <w:div w:id="1002703712">
      <w:bodyDiv w:val="1"/>
      <w:marLeft w:val="0"/>
      <w:marRight w:val="0"/>
      <w:marTop w:val="0"/>
      <w:marBottom w:val="0"/>
      <w:divBdr>
        <w:top w:val="none" w:sz="0" w:space="0" w:color="auto"/>
        <w:left w:val="none" w:sz="0" w:space="0" w:color="auto"/>
        <w:bottom w:val="none" w:sz="0" w:space="0" w:color="auto"/>
        <w:right w:val="none" w:sz="0" w:space="0" w:color="auto"/>
      </w:divBdr>
    </w:div>
    <w:div w:id="1003582789">
      <w:bodyDiv w:val="1"/>
      <w:marLeft w:val="0"/>
      <w:marRight w:val="0"/>
      <w:marTop w:val="0"/>
      <w:marBottom w:val="0"/>
      <w:divBdr>
        <w:top w:val="none" w:sz="0" w:space="0" w:color="auto"/>
        <w:left w:val="none" w:sz="0" w:space="0" w:color="auto"/>
        <w:bottom w:val="none" w:sz="0" w:space="0" w:color="auto"/>
        <w:right w:val="none" w:sz="0" w:space="0" w:color="auto"/>
      </w:divBdr>
      <w:divsChild>
        <w:div w:id="608204007">
          <w:marLeft w:val="1166"/>
          <w:marRight w:val="0"/>
          <w:marTop w:val="96"/>
          <w:marBottom w:val="0"/>
          <w:divBdr>
            <w:top w:val="none" w:sz="0" w:space="0" w:color="auto"/>
            <w:left w:val="none" w:sz="0" w:space="0" w:color="auto"/>
            <w:bottom w:val="none" w:sz="0" w:space="0" w:color="auto"/>
            <w:right w:val="none" w:sz="0" w:space="0" w:color="auto"/>
          </w:divBdr>
        </w:div>
        <w:div w:id="1366128279">
          <w:marLeft w:val="1166"/>
          <w:marRight w:val="0"/>
          <w:marTop w:val="96"/>
          <w:marBottom w:val="0"/>
          <w:divBdr>
            <w:top w:val="none" w:sz="0" w:space="0" w:color="auto"/>
            <w:left w:val="none" w:sz="0" w:space="0" w:color="auto"/>
            <w:bottom w:val="none" w:sz="0" w:space="0" w:color="auto"/>
            <w:right w:val="none" w:sz="0" w:space="0" w:color="auto"/>
          </w:divBdr>
        </w:div>
        <w:div w:id="1579830012">
          <w:marLeft w:val="1166"/>
          <w:marRight w:val="0"/>
          <w:marTop w:val="96"/>
          <w:marBottom w:val="0"/>
          <w:divBdr>
            <w:top w:val="none" w:sz="0" w:space="0" w:color="auto"/>
            <w:left w:val="none" w:sz="0" w:space="0" w:color="auto"/>
            <w:bottom w:val="none" w:sz="0" w:space="0" w:color="auto"/>
            <w:right w:val="none" w:sz="0" w:space="0" w:color="auto"/>
          </w:divBdr>
        </w:div>
        <w:div w:id="1615332284">
          <w:marLeft w:val="1166"/>
          <w:marRight w:val="0"/>
          <w:marTop w:val="96"/>
          <w:marBottom w:val="0"/>
          <w:divBdr>
            <w:top w:val="none" w:sz="0" w:space="0" w:color="auto"/>
            <w:left w:val="none" w:sz="0" w:space="0" w:color="auto"/>
            <w:bottom w:val="none" w:sz="0" w:space="0" w:color="auto"/>
            <w:right w:val="none" w:sz="0" w:space="0" w:color="auto"/>
          </w:divBdr>
        </w:div>
      </w:divsChild>
    </w:div>
    <w:div w:id="1024593974">
      <w:bodyDiv w:val="1"/>
      <w:marLeft w:val="0"/>
      <w:marRight w:val="0"/>
      <w:marTop w:val="0"/>
      <w:marBottom w:val="0"/>
      <w:divBdr>
        <w:top w:val="none" w:sz="0" w:space="0" w:color="auto"/>
        <w:left w:val="none" w:sz="0" w:space="0" w:color="auto"/>
        <w:bottom w:val="none" w:sz="0" w:space="0" w:color="auto"/>
        <w:right w:val="none" w:sz="0" w:space="0" w:color="auto"/>
      </w:divBdr>
      <w:divsChild>
        <w:div w:id="846864605">
          <w:marLeft w:val="547"/>
          <w:marRight w:val="0"/>
          <w:marTop w:val="115"/>
          <w:marBottom w:val="0"/>
          <w:divBdr>
            <w:top w:val="none" w:sz="0" w:space="0" w:color="auto"/>
            <w:left w:val="none" w:sz="0" w:space="0" w:color="auto"/>
            <w:bottom w:val="none" w:sz="0" w:space="0" w:color="auto"/>
            <w:right w:val="none" w:sz="0" w:space="0" w:color="auto"/>
          </w:divBdr>
        </w:div>
      </w:divsChild>
    </w:div>
    <w:div w:id="1035930271">
      <w:bodyDiv w:val="1"/>
      <w:marLeft w:val="0"/>
      <w:marRight w:val="0"/>
      <w:marTop w:val="0"/>
      <w:marBottom w:val="0"/>
      <w:divBdr>
        <w:top w:val="none" w:sz="0" w:space="0" w:color="auto"/>
        <w:left w:val="none" w:sz="0" w:space="0" w:color="auto"/>
        <w:bottom w:val="none" w:sz="0" w:space="0" w:color="auto"/>
        <w:right w:val="none" w:sz="0" w:space="0" w:color="auto"/>
      </w:divBdr>
    </w:div>
    <w:div w:id="1059783580">
      <w:bodyDiv w:val="1"/>
      <w:marLeft w:val="0"/>
      <w:marRight w:val="0"/>
      <w:marTop w:val="0"/>
      <w:marBottom w:val="0"/>
      <w:divBdr>
        <w:top w:val="none" w:sz="0" w:space="0" w:color="auto"/>
        <w:left w:val="none" w:sz="0" w:space="0" w:color="auto"/>
        <w:bottom w:val="none" w:sz="0" w:space="0" w:color="auto"/>
        <w:right w:val="none" w:sz="0" w:space="0" w:color="auto"/>
      </w:divBdr>
    </w:div>
    <w:div w:id="1095518001">
      <w:bodyDiv w:val="1"/>
      <w:marLeft w:val="0"/>
      <w:marRight w:val="0"/>
      <w:marTop w:val="0"/>
      <w:marBottom w:val="0"/>
      <w:divBdr>
        <w:top w:val="none" w:sz="0" w:space="0" w:color="auto"/>
        <w:left w:val="none" w:sz="0" w:space="0" w:color="auto"/>
        <w:bottom w:val="none" w:sz="0" w:space="0" w:color="auto"/>
        <w:right w:val="none" w:sz="0" w:space="0" w:color="auto"/>
      </w:divBdr>
      <w:divsChild>
        <w:div w:id="276183155">
          <w:marLeft w:val="547"/>
          <w:marRight w:val="0"/>
          <w:marTop w:val="96"/>
          <w:marBottom w:val="0"/>
          <w:divBdr>
            <w:top w:val="none" w:sz="0" w:space="0" w:color="auto"/>
            <w:left w:val="none" w:sz="0" w:space="0" w:color="auto"/>
            <w:bottom w:val="none" w:sz="0" w:space="0" w:color="auto"/>
            <w:right w:val="none" w:sz="0" w:space="0" w:color="auto"/>
          </w:divBdr>
        </w:div>
        <w:div w:id="693698796">
          <w:marLeft w:val="547"/>
          <w:marRight w:val="0"/>
          <w:marTop w:val="96"/>
          <w:marBottom w:val="0"/>
          <w:divBdr>
            <w:top w:val="none" w:sz="0" w:space="0" w:color="auto"/>
            <w:left w:val="none" w:sz="0" w:space="0" w:color="auto"/>
            <w:bottom w:val="none" w:sz="0" w:space="0" w:color="auto"/>
            <w:right w:val="none" w:sz="0" w:space="0" w:color="auto"/>
          </w:divBdr>
        </w:div>
        <w:div w:id="1455372278">
          <w:marLeft w:val="547"/>
          <w:marRight w:val="0"/>
          <w:marTop w:val="96"/>
          <w:marBottom w:val="0"/>
          <w:divBdr>
            <w:top w:val="none" w:sz="0" w:space="0" w:color="auto"/>
            <w:left w:val="none" w:sz="0" w:space="0" w:color="auto"/>
            <w:bottom w:val="none" w:sz="0" w:space="0" w:color="auto"/>
            <w:right w:val="none" w:sz="0" w:space="0" w:color="auto"/>
          </w:divBdr>
        </w:div>
        <w:div w:id="1576740852">
          <w:marLeft w:val="547"/>
          <w:marRight w:val="0"/>
          <w:marTop w:val="96"/>
          <w:marBottom w:val="0"/>
          <w:divBdr>
            <w:top w:val="none" w:sz="0" w:space="0" w:color="auto"/>
            <w:left w:val="none" w:sz="0" w:space="0" w:color="auto"/>
            <w:bottom w:val="none" w:sz="0" w:space="0" w:color="auto"/>
            <w:right w:val="none" w:sz="0" w:space="0" w:color="auto"/>
          </w:divBdr>
        </w:div>
      </w:divsChild>
    </w:div>
    <w:div w:id="1095638373">
      <w:bodyDiv w:val="1"/>
      <w:marLeft w:val="0"/>
      <w:marRight w:val="0"/>
      <w:marTop w:val="0"/>
      <w:marBottom w:val="0"/>
      <w:divBdr>
        <w:top w:val="none" w:sz="0" w:space="0" w:color="auto"/>
        <w:left w:val="none" w:sz="0" w:space="0" w:color="auto"/>
        <w:bottom w:val="none" w:sz="0" w:space="0" w:color="auto"/>
        <w:right w:val="none" w:sz="0" w:space="0" w:color="auto"/>
      </w:divBdr>
    </w:div>
    <w:div w:id="1106851128">
      <w:bodyDiv w:val="1"/>
      <w:marLeft w:val="0"/>
      <w:marRight w:val="0"/>
      <w:marTop w:val="0"/>
      <w:marBottom w:val="0"/>
      <w:divBdr>
        <w:top w:val="none" w:sz="0" w:space="0" w:color="auto"/>
        <w:left w:val="none" w:sz="0" w:space="0" w:color="auto"/>
        <w:bottom w:val="none" w:sz="0" w:space="0" w:color="auto"/>
        <w:right w:val="none" w:sz="0" w:space="0" w:color="auto"/>
      </w:divBdr>
    </w:div>
    <w:div w:id="1115908659">
      <w:bodyDiv w:val="1"/>
      <w:marLeft w:val="0"/>
      <w:marRight w:val="0"/>
      <w:marTop w:val="0"/>
      <w:marBottom w:val="0"/>
      <w:divBdr>
        <w:top w:val="none" w:sz="0" w:space="0" w:color="auto"/>
        <w:left w:val="none" w:sz="0" w:space="0" w:color="auto"/>
        <w:bottom w:val="none" w:sz="0" w:space="0" w:color="auto"/>
        <w:right w:val="none" w:sz="0" w:space="0" w:color="auto"/>
      </w:divBdr>
    </w:div>
    <w:div w:id="1118379218">
      <w:bodyDiv w:val="1"/>
      <w:marLeft w:val="0"/>
      <w:marRight w:val="0"/>
      <w:marTop w:val="0"/>
      <w:marBottom w:val="0"/>
      <w:divBdr>
        <w:top w:val="none" w:sz="0" w:space="0" w:color="auto"/>
        <w:left w:val="none" w:sz="0" w:space="0" w:color="auto"/>
        <w:bottom w:val="none" w:sz="0" w:space="0" w:color="auto"/>
        <w:right w:val="none" w:sz="0" w:space="0" w:color="auto"/>
      </w:divBdr>
    </w:div>
    <w:div w:id="1133210706">
      <w:bodyDiv w:val="1"/>
      <w:marLeft w:val="0"/>
      <w:marRight w:val="0"/>
      <w:marTop w:val="0"/>
      <w:marBottom w:val="0"/>
      <w:divBdr>
        <w:top w:val="none" w:sz="0" w:space="0" w:color="auto"/>
        <w:left w:val="none" w:sz="0" w:space="0" w:color="auto"/>
        <w:bottom w:val="none" w:sz="0" w:space="0" w:color="auto"/>
        <w:right w:val="none" w:sz="0" w:space="0" w:color="auto"/>
      </w:divBdr>
    </w:div>
    <w:div w:id="1142306317">
      <w:bodyDiv w:val="1"/>
      <w:marLeft w:val="0"/>
      <w:marRight w:val="0"/>
      <w:marTop w:val="0"/>
      <w:marBottom w:val="0"/>
      <w:divBdr>
        <w:top w:val="none" w:sz="0" w:space="0" w:color="auto"/>
        <w:left w:val="none" w:sz="0" w:space="0" w:color="auto"/>
        <w:bottom w:val="none" w:sz="0" w:space="0" w:color="auto"/>
        <w:right w:val="none" w:sz="0" w:space="0" w:color="auto"/>
      </w:divBdr>
    </w:div>
    <w:div w:id="1144851746">
      <w:bodyDiv w:val="1"/>
      <w:marLeft w:val="0"/>
      <w:marRight w:val="0"/>
      <w:marTop w:val="0"/>
      <w:marBottom w:val="0"/>
      <w:divBdr>
        <w:top w:val="none" w:sz="0" w:space="0" w:color="auto"/>
        <w:left w:val="none" w:sz="0" w:space="0" w:color="auto"/>
        <w:bottom w:val="none" w:sz="0" w:space="0" w:color="auto"/>
        <w:right w:val="none" w:sz="0" w:space="0" w:color="auto"/>
      </w:divBdr>
    </w:div>
    <w:div w:id="1174491586">
      <w:bodyDiv w:val="1"/>
      <w:marLeft w:val="0"/>
      <w:marRight w:val="0"/>
      <w:marTop w:val="0"/>
      <w:marBottom w:val="0"/>
      <w:divBdr>
        <w:top w:val="none" w:sz="0" w:space="0" w:color="auto"/>
        <w:left w:val="none" w:sz="0" w:space="0" w:color="auto"/>
        <w:bottom w:val="none" w:sz="0" w:space="0" w:color="auto"/>
        <w:right w:val="none" w:sz="0" w:space="0" w:color="auto"/>
      </w:divBdr>
    </w:div>
    <w:div w:id="1180051088">
      <w:bodyDiv w:val="1"/>
      <w:marLeft w:val="0"/>
      <w:marRight w:val="0"/>
      <w:marTop w:val="0"/>
      <w:marBottom w:val="0"/>
      <w:divBdr>
        <w:top w:val="none" w:sz="0" w:space="0" w:color="auto"/>
        <w:left w:val="none" w:sz="0" w:space="0" w:color="auto"/>
        <w:bottom w:val="none" w:sz="0" w:space="0" w:color="auto"/>
        <w:right w:val="none" w:sz="0" w:space="0" w:color="auto"/>
      </w:divBdr>
      <w:divsChild>
        <w:div w:id="113251481">
          <w:marLeft w:val="1416"/>
          <w:marRight w:val="0"/>
          <w:marTop w:val="0"/>
          <w:marBottom w:val="0"/>
          <w:divBdr>
            <w:top w:val="none" w:sz="0" w:space="0" w:color="auto"/>
            <w:left w:val="none" w:sz="0" w:space="0" w:color="auto"/>
            <w:bottom w:val="none" w:sz="0" w:space="0" w:color="auto"/>
            <w:right w:val="none" w:sz="0" w:space="0" w:color="auto"/>
          </w:divBdr>
        </w:div>
      </w:divsChild>
    </w:div>
    <w:div w:id="1186360312">
      <w:bodyDiv w:val="1"/>
      <w:marLeft w:val="0"/>
      <w:marRight w:val="0"/>
      <w:marTop w:val="0"/>
      <w:marBottom w:val="0"/>
      <w:divBdr>
        <w:top w:val="none" w:sz="0" w:space="0" w:color="auto"/>
        <w:left w:val="none" w:sz="0" w:space="0" w:color="auto"/>
        <w:bottom w:val="none" w:sz="0" w:space="0" w:color="auto"/>
        <w:right w:val="none" w:sz="0" w:space="0" w:color="auto"/>
      </w:divBdr>
    </w:div>
    <w:div w:id="1210804885">
      <w:bodyDiv w:val="1"/>
      <w:marLeft w:val="0"/>
      <w:marRight w:val="0"/>
      <w:marTop w:val="0"/>
      <w:marBottom w:val="0"/>
      <w:divBdr>
        <w:top w:val="none" w:sz="0" w:space="0" w:color="auto"/>
        <w:left w:val="none" w:sz="0" w:space="0" w:color="auto"/>
        <w:bottom w:val="none" w:sz="0" w:space="0" w:color="auto"/>
        <w:right w:val="none" w:sz="0" w:space="0" w:color="auto"/>
      </w:divBdr>
    </w:div>
    <w:div w:id="1219823094">
      <w:bodyDiv w:val="1"/>
      <w:marLeft w:val="0"/>
      <w:marRight w:val="0"/>
      <w:marTop w:val="0"/>
      <w:marBottom w:val="0"/>
      <w:divBdr>
        <w:top w:val="none" w:sz="0" w:space="0" w:color="auto"/>
        <w:left w:val="none" w:sz="0" w:space="0" w:color="auto"/>
        <w:bottom w:val="none" w:sz="0" w:space="0" w:color="auto"/>
        <w:right w:val="none" w:sz="0" w:space="0" w:color="auto"/>
      </w:divBdr>
      <w:divsChild>
        <w:div w:id="1340111599">
          <w:marLeft w:val="0"/>
          <w:marRight w:val="0"/>
          <w:marTop w:val="0"/>
          <w:marBottom w:val="0"/>
          <w:divBdr>
            <w:top w:val="none" w:sz="0" w:space="0" w:color="auto"/>
            <w:left w:val="none" w:sz="0" w:space="0" w:color="auto"/>
            <w:bottom w:val="none" w:sz="0" w:space="0" w:color="auto"/>
            <w:right w:val="none" w:sz="0" w:space="0" w:color="auto"/>
          </w:divBdr>
        </w:div>
      </w:divsChild>
    </w:div>
    <w:div w:id="1226264114">
      <w:bodyDiv w:val="1"/>
      <w:marLeft w:val="0"/>
      <w:marRight w:val="0"/>
      <w:marTop w:val="0"/>
      <w:marBottom w:val="0"/>
      <w:divBdr>
        <w:top w:val="none" w:sz="0" w:space="0" w:color="auto"/>
        <w:left w:val="none" w:sz="0" w:space="0" w:color="auto"/>
        <w:bottom w:val="none" w:sz="0" w:space="0" w:color="auto"/>
        <w:right w:val="none" w:sz="0" w:space="0" w:color="auto"/>
      </w:divBdr>
    </w:div>
    <w:div w:id="1226338830">
      <w:bodyDiv w:val="1"/>
      <w:marLeft w:val="0"/>
      <w:marRight w:val="0"/>
      <w:marTop w:val="0"/>
      <w:marBottom w:val="0"/>
      <w:divBdr>
        <w:top w:val="none" w:sz="0" w:space="0" w:color="auto"/>
        <w:left w:val="none" w:sz="0" w:space="0" w:color="auto"/>
        <w:bottom w:val="none" w:sz="0" w:space="0" w:color="auto"/>
        <w:right w:val="none" w:sz="0" w:space="0" w:color="auto"/>
      </w:divBdr>
    </w:div>
    <w:div w:id="1227959918">
      <w:bodyDiv w:val="1"/>
      <w:marLeft w:val="0"/>
      <w:marRight w:val="0"/>
      <w:marTop w:val="0"/>
      <w:marBottom w:val="0"/>
      <w:divBdr>
        <w:top w:val="none" w:sz="0" w:space="0" w:color="auto"/>
        <w:left w:val="none" w:sz="0" w:space="0" w:color="auto"/>
        <w:bottom w:val="none" w:sz="0" w:space="0" w:color="auto"/>
        <w:right w:val="none" w:sz="0" w:space="0" w:color="auto"/>
      </w:divBdr>
    </w:div>
    <w:div w:id="1239289134">
      <w:bodyDiv w:val="1"/>
      <w:marLeft w:val="0"/>
      <w:marRight w:val="0"/>
      <w:marTop w:val="0"/>
      <w:marBottom w:val="0"/>
      <w:divBdr>
        <w:top w:val="none" w:sz="0" w:space="0" w:color="auto"/>
        <w:left w:val="none" w:sz="0" w:space="0" w:color="auto"/>
        <w:bottom w:val="none" w:sz="0" w:space="0" w:color="auto"/>
        <w:right w:val="none" w:sz="0" w:space="0" w:color="auto"/>
      </w:divBdr>
    </w:div>
    <w:div w:id="1247418574">
      <w:bodyDiv w:val="1"/>
      <w:marLeft w:val="0"/>
      <w:marRight w:val="0"/>
      <w:marTop w:val="0"/>
      <w:marBottom w:val="0"/>
      <w:divBdr>
        <w:top w:val="none" w:sz="0" w:space="0" w:color="auto"/>
        <w:left w:val="none" w:sz="0" w:space="0" w:color="auto"/>
        <w:bottom w:val="none" w:sz="0" w:space="0" w:color="auto"/>
        <w:right w:val="none" w:sz="0" w:space="0" w:color="auto"/>
      </w:divBdr>
      <w:divsChild>
        <w:div w:id="286620320">
          <w:marLeft w:val="547"/>
          <w:marRight w:val="0"/>
          <w:marTop w:val="96"/>
          <w:marBottom w:val="0"/>
          <w:divBdr>
            <w:top w:val="none" w:sz="0" w:space="0" w:color="auto"/>
            <w:left w:val="none" w:sz="0" w:space="0" w:color="auto"/>
            <w:bottom w:val="none" w:sz="0" w:space="0" w:color="auto"/>
            <w:right w:val="none" w:sz="0" w:space="0" w:color="auto"/>
          </w:divBdr>
        </w:div>
        <w:div w:id="1918132565">
          <w:marLeft w:val="547"/>
          <w:marRight w:val="0"/>
          <w:marTop w:val="96"/>
          <w:marBottom w:val="0"/>
          <w:divBdr>
            <w:top w:val="none" w:sz="0" w:space="0" w:color="auto"/>
            <w:left w:val="none" w:sz="0" w:space="0" w:color="auto"/>
            <w:bottom w:val="none" w:sz="0" w:space="0" w:color="auto"/>
            <w:right w:val="none" w:sz="0" w:space="0" w:color="auto"/>
          </w:divBdr>
        </w:div>
        <w:div w:id="133912061">
          <w:marLeft w:val="547"/>
          <w:marRight w:val="0"/>
          <w:marTop w:val="96"/>
          <w:marBottom w:val="0"/>
          <w:divBdr>
            <w:top w:val="none" w:sz="0" w:space="0" w:color="auto"/>
            <w:left w:val="none" w:sz="0" w:space="0" w:color="auto"/>
            <w:bottom w:val="none" w:sz="0" w:space="0" w:color="auto"/>
            <w:right w:val="none" w:sz="0" w:space="0" w:color="auto"/>
          </w:divBdr>
        </w:div>
        <w:div w:id="1777292469">
          <w:marLeft w:val="547"/>
          <w:marRight w:val="0"/>
          <w:marTop w:val="96"/>
          <w:marBottom w:val="0"/>
          <w:divBdr>
            <w:top w:val="none" w:sz="0" w:space="0" w:color="auto"/>
            <w:left w:val="none" w:sz="0" w:space="0" w:color="auto"/>
            <w:bottom w:val="none" w:sz="0" w:space="0" w:color="auto"/>
            <w:right w:val="none" w:sz="0" w:space="0" w:color="auto"/>
          </w:divBdr>
        </w:div>
      </w:divsChild>
    </w:div>
    <w:div w:id="1274089572">
      <w:bodyDiv w:val="1"/>
      <w:marLeft w:val="0"/>
      <w:marRight w:val="0"/>
      <w:marTop w:val="0"/>
      <w:marBottom w:val="0"/>
      <w:divBdr>
        <w:top w:val="none" w:sz="0" w:space="0" w:color="auto"/>
        <w:left w:val="none" w:sz="0" w:space="0" w:color="auto"/>
        <w:bottom w:val="none" w:sz="0" w:space="0" w:color="auto"/>
        <w:right w:val="none" w:sz="0" w:space="0" w:color="auto"/>
      </w:divBdr>
    </w:div>
    <w:div w:id="1303659784">
      <w:bodyDiv w:val="1"/>
      <w:marLeft w:val="0"/>
      <w:marRight w:val="0"/>
      <w:marTop w:val="0"/>
      <w:marBottom w:val="0"/>
      <w:divBdr>
        <w:top w:val="none" w:sz="0" w:space="0" w:color="auto"/>
        <w:left w:val="none" w:sz="0" w:space="0" w:color="auto"/>
        <w:bottom w:val="none" w:sz="0" w:space="0" w:color="auto"/>
        <w:right w:val="none" w:sz="0" w:space="0" w:color="auto"/>
      </w:divBdr>
    </w:div>
    <w:div w:id="1304238782">
      <w:bodyDiv w:val="1"/>
      <w:marLeft w:val="0"/>
      <w:marRight w:val="0"/>
      <w:marTop w:val="0"/>
      <w:marBottom w:val="0"/>
      <w:divBdr>
        <w:top w:val="none" w:sz="0" w:space="0" w:color="auto"/>
        <w:left w:val="none" w:sz="0" w:space="0" w:color="auto"/>
        <w:bottom w:val="none" w:sz="0" w:space="0" w:color="auto"/>
        <w:right w:val="none" w:sz="0" w:space="0" w:color="auto"/>
      </w:divBdr>
    </w:div>
    <w:div w:id="1310330308">
      <w:bodyDiv w:val="1"/>
      <w:marLeft w:val="0"/>
      <w:marRight w:val="0"/>
      <w:marTop w:val="0"/>
      <w:marBottom w:val="0"/>
      <w:divBdr>
        <w:top w:val="none" w:sz="0" w:space="0" w:color="auto"/>
        <w:left w:val="none" w:sz="0" w:space="0" w:color="auto"/>
        <w:bottom w:val="none" w:sz="0" w:space="0" w:color="auto"/>
        <w:right w:val="none" w:sz="0" w:space="0" w:color="auto"/>
      </w:divBdr>
    </w:div>
    <w:div w:id="1328821823">
      <w:bodyDiv w:val="1"/>
      <w:marLeft w:val="0"/>
      <w:marRight w:val="0"/>
      <w:marTop w:val="0"/>
      <w:marBottom w:val="0"/>
      <w:divBdr>
        <w:top w:val="none" w:sz="0" w:space="0" w:color="auto"/>
        <w:left w:val="none" w:sz="0" w:space="0" w:color="auto"/>
        <w:bottom w:val="none" w:sz="0" w:space="0" w:color="auto"/>
        <w:right w:val="none" w:sz="0" w:space="0" w:color="auto"/>
      </w:divBdr>
    </w:div>
    <w:div w:id="1332949095">
      <w:bodyDiv w:val="1"/>
      <w:marLeft w:val="0"/>
      <w:marRight w:val="0"/>
      <w:marTop w:val="0"/>
      <w:marBottom w:val="0"/>
      <w:divBdr>
        <w:top w:val="none" w:sz="0" w:space="0" w:color="auto"/>
        <w:left w:val="none" w:sz="0" w:space="0" w:color="auto"/>
        <w:bottom w:val="none" w:sz="0" w:space="0" w:color="auto"/>
        <w:right w:val="none" w:sz="0" w:space="0" w:color="auto"/>
      </w:divBdr>
    </w:div>
    <w:div w:id="1346707546">
      <w:bodyDiv w:val="1"/>
      <w:marLeft w:val="0"/>
      <w:marRight w:val="0"/>
      <w:marTop w:val="0"/>
      <w:marBottom w:val="0"/>
      <w:divBdr>
        <w:top w:val="none" w:sz="0" w:space="0" w:color="auto"/>
        <w:left w:val="none" w:sz="0" w:space="0" w:color="auto"/>
        <w:bottom w:val="none" w:sz="0" w:space="0" w:color="auto"/>
        <w:right w:val="none" w:sz="0" w:space="0" w:color="auto"/>
      </w:divBdr>
    </w:div>
    <w:div w:id="1357584015">
      <w:bodyDiv w:val="1"/>
      <w:marLeft w:val="0"/>
      <w:marRight w:val="0"/>
      <w:marTop w:val="0"/>
      <w:marBottom w:val="0"/>
      <w:divBdr>
        <w:top w:val="none" w:sz="0" w:space="0" w:color="auto"/>
        <w:left w:val="none" w:sz="0" w:space="0" w:color="auto"/>
        <w:bottom w:val="none" w:sz="0" w:space="0" w:color="auto"/>
        <w:right w:val="none" w:sz="0" w:space="0" w:color="auto"/>
      </w:divBdr>
    </w:div>
    <w:div w:id="1367099721">
      <w:bodyDiv w:val="1"/>
      <w:marLeft w:val="0"/>
      <w:marRight w:val="0"/>
      <w:marTop w:val="0"/>
      <w:marBottom w:val="0"/>
      <w:divBdr>
        <w:top w:val="none" w:sz="0" w:space="0" w:color="auto"/>
        <w:left w:val="none" w:sz="0" w:space="0" w:color="auto"/>
        <w:bottom w:val="none" w:sz="0" w:space="0" w:color="auto"/>
        <w:right w:val="none" w:sz="0" w:space="0" w:color="auto"/>
      </w:divBdr>
    </w:div>
    <w:div w:id="1388138955">
      <w:bodyDiv w:val="1"/>
      <w:marLeft w:val="0"/>
      <w:marRight w:val="0"/>
      <w:marTop w:val="0"/>
      <w:marBottom w:val="0"/>
      <w:divBdr>
        <w:top w:val="none" w:sz="0" w:space="0" w:color="auto"/>
        <w:left w:val="none" w:sz="0" w:space="0" w:color="auto"/>
        <w:bottom w:val="none" w:sz="0" w:space="0" w:color="auto"/>
        <w:right w:val="none" w:sz="0" w:space="0" w:color="auto"/>
      </w:divBdr>
    </w:div>
    <w:div w:id="1406024664">
      <w:bodyDiv w:val="1"/>
      <w:marLeft w:val="0"/>
      <w:marRight w:val="0"/>
      <w:marTop w:val="0"/>
      <w:marBottom w:val="0"/>
      <w:divBdr>
        <w:top w:val="none" w:sz="0" w:space="0" w:color="auto"/>
        <w:left w:val="none" w:sz="0" w:space="0" w:color="auto"/>
        <w:bottom w:val="none" w:sz="0" w:space="0" w:color="auto"/>
        <w:right w:val="none" w:sz="0" w:space="0" w:color="auto"/>
      </w:divBdr>
    </w:div>
    <w:div w:id="1470443213">
      <w:bodyDiv w:val="1"/>
      <w:marLeft w:val="0"/>
      <w:marRight w:val="0"/>
      <w:marTop w:val="0"/>
      <w:marBottom w:val="0"/>
      <w:divBdr>
        <w:top w:val="none" w:sz="0" w:space="0" w:color="auto"/>
        <w:left w:val="none" w:sz="0" w:space="0" w:color="auto"/>
        <w:bottom w:val="none" w:sz="0" w:space="0" w:color="auto"/>
        <w:right w:val="none" w:sz="0" w:space="0" w:color="auto"/>
      </w:divBdr>
      <w:divsChild>
        <w:div w:id="1044335263">
          <w:marLeft w:val="547"/>
          <w:marRight w:val="0"/>
          <w:marTop w:val="115"/>
          <w:marBottom w:val="0"/>
          <w:divBdr>
            <w:top w:val="none" w:sz="0" w:space="0" w:color="auto"/>
            <w:left w:val="none" w:sz="0" w:space="0" w:color="auto"/>
            <w:bottom w:val="none" w:sz="0" w:space="0" w:color="auto"/>
            <w:right w:val="none" w:sz="0" w:space="0" w:color="auto"/>
          </w:divBdr>
        </w:div>
      </w:divsChild>
    </w:div>
    <w:div w:id="1477065807">
      <w:bodyDiv w:val="1"/>
      <w:marLeft w:val="0"/>
      <w:marRight w:val="0"/>
      <w:marTop w:val="0"/>
      <w:marBottom w:val="0"/>
      <w:divBdr>
        <w:top w:val="none" w:sz="0" w:space="0" w:color="auto"/>
        <w:left w:val="none" w:sz="0" w:space="0" w:color="auto"/>
        <w:bottom w:val="none" w:sz="0" w:space="0" w:color="auto"/>
        <w:right w:val="none" w:sz="0" w:space="0" w:color="auto"/>
      </w:divBdr>
    </w:div>
    <w:div w:id="1481270233">
      <w:bodyDiv w:val="1"/>
      <w:marLeft w:val="0"/>
      <w:marRight w:val="0"/>
      <w:marTop w:val="0"/>
      <w:marBottom w:val="0"/>
      <w:divBdr>
        <w:top w:val="none" w:sz="0" w:space="0" w:color="auto"/>
        <w:left w:val="none" w:sz="0" w:space="0" w:color="auto"/>
        <w:bottom w:val="none" w:sz="0" w:space="0" w:color="auto"/>
        <w:right w:val="none" w:sz="0" w:space="0" w:color="auto"/>
      </w:divBdr>
    </w:div>
    <w:div w:id="1483690980">
      <w:bodyDiv w:val="1"/>
      <w:marLeft w:val="0"/>
      <w:marRight w:val="0"/>
      <w:marTop w:val="0"/>
      <w:marBottom w:val="0"/>
      <w:divBdr>
        <w:top w:val="none" w:sz="0" w:space="0" w:color="auto"/>
        <w:left w:val="none" w:sz="0" w:space="0" w:color="auto"/>
        <w:bottom w:val="none" w:sz="0" w:space="0" w:color="auto"/>
        <w:right w:val="none" w:sz="0" w:space="0" w:color="auto"/>
      </w:divBdr>
      <w:divsChild>
        <w:div w:id="1180701117">
          <w:marLeft w:val="1166"/>
          <w:marRight w:val="0"/>
          <w:marTop w:val="96"/>
          <w:marBottom w:val="0"/>
          <w:divBdr>
            <w:top w:val="none" w:sz="0" w:space="0" w:color="auto"/>
            <w:left w:val="none" w:sz="0" w:space="0" w:color="auto"/>
            <w:bottom w:val="none" w:sz="0" w:space="0" w:color="auto"/>
            <w:right w:val="none" w:sz="0" w:space="0" w:color="auto"/>
          </w:divBdr>
        </w:div>
        <w:div w:id="1349138272">
          <w:marLeft w:val="1166"/>
          <w:marRight w:val="0"/>
          <w:marTop w:val="96"/>
          <w:marBottom w:val="0"/>
          <w:divBdr>
            <w:top w:val="none" w:sz="0" w:space="0" w:color="auto"/>
            <w:left w:val="none" w:sz="0" w:space="0" w:color="auto"/>
            <w:bottom w:val="none" w:sz="0" w:space="0" w:color="auto"/>
            <w:right w:val="none" w:sz="0" w:space="0" w:color="auto"/>
          </w:divBdr>
        </w:div>
        <w:div w:id="1472939537">
          <w:marLeft w:val="1166"/>
          <w:marRight w:val="0"/>
          <w:marTop w:val="96"/>
          <w:marBottom w:val="0"/>
          <w:divBdr>
            <w:top w:val="none" w:sz="0" w:space="0" w:color="auto"/>
            <w:left w:val="none" w:sz="0" w:space="0" w:color="auto"/>
            <w:bottom w:val="none" w:sz="0" w:space="0" w:color="auto"/>
            <w:right w:val="none" w:sz="0" w:space="0" w:color="auto"/>
          </w:divBdr>
        </w:div>
        <w:div w:id="1702315906">
          <w:marLeft w:val="1166"/>
          <w:marRight w:val="0"/>
          <w:marTop w:val="96"/>
          <w:marBottom w:val="0"/>
          <w:divBdr>
            <w:top w:val="none" w:sz="0" w:space="0" w:color="auto"/>
            <w:left w:val="none" w:sz="0" w:space="0" w:color="auto"/>
            <w:bottom w:val="none" w:sz="0" w:space="0" w:color="auto"/>
            <w:right w:val="none" w:sz="0" w:space="0" w:color="auto"/>
          </w:divBdr>
        </w:div>
      </w:divsChild>
    </w:div>
    <w:div w:id="1513110800">
      <w:bodyDiv w:val="1"/>
      <w:marLeft w:val="0"/>
      <w:marRight w:val="0"/>
      <w:marTop w:val="0"/>
      <w:marBottom w:val="0"/>
      <w:divBdr>
        <w:top w:val="none" w:sz="0" w:space="0" w:color="auto"/>
        <w:left w:val="none" w:sz="0" w:space="0" w:color="auto"/>
        <w:bottom w:val="none" w:sz="0" w:space="0" w:color="auto"/>
        <w:right w:val="none" w:sz="0" w:space="0" w:color="auto"/>
      </w:divBdr>
    </w:div>
    <w:div w:id="1527450004">
      <w:bodyDiv w:val="1"/>
      <w:marLeft w:val="0"/>
      <w:marRight w:val="0"/>
      <w:marTop w:val="0"/>
      <w:marBottom w:val="0"/>
      <w:divBdr>
        <w:top w:val="none" w:sz="0" w:space="0" w:color="auto"/>
        <w:left w:val="none" w:sz="0" w:space="0" w:color="auto"/>
        <w:bottom w:val="none" w:sz="0" w:space="0" w:color="auto"/>
        <w:right w:val="none" w:sz="0" w:space="0" w:color="auto"/>
      </w:divBdr>
    </w:div>
    <w:div w:id="1548176044">
      <w:bodyDiv w:val="1"/>
      <w:marLeft w:val="0"/>
      <w:marRight w:val="0"/>
      <w:marTop w:val="0"/>
      <w:marBottom w:val="0"/>
      <w:divBdr>
        <w:top w:val="none" w:sz="0" w:space="0" w:color="auto"/>
        <w:left w:val="none" w:sz="0" w:space="0" w:color="auto"/>
        <w:bottom w:val="none" w:sz="0" w:space="0" w:color="auto"/>
        <w:right w:val="none" w:sz="0" w:space="0" w:color="auto"/>
      </w:divBdr>
    </w:div>
    <w:div w:id="1548687057">
      <w:bodyDiv w:val="1"/>
      <w:marLeft w:val="0"/>
      <w:marRight w:val="0"/>
      <w:marTop w:val="0"/>
      <w:marBottom w:val="0"/>
      <w:divBdr>
        <w:top w:val="none" w:sz="0" w:space="0" w:color="auto"/>
        <w:left w:val="none" w:sz="0" w:space="0" w:color="auto"/>
        <w:bottom w:val="none" w:sz="0" w:space="0" w:color="auto"/>
        <w:right w:val="none" w:sz="0" w:space="0" w:color="auto"/>
      </w:divBdr>
    </w:div>
    <w:div w:id="1551769824">
      <w:bodyDiv w:val="1"/>
      <w:marLeft w:val="0"/>
      <w:marRight w:val="0"/>
      <w:marTop w:val="0"/>
      <w:marBottom w:val="0"/>
      <w:divBdr>
        <w:top w:val="none" w:sz="0" w:space="0" w:color="auto"/>
        <w:left w:val="none" w:sz="0" w:space="0" w:color="auto"/>
        <w:bottom w:val="none" w:sz="0" w:space="0" w:color="auto"/>
        <w:right w:val="none" w:sz="0" w:space="0" w:color="auto"/>
      </w:divBdr>
      <w:divsChild>
        <w:div w:id="1399787649">
          <w:marLeft w:val="0"/>
          <w:marRight w:val="0"/>
          <w:marTop w:val="0"/>
          <w:marBottom w:val="0"/>
          <w:divBdr>
            <w:top w:val="none" w:sz="0" w:space="0" w:color="auto"/>
            <w:left w:val="none" w:sz="0" w:space="0" w:color="auto"/>
            <w:bottom w:val="none" w:sz="0" w:space="0" w:color="auto"/>
            <w:right w:val="none" w:sz="0" w:space="0" w:color="auto"/>
          </w:divBdr>
        </w:div>
        <w:div w:id="1033923113">
          <w:marLeft w:val="0"/>
          <w:marRight w:val="0"/>
          <w:marTop w:val="0"/>
          <w:marBottom w:val="0"/>
          <w:divBdr>
            <w:top w:val="none" w:sz="0" w:space="0" w:color="auto"/>
            <w:left w:val="none" w:sz="0" w:space="0" w:color="auto"/>
            <w:bottom w:val="none" w:sz="0" w:space="0" w:color="auto"/>
            <w:right w:val="none" w:sz="0" w:space="0" w:color="auto"/>
          </w:divBdr>
        </w:div>
      </w:divsChild>
    </w:div>
    <w:div w:id="1552571663">
      <w:bodyDiv w:val="1"/>
      <w:marLeft w:val="0"/>
      <w:marRight w:val="0"/>
      <w:marTop w:val="0"/>
      <w:marBottom w:val="0"/>
      <w:divBdr>
        <w:top w:val="none" w:sz="0" w:space="0" w:color="auto"/>
        <w:left w:val="none" w:sz="0" w:space="0" w:color="auto"/>
        <w:bottom w:val="none" w:sz="0" w:space="0" w:color="auto"/>
        <w:right w:val="none" w:sz="0" w:space="0" w:color="auto"/>
      </w:divBdr>
    </w:div>
    <w:div w:id="1555853325">
      <w:bodyDiv w:val="1"/>
      <w:marLeft w:val="0"/>
      <w:marRight w:val="0"/>
      <w:marTop w:val="0"/>
      <w:marBottom w:val="0"/>
      <w:divBdr>
        <w:top w:val="none" w:sz="0" w:space="0" w:color="auto"/>
        <w:left w:val="none" w:sz="0" w:space="0" w:color="auto"/>
        <w:bottom w:val="none" w:sz="0" w:space="0" w:color="auto"/>
        <w:right w:val="none" w:sz="0" w:space="0" w:color="auto"/>
      </w:divBdr>
    </w:div>
    <w:div w:id="1562205470">
      <w:bodyDiv w:val="1"/>
      <w:marLeft w:val="0"/>
      <w:marRight w:val="0"/>
      <w:marTop w:val="0"/>
      <w:marBottom w:val="0"/>
      <w:divBdr>
        <w:top w:val="none" w:sz="0" w:space="0" w:color="auto"/>
        <w:left w:val="none" w:sz="0" w:space="0" w:color="auto"/>
        <w:bottom w:val="none" w:sz="0" w:space="0" w:color="auto"/>
        <w:right w:val="none" w:sz="0" w:space="0" w:color="auto"/>
      </w:divBdr>
    </w:div>
    <w:div w:id="1630433766">
      <w:bodyDiv w:val="1"/>
      <w:marLeft w:val="0"/>
      <w:marRight w:val="0"/>
      <w:marTop w:val="0"/>
      <w:marBottom w:val="0"/>
      <w:divBdr>
        <w:top w:val="none" w:sz="0" w:space="0" w:color="auto"/>
        <w:left w:val="none" w:sz="0" w:space="0" w:color="auto"/>
        <w:bottom w:val="none" w:sz="0" w:space="0" w:color="auto"/>
        <w:right w:val="none" w:sz="0" w:space="0" w:color="auto"/>
      </w:divBdr>
      <w:divsChild>
        <w:div w:id="1749571135">
          <w:marLeft w:val="0"/>
          <w:marRight w:val="0"/>
          <w:marTop w:val="0"/>
          <w:marBottom w:val="0"/>
          <w:divBdr>
            <w:top w:val="none" w:sz="0" w:space="0" w:color="auto"/>
            <w:left w:val="none" w:sz="0" w:space="0" w:color="auto"/>
            <w:bottom w:val="none" w:sz="0" w:space="0" w:color="auto"/>
            <w:right w:val="none" w:sz="0" w:space="0" w:color="auto"/>
          </w:divBdr>
        </w:div>
      </w:divsChild>
    </w:div>
    <w:div w:id="1637032198">
      <w:bodyDiv w:val="1"/>
      <w:marLeft w:val="0"/>
      <w:marRight w:val="0"/>
      <w:marTop w:val="0"/>
      <w:marBottom w:val="0"/>
      <w:divBdr>
        <w:top w:val="none" w:sz="0" w:space="0" w:color="auto"/>
        <w:left w:val="none" w:sz="0" w:space="0" w:color="auto"/>
        <w:bottom w:val="none" w:sz="0" w:space="0" w:color="auto"/>
        <w:right w:val="none" w:sz="0" w:space="0" w:color="auto"/>
      </w:divBdr>
    </w:div>
    <w:div w:id="1657296655">
      <w:bodyDiv w:val="1"/>
      <w:marLeft w:val="0"/>
      <w:marRight w:val="0"/>
      <w:marTop w:val="0"/>
      <w:marBottom w:val="0"/>
      <w:divBdr>
        <w:top w:val="none" w:sz="0" w:space="0" w:color="auto"/>
        <w:left w:val="none" w:sz="0" w:space="0" w:color="auto"/>
        <w:bottom w:val="none" w:sz="0" w:space="0" w:color="auto"/>
        <w:right w:val="none" w:sz="0" w:space="0" w:color="auto"/>
      </w:divBdr>
    </w:div>
    <w:div w:id="1660960984">
      <w:bodyDiv w:val="1"/>
      <w:marLeft w:val="0"/>
      <w:marRight w:val="0"/>
      <w:marTop w:val="0"/>
      <w:marBottom w:val="0"/>
      <w:divBdr>
        <w:top w:val="none" w:sz="0" w:space="0" w:color="auto"/>
        <w:left w:val="none" w:sz="0" w:space="0" w:color="auto"/>
        <w:bottom w:val="none" w:sz="0" w:space="0" w:color="auto"/>
        <w:right w:val="none" w:sz="0" w:space="0" w:color="auto"/>
      </w:divBdr>
    </w:div>
    <w:div w:id="1670862285">
      <w:bodyDiv w:val="1"/>
      <w:marLeft w:val="0"/>
      <w:marRight w:val="0"/>
      <w:marTop w:val="0"/>
      <w:marBottom w:val="0"/>
      <w:divBdr>
        <w:top w:val="none" w:sz="0" w:space="0" w:color="auto"/>
        <w:left w:val="none" w:sz="0" w:space="0" w:color="auto"/>
        <w:bottom w:val="none" w:sz="0" w:space="0" w:color="auto"/>
        <w:right w:val="none" w:sz="0" w:space="0" w:color="auto"/>
      </w:divBdr>
    </w:div>
    <w:div w:id="1682006024">
      <w:bodyDiv w:val="1"/>
      <w:marLeft w:val="0"/>
      <w:marRight w:val="0"/>
      <w:marTop w:val="0"/>
      <w:marBottom w:val="0"/>
      <w:divBdr>
        <w:top w:val="none" w:sz="0" w:space="0" w:color="auto"/>
        <w:left w:val="none" w:sz="0" w:space="0" w:color="auto"/>
        <w:bottom w:val="none" w:sz="0" w:space="0" w:color="auto"/>
        <w:right w:val="none" w:sz="0" w:space="0" w:color="auto"/>
      </w:divBdr>
    </w:div>
    <w:div w:id="1719744886">
      <w:bodyDiv w:val="1"/>
      <w:marLeft w:val="0"/>
      <w:marRight w:val="0"/>
      <w:marTop w:val="0"/>
      <w:marBottom w:val="0"/>
      <w:divBdr>
        <w:top w:val="none" w:sz="0" w:space="0" w:color="auto"/>
        <w:left w:val="none" w:sz="0" w:space="0" w:color="auto"/>
        <w:bottom w:val="none" w:sz="0" w:space="0" w:color="auto"/>
        <w:right w:val="none" w:sz="0" w:space="0" w:color="auto"/>
      </w:divBdr>
      <w:divsChild>
        <w:div w:id="2107145261">
          <w:marLeft w:val="1440"/>
          <w:marRight w:val="0"/>
          <w:marTop w:val="0"/>
          <w:marBottom w:val="0"/>
          <w:divBdr>
            <w:top w:val="none" w:sz="0" w:space="0" w:color="auto"/>
            <w:left w:val="none" w:sz="0" w:space="0" w:color="auto"/>
            <w:bottom w:val="none" w:sz="0" w:space="0" w:color="auto"/>
            <w:right w:val="none" w:sz="0" w:space="0" w:color="auto"/>
          </w:divBdr>
        </w:div>
        <w:div w:id="66854129">
          <w:marLeft w:val="1440"/>
          <w:marRight w:val="0"/>
          <w:marTop w:val="0"/>
          <w:marBottom w:val="0"/>
          <w:divBdr>
            <w:top w:val="none" w:sz="0" w:space="0" w:color="auto"/>
            <w:left w:val="none" w:sz="0" w:space="0" w:color="auto"/>
            <w:bottom w:val="none" w:sz="0" w:space="0" w:color="auto"/>
            <w:right w:val="none" w:sz="0" w:space="0" w:color="auto"/>
          </w:divBdr>
        </w:div>
      </w:divsChild>
    </w:div>
    <w:div w:id="1722366939">
      <w:bodyDiv w:val="1"/>
      <w:marLeft w:val="0"/>
      <w:marRight w:val="0"/>
      <w:marTop w:val="0"/>
      <w:marBottom w:val="0"/>
      <w:divBdr>
        <w:top w:val="none" w:sz="0" w:space="0" w:color="auto"/>
        <w:left w:val="none" w:sz="0" w:space="0" w:color="auto"/>
        <w:bottom w:val="none" w:sz="0" w:space="0" w:color="auto"/>
        <w:right w:val="none" w:sz="0" w:space="0" w:color="auto"/>
      </w:divBdr>
    </w:div>
    <w:div w:id="1732658923">
      <w:bodyDiv w:val="1"/>
      <w:marLeft w:val="0"/>
      <w:marRight w:val="0"/>
      <w:marTop w:val="0"/>
      <w:marBottom w:val="0"/>
      <w:divBdr>
        <w:top w:val="none" w:sz="0" w:space="0" w:color="auto"/>
        <w:left w:val="none" w:sz="0" w:space="0" w:color="auto"/>
        <w:bottom w:val="none" w:sz="0" w:space="0" w:color="auto"/>
        <w:right w:val="none" w:sz="0" w:space="0" w:color="auto"/>
      </w:divBdr>
      <w:divsChild>
        <w:div w:id="154536064">
          <w:marLeft w:val="547"/>
          <w:marRight w:val="0"/>
          <w:marTop w:val="96"/>
          <w:marBottom w:val="0"/>
          <w:divBdr>
            <w:top w:val="none" w:sz="0" w:space="0" w:color="auto"/>
            <w:left w:val="none" w:sz="0" w:space="0" w:color="auto"/>
            <w:bottom w:val="none" w:sz="0" w:space="0" w:color="auto"/>
            <w:right w:val="none" w:sz="0" w:space="0" w:color="auto"/>
          </w:divBdr>
        </w:div>
        <w:div w:id="1736970824">
          <w:marLeft w:val="547"/>
          <w:marRight w:val="0"/>
          <w:marTop w:val="96"/>
          <w:marBottom w:val="0"/>
          <w:divBdr>
            <w:top w:val="none" w:sz="0" w:space="0" w:color="auto"/>
            <w:left w:val="none" w:sz="0" w:space="0" w:color="auto"/>
            <w:bottom w:val="none" w:sz="0" w:space="0" w:color="auto"/>
            <w:right w:val="none" w:sz="0" w:space="0" w:color="auto"/>
          </w:divBdr>
        </w:div>
      </w:divsChild>
    </w:div>
    <w:div w:id="1753621915">
      <w:bodyDiv w:val="1"/>
      <w:marLeft w:val="0"/>
      <w:marRight w:val="0"/>
      <w:marTop w:val="0"/>
      <w:marBottom w:val="0"/>
      <w:divBdr>
        <w:top w:val="none" w:sz="0" w:space="0" w:color="auto"/>
        <w:left w:val="none" w:sz="0" w:space="0" w:color="auto"/>
        <w:bottom w:val="none" w:sz="0" w:space="0" w:color="auto"/>
        <w:right w:val="none" w:sz="0" w:space="0" w:color="auto"/>
      </w:divBdr>
    </w:div>
    <w:div w:id="1761292809">
      <w:bodyDiv w:val="1"/>
      <w:marLeft w:val="0"/>
      <w:marRight w:val="0"/>
      <w:marTop w:val="0"/>
      <w:marBottom w:val="0"/>
      <w:divBdr>
        <w:top w:val="none" w:sz="0" w:space="0" w:color="auto"/>
        <w:left w:val="none" w:sz="0" w:space="0" w:color="auto"/>
        <w:bottom w:val="none" w:sz="0" w:space="0" w:color="auto"/>
        <w:right w:val="none" w:sz="0" w:space="0" w:color="auto"/>
      </w:divBdr>
      <w:divsChild>
        <w:div w:id="1541360744">
          <w:marLeft w:val="1656"/>
          <w:marRight w:val="0"/>
          <w:marTop w:val="0"/>
          <w:marBottom w:val="0"/>
          <w:divBdr>
            <w:top w:val="none" w:sz="0" w:space="0" w:color="auto"/>
            <w:left w:val="none" w:sz="0" w:space="0" w:color="auto"/>
            <w:bottom w:val="none" w:sz="0" w:space="0" w:color="auto"/>
            <w:right w:val="none" w:sz="0" w:space="0" w:color="auto"/>
          </w:divBdr>
        </w:div>
        <w:div w:id="1818302278">
          <w:marLeft w:val="1656"/>
          <w:marRight w:val="0"/>
          <w:marTop w:val="0"/>
          <w:marBottom w:val="0"/>
          <w:divBdr>
            <w:top w:val="none" w:sz="0" w:space="0" w:color="auto"/>
            <w:left w:val="none" w:sz="0" w:space="0" w:color="auto"/>
            <w:bottom w:val="none" w:sz="0" w:space="0" w:color="auto"/>
            <w:right w:val="none" w:sz="0" w:space="0" w:color="auto"/>
          </w:divBdr>
        </w:div>
        <w:div w:id="388039529">
          <w:marLeft w:val="1656"/>
          <w:marRight w:val="0"/>
          <w:marTop w:val="0"/>
          <w:marBottom w:val="0"/>
          <w:divBdr>
            <w:top w:val="none" w:sz="0" w:space="0" w:color="auto"/>
            <w:left w:val="none" w:sz="0" w:space="0" w:color="auto"/>
            <w:bottom w:val="none" w:sz="0" w:space="0" w:color="auto"/>
            <w:right w:val="none" w:sz="0" w:space="0" w:color="auto"/>
          </w:divBdr>
        </w:div>
      </w:divsChild>
    </w:div>
    <w:div w:id="1761565936">
      <w:bodyDiv w:val="1"/>
      <w:marLeft w:val="0"/>
      <w:marRight w:val="0"/>
      <w:marTop w:val="0"/>
      <w:marBottom w:val="0"/>
      <w:divBdr>
        <w:top w:val="none" w:sz="0" w:space="0" w:color="auto"/>
        <w:left w:val="none" w:sz="0" w:space="0" w:color="auto"/>
        <w:bottom w:val="none" w:sz="0" w:space="0" w:color="auto"/>
        <w:right w:val="none" w:sz="0" w:space="0" w:color="auto"/>
      </w:divBdr>
    </w:div>
    <w:div w:id="1789859984">
      <w:bodyDiv w:val="1"/>
      <w:marLeft w:val="0"/>
      <w:marRight w:val="0"/>
      <w:marTop w:val="0"/>
      <w:marBottom w:val="0"/>
      <w:divBdr>
        <w:top w:val="none" w:sz="0" w:space="0" w:color="auto"/>
        <w:left w:val="none" w:sz="0" w:space="0" w:color="auto"/>
        <w:bottom w:val="none" w:sz="0" w:space="0" w:color="auto"/>
        <w:right w:val="none" w:sz="0" w:space="0" w:color="auto"/>
      </w:divBdr>
      <w:divsChild>
        <w:div w:id="473645367">
          <w:marLeft w:val="446"/>
          <w:marRight w:val="0"/>
          <w:marTop w:val="240"/>
          <w:marBottom w:val="120"/>
          <w:divBdr>
            <w:top w:val="none" w:sz="0" w:space="0" w:color="auto"/>
            <w:left w:val="none" w:sz="0" w:space="0" w:color="auto"/>
            <w:bottom w:val="none" w:sz="0" w:space="0" w:color="auto"/>
            <w:right w:val="none" w:sz="0" w:space="0" w:color="auto"/>
          </w:divBdr>
        </w:div>
      </w:divsChild>
    </w:div>
    <w:div w:id="1794134812">
      <w:bodyDiv w:val="1"/>
      <w:marLeft w:val="0"/>
      <w:marRight w:val="0"/>
      <w:marTop w:val="0"/>
      <w:marBottom w:val="0"/>
      <w:divBdr>
        <w:top w:val="none" w:sz="0" w:space="0" w:color="auto"/>
        <w:left w:val="none" w:sz="0" w:space="0" w:color="auto"/>
        <w:bottom w:val="none" w:sz="0" w:space="0" w:color="auto"/>
        <w:right w:val="none" w:sz="0" w:space="0" w:color="auto"/>
      </w:divBdr>
    </w:div>
    <w:div w:id="1794789859">
      <w:bodyDiv w:val="1"/>
      <w:marLeft w:val="0"/>
      <w:marRight w:val="0"/>
      <w:marTop w:val="0"/>
      <w:marBottom w:val="0"/>
      <w:divBdr>
        <w:top w:val="none" w:sz="0" w:space="0" w:color="auto"/>
        <w:left w:val="none" w:sz="0" w:space="0" w:color="auto"/>
        <w:bottom w:val="none" w:sz="0" w:space="0" w:color="auto"/>
        <w:right w:val="none" w:sz="0" w:space="0" w:color="auto"/>
      </w:divBdr>
    </w:div>
    <w:div w:id="1816530019">
      <w:bodyDiv w:val="1"/>
      <w:marLeft w:val="0"/>
      <w:marRight w:val="0"/>
      <w:marTop w:val="0"/>
      <w:marBottom w:val="0"/>
      <w:divBdr>
        <w:top w:val="none" w:sz="0" w:space="0" w:color="auto"/>
        <w:left w:val="none" w:sz="0" w:space="0" w:color="auto"/>
        <w:bottom w:val="none" w:sz="0" w:space="0" w:color="auto"/>
        <w:right w:val="none" w:sz="0" w:space="0" w:color="auto"/>
      </w:divBdr>
    </w:div>
    <w:div w:id="1822309074">
      <w:bodyDiv w:val="1"/>
      <w:marLeft w:val="0"/>
      <w:marRight w:val="0"/>
      <w:marTop w:val="0"/>
      <w:marBottom w:val="0"/>
      <w:divBdr>
        <w:top w:val="none" w:sz="0" w:space="0" w:color="auto"/>
        <w:left w:val="none" w:sz="0" w:space="0" w:color="auto"/>
        <w:bottom w:val="none" w:sz="0" w:space="0" w:color="auto"/>
        <w:right w:val="none" w:sz="0" w:space="0" w:color="auto"/>
      </w:divBdr>
      <w:divsChild>
        <w:div w:id="16664978">
          <w:marLeft w:val="547"/>
          <w:marRight w:val="0"/>
          <w:marTop w:val="96"/>
          <w:marBottom w:val="0"/>
          <w:divBdr>
            <w:top w:val="none" w:sz="0" w:space="0" w:color="auto"/>
            <w:left w:val="none" w:sz="0" w:space="0" w:color="auto"/>
            <w:bottom w:val="none" w:sz="0" w:space="0" w:color="auto"/>
            <w:right w:val="none" w:sz="0" w:space="0" w:color="auto"/>
          </w:divBdr>
        </w:div>
        <w:div w:id="1632441140">
          <w:marLeft w:val="547"/>
          <w:marRight w:val="0"/>
          <w:marTop w:val="96"/>
          <w:marBottom w:val="0"/>
          <w:divBdr>
            <w:top w:val="none" w:sz="0" w:space="0" w:color="auto"/>
            <w:left w:val="none" w:sz="0" w:space="0" w:color="auto"/>
            <w:bottom w:val="none" w:sz="0" w:space="0" w:color="auto"/>
            <w:right w:val="none" w:sz="0" w:space="0" w:color="auto"/>
          </w:divBdr>
        </w:div>
        <w:div w:id="509760939">
          <w:marLeft w:val="547"/>
          <w:marRight w:val="0"/>
          <w:marTop w:val="96"/>
          <w:marBottom w:val="0"/>
          <w:divBdr>
            <w:top w:val="none" w:sz="0" w:space="0" w:color="auto"/>
            <w:left w:val="none" w:sz="0" w:space="0" w:color="auto"/>
            <w:bottom w:val="none" w:sz="0" w:space="0" w:color="auto"/>
            <w:right w:val="none" w:sz="0" w:space="0" w:color="auto"/>
          </w:divBdr>
        </w:div>
        <w:div w:id="748767840">
          <w:marLeft w:val="547"/>
          <w:marRight w:val="0"/>
          <w:marTop w:val="96"/>
          <w:marBottom w:val="0"/>
          <w:divBdr>
            <w:top w:val="none" w:sz="0" w:space="0" w:color="auto"/>
            <w:left w:val="none" w:sz="0" w:space="0" w:color="auto"/>
            <w:bottom w:val="none" w:sz="0" w:space="0" w:color="auto"/>
            <w:right w:val="none" w:sz="0" w:space="0" w:color="auto"/>
          </w:divBdr>
        </w:div>
      </w:divsChild>
    </w:div>
    <w:div w:id="1830290079">
      <w:bodyDiv w:val="1"/>
      <w:marLeft w:val="0"/>
      <w:marRight w:val="0"/>
      <w:marTop w:val="0"/>
      <w:marBottom w:val="0"/>
      <w:divBdr>
        <w:top w:val="none" w:sz="0" w:space="0" w:color="auto"/>
        <w:left w:val="none" w:sz="0" w:space="0" w:color="auto"/>
        <w:bottom w:val="none" w:sz="0" w:space="0" w:color="auto"/>
        <w:right w:val="none" w:sz="0" w:space="0" w:color="auto"/>
      </w:divBdr>
    </w:div>
    <w:div w:id="1845777377">
      <w:bodyDiv w:val="1"/>
      <w:marLeft w:val="0"/>
      <w:marRight w:val="0"/>
      <w:marTop w:val="0"/>
      <w:marBottom w:val="0"/>
      <w:divBdr>
        <w:top w:val="none" w:sz="0" w:space="0" w:color="auto"/>
        <w:left w:val="none" w:sz="0" w:space="0" w:color="auto"/>
        <w:bottom w:val="none" w:sz="0" w:space="0" w:color="auto"/>
        <w:right w:val="none" w:sz="0" w:space="0" w:color="auto"/>
      </w:divBdr>
    </w:div>
    <w:div w:id="1862695063">
      <w:bodyDiv w:val="1"/>
      <w:marLeft w:val="0"/>
      <w:marRight w:val="0"/>
      <w:marTop w:val="0"/>
      <w:marBottom w:val="0"/>
      <w:divBdr>
        <w:top w:val="none" w:sz="0" w:space="0" w:color="auto"/>
        <w:left w:val="none" w:sz="0" w:space="0" w:color="auto"/>
        <w:bottom w:val="none" w:sz="0" w:space="0" w:color="auto"/>
        <w:right w:val="none" w:sz="0" w:space="0" w:color="auto"/>
      </w:divBdr>
    </w:div>
    <w:div w:id="1872376265">
      <w:bodyDiv w:val="1"/>
      <w:marLeft w:val="0"/>
      <w:marRight w:val="0"/>
      <w:marTop w:val="0"/>
      <w:marBottom w:val="0"/>
      <w:divBdr>
        <w:top w:val="none" w:sz="0" w:space="0" w:color="auto"/>
        <w:left w:val="none" w:sz="0" w:space="0" w:color="auto"/>
        <w:bottom w:val="none" w:sz="0" w:space="0" w:color="auto"/>
        <w:right w:val="none" w:sz="0" w:space="0" w:color="auto"/>
      </w:divBdr>
    </w:div>
    <w:div w:id="1877157098">
      <w:bodyDiv w:val="1"/>
      <w:marLeft w:val="0"/>
      <w:marRight w:val="0"/>
      <w:marTop w:val="0"/>
      <w:marBottom w:val="0"/>
      <w:divBdr>
        <w:top w:val="none" w:sz="0" w:space="0" w:color="auto"/>
        <w:left w:val="none" w:sz="0" w:space="0" w:color="auto"/>
        <w:bottom w:val="none" w:sz="0" w:space="0" w:color="auto"/>
        <w:right w:val="none" w:sz="0" w:space="0" w:color="auto"/>
      </w:divBdr>
    </w:div>
    <w:div w:id="1885436973">
      <w:bodyDiv w:val="1"/>
      <w:marLeft w:val="0"/>
      <w:marRight w:val="0"/>
      <w:marTop w:val="0"/>
      <w:marBottom w:val="0"/>
      <w:divBdr>
        <w:top w:val="none" w:sz="0" w:space="0" w:color="auto"/>
        <w:left w:val="none" w:sz="0" w:space="0" w:color="auto"/>
        <w:bottom w:val="none" w:sz="0" w:space="0" w:color="auto"/>
        <w:right w:val="none" w:sz="0" w:space="0" w:color="auto"/>
      </w:divBdr>
    </w:div>
    <w:div w:id="1896578328">
      <w:bodyDiv w:val="1"/>
      <w:marLeft w:val="0"/>
      <w:marRight w:val="0"/>
      <w:marTop w:val="0"/>
      <w:marBottom w:val="0"/>
      <w:divBdr>
        <w:top w:val="none" w:sz="0" w:space="0" w:color="auto"/>
        <w:left w:val="none" w:sz="0" w:space="0" w:color="auto"/>
        <w:bottom w:val="none" w:sz="0" w:space="0" w:color="auto"/>
        <w:right w:val="none" w:sz="0" w:space="0" w:color="auto"/>
      </w:divBdr>
    </w:div>
    <w:div w:id="1903129351">
      <w:bodyDiv w:val="1"/>
      <w:marLeft w:val="0"/>
      <w:marRight w:val="0"/>
      <w:marTop w:val="0"/>
      <w:marBottom w:val="0"/>
      <w:divBdr>
        <w:top w:val="none" w:sz="0" w:space="0" w:color="auto"/>
        <w:left w:val="none" w:sz="0" w:space="0" w:color="auto"/>
        <w:bottom w:val="none" w:sz="0" w:space="0" w:color="auto"/>
        <w:right w:val="none" w:sz="0" w:space="0" w:color="auto"/>
      </w:divBdr>
    </w:div>
    <w:div w:id="1906067823">
      <w:bodyDiv w:val="1"/>
      <w:marLeft w:val="0"/>
      <w:marRight w:val="0"/>
      <w:marTop w:val="0"/>
      <w:marBottom w:val="0"/>
      <w:divBdr>
        <w:top w:val="none" w:sz="0" w:space="0" w:color="auto"/>
        <w:left w:val="none" w:sz="0" w:space="0" w:color="auto"/>
        <w:bottom w:val="none" w:sz="0" w:space="0" w:color="auto"/>
        <w:right w:val="none" w:sz="0" w:space="0" w:color="auto"/>
      </w:divBdr>
    </w:div>
    <w:div w:id="1964379250">
      <w:bodyDiv w:val="1"/>
      <w:marLeft w:val="0"/>
      <w:marRight w:val="0"/>
      <w:marTop w:val="0"/>
      <w:marBottom w:val="0"/>
      <w:divBdr>
        <w:top w:val="none" w:sz="0" w:space="0" w:color="auto"/>
        <w:left w:val="none" w:sz="0" w:space="0" w:color="auto"/>
        <w:bottom w:val="none" w:sz="0" w:space="0" w:color="auto"/>
        <w:right w:val="none" w:sz="0" w:space="0" w:color="auto"/>
      </w:divBdr>
      <w:divsChild>
        <w:div w:id="254169268">
          <w:marLeft w:val="547"/>
          <w:marRight w:val="0"/>
          <w:marTop w:val="96"/>
          <w:marBottom w:val="0"/>
          <w:divBdr>
            <w:top w:val="none" w:sz="0" w:space="0" w:color="auto"/>
            <w:left w:val="none" w:sz="0" w:space="0" w:color="auto"/>
            <w:bottom w:val="none" w:sz="0" w:space="0" w:color="auto"/>
            <w:right w:val="none" w:sz="0" w:space="0" w:color="auto"/>
          </w:divBdr>
        </w:div>
        <w:div w:id="748304898">
          <w:marLeft w:val="547"/>
          <w:marRight w:val="0"/>
          <w:marTop w:val="96"/>
          <w:marBottom w:val="0"/>
          <w:divBdr>
            <w:top w:val="none" w:sz="0" w:space="0" w:color="auto"/>
            <w:left w:val="none" w:sz="0" w:space="0" w:color="auto"/>
            <w:bottom w:val="none" w:sz="0" w:space="0" w:color="auto"/>
            <w:right w:val="none" w:sz="0" w:space="0" w:color="auto"/>
          </w:divBdr>
        </w:div>
      </w:divsChild>
    </w:div>
    <w:div w:id="1991857641">
      <w:bodyDiv w:val="1"/>
      <w:marLeft w:val="0"/>
      <w:marRight w:val="0"/>
      <w:marTop w:val="0"/>
      <w:marBottom w:val="0"/>
      <w:divBdr>
        <w:top w:val="none" w:sz="0" w:space="0" w:color="auto"/>
        <w:left w:val="none" w:sz="0" w:space="0" w:color="auto"/>
        <w:bottom w:val="none" w:sz="0" w:space="0" w:color="auto"/>
        <w:right w:val="none" w:sz="0" w:space="0" w:color="auto"/>
      </w:divBdr>
    </w:div>
    <w:div w:id="2001154934">
      <w:bodyDiv w:val="1"/>
      <w:marLeft w:val="0"/>
      <w:marRight w:val="0"/>
      <w:marTop w:val="0"/>
      <w:marBottom w:val="0"/>
      <w:divBdr>
        <w:top w:val="none" w:sz="0" w:space="0" w:color="auto"/>
        <w:left w:val="none" w:sz="0" w:space="0" w:color="auto"/>
        <w:bottom w:val="none" w:sz="0" w:space="0" w:color="auto"/>
        <w:right w:val="none" w:sz="0" w:space="0" w:color="auto"/>
      </w:divBdr>
    </w:div>
    <w:div w:id="2002848716">
      <w:bodyDiv w:val="1"/>
      <w:marLeft w:val="0"/>
      <w:marRight w:val="0"/>
      <w:marTop w:val="0"/>
      <w:marBottom w:val="0"/>
      <w:divBdr>
        <w:top w:val="none" w:sz="0" w:space="0" w:color="auto"/>
        <w:left w:val="none" w:sz="0" w:space="0" w:color="auto"/>
        <w:bottom w:val="none" w:sz="0" w:space="0" w:color="auto"/>
        <w:right w:val="none" w:sz="0" w:space="0" w:color="auto"/>
      </w:divBdr>
    </w:div>
    <w:div w:id="2037387339">
      <w:bodyDiv w:val="1"/>
      <w:marLeft w:val="0"/>
      <w:marRight w:val="0"/>
      <w:marTop w:val="0"/>
      <w:marBottom w:val="0"/>
      <w:divBdr>
        <w:top w:val="none" w:sz="0" w:space="0" w:color="auto"/>
        <w:left w:val="none" w:sz="0" w:space="0" w:color="auto"/>
        <w:bottom w:val="none" w:sz="0" w:space="0" w:color="auto"/>
        <w:right w:val="none" w:sz="0" w:space="0" w:color="auto"/>
      </w:divBdr>
    </w:div>
    <w:div w:id="2060593751">
      <w:bodyDiv w:val="1"/>
      <w:marLeft w:val="0"/>
      <w:marRight w:val="0"/>
      <w:marTop w:val="0"/>
      <w:marBottom w:val="0"/>
      <w:divBdr>
        <w:top w:val="none" w:sz="0" w:space="0" w:color="auto"/>
        <w:left w:val="none" w:sz="0" w:space="0" w:color="auto"/>
        <w:bottom w:val="none" w:sz="0" w:space="0" w:color="auto"/>
        <w:right w:val="none" w:sz="0" w:space="0" w:color="auto"/>
      </w:divBdr>
    </w:div>
    <w:div w:id="2067029580">
      <w:bodyDiv w:val="1"/>
      <w:marLeft w:val="0"/>
      <w:marRight w:val="0"/>
      <w:marTop w:val="0"/>
      <w:marBottom w:val="0"/>
      <w:divBdr>
        <w:top w:val="none" w:sz="0" w:space="0" w:color="auto"/>
        <w:left w:val="none" w:sz="0" w:space="0" w:color="auto"/>
        <w:bottom w:val="none" w:sz="0" w:space="0" w:color="auto"/>
        <w:right w:val="none" w:sz="0" w:space="0" w:color="auto"/>
      </w:divBdr>
      <w:divsChild>
        <w:div w:id="1734767234">
          <w:marLeft w:val="0"/>
          <w:marRight w:val="0"/>
          <w:marTop w:val="0"/>
          <w:marBottom w:val="0"/>
          <w:divBdr>
            <w:top w:val="none" w:sz="0" w:space="0" w:color="auto"/>
            <w:left w:val="none" w:sz="0" w:space="0" w:color="auto"/>
            <w:bottom w:val="none" w:sz="0" w:space="0" w:color="auto"/>
            <w:right w:val="none" w:sz="0" w:space="0" w:color="auto"/>
          </w:divBdr>
        </w:div>
        <w:div w:id="285626697">
          <w:marLeft w:val="0"/>
          <w:marRight w:val="0"/>
          <w:marTop w:val="0"/>
          <w:marBottom w:val="0"/>
          <w:divBdr>
            <w:top w:val="none" w:sz="0" w:space="0" w:color="auto"/>
            <w:left w:val="none" w:sz="0" w:space="0" w:color="auto"/>
            <w:bottom w:val="none" w:sz="0" w:space="0" w:color="auto"/>
            <w:right w:val="none" w:sz="0" w:space="0" w:color="auto"/>
          </w:divBdr>
        </w:div>
      </w:divsChild>
    </w:div>
    <w:div w:id="2079016994">
      <w:bodyDiv w:val="1"/>
      <w:marLeft w:val="0"/>
      <w:marRight w:val="0"/>
      <w:marTop w:val="0"/>
      <w:marBottom w:val="0"/>
      <w:divBdr>
        <w:top w:val="none" w:sz="0" w:space="0" w:color="auto"/>
        <w:left w:val="none" w:sz="0" w:space="0" w:color="auto"/>
        <w:bottom w:val="none" w:sz="0" w:space="0" w:color="auto"/>
        <w:right w:val="none" w:sz="0" w:space="0" w:color="auto"/>
      </w:divBdr>
    </w:div>
    <w:div w:id="2081713389">
      <w:bodyDiv w:val="1"/>
      <w:marLeft w:val="0"/>
      <w:marRight w:val="0"/>
      <w:marTop w:val="0"/>
      <w:marBottom w:val="0"/>
      <w:divBdr>
        <w:top w:val="none" w:sz="0" w:space="0" w:color="auto"/>
        <w:left w:val="none" w:sz="0" w:space="0" w:color="auto"/>
        <w:bottom w:val="none" w:sz="0" w:space="0" w:color="auto"/>
        <w:right w:val="none" w:sz="0" w:space="0" w:color="auto"/>
      </w:divBdr>
    </w:div>
    <w:div w:id="2085684154">
      <w:bodyDiv w:val="1"/>
      <w:marLeft w:val="0"/>
      <w:marRight w:val="0"/>
      <w:marTop w:val="0"/>
      <w:marBottom w:val="0"/>
      <w:divBdr>
        <w:top w:val="none" w:sz="0" w:space="0" w:color="auto"/>
        <w:left w:val="none" w:sz="0" w:space="0" w:color="auto"/>
        <w:bottom w:val="none" w:sz="0" w:space="0" w:color="auto"/>
        <w:right w:val="none" w:sz="0" w:space="0" w:color="auto"/>
      </w:divBdr>
    </w:div>
    <w:div w:id="2120829114">
      <w:bodyDiv w:val="1"/>
      <w:marLeft w:val="0"/>
      <w:marRight w:val="0"/>
      <w:marTop w:val="0"/>
      <w:marBottom w:val="0"/>
      <w:divBdr>
        <w:top w:val="none" w:sz="0" w:space="0" w:color="auto"/>
        <w:left w:val="none" w:sz="0" w:space="0" w:color="auto"/>
        <w:bottom w:val="none" w:sz="0" w:space="0" w:color="auto"/>
        <w:right w:val="none" w:sz="0" w:space="0" w:color="auto"/>
      </w:divBdr>
      <w:divsChild>
        <w:div w:id="1510872786">
          <w:marLeft w:val="213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legal-content/HR/TXT/?uri=CELEX:32002R0006&amp;qid=1605102777807" TargetMode="External"/><Relationship Id="rId21" Type="http://schemas.openxmlformats.org/officeDocument/2006/relationships/hyperlink" Target="https://eur-lex.europa.eu/legal-content/HR/TXT/?qid=1593086905382&amp;uri=CELEX:52020DC0102" TargetMode="External"/><Relationship Id="rId34" Type="http://schemas.openxmlformats.org/officeDocument/2006/relationships/hyperlink" Target="https://www.epo.org/service-support/publications.html?pubid=201" TargetMode="External"/><Relationship Id="rId42" Type="http://schemas.openxmlformats.org/officeDocument/2006/relationships/hyperlink" Target="https://eur-lex.europa.eu/legal-content/HR/TXT/?uri=CELEX:31998L0044&amp;qid=1605105545389" TargetMode="External"/><Relationship Id="rId47" Type="http://schemas.openxmlformats.org/officeDocument/2006/relationships/hyperlink" Target="https://eiah.eib.org/index.htm" TargetMode="External"/><Relationship Id="rId50" Type="http://schemas.openxmlformats.org/officeDocument/2006/relationships/hyperlink" Target="https://op.europa.eu/hr/publication-detail/-/publication/6a29075f-1f15-11eb-b57e-01aa75ed71a1" TargetMode="External"/><Relationship Id="rId55" Type="http://schemas.openxmlformats.org/officeDocument/2006/relationships/hyperlink" Target="https://ec.europa.eu/info/research-and-innovation/research-area/health-research-and-innovation/coronavirus-research-and-innovation_hr" TargetMode="External"/><Relationship Id="rId63" Type="http://schemas.openxmlformats.org/officeDocument/2006/relationships/hyperlink" Target="https://publications.jrc.ec.europa.eu/repository/handle/JRC121411" TargetMode="External"/><Relationship Id="rId68" Type="http://schemas.openxmlformats.org/officeDocument/2006/relationships/hyperlink" Target="https://eur-lex.europa.eu/legal-content/HR/TXT/HTML/?uri=CELEX:32016L0943&amp;from=EN" TargetMode="External"/><Relationship Id="rId76" Type="http://schemas.openxmlformats.org/officeDocument/2006/relationships/hyperlink" Target="https://euipo.europa.eu/tunnel-web/secure/webdav/guest/document_library/observatory/documents/reports/2019_Risks_Posed_by_Counterfeits_to_Consumers_Study/2019_Risks_Posed_by_Counterfeits_to_Consumers_Study.pdf" TargetMode="External"/><Relationship Id="rId84" Type="http://schemas.openxmlformats.org/officeDocument/2006/relationships/hyperlink" Target="https://ec.europa.eu/growth/industry/policy/intellectual-property/enforcement/memorandum-of-understanding-online-advertising-ipr_hr" TargetMode="External"/><Relationship Id="rId89" Type="http://schemas.openxmlformats.org/officeDocument/2006/relationships/hyperlink" Target="https://ec.europa.eu/info/live-work-travel-eu/consumers/enforcement-consumer-protection/scams-related-covid-19_hr" TargetMode="External"/><Relationship Id="rId97" Type="http://schemas.openxmlformats.org/officeDocument/2006/relationships/hyperlink" Target="ttps://eur-lex.europa.eu/legal-content/HR/TXT/HTML/?uri=CELEX:52020XC0326(03)&amp;from=ENh" TargetMode="External"/><Relationship Id="rId7" Type="http://schemas.openxmlformats.org/officeDocument/2006/relationships/hyperlink" Target="https://euipo.europa.eu/tunnel-web/secure/webdav/guest/document_library/observatory/documents/reports/2019_High-growth_firms_and_intellectual_property_rights/2019_High-growth_firms_and_intellectual_property_rights_executive_summary_EN.pdf" TargetMode="External"/><Relationship Id="rId71" Type="http://schemas.openxmlformats.org/officeDocument/2006/relationships/hyperlink" Target="https://ec.europa.eu/info/publications/2021-commission-work-programme-key-documents_hr" TargetMode="External"/><Relationship Id="rId92" Type="http://schemas.openxmlformats.org/officeDocument/2006/relationships/hyperlink" Target="https://euipo.europa.eu/tunnel-web/secure/webdav/guest/document_library/observatory/documents/reports/2019_Status_Report_on_IPR_infringement/2019_Status_Report_on_IPR_infringement_en.pdf" TargetMode="External"/><Relationship Id="rId2" Type="http://schemas.openxmlformats.org/officeDocument/2006/relationships/hyperlink" Target="https://www.epo.org/service-support/publications.html?pubid=201" TargetMode="External"/><Relationship Id="rId16" Type="http://schemas.openxmlformats.org/officeDocument/2006/relationships/hyperlink" Target="https://ec.europa.eu/docsroom/documents/34841?locale=hr" TargetMode="External"/><Relationship Id="rId29" Type="http://schemas.openxmlformats.org/officeDocument/2006/relationships/hyperlink" Target="https://ec.europa.eu/info/law/better-regulation/have-your-say/initiatives/2029-Evaluation-of-Geographical-Indications-and-Traditional-Specialities-Guaranteed-protected-in-the-EU" TargetMode="External"/><Relationship Id="rId11" Type="http://schemas.openxmlformats.org/officeDocument/2006/relationships/hyperlink" Target="https://euipo.europa.eu/ohimportal/en/web/observatory/sme-scoreboard" TargetMode="External"/><Relationship Id="rId24" Type="http://schemas.openxmlformats.org/officeDocument/2006/relationships/hyperlink" Target="https://ec.europa.eu/growth/industry/policy/intellectual-property/industrial-design/protection_hr" TargetMode="External"/><Relationship Id="rId32" Type="http://schemas.openxmlformats.org/officeDocument/2006/relationships/hyperlink" Target="https://www.europarl.europa.eu/RegData/etudes/STUD/2019/631764/EPRS_STU(2019)631764_EN.pdf" TargetMode="External"/><Relationship Id="rId37" Type="http://schemas.openxmlformats.org/officeDocument/2006/relationships/hyperlink" Target="https://eur-lex.europa.eu/legal-content/HR/TXT/?uri=CELEX:32019L0789&amp;qid=1605105244358" TargetMode="External"/><Relationship Id="rId40" Type="http://schemas.openxmlformats.org/officeDocument/2006/relationships/hyperlink" Target="https://eur-lex.europa.eu/legal-content/HR/TXT/?uri=CELEX:32017L1564&amp;qid=1605105393179" TargetMode="External"/><Relationship Id="rId45" Type="http://schemas.openxmlformats.org/officeDocument/2006/relationships/hyperlink" Target="https://ec.europa.eu/info/funding-tenders/opportsunities/portal/screen/opportunities/topic-details/innosup-10-2020" TargetMode="External"/><Relationship Id="rId53" Type="http://schemas.openxmlformats.org/officeDocument/2006/relationships/hyperlink" Target="https://eur-lex.europa.eu/legal-content/HR/TXT/?uri=COM:2020:628:FIN" TargetMode="External"/><Relationship Id="rId58" Type="http://schemas.openxmlformats.org/officeDocument/2006/relationships/hyperlink" Target="https://ec.europa.eu/info/sites/info/files/framework_communication_antitrust_issues_related_to_cooperation_between_competitors_in_covid-19.pdf" TargetMode="External"/><Relationship Id="rId66" Type="http://schemas.openxmlformats.org/officeDocument/2006/relationships/hyperlink" Target="https://eur-lex.europa.eu/legal-content/HR/TXT/HTML/?uri=CELEX:52020DC0066&amp;from=EN" TargetMode="External"/><Relationship Id="rId74" Type="http://schemas.openxmlformats.org/officeDocument/2006/relationships/hyperlink" Target="https://euipo.europa.eu/tunnel-web/secure/webdav/guest/document_library/observatory/documents/reports/trends_in_trade_in_counterfeit_and_pirated_goods/trends_in_trade_in_counterfeit_and_pirated_goods_en.pdf" TargetMode="External"/><Relationship Id="rId79" Type="http://schemas.openxmlformats.org/officeDocument/2006/relationships/hyperlink" Target="https://ec.europa.eu/info/law/better-regulation/have-your-say/initiatives/12417-Digital-Services-Act-deepening-the-Internal-Market-and-clarifying-responsibilities-for-digital-services" TargetMode="External"/><Relationship Id="rId87" Type="http://schemas.openxmlformats.org/officeDocument/2006/relationships/hyperlink" Target="https://ec.europa.eu/anti-fraud/media-corner/news/20-03-2020/olaf-launches-enquiry-fake-covid-19-related-products_en" TargetMode="External"/><Relationship Id="rId102" Type="http://schemas.openxmlformats.org/officeDocument/2006/relationships/hyperlink" Target="https://ec.europa.eu/info/strategy/priorities-2019-2024/new-push-european-democracy/strategic-foresight/2020-strategic-foresight-report_hr" TargetMode="External"/><Relationship Id="rId5" Type="http://schemas.openxmlformats.org/officeDocument/2006/relationships/hyperlink" Target="https://ec.europa.eu/info/research-and-innovation/strategy/support-policy-making/support-national-research-and-innovation-policy-making/srip-report_en" TargetMode="External"/><Relationship Id="rId61" Type="http://schemas.openxmlformats.org/officeDocument/2006/relationships/hyperlink" Target="https://data.consilium.europa.eu/doc/document/ST-15016-2019-INIT/en/pdf" TargetMode="External"/><Relationship Id="rId82" Type="http://schemas.openxmlformats.org/officeDocument/2006/relationships/hyperlink" Target="https://ec.europa.eu/taxation_customs/sites/taxation/files/customs-action-plan-2020_hr.pdf" TargetMode="External"/><Relationship Id="rId90" Type="http://schemas.openxmlformats.org/officeDocument/2006/relationships/hyperlink" Target="https://www.evz.de/en/shopping-internet/online-shopping/online-scams-and-counterfeit-goods.html;%20https:/fb.watch/1zwI0k2tjP/" TargetMode="External"/><Relationship Id="rId95" Type="http://schemas.openxmlformats.org/officeDocument/2006/relationships/hyperlink" Target="https://trade.ec.europa.eu/doclib/docs/2018/december/tradoc_157564.pdf" TargetMode="External"/><Relationship Id="rId19" Type="http://schemas.openxmlformats.org/officeDocument/2006/relationships/hyperlink" Target="https://eur-lex.europa.eu/legal-content/HR/TXT/?uri=CELEX:32012R1257&amp;qid=1605100210098" TargetMode="External"/><Relationship Id="rId14" Type="http://schemas.openxmlformats.org/officeDocument/2006/relationships/hyperlink" Target="https://euipo.europa.eu/ohimportal/en/web/observatory/trends-in-trade-in-counterfeit-and-pirated-goods" TargetMode="External"/><Relationship Id="rId22" Type="http://schemas.openxmlformats.org/officeDocument/2006/relationships/hyperlink" Target="https://ec.europa.eu/info/law/better-regulation/have-your-say/initiatives/12421-Pharmaceutical-Strategy-Timely-patient-access-to-affordable-medicines" TargetMode="External"/><Relationship Id="rId27" Type="http://schemas.openxmlformats.org/officeDocument/2006/relationships/hyperlink" Target="https://eur-lex.europa.eu/legal-content/HR/TXT/?uri=CELEX:52020DC0381" TargetMode="External"/><Relationship Id="rId30" Type="http://schemas.openxmlformats.org/officeDocument/2006/relationships/hyperlink" Target="https://ec.europa.eu/info/law/better-regulation/have-your-say/initiatives/12664-Revision-of-the-EU-geographical-indications-GI-systems-in-agricultural-products-and-foodstuffs-wines-and-spirit-drinks" TargetMode="External"/><Relationship Id="rId35" Type="http://schemas.openxmlformats.org/officeDocument/2006/relationships/hyperlink" Target="http://data.europa.eu/doi/10.2759/458120" TargetMode="External"/><Relationship Id="rId43" Type="http://schemas.openxmlformats.org/officeDocument/2006/relationships/hyperlink" Target="https://eur-lex.europa.eu/legal-content/HR/TXT/?uri=CELEX:52016XC1108(01)" TargetMode="External"/><Relationship Id="rId48" Type="http://schemas.openxmlformats.org/officeDocument/2006/relationships/hyperlink" Target="https://euipo.europa.eu/ohimportal/en/web/observatory/sme-scoreboard" TargetMode="External"/><Relationship Id="rId56" Type="http://schemas.openxmlformats.org/officeDocument/2006/relationships/hyperlink" Target="https://eur-lex.europa.eu/legal-content/HR/TXT/HTML/?uri=CELEX:52020DC0245&amp;from=ES" TargetMode="External"/><Relationship Id="rId64" Type="http://schemas.openxmlformats.org/officeDocument/2006/relationships/hyperlink" Target="https://eur-lex.europa.eu/legal-content/HR/TXT/HTML/?uri=CELEX:52017DC0712&amp;from=EN" TargetMode="External"/><Relationship Id="rId69" Type="http://schemas.openxmlformats.org/officeDocument/2006/relationships/hyperlink" Target="https://eur-lex.europa.eu/legal-content/HR/TXT/HTML/?uri=CELEX:31996L0009&amp;from=EN" TargetMode="External"/><Relationship Id="rId77" Type="http://schemas.openxmlformats.org/officeDocument/2006/relationships/hyperlink" Target="https://www.europol.europa.eu/newsroom/news/operation-silver-axe-strikes-for-fourth-time-seizing-over-550-tonnes-of-illegal-pesticides" TargetMode="External"/><Relationship Id="rId100" Type="http://schemas.openxmlformats.org/officeDocument/2006/relationships/hyperlink" Target="https://au.int/en/documents/20190214/continental-strategy-geographical-indications-africa-2018-2023" TargetMode="External"/><Relationship Id="rId8" Type="http://schemas.openxmlformats.org/officeDocument/2006/relationships/hyperlink" Target="https://ec.europa.eu/health/human-use/strategy_hr" TargetMode="External"/><Relationship Id="rId51" Type="http://schemas.openxmlformats.org/officeDocument/2006/relationships/hyperlink" Target="https://eur-lex.europa.eu/legal-content/HR/TXT/HTML/?uri=CELEX:52020DC0103&amp;from=EN" TargetMode="External"/><Relationship Id="rId72" Type="http://schemas.openxmlformats.org/officeDocument/2006/relationships/hyperlink" Target="https://eur-lex.europa.eu/legal-content/HR/TXT/HTML/?uri=CELEX:32004L0048&amp;from=FR" TargetMode="External"/><Relationship Id="rId80" Type="http://schemas.openxmlformats.org/officeDocument/2006/relationships/hyperlink" Target="https://www.europol.europa.eu/empact" TargetMode="External"/><Relationship Id="rId85" Type="http://schemas.openxmlformats.org/officeDocument/2006/relationships/hyperlink" Target="https://euipo.europa.eu/ohimportal/en/web/observatory/ip-enforcement-portal-home-page" TargetMode="External"/><Relationship Id="rId93" Type="http://schemas.openxmlformats.org/officeDocument/2006/relationships/hyperlink" Target="https://www.consilium.europa.eu/hr/press/press-releases/2019/08/26/g7-leaders-declaration-biarritz-26-august-2019/" TargetMode="External"/><Relationship Id="rId98" Type="http://schemas.openxmlformats.org/officeDocument/2006/relationships/hyperlink" Target="https://eur-lex.europa.eu/legal-content/HR/TXT/PDF/?uri=CELEX:32020D1127" TargetMode="External"/><Relationship Id="rId3" Type="http://schemas.openxmlformats.org/officeDocument/2006/relationships/hyperlink" Target="http://documents.epo.org/projects/babylon/eponet.nsf/0/79B3608B5B4D3F71C125842D0040675A/$File/quality_report_2018_en.pdf" TargetMode="External"/><Relationship Id="rId12" Type="http://schemas.openxmlformats.org/officeDocument/2006/relationships/hyperlink" Target="https://ec.europa.eu/info/research-and-innovation/strategy/support-policy-making/support-national-research-and-innovation-policy-making/srip-report_en" TargetMode="External"/><Relationship Id="rId17" Type="http://schemas.openxmlformats.org/officeDocument/2006/relationships/hyperlink" Target="https://ec.europa.eu/info/law/better-regulation/have-your-say/initiatives/12510-Intellectual-Property-Action-Plan" TargetMode="External"/><Relationship Id="rId25" Type="http://schemas.openxmlformats.org/officeDocument/2006/relationships/hyperlink" Target="https://eur-lex.europa.eu/legal-content/HR/TXT/?uri=CELEX:31998L0071&amp;qid=1605102715242" TargetMode="External"/><Relationship Id="rId33" Type="http://schemas.openxmlformats.org/officeDocument/2006/relationships/hyperlink" Target="https://www.wipo.int/lisbon/en/" TargetMode="External"/><Relationship Id="rId38" Type="http://schemas.openxmlformats.org/officeDocument/2006/relationships/hyperlink" Target="https://eur-lex.europa.eu/legal-content/HR/TXT/?uri=CELEX:32011L0077&amp;qid=1605105177882" TargetMode="External"/><Relationship Id="rId46" Type="http://schemas.openxmlformats.org/officeDocument/2006/relationships/hyperlink" Target="https://www.clustercollaboration.eu/cluster-networks" TargetMode="External"/><Relationship Id="rId59" Type="http://schemas.openxmlformats.org/officeDocument/2006/relationships/hyperlink" Target="https://ec.europa.eu/info/research-and-innovation/research-area/health-research-and-innovation/coronavirus-research-and-innovation/covid-research-manifesto_hr" TargetMode="External"/><Relationship Id="rId67" Type="http://schemas.openxmlformats.org/officeDocument/2006/relationships/hyperlink" Target="https://ec.europa.eu/commission/presscorner/detail/hr/fs_20_283" TargetMode="External"/><Relationship Id="rId20" Type="http://schemas.openxmlformats.org/officeDocument/2006/relationships/hyperlink" Target="https://eur-lex.europa.eu/legal-content/HR/TXT/?uri=CELEX:32019R0933&amp;qid=1605100367650" TargetMode="External"/><Relationship Id="rId41" Type="http://schemas.openxmlformats.org/officeDocument/2006/relationships/hyperlink" Target="https://eur-lex.europa.eu/legal-content/HR/TXT/?uri=CELEX:32017R1128&amp;qid=1605105470273" TargetMode="External"/><Relationship Id="rId54" Type="http://schemas.openxmlformats.org/officeDocument/2006/relationships/hyperlink" Target="https://ec.europa.eu/info/funding-tenders/opportunities/portal/screen/opportunities/horizon-results-platform" TargetMode="External"/><Relationship Id="rId62" Type="http://schemas.openxmlformats.org/officeDocument/2006/relationships/hyperlink" Target="https://etendering.ted.europa.eu/cft/cft-display.html?cftId=5859" TargetMode="External"/><Relationship Id="rId70" Type="http://schemas.openxmlformats.org/officeDocument/2006/relationships/hyperlink" Target="https://data.consilium.europa.eu/doc/document/ST-8467-2018-INIT/en/pdf" TargetMode="External"/><Relationship Id="rId75" Type="http://schemas.openxmlformats.org/officeDocument/2006/relationships/hyperlink" Target="https://euipo.europa.eu/ohimportal/en/web/observatory/status-reports-on-ip-infringement" TargetMode="External"/><Relationship Id="rId83" Type="http://schemas.openxmlformats.org/officeDocument/2006/relationships/hyperlink" Target="https://ec.europa.eu/growth/industry/policy/intellectual-property/enforcement/memorandum-understanding-sale-counterfeit-goods-internet_hr" TargetMode="External"/><Relationship Id="rId88" Type="http://schemas.openxmlformats.org/officeDocument/2006/relationships/hyperlink" Target="https://www.europol.europa.eu/newsroom/news/how-criminals-profit-covid-19-pandemic" TargetMode="External"/><Relationship Id="rId91" Type="http://schemas.openxmlformats.org/officeDocument/2006/relationships/hyperlink" Target="https://www.eccbelgium.be/press/press-releases/14032017-the-impact-of-counterfeiting-on-online-consumer-rights-in-europe" TargetMode="External"/><Relationship Id="rId96" Type="http://schemas.openxmlformats.org/officeDocument/2006/relationships/hyperlink" Target="https://trade.ec.europa.eu/doclib/docs/2020/january/tradoc_158561.pdf" TargetMode="External"/><Relationship Id="rId1" Type="http://schemas.openxmlformats.org/officeDocument/2006/relationships/hyperlink" Target="https://ec.europa.eu/info/sites/info/files/economy-finance/dp047_en.pdf" TargetMode="External"/><Relationship Id="rId6" Type="http://schemas.openxmlformats.org/officeDocument/2006/relationships/hyperlink" Target="http://documents.epo.org/projects/babylon/eponet.nsf/0/6A51029C350D3C8EC1257F110056B93F/$File/climate_change_mitigation_technologies_europe_en.pdf" TargetMode="External"/><Relationship Id="rId15" Type="http://schemas.openxmlformats.org/officeDocument/2006/relationships/hyperlink" Target="https://euipo.europa.eu/ohimportal/en/web/observatory/status-reports-on-ip-infringement" TargetMode="External"/><Relationship Id="rId23" Type="http://schemas.openxmlformats.org/officeDocument/2006/relationships/hyperlink" Target="https://ec.europa.eu/growth/industry/policy/intellectual-property/trade-mark-protection_hr" TargetMode="External"/><Relationship Id="rId28" Type="http://schemas.openxmlformats.org/officeDocument/2006/relationships/hyperlink" Target="https://ec.europa.eu/info/food-farming-fisheries/key-policies/common-agricultural-policy/cmef/products-and-markets/economic-value-eu-quality-schemes-geographical-indications-gis-and-traditional-specialities-guaranteed-tsgs_hr" TargetMode="External"/><Relationship Id="rId36" Type="http://schemas.openxmlformats.org/officeDocument/2006/relationships/hyperlink" Target="https://eur-lex.europa.eu/legal-content/HR/TXT/?qid=1558431447846&amp;uri=CELEX%3A32019L0790" TargetMode="External"/><Relationship Id="rId49" Type="http://schemas.openxmlformats.org/officeDocument/2006/relationships/hyperlink" Target="https://op.europa.eu/hr/publication-detail/-/publication/6a29075f-1f15-11eb-b57e-01aa75ed71a1" TargetMode="External"/><Relationship Id="rId57" Type="http://schemas.openxmlformats.org/officeDocument/2006/relationships/hyperlink" Target="https://apps.who.int/gb/ebwha/pdf_files/WHA73/A73_CONF1Rev1-en.pdf" TargetMode="External"/><Relationship Id="rId10" Type="http://schemas.openxmlformats.org/officeDocument/2006/relationships/hyperlink" Target="https://ec.europa.eu/commission/presscorner/detail/hr/QANDA_19_5889" TargetMode="External"/><Relationship Id="rId31" Type="http://schemas.openxmlformats.org/officeDocument/2006/relationships/hyperlink" Target="https://op.europa.eu/hr/publication-detail/-/publication/c210fcc6-5463-11ea-aece-01aa75ed71a1" TargetMode="External"/><Relationship Id="rId44" Type="http://schemas.openxmlformats.org/officeDocument/2006/relationships/hyperlink" Target="http://ipa4sme.eu/" TargetMode="External"/><Relationship Id="rId52" Type="http://schemas.openxmlformats.org/officeDocument/2006/relationships/hyperlink" Target="https://www.eif.org/what_we_do/guarantees/single_eu_debt_instrument/innovfin-guarantee-facility/" TargetMode="External"/><Relationship Id="rId60" Type="http://schemas.openxmlformats.org/officeDocument/2006/relationships/hyperlink" Target="https://eur-lex.europa.eu/legal-content/HR/TXT/HTML/?uri=CELEX:32006R0816&amp;from=EN" TargetMode="External"/><Relationship Id="rId65" Type="http://schemas.openxmlformats.org/officeDocument/2006/relationships/hyperlink" Target="https://publications.jrc.ec.europa.eu/repository/handle/JRC119894" TargetMode="External"/><Relationship Id="rId73" Type="http://schemas.openxmlformats.org/officeDocument/2006/relationships/hyperlink" Target="https://eur-lex.europa.eu/legal-content/HR/TXT/?uri=CELEX:52017DC0708" TargetMode="External"/><Relationship Id="rId78" Type="http://schemas.openxmlformats.org/officeDocument/2006/relationships/hyperlink" Target="https://ec.europa.eu/docsroom/documents/34841?locale=hr" TargetMode="External"/><Relationship Id="rId81" Type="http://schemas.openxmlformats.org/officeDocument/2006/relationships/hyperlink" Target="https://eur-lex.europa.eu/legal-content/HR/TXT/PDF/?uri=CELEX:52020DC0094&amp;from=EN" TargetMode="External"/><Relationship Id="rId86" Type="http://schemas.openxmlformats.org/officeDocument/2006/relationships/hyperlink" Target="https://euipo.europa.eu/ohimportal/en/news/-/action/view/4963920" TargetMode="External"/><Relationship Id="rId94" Type="http://schemas.openxmlformats.org/officeDocument/2006/relationships/hyperlink" Target="https://trade.ec.europa.eu/doclib/docs/2020/january/tradoc_158561.pdf" TargetMode="External"/><Relationship Id="rId99" Type="http://schemas.openxmlformats.org/officeDocument/2006/relationships/hyperlink" Target="https://www.ipr-hub.eu/" TargetMode="External"/><Relationship Id="rId101" Type="http://schemas.openxmlformats.org/officeDocument/2006/relationships/hyperlink" Target="https://africa-eu-partnership.org/en/afcfta" TargetMode="External"/><Relationship Id="rId4" Type="http://schemas.openxmlformats.org/officeDocument/2006/relationships/hyperlink" Target="https://iri.jrc.ec.europa.eu/scoreboard/2019-eu-industrial-rd-investment-scoreboard" TargetMode="External"/><Relationship Id="rId9" Type="http://schemas.openxmlformats.org/officeDocument/2006/relationships/hyperlink" Target="http://data.europa.eu/doi/10.2759/458120" TargetMode="External"/><Relationship Id="rId13" Type="http://schemas.openxmlformats.org/officeDocument/2006/relationships/hyperlink" Target="https://www.iplytics.com/wp-content/uploads/2020/02/5G-patent-study_TU-Berlin_IPlytics-2020.pdf" TargetMode="External"/><Relationship Id="rId18" Type="http://schemas.openxmlformats.org/officeDocument/2006/relationships/hyperlink" Target="https://www.bundesverfassungsgericht.de/e/rs20200213_2bvr073917.html" TargetMode="External"/><Relationship Id="rId39" Type="http://schemas.openxmlformats.org/officeDocument/2006/relationships/hyperlink" Target="https://eur-lex.europa.eu/legal-content/HR/TXT/?uri=CELEX:32014L0026&amp;qid=16051053112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436C4B6581E04CBD7684399E72404F" ma:contentTypeVersion="0" ma:contentTypeDescription="Create a new document." ma:contentTypeScope="" ma:versionID="26c54e532eaabe8c8b3ce95ed5e9a4aa">
  <xsd:schema xmlns:xsd="http://www.w3.org/2001/XMLSchema" xmlns:xs="http://www.w3.org/2001/XMLSchema" xmlns:p="http://schemas.microsoft.com/office/2006/metadata/properties" targetNamespace="http://schemas.microsoft.com/office/2006/metadata/properties" ma:root="true" ma:fieldsID="8d0ac40ea0c89b9fb540ebf68a0cbd3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CC412C-7C4B-462A-8897-63E74A577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A539E39-3894-4E3C-8A90-70231EF12D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DE7170-3FEC-405F-81D8-4272AD78A4D0}">
  <ds:schemaRefs>
    <ds:schemaRef ds:uri="http://schemas.microsoft.com/sharepoint/v3/contenttype/forms"/>
  </ds:schemaRefs>
</ds:datastoreItem>
</file>

<file path=customXml/itemProps4.xml><?xml version="1.0" encoding="utf-8"?>
<ds:datastoreItem xmlns:ds="http://schemas.openxmlformats.org/officeDocument/2006/customXml" ds:itemID="{7192ECF3-E1CF-4001-A933-01B26ADD3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7886</Words>
  <Characters>49528</Characters>
  <Application>Microsoft Office Word</Application>
  <DocSecurity>0</DocSecurity>
  <Lines>728</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2020-11-23T08:20:00Z</dcterms:created>
  <dcterms:modified xsi:type="dcterms:W3CDTF">2020-11-27T08:55:00Z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IsMyDocuments">
    <vt:bool>true</vt:bool>
  </property>
  <property fmtid="{D5CDD505-2E9C-101B-9397-08002B2CF9AE}" pid="9" name="_LW_INVALIDATED__LW_INVALIDATED__LW_INVALIDATED_ContentTypeId">
    <vt:lpwstr>0x010100B2436C4B6581E04CBD7684399E72404F</vt:lpwstr>
  </property>
</Properties>
</file>