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alt="94ABB320-C5AA-424C-9084-93E64FC87673" style="width:450.75pt;height:361.5pt">
            <v:imagedata r:id="rId7" o:title=""/>
          </v:shape>
        </w:pict>
      </w:r>
    </w:p>
    <w:bookmarkEnd w:id="0"/>
    <w:p>
      <w:pPr>
        <w:rPr>
          <w:noProof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tabs>
          <w:tab w:val="left" w:pos="7560"/>
        </w:tabs>
        <w:spacing w:after="0" w:line="240" w:lineRule="auto"/>
        <w:jc w:val="both"/>
        <w:rPr>
          <w:rFonts w:ascii="Times New Roman" w:eastAsia="Times New Roman" w:hAnsi="Times New Roman"/>
          <w:b/>
          <w:noProof/>
          <w:sz w:val="80"/>
          <w:szCs w:val="80"/>
        </w:rPr>
      </w:pPr>
      <w:bookmarkStart w:id="1" w:name="_GoBack"/>
      <w:bookmarkEnd w:id="1"/>
      <w:r>
        <w:rPr>
          <w:rFonts w:ascii="Times New Roman" w:hAnsi="Times New Roman"/>
          <w:b/>
          <w:noProof/>
          <w:sz w:val="80"/>
          <w:szCs w:val="80"/>
        </w:rPr>
        <w:lastRenderedPageBreak/>
        <w:t>DOKUMENTI</w:t>
      </w: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11040"/>
      </w:tblGrid>
      <w:tr>
        <w:tc>
          <w:tcPr>
            <w:tcW w:w="11040" w:type="dxa"/>
            <w:shd w:val="clear" w:color="auto" w:fill="0000FF"/>
          </w:tcPr>
          <w:p>
            <w:pPr>
              <w:tabs>
                <w:tab w:val="left" w:pos="1800"/>
                <w:tab w:val="left" w:pos="2250"/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FF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noProof/>
                <w:color w:val="0000FF"/>
                <w:sz w:val="24"/>
                <w:szCs w:val="24"/>
              </w:rPr>
              <w:tab/>
            </w:r>
          </w:p>
        </w:tc>
      </w:tr>
    </w:tbl>
    <w:p>
      <w:pPr>
        <w:spacing w:after="0" w:line="240" w:lineRule="auto"/>
        <w:ind w:right="972"/>
        <w:rPr>
          <w:rFonts w:ascii="Times New Roman" w:eastAsia="Times New Roman" w:hAnsi="Times New Roman"/>
          <w:b/>
          <w:noProof/>
          <w:sz w:val="44"/>
          <w:szCs w:val="44"/>
        </w:rPr>
      </w:pPr>
      <w:r>
        <w:rPr>
          <w:rFonts w:ascii="Times New Roman" w:hAnsi="Times New Roman"/>
          <w:b/>
          <w:noProof/>
          <w:sz w:val="44"/>
          <w:szCs w:val="44"/>
        </w:rPr>
        <w:t>NACRT općeg proračuna</w:t>
      </w:r>
      <w:r>
        <w:rPr>
          <w:rFonts w:ascii="Times New Roman" w:hAnsi="Times New Roman"/>
          <w:b/>
          <w:noProof/>
          <w:sz w:val="44"/>
          <w:szCs w:val="44"/>
        </w:rPr>
        <w:br/>
        <w:t>Europske unije</w:t>
      </w:r>
      <w:r>
        <w:rPr>
          <w:rFonts w:ascii="Times New Roman" w:hAnsi="Times New Roman"/>
          <w:b/>
          <w:noProof/>
          <w:sz w:val="44"/>
          <w:szCs w:val="44"/>
        </w:rPr>
        <w:br/>
        <w:t>za financijsku godinu 2020.</w:t>
      </w:r>
    </w:p>
    <w:p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44"/>
          <w:szCs w:val="44"/>
          <w:lang w:eastAsia="de-DE"/>
        </w:rPr>
      </w:pPr>
    </w:p>
    <w:p>
      <w:pPr>
        <w:spacing w:after="0" w:line="360" w:lineRule="auto"/>
        <w:jc w:val="both"/>
        <w:rPr>
          <w:rFonts w:ascii="Times New Roman" w:eastAsia="Times New Roman" w:hAnsi="Times New Roman"/>
          <w:b/>
          <w:noProof/>
          <w:sz w:val="44"/>
          <w:szCs w:val="44"/>
          <w:lang w:eastAsia="de-DE"/>
        </w:rPr>
      </w:pP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— </w:t>
      </w:r>
      <w:r>
        <w:rPr>
          <w:rFonts w:ascii="Times New Roman" w:hAnsi="Times New Roman"/>
          <w:noProof/>
          <w:sz w:val="28"/>
          <w:szCs w:val="28"/>
        </w:rPr>
        <w:tab/>
        <w:t>Opći uvod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— </w:t>
      </w:r>
      <w:r>
        <w:rPr>
          <w:rFonts w:ascii="Times New Roman" w:hAnsi="Times New Roman"/>
          <w:noProof/>
          <w:sz w:val="28"/>
          <w:szCs w:val="28"/>
        </w:rPr>
        <w:tab/>
        <w:t>Opći račun prihoda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— </w:t>
      </w:r>
      <w:r>
        <w:rPr>
          <w:rFonts w:ascii="Times New Roman" w:hAnsi="Times New Roman"/>
          <w:noProof/>
          <w:sz w:val="28"/>
          <w:szCs w:val="28"/>
        </w:rPr>
        <w:tab/>
        <w:t xml:space="preserve">Račun prihoda i rashoda po dijelovima: 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ab/>
        <w:t xml:space="preserve">— </w:t>
      </w:r>
      <w:r>
        <w:rPr>
          <w:rFonts w:ascii="Times New Roman" w:hAnsi="Times New Roman"/>
          <w:noProof/>
          <w:sz w:val="28"/>
          <w:szCs w:val="28"/>
        </w:rPr>
        <w:tab/>
        <w:t>Dio 1.:   Europski parlament</w:t>
      </w:r>
    </w:p>
    <w:p>
      <w:pPr>
        <w:spacing w:after="0" w:line="360" w:lineRule="auto"/>
        <w:ind w:right="1512"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—  </w:t>
      </w:r>
      <w:r>
        <w:rPr>
          <w:rFonts w:ascii="Times New Roman" w:hAnsi="Times New Roman"/>
          <w:noProof/>
          <w:sz w:val="28"/>
          <w:szCs w:val="28"/>
        </w:rPr>
        <w:tab/>
        <w:t>Dio 2.:   Europsko vijeće i Vijeće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ab/>
        <w:t xml:space="preserve">—  </w:t>
      </w:r>
      <w:r>
        <w:rPr>
          <w:rFonts w:ascii="Times New Roman" w:hAnsi="Times New Roman"/>
          <w:noProof/>
          <w:sz w:val="28"/>
          <w:szCs w:val="28"/>
        </w:rPr>
        <w:tab/>
        <w:t>Dio 3.:   Europska komisija</w:t>
      </w:r>
    </w:p>
    <w:p>
      <w:pPr>
        <w:spacing w:after="0" w:line="360" w:lineRule="auto"/>
        <w:ind w:right="1512"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—  </w:t>
      </w:r>
      <w:r>
        <w:rPr>
          <w:rFonts w:ascii="Times New Roman" w:hAnsi="Times New Roman"/>
          <w:noProof/>
          <w:sz w:val="28"/>
          <w:szCs w:val="28"/>
        </w:rPr>
        <w:tab/>
        <w:t>Dio 4.:   Sud Europske unije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ab/>
        <w:t xml:space="preserve">—  </w:t>
      </w:r>
      <w:r>
        <w:rPr>
          <w:rFonts w:ascii="Times New Roman" w:hAnsi="Times New Roman"/>
          <w:noProof/>
          <w:sz w:val="28"/>
          <w:szCs w:val="28"/>
        </w:rPr>
        <w:tab/>
        <w:t>Dio 5.:   Revizorski sud</w:t>
      </w:r>
    </w:p>
    <w:p>
      <w:pPr>
        <w:spacing w:after="0" w:line="360" w:lineRule="auto"/>
        <w:ind w:right="1134"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—  </w:t>
      </w:r>
      <w:r>
        <w:rPr>
          <w:rFonts w:ascii="Times New Roman" w:hAnsi="Times New Roman"/>
          <w:noProof/>
          <w:sz w:val="28"/>
          <w:szCs w:val="28"/>
        </w:rPr>
        <w:tab/>
        <w:t>Dio 6.:   Europski gospodarski i socijalni odbor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ab/>
        <w:t xml:space="preserve">—  </w:t>
      </w:r>
      <w:r>
        <w:rPr>
          <w:rFonts w:ascii="Times New Roman" w:hAnsi="Times New Roman"/>
          <w:noProof/>
          <w:sz w:val="28"/>
          <w:szCs w:val="28"/>
        </w:rPr>
        <w:tab/>
        <w:t>Dio 7.:   Odbor regija</w:t>
      </w:r>
    </w:p>
    <w:p>
      <w:pPr>
        <w:spacing w:after="0" w:line="360" w:lineRule="auto"/>
        <w:ind w:right="1512"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—  </w:t>
      </w:r>
      <w:r>
        <w:rPr>
          <w:rFonts w:ascii="Times New Roman" w:hAnsi="Times New Roman"/>
          <w:noProof/>
          <w:sz w:val="28"/>
          <w:szCs w:val="28"/>
        </w:rPr>
        <w:tab/>
        <w:t>Dio 8.:   Europski ombudsman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ab/>
        <w:t xml:space="preserve">—  </w:t>
      </w:r>
      <w:r>
        <w:rPr>
          <w:rFonts w:ascii="Times New Roman" w:hAnsi="Times New Roman"/>
          <w:noProof/>
          <w:sz w:val="28"/>
          <w:szCs w:val="28"/>
        </w:rPr>
        <w:tab/>
        <w:t>Dio 9.:   Europski nadzornik za zaštitu podataka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tab/>
        <w:t xml:space="preserve">—  </w:t>
      </w:r>
      <w:r>
        <w:rPr>
          <w:rFonts w:ascii="Times New Roman" w:hAnsi="Times New Roman"/>
          <w:noProof/>
          <w:sz w:val="28"/>
          <w:szCs w:val="28"/>
        </w:rPr>
        <w:tab/>
        <w:t xml:space="preserve">Dio 10.: Europska služba za vanjsko djelovanje </w:t>
      </w: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8"/>
          <w:szCs w:val="28"/>
          <w:lang w:eastAsia="de-DE"/>
        </w:rPr>
      </w:pPr>
    </w:p>
    <w:p>
      <w:pPr>
        <w:spacing w:after="0" w:line="360" w:lineRule="auto"/>
        <w:ind w:right="1512"/>
        <w:jc w:val="both"/>
        <w:rPr>
          <w:rFonts w:ascii="Times New Roman" w:eastAsia="Times New Roman" w:hAnsi="Times New Roman"/>
          <w:noProof/>
          <w:sz w:val="24"/>
          <w:szCs w:val="24"/>
        </w:rPr>
      </w:pPr>
      <w:hyperlink r:id="rId14" w:history="1">
        <w:r>
          <w:rPr>
            <w:rStyle w:val="Hyperlink"/>
            <w:rFonts w:ascii="Times New Roman" w:hAnsi="Times New Roman"/>
            <w:noProof/>
            <w:sz w:val="24"/>
            <w:szCs w:val="24"/>
          </w:rPr>
          <w:t>https://eur-lex.europa.eu/budget/www/index-hr.htm</w:t>
        </w:r>
      </w:hyperlink>
    </w:p>
    <w:p>
      <w:pPr>
        <w:tabs>
          <w:tab w:val="left" w:pos="7560"/>
          <w:tab w:val="right" w:pos="9000"/>
        </w:tabs>
        <w:spacing w:after="0" w:line="240" w:lineRule="auto"/>
        <w:ind w:right="23"/>
        <w:jc w:val="right"/>
        <w:rPr>
          <w:rFonts w:ascii="Times New Roman" w:eastAsia="Times New Roman" w:hAnsi="Times New Roman"/>
          <w:noProof/>
          <w:lang w:eastAsia="de-DE"/>
        </w:rPr>
      </w:pPr>
    </w:p>
    <w:tbl>
      <w:tblPr>
        <w:tblW w:w="1104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FF"/>
        <w:tblLook w:val="01E0" w:firstRow="1" w:lastRow="1" w:firstColumn="1" w:lastColumn="1" w:noHBand="0" w:noVBand="0"/>
      </w:tblPr>
      <w:tblGrid>
        <w:gridCol w:w="11040"/>
      </w:tblGrid>
      <w:tr>
        <w:tc>
          <w:tcPr>
            <w:tcW w:w="11040" w:type="dxa"/>
            <w:shd w:val="clear" w:color="auto" w:fill="0000FF"/>
          </w:tcPr>
          <w:p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32"/>
                <w:szCs w:val="32"/>
                <w:lang w:eastAsia="de-DE"/>
              </w:rPr>
            </w:pPr>
          </w:p>
          <w:p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32"/>
                <w:szCs w:val="32"/>
                <w:lang w:eastAsia="de-DE"/>
              </w:rPr>
            </w:pPr>
          </w:p>
          <w:p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32"/>
                <w:szCs w:val="32"/>
                <w:lang w:eastAsia="de-DE"/>
              </w:rPr>
            </w:pPr>
          </w:p>
          <w:p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32"/>
                <w:szCs w:val="32"/>
                <w:lang w:eastAsia="de-DE"/>
              </w:rPr>
            </w:pPr>
          </w:p>
          <w:p>
            <w:pPr>
              <w:tabs>
                <w:tab w:val="left" w:pos="75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32"/>
                <w:szCs w:val="32"/>
                <w:lang w:eastAsia="de-DE"/>
              </w:rPr>
            </w:pPr>
          </w:p>
        </w:tc>
      </w:tr>
    </w:tbl>
    <w:p>
      <w:pPr>
        <w:rPr>
          <w:noProof/>
        </w:rPr>
      </w:pPr>
    </w:p>
    <w:sectPr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HR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CORRIGENDUM" w:val="&lt;UNUSED&gt;"/>
    <w:docVar w:name="LW_COVERPAGE_EXISTS" w:val="True"/>
    <w:docVar w:name="LW_COVERPAGE_GUID" w:val="94ABB320-C5AA-424C-9084-93E64FC87673"/>
    <w:docVar w:name="LW_COVERPAGE_TYPE" w:val="1"/>
    <w:docVar w:name="LW_CROSSREFERENCE" w:val="&lt;UNUSED&gt;"/>
    <w:docVar w:name="LW_DocType" w:val="NORMAL"/>
    <w:docVar w:name="LW_EMISSION" w:val="5.7.2019."/>
    <w:docVar w:name="LW_EMISSION_ISODATE" w:val="2019-07-05"/>
    <w:docVar w:name="LW_EMISSION_LOCATION" w:val="BRX"/>
    <w:docVar w:name="LW_EMISSION_PREFIX" w:val="Bruxelles, "/>
    <w:docVar w:name="LW_EMISSION_SUFFIX" w:val="&lt;EMPTY&gt;"/>
    <w:docVar w:name="LW_ID_DOCTYPE_NONLW" w:val="CP-035"/>
    <w:docVar w:name="LW_LANGUE" w:val="HR"/>
    <w:docVar w:name="LW_LEVEL_OF_SENSITIVITY" w:val="Standard treatment"/>
    <w:docVar w:name="LW_NOM.INST" w:val="EUROPSKA KOMISIJA"/>
    <w:docVar w:name="LW_NOM.INST_JOINTDOC" w:val="&lt;EMPTY&gt;"/>
    <w:docVar w:name="LW_PART_NBR" w:val="1"/>
    <w:docVar w:name="LW_PART_NBR_TOTAL" w:val="1"/>
    <w:docVar w:name="LW_REF.II.NEW.CP" w:val="&lt;UNUSED&gt;"/>
    <w:docVar w:name="LW_REF.II.NEW.CP_NUMBER" w:val="&lt;UNUSED&gt;"/>
    <w:docVar w:name="LW_REF.II.NEW.CP_YEAR" w:val="2019"/>
    <w:docVar w:name="LW_REF.INST.NEW" w:val="COM"/>
    <w:docVar w:name="LW_REF.INST.NEW_ADOPTED" w:val="final"/>
    <w:docVar w:name="LW_REF.INST.NEW_TEXT" w:val="(2019) 40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OUS.TITRE.OBJ.CP" w:val="&lt;UNUSED&gt;"/>
    <w:docVar w:name="LW_SUPERTITRE" w:val="&lt;UNUSED&gt;"/>
    <w:docVar w:name="LW_TITRE.OBJ.CP" w:val="- Op\u263?i uvod_x000d__x000d__x000d__x000d__x000d__x000d__x000b_- Op\u263?i ra\u269?un prihoda_x000d__x000d__x000d__x000d__x000d__x000d__x000b_- Ra\u269?un prihoda i rashoda po dijelovima"/>
    <w:docVar w:name="LW_TYPE.DOC.CP" w:val="NACRT op\u263?eg prora\u269?una_x000b_Europske unije_x000b_za financijsku godinu 2020._x000b_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eastAsiaTheme="minorHAnsi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HAnsi" w:hAnsi="Times New Roman"/>
      <w:sz w:val="24"/>
      <w:szCs w:val="22"/>
      <w:lang w:val="hr-HR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eastAsiaTheme="minorHAnsi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HAnsi" w:hAnsi="Times New Roman"/>
      <w:sz w:val="24"/>
      <w:szCs w:val="22"/>
      <w:lang w:val="hr-HR" w:eastAsia="en-US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  <w:szCs w:val="22"/>
      <w:lang w:eastAsia="en-US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classification">
    <w:name w:val="Declassification"/>
    <w:basedOn w:val="Normal"/>
    <w:next w:val="Normal"/>
    <w:pPr>
      <w:spacing w:after="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eastAsiaTheme="minorHAnsi" w:hAnsi="Times New Roman"/>
      <w:sz w:val="24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eastAsiaTheme="minorHAnsi" w:hAnsi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Theme="minorHAnsi" w:hAnsi="Times New Roman"/>
      <w:sz w:val="24"/>
      <w:szCs w:val="22"/>
      <w:lang w:val="hr-HR"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eastAsiaTheme="minorHAnsi" w:hAnsi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Theme="minorHAnsi" w:hAnsi="Times New Roman"/>
      <w:sz w:val="24"/>
      <w:szCs w:val="22"/>
      <w:lang w:val="hr-HR" w:eastAsia="en-US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/>
      <w:sz w:val="24"/>
    </w:rPr>
  </w:style>
  <w:style w:type="character" w:customStyle="1" w:styleId="FooterCoverPageChar">
    <w:name w:val="Footer Cover Page Char"/>
    <w:link w:val="FooterCoverPage"/>
    <w:rPr>
      <w:rFonts w:ascii="Times New Roman" w:hAnsi="Times New Roman"/>
      <w:sz w:val="24"/>
      <w:szCs w:val="22"/>
      <w:lang w:eastAsia="en-US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/>
      <w:sz w:val="24"/>
    </w:rPr>
  </w:style>
  <w:style w:type="character" w:customStyle="1" w:styleId="HeaderCoverPageChar">
    <w:name w:val="Header Cover Page Char"/>
    <w:link w:val="HeaderCoverPage"/>
    <w:rPr>
      <w:rFonts w:ascii="Times New Roman" w:hAnsi="Times New Roman"/>
      <w:sz w:val="24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customStyle="1" w:styleId="Declassification">
    <w:name w:val="Declassification"/>
    <w:basedOn w:val="Normal"/>
    <w:next w:val="Normal"/>
    <w:pPr>
      <w:spacing w:after="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after="120" w:line="240" w:lineRule="auto"/>
      <w:jc w:val="both"/>
    </w:pPr>
    <w:rPr>
      <w:rFonts w:ascii="Times New Roman" w:eastAsiaTheme="minorHAnsi" w:hAnsi="Times New Roman"/>
      <w:sz w:val="24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 w:line="240" w:lineRule="auto"/>
      <w:ind w:left="-567" w:right="-567"/>
    </w:pPr>
    <w:rPr>
      <w:rFonts w:ascii="Times New Roman" w:eastAsiaTheme="minorHAnsi" w:hAnsi="Times New Roman"/>
      <w:sz w:val="24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/>
      <w:b/>
      <w:sz w:val="32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microsoft.com/office/2007/relationships/stylesWithEffects" Target="stylesWithEffect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eur-lex.europa.eu/budget/www/index-hr.ht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94</Words>
  <Characters>587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658</CharactersWithSpaces>
  <SharedDoc>false</SharedDoc>
  <HLinks>
    <vt:vector size="6" baseType="variant">
      <vt:variant>
        <vt:i4>5046279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http://eur-lex.europa.eu/budget/www/index-en.htm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17</cp:revision>
  <cp:lastPrinted>2014-05-21T15:05:00Z</cp:lastPrinted>
  <dcterms:created xsi:type="dcterms:W3CDTF">2019-06-27T10:35:00Z</dcterms:created>
  <dcterms:modified xsi:type="dcterms:W3CDTF">2019-07-05T07:28:00Z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Green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Level of sensitivity">
    <vt:lpwstr>Standard treatment</vt:lpwstr>
  </property>
  <property fmtid="{D5CDD505-2E9C-101B-9397-08002B2CF9AE}" pid="6" name="Last edited using">
    <vt:lpwstr>LW 6.0.1, Build 20180503</vt:lpwstr>
  </property>
  <property fmtid="{D5CDD505-2E9C-101B-9397-08002B2CF9AE}" pid="7" name="Created using">
    <vt:lpwstr>LW 6.0.1, Build 20180503</vt:lpwstr>
  </property>
  <property name="OP_sanitized" fmtid="{D5CDD505-2E9C-101B-9397-08002B2CF9AE}" pid="8">
    <vt:lpwstr>True</vt:lpwstr>
  </property>
</Properties>
</file>