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4EEFD0A-4C1B-46AD-8E55-0C3970FB4227" style="width:450.5pt;height:307.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numPr>
          <w:ilvl w:val="0"/>
          <w:numId w:val="1"/>
        </w:numPr>
        <w:spacing w:after="240" w:line="240" w:lineRule="auto"/>
        <w:ind w:left="714" w:hanging="357"/>
        <w:rPr>
          <w:rFonts w:ascii="Times New Roman" w:hAnsi="Times New Roman" w:cs="Times New Roman"/>
          <w:b/>
          <w:bCs/>
          <w:noProof/>
          <w:sz w:val="24"/>
          <w:szCs w:val="24"/>
        </w:rPr>
      </w:pPr>
      <w:bookmarkStart w:id="1" w:name="_GoBack"/>
      <w:bookmarkEnd w:id="1"/>
      <w:r>
        <w:rPr>
          <w:rFonts w:ascii="Times New Roman" w:hAnsi="Times New Roman" w:cs="Times New Roman"/>
          <w:b/>
          <w:noProof/>
          <w:sz w:val="24"/>
          <w:szCs w:val="24"/>
        </w:rPr>
        <w:lastRenderedPageBreak/>
        <w:t>UVOD – EUROPSKA STRATEGIJA ZA UMJETNU INTELIGENCIJU</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Umjetna inteligencija ima potencijal da naš svijet promijeni na bolje: njezinom upotrebom može se poboljšati zdravstvena zaštita, smanjiti potrošnja energije, povećati sigurnost automobila te povećati učinkovitost upotrebe vode i prirodnih resursa u poljoprivredi. Umjetna inteligencija može se upotrijebiti za predviđanje okolišnih i klimatskih promjena, za poboljšanje upravljanja financijskim rizikom i izradu proizvoda prilagođenih našim potrebama, uz manje otpada. Umjetna inteligencija također može pomoći u otkrivanju prijevara i kibersigurnosnih prijetnji, a tijelima kaznenog progona omogućuje učinkovitiju borbu protiv kriminala.</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Umjetna inteligencija može koristiti cijelom društvu i gospodarstvu. Riječ je o strateškoj tehnologiji koja se ubrzano razvija i upotrebljava posvuda u svijetu. Međutim, umjetna inteligencija donosi nove izazove za budućnost rada i otvara pravna i etička pitanja.</w:t>
      </w:r>
    </w:p>
    <w:p>
      <w:pPr>
        <w:spacing w:after="120" w:line="240" w:lineRule="auto"/>
        <w:jc w:val="both"/>
        <w:rPr>
          <w:rFonts w:ascii="Times New Roman" w:hAnsi="Times New Roman" w:cs="Times New Roman"/>
          <w:bCs/>
          <w:noProof/>
          <w:sz w:val="24"/>
          <w:szCs w:val="24"/>
        </w:rPr>
      </w:pPr>
      <w:r>
        <w:rPr>
          <w:rFonts w:ascii="Times New Roman" w:hAnsi="Times New Roman" w:cs="Times New Roman"/>
          <w:b/>
          <w:noProof/>
          <w:sz w:val="24"/>
          <w:szCs w:val="24"/>
        </w:rPr>
        <w:t>Kako bi odgovorila na te izazove i u najvećoj mogućoj mjeri iskoristila mogućnosti koje pruža umjetna inteligencija, Komisija je u travnju 2018. objavila europsku strategiju</w:t>
      </w:r>
      <w:r>
        <w:rPr>
          <w:rStyle w:val="FootnoteReference"/>
          <w:rFonts w:ascii="Times New Roman" w:hAnsi="Times New Roman" w:cs="Times New Roman"/>
          <w:noProof/>
          <w:sz w:val="24"/>
          <w:szCs w:val="24"/>
        </w:rPr>
        <w:footnoteReference w:id="1"/>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U strategiji su ljudi smješteni u središte razvoja umjetne inteligencije – </w:t>
      </w:r>
      <w:r>
        <w:rPr>
          <w:rFonts w:ascii="Times New Roman" w:hAnsi="Times New Roman" w:cs="Times New Roman"/>
          <w:b/>
          <w:noProof/>
          <w:sz w:val="24"/>
          <w:szCs w:val="24"/>
        </w:rPr>
        <w:t>antropocentrične umjetne inteligencije</w:t>
      </w:r>
      <w:r>
        <w:rPr>
          <w:rFonts w:ascii="Times New Roman" w:hAnsi="Times New Roman" w:cs="Times New Roman"/>
          <w:noProof/>
          <w:sz w:val="24"/>
          <w:szCs w:val="24"/>
        </w:rPr>
        <w:t xml:space="preserve">. </w:t>
      </w:r>
      <w:r>
        <w:rPr>
          <w:rFonts w:ascii="Times New Roman" w:hAnsi="Times New Roman" w:cs="Times New Roman"/>
          <w:noProof/>
          <w:color w:val="000000" w:themeColor="text1"/>
          <w:sz w:val="24"/>
          <w:szCs w:val="24"/>
        </w:rPr>
        <w:t>Riječ</w:t>
      </w:r>
      <w:r>
        <w:rPr>
          <w:rFonts w:ascii="Times New Roman" w:hAnsi="Times New Roman" w:cs="Times New Roman"/>
          <w:noProof/>
          <w:sz w:val="24"/>
          <w:szCs w:val="24"/>
        </w:rPr>
        <w:t xml:space="preserve"> je o trostranom pristupu za jačanje tehnoloških i industrijskih kapaciteta EU-a te uvođenje umjetne inteligencije u cijelom gospodarstvu, pripremu za društveno-gospodarske promjene i </w:t>
      </w:r>
      <w:r>
        <w:rPr>
          <w:rFonts w:ascii="Times New Roman" w:hAnsi="Times New Roman" w:cs="Times New Roman"/>
          <w:noProof/>
          <w:color w:val="000000"/>
          <w:sz w:val="24"/>
          <w:szCs w:val="24"/>
        </w:rPr>
        <w:t>uspostavu</w:t>
      </w:r>
      <w:r>
        <w:rPr>
          <w:rFonts w:ascii="Times New Roman" w:hAnsi="Times New Roman" w:cs="Times New Roman"/>
          <w:noProof/>
          <w:sz w:val="24"/>
          <w:szCs w:val="24"/>
        </w:rPr>
        <w:t xml:space="preserve"> odgovarajućeg etičkog i pravnog okvira.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Kako bi ostvarila ciljeve strategije za umjetnu inteligenciju, </w:t>
      </w:r>
      <w:r>
        <w:rPr>
          <w:rFonts w:ascii="Times New Roman" w:hAnsi="Times New Roman" w:cs="Times New Roman"/>
          <w:b/>
          <w:noProof/>
          <w:sz w:val="24"/>
          <w:szCs w:val="24"/>
        </w:rPr>
        <w:t>Komisija je s državama članicama izradila koordinirani plan za umjetnu inteligenciju</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i predstavila ga u prosincu 2018. Svrha je plana stvoriti sinergije, prikupiti podatke (sirovinu za mnoge primjene umjetne inteligencije) i povećati zajednička ulaganja. Cilj je potaknuti prekograničnu suradnju i mobilizirati sve dionike kako bi se povećala javna i privatna ulaganja na </w:t>
      </w:r>
      <w:r>
        <w:rPr>
          <w:rFonts w:ascii="Times New Roman" w:hAnsi="Times New Roman" w:cs="Times New Roman"/>
          <w:b/>
          <w:noProof/>
          <w:sz w:val="24"/>
          <w:szCs w:val="24"/>
        </w:rPr>
        <w:t>najmanje 20 milijardi EUR</w:t>
      </w:r>
      <w:r>
        <w:rPr>
          <w:rFonts w:ascii="Times New Roman" w:hAnsi="Times New Roman" w:cs="Times New Roman"/>
          <w:noProof/>
          <w:sz w:val="24"/>
          <w:szCs w:val="24"/>
        </w:rPr>
        <w:t xml:space="preserve"> godišnje tijekom sljedećeg desetljeća</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Komisija je udvostručila svoja ulaganja u umjetnu inteligenciju u okviru programa Obzor 2020. i planira svake godine uložiti 1 milijardu EUR iz programâ Obzor Europa i Digitalna Europa, osobito za potporu zajedničkim podatkovnim prostorima u zdravstvu, prometu i proizvodnji te velikim objektima za eksperimentiranje, kao što su pametne bolnice i infrastrukture za automatizirana vozila te strateški istraživački program.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Komisija je u cilju provedbe takvog zajedničkog strateškog plana istraživanja, inovacija i uvođenja pojačala </w:t>
      </w:r>
      <w:r>
        <w:rPr>
          <w:rFonts w:ascii="Times New Roman" w:hAnsi="Times New Roman" w:cs="Times New Roman"/>
          <w:b/>
          <w:noProof/>
          <w:sz w:val="24"/>
          <w:szCs w:val="24"/>
        </w:rPr>
        <w:t>dijalog sa svim relevantnim dionicima</w:t>
      </w:r>
      <w:r>
        <w:rPr>
          <w:rFonts w:ascii="Times New Roman" w:hAnsi="Times New Roman" w:cs="Times New Roman"/>
          <w:noProof/>
          <w:sz w:val="24"/>
          <w:szCs w:val="24"/>
        </w:rPr>
        <w:t xml:space="preserve"> iz industrije, istraživačkih instituta i tijela javne vlasti. Novi program Digitalna Europa imat će ključnu ulogu i u povećanju dostupnosti umjetne inteligencije malim i srednjim poduzećima u svim državama članicama putem digitalnoinovacijskih centara, poboljšanih objekata za testiranje i eksperimentiranje, podatkovnih prostora i programa osposobljavanja.</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Europskim etičkim pristupom umjetnoj inteligenciji, koji se temelji na </w:t>
      </w:r>
      <w:r>
        <w:rPr>
          <w:rFonts w:ascii="Times New Roman" w:hAnsi="Times New Roman" w:cs="Times New Roman"/>
          <w:noProof/>
          <w:color w:val="000000"/>
          <w:sz w:val="24"/>
          <w:szCs w:val="24"/>
        </w:rPr>
        <w:t>ugledu</w:t>
      </w:r>
      <w:r>
        <w:rPr>
          <w:rFonts w:ascii="Times New Roman" w:hAnsi="Times New Roman" w:cs="Times New Roman"/>
          <w:noProof/>
          <w:sz w:val="24"/>
          <w:szCs w:val="24"/>
        </w:rPr>
        <w:t xml:space="preserve"> koji Europa ima u području sigurnosti i visoke kvalitete proizvoda, jača se </w:t>
      </w:r>
      <w:r>
        <w:rPr>
          <w:rFonts w:ascii="Times New Roman" w:hAnsi="Times New Roman" w:cs="Times New Roman"/>
          <w:noProof/>
          <w:color w:val="000000"/>
          <w:sz w:val="24"/>
          <w:szCs w:val="24"/>
        </w:rPr>
        <w:t>povjerenje građana u digitalni razvoj</w:t>
      </w:r>
      <w:r>
        <w:rPr>
          <w:rFonts w:ascii="Times New Roman" w:hAnsi="Times New Roman" w:cs="Times New Roman"/>
          <w:noProof/>
          <w:sz w:val="24"/>
          <w:szCs w:val="24"/>
        </w:rPr>
        <w:t xml:space="preserve"> i nastoji ostvariti konkurentska prednost europskih poduzeća u sektoru umjetne inteligencije. Svrha je ove Komunikacije pokrenuti sveobuhvatnu pilot-fazu uz sudjelovanje najšireg spektra dionika kako bi se provjerila praktična provedba etičkih smjernica za razvoj i primjenu umjetne inteligencije. </w:t>
      </w:r>
    </w:p>
    <w:p>
      <w:pPr>
        <w:spacing w:after="120" w:line="240" w:lineRule="auto"/>
        <w:jc w:val="both"/>
        <w:rPr>
          <w:rFonts w:ascii="Times New Roman" w:eastAsia="Times New Roman" w:hAnsi="Times New Roman" w:cs="Times New Roman"/>
          <w:noProof/>
          <w:sz w:val="24"/>
          <w:szCs w:val="24"/>
          <w:u w:val="single"/>
        </w:rPr>
      </w:pPr>
    </w:p>
    <w:p>
      <w:pPr>
        <w:numPr>
          <w:ilvl w:val="0"/>
          <w:numId w:val="1"/>
        </w:numPr>
        <w:spacing w:after="240" w:line="240" w:lineRule="auto"/>
        <w:ind w:left="714" w:hanging="357"/>
        <w:rPr>
          <w:rFonts w:ascii="Times New Roman" w:hAnsi="Times New Roman" w:cs="Times New Roman"/>
          <w:b/>
          <w:bCs/>
          <w:noProof/>
          <w:sz w:val="24"/>
          <w:szCs w:val="24"/>
        </w:rPr>
      </w:pPr>
      <w:r>
        <w:rPr>
          <w:rFonts w:ascii="Times New Roman" w:hAnsi="Times New Roman" w:cs="Times New Roman"/>
          <w:b/>
          <w:noProof/>
          <w:sz w:val="24"/>
          <w:szCs w:val="24"/>
        </w:rPr>
        <w:t xml:space="preserve">IZGRADNJA POVJERENJA U ANTROPOCENTRIČNU UMJETNU INTELIGENCIJU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U europskoj strategiji za umjetnu inteligenciju i koordiniranom planu jasno je navedeno da je </w:t>
      </w:r>
      <w:r>
        <w:rPr>
          <w:rFonts w:ascii="Times New Roman" w:hAnsi="Times New Roman" w:cs="Times New Roman"/>
          <w:b/>
          <w:noProof/>
          <w:sz w:val="24"/>
          <w:szCs w:val="24"/>
        </w:rPr>
        <w:t>povjerenje preduvjet da se osigura antropocentrični pristup umjetnoj inteligenciji</w:t>
      </w:r>
      <w:r>
        <w:rPr>
          <w:rFonts w:ascii="Times New Roman" w:hAnsi="Times New Roman" w:cs="Times New Roman"/>
          <w:noProof/>
          <w:sz w:val="24"/>
          <w:szCs w:val="24"/>
        </w:rPr>
        <w:t xml:space="preserve">: umjetna inteligencija sama po sebi nije cilj, nego sredstvo koje treba služiti ljudima za ostvarenje krajnjeg cilja – veće dobrobiti ljudi. Kako bi se to postiglo, </w:t>
      </w:r>
      <w:r>
        <w:rPr>
          <w:rFonts w:ascii="Times New Roman" w:hAnsi="Times New Roman" w:cs="Times New Roman"/>
          <w:b/>
          <w:noProof/>
          <w:sz w:val="24"/>
          <w:szCs w:val="24"/>
        </w:rPr>
        <w:t>potrebno je osigurati pouzdanost umjetne inteligencije</w:t>
      </w:r>
      <w:r>
        <w:rPr>
          <w:rFonts w:ascii="Times New Roman" w:hAnsi="Times New Roman" w:cs="Times New Roman"/>
          <w:noProof/>
          <w:sz w:val="24"/>
          <w:szCs w:val="24"/>
        </w:rPr>
        <w:t>. Potrebno je vrijednosti na kojima se naša društva temelje u potpunosti integrirati u razvoj umjetne inteligencije.</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Unija se temelji na </w:t>
      </w:r>
      <w:r>
        <w:rPr>
          <w:rFonts w:ascii="Times New Roman" w:hAnsi="Times New Roman" w:cs="Times New Roman"/>
          <w:b/>
          <w:noProof/>
          <w:sz w:val="24"/>
          <w:szCs w:val="24"/>
        </w:rPr>
        <w:t>vrijednostima poštovanja ljudskog dostojanstva, slobode, demokracije, jednakosti, vladavine prava i poštovanja ljudskih prava</w:t>
      </w:r>
      <w:r>
        <w:rPr>
          <w:rFonts w:ascii="Times New Roman" w:hAnsi="Times New Roman" w:cs="Times New Roman"/>
          <w:noProof/>
          <w:sz w:val="24"/>
          <w:szCs w:val="24"/>
        </w:rPr>
        <w:t>, uključujući i prava pripadnika manjina</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Te su vrijednosti zajedničke društvima svih država članica, u kojima prevladavaju pluralizam, nediskriminacija, tolerancija, pravda, solidarnost i jednakost. Nadalje, u </w:t>
      </w:r>
      <w:r>
        <w:rPr>
          <w:rFonts w:ascii="Times New Roman" w:hAnsi="Times New Roman" w:cs="Times New Roman"/>
          <w:b/>
          <w:noProof/>
          <w:sz w:val="24"/>
          <w:szCs w:val="24"/>
        </w:rPr>
        <w:t>Povelji EU-a o temeljnim pravima</w:t>
      </w:r>
      <w:r>
        <w:rPr>
          <w:rFonts w:ascii="Times New Roman" w:hAnsi="Times New Roman" w:cs="Times New Roman"/>
          <w:noProof/>
          <w:sz w:val="24"/>
          <w:szCs w:val="24"/>
        </w:rPr>
        <w:t xml:space="preserve"> na jednom su mjestu obuhvaćena sva osobna, građanska, politička, gospodarska i socijalna prava stanovnika EU-a. </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EU ima </w:t>
      </w:r>
      <w:r>
        <w:rPr>
          <w:rFonts w:ascii="Times New Roman" w:hAnsi="Times New Roman" w:cs="Times New Roman"/>
          <w:b/>
          <w:noProof/>
          <w:sz w:val="24"/>
          <w:szCs w:val="24"/>
        </w:rPr>
        <w:t>snažan regulatorni okvir</w:t>
      </w:r>
      <w:r>
        <w:rPr>
          <w:rFonts w:ascii="Times New Roman" w:hAnsi="Times New Roman" w:cs="Times New Roman"/>
          <w:noProof/>
          <w:sz w:val="24"/>
          <w:szCs w:val="24"/>
        </w:rPr>
        <w:t xml:space="preserve"> koji će postaviti globalni standard za antropocentričnu umjetnu inteligenciju. Općom uredbom o zaštiti podataka osigurava se visok standard zaštite osobnih podataka i nalaže se provedba mjera za osiguravanje integrirane i zadane zaštite podataka</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Uredbom o slobodnom protoku neosobnih podataka uklanjaju se prepreke slobodnom kretanju neosobnih podataka i osigurava obrada svih kategorija podataka bilo gdje u Europi. Nedavno donesenim aktom o kibersigurnosti pridonijet će se jačanju povjerenja u svijetu interneta, a ista je svrha i predložene Uredbe o e-privatnosti</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Bez obzira na to, umjetna inteligencija donosi nove izazove jer strojevima omogućuje „učenje” te donošenje i provedbu odluka bez ljudske intervencije. Ta vrsta funkcionalnosti ubrzo će postati standardna u mnogim vrstama roba i usluga, od pametnih telefona do automatiziranih automobila, robota i internetskih aplikacija. Ipak, odluke koje donose algoritmi mogu se temeljiti na nepotpunim, a stoga i nepouzdanim podacima, podacima koje su kibernetički napadači izmijenili, koji bi mogli biti pristrani ili jednostavno pogrešni. Nepromišljena primjena netom razvijene tehnologije mogla bi stoga dovesti do problematičnih ishoda kao i nesklonosti građana da je prihvate ili upotrebljavaju.</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Umjesto toga, tehnologiju umjetne inteligencije trebalo bi razvijati na način koji ljude stavlja u njezino središte i time stječe njihovo povjerenje. To znači da bi primjene umjetne inteligencije trebale biti ne samo u skladu sa zakonom, nego i u skladu s etičkim načelima te bi trebalo osigurati da njihovom provedbom ne nastaju neželjene štete. U svakoj fazi razvoja umjetne inteligencije trebalo bi osigurati raznolikost u pogledu spola, rasnog ili etničkog podrijetla, </w:t>
      </w:r>
      <w:r>
        <w:rPr>
          <w:rStyle w:val="Emphasis"/>
          <w:rFonts w:ascii="Times New Roman" w:hAnsi="Times New Roman" w:cs="Times New Roman"/>
          <w:i w:val="0"/>
          <w:noProof/>
          <w:sz w:val="24"/>
          <w:szCs w:val="24"/>
        </w:rPr>
        <w:t>vjere</w:t>
      </w:r>
      <w:r>
        <w:rPr>
          <w:rFonts w:ascii="Times New Roman" w:hAnsi="Times New Roman" w:cs="Times New Roman"/>
          <w:noProof/>
          <w:sz w:val="24"/>
          <w:szCs w:val="24"/>
        </w:rPr>
        <w:t xml:space="preserve"> ili uvjerenja, </w:t>
      </w:r>
      <w:r>
        <w:rPr>
          <w:rStyle w:val="Emphasis"/>
          <w:rFonts w:ascii="Times New Roman" w:hAnsi="Times New Roman" w:cs="Times New Roman"/>
          <w:i w:val="0"/>
          <w:noProof/>
          <w:sz w:val="24"/>
          <w:szCs w:val="24"/>
        </w:rPr>
        <w:t>invaliditeta</w:t>
      </w:r>
      <w:r>
        <w:rPr>
          <w:rFonts w:ascii="Times New Roman" w:hAnsi="Times New Roman" w:cs="Times New Roman"/>
          <w:noProof/>
          <w:sz w:val="24"/>
          <w:szCs w:val="24"/>
        </w:rPr>
        <w:t xml:space="preserve"> i dobi. Primjene umjetne inteligencije trebale bi osnažiti građane i poštovati njihova temeljna prava. Njihov bi cilj trebao biti poboljšanje sposobnosti ljudi, a ne njihova zamjena, kao i omogućivanje pristupa osobama s invaliditetom.</w:t>
      </w:r>
      <w:r>
        <w:rPr>
          <w:rStyle w:val="CommentReference"/>
          <w:rFonts w:ascii="Times New Roman" w:hAnsi="Times New Roman" w:cs="Times New Roman"/>
          <w:noProof/>
          <w:sz w:val="24"/>
          <w:szCs w:val="24"/>
        </w:rPr>
        <w:t xml:space="preserve"> </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Stoga je potrebno utvrditi </w:t>
      </w:r>
      <w:r>
        <w:rPr>
          <w:rFonts w:ascii="Times New Roman" w:hAnsi="Times New Roman" w:cs="Times New Roman"/>
          <w:b/>
          <w:noProof/>
          <w:sz w:val="24"/>
          <w:szCs w:val="24"/>
        </w:rPr>
        <w:t>etičke smjernice</w:t>
      </w:r>
      <w:r>
        <w:rPr>
          <w:rFonts w:ascii="Times New Roman" w:hAnsi="Times New Roman" w:cs="Times New Roman"/>
          <w:noProof/>
          <w:sz w:val="24"/>
          <w:szCs w:val="24"/>
        </w:rPr>
        <w:t xml:space="preserve"> koje će se temeljiti na postojećem regulatornom okviru i kojih bi se trebali pridržavati nositelji projekata, dobavljači i korisnici umjetne inteligencije na unutarnjem tržištu, čime bi se uspostavili jednaki etički uvjeti u svim državama članicama. Zato je Komisija osnovala </w:t>
      </w:r>
      <w:r>
        <w:rPr>
          <w:rFonts w:ascii="Times New Roman" w:hAnsi="Times New Roman" w:cs="Times New Roman"/>
          <w:b/>
          <w:noProof/>
          <w:sz w:val="24"/>
          <w:szCs w:val="24"/>
        </w:rPr>
        <w:t>stručnu skupinu na visokoj razini za umjetnu inteligenciju</w:t>
      </w:r>
      <w:r>
        <w:rPr>
          <w:rStyle w:val="FootnoteReference"/>
          <w:rFonts w:ascii="Times New Roman" w:hAnsi="Times New Roman" w:cs="Times New Roman"/>
          <w:b/>
          <w:noProof/>
          <w:sz w:val="24"/>
          <w:szCs w:val="24"/>
        </w:rPr>
        <w:footnoteReference w:id="7"/>
      </w:r>
      <w:r>
        <w:rPr>
          <w:rFonts w:ascii="Times New Roman" w:hAnsi="Times New Roman" w:cs="Times New Roman"/>
          <w:noProof/>
          <w:sz w:val="24"/>
          <w:szCs w:val="24"/>
        </w:rPr>
        <w:t xml:space="preserve">, koja okuplja širok spektar dionika, te ju je zadužila za izradu etičkih smjernica za umjetnu inteligenciju i preporuka za općenitiju politiku umjetne inteligencije. Istodobno je osnovan </w:t>
      </w:r>
      <w:r>
        <w:rPr>
          <w:rFonts w:ascii="Times New Roman" w:hAnsi="Times New Roman" w:cs="Times New Roman"/>
          <w:b/>
          <w:noProof/>
          <w:sz w:val="24"/>
          <w:szCs w:val="24"/>
        </w:rPr>
        <w:t>Europski savez za umjetnu inteligenciju</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otvorena višedionička platforma s više od 2700 članova kako bi se omogućilo šire sudjelovanje i doprinos radu stručne skupine na visokoj razini za umjetnu inteligenciju.</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Stručna skupina na visokoj razini za umjetnu inteligenciju objavila je prvi nacrt etičkih smjernica u prosincu 2018. Nakon </w:t>
      </w:r>
      <w:r>
        <w:rPr>
          <w:rFonts w:ascii="Times New Roman" w:hAnsi="Times New Roman" w:cs="Times New Roman"/>
          <w:b/>
          <w:noProof/>
          <w:sz w:val="24"/>
          <w:szCs w:val="24"/>
        </w:rPr>
        <w:t>savjetovanja s dionicima</w:t>
      </w:r>
      <w:r>
        <w:rPr>
          <w:rStyle w:val="FootnoteReference"/>
          <w:rFonts w:ascii="Times New Roman" w:hAnsi="Times New Roman" w:cs="Times New Roman"/>
          <w:noProof/>
          <w:sz w:val="24"/>
          <w:szCs w:val="24"/>
        </w:rPr>
        <w:footnoteReference w:id="9"/>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 </w:t>
      </w:r>
      <w:r>
        <w:rPr>
          <w:rFonts w:ascii="Times New Roman" w:hAnsi="Times New Roman" w:cs="Times New Roman"/>
          <w:b/>
          <w:noProof/>
          <w:sz w:val="24"/>
          <w:szCs w:val="24"/>
        </w:rPr>
        <w:t>sastanaka s predstavnicima država članica</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stručna skupina za umjetnu inteligenciju dostavila je Komisiji revidirani dokument u ožujku 2019. Dionici su u povratnim informacijama općenito pozdravili praktičnost smjernica koje nositeljima projekata, dobavljačima i korisnicima umjetne inteligencije pružaju konkretne upute o načinima za osiguranje pouzdanosti.</w:t>
      </w:r>
    </w:p>
    <w:p>
      <w:pPr>
        <w:spacing w:after="120" w:line="240" w:lineRule="auto"/>
        <w:jc w:val="both"/>
        <w:rPr>
          <w:rFonts w:ascii="Times New Roman" w:hAnsi="Times New Roman" w:cs="Times New Roman"/>
          <w:bCs/>
          <w:noProof/>
          <w:sz w:val="24"/>
          <w:szCs w:val="24"/>
        </w:rPr>
      </w:pPr>
    </w:p>
    <w:p>
      <w:pPr>
        <w:spacing w:after="240" w:line="240" w:lineRule="auto"/>
        <w:rPr>
          <w:rFonts w:ascii="Times New Roman" w:hAnsi="Times New Roman" w:cs="Times New Roman"/>
          <w:b/>
          <w:bCs/>
          <w:noProof/>
          <w:sz w:val="24"/>
          <w:szCs w:val="24"/>
        </w:rPr>
      </w:pPr>
      <w:r>
        <w:rPr>
          <w:rFonts w:ascii="Times New Roman" w:hAnsi="Times New Roman" w:cs="Times New Roman"/>
          <w:b/>
          <w:noProof/>
          <w:sz w:val="24"/>
          <w:szCs w:val="24"/>
        </w:rPr>
        <w:t>2.1. Smjernice za pouzdanu umjetnu inteligenciju koje je izradila skupina stručnjaka na visokoj razini za umjetnu inteligenciju</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Smjernice koje je izradila skupina stručnjaka na visokoj razini za umjetnu inteligenciju, na koje se upućuje u ovoj Komunikaciji</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posebno se oslanjaju na rad Europske skupine za etiku u znanosti i novim tehnologijama i Agencije Europske unije za temeljna prava.</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Osnovna je pretpostavka smjernica da su za uspostavu „pouzdane umjetne inteligencije” nužna tri uvjeta: (1) mora biti u skladu sa zakonom, (2) mora poštovati etička načela i (3) mora biti pouzdana.</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Na temelju tih triju uvjeta i europskih vrijednosti utvrđenih u odjeljku 2., u smjernicama je utvrđeno sedam ključnih zahtjeva koje je potrebno ispuniti da bi se primjene umjetne inteligencije mogle smatrati pouzdanima. Smjernice također uključuju popis za procjenu kako bi se provjerilo jesu li ti zahtjevi ispunjeni.</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Sedam ključnih zahtjeva su:</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ljudsko djelovanje i nadzor </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tehnička stabilnost i sigurnost</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privatnost i upravljanje podacima </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transparentnost </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raznolikost, nediskriminacija i pravednost</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društvena i okolišna dobrobit</w:t>
      </w:r>
    </w:p>
    <w:p>
      <w:pPr>
        <w:numPr>
          <w:ilvl w:val="0"/>
          <w:numId w:val="4"/>
        </w:numPr>
        <w:spacing w:after="120" w:line="240" w:lineRule="auto"/>
        <w:ind w:left="714" w:hanging="357"/>
        <w:jc w:val="both"/>
        <w:rPr>
          <w:rFonts w:ascii="Times New Roman" w:eastAsia="Times New Roman" w:hAnsi="Times New Roman" w:cs="Times New Roman"/>
          <w:noProof/>
          <w:sz w:val="24"/>
          <w:szCs w:val="24"/>
        </w:rPr>
      </w:pPr>
      <w:r>
        <w:rPr>
          <w:rFonts w:ascii="Times New Roman" w:hAnsi="Times New Roman" w:cs="Times New Roman"/>
          <w:noProof/>
          <w:sz w:val="24"/>
          <w:szCs w:val="24"/>
        </w:rPr>
        <w:t>odgovornost.</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Iako se ti zahtjevi odnose na sve sustave umjetne inteligencije u različitim okruženjima i industrijama, za njihovu je konkretnu i razmjernu provedbu potrebno uzeti u obzir konkretan kontekst njihove primjene, uzimajući u obzir pristup koji se temelji na učinku. Na primjer, primjena umjetne inteligencije kojom se predlaže čitanje neprikladne knjige bitno je manje opasna od pogrešnog dijagnosticiranja raka te se stoga na nju može primjenjivati blaži nadzor.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Smjernice koje je izradila skupina stručnjaka na visokoj razini za umjetnu inteligenciju nisu obvezujuće i stoga ne stvaraju nikakve nove pravne obveze. Međutim, mnogi postojeći propisi Unije (koji su često specifični za određenu primjenu ili određeno područje) već odražavaju jedan ili više ključnih zahtjeva, na primjer sigurnost, zaštita osobnih podataka te pravila o privatnosti ili zaštiti okoliša.</w:t>
      </w:r>
    </w:p>
    <w:p>
      <w:pPr>
        <w:spacing w:after="120" w:line="240" w:lineRule="auto"/>
        <w:jc w:val="both"/>
        <w:rPr>
          <w:rFonts w:ascii="Times New Roman" w:eastAsia="Times New Roman" w:hAnsi="Times New Roman" w:cs="Times New Roman"/>
          <w:noProof/>
          <w:sz w:val="24"/>
          <w:szCs w:val="24"/>
        </w:rPr>
      </w:pP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Komisija pozdravlja rad stručne skupine na visokoj razini za umjetnu inteligenciju i smatra ga vrijednim doprinosom pri izradi njezinih politika.</w:t>
      </w:r>
    </w:p>
    <w:p>
      <w:pPr>
        <w:spacing w:after="120" w:line="240" w:lineRule="auto"/>
        <w:jc w:val="both"/>
        <w:rPr>
          <w:rFonts w:ascii="Times New Roman" w:eastAsia="Times New Roman" w:hAnsi="Times New Roman" w:cs="Times New Roman"/>
          <w:noProof/>
          <w:sz w:val="24"/>
          <w:szCs w:val="24"/>
        </w:rPr>
      </w:pPr>
    </w:p>
    <w:p>
      <w:pPr>
        <w:spacing w:after="240" w:line="240" w:lineRule="auto"/>
        <w:jc w:val="both"/>
        <w:rPr>
          <w:rFonts w:ascii="Times New Roman" w:eastAsia="Times New Roman" w:hAnsi="Times New Roman" w:cs="Times New Roman"/>
          <w:b/>
          <w:noProof/>
          <w:sz w:val="24"/>
          <w:szCs w:val="24"/>
        </w:rPr>
      </w:pPr>
      <w:r>
        <w:rPr>
          <w:rFonts w:ascii="Times New Roman" w:hAnsi="Times New Roman" w:cs="Times New Roman"/>
          <w:b/>
          <w:noProof/>
          <w:sz w:val="24"/>
          <w:szCs w:val="24"/>
        </w:rPr>
        <w:t xml:space="preserve">2.2. Ključni zahtjevi za pouzdanu umjetnu inteligenciju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Komisija podržava sljedeće ključne zahtjeve za pouzdanu umjetnu inteligenciju</w:t>
      </w:r>
      <w:r>
        <w:rPr>
          <w:rFonts w:ascii="Times New Roman" w:hAnsi="Times New Roman" w:cs="Times New Roman"/>
          <w:noProof/>
          <w:sz w:val="24"/>
          <w:szCs w:val="24"/>
        </w:rPr>
        <w:t>, koji se temelje na europskim vrijednostima. Ona potiče dionike da primjenjuju zahtjeve i testiraju popis za procjenu u kojem se zahtjevi operacionaliziraju kako bi se stvorilo pravo okruženje povjerenja za uspješan razvoj i upotrebu umjetne inteligencije. Komisija izražava zadovoljstvo zbog povratnih informacija koje je dobila od dionika kako bi ocijenila treba li popis za procjenu iz smjernica dodatno prilagoditi.</w:t>
      </w:r>
    </w:p>
    <w:p>
      <w:pPr>
        <w:spacing w:after="120" w:line="240" w:lineRule="auto"/>
        <w:jc w:val="both"/>
        <w:rPr>
          <w:rFonts w:ascii="Times New Roman" w:eastAsia="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Ljudsko djelovanje i nadzor</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eastAsiaTheme="minorHAnsi" w:hAnsi="Times New Roman" w:cs="Times New Roman"/>
          <w:noProof/>
          <w:sz w:val="24"/>
          <w:szCs w:val="24"/>
        </w:rPr>
        <w:t xml:space="preserve">Sustavi umjetne inteligencije trebali bi podupirati pojedince u boljem donošenju informiranih odluka u skladu s njihovim ciljevima. Oni bi trebali djelovati kao pokretači naprednog i pravednog društva podupiranjem ljudskog djelovanja i </w:t>
      </w:r>
      <w:r>
        <w:rPr>
          <w:rFonts w:ascii="Times New Roman" w:eastAsiaTheme="minorHAnsi" w:hAnsi="Times New Roman" w:cs="Times New Roman"/>
          <w:b/>
          <w:noProof/>
          <w:sz w:val="24"/>
          <w:szCs w:val="24"/>
        </w:rPr>
        <w:t>temeljnih prava</w:t>
      </w:r>
      <w:r>
        <w:rPr>
          <w:rFonts w:ascii="Times New Roman" w:eastAsiaTheme="minorHAnsi" w:hAnsi="Times New Roman" w:cs="Times New Roman"/>
          <w:noProof/>
          <w:sz w:val="24"/>
          <w:szCs w:val="24"/>
        </w:rPr>
        <w:t xml:space="preserve">, a ne smanjivati, ograničavati ili pogrešno usmjeravati ljudsku autonomiju. Ukupna </w:t>
      </w:r>
      <w:r>
        <w:rPr>
          <w:rFonts w:ascii="Times New Roman" w:eastAsiaTheme="minorHAnsi" w:hAnsi="Times New Roman" w:cs="Times New Roman"/>
          <w:b/>
          <w:noProof/>
          <w:sz w:val="24"/>
          <w:szCs w:val="24"/>
        </w:rPr>
        <w:t>dobrobit korisnika</w:t>
      </w:r>
      <w:r>
        <w:rPr>
          <w:rFonts w:ascii="Times New Roman" w:eastAsiaTheme="minorHAnsi" w:hAnsi="Times New Roman" w:cs="Times New Roman"/>
          <w:noProof/>
          <w:sz w:val="24"/>
          <w:szCs w:val="24"/>
        </w:rPr>
        <w:t xml:space="preserve"> trebala bi biti u središtu djelovanja sustava. </w:t>
      </w:r>
    </w:p>
    <w:p>
      <w:pPr>
        <w:pStyle w:val="Normal1"/>
        <w:widowControl w:val="0"/>
        <w:pBdr>
          <w:top w:val="nil"/>
          <w:left w:val="nil"/>
          <w:bottom w:val="nil"/>
          <w:right w:val="nil"/>
          <w:between w:val="nil"/>
        </w:pBdr>
        <w:spacing w:before="120" w:after="120" w:line="240" w:lineRule="auto"/>
        <w:ind w:left="357"/>
        <w:jc w:val="both"/>
        <w:rPr>
          <w:rFonts w:ascii="Times New Roman" w:eastAsiaTheme="minorHAnsi" w:hAnsi="Times New Roman" w:cs="Times New Roman"/>
          <w:noProof/>
          <w:sz w:val="24"/>
          <w:szCs w:val="24"/>
        </w:rPr>
      </w:pPr>
      <w:r>
        <w:rPr>
          <w:rFonts w:ascii="Times New Roman" w:hAnsi="Times New Roman" w:cs="Times New Roman"/>
          <w:noProof/>
          <w:sz w:val="24"/>
          <w:szCs w:val="24"/>
        </w:rPr>
        <w:t xml:space="preserve">Ljudskim nadzorom osigurava se da sustav umjetne inteligencije ne ugrozi autonomiju čovjeka ili da ne uzrokuje druge negativne učinke. Ovisno o konkretnom sustavu koji se temelji na umjetnoj inteligenciji i njegovu području primjene, potrebno je osigurati odgovarajuće stupnjeve </w:t>
      </w:r>
      <w:r>
        <w:rPr>
          <w:rFonts w:ascii="Times New Roman" w:eastAsiaTheme="minorHAnsi" w:hAnsi="Times New Roman" w:cs="Times New Roman"/>
          <w:b/>
          <w:noProof/>
          <w:sz w:val="24"/>
          <w:szCs w:val="24"/>
        </w:rPr>
        <w:t>kontrolnih mjera</w:t>
      </w:r>
      <w:r>
        <w:rPr>
          <w:rFonts w:ascii="Times New Roman" w:hAnsi="Times New Roman" w:cs="Times New Roman"/>
          <w:noProof/>
          <w:sz w:val="24"/>
          <w:szCs w:val="24"/>
        </w:rPr>
        <w:t>, uključujući prilagodljivost, točnost i objašnjivost takvih sustava</w:t>
      </w:r>
      <w:r>
        <w:rPr>
          <w:rStyle w:val="FootnoteReference"/>
          <w:rFonts w:ascii="Times New Roman" w:eastAsiaTheme="minorHAnsi" w:hAnsi="Times New Roman" w:cs="Times New Roman"/>
          <w:noProof/>
          <w:sz w:val="24"/>
          <w:szCs w:val="24"/>
        </w:rPr>
        <w:footnoteReference w:id="12"/>
      </w:r>
      <w:r>
        <w:rPr>
          <w:rFonts w:ascii="Times New Roman" w:hAnsi="Times New Roman" w:cs="Times New Roman"/>
          <w:noProof/>
          <w:sz w:val="24"/>
          <w:szCs w:val="24"/>
        </w:rPr>
        <w:t xml:space="preserve">. </w:t>
      </w:r>
      <w:r>
        <w:rPr>
          <w:rFonts w:ascii="Times New Roman" w:eastAsiaTheme="minorHAnsi" w:hAnsi="Times New Roman" w:cs="Times New Roman"/>
          <w:b/>
          <w:noProof/>
          <w:sz w:val="24"/>
          <w:szCs w:val="24"/>
        </w:rPr>
        <w:t>Nadzor</w:t>
      </w:r>
      <w:r>
        <w:rPr>
          <w:rFonts w:ascii="Times New Roman" w:hAnsi="Times New Roman" w:cs="Times New Roman"/>
          <w:noProof/>
          <w:sz w:val="24"/>
          <w:szCs w:val="24"/>
        </w:rPr>
        <w:t xml:space="preserve"> se može postići mehanizmima upravljanja kao što je osiguravanje ljudske intervencije (</w:t>
      </w:r>
      <w:r>
        <w:rPr>
          <w:rFonts w:ascii="Times New Roman" w:hAnsi="Times New Roman" w:cs="Times New Roman"/>
          <w:i/>
          <w:noProof/>
          <w:sz w:val="24"/>
          <w:szCs w:val="24"/>
        </w:rPr>
        <w:t>human-in-the-loop</w:t>
      </w:r>
      <w:r>
        <w:rPr>
          <w:rFonts w:ascii="Times New Roman" w:hAnsi="Times New Roman" w:cs="Times New Roman"/>
          <w:noProof/>
          <w:sz w:val="24"/>
          <w:szCs w:val="24"/>
        </w:rPr>
        <w:t>), ljudskog nadzora (</w:t>
      </w:r>
      <w:r>
        <w:rPr>
          <w:rFonts w:ascii="Times New Roman" w:hAnsi="Times New Roman" w:cs="Times New Roman"/>
          <w:i/>
          <w:noProof/>
          <w:sz w:val="24"/>
          <w:szCs w:val="24"/>
        </w:rPr>
        <w:t>human-on-the-loop</w:t>
      </w:r>
      <w:r>
        <w:rPr>
          <w:rFonts w:ascii="Times New Roman" w:hAnsi="Times New Roman" w:cs="Times New Roman"/>
          <w:noProof/>
          <w:sz w:val="24"/>
          <w:szCs w:val="24"/>
        </w:rPr>
        <w:t>) ili ljudskog odlučivanja (</w:t>
      </w:r>
      <w:r>
        <w:rPr>
          <w:rFonts w:ascii="Times New Roman" w:hAnsi="Times New Roman" w:cs="Times New Roman"/>
          <w:i/>
          <w:noProof/>
          <w:sz w:val="24"/>
          <w:szCs w:val="24"/>
        </w:rPr>
        <w:t>human-in-command</w:t>
      </w:r>
      <w:r>
        <w:rPr>
          <w:rFonts w:ascii="Times New Roman" w:hAnsi="Times New Roman" w:cs="Times New Roman"/>
          <w:noProof/>
          <w:sz w:val="24"/>
          <w:szCs w:val="24"/>
        </w:rPr>
        <w:t>).</w:t>
      </w:r>
      <w:r>
        <w:rPr>
          <w:rFonts w:ascii="Times New Roman" w:hAnsi="Times New Roman" w:cs="Times New Roman"/>
          <w:noProof/>
          <w:sz w:val="24"/>
          <w:szCs w:val="24"/>
          <w:vertAlign w:val="superscript"/>
        </w:rPr>
        <w:footnoteReference w:id="13"/>
      </w:r>
      <w:r>
        <w:rPr>
          <w:rFonts w:ascii="Times New Roman" w:hAnsi="Times New Roman" w:cs="Times New Roman"/>
          <w:noProof/>
          <w:sz w:val="24"/>
          <w:szCs w:val="24"/>
        </w:rPr>
        <w:t xml:space="preserve"> Mora se osigurati da tijela javne vlasti mogu izvršavati svoje nadzorne ovlasti u skladu sa svojim ovlastima. Ako su ostale okolnosti jednake, što je manja mogućnost ljudskog nadzora nad sustavom umjetne inteligencije, to je veća potreba za opsežnijim testiranjem i strožim upravljanjem. </w:t>
      </w:r>
    </w:p>
    <w:p>
      <w:pPr>
        <w:pStyle w:val="Normal1"/>
        <w:widowControl w:val="0"/>
        <w:pBdr>
          <w:top w:val="nil"/>
          <w:left w:val="nil"/>
          <w:bottom w:val="nil"/>
          <w:right w:val="nil"/>
          <w:between w:val="nil"/>
        </w:pBdr>
        <w:spacing w:before="120" w:after="120" w:line="240" w:lineRule="auto"/>
        <w:ind w:left="357"/>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Tehnička stabilnost i sigurnost</w:t>
      </w:r>
    </w:p>
    <w:p>
      <w:pPr>
        <w:spacing w:before="120" w:after="120"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Nužna je pretpostavka pouzdane umjetne inteligencije da su algoritmi dovoljno sigurni, pouzdani i stabilni da mogu rješavati pogreške ili nedosljednosti u svim fazama životnog ciklusa sustava umjetne inteligencije te da na odgovarajući način rješavaju pogrešne ishode. Sustavi umjetne inteligencije moraju biti </w:t>
      </w:r>
      <w:r>
        <w:rPr>
          <w:rFonts w:ascii="Times New Roman" w:hAnsi="Times New Roman" w:cs="Times New Roman"/>
          <w:b/>
          <w:noProof/>
          <w:sz w:val="24"/>
          <w:szCs w:val="24"/>
        </w:rPr>
        <w:t>pouzdani</w:t>
      </w:r>
      <w:r>
        <w:rPr>
          <w:rFonts w:ascii="Times New Roman" w:hAnsi="Times New Roman" w:cs="Times New Roman"/>
          <w:noProof/>
          <w:sz w:val="24"/>
          <w:szCs w:val="24"/>
        </w:rPr>
        <w:t xml:space="preserve">, dovoljno sigurni da su </w:t>
      </w:r>
      <w:r>
        <w:rPr>
          <w:rFonts w:ascii="Times New Roman" w:hAnsi="Times New Roman" w:cs="Times New Roman"/>
          <w:b/>
          <w:noProof/>
          <w:sz w:val="24"/>
          <w:szCs w:val="24"/>
        </w:rPr>
        <w:t>otporni</w:t>
      </w:r>
      <w:r>
        <w:rPr>
          <w:rFonts w:ascii="Times New Roman" w:hAnsi="Times New Roman" w:cs="Times New Roman"/>
          <w:noProof/>
          <w:sz w:val="24"/>
          <w:szCs w:val="24"/>
        </w:rPr>
        <w:t xml:space="preserve"> na očite napade i skrivenije pokušaje manipulacije podacima ili samim algoritmima i moraju osigurati </w:t>
      </w:r>
      <w:r>
        <w:rPr>
          <w:rFonts w:ascii="Times New Roman" w:hAnsi="Times New Roman" w:cs="Times New Roman"/>
          <w:b/>
          <w:noProof/>
          <w:sz w:val="24"/>
          <w:szCs w:val="24"/>
        </w:rPr>
        <w:t>rezervni plan</w:t>
      </w:r>
      <w:r>
        <w:rPr>
          <w:rFonts w:ascii="Times New Roman" w:hAnsi="Times New Roman" w:cs="Times New Roman"/>
          <w:noProof/>
          <w:sz w:val="24"/>
          <w:szCs w:val="24"/>
        </w:rPr>
        <w:t xml:space="preserve"> ako nastanu problemi. Njihove odluke moraju biti </w:t>
      </w:r>
      <w:r>
        <w:rPr>
          <w:rFonts w:ascii="Times New Roman" w:hAnsi="Times New Roman" w:cs="Times New Roman"/>
          <w:b/>
          <w:noProof/>
          <w:sz w:val="24"/>
          <w:szCs w:val="24"/>
        </w:rPr>
        <w:t>točne</w:t>
      </w:r>
      <w:r>
        <w:rPr>
          <w:rFonts w:ascii="Times New Roman" w:hAnsi="Times New Roman" w:cs="Times New Roman"/>
          <w:noProof/>
          <w:sz w:val="24"/>
          <w:szCs w:val="24"/>
        </w:rPr>
        <w:t xml:space="preserve">, ili barem ispravno odražavati njihovu razinu točnosti, a njihovi ishodi trebaju biti </w:t>
      </w:r>
      <w:r>
        <w:rPr>
          <w:rFonts w:ascii="Times New Roman" w:hAnsi="Times New Roman" w:cs="Times New Roman"/>
          <w:b/>
          <w:noProof/>
          <w:sz w:val="24"/>
          <w:szCs w:val="24"/>
        </w:rPr>
        <w:t>ponovljivi</w:t>
      </w:r>
      <w:r>
        <w:rPr>
          <w:rFonts w:ascii="Times New Roman" w:hAnsi="Times New Roman" w:cs="Times New Roman"/>
          <w:noProof/>
          <w:sz w:val="24"/>
          <w:szCs w:val="24"/>
        </w:rPr>
        <w:t xml:space="preserve">. </w:t>
      </w:r>
    </w:p>
    <w:p>
      <w:pPr>
        <w:spacing w:before="120" w:after="120"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Osim toga, sustavi umjetne inteligencije trebali bi uključivati integrirane sigurnosne mehanizme kako bi se osiguralo da se njihova </w:t>
      </w:r>
      <w:r>
        <w:rPr>
          <w:rFonts w:ascii="Times New Roman" w:hAnsi="Times New Roman" w:cs="Times New Roman"/>
          <w:b/>
          <w:noProof/>
          <w:sz w:val="24"/>
          <w:szCs w:val="24"/>
        </w:rPr>
        <w:t>sigurnost može provjeriti</w:t>
      </w:r>
      <w:r>
        <w:rPr>
          <w:rFonts w:ascii="Times New Roman" w:hAnsi="Times New Roman" w:cs="Times New Roman"/>
          <w:noProof/>
          <w:sz w:val="24"/>
          <w:szCs w:val="24"/>
        </w:rPr>
        <w:t xml:space="preserve"> u svakoj fazi, pri čemu treba uzeti u obzir fizičku i mentalnu sigurnost svih zainteresiranih strana. To uključuje smanjenje na najmanju moguću mjeru i, ako je to moguće, reverzibilnost neželjenih posljedica ili pogrešaka u radu sustava. Trebalo bi uvesti postupke za pojašnjenje i procjenu potencijalnih rizika povezanih s upotrebom sustava umjetne inteligencije u različitim područjima primjene.</w:t>
      </w:r>
    </w:p>
    <w:p>
      <w:pPr>
        <w:spacing w:before="120" w:after="120" w:line="240" w:lineRule="auto"/>
        <w:ind w:left="360"/>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Privatnost i upravljanje podacima</w:t>
      </w:r>
    </w:p>
    <w:p>
      <w:pPr>
        <w:pStyle w:val="Normal1"/>
        <w:widowControl w:val="0"/>
        <w:pBdr>
          <w:top w:val="nil"/>
          <w:left w:val="nil"/>
          <w:bottom w:val="nil"/>
          <w:right w:val="nil"/>
          <w:between w:val="nil"/>
        </w:pBdr>
        <w:spacing w:before="120" w:after="120" w:line="240" w:lineRule="auto"/>
        <w:ind w:left="360"/>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Zaštita privatnosti i </w:t>
      </w:r>
      <w:r>
        <w:rPr>
          <w:rFonts w:ascii="Times New Roman" w:eastAsiaTheme="minorHAnsi" w:hAnsi="Times New Roman" w:cs="Times New Roman"/>
          <w:b/>
          <w:noProof/>
          <w:sz w:val="24"/>
          <w:szCs w:val="24"/>
        </w:rPr>
        <w:t>podataka</w:t>
      </w:r>
      <w:r>
        <w:rPr>
          <w:rFonts w:ascii="Times New Roman" w:eastAsiaTheme="minorHAnsi" w:hAnsi="Times New Roman" w:cs="Times New Roman"/>
          <w:noProof/>
          <w:sz w:val="24"/>
          <w:szCs w:val="24"/>
        </w:rPr>
        <w:t xml:space="preserve"> mora se jamčiti u </w:t>
      </w:r>
      <w:r>
        <w:rPr>
          <w:rFonts w:ascii="Times New Roman" w:eastAsiaTheme="minorHAnsi" w:hAnsi="Times New Roman" w:cs="Times New Roman"/>
          <w:b/>
          <w:noProof/>
          <w:sz w:val="24"/>
          <w:szCs w:val="24"/>
        </w:rPr>
        <w:t>svim fazama</w:t>
      </w:r>
      <w:r>
        <w:rPr>
          <w:rFonts w:ascii="Times New Roman" w:eastAsiaTheme="minorHAnsi" w:hAnsi="Times New Roman" w:cs="Times New Roman"/>
          <w:noProof/>
          <w:sz w:val="24"/>
          <w:szCs w:val="24"/>
        </w:rPr>
        <w:t xml:space="preserve"> životnog ciklusa sustava umjetne inteligencije. Digitalni zapisi o ljudskom ponašanju mogu sustavima umjetne inteligencije omogućiti da predvide ne samo želje, dob i spol pojedinaca, nego i njihovu spolnu orijentaciju, vjerska ili politička stajališta. Kako bi ljudi stekli povjerenje u obradu podataka, nužno je osigurati da imaju potpunu kontrolu nad vlastitim podacima i da se podaci koji se na njih odnose neće koristiti na njihovu štetu ili za njihovu diskriminaciju.</w:t>
      </w:r>
    </w:p>
    <w:p>
      <w:pPr>
        <w:pStyle w:val="Normal1"/>
        <w:widowControl w:val="0"/>
        <w:pBdr>
          <w:top w:val="nil"/>
          <w:left w:val="nil"/>
          <w:bottom w:val="nil"/>
          <w:right w:val="nil"/>
          <w:between w:val="nil"/>
        </w:pBdr>
        <w:spacing w:before="120" w:after="120" w:line="240" w:lineRule="auto"/>
        <w:ind w:left="360"/>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Uz zaštitu privatnosti i osobnih podataka, potrebno je ispuniti određene zahtjeve da bi se ostvarili visokokvalitetni sustavi umjetne inteligencije. Kvaliteta korištenih skupova podataka ključna je za uspješnost sustava umjetne inteligencije. Podaci koji se prikupljaju mogu odražavati društvene predrasude ili mogu sadržavati netočnosti i pogreške. Ta je pitanja potrebno riješiti prije treniranja sustava umjetne inteligencije s bilo kojim skupom podataka. Osim toga, mora se osigurati </w:t>
      </w:r>
      <w:r>
        <w:rPr>
          <w:rFonts w:ascii="Times New Roman" w:eastAsiaTheme="minorHAnsi" w:hAnsi="Times New Roman" w:cs="Times New Roman"/>
          <w:b/>
          <w:noProof/>
          <w:sz w:val="24"/>
          <w:szCs w:val="24"/>
        </w:rPr>
        <w:t>cjelovitost</w:t>
      </w:r>
      <w:r>
        <w:rPr>
          <w:rFonts w:ascii="Times New Roman" w:eastAsiaTheme="minorHAnsi" w:hAnsi="Times New Roman" w:cs="Times New Roman"/>
          <w:noProof/>
          <w:sz w:val="24"/>
          <w:szCs w:val="24"/>
        </w:rPr>
        <w:t xml:space="preserve"> podataka. Postupci i skupovi podataka koji se upotrebljavaju moraju se testirati i dokumentirati u svakoj fazi, npr. u planiranju, treniranju, testiranju i uvođenju. To bi trebalo vrijediti i za sustave umjetne inteligencije koji nisu samostalno razvijeni, nego su nabavljeni od vanjskih dobavljača. Naposljetku, za </w:t>
      </w:r>
      <w:r>
        <w:rPr>
          <w:rFonts w:ascii="Times New Roman" w:eastAsiaTheme="minorHAnsi" w:hAnsi="Times New Roman" w:cs="Times New Roman"/>
          <w:b/>
          <w:noProof/>
          <w:sz w:val="24"/>
          <w:szCs w:val="24"/>
        </w:rPr>
        <w:t>pristup</w:t>
      </w:r>
      <w:r>
        <w:rPr>
          <w:rFonts w:ascii="Times New Roman" w:eastAsiaTheme="minorHAnsi" w:hAnsi="Times New Roman" w:cs="Times New Roman"/>
          <w:noProof/>
          <w:sz w:val="24"/>
          <w:szCs w:val="24"/>
        </w:rPr>
        <w:t xml:space="preserve"> podacima moraju se utvrditi odgovarajući postupci upravljanja i kontrole.</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 xml:space="preserve">Transparentnost </w:t>
      </w:r>
    </w:p>
    <w:p>
      <w:pPr>
        <w:spacing w:before="120" w:after="120"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Potrebno je osigurati </w:t>
      </w:r>
      <w:r>
        <w:rPr>
          <w:rFonts w:ascii="Times New Roman" w:hAnsi="Times New Roman" w:cs="Times New Roman"/>
          <w:b/>
          <w:noProof/>
          <w:sz w:val="24"/>
          <w:szCs w:val="24"/>
        </w:rPr>
        <w:t>sljedivost</w:t>
      </w:r>
      <w:r>
        <w:rPr>
          <w:rFonts w:ascii="Times New Roman" w:hAnsi="Times New Roman" w:cs="Times New Roman"/>
          <w:noProof/>
          <w:sz w:val="24"/>
          <w:szCs w:val="24"/>
        </w:rPr>
        <w:t xml:space="preserve"> sustava umjetne inteligencije. Važno je evidentirati i dokumentirati odluke koje su donijeli sustavi, kao i cijeli postupak (uključujući opis prikupljanja i označivanja podataka te opis korištenih algoritama) koji je doveo do odluke. Povezano s time, potrebno je osigurati, u mjeri u kojoj je to moguće, </w:t>
      </w:r>
      <w:r>
        <w:rPr>
          <w:rFonts w:ascii="Times New Roman" w:hAnsi="Times New Roman" w:cs="Times New Roman"/>
          <w:b/>
          <w:noProof/>
          <w:sz w:val="24"/>
          <w:szCs w:val="24"/>
        </w:rPr>
        <w:t>objašnjivost</w:t>
      </w:r>
      <w:r>
        <w:rPr>
          <w:rFonts w:ascii="Times New Roman" w:hAnsi="Times New Roman" w:cs="Times New Roman"/>
          <w:noProof/>
          <w:sz w:val="24"/>
          <w:szCs w:val="24"/>
        </w:rPr>
        <w:t xml:space="preserve"> postupka algoritamskog odlučivanja koji je prilagođen uključenim osobama. Trebalo bi neprestano provoditi istraživanja kako bi se razvili mehanizmi objašnjivosti. Nadalje, trebala bi biti dostupna objašnjenja u kojoj mjeri sustav umjetne inteligencije utječe na i oblikuje postupak odlučivanja u organizaciji, odabir pri izradi sustava, kao i razlog za njegovo uvođenje (čime se osigurava ne samo transparentnost podataka i sustava, nego i transparentnost poslovnog modela). </w:t>
      </w:r>
    </w:p>
    <w:p>
      <w:pPr>
        <w:spacing w:before="120" w:after="120" w:line="240" w:lineRule="auto"/>
        <w:ind w:left="360"/>
        <w:jc w:val="both"/>
        <w:rPr>
          <w:rFonts w:ascii="Times New Roman" w:hAnsi="Times New Roman" w:cs="Times New Roman"/>
          <w:noProof/>
          <w:sz w:val="24"/>
          <w:szCs w:val="24"/>
        </w:rPr>
      </w:pPr>
      <w:r>
        <w:rPr>
          <w:rFonts w:ascii="Times New Roman" w:hAnsi="Times New Roman" w:cs="Times New Roman"/>
          <w:noProof/>
          <w:sz w:val="24"/>
          <w:szCs w:val="24"/>
        </w:rPr>
        <w:t xml:space="preserve">Konačno, važno je različitim uključenim dionicima na odgovarajući način </w:t>
      </w:r>
      <w:r>
        <w:rPr>
          <w:rFonts w:ascii="Times New Roman" w:hAnsi="Times New Roman" w:cs="Times New Roman"/>
          <w:b/>
          <w:noProof/>
          <w:sz w:val="24"/>
          <w:szCs w:val="24"/>
        </w:rPr>
        <w:t>priopćiti</w:t>
      </w:r>
      <w:r>
        <w:rPr>
          <w:rFonts w:ascii="Times New Roman" w:hAnsi="Times New Roman" w:cs="Times New Roman"/>
          <w:noProof/>
          <w:sz w:val="24"/>
          <w:szCs w:val="24"/>
        </w:rPr>
        <w:t xml:space="preserve"> mogućnosti i ograničenja sustava umjetne inteligencije u skladu s konkretnim slučajem. Osim toga, sustave umjetne inteligencije trebalo bi moći prepoznati kao takve te osigurati da korisnici znaju da su u interakciji sa sustavom umjetne inteligencije i da su obaviješteni o odgovornim osobama. </w:t>
      </w:r>
    </w:p>
    <w:p>
      <w:pPr>
        <w:spacing w:after="0" w:line="240" w:lineRule="auto"/>
        <w:ind w:left="513"/>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Raznolikost, nediskriminacija i pravednost</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eastAsiaTheme="minorHAnsi" w:hAnsi="Times New Roman" w:cs="Times New Roman"/>
          <w:noProof/>
          <w:sz w:val="24"/>
          <w:szCs w:val="24"/>
        </w:rPr>
        <w:t>Skupovi podataka koji se upotrebljavaju u sustavima umjetne inteligencije (za trening i rad) mogu uključivati nenamjerne naslijeđene predrasude, mogu biti nepotpuni i uključivati loše modele upravljanja. Daljnje prenošenje takvih predrasuda moglo bi dovesti do (ne)izravne diskriminacije. Šteta može nastati i namjernim iskorištavanjem pristranosti (potrošača) ili zbog nepoštenog tržišnog natjecanja. Osim toga, i sam način na koji se razvijaju sustavi umjetne inteligencije (npr. način pisanja programskog koda algoritma) može biti podložan predrasudama. Te probleme potrebno je rješavati od samog početka razvoja sustava.</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eastAsiaTheme="minorHAnsi" w:hAnsi="Times New Roman" w:cs="Times New Roman"/>
          <w:noProof/>
          <w:sz w:val="24"/>
          <w:szCs w:val="24"/>
        </w:rPr>
        <w:t xml:space="preserve">Osnivanjem </w:t>
      </w:r>
      <w:r>
        <w:rPr>
          <w:rFonts w:ascii="Times New Roman" w:eastAsiaTheme="minorHAnsi" w:hAnsi="Times New Roman" w:cs="Times New Roman"/>
          <w:b/>
          <w:noProof/>
          <w:sz w:val="24"/>
          <w:szCs w:val="24"/>
        </w:rPr>
        <w:t>projektnih timova koji se odlikuju različitošću</w:t>
      </w:r>
      <w:r>
        <w:rPr>
          <w:rFonts w:ascii="Times New Roman" w:eastAsiaTheme="minorHAnsi" w:hAnsi="Times New Roman" w:cs="Times New Roman"/>
          <w:noProof/>
          <w:sz w:val="24"/>
          <w:szCs w:val="24"/>
        </w:rPr>
        <w:t xml:space="preserve"> i uspostavom mehanizama kojima se osigurava </w:t>
      </w:r>
      <w:r>
        <w:rPr>
          <w:rFonts w:ascii="Times New Roman" w:eastAsiaTheme="minorHAnsi" w:hAnsi="Times New Roman" w:cs="Times New Roman"/>
          <w:b/>
          <w:noProof/>
          <w:sz w:val="24"/>
          <w:szCs w:val="24"/>
        </w:rPr>
        <w:t>sudjelovanje</w:t>
      </w:r>
      <w:r>
        <w:rPr>
          <w:rFonts w:ascii="Times New Roman" w:eastAsiaTheme="minorHAnsi" w:hAnsi="Times New Roman" w:cs="Times New Roman"/>
          <w:noProof/>
          <w:sz w:val="24"/>
          <w:szCs w:val="24"/>
        </w:rPr>
        <w:t>, posebno građana,</w:t>
      </w:r>
      <w:r>
        <w:rPr>
          <w:rFonts w:ascii="Times New Roman" w:eastAsiaTheme="minorHAnsi" w:hAnsi="Times New Roman" w:cs="Times New Roman"/>
          <w:b/>
          <w:noProof/>
          <w:sz w:val="24"/>
          <w:szCs w:val="24"/>
        </w:rPr>
        <w:t xml:space="preserve"> </w:t>
      </w:r>
      <w:r>
        <w:rPr>
          <w:rFonts w:ascii="Times New Roman" w:eastAsiaTheme="minorHAnsi" w:hAnsi="Times New Roman" w:cs="Times New Roman"/>
          <w:noProof/>
          <w:sz w:val="24"/>
          <w:szCs w:val="24"/>
        </w:rPr>
        <w:t>u razvoju umjetne inteligencije također se može pomoći u rješavanju tih problema. Preporučuje se savjetovati se s dionicima na koje bi sustav mogao izravno ili neizravno utjecati tijekom njegova životnog ciklusa</w:t>
      </w:r>
      <w:r>
        <w:rPr>
          <w:rFonts w:ascii="Times New Roman" w:hAnsi="Times New Roman" w:cs="Times New Roman"/>
          <w:noProof/>
          <w:sz w:val="24"/>
          <w:szCs w:val="24"/>
        </w:rPr>
        <w:t xml:space="preserve">. Sustavima umjetne inteligencije trebalo bi uzeti u obzir sve ljudske sposobnosti, vještine i zahtjeve te osigurati dostupnost na temelju univerzalnog projektnog pristupa kako bi se ostvario jednak pristup za osobe s invaliditetom. </w:t>
      </w:r>
    </w:p>
    <w:p>
      <w:pPr>
        <w:pStyle w:val="Normal1"/>
        <w:widowControl w:val="0"/>
        <w:pBdr>
          <w:top w:val="nil"/>
          <w:left w:val="nil"/>
          <w:bottom w:val="nil"/>
          <w:right w:val="nil"/>
          <w:between w:val="nil"/>
        </w:pBdr>
        <w:spacing w:before="120" w:after="120" w:line="240" w:lineRule="auto"/>
        <w:ind w:left="357"/>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Društvena i okolišna dobrobit</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eastAsiaTheme="minorHAnsi" w:hAnsi="Times New Roman" w:cs="Times New Roman"/>
          <w:noProof/>
          <w:sz w:val="24"/>
          <w:szCs w:val="24"/>
        </w:rPr>
        <w:t xml:space="preserve">Da bi umjetna inteligencija bila pouzdana, mora se uzeti u obzir njezin utjecaj na </w:t>
      </w:r>
      <w:r>
        <w:rPr>
          <w:rFonts w:ascii="Times New Roman" w:eastAsiaTheme="minorHAnsi" w:hAnsi="Times New Roman" w:cs="Times New Roman"/>
          <w:b/>
          <w:noProof/>
          <w:sz w:val="24"/>
          <w:szCs w:val="24"/>
        </w:rPr>
        <w:t>okoliš i na druga čuvstvena bića</w:t>
      </w:r>
      <w:r>
        <w:rPr>
          <w:rFonts w:ascii="Times New Roman" w:eastAsiaTheme="minorHAnsi" w:hAnsi="Times New Roman" w:cs="Times New Roman"/>
          <w:noProof/>
          <w:sz w:val="24"/>
          <w:szCs w:val="24"/>
        </w:rPr>
        <w:t xml:space="preserve">. Idealno bi bilo da svi ljudi, uključujući buduće generacije, mogu uživati prednosti biološke raznolikosti i pogodnog okruženja. Stoga bi trebalo poticati održivost i </w:t>
      </w:r>
      <w:r>
        <w:rPr>
          <w:rFonts w:ascii="Times New Roman" w:eastAsiaTheme="minorHAnsi" w:hAnsi="Times New Roman" w:cs="Times New Roman"/>
          <w:b/>
          <w:noProof/>
          <w:sz w:val="24"/>
          <w:szCs w:val="24"/>
        </w:rPr>
        <w:t>ekološku odgovornost</w:t>
      </w:r>
      <w:r>
        <w:rPr>
          <w:rFonts w:ascii="Times New Roman" w:eastAsiaTheme="minorHAnsi" w:hAnsi="Times New Roman" w:cs="Times New Roman"/>
          <w:noProof/>
          <w:sz w:val="24"/>
          <w:szCs w:val="24"/>
        </w:rPr>
        <w:t xml:space="preserve"> sustava umjetne inteligencije. Isto vrijedi i za sustave umjetne inteligencije koji se odnose na područja od svjetskog značaja, kao što su ciljevi održivog razvoja UN-a. </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r>
        <w:rPr>
          <w:rFonts w:ascii="Times New Roman" w:eastAsiaTheme="minorHAnsi" w:hAnsi="Times New Roman" w:cs="Times New Roman"/>
          <w:noProof/>
          <w:sz w:val="24"/>
          <w:szCs w:val="24"/>
        </w:rPr>
        <w:t xml:space="preserve">Nadalje, učinak sustava umjetne inteligencije treba razmotriti ne samo s pojedinačnog gledišta nego i iz perspektive </w:t>
      </w:r>
      <w:r>
        <w:rPr>
          <w:rFonts w:ascii="Times New Roman" w:eastAsiaTheme="minorHAnsi" w:hAnsi="Times New Roman" w:cs="Times New Roman"/>
          <w:b/>
          <w:noProof/>
          <w:sz w:val="24"/>
          <w:szCs w:val="24"/>
        </w:rPr>
        <w:t>društva u cjelini</w:t>
      </w:r>
      <w:r>
        <w:rPr>
          <w:rFonts w:ascii="Times New Roman" w:eastAsiaTheme="minorHAnsi" w:hAnsi="Times New Roman" w:cs="Times New Roman"/>
          <w:noProof/>
          <w:sz w:val="24"/>
          <w:szCs w:val="24"/>
        </w:rPr>
        <w:t xml:space="preserve">. Upotrebu sustava umjetne inteligencije trebalo bi pažljivo razmotriti, posebno u situacijama povezanima s demokratskim postupkom, uključujući oblikovanje mišljenja, donošenje političkih odluka ili izborne kontekste. Osim toga, potrebno je uzeti u obzir i </w:t>
      </w:r>
      <w:r>
        <w:rPr>
          <w:rFonts w:ascii="Times New Roman" w:eastAsiaTheme="minorHAnsi" w:hAnsi="Times New Roman" w:cs="Times New Roman"/>
          <w:b/>
          <w:noProof/>
          <w:sz w:val="24"/>
          <w:szCs w:val="24"/>
        </w:rPr>
        <w:t>društveni učinak</w:t>
      </w:r>
      <w:r>
        <w:rPr>
          <w:rFonts w:ascii="Times New Roman" w:eastAsiaTheme="minorHAnsi" w:hAnsi="Times New Roman" w:cs="Times New Roman"/>
          <w:noProof/>
          <w:sz w:val="24"/>
          <w:szCs w:val="24"/>
        </w:rPr>
        <w:t xml:space="preserve"> umjetne inteligencije. Iako se sustavi umjetne inteligencije mogu koristiti za jačanje društvenih vještina, ti sustavi mogu pridonijeti i njihovom slabljenju.</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noProof/>
          <w:sz w:val="24"/>
          <w:szCs w:val="24"/>
        </w:rPr>
      </w:pPr>
    </w:p>
    <w:p>
      <w:pPr>
        <w:numPr>
          <w:ilvl w:val="0"/>
          <w:numId w:val="8"/>
        </w:numPr>
        <w:spacing w:before="120" w:after="120" w:line="240" w:lineRule="auto"/>
        <w:ind w:left="851" w:hanging="491"/>
        <w:jc w:val="both"/>
        <w:rPr>
          <w:rFonts w:ascii="Times New Roman" w:hAnsi="Times New Roman" w:cs="Times New Roman"/>
          <w:bCs/>
          <w:noProof/>
          <w:sz w:val="24"/>
          <w:szCs w:val="24"/>
          <w:u w:val="single"/>
        </w:rPr>
      </w:pPr>
      <w:r>
        <w:rPr>
          <w:rFonts w:ascii="Times New Roman" w:hAnsi="Times New Roman" w:cs="Times New Roman"/>
          <w:noProof/>
          <w:sz w:val="24"/>
          <w:szCs w:val="24"/>
          <w:u w:val="single"/>
        </w:rPr>
        <w:t>Odgovornost</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bCs/>
          <w:noProof/>
          <w:sz w:val="24"/>
          <w:szCs w:val="24"/>
        </w:rPr>
      </w:pPr>
      <w:r>
        <w:rPr>
          <w:rFonts w:ascii="Times New Roman" w:eastAsiaTheme="minorHAnsi" w:hAnsi="Times New Roman" w:cs="Times New Roman"/>
          <w:noProof/>
          <w:sz w:val="24"/>
          <w:szCs w:val="24"/>
        </w:rPr>
        <w:t xml:space="preserve">Potrebno je uspostaviti mehanizme kojima bi se utvrdile dužnosti i osigurala odgovornost za sustave umjetne inteligencije i njihove ishode prije i nakon njihova uvođenja. U tom je pogledu ključna </w:t>
      </w:r>
      <w:r>
        <w:rPr>
          <w:rFonts w:ascii="Times New Roman" w:eastAsiaTheme="minorHAnsi" w:hAnsi="Times New Roman" w:cs="Times New Roman"/>
          <w:b/>
          <w:noProof/>
          <w:sz w:val="24"/>
          <w:szCs w:val="24"/>
        </w:rPr>
        <w:t>mogućnost revizije</w:t>
      </w:r>
      <w:r>
        <w:rPr>
          <w:rFonts w:ascii="Times New Roman" w:eastAsiaTheme="minorHAnsi" w:hAnsi="Times New Roman" w:cs="Times New Roman"/>
          <w:noProof/>
          <w:sz w:val="24"/>
          <w:szCs w:val="24"/>
        </w:rPr>
        <w:t xml:space="preserve"> sustava umjetne inteligencije s obzirom na to da ocjenjivanje sustava umjetne inteligencije koju provode unutarnji i vanjski revizori te dostupnost takvih evaluacijskih izvješća snažno doprinosi pouzdanosti tehnologije. Posebno je važno osigurati mogućnost vanjske revizije za primjene koje se odnose na temeljna prava, uključujući one koje su ključne za sigurnost. </w:t>
      </w:r>
    </w:p>
    <w:p>
      <w:pPr>
        <w:pStyle w:val="Normal1"/>
        <w:widowControl w:val="0"/>
        <w:pBdr>
          <w:top w:val="nil"/>
          <w:left w:val="nil"/>
          <w:bottom w:val="nil"/>
          <w:right w:val="nil"/>
          <w:between w:val="nil"/>
        </w:pBdr>
        <w:spacing w:before="120" w:after="120" w:line="240" w:lineRule="auto"/>
        <w:ind w:left="360"/>
        <w:jc w:val="both"/>
        <w:rPr>
          <w:rFonts w:ascii="Times New Roman" w:hAnsi="Times New Roman" w:cs="Times New Roman"/>
          <w:bCs/>
          <w:noProof/>
          <w:sz w:val="24"/>
          <w:szCs w:val="24"/>
        </w:rPr>
      </w:pPr>
      <w:r>
        <w:rPr>
          <w:rFonts w:ascii="Times New Roman" w:hAnsi="Times New Roman" w:cs="Times New Roman"/>
          <w:noProof/>
          <w:sz w:val="24"/>
          <w:szCs w:val="24"/>
        </w:rPr>
        <w:t xml:space="preserve">Potrebno je utvrditi, ocijeniti, dokumentirati i umanjiti </w:t>
      </w:r>
      <w:r>
        <w:rPr>
          <w:rFonts w:ascii="Times New Roman" w:eastAsiaTheme="minorHAnsi" w:hAnsi="Times New Roman" w:cs="Times New Roman"/>
          <w:b/>
          <w:noProof/>
          <w:sz w:val="24"/>
          <w:szCs w:val="24"/>
        </w:rPr>
        <w:t>moguće</w:t>
      </w:r>
      <w:r>
        <w:rPr>
          <w:rFonts w:ascii="Times New Roman" w:eastAsiaTheme="minorHAnsi" w:hAnsi="Times New Roman" w:cs="Times New Roman"/>
          <w:noProof/>
          <w:sz w:val="24"/>
          <w:szCs w:val="24"/>
        </w:rPr>
        <w:t xml:space="preserve"> </w:t>
      </w:r>
      <w:r>
        <w:rPr>
          <w:rFonts w:ascii="Times New Roman" w:eastAsiaTheme="minorHAnsi" w:hAnsi="Times New Roman" w:cs="Times New Roman"/>
          <w:b/>
          <w:noProof/>
          <w:sz w:val="24"/>
          <w:szCs w:val="24"/>
        </w:rPr>
        <w:t>negativne učinke</w:t>
      </w:r>
      <w:r>
        <w:rPr>
          <w:rFonts w:ascii="Times New Roman" w:eastAsiaTheme="minorHAnsi" w:hAnsi="Times New Roman" w:cs="Times New Roman"/>
          <w:noProof/>
          <w:sz w:val="24"/>
          <w:szCs w:val="24"/>
        </w:rPr>
        <w:t xml:space="preserve"> sustava umjetne inteligencije. Primjenom procjena učinka taj se proces olakšava. Te procjene moraju biti razmjerne opsegu rizika koje sustavi umjetne inteligencije predstavljaju. </w:t>
      </w:r>
      <w:r>
        <w:rPr>
          <w:rFonts w:ascii="Times New Roman" w:eastAsiaTheme="minorHAnsi" w:hAnsi="Times New Roman" w:cs="Times New Roman"/>
          <w:b/>
          <w:noProof/>
          <w:sz w:val="24"/>
          <w:szCs w:val="24"/>
        </w:rPr>
        <w:t>Kompromisi</w:t>
      </w:r>
      <w:r>
        <w:rPr>
          <w:rFonts w:ascii="Times New Roman" w:eastAsiaTheme="minorHAnsi" w:hAnsi="Times New Roman" w:cs="Times New Roman"/>
          <w:noProof/>
          <w:sz w:val="24"/>
          <w:szCs w:val="24"/>
        </w:rPr>
        <w:t xml:space="preserve"> između zahtjeva često su neizbježni i trebaju se rješavati racionalno i metodološki te se o njima mora voditi računa. Naposljetku, kada dođe do nepravednog nepovoljnog učinka, trebalo bi predvidjeti dostupne mehanizme kojima će se osigurati </w:t>
      </w:r>
      <w:r>
        <w:rPr>
          <w:rFonts w:ascii="Times New Roman" w:eastAsiaTheme="minorHAnsi" w:hAnsi="Times New Roman" w:cs="Times New Roman"/>
          <w:b/>
          <w:noProof/>
          <w:sz w:val="24"/>
          <w:szCs w:val="24"/>
        </w:rPr>
        <w:t>odgovarajuća pravna zaštita</w:t>
      </w:r>
      <w:r>
        <w:rPr>
          <w:rFonts w:ascii="Times New Roman" w:eastAsiaTheme="minorHAnsi" w:hAnsi="Times New Roman" w:cs="Times New Roman"/>
          <w:noProof/>
          <w:sz w:val="24"/>
          <w:szCs w:val="24"/>
        </w:rPr>
        <w:t>.</w:t>
      </w:r>
      <w:r>
        <w:rPr>
          <w:rFonts w:ascii="Times New Roman" w:hAnsi="Times New Roman" w:cs="Times New Roman"/>
          <w:noProof/>
          <w:sz w:val="24"/>
          <w:szCs w:val="24"/>
        </w:rPr>
        <w:t xml:space="preserve"> </w:t>
      </w:r>
    </w:p>
    <w:p>
      <w:pPr>
        <w:spacing w:before="120" w:after="120" w:line="240" w:lineRule="auto"/>
        <w:ind w:left="1080"/>
        <w:jc w:val="both"/>
        <w:rPr>
          <w:rFonts w:ascii="Times New Roman" w:hAnsi="Times New Roman" w:cs="Times New Roman"/>
          <w:noProof/>
          <w:sz w:val="24"/>
          <w:szCs w:val="24"/>
        </w:rPr>
      </w:pPr>
    </w:p>
    <w:p>
      <w:pPr>
        <w:spacing w:after="240" w:line="240" w:lineRule="auto"/>
        <w:jc w:val="both"/>
        <w:rPr>
          <w:rFonts w:ascii="Times New Roman" w:eastAsia="Times New Roman" w:hAnsi="Times New Roman" w:cs="Times New Roman"/>
          <w:b/>
          <w:noProof/>
          <w:sz w:val="24"/>
          <w:szCs w:val="24"/>
        </w:rPr>
      </w:pPr>
      <w:r>
        <w:rPr>
          <w:rFonts w:ascii="Times New Roman" w:hAnsi="Times New Roman" w:cs="Times New Roman"/>
          <w:b/>
          <w:noProof/>
          <w:sz w:val="24"/>
          <w:szCs w:val="24"/>
        </w:rPr>
        <w:t>2.3. Sljedeći koraci: pilot-faza uz sudjelovanje najšireg spektra dionika</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Postizanje konsenzusa o tim ključnim zahtjevima za sustave umjetne inteligencije prvi je važan korak prema smjernicama za etičku umjetnu inteligenciju. Komisija će u sljedećoj fazi osigurati testiranje i praktičnu provedbu tih smjernica.</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U tu će svrhu Komisija pokrenuti ciljanu pilot-fazu koja je osmišljena tako da od dionika dobije strukturirane povratne informacije. Taj će postupak posebno biti usmjeren na popis za procjenu koji je stručna skupina na visokoj razini sastavila za svaki od ključnih zahtjeva.</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Rad će se sastojati od dva dijela: i. pilot-faze za izradu smjernice u kojoj sudjeluju dionici koji razvijaju ili upotrebljavaju umjetnu inteligenciju, uključujući javne uprave i ii. daljnjeg savjetovanja s dionicima i podizanja svijesti u državama članicama i različitim skupinama dionika, uključujući industrijski i uslužni sektor:</w:t>
      </w:r>
    </w:p>
    <w:p>
      <w:pPr>
        <w:numPr>
          <w:ilvl w:val="0"/>
          <w:numId w:val="3"/>
        </w:numPr>
        <w:spacing w:after="120" w:line="240" w:lineRule="auto"/>
        <w:ind w:left="851" w:hanging="501"/>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od lipnja 2019. pozivat će se svi dionici i pojedinci da ispitaju popis za procjenu i dostave povratne informacije o načinima za njegovo poboljšanje. Osim toga, stručna skupina na visokoj razini za umjetnu inteligenciju provest će s dionicima iz privatnog i javnog sektora temeljito preispitivanje kako bi prikupila detaljnije informacije o načinima provedbe smjernica u nizu područja primjene. Sve povratne informacije o izvedivosti i primjenjivosti smjernica ocijenit će se do kraja 2019. </w:t>
      </w:r>
    </w:p>
    <w:p>
      <w:pPr>
        <w:numPr>
          <w:ilvl w:val="0"/>
          <w:numId w:val="3"/>
        </w:numPr>
        <w:spacing w:after="120" w:line="240" w:lineRule="auto"/>
        <w:ind w:left="851" w:hanging="567"/>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Komisija će istodobno organizirati daljnje aktivnosti informiranja i predstavnicima skupine na visokoj razini za umjetnu inteligenciju omogućiti da smjernice predstave relevantnim dionicima u državama članicama, uključujući industrijski i uslužni sektor, te da tim dionicima pruže dodatnu priliku da iznesu svoje primjedbe i doprinesu izradi smjernica za umjetnu inteligenciju.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Komisija će uzeti u obzir rad skupine stručnjaka za etiku u području povezane i automatizirane vožnje</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i rad na istraživačkim projektima u području umjetne inteligencije koje je financirao EU te u okviru relevantnih javno-privatnih partnerstava na provedbi ključnih zahtjeva</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Na primjer, Komisija će, u suradnji s državama članicama, poduprijeti razvoj zajedničke baze podataka s medicinskim snimkama koja će se u početku koristiti za najčešće oblike karcinoma tako da se algoritmi mogu osposobiti za dijagnosticiranje simptoma s vrlo visokom točnošću. Slično tome, suradnja Komisije i država članica omogućuje sve veći broj prekograničnih koridora za testiranje povezanih i automatiziranih vozila. Smjernice bi se u tim projektima trebale primijeniti i ispitati, a rezultati će se uzeti u obzir u postupku evaluacije.</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Provedbi pilot-faze i savjetovanja s dionicima pridonijet će i Europski savez za umjetnu inteligenciju i projekt AI4EU (platforma za umjetnu inteligenciju na zahtjev). Projekt AI4EU</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pokrenut u siječnju 2019., objedinjuje algoritme, alate, skupove podataka i usluge za pomoć organizacijama, posebno malim i srednjim poduzećima, u primjeni rješenja za umjetnu inteligenciju. Europski savez za umjetnu inteligenciju, zajedno s projektom AI4EU, nastavit će poticati razvoj ekosustava umjetne inteligencije u cijeloj Europi, među ostalim u području etičkih smjernica za umjetnu inteligenciju i promicanja antropocentrične umjetne inteligencije.</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Početkom 2020.</w:t>
      </w:r>
      <w:r>
        <w:rPr>
          <w:rFonts w:ascii="Times New Roman" w:hAnsi="Times New Roman" w:cs="Times New Roman"/>
          <w:noProof/>
          <w:sz w:val="24"/>
          <w:szCs w:val="24"/>
        </w:rPr>
        <w:t xml:space="preserve"> </w:t>
      </w:r>
      <w:r>
        <w:rPr>
          <w:rFonts w:ascii="Times New Roman" w:hAnsi="Times New Roman" w:cs="Times New Roman"/>
          <w:b/>
          <w:noProof/>
          <w:sz w:val="24"/>
          <w:szCs w:val="24"/>
        </w:rPr>
        <w:t>stručna skupina na visokoj razini za umjetnu inteligenciju preispitat će i ažurirati smjernice</w:t>
      </w:r>
      <w:r>
        <w:rPr>
          <w:rFonts w:ascii="Times New Roman" w:hAnsi="Times New Roman" w:cs="Times New Roman"/>
          <w:noProof/>
          <w:sz w:val="24"/>
          <w:szCs w:val="24"/>
        </w:rPr>
        <w:t xml:space="preserve"> na temelju ocjena povratnih informacija prikupljenih tijekom pilot-faze. Komisija će na temelju tog preispitivanja i stečenih iskustava </w:t>
      </w:r>
      <w:r>
        <w:rPr>
          <w:rFonts w:ascii="Times New Roman" w:hAnsi="Times New Roman" w:cs="Times New Roman"/>
          <w:b/>
          <w:noProof/>
          <w:sz w:val="24"/>
          <w:szCs w:val="24"/>
        </w:rPr>
        <w:t xml:space="preserve">ocijeniti rezultate i predložiti sljedeće korake. </w:t>
      </w:r>
    </w:p>
    <w:p>
      <w:pPr>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Etična umjetna inteligencija donosi koristi svim dionicima. Jamstvo poštovanja temeljnih vrijednosti i prava bitno je samo po sebi, ali i zato što građanima olakšava prihvaćanje i povećava konkurentnost europskih poduzeća u području umjetne inteligencije uspostavom pouzdane antropocentrične umjetne inteligencije za etičke i sigurne proizvode. To će se općenito temeljiti na znatnom ugledu europskih poduzeća u pružanju sigurnih i zaštićenih proizvoda visoke kvalitete. Rad u okviru pilot-faze pridonijet će tome da proizvodi umjetne inteligencije ta očekivanja ispune.</w:t>
      </w:r>
    </w:p>
    <w:p>
      <w:pPr>
        <w:spacing w:after="120" w:line="240" w:lineRule="auto"/>
        <w:jc w:val="both"/>
        <w:rPr>
          <w:rFonts w:ascii="Times New Roman" w:eastAsia="Times New Roman" w:hAnsi="Times New Roman" w:cs="Times New Roman"/>
          <w:noProof/>
          <w:sz w:val="24"/>
          <w:szCs w:val="24"/>
        </w:rPr>
      </w:pPr>
    </w:p>
    <w:p>
      <w:pPr>
        <w:spacing w:after="240" w:line="240" w:lineRule="auto"/>
        <w:jc w:val="both"/>
        <w:rPr>
          <w:rFonts w:ascii="Times New Roman" w:hAnsi="Times New Roman" w:cs="Times New Roman"/>
          <w:b/>
          <w:bCs/>
          <w:noProof/>
          <w:sz w:val="24"/>
          <w:szCs w:val="24"/>
        </w:rPr>
      </w:pPr>
      <w:r>
        <w:rPr>
          <w:rFonts w:ascii="Times New Roman" w:hAnsi="Times New Roman" w:cs="Times New Roman"/>
          <w:b/>
          <w:noProof/>
          <w:sz w:val="24"/>
          <w:szCs w:val="24"/>
        </w:rPr>
        <w:t>2.4. Prema međunarodnim etičkim smjernicama za umjetnu inteligenciju</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Međunarodne rasprave o etici u umjetnoj inteligenciji intenzivirale su se nakon što je ta tema stavljena na popis prioriteta tijekom japanskog predsjedništva skupine G-7 u 2016. S obzirom na međunarodnu međusobnu povezanost razvoja umjetne inteligencije u smislu protoka podataka, razvoja algoritama i ulaganja u istraživanja, </w:t>
      </w:r>
      <w:r>
        <w:rPr>
          <w:rFonts w:ascii="Times New Roman" w:hAnsi="Times New Roman" w:cs="Times New Roman"/>
          <w:b/>
          <w:noProof/>
          <w:sz w:val="24"/>
          <w:szCs w:val="24"/>
        </w:rPr>
        <w:t>Komisija će se i dalje zalagati za jačanje pristupa Unije na globalnoj razini i izgradnju konsenzusa o antropocentričnoj umjetnoj inteligenciji</w:t>
      </w:r>
      <w:r>
        <w:rPr>
          <w:rStyle w:val="FootnoteReference"/>
          <w:rFonts w:ascii="Times New Roman" w:hAnsi="Times New Roman" w:cs="Times New Roman"/>
          <w:b/>
          <w:noProof/>
          <w:sz w:val="24"/>
          <w:szCs w:val="24"/>
        </w:rPr>
        <w:footnoteReference w:id="17"/>
      </w:r>
      <w:r>
        <w:rPr>
          <w:rFonts w:ascii="Times New Roman" w:hAnsi="Times New Roman" w:cs="Times New Roman"/>
          <w:noProof/>
          <w:sz w:val="24"/>
          <w:szCs w:val="24"/>
        </w:rPr>
        <w:t>.</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Rad skupine stručnjaka na visokoj razini za umjetnu inteligenciju, konkretnije popis zahtjeva i uključivanje dionika, vrijedan je dodatni doprinos Komisijinu sudjelovanju u međunarodnim raspravama. Europska unija može imati vodeću ulogu u razvoju međunarodnih smjernica za umjetnu inteligenciju i, po mogućnosti, povezanog mehanizma procjene.</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Stoga će Komisija:</w:t>
      </w:r>
    </w:p>
    <w:p>
      <w:pPr>
        <w:spacing w:after="120" w:line="240" w:lineRule="auto"/>
        <w:jc w:val="both"/>
        <w:rPr>
          <w:rFonts w:ascii="Times New Roman" w:hAnsi="Times New Roman" w:cs="Times New Roman"/>
          <w:bCs/>
          <w:noProof/>
          <w:sz w:val="24"/>
          <w:szCs w:val="24"/>
        </w:rPr>
      </w:pPr>
      <w:r>
        <w:rPr>
          <w:rFonts w:ascii="Times New Roman" w:hAnsi="Times New Roman" w:cs="Times New Roman"/>
          <w:b/>
          <w:noProof/>
          <w:sz w:val="24"/>
          <w:szCs w:val="24"/>
        </w:rPr>
        <w:t>Jačati suradnju s partnerima sličnih stavova</w:t>
      </w:r>
      <w:r>
        <w:rPr>
          <w:rFonts w:ascii="Times New Roman" w:hAnsi="Times New Roman" w:cs="Times New Roman"/>
          <w:noProof/>
          <w:sz w:val="24"/>
          <w:szCs w:val="24"/>
        </w:rPr>
        <w:t>:</w:t>
      </w:r>
    </w:p>
    <w:p>
      <w:pPr>
        <w:numPr>
          <w:ilvl w:val="0"/>
          <w:numId w:val="2"/>
        </w:numPr>
        <w:spacing w:after="120" w:line="240" w:lineRule="auto"/>
        <w:ind w:left="567"/>
        <w:jc w:val="both"/>
        <w:rPr>
          <w:rFonts w:ascii="Times New Roman" w:hAnsi="Times New Roman" w:cs="Times New Roman"/>
          <w:bCs/>
          <w:noProof/>
          <w:sz w:val="24"/>
          <w:szCs w:val="24"/>
        </w:rPr>
      </w:pPr>
      <w:r>
        <w:rPr>
          <w:rFonts w:ascii="Times New Roman" w:hAnsi="Times New Roman" w:cs="Times New Roman"/>
          <w:noProof/>
          <w:sz w:val="24"/>
          <w:szCs w:val="24"/>
        </w:rPr>
        <w:t>istraživanjem mogućeg stupnja konvergencije s nacrtima etičkih smjernica trećih zemalja (npr. Japan, Kanada, Singapur) i na temelju iskustava tih zemalja s kojima dijeli stavove pripremiti širu raspravu, uz potporu mjera za provedbu Instrumenta za partnerstvo za suradnju s trećim zemljama</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i</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cs="Times New Roman"/>
          <w:noProof/>
          <w:sz w:val="24"/>
          <w:szCs w:val="24"/>
        </w:rPr>
        <w:t>istraživanjem načina na koji poduzeća iz trećih zemalja i međunarodne organizacije ispitivanjima i potvrđivanjem mogu pridonijeti „pilot-fazi” izrade smjernica.</w:t>
      </w:r>
    </w:p>
    <w:p>
      <w:pPr>
        <w:spacing w:after="120" w:line="240" w:lineRule="auto"/>
        <w:jc w:val="both"/>
        <w:rPr>
          <w:rFonts w:ascii="Times New Roman" w:hAnsi="Times New Roman" w:cs="Times New Roman"/>
          <w:b/>
          <w:bCs/>
          <w:noProof/>
          <w:sz w:val="24"/>
          <w:szCs w:val="24"/>
        </w:rPr>
      </w:pPr>
      <w:r>
        <w:rPr>
          <w:rFonts w:ascii="Times New Roman" w:hAnsi="Times New Roman" w:cs="Times New Roman"/>
          <w:b/>
          <w:noProof/>
          <w:sz w:val="24"/>
          <w:szCs w:val="24"/>
        </w:rPr>
        <w:t>Nastaviti aktivno sudjelovati u međunarodnim raspravama i inicijativama</w:t>
      </w:r>
      <w:r>
        <w:rPr>
          <w:rFonts w:ascii="Times New Roman" w:hAnsi="Times New Roman" w:cs="Times New Roman"/>
          <w:noProof/>
          <w:sz w:val="24"/>
          <w:szCs w:val="24"/>
        </w:rPr>
        <w:t>:</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cs="Times New Roman"/>
          <w:noProof/>
          <w:sz w:val="24"/>
          <w:szCs w:val="24"/>
        </w:rPr>
        <w:t>sudjelovanjem u radu multilateralnih foruma kao što su skupine G-7 i G-20</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cs="Times New Roman"/>
          <w:noProof/>
          <w:sz w:val="24"/>
          <w:szCs w:val="24"/>
        </w:rPr>
        <w:t>dijalozima s trećim zemljama i organiziranjem bilateralnih i multilateralnih sastanaka radi izgradnje konsenzusa o antropocentričnoj umjetnoj inteligenciji</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cs="Times New Roman"/>
          <w:noProof/>
          <w:sz w:val="24"/>
          <w:szCs w:val="24"/>
        </w:rPr>
        <w:t>sudjelovanjem u relevantnim aktivnostima normizacije u međunarodnim organizacijama za razvoj normi radi promicanja te vizije i</w:t>
      </w:r>
    </w:p>
    <w:p>
      <w:pPr>
        <w:numPr>
          <w:ilvl w:val="0"/>
          <w:numId w:val="2"/>
        </w:numPr>
        <w:spacing w:after="120" w:line="240" w:lineRule="auto"/>
        <w:ind w:left="567"/>
        <w:jc w:val="both"/>
        <w:rPr>
          <w:rFonts w:ascii="Times New Roman" w:hAnsi="Times New Roman" w:cs="Times New Roman"/>
          <w:b/>
          <w:bCs/>
          <w:noProof/>
          <w:sz w:val="24"/>
          <w:szCs w:val="24"/>
        </w:rPr>
      </w:pPr>
      <w:r>
        <w:rPr>
          <w:rFonts w:ascii="Times New Roman" w:hAnsi="Times New Roman" w:cs="Times New Roman"/>
          <w:noProof/>
          <w:sz w:val="24"/>
          <w:szCs w:val="24"/>
        </w:rPr>
        <w:t>poticanjem prikupljanja i širenja informacija o javnim politikama u suradnji s relevantnim međunarodnim organizacijama.</w:t>
      </w:r>
    </w:p>
    <w:p>
      <w:pPr>
        <w:spacing w:before="120" w:after="0" w:line="240" w:lineRule="auto"/>
        <w:jc w:val="both"/>
        <w:rPr>
          <w:rFonts w:ascii="Times New Roman" w:hAnsi="Times New Roman" w:cs="Times New Roman"/>
          <w:b/>
          <w:bCs/>
          <w:noProof/>
          <w:sz w:val="24"/>
          <w:szCs w:val="24"/>
        </w:rPr>
      </w:pPr>
    </w:p>
    <w:p>
      <w:pPr>
        <w:numPr>
          <w:ilvl w:val="0"/>
          <w:numId w:val="1"/>
        </w:numPr>
        <w:spacing w:after="240" w:line="240" w:lineRule="auto"/>
        <w:ind w:left="714" w:hanging="357"/>
        <w:rPr>
          <w:rFonts w:ascii="Times New Roman" w:hAnsi="Times New Roman" w:cs="Times New Roman"/>
          <w:b/>
          <w:bCs/>
          <w:noProof/>
          <w:sz w:val="24"/>
          <w:szCs w:val="24"/>
        </w:rPr>
      </w:pPr>
      <w:r>
        <w:rPr>
          <w:rFonts w:ascii="Times New Roman" w:hAnsi="Times New Roman" w:cs="Times New Roman"/>
          <w:b/>
          <w:noProof/>
          <w:sz w:val="24"/>
          <w:szCs w:val="24"/>
        </w:rPr>
        <w:t>ZAKLJUČCI</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EU se zasniva na skupu temeljnih vrijednosti i na tim je temeljima izgradio snažan i uravnotežen regulatorni okvir. Postoji potreba da se na temelju postojećeg regulatornog okvira izrade etičke smjernice za razvoj i primjenu umjetne inteligencije zbog njezine inovativnosti i specifičnih izazova povezanih s tom tehnologijom. Umjetna inteligencija može se smatrati pouzdanom samo ako se razvija i upotrebljava uz poštovanje općeprihvaćenih etičkih vrijednosti.</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U tom kontekstu Komisija pozdravlja doprinos skupine stručnjaka na visokoj razini za umjetnu inteligenciju. Komisija će, uzimajući u obzir ključne zahtjeve koje umjetna inteligencija mora ispuniti da bi se smatrala pouzdanom, pokrenuti ciljanu pilot-fazu kako bi osigurala da se dobivene etičke smjernice za razvoj i primjenu umjetne inteligencije mogu provesti u praksi. Komisija će također nastojati izgraditi široki društveni konsenzus o antropocentričnoj umjetnoj inteligenciji sa svim uključenim dionicima i našim međunarodnim partnerima.</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Etička dimenzija umjetne inteligencije nije luksuz ili dodatak: ona mora biti sastavni dio razvoja umjetne inteligencije. Naporima za ostvarivanje pouzdane antropocentrične umjetne inteligencije štitimo svoje temeljne društvene vrijednosti i omogućujemo Europi i njezinoj industriji da bude jasno prepoznata kao predvodnik u području vrhunske umjetne inteligencije koja se može smatrati pouzdanom u cijelom svijetu.</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Kako bi se osigurao etički razvoj umjetne inteligencije u Europi u širem kontekstu, Komisija primjenjuje sveobuhvatan pristup, posebno za sljedeće mjere koje treba provesti do trećeg tromjesečja 2019.: </w:t>
      </w:r>
    </w:p>
    <w:p>
      <w:pPr>
        <w:pStyle w:val="ListParagraph"/>
        <w:numPr>
          <w:ilvl w:val="0"/>
          <w:numId w:val="12"/>
        </w:numPr>
        <w:spacing w:after="120" w:line="240" w:lineRule="auto"/>
        <w:ind w:left="567" w:hanging="425"/>
        <w:contextualSpacing w:val="0"/>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Komisija će pokrenuti niz </w:t>
      </w:r>
      <w:r>
        <w:rPr>
          <w:rFonts w:ascii="Times New Roman" w:hAnsi="Times New Roman" w:cs="Times New Roman"/>
          <w:b/>
          <w:noProof/>
          <w:sz w:val="24"/>
          <w:szCs w:val="24"/>
        </w:rPr>
        <w:t>mreža centara izvrsnosti za istraživanja umjetne inteligencije</w:t>
      </w:r>
      <w:r>
        <w:rPr>
          <w:rFonts w:ascii="Times New Roman" w:hAnsi="Times New Roman" w:cs="Times New Roman"/>
          <w:noProof/>
          <w:sz w:val="24"/>
          <w:szCs w:val="24"/>
        </w:rPr>
        <w:t xml:space="preserve"> u okviru programa Obzor 2020. Odabrat će se najviše četiri mreže koje će se usredotočiti na glavne znanstvene ili tehnološke izazove, kao što su objašnjivost i napredna interakcija čovjeka i stroja, koji su ključni elementi pouzdane umjetne inteligencije.</w:t>
      </w:r>
    </w:p>
    <w:p>
      <w:pPr>
        <w:pStyle w:val="ListParagraph"/>
        <w:numPr>
          <w:ilvl w:val="0"/>
          <w:numId w:val="12"/>
        </w:numPr>
        <w:spacing w:after="120" w:line="240" w:lineRule="auto"/>
        <w:ind w:left="567" w:hanging="425"/>
        <w:contextualSpacing w:val="0"/>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Komisija će započeti s uspostavom </w:t>
      </w:r>
      <w:r>
        <w:rPr>
          <w:rFonts w:ascii="Times New Roman" w:hAnsi="Times New Roman" w:cs="Times New Roman"/>
          <w:b/>
          <w:noProof/>
          <w:sz w:val="24"/>
          <w:szCs w:val="24"/>
        </w:rPr>
        <w:t>mreža digitalnoinovacijskih centara</w:t>
      </w:r>
      <w:r>
        <w:rPr>
          <w:rStyle w:val="FootnoteReference"/>
          <w:rFonts w:ascii="Times New Roman" w:hAnsi="Times New Roman" w:cs="Times New Roman"/>
          <w:b/>
          <w:noProof/>
          <w:sz w:val="24"/>
          <w:szCs w:val="24"/>
        </w:rPr>
        <w:footnoteReference w:id="19"/>
      </w:r>
      <w:r>
        <w:rPr>
          <w:rFonts w:ascii="Times New Roman" w:hAnsi="Times New Roman" w:cs="Times New Roman"/>
          <w:noProof/>
          <w:sz w:val="24"/>
          <w:szCs w:val="24"/>
        </w:rPr>
        <w:t xml:space="preserve"> usmjerenih na umjetnu inteligenciju u proizvodnji i velikim podacima.</w:t>
      </w:r>
    </w:p>
    <w:p>
      <w:pPr>
        <w:pStyle w:val="ListParagraph"/>
        <w:numPr>
          <w:ilvl w:val="0"/>
          <w:numId w:val="12"/>
        </w:numPr>
        <w:spacing w:after="120" w:line="240" w:lineRule="auto"/>
        <w:ind w:left="567" w:hanging="425"/>
        <w:contextualSpacing w:val="0"/>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Komisija će zajedno s državama članicama i dionicima započeti pripremne rasprave za razvoj i provedbu </w:t>
      </w:r>
      <w:r>
        <w:rPr>
          <w:rFonts w:ascii="Times New Roman" w:hAnsi="Times New Roman" w:cs="Times New Roman"/>
          <w:b/>
          <w:noProof/>
          <w:sz w:val="24"/>
          <w:szCs w:val="24"/>
        </w:rPr>
        <w:t>modela za razmjenu podataka i najbolje iskorištavanje zajedničkih podatkovnih prostora</w:t>
      </w:r>
      <w:r>
        <w:rPr>
          <w:rFonts w:ascii="Times New Roman" w:hAnsi="Times New Roman" w:cs="Times New Roman"/>
          <w:noProof/>
          <w:sz w:val="24"/>
          <w:szCs w:val="24"/>
        </w:rPr>
        <w:t>, s posebnim naglaskom na promet, zdravstvo i industrijsku proizvodnju</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w:t>
      </w:r>
    </w:p>
    <w:p>
      <w:pPr>
        <w:pStyle w:val="ListParagraph"/>
        <w:spacing w:after="120" w:line="240" w:lineRule="auto"/>
        <w:ind w:left="0"/>
        <w:jc w:val="both"/>
        <w:rPr>
          <w:rFonts w:ascii="Times New Roman" w:hAnsi="Times New Roman" w:cs="Times New Roman"/>
          <w:bCs/>
          <w:noProof/>
          <w:sz w:val="24"/>
          <w:szCs w:val="24"/>
        </w:rPr>
      </w:pPr>
      <w:r>
        <w:rPr>
          <w:rFonts w:ascii="Times New Roman" w:hAnsi="Times New Roman" w:cs="Times New Roman"/>
          <w:noProof/>
          <w:sz w:val="24"/>
          <w:szCs w:val="24"/>
        </w:rPr>
        <w:t>Nadalje, Komisija radi na izvješću o izazovima umjetne inteligencije u odnosu na okvire za sigurnost i odgovornost i na smjernicama za provedbu Direktive o odgovornosti za proizvode</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Istovremeno, Europsko zajedničko poduzeće za računalstvo visokih performansi (EuroHPC)</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razvit će sljedeću generaciju superračunala jer je računalni kapacitet ključan za obradu podataka i treniranje umjetne inteligencije, a Europa mora ovladati cjelokupnim digitalnim vrijednosnim lancem. Postojeće partnerstvo s državama članicama i industrijom u području mikroelektroničkih komponenata i sustava (ECSEL)</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kao i Inicijativa za europski procesor</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pridonijet će razvoju tehnologije procesora s niskom potrošnjom energije za pouzdano i sigurno računalstvo visokih performansi i računalstvo na rubu mreže. </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Slično kao i u radu na etičkim smjernicama za umjetnu inteligenciju, sve te inicijative temelje se na </w:t>
      </w:r>
      <w:r>
        <w:rPr>
          <w:rFonts w:ascii="Times New Roman" w:hAnsi="Times New Roman" w:cs="Times New Roman"/>
          <w:b/>
          <w:noProof/>
          <w:sz w:val="24"/>
          <w:szCs w:val="24"/>
        </w:rPr>
        <w:t>bliskoj suradnji svih uključenih dionika</w:t>
      </w:r>
      <w:r>
        <w:rPr>
          <w:rFonts w:ascii="Times New Roman" w:hAnsi="Times New Roman" w:cs="Times New Roman"/>
          <w:noProof/>
          <w:sz w:val="24"/>
          <w:szCs w:val="24"/>
        </w:rPr>
        <w:t>, država članica, industrije, društvenih aktera i građana. Ukupno gledajući, pristup Europe umjetnoj inteligenciji pokazuje kako se gospodarska konkurentnost i društveno povjerenje moraju zasnivati na istim temeljnim vrijednostima i uzajamno jačati.</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409079"/>
      <w:docPartObj>
        <w:docPartGallery w:val="Page Numbers (Bottom of Page)"/>
        <w:docPartUnique/>
      </w:docPartObj>
    </w:sdtPr>
    <w:sdtEndPr>
      <w:rPr>
        <w:rFonts w:ascii="Times New Roman" w:hAnsi="Times New Roman" w:cs="Times New Roman"/>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426"/>
        </w:tabs>
        <w:spacing w:before="40"/>
        <w:ind w:left="510" w:hanging="510"/>
        <w:jc w:val="both"/>
        <w:rPr>
          <w:rStyle w:val="FootnoteReference"/>
          <w:rFonts w:ascii="Times New Roman" w:hAnsi="Times New Roman" w:cs="Times New Roman"/>
          <w:vertAlign w:val="baseline"/>
        </w:rPr>
      </w:pPr>
      <w:r>
        <w:rPr>
          <w:rStyle w:val="FootnoteReference"/>
          <w:rFonts w:ascii="Times New Roman" w:hAnsi="Times New Roman"/>
        </w:rPr>
        <w:footnoteRef/>
      </w:r>
      <w:r>
        <w:rPr>
          <w:rStyle w:val="FootnoteReference"/>
          <w:rFonts w:ascii="Times New Roman" w:hAnsi="Times New Roman"/>
        </w:rPr>
        <w:t xml:space="preserve"> </w:t>
      </w:r>
      <w:r>
        <w:tab/>
      </w:r>
      <w:r>
        <w:tab/>
      </w:r>
      <w:r>
        <w:rPr>
          <w:rStyle w:val="FootnoteReference"/>
          <w:rFonts w:ascii="Times New Roman" w:hAnsi="Times New Roman"/>
          <w:vertAlign w:val="baseline"/>
        </w:rPr>
        <w:t>COM(2018) 237</w:t>
      </w:r>
      <w:r>
        <w:rPr>
          <w:rFonts w:ascii="Times New Roman" w:hAnsi="Times New Roman"/>
        </w:rPr>
        <w:t>.</w:t>
      </w:r>
    </w:p>
  </w:footnote>
  <w:footnote w:id="2">
    <w:p>
      <w:pPr>
        <w:pStyle w:val="FootnoteText"/>
        <w:tabs>
          <w:tab w:val="left" w:pos="426"/>
        </w:tabs>
        <w:spacing w:before="40"/>
        <w:ind w:left="510" w:hanging="5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tab/>
      </w:r>
      <w:r>
        <w:rPr>
          <w:rFonts w:ascii="Times New Roman" w:hAnsi="Times New Roman"/>
        </w:rPr>
        <w:t>COM(2018) 795.</w:t>
      </w:r>
    </w:p>
  </w:footnote>
  <w:footnote w:id="3">
    <w:p>
      <w:pPr>
        <w:pStyle w:val="Typedudocument"/>
        <w:spacing w:before="40"/>
        <w:ind w:left="510" w:hanging="510"/>
        <w:jc w:val="both"/>
        <w:rPr>
          <w:b w:val="0"/>
          <w:color w:val="000000" w:themeColor="text1"/>
          <w:sz w:val="20"/>
          <w:szCs w:val="20"/>
        </w:rPr>
      </w:pPr>
      <w:r>
        <w:rPr>
          <w:rStyle w:val="FootnoteReference"/>
          <w:b w:val="0"/>
          <w:sz w:val="20"/>
        </w:rPr>
        <w:footnoteRef/>
      </w:r>
      <w:r>
        <w:rPr>
          <w:b w:val="0"/>
          <w:sz w:val="20"/>
        </w:rPr>
        <w:t xml:space="preserve"> </w:t>
      </w:r>
      <w:r>
        <w:tab/>
      </w:r>
      <w:r>
        <w:rPr>
          <w:b w:val="0"/>
          <w:sz w:val="20"/>
        </w:rPr>
        <w:t>Kako bi pridonijela ostvarivanju tog cilja, Komisija je u sljedećem programskom razdoblju 2021.–2027. predložila da Unija iz sredstava za financiranje programâ Obzor Europa i Digitalna Europa izdvoji najmanje 1 milijardu EUR godišnje za ulaganja u umjetnu inteligenciju.</w:t>
      </w:r>
    </w:p>
  </w:footnote>
  <w:footnote w:id="4">
    <w:p>
      <w:pPr>
        <w:pStyle w:val="FootnoteText"/>
        <w:ind w:left="510" w:hanging="510"/>
        <w:rPr>
          <w:lang w:val="en-US"/>
        </w:rPr>
      </w:pPr>
      <w:r>
        <w:rPr>
          <w:rStyle w:val="FootnoteReference"/>
        </w:rPr>
        <w:footnoteRef/>
      </w:r>
      <w:r>
        <w:t xml:space="preserve"> </w:t>
      </w:r>
      <w:r>
        <w:tab/>
      </w:r>
      <w:r>
        <w:rPr>
          <w:rFonts w:ascii="Times New Roman" w:hAnsi="Times New Roman"/>
        </w:rPr>
        <w:t>Osim toga, EU je potpisnik Konvencije UN-a o pravima osoba s invaliditetom.</w:t>
      </w:r>
    </w:p>
  </w:footnote>
  <w:footnote w:id="5">
    <w:p>
      <w:pPr>
        <w:pStyle w:val="FootnoteText"/>
        <w:ind w:left="510" w:hanging="510"/>
        <w:jc w:val="both"/>
      </w:pPr>
      <w:r>
        <w:rPr>
          <w:rStyle w:val="FootnoteReference"/>
        </w:rPr>
        <w:footnoteRef/>
      </w:r>
      <w:r>
        <w:t xml:space="preserve"> </w:t>
      </w:r>
      <w:r>
        <w:tab/>
      </w:r>
      <w:r>
        <w:rPr>
          <w:rFonts w:ascii="Times New Roman" w:hAnsi="Times New Roman"/>
          <w:color w:val="000000" w:themeColor="text1"/>
        </w:rPr>
        <w:t>Uredba (EU) 2016/679. Općom uredbom o zaštiti podataka jamči se slobodan protok osobnih podataka unutar Unije. Ona sadržava odredbe o donošenju odluka isključivo na temelju automatizirane obrade, uključujući izradu profila. Pojedinci na koje se to odnosi imaju pravo biti obaviješteni o postojanju automatiziranog donošenja odluka i dobiti smislene informacije o logici automatskog donošenja odluka te o važnosti i predviđenim posljedicama obrade za njih. U takvim slučajevima imaju i pravo na ljudsku intervenciju, izraziti svoje stajalište i osporiti odluku.</w:t>
      </w:r>
      <w:r>
        <w:rPr>
          <w:rFonts w:ascii="Times New Roman" w:hAnsi="Times New Roman"/>
          <w:color w:val="000000" w:themeColor="text1"/>
          <w:sz w:val="24"/>
        </w:rPr>
        <w:t xml:space="preserve"> </w:t>
      </w:r>
    </w:p>
  </w:footnote>
  <w:footnote w:id="6">
    <w:p>
      <w:pPr>
        <w:pStyle w:val="FootnoteText"/>
        <w:ind w:left="510" w:hanging="510"/>
      </w:pPr>
      <w:r>
        <w:rPr>
          <w:rStyle w:val="FootnoteReference"/>
        </w:rPr>
        <w:footnoteRef/>
      </w:r>
      <w:r>
        <w:t xml:space="preserve"> </w:t>
      </w:r>
      <w:r>
        <w:tab/>
      </w:r>
      <w:r>
        <w:rPr>
          <w:rFonts w:ascii="Times New Roman" w:hAnsi="Times New Roman"/>
        </w:rPr>
        <w:t>COM(2017) 10.</w:t>
      </w:r>
    </w:p>
  </w:footnote>
  <w:footnote w:id="7">
    <w:p>
      <w:pPr>
        <w:pStyle w:val="FootnoteText"/>
        <w:ind w:left="510" w:hanging="510"/>
      </w:pPr>
      <w:r>
        <w:rPr>
          <w:rStyle w:val="FootnoteReference"/>
        </w:rPr>
        <w:footnoteRef/>
      </w:r>
      <w:r>
        <w:t xml:space="preserve"> </w:t>
      </w:r>
      <w:r>
        <w:tab/>
      </w:r>
      <w:hyperlink r:id="rId1">
        <w:r>
          <w:rPr>
            <w:rStyle w:val="Hyperlink"/>
            <w:rFonts w:ascii="Times New Roman" w:hAnsi="Times New Roman"/>
          </w:rPr>
          <w:t>https://ec.europa.eu/digital-single-market/en/high-level-expert-group-artificial-intelligence</w:t>
        </w:r>
      </w:hyperlink>
    </w:p>
  </w:footnote>
  <w:footnote w:id="8">
    <w:p>
      <w:pPr>
        <w:pStyle w:val="FootnoteText"/>
        <w:ind w:left="510" w:hanging="510"/>
      </w:pPr>
      <w:r>
        <w:rPr>
          <w:rStyle w:val="FootnoteReference"/>
        </w:rPr>
        <w:footnoteRef/>
      </w:r>
      <w:r>
        <w:t xml:space="preserve"> </w:t>
      </w:r>
      <w:r>
        <w:tab/>
      </w:r>
      <w:hyperlink r:id="rId2">
        <w:r>
          <w:rPr>
            <w:rStyle w:val="Hyperlink"/>
            <w:rFonts w:ascii="Times New Roman" w:hAnsi="Times New Roman"/>
          </w:rPr>
          <w:t>https://ec.europa.eu/digital-single-market/en/european-ai-alliance</w:t>
        </w:r>
      </w:hyperlink>
    </w:p>
  </w:footnote>
  <w:footnote w:id="9">
    <w:p>
      <w:pPr>
        <w:pStyle w:val="Typedudocument"/>
        <w:spacing w:before="0"/>
        <w:ind w:left="510" w:hanging="510"/>
        <w:jc w:val="both"/>
        <w:rPr>
          <w:sz w:val="20"/>
          <w:szCs w:val="20"/>
        </w:rPr>
      </w:pPr>
      <w:r>
        <w:rPr>
          <w:rStyle w:val="FootnoteReference"/>
          <w:b w:val="0"/>
          <w:sz w:val="20"/>
        </w:rPr>
        <w:footnoteRef/>
      </w:r>
      <w:r>
        <w:rPr>
          <w:sz w:val="20"/>
        </w:rPr>
        <w:t xml:space="preserve"> </w:t>
      </w:r>
      <w:r>
        <w:tab/>
      </w:r>
      <w:r>
        <w:rPr>
          <w:b w:val="0"/>
          <w:color w:val="000000" w:themeColor="text1"/>
          <w:sz w:val="20"/>
        </w:rPr>
        <w:t>Tijekom savjetovanja primjedbe je poslalo 511 organizacija, udruga, poduzeća, istraživačkih instituta, pojedinaca i drugih subjekata.</w:t>
      </w:r>
      <w:r>
        <w:rPr>
          <w:color w:val="000000" w:themeColor="text1"/>
          <w:sz w:val="20"/>
        </w:rPr>
        <w:t xml:space="preserve"> </w:t>
      </w:r>
      <w:r>
        <w:rPr>
          <w:b w:val="0"/>
          <w:color w:val="000000" w:themeColor="text1"/>
          <w:sz w:val="20"/>
        </w:rPr>
        <w:t xml:space="preserve">Sažetak primljenih povratnih informacija dostupan je na: </w:t>
      </w:r>
      <w:hyperlink r:id="rId3">
        <w:r>
          <w:rPr>
            <w:rStyle w:val="Hyperlink"/>
            <w:b w:val="0"/>
            <w:sz w:val="20"/>
          </w:rPr>
          <w:t>https://ec.europa.eu/futurium/en/system/files/ged/consultation_feedback_on_draft_ai_ethics_guidelines_4.pdf</w:t>
        </w:r>
      </w:hyperlink>
    </w:p>
  </w:footnote>
  <w:footnote w:id="10">
    <w:p>
      <w:pPr>
        <w:pStyle w:val="Typedudocument"/>
        <w:spacing w:before="0"/>
        <w:ind w:left="510" w:hanging="510"/>
        <w:jc w:val="both"/>
      </w:pPr>
      <w:r>
        <w:rPr>
          <w:rStyle w:val="FootnoteReference"/>
          <w:b w:val="0"/>
          <w:sz w:val="20"/>
        </w:rPr>
        <w:footnoteRef/>
      </w:r>
      <w:r>
        <w:rPr>
          <w:b w:val="0"/>
          <w:sz w:val="20"/>
        </w:rPr>
        <w:t xml:space="preserve"> </w:t>
      </w:r>
      <w:r>
        <w:tab/>
      </w:r>
      <w:r>
        <w:rPr>
          <w:b w:val="0"/>
          <w:color w:val="000000" w:themeColor="text1"/>
          <w:sz w:val="20"/>
        </w:rPr>
        <w:t>Države članice pozitivno su ocijenile rad stručne skupine, a u zaključcima Vijeća od 18. veljače 2019. među ostalim prima se na znanje predstojeća objava etičkih smjernica i podupiru napori Komisije za afirmiranje etičkog pristupa EU-a na svjetskoj razini:</w:t>
      </w:r>
      <w:r>
        <w:t xml:space="preserve"> </w:t>
      </w:r>
      <w:hyperlink r:id="rId4">
        <w:r>
          <w:rPr>
            <w:rStyle w:val="Hyperlink"/>
            <w:b w:val="0"/>
            <w:sz w:val="20"/>
          </w:rPr>
          <w:t>https://data.consilium.europa.eu/doc/document/ST-6177-2019-INIT/en/pdf</w:t>
        </w:r>
      </w:hyperlink>
    </w:p>
  </w:footnote>
  <w:footnote w:id="11">
    <w:p>
      <w:pPr>
        <w:pStyle w:val="FootnoteText"/>
        <w:ind w:left="510" w:hanging="510"/>
      </w:pPr>
      <w:r>
        <w:rPr>
          <w:rStyle w:val="FootnoteReference"/>
        </w:rPr>
        <w:footnoteRef/>
      </w:r>
      <w:r>
        <w:t xml:space="preserve"> </w:t>
      </w:r>
      <w:r>
        <w:tab/>
      </w:r>
      <w:hyperlink r:id="rId5" w:anchor="Top" w:history="1">
        <w:r>
          <w:rPr>
            <w:rStyle w:val="Hyperlink"/>
            <w:rFonts w:ascii="Times New Roman" w:hAnsi="Times New Roman" w:cs="Times New Roman"/>
            <w:bCs/>
          </w:rPr>
          <w:t>https://ec.europa.eu/futurium/en/ai-alliance-consultation/guidelines#Top</w:t>
        </w:r>
      </w:hyperlink>
    </w:p>
  </w:footnote>
  <w:footnote w:id="12">
    <w:p>
      <w:pPr>
        <w:pStyle w:val="FootnoteText"/>
        <w:ind w:left="426" w:hanging="426"/>
        <w:jc w:val="both"/>
        <w:rPr>
          <w:rFonts w:ascii="Times New Roman" w:hAnsi="Times New Roman" w:cs="Times New Roman"/>
        </w:rPr>
      </w:pPr>
      <w:r>
        <w:rPr>
          <w:rStyle w:val="FootnoteReference"/>
        </w:rPr>
        <w:footnoteRef/>
      </w:r>
      <w:r>
        <w:t xml:space="preserve"> </w:t>
      </w:r>
      <w:r>
        <w:tab/>
      </w:r>
      <w:r>
        <w:rPr>
          <w:rFonts w:ascii="Times New Roman" w:hAnsi="Times New Roman"/>
        </w:rPr>
        <w:t>Općom uredbom o zaštiti podataka utvrđuje se da pojedinci imaju pravo da se na njih ne odnosi odluka koja se temelji isključivo na automatiziranoj obradi ako to proizvodi pravne učinke za korisnike ili na sličan način na njih znatno utječe (članak 22. Opće uredbe o zaštiti podataka).</w:t>
      </w:r>
    </w:p>
  </w:footnote>
  <w:footnote w:id="13">
    <w:p>
      <w:pPr>
        <w:pStyle w:val="FootnoteText"/>
        <w:ind w:left="426" w:hanging="426"/>
        <w:jc w:val="both"/>
        <w:rPr>
          <w:rFonts w:ascii="Times New Roman" w:hAnsi="Times New Roman" w:cs="Times New Roman"/>
          <w:sz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rPr>
        <w:t>Ljudska intervencija (</w:t>
      </w:r>
      <w:r>
        <w:rPr>
          <w:rFonts w:ascii="Times New Roman" w:hAnsi="Times New Roman"/>
          <w:color w:val="000000"/>
        </w:rPr>
        <w:t xml:space="preserve">HITL, </w:t>
      </w:r>
      <w:r>
        <w:rPr>
          <w:rFonts w:ascii="Times New Roman" w:hAnsi="Times New Roman"/>
          <w:i/>
          <w:color w:val="000000"/>
        </w:rPr>
        <w:t>human-in-the-loop</w:t>
      </w:r>
      <w:r>
        <w:rPr>
          <w:rFonts w:ascii="Times New Roman" w:hAnsi="Times New Roman"/>
          <w:color w:val="000000"/>
        </w:rPr>
        <w:t>) odnosi se na ljudsku intervenciju u svakom ciklusu odlučivanja sustava, što u mnogim slučajevima nije ni moguće ni poželjno</w:t>
      </w:r>
      <w:r>
        <w:rPr>
          <w:rFonts w:ascii="Times New Roman" w:hAnsi="Times New Roman"/>
        </w:rPr>
        <w:t>.</w:t>
      </w:r>
      <w:r>
        <w:rPr>
          <w:rFonts w:ascii="Times New Roman" w:hAnsi="Times New Roman"/>
          <w:color w:val="000000"/>
        </w:rPr>
        <w:t xml:space="preserve"> Ljudski nadzor (HOTL, </w:t>
      </w:r>
      <w:r>
        <w:rPr>
          <w:rFonts w:ascii="Times New Roman" w:hAnsi="Times New Roman"/>
          <w:i/>
          <w:color w:val="000000"/>
        </w:rPr>
        <w:t>human-on-the-loop</w:t>
      </w:r>
      <w:r>
        <w:rPr>
          <w:rFonts w:ascii="Times New Roman" w:hAnsi="Times New Roman"/>
          <w:color w:val="000000"/>
        </w:rPr>
        <w:t xml:space="preserve">) odnosi se na mogućnost ljudske intervencije tijekom ciklusa projektiranja sustava i praćenje rada sustava. Ljudsko odlučivanje (HIC, </w:t>
      </w:r>
      <w:r>
        <w:rPr>
          <w:rFonts w:ascii="Times New Roman" w:hAnsi="Times New Roman"/>
          <w:i/>
          <w:color w:val="000000"/>
        </w:rPr>
        <w:t>human-in-command</w:t>
      </w:r>
      <w:r>
        <w:rPr>
          <w:rFonts w:ascii="Times New Roman" w:hAnsi="Times New Roman"/>
          <w:color w:val="000000"/>
        </w:rPr>
        <w:t>) odnosi se na mogućnost nadzora ukupne aktivnosti sustava umjetne inteligencije (uključujući njegov širi gospodarski, društveni, pravni i etički učinak) i mogućnost odlučivanja o vremenu i načinu upotrebe sustava u određenoj situaciji. To može uključivati odluku da se sustav umjetne inteligencije ne upotrebljava u određenoj situaciji, da se utvrđuje razina diskrecijskog odlučivanja ljudi tijekom upotrebe sustava ili da se osigura mogućnost poništenja odluke koju je donio sustav.</w:t>
      </w:r>
    </w:p>
  </w:footnote>
  <w:footnote w:id="14">
    <w:p>
      <w:pPr>
        <w:pStyle w:val="FootnoteText"/>
        <w:ind w:left="510" w:hanging="510"/>
      </w:pPr>
      <w:r>
        <w:rPr>
          <w:rStyle w:val="FootnoteReference"/>
        </w:rPr>
        <w:footnoteRef/>
      </w:r>
      <w:r>
        <w:t xml:space="preserve"> </w:t>
      </w:r>
      <w:r>
        <w:tab/>
      </w:r>
      <w:r>
        <w:rPr>
          <w:rFonts w:ascii="Times New Roman" w:hAnsi="Times New Roman"/>
        </w:rPr>
        <w:t>Vidjeti Komunikaciju Komisije o povezanoj i automatiziranoj mobilnosti za Europu, COM(2018) 283.</w:t>
      </w:r>
    </w:p>
  </w:footnote>
  <w:footnote w:id="15">
    <w:p>
      <w:pPr>
        <w:pStyle w:val="FootnoteText"/>
        <w:ind w:left="510" w:hanging="510"/>
        <w:jc w:val="both"/>
        <w:rPr>
          <w:rFonts w:ascii="Times New Roman" w:hAnsi="Times New Roman" w:cs="Times New Roman"/>
        </w:rPr>
      </w:pPr>
      <w:r>
        <w:rPr>
          <w:rStyle w:val="FootnoteReference"/>
        </w:rPr>
        <w:footnoteRef/>
      </w:r>
      <w:r>
        <w:t xml:space="preserve"> </w:t>
      </w:r>
      <w:r>
        <w:tab/>
      </w:r>
      <w:r>
        <w:rPr>
          <w:rFonts w:ascii="Times New Roman" w:hAnsi="Times New Roman"/>
        </w:rPr>
        <w:t xml:space="preserve">U okviru Europskog fonda za obranu Komisija će izraditi i posebne etičke smjernice </w:t>
      </w:r>
      <w:r>
        <w:rPr>
          <w:rFonts w:ascii="Times New Roman" w:hAnsi="Times New Roman"/>
          <w:color w:val="000000" w:themeColor="text1"/>
        </w:rPr>
        <w:t>za ocjenu prijedloga projekata u području umjetne inteligencije za obranu.</w:t>
      </w:r>
    </w:p>
  </w:footnote>
  <w:footnote w:id="16">
    <w:p>
      <w:pPr>
        <w:spacing w:after="0" w:line="240" w:lineRule="auto"/>
        <w:ind w:left="510" w:hanging="510"/>
      </w:pPr>
      <w:r>
        <w:rPr>
          <w:rStyle w:val="FootnoteReference"/>
        </w:rPr>
        <w:footnoteRef/>
      </w:r>
      <w:r>
        <w:t xml:space="preserve"> </w:t>
      </w:r>
      <w:r>
        <w:tab/>
      </w:r>
      <w:hyperlink r:id="rId6">
        <w:r>
          <w:rPr>
            <w:rStyle w:val="Hyperlink"/>
            <w:rFonts w:ascii="Times New Roman" w:hAnsi="Times New Roman"/>
            <w:sz w:val="20"/>
          </w:rPr>
          <w:t>https://ec.europa.eu/digital-single-market/en/news/artificial-intelligence-ai4eu-project-launches-1-january-2019</w:t>
        </w:r>
      </w:hyperlink>
    </w:p>
  </w:footnote>
  <w:footnote w:id="17">
    <w:p>
      <w:pPr>
        <w:pStyle w:val="FootnoteText"/>
        <w:spacing w:before="40"/>
        <w:ind w:left="510" w:hanging="510"/>
        <w:jc w:val="both"/>
      </w:pPr>
      <w:r>
        <w:rPr>
          <w:rStyle w:val="FootnoteReference"/>
        </w:rPr>
        <w:footnoteRef/>
      </w:r>
      <w:r>
        <w:rPr>
          <w:rFonts w:ascii="Times New Roman" w:hAnsi="Times New Roman"/>
          <w:color w:val="000000" w:themeColor="text1"/>
        </w:rPr>
        <w:t xml:space="preserve"> </w:t>
      </w:r>
      <w:r>
        <w:tab/>
      </w:r>
      <w:r>
        <w:rPr>
          <w:rFonts w:ascii="Times New Roman" w:hAnsi="Times New Roman"/>
          <w:color w:val="000000" w:themeColor="text1"/>
        </w:rPr>
        <w:t>Visoka predstavnica Unije za vanjske poslove i sigurnosnu politiku temeljit će svoj rad, uz potporu Komisije, na savjetovanjima u Ujedinjenim narodima, panelu „Global Tech Panel” i drugim multilateralnim forumima te osobito koordinirati prijedloge za rješavanje povezanih složenih sigurnosnih izazova.</w:t>
      </w:r>
      <w:r>
        <w:rPr>
          <w:rFonts w:ascii="Times New Roman" w:hAnsi="Times New Roman"/>
          <w:color w:val="000000" w:themeColor="text1"/>
          <w:sz w:val="24"/>
        </w:rPr>
        <w:t xml:space="preserve"> </w:t>
      </w:r>
      <w:r>
        <w:t xml:space="preserve"> </w:t>
      </w:r>
    </w:p>
  </w:footnote>
  <w:footnote w:id="18">
    <w:p>
      <w:pPr>
        <w:pStyle w:val="FootnoteText"/>
        <w:ind w:left="510" w:hanging="51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color w:val="000000"/>
        </w:rPr>
        <w:t>Uredba (EU) br. 234/2014 Europskog parlamenta i Vijeća od 11. ožujka 2014. o uspostavi Instrumenta za partnerstvo za suradnju s trećim zemljama (SL L 77, 15.3.2014., str. 77.).</w:t>
      </w:r>
      <w:r>
        <w:rPr>
          <w:rFonts w:ascii="Times New Roman" w:hAnsi="Times New Roman"/>
          <w:noProof/>
        </w:rPr>
        <w:t xml:space="preserve"> Na primjer, planirani projekt o međunarodnom savezu za antropocentrični pristup umjetnoj inteligenciji olakšat će zajedničke inicijative s partnerima sličnih stavova radi promicanja etičkih smjernica i donošenja zajedničkih načela i operativnih zaključaka. Omogućit će raspravu između EU-a i zemalja sličnih stavova radi donošenja operativnih zaključaka na temelju etičkih smjernica o umjetnoj inteligenciji koje je predložila skupina stručnjaka radi postizanja zajedničkog pristupa. Osim toga, osigurati će praćenje uvođenja tehnologije umjetne inteligencije u svijetu. Naposljetku, u okviru projekta planiraju se organizirati aktivnosti javne diplomacije koje prate međunarodne događaje, npr. u skupinama G-7, G-20 i u Organizaciji za gospodarsku suradnju i razvoj. </w:t>
      </w:r>
    </w:p>
  </w:footnote>
  <w:footnote w:id="19">
    <w:p>
      <w:pPr>
        <w:pStyle w:val="FootnoteText"/>
        <w:ind w:left="532" w:hanging="532"/>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7">
        <w:r>
          <w:rPr>
            <w:rStyle w:val="Hyperlink"/>
            <w:rFonts w:ascii="Times New Roman" w:hAnsi="Times New Roman"/>
          </w:rPr>
          <w:t>http://s3platform.jrc.ec.europa.eu/digital-innovation-hubs</w:t>
        </w:r>
      </w:hyperlink>
    </w:p>
  </w:footnote>
  <w:footnote w:id="20">
    <w:p>
      <w:pPr>
        <w:pStyle w:val="FootnoteText"/>
        <w:ind w:left="532" w:hanging="532"/>
        <w:jc w:val="both"/>
        <w:rPr>
          <w:rFonts w:ascii="Times New Roman" w:hAnsi="Times New Roman" w:cs="Times New Roman"/>
        </w:rPr>
      </w:pPr>
      <w:r>
        <w:rPr>
          <w:rStyle w:val="FootnoteReference"/>
        </w:rPr>
        <w:footnoteRef/>
      </w:r>
      <w:r>
        <w:t xml:space="preserve"> </w:t>
      </w:r>
      <w:r>
        <w:tab/>
      </w:r>
      <w:r>
        <w:rPr>
          <w:rFonts w:ascii="Times New Roman" w:hAnsi="Times New Roman"/>
        </w:rPr>
        <w:t>Potrebna sredstva mobilizirat će se iz programa Obzor 2020. (u kojem je za umjetnu inteligenciju u razdoblju 2018.– 2020. namijenjeno gotovo 1,5 milijardi EUR) i programa koji će ga naslijediti, Obzor Europa, te digitalnog dijela Instrumenta za povezivanje Europe i posebno iz budućeg programa Digitalna Europa. Osim toga, projekti će se oslanjati na sredstva iz privatnog sektora i iz programa država članica.</w:t>
      </w:r>
      <w:r>
        <w:t xml:space="preserve"> </w:t>
      </w:r>
    </w:p>
  </w:footnote>
  <w:footnote w:id="21">
    <w:p>
      <w:pPr>
        <w:pStyle w:val="FootnoteText"/>
        <w:ind w:left="532" w:hanging="532"/>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Vidjeti Komunikaciju Komisije „Umjetna inteligencija za Europu”, COM(2018) 237.</w:t>
      </w:r>
    </w:p>
  </w:footnote>
  <w:footnote w:id="22">
    <w:p>
      <w:pPr>
        <w:pStyle w:val="FootnoteText"/>
        <w:tabs>
          <w:tab w:val="left" w:pos="567"/>
        </w:tabs>
        <w:ind w:left="532" w:hanging="532"/>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8">
        <w:r>
          <w:rPr>
            <w:rStyle w:val="Hyperlink"/>
            <w:rFonts w:ascii="Times New Roman" w:hAnsi="Times New Roman"/>
          </w:rPr>
          <w:t>https://eurohpc-ju.europa.eu</w:t>
        </w:r>
      </w:hyperlink>
    </w:p>
  </w:footnote>
  <w:footnote w:id="23">
    <w:p>
      <w:pPr>
        <w:pStyle w:val="FootnoteText"/>
        <w:tabs>
          <w:tab w:val="left" w:pos="567"/>
        </w:tabs>
        <w:ind w:left="532" w:hanging="532"/>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9">
        <w:r>
          <w:rPr>
            <w:rStyle w:val="Hyperlink"/>
            <w:rFonts w:ascii="Times New Roman" w:hAnsi="Times New Roman"/>
          </w:rPr>
          <w:t>www.ecsel.eu</w:t>
        </w:r>
      </w:hyperlink>
    </w:p>
  </w:footnote>
  <w:footnote w:id="24">
    <w:p>
      <w:pPr>
        <w:pStyle w:val="FootnoteText"/>
        <w:ind w:left="532" w:hanging="532"/>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0">
        <w:r>
          <w:rPr>
            <w:rStyle w:val="Hyperlink"/>
            <w:rFonts w:ascii="Times New Roman" w:hAnsi="Times New Roman"/>
          </w:rPr>
          <w:t>www.european-processor-initiative.eu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D12"/>
    <w:multiLevelType w:val="hybridMultilevel"/>
    <w:tmpl w:val="89A62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126DB"/>
    <w:multiLevelType w:val="hybridMultilevel"/>
    <w:tmpl w:val="D23E34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54058B"/>
    <w:multiLevelType w:val="hybridMultilevel"/>
    <w:tmpl w:val="A686CDE4"/>
    <w:lvl w:ilvl="0" w:tplc="8072398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E25D64"/>
    <w:multiLevelType w:val="hybridMultilevel"/>
    <w:tmpl w:val="FBD830AA"/>
    <w:name w:val="CPSNumberingScheme"/>
    <w:lvl w:ilvl="0" w:tplc="693488F2">
      <w:start w:val="1"/>
      <w:numFmt w:val="decimal"/>
      <w:lvlText w:val="%1."/>
      <w:lvlJc w:val="right"/>
      <w:pPr>
        <w:ind w:left="500" w:hanging="180"/>
      </w:pPr>
    </w:lvl>
    <w:lvl w:ilvl="1" w:tplc="1B002B66">
      <w:start w:val="1"/>
      <w:numFmt w:val="decimal"/>
      <w:lvlText w:val="%2."/>
      <w:lvlJc w:val="right"/>
      <w:pPr>
        <w:ind w:left="1000" w:hanging="180"/>
      </w:pPr>
    </w:lvl>
    <w:lvl w:ilvl="2" w:tplc="71E28308">
      <w:start w:val="1"/>
      <w:numFmt w:val="decimal"/>
      <w:lvlText w:val="%3."/>
      <w:lvlJc w:val="right"/>
      <w:pPr>
        <w:ind w:left="1500" w:hanging="180"/>
      </w:pPr>
    </w:lvl>
    <w:lvl w:ilvl="3" w:tplc="6CF6B8D6">
      <w:start w:val="1"/>
      <w:numFmt w:val="decimal"/>
      <w:lvlText w:val="%4."/>
      <w:lvlJc w:val="right"/>
      <w:pPr>
        <w:ind w:left="2000" w:hanging="180"/>
      </w:pPr>
    </w:lvl>
    <w:lvl w:ilvl="4" w:tplc="5A4A32B6">
      <w:start w:val="1"/>
      <w:numFmt w:val="decimal"/>
      <w:lvlText w:val="%5."/>
      <w:lvlJc w:val="right"/>
      <w:pPr>
        <w:ind w:left="2500" w:hanging="180"/>
      </w:pPr>
    </w:lvl>
    <w:lvl w:ilvl="5" w:tplc="BB9001BC">
      <w:start w:val="1"/>
      <w:numFmt w:val="decimal"/>
      <w:lvlText w:val="%6."/>
      <w:lvlJc w:val="right"/>
      <w:pPr>
        <w:ind w:left="3000" w:hanging="180"/>
      </w:pPr>
    </w:lvl>
    <w:lvl w:ilvl="6" w:tplc="D7B24302">
      <w:start w:val="1"/>
      <w:numFmt w:val="decimal"/>
      <w:lvlText w:val="%7."/>
      <w:lvlJc w:val="right"/>
      <w:pPr>
        <w:ind w:left="3500" w:hanging="180"/>
      </w:pPr>
    </w:lvl>
    <w:lvl w:ilvl="7" w:tplc="1046D4F8">
      <w:start w:val="1"/>
      <w:numFmt w:val="decimal"/>
      <w:lvlText w:val="%8."/>
      <w:lvlJc w:val="right"/>
      <w:pPr>
        <w:ind w:left="4000" w:hanging="180"/>
      </w:pPr>
    </w:lvl>
    <w:lvl w:ilvl="8" w:tplc="C96A7890">
      <w:start w:val="1"/>
      <w:numFmt w:val="decimal"/>
      <w:lvlText w:val="%9."/>
      <w:lvlJc w:val="right"/>
      <w:pPr>
        <w:ind w:left="4500" w:hanging="180"/>
      </w:pPr>
    </w:lvl>
  </w:abstractNum>
  <w:abstractNum w:abstractNumId="4">
    <w:nsid w:val="20EF1DDD"/>
    <w:multiLevelType w:val="hybridMultilevel"/>
    <w:tmpl w:val="C65A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9F6B68"/>
    <w:multiLevelType w:val="hybridMultilevel"/>
    <w:tmpl w:val="8F6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1B1282"/>
    <w:multiLevelType w:val="hybridMultilevel"/>
    <w:tmpl w:val="89A62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0D1D6C"/>
    <w:multiLevelType w:val="hybridMultilevel"/>
    <w:tmpl w:val="D0C23DDA"/>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9C05152"/>
    <w:multiLevelType w:val="hybridMultilevel"/>
    <w:tmpl w:val="20CA3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5D53441"/>
    <w:multiLevelType w:val="hybridMultilevel"/>
    <w:tmpl w:val="DE142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9F2CB9"/>
    <w:multiLevelType w:val="hybridMultilevel"/>
    <w:tmpl w:val="79D42972"/>
    <w:lvl w:ilvl="0" w:tplc="09E844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C3B25A8"/>
    <w:multiLevelType w:val="hybridMultilevel"/>
    <w:tmpl w:val="A38CBC06"/>
    <w:lvl w:ilvl="0" w:tplc="8072398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4"/>
  </w:num>
  <w:num w:numId="5">
    <w:abstractNumId w:val="7"/>
  </w:num>
  <w:num w:numId="6">
    <w:abstractNumId w:val="2"/>
  </w:num>
  <w:num w:numId="7">
    <w:abstractNumId w:val="0"/>
  </w:num>
  <w:num w:numId="8">
    <w:abstractNumId w:val="11"/>
  </w:num>
  <w:num w:numId="9">
    <w:abstractNumId w:val="3"/>
    <w:lvlOverride w:ilvl="0">
      <w:startOverride w:val="1"/>
      <w:lvl w:ilvl="0" w:tplc="693488F2">
        <w:start w:val="1"/>
        <w:numFmt w:val="bullet"/>
        <w:lvlText w:val=""/>
        <w:lvlJc w:val="right"/>
        <w:pPr>
          <w:ind w:left="500" w:hanging="180"/>
        </w:pPr>
        <w:rPr>
          <w:rFonts w:ascii="Symbol" w:hAnsi="Symbol" w:hint="default"/>
        </w:rPr>
      </w:lvl>
    </w:lvlOverride>
    <w:lvlOverride w:ilvl="1">
      <w:startOverride w:val="1"/>
      <w:lvl w:ilvl="1" w:tplc="1B002B66">
        <w:start w:val="1"/>
        <w:numFmt w:val="decimal"/>
        <w:lvlText w:val="%2."/>
        <w:lvlJc w:val="right"/>
        <w:pPr>
          <w:ind w:left="1000" w:hanging="180"/>
        </w:pPr>
      </w:lvl>
    </w:lvlOverride>
    <w:lvlOverride w:ilvl="2">
      <w:startOverride w:val="1"/>
      <w:lvl w:ilvl="2" w:tplc="71E28308">
        <w:start w:val="1"/>
        <w:numFmt w:val="decimal"/>
        <w:lvlText w:val="%3."/>
        <w:lvlJc w:val="right"/>
        <w:pPr>
          <w:ind w:left="1500" w:hanging="180"/>
        </w:pPr>
      </w:lvl>
    </w:lvlOverride>
    <w:lvlOverride w:ilvl="3">
      <w:startOverride w:val="1"/>
      <w:lvl w:ilvl="3" w:tplc="6CF6B8D6">
        <w:start w:val="1"/>
        <w:numFmt w:val="decimal"/>
        <w:lvlText w:val="%4."/>
        <w:lvlJc w:val="right"/>
        <w:pPr>
          <w:ind w:left="2000" w:hanging="180"/>
        </w:pPr>
      </w:lvl>
    </w:lvlOverride>
    <w:lvlOverride w:ilvl="4">
      <w:startOverride w:val="1"/>
      <w:lvl w:ilvl="4" w:tplc="5A4A32B6">
        <w:start w:val="1"/>
        <w:numFmt w:val="decimal"/>
        <w:lvlText w:val="%5."/>
        <w:lvlJc w:val="right"/>
        <w:pPr>
          <w:ind w:left="2500" w:hanging="180"/>
        </w:pPr>
      </w:lvl>
    </w:lvlOverride>
    <w:lvlOverride w:ilvl="5">
      <w:startOverride w:val="1"/>
      <w:lvl w:ilvl="5" w:tplc="BB9001BC">
        <w:start w:val="1"/>
        <w:numFmt w:val="decimal"/>
        <w:lvlText w:val="%6."/>
        <w:lvlJc w:val="right"/>
        <w:pPr>
          <w:ind w:left="3000" w:hanging="180"/>
        </w:pPr>
      </w:lvl>
    </w:lvlOverride>
    <w:lvlOverride w:ilvl="6">
      <w:startOverride w:val="1"/>
      <w:lvl w:ilvl="6" w:tplc="D7B24302">
        <w:start w:val="1"/>
        <w:numFmt w:val="decimal"/>
        <w:lvlText w:val="%7."/>
        <w:lvlJc w:val="right"/>
        <w:pPr>
          <w:ind w:left="3500" w:hanging="180"/>
        </w:pPr>
      </w:lvl>
    </w:lvlOverride>
    <w:lvlOverride w:ilvl="7">
      <w:startOverride w:val="1"/>
      <w:lvl w:ilvl="7" w:tplc="1046D4F8">
        <w:start w:val="1"/>
        <w:numFmt w:val="decimal"/>
        <w:lvlText w:val="%8."/>
        <w:lvlJc w:val="right"/>
        <w:pPr>
          <w:ind w:left="4000" w:hanging="180"/>
        </w:pPr>
      </w:lvl>
    </w:lvlOverride>
    <w:lvlOverride w:ilvl="8">
      <w:startOverride w:val="1"/>
      <w:lvl w:ilvl="8" w:tplc="C96A7890">
        <w:start w:val="1"/>
        <w:numFmt w:val="decimal"/>
        <w:lvlText w:val="%9."/>
        <w:lvlJc w:val="right"/>
        <w:pPr>
          <w:ind w:left="4500" w:hanging="180"/>
        </w:pPr>
      </w:lvl>
    </w:lvlOverride>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4EEFD0A-4C1B-46AD-8E55-0C3970FB4227"/>
    <w:docVar w:name="LW_COVERPAGE_TYPE" w:val="1"/>
    <w:docVar w:name="LW_CROSSREFERENCE" w:val="&lt;UNUSED&gt;"/>
    <w:docVar w:name="LW_DocType" w:val="NORMAL"/>
    <w:docVar w:name="LW_EMISSION" w:val="8.4.2019."/>
    <w:docVar w:name="LW_EMISSION_ISODATE" w:val="2019-04-08"/>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9) 1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Izgradnja povjerenja u antropocentri\u269?nu umjetnu inteligenciju &lt;/FMT&gt;"/>
    <w:docVar w:name="LW_TYPE.DOC.CP" w:val="KOMUNIKACIJA KOMISIJE EUROPSKOM PARLAMENTU, VIJE\u262?U, EUROPSKOM GOSPODARSKOM I SOCIJALNOM ODBORU I ODBORU REGIJA"/>
    <w:docVar w:name="LW_TYPE.DOC.CP.USERTEXT" w:val="&lt;EMPTY&gt;"/>
    <w:docVar w:name="Stamp" w:val="\\dossiers.dgt.cec.eu.int\dossiers\CNECT\CNECT-2019-00118\CNECT-2019-00118-00-00-EN-EDT-00.201903120915467957681.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link w:val="TypedudocumentChar"/>
    <w:pPr>
      <w:spacing w:before="360" w:after="0" w:line="240" w:lineRule="auto"/>
      <w:jc w:val="center"/>
    </w:pPr>
    <w:rPr>
      <w:rFonts w:ascii="Times New Roman" w:hAnsi="Times New Roman" w:cs="Times New Roman"/>
      <w:b/>
      <w:bCs/>
      <w:sz w:val="24"/>
      <w:szCs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TypedudocumentChar">
    <w:name w:val="Type du document Char"/>
    <w:basedOn w:val="DefaultParagraphFont"/>
    <w:link w:val="Typedudocument"/>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basedOn w:val="DefaultParagraphFont"/>
  </w:style>
  <w:style w:type="character" w:customStyle="1" w:styleId="st">
    <w:name w:val="st"/>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pdate1">
    <w:name w:val="update1"/>
    <w:basedOn w:val="DefaultParagraphFont"/>
    <w:rPr>
      <w:color w:val="006666"/>
    </w:rPr>
  </w:style>
  <w:style w:type="character" w:customStyle="1" w:styleId="bold1">
    <w:name w:val="bold1"/>
    <w:basedOn w:val="DefaultParagraphFont"/>
    <w:rPr>
      <w:b/>
      <w:bCs/>
    </w:rPr>
  </w:style>
  <w:style w:type="paragraph" w:styleId="Revision">
    <w:name w:val="Revision"/>
    <w:hidden/>
    <w:uiPriority w:val="99"/>
    <w:semiHidden/>
    <w:pPr>
      <w:spacing w:after="0" w:line="240" w:lineRule="auto"/>
    </w:pPr>
  </w:style>
  <w:style w:type="paragraph" w:styleId="ListParagraph">
    <w:name w:val="List Paragraph"/>
    <w:basedOn w:val="Normal"/>
    <w:link w:val="ListParagraphChar"/>
    <w:uiPriority w:val="34"/>
    <w:qFormat/>
    <w:pPr>
      <w:ind w:left="720"/>
      <w:contextualSpacing/>
    </w:pPr>
  </w:style>
  <w:style w:type="paragraph" w:customStyle="1" w:styleId="Normal1">
    <w:name w:val="Normal1"/>
    <w:rPr>
      <w:rFonts w:ascii="Calibri" w:eastAsia="Calibri" w:hAnsi="Calibri" w:cs="Calibri"/>
    </w:rPr>
  </w:style>
  <w:style w:type="character" w:customStyle="1" w:styleId="ListParagraphChar">
    <w:name w:val="List Paragraph Char"/>
    <w:basedOn w:val="DefaultParagraphFont"/>
    <w:link w:val="ListParagraph"/>
    <w:uiPriority w:val="34"/>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link w:val="TypedudocumentChar"/>
    <w:pPr>
      <w:spacing w:before="360" w:after="0" w:line="240" w:lineRule="auto"/>
      <w:jc w:val="center"/>
    </w:pPr>
    <w:rPr>
      <w:rFonts w:ascii="Times New Roman" w:hAnsi="Times New Roman" w:cs="Times New Roman"/>
      <w:b/>
      <w:bCs/>
      <w:sz w:val="24"/>
      <w:szCs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TypedudocumentChar">
    <w:name w:val="Type du document Char"/>
    <w:basedOn w:val="DefaultParagraphFont"/>
    <w:link w:val="Typedudocument"/>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basedOn w:val="DefaultParagraphFont"/>
  </w:style>
  <w:style w:type="character" w:customStyle="1" w:styleId="st">
    <w:name w:val="st"/>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pdate1">
    <w:name w:val="update1"/>
    <w:basedOn w:val="DefaultParagraphFont"/>
    <w:rPr>
      <w:color w:val="006666"/>
    </w:rPr>
  </w:style>
  <w:style w:type="character" w:customStyle="1" w:styleId="bold1">
    <w:name w:val="bold1"/>
    <w:basedOn w:val="DefaultParagraphFont"/>
    <w:rPr>
      <w:b/>
      <w:bCs/>
    </w:rPr>
  </w:style>
  <w:style w:type="paragraph" w:styleId="Revision">
    <w:name w:val="Revision"/>
    <w:hidden/>
    <w:uiPriority w:val="99"/>
    <w:semiHidden/>
    <w:pPr>
      <w:spacing w:after="0" w:line="240" w:lineRule="auto"/>
    </w:pPr>
  </w:style>
  <w:style w:type="paragraph" w:styleId="ListParagraph">
    <w:name w:val="List Paragraph"/>
    <w:basedOn w:val="Normal"/>
    <w:link w:val="ListParagraphChar"/>
    <w:uiPriority w:val="34"/>
    <w:qFormat/>
    <w:pPr>
      <w:ind w:left="720"/>
      <w:contextualSpacing/>
    </w:pPr>
  </w:style>
  <w:style w:type="paragraph" w:customStyle="1" w:styleId="Normal1">
    <w:name w:val="Normal1"/>
    <w:rPr>
      <w:rFonts w:ascii="Calibri" w:eastAsia="Calibri" w:hAnsi="Calibri" w:cs="Calibri"/>
    </w:rPr>
  </w:style>
  <w:style w:type="character" w:customStyle="1" w:styleId="ListParagraphChar">
    <w:name w:val="List Paragraph Char"/>
    <w:basedOn w:val="DefaultParagraphFont"/>
    <w:link w:val="ListParagraph"/>
    <w:uiPriority w:val="34"/>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3510">
      <w:bodyDiv w:val="1"/>
      <w:marLeft w:val="0"/>
      <w:marRight w:val="0"/>
      <w:marTop w:val="0"/>
      <w:marBottom w:val="0"/>
      <w:divBdr>
        <w:top w:val="none" w:sz="0" w:space="0" w:color="auto"/>
        <w:left w:val="none" w:sz="0" w:space="0" w:color="auto"/>
        <w:bottom w:val="none" w:sz="0" w:space="0" w:color="auto"/>
        <w:right w:val="none" w:sz="0" w:space="0" w:color="auto"/>
      </w:divBdr>
    </w:div>
    <w:div w:id="370040026">
      <w:bodyDiv w:val="1"/>
      <w:marLeft w:val="0"/>
      <w:marRight w:val="0"/>
      <w:marTop w:val="0"/>
      <w:marBottom w:val="0"/>
      <w:divBdr>
        <w:top w:val="none" w:sz="0" w:space="0" w:color="auto"/>
        <w:left w:val="none" w:sz="0" w:space="0" w:color="auto"/>
        <w:bottom w:val="none" w:sz="0" w:space="0" w:color="auto"/>
        <w:right w:val="none" w:sz="0" w:space="0" w:color="auto"/>
      </w:divBdr>
    </w:div>
    <w:div w:id="509221558">
      <w:bodyDiv w:val="1"/>
      <w:marLeft w:val="0"/>
      <w:marRight w:val="0"/>
      <w:marTop w:val="0"/>
      <w:marBottom w:val="0"/>
      <w:divBdr>
        <w:top w:val="none" w:sz="0" w:space="0" w:color="auto"/>
        <w:left w:val="none" w:sz="0" w:space="0" w:color="auto"/>
        <w:bottom w:val="none" w:sz="0" w:space="0" w:color="auto"/>
        <w:right w:val="none" w:sz="0" w:space="0" w:color="auto"/>
      </w:divBdr>
      <w:divsChild>
        <w:div w:id="336855731">
          <w:marLeft w:val="0"/>
          <w:marRight w:val="0"/>
          <w:marTop w:val="0"/>
          <w:marBottom w:val="0"/>
          <w:divBdr>
            <w:top w:val="none" w:sz="0" w:space="0" w:color="auto"/>
            <w:left w:val="none" w:sz="0" w:space="0" w:color="auto"/>
            <w:bottom w:val="none" w:sz="0" w:space="0" w:color="auto"/>
            <w:right w:val="none" w:sz="0" w:space="0" w:color="auto"/>
          </w:divBdr>
          <w:divsChild>
            <w:div w:id="1923754161">
              <w:marLeft w:val="0"/>
              <w:marRight w:val="0"/>
              <w:marTop w:val="0"/>
              <w:marBottom w:val="0"/>
              <w:divBdr>
                <w:top w:val="none" w:sz="0" w:space="0" w:color="auto"/>
                <w:left w:val="none" w:sz="0" w:space="0" w:color="auto"/>
                <w:bottom w:val="none" w:sz="0" w:space="0" w:color="auto"/>
                <w:right w:val="none" w:sz="0" w:space="0" w:color="auto"/>
              </w:divBdr>
              <w:divsChild>
                <w:div w:id="1160150108">
                  <w:marLeft w:val="0"/>
                  <w:marRight w:val="0"/>
                  <w:marTop w:val="0"/>
                  <w:marBottom w:val="0"/>
                  <w:divBdr>
                    <w:top w:val="none" w:sz="0" w:space="0" w:color="auto"/>
                    <w:left w:val="none" w:sz="0" w:space="0" w:color="auto"/>
                    <w:bottom w:val="none" w:sz="0" w:space="0" w:color="auto"/>
                    <w:right w:val="none" w:sz="0" w:space="0" w:color="auto"/>
                  </w:divBdr>
                  <w:divsChild>
                    <w:div w:id="2019504200">
                      <w:marLeft w:val="-150"/>
                      <w:marRight w:val="-150"/>
                      <w:marTop w:val="0"/>
                      <w:marBottom w:val="0"/>
                      <w:divBdr>
                        <w:top w:val="none" w:sz="0" w:space="0" w:color="auto"/>
                        <w:left w:val="none" w:sz="0" w:space="0" w:color="auto"/>
                        <w:bottom w:val="none" w:sz="0" w:space="0" w:color="auto"/>
                        <w:right w:val="none" w:sz="0" w:space="0" w:color="auto"/>
                      </w:divBdr>
                      <w:divsChild>
                        <w:div w:id="1677922925">
                          <w:marLeft w:val="0"/>
                          <w:marRight w:val="0"/>
                          <w:marTop w:val="0"/>
                          <w:marBottom w:val="0"/>
                          <w:divBdr>
                            <w:top w:val="none" w:sz="0" w:space="0" w:color="auto"/>
                            <w:left w:val="none" w:sz="0" w:space="0" w:color="auto"/>
                            <w:bottom w:val="none" w:sz="0" w:space="0" w:color="auto"/>
                            <w:right w:val="none" w:sz="0" w:space="0" w:color="auto"/>
                          </w:divBdr>
                          <w:divsChild>
                            <w:div w:id="20597494">
                              <w:marLeft w:val="0"/>
                              <w:marRight w:val="0"/>
                              <w:marTop w:val="0"/>
                              <w:marBottom w:val="0"/>
                              <w:divBdr>
                                <w:top w:val="none" w:sz="0" w:space="0" w:color="auto"/>
                                <w:left w:val="none" w:sz="0" w:space="0" w:color="auto"/>
                                <w:bottom w:val="none" w:sz="0" w:space="0" w:color="auto"/>
                                <w:right w:val="none" w:sz="0" w:space="0" w:color="auto"/>
                              </w:divBdr>
                              <w:divsChild>
                                <w:div w:id="1867257444">
                                  <w:marLeft w:val="0"/>
                                  <w:marRight w:val="0"/>
                                  <w:marTop w:val="0"/>
                                  <w:marBottom w:val="300"/>
                                  <w:divBdr>
                                    <w:top w:val="none" w:sz="0" w:space="0" w:color="auto"/>
                                    <w:left w:val="none" w:sz="0" w:space="0" w:color="auto"/>
                                    <w:bottom w:val="none" w:sz="0" w:space="0" w:color="auto"/>
                                    <w:right w:val="none" w:sz="0" w:space="0" w:color="auto"/>
                                  </w:divBdr>
                                  <w:divsChild>
                                    <w:div w:id="130440271">
                                      <w:marLeft w:val="0"/>
                                      <w:marRight w:val="0"/>
                                      <w:marTop w:val="0"/>
                                      <w:marBottom w:val="0"/>
                                      <w:divBdr>
                                        <w:top w:val="none" w:sz="0" w:space="0" w:color="auto"/>
                                        <w:left w:val="none" w:sz="0" w:space="0" w:color="auto"/>
                                        <w:bottom w:val="none" w:sz="0" w:space="0" w:color="auto"/>
                                        <w:right w:val="none" w:sz="0" w:space="0" w:color="auto"/>
                                      </w:divBdr>
                                      <w:divsChild>
                                        <w:div w:id="610481409">
                                          <w:marLeft w:val="0"/>
                                          <w:marRight w:val="0"/>
                                          <w:marTop w:val="0"/>
                                          <w:marBottom w:val="0"/>
                                          <w:divBdr>
                                            <w:top w:val="none" w:sz="0" w:space="0" w:color="auto"/>
                                            <w:left w:val="none" w:sz="0" w:space="0" w:color="auto"/>
                                            <w:bottom w:val="none" w:sz="0" w:space="0" w:color="auto"/>
                                            <w:right w:val="none" w:sz="0" w:space="0" w:color="auto"/>
                                          </w:divBdr>
                                          <w:divsChild>
                                            <w:div w:id="165829429">
                                              <w:marLeft w:val="0"/>
                                              <w:marRight w:val="0"/>
                                              <w:marTop w:val="0"/>
                                              <w:marBottom w:val="0"/>
                                              <w:divBdr>
                                                <w:top w:val="none" w:sz="0" w:space="0" w:color="auto"/>
                                                <w:left w:val="none" w:sz="0" w:space="0" w:color="auto"/>
                                                <w:bottom w:val="none" w:sz="0" w:space="0" w:color="auto"/>
                                                <w:right w:val="none" w:sz="0" w:space="0" w:color="auto"/>
                                              </w:divBdr>
                                              <w:divsChild>
                                                <w:div w:id="48310018">
                                                  <w:marLeft w:val="0"/>
                                                  <w:marRight w:val="0"/>
                                                  <w:marTop w:val="0"/>
                                                  <w:marBottom w:val="0"/>
                                                  <w:divBdr>
                                                    <w:top w:val="none" w:sz="0" w:space="0" w:color="auto"/>
                                                    <w:left w:val="none" w:sz="0" w:space="0" w:color="auto"/>
                                                    <w:bottom w:val="none" w:sz="0" w:space="0" w:color="auto"/>
                                                    <w:right w:val="none" w:sz="0" w:space="0" w:color="auto"/>
                                                  </w:divBdr>
                                                  <w:divsChild>
                                                    <w:div w:id="817963300">
                                                      <w:marLeft w:val="0"/>
                                                      <w:marRight w:val="0"/>
                                                      <w:marTop w:val="0"/>
                                                      <w:marBottom w:val="0"/>
                                                      <w:divBdr>
                                                        <w:top w:val="none" w:sz="0" w:space="0" w:color="auto"/>
                                                        <w:left w:val="none" w:sz="0" w:space="0" w:color="auto"/>
                                                        <w:bottom w:val="none" w:sz="0" w:space="0" w:color="auto"/>
                                                        <w:right w:val="none" w:sz="0" w:space="0" w:color="auto"/>
                                                      </w:divBdr>
                                                      <w:divsChild>
                                                        <w:div w:id="429468116">
                                                          <w:marLeft w:val="0"/>
                                                          <w:marRight w:val="0"/>
                                                          <w:marTop w:val="0"/>
                                                          <w:marBottom w:val="0"/>
                                                          <w:divBdr>
                                                            <w:top w:val="none" w:sz="0" w:space="0" w:color="auto"/>
                                                            <w:left w:val="none" w:sz="0" w:space="0" w:color="auto"/>
                                                            <w:bottom w:val="none" w:sz="0" w:space="0" w:color="auto"/>
                                                            <w:right w:val="none" w:sz="0" w:space="0" w:color="auto"/>
                                                          </w:divBdr>
                                                          <w:divsChild>
                                                            <w:div w:id="1808012353">
                                                              <w:marLeft w:val="0"/>
                                                              <w:marRight w:val="0"/>
                                                              <w:marTop w:val="0"/>
                                                              <w:marBottom w:val="0"/>
                                                              <w:divBdr>
                                                                <w:top w:val="none" w:sz="0" w:space="0" w:color="auto"/>
                                                                <w:left w:val="none" w:sz="0" w:space="0" w:color="auto"/>
                                                                <w:bottom w:val="none" w:sz="0" w:space="0" w:color="auto"/>
                                                                <w:right w:val="none" w:sz="0" w:space="0" w:color="auto"/>
                                                              </w:divBdr>
                                                              <w:divsChild>
                                                                <w:div w:id="909582297">
                                                                  <w:marLeft w:val="0"/>
                                                                  <w:marRight w:val="0"/>
                                                                  <w:marTop w:val="0"/>
                                                                  <w:marBottom w:val="0"/>
                                                                  <w:divBdr>
                                                                    <w:top w:val="none" w:sz="0" w:space="0" w:color="auto"/>
                                                                    <w:left w:val="none" w:sz="0" w:space="0" w:color="auto"/>
                                                                    <w:bottom w:val="none" w:sz="0" w:space="0" w:color="auto"/>
                                                                    <w:right w:val="none" w:sz="0" w:space="0" w:color="auto"/>
                                                                  </w:divBdr>
                                                                  <w:divsChild>
                                                                    <w:div w:id="1910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ohpc-ju.europa.eu/" TargetMode="External"/><Relationship Id="rId3" Type="http://schemas.openxmlformats.org/officeDocument/2006/relationships/hyperlink" Target="https://ec.europa.eu/futurium/en/system/files/ged/consultation_feedback_on_draft_ai_ethics_guidelines_4.pdf" TargetMode="External"/><Relationship Id="rId7" Type="http://schemas.openxmlformats.org/officeDocument/2006/relationships/hyperlink" Target="http://s3platform.jrc.ec.europa.eu/digital-innovation-hubs" TargetMode="External"/><Relationship Id="rId2" Type="http://schemas.openxmlformats.org/officeDocument/2006/relationships/hyperlink" Target="https://ec.europa.eu/digital-single-market/en/european-ai-alliance" TargetMode="External"/><Relationship Id="rId1" Type="http://schemas.openxmlformats.org/officeDocument/2006/relationships/hyperlink" Target="https://ec.europa.eu/digital-single-market/en/high-level-expert-group-artificial-intelligence" TargetMode="External"/><Relationship Id="rId6" Type="http://schemas.openxmlformats.org/officeDocument/2006/relationships/hyperlink" Target="https://ec.europa.eu/digital-single-market/en/news/artificial-intelligence-ai4eu-project-launches-1-january-2019" TargetMode="External"/><Relationship Id="rId5" Type="http://schemas.openxmlformats.org/officeDocument/2006/relationships/hyperlink" Target="https://ec.europa.eu/futurium/en/ai-alliance-consultation/guidelines" TargetMode="External"/><Relationship Id="rId10" Type="http://schemas.openxmlformats.org/officeDocument/2006/relationships/hyperlink" Target="file:///\\net1.cec.eu.int\HOMES\022\saryuma\Desktop\www.european-processor-initiative.eu" TargetMode="External"/><Relationship Id="rId4" Type="http://schemas.openxmlformats.org/officeDocument/2006/relationships/hyperlink" Target="https://data.consilium.europa.eu/doc/document/ST-6177-2019-INIT/en/pdf" TargetMode="External"/><Relationship Id="rId9" Type="http://schemas.openxmlformats.org/officeDocument/2006/relationships/hyperlink" Target="file:///\\net1.cec.eu.int\HOMES\022\saryuma\Desktop\www.ecs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27EB68-1394-4FD0-828E-8687B6A7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3892</Words>
  <Characters>24912</Characters>
  <Application>Microsoft Office Word</Application>
  <DocSecurity>0</DocSecurity>
  <Lines>389</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2019-04-01T13:08:00Z</dcterms:created>
  <dcterms:modified xsi:type="dcterms:W3CDTF">2019-04-08T06:29:00Z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