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DC4D677-5681-49BF-81A8-3D28643DB0B2" style="width:451pt;height:293.45pt">
            <v:imagedata r:id="rId8" o:title=""/>
          </v:shape>
        </w:pict>
      </w:r>
    </w:p>
    <w:bookmarkEnd w:id="0"/>
    <w:p>
      <w:pPr>
        <w:rPr>
          <w:noProof/>
          <w:lang w:eastAsia="en-GB"/>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IZVJEŠĆE KOMISIJE EUROPSKOM PARLAMENTU I VIJEĆU</w:t>
      </w:r>
    </w:p>
    <w:p>
      <w:pPr>
        <w:spacing w:after="0" w:line="240" w:lineRule="auto"/>
        <w:jc w:val="center"/>
        <w:rPr>
          <w:rFonts w:ascii="Times New Roman" w:hAnsi="Times New Roman"/>
          <w:b/>
          <w:noProof/>
          <w:sz w:val="24"/>
          <w:lang w:eastAsia="en-GB"/>
        </w:rPr>
      </w:pPr>
    </w:p>
    <w:p>
      <w:pPr>
        <w:spacing w:after="0" w:line="240" w:lineRule="auto"/>
        <w:jc w:val="center"/>
        <w:rPr>
          <w:rFonts w:ascii="Times New Roman" w:hAnsi="Times New Roman"/>
          <w:b/>
          <w:noProof/>
          <w:sz w:val="24"/>
        </w:rPr>
      </w:pPr>
      <w:r>
        <w:rPr>
          <w:rFonts w:ascii="Times New Roman" w:hAnsi="Times New Roman"/>
          <w:b/>
          <w:noProof/>
          <w:sz w:val="24"/>
        </w:rPr>
        <w:t>o kvaliteti fiskalnih podataka u izvješćima država članica iz 2018.</w:t>
      </w:r>
    </w:p>
    <w:p>
      <w:pPr>
        <w:spacing w:after="0" w:line="240" w:lineRule="auto"/>
        <w:jc w:val="center"/>
        <w:rPr>
          <w:rFonts w:ascii="Times New Roman" w:hAnsi="Times New Roman"/>
          <w:b/>
          <w:noProof/>
          <w:sz w:val="24"/>
          <w:lang w:eastAsia="en-GB"/>
        </w:rPr>
      </w:pPr>
    </w:p>
    <w:p>
      <w:pPr>
        <w:spacing w:before="120" w:after="240" w:line="240" w:lineRule="auto"/>
        <w:jc w:val="center"/>
        <w:rPr>
          <w:rFonts w:ascii="Times New Roman" w:eastAsia="Times New Roman" w:hAnsi="Times New Roman"/>
          <w:b/>
          <w:noProof/>
          <w:sz w:val="24"/>
          <w:szCs w:val="24"/>
        </w:rPr>
      </w:pPr>
      <w:r>
        <w:rPr>
          <w:rFonts w:ascii="Times New Roman" w:hAnsi="Times New Roman"/>
          <w:b/>
          <w:noProof/>
          <w:sz w:val="24"/>
          <w:szCs w:val="24"/>
        </w:rPr>
        <w:t>SADRŽAJ</w:t>
      </w:r>
    </w:p>
    <w:p>
      <w:pPr>
        <w:spacing w:before="120" w:after="240" w:line="240" w:lineRule="auto"/>
        <w:jc w:val="center"/>
        <w:rPr>
          <w:rFonts w:ascii="Times New Roman" w:eastAsia="Times New Roman" w:hAnsi="Times New Roman"/>
          <w:b/>
          <w:noProof/>
          <w:sz w:val="28"/>
          <w:lang w:eastAsia="en-GB"/>
        </w:rPr>
      </w:pPr>
    </w:p>
    <w:bookmarkStart w:id="2" w:name="_Toc342558477"/>
    <w:p>
      <w:pPr>
        <w:pStyle w:val="TOC1"/>
        <w:tabs>
          <w:tab w:val="left" w:pos="440"/>
          <w:tab w:val="right" w:leader="dot" w:pos="9016"/>
        </w:tabs>
        <w:rPr>
          <w:rFonts w:asciiTheme="minorHAnsi" w:eastAsiaTheme="minorEastAsia" w:hAnsiTheme="minorHAnsi" w:cstheme="minorBidi"/>
          <w:noProof/>
          <w:lang w:eastAsia="hr-HR"/>
        </w:rPr>
      </w:pPr>
      <w:r>
        <w:rPr>
          <w:rFonts w:ascii="Times New Roman" w:eastAsia="Times New Roman" w:hAnsi="Times New Roman"/>
          <w:noProof/>
        </w:rPr>
        <w:fldChar w:fldCharType="begin"/>
      </w:r>
      <w:r>
        <w:rPr>
          <w:rFonts w:ascii="Times New Roman" w:eastAsia="Times New Roman" w:hAnsi="Times New Roman"/>
          <w:noProof/>
        </w:rPr>
        <w:instrText xml:space="preserve"> TOC \o "1-3" \h \z \u </w:instrText>
      </w:r>
      <w:r>
        <w:rPr>
          <w:rFonts w:ascii="Times New Roman" w:eastAsia="Times New Roman" w:hAnsi="Times New Roman"/>
          <w:noProof/>
        </w:rPr>
        <w:fldChar w:fldCharType="separate"/>
      </w:r>
      <w:hyperlink w:anchor="_Toc2863600" w:history="1">
        <w:r>
          <w:rPr>
            <w:rStyle w:val="Hyperlink"/>
            <w:rFonts w:ascii="Times New Roman" w:eastAsia="Times New Roman" w:hAnsi="Times New Roman"/>
            <w:b/>
            <w:bCs/>
            <w:smallCaps/>
            <w:noProof/>
          </w:rPr>
          <w:t>1.</w:t>
        </w:r>
        <w:r>
          <w:rPr>
            <w:rFonts w:asciiTheme="minorHAnsi" w:eastAsiaTheme="minorEastAsia" w:hAnsiTheme="minorHAnsi" w:cstheme="minorBidi"/>
            <w:noProof/>
            <w:lang w:eastAsia="hr-HR"/>
          </w:rPr>
          <w:tab/>
        </w:r>
        <w:r>
          <w:rPr>
            <w:rStyle w:val="Hyperlink"/>
            <w:rFonts w:ascii="Times New Roman" w:hAnsi="Times New Roman"/>
            <w:b/>
            <w:bCs/>
            <w:smallCaps/>
            <w:noProof/>
          </w:rPr>
          <w:t>Kontekst</w:t>
        </w:r>
        <w:r>
          <w:rPr>
            <w:noProof/>
            <w:webHidden/>
          </w:rPr>
          <w:tab/>
        </w:r>
        <w:r>
          <w:rPr>
            <w:noProof/>
            <w:webHidden/>
          </w:rPr>
          <w:fldChar w:fldCharType="begin"/>
        </w:r>
        <w:r>
          <w:rPr>
            <w:noProof/>
            <w:webHidden/>
          </w:rPr>
          <w:instrText xml:space="preserve"> PAGEREF _Toc2863600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eastAsia="hr-HR"/>
        </w:rPr>
      </w:pPr>
      <w:hyperlink w:anchor="_Toc2863601" w:history="1">
        <w:r>
          <w:rPr>
            <w:rStyle w:val="Hyperlink"/>
            <w:rFonts w:ascii="Times New Roman" w:eastAsia="Times New Roman" w:hAnsi="Times New Roman"/>
            <w:b/>
            <w:bCs/>
            <w:smallCaps/>
            <w:noProof/>
          </w:rPr>
          <w:t>2.</w:t>
        </w:r>
        <w:r>
          <w:rPr>
            <w:rFonts w:asciiTheme="minorHAnsi" w:eastAsiaTheme="minorEastAsia" w:hAnsiTheme="minorHAnsi" w:cstheme="minorBidi"/>
            <w:noProof/>
            <w:lang w:eastAsia="hr-HR"/>
          </w:rPr>
          <w:tab/>
        </w:r>
        <w:r>
          <w:rPr>
            <w:rStyle w:val="Hyperlink"/>
            <w:rFonts w:ascii="Times New Roman" w:hAnsi="Times New Roman"/>
            <w:b/>
            <w:bCs/>
            <w:smallCaps/>
            <w:noProof/>
          </w:rPr>
          <w:t>Glavni nalazi o izvješćima o razini državnog deficita i duga iz 2018.</w:t>
        </w:r>
        <w:r>
          <w:rPr>
            <w:noProof/>
            <w:webHidden/>
          </w:rPr>
          <w:tab/>
        </w:r>
        <w:r>
          <w:rPr>
            <w:noProof/>
            <w:webHidden/>
          </w:rPr>
          <w:fldChar w:fldCharType="begin"/>
        </w:r>
        <w:r>
          <w:rPr>
            <w:noProof/>
            <w:webHidden/>
          </w:rPr>
          <w:instrText xml:space="preserve"> PAGEREF _Toc2863601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lang w:eastAsia="hr-HR"/>
        </w:rPr>
      </w:pPr>
      <w:hyperlink w:anchor="_Toc2863602" w:history="1">
        <w:r>
          <w:rPr>
            <w:rStyle w:val="Hyperlink"/>
            <w:rFonts w:eastAsia="Times New Roman"/>
            <w:b/>
            <w:bCs/>
          </w:rPr>
          <w:t>2.1.</w:t>
        </w:r>
        <w:r>
          <w:rPr>
            <w:rFonts w:asciiTheme="minorHAnsi" w:eastAsiaTheme="minorEastAsia" w:hAnsiTheme="minorHAnsi" w:cstheme="minorBidi"/>
            <w:lang w:eastAsia="hr-HR"/>
          </w:rPr>
          <w:tab/>
        </w:r>
        <w:r>
          <w:rPr>
            <w:rStyle w:val="Hyperlink"/>
            <w:b/>
            <w:bCs/>
          </w:rPr>
          <w:t>Pravodobnost, pouzdanost i potpunost</w:t>
        </w:r>
        <w:r>
          <w:rPr>
            <w:webHidden/>
          </w:rPr>
          <w:tab/>
        </w:r>
        <w:r>
          <w:rPr>
            <w:webHidden/>
          </w:rPr>
          <w:fldChar w:fldCharType="begin"/>
        </w:r>
        <w:r>
          <w:rPr>
            <w:webHidden/>
          </w:rPr>
          <w:instrText xml:space="preserve"> PAGEREF _Toc2863602 \h </w:instrText>
        </w:r>
        <w:r>
          <w:rPr>
            <w:webHidden/>
          </w:rPr>
        </w:r>
        <w:r>
          <w:rPr>
            <w:webHidden/>
          </w:rPr>
          <w:fldChar w:fldCharType="separate"/>
        </w:r>
        <w:r>
          <w:rPr>
            <w:webHidden/>
          </w:rPr>
          <w:t>2</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3" w:history="1">
        <w:r>
          <w:rPr>
            <w:rStyle w:val="Hyperlink"/>
            <w:rFonts w:ascii="Times New Roman" w:eastAsia="Times New Roman" w:hAnsi="Times New Roman"/>
            <w:b/>
            <w:bCs/>
            <w:i/>
            <w:noProof/>
          </w:rPr>
          <w:t>2.1.1.</w:t>
        </w:r>
        <w:r>
          <w:rPr>
            <w:rFonts w:asciiTheme="minorHAnsi" w:eastAsiaTheme="minorEastAsia" w:hAnsiTheme="minorHAnsi" w:cstheme="minorBidi"/>
            <w:noProof/>
            <w:lang w:eastAsia="hr-HR"/>
          </w:rPr>
          <w:tab/>
        </w:r>
        <w:r>
          <w:rPr>
            <w:rStyle w:val="Hyperlink"/>
            <w:rFonts w:ascii="Times New Roman" w:hAnsi="Times New Roman"/>
            <w:b/>
            <w:bCs/>
            <w:i/>
            <w:noProof/>
          </w:rPr>
          <w:t>Pravodobnost</w:t>
        </w:r>
        <w:r>
          <w:rPr>
            <w:noProof/>
            <w:webHidden/>
          </w:rPr>
          <w:tab/>
        </w:r>
        <w:r>
          <w:rPr>
            <w:noProof/>
            <w:webHidden/>
          </w:rPr>
          <w:fldChar w:fldCharType="begin"/>
        </w:r>
        <w:r>
          <w:rPr>
            <w:noProof/>
            <w:webHidden/>
          </w:rPr>
          <w:instrText xml:space="preserve"> PAGEREF _Toc2863603 \h </w:instrText>
        </w:r>
        <w:r>
          <w:rPr>
            <w:noProof/>
            <w:webHidden/>
          </w:rPr>
        </w:r>
        <w:r>
          <w:rPr>
            <w:noProof/>
            <w:webHidden/>
          </w:rPr>
          <w:fldChar w:fldCharType="separate"/>
        </w:r>
        <w:r>
          <w:rPr>
            <w:noProof/>
            <w:webHidden/>
          </w:rPr>
          <w:t>2</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4" w:history="1">
        <w:r>
          <w:rPr>
            <w:rStyle w:val="Hyperlink"/>
            <w:rFonts w:ascii="Times New Roman" w:eastAsia="Times New Roman" w:hAnsi="Times New Roman"/>
            <w:b/>
            <w:bCs/>
            <w:i/>
            <w:noProof/>
          </w:rPr>
          <w:t>2.1.2.</w:t>
        </w:r>
        <w:r>
          <w:rPr>
            <w:rFonts w:asciiTheme="minorHAnsi" w:eastAsiaTheme="minorEastAsia" w:hAnsiTheme="minorHAnsi" w:cstheme="minorBidi"/>
            <w:noProof/>
            <w:lang w:eastAsia="hr-HR"/>
          </w:rPr>
          <w:tab/>
        </w:r>
        <w:r>
          <w:rPr>
            <w:rStyle w:val="Hyperlink"/>
            <w:rFonts w:ascii="Times New Roman" w:hAnsi="Times New Roman"/>
            <w:b/>
            <w:bCs/>
            <w:i/>
            <w:noProof/>
          </w:rPr>
          <w:t>Pouzdanost</w:t>
        </w:r>
        <w:r>
          <w:rPr>
            <w:noProof/>
            <w:webHidden/>
          </w:rPr>
          <w:tab/>
        </w:r>
        <w:r>
          <w:rPr>
            <w:noProof/>
            <w:webHidden/>
          </w:rPr>
          <w:fldChar w:fldCharType="begin"/>
        </w:r>
        <w:r>
          <w:rPr>
            <w:noProof/>
            <w:webHidden/>
          </w:rPr>
          <w:instrText xml:space="preserve"> PAGEREF _Toc2863604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5" w:history="1">
        <w:r>
          <w:rPr>
            <w:rStyle w:val="Hyperlink"/>
            <w:rFonts w:ascii="Times New Roman" w:eastAsia="Times New Roman" w:hAnsi="Times New Roman"/>
            <w:b/>
            <w:bCs/>
            <w:i/>
            <w:noProof/>
          </w:rPr>
          <w:t>2.1.3.</w:t>
        </w:r>
        <w:r>
          <w:rPr>
            <w:rFonts w:asciiTheme="minorHAnsi" w:eastAsiaTheme="minorEastAsia" w:hAnsiTheme="minorHAnsi" w:cstheme="minorBidi"/>
            <w:noProof/>
            <w:lang w:eastAsia="hr-HR"/>
          </w:rPr>
          <w:tab/>
        </w:r>
        <w:r>
          <w:rPr>
            <w:rStyle w:val="Hyperlink"/>
            <w:rFonts w:ascii="Times New Roman" w:hAnsi="Times New Roman"/>
            <w:b/>
            <w:bCs/>
            <w:i/>
            <w:noProof/>
          </w:rPr>
          <w:t>Potpunost tablica i popratnih informacija</w:t>
        </w:r>
        <w:r>
          <w:rPr>
            <w:noProof/>
            <w:webHidden/>
          </w:rPr>
          <w:tab/>
        </w:r>
        <w:r>
          <w:rPr>
            <w:noProof/>
            <w:webHidden/>
          </w:rPr>
          <w:fldChar w:fldCharType="begin"/>
        </w:r>
        <w:r>
          <w:rPr>
            <w:noProof/>
            <w:webHidden/>
          </w:rPr>
          <w:instrText xml:space="preserve"> PAGEREF _Toc2863605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6" w:history="1">
        <w:r>
          <w:rPr>
            <w:rStyle w:val="Hyperlink"/>
            <w:rFonts w:ascii="Times New Roman" w:eastAsia="Times New Roman" w:hAnsi="Times New Roman"/>
            <w:b/>
            <w:bCs/>
            <w:i/>
            <w:noProof/>
          </w:rPr>
          <w:t>2.1.4.</w:t>
        </w:r>
        <w:r>
          <w:rPr>
            <w:rFonts w:asciiTheme="minorHAnsi" w:eastAsiaTheme="minorEastAsia" w:hAnsiTheme="minorHAnsi" w:cstheme="minorBidi"/>
            <w:noProof/>
            <w:lang w:eastAsia="hr-HR"/>
          </w:rPr>
          <w:tab/>
        </w:r>
        <w:r>
          <w:rPr>
            <w:rStyle w:val="Hyperlink"/>
            <w:rFonts w:ascii="Times New Roman" w:hAnsi="Times New Roman"/>
            <w:b/>
            <w:bCs/>
            <w:i/>
            <w:noProof/>
          </w:rPr>
          <w:t>Dopunska tablica za izvješćivanje o državnim intervencijama za potporu financijskim institucijama</w:t>
        </w:r>
        <w:r>
          <w:rPr>
            <w:noProof/>
            <w:webHidden/>
          </w:rPr>
          <w:tab/>
        </w:r>
        <w:r>
          <w:rPr>
            <w:noProof/>
            <w:webHidden/>
          </w:rPr>
          <w:fldChar w:fldCharType="begin"/>
        </w:r>
        <w:r>
          <w:rPr>
            <w:noProof/>
            <w:webHidden/>
          </w:rPr>
          <w:instrText xml:space="preserve"> PAGEREF _Toc2863606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7" w:history="1">
        <w:r>
          <w:rPr>
            <w:rStyle w:val="Hyperlink"/>
            <w:rFonts w:ascii="Times New Roman" w:eastAsia="Times New Roman" w:hAnsi="Times New Roman"/>
            <w:b/>
            <w:bCs/>
            <w:i/>
            <w:noProof/>
          </w:rPr>
          <w:t>2.1.5.</w:t>
        </w:r>
        <w:r>
          <w:rPr>
            <w:rFonts w:asciiTheme="minorHAnsi" w:eastAsiaTheme="minorEastAsia" w:hAnsiTheme="minorHAnsi" w:cstheme="minorBidi"/>
            <w:noProof/>
            <w:lang w:eastAsia="hr-HR"/>
          </w:rPr>
          <w:tab/>
        </w:r>
        <w:r>
          <w:rPr>
            <w:rStyle w:val="Hyperlink"/>
            <w:rFonts w:ascii="Times New Roman" w:hAnsi="Times New Roman"/>
            <w:b/>
            <w:bCs/>
            <w:i/>
            <w:noProof/>
          </w:rPr>
          <w:t>Upitnik o međudržavnim pozajmicama</w:t>
        </w:r>
        <w:r>
          <w:rPr>
            <w:noProof/>
            <w:webHidden/>
          </w:rPr>
          <w:tab/>
        </w:r>
        <w:r>
          <w:rPr>
            <w:noProof/>
            <w:webHidden/>
          </w:rPr>
          <w:fldChar w:fldCharType="begin"/>
        </w:r>
        <w:r>
          <w:rPr>
            <w:noProof/>
            <w:webHidden/>
          </w:rPr>
          <w:instrText xml:space="preserve"> PAGEREF _Toc2863607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lang w:eastAsia="hr-HR"/>
        </w:rPr>
      </w:pPr>
      <w:hyperlink w:anchor="_Toc2863608" w:history="1">
        <w:r>
          <w:rPr>
            <w:rStyle w:val="Hyperlink"/>
            <w:rFonts w:eastAsia="Times New Roman"/>
            <w:b/>
            <w:bCs/>
          </w:rPr>
          <w:t>2.2.</w:t>
        </w:r>
        <w:r>
          <w:rPr>
            <w:rFonts w:asciiTheme="minorHAnsi" w:eastAsiaTheme="minorEastAsia" w:hAnsiTheme="minorHAnsi" w:cstheme="minorBidi"/>
            <w:lang w:eastAsia="hr-HR"/>
          </w:rPr>
          <w:tab/>
        </w:r>
        <w:r>
          <w:rPr>
            <w:rStyle w:val="Hyperlink"/>
            <w:b/>
            <w:bCs/>
          </w:rPr>
          <w:t>Usklađenost s računovodstvenim pravilima i dosljednost statističkih podataka</w:t>
        </w:r>
        <w:r>
          <w:rPr>
            <w:webHidden/>
          </w:rPr>
          <w:tab/>
        </w:r>
        <w:r>
          <w:rPr>
            <w:webHidden/>
          </w:rPr>
          <w:fldChar w:fldCharType="begin"/>
        </w:r>
        <w:r>
          <w:rPr>
            <w:webHidden/>
          </w:rPr>
          <w:instrText xml:space="preserve"> PAGEREF _Toc2863608 \h </w:instrText>
        </w:r>
        <w:r>
          <w:rPr>
            <w:webHidden/>
          </w:rPr>
        </w:r>
        <w:r>
          <w:rPr>
            <w:webHidden/>
          </w:rPr>
          <w:fldChar w:fldCharType="separate"/>
        </w:r>
        <w:r>
          <w:rPr>
            <w:webHidden/>
          </w:rPr>
          <w:t>5</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09" w:history="1">
        <w:r>
          <w:rPr>
            <w:rStyle w:val="Hyperlink"/>
            <w:rFonts w:ascii="Times New Roman" w:eastAsia="Times New Roman" w:hAnsi="Times New Roman"/>
            <w:b/>
            <w:bCs/>
            <w:i/>
            <w:noProof/>
          </w:rPr>
          <w:t>2.2.1.</w:t>
        </w:r>
        <w:r>
          <w:rPr>
            <w:rFonts w:asciiTheme="minorHAnsi" w:eastAsiaTheme="minorEastAsia" w:hAnsiTheme="minorHAnsi" w:cstheme="minorBidi"/>
            <w:noProof/>
            <w:lang w:eastAsia="hr-HR"/>
          </w:rPr>
          <w:tab/>
        </w:r>
        <w:r>
          <w:rPr>
            <w:rStyle w:val="Hyperlink"/>
            <w:rFonts w:ascii="Times New Roman" w:hAnsi="Times New Roman"/>
            <w:b/>
            <w:bCs/>
            <w:i/>
            <w:noProof/>
          </w:rPr>
          <w:t>Razmjena informacija i pojašnjenja</w:t>
        </w:r>
        <w:r>
          <w:rPr>
            <w:noProof/>
            <w:webHidden/>
          </w:rPr>
          <w:tab/>
        </w:r>
        <w:r>
          <w:rPr>
            <w:noProof/>
            <w:webHidden/>
          </w:rPr>
          <w:fldChar w:fldCharType="begin"/>
        </w:r>
        <w:r>
          <w:rPr>
            <w:noProof/>
            <w:webHidden/>
          </w:rPr>
          <w:instrText xml:space="preserve"> PAGEREF _Toc2863609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0" w:history="1">
        <w:r>
          <w:rPr>
            <w:rStyle w:val="Hyperlink"/>
            <w:rFonts w:ascii="Times New Roman" w:eastAsia="Times New Roman" w:hAnsi="Times New Roman"/>
            <w:b/>
            <w:bCs/>
            <w:i/>
            <w:noProof/>
          </w:rPr>
          <w:t>2.2.2.</w:t>
        </w:r>
        <w:r>
          <w:rPr>
            <w:rFonts w:asciiTheme="minorHAnsi" w:eastAsiaTheme="minorEastAsia" w:hAnsiTheme="minorHAnsi" w:cstheme="minorBidi"/>
            <w:noProof/>
            <w:lang w:eastAsia="hr-HR"/>
          </w:rPr>
          <w:tab/>
        </w:r>
        <w:r>
          <w:rPr>
            <w:rStyle w:val="Hyperlink"/>
            <w:rFonts w:ascii="Times New Roman" w:hAnsi="Times New Roman"/>
            <w:b/>
            <w:bCs/>
            <w:i/>
            <w:noProof/>
          </w:rPr>
          <w:t>Dijaloški i metodološki posjeti</w:t>
        </w:r>
        <w:r>
          <w:rPr>
            <w:noProof/>
            <w:webHidden/>
          </w:rPr>
          <w:tab/>
        </w:r>
        <w:r>
          <w:rPr>
            <w:noProof/>
            <w:webHidden/>
          </w:rPr>
          <w:fldChar w:fldCharType="begin"/>
        </w:r>
        <w:r>
          <w:rPr>
            <w:noProof/>
            <w:webHidden/>
          </w:rPr>
          <w:instrText xml:space="preserve"> PAGEREF _Toc2863610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1" w:history="1">
        <w:r>
          <w:rPr>
            <w:rStyle w:val="Hyperlink"/>
            <w:rFonts w:ascii="Times New Roman" w:eastAsia="Times New Roman" w:hAnsi="Times New Roman"/>
            <w:b/>
            <w:bCs/>
            <w:i/>
            <w:noProof/>
          </w:rPr>
          <w:t>2.2.3.</w:t>
        </w:r>
        <w:r>
          <w:rPr>
            <w:rFonts w:asciiTheme="minorHAnsi" w:eastAsiaTheme="minorEastAsia" w:hAnsiTheme="minorHAnsi" w:cstheme="minorBidi"/>
            <w:noProof/>
            <w:lang w:eastAsia="hr-HR"/>
          </w:rPr>
          <w:tab/>
        </w:r>
        <w:r>
          <w:rPr>
            <w:rStyle w:val="Hyperlink"/>
            <w:rFonts w:ascii="Times New Roman" w:hAnsi="Times New Roman"/>
            <w:b/>
            <w:bCs/>
            <w:i/>
            <w:noProof/>
          </w:rPr>
          <w:t>Posebni savjeti Eurostata</w:t>
        </w:r>
        <w:r>
          <w:rPr>
            <w:noProof/>
            <w:webHidden/>
          </w:rPr>
          <w:tab/>
        </w:r>
        <w:r>
          <w:rPr>
            <w:noProof/>
            <w:webHidden/>
          </w:rPr>
          <w:fldChar w:fldCharType="begin"/>
        </w:r>
        <w:r>
          <w:rPr>
            <w:noProof/>
            <w:webHidden/>
          </w:rPr>
          <w:instrText xml:space="preserve"> PAGEREF _Toc2863611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2" w:history="1">
        <w:r>
          <w:rPr>
            <w:rStyle w:val="Hyperlink"/>
            <w:rFonts w:ascii="Times New Roman" w:eastAsia="Times New Roman" w:hAnsi="Times New Roman"/>
            <w:b/>
            <w:bCs/>
            <w:i/>
            <w:noProof/>
          </w:rPr>
          <w:t>2.2.4.</w:t>
        </w:r>
        <w:r>
          <w:rPr>
            <w:rFonts w:asciiTheme="minorHAnsi" w:eastAsiaTheme="minorEastAsia" w:hAnsiTheme="minorHAnsi" w:cstheme="minorBidi"/>
            <w:noProof/>
            <w:lang w:eastAsia="hr-HR"/>
          </w:rPr>
          <w:tab/>
        </w:r>
        <w:r>
          <w:rPr>
            <w:rStyle w:val="Hyperlink"/>
            <w:rFonts w:ascii="Times New Roman" w:hAnsi="Times New Roman"/>
            <w:b/>
            <w:bCs/>
            <w:i/>
            <w:noProof/>
          </w:rPr>
          <w:t>Nedavna metodološka pitanja</w:t>
        </w:r>
        <w:r>
          <w:rPr>
            <w:noProof/>
            <w:webHidden/>
          </w:rPr>
          <w:tab/>
        </w:r>
        <w:r>
          <w:rPr>
            <w:noProof/>
            <w:webHidden/>
          </w:rPr>
          <w:fldChar w:fldCharType="begin"/>
        </w:r>
        <w:r>
          <w:rPr>
            <w:noProof/>
            <w:webHidden/>
          </w:rPr>
          <w:instrText xml:space="preserve"> PAGEREF _Toc2863612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3" w:history="1">
        <w:r>
          <w:rPr>
            <w:rStyle w:val="Hyperlink"/>
            <w:rFonts w:ascii="Times New Roman" w:eastAsia="Times New Roman" w:hAnsi="Times New Roman"/>
            <w:b/>
            <w:bCs/>
            <w:i/>
            <w:noProof/>
          </w:rPr>
          <w:t>2.2.5.</w:t>
        </w:r>
        <w:r>
          <w:rPr>
            <w:rFonts w:asciiTheme="minorHAnsi" w:eastAsiaTheme="minorEastAsia" w:hAnsiTheme="minorHAnsi" w:cstheme="minorBidi"/>
            <w:noProof/>
            <w:lang w:eastAsia="hr-HR"/>
          </w:rPr>
          <w:tab/>
        </w:r>
        <w:r>
          <w:rPr>
            <w:rStyle w:val="Hyperlink"/>
            <w:rFonts w:ascii="Times New Roman" w:hAnsi="Times New Roman"/>
            <w:b/>
            <w:bCs/>
            <w:i/>
            <w:noProof/>
          </w:rPr>
          <w:t>Usklađenost s temeljnim računima države</w:t>
        </w:r>
        <w:r>
          <w:rPr>
            <w:noProof/>
            <w:webHidden/>
          </w:rPr>
          <w:tab/>
        </w:r>
        <w:r>
          <w:rPr>
            <w:noProof/>
            <w:webHidden/>
          </w:rPr>
          <w:fldChar w:fldCharType="begin"/>
        </w:r>
        <w:r>
          <w:rPr>
            <w:noProof/>
            <w:webHidden/>
          </w:rPr>
          <w:instrText xml:space="preserve"> PAGEREF _Toc2863613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lang w:eastAsia="hr-HR"/>
        </w:rPr>
      </w:pPr>
      <w:hyperlink w:anchor="_Toc2863614" w:history="1">
        <w:r>
          <w:rPr>
            <w:rStyle w:val="Hyperlink"/>
            <w:rFonts w:eastAsia="Times New Roman"/>
            <w:b/>
            <w:bCs/>
          </w:rPr>
          <w:t>2.3.</w:t>
        </w:r>
        <w:r>
          <w:rPr>
            <w:rFonts w:asciiTheme="minorHAnsi" w:eastAsiaTheme="minorEastAsia" w:hAnsiTheme="minorHAnsi" w:cstheme="minorBidi"/>
            <w:lang w:eastAsia="hr-HR"/>
          </w:rPr>
          <w:tab/>
        </w:r>
        <w:r>
          <w:rPr>
            <w:rStyle w:val="Hyperlink"/>
            <w:b/>
            <w:bCs/>
          </w:rPr>
          <w:t>Objava</w:t>
        </w:r>
        <w:r>
          <w:rPr>
            <w:webHidden/>
          </w:rPr>
          <w:tab/>
        </w:r>
        <w:r>
          <w:rPr>
            <w:webHidden/>
          </w:rPr>
          <w:fldChar w:fldCharType="begin"/>
        </w:r>
        <w:r>
          <w:rPr>
            <w:webHidden/>
          </w:rPr>
          <w:instrText xml:space="preserve"> PAGEREF _Toc2863614 \h </w:instrText>
        </w:r>
        <w:r>
          <w:rPr>
            <w:webHidden/>
          </w:rPr>
        </w:r>
        <w:r>
          <w:rPr>
            <w:webHidden/>
          </w:rPr>
          <w:fldChar w:fldCharType="separate"/>
        </w:r>
        <w:r>
          <w:rPr>
            <w:webHidden/>
          </w:rPr>
          <w:t>8</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5" w:history="1">
        <w:r>
          <w:rPr>
            <w:rStyle w:val="Hyperlink"/>
            <w:rFonts w:ascii="Times New Roman" w:eastAsia="Times New Roman" w:hAnsi="Times New Roman"/>
            <w:b/>
            <w:bCs/>
            <w:i/>
            <w:noProof/>
          </w:rPr>
          <w:t>2.3.1.</w:t>
        </w:r>
        <w:r>
          <w:rPr>
            <w:rFonts w:asciiTheme="minorHAnsi" w:eastAsiaTheme="minorEastAsia" w:hAnsiTheme="minorHAnsi" w:cstheme="minorBidi"/>
            <w:noProof/>
            <w:lang w:eastAsia="hr-HR"/>
          </w:rPr>
          <w:tab/>
        </w:r>
        <w:r>
          <w:rPr>
            <w:rStyle w:val="Hyperlink"/>
            <w:rFonts w:ascii="Times New Roman" w:hAnsi="Times New Roman"/>
            <w:b/>
            <w:bCs/>
            <w:i/>
            <w:noProof/>
          </w:rPr>
          <w:t>Objava glavnih podataka i detaljnih tablica izvješća</w:t>
        </w:r>
        <w:r>
          <w:rPr>
            <w:noProof/>
            <w:webHidden/>
          </w:rPr>
          <w:tab/>
        </w:r>
        <w:r>
          <w:rPr>
            <w:noProof/>
            <w:webHidden/>
          </w:rPr>
          <w:fldChar w:fldCharType="begin"/>
        </w:r>
        <w:r>
          <w:rPr>
            <w:noProof/>
            <w:webHidden/>
          </w:rPr>
          <w:instrText xml:space="preserve"> PAGEREF _Toc2863615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6" w:history="1">
        <w:r>
          <w:rPr>
            <w:rStyle w:val="Hyperlink"/>
            <w:rFonts w:ascii="Times New Roman" w:eastAsia="Times New Roman" w:hAnsi="Times New Roman"/>
            <w:b/>
            <w:bCs/>
            <w:i/>
            <w:noProof/>
          </w:rPr>
          <w:t>2.3.2.</w:t>
        </w:r>
        <w:r>
          <w:rPr>
            <w:rFonts w:asciiTheme="minorHAnsi" w:eastAsiaTheme="minorEastAsia" w:hAnsiTheme="minorHAnsi" w:cstheme="minorBidi"/>
            <w:noProof/>
            <w:lang w:eastAsia="hr-HR"/>
          </w:rPr>
          <w:tab/>
        </w:r>
        <w:r>
          <w:rPr>
            <w:rStyle w:val="Hyperlink"/>
            <w:rFonts w:ascii="Times New Roman" w:hAnsi="Times New Roman"/>
            <w:b/>
            <w:bCs/>
            <w:i/>
            <w:noProof/>
          </w:rPr>
          <w:t>Zadrške u pogledu kvalitete podataka</w:t>
        </w:r>
        <w:r>
          <w:rPr>
            <w:noProof/>
            <w:webHidden/>
          </w:rPr>
          <w:tab/>
        </w:r>
        <w:r>
          <w:rPr>
            <w:noProof/>
            <w:webHidden/>
          </w:rPr>
          <w:fldChar w:fldCharType="begin"/>
        </w:r>
        <w:r>
          <w:rPr>
            <w:noProof/>
            <w:webHidden/>
          </w:rPr>
          <w:instrText xml:space="preserve"> PAGEREF _Toc2863616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7" w:history="1">
        <w:r>
          <w:rPr>
            <w:rStyle w:val="Hyperlink"/>
            <w:rFonts w:ascii="Times New Roman" w:eastAsia="Times New Roman" w:hAnsi="Times New Roman"/>
            <w:b/>
            <w:bCs/>
            <w:i/>
            <w:noProof/>
          </w:rPr>
          <w:t>2.3.3.</w:t>
        </w:r>
        <w:r>
          <w:rPr>
            <w:rFonts w:asciiTheme="minorHAnsi" w:eastAsiaTheme="minorEastAsia" w:hAnsiTheme="minorHAnsi" w:cstheme="minorBidi"/>
            <w:noProof/>
            <w:lang w:eastAsia="hr-HR"/>
          </w:rPr>
          <w:tab/>
        </w:r>
        <w:r>
          <w:rPr>
            <w:rStyle w:val="Hyperlink"/>
            <w:rFonts w:ascii="Times New Roman" w:hAnsi="Times New Roman"/>
            <w:b/>
            <w:bCs/>
            <w:i/>
            <w:noProof/>
          </w:rPr>
          <w:t>Izmjene dostavljenih podataka</w:t>
        </w:r>
        <w:r>
          <w:rPr>
            <w:noProof/>
            <w:webHidden/>
          </w:rPr>
          <w:tab/>
        </w:r>
        <w:r>
          <w:rPr>
            <w:noProof/>
            <w:webHidden/>
          </w:rPr>
          <w:fldChar w:fldCharType="begin"/>
        </w:r>
        <w:r>
          <w:rPr>
            <w:noProof/>
            <w:webHidden/>
          </w:rPr>
          <w:instrText xml:space="preserve"> PAGEREF _Toc2863617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eastAsia="hr-HR"/>
        </w:rPr>
      </w:pPr>
      <w:hyperlink w:anchor="_Toc2863618" w:history="1">
        <w:r>
          <w:rPr>
            <w:rStyle w:val="Hyperlink"/>
            <w:rFonts w:ascii="Times New Roman" w:eastAsia="Times New Roman" w:hAnsi="Times New Roman"/>
            <w:b/>
            <w:bCs/>
            <w:i/>
            <w:noProof/>
          </w:rPr>
          <w:t>2.3.4.</w:t>
        </w:r>
        <w:r>
          <w:rPr>
            <w:rFonts w:asciiTheme="minorHAnsi" w:eastAsiaTheme="minorEastAsia" w:hAnsiTheme="minorHAnsi" w:cstheme="minorBidi"/>
            <w:noProof/>
            <w:lang w:eastAsia="hr-HR"/>
          </w:rPr>
          <w:tab/>
        </w:r>
        <w:r>
          <w:rPr>
            <w:rStyle w:val="Hyperlink"/>
            <w:rFonts w:ascii="Times New Roman" w:hAnsi="Times New Roman"/>
            <w:b/>
            <w:bCs/>
            <w:i/>
            <w:noProof/>
          </w:rPr>
          <w:t>Objava metapodataka (evidencije)</w:t>
        </w:r>
        <w:r>
          <w:rPr>
            <w:noProof/>
            <w:webHidden/>
          </w:rPr>
          <w:tab/>
        </w:r>
        <w:r>
          <w:rPr>
            <w:noProof/>
            <w:webHidden/>
          </w:rPr>
          <w:fldChar w:fldCharType="begin"/>
        </w:r>
        <w:r>
          <w:rPr>
            <w:noProof/>
            <w:webHidden/>
          </w:rPr>
          <w:instrText xml:space="preserve"> PAGEREF _Toc2863618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eastAsia="hr-HR"/>
        </w:rPr>
      </w:pPr>
      <w:hyperlink w:anchor="_Toc2863619" w:history="1">
        <w:r>
          <w:rPr>
            <w:rStyle w:val="Hyperlink"/>
            <w:rFonts w:ascii="Times New Roman" w:eastAsia="Times New Roman" w:hAnsi="Times New Roman"/>
            <w:b/>
            <w:bCs/>
            <w:smallCaps/>
            <w:noProof/>
          </w:rPr>
          <w:t>3.</w:t>
        </w:r>
        <w:r>
          <w:rPr>
            <w:rFonts w:asciiTheme="minorHAnsi" w:eastAsiaTheme="minorEastAsia" w:hAnsiTheme="minorHAnsi" w:cstheme="minorBidi"/>
            <w:noProof/>
            <w:lang w:eastAsia="hr-HR"/>
          </w:rPr>
          <w:tab/>
        </w:r>
        <w:r>
          <w:rPr>
            <w:rStyle w:val="Hyperlink"/>
            <w:rFonts w:ascii="Times New Roman" w:hAnsi="Times New Roman"/>
            <w:b/>
            <w:bCs/>
            <w:smallCaps/>
            <w:noProof/>
          </w:rPr>
          <w:t>Zaključci</w:t>
        </w:r>
        <w:r>
          <w:rPr>
            <w:noProof/>
            <w:webHidden/>
          </w:rPr>
          <w:tab/>
        </w:r>
        <w:r>
          <w:rPr>
            <w:noProof/>
            <w:webHidden/>
          </w:rPr>
          <w:fldChar w:fldCharType="begin"/>
        </w:r>
        <w:r>
          <w:rPr>
            <w:noProof/>
            <w:webHidden/>
          </w:rPr>
          <w:instrText xml:space="preserve"> PAGEREF _Toc2863619 \h </w:instrText>
        </w:r>
        <w:r>
          <w:rPr>
            <w:noProof/>
            <w:webHidden/>
          </w:rPr>
        </w:r>
        <w:r>
          <w:rPr>
            <w:noProof/>
            <w:webHidden/>
          </w:rPr>
          <w:fldChar w:fldCharType="separate"/>
        </w:r>
        <w:r>
          <w:rPr>
            <w:noProof/>
            <w:webHidden/>
          </w:rPr>
          <w:t>10</w:t>
        </w:r>
        <w:r>
          <w:rPr>
            <w:noProof/>
            <w:webHidden/>
          </w:rPr>
          <w:fldChar w:fldCharType="end"/>
        </w:r>
      </w:hyperlink>
    </w:p>
    <w:p>
      <w:pPr>
        <w:jc w:val="both"/>
        <w:rPr>
          <w:rFonts w:ascii="Times New Roman" w:eastAsia="Times New Roman" w:hAnsi="Times New Roman" w:cs="Times New Roman"/>
          <w:b/>
          <w:bCs/>
          <w:noProof/>
        </w:rPr>
      </w:pPr>
      <w:r>
        <w:rPr>
          <w:rFonts w:ascii="Times New Roman" w:eastAsia="Times New Roman" w:hAnsi="Times New Roman" w:cs="Times New Roman"/>
          <w:b/>
          <w:bCs/>
          <w:noProof/>
        </w:rPr>
        <w:fldChar w:fldCharType="end"/>
      </w:r>
      <w:r>
        <w:rPr>
          <w:noProof/>
        </w:rPr>
        <w:br w:type="page"/>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3" w:name="_Toc442173625"/>
      <w:bookmarkStart w:id="4" w:name="_Toc442869381"/>
      <w:bookmarkStart w:id="5" w:name="_Toc2863600"/>
      <w:r>
        <w:rPr>
          <w:rFonts w:ascii="Times New Roman" w:hAnsi="Times New Roman"/>
          <w:b/>
          <w:bCs/>
          <w:smallCaps/>
          <w:noProof/>
          <w:sz w:val="24"/>
          <w:szCs w:val="28"/>
        </w:rPr>
        <w:t>Kontekst</w:t>
      </w:r>
      <w:bookmarkEnd w:id="2"/>
      <w:bookmarkEnd w:id="3"/>
      <w:bookmarkEnd w:id="4"/>
      <w:bookmarkEnd w:id="5"/>
    </w:p>
    <w:p>
      <w:pPr>
        <w:spacing w:before="120" w:after="120" w:line="240" w:lineRule="auto"/>
        <w:ind w:left="850"/>
        <w:jc w:val="both"/>
        <w:rPr>
          <w:rFonts w:ascii="Times New Roman" w:hAnsi="Times New Roman"/>
          <w:noProof/>
          <w:sz w:val="24"/>
        </w:rPr>
      </w:pPr>
      <w:r>
        <w:rPr>
          <w:rFonts w:ascii="Times New Roman" w:hAnsi="Times New Roman"/>
          <w:noProof/>
          <w:sz w:val="24"/>
        </w:rPr>
        <w:t>Člankom 8. stavkom 3. Uredbe Vijeća (EZ) br. 479/2009 o primjeni Protokola o postupku u slučaju prekomjernog deficita</w:t>
      </w:r>
      <w:r>
        <w:rPr>
          <w:rFonts w:ascii="Times New Roman" w:hAnsi="Times New Roman" w:cs="Times New Roman"/>
          <w:noProof/>
          <w:sz w:val="24"/>
          <w:szCs w:val="24"/>
          <w:vertAlign w:val="superscript"/>
        </w:rPr>
        <w:footnoteReference w:id="1"/>
      </w:r>
      <w:r>
        <w:rPr>
          <w:rFonts w:ascii="Times New Roman" w:hAnsi="Times New Roman"/>
          <w:noProof/>
          <w:sz w:val="24"/>
        </w:rPr>
        <w:t xml:space="preserve"> od Komisije (Eurostata) traži se da redovito podnosi izvješće Europskom parlamentu i Vijeću o kvaliteti stvarnih</w:t>
      </w:r>
      <w:r>
        <w:rPr>
          <w:rStyle w:val="FootnoteReference"/>
          <w:rFonts w:ascii="Times New Roman" w:hAnsi="Times New Roman"/>
          <w:noProof/>
          <w:sz w:val="24"/>
          <w:lang w:eastAsia="en-GB"/>
        </w:rPr>
        <w:footnoteReference w:id="2"/>
      </w:r>
      <w:r>
        <w:rPr>
          <w:rFonts w:ascii="Times New Roman" w:hAnsi="Times New Roman"/>
          <w:noProof/>
          <w:sz w:val="24"/>
        </w:rPr>
        <w:t xml:space="preserve"> fiskalnih podataka koje dostavljaju države članice. U ovom godišnjem izvješću iznosi se ukupna procjena pravodobnosti, pouzdanosti, potpunosti i dosljednosti podataka i njihove usklađenosti s računovodstvenim pravilima. Komisija je prethodno izvješće (o podacima iz 2017.) donijela 8. ožujka 2018.</w:t>
      </w:r>
      <w:r>
        <w:rPr>
          <w:rFonts w:ascii="Times New Roman" w:hAnsi="Times New Roman" w:cs="Times New Roman"/>
          <w:noProof/>
          <w:sz w:val="24"/>
          <w:szCs w:val="24"/>
          <w:vertAlign w:val="superscript"/>
        </w:rPr>
        <w:footnoteReference w:id="3"/>
      </w:r>
    </w:p>
    <w:p>
      <w:pPr>
        <w:spacing w:before="120" w:after="120" w:line="240" w:lineRule="auto"/>
        <w:ind w:left="850"/>
        <w:jc w:val="both"/>
        <w:rPr>
          <w:rFonts w:ascii="Times New Roman" w:hAnsi="Times New Roman"/>
          <w:noProof/>
          <w:sz w:val="24"/>
        </w:rPr>
      </w:pPr>
      <w:r>
        <w:rPr>
          <w:rFonts w:ascii="Times New Roman" w:hAnsi="Times New Roman"/>
          <w:noProof/>
          <w:sz w:val="24"/>
        </w:rPr>
        <w:t>Eurostat redovito procjenjuje kvalitetu stvarnih podataka o postupku u slučaju prekomjernog deficita (EDP) koje dostavljaju države članice te temeljnih računa sektora opće države u skladu s Uredbom (EU) br. 549/2013</w:t>
      </w:r>
      <w:r>
        <w:rPr>
          <w:rFonts w:ascii="Times New Roman" w:hAnsi="Times New Roman" w:cs="Times New Roman"/>
          <w:noProof/>
          <w:sz w:val="24"/>
          <w:vertAlign w:val="superscript"/>
        </w:rPr>
        <w:footnoteReference w:id="4"/>
      </w:r>
      <w:r>
        <w:rPr>
          <w:rFonts w:ascii="Times New Roman" w:hAnsi="Times New Roman"/>
          <w:noProof/>
          <w:sz w:val="24"/>
        </w:rPr>
        <w:t xml:space="preserve"> (ESA 2010). Ta je procjena usmjerena na čimbenike kojima se objašnjava višak/deficit opće države (kao postotak BDP-a) i promjene omjera duga opće države i BDP-a. Države članice dostavljaju te informacije Eurostatu dva puta godišnje u okviru „Notifikacijskih tablica u okviru EDP-a”, „Upitnika u pogledu tablica obavijesti koje se odnose na EDP”, „Dodatne tablice s državnim intervencijama za potporu financijskim institucijama” te putem bilateralnih razjašnjenja. Eurostat kontakt s državama članicama održava i provedbom redovitih dijaloških posjeta o EDP-u.</w:t>
      </w:r>
    </w:p>
    <w:p>
      <w:pPr>
        <w:spacing w:before="120" w:after="120" w:line="240" w:lineRule="auto"/>
        <w:ind w:left="850"/>
        <w:jc w:val="both"/>
        <w:rPr>
          <w:rFonts w:ascii="Times New Roman" w:hAnsi="Times New Roman"/>
          <w:noProof/>
          <w:sz w:val="24"/>
        </w:rPr>
      </w:pPr>
      <w:r>
        <w:rPr>
          <w:rFonts w:ascii="Times New Roman" w:hAnsi="Times New Roman"/>
          <w:noProof/>
          <w:sz w:val="24"/>
        </w:rPr>
        <w:t>Ovo se izvješće temelji na glavnim nalazima i rezultatima podataka koji se odnose na EDP koje su države članice dostavile 2018. Bavi se najnovijim podacima, koji su dostavljeni u listopadu 2018., te ih prema potrebi uspoređuje s podacima dostavljenima 2017. i u travnju 2018.</w:t>
      </w:r>
    </w:p>
    <w:p>
      <w:pPr>
        <w:keepNext/>
        <w:numPr>
          <w:ilvl w:val="0"/>
          <w:numId w:val="1"/>
        </w:numPr>
        <w:spacing w:before="240" w:after="120" w:line="240" w:lineRule="auto"/>
        <w:ind w:left="851" w:hanging="851"/>
        <w:jc w:val="both"/>
        <w:outlineLvl w:val="0"/>
        <w:rPr>
          <w:rFonts w:ascii="Times New Roman" w:eastAsia="Times New Roman" w:hAnsi="Times New Roman"/>
          <w:b/>
          <w:bCs/>
          <w:smallCaps/>
          <w:noProof/>
          <w:sz w:val="24"/>
          <w:szCs w:val="28"/>
        </w:rPr>
      </w:pPr>
      <w:bookmarkStart w:id="6" w:name="_Toc342558478"/>
      <w:bookmarkStart w:id="7" w:name="_Toc442173626"/>
      <w:bookmarkStart w:id="8" w:name="_Toc442869382"/>
      <w:bookmarkStart w:id="9" w:name="_Toc2863601"/>
      <w:r>
        <w:rPr>
          <w:rFonts w:ascii="Times New Roman" w:hAnsi="Times New Roman"/>
          <w:b/>
          <w:bCs/>
          <w:smallCaps/>
          <w:noProof/>
          <w:sz w:val="24"/>
          <w:szCs w:val="28"/>
        </w:rPr>
        <w:t>Glavni nalazi o izvješćima o razini državnog deficita i duga iz 2018.</w:t>
      </w:r>
      <w:bookmarkEnd w:id="6"/>
      <w:bookmarkEnd w:id="7"/>
      <w:bookmarkEnd w:id="8"/>
      <w:bookmarkEnd w:id="9"/>
    </w:p>
    <w:p>
      <w:pPr>
        <w:keepNext/>
        <w:numPr>
          <w:ilvl w:val="1"/>
          <w:numId w:val="1"/>
        </w:numPr>
        <w:spacing w:before="120" w:after="120" w:line="240" w:lineRule="auto"/>
        <w:jc w:val="both"/>
        <w:outlineLvl w:val="1"/>
        <w:rPr>
          <w:rFonts w:ascii="Times New Roman" w:eastAsia="Times New Roman" w:hAnsi="Times New Roman" w:cs="Times New Roman"/>
          <w:b/>
          <w:bCs/>
          <w:noProof/>
          <w:sz w:val="24"/>
          <w:szCs w:val="26"/>
        </w:rPr>
      </w:pPr>
      <w:bookmarkStart w:id="10" w:name="_Ref149561652"/>
      <w:bookmarkStart w:id="11" w:name="_Toc342558479"/>
      <w:bookmarkStart w:id="12" w:name="_Toc442173627"/>
      <w:bookmarkStart w:id="13" w:name="_Toc442869383"/>
      <w:bookmarkStart w:id="14" w:name="_Toc2863602"/>
      <w:r>
        <w:rPr>
          <w:rFonts w:ascii="Times New Roman" w:hAnsi="Times New Roman"/>
          <w:b/>
          <w:bCs/>
          <w:noProof/>
          <w:sz w:val="24"/>
          <w:szCs w:val="26"/>
        </w:rPr>
        <w:t>Pravodobnost</w:t>
      </w:r>
      <w:bookmarkEnd w:id="10"/>
      <w:r>
        <w:rPr>
          <w:rFonts w:ascii="Times New Roman" w:hAnsi="Times New Roman"/>
          <w:b/>
          <w:bCs/>
          <w:noProof/>
          <w:sz w:val="24"/>
          <w:szCs w:val="26"/>
        </w:rPr>
        <w:t>, pouzdanost i potpunost</w:t>
      </w:r>
      <w:bookmarkEnd w:id="11"/>
      <w:bookmarkEnd w:id="12"/>
      <w:bookmarkEnd w:id="13"/>
      <w:bookmarkEnd w:id="14"/>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5" w:name="_Toc342558480"/>
      <w:bookmarkStart w:id="16" w:name="_Toc442173628"/>
      <w:bookmarkStart w:id="17" w:name="_Toc442869384"/>
      <w:bookmarkStart w:id="18" w:name="_Toc2863603"/>
      <w:r>
        <w:rPr>
          <w:rFonts w:ascii="Times New Roman" w:hAnsi="Times New Roman"/>
          <w:b/>
          <w:bCs/>
          <w:i/>
          <w:noProof/>
          <w:sz w:val="24"/>
        </w:rPr>
        <w:t>Pravodobnost</w:t>
      </w:r>
      <w:bookmarkEnd w:id="15"/>
      <w:bookmarkEnd w:id="16"/>
      <w:bookmarkEnd w:id="17"/>
      <w:bookmarkEnd w:id="18"/>
    </w:p>
    <w:p>
      <w:pPr>
        <w:spacing w:before="120" w:after="120" w:line="240" w:lineRule="auto"/>
        <w:ind w:left="850"/>
        <w:jc w:val="both"/>
        <w:rPr>
          <w:rFonts w:ascii="Times New Roman" w:hAnsi="Times New Roman"/>
          <w:noProof/>
          <w:sz w:val="24"/>
        </w:rPr>
      </w:pPr>
      <w:r>
        <w:rPr>
          <w:rFonts w:ascii="Times New Roman" w:hAnsi="Times New Roman"/>
          <w:noProof/>
          <w:sz w:val="24"/>
        </w:rPr>
        <w:t>Države članice dužne su Eurostatu dostavljati svoje stvarne i planirane podatke koji se odnose na EDP dva puta godišnje, do 1. travnja i do 1. listopada</w:t>
      </w:r>
      <w:r>
        <w:rPr>
          <w:rFonts w:ascii="Times New Roman" w:hAnsi="Times New Roman" w:cs="Times New Roman"/>
          <w:noProof/>
          <w:sz w:val="24"/>
          <w:szCs w:val="24"/>
          <w:vertAlign w:val="superscript"/>
        </w:rPr>
        <w:footnoteReference w:id="5"/>
      </w:r>
      <w:r>
        <w:rPr>
          <w:rFonts w:ascii="Times New Roman" w:hAnsi="Times New Roman"/>
          <w:noProof/>
          <w:sz w:val="24"/>
        </w:rPr>
        <w:t>. Izvješćivanje o postupku u slučaju prekomjernog deficita u 2018. obuhvatilo je razdoblje 2014.–2018. Za 2018. dostavljeni su iznosi su koje su planirala nacionalna tijela, a za razdoblje od 2014. do 2017. dostavljeni su stvarni podaci</w:t>
      </w:r>
      <w:r>
        <w:rPr>
          <w:rFonts w:ascii="Times New Roman" w:hAnsi="Times New Roman" w:cs="Times New Roman"/>
          <w:noProof/>
          <w:sz w:val="24"/>
          <w:szCs w:val="24"/>
          <w:vertAlign w:val="superscript"/>
        </w:rPr>
        <w:footnoteReference w:id="6"/>
      </w:r>
      <w:r>
        <w:rPr>
          <w:rFonts w:ascii="Times New Roman" w:hAnsi="Times New Roman"/>
          <w:noProof/>
          <w:sz w:val="24"/>
        </w:rPr>
        <w:t>. U skladu s člankom 8. stavkom 1. Uredbe (EZ) br. 479/2009 Eurostat procjenjuje stvarne podatke, ali ne i planirane podatke.</w:t>
      </w:r>
    </w:p>
    <w:p>
      <w:pPr>
        <w:spacing w:before="120" w:after="120" w:line="240" w:lineRule="auto"/>
        <w:ind w:left="850"/>
        <w:jc w:val="both"/>
        <w:rPr>
          <w:rFonts w:ascii="Times New Roman" w:hAnsi="Times New Roman"/>
          <w:noProof/>
          <w:sz w:val="24"/>
        </w:rPr>
      </w:pPr>
      <w:r>
        <w:rPr>
          <w:rFonts w:ascii="Times New Roman" w:hAnsi="Times New Roman"/>
          <w:noProof/>
          <w:sz w:val="24"/>
        </w:rPr>
        <w:t>Sve su države članice poštovale rokove za dostavljanje obiju obavijesti.</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19" w:name="_Toc342558481"/>
      <w:bookmarkStart w:id="20" w:name="_Toc442173629"/>
      <w:bookmarkStart w:id="21" w:name="_Toc442869385"/>
      <w:bookmarkStart w:id="22" w:name="_Toc2863604"/>
      <w:r>
        <w:rPr>
          <w:rFonts w:ascii="Times New Roman" w:hAnsi="Times New Roman"/>
          <w:b/>
          <w:bCs/>
          <w:i/>
          <w:noProof/>
          <w:sz w:val="24"/>
        </w:rPr>
        <w:t>Pouzdanost</w:t>
      </w:r>
      <w:bookmarkEnd w:id="19"/>
      <w:bookmarkEnd w:id="20"/>
      <w:bookmarkEnd w:id="21"/>
      <w:bookmarkEnd w:id="22"/>
    </w:p>
    <w:p>
      <w:pPr>
        <w:spacing w:before="120" w:after="120" w:line="240" w:lineRule="auto"/>
        <w:ind w:left="850"/>
        <w:jc w:val="both"/>
        <w:rPr>
          <w:rFonts w:ascii="Times New Roman" w:hAnsi="Times New Roman"/>
          <w:noProof/>
          <w:sz w:val="24"/>
          <w:highlight w:val="yellow"/>
        </w:rPr>
      </w:pPr>
      <w:r>
        <w:rPr>
          <w:rFonts w:ascii="Times New Roman" w:hAnsi="Times New Roman"/>
          <w:noProof/>
          <w:sz w:val="24"/>
        </w:rPr>
        <w:t xml:space="preserve">Revizije podataka u obavijesti koja se odnosi na EDP koja je dostavljena u listopadu 2018. u odnosu na podatke iz obavijesti koja je dostavljena u travnju 2018. provedene su uglavnom zbog </w:t>
      </w:r>
      <w:r>
        <w:rPr>
          <w:rFonts w:ascii="Times New Roman" w:hAnsi="Times New Roman"/>
          <w:noProof/>
          <w:sz w:val="24"/>
          <w:szCs w:val="20"/>
        </w:rPr>
        <w:t>ažuriranja izvornih podataka (prvenstveno tekućih salda i podataka o porezu) te metodoloških izmjena, kao što su reklasifikacije jedinica ili transakcija</w:t>
      </w:r>
      <w:r>
        <w:rPr>
          <w:rFonts w:ascii="Times New Roman" w:hAnsi="Times New Roman"/>
          <w:noProof/>
          <w:sz w:val="24"/>
        </w:rPr>
        <w:t>.</w:t>
      </w:r>
    </w:p>
    <w:p>
      <w:pPr>
        <w:spacing w:before="120" w:after="120" w:line="240" w:lineRule="auto"/>
        <w:ind w:left="850"/>
        <w:jc w:val="both"/>
        <w:rPr>
          <w:rFonts w:ascii="Times New Roman" w:hAnsi="Times New Roman" w:cs="Times New Roman"/>
          <w:noProof/>
          <w:sz w:val="24"/>
          <w:szCs w:val="24"/>
        </w:rPr>
      </w:pPr>
      <w:r>
        <w:rPr>
          <w:rFonts w:ascii="Times New Roman" w:hAnsi="Times New Roman"/>
          <w:noProof/>
          <w:sz w:val="24"/>
          <w:szCs w:val="24"/>
        </w:rPr>
        <w:t>Nakon što su podaci iz 2017., navedeni u obavijesti iz travnja 2018., revidirani u obavijesti iz listopada 2018., državni višak/deficit (kao postotak BDP-a) poboljšao se u deset država članica, a u njih osam se pogoršao. Nakon revizije najveće pozitivne promjene zabilježene su u Poljskoj, Slovačkoj, Švedskoj (+0,3 postotna boda u svakoj) te Bugarskoj (+0,2 postotna boda), a najveće negativne promjene u Malti (–0,4 postotna boda) te Mađarskoj i Njemačkoj (po –0,3 postotna boda). Nakon revizije razine duga u 2017. najveći porast koji nije uzrokovan revizijom BDP-a zabilježen je u Francuskoj (+1,7 postotnih bodova), Bugarskoj (+0,8 postotnih bodova), Nizozemskoj i Cipru (obje +0,5 postotnih bodova), Belgiji (+0,4 postotna boda) i Malti (+0,3 postotna boda), dok je u Danskoj zabilježen pad razine duga (–0,3 postotna boda).</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Revizije BDP-a znatno su utjecale na udio državnog duga u nekoliko država članica. Konkretno, povećanje udjela duga zbog revizije BDP-a zabilježeno je u Sloveniji i Irskoj (obje +0,5 postotnih bodova), Švedskoj (+0,2 postotna boda) te Slovačkoj i Češkoj (obje +0,1 postotni bod), a smanjenje je zabilježeno u 22 države članice, najveće u Grčkoj (–2,5 postotnih bodova), Cipru (–1,8 postotnih bodova), Portugalu (–1,0 postotni bod) te Italiji i Bugarskoj (obje –0,6 postotnih bodova).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3" w:name="_Toc342558482"/>
      <w:bookmarkStart w:id="24" w:name="_Toc442173630"/>
      <w:bookmarkStart w:id="25" w:name="_Toc442869386"/>
      <w:bookmarkStart w:id="26" w:name="_Toc2863605"/>
      <w:r>
        <w:rPr>
          <w:rFonts w:ascii="Times New Roman" w:hAnsi="Times New Roman"/>
          <w:b/>
          <w:bCs/>
          <w:i/>
          <w:noProof/>
          <w:sz w:val="24"/>
        </w:rPr>
        <w:t>Potpunost tablica i popratnih informacija</w:t>
      </w:r>
      <w:bookmarkEnd w:id="23"/>
      <w:bookmarkEnd w:id="24"/>
      <w:bookmarkEnd w:id="25"/>
      <w:bookmarkEnd w:id="26"/>
    </w:p>
    <w:p>
      <w:pPr>
        <w:spacing w:after="0" w:line="240" w:lineRule="auto"/>
        <w:ind w:left="850"/>
        <w:jc w:val="both"/>
        <w:rPr>
          <w:rFonts w:ascii="Times New Roman" w:hAnsi="Times New Roman"/>
          <w:i/>
          <w:noProof/>
          <w:sz w:val="24"/>
        </w:rPr>
      </w:pPr>
      <w:r>
        <w:rPr>
          <w:rFonts w:ascii="Times New Roman" w:hAnsi="Times New Roman"/>
          <w:noProof/>
          <w:sz w:val="24"/>
        </w:rPr>
        <w:t xml:space="preserve">Potpuno ispunjavanje tablica izvješća zakonska je obveza i nužno je kako bi Eurostat mogao točno procijeniti kvalitetu podataka. Na temelju članka 8. stavka 2. Uredbe (EZ) br. 479/2009 države članice dužne su Eurostatu dostaviti relevantne statističke podatke, </w:t>
      </w:r>
      <w:r>
        <w:rPr>
          <w:rFonts w:ascii="Times New Roman" w:hAnsi="Times New Roman"/>
          <w:i/>
          <w:noProof/>
          <w:sz w:val="24"/>
        </w:rPr>
        <w:t>što „(...) ponajprije (...) znači:</w:t>
      </w:r>
    </w:p>
    <w:p>
      <w:pPr>
        <w:spacing w:after="0" w:line="240" w:lineRule="auto"/>
        <w:ind w:left="1701" w:hanging="425"/>
        <w:jc w:val="both"/>
        <w:rPr>
          <w:rFonts w:ascii="Times New Roman" w:hAnsi="Times New Roman"/>
          <w:i/>
          <w:noProof/>
          <w:sz w:val="24"/>
        </w:rPr>
      </w:pPr>
      <w:r>
        <w:rPr>
          <w:rFonts w:ascii="Times New Roman" w:hAnsi="Times New Roman"/>
          <w:i/>
          <w:noProof/>
          <w:sz w:val="24"/>
        </w:rPr>
        <w:t>(a)</w:t>
      </w:r>
      <w:r>
        <w:rPr>
          <w:rFonts w:ascii="Times New Roman" w:hAnsi="Times New Roman"/>
          <w:i/>
          <w:noProof/>
          <w:sz w:val="24"/>
        </w:rPr>
        <w:tab/>
        <w:t>podaci iz nacionalnih računa;</w:t>
      </w:r>
    </w:p>
    <w:p>
      <w:pPr>
        <w:spacing w:after="0" w:line="240" w:lineRule="auto"/>
        <w:ind w:left="1701" w:hanging="425"/>
        <w:jc w:val="both"/>
        <w:rPr>
          <w:rFonts w:ascii="Times New Roman" w:hAnsi="Times New Roman"/>
          <w:i/>
          <w:noProof/>
          <w:sz w:val="24"/>
        </w:rPr>
      </w:pPr>
      <w:r>
        <w:rPr>
          <w:rFonts w:ascii="Times New Roman" w:hAnsi="Times New Roman"/>
          <w:i/>
          <w:noProof/>
          <w:sz w:val="24"/>
        </w:rPr>
        <w:t>(b)</w:t>
      </w:r>
      <w:r>
        <w:rPr>
          <w:rFonts w:ascii="Times New Roman" w:hAnsi="Times New Roman"/>
          <w:i/>
          <w:noProof/>
          <w:sz w:val="24"/>
        </w:rPr>
        <w:tab/>
        <w:t>Evidencije;</w:t>
      </w:r>
    </w:p>
    <w:p>
      <w:pPr>
        <w:spacing w:after="0" w:line="240" w:lineRule="auto"/>
        <w:ind w:left="1701" w:hanging="425"/>
        <w:jc w:val="both"/>
        <w:rPr>
          <w:rFonts w:ascii="Times New Roman" w:hAnsi="Times New Roman"/>
          <w:i/>
          <w:noProof/>
          <w:sz w:val="24"/>
        </w:rPr>
      </w:pPr>
      <w:r>
        <w:rPr>
          <w:rFonts w:ascii="Times New Roman" w:hAnsi="Times New Roman"/>
          <w:i/>
          <w:noProof/>
          <w:sz w:val="24"/>
        </w:rPr>
        <w:t>(c)</w:t>
      </w:r>
      <w:r>
        <w:rPr>
          <w:rFonts w:ascii="Times New Roman" w:hAnsi="Times New Roman"/>
          <w:i/>
          <w:noProof/>
          <w:sz w:val="24"/>
        </w:rPr>
        <w:tab/>
        <w:t>notifikacijske tablice EDP-a;</w:t>
      </w:r>
    </w:p>
    <w:p>
      <w:pPr>
        <w:spacing w:after="0" w:line="240" w:lineRule="auto"/>
        <w:ind w:left="1701" w:hanging="425"/>
        <w:jc w:val="both"/>
        <w:rPr>
          <w:rFonts w:ascii="Times New Roman" w:hAnsi="Times New Roman"/>
          <w:i/>
          <w:noProof/>
          <w:sz w:val="24"/>
        </w:rPr>
      </w:pPr>
      <w:r>
        <w:rPr>
          <w:rFonts w:ascii="Times New Roman" w:hAnsi="Times New Roman"/>
          <w:i/>
          <w:noProof/>
          <w:sz w:val="24"/>
        </w:rPr>
        <w:t>(d)</w:t>
      </w:r>
      <w:r>
        <w:rPr>
          <w:rFonts w:ascii="Times New Roman" w:hAnsi="Times New Roman"/>
          <w:i/>
          <w:noProof/>
          <w:sz w:val="24"/>
        </w:rPr>
        <w:tab/>
        <w:t>dodatni upitnici i pojašnjenja koji se odnose na obavijesti.”</w:t>
      </w:r>
    </w:p>
    <w:p>
      <w:pPr>
        <w:spacing w:before="120" w:after="120" w:line="240" w:lineRule="auto"/>
        <w:ind w:left="850"/>
        <w:jc w:val="both"/>
        <w:rPr>
          <w:rFonts w:ascii="Times New Roman" w:hAnsi="Times New Roman"/>
          <w:noProof/>
          <w:sz w:val="24"/>
        </w:rPr>
      </w:pPr>
      <w:r>
        <w:rPr>
          <w:rFonts w:ascii="Times New Roman" w:hAnsi="Times New Roman"/>
          <w:noProof/>
          <w:sz w:val="24"/>
        </w:rPr>
        <w:t>Postoje četiri glavne notifikacijske tablice u okviru EDP-a.</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tablica 1. obuhvaća izvješćivanje o državnom višku/deficitu (ukupno i po državnom podsektoru) i razinama duga (ukupno</w:t>
      </w:r>
      <w:r>
        <w:rPr>
          <w:rFonts w:ascii="Times New Roman" w:hAnsi="Times New Roman" w:cs="Times New Roman"/>
          <w:noProof/>
          <w:sz w:val="24"/>
          <w:vertAlign w:val="superscript"/>
          <w:lang w:eastAsia="en-GB"/>
        </w:rPr>
        <w:footnoteReference w:id="7"/>
      </w:r>
      <w:r>
        <w:rPr>
          <w:rFonts w:ascii="Times New Roman" w:hAnsi="Times New Roman"/>
          <w:noProof/>
          <w:sz w:val="24"/>
        </w:rPr>
        <w:t xml:space="preserve"> i po kategoriji financijskog instrumenta). Obuhvaća i BDP u skladu s trenutačnim tržišnim cijenama i državne rashode za bruto investicije u fiksni kapital i kamate.</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u tablicama od 2.a do 2.d nalaze se podaci kojima se objašnjava prijelaz između nacionalnih definicija državnog salda (koji se u metodologiji nacionalnih računa naziva „tekući saldo”) i viška/deficita svakog državnog podsektora (koji se u metodologiji nacionalnih računa naziva „neto uzajmljivanje / neto pozajmljivanje”)</w:t>
      </w:r>
      <w:r>
        <w:rPr>
          <w:rFonts w:ascii="Times New Roman" w:hAnsi="Times New Roman"/>
          <w:noProof/>
          <w:sz w:val="24"/>
          <w:vertAlign w:val="superscript"/>
          <w:lang w:eastAsia="en-GB"/>
        </w:rPr>
        <w:footnoteReference w:id="8"/>
      </w:r>
      <w:r>
        <w:rPr>
          <w:rFonts w:ascii="Times New Roman" w:hAnsi="Times New Roman"/>
          <w:noProof/>
          <w:sz w:val="24"/>
        </w:rPr>
        <w:t>;</w:t>
      </w:r>
      <w:r>
        <w:rPr>
          <w:rFonts w:ascii="Times New Roman" w:hAnsi="Times New Roman"/>
          <w:noProof/>
          <w:sz w:val="24"/>
          <w:vertAlign w:val="superscript"/>
        </w:rPr>
        <w:t xml:space="preserve"> </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 xml:space="preserve">u tablicama od 3.a do 3.d nalaze se podaci kojima se objašnjava doprinos državnog viška/deficita i ostali relevantni čimbenici za razliku u razini državnog duga i konsolidaciju duga; te </w:t>
      </w:r>
    </w:p>
    <w:p>
      <w:pPr>
        <w:numPr>
          <w:ilvl w:val="0"/>
          <w:numId w:val="2"/>
        </w:numPr>
        <w:tabs>
          <w:tab w:val="left" w:pos="1701"/>
        </w:tabs>
        <w:spacing w:before="120" w:after="120" w:line="240" w:lineRule="auto"/>
        <w:ind w:left="1701" w:hanging="425"/>
        <w:jc w:val="both"/>
        <w:rPr>
          <w:rFonts w:ascii="Times New Roman" w:hAnsi="Times New Roman"/>
          <w:noProof/>
          <w:sz w:val="24"/>
        </w:rPr>
      </w:pPr>
      <w:r>
        <w:rPr>
          <w:rFonts w:ascii="Times New Roman" w:hAnsi="Times New Roman"/>
          <w:noProof/>
          <w:sz w:val="24"/>
        </w:rPr>
        <w:t>u tablici 4. uglavnom se nalaze podaci o trgovačkim kreditima i predujmovima</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w:t>
      </w:r>
    </w:p>
    <w:p>
      <w:pPr>
        <w:tabs>
          <w:tab w:val="left" w:pos="1701"/>
        </w:tabs>
        <w:spacing w:before="120" w:after="120" w:line="240" w:lineRule="auto"/>
        <w:ind w:left="851"/>
        <w:jc w:val="both"/>
        <w:rPr>
          <w:rFonts w:ascii="Times New Roman" w:hAnsi="Times New Roman"/>
          <w:noProof/>
          <w:sz w:val="24"/>
        </w:rPr>
      </w:pPr>
      <w:r>
        <w:rPr>
          <w:rFonts w:ascii="Times New Roman" w:hAnsi="Times New Roman"/>
          <w:noProof/>
          <w:sz w:val="24"/>
        </w:rPr>
        <w:t>Notifikacijske tablice 1. i 2. u okviru EDP-a obuhvatile su u 2018. razdoblje od 2014. do 2018.</w:t>
      </w:r>
      <w:r>
        <w:rPr>
          <w:rFonts w:ascii="Times New Roman" w:hAnsi="Times New Roman" w:cs="Times New Roman"/>
          <w:noProof/>
          <w:sz w:val="24"/>
          <w:szCs w:val="24"/>
          <w:vertAlign w:val="superscript"/>
        </w:rPr>
        <w:footnoteReference w:id="10"/>
      </w:r>
      <w:r>
        <w:rPr>
          <w:rFonts w:ascii="Times New Roman" w:hAnsi="Times New Roman"/>
          <w:noProof/>
          <w:sz w:val="24"/>
        </w:rPr>
        <w:t>, a ostale tablice obuhvatile su razdoblje od 2014. do 2017.</w:t>
      </w:r>
    </w:p>
    <w:p>
      <w:pPr>
        <w:spacing w:before="120" w:after="120" w:line="240" w:lineRule="auto"/>
        <w:ind w:left="850"/>
        <w:jc w:val="both"/>
        <w:rPr>
          <w:rFonts w:ascii="Times New Roman" w:hAnsi="Times New Roman"/>
          <w:noProof/>
          <w:sz w:val="24"/>
        </w:rPr>
      </w:pPr>
      <w:r>
        <w:rPr>
          <w:rFonts w:ascii="Times New Roman" w:hAnsi="Times New Roman"/>
          <w:noProof/>
          <w:sz w:val="24"/>
        </w:rPr>
        <w:t>Sve su države članice Eurostatu dostavile sve notifikacijske tablice u okviru EDP-a</w:t>
      </w:r>
      <w:r>
        <w:rPr>
          <w:rFonts w:ascii="Times New Roman" w:hAnsi="Times New Roman" w:cs="Times New Roman"/>
          <w:noProof/>
          <w:sz w:val="24"/>
          <w:szCs w:val="24"/>
          <w:vertAlign w:val="superscript"/>
        </w:rPr>
        <w:footnoteReference w:id="11"/>
      </w:r>
      <w:r>
        <w:rPr>
          <w:rFonts w:ascii="Times New Roman" w:hAnsi="Times New Roman"/>
          <w:noProof/>
          <w:sz w:val="24"/>
        </w:rPr>
        <w:t xml:space="preserve"> u travnju i listopadu. U ciklusu izvješćivanja u listopadu sve su države članice u cijelosti popunile notifikacijsku tablicu 1. u okviru EDP-a te su u notifikacijskoj tablici 2. u okviru EDP-a dostavile pojedinosti o poveznici između tekućeg salda i viška/deficita koji se odnosi na EDP za sve podsektore. Neke (Njemačka, Austrija) nisu prijavile sve prijelazne stavke koje se traže u obrascu, a druge su unijele određene preostale prijelazne stavke (Njemačka, Italija, Nizozemska, Finska i Švedska).</w:t>
      </w:r>
    </w:p>
    <w:p>
      <w:pPr>
        <w:spacing w:before="120" w:after="120" w:line="240" w:lineRule="auto"/>
        <w:ind w:left="850"/>
        <w:jc w:val="both"/>
        <w:rPr>
          <w:rFonts w:ascii="Times New Roman" w:hAnsi="Times New Roman"/>
          <w:noProof/>
          <w:sz w:val="24"/>
        </w:rPr>
      </w:pPr>
      <w:r>
        <w:rPr>
          <w:rFonts w:ascii="Times New Roman" w:hAnsi="Times New Roman"/>
          <w:noProof/>
          <w:sz w:val="24"/>
        </w:rPr>
        <w:t>Neke države članice nisu izvršile sve raščlambe u svim notifikacijskim tablicama 3. u okviru EDP-a, osobito za lokalna tijela vlasti.</w:t>
      </w:r>
    </w:p>
    <w:p>
      <w:pPr>
        <w:spacing w:before="120" w:after="120" w:line="240" w:lineRule="auto"/>
        <w:ind w:left="850"/>
        <w:jc w:val="both"/>
        <w:rPr>
          <w:rFonts w:ascii="Times New Roman" w:hAnsi="Times New Roman"/>
          <w:noProof/>
          <w:sz w:val="24"/>
        </w:rPr>
      </w:pPr>
      <w:r>
        <w:rPr>
          <w:rFonts w:ascii="Times New Roman" w:hAnsi="Times New Roman"/>
          <w:noProof/>
          <w:sz w:val="24"/>
        </w:rPr>
        <w:t>Stanje obveza opće države po komercijalnim kreditima i predujmovima trebalo bi biti navedeno u notifikacijskoj tablici 4. u okviru EDP-a. Međutim, još nije postignuta potpuna pokrivenost svih državnih podsektora i dijelova podsektora za sve države članice. Neke države članice označile su podatke kao privremene ili procijenjene. Stoga bi se podaci za Belgiju, Bugarsku, Njemačku, Irsku, Francusku, Italiju, Cipar, Luksemburg, Maltu, Nizozemsku, Poljsku i Ujedinjenu Kraljevinu u budućim obavijestima mogli revidirati.</w:t>
      </w:r>
    </w:p>
    <w:p>
      <w:pPr>
        <w:spacing w:before="120" w:after="120" w:line="240" w:lineRule="auto"/>
        <w:ind w:left="850"/>
        <w:jc w:val="both"/>
        <w:rPr>
          <w:rFonts w:ascii="Times New Roman" w:hAnsi="Times New Roman"/>
          <w:noProof/>
          <w:sz w:val="24"/>
        </w:rPr>
      </w:pPr>
      <w:r>
        <w:rPr>
          <w:rFonts w:ascii="Times New Roman" w:hAnsi="Times New Roman"/>
          <w:noProof/>
          <w:sz w:val="24"/>
        </w:rPr>
        <w:t>Iako se cjelovitost notifikacijskih tablica u okviru EDP-a može još poboljšati, ne očekuje se da će ta otvorena pitanja imati velik utjecaj na kvalitetu podataka.</w:t>
      </w:r>
    </w:p>
    <w:p>
      <w:pPr>
        <w:spacing w:before="120" w:after="120" w:line="240" w:lineRule="auto"/>
        <w:ind w:left="850"/>
        <w:jc w:val="both"/>
        <w:rPr>
          <w:rFonts w:ascii="Times New Roman" w:hAnsi="Times New Roman"/>
          <w:noProof/>
          <w:sz w:val="24"/>
        </w:rPr>
      </w:pPr>
      <w:r>
        <w:rPr>
          <w:rFonts w:ascii="Times New Roman" w:hAnsi="Times New Roman"/>
          <w:noProof/>
          <w:sz w:val="24"/>
        </w:rPr>
        <w:t>Sve države članice dostavile su odgovore na „Upitnik u pogledu notifikacijskih tablica u okviru EDP-a”</w:t>
      </w:r>
      <w:r>
        <w:rPr>
          <w:rFonts w:ascii="Times New Roman" w:hAnsi="Times New Roman" w:cs="Times New Roman"/>
          <w:noProof/>
          <w:sz w:val="24"/>
          <w:szCs w:val="24"/>
          <w:vertAlign w:val="superscript"/>
        </w:rPr>
        <w:footnoteReference w:id="12"/>
      </w:r>
      <w:r>
        <w:rPr>
          <w:rFonts w:ascii="Times New Roman" w:hAnsi="Times New Roman"/>
          <w:noProof/>
          <w:sz w:val="24"/>
        </w:rPr>
        <w:t>. Premda se opseg i kvaliteta odgovora i dalje poboljšavaju, još je potreban napredak jer neke države članice nisu dostavile sve tražene pojedinosti. To se osobito odnosi na podatke o potraživanjima i otpisu dugova središnje države, raščlambu ostalih računa potraživanja/obveza, bilježenje državnih jamstava (uglavnom za lokalna tijela vlasti) i podatke o ubrizgavanju kapitala.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27" w:name="_Toc342558483"/>
      <w:bookmarkStart w:id="28" w:name="_Toc442173631"/>
      <w:bookmarkStart w:id="29" w:name="_Toc442869387"/>
      <w:bookmarkStart w:id="30" w:name="_Toc2863606"/>
      <w:r>
        <w:rPr>
          <w:rFonts w:ascii="Times New Roman" w:hAnsi="Times New Roman"/>
          <w:b/>
          <w:bCs/>
          <w:i/>
          <w:noProof/>
          <w:sz w:val="24"/>
        </w:rPr>
        <w:t xml:space="preserve">Dopunska tablica za izvješćivanje o državnim intervencijama za potporu </w:t>
      </w:r>
      <w:bookmarkEnd w:id="27"/>
      <w:bookmarkEnd w:id="28"/>
      <w:bookmarkEnd w:id="29"/>
      <w:r>
        <w:rPr>
          <w:rFonts w:ascii="Times New Roman" w:hAnsi="Times New Roman"/>
          <w:b/>
          <w:bCs/>
          <w:i/>
          <w:noProof/>
          <w:sz w:val="24"/>
        </w:rPr>
        <w:t>financijskim institucijama</w:t>
      </w:r>
      <w:bookmarkEnd w:id="30"/>
      <w:r>
        <w:rPr>
          <w:rFonts w:ascii="Times New Roman" w:hAnsi="Times New Roman"/>
          <w:b/>
          <w:bCs/>
          <w:i/>
          <w:noProof/>
          <w:sz w:val="24"/>
        </w:rPr>
        <w:t xml:space="preserve"> </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Eurostat od 15. srpnja 2009. prikuplja skup dopunskih podataka o državnim intervencijama za potporu financijskim institucijama. Podaci prikupljeni 2018. odnose se na razdoblje od 2007. do 2017. Sve države članice osim njih pet (Estonija, Malta, Poljska, Rumunjska i Slovačka) u tom su razdoblju prijavile državne intervencije. U Finskoj (2008.) i Češkoj (2013.–2015.) jedine prijavljene intervencije odnosile su se na nepredviđene obveze. U većini zemalja 2017. učinak državnih intervencija za potporu financijskim institucijama na povećanje deficita bio je neutralan ili slab, dok je u Portugalu, Italiji i Cipru bio veći. Najveći akumulirani učinak na državni dug na kraju 2017. zabilježen je u Grčkoj, Cipru i Irskoj. </w:t>
      </w:r>
    </w:p>
    <w:p>
      <w:pPr>
        <w:spacing w:before="120" w:after="120" w:line="240" w:lineRule="auto"/>
        <w:ind w:left="850"/>
        <w:jc w:val="both"/>
        <w:rPr>
          <w:rFonts w:ascii="Times New Roman" w:hAnsi="Times New Roman"/>
          <w:noProof/>
          <w:sz w:val="24"/>
          <w:vertAlign w:val="superscript"/>
        </w:rPr>
      </w:pPr>
      <w:r>
        <w:rPr>
          <w:rFonts w:ascii="Times New Roman" w:hAnsi="Times New Roman"/>
          <w:noProof/>
          <w:sz w:val="24"/>
        </w:rPr>
        <w:t>Eurostat je uz priopćenje za javnost o postupku u slučaju prekomjernog deficita objavio dokument s osnovnim informacijama</w:t>
      </w:r>
      <w:r>
        <w:rPr>
          <w:rFonts w:ascii="Times New Roman" w:hAnsi="Times New Roman" w:cs="Times New Roman"/>
          <w:noProof/>
          <w:sz w:val="24"/>
          <w:szCs w:val="24"/>
          <w:vertAlign w:val="superscript"/>
        </w:rPr>
        <w:footnoteReference w:id="13"/>
      </w:r>
      <w:r>
        <w:rPr>
          <w:rFonts w:ascii="Times New Roman" w:hAnsi="Times New Roman"/>
          <w:noProof/>
          <w:sz w:val="24"/>
        </w:rPr>
        <w:t xml:space="preserve"> o državnim intervencijama za potporu financijskim institucijama s više podataka o sadržaju dopunske tablice i rezultatima.</w:t>
      </w:r>
      <w:r>
        <w:rPr>
          <w:rFonts w:ascii="Times New Roman" w:hAnsi="Times New Roman"/>
          <w:noProof/>
          <w:sz w:val="24"/>
          <w:vertAlign w:val="superscript"/>
        </w:rPr>
        <w:t xml:space="preserve">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1" w:name="_Toc342558484"/>
      <w:bookmarkStart w:id="32" w:name="_Toc442173632"/>
      <w:bookmarkStart w:id="33" w:name="_Toc442869388"/>
      <w:bookmarkStart w:id="34" w:name="_Toc2863607"/>
      <w:r>
        <w:rPr>
          <w:rFonts w:ascii="Times New Roman" w:hAnsi="Times New Roman"/>
          <w:b/>
          <w:bCs/>
          <w:i/>
          <w:noProof/>
          <w:sz w:val="24"/>
        </w:rPr>
        <w:t>Upitnik o međudržavnim pozajmicama</w:t>
      </w:r>
      <w:bookmarkEnd w:id="31"/>
      <w:bookmarkEnd w:id="32"/>
      <w:bookmarkEnd w:id="33"/>
      <w:bookmarkEnd w:id="34"/>
    </w:p>
    <w:p>
      <w:pPr>
        <w:spacing w:before="120" w:after="120" w:line="240" w:lineRule="auto"/>
        <w:ind w:left="850"/>
        <w:jc w:val="both"/>
        <w:rPr>
          <w:rFonts w:ascii="Times New Roman" w:hAnsi="Times New Roman"/>
          <w:noProof/>
          <w:sz w:val="24"/>
        </w:rPr>
      </w:pPr>
      <w:r>
        <w:rPr>
          <w:rFonts w:ascii="Times New Roman" w:hAnsi="Times New Roman"/>
          <w:noProof/>
          <w:sz w:val="24"/>
        </w:rPr>
        <w:t>Države članice dostavljaju podatke o bilateralnim međudržavnim pozajmicama, obično u kontekstu programâ financijske pomoći. Ti podaci i dodatne informacije o Europskom fondu za financijsku stabilnost također su uključeni u priopćenje za javnost o postupku u slučaju prekomjernog deficita. U razdoblju 2014.–2017. podaci su se uglavnom odnosili na pozajmice Grčkoj, Irskoj i Portugalu.</w:t>
      </w:r>
    </w:p>
    <w:p>
      <w:pPr>
        <w:spacing w:before="120" w:after="120" w:line="240" w:lineRule="auto"/>
        <w:ind w:left="850"/>
        <w:jc w:val="both"/>
        <w:rPr>
          <w:rFonts w:ascii="Times New Roman" w:hAnsi="Times New Roman"/>
          <w:noProof/>
          <w:sz w:val="24"/>
        </w:rPr>
      </w:pPr>
      <w:r>
        <w:rPr>
          <w:rFonts w:ascii="Times New Roman" w:hAnsi="Times New Roman"/>
          <w:noProof/>
          <w:sz w:val="24"/>
        </w:rPr>
        <w:t>Bilateralne međudržavne pozajmice oduzimaju se pri izračunu agregata za skupinu EU-28 i europodručje za državni dug po Ugovoru iz Maastrichta jer su i jedni i drugi prikazani na konsolidiranoj osnovi.</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35" w:name="_Toc342558485"/>
      <w:bookmarkStart w:id="36" w:name="_Toc442173633"/>
      <w:bookmarkStart w:id="37" w:name="_Toc442869389"/>
      <w:bookmarkStart w:id="38" w:name="_Toc2863608"/>
      <w:r>
        <w:rPr>
          <w:rFonts w:ascii="Times New Roman" w:hAnsi="Times New Roman"/>
          <w:b/>
          <w:bCs/>
          <w:noProof/>
          <w:sz w:val="24"/>
          <w:szCs w:val="26"/>
        </w:rPr>
        <w:t>Usklađenost s računovodstvenim pravilima i dosljednost statističkih podataka</w:t>
      </w:r>
      <w:bookmarkEnd w:id="35"/>
      <w:bookmarkEnd w:id="36"/>
      <w:bookmarkEnd w:id="37"/>
      <w:bookmarkEnd w:id="38"/>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39" w:name="_Toc342558486"/>
      <w:bookmarkStart w:id="40" w:name="_Toc442173634"/>
      <w:bookmarkStart w:id="41" w:name="_Toc442869390"/>
      <w:bookmarkStart w:id="42" w:name="_Toc2863609"/>
      <w:r>
        <w:rPr>
          <w:rFonts w:ascii="Times New Roman" w:hAnsi="Times New Roman"/>
          <w:b/>
          <w:bCs/>
          <w:i/>
          <w:noProof/>
          <w:sz w:val="24"/>
        </w:rPr>
        <w:t>Razmjena informacija i pojašnjenja</w:t>
      </w:r>
      <w:bookmarkEnd w:id="39"/>
      <w:bookmarkEnd w:id="40"/>
      <w:bookmarkEnd w:id="41"/>
      <w:bookmarkEnd w:id="42"/>
    </w:p>
    <w:p>
      <w:pPr>
        <w:spacing w:before="120" w:after="120" w:line="240" w:lineRule="auto"/>
        <w:ind w:left="850"/>
        <w:jc w:val="both"/>
        <w:rPr>
          <w:rFonts w:ascii="Times New Roman" w:hAnsi="Times New Roman"/>
          <w:noProof/>
          <w:sz w:val="24"/>
        </w:rPr>
      </w:pPr>
      <w:r>
        <w:rPr>
          <w:rFonts w:ascii="Times New Roman" w:hAnsi="Times New Roman"/>
          <w:noProof/>
          <w:sz w:val="24"/>
        </w:rPr>
        <w:t>U trotjednom razdoblju za dostavljanje obavijesti između proljetnog/jesenskog roka za podnošenje izvješća i objave podataka, Eurostat je kontaktirao sa svim nacionalnim tijelima za statistiku te zatražio daljnje informacije i pojašnjenja primjene računovodstvenih pravila u pojedinim transakcijama. To se odvijalo u nekoliko krugova razmjene dopisa.</w:t>
      </w:r>
    </w:p>
    <w:p>
      <w:pPr>
        <w:spacing w:before="120" w:after="120" w:line="240" w:lineRule="auto"/>
        <w:ind w:left="850"/>
        <w:jc w:val="both"/>
        <w:rPr>
          <w:rFonts w:ascii="Times New Roman" w:hAnsi="Times New Roman"/>
          <w:noProof/>
          <w:sz w:val="24"/>
        </w:rPr>
      </w:pPr>
      <w:r>
        <w:rPr>
          <w:rFonts w:ascii="Times New Roman" w:hAnsi="Times New Roman"/>
          <w:noProof/>
          <w:sz w:val="24"/>
        </w:rPr>
        <w:t>U izvještajnom razdoblju za jesen 2018. prvi krug zahtjeva za pojašnjenje poslan je svim državama članicama do 5. listopada, a drugi do 12. listopada. Treći krug poslan je u 16 država članica, a četvrti u jednu. Eurostat je od nekih država članica zatražio revidirane „Notifikacijske tablice u okviru EDP-a”, revidirane tablice temeljnih državnih računa (tj. računa godišnjih rashoda i prihoda te tromjesečnih financijskih i nefinancijskih računa) i revidirani „Upitnik u pogledu notifikacijskih tablica u okviru EDP-a”. U većini slučajeva promjene podataka bile su ispravci tehničkih pogrešaka i unutarnjih nedosljednosti te prilagodbe. Nekoliko se izmjena odnosilo na ažuriranje izvornih podataka na temelju stvarnih i planiranih podataka.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43" w:name="_Toc342558487"/>
      <w:bookmarkStart w:id="44" w:name="_Toc442173635"/>
      <w:bookmarkStart w:id="45" w:name="_Toc442869391"/>
      <w:bookmarkStart w:id="46" w:name="_Toc2863610"/>
      <w:r>
        <w:rPr>
          <w:rFonts w:ascii="Times New Roman" w:hAnsi="Times New Roman"/>
          <w:b/>
          <w:bCs/>
          <w:i/>
          <w:noProof/>
          <w:sz w:val="24"/>
        </w:rPr>
        <w:t>Dijaloški i metodološki posjeti</w:t>
      </w:r>
      <w:bookmarkEnd w:id="43"/>
      <w:bookmarkEnd w:id="44"/>
      <w:bookmarkEnd w:id="45"/>
      <w:bookmarkEnd w:id="46"/>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Uredbom (EZ) br. 479/2009 predviđeno je da Eurostat vrši dijaloške i metodološke posjete državama članicama. Predstavnici GU-a ECFIN i Europske središnje banke redovito sudjeluju u tim posjetima kao promatrači. </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Tijekom </w:t>
      </w:r>
      <w:r>
        <w:rPr>
          <w:rFonts w:ascii="Times New Roman" w:hAnsi="Times New Roman"/>
          <w:i/>
          <w:noProof/>
          <w:sz w:val="24"/>
        </w:rPr>
        <w:t>redovitih</w:t>
      </w:r>
      <w:r>
        <w:rPr>
          <w:rFonts w:ascii="Times New Roman" w:hAnsi="Times New Roman"/>
          <w:noProof/>
          <w:sz w:val="24"/>
        </w:rPr>
        <w:t xml:space="preserve"> (najmanje svake dvije godine) dijaloških posjeta državama članicama Eurostat pregledava podatke iz izvješća, istražuje metodološka pitanja, raspravlja o statističkim procesima i izvorima opisanima u evidenciji te procjenjuje usklađenost s relevantnim računovodstvenim pravilima (razgraničenje opće države, vrijeme bilježenja i klasifikacija transakcija i obveza države). </w:t>
      </w:r>
    </w:p>
    <w:p>
      <w:pPr>
        <w:spacing w:before="120" w:after="120" w:line="240" w:lineRule="auto"/>
        <w:ind w:left="850"/>
        <w:jc w:val="both"/>
        <w:rPr>
          <w:rFonts w:ascii="Times New Roman" w:hAnsi="Times New Roman"/>
          <w:noProof/>
          <w:sz w:val="24"/>
        </w:rPr>
      </w:pPr>
      <w:r>
        <w:rPr>
          <w:rFonts w:ascii="Times New Roman" w:hAnsi="Times New Roman"/>
          <w:i/>
          <w:noProof/>
          <w:sz w:val="24"/>
        </w:rPr>
        <w:t>Metodološki</w:t>
      </w:r>
      <w:r>
        <w:rPr>
          <w:rFonts w:ascii="Times New Roman" w:hAnsi="Times New Roman"/>
          <w:noProof/>
          <w:sz w:val="24"/>
        </w:rPr>
        <w:t xml:space="preserve"> posjeti održavaju se samo u posebnim slučajevima ako se sa sigurnošću utvrde znatan rizik ili problemi povezani s kvalitetom podataka.</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Mogu se organizirati i </w:t>
      </w:r>
      <w:r>
        <w:rPr>
          <w:rFonts w:ascii="Times New Roman" w:hAnsi="Times New Roman"/>
          <w:i/>
          <w:noProof/>
          <w:sz w:val="24"/>
        </w:rPr>
        <w:t>ad hoc</w:t>
      </w:r>
      <w:r>
        <w:rPr>
          <w:rFonts w:ascii="Times New Roman" w:hAnsi="Times New Roman"/>
          <w:noProof/>
          <w:sz w:val="24"/>
        </w:rPr>
        <w:t xml:space="preserve"> ili </w:t>
      </w:r>
      <w:r>
        <w:rPr>
          <w:rFonts w:ascii="Times New Roman" w:hAnsi="Times New Roman"/>
          <w:i/>
          <w:noProof/>
          <w:sz w:val="24"/>
        </w:rPr>
        <w:t>tehnički</w:t>
      </w:r>
      <w:r>
        <w:rPr>
          <w:rFonts w:ascii="Times New Roman" w:hAnsi="Times New Roman"/>
          <w:noProof/>
          <w:sz w:val="24"/>
        </w:rPr>
        <w:t xml:space="preserve"> posjeti ako Eurostat postavi određeno važno pitanje u pogledu države članice koje se može riješiti samo sastankom s predmetnim nadležnim tijelima.</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Eurostat je 2018. obavio dijaloški posjet u okviru EDP-a Nizozemskoj, Finskoj, Rumunjskoj, Njemačkoj, Poljskoj, Grčkoj (dvaput), Litvi, Malti, Bugarskoj, Belgiji, Hrvatskoj i Italiji. Obavljeni su i </w:t>
      </w:r>
      <w:r>
        <w:rPr>
          <w:rFonts w:ascii="Times New Roman" w:hAnsi="Times New Roman"/>
          <w:i/>
          <w:noProof/>
          <w:sz w:val="24"/>
        </w:rPr>
        <w:t>ad hoc</w:t>
      </w:r>
      <w:r>
        <w:rPr>
          <w:rFonts w:ascii="Times New Roman" w:hAnsi="Times New Roman"/>
          <w:noProof/>
          <w:sz w:val="24"/>
        </w:rPr>
        <w:t xml:space="preserve"> posjeti Francuskoj i Španjolskoj te jedan tehnički posjet Islandu, a nije bilo metodoloških posjeta.</w:t>
      </w:r>
    </w:p>
    <w:p>
      <w:pPr>
        <w:spacing w:before="120" w:after="120" w:line="240" w:lineRule="auto"/>
        <w:ind w:left="851"/>
        <w:jc w:val="both"/>
        <w:rPr>
          <w:rFonts w:ascii="Times New Roman" w:hAnsi="Times New Roman"/>
          <w:noProof/>
          <w:sz w:val="24"/>
        </w:rPr>
      </w:pPr>
      <w:r>
        <w:rPr>
          <w:rFonts w:ascii="Times New Roman" w:hAnsi="Times New Roman"/>
          <w:noProof/>
          <w:sz w:val="24"/>
        </w:rPr>
        <w:t xml:space="preserve">Završni nalazi svakog dijaloškog posjeta, uključujući opis dogovorenih mjera i trenutačno stanje u pogledu postavljenih pitanja, šalju se Gospodarskom i financijskom odboru te objavljuju na </w:t>
      </w:r>
      <w:r>
        <w:rPr>
          <w:rFonts w:ascii="Times New Roman" w:hAnsi="Times New Roman"/>
          <w:i/>
          <w:noProof/>
          <w:sz w:val="24"/>
        </w:rPr>
        <w:t>web</w:t>
      </w:r>
      <w:r>
        <w:rPr>
          <w:rFonts w:ascii="Times New Roman" w:hAnsi="Times New Roman"/>
          <w:noProof/>
          <w:sz w:val="24"/>
        </w:rPr>
        <w:t>-mjestu Eurostata</w:t>
      </w:r>
      <w:r>
        <w:rPr>
          <w:rFonts w:ascii="Times New Roman" w:hAnsi="Times New Roman" w:cs="Times New Roman"/>
          <w:noProof/>
          <w:sz w:val="24"/>
          <w:szCs w:val="24"/>
          <w:vertAlign w:val="superscript"/>
        </w:rPr>
        <w:footnoteReference w:id="14"/>
      </w:r>
      <w:r>
        <w:rPr>
          <w:rFonts w:ascii="Times New Roman" w:hAnsi="Times New Roman"/>
          <w:noProof/>
          <w:sz w:val="24"/>
        </w:rPr>
        <w:t>. Zahvaljujući dijaloškim posjetima i provedbi mjera s vremenom se znatno poboljšala kvaliteta podataka.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47" w:name="_Toc342558488"/>
      <w:bookmarkStart w:id="48" w:name="_Toc442173636"/>
      <w:bookmarkStart w:id="49" w:name="_Toc442869392"/>
      <w:bookmarkStart w:id="50" w:name="_Toc2863611"/>
      <w:r>
        <w:rPr>
          <w:rFonts w:ascii="Times New Roman" w:hAnsi="Times New Roman"/>
          <w:b/>
          <w:bCs/>
          <w:i/>
          <w:noProof/>
          <w:sz w:val="24"/>
        </w:rPr>
        <w:t>Posebni savjeti Eurostata</w:t>
      </w:r>
      <w:bookmarkEnd w:id="47"/>
      <w:bookmarkEnd w:id="48"/>
      <w:bookmarkEnd w:id="49"/>
      <w:bookmarkEnd w:id="50"/>
    </w:p>
    <w:p>
      <w:pPr>
        <w:spacing w:before="120" w:after="120" w:line="240" w:lineRule="auto"/>
        <w:ind w:left="850"/>
        <w:jc w:val="both"/>
        <w:rPr>
          <w:rFonts w:ascii="Times New Roman" w:hAnsi="Times New Roman"/>
          <w:noProof/>
          <w:sz w:val="24"/>
        </w:rPr>
      </w:pPr>
      <w:r>
        <w:rPr>
          <w:rFonts w:ascii="Times New Roman" w:hAnsi="Times New Roman"/>
          <w:noProof/>
          <w:sz w:val="24"/>
        </w:rPr>
        <w:t>Države članice redovito se obraćaju Eurostatu radi razjašnjenja nacionalnih računovodstvenih pitanja povezanih s prošlim ili budućim operacijama. Eurostat daje savjete u skladu s objavljenim smjernicama</w:t>
      </w:r>
      <w:r>
        <w:rPr>
          <w:rFonts w:ascii="Times New Roman" w:hAnsi="Times New Roman" w:cs="Times New Roman"/>
          <w:noProof/>
          <w:sz w:val="24"/>
          <w:szCs w:val="24"/>
          <w:vertAlign w:val="superscript"/>
        </w:rPr>
        <w:footnoteReference w:id="15"/>
      </w:r>
      <w:r>
        <w:rPr>
          <w:rFonts w:ascii="Times New Roman" w:hAnsi="Times New Roman"/>
          <w:noProof/>
          <w:sz w:val="24"/>
        </w:rPr>
        <w:t>. Radi transparentnosti Eurostat od srpnja 2016. sve svoje savjete</w:t>
      </w:r>
      <w:r>
        <w:rPr>
          <w:rFonts w:ascii="Times New Roman" w:hAnsi="Times New Roman" w:cs="Times New Roman"/>
          <w:noProof/>
          <w:sz w:val="24"/>
          <w:szCs w:val="24"/>
          <w:vertAlign w:val="superscript"/>
        </w:rPr>
        <w:footnoteReference w:id="16"/>
      </w:r>
      <w:r>
        <w:rPr>
          <w:rFonts w:ascii="Times New Roman" w:hAnsi="Times New Roman"/>
          <w:noProof/>
          <w:sz w:val="24"/>
        </w:rPr>
        <w:t xml:space="preserve"> objavljuje bez prethodnog traženja dopuštenja predmetne države članice, što je dotad bio ustaljen postupak. U 2018. objavio je 21 savjet.</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51" w:name="_Toc342558489"/>
      <w:bookmarkStart w:id="52" w:name="_Toc442173638"/>
      <w:bookmarkStart w:id="53" w:name="_Toc442869394"/>
      <w:bookmarkStart w:id="54" w:name="_Toc2863612"/>
      <w:r>
        <w:rPr>
          <w:rFonts w:ascii="Times New Roman" w:hAnsi="Times New Roman"/>
          <w:b/>
          <w:bCs/>
          <w:i/>
          <w:noProof/>
          <w:sz w:val="24"/>
        </w:rPr>
        <w:t>Nedavna metodološka pitanja</w:t>
      </w:r>
      <w:bookmarkEnd w:id="51"/>
      <w:bookmarkEnd w:id="52"/>
      <w:bookmarkEnd w:id="53"/>
      <w:bookmarkEnd w:id="54"/>
    </w:p>
    <w:p>
      <w:pPr>
        <w:spacing w:before="120" w:after="120" w:line="240" w:lineRule="auto"/>
        <w:ind w:left="851"/>
        <w:jc w:val="both"/>
        <w:rPr>
          <w:noProof/>
        </w:rPr>
      </w:pPr>
      <w:r>
        <w:rPr>
          <w:rFonts w:ascii="Times New Roman" w:hAnsi="Times New Roman"/>
          <w:noProof/>
          <w:sz w:val="24"/>
        </w:rPr>
        <w:t>Eurostat nadzire primjenu pravila ESA-e 2010. i metodoloških odluka analiziranjem podataka koje su države članice dostavile u tablicama u okviru EDP-a i „Upitniku u pogledu notifikacijskih tablica u okviru EDP-a” te raspravljanjem s nacionalnim tijelima nadležnima za statistiku tijekom dijaloških posjeta o postupku u slučaju prekomjernog deficita.</w:t>
      </w:r>
      <w:bookmarkStart w:id="55" w:name="_Toc474487300"/>
      <w:bookmarkStart w:id="56" w:name="_Toc498100906"/>
      <w:bookmarkStart w:id="57" w:name="_Toc342558490"/>
      <w:bookmarkStart w:id="58" w:name="_Toc442173639"/>
      <w:bookmarkStart w:id="59" w:name="_Toc442869395"/>
      <w:bookmarkStart w:id="60" w:name="_Ref66503600"/>
      <w:bookmarkStart w:id="61" w:name="_Ref66503620"/>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szCs w:val="24"/>
        </w:rPr>
        <w:t>Eurostat daje dodatne metodološke smjernice o računovodstvenim pravilima za EDP i statistici državnih financija, kojima se dopunjuju opća pravila ESA-e 2010. Eurostat je odgovoran za objavljivanje smjernica nakon savjetovanja s nacionalnim tijelima nadležnima za statistiku. Eurostat je odgovoran i za objavljivanje pojašnjenja računovodstvenih pravila za vrlo konkretna pitanja.</w:t>
      </w:r>
      <w:bookmarkEnd w:id="55"/>
      <w:bookmarkEnd w:id="56"/>
    </w:p>
    <w:p>
      <w:pPr>
        <w:spacing w:before="120" w:after="120" w:line="240" w:lineRule="auto"/>
        <w:ind w:left="851"/>
        <w:jc w:val="both"/>
        <w:rPr>
          <w:i/>
          <w:noProof/>
          <w:szCs w:val="24"/>
        </w:rPr>
      </w:pPr>
      <w:bookmarkStart w:id="62" w:name="_Toc474487301"/>
      <w:bookmarkStart w:id="63" w:name="_Toc498100907"/>
      <w:r>
        <w:rPr>
          <w:rFonts w:ascii="Times New Roman" w:hAnsi="Times New Roman"/>
          <w:noProof/>
          <w:sz w:val="24"/>
          <w:szCs w:val="24"/>
        </w:rPr>
        <w:t>Eurostat je 8. svibnja 2018. objavio vodič</w:t>
      </w:r>
      <w:r>
        <w:rPr>
          <w:rFonts w:ascii="Times New Roman" w:hAnsi="Times New Roman" w:cs="Times New Roman"/>
          <w:noProof/>
          <w:sz w:val="24"/>
          <w:szCs w:val="24"/>
          <w:vertAlign w:val="superscript"/>
        </w:rPr>
        <w:footnoteReference w:id="17"/>
      </w:r>
      <w:r>
        <w:rPr>
          <w:rFonts w:ascii="Times New Roman" w:hAnsi="Times New Roman"/>
          <w:noProof/>
          <w:sz w:val="24"/>
          <w:szCs w:val="24"/>
        </w:rPr>
        <w:t xml:space="preserve"> o statističkoj obradi ugovora o energetskoj učinkovitosti.</w:t>
      </w:r>
      <w:bookmarkEnd w:id="62"/>
      <w:bookmarkEnd w:id="63"/>
    </w:p>
    <w:p>
      <w:pPr>
        <w:spacing w:before="120" w:after="120" w:line="240" w:lineRule="auto"/>
        <w:ind w:left="851"/>
        <w:jc w:val="both"/>
        <w:rPr>
          <w:rFonts w:ascii="Times New Roman" w:hAnsi="Times New Roman" w:cs="Times New Roman"/>
          <w:noProof/>
          <w:sz w:val="24"/>
        </w:rPr>
      </w:pPr>
      <w:bookmarkStart w:id="64" w:name="_Toc474487302"/>
      <w:r>
        <w:rPr>
          <w:rFonts w:ascii="Times New Roman" w:hAnsi="Times New Roman"/>
          <w:noProof/>
          <w:sz w:val="24"/>
        </w:rPr>
        <w:t>Pitanja koja nisu u dovoljnoj mjeri obrađena u postojećim priručnicima i smjernicama dodatno su analizirana te se o njima raspravljalo u tehničkim radnim skupinama i radnim skupinama.</w:t>
      </w:r>
    </w:p>
    <w:p>
      <w:pPr>
        <w:spacing w:before="120" w:after="120" w:line="240" w:lineRule="auto"/>
        <w:ind w:left="851"/>
        <w:jc w:val="both"/>
        <w:rPr>
          <w:rFonts w:ascii="Times New Roman" w:hAnsi="Times New Roman" w:cs="Times New Roman"/>
          <w:noProof/>
          <w:sz w:val="24"/>
          <w:szCs w:val="24"/>
        </w:rPr>
      </w:pPr>
      <w:bookmarkStart w:id="65" w:name="_Toc498100908"/>
      <w:r>
        <w:rPr>
          <w:rFonts w:ascii="Times New Roman" w:hAnsi="Times New Roman"/>
          <w:noProof/>
          <w:sz w:val="24"/>
          <w:szCs w:val="24"/>
        </w:rPr>
        <w:t>Osim dva redovita sastanka radne skupine za statističke podatke o EDP-u, Eurostat je organizirao tri sastanka radne skupine (dva o metodološkim pitanjima EDP-a i jedan o statistici državnih financija).</w:t>
      </w:r>
      <w:bookmarkEnd w:id="65"/>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Na temelju zaključaka Vijeća ECOFIN iz studenoga 2017. Eurostat je na temelju godine dana iskustva analizirao učinkovitost novih „Postupaka za razvoj i provedbu metodologije na kojoj se temelje podaci iz EDP-a”</w:t>
      </w:r>
      <w:r>
        <w:rPr>
          <w:rFonts w:ascii="Times New Roman" w:hAnsi="Times New Roman" w:cs="Times New Roman"/>
          <w:noProof/>
          <w:sz w:val="24"/>
          <w:vertAlign w:val="superscript"/>
          <w:lang w:eastAsia="en-GB"/>
        </w:rPr>
        <w:footnoteReference w:id="18"/>
      </w:r>
      <w:r>
        <w:rPr>
          <w:rFonts w:ascii="Times New Roman" w:hAnsi="Times New Roman"/>
          <w:noProof/>
          <w:sz w:val="24"/>
        </w:rPr>
        <w:t>, pri čemu je naglasak stavio na njihovu primjenu za izradu različitih vrsta metodoloških smjernica kojima se tumači i dopunjuje ESA 2010. U zaključcima Vijeća ECOFIN iz studenoga 2018. o statističkim podacima EU-a</w:t>
      </w:r>
      <w:r>
        <w:rPr>
          <w:rStyle w:val="FootnoteReference"/>
          <w:rFonts w:ascii="Times New Roman" w:hAnsi="Times New Roman" w:cs="Times New Roman"/>
          <w:noProof/>
          <w:sz w:val="24"/>
          <w:lang w:eastAsia="en-GB"/>
        </w:rPr>
        <w:footnoteReference w:id="19"/>
      </w:r>
      <w:r>
        <w:rPr>
          <w:rFonts w:ascii="Times New Roman" w:hAnsi="Times New Roman"/>
          <w:noProof/>
          <w:sz w:val="24"/>
        </w:rPr>
        <w:t xml:space="preserve"> naglašeno je da je Vijeće pozdravilo napredak u uvođenju metodoloških promjena na strukturiran i uredan način te nove postupke u vezi s novim smjernicama. Eurostat će i dalje surađivati s državama članicama kako bi se nadopunili i razjasnili postojeći postupci u vezi s podacima iz postupka u slučaju prekomjernog deficita radi njihove učinkovite primjene.</w:t>
      </w:r>
    </w:p>
    <w:p>
      <w:pPr>
        <w:spacing w:before="120" w:after="120" w:line="240" w:lineRule="auto"/>
        <w:ind w:left="851"/>
        <w:jc w:val="both"/>
        <w:rPr>
          <w:rFonts w:ascii="Times New Roman" w:hAnsi="Times New Roman" w:cs="Times New Roman"/>
          <w:noProof/>
          <w:sz w:val="24"/>
        </w:rPr>
      </w:pPr>
      <w:r>
        <w:rPr>
          <w:rFonts w:ascii="Times New Roman" w:hAnsi="Times New Roman"/>
          <w:noProof/>
          <w:sz w:val="24"/>
        </w:rPr>
        <w:t>Komisija je 22. veljače 2017. donijela izvješće</w:t>
      </w:r>
      <w:r>
        <w:rPr>
          <w:rStyle w:val="FootnoteReference"/>
          <w:rFonts w:ascii="Times New Roman" w:hAnsi="Times New Roman" w:cs="Times New Roman"/>
          <w:noProof/>
          <w:sz w:val="24"/>
          <w:lang w:eastAsia="en-GB"/>
        </w:rPr>
        <w:footnoteReference w:id="20"/>
      </w:r>
      <w:r>
        <w:rPr>
          <w:rFonts w:ascii="Times New Roman" w:hAnsi="Times New Roman"/>
          <w:noProof/>
          <w:sz w:val="24"/>
        </w:rPr>
        <w:t xml:space="preserve"> o istrazi povezanoj s manipuliranjem statističkim podacima u Austriji kako je navedeno u Uredbi (EU) br. 1173/2011</w:t>
      </w:r>
      <w:r>
        <w:rPr>
          <w:rStyle w:val="FootnoteReference"/>
          <w:rFonts w:ascii="Times New Roman" w:hAnsi="Times New Roman" w:cs="Times New Roman"/>
          <w:noProof/>
          <w:sz w:val="24"/>
          <w:lang w:eastAsia="en-GB"/>
        </w:rPr>
        <w:footnoteReference w:id="21"/>
      </w:r>
      <w:r>
        <w:rPr>
          <w:rFonts w:ascii="Times New Roman" w:hAnsi="Times New Roman"/>
          <w:noProof/>
          <w:sz w:val="24"/>
        </w:rPr>
        <w:t xml:space="preserve"> i preporuku</w:t>
      </w:r>
      <w:r>
        <w:rPr>
          <w:rStyle w:val="FootnoteReference"/>
          <w:rFonts w:ascii="Times New Roman" w:hAnsi="Times New Roman" w:cs="Times New Roman"/>
          <w:noProof/>
          <w:sz w:val="24"/>
          <w:lang w:eastAsia="en-GB"/>
        </w:rPr>
        <w:footnoteReference w:id="22"/>
      </w:r>
      <w:r>
        <w:rPr>
          <w:rFonts w:ascii="Times New Roman" w:hAnsi="Times New Roman"/>
          <w:noProof/>
          <w:sz w:val="24"/>
        </w:rPr>
        <w:t xml:space="preserve"> za Provedbenu odluku Vijeća o izricanju novčane kazne Austriji zbog manipuliranja podacima o dugu u pokrajini Salzburg. Vijeće je u skladu s člankom 8. stavkom 1. te uredbe 28. svibnja 2018. donijelo tu provedbenu odluku</w:t>
      </w:r>
      <w:r>
        <w:rPr>
          <w:rStyle w:val="FootnoteReference"/>
          <w:rFonts w:ascii="Times New Roman" w:hAnsi="Times New Roman" w:cs="Times New Roman"/>
          <w:noProof/>
          <w:sz w:val="24"/>
          <w:lang w:eastAsia="en-GB"/>
        </w:rPr>
        <w:footnoteReference w:id="23"/>
      </w:r>
      <w:r>
        <w:rPr>
          <w:rFonts w:ascii="Times New Roman" w:hAnsi="Times New Roman"/>
          <w:noProof/>
          <w:sz w:val="24"/>
        </w:rPr>
        <w:t xml:space="preserve"> i Austriji odredilo novčanu kaznu u iznosu od 26,82 milijuna EUR zbog pogrešnog prikazivanja podataka o državnom dugu zbog krajnje nepažnje triju državnih tijela.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66" w:name="_Toc2863613"/>
      <w:bookmarkEnd w:id="64"/>
      <w:r>
        <w:rPr>
          <w:rFonts w:ascii="Times New Roman" w:hAnsi="Times New Roman"/>
          <w:b/>
          <w:bCs/>
          <w:i/>
          <w:noProof/>
          <w:sz w:val="24"/>
        </w:rPr>
        <w:t>Usklađenost s temeljnim računima države</w:t>
      </w:r>
      <w:bookmarkEnd w:id="57"/>
      <w:bookmarkEnd w:id="58"/>
      <w:bookmarkEnd w:id="59"/>
      <w:bookmarkEnd w:id="66"/>
    </w:p>
    <w:p>
      <w:pPr>
        <w:spacing w:before="120" w:after="120" w:line="240" w:lineRule="auto"/>
        <w:ind w:left="850"/>
        <w:jc w:val="both"/>
        <w:rPr>
          <w:rFonts w:ascii="Times New Roman" w:hAnsi="Times New Roman"/>
          <w:noProof/>
          <w:sz w:val="24"/>
        </w:rPr>
      </w:pPr>
      <w:r>
        <w:rPr>
          <w:rFonts w:ascii="Times New Roman" w:hAnsi="Times New Roman"/>
          <w:noProof/>
          <w:sz w:val="24"/>
        </w:rPr>
        <w:t>Rokovi za dostavljanje obavijesti 1. travnja i 1. listopada na temelju Uredbe (EZ) br. 479/2009 uvedeni su da bi se osigurala usklađenost s temeljnim godišnjim i tromjesečnim računima državnog sektora, o kojima se podnose izvješća Eurostatu u raznim ESA-inim tablicama za dostavu podataka. Konkretno, ukupni državni rashodi i prihodi trebali bi biti usklađeni s dostavljenim podacima o višku/deficitu koji se odnosi na postupak u slučaju prekomjernog deficita.</w:t>
      </w:r>
    </w:p>
    <w:p>
      <w:pPr>
        <w:spacing w:before="120" w:after="120" w:line="240" w:lineRule="auto"/>
        <w:ind w:left="850"/>
        <w:jc w:val="both"/>
        <w:rPr>
          <w:rFonts w:ascii="Times New Roman" w:hAnsi="Times New Roman"/>
          <w:noProof/>
          <w:sz w:val="24"/>
        </w:rPr>
      </w:pPr>
      <w:r>
        <w:rPr>
          <w:rFonts w:ascii="Times New Roman" w:hAnsi="Times New Roman"/>
          <w:noProof/>
          <w:sz w:val="24"/>
        </w:rPr>
        <w:t>Podaci koji se odnose na EDP uglavnom su bili usklađeni s računima države podnesenima u skladu s ESA-om 2010., no postoje neka pitanja u pogledu bilanci za financijsku aktivu i pasivu (stanja) te tromjesečnih financijskih računa opće države (ESA-ina tablica 27.). I dalje su potrebni dodatni napori nekih država članica kako bi se poboljšala usklađenost notifikacijskih tablica 3. u okviru EDP-a s ESA-inom tablicom 27.</w:t>
      </w:r>
    </w:p>
    <w:p>
      <w:pPr>
        <w:spacing w:before="120" w:after="120" w:line="240" w:lineRule="auto"/>
        <w:ind w:left="850"/>
        <w:jc w:val="both"/>
        <w:rPr>
          <w:rFonts w:ascii="Times New Roman" w:hAnsi="Times New Roman"/>
          <w:noProof/>
          <w:sz w:val="24"/>
        </w:rPr>
      </w:pPr>
      <w:r>
        <w:rPr>
          <w:rFonts w:ascii="Times New Roman" w:hAnsi="Times New Roman"/>
          <w:noProof/>
          <w:sz w:val="24"/>
        </w:rPr>
        <w:t>Postoje znatne nedosljednosti u pogledu neto financijskih transakcija za više godina za Grčku jer financijski računi o kojima je izvijestila grčka središnja banka nisu usklađeni s podacima koji se odnose na EDP koje je dostavio ELSTAT. Grčka središnja banka nije slijedila smjernice Eurostata o računovodstvenom sustavu ESA 2010. u pogledu niza pitanja. Eurostat je u listopadu 2015. odlučio da neće objaviti ESA-inu tablicu 27. za Grčku dok se ta pitanja ne riješe.</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Za Francusku su uočljive nedosljednosti u knjiženju drugih računa potraživanja za središnju državu i fondove socijalne sigurnosti u 2017. </w:t>
      </w:r>
    </w:p>
    <w:p>
      <w:pPr>
        <w:spacing w:before="120" w:after="120" w:line="240" w:lineRule="auto"/>
        <w:ind w:left="850"/>
        <w:jc w:val="both"/>
        <w:rPr>
          <w:rFonts w:ascii="Times New Roman" w:hAnsi="Times New Roman"/>
          <w:noProof/>
          <w:sz w:val="24"/>
        </w:rPr>
      </w:pPr>
      <w:r>
        <w:rPr>
          <w:rFonts w:ascii="Times New Roman" w:hAnsi="Times New Roman"/>
          <w:noProof/>
          <w:sz w:val="24"/>
        </w:rPr>
        <w:t>Izvješćivanje o statističkoj razlici za Njemačku, Portugal (2014.–2017.) i Španjolsku (2014.–2016.) u tablicama obavijesti iz listopada 2018. odstupa od konvencije za ESA-inu tablicu 27., što dovodi do znatnih razlika za sve godine.</w:t>
      </w:r>
    </w:p>
    <w:p>
      <w:pPr>
        <w:spacing w:before="120" w:after="120" w:line="240" w:lineRule="auto"/>
        <w:ind w:left="850"/>
        <w:jc w:val="both"/>
        <w:rPr>
          <w:rFonts w:ascii="Times New Roman" w:hAnsi="Times New Roman"/>
          <w:noProof/>
          <w:sz w:val="24"/>
        </w:rPr>
      </w:pPr>
      <w:r>
        <w:rPr>
          <w:rFonts w:ascii="Times New Roman" w:hAnsi="Times New Roman"/>
          <w:noProof/>
          <w:sz w:val="24"/>
        </w:rPr>
        <w:t>Podaci o višku/deficitu, bruto investicijama u fiksni kapital i rashodima za kamate koje su dostavile države članice u potpunosti su usklađeni s godišnjim i tromjesečnim podacima o državnim rashodima i prihodima (ESA-ine tablice 2. i 25.). Podaci o godišnjem dugu i tromjesečnom državnom dugu (ESA-ina tablica 28.) također su bili u potpunosti usklađeni za sve države članice.</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rPr>
      </w:pPr>
      <w:bookmarkStart w:id="67" w:name="_Toc342558491"/>
      <w:bookmarkStart w:id="68" w:name="_Toc442173640"/>
      <w:bookmarkStart w:id="69" w:name="_Toc442869396"/>
      <w:bookmarkStart w:id="70" w:name="_Toc2863614"/>
      <w:bookmarkEnd w:id="60"/>
      <w:bookmarkEnd w:id="61"/>
      <w:r>
        <w:rPr>
          <w:rFonts w:ascii="Times New Roman" w:hAnsi="Times New Roman"/>
          <w:b/>
          <w:bCs/>
          <w:noProof/>
          <w:sz w:val="24"/>
          <w:szCs w:val="26"/>
        </w:rPr>
        <w:t>Objava</w:t>
      </w:r>
      <w:bookmarkEnd w:id="67"/>
      <w:bookmarkEnd w:id="68"/>
      <w:bookmarkEnd w:id="69"/>
      <w:bookmarkEnd w:id="70"/>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71" w:name="_Toc342558492"/>
      <w:bookmarkStart w:id="72" w:name="_Toc442173641"/>
      <w:bookmarkStart w:id="73" w:name="_Toc442869397"/>
      <w:bookmarkStart w:id="74" w:name="_Toc2863615"/>
      <w:r>
        <w:rPr>
          <w:rFonts w:ascii="Times New Roman" w:hAnsi="Times New Roman"/>
          <w:b/>
          <w:bCs/>
          <w:i/>
          <w:noProof/>
          <w:sz w:val="24"/>
        </w:rPr>
        <w:t>Objava glavnih podataka i detaljnih tablica izvješća</w:t>
      </w:r>
      <w:bookmarkEnd w:id="71"/>
      <w:bookmarkEnd w:id="72"/>
      <w:bookmarkEnd w:id="73"/>
      <w:bookmarkEnd w:id="74"/>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Na temelju članka 14. stavka 1. Uredbe (EZ) br. 479/2009 </w:t>
      </w:r>
      <w:r>
        <w:rPr>
          <w:rFonts w:ascii="Times New Roman" w:hAnsi="Times New Roman"/>
          <w:i/>
          <w:noProof/>
          <w:sz w:val="24"/>
        </w:rPr>
        <w:t>„Komisija (Eurostat) daje podatke o stvarnom deficitu državnog proračuna i dugu za primjenu Protokola o postupku u slučaju prekomjernog deficita, u roku od tri tjedna nakon isteka roka za dostavljanje podataka […]. Navedeno pružanje podataka izvršava se putem objave.”</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Eurostat je objavio podatke o državnom deficitu i dugu na svojem </w:t>
      </w:r>
      <w:r>
        <w:rPr>
          <w:rFonts w:ascii="Times New Roman" w:hAnsi="Times New Roman"/>
          <w:i/>
          <w:noProof/>
          <w:sz w:val="24"/>
        </w:rPr>
        <w:t>web</w:t>
      </w:r>
      <w:r>
        <w:rPr>
          <w:rFonts w:ascii="Times New Roman" w:hAnsi="Times New Roman"/>
          <w:noProof/>
          <w:sz w:val="24"/>
        </w:rPr>
        <w:t>-mjestu 23. travnja</w:t>
      </w:r>
      <w:r>
        <w:rPr>
          <w:rFonts w:ascii="Times New Roman" w:hAnsi="Times New Roman" w:cs="Times New Roman"/>
          <w:noProof/>
          <w:sz w:val="24"/>
          <w:szCs w:val="24"/>
          <w:vertAlign w:val="superscript"/>
        </w:rPr>
        <w:footnoteReference w:id="24"/>
      </w:r>
      <w:r>
        <w:rPr>
          <w:rFonts w:ascii="Times New Roman" w:hAnsi="Times New Roman"/>
          <w:noProof/>
          <w:sz w:val="24"/>
          <w:szCs w:val="24"/>
        </w:rPr>
        <w:t xml:space="preserve"> i 22. listopada</w:t>
      </w:r>
      <w:r>
        <w:rPr>
          <w:rFonts w:ascii="Times New Roman" w:hAnsi="Times New Roman" w:cs="Times New Roman"/>
          <w:noProof/>
          <w:sz w:val="24"/>
          <w:szCs w:val="24"/>
          <w:vertAlign w:val="superscript"/>
        </w:rPr>
        <w:footnoteReference w:id="25"/>
      </w:r>
      <w:r>
        <w:rPr>
          <w:rFonts w:ascii="Times New Roman" w:hAnsi="Times New Roman"/>
          <w:noProof/>
          <w:sz w:val="24"/>
        </w:rPr>
        <w:t xml:space="preserve"> sa svim konačnim tablicama izvješća</w:t>
      </w:r>
      <w:r>
        <w:rPr>
          <w:rFonts w:ascii="Times New Roman" w:hAnsi="Times New Roman" w:cs="Times New Roman"/>
          <w:noProof/>
          <w:sz w:val="24"/>
          <w:szCs w:val="24"/>
          <w:vertAlign w:val="superscript"/>
        </w:rPr>
        <w:footnoteReference w:id="26"/>
      </w:r>
      <w:r>
        <w:rPr>
          <w:rFonts w:ascii="Times New Roman" w:hAnsi="Times New Roman"/>
          <w:noProof/>
          <w:sz w:val="24"/>
        </w:rPr>
        <w:t xml:space="preserve"> koje su dostavile države članice i napomenama o sljedećem:</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prilagodba stanja i tokova;</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državne intervencije za potporu financijskim institucijama;</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 xml:space="preserve">stanje obveza po komercijalnim kreditima i predujmovima te </w:t>
      </w:r>
    </w:p>
    <w:p>
      <w:pPr>
        <w:numPr>
          <w:ilvl w:val="0"/>
          <w:numId w:val="3"/>
        </w:numPr>
        <w:tabs>
          <w:tab w:val="left" w:pos="1701"/>
        </w:tabs>
        <w:spacing w:before="120" w:after="120" w:line="240" w:lineRule="auto"/>
        <w:ind w:left="1701" w:hanging="431"/>
        <w:jc w:val="both"/>
        <w:rPr>
          <w:rFonts w:ascii="Times New Roman" w:hAnsi="Times New Roman"/>
          <w:noProof/>
          <w:sz w:val="24"/>
        </w:rPr>
      </w:pPr>
      <w:r>
        <w:rPr>
          <w:rFonts w:ascii="Times New Roman" w:hAnsi="Times New Roman"/>
          <w:noProof/>
          <w:sz w:val="24"/>
        </w:rPr>
        <w:t xml:space="preserve">revizije državnog viška/deficita i duga. </w:t>
      </w:r>
    </w:p>
    <w:p>
      <w:pPr>
        <w:spacing w:before="120" w:after="120" w:line="240" w:lineRule="auto"/>
        <w:ind w:left="850"/>
        <w:jc w:val="both"/>
        <w:rPr>
          <w:rFonts w:ascii="Times New Roman" w:hAnsi="Times New Roman"/>
          <w:noProof/>
          <w:sz w:val="24"/>
        </w:rPr>
      </w:pPr>
      <w:r>
        <w:rPr>
          <w:rFonts w:ascii="Times New Roman" w:hAnsi="Times New Roman"/>
          <w:noProof/>
          <w:sz w:val="24"/>
        </w:rPr>
        <w:t>Objavio je i priopćenje za javnost o tromjesečnom dugu po Ugovoru iz Maastrichta nakon otprilike t+115</w:t>
      </w:r>
      <w:r>
        <w:rPr>
          <w:rFonts w:ascii="Times New Roman" w:hAnsi="Times New Roman" w:cs="Times New Roman"/>
          <w:noProof/>
          <w:sz w:val="24"/>
          <w:vertAlign w:val="superscript"/>
        </w:rPr>
        <w:footnoteReference w:id="27"/>
      </w:r>
      <w:r>
        <w:rPr>
          <w:rFonts w:ascii="Times New Roman" w:hAnsi="Times New Roman"/>
          <w:noProof/>
          <w:sz w:val="24"/>
        </w:rPr>
        <w:t xml:space="preserve"> dana te priopćenje za javnost o tromjesečnom deficitu opće države.</w:t>
      </w:r>
    </w:p>
    <w:p>
      <w:pPr>
        <w:spacing w:before="120" w:after="120" w:line="240" w:lineRule="auto"/>
        <w:ind w:left="850"/>
        <w:jc w:val="both"/>
        <w:rPr>
          <w:rFonts w:ascii="Times New Roman" w:hAnsi="Times New Roman"/>
          <w:noProof/>
          <w:sz w:val="24"/>
        </w:rPr>
      </w:pPr>
      <w:r>
        <w:rPr>
          <w:rFonts w:ascii="Times New Roman" w:hAnsi="Times New Roman"/>
          <w:noProof/>
          <w:sz w:val="24"/>
        </w:rPr>
        <w:t>Prema Uredbi (EZ) br. 479/2009 države članice moraju objaviti stvarne podatke o deficitu i dugu. Sve države članice objavljuju iznose deficita i duga na nacionalnoj razini. Većina je izvijestila Eurostat da objavljuju sve notifikacijske tablice u okviru EDP-a. Pet država članica (Bugarska, Italija, Luksemburg, Poljska i Slovačka) objavilo je samo neke notifikacijske tablice u okviru EDP-a. Francuska je podatke o deficitu i dugu na nacionalnoj razini objavila u obliku koji se razlikuje od notifikacijskih tablica u okviru EDP-a.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75" w:name="_Toc342558493"/>
      <w:bookmarkStart w:id="76" w:name="_Toc442173642"/>
      <w:bookmarkStart w:id="77" w:name="_Toc442869398"/>
      <w:bookmarkStart w:id="78" w:name="_Toc2863616"/>
      <w:r>
        <w:rPr>
          <w:rFonts w:ascii="Times New Roman" w:hAnsi="Times New Roman"/>
          <w:b/>
          <w:bCs/>
          <w:i/>
          <w:noProof/>
          <w:sz w:val="24"/>
        </w:rPr>
        <w:t>Zadrške u pogledu kvalitete podataka</w:t>
      </w:r>
      <w:bookmarkEnd w:id="75"/>
      <w:bookmarkEnd w:id="76"/>
      <w:bookmarkEnd w:id="77"/>
      <w:bookmarkEnd w:id="78"/>
    </w:p>
    <w:p>
      <w:pPr>
        <w:spacing w:before="120" w:after="120" w:line="240" w:lineRule="auto"/>
        <w:ind w:left="850"/>
        <w:jc w:val="both"/>
        <w:rPr>
          <w:rFonts w:ascii="Times New Roman" w:hAnsi="Times New Roman"/>
          <w:i/>
          <w:noProof/>
          <w:sz w:val="24"/>
        </w:rPr>
      </w:pPr>
      <w:r>
        <w:rPr>
          <w:rFonts w:ascii="Times New Roman" w:hAnsi="Times New Roman"/>
          <w:i/>
          <w:noProof/>
          <w:sz w:val="24"/>
        </w:rPr>
        <w:t>Travanj 2018.</w:t>
      </w: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Eurostat je zadržao zadršku u pogledu kvalitete podataka koje su dostavile Mađarska i Francuska. Zadržana je zadrška u odnosu na kvalitetu podataka koje je Mađarska dostavila o sektorskoj klasifikaciji zaklada koje je osnovala mađarska središnja banka, a povučena je zadrška zbog sektorske klasifikacije banke Eximbank. Zadrška u pogledu kvalitete podataka koje je prijavila Francuska izmijenjena je u odnosu na priopćenje za javnost iz listopada 2017. kad je riječ o sektorskoj klasifikaciji agencije Agence Française de Développement i dokapitalizaciji društva AREVA.  </w:t>
      </w:r>
    </w:p>
    <w:p>
      <w:pPr>
        <w:spacing w:before="120" w:after="120" w:line="240" w:lineRule="auto"/>
        <w:ind w:left="850"/>
        <w:jc w:val="both"/>
        <w:rPr>
          <w:rFonts w:ascii="Times New Roman" w:hAnsi="Times New Roman"/>
          <w:noProof/>
          <w:sz w:val="24"/>
        </w:rPr>
      </w:pPr>
      <w:r>
        <w:rPr>
          <w:rFonts w:ascii="Times New Roman" w:hAnsi="Times New Roman"/>
          <w:noProof/>
          <w:sz w:val="24"/>
        </w:rPr>
        <w:t>Eurostat je povukao zadršku u pogledu kvalitete podataka koje je Belgija dostavila o sektorskoj klasifikaciji bolnica, u očekivanju rezultata tekućeg savjetovanja o tom pitanju na razini EU-a.</w:t>
      </w:r>
    </w:p>
    <w:p>
      <w:pPr>
        <w:spacing w:before="120" w:after="120" w:line="240" w:lineRule="auto"/>
        <w:ind w:left="850"/>
        <w:jc w:val="both"/>
        <w:rPr>
          <w:rFonts w:ascii="Times New Roman" w:hAnsi="Times New Roman"/>
          <w:i/>
          <w:noProof/>
          <w:sz w:val="24"/>
        </w:rPr>
      </w:pPr>
      <w:r>
        <w:rPr>
          <w:rFonts w:ascii="Times New Roman" w:hAnsi="Times New Roman"/>
          <w:i/>
          <w:noProof/>
          <w:sz w:val="24"/>
        </w:rPr>
        <w:t>listopad 2018.</w:t>
      </w:r>
    </w:p>
    <w:p>
      <w:pPr>
        <w:spacing w:before="120" w:after="120" w:line="240" w:lineRule="auto"/>
        <w:ind w:left="850"/>
        <w:jc w:val="both"/>
        <w:rPr>
          <w:rFonts w:ascii="Times New Roman" w:hAnsi="Times New Roman"/>
          <w:noProof/>
          <w:sz w:val="24"/>
        </w:rPr>
      </w:pPr>
      <w:r>
        <w:rPr>
          <w:rFonts w:ascii="Times New Roman" w:hAnsi="Times New Roman"/>
          <w:noProof/>
          <w:sz w:val="24"/>
        </w:rPr>
        <w:t>Eurostat je zadržao zadršku u pogledu kvalitete podataka koje je Mađarska dostavila o sektorskoj klasifikaciji zaklada koje je osnovala mađarska središnja banka.</w:t>
      </w:r>
    </w:p>
    <w:p>
      <w:pPr>
        <w:spacing w:before="120" w:after="120" w:line="240" w:lineRule="auto"/>
        <w:ind w:left="850"/>
        <w:jc w:val="both"/>
        <w:rPr>
          <w:rFonts w:ascii="Times New Roman" w:hAnsi="Times New Roman"/>
          <w:noProof/>
          <w:sz w:val="24"/>
        </w:rPr>
      </w:pPr>
      <w:r>
        <w:rPr>
          <w:rFonts w:ascii="Times New Roman" w:hAnsi="Times New Roman"/>
          <w:noProof/>
          <w:sz w:val="24"/>
        </w:rPr>
        <w:t>Eurostat je povukao zadršku u pogledu kvalitete podataka koje je Francuska dostavila o sektorskoj klasifikaciji Agence Française de Développement i o postupanju s dokapitalizacijom društva AREVA.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79" w:name="_Toc342558494"/>
      <w:bookmarkStart w:id="80" w:name="_Toc442173643"/>
      <w:bookmarkStart w:id="81" w:name="_Toc442869399"/>
      <w:bookmarkStart w:id="82" w:name="_Toc2863617"/>
      <w:r>
        <w:rPr>
          <w:rFonts w:ascii="Times New Roman" w:hAnsi="Times New Roman"/>
          <w:b/>
          <w:bCs/>
          <w:i/>
          <w:noProof/>
          <w:sz w:val="24"/>
        </w:rPr>
        <w:t>Izmjene dostavljenih podataka</w:t>
      </w:r>
      <w:bookmarkEnd w:id="79"/>
      <w:bookmarkEnd w:id="80"/>
      <w:bookmarkEnd w:id="81"/>
      <w:bookmarkEnd w:id="82"/>
    </w:p>
    <w:p>
      <w:pPr>
        <w:spacing w:before="120" w:after="120" w:line="240" w:lineRule="auto"/>
        <w:ind w:left="850"/>
        <w:jc w:val="both"/>
        <w:rPr>
          <w:rFonts w:ascii="Times New Roman" w:hAnsi="Times New Roman"/>
          <w:noProof/>
          <w:sz w:val="24"/>
        </w:rPr>
      </w:pPr>
      <w:r>
        <w:rPr>
          <w:rFonts w:ascii="Times New Roman" w:hAnsi="Times New Roman"/>
          <w:noProof/>
          <w:sz w:val="24"/>
        </w:rPr>
        <w:t>Eurostat nije izmijenio podatke koje su države članice dostavile u obavijestima koje se odnose na EDP iz travnja i listopada 2018.</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rPr>
      </w:pPr>
      <w:bookmarkStart w:id="83" w:name="_Toc442173644"/>
      <w:bookmarkStart w:id="84" w:name="_Toc342558495"/>
      <w:bookmarkStart w:id="85" w:name="_Toc442869400"/>
      <w:bookmarkStart w:id="86" w:name="_Toc2863618"/>
      <w:r>
        <w:rPr>
          <w:rFonts w:ascii="Times New Roman" w:hAnsi="Times New Roman"/>
          <w:b/>
          <w:bCs/>
          <w:i/>
          <w:noProof/>
          <w:sz w:val="24"/>
        </w:rPr>
        <w:t>Objava metapodataka (evidencije)</w:t>
      </w:r>
      <w:r>
        <w:rPr>
          <w:rFonts w:ascii="Times New Roman" w:eastAsia="Times New Roman" w:hAnsi="Times New Roman" w:cs="Times New Roman"/>
          <w:b/>
          <w:bCs/>
          <w:i/>
          <w:noProof/>
          <w:sz w:val="24"/>
          <w:vertAlign w:val="superscript"/>
          <w:lang w:eastAsia="en-GB"/>
        </w:rPr>
        <w:footnoteReference w:id="28"/>
      </w:r>
      <w:bookmarkEnd w:id="83"/>
      <w:bookmarkEnd w:id="84"/>
      <w:bookmarkEnd w:id="85"/>
      <w:bookmarkEnd w:id="86"/>
    </w:p>
    <w:p>
      <w:pPr>
        <w:spacing w:before="120" w:after="120" w:line="240" w:lineRule="auto"/>
        <w:ind w:left="850"/>
        <w:jc w:val="both"/>
        <w:rPr>
          <w:rFonts w:ascii="Times New Roman" w:hAnsi="Times New Roman"/>
          <w:noProof/>
          <w:sz w:val="24"/>
        </w:rPr>
      </w:pPr>
      <w:r>
        <w:rPr>
          <w:rFonts w:ascii="Times New Roman" w:hAnsi="Times New Roman"/>
          <w:noProof/>
          <w:sz w:val="24"/>
        </w:rPr>
        <w:t>U Uredbi (EZ) br. 479/2009 navodi se da su evidencije o EDP-u dio statističkih podataka koje države članice moraju dostaviti. Uredbom se nalaže i nacionalna objava evidencija.</w:t>
      </w:r>
    </w:p>
    <w:p>
      <w:pPr>
        <w:spacing w:before="120" w:after="120" w:line="240" w:lineRule="auto"/>
        <w:ind w:left="850"/>
        <w:jc w:val="both"/>
        <w:rPr>
          <w:rFonts w:ascii="Times New Roman" w:eastAsia="Times New Roman" w:hAnsi="Times New Roman"/>
          <w:b/>
          <w:bCs/>
          <w:smallCaps/>
          <w:noProof/>
          <w:sz w:val="24"/>
          <w:szCs w:val="28"/>
        </w:rPr>
      </w:pPr>
      <w:r>
        <w:rPr>
          <w:rFonts w:ascii="Times New Roman" w:hAnsi="Times New Roman"/>
          <w:noProof/>
          <w:sz w:val="24"/>
        </w:rPr>
        <w:t xml:space="preserve">U 2014. poboljšan je format evidencija o EDP-u (promjene strukture i razine detaljnosti) te je s državama članicama postignut dogovor o novom predlošku za evidenciju za ESA-u 2010. Eurostat je do kraja 2018. objavio revidirane evidencije za 24 države članice. </w:t>
      </w:r>
      <w:bookmarkStart w:id="87" w:name="_Toc342558496"/>
      <w:bookmarkStart w:id="88" w:name="_Toc442173645"/>
      <w:bookmarkStart w:id="89" w:name="_Toc442869401"/>
      <w:r>
        <w:rPr>
          <w:rFonts w:ascii="Times New Roman" w:hAnsi="Times New Roman"/>
          <w:noProof/>
          <w:sz w:val="24"/>
        </w:rPr>
        <w:t>Preostale četiri države članice (Francuska, Irska, Luksemburg i Nizozemska) dostavile su nacrt evidencije o EDP-u u novom formatu i očekuje se daljnji napredak.</w:t>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rPr>
      </w:pPr>
      <w:bookmarkStart w:id="90" w:name="_Toc2863619"/>
      <w:r>
        <w:rPr>
          <w:rFonts w:ascii="Times New Roman" w:hAnsi="Times New Roman"/>
          <w:b/>
          <w:bCs/>
          <w:smallCaps/>
          <w:noProof/>
          <w:sz w:val="24"/>
          <w:szCs w:val="28"/>
        </w:rPr>
        <w:t>Zaključci</w:t>
      </w:r>
      <w:bookmarkEnd w:id="87"/>
      <w:bookmarkEnd w:id="88"/>
      <w:bookmarkEnd w:id="89"/>
      <w:bookmarkEnd w:id="90"/>
    </w:p>
    <w:p>
      <w:pPr>
        <w:spacing w:before="120" w:after="120" w:line="240" w:lineRule="auto"/>
        <w:ind w:left="850"/>
        <w:jc w:val="both"/>
        <w:rPr>
          <w:rFonts w:ascii="Times New Roman" w:hAnsi="Times New Roman"/>
          <w:noProof/>
          <w:sz w:val="24"/>
        </w:rPr>
      </w:pPr>
      <w:r>
        <w:rPr>
          <w:rFonts w:ascii="Times New Roman" w:hAnsi="Times New Roman"/>
          <w:noProof/>
          <w:sz w:val="24"/>
        </w:rPr>
        <w:t>Eurostat potvrđuje da se ukupna usklađenost i potpunost dostavljenih podataka neprestano poboljšava. Međutim, potrebno je dodatno poboljšati kvalitetu fiskalnih podataka. Eurostat je 2018. kvalitetu fiskalnih podataka pokušao poboljšati s pomoću bilateralnih razjašnjenja pri procjeni obavijesti koje se odnose na EDP te intenziviranjem kontakata i savjetovanja s državama članicama u razdoblju između dostavljanja obavijesti. Objavom svih njegovih savjeta o metodologiji te ulaganjem sveobuhvatnih napora u poboljšanje komunikacije korisnika i izrađivača statističkih podataka u vezi s metodološkim razvojem poboljšane su razmjena znanja i transparentnost.</w:t>
      </w:r>
    </w:p>
    <w:p>
      <w:pPr>
        <w:spacing w:before="120" w:after="120" w:line="240" w:lineRule="auto"/>
        <w:ind w:left="850"/>
        <w:jc w:val="both"/>
        <w:rPr>
          <w:rFonts w:ascii="Times New Roman" w:hAnsi="Times New Roman"/>
          <w:noProof/>
          <w:sz w:val="24"/>
        </w:rPr>
      </w:pPr>
      <w:r>
        <w:rPr>
          <w:rFonts w:ascii="Times New Roman" w:hAnsi="Times New Roman"/>
          <w:noProof/>
          <w:sz w:val="24"/>
        </w:rPr>
        <w:t>U nekim državama članicama, posebno u Grčkoj, još postoje problemi povezani s dosljednošću tromjesečnih financijskih računa.</w:t>
      </w:r>
    </w:p>
    <w:p>
      <w:pPr>
        <w:spacing w:before="120" w:after="120" w:line="240" w:lineRule="auto"/>
        <w:ind w:left="850"/>
        <w:jc w:val="both"/>
        <w:rPr>
          <w:rFonts w:ascii="Times New Roman" w:hAnsi="Times New Roman"/>
          <w:noProof/>
          <w:sz w:val="24"/>
        </w:rPr>
      </w:pPr>
      <w:r>
        <w:rPr>
          <w:rFonts w:ascii="Times New Roman" w:hAnsi="Times New Roman"/>
          <w:noProof/>
          <w:sz w:val="24"/>
        </w:rPr>
        <w:t>Eurostat je zadržao zadršku u pogledu kvalitete podataka dostavljenih u obavijestima koje se odnose na EDP koje su dostavile Francuska (u travnju) i Mađarska (u travnju i listopadu). Povukao je zadršku za Belgiju (u travnju) i Francusku (u listopadu).</w:t>
      </w:r>
    </w:p>
    <w:p>
      <w:pPr>
        <w:spacing w:before="120" w:after="120" w:line="240" w:lineRule="auto"/>
        <w:ind w:left="850"/>
        <w:jc w:val="both"/>
        <w:rPr>
          <w:rFonts w:ascii="Times New Roman" w:hAnsi="Times New Roman"/>
          <w:noProof/>
          <w:sz w:val="24"/>
        </w:rPr>
      </w:pPr>
      <w:r>
        <w:rPr>
          <w:rFonts w:ascii="Times New Roman" w:hAnsi="Times New Roman"/>
          <w:noProof/>
          <w:sz w:val="24"/>
        </w:rPr>
        <w:t>Naposljetku, Eurostat zaključuje da se u 2018. kvaliteta fiskalnih podataka u izvješćima nastavila poboljšavati. Općenito, države članice dostavile su kvalitetnije i potpunije informacije i u notifikacijskim tablicama u okviru EDP-a i u ostalim relevantnim statističkim izvješćima.</w:t>
      </w: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909736"/>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noProof/>
            <w:sz w:val="20"/>
          </w:rPr>
          <w:t>1</w:t>
        </w:r>
        <w:r>
          <w:rPr>
            <w:rFonts w:ascii="Times New Roman" w:hAnsi="Times New Roman" w:cs="Times New Roman"/>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Uredba Vijeća (EZ) br. 479/2009 o primjeni Protokola o postupku u slučaju prekomjernog deficita priloženog Ugovoru o osnivanju Europske zajednice (SL L 145, 10.6.2009., str. 1.).</w:t>
      </w:r>
    </w:p>
  </w:footnote>
  <w:footnote w:id="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Podaci za posljednje četiri godine u skladu s člankom 3. stavkom 2. Uredbe (EZ) br. 479/2009. </w:t>
      </w:r>
    </w:p>
  </w:footnote>
  <w:footnote w:id="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COM(2018) 112 final.</w:t>
      </w:r>
    </w:p>
  </w:footnote>
  <w:footnote w:id="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Uredba (EU) br. 549/2013 Europskog parlamenta i Vijeća od 21. svibnja 2013. o Europskom sustavu nacionalnih i regionalnih računa u Europskoj uniji (ESA 2010.) (SL L 174, 26.6.2013., str. 1.).</w:t>
      </w:r>
    </w:p>
  </w:footnote>
  <w:footnote w:id="5">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Članak 3. stavci 1. i 3. Uredbe (EZ) br. 479/2009.</w:t>
      </w:r>
    </w:p>
  </w:footnote>
  <w:footnote w:id="6">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Stvarni podaci mogu biti procijenjeni, privremeni, poludovršeni ili konačni podaci.</w:t>
      </w:r>
    </w:p>
  </w:footnote>
  <w:footnote w:id="7">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U skladu s Protokolom o postupku u slučaju prekomjernog deficita priloženom Ugovoru o funkcioniranju Europske unije državni je dug konsolidirani bruto dug cijelog sektora opće države koji ostane nepodmiren na kraju godine (u nominalnoj vrijednosti). U skladu s Uredbom (EZ) br. 479/2009 državni dug uključuje gotovinu i depozite (AF.2), dužničke vrijednosne papire (AF.3) i zajmove (AF.4), kako je definirano u sustavu ESA 2010.</w:t>
      </w:r>
    </w:p>
  </w:footnote>
  <w:footnote w:id="8">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Članak 3. stavak 2. Uredbe (EZ) br. 479/2009.</w:t>
      </w:r>
    </w:p>
  </w:footnote>
  <w:footnote w:id="9">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Vidjeti izjave uz zapisnik Vijeća od 22. studenoga 1993.:</w:t>
      </w:r>
      <w:r>
        <w:rPr>
          <w:rFonts w:ascii="Times New Roman" w:hAnsi="Times New Roman"/>
        </w:rPr>
        <w:tab/>
      </w:r>
      <w:r>
        <w:rPr>
          <w:rFonts w:ascii="Times New Roman" w:hAnsi="Times New Roman"/>
        </w:rPr>
        <w:br/>
      </w:r>
      <w:hyperlink r:id="rId1" w:history="1">
        <w:r>
          <w:rPr>
            <w:rStyle w:val="Hyperlink"/>
          </w:rPr>
          <w:t>https://webgate.ec.europa.eu/fpfis/mwikis/gfs/images/e/e7/Statements_9817.en93.pdf</w:t>
        </w:r>
      </w:hyperlink>
      <w:r>
        <w:t>.</w:t>
      </w:r>
    </w:p>
  </w:footnote>
  <w:footnote w:id="10">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U Uredbi (EZ) br. 479/2009 od država članica izričito se traži samo dostavljanje planiranih podataka u notifikacijskim tablicama 1. i 2.a u okviru EDP-a.</w:t>
      </w:r>
    </w:p>
  </w:footnote>
  <w:footnote w:id="11">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 xml:space="preserve">Notifikacijske tablice u okviru EDP-a koje su izradile države članice mogu se pronaći na </w:t>
      </w:r>
      <w:r>
        <w:rPr>
          <w:rFonts w:ascii="Times New Roman" w:hAnsi="Times New Roman"/>
          <w:i/>
        </w:rPr>
        <w:t>web</w:t>
      </w:r>
      <w:r>
        <w:rPr>
          <w:rFonts w:ascii="Times New Roman" w:hAnsi="Times New Roman"/>
        </w:rPr>
        <w:t>-mjestu Eurostata:</w:t>
      </w:r>
      <w:r>
        <w:rPr>
          <w:rFonts w:ascii="Times New Roman" w:hAnsi="Times New Roman"/>
        </w:rPr>
        <w:tab/>
      </w:r>
      <w:r>
        <w:rPr>
          <w:rFonts w:ascii="Times New Roman" w:hAnsi="Times New Roman"/>
        </w:rPr>
        <w:br/>
      </w:r>
      <w:hyperlink r:id="rId2" w:history="1">
        <w:r>
          <w:rPr>
            <w:rStyle w:val="Hyperlink"/>
          </w:rPr>
          <w:t>http://ec.europa.eu/eurostat/web/government-finance-statistics/excessive-deficit-procedure/edp-notification-tables</w:t>
        </w:r>
      </w:hyperlink>
      <w:r>
        <w:t>.</w:t>
      </w:r>
    </w:p>
  </w:footnote>
  <w:footnote w:id="1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Upitnik se sastoji od 13 odjeljaka u kojima se traže kvantitativni i neki kvalitativni podaci iz različitih područja, kao što su npr. transakcije u području poreza i socijalnih doprinosa te transakcije s EU-om, nabava vojne opreme, državna jamstva, otpis dugova, kapital koji je država ubrizgala u javna poduzeća, javno-privatna partnerstva, preusmjeravanje transakcija itd.</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3" w:history="1">
        <w:r>
          <w:rPr>
            <w:rStyle w:val="Hyperlink"/>
          </w:rPr>
          <w:t>https://ec.europa.eu/eurostat/documents/1015035/9306957/Background-note-on-gov-interventions-Oct2018.pdf</w:t>
        </w:r>
      </w:hyperlink>
      <w:r>
        <w:rPr>
          <w:rFonts w:ascii="Times New Roman" w:hAnsi="Times New Roman"/>
        </w:rPr>
        <w:t xml:space="preserve"> </w:t>
      </w:r>
    </w:p>
  </w:footnote>
  <w:footnote w:id="1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r>
      <w:hyperlink r:id="rId4" w:history="1">
        <w:r>
          <w:rPr>
            <w:rStyle w:val="Hyperlink"/>
          </w:rPr>
          <w:t>http://ec.europa.eu/eurostat/web/government-finance-statistics/excessive-deficit-procedure/eurostat-edp-visits-to-member-states</w:t>
        </w:r>
      </w:hyperlink>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5" w:history="1">
        <w:r>
          <w:rPr>
            <w:rStyle w:val="Hyperlink"/>
          </w:rPr>
          <w:t>http://ec.europa.eu/eurostat/web/government-finance-statistics/methodology/guidance-on-accounting-rules</w:t>
        </w:r>
      </w:hyperlink>
    </w:p>
  </w:footnote>
  <w:footnote w:id="16">
    <w:p>
      <w:pPr>
        <w:pStyle w:val="FootnoteText"/>
        <w:spacing w:after="120" w:line="240" w:lineRule="auto"/>
        <w:ind w:left="284" w:hanging="284"/>
        <w:jc w:val="both"/>
        <w:rPr>
          <w:rStyle w:val="Hyperlink"/>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6" w:history="1">
        <w:r>
          <w:rPr>
            <w:rStyle w:val="Hyperlink"/>
          </w:rPr>
          <w:t>http://ec.europa.eu/eurostat/web/government-finance-statistics/methodology/advice-to-member-states</w:t>
        </w:r>
      </w:hyperlink>
      <w:r>
        <w:t>.</w:t>
      </w:r>
    </w:p>
  </w:footnote>
  <w:footnote w:id="1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 w:history="1">
        <w:r>
          <w:rPr>
            <w:rStyle w:val="Hyperlink"/>
          </w:rPr>
          <w:t>https://ec.europa.eu/eurostat/documents/1015035/8885635/guide_to_statistical_treatment_of_epcs_en.pdf</w:t>
        </w:r>
      </w:hyperlink>
      <w:r>
        <w:rPr>
          <w:rFonts w:ascii="Times New Roman" w:hAnsi="Times New Roman"/>
        </w:rPr>
        <w:t xml:space="preserve"> </w:t>
      </w:r>
    </w:p>
  </w:footnote>
  <w:footnote w:id="18">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history="1">
        <w:r>
          <w:rPr>
            <w:rStyle w:val="Hyperlink"/>
          </w:rPr>
          <w:t>https://ec.europa.eu/eurostat/documents/1015035/2041329/Procedures-Dev-and-Implt-Methodology-EDP-data.pdf</w:t>
        </w:r>
      </w:hyperlink>
      <w:r>
        <w:rPr>
          <w:rFonts w:ascii="Times New Roman" w:hAnsi="Times New Roman"/>
        </w:rPr>
        <w:t xml:space="preserve"> </w:t>
      </w:r>
    </w:p>
  </w:footnote>
  <w:footnote w:id="1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9" w:history="1">
        <w:r>
          <w:rPr>
            <w:rStyle w:val="Hyperlink"/>
          </w:rPr>
          <w:t>http://data.consilium.europa.eu/doc/document/ST-13865-2018-INIT/en/pdf</w:t>
        </w:r>
      </w:hyperlink>
    </w:p>
  </w:footnote>
  <w:footnote w:id="20">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94 final.</w:t>
      </w:r>
    </w:p>
  </w:footnote>
  <w:footnote w:id="21">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Uredba (EU) br. 1173/2011 Europskog parlamenta i Vijeća od 16. studenoga 2011. o učinkovitoj provedbi proračunskog nadzora u europodručju (SL L 306, 23.11.2011., str. 1.).</w:t>
      </w:r>
    </w:p>
  </w:footnote>
  <w:footnote w:id="22">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93 final.</w:t>
      </w:r>
    </w:p>
  </w:footnote>
  <w:footnote w:id="23">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Provedbena odluka Vijeća (EU) 2018/818 od 28. svibnja 2018. o izricanju novčane kazne Austriji zbog manipuliranja podacima o dugu u saveznoj zemlji Salzburgu (</w:t>
      </w:r>
      <w:r>
        <w:rPr>
          <w:rFonts w:ascii="Times New Roman" w:hAnsi="Times New Roman"/>
          <w:iCs/>
        </w:rPr>
        <w:t>SL L 137, 4.6.2018., str. 23)</w:t>
      </w:r>
      <w:r>
        <w:rPr>
          <w:rFonts w:ascii="Times New Roman" w:hAnsi="Times New Roman"/>
          <w:i/>
          <w:iCs/>
        </w:rPr>
        <w:t>.</w:t>
      </w:r>
    </w:p>
  </w:footnote>
  <w:footnote w:id="2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10" w:history="1">
        <w:r>
          <w:rPr>
            <w:rStyle w:val="Hyperlink"/>
          </w:rPr>
          <w:t>https://ec.europa.eu/eurostat/documents/2995521/8824490/2-23042018-AP-EN.pdf</w:t>
        </w:r>
      </w:hyperlink>
      <w:r>
        <w:rPr>
          <w:rFonts w:ascii="Times New Roman" w:hAnsi="Times New Roman"/>
        </w:rPr>
        <w:t xml:space="preserve">  </w:t>
      </w:r>
    </w:p>
  </w:footnote>
  <w:footnote w:id="2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11" w:history="1">
        <w:r>
          <w:rPr>
            <w:rStyle w:val="Hyperlink"/>
          </w:rPr>
          <w:t>https://ec.europa.eu/eurostat/documents/2995521/9328077/2-22102018-AP-EN.pdf</w:t>
        </w:r>
      </w:hyperlink>
      <w:r>
        <w:rPr>
          <w:rFonts w:ascii="Times New Roman" w:hAnsi="Times New Roman"/>
        </w:rPr>
        <w:t xml:space="preserve"> </w:t>
      </w:r>
    </w:p>
  </w:footnote>
  <w:footnote w:id="26">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12" w:history="1">
        <w:r>
          <w:rPr>
            <w:rStyle w:val="Hyperlink"/>
          </w:rPr>
          <w:t>http://ec.europa.eu/eurostat/web/government-finance-statistics/excessive-deficit-procedure/edp-notification-tables</w:t>
        </w:r>
      </w:hyperlink>
    </w:p>
  </w:footnote>
  <w:footnote w:id="27">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„t” znači kraj razdoblja na koje se odnosi izvješćivanje.</w:t>
      </w:r>
    </w:p>
  </w:footnote>
  <w:footnote w:id="28">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Evidencije metoda, postupaka i izvora upotrijebljenih za pripremu stvarnih podataka o deficitu i dugu te temeljnih državnih računa.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29B8"/>
    <w:multiLevelType w:val="hybridMultilevel"/>
    <w:tmpl w:val="6D2A5244"/>
    <w:lvl w:ilvl="0" w:tplc="3DF2C38E">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nsid w:val="0BEB7B1E"/>
    <w:multiLevelType w:val="hybridMultilevel"/>
    <w:tmpl w:val="EF402F56"/>
    <w:lvl w:ilvl="0" w:tplc="3DF2C38E">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DC4D677-5681-49BF-81A8-3D28643DB0B2"/>
    <w:docVar w:name="LW_COVERPAGE_TYPE" w:val="1"/>
    <w:docVar w:name="LW_CROSSREFERENCE" w:val="&lt;UNUSED&gt;"/>
    <w:docVar w:name="LW_DocType" w:val="NORMAL"/>
    <w:docVar w:name="LW_EMISSION" w:val="27.3.2019."/>
    <w:docVar w:name="LW_EMISSION_ISODATE" w:val="2019-03-27"/>
    <w:docVar w:name="LW_EMISSION_LOCATION" w:val="BRX"/>
    <w:docVar w:name="LW_EMISSION_PREFIX" w:val="Bruxelles, "/>
    <w:docVar w:name="LW_EMISSION_SUFFIX" w:val="&lt;EMPTY&gt;"/>
    <w:docVar w:name="LW_ID_DOCTYPE_NONLW" w:val="CP-006"/>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9) 1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o kvaliteti fiskalnih podataka u izvje\u353?\u263?ima dr\u382?ava \u269?lanica iz 2018.&lt;/FMT&gt;"/>
    <w:docVar w:name="LW_TYPE.DOC.CP" w:val="IZVJE\u352?\u262?E KOMISIJE EUROPSKOM PARLAMENTU I VIJE\u262?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en-GB"/>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en-GB"/>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1015035/2041329/Procedures-Dev-and-Implt-Methodology-EDP-data.pdf" TargetMode="External"/><Relationship Id="rId3" Type="http://schemas.openxmlformats.org/officeDocument/2006/relationships/hyperlink" Target="https://ec.europa.eu/eurostat/documents/1015035/9306957/Background-note-on-gov-interventions-Oct2018.pdf" TargetMode="External"/><Relationship Id="rId7" Type="http://schemas.openxmlformats.org/officeDocument/2006/relationships/hyperlink" Target="https://ec.europa.eu/eurostat/documents/1015035/8885635/guide_to_statistical_treatment_of_epcs_en.pdf" TargetMode="External"/><Relationship Id="rId12" Type="http://schemas.openxmlformats.org/officeDocument/2006/relationships/hyperlink" Target="http://ec.europa.eu/eurostat/web/government-finance-statistics/excessive-deficit-procedure/edp-notification-tables" TargetMode="External"/><Relationship Id="rId2" Type="http://schemas.openxmlformats.org/officeDocument/2006/relationships/hyperlink" Target="http://ec.europa.eu/eurostat/web/government-finance-statistics/excessive-deficit-procedure/edp-notification-tables" TargetMode="External"/><Relationship Id="rId1" Type="http://schemas.openxmlformats.org/officeDocument/2006/relationships/hyperlink" Target="https://webgate.ec.europa.eu/fpfis/mwikis/gfs/images/e/e7/Statements_9817.en93.pdf" TargetMode="External"/><Relationship Id="rId6" Type="http://schemas.openxmlformats.org/officeDocument/2006/relationships/hyperlink" Target="http://ec.europa.eu/eurostat/web/government-finance-statistics/methodology/advice-to-member-states" TargetMode="External"/><Relationship Id="rId11" Type="http://schemas.openxmlformats.org/officeDocument/2006/relationships/hyperlink" Target="https://ec.europa.eu/eurostat/documents/2995521/9328077/2-22102018-AP-EN.pdf" TargetMode="External"/><Relationship Id="rId5" Type="http://schemas.openxmlformats.org/officeDocument/2006/relationships/hyperlink" Target="http://ec.europa.eu/eurostat/web/government-finance-statistics/methodology/guidance-on-accounting-rules" TargetMode="External"/><Relationship Id="rId10" Type="http://schemas.openxmlformats.org/officeDocument/2006/relationships/hyperlink" Target="https://ec.europa.eu/eurostat/documents/2995521/8824490/2-23042018-AP-EN.pdf" TargetMode="External"/><Relationship Id="rId4" Type="http://schemas.openxmlformats.org/officeDocument/2006/relationships/hyperlink" Target="http://ec.europa.eu/eurostat/web/government-finance-statistics/excessive-deficit-procedure/eurostat-edp-visits-to-member-states" TargetMode="External"/><Relationship Id="rId9" Type="http://schemas.openxmlformats.org/officeDocument/2006/relationships/hyperlink" Target="http://data.consilium.europa.eu/doc/document/ST-13865-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11</Pages>
  <Words>3444</Words>
  <Characters>20664</Characters>
  <Application>Microsoft Office Word</Application>
  <DocSecurity>0</DocSecurity>
  <Lines>369</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16</cp:revision>
  <dcterms:created xsi:type="dcterms:W3CDTF">2019-02-20T11:42:00Z</dcterms:created>
  <dcterms:modified xsi:type="dcterms:W3CDTF">2019-03-19T10:27:00Z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