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Pagedecouverture"/>
        <w:rPr>
          <w:noProof/>
        </w:rPr>
      </w:pPr>
      <w:bookmarkStart w:id="0" w:name="LW_BM_COVERPAGE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alt="08B7AC84-1A09-43F8-A3B7-DC233AD2E85C" style="width:450.35pt;height:394.65pt">
            <v:imagedata r:id="rId12" o:title=""/>
          </v:shape>
        </w:pict>
      </w:r>
    </w:p>
    <w:bookmarkEnd w:id="0"/>
    <w:p>
      <w:pPr>
        <w:pStyle w:val="Pagedecouverture"/>
        <w:rPr>
          <w:noProof/>
        </w:rPr>
        <w:sectPr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1417" w:bottom="1134" w:left="1417" w:header="709" w:footer="709" w:gutter="0"/>
          <w:pgNumType w:start="0"/>
          <w:cols w:space="720"/>
          <w:docGrid w:linePitch="360"/>
        </w:sectPr>
      </w:pPr>
    </w:p>
    <w:tbl>
      <w:tblPr>
        <w:tblStyle w:val="TableGrid"/>
        <w:tblW w:w="10490" w:type="dxa"/>
        <w:tblInd w:w="-601" w:type="dxa"/>
        <w:tblLook w:val="01E0" w:firstRow="1" w:lastRow="1" w:firstColumn="1" w:lastColumn="1" w:noHBand="0" w:noVBand="0"/>
      </w:tblPr>
      <w:tblGrid>
        <w:gridCol w:w="10490"/>
      </w:tblGrid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>
            <w:pPr>
              <w:spacing w:before="60" w:after="60"/>
              <w:jc w:val="center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bookmarkStart w:id="1" w:name="_GoBack"/>
            <w:bookmarkEnd w:id="1"/>
            <w:r>
              <w:rPr>
                <w:rFonts w:ascii="Tahoma" w:hAnsi="Tahoma"/>
                <w:b/>
                <w:noProof/>
                <w:sz w:val="22"/>
              </w:rPr>
              <w:lastRenderedPageBreak/>
              <w:t>Sažetak</w:t>
            </w:r>
          </w:p>
        </w:tc>
      </w:tr>
      <w:t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>
            <w:pPr>
              <w:spacing w:before="120" w:after="120"/>
              <w:jc w:val="both"/>
              <w:rPr>
                <w:rFonts w:ascii="Tahoma" w:hAnsi="Tahoma" w:cs="Tahoma"/>
                <w:b/>
                <w:noProof/>
                <w:sz w:val="20"/>
                <w:szCs w:val="20"/>
              </w:rPr>
            </w:pPr>
            <w:r>
              <w:rPr>
                <w:rFonts w:ascii="Tahoma" w:hAnsi="Tahoma"/>
                <w:noProof/>
                <w:color w:val="FFFFFF" w:themeColor="background1"/>
                <w:sz w:val="20"/>
              </w:rPr>
              <w:t>Procjena učinka Prijedloga Uredbe o uspostavi programa „Carina” za suradnju u području carina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>
            <w:pPr>
              <w:spacing w:before="60" w:after="60"/>
              <w:jc w:val="center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>
              <w:rPr>
                <w:rFonts w:ascii="Tahoma" w:hAnsi="Tahoma"/>
                <w:b/>
                <w:noProof/>
                <w:sz w:val="22"/>
              </w:rPr>
              <w:t>A. Potreba za djelovanjem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E0E0E0"/>
          </w:tcPr>
          <w:p>
            <w:pPr>
              <w:spacing w:before="60" w:after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 xml:space="preserve">Zašto? Koji se problem rješava? 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jc w:val="both"/>
              <w:rPr>
                <w:rFonts w:ascii="Arial" w:hAnsi="Arial" w:cs="Arial"/>
                <w:noProof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noProof/>
                <w:color w:val="1036A0"/>
                <w:sz w:val="20"/>
              </w:rPr>
              <w:t xml:space="preserve">Tijekom zadnjih godina na uspješnost carinskih službi utjecala su </w:t>
            </w:r>
            <w:r>
              <w:rPr>
                <w:rFonts w:ascii="Arial" w:hAnsi="Arial"/>
                <w:b/>
                <w:noProof/>
                <w:color w:val="1036A0"/>
                <w:sz w:val="20"/>
              </w:rPr>
              <w:t>kretanja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 poput </w:t>
            </w:r>
            <w:r>
              <w:rPr>
                <w:rFonts w:ascii="Arial" w:hAnsi="Arial"/>
                <w:noProof/>
                <w:color w:val="1036A0"/>
                <w:sz w:val="20"/>
                <w:u w:val="single"/>
              </w:rPr>
              <w:t>globalizacije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, koja je dovela do vrlo brzog rasta količina robe i pripadajućih podataka te sve većih </w:t>
            </w:r>
            <w:r>
              <w:rPr>
                <w:rFonts w:ascii="Arial" w:hAnsi="Arial"/>
                <w:noProof/>
                <w:color w:val="1036A0"/>
                <w:sz w:val="20"/>
                <w:u w:val="single"/>
              </w:rPr>
              <w:t>sigurnosnih prijetnji i međunarodnog kriminala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. Kako bi se odgovorilo na ta pitanja </w:t>
            </w:r>
            <w:r>
              <w:rPr>
                <w:rFonts w:ascii="Arial" w:hAnsi="Arial"/>
                <w:noProof/>
                <w:color w:val="1036A0"/>
                <w:sz w:val="20"/>
                <w:u w:val="single"/>
              </w:rPr>
              <w:t>pokrenuta je modernizacija carinske unije u okviru Carinskog zakonika Unije</w:t>
            </w:r>
            <w:r>
              <w:rPr>
                <w:rStyle w:val="FootnoteReference"/>
                <w:rFonts w:ascii="Arial" w:hAnsi="Arial"/>
                <w:noProof/>
                <w:color w:val="1036A0"/>
                <w:sz w:val="20"/>
              </w:rPr>
              <w:footnoteReference w:id="1"/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 za koju su potrebni brojni novi europski elektronički sustavi. Brze </w:t>
            </w:r>
            <w:r>
              <w:rPr>
                <w:rFonts w:ascii="Arial" w:hAnsi="Arial"/>
                <w:noProof/>
                <w:color w:val="1036A0"/>
                <w:sz w:val="20"/>
                <w:u w:val="single"/>
              </w:rPr>
              <w:t>tehnološke promjene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 (digitalizacija, povezivost, internet stvari, lanci blokova), novi </w:t>
            </w:r>
            <w:r>
              <w:rPr>
                <w:rFonts w:ascii="Arial" w:hAnsi="Arial"/>
                <w:noProof/>
                <w:color w:val="1036A0"/>
                <w:sz w:val="20"/>
                <w:u w:val="single"/>
              </w:rPr>
              <w:t>poslovni modeli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 (e-trgovina, optimizacija opskrbnog lanca) i </w:t>
            </w:r>
            <w:r>
              <w:rPr>
                <w:rFonts w:ascii="Arial" w:hAnsi="Arial"/>
                <w:noProof/>
                <w:color w:val="1036A0"/>
                <w:sz w:val="20"/>
                <w:u w:val="single"/>
              </w:rPr>
              <w:t>smanjena javna financijska sredstva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 stvaraju nove izazove za carinske uprave. </w:t>
            </w:r>
          </w:p>
          <w:p>
            <w:pPr>
              <w:jc w:val="both"/>
              <w:rPr>
                <w:rFonts w:ascii="Arial" w:hAnsi="Arial" w:cs="Arial"/>
                <w:noProof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noProof/>
                <w:color w:val="1036A0"/>
                <w:sz w:val="20"/>
              </w:rPr>
              <w:t xml:space="preserve">U tom su kontekstu prisutne </w:t>
            </w:r>
            <w:r>
              <w:rPr>
                <w:rFonts w:ascii="Arial" w:hAnsi="Arial"/>
                <w:b/>
                <w:noProof/>
                <w:color w:val="1036A0"/>
                <w:sz w:val="20"/>
                <w:u w:val="single"/>
              </w:rPr>
              <w:t>poteškoće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 u funkcioniranju carinske unije zbog </w:t>
            </w:r>
            <w:r>
              <w:rPr>
                <w:rFonts w:ascii="Arial" w:hAnsi="Arial"/>
                <w:noProof/>
                <w:color w:val="1036A0"/>
                <w:sz w:val="20"/>
                <w:u w:val="single"/>
              </w:rPr>
              <w:t>nedovoljne ujednačenosti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 te </w:t>
            </w:r>
            <w:r>
              <w:rPr>
                <w:rFonts w:ascii="Arial" w:hAnsi="Arial"/>
                <w:noProof/>
                <w:color w:val="1036A0"/>
                <w:sz w:val="20"/>
                <w:u w:val="single"/>
              </w:rPr>
              <w:t>neučinkovitosti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 carinskih uprava. Uzroci tih poteškoća su trojaki: nejednaki kapaciteti carinskih uprava; neujednačeno tumačenje i provedba zakonodavstva (CZU-a i drugog); prepreke za međusobnu suradnju carinskih uprava i suradnju s drugim dionicima.</w:t>
            </w:r>
          </w:p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b/>
                <w:noProof/>
                <w:color w:val="1036A0"/>
                <w:sz w:val="20"/>
              </w:rPr>
              <w:t>Učinak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 tog problema s djelotvornošću je taj da </w:t>
            </w:r>
            <w:r>
              <w:rPr>
                <w:rFonts w:ascii="Arial" w:hAnsi="Arial"/>
                <w:noProof/>
                <w:color w:val="1036A0"/>
                <w:sz w:val="20"/>
                <w:u w:val="single"/>
              </w:rPr>
              <w:t>carinska unija nije ostvarila svoj puni potencijal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, čime se ugrožava funkcioniranje unutarnjeg tržišta, narušava socijalna pravednost i ugrožava konkurentnost EU-a. 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 w:after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 xml:space="preserve">Što se nastoji postići ovom inicijativom? 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jc w:val="both"/>
              <w:rPr>
                <w:rFonts w:ascii="Arial" w:hAnsi="Arial" w:cs="Arial"/>
                <w:noProof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noProof/>
                <w:color w:val="1036A0"/>
                <w:sz w:val="20"/>
              </w:rPr>
              <w:t>1.</w:t>
            </w:r>
            <w:r>
              <w:rPr>
                <w:noProof/>
              </w:rPr>
              <w:t> </w:t>
            </w:r>
            <w:r>
              <w:rPr>
                <w:rFonts w:ascii="Arial" w:hAnsi="Arial"/>
                <w:noProof/>
                <w:color w:val="1036A0"/>
                <w:sz w:val="20"/>
                <w:u w:val="single"/>
              </w:rPr>
              <w:t>Opći cilj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 Programa je potpora carinskoj uniji i carinskim tijelima u zaštiti financijskih i gospodarskih interesa Unije i država članica, pružanje sigurnosti i zaštite unutar Unije te zaštita Unije od nepravedne i nezakonite trgovine, istodobno olakšavajući zakonite poslovne aktivnosti.</w:t>
            </w:r>
          </w:p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color w:val="1036A0"/>
                <w:sz w:val="20"/>
              </w:rPr>
              <w:t>2. </w:t>
            </w:r>
            <w:r>
              <w:rPr>
                <w:rFonts w:ascii="Arial" w:hAnsi="Arial"/>
                <w:noProof/>
                <w:color w:val="1036A0"/>
                <w:sz w:val="20"/>
                <w:u w:val="single"/>
              </w:rPr>
              <w:t>Posebni cilj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 Programa je potpora pripremi i jedinstvenoj provedbi carinskog zakonodavstva i politika, kao i carinskoj suradnji i jačanju administrativnih kapaciteta, uključujući jačanje osobnih kompetencija te razvoj i rad europskih elektroničkih sustava.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 w:after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>Koja je dodana vrijednost djelovanja na razini EU-a?</w:t>
            </w:r>
            <w:r>
              <w:rPr>
                <w:rFonts w:ascii="Tahoma" w:hAnsi="Tahoma"/>
                <w:noProof/>
                <w:sz w:val="20"/>
              </w:rPr>
              <w:t xml:space="preserve"> 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color w:val="1036A0"/>
                <w:sz w:val="20"/>
              </w:rPr>
              <w:t xml:space="preserve">Iako je carina područje u isključivoj nadležnosti s visokim stupnjem usklađenosti zakonodavstva EU-a, za provedbu su i dalje u potpunosti nadležne države članice pa </w:t>
            </w:r>
            <w:r>
              <w:rPr>
                <w:rFonts w:ascii="Arial" w:hAnsi="Arial"/>
                <w:noProof/>
                <w:color w:val="1036A0"/>
                <w:sz w:val="20"/>
                <w:u w:val="single"/>
              </w:rPr>
              <w:t>carinska unija može biti čvrsta koliko i njezin najslabiji dio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. Suočavanje s globalnim i transeuropskim izazovima na učinkovit i dosljedan način diljem Europe nije moguće pojedinačnim djelovanjem EU-a ili država članica. Nužna je suradnja i operativna integracija među nacionalnim carinskim upravama. Dodana vrijednost u najvećoj se mjeri ostvaruje u području </w:t>
            </w:r>
            <w:r>
              <w:rPr>
                <w:rFonts w:ascii="Arial" w:hAnsi="Arial"/>
                <w:noProof/>
                <w:color w:val="1036A0"/>
                <w:sz w:val="20"/>
                <w:u w:val="single"/>
              </w:rPr>
              <w:t>informacijskih tehnologija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 u kojem se Programom omogućuje razvoj i rad niza zajednički utvrđenih europskih elektroničkih sustava uz niže troškove nego na nacionalnoj razini. 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>
            <w:pPr>
              <w:keepNext/>
              <w:keepLines/>
              <w:spacing w:before="60" w:after="60"/>
              <w:jc w:val="center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>
              <w:rPr>
                <w:rFonts w:ascii="Tahoma" w:hAnsi="Tahoma"/>
                <w:b/>
                <w:noProof/>
                <w:sz w:val="22"/>
              </w:rPr>
              <w:t>B. Rješenja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>Koje su se zakonodavne i nezakonodavne opcije razmatrale? Postoji li najpoželjnija opcija? Zašto?</w:t>
            </w:r>
            <w:r>
              <w:rPr>
                <w:rFonts w:ascii="Tahoma" w:hAnsi="Tahoma"/>
                <w:noProof/>
                <w:sz w:val="20"/>
              </w:rPr>
              <w:t xml:space="preserve"> 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spacing w:before="60" w:after="60"/>
              <w:jc w:val="both"/>
              <w:rPr>
                <w:rFonts w:ascii="Arial" w:hAnsi="Arial" w:cs="Arial"/>
                <w:noProof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noProof/>
                <w:color w:val="1036A0"/>
                <w:sz w:val="20"/>
              </w:rPr>
              <w:t xml:space="preserve">Razmotrene su različite opcije politika koje uglavnom ovise o razini političkih ambicija za Program. Ključne su opcije „opcija 2. – kritična masa” i </w:t>
            </w:r>
            <w:r>
              <w:rPr>
                <w:rFonts w:ascii="Arial" w:hAnsi="Arial"/>
                <w:noProof/>
                <w:color w:val="1036A0"/>
                <w:sz w:val="20"/>
                <w:u w:val="single"/>
              </w:rPr>
              <w:t>„opcija 3. – kontinuitet plus” (najpoželjnija opcija)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: 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6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color w:val="1036A0"/>
                <w:sz w:val="20"/>
                <w:u w:val="single"/>
              </w:rPr>
              <w:t>opcija 2. – kritična masa</w:t>
            </w:r>
            <w:r>
              <w:rPr>
                <w:rFonts w:ascii="Arial" w:hAnsi="Arial"/>
                <w:noProof/>
                <w:color w:val="1036A0"/>
                <w:sz w:val="20"/>
              </w:rPr>
              <w:t>: cilj je te opcije financiranje svih elektroničkih sustava CZU-a i određenih novih sustava (izvan CZU-a), čime se osigurava kontinuitet EU-ovih carinskih postupaka i usklađivanje s novim obvezama na temelju carinskog zakonodavstva EU-a. Budući da nema dodatnih ambicija osim provedbe CZU-a i već predloženog zakonodavstva, taj bi scenarij podrazumijevao temeljito preispitivanje EU-ovih ambicija u području carina.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6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color w:val="1036A0"/>
                <w:sz w:val="20"/>
                <w:u w:val="single"/>
              </w:rPr>
              <w:t>opcija 3. – kontinuitet plus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: tom se opcijom predlaže djelotvoran odgovori na trenutačne i buduće izazove za carinsku uniju. Cilj joj je omogućiti mjere potrebne za jačanje djelotvornosti carinskih uprava u EU-u. Konkretno, izgradnjom kapaciteta IT-a osiguralo bi se uvođenje novih carinskih projekata IT-a (izvan     CZU-a) i inovacija. Suradnja bi se povećala i poboljšala u cilju jačanja kapaciteta carinskih uprava za suradnju s drugim tijelima, kako bi se osigurali usklađenost, borba protiv prijevara i povećanje sigurnosti, rad u klasterima na temelju tematskih ili geografskih aspekata te pružila potpora dubljoj integraciji nastaloj novim okruženjem IT-a. Imajući u vidu ograničena dodatna sredstva, tom bi se opcijom znatno povećala ukupna dodana vrijednost EU-a u okviru Programa. </w:t>
            </w:r>
          </w:p>
        </w:tc>
      </w:tr>
      <w:tr>
        <w:tc>
          <w:tcPr>
            <w:tcW w:w="10490" w:type="dxa"/>
            <w:shd w:val="clear" w:color="auto" w:fill="CCCCCC"/>
          </w:tcPr>
          <w:p>
            <w:pPr>
              <w:spacing w:before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>Tko podržava koju opciju?</w:t>
            </w:r>
            <w:r>
              <w:rPr>
                <w:rFonts w:ascii="Tahoma" w:hAnsi="Tahoma"/>
                <w:noProof/>
                <w:sz w:val="20"/>
              </w:rPr>
              <w:t xml:space="preserve"> </w:t>
            </w:r>
          </w:p>
        </w:tc>
      </w:tr>
      <w:tr>
        <w:tc>
          <w:tcPr>
            <w:tcW w:w="10490" w:type="dxa"/>
            <w:shd w:val="clear" w:color="auto" w:fill="auto"/>
          </w:tcPr>
          <w:p>
            <w:pPr>
              <w:spacing w:before="60" w:after="60"/>
              <w:jc w:val="both"/>
              <w:rPr>
                <w:rFonts w:ascii="Arial" w:hAnsi="Arial" w:cs="Arial"/>
                <w:noProof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noProof/>
                <w:color w:val="1036A0"/>
                <w:sz w:val="20"/>
              </w:rPr>
              <w:t xml:space="preserve">Svi dionici daju prednost opciji 3. Europski parlament, Vijeće i Revizorski sud podržali su ambiciozan EU-ov program za carinu koji doprinosi boljoj i ujednačenijoj provedbi carinske unije. Savjetovanja s dionicima uglavnom su bila usmjerena na carinske uprave kao izravne korisnike Programa. One su također izrazile snažnu podršku nastavku provedbe ovog uspješnog Programa i predložile iskorištavanje znatnih prednosti neznatnim jačanjem njegovih mjera u skladu s opcijom 3. 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>
            <w:pPr>
              <w:spacing w:before="60" w:after="60"/>
              <w:jc w:val="center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>
              <w:rPr>
                <w:rFonts w:ascii="Tahoma" w:hAnsi="Tahoma"/>
                <w:b/>
                <w:noProof/>
                <w:sz w:val="22"/>
              </w:rPr>
              <w:t>C. Učinci najpoželjnije opcije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 w:after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>Koje su prednosti najpoželjnije opcije (ako postoji, inače prednosti glavnih opcija)?</w:t>
            </w:r>
            <w:r>
              <w:rPr>
                <w:rFonts w:ascii="Tahoma" w:hAnsi="Tahoma"/>
                <w:noProof/>
                <w:sz w:val="20"/>
              </w:rPr>
              <w:t xml:space="preserve"> 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spacing w:before="60" w:after="6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color w:val="1036A0"/>
                <w:sz w:val="20"/>
              </w:rPr>
              <w:t>Carinske uprave izravni su korisnici Programa. U okviru opcije 3. Programom će im se osigurati potrebni (organizacijski, operativni, proračunski i metodološki) okvir za suradnju. Izgradnja administrativnih kapaciteta, uključujući kapacitete IT-a i osobne kapacitete, omogućit će im razvijanje u moderne uprave koje su u stanju nositi se s povećanim brojem osnovnih zadaća. Najpoželjnijom opcijom poboljšalo bi se funkcioniranje carinske unije i carinskih tijela znatnim jačanjem suradnje među državama članicama i s trećim zemljama, kao i jačanjem djelotvornosti carinskih uprava u cijelom EU-u. Jednako tako, tom bi se opcijom s vremenom omogućio razvoj kapaciteta IT-a u skladu s carinskom politikom EU-a. Poboljšavanjem uspješnosti carine zajedničkim rješenjima IT-a i suradnjom izravno se utječe na odvijanje zakonite trgovine robe koja ulazi u carinsko područje Unije i izlazi iz njega jer će tako carina bolje i brže otkrivati te zaustavljati nesigurnu i zabranjenu robu na granici. Građani i poduzeća uglavnom imaju neizravne koristi od djelovanja koja se provode u okviru Programa zahvaljujući komunikacijskim mrežama i europskim elektroničkim sustavima koji omogućuju razmjenu informacija i suradnju među carinskim upravama. Zbog nedostatka sveobuhvatnih kvantitativnih podataka, koristi su se uglavnom procijenile na temelju prikupljenih kvalitativnih informacija.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 w:after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>Koji su troškovi najpoželjnije opcije (ako postoji, inače troškovi glavnih opcija)?</w:t>
            </w:r>
            <w:r>
              <w:rPr>
                <w:rFonts w:ascii="Tahoma" w:hAnsi="Tahoma"/>
                <w:noProof/>
                <w:sz w:val="20"/>
              </w:rPr>
              <w:t xml:space="preserve"> 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spacing w:before="60" w:after="6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color w:val="1036A0"/>
                <w:sz w:val="20"/>
              </w:rPr>
              <w:t>Ne očekuju se posebni negativni gospodarski, socijalni i okolišni učinci.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 w:after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 xml:space="preserve">Kako će to utjecati na poduzeća, MSP-ove i mikropoduzeća? 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spacing w:before="60" w:after="6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color w:val="1036A0"/>
                <w:sz w:val="20"/>
              </w:rPr>
              <w:t>Program ne obuhvaća mjere izravno usmjerene na poduzeća, MSP-ove i mikropoduzeća. Neke neizravne koristi za poduzeća nastat će na temelju zajedničkih portala, raspoloživih alata za osposobljavanje i napretka u ostvarenju jedinstvenog prozora.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/>
              <w:jc w:val="both"/>
              <w:rPr>
                <w:rFonts w:ascii="Tahoma" w:hAnsi="Tahoma" w:cs="Tahoma"/>
                <w:b/>
                <w:i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>Hoće li to bitno utjecati na državne proračune i uprave?</w:t>
            </w:r>
          </w:p>
        </w:tc>
      </w:tr>
      <w:tr>
        <w:tc>
          <w:tcPr>
            <w:tcW w:w="10490" w:type="dxa"/>
            <w:shd w:val="clear" w:color="auto" w:fill="auto"/>
          </w:tcPr>
          <w:p>
            <w:pPr>
              <w:spacing w:before="60" w:after="6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color w:val="1036A0"/>
                <w:sz w:val="20"/>
              </w:rPr>
              <w:t xml:space="preserve">Cilj je Programa financiranje mjera u korist carinskih uprava. Glavni rashodi provodit će se javnom nabavom za razvoj i rad europskih elektroničkih sustava. Budući da ti sustavi nisu potpuno centralizirani, za njihovo uvođenje potrebna su ulaganja i na nacionalnoj razini. 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>Hoće li biti drugih bitnih učinaka?</w:t>
            </w:r>
            <w:r>
              <w:rPr>
                <w:rFonts w:ascii="Tahoma" w:hAnsi="Tahoma"/>
                <w:noProof/>
                <w:sz w:val="20"/>
              </w:rPr>
              <w:t xml:space="preserve"> 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spacing w:before="60" w:after="6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color w:val="1036A0"/>
                <w:sz w:val="20"/>
              </w:rPr>
              <w:t>Ne očekuju se drugi bitni učinci.</w:t>
            </w:r>
            <w:r>
              <w:rPr>
                <w:rFonts w:ascii="Arial" w:hAnsi="Arial"/>
                <w:noProof/>
                <w:sz w:val="20"/>
              </w:rPr>
              <w:t xml:space="preserve"> 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C0C0C0"/>
          </w:tcPr>
          <w:p>
            <w:pPr>
              <w:spacing w:before="60" w:after="60"/>
              <w:jc w:val="center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>
              <w:rPr>
                <w:rFonts w:ascii="Tahoma" w:hAnsi="Tahoma"/>
                <w:b/>
                <w:noProof/>
                <w:sz w:val="22"/>
              </w:rPr>
              <w:t>D. Daljnje mjere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 xml:space="preserve">Kad će se predložene mjere preispitati? 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spacing w:before="60" w:after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color w:val="1036A0"/>
                <w:sz w:val="20"/>
              </w:rPr>
              <w:t>Kako bi se olakšala evaluacija Programa uvest će se okvir za praćenje rezultata ostvarenih Programom. Osigurat će se potpuna transparentnost uz redovito izvješćivanje Europskog parlamenta i Vijeća o praćenju i evaluaciji. Provest će se privremena evaluacija ostvarenih ciljeva Programa te njegove učinkovitosti i dodane vrijednosti na europskoj razini. Konačnom evaluacijom obradit će se dugoročni učinak i učinci održivosti na temelju Programa.</w:t>
            </w:r>
            <w:r>
              <w:rPr>
                <w:rFonts w:ascii="Tahoma" w:hAnsi="Tahoma"/>
                <w:noProof/>
                <w:sz w:val="20"/>
              </w:rPr>
              <w:t xml:space="preserve"> </w:t>
            </w:r>
          </w:p>
        </w:tc>
      </w:tr>
    </w:tbl>
    <w:p>
      <w:pPr>
        <w:rPr>
          <w:noProof/>
        </w:rPr>
      </w:pPr>
    </w:p>
    <w:sectPr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418" w:right="1418" w:bottom="1418" w:left="1418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CoverPage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HR</w:t>
    </w:r>
    <w:r>
      <w:rPr>
        <w:rFonts w:ascii="Arial" w:hAnsi="Arial" w:cs="Arial"/>
        <w:b/>
        <w:sz w:val="48"/>
      </w:rPr>
      <w:tab/>
    </w:r>
    <w:r>
      <w:rPr>
        <w:rFonts w:ascii="Arial" w:hAnsi="Arial" w:cs="Arial"/>
        <w:b/>
        <w:sz w:val="48"/>
      </w:rPr>
      <w:tab/>
    </w:r>
    <w:r>
      <w:tab/>
    </w:r>
    <w:r>
      <w:rPr>
        <w:rFonts w:ascii="Arial" w:hAnsi="Arial" w:cs="Arial"/>
        <w:b/>
        <w:sz w:val="48"/>
      </w:rPr>
      <w:t>HR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CoverPag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1775996"/>
      <w:docPartObj>
        <w:docPartGallery w:val="Page Numbers (Bottom of Page)"/>
        <w:docPartUnique/>
      </w:docPartObj>
    </w:sdtPr>
    <w:sdtEndPr>
      <w:rPr>
        <w:noProof/>
      </w:rPr>
    </w:sdtEndPr>
    <w:sdtContent>
      <w:p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id="1">
    <w:p>
      <w:pPr>
        <w:pStyle w:val="FootnoteText"/>
        <w:jc w:val="both"/>
      </w:pPr>
      <w:r>
        <w:rPr>
          <w:rStyle w:val="FootnoteReference"/>
        </w:rPr>
        <w:footnoteRef/>
      </w:r>
      <w:r>
        <w:t xml:space="preserve"> Carinski zakonik Unije (CZU) dio je modernizacije carine te služi kao nova okvirna uredba o carinskim pravilima i postupcima u cijelom EU-u. Njegove su materijalne odredbe stupile na snagu 1. svibnja 2016.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CoverPag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CoverPag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24C88"/>
    <w:multiLevelType w:val="hybridMultilevel"/>
    <w:tmpl w:val="6D306C0E"/>
    <w:lvl w:ilvl="0" w:tplc="08090003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revisionView w:markup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Status" w:val="Green"/>
    <w:docVar w:name="LW_ACCOMPAGNANT.CP" w:val="prilo\u382?en dokumentu"/>
    <w:docVar w:name="LW_CORRIGENDUM" w:val="&lt;UNUSED&gt;"/>
    <w:docVar w:name="LW_COVERPAGE_EXISTS" w:val="True"/>
    <w:docVar w:name="LW_COVERPAGE_GUID" w:val="08B7AC84-1A09-43F8-A3B7-DC233AD2E85C"/>
    <w:docVar w:name="LW_COVERPAGE_TYPE" w:val="1"/>
    <w:docVar w:name="LW_CROSSREFERENCE" w:val="{COM(2018) 442 final}_x000b_{SEC(2018) 295 final}_x000b_{SWD(2018) 321 final}"/>
    <w:docVar w:name="LW_DocType" w:val="NORMAL"/>
    <w:docVar w:name="LW_EMISSION" w:val="8.6.2018."/>
    <w:docVar w:name="LW_EMISSION_ISODATE" w:val="2018-06-08"/>
    <w:docVar w:name="LW_EMISSION_LOCATION" w:val="BRX"/>
    <w:docVar w:name="LW_EMISSION_PREFIX" w:val="Bruxelles, "/>
    <w:docVar w:name="LW_EMISSION_SUFFIX" w:val="&lt;EMPTY&gt;"/>
    <w:docVar w:name="LW_ID_DOCTYPE_NONLW" w:val="CP-027"/>
    <w:docVar w:name="LW_LANGUE" w:val="HR"/>
    <w:docVar w:name="LW_LEVEL_OF_SENSITIVITY" w:val="Standard treatment"/>
    <w:docVar w:name="LW_NOM.INST" w:val="EUROPSKA KOMISIJA"/>
    <w:docVar w:name="LW_NOM.INST_JOINTDOC" w:val="&lt;EMPTY&gt;"/>
    <w:docVar w:name="LW_OBJETACTEPRINCIPAL.CP" w:val="o uspostavljanju programa \u8222?Carina\u8221? za suradnju u podru\u269?ju carine"/>
    <w:docVar w:name="LW_PART_NBR" w:val="1"/>
    <w:docVar w:name="LW_PART_NBR_TOTAL" w:val="1"/>
    <w:docVar w:name="LW_REF.INST.NEW" w:val="SWD"/>
    <w:docVar w:name="LW_REF.INST.NEW_ADOPTED" w:val="final"/>
    <w:docVar w:name="LW_REF.INST.NEW_TEXT" w:val="(2018) 322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 xsi:nil=&quot;true&quot; /&gt;_x000d__x000a_  &lt;limited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footnote xsi:nil=&quot;true&quot; /&gt;_x000d__x000a_  &lt;isRestricted&gt;false&lt;/isRestricted&gt;_x000d__x000a_&lt;/SensitivityLevel&gt;"/>
    <w:docVar w:name="LW_SUPERTITRE" w:val="&lt;UNUSED&gt;"/>
    <w:docVar w:name="LW_TITRE.OBJ.CP" w:val="&lt;UNUSED&gt;"/>
    <w:docVar w:name="LW_TYPE.DOC.CP" w:val="RADNI DOKUMENT SLU\u381?BI KOMISIJE_x000b__x000b_SA\u381?ETAK PROCJENE U\u268?INKA_x000b_"/>
    <w:docVar w:name="LW_TYPEACTEPRINCIPAL.CP" w:val="Prijedlog_x000b_UREDBE EUROPSKOG PARLAMENTA I VIJE\u262?A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hr-HR" w:bidi="hr-H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pPr>
      <w:jc w:val="both"/>
    </w:pPr>
    <w:rPr>
      <w:rFonts w:eastAsiaTheme="minorHAnsi"/>
      <w:szCs w:val="2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5"/>
        <w:tab w:val="right" w:pos="9071"/>
      </w:tabs>
      <w:spacing w:after="120"/>
      <w:jc w:val="both"/>
    </w:pPr>
    <w:rPr>
      <w:rFonts w:eastAsiaTheme="minorHAnsi"/>
      <w:szCs w:val="22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Theme="minorHAnsi"/>
      <w:szCs w:val="22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</w:rPr>
  </w:style>
  <w:style w:type="paragraph" w:customStyle="1" w:styleId="FooterCoverPage">
    <w:name w:val="Footer Cover Page"/>
    <w:basedOn w:val="Normal"/>
    <w:link w:val="FooterCoverPageChar"/>
    <w:pPr>
      <w:tabs>
        <w:tab w:val="center" w:pos="4535"/>
        <w:tab w:val="right" w:pos="9071"/>
        <w:tab w:val="right" w:pos="9921"/>
      </w:tabs>
      <w:spacing w:before="360"/>
      <w:ind w:left="-850" w:right="-850"/>
    </w:pPr>
  </w:style>
  <w:style w:type="character" w:customStyle="1" w:styleId="FooterCoverPageChar">
    <w:name w:val="Footer Cover Page Char"/>
    <w:basedOn w:val="DefaultParagraphFont"/>
    <w:link w:val="FooterCoverPage"/>
    <w:rPr>
      <w:rFonts w:ascii="Times New Roman" w:eastAsia="Times New Roman" w:hAnsi="Times New Roman" w:cs="Times New Roman"/>
      <w:sz w:val="24"/>
      <w:szCs w:val="24"/>
    </w:rPr>
  </w:style>
  <w:style w:type="paragraph" w:customStyle="1" w:styleId="HeaderCoverPage">
    <w:name w:val="Header Cover Page"/>
    <w:basedOn w:val="Normal"/>
    <w:link w:val="HeaderCoverPageChar"/>
    <w:pPr>
      <w:tabs>
        <w:tab w:val="center" w:pos="4535"/>
        <w:tab w:val="right" w:pos="9071"/>
      </w:tabs>
      <w:spacing w:after="120"/>
      <w:jc w:val="both"/>
    </w:pPr>
  </w:style>
  <w:style w:type="character" w:customStyle="1" w:styleId="HeaderCoverPageChar">
    <w:name w:val="Header Cover Page Char"/>
    <w:basedOn w:val="DefaultParagraphFont"/>
    <w:link w:val="HeaderCoverPag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customStyle="1" w:styleId="Declassification">
    <w:name w:val="Declassification"/>
    <w:basedOn w:val="Normal"/>
    <w:next w:val="Normal"/>
    <w:pPr>
      <w:jc w:val="both"/>
    </w:pPr>
    <w:rPr>
      <w:rFonts w:eastAsiaTheme="minorHAnsi"/>
      <w:szCs w:val="22"/>
    </w:rPr>
  </w:style>
  <w:style w:type="paragraph" w:customStyle="1" w:styleId="HeaderLandscape">
    <w:name w:val="HeaderLandscape"/>
    <w:basedOn w:val="Normal"/>
    <w:pPr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</w:rPr>
  </w:style>
  <w:style w:type="paragraph" w:customStyle="1" w:styleId="HeaderSensitivity">
    <w:name w:val="Header Sensitivity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b/>
      <w:sz w:val="32"/>
    </w:rPr>
  </w:style>
  <w:style w:type="paragraph" w:customStyle="1" w:styleId="FooterLandscape">
    <w:name w:val="FooterLandscape"/>
    <w:basedOn w:val="Normal"/>
    <w:pPr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</w:rPr>
  </w:style>
  <w:style w:type="paragraph" w:customStyle="1" w:styleId="FooterSensitivity">
    <w:name w:val="Footer Sensitivity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b/>
      <w:sz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hr-HR" w:bidi="hr-H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pPr>
      <w:jc w:val="both"/>
    </w:pPr>
    <w:rPr>
      <w:rFonts w:eastAsiaTheme="minorHAnsi"/>
      <w:szCs w:val="2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5"/>
        <w:tab w:val="right" w:pos="9071"/>
      </w:tabs>
      <w:spacing w:after="120"/>
      <w:jc w:val="both"/>
    </w:pPr>
    <w:rPr>
      <w:rFonts w:eastAsiaTheme="minorHAnsi"/>
      <w:szCs w:val="22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Theme="minorHAnsi"/>
      <w:szCs w:val="22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</w:rPr>
  </w:style>
  <w:style w:type="paragraph" w:customStyle="1" w:styleId="FooterCoverPage">
    <w:name w:val="Footer Cover Page"/>
    <w:basedOn w:val="Normal"/>
    <w:link w:val="FooterCoverPageChar"/>
    <w:pPr>
      <w:tabs>
        <w:tab w:val="center" w:pos="4535"/>
        <w:tab w:val="right" w:pos="9071"/>
        <w:tab w:val="right" w:pos="9921"/>
      </w:tabs>
      <w:spacing w:before="360"/>
      <w:ind w:left="-850" w:right="-850"/>
    </w:pPr>
  </w:style>
  <w:style w:type="character" w:customStyle="1" w:styleId="FooterCoverPageChar">
    <w:name w:val="Footer Cover Page Char"/>
    <w:basedOn w:val="DefaultParagraphFont"/>
    <w:link w:val="FooterCoverPage"/>
    <w:rPr>
      <w:rFonts w:ascii="Times New Roman" w:eastAsia="Times New Roman" w:hAnsi="Times New Roman" w:cs="Times New Roman"/>
      <w:sz w:val="24"/>
      <w:szCs w:val="24"/>
    </w:rPr>
  </w:style>
  <w:style w:type="paragraph" w:customStyle="1" w:styleId="HeaderCoverPage">
    <w:name w:val="Header Cover Page"/>
    <w:basedOn w:val="Normal"/>
    <w:link w:val="HeaderCoverPageChar"/>
    <w:pPr>
      <w:tabs>
        <w:tab w:val="center" w:pos="4535"/>
        <w:tab w:val="right" w:pos="9071"/>
      </w:tabs>
      <w:spacing w:after="120"/>
      <w:jc w:val="both"/>
    </w:pPr>
  </w:style>
  <w:style w:type="character" w:customStyle="1" w:styleId="HeaderCoverPageChar">
    <w:name w:val="Header Cover Page Char"/>
    <w:basedOn w:val="DefaultParagraphFont"/>
    <w:link w:val="HeaderCoverPag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customStyle="1" w:styleId="Declassification">
    <w:name w:val="Declassification"/>
    <w:basedOn w:val="Normal"/>
    <w:next w:val="Normal"/>
    <w:pPr>
      <w:jc w:val="both"/>
    </w:pPr>
    <w:rPr>
      <w:rFonts w:eastAsiaTheme="minorHAnsi"/>
      <w:szCs w:val="22"/>
    </w:rPr>
  </w:style>
  <w:style w:type="paragraph" w:customStyle="1" w:styleId="HeaderLandscape">
    <w:name w:val="HeaderLandscape"/>
    <w:basedOn w:val="Normal"/>
    <w:pPr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</w:rPr>
  </w:style>
  <w:style w:type="paragraph" w:customStyle="1" w:styleId="HeaderSensitivity">
    <w:name w:val="Header Sensitivity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b/>
      <w:sz w:val="32"/>
    </w:rPr>
  </w:style>
  <w:style w:type="paragraph" w:customStyle="1" w:styleId="FooterLandscape">
    <w:name w:val="FooterLandscape"/>
    <w:basedOn w:val="Normal"/>
    <w:pPr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</w:rPr>
  </w:style>
  <w:style w:type="paragraph" w:customStyle="1" w:styleId="FooterSensitivity">
    <w:name w:val="Footer Sensitivity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b/>
      <w:sz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oter" Target="footer6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6B29732916DF4D831BB0FCE0DA1F47" ma:contentTypeVersion="0" ma:contentTypeDescription="Create a new document." ma:contentTypeScope="" ma:versionID="5e87b6185a4559021c2d2dd44491d6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20aa71ebba3a1c4bc292c1729accc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495DBFA-C6FC-443C-B47B-9C9F700F3D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BCCE80E-734A-4297-8D0E-984F7E32D7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B228E3-FEEC-429F-8C93-CFCC37DE56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3AC6BF3-AB80-4A5C-A31B-B09BCC124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1055</Words>
  <Characters>6606</Characters>
  <Application>Microsoft Office Word</Application>
  <DocSecurity>0</DocSecurity>
  <Lines>90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19</cp:revision>
  <cp:lastPrinted>2018-03-20T10:34:00Z</cp:lastPrinted>
  <dcterms:created xsi:type="dcterms:W3CDTF">2018-06-01T15:39:00Z</dcterms:created>
  <dcterms:modified xsi:type="dcterms:W3CDTF">2018-06-14T07:38:00Z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rt">
    <vt:lpwstr>1</vt:lpwstr>
  </property>
  <property fmtid="{D5CDD505-2E9C-101B-9397-08002B2CF9AE}" pid="3" name="Total parts">
    <vt:lpwstr>1</vt:lpwstr>
  </property>
  <property fmtid="{D5CDD505-2E9C-101B-9397-08002B2CF9AE}" pid="4" name="DocStatus">
    <vt:lpwstr>Green</vt:lpwstr>
  </property>
  <property fmtid="{D5CDD505-2E9C-101B-9397-08002B2CF9AE}" pid="5" name="Order">
    <vt:r8>400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NewReviewCycle">
    <vt:lpwstr/>
  </property>
  <property fmtid="{D5CDD505-2E9C-101B-9397-08002B2CF9AE}" pid="9" name="ContentTypeId">
    <vt:lpwstr>0x010100676B29732916DF4D831BB0FCE0DA1F47</vt:lpwstr>
  </property>
  <property fmtid="{D5CDD505-2E9C-101B-9397-08002B2CF9AE}" pid="10" name="TemplateUrl">
    <vt:lpwstr/>
  </property>
  <property fmtid="{D5CDD505-2E9C-101B-9397-08002B2CF9AE}" pid="11" name="Level of sensitivity">
    <vt:lpwstr>Standard treatment</vt:lpwstr>
  </property>
  <property fmtid="{D5CDD505-2E9C-101B-9397-08002B2CF9AE}" pid="12" name="IsMyDocuments">
    <vt:bool>true</vt:bool>
  </property>
  <property name="OP_sanitized" fmtid="{D5CDD505-2E9C-101B-9397-08002B2CF9AE}" pid="13">
    <vt:lpwstr>True</vt:lpwstr>
  </property>
</Properties>
</file>