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C4C" w:rsidRDefault="00A56C9B"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D07BEA2C-5DC4-4B52-BEFA-42526FEB2F7A" style="width:451pt;height:366pt">
            <v:imagedata r:id="rId12" o:title=""/>
          </v:shape>
        </w:pict>
      </w:r>
    </w:p>
    <w:p w:rsidR="00A87C4C" w:rsidRDefault="00A87C4C">
      <w:pPr>
        <w:rPr>
          <w:noProof/>
        </w:rPr>
        <w:sectPr w:rsidR="00A87C4C">
          <w:footerReference w:type="defaul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:rsidR="00A87C4C" w:rsidRDefault="00A56C9B">
      <w:pPr>
        <w:pStyle w:val="Exposdesmotifstitre"/>
        <w:rPr>
          <w:noProof/>
        </w:rPr>
      </w:pPr>
      <w:r>
        <w:rPr>
          <w:noProof/>
        </w:rPr>
        <w:lastRenderedPageBreak/>
        <w:t>OBRAZLOŽENJE</w:t>
      </w:r>
    </w:p>
    <w:p w:rsidR="00A87C4C" w:rsidRDefault="00A56C9B"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>KONTEKST PRIJEDLOGA</w:t>
      </w:r>
    </w:p>
    <w:p w:rsidR="00A87C4C" w:rsidRDefault="00A56C9B"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Razlozi i ciljevi prijedloga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Ujedinjena Kraljevina dostavila je 29. ožujka 2017. obavijest o namjeri </w:t>
      </w:r>
      <w:r>
        <w:rPr>
          <w:noProof/>
        </w:rPr>
        <w:t>povlačenja iz Unije na temelju članka 50. Ugovora o Europskoj uniji. To znači da će se primarno i sekundarno pravo Unije, ako sporazum o povlačenju</w:t>
      </w:r>
      <w:r>
        <w:rPr>
          <w:rStyle w:val="FootnoteReference"/>
          <w:noProof/>
        </w:rPr>
        <w:footnoteReference w:id="1"/>
      </w:r>
      <w:r>
        <w:rPr>
          <w:noProof/>
        </w:rPr>
        <w:t xml:space="preserve"> ne bude ratificiran, prestati primjenjivati na Ujedinjenu Kraljevinu od 30. ožujka 2019. („datum povlačenja</w:t>
      </w:r>
      <w:r>
        <w:rPr>
          <w:noProof/>
        </w:rPr>
        <w:t>”). Ujedinjena Kraljevina tada postaje treća zemlja.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U Komunikaciji Komisije „Pripreme za povlačenje Ujedinjene Kraljevine iz Europske unije 30. ožujka 2019.: akcijski plan za izvanredne situacije”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 navodi se da se „Komisija obvezala i da će osigurati nastavak postojećih programa u kojima sudjeluju granični okruzi Irske i Sjeverne Irske PEACE i INTERREG, u kojima je Ujedinjena Kraljevina partner”.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Europsko vijeće (članak 50.) 13. prosinca 2018. ponov</w:t>
      </w:r>
      <w:r>
        <w:rPr>
          <w:noProof/>
        </w:rPr>
        <w:t>ilo je svoj poziv na intenzivniji rad u pogledu pripremljenosti, na svim razinama, na posljedice povlačenja Ujedinjene Kraljevine, uzimajući u obzir sve moguće ishode. Ovaj je akt dio paketa mjera koje Komisija donosi kao odgovor na taj poziv.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Cilj je ovog</w:t>
      </w:r>
      <w:r>
        <w:rPr>
          <w:noProof/>
        </w:rPr>
        <w:t xml:space="preserve"> Prijedloga osigurati nastavak dvaju programa bilateralne suradnje u koje je uključena Irska, odnosno programa PEACE IV (Irska–Ujedinjena Kraljevina) i programa Ujedinjena Kraljevina–Irska (Irska–Sjeverna Irska–Škotska).</w:t>
      </w:r>
    </w:p>
    <w:p w:rsidR="00A87C4C" w:rsidRDefault="00A56C9B">
      <w:pPr>
        <w:pStyle w:val="ManualHeading2"/>
        <w:rPr>
          <w:rFonts w:eastAsia="Arial Unicode MS"/>
          <w:noProof/>
          <w:color w:val="000000"/>
          <w:u w:color="000000"/>
          <w:bdr w:val="nil"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Dosljednost s postojećim odredbam</w:t>
      </w:r>
      <w:r>
        <w:rPr>
          <w:noProof/>
        </w:rPr>
        <w:t>a politike u određenom području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Cilj je ovog Prijedloga nastavak postojećih programa.</w:t>
      </w:r>
    </w:p>
    <w:p w:rsidR="00A87C4C" w:rsidRDefault="00A56C9B"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Dosljednost u odnosu na druge politike Unije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Prijedlog je potpuno u skladu s mandatom Vijeća za pregovore s Ujedinjenom Kraljevinom o njezinu povlačenju iz Unije</w:t>
      </w:r>
      <w:r>
        <w:rPr>
          <w:rStyle w:val="FootnoteReference"/>
          <w:noProof/>
        </w:rPr>
        <w:footnoteReference w:id="3"/>
      </w:r>
      <w:r>
        <w:rPr>
          <w:noProof/>
        </w:rPr>
        <w:t>.</w:t>
      </w:r>
      <w:r>
        <w:rPr>
          <w:rStyle w:val="CommentReference"/>
          <w:rFonts w:asciiTheme="minorHAnsi" w:hAnsiTheme="minorHAnsi" w:cstheme="minorBidi"/>
          <w:noProof/>
        </w:rPr>
        <w:t xml:space="preserve"> </w:t>
      </w:r>
    </w:p>
    <w:p w:rsidR="00A87C4C" w:rsidRDefault="00A56C9B">
      <w:pPr>
        <w:pStyle w:val="ManualHeading1"/>
        <w:rPr>
          <w:noProof/>
        </w:rPr>
      </w:pPr>
      <w:r>
        <w:rPr>
          <w:noProof/>
        </w:rPr>
        <w:t>2.</w:t>
      </w:r>
      <w:r>
        <w:rPr>
          <w:noProof/>
        </w:rPr>
        <w:tab/>
      </w:r>
      <w:r>
        <w:rPr>
          <w:noProof/>
        </w:rPr>
        <w:t>PRAVNA OSNOVA, SUPSIDIJARNOST I PROPORCIONALNOST</w:t>
      </w:r>
    </w:p>
    <w:p w:rsidR="00A87C4C" w:rsidRDefault="00A56C9B"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Pravna osnova</w:t>
      </w:r>
    </w:p>
    <w:p w:rsidR="00A87C4C" w:rsidRDefault="00A56C9B"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Članak 178. UFEU-a•</w:t>
      </w:r>
      <w:r>
        <w:rPr>
          <w:noProof/>
        </w:rPr>
        <w:tab/>
        <w:t xml:space="preserve">Supsidijarnost (za neisključivu nadležnost) 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 xml:space="preserve">Budući da se predloženim aktom nastoji osigurati nastavak dvaju programa suradnje uređenih Uredbom (EU) br. 1299/2013, </w:t>
      </w:r>
      <w:r>
        <w:rPr>
          <w:noProof/>
        </w:rPr>
        <w:t>usklađenost tih programa s načelom supsidijarnosti već je ispitana u trenutku njezina donošenja.</w:t>
      </w:r>
    </w:p>
    <w:p w:rsidR="00A87C4C" w:rsidRDefault="00A56C9B"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Proporcionalnost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Ovaj se Prijedlog smatra proporcionalnim jer se njime predviđaju nužne pravne promjene, a istodobno ne prelazi ono što je potrebno za uredan</w:t>
      </w:r>
      <w:r>
        <w:rPr>
          <w:noProof/>
        </w:rPr>
        <w:t xml:space="preserve"> nastavak dvaju programa suradnje između sjevera i juga koji uključuju teritorij Sjeverne Irske. </w:t>
      </w:r>
    </w:p>
    <w:p w:rsidR="00A87C4C" w:rsidRDefault="00A56C9B"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lastRenderedPageBreak/>
        <w:t>•</w:t>
      </w:r>
      <w:r>
        <w:rPr>
          <w:noProof/>
        </w:rPr>
        <w:tab/>
        <w:t>Odabir instrumenta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S obzirom na to da se ovaj akt nadovezuje na Uredbu (EU) br. 1299/2013, jedini je odgovarajući oblik instrumenta prijedlog uredbe.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Budući</w:t>
      </w:r>
      <w:r>
        <w:rPr>
          <w:noProof/>
        </w:rPr>
        <w:t xml:space="preserve"> da će se ova Uredba, koja će stupiti na snagu sljedećeg dana od dana objave u </w:t>
      </w:r>
      <w:r>
        <w:rPr>
          <w:i/>
          <w:noProof/>
        </w:rPr>
        <w:t>Službenom listu Europske unije</w:t>
      </w:r>
      <w:r>
        <w:rPr>
          <w:noProof/>
        </w:rPr>
        <w:t>, primjenjivati samo ako sporazum o povlačenju sklopljen s Ujedinjenom Kraljevinom u skladu s člankom 50. stavkom 2. Ugovora o Europskoj uniji ne s</w:t>
      </w:r>
      <w:r>
        <w:rPr>
          <w:noProof/>
        </w:rPr>
        <w:t xml:space="preserve">tupi na snagu do datuma prestanka primjene Ugovorâ na Ujedinjenu Kraljevinu i u Ujedinjenoj Kraljevini, predloženi </w:t>
      </w:r>
      <w:r>
        <w:rPr>
          <w:i/>
          <w:noProof/>
        </w:rPr>
        <w:t>ad hoc</w:t>
      </w:r>
      <w:r>
        <w:rPr>
          <w:noProof/>
        </w:rPr>
        <w:t xml:space="preserve"> akt prikladniji je od uredbe u obliku akta o izmjeni.</w:t>
      </w:r>
    </w:p>
    <w:p w:rsidR="00A87C4C" w:rsidRDefault="00A56C9B"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>REZULTATI EX POST EVALUACIJA, SAVJETOVANJA S DIONICIMA I PROCJENE UČINAKA</w:t>
      </w:r>
    </w:p>
    <w:p w:rsidR="00A87C4C" w:rsidRDefault="00A56C9B"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S</w:t>
      </w:r>
      <w:r>
        <w:rPr>
          <w:noProof/>
        </w:rPr>
        <w:t>avjetovanja s dionicima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Zbog hitnosti izrade prijedloga kako bi ga suzakonodavci mogli pravodobno donijeti, nije bilo moguće provesti savjetovanje s dionicima. </w:t>
      </w:r>
    </w:p>
    <w:p w:rsidR="00A87C4C" w:rsidRDefault="00A56C9B"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Procjena učinka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  <w:color w:val="000000" w:themeColor="text1"/>
        </w:rPr>
        <w:t>Zbog prirode predložene mjere, u skladu sa smjernicama za bolju regulativu ni</w:t>
      </w:r>
      <w:r>
        <w:rPr>
          <w:noProof/>
          <w:color w:val="000000" w:themeColor="text1"/>
        </w:rPr>
        <w:t xml:space="preserve">je provedena procjena učinka. Na raspolaganju nema drugih bitno različitih mogućnosti politike. </w:t>
      </w:r>
      <w:r>
        <w:rPr>
          <w:noProof/>
        </w:rPr>
        <w:t>Predviđena mjera jedina je izvediva mogućnost politike kojom se može osigurati uredan nastavak dvaju bilateralnih programa suradnje u koje je uključena Irska, o</w:t>
      </w:r>
      <w:r>
        <w:rPr>
          <w:noProof/>
        </w:rPr>
        <w:t>dnosno programa PEACE IV (Irska–Ujedinjena Kraljevina) i programa Ujedinjena Kraljevina–Irska (Irska–Sjeverna Irska–Škotska), nakon povlačenja Ujedinjene Kraljevine iz Unije.</w:t>
      </w:r>
    </w:p>
    <w:p w:rsidR="00A87C4C" w:rsidRDefault="00A56C9B">
      <w:pPr>
        <w:pStyle w:val="ManualHeading1"/>
        <w:rPr>
          <w:noProof/>
        </w:rPr>
      </w:pPr>
      <w:r>
        <w:rPr>
          <w:noProof/>
        </w:rPr>
        <w:t>4.</w:t>
      </w:r>
      <w:r>
        <w:rPr>
          <w:noProof/>
        </w:rPr>
        <w:tab/>
        <w:t>UTJECAJ NA PRORAČUN</w:t>
      </w:r>
    </w:p>
    <w:p w:rsidR="00A87C4C" w:rsidRDefault="00A56C9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  <w:color w:val="000000" w:themeColor="text1"/>
        </w:rPr>
      </w:pPr>
      <w:r>
        <w:rPr>
          <w:noProof/>
        </w:rPr>
        <w:t xml:space="preserve">Cilj je ovog Prijedloga osigurati, ako sporazum o </w:t>
      </w:r>
      <w:r>
        <w:rPr>
          <w:noProof/>
        </w:rPr>
        <w:t xml:space="preserve">povlačenju ne bude ratificiran, nastavak dvaju programa bilateralne suradnje u koje je uključena Irska, odnosno programa PEACE IV (Irska–Ujedinjena Kraljevina) i programa Ujedinjena Kraljevina–Irska (Irska–Sjeverna Irska–Škotska), bez promjene iznosa koji </w:t>
      </w:r>
      <w:r>
        <w:rPr>
          <w:noProof/>
        </w:rPr>
        <w:t>su dodijeljeni za njihovo financiranje.</w:t>
      </w:r>
      <w:r>
        <w:rPr>
          <w:noProof/>
          <w:color w:val="000000" w:themeColor="text1"/>
        </w:rPr>
        <w:t xml:space="preserve"> Ta će se dva programa i dalje financirati iz proračuna Unije. Mogućnost provedbe potrebnih kontrola i revizija u svim regijama sudionicama morat će se potvrditi sporazumom između Komisije i tijela Ujedinjene Kraljevi</w:t>
      </w:r>
      <w:r>
        <w:rPr>
          <w:noProof/>
          <w:color w:val="000000" w:themeColor="text1"/>
        </w:rPr>
        <w:t xml:space="preserve">ne te će biti uvjet za financiranje. </w:t>
      </w:r>
    </w:p>
    <w:p w:rsidR="00A87C4C" w:rsidRDefault="00A87C4C">
      <w:pPr>
        <w:rPr>
          <w:noProof/>
        </w:rPr>
        <w:sectPr w:rsidR="00A87C4C">
          <w:footerReference w:type="default" r:id="rId14"/>
          <w:footerReference w:type="first" r:id="rId15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:rsidR="00A87C4C" w:rsidRDefault="00A56C9B">
      <w:pPr>
        <w:pStyle w:val="Rfrenceinterinstitutionnelle"/>
        <w:rPr>
          <w:noProof/>
        </w:rPr>
      </w:pPr>
      <w:r>
        <w:rPr>
          <w:noProof/>
        </w:rPr>
        <w:t>2018/0432 (COD)</w:t>
      </w:r>
    </w:p>
    <w:p w:rsidR="00A87C4C" w:rsidRDefault="00A56C9B">
      <w:pPr>
        <w:pStyle w:val="Statut"/>
        <w:rPr>
          <w:noProof/>
        </w:rPr>
      </w:pPr>
      <w:r>
        <w:rPr>
          <w:noProof/>
        </w:rPr>
        <w:t>Prijedlog</w:t>
      </w:r>
    </w:p>
    <w:p w:rsidR="00A87C4C" w:rsidRDefault="00A56C9B">
      <w:pPr>
        <w:pStyle w:val="Typedudocument"/>
        <w:rPr>
          <w:noProof/>
        </w:rPr>
      </w:pPr>
      <w:r>
        <w:rPr>
          <w:noProof/>
        </w:rPr>
        <w:t>UREDBE EUROPSKOG PARLAMENTA I VIJEĆA</w:t>
      </w:r>
    </w:p>
    <w:p w:rsidR="00A87C4C" w:rsidRDefault="00A56C9B">
      <w:pPr>
        <w:pStyle w:val="Titreobjet"/>
        <w:rPr>
          <w:noProof/>
        </w:rPr>
      </w:pPr>
      <w:r>
        <w:rPr>
          <w:noProof/>
        </w:rPr>
        <w:t xml:space="preserve">radi omogućivanja nastavka programâ teritorijalne suradnje PEACE IV (Irska–Ujedinjena Kraljevina) </w:t>
      </w:r>
      <w:r>
        <w:rPr>
          <w:noProof/>
        </w:rPr>
        <w:t>i Ujedinjena Kraljevina–Irska (Irska–Sjeverna Irska–Škotska) u kontekstu povlačenja Ujedinjene Kraljevine iz Europske unije</w:t>
      </w:r>
    </w:p>
    <w:p w:rsidR="00A87C4C" w:rsidRDefault="00A56C9B">
      <w:pPr>
        <w:pStyle w:val="Institutionquiagit"/>
        <w:rPr>
          <w:noProof/>
        </w:rPr>
      </w:pPr>
      <w:r>
        <w:rPr>
          <w:noProof/>
        </w:rPr>
        <w:t>EUROPSKI PARLAMENT I VIJEĆE EUROPSKE UNIJE,</w:t>
      </w:r>
    </w:p>
    <w:p w:rsidR="00A87C4C" w:rsidRDefault="00A56C9B">
      <w:pPr>
        <w:rPr>
          <w:noProof/>
        </w:rPr>
      </w:pPr>
      <w:r>
        <w:rPr>
          <w:noProof/>
        </w:rPr>
        <w:t>uzimajući u obzir Ugovor o funkcioniranju Europske unije, a posebno njegov članak 178.,</w:t>
      </w:r>
    </w:p>
    <w:p w:rsidR="00A87C4C" w:rsidRDefault="00A56C9B">
      <w:pPr>
        <w:rPr>
          <w:noProof/>
          <w:szCs w:val="24"/>
        </w:rPr>
      </w:pPr>
      <w:r>
        <w:rPr>
          <w:noProof/>
        </w:rPr>
        <w:t xml:space="preserve">uzimajući u obzir prijedlog Europske komisije, </w:t>
      </w:r>
    </w:p>
    <w:p w:rsidR="00A87C4C" w:rsidRDefault="00A56C9B">
      <w:pPr>
        <w:rPr>
          <w:noProof/>
        </w:rPr>
      </w:pPr>
      <w:r>
        <w:rPr>
          <w:noProof/>
        </w:rPr>
        <w:t>nakon prosljeđivanja nacrta zakonodavnog akta nacionalnim parlamentima,</w:t>
      </w:r>
    </w:p>
    <w:p w:rsidR="00A87C4C" w:rsidRDefault="00A56C9B">
      <w:pPr>
        <w:rPr>
          <w:noProof/>
        </w:rPr>
      </w:pPr>
      <w:r>
        <w:rPr>
          <w:noProof/>
        </w:rPr>
        <w:t>uzimajući u obzir mišljenje Europskoga gospodarskog i socijalnog odbora</w:t>
      </w:r>
      <w:r>
        <w:rPr>
          <w:rStyle w:val="FootnoteReference"/>
          <w:noProof/>
        </w:rPr>
        <w:footnoteReference w:id="4"/>
      </w:r>
      <w:r>
        <w:rPr>
          <w:noProof/>
        </w:rPr>
        <w:t xml:space="preserve">, </w:t>
      </w:r>
    </w:p>
    <w:p w:rsidR="00A87C4C" w:rsidRDefault="00A56C9B">
      <w:pPr>
        <w:rPr>
          <w:noProof/>
        </w:rPr>
      </w:pPr>
      <w:r>
        <w:rPr>
          <w:noProof/>
        </w:rPr>
        <w:t>uzimajući u obzir mišljenje Odbora regija</w:t>
      </w:r>
      <w:r>
        <w:rPr>
          <w:rStyle w:val="FootnoteReference"/>
          <w:noProof/>
        </w:rPr>
        <w:footnoteReference w:id="5"/>
      </w:r>
      <w:r>
        <w:rPr>
          <w:noProof/>
        </w:rPr>
        <w:t>,</w:t>
      </w:r>
    </w:p>
    <w:p w:rsidR="00A87C4C" w:rsidRDefault="00A56C9B">
      <w:pPr>
        <w:rPr>
          <w:noProof/>
        </w:rPr>
      </w:pPr>
      <w:r>
        <w:rPr>
          <w:noProof/>
        </w:rPr>
        <w:t>u skladu s redovn</w:t>
      </w:r>
      <w:r>
        <w:rPr>
          <w:noProof/>
        </w:rPr>
        <w:t>im zakonodavnim postupkom,</w:t>
      </w:r>
    </w:p>
    <w:p w:rsidR="00A87C4C" w:rsidRDefault="00A56C9B">
      <w:pPr>
        <w:rPr>
          <w:noProof/>
        </w:rPr>
      </w:pPr>
      <w:r>
        <w:rPr>
          <w:noProof/>
        </w:rPr>
        <w:t>budući da:</w:t>
      </w:r>
    </w:p>
    <w:p w:rsidR="00A87C4C" w:rsidRDefault="00A56C9B"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  <w:sz w:val="23"/>
        </w:rPr>
        <w:t>Ujedinjena Kraljevina dostavila je 29. ožujka 2017.</w:t>
      </w:r>
      <w:r>
        <w:rPr>
          <w:noProof/>
        </w:rPr>
        <w:t xml:space="preserve"> obavijest o namjeri povlačenja iz Unije na temelju članka 50. Ugovora o Europskoj uniji. Ugovori se prestaju primjenjivati na Ujedinjenu Kraljevinu od dana stupan</w:t>
      </w:r>
      <w:r>
        <w:rPr>
          <w:noProof/>
        </w:rPr>
        <w:t>ja na snagu sporazuma o povlačenju ili, ako do toga ne dođe, dvije godine od te obavijesti, odnosno od 30. ožujka 2019., osim ako Europsko vijeće, u dogovoru s Ujedinjenom Kraljevinom, jednoglasno odluči produljiti to razdoblje.</w:t>
      </w:r>
      <w:r>
        <w:rPr>
          <w:noProof/>
          <w:sz w:val="23"/>
        </w:rPr>
        <w:t xml:space="preserve"> </w:t>
      </w:r>
    </w:p>
    <w:p w:rsidR="00A87C4C" w:rsidRDefault="00A56C9B"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>Povlačenje se odvija t</w:t>
      </w:r>
      <w:r>
        <w:rPr>
          <w:noProof/>
        </w:rPr>
        <w:t>ijekom programskog razdoblja 2014.–2020., u kojem Ujedinjena Kraljevina sudjeluje u 15 programa u okviru cilja „Europska teritorijalna suradnja” („programi suradnje”). Dva programa uključuju Sjevernu Irsku i njima se podupiru mir i pomirenje te suradnja sj</w:t>
      </w:r>
      <w:r>
        <w:rPr>
          <w:noProof/>
        </w:rPr>
        <w:t>evera i juga na temelju Sporazuma na Veliki petak, što Unija namjerava nastaviti čak i ako se Ujedinjena Kraljevina povuče iz Unije a da sporazum o povlačenju nije stupio na snagu do datuma prestanka primjene Ugovorâ na Ujedinjenu Kraljevinu i u Ujedinjeno</w:t>
      </w:r>
      <w:r>
        <w:rPr>
          <w:noProof/>
        </w:rPr>
        <w:t xml:space="preserve">j Kraljevini u skladu s člankom 50. stavkom 3. Ugovora o Europskoj uniji. Stoga bi se ova Uredba trebala ograničiti na ta dva programa suradnje. </w:t>
      </w:r>
    </w:p>
    <w:p w:rsidR="00A87C4C" w:rsidRDefault="00A56C9B"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Dva predmetna programa suradnje posebno su uređena Uredbom (EU) br. 1299/2013 Europskog parlamenta i Vijeć</w:t>
      </w:r>
      <w:r>
        <w:rPr>
          <w:noProof/>
        </w:rPr>
        <w:t>a</w:t>
      </w:r>
      <w:r>
        <w:rPr>
          <w:rStyle w:val="FootnoteReference"/>
          <w:noProof/>
        </w:rPr>
        <w:footnoteReference w:id="6"/>
      </w:r>
      <w:r>
        <w:rPr>
          <w:noProof/>
        </w:rPr>
        <w:t>, Uredbom (EU) br. 1303/2013 Europskog parlamenta i Vijeća</w:t>
      </w:r>
      <w:r>
        <w:rPr>
          <w:rStyle w:val="FootnoteReference"/>
          <w:noProof/>
        </w:rPr>
        <w:footnoteReference w:id="7"/>
      </w:r>
      <w:r>
        <w:rPr>
          <w:noProof/>
        </w:rPr>
        <w:t xml:space="preserve"> i Uredbom (EU, Euratom) 2018/1046 Europskog parlamenta i Vijeća</w:t>
      </w:r>
      <w:r>
        <w:rPr>
          <w:rStyle w:val="FootnoteReference"/>
          <w:noProof/>
        </w:rPr>
        <w:footnoteReference w:id="8"/>
      </w:r>
      <w:r>
        <w:rPr>
          <w:noProof/>
        </w:rPr>
        <w:t>. Ovom bi se Uredbom trebale utvrditi odredbe kojima bi se omogućio nastavak tih dvaju programa suradnje nakon povlačenja Ujedinje</w:t>
      </w:r>
      <w:r>
        <w:rPr>
          <w:noProof/>
        </w:rPr>
        <w:t>ne Kraljevine iz Unije u skladu s navedenim uredbama.</w:t>
      </w:r>
    </w:p>
    <w:p w:rsidR="00A87C4C" w:rsidRDefault="00A56C9B"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 xml:space="preserve">Kad je riječ o bilateralnim programima suradnje PEACE IV (Irska–Ujedinjena Kraljevina) i Ujedinjena Kraljevina–Irska (Irska–Sjeverna Irska–Škotska), upravljačko tijelo nalazi se u Tijelu za posebne </w:t>
      </w:r>
      <w:r>
        <w:rPr>
          <w:noProof/>
        </w:rPr>
        <w:t>programe EU-a, koje je uspostavljeno Sporazumom između Vlade Irske i Vlade Ujedinjene Kraljevine Velike Britanije i Sjeverne Irske o uspostavljanju provedbenih tijela, potpisanim 8. ožujka 1999. (Britansko-irski sporazum od 8. ožujka 1999.). Budući da ta d</w:t>
      </w:r>
      <w:r>
        <w:rPr>
          <w:noProof/>
        </w:rPr>
        <w:t xml:space="preserve">va programa suradnje uključuju Sjevernu Irsku, trebala bi se nastaviti provoditi uz nužne dopunske odredbe. </w:t>
      </w:r>
    </w:p>
    <w:p w:rsidR="00A87C4C" w:rsidRDefault="00A56C9B">
      <w:pPr>
        <w:pStyle w:val="ManualConsidrant"/>
        <w:rPr>
          <w:noProof/>
        </w:rPr>
      </w:pPr>
      <w:r>
        <w:t>(5)</w:t>
      </w:r>
      <w:r>
        <w:tab/>
      </w:r>
      <w:r>
        <w:rPr>
          <w:noProof/>
        </w:rPr>
        <w:t>U svrhu nastavka tih programa treba razjasniti da, ne dovodeći u pitanje članak 20. stavke 2. i 3. Uredbe (EU) br. 1299/2013, predmetni program</w:t>
      </w:r>
      <w:r>
        <w:rPr>
          <w:noProof/>
        </w:rPr>
        <w:t xml:space="preserve">i suradnje mogu obuhvaćati uključene regije u Ujedinjenoj Kraljevini, koje bi trebale biti jednake regijama razine NUTS 3.  </w:t>
      </w:r>
    </w:p>
    <w:p w:rsidR="00A87C4C" w:rsidRDefault="00A56C9B"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>U svrhu nastavka tih programa uz pomoć financijskih sredstava iz općeg proračuna EU-a trebao bi se sklopiti administrativni sporazum s učinkom od datuma prestanka primjene Ugovorâ na Ujedinjenu Kraljevinu i u Ujedinjenoj Kraljevini između Komisije i tijela</w:t>
      </w:r>
      <w:r>
        <w:rPr>
          <w:noProof/>
        </w:rPr>
        <w:t xml:space="preserve"> Ujedinjene Kraljevine kako bi se omogućile kontrole i revizije pojedinih programa. Ako se potrebne kontrole i revizije ne mogu provesti, Komisija bi trebala imati mogućnost prekinuti rokove plaćanja, suspendirati plaćanja i primijeniti financijske ispravk</w:t>
      </w:r>
      <w:r>
        <w:rPr>
          <w:noProof/>
        </w:rPr>
        <w:t xml:space="preserve">e kako je utvrđeno u člancima 83., 142., 144. i 145. Uredbe (EU) br. 1303/2013. </w:t>
      </w:r>
    </w:p>
    <w:p w:rsidR="00A87C4C" w:rsidRDefault="00A56C9B"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>U skladu s člankom 76. Uredbe (EU) br. 1303/2013 Odluka Komisije o odobrenju programa PEACE IV (Irska–Ujedinjena Kraljevina) C(2015) 8564 od 30. studenoga 2015., kako je i</w:t>
      </w:r>
      <w:r>
        <w:rPr>
          <w:noProof/>
        </w:rPr>
        <w:t>zmijenjena Odlukom C(2018) 5126 od 26. srpnja 2018., i Odluka o programu Interreg V-A C(2015) 890 od 12. veljače 2015., kako je izmijenjena Odlukom C(2016) 1547 od 10. ožujka 2016., i dalje čine odluku o financiranju u smislu Financijske uredbe, a time i p</w:t>
      </w:r>
      <w:r>
        <w:rPr>
          <w:noProof/>
        </w:rPr>
        <w:t xml:space="preserve">ravnu obvezu u smislu te uredbe. Ujedinjena Kraljevina i dalje je odgovorna za svoje financijske obveze koje je preuzela kao država članica, a koje se odnose na te pravne obveze Unije.  </w:t>
      </w:r>
    </w:p>
    <w:p w:rsidR="00A87C4C" w:rsidRDefault="00A56C9B">
      <w:pPr>
        <w:pStyle w:val="ManualConsidrant"/>
        <w:rPr>
          <w:noProof/>
        </w:rPr>
      </w:pPr>
      <w:r>
        <w:t>(8)</w:t>
      </w:r>
      <w:r>
        <w:tab/>
      </w:r>
      <w:r>
        <w:rPr>
          <w:noProof/>
        </w:rPr>
        <w:t>Ujedinjena Kraljevina prestaje, od datuma prestanka primjene Ugov</w:t>
      </w:r>
      <w:r>
        <w:rPr>
          <w:noProof/>
        </w:rPr>
        <w:t>orâ, biti dijelom „Unijina dijela programskog područja” u smislu članka 20. stavka 1. Uredbe (EU) br. 1299/2013. Stoga bi trebalo prilagoditi odredbe o prihvatljivosti operacija ovisno o lokaciji.</w:t>
      </w:r>
    </w:p>
    <w:p w:rsidR="00A87C4C" w:rsidRDefault="00A56C9B">
      <w:pPr>
        <w:pStyle w:val="ManualConsidrant"/>
        <w:rPr>
          <w:noProof/>
        </w:rPr>
      </w:pPr>
      <w:r>
        <w:t>(9)</w:t>
      </w:r>
      <w:r>
        <w:tab/>
      </w:r>
      <w:r>
        <w:rPr>
          <w:noProof/>
        </w:rPr>
        <w:t>Kako bi se omogućila brza primjena mjera predviđenih ov</w:t>
      </w:r>
      <w:r>
        <w:rPr>
          <w:noProof/>
        </w:rPr>
        <w:t xml:space="preserve">om Uredbom, ova Uredba trebala bi stupiti na snagu sljedećeg dana od dana objave u </w:t>
      </w:r>
      <w:r>
        <w:rPr>
          <w:i/>
          <w:noProof/>
        </w:rPr>
        <w:t>Službenom listu Europske unije</w:t>
      </w:r>
      <w:r>
        <w:rPr>
          <w:noProof/>
        </w:rPr>
        <w:t>. Ova bi se Uredba trebala primjenjivati samo ako sporazum o povlačenju sklopljen s Ujedinjenom Kraljevinom u skladu s člankom 50. stavkom 2. U</w:t>
      </w:r>
      <w:r>
        <w:rPr>
          <w:noProof/>
        </w:rPr>
        <w:t>govora o Europskoj uniji ne stupi na snagu do datuma prestanka primjene Ugovora na Ujedinjenu Kraljevinu i u Ujedinjenoj Kraljevini u skladu s člankom 50. stavkom 3. Ugovora o Europskoj uniji,</w:t>
      </w:r>
    </w:p>
    <w:p w:rsidR="00A87C4C" w:rsidRDefault="00A56C9B">
      <w:pPr>
        <w:pStyle w:val="Formuledadoption"/>
        <w:rPr>
          <w:noProof/>
        </w:rPr>
      </w:pPr>
      <w:r>
        <w:rPr>
          <w:noProof/>
        </w:rPr>
        <w:t>DONIJELI SU OVU UREDBU:</w:t>
      </w:r>
    </w:p>
    <w:p w:rsidR="00A87C4C" w:rsidRDefault="00A56C9B">
      <w:pPr>
        <w:pStyle w:val="Titrearticle"/>
        <w:rPr>
          <w:noProof/>
        </w:rPr>
      </w:pPr>
      <w:r>
        <w:rPr>
          <w:noProof/>
        </w:rPr>
        <w:t>Članak 1.</w:t>
      </w:r>
      <w:r>
        <w:rPr>
          <w:noProof/>
        </w:rPr>
        <w:br/>
      </w:r>
      <w:r>
        <w:rPr>
          <w:b/>
          <w:noProof/>
        </w:rPr>
        <w:t>Predmet i područje primjene</w:t>
      </w:r>
    </w:p>
    <w:p w:rsidR="00A87C4C" w:rsidRDefault="00A56C9B">
      <w:pPr>
        <w:rPr>
          <w:noProof/>
        </w:rPr>
      </w:pPr>
      <w:r>
        <w:rPr>
          <w:noProof/>
        </w:rPr>
        <w:t>O</w:t>
      </w:r>
      <w:r>
        <w:rPr>
          <w:noProof/>
        </w:rPr>
        <w:t>vom se Uredbom utvrđuju odredbe za suočavanje s posljedicama povlačenja Ujedinjene Kraljevine iz Unije u situaciji kad sporazum o povlačenju sklopljen s Ujedinjenom Kraljevinom u skladu s člankom 50. stavkom 2. Ugovora o Europskoj uniji nije stupio na snag</w:t>
      </w:r>
      <w:r>
        <w:rPr>
          <w:noProof/>
        </w:rPr>
        <w:t>u do datuma prestanka primjene Ugovorâ na Ujedinjenu Kraljevinu i u Ujedinjenoj Kraljevini u skladu s člankom 50. stavkom 3. Ugovora o Europskoj uniji i s obzirom na nastavak sljedećih dvaju programa suradnje obuhvaćenih Uredbom (EU) br. 1299/2013 u kojima</w:t>
      </w:r>
      <w:r>
        <w:rPr>
          <w:noProof/>
        </w:rPr>
        <w:t xml:space="preserve"> sudjeluje Ujedinjena Kraljevina („programi suradnje”): </w:t>
      </w:r>
    </w:p>
    <w:p w:rsidR="00A87C4C" w:rsidRDefault="00A56C9B">
      <w:pPr>
        <w:pStyle w:val="Point0number"/>
        <w:numPr>
          <w:ilvl w:val="0"/>
          <w:numId w:val="15"/>
        </w:numPr>
        <w:rPr>
          <w:noProof/>
        </w:rPr>
      </w:pPr>
      <w:r>
        <w:rPr>
          <w:noProof/>
        </w:rPr>
        <w:t xml:space="preserve">PEACE IV (Irska–Ujedinjena Kraljevina); </w:t>
      </w:r>
    </w:p>
    <w:p w:rsidR="00A87C4C" w:rsidRDefault="00A56C9B">
      <w:pPr>
        <w:pStyle w:val="Point0number"/>
        <w:rPr>
          <w:noProof/>
        </w:rPr>
      </w:pPr>
      <w:r>
        <w:rPr>
          <w:noProof/>
        </w:rPr>
        <w:t>Ujedinjena Kraljevina–Irska (Irska–Sjeverna Irska–Škotska).</w:t>
      </w:r>
    </w:p>
    <w:p w:rsidR="00A87C4C" w:rsidRDefault="00A56C9B">
      <w:pPr>
        <w:rPr>
          <w:noProof/>
        </w:rPr>
      </w:pPr>
      <w:r>
        <w:rPr>
          <w:noProof/>
        </w:rPr>
        <w:t>Uredba (EU) br. 1299/2013 nastavlja se primjenjivati na programe suradnje koji podliježu odredbama</w:t>
      </w:r>
      <w:r>
        <w:rPr>
          <w:noProof/>
        </w:rPr>
        <w:t xml:space="preserve"> ove Uredbe. </w:t>
      </w:r>
    </w:p>
    <w:p w:rsidR="00A87C4C" w:rsidRDefault="00A56C9B">
      <w:pPr>
        <w:pStyle w:val="Titrearticle"/>
        <w:ind w:left="1080"/>
        <w:rPr>
          <w:noProof/>
        </w:rPr>
      </w:pPr>
      <w:r>
        <w:rPr>
          <w:noProof/>
        </w:rPr>
        <w:t xml:space="preserve">Članak 2. </w:t>
      </w:r>
      <w:r>
        <w:rPr>
          <w:noProof/>
        </w:rPr>
        <w:br/>
      </w:r>
      <w:r>
        <w:rPr>
          <w:b/>
          <w:noProof/>
        </w:rPr>
        <w:t>Geografski opseg</w:t>
      </w:r>
    </w:p>
    <w:p w:rsidR="00A87C4C" w:rsidRDefault="00A56C9B">
      <w:pPr>
        <w:rPr>
          <w:noProof/>
        </w:rPr>
      </w:pPr>
      <w:r>
        <w:rPr>
          <w:noProof/>
        </w:rPr>
        <w:t>Ne dovodeći u pitanje članak 20. stavke 2. i 3. Uredbe (EU) br. 1299/2013, programi suradnje mogu obuhvaćati uključene regije u Ujedinjenoj Kraljevini, koje bi trebale biti jednake regijama razine NUTS 3.</w:t>
      </w:r>
    </w:p>
    <w:p w:rsidR="00A87C4C" w:rsidRDefault="00A56C9B">
      <w:pPr>
        <w:pStyle w:val="Titrearticle"/>
        <w:rPr>
          <w:noProof/>
        </w:rPr>
      </w:pPr>
      <w:r>
        <w:rPr>
          <w:noProof/>
        </w:rPr>
        <w:t>Članak 3.</w:t>
      </w:r>
      <w:r>
        <w:rPr>
          <w:noProof/>
        </w:rPr>
        <w:br/>
      </w:r>
      <w:r>
        <w:rPr>
          <w:b/>
          <w:noProof/>
        </w:rPr>
        <w:t>Programska tijela</w:t>
      </w:r>
    </w:p>
    <w:p w:rsidR="00A87C4C" w:rsidRDefault="00A56C9B">
      <w:pPr>
        <w:rPr>
          <w:noProof/>
        </w:rPr>
      </w:pPr>
      <w:r>
        <w:rPr>
          <w:noProof/>
        </w:rPr>
        <w:t>Odstupajući od članka 21. stavka 1. Uredbe (EU) br. 1299/2013</w:t>
      </w:r>
    </w:p>
    <w:p w:rsidR="00A87C4C" w:rsidRDefault="00A56C9B">
      <w:pPr>
        <w:pStyle w:val="ListDash"/>
        <w:rPr>
          <w:noProof/>
        </w:rPr>
      </w:pPr>
      <w:r>
        <w:rPr>
          <w:noProof/>
        </w:rPr>
        <w:t>Tijelo za posebne programe EU-a, u kojemu se nalaze upravljačko tijelo i tijelo za ovjeravanje programâ PEACE IV (Irska–Ujedinjena Kraljevina) i Ujedinjena Kraljevina–Irska (I</w:t>
      </w:r>
      <w:r>
        <w:rPr>
          <w:noProof/>
        </w:rPr>
        <w:t>rska–Sjeverna Irska–Škotska), i dalje obavlja svoje zadaće,</w:t>
      </w:r>
    </w:p>
    <w:p w:rsidR="00A87C4C" w:rsidRDefault="00A56C9B">
      <w:pPr>
        <w:pStyle w:val="ListDash"/>
        <w:spacing w:before="0" w:after="200" w:line="276" w:lineRule="auto"/>
        <w:jc w:val="left"/>
        <w:rPr>
          <w:i/>
          <w:noProof/>
        </w:rPr>
      </w:pPr>
      <w:r>
        <w:rPr>
          <w:noProof/>
        </w:rPr>
        <w:t xml:space="preserve">Ministarstvo financija Sjeverne Irske ostaje tijelo za reviziju tih programa. </w:t>
      </w:r>
      <w:bookmarkStart w:id="0" w:name="_GoBack"/>
      <w:bookmarkEnd w:id="0"/>
    </w:p>
    <w:p w:rsidR="00A87C4C" w:rsidRDefault="00A56C9B">
      <w:pPr>
        <w:pStyle w:val="Titrearticle"/>
        <w:rPr>
          <w:b/>
          <w:i w:val="0"/>
          <w:noProof/>
          <w:szCs w:val="24"/>
        </w:rPr>
      </w:pPr>
      <w:r>
        <w:rPr>
          <w:noProof/>
        </w:rPr>
        <w:t>Članak 4.</w:t>
      </w:r>
      <w:r>
        <w:rPr>
          <w:noProof/>
        </w:rPr>
        <w:br/>
      </w:r>
      <w:r>
        <w:rPr>
          <w:b/>
          <w:noProof/>
        </w:rPr>
        <w:t>Nadležnost Komisije u kontroli</w:t>
      </w:r>
    </w:p>
    <w:p w:rsidR="00A87C4C" w:rsidRDefault="00A56C9B">
      <w:pPr>
        <w:rPr>
          <w:noProof/>
        </w:rPr>
      </w:pPr>
      <w:r>
        <w:rPr>
          <w:noProof/>
        </w:rPr>
        <w:t xml:space="preserve">Komisija i tijela Ujedinjene Kraljevine dogovaraju se o primjeni pravila o </w:t>
      </w:r>
      <w:r>
        <w:rPr>
          <w:noProof/>
        </w:rPr>
        <w:t>kontrolama i revizijama pojedinih programa. Kontrole i revizije obuhvaćaju cijelo razdoblje programâ suradnje.</w:t>
      </w:r>
    </w:p>
    <w:p w:rsidR="00A87C4C" w:rsidRDefault="00A56C9B">
      <w:pPr>
        <w:rPr>
          <w:noProof/>
        </w:rPr>
      </w:pPr>
      <w:r>
        <w:rPr>
          <w:noProof/>
        </w:rPr>
        <w:t>Ako se potrebne kontrole i revizije programâ ne mogu provesti u svim predmetnim regijama, to predstavlja ozbiljan nedostatak u sustavu upravljanj</w:t>
      </w:r>
      <w:r>
        <w:rPr>
          <w:noProof/>
        </w:rPr>
        <w:t>a i kontrole za potrebe mjera utvrđenih u člancima 83., 142., 144. i 145. Uredbe (EU) br. 1303/2013.</w:t>
      </w:r>
    </w:p>
    <w:p w:rsidR="00A87C4C" w:rsidRDefault="00A56C9B">
      <w:pPr>
        <w:pStyle w:val="Titrearticle"/>
        <w:rPr>
          <w:noProof/>
        </w:rPr>
      </w:pPr>
      <w:r>
        <w:rPr>
          <w:noProof/>
        </w:rPr>
        <w:t>Članak 5.</w:t>
      </w:r>
      <w:r>
        <w:rPr>
          <w:noProof/>
        </w:rPr>
        <w:br/>
      </w:r>
      <w:r>
        <w:rPr>
          <w:b/>
          <w:noProof/>
        </w:rPr>
        <w:t>Prihvatljivost operacija ovisno o lokaciji</w:t>
      </w:r>
    </w:p>
    <w:p w:rsidR="00A87C4C" w:rsidRDefault="00A56C9B">
      <w:pPr>
        <w:rPr>
          <w:noProof/>
        </w:rPr>
      </w:pPr>
      <w:r>
        <w:rPr>
          <w:noProof/>
        </w:rPr>
        <w:t xml:space="preserve">Gornja granica utvrđena člankom 20. stavkom 2. točkom (b) Uredbe (EU) br. 1299/2013 ne primjenjuje se </w:t>
      </w:r>
      <w:r>
        <w:rPr>
          <w:noProof/>
        </w:rPr>
        <w:t>na programe suradnje.</w:t>
      </w:r>
    </w:p>
    <w:p w:rsidR="00A87C4C" w:rsidRDefault="00A56C9B">
      <w:pPr>
        <w:pStyle w:val="Titrearticle"/>
        <w:rPr>
          <w:noProof/>
        </w:rPr>
      </w:pPr>
      <w:r>
        <w:rPr>
          <w:noProof/>
        </w:rPr>
        <w:t>Članak 6.</w:t>
      </w:r>
      <w:r>
        <w:br/>
      </w:r>
      <w:r>
        <w:rPr>
          <w:b/>
          <w:noProof/>
        </w:rPr>
        <w:t>Stupanje na snagu i primjena</w:t>
      </w:r>
    </w:p>
    <w:p w:rsidR="00A87C4C" w:rsidRDefault="00A56C9B">
      <w:pPr>
        <w:rPr>
          <w:noProof/>
        </w:rPr>
      </w:pPr>
      <w:r>
        <w:rPr>
          <w:noProof/>
        </w:rPr>
        <w:t xml:space="preserve">Ova Uredba stupa na snagu sljedećeg dana od dana objave u </w:t>
      </w:r>
      <w:r>
        <w:rPr>
          <w:i/>
          <w:noProof/>
        </w:rPr>
        <w:t>Službenom listu Europske unije</w:t>
      </w:r>
      <w:r>
        <w:rPr>
          <w:noProof/>
        </w:rPr>
        <w:t xml:space="preserve">. </w:t>
      </w:r>
    </w:p>
    <w:p w:rsidR="00A87C4C" w:rsidRDefault="00A56C9B">
      <w:pPr>
        <w:keepNext/>
        <w:rPr>
          <w:noProof/>
        </w:rPr>
      </w:pPr>
      <w:r>
        <w:rPr>
          <w:noProof/>
        </w:rPr>
        <w:t>Primjenjuje se od sljedećeg dana od dana prestanka primjene Ugovorâ na Ujedinjenu Kraljevinu i u Ujedinj</w:t>
      </w:r>
      <w:r>
        <w:rPr>
          <w:noProof/>
        </w:rPr>
        <w:t>enoj Kraljevini u skladu s člankom 50. stavkom 3. Ugovora o Europskoj uniji.</w:t>
      </w:r>
    </w:p>
    <w:p w:rsidR="00A87C4C" w:rsidRDefault="00A56C9B">
      <w:pPr>
        <w:keepNext/>
        <w:rPr>
          <w:noProof/>
        </w:rPr>
      </w:pPr>
      <w:r>
        <w:rPr>
          <w:noProof/>
        </w:rPr>
        <w:t>Međutim, ova se Uredba ne primjenjuje ako sporazum o povlačenju sklopljen s Ujedinjenom Kraljevinom u skladu s člankom 50. stavkom 2. Ugovora o Europskoj uniji stupi na snagu do t</w:t>
      </w:r>
      <w:r>
        <w:rPr>
          <w:noProof/>
        </w:rPr>
        <w:t>og datuma.</w:t>
      </w:r>
    </w:p>
    <w:p w:rsidR="00A87C4C" w:rsidRDefault="00A56C9B">
      <w:pPr>
        <w:pStyle w:val="Applicationdirecte"/>
        <w:rPr>
          <w:noProof/>
        </w:rPr>
      </w:pPr>
      <w:r>
        <w:rPr>
          <w:noProof/>
        </w:rPr>
        <w:t>Ova je Uredba u cijelosti obvezujuća i izravno se primjenjuje u svim državama članicama.</w:t>
      </w:r>
    </w:p>
    <w:p w:rsidR="00A87C4C" w:rsidRDefault="00A56C9B">
      <w:pPr>
        <w:pStyle w:val="Fait"/>
        <w:rPr>
          <w:noProof/>
        </w:rPr>
      </w:pPr>
      <w:r>
        <w:t>Sastavljeno u Bruxellesu,</w:t>
      </w:r>
    </w:p>
    <w:p w:rsidR="00A87C4C" w:rsidRDefault="00A56C9B">
      <w:pPr>
        <w:pStyle w:val="Institutionquisigne"/>
        <w:rPr>
          <w:noProof/>
        </w:rPr>
      </w:pPr>
      <w:r>
        <w:rPr>
          <w:noProof/>
        </w:rPr>
        <w:t>Za Europski parlament</w:t>
      </w:r>
      <w:r>
        <w:rPr>
          <w:noProof/>
        </w:rPr>
        <w:tab/>
        <w:t>Za Vijeće</w:t>
      </w:r>
    </w:p>
    <w:p w:rsidR="00A87C4C" w:rsidRDefault="00A56C9B">
      <w:pPr>
        <w:pStyle w:val="Personnequisigne"/>
        <w:rPr>
          <w:i w:val="0"/>
          <w:noProof/>
        </w:rPr>
      </w:pPr>
      <w:r>
        <w:rPr>
          <w:noProof/>
        </w:rPr>
        <w:t>Predsjednik</w:t>
      </w:r>
      <w:r>
        <w:rPr>
          <w:noProof/>
        </w:rPr>
        <w:tab/>
        <w:t>Predsjednik</w:t>
      </w:r>
    </w:p>
    <w:p w:rsidR="00A87C4C" w:rsidRDefault="00A87C4C">
      <w:pPr>
        <w:pStyle w:val="Personnequisigne"/>
        <w:rPr>
          <w:noProof/>
        </w:rPr>
        <w:sectPr w:rsidR="00A87C4C"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:rsidR="00A87C4C" w:rsidRDefault="00A56C9B">
      <w:pPr>
        <w:pStyle w:val="Fichefinanciretitre"/>
        <w:rPr>
          <w:noProof/>
        </w:rPr>
      </w:pPr>
      <w:r>
        <w:rPr>
          <w:noProof/>
        </w:rPr>
        <w:t>ZAKONODAVNI FINANCIJSKI IZVJEŠTAJ</w:t>
      </w:r>
    </w:p>
    <w:p w:rsidR="00A87C4C" w:rsidRDefault="00A56C9B">
      <w:pPr>
        <w:pStyle w:val="ManualHeading1"/>
        <w:rPr>
          <w:noProof/>
        </w:rPr>
      </w:pPr>
      <w:bookmarkStart w:id="1" w:name="_Toc514938007"/>
      <w:bookmarkStart w:id="2" w:name="_Toc520485025"/>
      <w:r>
        <w:t>1.</w:t>
      </w:r>
      <w:r>
        <w:tab/>
      </w:r>
      <w:r>
        <w:rPr>
          <w:noProof/>
        </w:rPr>
        <w:t xml:space="preserve">OKVIR </w:t>
      </w:r>
      <w:r>
        <w:rPr>
          <w:noProof/>
        </w:rPr>
        <w:t>PRIJEDLOGA/INICIJATIVE</w:t>
      </w:r>
      <w:bookmarkEnd w:id="1"/>
      <w:bookmarkEnd w:id="2"/>
      <w:r>
        <w:rPr>
          <w:noProof/>
        </w:rPr>
        <w:t xml:space="preserve"> </w:t>
      </w:r>
    </w:p>
    <w:p w:rsidR="00A87C4C" w:rsidRDefault="00A56C9B">
      <w:pPr>
        <w:pStyle w:val="ManualHeading2"/>
        <w:rPr>
          <w:noProof/>
        </w:rPr>
      </w:pPr>
      <w:bookmarkStart w:id="3" w:name="_Toc514938008"/>
      <w:bookmarkStart w:id="4" w:name="_Toc520485026"/>
      <w:r>
        <w:t>1.1.</w:t>
      </w:r>
      <w:r>
        <w:tab/>
      </w:r>
      <w:r>
        <w:rPr>
          <w:noProof/>
        </w:rPr>
        <w:t>Naslov prijedloga/inicijative</w:t>
      </w:r>
      <w:bookmarkEnd w:id="3"/>
      <w:bookmarkEnd w:id="4"/>
    </w:p>
    <w:p w:rsidR="00A87C4C" w:rsidRDefault="00A56C9B">
      <w:pPr>
        <w:pStyle w:val="ManualHeading2"/>
        <w:rPr>
          <w:i/>
          <w:noProof/>
        </w:rPr>
      </w:pPr>
      <w:bookmarkStart w:id="5" w:name="_Toc514938011"/>
      <w:bookmarkStart w:id="6" w:name="_Toc520485027"/>
      <w:r>
        <w:t>1.2.</w:t>
      </w:r>
      <w:r>
        <w:tab/>
      </w:r>
      <w:r>
        <w:rPr>
          <w:noProof/>
        </w:rPr>
        <w:t>Odgovarajuća područja politike</w:t>
      </w:r>
      <w:bookmarkEnd w:id="5"/>
      <w:bookmarkEnd w:id="6"/>
      <w:r>
        <w:rPr>
          <w:i/>
          <w:noProof/>
        </w:rPr>
        <w:t xml:space="preserve"> </w:t>
      </w:r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Prijedlog uredbe Europskog parlamenta i Vijeća o posebnim odredbama za upravljanje programima europske teritorijalne suradnje u kontekstu povlačenja Ujedinjene </w:t>
      </w:r>
      <w:r>
        <w:rPr>
          <w:noProof/>
        </w:rPr>
        <w:t>Kraljevine iz Europske unije</w:t>
      </w:r>
    </w:p>
    <w:p w:rsidR="00A87C4C" w:rsidRDefault="00A56C9B">
      <w:pPr>
        <w:pStyle w:val="ManualHeading2"/>
        <w:rPr>
          <w:bCs/>
          <w:noProof/>
          <w:szCs w:val="24"/>
        </w:rPr>
      </w:pPr>
      <w:bookmarkStart w:id="7" w:name="_Toc514938025"/>
      <w:bookmarkStart w:id="8" w:name="_Toc520485034"/>
      <w:r>
        <w:t>1.3.</w:t>
      </w:r>
      <w:r>
        <w:tab/>
      </w:r>
      <w:r>
        <w:rPr>
          <w:noProof/>
        </w:rPr>
        <w:t>Osnova prijedloga/inicijative</w:t>
      </w:r>
      <w:bookmarkEnd w:id="7"/>
      <w:bookmarkEnd w:id="8"/>
      <w:r>
        <w:rPr>
          <w:noProof/>
        </w:rPr>
        <w:t xml:space="preserve"> </w:t>
      </w:r>
    </w:p>
    <w:p w:rsidR="00A87C4C" w:rsidRDefault="00A56C9B">
      <w:pPr>
        <w:pStyle w:val="ManualHeading3"/>
        <w:rPr>
          <w:noProof/>
        </w:rPr>
      </w:pPr>
      <w:bookmarkStart w:id="9" w:name="_Toc514938026"/>
      <w:bookmarkStart w:id="10" w:name="_Toc520485035"/>
      <w:r>
        <w:t>1.3.1.</w:t>
      </w:r>
      <w:r>
        <w:tab/>
      </w:r>
      <w:r>
        <w:rPr>
          <w:noProof/>
        </w:rPr>
        <w:t>Zahtjevi koje treba ispuniti u kratkoročnom ili dugoročnom razdoblju, uključujući detaljan vremenski plan provedbe inicijative</w:t>
      </w:r>
      <w:bookmarkEnd w:id="9"/>
      <w:bookmarkEnd w:id="10"/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Ova Uredba stupa na snagu sljedećeg dana od dana objave u</w:t>
      </w:r>
      <w:r>
        <w:rPr>
          <w:noProof/>
        </w:rPr>
        <w:t xml:space="preserve"> </w:t>
      </w:r>
      <w:r>
        <w:rPr>
          <w:i/>
          <w:noProof/>
        </w:rPr>
        <w:t>Službenom listu Europske unije</w:t>
      </w:r>
      <w:r>
        <w:rPr>
          <w:noProof/>
        </w:rPr>
        <w:t>.</w:t>
      </w:r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Primjenjuje se od sljedećeg dana od dana prestanka primjene Ugovorâ na Ujedinjenu Kraljevinu i u Ujedinjenoj Kraljevini u skladu s člankom 50. stavkom 3. Ugovora o Europskoj uniji.</w:t>
      </w:r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Ova se Uredba ne primjenjuje ako sporazum </w:t>
      </w:r>
      <w:r>
        <w:rPr>
          <w:noProof/>
        </w:rPr>
        <w:t>o povlačenju sklopljen s Ujedinjenom Kraljevinom u skladu s člankom 50. stavkom 2. Ugovora o Europskoj uniji stupi na snagu do tog datuma.</w:t>
      </w:r>
    </w:p>
    <w:p w:rsidR="00A87C4C" w:rsidRDefault="00A56C9B">
      <w:pPr>
        <w:pStyle w:val="ManualHeading3"/>
        <w:rPr>
          <w:bCs/>
          <w:noProof/>
          <w:szCs w:val="24"/>
        </w:rPr>
      </w:pPr>
      <w:bookmarkStart w:id="11" w:name="_Toc514938029"/>
      <w:bookmarkStart w:id="12" w:name="_Toc520485036"/>
      <w:r>
        <w:t>1.3.2.</w:t>
      </w:r>
      <w:r>
        <w:tab/>
      </w:r>
      <w:r>
        <w:rPr>
          <w:noProof/>
        </w:rPr>
        <w:t>Dodana vrijednost angažmana Unije (može proizlaziti iz raznih čimbenika, npr. bolje koordinacije, pravne sigur</w:t>
      </w:r>
      <w:r>
        <w:rPr>
          <w:noProof/>
        </w:rPr>
        <w:t>nosti, veće djelotvornosti ili komplementarnosti). Za potrebe ove točke „dodana vrijednost angažmana Unije” vrijednost je intervencije Unije koja je dodana vrijednosti koju bi države članice inače ostvarile svojim zasebnim djelovanjima.</w:t>
      </w:r>
      <w:bookmarkEnd w:id="11"/>
      <w:bookmarkEnd w:id="12"/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Nije primjenjivo.</w:t>
      </w:r>
    </w:p>
    <w:p w:rsidR="00A87C4C" w:rsidRDefault="00A56C9B">
      <w:pPr>
        <w:pStyle w:val="ManualHeading3"/>
        <w:rPr>
          <w:noProof/>
        </w:rPr>
      </w:pPr>
      <w:bookmarkStart w:id="13" w:name="_Toc514938030"/>
      <w:bookmarkStart w:id="14" w:name="_Toc520485037"/>
      <w:r>
        <w:t>1</w:t>
      </w:r>
      <w:r>
        <w:t>.3.3.</w:t>
      </w:r>
      <w:r>
        <w:tab/>
      </w:r>
      <w:r>
        <w:rPr>
          <w:noProof/>
        </w:rPr>
        <w:t>Pouke iz prijašnjih sličnih iskustava</w:t>
      </w:r>
      <w:bookmarkEnd w:id="13"/>
      <w:bookmarkEnd w:id="14"/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Nije primjenjivo.</w:t>
      </w:r>
    </w:p>
    <w:p w:rsidR="00A87C4C" w:rsidRDefault="00A56C9B">
      <w:pPr>
        <w:pStyle w:val="ManualHeading3"/>
        <w:rPr>
          <w:noProof/>
        </w:rPr>
      </w:pPr>
      <w:bookmarkStart w:id="15" w:name="_Toc514938033"/>
      <w:bookmarkStart w:id="16" w:name="_Toc520485038"/>
      <w:r>
        <w:t>1.3.4.</w:t>
      </w:r>
      <w:r>
        <w:tab/>
      </w:r>
      <w:r>
        <w:rPr>
          <w:noProof/>
        </w:rPr>
        <w:t>Usklađenost s višegodišnjim financijskim okvirom i moguće sinergije s drugim prikladnim instrumentima</w:t>
      </w:r>
      <w:bookmarkEnd w:id="15"/>
      <w:bookmarkEnd w:id="16"/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Ova je Uredba u skladu s VFO-om. Nema financijski učinak.</w:t>
      </w:r>
    </w:p>
    <w:p w:rsidR="00A87C4C" w:rsidRDefault="00A56C9B">
      <w:pPr>
        <w:pStyle w:val="ManualHeading3"/>
        <w:rPr>
          <w:noProof/>
        </w:rPr>
      </w:pPr>
      <w:bookmarkStart w:id="17" w:name="_Toc514938036"/>
      <w:bookmarkStart w:id="18" w:name="_Toc520485039"/>
      <w:r>
        <w:t>1.3.5.</w:t>
      </w:r>
      <w:r>
        <w:tab/>
      </w:r>
      <w:r>
        <w:rPr>
          <w:noProof/>
        </w:rPr>
        <w:t>Ocjena različitih do</w:t>
      </w:r>
      <w:r>
        <w:rPr>
          <w:noProof/>
        </w:rPr>
        <w:t>stupnih mogućnosti financiranja, uključujući mogućnost preraspodjele</w:t>
      </w:r>
      <w:bookmarkEnd w:id="17"/>
      <w:bookmarkEnd w:id="18"/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</w:rPr>
      </w:pPr>
      <w:r>
        <w:rPr>
          <w:noProof/>
        </w:rPr>
        <w:t>Ova Uredba nema financijski učinak. Doprinos Unije za programe financirat će se iz općeg proračuna Unije.</w:t>
      </w:r>
    </w:p>
    <w:p w:rsidR="00A87C4C" w:rsidRDefault="00A87C4C">
      <w:pPr>
        <w:pStyle w:val="Text1"/>
        <w:rPr>
          <w:noProof/>
        </w:rPr>
      </w:pPr>
    </w:p>
    <w:p w:rsidR="00A87C4C" w:rsidRDefault="00A56C9B">
      <w:pPr>
        <w:pStyle w:val="ManualHeading2"/>
        <w:rPr>
          <w:bCs/>
          <w:noProof/>
          <w:szCs w:val="24"/>
        </w:rPr>
      </w:pPr>
      <w:r>
        <w:rPr>
          <w:noProof/>
        </w:rPr>
        <w:br w:type="page"/>
      </w:r>
      <w:bookmarkStart w:id="19" w:name="_Toc514938039"/>
      <w:bookmarkStart w:id="20" w:name="_Toc520485040"/>
      <w:r>
        <w:t>1.4.</w:t>
      </w:r>
      <w:r>
        <w:tab/>
      </w:r>
      <w:r>
        <w:rPr>
          <w:noProof/>
        </w:rPr>
        <w:t>Trajanje i financijski učinak prijedloga/inicijative</w:t>
      </w:r>
      <w:bookmarkEnd w:id="19"/>
      <w:bookmarkEnd w:id="20"/>
    </w:p>
    <w:p w:rsidR="00A87C4C" w:rsidRDefault="00A56C9B">
      <w:pPr>
        <w:pStyle w:val="ListDash1"/>
        <w:rPr>
          <w:noProof/>
        </w:rPr>
      </w:pPr>
      <w:r>
        <w:rPr>
          <w:b/>
          <w:noProof/>
        </w:rPr>
        <w:t>X</w:t>
      </w:r>
      <w:r>
        <w:rPr>
          <w:noProof/>
        </w:rPr>
        <w:t xml:space="preserve"> Nema financijski učinak</w:t>
      </w:r>
    </w:p>
    <w:p w:rsidR="00A87C4C" w:rsidRDefault="00A56C9B">
      <w:pPr>
        <w:pStyle w:val="ManualHeading2"/>
        <w:rPr>
          <w:bCs/>
          <w:noProof/>
          <w:szCs w:val="24"/>
        </w:rPr>
      </w:pPr>
      <w:bookmarkStart w:id="21" w:name="_Toc514938040"/>
      <w:bookmarkStart w:id="22" w:name="_Toc520485041"/>
      <w:r>
        <w:t>1.5.</w:t>
      </w:r>
      <w:r>
        <w:tab/>
      </w:r>
      <w:r>
        <w:rPr>
          <w:noProof/>
        </w:rPr>
        <w:t>Predviđeni načini upravljanja</w:t>
      </w:r>
      <w:r>
        <w:rPr>
          <w:rStyle w:val="FootnoteReference"/>
          <w:noProof/>
        </w:rPr>
        <w:footnoteReference w:id="9"/>
      </w:r>
      <w:bookmarkEnd w:id="21"/>
      <w:bookmarkEnd w:id="22"/>
      <w:r>
        <w:rPr>
          <w:rStyle w:val="FootnoteReference"/>
          <w:noProof/>
        </w:rPr>
        <w:t xml:space="preserve"> </w:t>
      </w:r>
    </w:p>
    <w:p w:rsidR="00A87C4C" w:rsidRDefault="00A56C9B"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b/>
          <w:noProof/>
        </w:rPr>
        <w:t>Izravno upravljanje</w:t>
      </w:r>
      <w:r>
        <w:rPr>
          <w:noProof/>
        </w:rPr>
        <w:t xml:space="preserve"> koje provodi Komisija</w:t>
      </w:r>
    </w:p>
    <w:p w:rsidR="00A87C4C" w:rsidRDefault="00A56C9B">
      <w:pPr>
        <w:pStyle w:val="ListDash2"/>
        <w:rPr>
          <w:rFonts w:cs="EUAlbertina"/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putem svojih službi, uključujući osoblje u delegacijama Unije </w:t>
      </w:r>
    </w:p>
    <w:p w:rsidR="00A87C4C" w:rsidRDefault="00A56C9B"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putem izvršnih agencija </w:t>
      </w:r>
    </w:p>
    <w:p w:rsidR="00A87C4C" w:rsidRDefault="00A56C9B">
      <w:pPr>
        <w:pStyle w:val="Text1"/>
        <w:rPr>
          <w:noProof/>
        </w:rPr>
      </w:pPr>
      <w:r>
        <w:rPr>
          <w:b/>
          <w:noProof/>
        </w:rPr>
        <w:t>X Podijeljeno upravljanje</w:t>
      </w:r>
      <w:r>
        <w:rPr>
          <w:noProof/>
        </w:rPr>
        <w:t xml:space="preserve"> s državama članicama </w:t>
      </w:r>
    </w:p>
    <w:p w:rsidR="00A87C4C" w:rsidRDefault="00A56C9B"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</w:t>
      </w:r>
      <w:r>
        <w:rPr>
          <w:b/>
          <w:noProof/>
        </w:rPr>
        <w:t>Neizravno</w:t>
      </w:r>
      <w:r>
        <w:rPr>
          <w:b/>
          <w:noProof/>
        </w:rPr>
        <w:t xml:space="preserve"> upravljanje</w:t>
      </w:r>
      <w:r>
        <w:rPr>
          <w:noProof/>
        </w:rPr>
        <w:t xml:space="preserve"> povjeravanjem zadaća izvršenja proračuna:</w:t>
      </w:r>
    </w:p>
    <w:p w:rsidR="00A87C4C" w:rsidRDefault="00A56C9B"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trećim zemljama ili tijelima koja su one odredile</w:t>
      </w:r>
    </w:p>
    <w:p w:rsidR="00A87C4C" w:rsidRDefault="00A56C9B"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međunarodnim organizacijama i njihovim agencijama (navesti)</w:t>
      </w:r>
    </w:p>
    <w:p w:rsidR="00A87C4C" w:rsidRDefault="00A56C9B"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EIB-u i Europskom investicijskom fondu</w:t>
      </w:r>
    </w:p>
    <w:p w:rsidR="00A87C4C" w:rsidRDefault="00A56C9B"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tijelima iz članaka 70. i 71. Financijske ur</w:t>
      </w:r>
      <w:r>
        <w:rPr>
          <w:noProof/>
        </w:rPr>
        <w:t>edbe</w:t>
      </w:r>
    </w:p>
    <w:p w:rsidR="00A87C4C" w:rsidRDefault="00A56C9B"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tijelima javnog prava</w:t>
      </w:r>
    </w:p>
    <w:p w:rsidR="00A87C4C" w:rsidRDefault="00A56C9B"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tijelima uređenima privatnim pravom koja pružaju javne usluge u mjeri u kojoj daju odgovarajuća financijska jamstva</w:t>
      </w:r>
    </w:p>
    <w:p w:rsidR="00A87C4C" w:rsidRDefault="00A56C9B"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tijelima uređenima privatnim pravom države članice kojima je povjerena provedba javno-privatnog partnerstva</w:t>
      </w:r>
      <w:r>
        <w:rPr>
          <w:noProof/>
        </w:rPr>
        <w:t xml:space="preserve"> i koja daju odgovarajuća financijska jamstva</w:t>
      </w:r>
    </w:p>
    <w:p w:rsidR="00A87C4C" w:rsidRDefault="00A56C9B"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osobama kojima je povjerena provedba određenih djelovanja u području ZVSP-a u skladu s glavom V. UEU-a i koje su navedene u odgovarajućem temeljnom aktu.</w:t>
      </w:r>
    </w:p>
    <w:p w:rsidR="00A87C4C" w:rsidRDefault="00A56C9B">
      <w:pPr>
        <w:pStyle w:val="ListDash2"/>
        <w:rPr>
          <w:i/>
          <w:noProof/>
          <w:sz w:val="18"/>
          <w:u w:val="single"/>
        </w:rPr>
      </w:pPr>
      <w:r>
        <w:rPr>
          <w:i/>
          <w:noProof/>
          <w:sz w:val="18"/>
        </w:rPr>
        <w:t>Ako je označeno više načina upravljanja, pojedinosti n</w:t>
      </w:r>
      <w:r>
        <w:rPr>
          <w:i/>
          <w:noProof/>
          <w:sz w:val="18"/>
        </w:rPr>
        <w:t>avesti u odjeljku „Napomene”.</w:t>
      </w:r>
    </w:p>
    <w:p w:rsidR="00A87C4C" w:rsidRDefault="00A56C9B">
      <w:pPr>
        <w:rPr>
          <w:noProof/>
        </w:rPr>
      </w:pPr>
      <w:r>
        <w:rPr>
          <w:noProof/>
        </w:rPr>
        <w:t xml:space="preserve">Napomene </w:t>
      </w:r>
    </w:p>
    <w:p w:rsidR="00A87C4C" w:rsidRDefault="00A56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  <w:sectPr w:rsidR="00A87C4C"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  <w:r>
        <w:t>Nije primjenjivo.</w:t>
      </w:r>
    </w:p>
    <w:p w:rsidR="00A87C4C" w:rsidRDefault="00A56C9B">
      <w:pPr>
        <w:pStyle w:val="ManualHeading1"/>
        <w:rPr>
          <w:bCs/>
          <w:noProof/>
          <w:szCs w:val="24"/>
        </w:rPr>
      </w:pPr>
      <w:bookmarkStart w:id="23" w:name="_Toc514938041"/>
      <w:bookmarkStart w:id="24" w:name="_Toc520485042"/>
      <w:r>
        <w:t>2.</w:t>
      </w:r>
      <w:r>
        <w:tab/>
      </w:r>
      <w:r>
        <w:rPr>
          <w:noProof/>
        </w:rPr>
        <w:t>MJERE UPRAVLJANJA</w:t>
      </w:r>
      <w:bookmarkEnd w:id="23"/>
      <w:bookmarkEnd w:id="24"/>
      <w:r>
        <w:rPr>
          <w:noProof/>
        </w:rPr>
        <w:t xml:space="preserve"> </w:t>
      </w:r>
    </w:p>
    <w:p w:rsidR="00A87C4C" w:rsidRDefault="00A56C9B">
      <w:pPr>
        <w:pStyle w:val="ManualHeading2"/>
        <w:rPr>
          <w:noProof/>
        </w:rPr>
      </w:pPr>
      <w:bookmarkStart w:id="25" w:name="_Toc514938042"/>
      <w:bookmarkStart w:id="26" w:name="_Toc520485043"/>
      <w:r>
        <w:t>2.1.</w:t>
      </w:r>
      <w:r>
        <w:tab/>
      </w:r>
      <w:r>
        <w:rPr>
          <w:noProof/>
        </w:rPr>
        <w:t>Pravila nadzora i izvješćivanja</w:t>
      </w:r>
      <w:bookmarkEnd w:id="25"/>
      <w:bookmarkEnd w:id="26"/>
      <w:r>
        <w:rPr>
          <w:noProof/>
        </w:rPr>
        <w:t xml:space="preserve"> </w:t>
      </w:r>
    </w:p>
    <w:p w:rsidR="00A87C4C" w:rsidRDefault="00A56C9B">
      <w:pPr>
        <w:pStyle w:val="Text1"/>
        <w:rPr>
          <w:i/>
          <w:noProof/>
          <w:sz w:val="20"/>
        </w:rPr>
      </w:pPr>
      <w:r>
        <w:rPr>
          <w:i/>
          <w:noProof/>
          <w:sz w:val="20"/>
        </w:rPr>
        <w:t>Navesti učestalost i uvjete.</w:t>
      </w:r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Nije primjenjivo.</w:t>
      </w:r>
    </w:p>
    <w:p w:rsidR="00A87C4C" w:rsidRDefault="00A56C9B">
      <w:pPr>
        <w:pStyle w:val="ManualHeading2"/>
        <w:rPr>
          <w:bCs/>
          <w:noProof/>
          <w:szCs w:val="24"/>
        </w:rPr>
      </w:pPr>
      <w:bookmarkStart w:id="27" w:name="_Toc514938045"/>
      <w:bookmarkStart w:id="28" w:name="_Toc520485044"/>
      <w:r>
        <w:t>2.2.</w:t>
      </w:r>
      <w:r>
        <w:tab/>
      </w:r>
      <w:r>
        <w:rPr>
          <w:noProof/>
        </w:rPr>
        <w:t>Sustavi upravljanja i kontrole</w:t>
      </w:r>
      <w:bookmarkEnd w:id="27"/>
      <w:bookmarkEnd w:id="28"/>
      <w:r>
        <w:rPr>
          <w:noProof/>
        </w:rPr>
        <w:t xml:space="preserve"> </w:t>
      </w:r>
    </w:p>
    <w:p w:rsidR="00A87C4C" w:rsidRDefault="00A56C9B">
      <w:pPr>
        <w:pStyle w:val="ManualHeading3"/>
        <w:rPr>
          <w:noProof/>
        </w:rPr>
      </w:pPr>
      <w:bookmarkStart w:id="29" w:name="_Toc514938046"/>
      <w:bookmarkStart w:id="30" w:name="_Toc520485045"/>
      <w:r>
        <w:t>2.2.1.</w:t>
      </w:r>
      <w:r>
        <w:tab/>
      </w:r>
      <w:r>
        <w:rPr>
          <w:noProof/>
        </w:rPr>
        <w:t xml:space="preserve">Obrazloženje načina </w:t>
      </w:r>
      <w:r>
        <w:rPr>
          <w:noProof/>
        </w:rPr>
        <w:t>upravljanja, mehanizama provedbe financiranja, načina plaćanja i predložene strategije kontrole</w:t>
      </w:r>
      <w:bookmarkEnd w:id="29"/>
      <w:bookmarkEnd w:id="30"/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Nije primjenjivo.</w:t>
      </w:r>
    </w:p>
    <w:p w:rsidR="00A87C4C" w:rsidRDefault="00A56C9B">
      <w:pPr>
        <w:pStyle w:val="ManualHeading3"/>
        <w:rPr>
          <w:bCs/>
          <w:noProof/>
          <w:szCs w:val="24"/>
        </w:rPr>
      </w:pPr>
      <w:bookmarkStart w:id="31" w:name="_Toc514938047"/>
      <w:bookmarkStart w:id="32" w:name="_Toc520485046"/>
      <w:r>
        <w:t>2.2.2.</w:t>
      </w:r>
      <w:r>
        <w:tab/>
      </w:r>
      <w:r>
        <w:rPr>
          <w:noProof/>
        </w:rPr>
        <w:t>Informacije o utvrđenim rizicima i sustavima unutarnje kontrole uspostavljenima radi smanjivanja tih rizika</w:t>
      </w:r>
      <w:bookmarkEnd w:id="31"/>
      <w:bookmarkEnd w:id="32"/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Nije primjenjivo.</w:t>
      </w:r>
    </w:p>
    <w:p w:rsidR="00A87C4C" w:rsidRDefault="00A56C9B">
      <w:pPr>
        <w:pStyle w:val="ManualHeading3"/>
        <w:rPr>
          <w:noProof/>
        </w:rPr>
      </w:pPr>
      <w:bookmarkStart w:id="33" w:name="_Toc514938048"/>
      <w:bookmarkStart w:id="34" w:name="_Toc520485047"/>
      <w:r>
        <w:t>2.2.3.</w:t>
      </w:r>
      <w:r>
        <w:tab/>
      </w:r>
      <w:r>
        <w:rPr>
          <w:noProof/>
        </w:rPr>
        <w:t>Pr</w:t>
      </w:r>
      <w:r>
        <w:rPr>
          <w:noProof/>
        </w:rPr>
        <w:t>ocjena i obrazloženje troškovne učinkovitosti kontrola (omjer troškova kontrole i vrijednosti sredstava kojima se upravlja) i procjena očekivane razine rizika od pogreške (pri plaćanju i pri zaključenju)</w:t>
      </w:r>
      <w:bookmarkEnd w:id="33"/>
      <w:bookmarkEnd w:id="34"/>
      <w:r>
        <w:rPr>
          <w:noProof/>
        </w:rPr>
        <w:t xml:space="preserve"> </w:t>
      </w:r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Nije primjenjivo.</w:t>
      </w:r>
    </w:p>
    <w:p w:rsidR="00A87C4C" w:rsidRDefault="00A56C9B">
      <w:pPr>
        <w:pStyle w:val="ManualHeading2"/>
        <w:rPr>
          <w:bCs/>
          <w:noProof/>
          <w:szCs w:val="24"/>
        </w:rPr>
      </w:pPr>
      <w:bookmarkStart w:id="35" w:name="_Toc514938049"/>
      <w:bookmarkStart w:id="36" w:name="_Toc520485048"/>
      <w:r>
        <w:t>2.3.</w:t>
      </w:r>
      <w:r>
        <w:tab/>
      </w:r>
      <w:r>
        <w:rPr>
          <w:noProof/>
        </w:rPr>
        <w:t>Mjere za sprječavanje prijev</w:t>
      </w:r>
      <w:r>
        <w:rPr>
          <w:noProof/>
        </w:rPr>
        <w:t>ara i nepravilnosti</w:t>
      </w:r>
      <w:bookmarkEnd w:id="35"/>
      <w:bookmarkEnd w:id="36"/>
      <w:r>
        <w:rPr>
          <w:noProof/>
        </w:rPr>
        <w:t xml:space="preserve"> </w:t>
      </w:r>
    </w:p>
    <w:p w:rsidR="00A87C4C" w:rsidRDefault="00A56C9B">
      <w:pPr>
        <w:pStyle w:val="Text1"/>
        <w:rPr>
          <w:i/>
          <w:noProof/>
          <w:sz w:val="20"/>
        </w:rPr>
      </w:pPr>
      <w:r>
        <w:rPr>
          <w:i/>
          <w:noProof/>
          <w:sz w:val="20"/>
        </w:rPr>
        <w:t>Navesti postojeće ili predviđene mjere za sprečavanje i zaštitu, npr. iz strategije za borbu protiv prijevara.</w:t>
      </w:r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  <w:sectPr w:rsidR="00A87C4C"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  <w:r>
        <w:t>Nije primjenjivo.</w:t>
      </w:r>
    </w:p>
    <w:p w:rsidR="00A87C4C" w:rsidRDefault="00A56C9B">
      <w:pPr>
        <w:pStyle w:val="ManualHeading1"/>
        <w:rPr>
          <w:bCs/>
          <w:noProof/>
          <w:szCs w:val="24"/>
        </w:rPr>
      </w:pPr>
      <w:bookmarkStart w:id="37" w:name="_Toc514938050"/>
      <w:bookmarkStart w:id="38" w:name="_Toc520485049"/>
      <w:r>
        <w:t>3.</w:t>
      </w:r>
      <w:r>
        <w:tab/>
      </w:r>
      <w:r>
        <w:rPr>
          <w:noProof/>
        </w:rPr>
        <w:t>PROCIJENJENI FINANCIJSKI UČINAK PRIJEDLOGA/INICIJATIVE</w:t>
      </w:r>
      <w:bookmarkEnd w:id="37"/>
      <w:bookmarkEnd w:id="38"/>
      <w:r>
        <w:rPr>
          <w:noProof/>
        </w:rPr>
        <w:t xml:space="preserve"> </w:t>
      </w:r>
    </w:p>
    <w:p w:rsidR="00A87C4C" w:rsidRDefault="00A56C9B">
      <w:pPr>
        <w:pStyle w:val="ManualHeading2"/>
        <w:rPr>
          <w:noProof/>
        </w:rPr>
      </w:pPr>
      <w:bookmarkStart w:id="39" w:name="_Toc514938051"/>
      <w:bookmarkStart w:id="40" w:name="_Toc520485050"/>
      <w:r>
        <w:t>3.1.</w:t>
      </w:r>
      <w:r>
        <w:tab/>
      </w:r>
      <w:r>
        <w:rPr>
          <w:noProof/>
        </w:rPr>
        <w:t>Naslovi višegodišnj</w:t>
      </w:r>
      <w:r>
        <w:rPr>
          <w:noProof/>
        </w:rPr>
        <w:t>eg financijskog okvira i proračunske linije rashoda na koje prijedlog/inicijativa ima učinak</w:t>
      </w:r>
      <w:bookmarkEnd w:id="39"/>
      <w:bookmarkEnd w:id="40"/>
      <w:r>
        <w:rPr>
          <w:noProof/>
        </w:rPr>
        <w:t xml:space="preserve"> </w:t>
      </w:r>
    </w:p>
    <w:p w:rsidR="00A87C4C" w:rsidRDefault="00A56C9B">
      <w:pPr>
        <w:pStyle w:val="ListBullet1"/>
        <w:rPr>
          <w:noProof/>
        </w:rPr>
      </w:pPr>
      <w:r>
        <w:rPr>
          <w:noProof/>
        </w:rPr>
        <w:t xml:space="preserve">Postojeće proračunske linije </w:t>
      </w:r>
    </w:p>
    <w:p w:rsidR="00A87C4C" w:rsidRDefault="00A56C9B">
      <w:pPr>
        <w:pStyle w:val="Text1"/>
        <w:rPr>
          <w:i/>
          <w:noProof/>
        </w:rPr>
      </w:pPr>
      <w:r>
        <w:rPr>
          <w:i/>
          <w:noProof/>
          <w:u w:val="single"/>
        </w:rPr>
        <w:t>Prema redoslijedu</w:t>
      </w:r>
      <w:r>
        <w:rPr>
          <w:i/>
          <w:noProof/>
        </w:rPr>
        <w:t xml:space="preserve"> naslova višegodišnjeg financijskog okvira i proračunskih linija.</w:t>
      </w:r>
    </w:p>
    <w:tbl>
      <w:tblPr>
        <w:tblW w:w="105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0"/>
        <w:gridCol w:w="1080"/>
        <w:gridCol w:w="956"/>
        <w:gridCol w:w="1080"/>
        <w:gridCol w:w="956"/>
        <w:gridCol w:w="1448"/>
      </w:tblGrid>
      <w:tr w:rsidR="00A87C4C">
        <w:tc>
          <w:tcPr>
            <w:tcW w:w="1080" w:type="dxa"/>
            <w:vMerge w:val="restart"/>
            <w:vAlign w:val="center"/>
          </w:tcPr>
          <w:p w:rsidR="00A87C4C" w:rsidRDefault="00A56C9B"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Naslov višegodišnjeg financijskog okvira</w:t>
            </w:r>
          </w:p>
        </w:tc>
        <w:tc>
          <w:tcPr>
            <w:tcW w:w="3960" w:type="dxa"/>
            <w:vAlign w:val="center"/>
          </w:tcPr>
          <w:p w:rsidR="00A87C4C" w:rsidRDefault="00A56C9B"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0"/>
              </w:rPr>
              <w:t>Proračunska linija</w:t>
            </w:r>
          </w:p>
        </w:tc>
        <w:tc>
          <w:tcPr>
            <w:tcW w:w="1080" w:type="dxa"/>
            <w:vAlign w:val="center"/>
          </w:tcPr>
          <w:p w:rsidR="00A87C4C" w:rsidRDefault="00A56C9B"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Vrsta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18"/>
              </w:rPr>
              <w:t>rashoda</w:t>
            </w:r>
          </w:p>
        </w:tc>
        <w:tc>
          <w:tcPr>
            <w:tcW w:w="4440" w:type="dxa"/>
            <w:gridSpan w:val="4"/>
            <w:vAlign w:val="center"/>
          </w:tcPr>
          <w:p w:rsidR="00A87C4C" w:rsidRDefault="00A56C9B"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0"/>
              </w:rPr>
              <w:t xml:space="preserve">Doprinos </w:t>
            </w:r>
          </w:p>
        </w:tc>
      </w:tr>
      <w:tr w:rsidR="00A87C4C">
        <w:tc>
          <w:tcPr>
            <w:tcW w:w="1080" w:type="dxa"/>
            <w:vMerge/>
            <w:vAlign w:val="center"/>
          </w:tcPr>
          <w:p w:rsidR="00A87C4C" w:rsidRDefault="00A87C4C">
            <w:pPr>
              <w:jc w:val="center"/>
              <w:rPr>
                <w:noProof/>
              </w:rPr>
            </w:pPr>
          </w:p>
        </w:tc>
        <w:tc>
          <w:tcPr>
            <w:tcW w:w="3960" w:type="dxa"/>
            <w:vAlign w:val="center"/>
          </w:tcPr>
          <w:p w:rsidR="00A87C4C" w:rsidRDefault="00A56C9B">
            <w:pPr>
              <w:rPr>
                <w:noProof/>
              </w:rPr>
            </w:pPr>
            <w:r>
              <w:rPr>
                <w:noProof/>
                <w:sz w:val="20"/>
              </w:rPr>
              <w:t xml:space="preserve">Broj </w:t>
            </w:r>
            <w:r>
              <w:rPr>
                <w:noProof/>
                <w:sz w:val="22"/>
              </w:rPr>
              <w:br/>
            </w:r>
          </w:p>
        </w:tc>
        <w:tc>
          <w:tcPr>
            <w:tcW w:w="1080" w:type="dxa"/>
            <w:vAlign w:val="center"/>
          </w:tcPr>
          <w:p w:rsidR="00A87C4C" w:rsidRDefault="00A56C9B">
            <w:pPr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Dif./nedif.</w:t>
            </w:r>
            <w:r>
              <w:rPr>
                <w:rStyle w:val="FootnoteReference"/>
                <w:noProof/>
                <w:sz w:val="18"/>
              </w:rPr>
              <w:footnoteReference w:id="10"/>
            </w:r>
          </w:p>
        </w:tc>
        <w:tc>
          <w:tcPr>
            <w:tcW w:w="956" w:type="dxa"/>
            <w:vAlign w:val="center"/>
          </w:tcPr>
          <w:p w:rsidR="00A87C4C" w:rsidRDefault="00A56C9B">
            <w:pPr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zemalja EFTA-e</w:t>
            </w:r>
            <w:r>
              <w:rPr>
                <w:rStyle w:val="FootnoteReference"/>
                <w:noProof/>
                <w:sz w:val="18"/>
              </w:rPr>
              <w:footnoteReference w:id="11"/>
            </w:r>
          </w:p>
          <w:p w:rsidR="00A87C4C" w:rsidRDefault="00A87C4C">
            <w:pPr>
              <w:spacing w:before="0" w:after="0"/>
              <w:jc w:val="center"/>
              <w:rPr>
                <w:b/>
                <w:noProof/>
                <w:sz w:val="18"/>
              </w:rPr>
            </w:pPr>
          </w:p>
        </w:tc>
        <w:tc>
          <w:tcPr>
            <w:tcW w:w="1080" w:type="dxa"/>
            <w:vAlign w:val="center"/>
          </w:tcPr>
          <w:p w:rsidR="00A87C4C" w:rsidRDefault="00A56C9B">
            <w:pPr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zemalja kandidatkinja</w:t>
            </w:r>
            <w:r>
              <w:rPr>
                <w:rStyle w:val="FootnoteReference"/>
                <w:noProof/>
                <w:sz w:val="18"/>
              </w:rPr>
              <w:footnoteReference w:id="12"/>
            </w:r>
          </w:p>
          <w:p w:rsidR="00A87C4C" w:rsidRDefault="00A87C4C">
            <w:pPr>
              <w:spacing w:before="0" w:after="0"/>
              <w:jc w:val="center"/>
              <w:rPr>
                <w:noProof/>
                <w:sz w:val="18"/>
              </w:rPr>
            </w:pPr>
          </w:p>
        </w:tc>
        <w:tc>
          <w:tcPr>
            <w:tcW w:w="956" w:type="dxa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trećih zemalja</w:t>
            </w:r>
          </w:p>
        </w:tc>
        <w:tc>
          <w:tcPr>
            <w:tcW w:w="1448" w:type="dxa"/>
            <w:vAlign w:val="center"/>
          </w:tcPr>
          <w:p w:rsidR="00A87C4C" w:rsidRDefault="00A56C9B">
            <w:pPr>
              <w:jc w:val="center"/>
              <w:rPr>
                <w:noProof/>
              </w:rPr>
            </w:pPr>
            <w:r>
              <w:rPr>
                <w:noProof/>
                <w:sz w:val="16"/>
              </w:rPr>
              <w:t xml:space="preserve">u smislu članka 21. stavka 2. točke (b) Financijske uredbe </w:t>
            </w:r>
          </w:p>
        </w:tc>
      </w:tr>
      <w:tr w:rsidR="00A87C4C">
        <w:tc>
          <w:tcPr>
            <w:tcW w:w="1080" w:type="dxa"/>
            <w:vAlign w:val="center"/>
          </w:tcPr>
          <w:p w:rsidR="00A87C4C" w:rsidRDefault="00A56C9B">
            <w:pPr>
              <w:jc w:val="center"/>
              <w:rPr>
                <w:noProof/>
                <w:color w:val="0000FF"/>
              </w:rPr>
            </w:pPr>
            <w:r>
              <w:rPr>
                <w:noProof/>
                <w:color w:val="0000FF"/>
              </w:rPr>
              <w:t>13</w:t>
            </w:r>
          </w:p>
        </w:tc>
        <w:tc>
          <w:tcPr>
            <w:tcW w:w="3960" w:type="dxa"/>
            <w:vAlign w:val="center"/>
          </w:tcPr>
          <w:p w:rsidR="00A87C4C" w:rsidRDefault="00A87C4C">
            <w:pPr>
              <w:spacing w:before="60"/>
              <w:rPr>
                <w:noProof/>
                <w:sz w:val="22"/>
              </w:rPr>
            </w:pPr>
          </w:p>
          <w:p w:rsidR="00A87C4C" w:rsidRDefault="00A56C9B">
            <w:pPr>
              <w:spacing w:before="60"/>
              <w:rPr>
                <w:noProof/>
              </w:rPr>
            </w:pPr>
            <w:r>
              <w:rPr>
                <w:noProof/>
                <w:sz w:val="22"/>
              </w:rPr>
              <w:t xml:space="preserve">13.03.64.01 – Europski fond za regionalni razvoj (EFRR) – Europska </w:t>
            </w:r>
            <w:r>
              <w:rPr>
                <w:noProof/>
                <w:sz w:val="22"/>
              </w:rPr>
              <w:t>teritorijalna suradnja</w:t>
            </w:r>
          </w:p>
          <w:p w:rsidR="00A87C4C" w:rsidRDefault="00A87C4C">
            <w:pPr>
              <w:spacing w:after="60"/>
              <w:rPr>
                <w:noProof/>
              </w:rPr>
            </w:pPr>
          </w:p>
        </w:tc>
        <w:tc>
          <w:tcPr>
            <w:tcW w:w="1080" w:type="dxa"/>
            <w:vAlign w:val="center"/>
          </w:tcPr>
          <w:p w:rsidR="00A87C4C" w:rsidRDefault="00A56C9B">
            <w:pPr>
              <w:jc w:val="center"/>
              <w:rPr>
                <w:noProof/>
                <w:color w:val="0000FF"/>
              </w:rPr>
            </w:pPr>
            <w:r>
              <w:rPr>
                <w:noProof/>
                <w:sz w:val="22"/>
              </w:rPr>
              <w:t>Dif.</w:t>
            </w:r>
          </w:p>
        </w:tc>
        <w:tc>
          <w:tcPr>
            <w:tcW w:w="956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>NE</w:t>
            </w:r>
          </w:p>
        </w:tc>
        <w:tc>
          <w:tcPr>
            <w:tcW w:w="1080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>NE</w:t>
            </w:r>
          </w:p>
        </w:tc>
        <w:tc>
          <w:tcPr>
            <w:tcW w:w="956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>NE</w:t>
            </w:r>
          </w:p>
        </w:tc>
        <w:tc>
          <w:tcPr>
            <w:tcW w:w="1448" w:type="dxa"/>
            <w:vAlign w:val="center"/>
          </w:tcPr>
          <w:p w:rsidR="00A87C4C" w:rsidRDefault="00A56C9B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 xml:space="preserve">      NE</w:t>
            </w:r>
          </w:p>
        </w:tc>
      </w:tr>
    </w:tbl>
    <w:p w:rsidR="00A87C4C" w:rsidRDefault="00A56C9B">
      <w:pPr>
        <w:pStyle w:val="ManualHeading2"/>
        <w:rPr>
          <w:bCs/>
          <w:noProof/>
          <w:szCs w:val="24"/>
        </w:rPr>
      </w:pPr>
      <w:bookmarkStart w:id="41" w:name="_Toc514938052"/>
      <w:bookmarkStart w:id="42" w:name="_Toc520485051"/>
      <w:r>
        <w:t>3.2.</w:t>
      </w:r>
      <w:r>
        <w:tab/>
      </w:r>
      <w:r>
        <w:rPr>
          <w:noProof/>
        </w:rPr>
        <w:t>Procijenjeni financijski učinak prijedloga na odobrena sredstva</w:t>
      </w:r>
      <w:bookmarkEnd w:id="41"/>
      <w:bookmarkEnd w:id="42"/>
      <w:r>
        <w:rPr>
          <w:noProof/>
        </w:rPr>
        <w:t xml:space="preserve"> </w:t>
      </w:r>
    </w:p>
    <w:p w:rsidR="00A87C4C" w:rsidRDefault="00A56C9B">
      <w:pPr>
        <w:pStyle w:val="ManualHeading3"/>
        <w:rPr>
          <w:noProof/>
        </w:rPr>
      </w:pPr>
      <w:bookmarkStart w:id="43" w:name="_Toc514938053"/>
      <w:bookmarkStart w:id="44" w:name="_Toc520485052"/>
      <w:r>
        <w:t>3.2.1.</w:t>
      </w:r>
      <w:r>
        <w:tab/>
      </w:r>
      <w:r>
        <w:rPr>
          <w:noProof/>
        </w:rPr>
        <w:t>Sažetak procijenjenog učinka na odobrena sredstva za poslovanje</w:t>
      </w:r>
      <w:bookmarkEnd w:id="43"/>
      <w:bookmarkEnd w:id="44"/>
      <w:r>
        <w:rPr>
          <w:noProof/>
        </w:rPr>
        <w:t xml:space="preserve"> </w:t>
      </w:r>
    </w:p>
    <w:p w:rsidR="00A87C4C" w:rsidRDefault="00A56C9B">
      <w:pPr>
        <w:pStyle w:val="ListDash1"/>
        <w:rPr>
          <w:b/>
          <w:noProof/>
        </w:rPr>
      </w:pPr>
      <w:r>
        <w:rPr>
          <w:b/>
          <w:noProof/>
        </w:rPr>
        <w:t>X</w:t>
      </w:r>
      <w:r>
        <w:rPr>
          <w:noProof/>
        </w:rPr>
        <w:tab/>
      </w:r>
      <w:r>
        <w:rPr>
          <w:b/>
          <w:noProof/>
        </w:rPr>
        <w:t xml:space="preserve">Ova Uredba nema financijski učinak.  </w:t>
      </w:r>
    </w:p>
    <w:p w:rsidR="00A87C4C" w:rsidRDefault="00A56C9B"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Za prijedlog/inicijativu</w:t>
      </w:r>
      <w:r>
        <w:rPr>
          <w:noProof/>
        </w:rPr>
        <w:t xml:space="preserve"> potrebna su sljedeća odobrena sredstva za poslovanje:</w:t>
      </w:r>
    </w:p>
    <w:p w:rsidR="00A87C4C" w:rsidRDefault="00A56C9B">
      <w:pPr>
        <w:jc w:val="right"/>
        <w:rPr>
          <w:noProof/>
          <w:sz w:val="18"/>
          <w:szCs w:val="18"/>
        </w:rPr>
      </w:pPr>
      <w:r>
        <w:rPr>
          <w:noProof/>
          <w:sz w:val="18"/>
        </w:rPr>
        <w:t xml:space="preserve">EUR </w:t>
      </w:r>
    </w:p>
    <w:p w:rsidR="00A87C4C" w:rsidRDefault="00A56C9B">
      <w:pPr>
        <w:rPr>
          <w:noProof/>
        </w:rPr>
      </w:pPr>
      <w:r>
        <w:rPr>
          <w:noProof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 w:rsidR="00A87C4C"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 w:rsidR="00A87C4C" w:rsidRDefault="00A56C9B">
            <w:pPr>
              <w:spacing w:before="60" w:after="60"/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Naslov višegodišnjeg financijskog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 xml:space="preserve">okvira: </w:t>
            </w:r>
          </w:p>
        </w:tc>
        <w:tc>
          <w:tcPr>
            <w:tcW w:w="1080" w:type="dxa"/>
            <w:vAlign w:val="center"/>
          </w:tcPr>
          <w:p w:rsidR="00A87C4C" w:rsidRDefault="00A56C9B"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2"/>
              </w:rPr>
              <w:t>13</w:t>
            </w:r>
          </w:p>
        </w:tc>
        <w:tc>
          <w:tcPr>
            <w:tcW w:w="7817" w:type="dxa"/>
            <w:vAlign w:val="center"/>
          </w:tcPr>
          <w:p w:rsidR="00A87C4C" w:rsidRDefault="00A87C4C">
            <w:pPr>
              <w:spacing w:before="60" w:after="60"/>
              <w:rPr>
                <w:noProof/>
              </w:rPr>
            </w:pPr>
          </w:p>
        </w:tc>
      </w:tr>
    </w:tbl>
    <w:p w:rsidR="00A87C4C" w:rsidRDefault="00A87C4C">
      <w:pPr>
        <w:rPr>
          <w:noProof/>
          <w:sz w:val="16"/>
        </w:rPr>
      </w:pPr>
    </w:p>
    <w:tbl>
      <w:tblPr>
        <w:tblW w:w="15952" w:type="dxa"/>
        <w:tblInd w:w="-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440"/>
        <w:gridCol w:w="120"/>
        <w:gridCol w:w="534"/>
        <w:gridCol w:w="1252"/>
        <w:gridCol w:w="1116"/>
        <w:gridCol w:w="1010"/>
        <w:gridCol w:w="1134"/>
        <w:gridCol w:w="1418"/>
        <w:gridCol w:w="1559"/>
        <w:gridCol w:w="2409"/>
      </w:tblGrid>
      <w:tr w:rsidR="00A87C4C">
        <w:trPr>
          <w:trHeight w:val="1068"/>
        </w:trPr>
        <w:tc>
          <w:tcPr>
            <w:tcW w:w="3960" w:type="dxa"/>
            <w:vAlign w:val="center"/>
          </w:tcPr>
          <w:p w:rsidR="00A87C4C" w:rsidRDefault="00A87C4C">
            <w:pPr>
              <w:rPr>
                <w:noProof/>
              </w:rPr>
            </w:pPr>
          </w:p>
        </w:tc>
        <w:tc>
          <w:tcPr>
            <w:tcW w:w="1560" w:type="dxa"/>
            <w:gridSpan w:val="2"/>
          </w:tcPr>
          <w:p w:rsidR="00A87C4C" w:rsidRDefault="00A87C4C">
            <w:pPr>
              <w:rPr>
                <w:noProof/>
                <w:sz w:val="20"/>
              </w:rPr>
            </w:pPr>
          </w:p>
        </w:tc>
        <w:tc>
          <w:tcPr>
            <w:tcW w:w="534" w:type="dxa"/>
          </w:tcPr>
          <w:p w:rsidR="00A87C4C" w:rsidRDefault="00A87C4C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252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2019.</w:t>
            </w:r>
          </w:p>
        </w:tc>
        <w:tc>
          <w:tcPr>
            <w:tcW w:w="1116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2020.</w:t>
            </w:r>
          </w:p>
        </w:tc>
        <w:tc>
          <w:tcPr>
            <w:tcW w:w="1010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2021.</w:t>
            </w:r>
          </w:p>
        </w:tc>
        <w:tc>
          <w:tcPr>
            <w:tcW w:w="1134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2022.</w:t>
            </w:r>
          </w:p>
        </w:tc>
        <w:tc>
          <w:tcPr>
            <w:tcW w:w="1418" w:type="dxa"/>
          </w:tcPr>
          <w:p w:rsidR="00A87C4C" w:rsidRDefault="00A56C9B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   </w:t>
            </w:r>
          </w:p>
          <w:p w:rsidR="00A87C4C" w:rsidRDefault="00A56C9B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      2023.</w:t>
            </w:r>
          </w:p>
        </w:tc>
        <w:tc>
          <w:tcPr>
            <w:tcW w:w="1559" w:type="dxa"/>
          </w:tcPr>
          <w:p w:rsidR="00A87C4C" w:rsidRDefault="00A87C4C">
            <w:pPr>
              <w:jc w:val="center"/>
              <w:rPr>
                <w:noProof/>
                <w:sz w:val="20"/>
              </w:rPr>
            </w:pPr>
          </w:p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Sljedeće godine</w:t>
            </w:r>
          </w:p>
        </w:tc>
        <w:tc>
          <w:tcPr>
            <w:tcW w:w="2409" w:type="dxa"/>
            <w:vAlign w:val="center"/>
          </w:tcPr>
          <w:p w:rsidR="00A87C4C" w:rsidRDefault="00A56C9B"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UKUPNO</w:t>
            </w:r>
          </w:p>
        </w:tc>
      </w:tr>
      <w:tr w:rsidR="00A87C4C">
        <w:trPr>
          <w:trHeight w:val="213"/>
        </w:trPr>
        <w:tc>
          <w:tcPr>
            <w:tcW w:w="6054" w:type="dxa"/>
            <w:gridSpan w:val="4"/>
            <w:vAlign w:val="center"/>
          </w:tcPr>
          <w:p w:rsidR="00A87C4C" w:rsidRDefault="00A56C9B">
            <w:pPr>
              <w:spacing w:before="20" w:after="20"/>
              <w:rPr>
                <w:b/>
                <w:noProof/>
                <w:szCs w:val="24"/>
              </w:rPr>
            </w:pP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</w:rPr>
              <w:t xml:space="preserve"> </w:t>
            </w:r>
            <w:r>
              <w:rPr>
                <w:b/>
                <w:noProof/>
              </w:rPr>
              <w:t>Poništenje odobrenih sredstava za poslovanje</w:t>
            </w:r>
          </w:p>
        </w:tc>
        <w:tc>
          <w:tcPr>
            <w:tcW w:w="1252" w:type="dxa"/>
            <w:vAlign w:val="center"/>
          </w:tcPr>
          <w:p w:rsidR="00A87C4C" w:rsidRDefault="00A87C4C">
            <w:pPr>
              <w:rPr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 w:rsidR="00A87C4C" w:rsidRDefault="00A87C4C">
            <w:pPr>
              <w:rPr>
                <w:noProof/>
                <w:sz w:val="20"/>
              </w:rPr>
            </w:pPr>
          </w:p>
        </w:tc>
        <w:tc>
          <w:tcPr>
            <w:tcW w:w="1010" w:type="dxa"/>
            <w:vAlign w:val="center"/>
          </w:tcPr>
          <w:p w:rsidR="00A87C4C" w:rsidRDefault="00A87C4C">
            <w:pPr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rPr>
                <w:noProof/>
                <w:sz w:val="20"/>
              </w:rPr>
            </w:pPr>
          </w:p>
        </w:tc>
        <w:tc>
          <w:tcPr>
            <w:tcW w:w="1418" w:type="dxa"/>
          </w:tcPr>
          <w:p w:rsidR="00A87C4C" w:rsidRDefault="00A87C4C">
            <w:pPr>
              <w:rPr>
                <w:b/>
                <w:noProof/>
                <w:sz w:val="20"/>
              </w:rPr>
            </w:pPr>
          </w:p>
        </w:tc>
        <w:tc>
          <w:tcPr>
            <w:tcW w:w="1559" w:type="dxa"/>
          </w:tcPr>
          <w:p w:rsidR="00A87C4C" w:rsidRDefault="00A87C4C">
            <w:pPr>
              <w:rPr>
                <w:b/>
                <w:noProof/>
                <w:sz w:val="20"/>
              </w:rPr>
            </w:pPr>
          </w:p>
        </w:tc>
        <w:tc>
          <w:tcPr>
            <w:tcW w:w="2409" w:type="dxa"/>
            <w:vAlign w:val="center"/>
          </w:tcPr>
          <w:p w:rsidR="00A87C4C" w:rsidRDefault="00A87C4C">
            <w:pPr>
              <w:rPr>
                <w:b/>
                <w:noProof/>
                <w:sz w:val="20"/>
              </w:rPr>
            </w:pPr>
          </w:p>
        </w:tc>
      </w:tr>
      <w:tr w:rsidR="00A87C4C">
        <w:trPr>
          <w:trHeight w:val="509"/>
        </w:trPr>
        <w:tc>
          <w:tcPr>
            <w:tcW w:w="3960" w:type="dxa"/>
            <w:vMerge w:val="restart"/>
            <w:vAlign w:val="center"/>
          </w:tcPr>
          <w:p w:rsidR="00A87C4C" w:rsidRDefault="00A56C9B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13.03.64.01 – Europski</w:t>
            </w:r>
            <w:r>
              <w:rPr>
                <w:noProof/>
                <w:sz w:val="20"/>
              </w:rPr>
              <w:t xml:space="preserve"> fond za regionalni razvoj (EFRR) – Europska teritorijalna suradnja</w:t>
            </w:r>
          </w:p>
        </w:tc>
        <w:tc>
          <w:tcPr>
            <w:tcW w:w="1440" w:type="dxa"/>
            <w:vAlign w:val="center"/>
          </w:tcPr>
          <w:p w:rsidR="00A87C4C" w:rsidRDefault="00A56C9B">
            <w:pPr>
              <w:spacing w:before="20" w:after="20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Preuzete obveze</w:t>
            </w:r>
          </w:p>
        </w:tc>
        <w:tc>
          <w:tcPr>
            <w:tcW w:w="654" w:type="dxa"/>
            <w:gridSpan w:val="2"/>
            <w:vAlign w:val="center"/>
          </w:tcPr>
          <w:p w:rsidR="00A87C4C" w:rsidRDefault="00A56C9B">
            <w:pPr>
              <w:spacing w:before="20" w:after="20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(1a)</w:t>
            </w:r>
          </w:p>
        </w:tc>
        <w:tc>
          <w:tcPr>
            <w:tcW w:w="1252" w:type="dxa"/>
            <w:vAlign w:val="center"/>
          </w:tcPr>
          <w:p w:rsidR="00A87C4C" w:rsidRDefault="00A87C4C">
            <w:pPr>
              <w:spacing w:before="20" w:after="20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418" w:type="dxa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559" w:type="dxa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2409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</w:tr>
      <w:tr w:rsidR="00A87C4C">
        <w:tc>
          <w:tcPr>
            <w:tcW w:w="3960" w:type="dxa"/>
            <w:vMerge/>
          </w:tcPr>
          <w:p w:rsidR="00A87C4C" w:rsidRDefault="00A87C4C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 w:rsidR="00A87C4C" w:rsidRDefault="00A56C9B">
            <w:pPr>
              <w:spacing w:before="20" w:after="20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Plaćanja</w:t>
            </w:r>
          </w:p>
        </w:tc>
        <w:tc>
          <w:tcPr>
            <w:tcW w:w="654" w:type="dxa"/>
            <w:gridSpan w:val="2"/>
            <w:vAlign w:val="center"/>
          </w:tcPr>
          <w:p w:rsidR="00A87C4C" w:rsidRDefault="00A56C9B">
            <w:pPr>
              <w:spacing w:before="20" w:after="20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(2a)</w:t>
            </w:r>
          </w:p>
        </w:tc>
        <w:tc>
          <w:tcPr>
            <w:tcW w:w="12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559" w:type="dxa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</w:tr>
      <w:tr w:rsidR="00A87C4C">
        <w:tc>
          <w:tcPr>
            <w:tcW w:w="3960" w:type="dxa"/>
            <w:vMerge w:val="restart"/>
            <w:vAlign w:val="center"/>
          </w:tcPr>
          <w:p w:rsidR="00A87C4C" w:rsidRDefault="00A56C9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UKUPNA odobrena sredstva</w:t>
            </w:r>
            <w:r>
              <w:rPr>
                <w:noProof/>
                <w:sz w:val="22"/>
              </w:rPr>
              <w:br/>
            </w:r>
          </w:p>
        </w:tc>
        <w:tc>
          <w:tcPr>
            <w:tcW w:w="1440" w:type="dxa"/>
            <w:vAlign w:val="center"/>
          </w:tcPr>
          <w:p w:rsidR="00A87C4C" w:rsidRDefault="00A56C9B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Preuzete obveze</w:t>
            </w:r>
          </w:p>
        </w:tc>
        <w:tc>
          <w:tcPr>
            <w:tcW w:w="654" w:type="dxa"/>
            <w:gridSpan w:val="2"/>
            <w:vAlign w:val="center"/>
          </w:tcPr>
          <w:p w:rsidR="00A87C4C" w:rsidRDefault="00A56C9B"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=1a+1b +3</w:t>
            </w:r>
          </w:p>
        </w:tc>
        <w:tc>
          <w:tcPr>
            <w:tcW w:w="12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1559" w:type="dxa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  <w:tr w:rsidR="00A87C4C">
        <w:tc>
          <w:tcPr>
            <w:tcW w:w="3960" w:type="dxa"/>
            <w:vMerge/>
          </w:tcPr>
          <w:p w:rsidR="00A87C4C" w:rsidRDefault="00A87C4C">
            <w:pPr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 w:rsidR="00A87C4C" w:rsidRDefault="00A56C9B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Plaćanja</w:t>
            </w:r>
          </w:p>
        </w:tc>
        <w:tc>
          <w:tcPr>
            <w:tcW w:w="654" w:type="dxa"/>
            <w:gridSpan w:val="2"/>
            <w:vAlign w:val="center"/>
          </w:tcPr>
          <w:p w:rsidR="00A87C4C" w:rsidRDefault="00A56C9B"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=2a+2b</w:t>
            </w:r>
          </w:p>
          <w:p w:rsidR="00A87C4C" w:rsidRDefault="00A56C9B"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+3</w:t>
            </w:r>
          </w:p>
        </w:tc>
        <w:tc>
          <w:tcPr>
            <w:tcW w:w="12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1559" w:type="dxa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</w:tbl>
    <w:p w:rsidR="00A87C4C" w:rsidRDefault="00A56C9B">
      <w:pPr>
        <w:rPr>
          <w:noProof/>
        </w:rPr>
      </w:pPr>
      <w:r>
        <w:rPr>
          <w:noProof/>
        </w:rPr>
        <w:br/>
      </w:r>
    </w:p>
    <w:tbl>
      <w:tblPr>
        <w:tblW w:w="1439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440"/>
        <w:gridCol w:w="654"/>
        <w:gridCol w:w="1252"/>
        <w:gridCol w:w="1116"/>
        <w:gridCol w:w="1152"/>
        <w:gridCol w:w="1134"/>
        <w:gridCol w:w="1134"/>
        <w:gridCol w:w="1134"/>
        <w:gridCol w:w="1418"/>
      </w:tblGrid>
      <w:tr w:rsidR="00A87C4C">
        <w:trPr>
          <w:trHeight w:val="277"/>
        </w:trPr>
        <w:tc>
          <w:tcPr>
            <w:tcW w:w="3960" w:type="dxa"/>
            <w:vMerge w:val="restart"/>
            <w:vAlign w:val="center"/>
          </w:tcPr>
          <w:p w:rsidR="00A87C4C" w:rsidRDefault="00A56C9B">
            <w:pPr>
              <w:spacing w:before="20" w:after="20"/>
              <w:rPr>
                <w:noProof/>
              </w:rPr>
            </w:pPr>
            <w:r>
              <w:rPr>
                <w:noProof/>
              </w:rPr>
              <w:br w:type="page"/>
            </w: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  <w:sz w:val="21"/>
              </w:rPr>
              <w:t>UKUPNA odobrena sredstva za poslovanje</w:t>
            </w:r>
          </w:p>
        </w:tc>
        <w:tc>
          <w:tcPr>
            <w:tcW w:w="1440" w:type="dxa"/>
            <w:vAlign w:val="center"/>
          </w:tcPr>
          <w:p w:rsidR="00A87C4C" w:rsidRDefault="00A56C9B"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Preuzete obveze</w:t>
            </w:r>
          </w:p>
        </w:tc>
        <w:tc>
          <w:tcPr>
            <w:tcW w:w="654" w:type="dxa"/>
            <w:vAlign w:val="center"/>
          </w:tcPr>
          <w:p w:rsidR="00A87C4C" w:rsidRDefault="00A56C9B"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(4)</w:t>
            </w:r>
          </w:p>
        </w:tc>
        <w:tc>
          <w:tcPr>
            <w:tcW w:w="12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 w:rsidR="00A87C4C">
        <w:tc>
          <w:tcPr>
            <w:tcW w:w="3960" w:type="dxa"/>
            <w:vMerge/>
          </w:tcPr>
          <w:p w:rsidR="00A87C4C" w:rsidRDefault="00A87C4C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 w:rsidR="00A87C4C" w:rsidRDefault="00A56C9B"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Plaćanja</w:t>
            </w:r>
          </w:p>
        </w:tc>
        <w:tc>
          <w:tcPr>
            <w:tcW w:w="654" w:type="dxa"/>
            <w:vAlign w:val="center"/>
          </w:tcPr>
          <w:p w:rsidR="00A87C4C" w:rsidRDefault="00A56C9B"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(5)</w:t>
            </w:r>
          </w:p>
        </w:tc>
        <w:tc>
          <w:tcPr>
            <w:tcW w:w="12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 w:rsidR="00A87C4C">
        <w:trPr>
          <w:trHeight w:val="533"/>
        </w:trPr>
        <w:tc>
          <w:tcPr>
            <w:tcW w:w="5400" w:type="dxa"/>
            <w:gridSpan w:val="2"/>
            <w:vAlign w:val="center"/>
          </w:tcPr>
          <w:p w:rsidR="00A87C4C" w:rsidRDefault="00A56C9B">
            <w:pPr>
              <w:spacing w:beforeLines="20" w:before="48" w:afterLines="20" w:after="48"/>
              <w:rPr>
                <w:noProof/>
              </w:rPr>
            </w:pP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  <w:sz w:val="21"/>
              </w:rPr>
              <w:t>UKUPNA administrativna odobrena sredstva koja se financiraju iz omotnice za posebne programe</w:t>
            </w:r>
          </w:p>
        </w:tc>
        <w:tc>
          <w:tcPr>
            <w:tcW w:w="654" w:type="dxa"/>
            <w:vAlign w:val="center"/>
          </w:tcPr>
          <w:p w:rsidR="00A87C4C" w:rsidRDefault="00A56C9B"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(6)</w:t>
            </w:r>
          </w:p>
        </w:tc>
        <w:tc>
          <w:tcPr>
            <w:tcW w:w="12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 w:rsidR="00A87C4C">
        <w:tc>
          <w:tcPr>
            <w:tcW w:w="3960" w:type="dxa"/>
            <w:vMerge w:val="restart"/>
            <w:shd w:val="thinDiagStripe" w:color="C0C0C0" w:fill="auto"/>
            <w:vAlign w:val="center"/>
          </w:tcPr>
          <w:p w:rsidR="00A87C4C" w:rsidRDefault="00A56C9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UKUPNA odobrena sredstva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iz NASLOVA 13</w:t>
            </w:r>
            <w:r>
              <w:rPr>
                <w:noProof/>
                <w:sz w:val="22"/>
              </w:rPr>
              <w:br/>
              <w:t>višegodišnjeg financijskog okvira</w:t>
            </w:r>
          </w:p>
        </w:tc>
        <w:tc>
          <w:tcPr>
            <w:tcW w:w="1440" w:type="dxa"/>
            <w:vAlign w:val="center"/>
          </w:tcPr>
          <w:p w:rsidR="00A87C4C" w:rsidRDefault="00A56C9B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Preuzete obveze</w:t>
            </w:r>
          </w:p>
        </w:tc>
        <w:tc>
          <w:tcPr>
            <w:tcW w:w="654" w:type="dxa"/>
            <w:vAlign w:val="center"/>
          </w:tcPr>
          <w:p w:rsidR="00A87C4C" w:rsidRDefault="00A56C9B"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 4 + 6</w:t>
            </w:r>
          </w:p>
        </w:tc>
        <w:tc>
          <w:tcPr>
            <w:tcW w:w="12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  <w:tr w:rsidR="00A87C4C">
        <w:tc>
          <w:tcPr>
            <w:tcW w:w="3960" w:type="dxa"/>
            <w:vMerge/>
            <w:shd w:val="thinDiagStripe" w:color="C0C0C0" w:fill="auto"/>
          </w:tcPr>
          <w:p w:rsidR="00A87C4C" w:rsidRDefault="00A87C4C">
            <w:pPr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 w:rsidR="00A87C4C" w:rsidRDefault="00A56C9B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Plaćanja</w:t>
            </w:r>
          </w:p>
        </w:tc>
        <w:tc>
          <w:tcPr>
            <w:tcW w:w="654" w:type="dxa"/>
            <w:vAlign w:val="center"/>
          </w:tcPr>
          <w:p w:rsidR="00A87C4C" w:rsidRDefault="00A56C9B"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 5 + 6</w:t>
            </w:r>
          </w:p>
        </w:tc>
        <w:tc>
          <w:tcPr>
            <w:tcW w:w="12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52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 w:rsidR="00A87C4C" w:rsidRDefault="00A87C4C"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</w:tbl>
    <w:p w:rsidR="00A87C4C" w:rsidRDefault="00A87C4C">
      <w:pPr>
        <w:spacing w:after="40"/>
        <w:rPr>
          <w:b/>
          <w:noProof/>
          <w:sz w:val="22"/>
          <w:u w:val="single"/>
        </w:rPr>
      </w:pPr>
    </w:p>
    <w:p w:rsidR="00A87C4C" w:rsidRDefault="00A56C9B">
      <w:pPr>
        <w:spacing w:after="40"/>
        <w:rPr>
          <w:b/>
          <w:noProof/>
          <w:sz w:val="22"/>
          <w:u w:val="single"/>
        </w:rPr>
      </w:pPr>
      <w:r>
        <w:rPr>
          <w:b/>
          <w:noProof/>
          <w:sz w:val="22"/>
          <w:u w:val="single"/>
        </w:rPr>
        <w:t>Ako prijedlog/inicijativa utječe na više od jednog naslova za poslovanje, ponovite prethodni odjeljak:</w:t>
      </w:r>
    </w:p>
    <w:tbl>
      <w:tblPr>
        <w:tblW w:w="0" w:type="auto"/>
        <w:tblInd w:w="-252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440"/>
        <w:gridCol w:w="65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 w:rsidR="00A87C4C">
        <w:trPr>
          <w:trHeight w:val="277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</w:tcBorders>
            <w:vAlign w:val="center"/>
          </w:tcPr>
          <w:p w:rsidR="00A87C4C" w:rsidRDefault="00A56C9B">
            <w:pPr>
              <w:spacing w:before="20" w:after="20"/>
              <w:rPr>
                <w:noProof/>
              </w:rPr>
            </w:pP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</w:rPr>
              <w:t xml:space="preserve"> </w:t>
            </w:r>
            <w:r>
              <w:rPr>
                <w:noProof/>
                <w:sz w:val="21"/>
              </w:rPr>
              <w:t>UKUPNA odobrena sredstva za poslovanje (svi naslovi za poslovanje)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A87C4C" w:rsidRDefault="00A56C9B"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Preuzete obveze</w:t>
            </w:r>
          </w:p>
        </w:tc>
        <w:tc>
          <w:tcPr>
            <w:tcW w:w="654" w:type="dxa"/>
            <w:tcBorders>
              <w:top w:val="single" w:sz="4" w:space="0" w:color="auto"/>
            </w:tcBorders>
            <w:vAlign w:val="center"/>
          </w:tcPr>
          <w:p w:rsidR="00A87C4C" w:rsidRDefault="00A56C9B"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(4)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 w:rsidR="00A87C4C">
        <w:tc>
          <w:tcPr>
            <w:tcW w:w="3960" w:type="dxa"/>
            <w:vMerge/>
            <w:tcBorders>
              <w:top w:val="single" w:sz="4" w:space="0" w:color="FF0000"/>
              <w:left w:val="single" w:sz="4" w:space="0" w:color="auto"/>
              <w:bottom w:val="single" w:sz="4" w:space="0" w:color="FF0000"/>
            </w:tcBorders>
          </w:tcPr>
          <w:p w:rsidR="00A87C4C" w:rsidRDefault="00A87C4C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 w:rsidR="00A87C4C" w:rsidRDefault="00A56C9B"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Plaćanja</w:t>
            </w:r>
          </w:p>
        </w:tc>
        <w:tc>
          <w:tcPr>
            <w:tcW w:w="654" w:type="dxa"/>
            <w:vAlign w:val="center"/>
          </w:tcPr>
          <w:p w:rsidR="00A87C4C" w:rsidRDefault="00A56C9B"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(5)</w:t>
            </w: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right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 w:rsidR="00A87C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33"/>
        </w:trPr>
        <w:tc>
          <w:tcPr>
            <w:tcW w:w="5400" w:type="dxa"/>
            <w:gridSpan w:val="2"/>
            <w:vAlign w:val="center"/>
          </w:tcPr>
          <w:p w:rsidR="00A87C4C" w:rsidRDefault="00A56C9B">
            <w:pPr>
              <w:spacing w:beforeLines="20" w:before="48" w:afterLines="20" w:after="48"/>
              <w:rPr>
                <w:noProof/>
              </w:rPr>
            </w:pPr>
            <w:r>
              <w:rPr>
                <w:noProof/>
                <w:sz w:val="21"/>
              </w:rPr>
              <w:t xml:space="preserve"> UKUPNA administrativna odobrena sredstva koja se financiraju iz omotnice za posebne programe (svi naslovi za poslovanje)</w:t>
            </w:r>
          </w:p>
        </w:tc>
        <w:tc>
          <w:tcPr>
            <w:tcW w:w="654" w:type="dxa"/>
            <w:vAlign w:val="center"/>
          </w:tcPr>
          <w:p w:rsidR="00A87C4C" w:rsidRDefault="00A87C4C">
            <w:pPr>
              <w:rPr>
                <w:noProof/>
              </w:rPr>
            </w:pPr>
          </w:p>
          <w:p w:rsidR="00A87C4C" w:rsidRDefault="00A56C9B"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(6)</w:t>
            </w: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 w:rsidR="00A87C4C">
        <w:tc>
          <w:tcPr>
            <w:tcW w:w="3960" w:type="dxa"/>
            <w:vMerge w:val="restart"/>
            <w:tcBorders>
              <w:top w:val="single" w:sz="4" w:space="0" w:color="FF0000"/>
              <w:left w:val="single" w:sz="4" w:space="0" w:color="auto"/>
              <w:bottom w:val="single" w:sz="4" w:space="0" w:color="FF0000"/>
            </w:tcBorders>
            <w:shd w:val="thinDiagStripe" w:color="C0C0C0" w:fill="auto"/>
            <w:vAlign w:val="center"/>
          </w:tcPr>
          <w:p w:rsidR="00A87C4C" w:rsidRDefault="00A56C9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UKUPNA odobrena sredstva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iz NASLOVA 1 – 4</w:t>
            </w:r>
            <w:r>
              <w:rPr>
                <w:noProof/>
                <w:sz w:val="22"/>
              </w:rPr>
              <w:br/>
              <w:t>višegodišnjeg financijskog okvira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20"/>
              </w:rPr>
              <w:t>(referentni iznos)</w:t>
            </w:r>
          </w:p>
        </w:tc>
        <w:tc>
          <w:tcPr>
            <w:tcW w:w="1440" w:type="dxa"/>
            <w:vAlign w:val="center"/>
          </w:tcPr>
          <w:p w:rsidR="00A87C4C" w:rsidRDefault="00A56C9B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Preuzete obveze</w:t>
            </w:r>
          </w:p>
        </w:tc>
        <w:tc>
          <w:tcPr>
            <w:tcW w:w="654" w:type="dxa"/>
            <w:vAlign w:val="center"/>
          </w:tcPr>
          <w:p w:rsidR="00A87C4C" w:rsidRDefault="00A56C9B"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 4 + 6</w:t>
            </w: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right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 w:rsidR="00A87C4C">
        <w:tc>
          <w:tcPr>
            <w:tcW w:w="3960" w:type="dxa"/>
            <w:vMerge/>
            <w:tcBorders>
              <w:top w:val="single" w:sz="4" w:space="0" w:color="FF0000"/>
              <w:left w:val="single" w:sz="4" w:space="0" w:color="auto"/>
              <w:bottom w:val="single" w:sz="4" w:space="0" w:color="auto"/>
            </w:tcBorders>
            <w:shd w:val="thinDiagStripe" w:color="C0C0C0" w:fill="auto"/>
          </w:tcPr>
          <w:p w:rsidR="00A87C4C" w:rsidRDefault="00A87C4C">
            <w:pPr>
              <w:rPr>
                <w:noProof/>
                <w:sz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A87C4C" w:rsidRDefault="00A56C9B"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Plaćanja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 w:rsidR="00A87C4C" w:rsidRDefault="00A56C9B"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 5 + 6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</w:tbl>
    <w:p w:rsidR="00A87C4C" w:rsidRDefault="00A87C4C">
      <w:pPr>
        <w:rPr>
          <w:noProof/>
        </w:rPr>
      </w:pPr>
    </w:p>
    <w:p w:rsidR="00A87C4C" w:rsidRDefault="00A56C9B">
      <w:pPr>
        <w:spacing w:before="0" w:after="0"/>
        <w:jc w:val="left"/>
        <w:rPr>
          <w:noProof/>
        </w:rPr>
      </w:pPr>
      <w:r>
        <w:rPr>
          <w:noProof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 w:rsidR="00A87C4C"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 w:rsidR="00A87C4C" w:rsidRDefault="00A56C9B">
            <w:pPr>
              <w:spacing w:before="60" w:after="60"/>
              <w:jc w:val="center"/>
              <w:rPr>
                <w:b/>
                <w:noProof/>
              </w:rPr>
            </w:pPr>
            <w:r>
              <w:rPr>
                <w:noProof/>
              </w:rPr>
              <w:br w:type="page"/>
            </w:r>
            <w:r>
              <w:rPr>
                <w:b/>
                <w:noProof/>
                <w:sz w:val="22"/>
              </w:rPr>
              <w:t>Naslov višegodišnjeg financijskog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 xml:space="preserve">okvira: </w:t>
            </w:r>
          </w:p>
        </w:tc>
        <w:tc>
          <w:tcPr>
            <w:tcW w:w="1080" w:type="dxa"/>
            <w:shd w:val="thinDiagStripe" w:color="C0C0C0" w:fill="auto"/>
            <w:vAlign w:val="center"/>
          </w:tcPr>
          <w:p w:rsidR="00A87C4C" w:rsidRDefault="00A56C9B">
            <w:pPr>
              <w:spacing w:before="60" w:after="60"/>
              <w:jc w:val="center"/>
              <w:rPr>
                <w:noProof/>
              </w:rPr>
            </w:pPr>
            <w:r>
              <w:rPr>
                <w:b/>
                <w:noProof/>
                <w:sz w:val="22"/>
              </w:rPr>
              <w:t>5</w:t>
            </w:r>
          </w:p>
        </w:tc>
        <w:tc>
          <w:tcPr>
            <w:tcW w:w="7817" w:type="dxa"/>
            <w:vAlign w:val="center"/>
          </w:tcPr>
          <w:p w:rsidR="00A87C4C" w:rsidRDefault="00A56C9B">
            <w:pPr>
              <w:spacing w:before="60" w:after="60"/>
              <w:rPr>
                <w:noProof/>
              </w:rPr>
            </w:pPr>
            <w:r>
              <w:rPr>
                <w:noProof/>
                <w:sz w:val="22"/>
              </w:rPr>
              <w:t>„Administrativni rashodi”</w:t>
            </w:r>
          </w:p>
        </w:tc>
      </w:tr>
    </w:tbl>
    <w:p w:rsidR="00A87C4C" w:rsidRDefault="00A56C9B">
      <w:pPr>
        <w:jc w:val="left"/>
        <w:rPr>
          <w:noProof/>
          <w:sz w:val="20"/>
        </w:rPr>
      </w:pPr>
      <w:r>
        <w:rPr>
          <w:noProof/>
        </w:rPr>
        <w:t xml:space="preserve">U ovaj se dio unose „administrativni proračunski podaci”, koji se najprije unose u </w:t>
      </w:r>
      <w:hyperlink r:id="rId16">
        <w:r>
          <w:rPr>
            <w:rStyle w:val="Hyperlink"/>
            <w:noProof/>
          </w:rPr>
          <w:t>prilog zakonodavnom financijskom izvještaju</w:t>
        </w:r>
      </w:hyperlink>
      <w:r>
        <w:rPr>
          <w:noProof/>
        </w:rPr>
        <w:t xml:space="preserve"> (Prilog V. internim pravilima), koji se učitava u sustav DECIDE za potrebe sa</w:t>
      </w:r>
      <w:r>
        <w:rPr>
          <w:noProof/>
        </w:rPr>
        <w:t>vjetovanja među službama.</w:t>
      </w:r>
    </w:p>
    <w:p w:rsidR="00A87C4C" w:rsidRDefault="00A56C9B">
      <w:pPr>
        <w:jc w:val="right"/>
        <w:rPr>
          <w:noProof/>
          <w:sz w:val="20"/>
        </w:rPr>
      </w:pPr>
      <w:r>
        <w:rPr>
          <w:noProof/>
          <w:sz w:val="20"/>
        </w:rPr>
        <w:t>U milijunima EUR (do 3 decimalna mjesta)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60"/>
        <w:gridCol w:w="53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 w:rsidR="00A87C4C">
        <w:tc>
          <w:tcPr>
            <w:tcW w:w="3960" w:type="dxa"/>
            <w:tcBorders>
              <w:top w:val="nil"/>
              <w:left w:val="nil"/>
              <w:right w:val="nil"/>
            </w:tcBorders>
            <w:vAlign w:val="center"/>
          </w:tcPr>
          <w:p w:rsidR="00A87C4C" w:rsidRDefault="00A87C4C">
            <w:pPr>
              <w:jc w:val="center"/>
              <w:rPr>
                <w:noProof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A87C4C" w:rsidRDefault="00A87C4C">
            <w:pPr>
              <w:rPr>
                <w:noProof/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</w:tcBorders>
          </w:tcPr>
          <w:p w:rsidR="00A87C4C" w:rsidRDefault="00A87C4C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</w:t>
            </w:r>
          </w:p>
        </w:tc>
        <w:tc>
          <w:tcPr>
            <w:tcW w:w="868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N+1</w:t>
            </w:r>
          </w:p>
        </w:tc>
        <w:tc>
          <w:tcPr>
            <w:tcW w:w="868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N+2</w:t>
            </w:r>
          </w:p>
        </w:tc>
        <w:tc>
          <w:tcPr>
            <w:tcW w:w="868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N+3</w:t>
            </w:r>
          </w:p>
        </w:tc>
        <w:tc>
          <w:tcPr>
            <w:tcW w:w="2604" w:type="dxa"/>
            <w:gridSpan w:val="3"/>
            <w:vAlign w:val="center"/>
          </w:tcPr>
          <w:p w:rsidR="00A87C4C" w:rsidRDefault="00A56C9B">
            <w:pPr>
              <w:jc w:val="center"/>
              <w:rPr>
                <w:b/>
                <w:noProof/>
                <w:sz w:val="18"/>
              </w:rPr>
            </w:pPr>
            <w:r>
              <w:rPr>
                <w:noProof/>
                <w:sz w:val="18"/>
              </w:rPr>
              <w:t xml:space="preserve">Unijeti onoliko godina koliko je potrebno za prikaz trajanja učinka (vidjeti točku 1.6.) </w:t>
            </w:r>
          </w:p>
        </w:tc>
        <w:tc>
          <w:tcPr>
            <w:tcW w:w="1777" w:type="dxa"/>
            <w:vAlign w:val="center"/>
          </w:tcPr>
          <w:p w:rsidR="00A87C4C" w:rsidRDefault="00A56C9B"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UKUPNO</w:t>
            </w:r>
          </w:p>
        </w:tc>
      </w:tr>
      <w:tr w:rsidR="00A87C4C">
        <w:trPr>
          <w:gridAfter w:val="10"/>
          <w:wAfter w:w="9947" w:type="dxa"/>
        </w:trPr>
        <w:tc>
          <w:tcPr>
            <w:tcW w:w="3960" w:type="dxa"/>
            <w:vAlign w:val="center"/>
          </w:tcPr>
          <w:p w:rsidR="00A87C4C" w:rsidRDefault="00A56C9B"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2"/>
              </w:rPr>
              <w:t>GU: &lt;…….&gt;</w:t>
            </w:r>
          </w:p>
        </w:tc>
      </w:tr>
      <w:tr w:rsidR="00A87C4C">
        <w:trPr>
          <w:trHeight w:val="313"/>
        </w:trPr>
        <w:tc>
          <w:tcPr>
            <w:tcW w:w="6054" w:type="dxa"/>
            <w:gridSpan w:val="3"/>
            <w:vAlign w:val="center"/>
          </w:tcPr>
          <w:p w:rsidR="00A87C4C" w:rsidRDefault="00A56C9B">
            <w:pPr>
              <w:spacing w:before="20" w:after="20"/>
              <w:rPr>
                <w:noProof/>
              </w:rPr>
            </w:pPr>
            <w:r>
              <w:rPr>
                <w:noProof/>
                <w:sz w:val="22"/>
              </w:rPr>
              <w:sym w:font="Wingdings" w:char="F09F"/>
            </w:r>
            <w:r>
              <w:rPr>
                <w:noProof/>
                <w:sz w:val="22"/>
              </w:rPr>
              <w:t xml:space="preserve"> Ljudski resursi</w:t>
            </w: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 w:rsidR="00A87C4C">
        <w:trPr>
          <w:trHeight w:val="351"/>
        </w:trPr>
        <w:tc>
          <w:tcPr>
            <w:tcW w:w="6054" w:type="dxa"/>
            <w:gridSpan w:val="3"/>
            <w:vAlign w:val="center"/>
          </w:tcPr>
          <w:p w:rsidR="00A87C4C" w:rsidRDefault="00A56C9B">
            <w:pPr>
              <w:spacing w:before="20" w:after="20"/>
              <w:rPr>
                <w:noProof/>
              </w:rPr>
            </w:pPr>
            <w:r>
              <w:rPr>
                <w:noProof/>
                <w:sz w:val="22"/>
              </w:rPr>
              <w:sym w:font="Wingdings" w:char="F09F"/>
            </w:r>
            <w:r>
              <w:rPr>
                <w:noProof/>
                <w:sz w:val="22"/>
              </w:rPr>
              <w:t xml:space="preserve"> Ostali administrativni rashodi</w:t>
            </w: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 w:rsidR="00A87C4C">
        <w:tc>
          <w:tcPr>
            <w:tcW w:w="3960" w:type="dxa"/>
            <w:vAlign w:val="center"/>
          </w:tcPr>
          <w:p w:rsidR="00A87C4C" w:rsidRDefault="00A56C9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GLAVNA UPRAVA &lt;….&gt; UKUPNO</w:t>
            </w:r>
          </w:p>
        </w:tc>
        <w:tc>
          <w:tcPr>
            <w:tcW w:w="2094" w:type="dxa"/>
            <w:gridSpan w:val="2"/>
            <w:vAlign w:val="center"/>
          </w:tcPr>
          <w:p w:rsidR="00A87C4C" w:rsidRDefault="00A56C9B"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 xml:space="preserve">Odobrena sredstva </w:t>
            </w: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</w:tbl>
    <w:p w:rsidR="00A87C4C" w:rsidRDefault="00A87C4C">
      <w:pPr>
        <w:rPr>
          <w:noProof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209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 w:rsidR="00A87C4C">
        <w:tc>
          <w:tcPr>
            <w:tcW w:w="3960" w:type="dxa"/>
            <w:shd w:val="thinDiagStripe" w:color="C0C0C0" w:fill="auto"/>
            <w:vAlign w:val="center"/>
          </w:tcPr>
          <w:p w:rsidR="00A87C4C" w:rsidRDefault="00A56C9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UKUPNA odobrena sredstva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iz NASLOVA 5</w:t>
            </w:r>
            <w:r>
              <w:rPr>
                <w:noProof/>
                <w:sz w:val="22"/>
              </w:rPr>
              <w:br/>
              <w:t>višegodišnjeg financijskog okvira</w:t>
            </w:r>
            <w:r>
              <w:rPr>
                <w:b/>
                <w:noProof/>
                <w:sz w:val="22"/>
              </w:rPr>
              <w:t xml:space="preserve"> </w:t>
            </w:r>
          </w:p>
        </w:tc>
        <w:tc>
          <w:tcPr>
            <w:tcW w:w="2094" w:type="dxa"/>
            <w:vAlign w:val="center"/>
          </w:tcPr>
          <w:p w:rsidR="00A87C4C" w:rsidRDefault="00A56C9B">
            <w:pPr>
              <w:spacing w:before="40" w:after="40"/>
              <w:rPr>
                <w:noProof/>
              </w:rPr>
            </w:pPr>
            <w:r>
              <w:rPr>
                <w:noProof/>
                <w:sz w:val="18"/>
              </w:rPr>
              <w:t>(ukupne obveze = ukupna plaćanja)</w:t>
            </w: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 w:rsidR="00A87C4C" w:rsidRDefault="00A87C4C"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</w:tbl>
    <w:p w:rsidR="00A87C4C" w:rsidRDefault="00A56C9B">
      <w:pPr>
        <w:jc w:val="right"/>
        <w:rPr>
          <w:noProof/>
          <w:sz w:val="20"/>
        </w:rPr>
      </w:pPr>
      <w:r>
        <w:rPr>
          <w:noProof/>
          <w:sz w:val="20"/>
        </w:rPr>
        <w:t>U milijunima EUR (do 3 decimalna mjesta)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60"/>
        <w:gridCol w:w="53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 w:rsidR="00A87C4C">
        <w:tc>
          <w:tcPr>
            <w:tcW w:w="3960" w:type="dxa"/>
            <w:tcBorders>
              <w:top w:val="nil"/>
              <w:left w:val="nil"/>
              <w:right w:val="nil"/>
            </w:tcBorders>
            <w:vAlign w:val="center"/>
          </w:tcPr>
          <w:p w:rsidR="00A87C4C" w:rsidRDefault="00A87C4C">
            <w:pPr>
              <w:jc w:val="center"/>
              <w:rPr>
                <w:noProof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A87C4C" w:rsidRDefault="00A87C4C">
            <w:pPr>
              <w:rPr>
                <w:noProof/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</w:tcBorders>
          </w:tcPr>
          <w:p w:rsidR="00A87C4C" w:rsidRDefault="00A87C4C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</w:t>
            </w:r>
            <w:r>
              <w:rPr>
                <w:rStyle w:val="FootnoteReference"/>
                <w:b/>
                <w:noProof/>
                <w:sz w:val="20"/>
              </w:rPr>
              <w:footnoteReference w:id="13"/>
            </w:r>
          </w:p>
        </w:tc>
        <w:tc>
          <w:tcPr>
            <w:tcW w:w="868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N+1</w:t>
            </w:r>
          </w:p>
        </w:tc>
        <w:tc>
          <w:tcPr>
            <w:tcW w:w="868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N+2</w:t>
            </w:r>
          </w:p>
        </w:tc>
        <w:tc>
          <w:tcPr>
            <w:tcW w:w="868" w:type="dxa"/>
            <w:vAlign w:val="center"/>
          </w:tcPr>
          <w:p w:rsidR="00A87C4C" w:rsidRDefault="00A56C9B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N+3</w:t>
            </w:r>
          </w:p>
        </w:tc>
        <w:tc>
          <w:tcPr>
            <w:tcW w:w="2604" w:type="dxa"/>
            <w:gridSpan w:val="3"/>
            <w:vAlign w:val="center"/>
          </w:tcPr>
          <w:p w:rsidR="00A87C4C" w:rsidRDefault="00A56C9B">
            <w:pPr>
              <w:jc w:val="center"/>
              <w:rPr>
                <w:b/>
                <w:noProof/>
                <w:sz w:val="18"/>
              </w:rPr>
            </w:pPr>
            <w:r>
              <w:rPr>
                <w:noProof/>
                <w:sz w:val="18"/>
              </w:rPr>
              <w:t>Unijeti onoliko godina koliko je potrebno za prikaz trajanja učinka (vidjeti točku 1.6.)</w:t>
            </w:r>
          </w:p>
        </w:tc>
        <w:tc>
          <w:tcPr>
            <w:tcW w:w="1777" w:type="dxa"/>
            <w:vAlign w:val="center"/>
          </w:tcPr>
          <w:p w:rsidR="00A87C4C" w:rsidRDefault="00A56C9B"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UKUPNO</w:t>
            </w:r>
          </w:p>
        </w:tc>
      </w:tr>
      <w:tr w:rsidR="00A87C4C">
        <w:tc>
          <w:tcPr>
            <w:tcW w:w="3960" w:type="dxa"/>
            <w:vMerge w:val="restart"/>
            <w:shd w:val="clear" w:color="auto" w:fill="C0C0C0"/>
            <w:vAlign w:val="center"/>
          </w:tcPr>
          <w:p w:rsidR="00A87C4C" w:rsidRDefault="00A56C9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UKUPNA odobrena sredstva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iz NASLOVA 1 – 5</w:t>
            </w:r>
            <w:r>
              <w:rPr>
                <w:noProof/>
                <w:sz w:val="22"/>
              </w:rPr>
              <w:br/>
              <w:t>višegodišnjeg financijskog okvira</w:t>
            </w:r>
            <w:r>
              <w:rPr>
                <w:b/>
                <w:noProof/>
                <w:sz w:val="22"/>
              </w:rPr>
              <w:t xml:space="preserve"> </w:t>
            </w:r>
          </w:p>
        </w:tc>
        <w:tc>
          <w:tcPr>
            <w:tcW w:w="2094" w:type="dxa"/>
            <w:gridSpan w:val="2"/>
            <w:vAlign w:val="center"/>
          </w:tcPr>
          <w:p w:rsidR="00A87C4C" w:rsidRDefault="00A56C9B"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>Preuzete obveze</w:t>
            </w: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</w:tr>
      <w:tr w:rsidR="00A87C4C">
        <w:tc>
          <w:tcPr>
            <w:tcW w:w="3960" w:type="dxa"/>
            <w:vMerge/>
            <w:shd w:val="clear" w:color="auto" w:fill="C0C0C0"/>
          </w:tcPr>
          <w:p w:rsidR="00A87C4C" w:rsidRDefault="00A87C4C">
            <w:pPr>
              <w:rPr>
                <w:noProof/>
                <w:sz w:val="20"/>
              </w:rPr>
            </w:pPr>
          </w:p>
        </w:tc>
        <w:tc>
          <w:tcPr>
            <w:tcW w:w="2094" w:type="dxa"/>
            <w:gridSpan w:val="2"/>
            <w:vAlign w:val="center"/>
          </w:tcPr>
          <w:p w:rsidR="00A87C4C" w:rsidRDefault="00A56C9B"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>Plaćanja</w:t>
            </w: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 w:rsidR="00A87C4C" w:rsidRDefault="00A87C4C"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</w:tr>
    </w:tbl>
    <w:p w:rsidR="00A87C4C" w:rsidRDefault="00A87C4C">
      <w:pPr>
        <w:rPr>
          <w:noProof/>
        </w:rPr>
      </w:pPr>
    </w:p>
    <w:p w:rsidR="00A87C4C" w:rsidRDefault="00A56C9B">
      <w:pPr>
        <w:pStyle w:val="ManualHeading3"/>
        <w:rPr>
          <w:bCs/>
          <w:noProof/>
          <w:szCs w:val="24"/>
        </w:rPr>
      </w:pPr>
      <w:bookmarkStart w:id="45" w:name="_Toc514938054"/>
      <w:bookmarkStart w:id="46" w:name="_Toc520485053"/>
      <w:r>
        <w:t>3.2.2.</w:t>
      </w:r>
      <w:r>
        <w:tab/>
      </w:r>
      <w:r>
        <w:rPr>
          <w:noProof/>
        </w:rPr>
        <w:t>Procijenjeni rezultati financirani odobrenim sredstvima za poslovanje</w:t>
      </w:r>
      <w:bookmarkEnd w:id="45"/>
      <w:bookmarkEnd w:id="46"/>
      <w:r>
        <w:rPr>
          <w:noProof/>
        </w:rPr>
        <w:t xml:space="preserve"> </w:t>
      </w:r>
    </w:p>
    <w:p w:rsidR="00A87C4C" w:rsidRDefault="00A56C9B">
      <w:pPr>
        <w:jc w:val="right"/>
        <w:rPr>
          <w:noProof/>
          <w:sz w:val="20"/>
        </w:rPr>
      </w:pPr>
      <w:r>
        <w:rPr>
          <w:noProof/>
          <w:sz w:val="20"/>
        </w:rPr>
        <w:t>Odobrena sredstva za preuzimanje obveza u milijunima EUR (do 3 decimalna mjesta)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3"/>
        <w:gridCol w:w="720"/>
        <w:gridCol w:w="701"/>
        <w:gridCol w:w="504"/>
        <w:gridCol w:w="720"/>
        <w:gridCol w:w="540"/>
        <w:gridCol w:w="720"/>
        <w:gridCol w:w="720"/>
        <w:gridCol w:w="720"/>
        <w:gridCol w:w="900"/>
        <w:gridCol w:w="51"/>
        <w:gridCol w:w="669"/>
        <w:gridCol w:w="540"/>
        <w:gridCol w:w="648"/>
        <w:gridCol w:w="432"/>
        <w:gridCol w:w="720"/>
        <w:gridCol w:w="540"/>
        <w:gridCol w:w="720"/>
        <w:gridCol w:w="720"/>
        <w:gridCol w:w="900"/>
      </w:tblGrid>
      <w:tr w:rsidR="00A87C4C">
        <w:trPr>
          <w:jc w:val="center"/>
        </w:trPr>
        <w:tc>
          <w:tcPr>
            <w:tcW w:w="1423" w:type="dxa"/>
            <w:vMerge w:val="restart"/>
            <w:vAlign w:val="center"/>
          </w:tcPr>
          <w:p w:rsidR="00A87C4C" w:rsidRDefault="00A56C9B">
            <w:pPr>
              <w:ind w:right="-29"/>
              <w:jc w:val="center"/>
              <w:rPr>
                <w:b/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 xml:space="preserve">Navesti ciljeve i rezultate </w:t>
            </w:r>
          </w:p>
          <w:p w:rsidR="00A87C4C" w:rsidRDefault="00A87C4C">
            <w:pPr>
              <w:ind w:right="-29"/>
              <w:jc w:val="center"/>
              <w:rPr>
                <w:b/>
                <w:noProof/>
                <w:sz w:val="18"/>
                <w:szCs w:val="18"/>
              </w:rPr>
            </w:pPr>
          </w:p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sym w:font="Wingdings" w:char="F0F2"/>
            </w:r>
          </w:p>
        </w:tc>
        <w:tc>
          <w:tcPr>
            <w:tcW w:w="720" w:type="dxa"/>
            <w:vAlign w:val="center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left w:val="nil"/>
            </w:tcBorders>
            <w:vAlign w:val="center"/>
          </w:tcPr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</w:t>
            </w:r>
          </w:p>
        </w:tc>
        <w:tc>
          <w:tcPr>
            <w:tcW w:w="1260" w:type="dxa"/>
            <w:gridSpan w:val="2"/>
            <w:vAlign w:val="center"/>
          </w:tcPr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N+1</w:t>
            </w:r>
          </w:p>
        </w:tc>
        <w:tc>
          <w:tcPr>
            <w:tcW w:w="1440" w:type="dxa"/>
            <w:gridSpan w:val="2"/>
            <w:vAlign w:val="center"/>
          </w:tcPr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N+2</w:t>
            </w:r>
          </w:p>
        </w:tc>
        <w:tc>
          <w:tcPr>
            <w:tcW w:w="1620" w:type="dxa"/>
            <w:gridSpan w:val="3"/>
            <w:vAlign w:val="center"/>
          </w:tcPr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N+3</w:t>
            </w:r>
          </w:p>
        </w:tc>
        <w:tc>
          <w:tcPr>
            <w:tcW w:w="3600" w:type="dxa"/>
            <w:gridSpan w:val="6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Unijeti onoliko</w:t>
            </w:r>
            <w:r>
              <w:rPr>
                <w:noProof/>
                <w:sz w:val="18"/>
              </w:rPr>
              <w:t xml:space="preserve"> godina koliko je potrebno za prikaz trajanja učinka (vidjeti točku 1.6.)</w:t>
            </w:r>
          </w:p>
        </w:tc>
        <w:tc>
          <w:tcPr>
            <w:tcW w:w="1620" w:type="dxa"/>
            <w:gridSpan w:val="2"/>
            <w:tcBorders>
              <w:left w:val="nil"/>
              <w:bottom w:val="nil"/>
            </w:tcBorders>
            <w:vAlign w:val="center"/>
          </w:tcPr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>UKUPNO</w:t>
            </w:r>
          </w:p>
        </w:tc>
      </w:tr>
      <w:tr w:rsidR="00A87C4C">
        <w:trPr>
          <w:jc w:val="center"/>
        </w:trPr>
        <w:tc>
          <w:tcPr>
            <w:tcW w:w="1423" w:type="dxa"/>
            <w:vMerge/>
            <w:vAlign w:val="center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2185" w:type="dxa"/>
            <w:gridSpan w:val="19"/>
            <w:vAlign w:val="center"/>
          </w:tcPr>
          <w:p w:rsidR="00A87C4C" w:rsidRDefault="00A56C9B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>REZULTATI</w:t>
            </w:r>
          </w:p>
        </w:tc>
      </w:tr>
      <w:tr w:rsidR="00A87C4C">
        <w:trPr>
          <w:cantSplit/>
          <w:trHeight w:val="1134"/>
          <w:jc w:val="center"/>
        </w:trPr>
        <w:tc>
          <w:tcPr>
            <w:tcW w:w="1423" w:type="dxa"/>
            <w:vMerge/>
            <w:vAlign w:val="center"/>
          </w:tcPr>
          <w:p w:rsidR="00A87C4C" w:rsidRDefault="00A87C4C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Vrsta</w:t>
            </w:r>
            <w:r>
              <w:rPr>
                <w:rStyle w:val="FootnoteReference"/>
                <w:noProof/>
                <w:sz w:val="18"/>
              </w:rPr>
              <w:footnoteReference w:id="14"/>
            </w:r>
          </w:p>
          <w:p w:rsidR="00A87C4C" w:rsidRDefault="00A87C4C">
            <w:pPr>
              <w:spacing w:before="0" w:after="0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Prosječni trošak</w:t>
            </w:r>
          </w:p>
        </w:tc>
        <w:tc>
          <w:tcPr>
            <w:tcW w:w="504" w:type="dxa"/>
            <w:tcBorders>
              <w:left w:val="nil"/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:rsidR="00A87C4C" w:rsidRDefault="00A56C9B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Br.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Trošak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:rsidR="00A87C4C" w:rsidRDefault="00A56C9B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Br.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Trošak</w:t>
            </w:r>
          </w:p>
        </w:tc>
        <w:tc>
          <w:tcPr>
            <w:tcW w:w="72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:rsidR="00A87C4C" w:rsidRDefault="00A56C9B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Br.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Trošak</w:t>
            </w:r>
          </w:p>
        </w:tc>
        <w:tc>
          <w:tcPr>
            <w:tcW w:w="90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:rsidR="00A87C4C" w:rsidRDefault="00A56C9B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Br.</w:t>
            </w: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  <w:shd w:val="pct10" w:color="auto" w:fill="auto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Trošak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:rsidR="00A87C4C" w:rsidRDefault="00A56C9B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Br.</w:t>
            </w:r>
          </w:p>
        </w:tc>
        <w:tc>
          <w:tcPr>
            <w:tcW w:w="648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Trošak</w:t>
            </w:r>
          </w:p>
        </w:tc>
        <w:tc>
          <w:tcPr>
            <w:tcW w:w="432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:rsidR="00A87C4C" w:rsidRDefault="00A56C9B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Br.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Trošak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:rsidR="00A87C4C" w:rsidRDefault="00A56C9B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Br.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Trošak</w:t>
            </w:r>
          </w:p>
        </w:tc>
        <w:tc>
          <w:tcPr>
            <w:tcW w:w="720" w:type="dxa"/>
            <w:tcBorders>
              <w:right w:val="dashSmallGap" w:sz="4" w:space="0" w:color="auto"/>
            </w:tcBorders>
            <w:shd w:val="pct10" w:color="auto" w:fill="auto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Ukupni broj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Ukupni trošak</w:t>
            </w:r>
          </w:p>
        </w:tc>
      </w:tr>
      <w:tr w:rsidR="00A87C4C">
        <w:trPr>
          <w:jc w:val="center"/>
        </w:trPr>
        <w:tc>
          <w:tcPr>
            <w:tcW w:w="2844" w:type="dxa"/>
            <w:gridSpan w:val="3"/>
            <w:vAlign w:val="center"/>
          </w:tcPr>
          <w:p w:rsidR="00A87C4C" w:rsidRDefault="00A56C9B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POSEBNI CILJ br. 1</w:t>
            </w:r>
            <w:r>
              <w:rPr>
                <w:rStyle w:val="FootnoteReference"/>
                <w:noProof/>
                <w:sz w:val="18"/>
              </w:rPr>
              <w:footnoteReference w:id="15"/>
            </w:r>
            <w:r>
              <w:rPr>
                <w:noProof/>
                <w:sz w:val="18"/>
              </w:rPr>
              <w:t>...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 w:rsidR="00A87C4C">
        <w:trPr>
          <w:trHeight w:hRule="exact" w:val="369"/>
          <w:jc w:val="center"/>
        </w:trPr>
        <w:tc>
          <w:tcPr>
            <w:tcW w:w="1423" w:type="dxa"/>
          </w:tcPr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— Rezultat</w:t>
            </w: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 w:rsidR="00A87C4C">
        <w:trPr>
          <w:trHeight w:hRule="exact" w:val="369"/>
          <w:jc w:val="center"/>
        </w:trPr>
        <w:tc>
          <w:tcPr>
            <w:tcW w:w="1423" w:type="dxa"/>
          </w:tcPr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— Rezultat</w:t>
            </w: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 w:rsidR="00A87C4C">
        <w:trPr>
          <w:trHeight w:hRule="exact" w:val="369"/>
          <w:jc w:val="center"/>
        </w:trPr>
        <w:tc>
          <w:tcPr>
            <w:tcW w:w="1423" w:type="dxa"/>
          </w:tcPr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— Rezultat</w:t>
            </w: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 w:rsidR="00A87C4C">
        <w:trPr>
          <w:trHeight w:val="77"/>
          <w:jc w:val="center"/>
        </w:trPr>
        <w:tc>
          <w:tcPr>
            <w:tcW w:w="2844" w:type="dxa"/>
            <w:gridSpan w:val="3"/>
            <w:tcBorders>
              <w:bottom w:val="single" w:sz="12" w:space="0" w:color="auto"/>
            </w:tcBorders>
            <w:vAlign w:val="center"/>
          </w:tcPr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Međuzbroj za posebni cilj br. 1</w:t>
            </w:r>
          </w:p>
        </w:tc>
        <w:tc>
          <w:tcPr>
            <w:tcW w:w="504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 w:rsidR="00A87C4C">
        <w:trPr>
          <w:jc w:val="center"/>
        </w:trPr>
        <w:tc>
          <w:tcPr>
            <w:tcW w:w="2844" w:type="dxa"/>
            <w:gridSpan w:val="3"/>
            <w:vAlign w:val="center"/>
          </w:tcPr>
          <w:p w:rsidR="00A87C4C" w:rsidRDefault="00A56C9B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POSEBNI CILJ br. 2...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7C4C" w:rsidRDefault="00A87C4C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 w:rsidR="00A87C4C">
        <w:trPr>
          <w:trHeight w:hRule="exact" w:val="369"/>
          <w:jc w:val="center"/>
        </w:trPr>
        <w:tc>
          <w:tcPr>
            <w:tcW w:w="1423" w:type="dxa"/>
          </w:tcPr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— Rezultat</w:t>
            </w: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 w:rsidR="00A87C4C">
        <w:trPr>
          <w:jc w:val="center"/>
        </w:trPr>
        <w:tc>
          <w:tcPr>
            <w:tcW w:w="2844" w:type="dxa"/>
            <w:gridSpan w:val="3"/>
            <w:tcBorders>
              <w:bottom w:val="single" w:sz="12" w:space="0" w:color="auto"/>
            </w:tcBorders>
            <w:vAlign w:val="center"/>
          </w:tcPr>
          <w:p w:rsidR="00A87C4C" w:rsidRDefault="00A56C9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Međuzbroj za posebni cilj br. 2</w:t>
            </w:r>
          </w:p>
        </w:tc>
        <w:tc>
          <w:tcPr>
            <w:tcW w:w="504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69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:rsidR="00A87C4C" w:rsidRDefault="00A87C4C"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 w:rsidR="00A87C4C">
        <w:trPr>
          <w:jc w:val="center"/>
        </w:trPr>
        <w:tc>
          <w:tcPr>
            <w:tcW w:w="28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87C4C" w:rsidRDefault="00A56C9B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>UKUPNO</w:t>
            </w:r>
          </w:p>
        </w:tc>
        <w:tc>
          <w:tcPr>
            <w:tcW w:w="504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7C4C" w:rsidRDefault="00A87C4C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</w:tbl>
    <w:p w:rsidR="00A87C4C" w:rsidRDefault="00A87C4C">
      <w:pPr>
        <w:rPr>
          <w:noProof/>
        </w:rPr>
        <w:sectPr w:rsidR="00A87C4C">
          <w:headerReference w:type="default" r:id="rId17"/>
          <w:footerReference w:type="default" r:id="rId18"/>
          <w:headerReference w:type="first" r:id="rId19"/>
          <w:footerReference w:type="first" r:id="rId20"/>
          <w:pgSz w:w="16840" w:h="11907" w:orient="landscape" w:code="9"/>
          <w:pgMar w:top="1134" w:right="1418" w:bottom="567" w:left="1418" w:header="709" w:footer="709" w:gutter="0"/>
          <w:cols w:space="708"/>
          <w:docGrid w:linePitch="360"/>
        </w:sectPr>
      </w:pPr>
    </w:p>
    <w:p w:rsidR="00A87C4C" w:rsidRDefault="00A56C9B">
      <w:pPr>
        <w:pStyle w:val="ManualHeading3"/>
        <w:rPr>
          <w:bCs/>
          <w:noProof/>
          <w:szCs w:val="24"/>
        </w:rPr>
      </w:pPr>
      <w:bookmarkStart w:id="47" w:name="_Toc514938055"/>
      <w:bookmarkStart w:id="48" w:name="_Toc520485054"/>
      <w:r>
        <w:t>3.2.3.</w:t>
      </w:r>
      <w:r>
        <w:tab/>
      </w:r>
      <w:r>
        <w:rPr>
          <w:noProof/>
        </w:rPr>
        <w:t>Sažetak procijenjenog učinka na administrativna odobrena sredstva</w:t>
      </w:r>
      <w:bookmarkEnd w:id="47"/>
      <w:bookmarkEnd w:id="48"/>
      <w:r>
        <w:rPr>
          <w:noProof/>
        </w:rPr>
        <w:t xml:space="preserve"> </w:t>
      </w:r>
    </w:p>
    <w:p w:rsidR="00A87C4C" w:rsidRDefault="00A56C9B"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Za prijedlog/inicijativu nisu potrebna administrativna odobrena sredstva </w:t>
      </w:r>
    </w:p>
    <w:p w:rsidR="00A87C4C" w:rsidRDefault="00A56C9B"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Za prijedlog/inicijativu potrebna su sljedeća administrativna odobrena</w:t>
      </w:r>
      <w:r>
        <w:rPr>
          <w:noProof/>
        </w:rPr>
        <w:t xml:space="preserve"> sredstva:</w:t>
      </w:r>
    </w:p>
    <w:p w:rsidR="00A87C4C" w:rsidRDefault="00A56C9B">
      <w:pPr>
        <w:jc w:val="right"/>
        <w:rPr>
          <w:noProof/>
          <w:sz w:val="20"/>
        </w:rPr>
      </w:pPr>
      <w:r>
        <w:rPr>
          <w:noProof/>
          <w:sz w:val="20"/>
        </w:rPr>
        <w:t>U milijunima EUR (do 3 decimalna mjesta)</w:t>
      </w: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3240"/>
        <w:gridCol w:w="1080"/>
      </w:tblGrid>
      <w:tr w:rsidR="00A87C4C">
        <w:trPr>
          <w:trHeight w:val="585"/>
        </w:trPr>
        <w:tc>
          <w:tcPr>
            <w:tcW w:w="1980" w:type="dxa"/>
          </w:tcPr>
          <w:p w:rsidR="00A87C4C" w:rsidRDefault="00A87C4C">
            <w:pPr>
              <w:spacing w:before="60" w:after="60" w:line="200" w:lineRule="exac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56C9B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N </w:t>
            </w:r>
            <w:r>
              <w:rPr>
                <w:rStyle w:val="FootnoteReference"/>
                <w:b/>
                <w:noProof/>
                <w:sz w:val="16"/>
              </w:rPr>
              <w:footnoteReference w:id="16"/>
            </w:r>
          </w:p>
        </w:tc>
        <w:tc>
          <w:tcPr>
            <w:tcW w:w="1080" w:type="dxa"/>
            <w:vAlign w:val="center"/>
          </w:tcPr>
          <w:p w:rsidR="00A87C4C" w:rsidRDefault="00A56C9B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N+1</w:t>
            </w:r>
          </w:p>
        </w:tc>
        <w:tc>
          <w:tcPr>
            <w:tcW w:w="1080" w:type="dxa"/>
            <w:vAlign w:val="center"/>
          </w:tcPr>
          <w:p w:rsidR="00A87C4C" w:rsidRDefault="00A56C9B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N+2</w:t>
            </w:r>
          </w:p>
        </w:tc>
        <w:tc>
          <w:tcPr>
            <w:tcW w:w="1080" w:type="dxa"/>
            <w:vAlign w:val="center"/>
          </w:tcPr>
          <w:p w:rsidR="00A87C4C" w:rsidRDefault="00A56C9B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N+3</w:t>
            </w:r>
          </w:p>
        </w:tc>
        <w:tc>
          <w:tcPr>
            <w:tcW w:w="3240" w:type="dxa"/>
            <w:vAlign w:val="center"/>
          </w:tcPr>
          <w:p w:rsidR="00A87C4C" w:rsidRDefault="00A56C9B">
            <w:pPr>
              <w:spacing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Unijeti onoliko godina koliko je potrebno za prikaz trajanja učinka (vidjeti točku 1.6.)</w:t>
            </w:r>
          </w:p>
        </w:tc>
        <w:tc>
          <w:tcPr>
            <w:tcW w:w="1080" w:type="dxa"/>
            <w:vAlign w:val="center"/>
          </w:tcPr>
          <w:p w:rsidR="00A87C4C" w:rsidRDefault="00A56C9B"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UKUPNO</w:t>
            </w:r>
          </w:p>
        </w:tc>
      </w:tr>
    </w:tbl>
    <w:p w:rsidR="00A87C4C" w:rsidRDefault="00A87C4C"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A87C4C"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 w:rsidR="00A87C4C" w:rsidRDefault="00A56C9B"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NASLOV 5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višegodišnjeg financijskog okvira</w:t>
            </w: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 w:rsidR="00A87C4C">
        <w:trPr>
          <w:trHeight w:val="585"/>
        </w:trPr>
        <w:tc>
          <w:tcPr>
            <w:tcW w:w="1980" w:type="dxa"/>
            <w:vAlign w:val="center"/>
          </w:tcPr>
          <w:p w:rsidR="00A87C4C" w:rsidRDefault="00A56C9B"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Ljudski resursi </w:t>
            </w: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 w:rsidR="00A87C4C">
        <w:trPr>
          <w:trHeight w:val="585"/>
        </w:trPr>
        <w:tc>
          <w:tcPr>
            <w:tcW w:w="1980" w:type="dxa"/>
            <w:vAlign w:val="center"/>
          </w:tcPr>
          <w:p w:rsidR="00A87C4C" w:rsidRDefault="00A56C9B"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Ostali administrativni rashodi </w:t>
            </w: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 w:rsidR="00A87C4C"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 w:rsidR="00A87C4C" w:rsidRDefault="00A56C9B"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Međuzbroj za NASLOV 5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višegodišnjeg financijskog okvira </w:t>
            </w: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</w:tbl>
    <w:p w:rsidR="00A87C4C" w:rsidRDefault="00A87C4C"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A87C4C"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 w:rsidR="00A87C4C" w:rsidRDefault="00A56C9B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Izvan NASLOVA 5</w:t>
            </w:r>
            <w:r>
              <w:rPr>
                <w:rStyle w:val="FootnoteReference"/>
                <w:b/>
                <w:noProof/>
                <w:sz w:val="16"/>
              </w:rPr>
              <w:footnoteReference w:id="17"/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višegodišnjeg financijskog okvira </w:t>
            </w:r>
          </w:p>
          <w:p w:rsidR="00A87C4C" w:rsidRDefault="00A87C4C">
            <w:pPr>
              <w:spacing w:before="0" w:after="0" w:line="200" w:lineRule="exact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 w:rsidR="00A87C4C">
        <w:trPr>
          <w:trHeight w:val="585"/>
        </w:trPr>
        <w:tc>
          <w:tcPr>
            <w:tcW w:w="1980" w:type="dxa"/>
            <w:vAlign w:val="center"/>
          </w:tcPr>
          <w:p w:rsidR="00A87C4C" w:rsidRDefault="00A56C9B"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Ljudski resursi </w:t>
            </w: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 w:rsidR="00A87C4C">
        <w:trPr>
          <w:trHeight w:val="585"/>
        </w:trPr>
        <w:tc>
          <w:tcPr>
            <w:tcW w:w="1980" w:type="dxa"/>
            <w:vAlign w:val="center"/>
          </w:tcPr>
          <w:p w:rsidR="00A87C4C" w:rsidRDefault="00A56C9B"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Ostali administrativni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16"/>
              </w:rPr>
              <w:t>rashodi</w:t>
            </w: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 w:rsidR="00A87C4C"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 w:rsidR="00A87C4C" w:rsidRDefault="00A56C9B"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Međuzbroj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izvan NASLOVA 5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višegodišnjeg financijskog okvira </w:t>
            </w: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</w:tbl>
    <w:p w:rsidR="00A87C4C" w:rsidRDefault="00A87C4C"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A87C4C">
        <w:trPr>
          <w:trHeight w:val="585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A87C4C" w:rsidRDefault="00A56C9B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UKUPNO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7C4C" w:rsidRDefault="00A87C4C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</w:tbl>
    <w:p w:rsidR="00A87C4C" w:rsidRDefault="00A56C9B">
      <w:pPr>
        <w:rPr>
          <w:noProof/>
          <w:sz w:val="18"/>
        </w:rPr>
      </w:pPr>
      <w:r>
        <w:rPr>
          <w:noProof/>
          <w:sz w:val="18"/>
        </w:rPr>
        <w:t xml:space="preserve">Potrebna odobrena sredstva za ljudske resurse i ostale administrativne rashode pokrit će se odobrenim sredstvima glavne uprave koja su već dodijeljena za </w:t>
      </w:r>
      <w:r>
        <w:rPr>
          <w:noProof/>
          <w:sz w:val="18"/>
        </w:rPr>
        <w:t>upravljanje djelovanjem i/ili su preraspodijeljena unutar glavne uprave te, prema potrebi, bilo kojim dodatnim sredstvima koja se mogu dodijeliti nadležnoj glavnoj upravi u okviru godišnjeg postupka dodjele sredstava uzimajući u obzir proračunska ograničen</w:t>
      </w:r>
      <w:r>
        <w:rPr>
          <w:noProof/>
          <w:sz w:val="18"/>
        </w:rPr>
        <w:t>ja.</w:t>
      </w:r>
    </w:p>
    <w:p w:rsidR="00A87C4C" w:rsidRDefault="00A87C4C">
      <w:pPr>
        <w:rPr>
          <w:noProof/>
          <w:sz w:val="18"/>
        </w:rPr>
        <w:sectPr w:rsidR="00A87C4C">
          <w:headerReference w:type="default" r:id="rId21"/>
          <w:footerReference w:type="default" r:id="rId22"/>
          <w:headerReference w:type="first" r:id="rId23"/>
          <w:footerReference w:type="first" r:id="rId24"/>
          <w:pgSz w:w="11907" w:h="16840"/>
          <w:pgMar w:top="1134" w:right="1418" w:bottom="1134" w:left="1418" w:header="709" w:footer="709" w:gutter="0"/>
          <w:cols w:space="708"/>
          <w:docGrid w:linePitch="360"/>
        </w:sectPr>
      </w:pPr>
    </w:p>
    <w:p w:rsidR="00A87C4C" w:rsidRDefault="00A56C9B">
      <w:pPr>
        <w:pStyle w:val="ManualHeading4"/>
        <w:rPr>
          <w:bCs/>
          <w:noProof/>
          <w:szCs w:val="24"/>
        </w:rPr>
      </w:pPr>
      <w:r>
        <w:t>3.2.3.1.</w:t>
      </w:r>
      <w:r>
        <w:tab/>
      </w:r>
      <w:r>
        <w:rPr>
          <w:noProof/>
        </w:rPr>
        <w:t xml:space="preserve">Procijenjene potrebe u pogledu ljudskih resursa </w:t>
      </w:r>
    </w:p>
    <w:p w:rsidR="00A87C4C" w:rsidRDefault="00A56C9B"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Za prijedlog/inicijativu nisu potrebni ljudski resursi. </w:t>
      </w:r>
    </w:p>
    <w:p w:rsidR="00A87C4C" w:rsidRDefault="00A56C9B"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Za prijedlog/inicijativu potrebni su sljedeći ljudski resursi:</w:t>
      </w:r>
    </w:p>
    <w:p w:rsidR="00A87C4C" w:rsidRDefault="00A56C9B">
      <w:pPr>
        <w:spacing w:after="60"/>
        <w:jc w:val="right"/>
        <w:rPr>
          <w:i/>
          <w:noProof/>
          <w:sz w:val="20"/>
        </w:rPr>
      </w:pPr>
      <w:r>
        <w:rPr>
          <w:i/>
          <w:noProof/>
          <w:sz w:val="20"/>
        </w:rPr>
        <w:t>Procjenu n</w:t>
      </w:r>
      <w:r>
        <w:rPr>
          <w:i/>
          <w:noProof/>
          <w:sz w:val="20"/>
        </w:rPr>
        <w:t>avesti u ekvivalentima punog radnog vremena</w:t>
      </w:r>
    </w:p>
    <w:tbl>
      <w:tblPr>
        <w:tblW w:w="988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376"/>
        <w:gridCol w:w="2378"/>
        <w:gridCol w:w="731"/>
        <w:gridCol w:w="731"/>
        <w:gridCol w:w="731"/>
        <w:gridCol w:w="731"/>
        <w:gridCol w:w="731"/>
        <w:gridCol w:w="731"/>
        <w:gridCol w:w="731"/>
      </w:tblGrid>
      <w:tr w:rsidR="00A87C4C"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</w:tcPr>
          <w:p w:rsidR="00A87C4C" w:rsidRDefault="00A87C4C">
            <w:pPr>
              <w:pStyle w:val="Text1"/>
              <w:spacing w:before="40" w:after="40"/>
              <w:ind w:left="0"/>
              <w:jc w:val="center"/>
              <w:rPr>
                <w:i/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56C9B"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56C9B"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Godina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N+1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56C9B"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Godina </w:t>
            </w:r>
            <w:r>
              <w:rPr>
                <w:b/>
                <w:noProof/>
                <w:sz w:val="16"/>
              </w:rPr>
              <w:t>N+2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56C9B"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Godina </w:t>
            </w:r>
            <w:r>
              <w:rPr>
                <w:b/>
                <w:noProof/>
                <w:sz w:val="16"/>
              </w:rPr>
              <w:t>N+3</w:t>
            </w:r>
          </w:p>
        </w:tc>
        <w:tc>
          <w:tcPr>
            <w:tcW w:w="600" w:type="dxa"/>
            <w:gridSpan w:val="3"/>
            <w:shd w:val="clear" w:color="auto" w:fill="auto"/>
            <w:vAlign w:val="center"/>
          </w:tcPr>
          <w:p w:rsidR="00A87C4C" w:rsidRDefault="00A56C9B">
            <w:pPr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Unijeti onoliko godina koliko je potrebno za prikaz trajanja učinka (vidjeti točku 1.6.)</w:t>
            </w: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600" w:type="dxa"/>
            <w:gridSpan w:val="9"/>
            <w:shd w:val="clear" w:color="auto" w:fill="auto"/>
          </w:tcPr>
          <w:p w:rsidR="00A87C4C" w:rsidRDefault="00A56C9B">
            <w:pPr>
              <w:jc w:val="left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sym w:font="Wingdings" w:char="F09F"/>
            </w:r>
            <w:r>
              <w:rPr>
                <w:b/>
                <w:noProof/>
                <w:sz w:val="16"/>
              </w:rPr>
              <w:t xml:space="preserve"> Radna mjesta prema planu radnih mjesta (dužnosnici i privremeno osoblje)</w:t>
            </w: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4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XX </w:t>
            </w:r>
            <w:r>
              <w:rPr>
                <w:noProof/>
                <w:sz w:val="16"/>
              </w:rPr>
              <w:t>01 01 01 (sjedište i predstavništva Komisije)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01 02 (delegacije)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05 01/11/21 (neizravno istraživanje)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10 01 05 01/11 (izravno istraživanje)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trHeight w:val="248"/>
          <w:jc w:val="center"/>
        </w:trPr>
        <w:tc>
          <w:tcPr>
            <w:tcW w:w="600" w:type="dxa"/>
            <w:gridSpan w:val="10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="60" w:after="60"/>
              <w:ind w:left="0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sym w:font="Wingdings" w:char="F09F"/>
            </w:r>
            <w:r>
              <w:rPr>
                <w:b/>
                <w:noProof/>
                <w:sz w:val="16"/>
              </w:rPr>
              <w:t xml:space="preserve"> Vanjsko osoblje (u ekvivalentu punog radnog vremena: EPRV)</w:t>
            </w:r>
            <w:r>
              <w:rPr>
                <w:rStyle w:val="FootnoteReference"/>
                <w:b/>
                <w:noProof/>
                <w:sz w:val="16"/>
              </w:rPr>
              <w:footnoteReference w:id="18"/>
            </w:r>
          </w:p>
          <w:p w:rsidR="00A87C4C" w:rsidRDefault="00A87C4C">
            <w:pPr>
              <w:pStyle w:val="Text1"/>
              <w:spacing w:before="0" w:after="0"/>
              <w:ind w:left="0"/>
              <w:jc w:val="left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02</w:t>
            </w:r>
            <w:r>
              <w:rPr>
                <w:noProof/>
                <w:sz w:val="16"/>
              </w:rPr>
              <w:t xml:space="preserve"> 01 (UO, UNS, UsO iz „globalne omotnice”)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02 02 (UO, LO, UNS, UsO i MSD u delegacijama)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1952" w:type="dxa"/>
            <w:vMerge w:val="restart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XX</w:t>
            </w:r>
            <w:r>
              <w:rPr>
                <w:noProof/>
              </w:rPr>
              <w:t xml:space="preserve"> </w:t>
            </w:r>
            <w:r>
              <w:rPr>
                <w:noProof/>
                <w:sz w:val="16"/>
              </w:rPr>
              <w:t xml:space="preserve">01 04 </w:t>
            </w:r>
            <w:r>
              <w:rPr>
                <w:b/>
                <w:noProof/>
                <w:sz w:val="16"/>
              </w:rPr>
              <w:t>yy</w:t>
            </w:r>
            <w:r>
              <w:rPr>
                <w:b/>
                <w:i/>
                <w:noProof/>
                <w:sz w:val="16"/>
              </w:rPr>
              <w:t xml:space="preserve"> </w:t>
            </w:r>
            <w:r>
              <w:rPr>
                <w:rStyle w:val="FootnoteReference"/>
                <w:b/>
                <w:i/>
                <w:noProof/>
                <w:sz w:val="16"/>
              </w:rPr>
              <w:footnoteReference w:id="19"/>
            </w:r>
          </w:p>
          <w:p w:rsidR="00A87C4C" w:rsidRDefault="00A87C4C"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— u sjedištima</w:t>
            </w:r>
          </w:p>
          <w:p w:rsidR="00A87C4C" w:rsidRDefault="00A87C4C"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pStyle w:val="Text1"/>
              <w:spacing w:beforeLines="20" w:before="48" w:afterLines="20" w:after="48"/>
              <w:ind w:left="0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1952" w:type="dxa"/>
            <w:vMerge/>
            <w:shd w:val="clear" w:color="auto" w:fill="auto"/>
            <w:vAlign w:val="center"/>
          </w:tcPr>
          <w:p w:rsidR="00A87C4C" w:rsidRDefault="00A87C4C"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— u delegacijama 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pStyle w:val="Text1"/>
              <w:spacing w:beforeLines="20" w:before="48" w:afterLines="20" w:after="48"/>
              <w:ind w:left="0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XX</w:t>
            </w:r>
            <w:r>
              <w:rPr>
                <w:noProof/>
                <w:sz w:val="16"/>
              </w:rPr>
              <w:t xml:space="preserve"> 01 05 02/12/22 (UO, UNS, UsO – neizravno istraživanje)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10 01 05 02/12</w:t>
            </w:r>
            <w:r>
              <w:rPr>
                <w:noProof/>
                <w:sz w:val="16"/>
              </w:rPr>
              <w:t xml:space="preserve"> (UO, UNS, UsO – izravno istraživanje)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Ostale proračunske linije (navesti)</w:t>
            </w: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 w:rsidR="00A87C4C"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7C4C" w:rsidRDefault="00A56C9B"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UKUPNO</w:t>
            </w: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7C4C" w:rsidRDefault="00A87C4C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</w:tr>
    </w:tbl>
    <w:p w:rsidR="00A87C4C" w:rsidRDefault="00A56C9B">
      <w:pPr>
        <w:pStyle w:val="Text1"/>
        <w:spacing w:before="60" w:after="60"/>
        <w:ind w:left="851"/>
        <w:rPr>
          <w:noProof/>
          <w:sz w:val="18"/>
          <w:szCs w:val="18"/>
        </w:rPr>
      </w:pPr>
      <w:r>
        <w:rPr>
          <w:b/>
          <w:noProof/>
          <w:sz w:val="18"/>
        </w:rPr>
        <w:t>XX</w:t>
      </w:r>
      <w:r>
        <w:rPr>
          <w:noProof/>
          <w:sz w:val="18"/>
        </w:rPr>
        <w:t xml:space="preserve"> se odnosi na odgovarajuće područje politike ili glavu proračuna.</w:t>
      </w:r>
    </w:p>
    <w:p w:rsidR="00A87C4C" w:rsidRDefault="00A56C9B">
      <w:pPr>
        <w:pStyle w:val="Text1"/>
        <w:rPr>
          <w:noProof/>
          <w:sz w:val="18"/>
          <w:szCs w:val="18"/>
        </w:rPr>
      </w:pPr>
      <w:r>
        <w:rPr>
          <w:noProof/>
          <w:sz w:val="18"/>
        </w:rPr>
        <w:t xml:space="preserve">Potrebe za ljudskim resursima pokrit će se osobljem glavne uprave kojemu je već </w:t>
      </w:r>
      <w:r>
        <w:rPr>
          <w:noProof/>
          <w:sz w:val="18"/>
        </w:rPr>
        <w:t>povjereno upravljanje djelovanjem i/ili koje je preraspoređeno unutar glavne uprave te, prema potrebi, resursima koji se mogu dodijeliti nadležnoj glavnoj upravi u okviru godišnjeg postupka dodjele sredstava uzimajući u obzir proračunska ograničenja.</w:t>
      </w:r>
    </w:p>
    <w:p w:rsidR="00A87C4C" w:rsidRDefault="00A56C9B">
      <w:pPr>
        <w:rPr>
          <w:noProof/>
          <w:sz w:val="20"/>
        </w:rPr>
      </w:pPr>
      <w:r>
        <w:rPr>
          <w:noProof/>
          <w:sz w:val="20"/>
        </w:rPr>
        <w:t xml:space="preserve">Opis </w:t>
      </w:r>
      <w:r>
        <w:rPr>
          <w:noProof/>
          <w:sz w:val="20"/>
        </w:rPr>
        <w:t>zadaća:</w:t>
      </w:r>
    </w:p>
    <w:tbl>
      <w:tblPr>
        <w:tblW w:w="10440" w:type="dxa"/>
        <w:tblInd w:w="-4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7200"/>
      </w:tblGrid>
      <w:tr w:rsidR="00A87C4C">
        <w:tc>
          <w:tcPr>
            <w:tcW w:w="3240" w:type="dxa"/>
          </w:tcPr>
          <w:p w:rsidR="00A87C4C" w:rsidRDefault="00A56C9B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Dužnosnici i privremeno osoblje</w:t>
            </w:r>
          </w:p>
        </w:tc>
        <w:tc>
          <w:tcPr>
            <w:tcW w:w="7200" w:type="dxa"/>
          </w:tcPr>
          <w:p w:rsidR="00A87C4C" w:rsidRDefault="00A87C4C">
            <w:pPr>
              <w:rPr>
                <w:noProof/>
                <w:sz w:val="20"/>
              </w:rPr>
            </w:pPr>
          </w:p>
        </w:tc>
      </w:tr>
      <w:tr w:rsidR="00A87C4C">
        <w:tc>
          <w:tcPr>
            <w:tcW w:w="3240" w:type="dxa"/>
          </w:tcPr>
          <w:p w:rsidR="00A87C4C" w:rsidRDefault="00A56C9B">
            <w:pPr>
              <w:spacing w:before="60" w:after="6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Vanjsko osoblje</w:t>
            </w:r>
          </w:p>
        </w:tc>
        <w:tc>
          <w:tcPr>
            <w:tcW w:w="7200" w:type="dxa"/>
          </w:tcPr>
          <w:p w:rsidR="00A87C4C" w:rsidRDefault="00A87C4C">
            <w:pPr>
              <w:rPr>
                <w:noProof/>
                <w:sz w:val="20"/>
              </w:rPr>
            </w:pPr>
          </w:p>
        </w:tc>
      </w:tr>
    </w:tbl>
    <w:p w:rsidR="00A87C4C" w:rsidRDefault="00A87C4C">
      <w:pPr>
        <w:rPr>
          <w:noProof/>
        </w:rPr>
        <w:sectPr w:rsidR="00A87C4C">
          <w:pgSz w:w="11907" w:h="16840"/>
          <w:pgMar w:top="1134" w:right="1418" w:bottom="1134" w:left="1418" w:header="709" w:footer="709" w:gutter="0"/>
          <w:cols w:space="708"/>
          <w:docGrid w:linePitch="360"/>
        </w:sectPr>
      </w:pPr>
    </w:p>
    <w:p w:rsidR="00A87C4C" w:rsidRDefault="00A56C9B">
      <w:pPr>
        <w:pStyle w:val="ManualHeading3"/>
        <w:rPr>
          <w:noProof/>
        </w:rPr>
      </w:pPr>
      <w:bookmarkStart w:id="49" w:name="_Toc514938056"/>
      <w:bookmarkStart w:id="50" w:name="_Toc520485055"/>
      <w:r>
        <w:t>3.2.4.</w:t>
      </w:r>
      <w:r>
        <w:tab/>
      </w:r>
      <w:r>
        <w:rPr>
          <w:noProof/>
        </w:rPr>
        <w:t>Usklađenost s aktualnim višegodišnjim financijskim okvirom</w:t>
      </w:r>
      <w:bookmarkEnd w:id="49"/>
      <w:bookmarkEnd w:id="50"/>
      <w:r>
        <w:rPr>
          <w:noProof/>
        </w:rPr>
        <w:t xml:space="preserve"> </w:t>
      </w:r>
    </w:p>
    <w:p w:rsidR="00A87C4C" w:rsidRDefault="00A56C9B">
      <w:pPr>
        <w:pStyle w:val="Text1"/>
        <w:rPr>
          <w:noProof/>
        </w:rPr>
      </w:pPr>
      <w:r>
        <w:rPr>
          <w:noProof/>
        </w:rPr>
        <w:t>Prijedlog/inicijativa:</w:t>
      </w:r>
    </w:p>
    <w:p w:rsidR="00A87C4C" w:rsidRDefault="00A56C9B">
      <w:pPr>
        <w:pStyle w:val="ListDash1"/>
        <w:rPr>
          <w:noProof/>
        </w:rPr>
      </w:pPr>
      <w:r>
        <w:rPr>
          <w:b/>
          <w:noProof/>
        </w:rPr>
        <w:t>X</w:t>
      </w:r>
      <w:r>
        <w:rPr>
          <w:noProof/>
        </w:rPr>
        <w:tab/>
        <w:t xml:space="preserve">može se u potpunosti financirati unutar relevantnog naslova višegodišnjeg </w:t>
      </w:r>
      <w:r>
        <w:rPr>
          <w:noProof/>
        </w:rPr>
        <w:t>financijskog okvira (VFO)</w:t>
      </w:r>
    </w:p>
    <w:p w:rsidR="00A87C4C" w:rsidRDefault="00A56C9B"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zahtijeva upotrebu nedodijeljene razlike u okviru relevantnog naslova VFO-a i/ili upotrebu posebnih instrumenata kako su definiranih u Uredbi o VFO-u</w:t>
      </w:r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20"/>
        </w:rPr>
      </w:pPr>
      <w:r>
        <w:rPr>
          <w:noProof/>
          <w:sz w:val="20"/>
        </w:rPr>
        <w:t>Objasniti što je potrebno te navesti odgovarajuće naslove i proračunske linije</w:t>
      </w:r>
      <w:r>
        <w:rPr>
          <w:noProof/>
          <w:sz w:val="20"/>
        </w:rPr>
        <w:t>, odgovarajuće iznose te instrumente čija se upotreba predlaže.</w:t>
      </w:r>
    </w:p>
    <w:p w:rsidR="00A87C4C" w:rsidRDefault="00A56C9B"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zahtijeva reviziju VFO-a.</w:t>
      </w:r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rPr>
          <w:noProof/>
          <w:sz w:val="20"/>
        </w:rPr>
      </w:pPr>
      <w:r>
        <w:rPr>
          <w:noProof/>
          <w:sz w:val="20"/>
        </w:rPr>
        <w:t>Objasniti što je potrebno te navesti odgovarajuće naslove i proračunske linije i iznose.</w:t>
      </w:r>
    </w:p>
    <w:p w:rsidR="00A87C4C" w:rsidRDefault="00A56C9B">
      <w:pPr>
        <w:pStyle w:val="ManualHeading3"/>
        <w:rPr>
          <w:bCs/>
          <w:noProof/>
          <w:szCs w:val="24"/>
        </w:rPr>
      </w:pPr>
      <w:bookmarkStart w:id="51" w:name="_Toc514938058"/>
      <w:bookmarkStart w:id="52" w:name="_Toc520485056"/>
      <w:r>
        <w:t>3.2.5.</w:t>
      </w:r>
      <w:r>
        <w:tab/>
      </w:r>
      <w:r>
        <w:rPr>
          <w:noProof/>
        </w:rPr>
        <w:t>Doprinos trećih strana</w:t>
      </w:r>
      <w:bookmarkEnd w:id="51"/>
      <w:bookmarkEnd w:id="52"/>
      <w:r>
        <w:rPr>
          <w:noProof/>
        </w:rPr>
        <w:t xml:space="preserve"> </w:t>
      </w:r>
    </w:p>
    <w:p w:rsidR="00A87C4C" w:rsidRDefault="00A56C9B">
      <w:pPr>
        <w:pStyle w:val="Text1"/>
        <w:rPr>
          <w:noProof/>
        </w:rPr>
      </w:pPr>
      <w:r>
        <w:rPr>
          <w:noProof/>
        </w:rPr>
        <w:t>U prijedlogu/inicijativi:</w:t>
      </w:r>
    </w:p>
    <w:p w:rsidR="00A87C4C" w:rsidRDefault="00A56C9B">
      <w:pPr>
        <w:pStyle w:val="ListDash1"/>
        <w:rPr>
          <w:noProof/>
        </w:rPr>
      </w:pPr>
      <w:r>
        <w:rPr>
          <w:b/>
          <w:noProof/>
        </w:rPr>
        <w:t>X</w:t>
      </w:r>
      <w:r>
        <w:rPr>
          <w:noProof/>
        </w:rPr>
        <w:t xml:space="preserve"> ne predviđa se sudjelovanje trećih strana u sufinanciranju</w:t>
      </w:r>
    </w:p>
    <w:p w:rsidR="00A87C4C" w:rsidRDefault="00A56C9B">
      <w:pPr>
        <w:pStyle w:val="ListDash1"/>
        <w:rPr>
          <w:noProof/>
        </w:rPr>
      </w:pPr>
      <w:r>
        <w:rPr>
          <w:noProof/>
        </w:rPr>
        <w:tab/>
        <w:t>predviđa se sudjelovanje trećih strana u sufinanciranju prema sljedećoj procjeni:</w:t>
      </w:r>
    </w:p>
    <w:p w:rsidR="00A87C4C" w:rsidRDefault="00A56C9B">
      <w:pPr>
        <w:jc w:val="right"/>
        <w:rPr>
          <w:noProof/>
          <w:sz w:val="20"/>
        </w:rPr>
      </w:pPr>
      <w:r>
        <w:rPr>
          <w:noProof/>
          <w:sz w:val="20"/>
        </w:rPr>
        <w:t xml:space="preserve">Odobrena sredstva u EUR </w:t>
      </w:r>
    </w:p>
    <w:p w:rsidR="00A87C4C" w:rsidRDefault="00A87C4C">
      <w:pPr>
        <w:jc w:val="right"/>
        <w:rPr>
          <w:noProof/>
          <w:sz w:val="20"/>
        </w:rPr>
      </w:pPr>
    </w:p>
    <w:p w:rsidR="00A87C4C" w:rsidRDefault="00A56C9B">
      <w:pPr>
        <w:rPr>
          <w:noProof/>
        </w:rPr>
      </w:pPr>
      <w:r>
        <w:rPr>
          <w:noProof/>
        </w:rPr>
        <w:br/>
      </w:r>
    </w:p>
    <w:p w:rsidR="00A87C4C" w:rsidRDefault="00A56C9B">
      <w:pPr>
        <w:pStyle w:val="ManualHeading2"/>
        <w:rPr>
          <w:bCs/>
          <w:noProof/>
          <w:szCs w:val="24"/>
        </w:rPr>
      </w:pPr>
      <w:r>
        <w:rPr>
          <w:noProof/>
        </w:rPr>
        <w:br w:type="page"/>
      </w:r>
      <w:bookmarkStart w:id="53" w:name="_Toc514938059"/>
      <w:bookmarkStart w:id="54" w:name="_Toc520485057"/>
      <w:r>
        <w:t>3.3.</w:t>
      </w:r>
      <w:r>
        <w:tab/>
      </w:r>
      <w:r>
        <w:rPr>
          <w:noProof/>
        </w:rPr>
        <w:t>Procijenjeni učinak na prihode</w:t>
      </w:r>
      <w:bookmarkEnd w:id="53"/>
      <w:bookmarkEnd w:id="54"/>
      <w:r>
        <w:rPr>
          <w:noProof/>
        </w:rPr>
        <w:t xml:space="preserve"> </w:t>
      </w:r>
    </w:p>
    <w:p w:rsidR="00A87C4C" w:rsidRDefault="00A56C9B">
      <w:pPr>
        <w:pStyle w:val="ListDash1"/>
        <w:rPr>
          <w:noProof/>
        </w:rPr>
      </w:pPr>
      <w:r>
        <w:rPr>
          <w:b/>
          <w:noProof/>
        </w:rPr>
        <w:t>X</w:t>
      </w:r>
      <w:r>
        <w:rPr>
          <w:noProof/>
        </w:rPr>
        <w:tab/>
        <w:t>Prijedlog/inicijativa nema financijski učinak</w:t>
      </w:r>
      <w:r>
        <w:rPr>
          <w:noProof/>
        </w:rPr>
        <w:t xml:space="preserve"> na prihode. </w:t>
      </w:r>
    </w:p>
    <w:p w:rsidR="00A87C4C" w:rsidRDefault="00A56C9B">
      <w:pPr>
        <w:pStyle w:val="ListDash1"/>
        <w:rPr>
          <w:noProof/>
        </w:rPr>
      </w:pPr>
      <w:r>
        <w:rPr>
          <w:noProof/>
        </w:rPr>
        <w:tab/>
        <w:t>Prijedlog/inicijativa ima sljedeći financijski učinak:</w:t>
      </w:r>
    </w:p>
    <w:p w:rsidR="00A87C4C" w:rsidRDefault="00A56C9B">
      <w:pPr>
        <w:pStyle w:val="Tiret2"/>
        <w:numPr>
          <w:ilvl w:val="0"/>
          <w:numId w:val="16"/>
        </w:numPr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na vlastita sredstva </w:t>
      </w:r>
    </w:p>
    <w:p w:rsidR="00A87C4C" w:rsidRDefault="00A56C9B">
      <w:pPr>
        <w:pStyle w:val="Tiret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na ostale prihode</w:t>
      </w:r>
    </w:p>
    <w:p w:rsidR="00A87C4C" w:rsidRDefault="00A56C9B">
      <w:pPr>
        <w:pStyle w:val="Tiret2"/>
        <w:rPr>
          <w:noProof/>
        </w:rPr>
      </w:pPr>
      <w:r>
        <w:rPr>
          <w:noProof/>
        </w:rPr>
        <w:t>navesti ako su prihodi dodijeljeni proračunskim linijama rashoda X</w:t>
      </w:r>
      <w:r>
        <w:rPr>
          <w:noProof/>
        </w:rPr>
        <w:tab/>
      </w:r>
    </w:p>
    <w:p w:rsidR="00A87C4C" w:rsidRDefault="00A87C4C">
      <w:pPr>
        <w:pStyle w:val="ListNumberLevel3"/>
        <w:tabs>
          <w:tab w:val="clear" w:pos="2126"/>
        </w:tabs>
        <w:ind w:firstLine="0"/>
        <w:rPr>
          <w:noProof/>
        </w:rPr>
      </w:pPr>
    </w:p>
    <w:p w:rsidR="00A87C4C" w:rsidRDefault="00A56C9B">
      <w:pPr>
        <w:ind w:left="4320"/>
        <w:rPr>
          <w:i/>
          <w:noProof/>
          <w:sz w:val="20"/>
        </w:rPr>
      </w:pPr>
      <w:r>
        <w:rPr>
          <w:noProof/>
        </w:rPr>
        <w:t xml:space="preserve">     EUR </w:t>
      </w:r>
    </w:p>
    <w:p w:rsidR="00A87C4C" w:rsidRDefault="00A56C9B">
      <w:pPr>
        <w:pStyle w:val="Text1"/>
        <w:rPr>
          <w:noProof/>
          <w:sz w:val="20"/>
        </w:rPr>
      </w:pPr>
      <w:r>
        <w:rPr>
          <w:noProof/>
        </w:rPr>
        <w:br/>
      </w:r>
    </w:p>
    <w:p w:rsidR="00A87C4C" w:rsidRDefault="00A56C9B">
      <w:pPr>
        <w:pStyle w:val="Text1"/>
        <w:rPr>
          <w:noProof/>
          <w:sz w:val="20"/>
        </w:rPr>
      </w:pPr>
      <w:r>
        <w:rPr>
          <w:noProof/>
          <w:sz w:val="20"/>
        </w:rPr>
        <w:t xml:space="preserve">Za namjenske prihode navesti odgovarajuće proračunske linije </w:t>
      </w:r>
      <w:r>
        <w:rPr>
          <w:noProof/>
          <w:sz w:val="20"/>
        </w:rPr>
        <w:t>rashoda.</w:t>
      </w:r>
    </w:p>
    <w:p w:rsidR="00A87C4C" w:rsidRDefault="00A56C9B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Nije primjenjivo.</w:t>
      </w:r>
    </w:p>
    <w:p w:rsidR="00A87C4C" w:rsidRDefault="00A56C9B">
      <w:pPr>
        <w:pStyle w:val="Text1"/>
        <w:rPr>
          <w:noProof/>
        </w:rPr>
      </w:pPr>
      <w:r>
        <w:rPr>
          <w:noProof/>
          <w:sz w:val="20"/>
        </w:rPr>
        <w:t>Ostale napomene (npr. metoda/formula za izračun učinka na prihode ili druge informacije)</w:t>
      </w:r>
    </w:p>
    <w:sectPr w:rsidR="00A87C4C"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C4C" w:rsidRDefault="00A56C9B">
      <w:pPr>
        <w:spacing w:before="0" w:after="0"/>
      </w:pPr>
      <w:r>
        <w:separator/>
      </w:r>
    </w:p>
  </w:endnote>
  <w:endnote w:type="continuationSeparator" w:id="0">
    <w:p w:rsidR="00A87C4C" w:rsidRDefault="00A56C9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4C" w:rsidRDefault="00A56C9B"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HR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4C" w:rsidRDefault="00A56C9B"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HR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4C" w:rsidRDefault="00A87C4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4C" w:rsidRDefault="00A56C9B">
    <w:pPr>
      <w:pStyle w:val="FooterLandscap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HR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14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HR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4C" w:rsidRDefault="00A87C4C">
    <w:pPr>
      <w:pStyle w:val="FooterLandscap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4C" w:rsidRDefault="00A56C9B"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HR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18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HR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4C" w:rsidRDefault="00A87C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C4C" w:rsidRDefault="00A56C9B">
      <w:pPr>
        <w:spacing w:before="0" w:after="0"/>
      </w:pPr>
      <w:r>
        <w:separator/>
      </w:r>
    </w:p>
  </w:footnote>
  <w:footnote w:type="continuationSeparator" w:id="0">
    <w:p w:rsidR="00A87C4C" w:rsidRDefault="00A56C9B">
      <w:pPr>
        <w:spacing w:before="0" w:after="0"/>
      </w:pPr>
      <w:r>
        <w:continuationSeparator/>
      </w:r>
    </w:p>
  </w:footnote>
  <w:footnote w:id="1">
    <w:p w:rsidR="00A87C4C" w:rsidRDefault="00A56C9B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tab/>
      </w:r>
      <w:hyperlink r:id="rId1">
        <w:r>
          <w:rPr>
            <w:rStyle w:val="Hyperlink"/>
          </w:rPr>
          <w:t>https://ec.europa.eu/commission/sites/beta-political/files/draft_withdrawal_agreement_0.pdf</w:t>
        </w:r>
      </w:hyperlink>
      <w:r>
        <w:t>.</w:t>
      </w:r>
    </w:p>
  </w:footnote>
  <w:footnote w:id="2">
    <w:p w:rsidR="00A87C4C" w:rsidRDefault="00A56C9B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rPr>
          <w:lang w:val="fr-BE"/>
        </w:rPr>
        <w:tab/>
        <w:t>COM(2018) 880 final, 13.11.2018.</w:t>
      </w:r>
    </w:p>
  </w:footnote>
  <w:footnote w:id="3">
    <w:p w:rsidR="00A87C4C" w:rsidRDefault="00A56C9B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rPr>
          <w:lang w:val="fr-BE"/>
        </w:rPr>
        <w:tab/>
        <w:t>Inspirirano Prijedlogom uredbe Europskog parlamenta i Vijeća o izmjeni Uredbe (EU) br. 1316/2013 s obzirom na povlačenje Ujedi</w:t>
      </w:r>
      <w:r>
        <w:rPr>
          <w:lang w:val="fr-BE"/>
        </w:rPr>
        <w:t>njene Kraljevine iz Unije, COM(2018) 568, 1.8.2018.</w:t>
      </w:r>
    </w:p>
  </w:footnote>
  <w:footnote w:id="4">
    <w:p w:rsidR="00A87C4C" w:rsidRDefault="00A56C9B">
      <w:pPr>
        <w:pStyle w:val="FootnoteText"/>
      </w:pPr>
      <w:r>
        <w:rPr>
          <w:rStyle w:val="FootnoteReference"/>
        </w:rPr>
        <w:footnoteRef/>
      </w:r>
      <w:r>
        <w:tab/>
        <w:t>SL C , , str. .</w:t>
      </w:r>
    </w:p>
  </w:footnote>
  <w:footnote w:id="5">
    <w:p w:rsidR="00A87C4C" w:rsidRDefault="00A56C9B">
      <w:pPr>
        <w:pStyle w:val="FootnoteText"/>
      </w:pPr>
      <w:r>
        <w:rPr>
          <w:rStyle w:val="FootnoteReference"/>
        </w:rPr>
        <w:footnoteRef/>
      </w:r>
      <w:r>
        <w:tab/>
        <w:t>SL C , , str. .</w:t>
      </w:r>
    </w:p>
  </w:footnote>
  <w:footnote w:id="6">
    <w:p w:rsidR="00A87C4C" w:rsidRDefault="00A56C9B">
      <w:pPr>
        <w:pStyle w:val="FootnoteText"/>
      </w:pPr>
      <w:r>
        <w:rPr>
          <w:rStyle w:val="FootnoteReference"/>
        </w:rPr>
        <w:footnoteRef/>
      </w:r>
      <w:r>
        <w:tab/>
        <w:t xml:space="preserve">Uredba (EU) br. 1299/2013 Europskog parlamenta i Vijeća od 17. prosinca 2013. o posebnim odredbama za potporu iz Europskog fonda za regionalni razvoj cilju „Europska </w:t>
      </w:r>
      <w:r>
        <w:t>teritorijalna suradnja” (SL L 347, 20.12.2013., str. 259.).</w:t>
      </w:r>
    </w:p>
  </w:footnote>
  <w:footnote w:id="7">
    <w:p w:rsidR="00A87C4C" w:rsidRDefault="00A56C9B">
      <w:pPr>
        <w:pStyle w:val="FootnoteText"/>
      </w:pPr>
      <w:r>
        <w:rPr>
          <w:rStyle w:val="FootnoteReference"/>
        </w:rPr>
        <w:footnoteRef/>
      </w:r>
      <w:r>
        <w:tab/>
        <w:t>Uredba (EU) br. 1303/2013 Europskog parlamenta i Vijeća od 17. prosinca 2013. o utvrđivanju zajedničkih odredbi o Europskom fondu za regionalni razvoj, Europskom socijalnom fondu, Kohezijskom fo</w:t>
      </w:r>
      <w:r>
        <w:t>ndu, Europskom poljoprivrednom fondu za ruralni razvoj i Europskom fondu za pomorstvo i ribarstvo i o utvrđivanju općih odredbi o Europskom fondu za regionalni razvoj, Europskom socijalnom fondu, Kohezijskom fondu i Europskom fondu za pomorstvo i ribarstvo</w:t>
      </w:r>
      <w:r>
        <w:t xml:space="preserve"> te o stavljanju izvan snage Uredbe Vijeća (EZ) br. 1083/2006 (SL L 347, 20.12.2013., str. 320.).</w:t>
      </w:r>
    </w:p>
  </w:footnote>
  <w:footnote w:id="8">
    <w:p w:rsidR="00A87C4C" w:rsidRDefault="00A56C9B">
      <w:pPr>
        <w:pStyle w:val="FootnoteText"/>
      </w:pPr>
      <w:r>
        <w:rPr>
          <w:rStyle w:val="FootnoteReference"/>
        </w:rPr>
        <w:footnoteRef/>
      </w:r>
      <w:r>
        <w:tab/>
        <w:t>Uredba (EU, Euratom) 2018/1046 Europskog parlamenta i Vijeća od 18. srpnja 2018. o financijskim pravilima koja se primjenjuju na opći proračun Unije, o izmj</w:t>
      </w:r>
      <w:r>
        <w:t xml:space="preserve">eni uredaba (EU) br. 1296/2013, (EU) br. 1301/2013, (EU) br. 1303/2013, (EU) br. 1304/2013, (EU) br. 1309/2013, (EU) br. 1316/2013, (EU) br. 223/2014, (EU) br. 283/2014 i Odluke br. 541/2014/EU te o stavljanju izvan snage Uredbe (EU, Euratom) br. 966/2012 </w:t>
      </w:r>
      <w:r>
        <w:t>(SL L 193, 30.7.2018., str. 1.).</w:t>
      </w:r>
    </w:p>
  </w:footnote>
  <w:footnote w:id="9">
    <w:p w:rsidR="00A87C4C" w:rsidRDefault="00A56C9B">
      <w:pPr>
        <w:pStyle w:val="FootnoteText"/>
        <w:jc w:val="left"/>
        <w:rPr>
          <w:szCs w:val="24"/>
        </w:rPr>
      </w:pPr>
      <w:r>
        <w:rPr>
          <w:rStyle w:val="FootnoteReference"/>
        </w:rPr>
        <w:footnoteRef/>
      </w:r>
      <w:r>
        <w:tab/>
        <w:t xml:space="preserve">Informacije o načinima upravljanja i upućivanju na Financijsku uredbu dostupne su na internetskoj stranici BudgWeb: </w:t>
      </w:r>
      <w:hyperlink r:id="rId2">
        <w:r>
          <w:rPr>
            <w:rStyle w:val="Hyperlink"/>
          </w:rPr>
          <w:t>https:/</w:t>
        </w:r>
        <w:r>
          <w:rPr>
            <w:rStyle w:val="Hyperlink"/>
          </w:rPr>
          <w:t>/myintracomm.ec.europa.eu/budgweb/HR/man/budgmanag/Pages/budgmanag.aspx</w:t>
        </w:r>
      </w:hyperlink>
      <w:r>
        <w:t xml:space="preserve"> </w:t>
      </w:r>
    </w:p>
  </w:footnote>
  <w:footnote w:id="10">
    <w:p w:rsidR="00A87C4C" w:rsidRDefault="00A56C9B">
      <w:pPr>
        <w:pStyle w:val="FootnoteText"/>
        <w:rPr>
          <w:szCs w:val="24"/>
          <w:lang w:val="pt-PT"/>
        </w:rPr>
      </w:pPr>
      <w:r>
        <w:rPr>
          <w:rStyle w:val="FootnoteReference"/>
        </w:rPr>
        <w:footnoteRef/>
      </w:r>
      <w:r>
        <w:rPr>
          <w:lang w:val="pt-PT"/>
        </w:rPr>
        <w:tab/>
        <w:t>Dif. = diferencirana odobrena sredstva / nedif. = nediferencirana odobrena sredstva.</w:t>
      </w:r>
    </w:p>
  </w:footnote>
  <w:footnote w:id="11">
    <w:p w:rsidR="00A87C4C" w:rsidRDefault="00A56C9B">
      <w:pPr>
        <w:pStyle w:val="FootnoteText"/>
        <w:rPr>
          <w:szCs w:val="24"/>
          <w:lang w:val="pt-PT"/>
        </w:rPr>
      </w:pPr>
      <w:r>
        <w:rPr>
          <w:rStyle w:val="FootnoteReference"/>
        </w:rPr>
        <w:footnoteRef/>
      </w:r>
      <w:r>
        <w:rPr>
          <w:lang w:val="pt-PT"/>
        </w:rPr>
        <w:tab/>
        <w:t xml:space="preserve">EFTA: Europsko udruženje slobodne trgovine. </w:t>
      </w:r>
    </w:p>
  </w:footnote>
  <w:footnote w:id="12">
    <w:p w:rsidR="00A87C4C" w:rsidRDefault="00A56C9B">
      <w:pPr>
        <w:pStyle w:val="FootnoteText"/>
        <w:rPr>
          <w:szCs w:val="24"/>
          <w:lang w:val="pt-PT"/>
        </w:rPr>
      </w:pPr>
      <w:r>
        <w:rPr>
          <w:rStyle w:val="FootnoteReference"/>
        </w:rPr>
        <w:footnoteRef/>
      </w:r>
      <w:r>
        <w:rPr>
          <w:lang w:val="pt-PT"/>
        </w:rPr>
        <w:tab/>
        <w:t>Zemlje kandidatkinje i, ako je primjenjivo, pot</w:t>
      </w:r>
      <w:r>
        <w:rPr>
          <w:lang w:val="pt-PT"/>
        </w:rPr>
        <w:t>encijalni kandidati sa zapadnog Balkana.</w:t>
      </w:r>
    </w:p>
  </w:footnote>
  <w:footnote w:id="13">
    <w:p w:rsidR="00A87C4C" w:rsidRDefault="00A56C9B">
      <w:pPr>
        <w:pStyle w:val="FootnoteText"/>
        <w:rPr>
          <w:szCs w:val="24"/>
          <w:lang w:val="pt-PT"/>
        </w:rPr>
      </w:pPr>
      <w:r>
        <w:rPr>
          <w:rStyle w:val="FootnoteReference"/>
        </w:rPr>
        <w:footnoteRef/>
      </w:r>
      <w:r>
        <w:rPr>
          <w:lang w:val="pt-PT"/>
        </w:rPr>
        <w:tab/>
      </w:r>
      <w:r>
        <w:rPr>
          <w:sz w:val="18"/>
          <w:lang w:val="pt-PT"/>
        </w:rPr>
        <w:t>Godina N godina je početka provedbe prijedloga/inicijative. Umjesto „N” upišite predviđenu prvu godinu provedbe (na primjer: 2021.). Isto učinite i za ostale godine.</w:t>
      </w:r>
    </w:p>
  </w:footnote>
  <w:footnote w:id="14">
    <w:p w:rsidR="00A87C4C" w:rsidRDefault="00A56C9B">
      <w:pPr>
        <w:pStyle w:val="FootnoteText"/>
        <w:rPr>
          <w:szCs w:val="24"/>
          <w:lang w:val="pt-PT"/>
        </w:rPr>
      </w:pPr>
      <w:r>
        <w:rPr>
          <w:rStyle w:val="FootnoteReference"/>
        </w:rPr>
        <w:footnoteRef/>
      </w:r>
      <w:r>
        <w:rPr>
          <w:lang w:val="pt-PT"/>
        </w:rPr>
        <w:tab/>
        <w:t xml:space="preserve">Rezultati su proizvodi i usluge koji se </w:t>
      </w:r>
      <w:r>
        <w:rPr>
          <w:lang w:val="pt-PT"/>
        </w:rPr>
        <w:t>isporučuju (npr.: broj financiranih studentskih razmjena, broj kilometara izgrađenih cesta, itd.).</w:t>
      </w:r>
    </w:p>
  </w:footnote>
  <w:footnote w:id="15">
    <w:p w:rsidR="00A87C4C" w:rsidRDefault="00A56C9B">
      <w:pPr>
        <w:pStyle w:val="FootnoteText"/>
        <w:rPr>
          <w:szCs w:val="24"/>
          <w:lang w:val="pl-PL"/>
        </w:rPr>
      </w:pPr>
      <w:r>
        <w:rPr>
          <w:rStyle w:val="FootnoteReference"/>
        </w:rPr>
        <w:footnoteRef/>
      </w:r>
      <w:r>
        <w:rPr>
          <w:lang w:val="pl-PL"/>
        </w:rPr>
        <w:tab/>
        <w:t xml:space="preserve">Na način opisan u odjeljku 1.4.2. „Posebni ciljevi…” </w:t>
      </w:r>
    </w:p>
  </w:footnote>
  <w:footnote w:id="16">
    <w:p w:rsidR="00A87C4C" w:rsidRDefault="00A56C9B">
      <w:pPr>
        <w:pStyle w:val="FootnoteText"/>
        <w:rPr>
          <w:sz w:val="18"/>
          <w:szCs w:val="18"/>
          <w:lang w:val="pl-PL"/>
        </w:rPr>
      </w:pPr>
      <w:r>
        <w:rPr>
          <w:rStyle w:val="FootnoteReference"/>
        </w:rPr>
        <w:footnoteRef/>
      </w:r>
      <w:r>
        <w:rPr>
          <w:lang w:val="pl-PL"/>
        </w:rPr>
        <w:tab/>
      </w:r>
      <w:r>
        <w:rPr>
          <w:sz w:val="18"/>
          <w:lang w:val="pl-PL"/>
        </w:rPr>
        <w:t>Godina N godina je početka provedbe prijedloga/inicijative. Umjesto „N” upišite predviđenu prvu god</w:t>
      </w:r>
      <w:r>
        <w:rPr>
          <w:sz w:val="18"/>
          <w:lang w:val="pl-PL"/>
        </w:rPr>
        <w:t>inu provedbe (na primjer: 2021.). Isto učinite i za ostale godine.</w:t>
      </w:r>
    </w:p>
  </w:footnote>
  <w:footnote w:id="17">
    <w:p w:rsidR="00A87C4C" w:rsidRDefault="00A56C9B">
      <w:pPr>
        <w:pStyle w:val="FootnoteText"/>
        <w:rPr>
          <w:szCs w:val="24"/>
          <w:lang w:val="pl-PL"/>
        </w:rPr>
      </w:pPr>
      <w:r>
        <w:rPr>
          <w:rStyle w:val="FootnoteReference"/>
        </w:rPr>
        <w:footnoteRef/>
      </w:r>
      <w:r>
        <w:rPr>
          <w:lang w:val="pl-PL"/>
        </w:rPr>
        <w:tab/>
      </w:r>
      <w:r>
        <w:rPr>
          <w:sz w:val="18"/>
          <w:lang w:val="pl-PL"/>
        </w:rPr>
        <w:t>Tehnička i/ili administrativna pomoć i rashodi za potporu provedbi programa i/ili djelovanja EU-a (prijašnje linije „BA”), neizravno istraživanje, izravno istraživanje.</w:t>
      </w:r>
    </w:p>
  </w:footnote>
  <w:footnote w:id="18">
    <w:p w:rsidR="00A87C4C" w:rsidRDefault="00A56C9B">
      <w:pPr>
        <w:pStyle w:val="FootnoteText"/>
        <w:rPr>
          <w:szCs w:val="24"/>
          <w:lang w:val="pl-PL"/>
        </w:rPr>
      </w:pPr>
      <w:r>
        <w:rPr>
          <w:rStyle w:val="FootnoteReference"/>
        </w:rPr>
        <w:footnoteRef/>
      </w:r>
      <w:r>
        <w:rPr>
          <w:lang w:val="pl-PL"/>
        </w:rPr>
        <w:tab/>
        <w:t>UO = ugovorno os</w:t>
      </w:r>
      <w:r>
        <w:rPr>
          <w:lang w:val="pl-PL"/>
        </w:rPr>
        <w:t xml:space="preserve">oblje; LO = lokalno osoblje; UNS = upućeni nacionalni stručnjaci; UsO = ustupljeno osoblje; MSD = mladi stručnjaci u delegacijama. </w:t>
      </w:r>
    </w:p>
  </w:footnote>
  <w:footnote w:id="19">
    <w:p w:rsidR="00A87C4C" w:rsidRDefault="00A56C9B">
      <w:pPr>
        <w:pStyle w:val="FootnoteText"/>
        <w:rPr>
          <w:szCs w:val="24"/>
          <w:lang w:val="pl-PL"/>
        </w:rPr>
      </w:pPr>
      <w:r>
        <w:rPr>
          <w:rStyle w:val="FootnoteReference"/>
        </w:rPr>
        <w:footnoteRef/>
      </w:r>
      <w:r>
        <w:rPr>
          <w:lang w:val="pl-PL"/>
        </w:rPr>
        <w:tab/>
        <w:t>U okviru gornje granice za vanjsko osoblje iz odobrenih sredstava za poslovanje (prijašnje linije „BA”).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4C" w:rsidRDefault="00A87C4C">
    <w:pPr>
      <w:pStyle w:val="HeaderLandscap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4C" w:rsidRDefault="00A87C4C">
    <w:pPr>
      <w:pStyle w:val="HeaderLandscap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4C" w:rsidRDefault="00A87C4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4C" w:rsidRDefault="00A87C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EF40EEB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5E42680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AD16A6D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1804D4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2B8633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18BC4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E78C81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50345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2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5"/>
    <w:lvlOverride w:ilvl="0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13"/>
  </w:num>
  <w:num w:numId="12">
    <w:abstractNumId w:val="18"/>
  </w:num>
  <w:num w:numId="13">
    <w:abstractNumId w:val="17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</w:num>
  <w:num w:numId="17">
    <w:abstractNumId w:val="22"/>
  </w:num>
  <w:num w:numId="18">
    <w:abstractNumId w:val="14"/>
  </w:num>
  <w:num w:numId="19">
    <w:abstractNumId w:val="24"/>
  </w:num>
  <w:num w:numId="20">
    <w:abstractNumId w:val="12"/>
  </w:num>
  <w:num w:numId="21">
    <w:abstractNumId w:val="15"/>
  </w:num>
  <w:num w:numId="22">
    <w:abstractNumId w:val="10"/>
  </w:num>
  <w:num w:numId="23">
    <w:abstractNumId w:val="23"/>
  </w:num>
  <w:num w:numId="24">
    <w:abstractNumId w:val="9"/>
  </w:num>
  <w:num w:numId="25">
    <w:abstractNumId w:val="16"/>
  </w:num>
  <w:num w:numId="26">
    <w:abstractNumId w:val="20"/>
  </w:num>
  <w:num w:numId="27">
    <w:abstractNumId w:val="21"/>
  </w:num>
  <w:num w:numId="28">
    <w:abstractNumId w:val="11"/>
  </w:num>
  <w:num w:numId="29">
    <w:abstractNumId w:val="19"/>
  </w:num>
  <w:num w:numId="30">
    <w:abstractNumId w:val="25"/>
  </w:num>
  <w:num w:numId="31">
    <w:abstractNumId w:val="22"/>
  </w:num>
  <w:num w:numId="32">
    <w:abstractNumId w:val="14"/>
  </w:num>
  <w:num w:numId="33">
    <w:abstractNumId w:val="24"/>
  </w:num>
  <w:num w:numId="34">
    <w:abstractNumId w:val="12"/>
  </w:num>
  <w:num w:numId="35">
    <w:abstractNumId w:val="15"/>
  </w:num>
  <w:num w:numId="36">
    <w:abstractNumId w:val="10"/>
  </w:num>
  <w:num w:numId="37">
    <w:abstractNumId w:val="23"/>
  </w:num>
  <w:num w:numId="38">
    <w:abstractNumId w:val="9"/>
  </w:num>
  <w:num w:numId="39">
    <w:abstractNumId w:val="16"/>
  </w:num>
  <w:num w:numId="40">
    <w:abstractNumId w:val="20"/>
  </w:num>
  <w:num w:numId="41">
    <w:abstractNumId w:val="21"/>
  </w:num>
  <w:num w:numId="42">
    <w:abstractNumId w:val="11"/>
  </w:num>
  <w:num w:numId="43">
    <w:abstractNumId w:val="19"/>
  </w:num>
  <w:num w:numId="44">
    <w:abstractNumId w:val="2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removePersonalInformation/>
  <w:removeDateAndTime/>
  <w:hideSpellingErrors/>
  <w:hideGrammaticalErrors/>
  <w:attachedTemplate r:id="rId1"/>
  <w:defaultTabStop w:val="720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18-12-21 10:14:02"/>
    <w:docVar w:name="DQCResult_Distribution" w:val="0;1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3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10"/>
    <w:docVar w:name="DQCResult_UnknownFonts" w:val="0;0"/>
    <w:docVar w:name="DQCResult_UnknownStyles" w:val="0;0"/>
    <w:docVar w:name="DQCStatus" w:val="Yellow"/>
    <w:docVar w:name="DQCVersion" w:val="3"/>
    <w:docVar w:name="DQCWithWarnings" w:val="0"/>
    <w:docVar w:name="LW_CORRIGENDUM" w:val="&lt;UNUSED&gt;"/>
    <w:docVar w:name="LW_COVERPAGE_EXISTS" w:val="True"/>
    <w:docVar w:name="LW_COVERPAGE_GUID" w:val="D07BEA2C-5DC4-4B52-BEFA-42526FEB2F7A"/>
    <w:docVar w:name="LW_COVERPAGE_TYPE" w:val="1"/>
    <w:docVar w:name="LW_CROSSREFERENCE" w:val="&lt;UNUSED&gt;"/>
    <w:docVar w:name="LW_DocType" w:val="COM"/>
    <w:docVar w:name="LW_EMISSION" w:val="19.12.2018."/>
    <w:docVar w:name="LW_EMISSION_ISODATE" w:val="2018-12-19"/>
    <w:docVar w:name="LW_EMISSION_LOCATION" w:val="BRX"/>
    <w:docVar w:name="LW_EMISSION_PREFIX" w:val="Bruxelles, "/>
    <w:docVar w:name="LW_EMISSION_SUFFIX" w:val=" "/>
    <w:docVar w:name="LW_ID_DOCMODEL" w:val="SJ-023"/>
    <w:docVar w:name="LW_ID_DOCSIGNATURE" w:val="SJ-023"/>
    <w:docVar w:name="LW_ID_DOCSTRUCTURE" w:val="COM/PL/ORG"/>
    <w:docVar w:name="LW_ID_DOCTYPE" w:val="SJ-023"/>
    <w:docVar w:name="LW_ID_EXP.MOTIFS.NEW" w:val="EM_PL_"/>
    <w:docVar w:name="LW_ID_STATUT" w:val="SJ-023"/>
    <w:docVar w:name="LW_INTERETEEE.CP" w:val="&lt;UNUSED&gt;"/>
    <w:docVar w:name="LW_LANGUE" w:val="HR"/>
    <w:docVar w:name="LW_LEVEL_OF_SENSITIVITY" w:val="Standard treatment"/>
    <w:docVar w:name="LW_NOM.INST" w:val="EUROPSKA KOMISIJA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432"/>
    <w:docVar w:name="LW_REF.II.NEW.CP_YEAR" w:val="2018"/>
    <w:docVar w:name="LW_REF.INST.NEW" w:val="COM"/>
    <w:docVar w:name="LW_REF.INST.NEW_ADOPTED" w:val="final"/>
    <w:docVar w:name="LW_REF.INST.NEW_TEXT" w:val="(2018) 892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TATUT.CP" w:val="Prijedlog"/>
    <w:docVar w:name="LW_SUPERTITRE" w:val="&lt;UNUSED&gt;"/>
    <w:docVar w:name="LW_TITRE.OBJ.CP" w:val="radi omogu\u263?ivanja nastavka programâ teritorijalne suradnje PEACE IV (Irska\u8211?Ujedinjena Kraljevina) i Ujedinjena Kraljevina\u8211?Irska (Irska\u8211?Sjeverna Irska\u8211?\u352?kotska) u kontekstu povla\u269?enja Ujedinjene Kraljevine iz Europske unije"/>
    <w:docVar w:name="LW_TYPE.DOC.CP" w:val="UREDBE EUROPSKOG PARLAMENTA I VIJE\u262?A"/>
  </w:docVars>
  <w:rsids>
    <w:rsidRoot w:val="00A87C4C"/>
    <w:rsid w:val="00A56C9B"/>
    <w:rsid w:val="00A8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hr-HR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7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spacing w:before="0" w:after="160" w:line="259" w:lineRule="auto"/>
      <w:ind w:left="720"/>
      <w:contextualSpacing/>
      <w:jc w:val="left"/>
    </w:pPr>
    <w:rPr>
      <w:rFonts w:asciiTheme="minorHAnsi" w:hAnsiTheme="minorHAnsi" w:cstheme="minorBidi"/>
      <w:sz w:val="22"/>
    </w:rPr>
  </w:style>
  <w:style w:type="character" w:styleId="CommentReference">
    <w:name w:val="annotation reference"/>
    <w:basedOn w:val="DefaultParagraphFont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pPr>
      <w:spacing w:before="0" w:after="160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  <w:lang w:val="hr-HR"/>
    </w:rPr>
  </w:style>
  <w:style w:type="paragraph" w:styleId="BalloonText">
    <w:name w:val="Balloon Text"/>
    <w:basedOn w:val="Normal"/>
    <w:link w:val="BalloonTextChar"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  <w:lang w:val="hr-HR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nhideWhenUsed/>
    <w:pPr>
      <w:spacing w:after="0"/>
    </w:pPr>
  </w:style>
  <w:style w:type="paragraph" w:styleId="ListBullet">
    <w:name w:val="List Bullet"/>
    <w:basedOn w:val="Normal"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nhideWhenUsed/>
    <w:pPr>
      <w:numPr>
        <w:numId w:val="9"/>
      </w:numPr>
      <w:contextualSpacing/>
    </w:pPr>
  </w:style>
  <w:style w:type="paragraph" w:styleId="CommentSubject">
    <w:name w:val="annotation subject"/>
    <w:basedOn w:val="CommentText"/>
    <w:next w:val="CommentText"/>
    <w:link w:val="CommentSubjectChar"/>
    <w:unhideWhenUsed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Pr>
      <w:rFonts w:ascii="Times New Roman" w:hAnsi="Times New Roman" w:cs="Times New Roman"/>
      <w:b/>
      <w:bCs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ListBullet1">
    <w:name w:val="List Bullet 1"/>
    <w:basedOn w:val="Normal"/>
    <w:pPr>
      <w:numPr>
        <w:numId w:val="10"/>
      </w:numPr>
    </w:pPr>
  </w:style>
  <w:style w:type="paragraph" w:customStyle="1" w:styleId="ListDash">
    <w:name w:val="List Dash"/>
    <w:basedOn w:val="Normal"/>
    <w:pPr>
      <w:numPr>
        <w:numId w:val="11"/>
      </w:numPr>
    </w:pPr>
  </w:style>
  <w:style w:type="paragraph" w:customStyle="1" w:styleId="ListDash1">
    <w:name w:val="List Dash 1"/>
    <w:basedOn w:val="Normal"/>
    <w:pPr>
      <w:numPr>
        <w:numId w:val="12"/>
      </w:numPr>
    </w:pPr>
  </w:style>
  <w:style w:type="paragraph" w:customStyle="1" w:styleId="ListDash2">
    <w:name w:val="List Dash 2"/>
    <w:basedOn w:val="Normal"/>
    <w:pPr>
      <w:numPr>
        <w:numId w:val="13"/>
      </w:numPr>
    </w:pPr>
  </w:style>
  <w:style w:type="paragraph" w:customStyle="1" w:styleId="ListNumberLevel2">
    <w:name w:val="List Number (Level 2)"/>
    <w:basedOn w:val="Normal"/>
    <w:pPr>
      <w:tabs>
        <w:tab w:val="num" w:pos="1417"/>
      </w:tabs>
      <w:ind w:left="1417" w:hanging="708"/>
    </w:pPr>
  </w:style>
  <w:style w:type="paragraph" w:customStyle="1" w:styleId="ListNumberLevel3">
    <w:name w:val="List Number (Level 3)"/>
    <w:basedOn w:val="Normal"/>
    <w:pPr>
      <w:tabs>
        <w:tab w:val="num" w:pos="2126"/>
      </w:tabs>
      <w:ind w:left="2126" w:hanging="709"/>
    </w:pPr>
  </w:style>
  <w:style w:type="paragraph" w:customStyle="1" w:styleId="ListNumberLevel4">
    <w:name w:val="List Number (Level 4)"/>
    <w:basedOn w:val="Normal"/>
    <w:pPr>
      <w:tabs>
        <w:tab w:val="num" w:pos="2835"/>
      </w:tabs>
      <w:ind w:left="2835" w:hanging="709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ous-titreobjetPagedecouverture">
    <w:name w:val="Sous-titre objet (Page de couverture)"/>
    <w:basedOn w:val="Sous-titreobjet"/>
  </w:style>
  <w:style w:type="character" w:styleId="FollowedHyperlink">
    <w:name w:val="FollowedHyperlink"/>
    <w:rPr>
      <w:color w:val="800080"/>
      <w:u w:val="singl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TOCHeadingChar">
    <w:name w:val="TOC Heading Char"/>
    <w:basedOn w:val="DefaultParagraphFont"/>
    <w:uiPriority w:val="39"/>
    <w:rPr>
      <w:rFonts w:ascii="Times New Roman" w:hAnsi="Times New Roman" w:cs="Times New Roman"/>
      <w:b/>
      <w:sz w:val="28"/>
      <w:lang w:val="hr-HR"/>
    </w:rPr>
  </w:style>
  <w:style w:type="character" w:customStyle="1" w:styleId="FooterCoverPageChar">
    <w:name w:val="Footer Cover Page Char"/>
    <w:basedOn w:val="TOCHeadingChar"/>
    <w:link w:val="FooterCoverPage"/>
    <w:rPr>
      <w:rFonts w:ascii="Times New Roman" w:hAnsi="Times New Roman" w:cs="Times New Roman"/>
      <w:b w:val="0"/>
      <w:sz w:val="24"/>
      <w:lang w:val="hr-HR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before="0"/>
    </w:pPr>
  </w:style>
  <w:style w:type="character" w:customStyle="1" w:styleId="HeaderCoverPageChar">
    <w:name w:val="Header Cover Page Char"/>
    <w:basedOn w:val="TOCHeadingChar"/>
    <w:link w:val="HeaderCoverPage"/>
    <w:rPr>
      <w:rFonts w:ascii="Times New Roman" w:hAnsi="Times New Roman" w:cs="Times New Roman"/>
      <w:b w:val="0"/>
      <w:sz w:val="24"/>
      <w:lang w:val="hr-HR" w:eastAsia="hr-HR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hr-HR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31"/>
      </w:numPr>
    </w:pPr>
  </w:style>
  <w:style w:type="paragraph" w:customStyle="1" w:styleId="Tiret1">
    <w:name w:val="Tiret 1"/>
    <w:basedOn w:val="Point1"/>
    <w:pPr>
      <w:numPr>
        <w:numId w:val="32"/>
      </w:numPr>
    </w:pPr>
  </w:style>
  <w:style w:type="paragraph" w:customStyle="1" w:styleId="Tiret2">
    <w:name w:val="Tiret 2"/>
    <w:basedOn w:val="Point2"/>
    <w:pPr>
      <w:numPr>
        <w:numId w:val="33"/>
      </w:numPr>
    </w:pPr>
  </w:style>
  <w:style w:type="paragraph" w:customStyle="1" w:styleId="Tiret3">
    <w:name w:val="Tiret 3"/>
    <w:basedOn w:val="Point3"/>
    <w:pPr>
      <w:numPr>
        <w:numId w:val="34"/>
      </w:numPr>
    </w:pPr>
  </w:style>
  <w:style w:type="paragraph" w:customStyle="1" w:styleId="Tiret4">
    <w:name w:val="Tiret 4"/>
    <w:basedOn w:val="Point4"/>
    <w:pPr>
      <w:numPr>
        <w:numId w:val="3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8"/>
      </w:numPr>
    </w:pPr>
  </w:style>
  <w:style w:type="paragraph" w:customStyle="1" w:styleId="Point1number">
    <w:name w:val="Point 1 (number)"/>
    <w:basedOn w:val="Normal"/>
    <w:pPr>
      <w:numPr>
        <w:ilvl w:val="2"/>
        <w:numId w:val="38"/>
      </w:numPr>
    </w:pPr>
  </w:style>
  <w:style w:type="paragraph" w:customStyle="1" w:styleId="Point2number">
    <w:name w:val="Point 2 (number)"/>
    <w:basedOn w:val="Normal"/>
    <w:pPr>
      <w:numPr>
        <w:ilvl w:val="4"/>
        <w:numId w:val="38"/>
      </w:numPr>
    </w:pPr>
  </w:style>
  <w:style w:type="paragraph" w:customStyle="1" w:styleId="Point3number">
    <w:name w:val="Point 3 (number)"/>
    <w:basedOn w:val="Normal"/>
    <w:pPr>
      <w:numPr>
        <w:ilvl w:val="6"/>
        <w:numId w:val="38"/>
      </w:numPr>
    </w:pPr>
  </w:style>
  <w:style w:type="paragraph" w:customStyle="1" w:styleId="Point0letter">
    <w:name w:val="Point 0 (letter)"/>
    <w:basedOn w:val="Normal"/>
    <w:pPr>
      <w:numPr>
        <w:ilvl w:val="1"/>
        <w:numId w:val="38"/>
      </w:numPr>
    </w:pPr>
  </w:style>
  <w:style w:type="paragraph" w:customStyle="1" w:styleId="Point1letter">
    <w:name w:val="Point 1 (letter)"/>
    <w:basedOn w:val="Normal"/>
    <w:pPr>
      <w:numPr>
        <w:ilvl w:val="3"/>
        <w:numId w:val="38"/>
      </w:numPr>
    </w:pPr>
  </w:style>
  <w:style w:type="paragraph" w:customStyle="1" w:styleId="Point2letter">
    <w:name w:val="Point 2 (letter)"/>
    <w:basedOn w:val="Normal"/>
    <w:pPr>
      <w:numPr>
        <w:ilvl w:val="5"/>
        <w:numId w:val="38"/>
      </w:numPr>
    </w:pPr>
  </w:style>
  <w:style w:type="paragraph" w:customStyle="1" w:styleId="Point3letter">
    <w:name w:val="Point 3 (letter)"/>
    <w:basedOn w:val="Normal"/>
    <w:pPr>
      <w:numPr>
        <w:ilvl w:val="7"/>
        <w:numId w:val="38"/>
      </w:numPr>
    </w:pPr>
  </w:style>
  <w:style w:type="paragraph" w:customStyle="1" w:styleId="Point4letter">
    <w:name w:val="Point 4 (letter)"/>
    <w:basedOn w:val="Normal"/>
    <w:pPr>
      <w:numPr>
        <w:ilvl w:val="8"/>
        <w:numId w:val="38"/>
      </w:numPr>
    </w:pPr>
  </w:style>
  <w:style w:type="paragraph" w:customStyle="1" w:styleId="Bullet0">
    <w:name w:val="Bullet 0"/>
    <w:basedOn w:val="Normal"/>
    <w:pPr>
      <w:numPr>
        <w:numId w:val="39"/>
      </w:numPr>
    </w:pPr>
  </w:style>
  <w:style w:type="paragraph" w:customStyle="1" w:styleId="Bullet1">
    <w:name w:val="Bullet 1"/>
    <w:basedOn w:val="Normal"/>
    <w:pPr>
      <w:numPr>
        <w:numId w:val="40"/>
      </w:numPr>
    </w:pPr>
  </w:style>
  <w:style w:type="paragraph" w:customStyle="1" w:styleId="Bullet2">
    <w:name w:val="Bullet 2"/>
    <w:basedOn w:val="Normal"/>
    <w:pPr>
      <w:numPr>
        <w:numId w:val="41"/>
      </w:numPr>
    </w:pPr>
  </w:style>
  <w:style w:type="paragraph" w:customStyle="1" w:styleId="Bullet3">
    <w:name w:val="Bullet 3"/>
    <w:basedOn w:val="Normal"/>
    <w:pPr>
      <w:numPr>
        <w:numId w:val="42"/>
      </w:numPr>
    </w:pPr>
  </w:style>
  <w:style w:type="paragraph" w:customStyle="1" w:styleId="Bullet4">
    <w:name w:val="Bullet 4"/>
    <w:basedOn w:val="Normal"/>
    <w:pPr>
      <w:numPr>
        <w:numId w:val="4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yintracomm.ec.europa.eu/budgweb/EN/leg/internal/Documents/2016-5-legislative-financial-statement-ann-en.docx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7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23" Type="http://schemas.openxmlformats.org/officeDocument/2006/relationships/header" Target="header4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yintracomm.ec.europa.eu/budgweb/HR/man/budgmanag/Pages/budgmanag.aspx" TargetMode="External"/><Relationship Id="rId1" Type="http://schemas.openxmlformats.org/officeDocument/2006/relationships/hyperlink" Target="https://ec.europa.eu/commission/sites/beta-political/files/draft_withdrawal_agreement_0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25173920-bf43-43cc-9123-1897e847dfc2" xsi:nil="true"/>
    <_Status xmlns="http://schemas.microsoft.com/sharepoint/v3/fields">Not Started</_Status>
    <EC_Collab_Status xmlns="25173920-bf43-43cc-9123-1897e847dfc2">Not Started</EC_Collab_Status>
    <DG xmlns="25173920-bf43-43cc-9123-1897e847dfc2"/>
    <EC_Collab_DocumentLanguage xmlns="25173920-bf43-43cc-9123-1897e847dfc2">EN</EC_Collab_DocumentLanguage>
    <RelatedItem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D33D44CF0C8FEB45875F235DEEF2E1B9" ma:contentTypeVersion="7" ma:contentTypeDescription="Create a new document in this library." ma:contentTypeScope="" ma:versionID="0cb51d011d44aaa2f2f2559eb8aaf023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25173920-bf43-43cc-9123-1897e847dfc2" targetNamespace="http://schemas.microsoft.com/office/2006/metadata/properties" ma:root="true" ma:fieldsID="a931e117a4c2a292401c17c6d61581df" ns1:_="" ns2:_="" ns3:_="">
    <xsd:import namespace="http://schemas.microsoft.com/sharepoint/v3"/>
    <xsd:import namespace="http://schemas.microsoft.com/sharepoint/v3/fields"/>
    <xsd:import namespace="25173920-bf43-43cc-9123-1897e847dfc2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EC_Collab_Status"/>
                <xsd:element ref="ns1:RelatedItems" minOccurs="0"/>
                <xsd:element ref="ns3:DG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16" nillable="true" ma:displayName="Related Items" ma:internalName="RelatedItems" ma:readOnly="false">
      <xsd:simpleType>
        <xsd:restriction base="dms:Note"/>
      </xsd:simpleType>
    </xsd:element>
    <xsd:element name="_dlc_Exempt" ma:index="18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73920-bf43-43cc-9123-1897e847dfc2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>
      <xsd:simpleType>
        <xsd:restriction base="dms:Text"/>
      </xsd:simpleType>
    </xsd:element>
    <xsd:element name="EC_Collab_DocumentLanguage" ma:index="14" ma:displayName="Language" ma:default="EN" ma:internalName="EC_Collab_DocumentLanguag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EC_Collab_Status" ma:index="15" ma:displayName="EC Status" ma:default="Not Started" ma:internalName="EC_Collab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DG" ma:index="17" nillable="true" ma:displayName="DG" ma:description="Associated DG(s)" ma:list="{a436e1b9-89ab-4a0f-bf89-77e0c01004af}" ma:internalName="DG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p:Policy xmlns:p="office.server.policy" id="" local="true">
  <p:Name>EC Document</p:Name>
  <p:Description/>
  <p:Statement/>
  <p:PolicyItems>
    <p:PolicyItem featureId="Microsoft.Office.RecordsManagement.PolicyFeatures.PolicyAudit" staticId="0x010100258AA79CEB83498886A3A0868112325000D33D44CF0C8FEB45875F235DEEF2E1B9|8138272" UniqueId="82ebddaa-263f-44a4-b383-ae40ea096670">
      <p:Name>Auditing</p:Name>
      <p:Description>Audits user actions on documents and list items to the Audit Log.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B865B-36F0-4138-B199-ECE1D0A637C6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25173920-bf43-43cc-9123-1897e847dfc2"/>
    <ds:schemaRef ds:uri="http://schemas.microsoft.com/sharepoint/v3/fields"/>
    <ds:schemaRef ds:uri="http://purl.org/dc/dcmitype/"/>
    <ds:schemaRef ds:uri="http://schemas.microsoft.com/sharepoint/v3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1AF0D82-652B-49F8-AE82-E378CACF6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25173920-bf43-43cc-9123-1897e847d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EAE0B0-F058-49FE-8663-1102E71390BC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D030B0AC-03B6-4A47-A2F9-041C46CC9D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B023DB-8F52-4F8A-8ADE-D3E40A9CB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</Template>
  <TotalTime>0</TotalTime>
  <Pages>19</Pages>
  <Words>3363</Words>
  <Characters>20650</Characters>
  <Application>Microsoft Office Word</Application>
  <DocSecurity>0</DocSecurity>
  <Lines>1147</Lines>
  <Paragraphs>400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2018-12-20T10:21:00Z</dcterms:created>
  <dcterms:modified xsi:type="dcterms:W3CDTF">2018-12-21T09:32:00Z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LW 6.0.1, Build 20180503</vt:lpwstr>
  </property>
  <property fmtid="{D5CDD505-2E9C-101B-9397-08002B2CF9AE}" pid="3" name="Category">
    <vt:lpwstr>COM/PL/ORG</vt:lpwstr>
  </property>
  <property fmtid="{D5CDD505-2E9C-101B-9397-08002B2CF9AE}" pid="4" name="Level of sensitivity">
    <vt:lpwstr>Standard treatment</vt:lpwstr>
  </property>
  <property fmtid="{D5CDD505-2E9C-101B-9397-08002B2CF9AE}" pid="5" name="Part">
    <vt:lpwstr>1</vt:lpwstr>
  </property>
  <property fmtid="{D5CDD505-2E9C-101B-9397-08002B2CF9AE}" pid="6" name="Total parts">
    <vt:lpwstr>1</vt:lpwstr>
  </property>
  <property fmtid="{D5CDD505-2E9C-101B-9397-08002B2CF9AE}" pid="7" name="LWTemplateID">
    <vt:lpwstr>SJ-023</vt:lpwstr>
  </property>
  <property fmtid="{D5CDD505-2E9C-101B-9397-08002B2CF9AE}" pid="8" name="ContentTypeId">
    <vt:lpwstr>0x010100258AA79CEB83498886A3A0868112325000D33D44CF0C8FEB45875F235DEEF2E1B9</vt:lpwstr>
  </property>
  <property fmtid="{D5CDD505-2E9C-101B-9397-08002B2CF9AE}" pid="9" name="DQCStatus">
    <vt:lpwstr>Yellow (DQC version 03)</vt:lpwstr>
  </property>
</Properties>
</file>