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B7BD9A4-EE1F-46A1-A254-A55C204499C6" style="width:450.75pt;height:351.75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OBRAZLOŽENJE</w:t>
      </w:r>
    </w:p>
    <w:p>
      <w:pPr>
        <w:rPr>
          <w:noProof/>
        </w:rPr>
      </w:pPr>
      <w:r>
        <w:rPr>
          <w:noProof/>
        </w:rPr>
        <w:t>U skladu s člankom 395. stavkom 1. Direktive 2006/112/EZ</w:t>
      </w:r>
      <w:r>
        <w:rPr>
          <w:rStyle w:val="FootnoteReference0"/>
          <w:noProof/>
        </w:rPr>
        <w:footnoteReference w:id="1"/>
      </w:r>
      <w:r>
        <w:rPr>
          <w:noProof/>
        </w:rPr>
        <w:t xml:space="preserve"> od 28. studenoga 2006. o zajedničkom sustavu poreza na dodanu vrijednost (dalje u tekstu „Direktiva o PDV-u”), Vijeće, djelujući jednoglasno na prijedlog Komisije, može bilo kojoj državi članici odobriti primjenu posebnih mjera kojima se odstupa od odredaba te direktive kako bi se pojednostavnio postupak naplate poreza ili spriječili određeni oblici utaje ili izbjegavanja poreza.</w:t>
      </w:r>
    </w:p>
    <w:p>
      <w:pPr>
        <w:rPr>
          <w:noProof/>
        </w:rPr>
      </w:pPr>
      <w:r>
        <w:rPr>
          <w:noProof/>
        </w:rPr>
        <w:t xml:space="preserve">Dopisom evidentiranim pri Komisiji 22. rujna 2017. Malta je zatražila odobrenje za primjenu mjere odstupanja od članka 287. Direktive o PDV-u kojom bi od 1. siječnja 2018. oslobodila od plaćanja PDV-a porezne obveznike čije se gospodarske aktivnosti uglavnom sastoje od pružanja usluga s velikom dodanom vrijednošću (mali </w:t>
      </w:r>
      <w:r>
        <w:rPr>
          <w:i/>
          <w:noProof/>
        </w:rPr>
        <w:t>input</w:t>
      </w:r>
      <w:r>
        <w:rPr>
          <w:noProof/>
        </w:rPr>
        <w:t>) i čiji godišnji promet ne prelazi 20 000 EUR.</w:t>
      </w:r>
    </w:p>
    <w:p>
      <w:pPr>
        <w:rPr>
          <w:noProof/>
        </w:rPr>
      </w:pPr>
      <w:r>
        <w:rPr>
          <w:noProof/>
        </w:rPr>
        <w:t>U skladu s člankom 395. stavkom 2. Direktive o PDV-u Komisija je dopisom od 3. studenoga 2017. obavijestila druge države članice o zahtjevu Malte. Komisija je dopisom od 7. studenoga 2017. obavijestila Maltu da su joj dostupne sve informacije potrebne za razmatranje zahtjeva.</w:t>
      </w:r>
    </w:p>
    <w:p>
      <w:pPr>
        <w:pStyle w:val="ManualHeading1"/>
        <w:rPr>
          <w:noProof/>
        </w:rPr>
      </w:pPr>
      <w:r>
        <w:rPr>
          <w:noProof/>
        </w:rPr>
        <w:t>1.</w:t>
      </w:r>
      <w:r>
        <w:rPr>
          <w:noProof/>
        </w:rPr>
        <w:tab/>
        <w:t>KONTEKST PRIJEDLOGA</w:t>
      </w:r>
    </w:p>
    <w:p>
      <w:pPr>
        <w:pStyle w:val="ManualHeading2"/>
        <w:rPr>
          <w:rFonts w:eastAsia="Arial Unicode MS"/>
          <w:noProof/>
        </w:rPr>
      </w:pPr>
      <w:r>
        <w:rPr>
          <w:noProof/>
          <w:color w:val="000000"/>
          <w:u w:color="000000"/>
          <w:bdr w:val="nil"/>
        </w:rPr>
        <w:t>•</w:t>
      </w:r>
      <w:r>
        <w:rPr>
          <w:noProof/>
        </w:rPr>
        <w:tab/>
        <w:t>Razlozi i ciljevi prijedloga</w:t>
      </w:r>
    </w:p>
    <w:p>
      <w:pPr>
        <w:rPr>
          <w:noProof/>
        </w:rPr>
      </w:pPr>
      <w:r>
        <w:rPr>
          <w:noProof/>
        </w:rPr>
        <w:t>Glavom XII. poglavljem 1. Direktive o PDV-u državama članicama omogućuje se primjena posebnih odredaba za mala poduzeća, uključujući izuzeće poreznih obveznika čiji je godišnji promet niži od određenog iznosa. Tim se izuzećem podrazumijeva da porezni obveznik ne mora obračunati PDV za svoje isporuke, ali zbog toga ne može ni odbiti PDV od svoje kupovine.</w:t>
      </w:r>
    </w:p>
    <w:p>
      <w:pPr>
        <w:rPr>
          <w:noProof/>
        </w:rPr>
      </w:pPr>
      <w:r>
        <w:rPr>
          <w:noProof/>
        </w:rPr>
        <w:t xml:space="preserve">U skladu s člankom 287. Direktive o PDV-u pojedine države članice koje su pristupile nakon 1. siječnja 1978. mogu izuzeti od plaćanja PDV-a porezne obveznike čiji godišnji promet ne prelazi protuvrijednost u nacionalnoj valuti iznosa navedenih u toj odredbi, prema tečaju na dan njihova pristupanja. Malta se pridružila europodručju 1. siječnja 2008. </w:t>
      </w:r>
    </w:p>
    <w:p>
      <w:pPr>
        <w:rPr>
          <w:noProof/>
        </w:rPr>
      </w:pPr>
      <w:r>
        <w:rPr>
          <w:noProof/>
        </w:rPr>
        <w:t xml:space="preserve">U skladu s člankom 287. točkom 13. Direktive 2006/112/EZ Malta može izuzeti od PDV-a tri kategorije poreznih obveznika: porezne obveznike čiji godišnji promet nije veći od 37 000 EUR ako se gospodarska aktivnost uglavnom sastoji od isporuka robe; 24 300 EUR ako se gospodarska djelatnost uglavnom sastoji od pružanja usluga s malom dodanom vrijednošću (veliki </w:t>
      </w:r>
      <w:r>
        <w:rPr>
          <w:i/>
          <w:noProof/>
        </w:rPr>
        <w:t>input</w:t>
      </w:r>
      <w:r>
        <w:rPr>
          <w:noProof/>
        </w:rPr>
        <w:t xml:space="preserve">) te 14 600 EUR u ostalim slučajevima, to jest za pružanje usluga s velikom dodanom vrijednošću (mali </w:t>
      </w:r>
      <w:r>
        <w:rPr>
          <w:i/>
          <w:noProof/>
        </w:rPr>
        <w:t>input</w:t>
      </w:r>
      <w:r>
        <w:rPr>
          <w:noProof/>
        </w:rPr>
        <w:t>).</w:t>
      </w:r>
    </w:p>
    <w:p>
      <w:pPr>
        <w:rPr>
          <w:noProof/>
        </w:rPr>
      </w:pPr>
      <w:r>
        <w:rPr>
          <w:noProof/>
        </w:rPr>
        <w:t>Od svojeg pristupanja Malta upotrebljava tu odredbu za pomoć malim poduzećima i za poticanje otvaranja novih poduzeća. Ta se praksa pokazala korisnom mjerom pojednostavnjenja jer se njome uklanjaju brojne obveze povezane s PDV-om za poduzeća ispod određene razine godišnjeg prometa, čime se snižavaju troškovi poslovanja tih poduzeća. Istodobno je učinak na prihode bio neznatan. Malteška vlada odlučna je nastaviti primjenjivati mjere pojednostavnjivanja obveza malih subjekata u skladu s ciljevima Unije za male poduzetnike utvrđenima u Komunikaciji Komisije „Počnimo od malih” – „Akt o malom poduzetništvu za Europu”</w:t>
      </w:r>
      <w:r>
        <w:rPr>
          <w:rStyle w:val="FootnoteReference0"/>
          <w:noProof/>
        </w:rPr>
        <w:footnoteReference w:id="2"/>
      </w:r>
      <w:r>
        <w:rPr>
          <w:noProof/>
        </w:rPr>
        <w:t>.</w:t>
      </w:r>
    </w:p>
    <w:p>
      <w:pPr>
        <w:rPr>
          <w:noProof/>
        </w:rPr>
      </w:pPr>
      <w:r>
        <w:rPr>
          <w:noProof/>
        </w:rPr>
        <w:lastRenderedPageBreak/>
        <w:t>U tu svrhu Malta želi važeći primjenjivi prag za kategorije s najmanjim prometom koji trenutačno iznosi 14 600 EUR povećati na 20 000 EUR.</w:t>
      </w:r>
    </w:p>
    <w:p>
      <w:pPr>
        <w:rPr>
          <w:noProof/>
        </w:rPr>
      </w:pPr>
      <w:r>
        <w:rPr>
          <w:noProof/>
        </w:rPr>
        <w:t>Prema mišljenju malteških vlasti zbog tog povećanog praga očekuje se potencijalno povećanje broja malih gospodarskih subjekata koji su u okviru programa pojednostavnjenja za MSP-ove registrirani u najnižu kategoriju, s 15 615 na otprilike 16 504, što je povećanje od otprilike 5,3 %. Time bi se istodobno malteškim poreznim tijelima omogućilo da raspodijele veći broj osoblja na zadaće borbe protiv prijevara u vezi s PDV-om.</w:t>
      </w:r>
    </w:p>
    <w:p>
      <w:pPr>
        <w:rPr>
          <w:noProof/>
        </w:rPr>
      </w:pPr>
      <w:r>
        <w:rPr>
          <w:noProof/>
        </w:rPr>
        <w:t xml:space="preserve">Očekuje se da će se povećanjem praga za obveznike PDV-a s 14 600 EUR na 20 000 EUR smanjiti administrativno opterećenje poduzeća koja ispunjavaju uvjete programa, a posebno mikropoduzeća, time što ih se oslobađa od niza obveza na temelju uobičajenih odredaba o PDV-u poput vođenja evidencije u svrhu PDV-a ili podnošenja prijave PDV-a. </w:t>
      </w:r>
    </w:p>
    <w:p>
      <w:pPr>
        <w:rPr>
          <w:noProof/>
        </w:rPr>
      </w:pPr>
      <w:r>
        <w:rPr>
          <w:noProof/>
        </w:rPr>
        <w:t>Malteške su vlasti procijenile da bi povećanje tog praga moglo dovesti do smanjenja prihoda od PDV-a od otprilike 0,24 % ukupnih primitaka PDV-a pa stoga nema znatnog učinka na državne prihode. Očekuje se da bi se takvo neznatno smanjenje prihoda nadoknadilo povećanjem opće provedbe i revizija.</w:t>
      </w:r>
    </w:p>
    <w:p>
      <w:pPr>
        <w:rPr>
          <w:noProof/>
        </w:rPr>
      </w:pPr>
      <w:r>
        <w:rPr>
          <w:noProof/>
        </w:rPr>
        <w:t>Osobe čiji promet ne prelazi taj prag i dalje će se moći prijaviti u registar obveznika PDV-a.</w:t>
      </w:r>
    </w:p>
    <w:p>
      <w:pPr>
        <w:pStyle w:val="ManualHeading2"/>
        <w:rPr>
          <w:rFonts w:eastAsia="Arial Unicode MS"/>
          <w:noProof/>
          <w:color w:val="000000"/>
          <w:u w:color="000000"/>
          <w:bdr w:val="nil"/>
        </w:rPr>
      </w:pPr>
      <w:r>
        <w:rPr>
          <w:noProof/>
          <w:color w:val="000000"/>
          <w:u w:color="000000"/>
          <w:bdr w:val="nil"/>
        </w:rPr>
        <w:t>•</w:t>
      </w:r>
      <w:r>
        <w:rPr>
          <w:noProof/>
        </w:rPr>
        <w:tab/>
        <w:t>Dosljednost s postojećim odredbama politike u određenom području</w:t>
      </w:r>
    </w:p>
    <w:p>
      <w:pPr>
        <w:rPr>
          <w:noProof/>
          <w:color w:val="000000"/>
        </w:rPr>
      </w:pPr>
      <w:r>
        <w:rPr>
          <w:noProof/>
        </w:rPr>
        <w:t>Slična odstupanja odobrena su drugim državama članicama.</w:t>
      </w:r>
      <w:r>
        <w:rPr>
          <w:noProof/>
          <w:color w:val="000000"/>
        </w:rPr>
        <w:t xml:space="preserve"> Belgiji</w:t>
      </w:r>
      <w:r>
        <w:rPr>
          <w:rStyle w:val="FootnoteReference0"/>
          <w:noProof/>
          <w:color w:val="000000"/>
        </w:rPr>
        <w:footnoteReference w:id="3"/>
      </w:r>
      <w:r>
        <w:rPr>
          <w:noProof/>
          <w:color w:val="000000"/>
        </w:rPr>
        <w:t xml:space="preserve"> je odobren prag od 25 000 EUR, Luksemburgu</w:t>
      </w:r>
      <w:r>
        <w:rPr>
          <w:rStyle w:val="FootnoteReference0"/>
          <w:noProof/>
          <w:color w:val="000000"/>
        </w:rPr>
        <w:footnoteReference w:id="4"/>
      </w:r>
      <w:r>
        <w:rPr>
          <w:noProof/>
          <w:color w:val="000000"/>
        </w:rPr>
        <w:t xml:space="preserve"> prag od 30 000 EUR, Poljskoj</w:t>
      </w:r>
      <w:r>
        <w:rPr>
          <w:rStyle w:val="FootnoteReference0"/>
          <w:noProof/>
          <w:color w:val="000000"/>
        </w:rPr>
        <w:footnoteReference w:id="5"/>
      </w:r>
      <w:r>
        <w:rPr>
          <w:noProof/>
          <w:color w:val="000000"/>
        </w:rPr>
        <w:t xml:space="preserve"> i Estoniji</w:t>
      </w:r>
      <w:r>
        <w:rPr>
          <w:rStyle w:val="FootnoteReference0"/>
          <w:noProof/>
          <w:color w:val="000000"/>
        </w:rPr>
        <w:footnoteReference w:id="6"/>
      </w:r>
      <w:r>
        <w:rPr>
          <w:noProof/>
          <w:color w:val="000000"/>
        </w:rPr>
        <w:t xml:space="preserve"> prag od 40 000 EUR, </w:t>
      </w:r>
      <w:r>
        <w:rPr>
          <w:noProof/>
          <w:color w:val="000000"/>
        </w:rPr>
        <w:lastRenderedPageBreak/>
        <w:t>Litvi</w:t>
      </w:r>
      <w:r>
        <w:rPr>
          <w:rStyle w:val="FootnoteReference0"/>
          <w:noProof/>
          <w:color w:val="000000"/>
        </w:rPr>
        <w:footnoteReference w:id="7"/>
      </w:r>
      <w:r>
        <w:rPr>
          <w:rStyle w:val="footnotereference"/>
          <w:noProof/>
          <w:color w:val="000000"/>
        </w:rPr>
        <w:t xml:space="preserve"> </w:t>
      </w:r>
      <w:r>
        <w:rPr>
          <w:noProof/>
          <w:color w:val="000000"/>
        </w:rPr>
        <w:t>prag od 45 000 EUR, Latviji</w:t>
      </w:r>
      <w:r>
        <w:rPr>
          <w:rStyle w:val="FootnoteReference0"/>
          <w:noProof/>
        </w:rPr>
        <w:footnoteReference w:id="8"/>
      </w:r>
      <w:r>
        <w:rPr>
          <w:noProof/>
          <w:color w:val="000000"/>
        </w:rPr>
        <w:t xml:space="preserve"> i Sloveniji</w:t>
      </w:r>
      <w:r>
        <w:rPr>
          <w:rStyle w:val="FootnoteReference0"/>
          <w:noProof/>
          <w:color w:val="000000"/>
        </w:rPr>
        <w:footnoteReference w:id="9"/>
      </w:r>
      <w:r>
        <w:rPr>
          <w:rStyle w:val="footnotereference"/>
          <w:noProof/>
          <w:color w:val="000000"/>
        </w:rPr>
        <w:t xml:space="preserve"> </w:t>
      </w:r>
      <w:r>
        <w:rPr>
          <w:noProof/>
          <w:color w:val="000000"/>
        </w:rPr>
        <w:t>prag od 50 000 EUR, Italiji</w:t>
      </w:r>
      <w:r>
        <w:rPr>
          <w:rStyle w:val="FootnoteReference0"/>
          <w:noProof/>
          <w:color w:val="000000"/>
        </w:rPr>
        <w:footnoteReference w:id="10"/>
      </w:r>
      <w:r>
        <w:rPr>
          <w:noProof/>
          <w:color w:val="000000"/>
        </w:rPr>
        <w:t xml:space="preserve"> prag od 65 000 EUR i Rumunjskoj</w:t>
      </w:r>
      <w:r>
        <w:rPr>
          <w:rStyle w:val="FootnoteReference0"/>
          <w:noProof/>
          <w:color w:val="000000"/>
        </w:rPr>
        <w:footnoteReference w:id="11"/>
      </w:r>
      <w:r>
        <w:rPr>
          <w:noProof/>
          <w:color w:val="000000"/>
        </w:rPr>
        <w:t xml:space="preserve"> prag od 88 500 EUR.</w:t>
      </w:r>
    </w:p>
    <w:p>
      <w:pPr>
        <w:rPr>
          <w:noProof/>
        </w:rPr>
      </w:pPr>
      <w:r>
        <w:rPr>
          <w:noProof/>
        </w:rPr>
        <w:t>Odstupanja od Direktive o PDV-u uvijek bi trebala biti vremenski ograničena kako bi se mogli ocijeniti njihovi učinci. Nadalje, odredbe članaka od 281. do 294. Direktive o PDV-u o posebnoj odredbi za mala poduzeća trenutačno se preispituju. Kako je najavljeno u akcijskom planu o PDV-u</w:t>
      </w:r>
      <w:r>
        <w:rPr>
          <w:rStyle w:val="FootnoteReference0"/>
          <w:noProof/>
        </w:rPr>
        <w:footnoteReference w:id="12"/>
      </w:r>
      <w:r>
        <w:rPr>
          <w:noProof/>
        </w:rPr>
        <w:t xml:space="preserve"> i Programu rada Komisije za 2017.</w:t>
      </w:r>
      <w:r>
        <w:rPr>
          <w:rStyle w:val="FootnoteReference0"/>
          <w:noProof/>
        </w:rPr>
        <w:footnoteReference w:id="13"/>
      </w:r>
      <w:r>
        <w:rPr>
          <w:noProof/>
        </w:rPr>
        <w:t>, Komisija bi trebala predstaviti svoj prijedlog do kraja 2017. u obliku opsežnog paketa pojednostavnjenja.</w:t>
      </w:r>
    </w:p>
    <w:p>
      <w:pPr>
        <w:rPr>
          <w:rFonts w:eastAsia="Arial Unicode MS"/>
          <w:noProof/>
        </w:rPr>
      </w:pPr>
      <w:r>
        <w:rPr>
          <w:noProof/>
        </w:rPr>
        <w:t xml:space="preserve">Stoga se predlaže dopuštanje povećanja praga za mala poduzeća čije se gospodarske aktivnosti uglavnom sastoje od pružanja usluga s velikom dodanom vrijednošću do 20 000 EUR od 1. siječnja 2018. do najranije 31. prosinca 2020. ili do stupanja na snagu direktive o izmjeni odredaba Direktive o PDV-u o posebnoj odredbi za mala poduzeća. </w:t>
      </w:r>
    </w:p>
    <w:p>
      <w:pPr>
        <w:pStyle w:val="ManualHeading2"/>
        <w:rPr>
          <w:rFonts w:eastAsia="Arial Unicode MS"/>
          <w:noProof/>
        </w:rPr>
      </w:pPr>
      <w:r>
        <w:rPr>
          <w:noProof/>
          <w:color w:val="000000"/>
          <w:u w:color="000000"/>
          <w:bdr w:val="nil"/>
        </w:rPr>
        <w:t>•</w:t>
      </w:r>
      <w:r>
        <w:rPr>
          <w:noProof/>
        </w:rPr>
        <w:tab/>
        <w:t>Dosljednost u odnosu na druge politike Unije</w:t>
      </w:r>
    </w:p>
    <w:p>
      <w:pPr>
        <w:pBdr>
          <w:top w:val="nil"/>
          <w:left w:val="nil"/>
          <w:bottom w:val="nil"/>
          <w:right w:val="nil"/>
          <w:between w:val="nil"/>
          <w:bar w:val="nil"/>
        </w:pBdr>
        <w:spacing w:before="0" w:after="240"/>
        <w:rPr>
          <w:rFonts w:eastAsia="Arial Unicode MS"/>
          <w:noProof/>
        </w:rPr>
      </w:pPr>
      <w:r>
        <w:rPr>
          <w:noProof/>
        </w:rPr>
        <w:t>Mjera je u skladu s ciljevima Unije za malo poduzetništvo, kako je utvrđeno u Komunikaciji Komisije „Počnimo od malih” – „Akt o malom poduzetništvu za Europu”</w:t>
      </w:r>
      <w:r>
        <w:rPr>
          <w:rStyle w:val="FootnoteReference0"/>
          <w:noProof/>
        </w:rPr>
        <w:footnoteReference w:id="14"/>
      </w:r>
      <w:r>
        <w:rPr>
          <w:noProof/>
        </w:rPr>
        <w:t>, kojom se države članice poziva da uzmu u obzir posebna obilježja MSP-ova pri izradi zakonodavstva i pojednostavne postojeće regulatorno okruženje.</w:t>
      </w:r>
    </w:p>
    <w:p>
      <w:pPr>
        <w:pStyle w:val="ManualHeading1"/>
        <w:rPr>
          <w:noProof/>
        </w:rPr>
      </w:pPr>
      <w:r>
        <w:rPr>
          <w:noProof/>
        </w:rPr>
        <w:t>2.</w:t>
      </w:r>
      <w:r>
        <w:rPr>
          <w:noProof/>
        </w:rPr>
        <w:tab/>
        <w:t>PRAVNA OSNOVA, SUPSIDIJARNOST I PROPORCIONALNOST</w:t>
      </w:r>
    </w:p>
    <w:p>
      <w:pPr>
        <w:pStyle w:val="ManualHeading2"/>
        <w:rPr>
          <w:rFonts w:eastAsia="Arial Unicode MS"/>
          <w:noProof/>
          <w:u w:color="000000"/>
          <w:bdr w:val="nil"/>
        </w:rPr>
      </w:pPr>
      <w:r>
        <w:rPr>
          <w:noProof/>
        </w:rPr>
        <w:t>•</w:t>
      </w:r>
      <w:r>
        <w:rPr>
          <w:noProof/>
        </w:rPr>
        <w:tab/>
        <w:t>Pravna osnova</w:t>
      </w:r>
    </w:p>
    <w:p>
      <w:pPr>
        <w:pBdr>
          <w:top w:val="nil"/>
          <w:left w:val="nil"/>
          <w:bottom w:val="nil"/>
          <w:right w:val="nil"/>
          <w:between w:val="nil"/>
          <w:bar w:val="nil"/>
        </w:pBdr>
        <w:spacing w:before="0" w:after="240"/>
        <w:rPr>
          <w:rFonts w:eastAsia="Arial Unicode MS"/>
          <w:noProof/>
        </w:rPr>
      </w:pPr>
      <w:r>
        <w:rPr>
          <w:noProof/>
        </w:rPr>
        <w:t>Članak 395. Direktive o PDV-u.</w:t>
      </w:r>
    </w:p>
    <w:p>
      <w:pPr>
        <w:pStyle w:val="ManualHeading2"/>
        <w:rPr>
          <w:rFonts w:eastAsia="Arial Unicode MS"/>
          <w:noProof/>
          <w:u w:color="000000"/>
          <w:bdr w:val="nil"/>
        </w:rPr>
      </w:pPr>
      <w:r>
        <w:rPr>
          <w:noProof/>
        </w:rPr>
        <w:t>•</w:t>
      </w:r>
      <w:r>
        <w:rPr>
          <w:noProof/>
        </w:rPr>
        <w:tab/>
        <w:t xml:space="preserve">Supsidijarnost (za neisključivu nadležnost) </w:t>
      </w:r>
    </w:p>
    <w:p>
      <w:pPr>
        <w:pBdr>
          <w:top w:val="nil"/>
          <w:left w:val="nil"/>
          <w:bottom w:val="nil"/>
          <w:right w:val="nil"/>
          <w:between w:val="nil"/>
          <w:bar w:val="nil"/>
        </w:pBdr>
        <w:spacing w:before="0" w:after="240"/>
        <w:rPr>
          <w:rFonts w:eastAsia="Arial Unicode MS"/>
          <w:noProof/>
        </w:rPr>
      </w:pPr>
      <w:r>
        <w:rPr>
          <w:noProof/>
        </w:rPr>
        <w:t>S obzirom na odredbu Direktive o PDV-u na kojoj se prijedlog temelji ne primjenjuje se načelo supsidijarnosti.</w:t>
      </w:r>
    </w:p>
    <w:p>
      <w:pPr>
        <w:pStyle w:val="ManualHeading2"/>
        <w:rPr>
          <w:rFonts w:eastAsia="Arial Unicode MS"/>
          <w:noProof/>
          <w:u w:color="000000"/>
          <w:bdr w:val="nil"/>
        </w:rPr>
      </w:pPr>
      <w:r>
        <w:rPr>
          <w:noProof/>
        </w:rPr>
        <w:lastRenderedPageBreak/>
        <w:t>•</w:t>
      </w:r>
      <w:r>
        <w:rPr>
          <w:noProof/>
        </w:rPr>
        <w:tab/>
        <w:t>Proporcionalnost</w:t>
      </w:r>
    </w:p>
    <w:p>
      <w:pPr>
        <w:pBdr>
          <w:top w:val="nil"/>
          <w:left w:val="nil"/>
          <w:bottom w:val="nil"/>
          <w:right w:val="nil"/>
          <w:between w:val="nil"/>
          <w:bar w:val="nil"/>
        </w:pBdr>
        <w:spacing w:before="0" w:after="240"/>
        <w:rPr>
          <w:noProof/>
        </w:rPr>
      </w:pPr>
      <w:r>
        <w:rPr>
          <w:noProof/>
        </w:rPr>
        <w:t>Odluka se odnosi na odobrenje dano državi članici na njezin vlastiti zahtjev i ne predstavlja nikakvu obvezu.</w:t>
      </w:r>
    </w:p>
    <w:p>
      <w:pPr>
        <w:rPr>
          <w:noProof/>
        </w:rPr>
      </w:pPr>
      <w:r>
        <w:rPr>
          <w:noProof/>
        </w:rPr>
        <w:t>S obzirom na ograničeno područje primjene odstupanja posebna je mjera proporcionalna cilju koji se želi postići, to jest pojednostavnjenju za veći broj malih poreznih obveznika i za poreznu upravu.</w:t>
      </w:r>
    </w:p>
    <w:p>
      <w:pPr>
        <w:pStyle w:val="ManualHeading2"/>
        <w:rPr>
          <w:rFonts w:eastAsia="Arial Unicode MS"/>
          <w:noProof/>
          <w:u w:color="000000"/>
          <w:bdr w:val="nil"/>
        </w:rPr>
      </w:pPr>
      <w:r>
        <w:rPr>
          <w:noProof/>
        </w:rPr>
        <w:t>•</w:t>
      </w:r>
      <w:r>
        <w:rPr>
          <w:noProof/>
        </w:rPr>
        <w:tab/>
        <w:t>Odabir instrumenta</w:t>
      </w:r>
    </w:p>
    <w:p>
      <w:pPr>
        <w:spacing w:before="0" w:after="240"/>
        <w:rPr>
          <w:rFonts w:eastAsia="Arial Unicode MS"/>
          <w:noProof/>
        </w:rPr>
      </w:pPr>
      <w:r>
        <w:rPr>
          <w:noProof/>
        </w:rPr>
        <w:t>Predloženi instrument: provedbena odluka Vijeća.</w:t>
      </w:r>
    </w:p>
    <w:p>
      <w:pPr>
        <w:spacing w:before="0" w:after="240"/>
        <w:rPr>
          <w:rFonts w:eastAsia="Arial Unicode MS"/>
          <w:noProof/>
        </w:rPr>
      </w:pPr>
      <w:r>
        <w:rPr>
          <w:noProof/>
        </w:rPr>
        <w:t>Ostali instrumenti nisu prikladni jer u skladu s člankom 395. Direktive o PDV-u odstupanje od zajedničkih pravila o PDV-u moguće je samo ako to jednoglasno odobri Vijeće na prijedlog Komisije. Provedbena odluka Vijeća stoga je najprikladniji instrument jer može biti upućena pojedinačnoj državi članici.</w:t>
      </w:r>
    </w:p>
    <w:p>
      <w:pPr>
        <w:pStyle w:val="ManualHeading1"/>
        <w:rPr>
          <w:noProof/>
        </w:rPr>
      </w:pPr>
      <w:r>
        <w:rPr>
          <w:noProof/>
        </w:rPr>
        <w:t>3.</w:t>
      </w:r>
      <w:r>
        <w:rPr>
          <w:noProof/>
        </w:rPr>
        <w:tab/>
        <w:t xml:space="preserve">REZULTATI </w:t>
      </w:r>
      <w:r>
        <w:rPr>
          <w:i/>
          <w:noProof/>
        </w:rPr>
        <w:t>EX POST</w:t>
      </w:r>
      <w:r>
        <w:rPr>
          <w:noProof/>
        </w:rPr>
        <w:t xml:space="preserve"> EVALUACIJA, SAVJETOVANJA S DIONICIMA I PROCJENE UČINAKA</w:t>
      </w:r>
    </w:p>
    <w:p>
      <w:pPr>
        <w:pStyle w:val="ManualHeading2"/>
        <w:rPr>
          <w:rFonts w:eastAsia="Arial Unicode MS"/>
          <w:noProof/>
          <w:u w:color="000000"/>
          <w:bdr w:val="nil"/>
        </w:rPr>
      </w:pPr>
      <w:r>
        <w:rPr>
          <w:noProof/>
        </w:rPr>
        <w:t>•</w:t>
      </w:r>
      <w:r>
        <w:rPr>
          <w:noProof/>
        </w:rPr>
        <w:tab/>
        <w:t>Savjetovanja s dionicima</w:t>
      </w:r>
    </w:p>
    <w:p>
      <w:pPr>
        <w:spacing w:before="0" w:after="240"/>
        <w:rPr>
          <w:rFonts w:eastAsia="Arial Unicode MS"/>
          <w:noProof/>
        </w:rPr>
      </w:pPr>
      <w:r>
        <w:rPr>
          <w:noProof/>
        </w:rPr>
        <w:t>Ovaj prijedlog temelji se na zahtjevu koji je podnijela Malta i odnosi se samo na tu državu članicu.</w:t>
      </w:r>
    </w:p>
    <w:p>
      <w:pPr>
        <w:pStyle w:val="ManualHeading2"/>
        <w:rPr>
          <w:rFonts w:eastAsia="Arial Unicode MS"/>
          <w:noProof/>
          <w:u w:color="000000"/>
          <w:bdr w:val="nil"/>
        </w:rPr>
      </w:pPr>
      <w:r>
        <w:rPr>
          <w:noProof/>
        </w:rPr>
        <w:t>•</w:t>
      </w:r>
      <w:r>
        <w:rPr>
          <w:noProof/>
        </w:rPr>
        <w:tab/>
        <w:t>Prikupljanje i primjena stručnih znanja</w:t>
      </w:r>
    </w:p>
    <w:p>
      <w:pPr>
        <w:spacing w:before="0" w:after="240"/>
        <w:rPr>
          <w:rFonts w:eastAsia="Arial Unicode MS"/>
          <w:noProof/>
        </w:rPr>
      </w:pPr>
      <w:r>
        <w:rPr>
          <w:noProof/>
        </w:rPr>
        <w:t>Nije bilo potrebno obratiti se vanjskim stručnjacima.</w:t>
      </w:r>
    </w:p>
    <w:p>
      <w:pPr>
        <w:pStyle w:val="ManualHeading2"/>
        <w:rPr>
          <w:rFonts w:eastAsia="Arial Unicode MS"/>
          <w:noProof/>
          <w:u w:color="000000"/>
          <w:bdr w:val="nil"/>
        </w:rPr>
      </w:pPr>
      <w:r>
        <w:rPr>
          <w:noProof/>
        </w:rPr>
        <w:t>•</w:t>
      </w:r>
      <w:r>
        <w:rPr>
          <w:noProof/>
        </w:rPr>
        <w:tab/>
        <w:t>Procjena učinka</w:t>
      </w:r>
    </w:p>
    <w:p>
      <w:pPr>
        <w:rPr>
          <w:noProof/>
        </w:rPr>
      </w:pPr>
      <w:r>
        <w:rPr>
          <w:noProof/>
        </w:rPr>
        <w:t>Prijedlogom odluke Vijeća namjerava se uvesti mjera pojednostavnjenja kojom se za poslovne subjekte čije se gospodarske aktivnosti uglavnom sastoje od pružanja usluga s velikom dodanom vrijednošću i s godišnjim prometom koji nije veći od 20 000 EUR uklanjaju brojne obveze povezane s PDV-om. Stoga ta odluka može imati pozitivan učinak na smanjenje administrativnog opterećenja na porezne obveznike pa stoga i na poreznu upravu.</w:t>
      </w:r>
    </w:p>
    <w:p>
      <w:pPr>
        <w:rPr>
          <w:rFonts w:eastAsia="Arial Unicode MS"/>
          <w:noProof/>
        </w:rPr>
      </w:pPr>
      <w:r>
        <w:rPr>
          <w:noProof/>
        </w:rPr>
        <w:t>Zbog uskog područja primjene odstupanja i njegove vremenske ograničenosti učinak će u svakom slučaju biti ograničen.</w:t>
      </w:r>
    </w:p>
    <w:p>
      <w:pPr>
        <w:pStyle w:val="ManualHeading1"/>
        <w:rPr>
          <w:noProof/>
        </w:rPr>
      </w:pPr>
      <w:r>
        <w:rPr>
          <w:noProof/>
        </w:rPr>
        <w:t>4.</w:t>
      </w:r>
      <w:r>
        <w:rPr>
          <w:noProof/>
        </w:rPr>
        <w:tab/>
        <w:t>UTJECAJ NA PRORAČUN</w:t>
      </w:r>
    </w:p>
    <w:p>
      <w:pPr>
        <w:rPr>
          <w:rFonts w:eastAsia="Arial Unicode MS"/>
          <w:noProof/>
        </w:rPr>
      </w:pPr>
      <w:r>
        <w:rPr>
          <w:noProof/>
        </w:rPr>
        <w:t>Prijedlog ne utječe na proračun EU-a jer će Malta izvršiti izračun naknade u skladu s člankom 6. Uredbe Vijeća (EEZ, EURATOM) br. 1553/89</w:t>
      </w:r>
      <w:r>
        <w:rPr>
          <w:rStyle w:val="FootnoteReference0"/>
          <w:noProof/>
        </w:rPr>
        <w:footnoteReference w:id="15"/>
      </w:r>
      <w:r>
        <w:rPr>
          <w:noProof/>
        </w:rPr>
        <w:t>.</w:t>
      </w:r>
    </w:p>
    <w:p>
      <w:pPr>
        <w:pStyle w:val="ManualHeading1"/>
        <w:rPr>
          <w:noProof/>
        </w:rPr>
      </w:pPr>
      <w:r>
        <w:rPr>
          <w:noProof/>
        </w:rPr>
        <w:t>5.</w:t>
      </w:r>
      <w:r>
        <w:rPr>
          <w:noProof/>
        </w:rPr>
        <w:tab/>
        <w:t>OSTALI DIJELOVI</w:t>
      </w:r>
    </w:p>
    <w:p>
      <w:pPr>
        <w:rPr>
          <w:noProof/>
        </w:rPr>
      </w:pPr>
      <w:r>
        <w:rPr>
          <w:noProof/>
        </w:rPr>
        <w:t>Prijedlog sadrži klauzulu o vremenskom ograničenju valjanosti.</w:t>
      </w:r>
    </w:p>
    <w:p>
      <w:pPr>
        <w:rPr>
          <w:noProof/>
        </w:rPr>
        <w:sectPr>
          <w:footerReference w:type="default" r:id="rId16"/>
          <w:footerReference w:type="first" r:id="rId17"/>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2017/0361 (NLE)</w:t>
      </w:r>
    </w:p>
    <w:p>
      <w:pPr>
        <w:pStyle w:val="Statut"/>
        <w:rPr>
          <w:noProof/>
        </w:rPr>
      </w:pPr>
      <w:r>
        <w:rPr>
          <w:noProof/>
        </w:rPr>
        <w:t>Prijedlog</w:t>
      </w:r>
    </w:p>
    <w:p>
      <w:pPr>
        <w:pStyle w:val="Typedudocument"/>
        <w:rPr>
          <w:noProof/>
        </w:rPr>
      </w:pPr>
      <w:r>
        <w:rPr>
          <w:noProof/>
        </w:rPr>
        <w:t>PROVEDBENE ODLUKE VIJEĆA</w:t>
      </w:r>
    </w:p>
    <w:p>
      <w:pPr>
        <w:pStyle w:val="Titreobjet"/>
        <w:rPr>
          <w:noProof/>
        </w:rPr>
      </w:pPr>
      <w:r>
        <w:rPr>
          <w:noProof/>
        </w:rPr>
        <w:t>kojom se Republici Malti odobrava primjena posebne mjere odstupanja od članka 287. Direktive 2006/112/EZ o zajedničkom sustavu poreza na dodanu vrijednost</w:t>
      </w:r>
    </w:p>
    <w:p>
      <w:pPr>
        <w:pStyle w:val="Institutionquiagit"/>
        <w:rPr>
          <w:noProof/>
        </w:rPr>
      </w:pPr>
      <w:r>
        <w:rPr>
          <w:noProof/>
        </w:rPr>
        <w:t>VIJEĆE EUROPSKE UNIJE,</w:t>
      </w:r>
    </w:p>
    <w:p>
      <w:pPr>
        <w:rPr>
          <w:noProof/>
        </w:rPr>
      </w:pPr>
      <w:r>
        <w:rPr>
          <w:noProof/>
        </w:rPr>
        <w:t>uzimajući u obzir Ugovor o funkcioniranju Europske unije,</w:t>
      </w:r>
    </w:p>
    <w:p>
      <w:pPr>
        <w:rPr>
          <w:noProof/>
        </w:rPr>
      </w:pPr>
      <w:r>
        <w:rPr>
          <w:noProof/>
        </w:rPr>
        <w:t>uzimajući u obzir Direktivu Vijeća 2006/112/EZ od 28. studenoga 2006. o zajedničkom sustavu poreza na dodanu vrijednost</w:t>
      </w:r>
      <w:r>
        <w:rPr>
          <w:rStyle w:val="FootnoteReference0"/>
          <w:noProof/>
        </w:rPr>
        <w:footnoteReference w:id="16"/>
      </w:r>
      <w:r>
        <w:rPr>
          <w:noProof/>
        </w:rPr>
        <w:t>, a posebno njezin članak 395. stavak 1.,</w:t>
      </w:r>
    </w:p>
    <w:p>
      <w:pPr>
        <w:rPr>
          <w:noProof/>
        </w:rPr>
      </w:pPr>
      <w:r>
        <w:rPr>
          <w:noProof/>
        </w:rPr>
        <w:t>uzimajući u obzir prijedlog Europske komisije,</w:t>
      </w:r>
    </w:p>
    <w:p>
      <w:pPr>
        <w:rPr>
          <w:noProof/>
        </w:rPr>
      </w:pPr>
      <w:r>
        <w:rPr>
          <w:noProof/>
        </w:rPr>
        <w:t>budući da:</w:t>
      </w:r>
    </w:p>
    <w:p>
      <w:pPr>
        <w:pStyle w:val="ManualConsidrant"/>
        <w:rPr>
          <w:noProof/>
        </w:rPr>
      </w:pPr>
      <w:r>
        <w:t>(1)</w:t>
      </w:r>
      <w:r>
        <w:tab/>
      </w:r>
      <w:r>
        <w:rPr>
          <w:noProof/>
        </w:rPr>
        <w:t xml:space="preserve">U skladu s člankom 287. točkom 13. Direktive 2006/112/EZ Malta može od poreza na dodanu vrijednost (PDV) izuzeti tri kategorije poreznih obveznika: one čiji godišnji promet nije veći od 37 000 EUR ako se gospodarska aktivnost uglavnom sastoji od isporuka robe; 24 300 EUR ako se gospodarska djelatnost uglavnom sastoji od pružanja usluga s malom dodanom vrijednošću (veliki </w:t>
      </w:r>
      <w:r>
        <w:rPr>
          <w:i/>
          <w:noProof/>
        </w:rPr>
        <w:t>input</w:t>
      </w:r>
      <w:r>
        <w:rPr>
          <w:noProof/>
        </w:rPr>
        <w:t xml:space="preserve">), te 14 600 EUR u ostalim slučajevima, konkretno za pružanje usluga s velikom dodanom vrijednošću (mali </w:t>
      </w:r>
      <w:r>
        <w:rPr>
          <w:i/>
          <w:noProof/>
        </w:rPr>
        <w:t>input</w:t>
      </w:r>
      <w:r>
        <w:rPr>
          <w:noProof/>
        </w:rPr>
        <w:t xml:space="preserve">). </w:t>
      </w:r>
    </w:p>
    <w:p>
      <w:pPr>
        <w:pStyle w:val="ManualConsidrant"/>
        <w:rPr>
          <w:noProof/>
        </w:rPr>
      </w:pPr>
      <w:r>
        <w:t>(2)</w:t>
      </w:r>
      <w:r>
        <w:tab/>
      </w:r>
      <w:r>
        <w:rPr>
          <w:noProof/>
        </w:rPr>
        <w:t xml:space="preserve">Dopisom evidentiranim pri Komisiji 22. rujna 2017. Malta je zatražila odobrenje za povećanje najnižeg praga s 14 600 EUR na 20 000 EUR za pružanje usluga s velikom dodanom vrijednošću (mali </w:t>
      </w:r>
      <w:r>
        <w:rPr>
          <w:i/>
          <w:noProof/>
        </w:rPr>
        <w:t>input</w:t>
      </w:r>
      <w:r>
        <w:rPr>
          <w:noProof/>
        </w:rPr>
        <w:t>) od 1. siječnja 2018. Tom bi mjerom ti porezni obveznici bili izuzeti od nekih ili svih obveza povezanih s PDV-om navedenih u glavi XI. poglavljima od 2. do 6. Direktive 2006/112/EZ.</w:t>
      </w:r>
    </w:p>
    <w:p>
      <w:pPr>
        <w:pStyle w:val="ManualConsidrant"/>
        <w:rPr>
          <w:noProof/>
        </w:rPr>
      </w:pPr>
      <w:r>
        <w:t>(3)</w:t>
      </w:r>
      <w:r>
        <w:tab/>
      </w:r>
      <w:r>
        <w:rPr>
          <w:noProof/>
        </w:rPr>
        <w:t>U skladu s člankom 395. stavkom 2. Direktive 2006/112/EZ Komisija je dopisom od 3. studenoga 2017. obavijestila druge države članice o zahtjevu Malte. Komisija je dopisom od 7. studenoga 2017. obavijestila Maltu da su joj dostupne sve informacije potrebne za razmatranje zahtjeva.</w:t>
      </w:r>
    </w:p>
    <w:p>
      <w:pPr>
        <w:pStyle w:val="ManualConsidrant"/>
        <w:rPr>
          <w:noProof/>
        </w:rPr>
      </w:pPr>
      <w:r>
        <w:t>(4)</w:t>
      </w:r>
      <w:r>
        <w:tab/>
      </w:r>
      <w:r>
        <w:rPr>
          <w:noProof/>
        </w:rPr>
        <w:t>Odstupanje za koje je zatraženo produljenje u skladu je s ciljevima Komunikacije Komisije „Počnimo od malih” – „Akt o malom poduzetništvu za Europu” od 25. lipnja 2008.</w:t>
      </w:r>
      <w:r>
        <w:rPr>
          <w:rStyle w:val="FootnoteReference0"/>
          <w:noProof/>
        </w:rPr>
        <w:footnoteReference w:id="17"/>
      </w:r>
    </w:p>
    <w:p>
      <w:pPr>
        <w:pStyle w:val="ManualConsidrant"/>
        <w:rPr>
          <w:noProof/>
        </w:rPr>
      </w:pPr>
      <w:r>
        <w:t>(5)</w:t>
      </w:r>
      <w:r>
        <w:tab/>
      </w:r>
      <w:r>
        <w:rPr>
          <w:noProof/>
        </w:rPr>
        <w:t>S obzirom na to da bi se tom mjerom odstupanja trebale smanjiti obveze povezane s PDV-om, a time i administrativno opterećenje i troškovi za mala poduzeća, Malti bi trebalo odobriti da tu mjeru primjenjuje u ograničenom razdoblju, do 31. prosinca 2020. Za porezne obveznike posebni sustav ne bi bio obvezan.</w:t>
      </w:r>
    </w:p>
    <w:p>
      <w:pPr>
        <w:pStyle w:val="ManualConsidrant"/>
        <w:rPr>
          <w:noProof/>
        </w:rPr>
      </w:pPr>
      <w:r>
        <w:t>(6)</w:t>
      </w:r>
      <w:r>
        <w:tab/>
      </w:r>
      <w:r>
        <w:rPr>
          <w:noProof/>
        </w:rPr>
        <w:t xml:space="preserve">Budući da se odredbe članaka od 281. do 294. Direktive 2006/112/EZ o posebnoj odredbi za mala poduzeća preispituju, moguće je da će direktiva o izmjeni tih </w:t>
      </w:r>
      <w:r>
        <w:rPr>
          <w:noProof/>
        </w:rPr>
        <w:lastRenderedPageBreak/>
        <w:t xml:space="preserve">odredaba Direktive 2006/112/EZ stupiti na snagu prije isteka razdoblja valjanosti odstupanja te će se u tom slučaju ova Odluka prestati primjenjivati. </w:t>
      </w:r>
    </w:p>
    <w:p>
      <w:pPr>
        <w:pStyle w:val="ManualConsidrant"/>
        <w:rPr>
          <w:noProof/>
        </w:rPr>
      </w:pPr>
      <w:r>
        <w:t>(7)</w:t>
      </w:r>
      <w:r>
        <w:tab/>
      </w:r>
      <w:r>
        <w:rPr>
          <w:noProof/>
        </w:rPr>
        <w:t>Prema informacijama koje je dostavila Malta povećani će prag imati zanemariv učinak na ukupni prikupljeni prihod od poreza u fazi konačne potrošnje.</w:t>
      </w:r>
    </w:p>
    <w:p>
      <w:pPr>
        <w:pStyle w:val="ManualConsidrant"/>
        <w:rPr>
          <w:noProof/>
        </w:rPr>
      </w:pPr>
      <w:r>
        <w:t>(8)</w:t>
      </w:r>
      <w:r>
        <w:tab/>
      </w:r>
      <w:r>
        <w:rPr>
          <w:noProof/>
        </w:rPr>
        <w:t>Odstupanje ne utječe na vlastita sredstva Unije koja proizlaze iz poreza na dodanu vrijednost jer će Malta izvršiti izračun naknade u skladu s člankom 6. Uredbe Vijeća (EEZ, EURATOM) br. 1553/89</w:t>
      </w:r>
      <w:r>
        <w:rPr>
          <w:rStyle w:val="FootnoteReference0"/>
          <w:noProof/>
        </w:rPr>
        <w:footnoteReference w:id="18"/>
      </w:r>
      <w:r>
        <w:rPr>
          <w:noProof/>
        </w:rPr>
        <w:t>,</w:t>
      </w:r>
    </w:p>
    <w:p>
      <w:pPr>
        <w:pStyle w:val="Formuledadoption"/>
        <w:rPr>
          <w:noProof/>
        </w:rPr>
      </w:pPr>
      <w:r>
        <w:rPr>
          <w:noProof/>
        </w:rPr>
        <w:t xml:space="preserve">DONIJELO JE OVU ODLUKU: </w:t>
      </w:r>
    </w:p>
    <w:p>
      <w:pPr>
        <w:pStyle w:val="Titrearticle"/>
        <w:rPr>
          <w:noProof/>
        </w:rPr>
      </w:pPr>
      <w:r>
        <w:rPr>
          <w:noProof/>
        </w:rPr>
        <w:t>Članak 1.</w:t>
      </w:r>
    </w:p>
    <w:p>
      <w:pPr>
        <w:keepLines/>
        <w:rPr>
          <w:noProof/>
        </w:rPr>
      </w:pPr>
      <w:r>
        <w:rPr>
          <w:noProof/>
        </w:rPr>
        <w:t xml:space="preserve">Odstupajući od članka 287. točke 13. Direktive 2006/112/EZ, Republici Malti odobrava se primjena izuzeća od plaćanja PDV-a za porezne obveznike čija se gospodarska djelatnost uglavnom sastoji od pružanja usluga s velikom dodanom vrijednošću (mali </w:t>
      </w:r>
      <w:r>
        <w:rPr>
          <w:i/>
          <w:noProof/>
        </w:rPr>
        <w:t>input</w:t>
      </w:r>
      <w:r>
        <w:rPr>
          <w:noProof/>
        </w:rPr>
        <w:t>) i čiji godišnji promet nije veći od 20 000 EUR.</w:t>
      </w:r>
    </w:p>
    <w:p>
      <w:pPr>
        <w:pStyle w:val="Titrearticle"/>
        <w:keepNext w:val="0"/>
        <w:rPr>
          <w:noProof/>
        </w:rPr>
      </w:pPr>
      <w:r>
        <w:rPr>
          <w:noProof/>
        </w:rPr>
        <w:t>Članak 2.</w:t>
      </w:r>
    </w:p>
    <w:p>
      <w:pPr>
        <w:rPr>
          <w:noProof/>
        </w:rPr>
      </w:pPr>
      <w:r>
        <w:rPr>
          <w:noProof/>
        </w:rPr>
        <w:t>Ova se Odluka primjenjuje od 1. siječnja 2018. do 31. prosinca 2020. ili do stupanja na snagu direktive o izmjeni članaka od 281. do 294. Direktive 2006/112/EZ kojima se uređuje posebna odredba za mala poduzeća, ovisno o tome koji datum nastupi prije.</w:t>
      </w:r>
    </w:p>
    <w:p>
      <w:pPr>
        <w:pStyle w:val="Titrearticle"/>
        <w:rPr>
          <w:noProof/>
        </w:rPr>
      </w:pPr>
      <w:r>
        <w:rPr>
          <w:noProof/>
        </w:rPr>
        <w:t>Članak 3.</w:t>
      </w:r>
    </w:p>
    <w:p>
      <w:pPr>
        <w:keepNext/>
        <w:keepLines/>
        <w:rPr>
          <w:noProof/>
        </w:rPr>
      </w:pPr>
      <w:r>
        <w:rPr>
          <w:noProof/>
          <w:color w:val="000000"/>
        </w:rPr>
        <w:t>Ova je Odluka upućena Republici</w:t>
      </w:r>
      <w:r>
        <w:rPr>
          <w:noProof/>
        </w:rPr>
        <w:t xml:space="preserve"> Malti.</w:t>
      </w:r>
    </w:p>
    <w:p>
      <w:pPr>
        <w:pStyle w:val="Fait"/>
        <w:rPr>
          <w:noProof/>
        </w:rPr>
      </w:pPr>
      <w:r>
        <w:t>Sastavljeno u Bruxellesu</w:t>
      </w:r>
    </w:p>
    <w:p>
      <w:pPr>
        <w:pStyle w:val="Institutionquisigne"/>
        <w:rPr>
          <w:noProof/>
        </w:rPr>
      </w:pPr>
      <w:r>
        <w:rPr>
          <w:noProof/>
        </w:rPr>
        <w:tab/>
        <w:t>Za Vijeće</w:t>
      </w:r>
    </w:p>
    <w:p>
      <w:pPr>
        <w:pStyle w:val="Personnequisigne"/>
        <w:rPr>
          <w:noProof/>
        </w:rPr>
      </w:pPr>
      <w:r>
        <w:rPr>
          <w:noProof/>
        </w:rPr>
        <w:tab/>
        <w:t>Predsjednik</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HR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0"/>
        </w:rPr>
        <w:footnoteRef/>
      </w:r>
      <w:r>
        <w:tab/>
        <w:t>SL L 347, 11.12.2006., str. 1.</w:t>
      </w:r>
    </w:p>
  </w:footnote>
  <w:footnote w:id="2">
    <w:p>
      <w:pPr>
        <w:pStyle w:val="FootnoteText"/>
      </w:pPr>
      <w:r>
        <w:rPr>
          <w:rStyle w:val="FootnoteReference0"/>
        </w:rPr>
        <w:footnoteRef/>
      </w:r>
      <w:r>
        <w:tab/>
        <w:t xml:space="preserve">Komunikacija Komisije Vijeću, Europskom parlamentu, Europskom gospodarskom i socijalnom odboru i Europskom odboru regija „Počnimo od malih” – „Akt o malom poduzetništvu za Europu”, Bruxelles, 25. lipnja 2008., </w:t>
      </w:r>
      <w:r>
        <w:rPr>
          <w:color w:val="000000"/>
        </w:rPr>
        <w:t>COM(2008) 394 final.</w:t>
      </w:r>
    </w:p>
  </w:footnote>
  <w:footnote w:id="3">
    <w:p>
      <w:pPr>
        <w:pStyle w:val="FootnoteText"/>
      </w:pPr>
      <w:r>
        <w:rPr>
          <w:rStyle w:val="FootnoteReference0"/>
        </w:rPr>
        <w:footnoteRef/>
      </w:r>
      <w:r>
        <w:tab/>
        <w:t>Provedbena odluka Vijeća 2015/2348/EU od 10. prosinca 2015. o izmjeni Provedbene odluke 2013/53/EU kojom se Kraljevini Belgiji odobrava primjena posebne mjere kojom se odstupa od članka 285. Direktive 2006/112/EZ o zajedničkom sustavu poreza na dodanu vrijednost (SL L 330, 16.12.2015., str. 51.).</w:t>
      </w:r>
    </w:p>
  </w:footnote>
  <w:footnote w:id="4">
    <w:p>
      <w:pPr>
        <w:pStyle w:val="FootnoteText"/>
      </w:pPr>
      <w:r>
        <w:rPr>
          <w:rStyle w:val="FootnoteReference0"/>
        </w:rPr>
        <w:footnoteRef/>
      </w:r>
      <w:r>
        <w:tab/>
        <w:t xml:space="preserve">Provedbena odluka Vijeća (EU) 2017/319 od 21. veljače 2017. o izmjeni Provedbene odluke 2013/677/EU kojom se Velikom Vojvodstvu Luksemburgu odobrava uvođenje posebne mjere odstupanja od članka 285. Direktive 2006/112/EZ o zajedničkom sustavu poreza na dodanu vrijednost (SL L 47, 24.2.2017., str. 7.). </w:t>
      </w:r>
    </w:p>
  </w:footnote>
  <w:footnote w:id="5">
    <w:p>
      <w:pPr>
        <w:pStyle w:val="FootnoteText"/>
      </w:pPr>
      <w:r>
        <w:rPr>
          <w:rStyle w:val="FootnoteReference0"/>
        </w:rPr>
        <w:footnoteRef/>
      </w:r>
      <w:r>
        <w:tab/>
        <w:t>Provedbena odluka Vijeća (EU) 2016/2090 od 21. studenoga 2016. o izmjeni Odluke 2009/790/EZ kojom se Republici Poljskoj odobrava primjena mjere kojom se odstupa od članka 287. Direktive 2006/112/EZ o zajedničkom sustavu poreza na dodanu vrijednost (SL L 324, 30.11.2016., str. 7.).</w:t>
      </w:r>
    </w:p>
  </w:footnote>
  <w:footnote w:id="6">
    <w:p>
      <w:pPr>
        <w:pStyle w:val="FootnoteText"/>
      </w:pPr>
      <w:r>
        <w:rPr>
          <w:rStyle w:val="FootnoteReference0"/>
        </w:rPr>
        <w:footnoteRef/>
      </w:r>
      <w:r>
        <w:tab/>
        <w:t>Provedbena odluka Vijeća (EU) 2017/563 od 21. ožujka 2017. kojom se Republici Estoniji odobrava primjena posebne mjere odstupanja od članka 287. Direktive 2006/112/EZ o zajedničkom sustavu poreza na dodanu vrijednost (SL L 80, 25.3.2017., str. 33.).</w:t>
      </w:r>
    </w:p>
  </w:footnote>
  <w:footnote w:id="7">
    <w:p>
      <w:pPr>
        <w:pStyle w:val="FootnoteText"/>
      </w:pPr>
      <w:r>
        <w:rPr>
          <w:rStyle w:val="FootnoteReference0"/>
        </w:rPr>
        <w:footnoteRef/>
      </w:r>
      <w:r>
        <w:tab/>
      </w:r>
      <w:r>
        <w:rPr>
          <w:color w:val="000000"/>
        </w:rPr>
        <w:t>Provedbena odluka Vijeća (EU) 2017/1853 od 10. listopada 2017. o izmjeni Provedbene odluke 2011/335/EU kojom se Republici Litvi odobrava primjena mjere odstupanja od članka 287. Direktive 2006/112/EZ o zajedničkom sustavu poreza na dodanu vrijednost (SL L 265, 14.10.2017., str. 15.).</w:t>
      </w:r>
    </w:p>
  </w:footnote>
  <w:footnote w:id="8">
    <w:p>
      <w:pPr>
        <w:pStyle w:val="FootnoteText"/>
      </w:pPr>
      <w:r>
        <w:rPr>
          <w:rStyle w:val="FootnoteReference0"/>
        </w:rPr>
        <w:footnoteRef/>
      </w:r>
      <w:r>
        <w:tab/>
        <w:t>Provedbena Odluka Vijeća 2014/796/EU od 7. studenoga 2014. kojom se Republici Latviji odobrava primjena mjere kojom se odstupa od članka 287. Direktive 2006/112/EZ o zajedničkom sustavu poreza na dodanu vrijednost (SL L 330, 15.11.2014., str. 46.).</w:t>
      </w:r>
    </w:p>
  </w:footnote>
  <w:footnote w:id="9">
    <w:p>
      <w:pPr>
        <w:pStyle w:val="FootnoteText"/>
      </w:pPr>
      <w:r>
        <w:rPr>
          <w:rStyle w:val="FootnoteReference0"/>
        </w:rPr>
        <w:footnoteRef/>
      </w:r>
      <w:r>
        <w:tab/>
      </w:r>
      <w:r>
        <w:rPr>
          <w:color w:val="000000"/>
        </w:rPr>
        <w:t>Provedbena odluka Vijeća (EU) 2015/2089 od 10. studenoga 2015. o izmjeni Provedbene odluke 2013/54/EU kojom se Republici Sloveniji odobrava uvođenje posebne mjere kojom se odstupa od članka 287. Direktive 2006/112/EZ o zajedničkom sustavu poreza na dodanu vrijednost (SL L 302, 19.11.2015., str. 107.).</w:t>
      </w:r>
    </w:p>
  </w:footnote>
  <w:footnote w:id="10">
    <w:p>
      <w:pPr>
        <w:pStyle w:val="FootnoteText"/>
      </w:pPr>
      <w:r>
        <w:rPr>
          <w:rStyle w:val="FootnoteReference0"/>
        </w:rPr>
        <w:footnoteRef/>
      </w:r>
      <w:r>
        <w:tab/>
        <w:t>Provedbena odluka Vijeća (EU) 2016/1988 od 8. studenoga 2016. o izmjeni Provedbene odluke 2013/678/EU kojom se Talijanskoj Republici odobrava nastavak primjene posebne mjere odstupanja od članka 285. Direktive 2006/112/EZ o zajedničkom sustavu poreza na dodanu vrijednost (SL L 306, 15.11.2016., str. 11.).</w:t>
      </w:r>
    </w:p>
  </w:footnote>
  <w:footnote w:id="11">
    <w:p>
      <w:pPr>
        <w:pStyle w:val="FootnoteText"/>
      </w:pPr>
      <w:r>
        <w:rPr>
          <w:rStyle w:val="FootnoteReference0"/>
        </w:rPr>
        <w:footnoteRef/>
      </w:r>
      <w:r>
        <w:tab/>
        <w:t>Provedbena odluka Vijeća (EU) 2017/1855 od 10. listopada 2017. kojom se Rumunjskoj odobrava primjena posebne mjere odstupanja od članka 287. Direktive 2006/112/EZ o zajedničkom sustavu poreza na dodanu vrijednost (SL L 265, 14.10.2017., str. 19.).</w:t>
      </w:r>
    </w:p>
  </w:footnote>
  <w:footnote w:id="12">
    <w:p>
      <w:pPr>
        <w:pStyle w:val="FootnoteText"/>
      </w:pPr>
      <w:r>
        <w:rPr>
          <w:rStyle w:val="FootnoteReference0"/>
        </w:rPr>
        <w:footnoteRef/>
      </w:r>
      <w:r>
        <w:tab/>
        <w:t>Komunikacija Komisije Europskom parlamentu, Vijeću i Europskom gospodarskom i socijalnom odboru o akcijskom planu o PDV-u, Put k jedinstvenom europskom području PDV-a – vrijeme je za donošenje odluka, Bruxelles, 7. travnja 2016., COM(2016) 148 final.</w:t>
      </w:r>
    </w:p>
  </w:footnote>
  <w:footnote w:id="13">
    <w:p>
      <w:pPr>
        <w:pStyle w:val="FootnoteText"/>
      </w:pPr>
      <w:r>
        <w:rPr>
          <w:rStyle w:val="FootnoteReference0"/>
        </w:rPr>
        <w:footnoteRef/>
      </w:r>
      <w:r>
        <w:tab/>
        <w:t>Program rada Komisije za 2017. – Izgradnja Europe koja štiti, osnažuje i brani, Strasbourg, 25.10.2016., COM(2016) 710 final.</w:t>
      </w:r>
    </w:p>
  </w:footnote>
  <w:footnote w:id="14">
    <w:p>
      <w:pPr>
        <w:pStyle w:val="FootnoteText"/>
      </w:pPr>
      <w:r>
        <w:rPr>
          <w:rStyle w:val="FootnoteReference0"/>
        </w:rPr>
        <w:footnoteRef/>
      </w:r>
      <w:r>
        <w:tab/>
        <w:t xml:space="preserve">Komunikacija Komisije Vijeću, Europskom parlamentu, Europskom gospodarskom i socijalnom odboru i Europskom odboru regija „Počnimo od malih” – „Akt o malom poduzetništvu za Europu”, Bruxelles, 25. lipnja 2008., </w:t>
      </w:r>
      <w:r>
        <w:rPr>
          <w:color w:val="000000"/>
        </w:rPr>
        <w:t>COM(2008) 394 final.</w:t>
      </w:r>
    </w:p>
  </w:footnote>
  <w:footnote w:id="15">
    <w:p>
      <w:pPr>
        <w:pStyle w:val="FootnoteText"/>
      </w:pPr>
      <w:r>
        <w:rPr>
          <w:rStyle w:val="FootnoteReference0"/>
        </w:rPr>
        <w:footnoteRef/>
      </w:r>
      <w:r>
        <w:tab/>
        <w:t>SL L 155, 7.6.1989., str. 9. – 13.</w:t>
      </w:r>
    </w:p>
  </w:footnote>
  <w:footnote w:id="16">
    <w:p>
      <w:pPr>
        <w:pStyle w:val="FootnoteText"/>
      </w:pPr>
      <w:r>
        <w:rPr>
          <w:rStyle w:val="FootnoteReference0"/>
        </w:rPr>
        <w:footnoteRef/>
      </w:r>
      <w:r>
        <w:tab/>
        <w:t>SL L 347, 11.12.2006., str. 1.</w:t>
      </w:r>
    </w:p>
  </w:footnote>
  <w:footnote w:id="17">
    <w:p>
      <w:pPr>
        <w:pStyle w:val="FootnoteText"/>
      </w:pPr>
      <w:r>
        <w:rPr>
          <w:rStyle w:val="FootnoteReference0"/>
        </w:rPr>
        <w:footnoteRef/>
      </w:r>
      <w:r>
        <w:tab/>
        <w:t>Komunikacija Komisije Vijeću, Europskom parlamentu, Europskom gospodarskom i socijalnom odboru i Europskom odboru regija „Počnimo od malih” – „Akt o malom poduzetništvu za Europu”, Bruxelles, 25. lipnja 2008., COM(2008) 394 final.</w:t>
      </w:r>
      <w:r>
        <w:rPr>
          <w:rStyle w:val="Strong"/>
          <w:rFonts w:ascii="Lucida Sans Unicode" w:hAnsi="Lucida Sans Unicode"/>
          <w:color w:val="444444"/>
          <w:sz w:val="19"/>
        </w:rPr>
        <w:t xml:space="preserve"> </w:t>
      </w:r>
    </w:p>
  </w:footnote>
  <w:footnote w:id="18">
    <w:p>
      <w:pPr>
        <w:pStyle w:val="FootnoteText"/>
      </w:pPr>
      <w:r>
        <w:rPr>
          <w:rStyle w:val="FootnoteReference0"/>
        </w:rPr>
        <w:footnoteRef/>
      </w:r>
      <w:r>
        <w:tab/>
        <w:t>Uredba Vijeća (EEZ, Euratom) br. 1553/89 od 29. svibnja 1989. o konačnom jedinstvenom režimu ubiranja vlastitih sredstava koja proizlaze iz poreza na dodanu vrijednost (SL L 155, 7.6.1989., str.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604C01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1B8C196"/>
    <w:lvl w:ilvl="0">
      <w:start w:val="1"/>
      <w:numFmt w:val="decimal"/>
      <w:pStyle w:val="ListNumber3"/>
      <w:lvlText w:val="%1."/>
      <w:lvlJc w:val="left"/>
      <w:pPr>
        <w:tabs>
          <w:tab w:val="num" w:pos="926"/>
        </w:tabs>
        <w:ind w:left="926" w:hanging="360"/>
      </w:pPr>
    </w:lvl>
  </w:abstractNum>
  <w:abstractNum w:abstractNumId="2">
    <w:nsid w:val="FFFFFF7F"/>
    <w:multiLevelType w:val="singleLevel"/>
    <w:tmpl w:val="6C1AC170"/>
    <w:lvl w:ilvl="0">
      <w:start w:val="1"/>
      <w:numFmt w:val="decimal"/>
      <w:pStyle w:val="ListNumber2"/>
      <w:lvlText w:val="%1."/>
      <w:lvlJc w:val="left"/>
      <w:pPr>
        <w:tabs>
          <w:tab w:val="num" w:pos="643"/>
        </w:tabs>
        <w:ind w:left="643" w:hanging="360"/>
      </w:pPr>
    </w:lvl>
  </w:abstractNum>
  <w:abstractNum w:abstractNumId="3">
    <w:nsid w:val="FFFFFF81"/>
    <w:multiLevelType w:val="singleLevel"/>
    <w:tmpl w:val="635C1A3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9C6B96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7DAA80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86A1590"/>
    <w:lvl w:ilvl="0">
      <w:start w:val="1"/>
      <w:numFmt w:val="decimal"/>
      <w:pStyle w:val="ListNumber"/>
      <w:lvlText w:val="%1."/>
      <w:lvlJc w:val="left"/>
      <w:pPr>
        <w:tabs>
          <w:tab w:val="num" w:pos="360"/>
        </w:tabs>
        <w:ind w:left="360" w:hanging="360"/>
      </w:pPr>
    </w:lvl>
  </w:abstractNum>
  <w:abstractNum w:abstractNumId="7">
    <w:nsid w:val="FFFFFF89"/>
    <w:multiLevelType w:val="singleLevel"/>
    <w:tmpl w:val="933CFF6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1-04 14:19:4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B7BD9A4-EE1F-46A1-A254-A55C204499C6"/>
    <w:docVar w:name="LW_COVERPAGE_TYPE" w:val="1"/>
    <w:docVar w:name="LW_CROSSREFERENCE" w:val="&lt;UNUSED&gt;"/>
    <w:docVar w:name="LW_DocType" w:val="COM"/>
    <w:docVar w:name="LW_EMISSION" w:val="10.1.2018."/>
    <w:docVar w:name="LW_EMISSION_ISODATE" w:val="2018-01-10"/>
    <w:docVar w:name="LW_EMISSION_LOCATION" w:val="BRX"/>
    <w:docVar w:name="LW_EMISSION_PREFIX" w:val="Bruxelles, "/>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NLE"/>
    <w:docVar w:name="LW_REF.II.NEW.CP_NUMBER" w:val="0361"/>
    <w:docVar w:name="LW_REF.II.NEW.CP_YEAR" w:val="2017"/>
    <w:docVar w:name="LW_REF.INST.NEW" w:val="COM"/>
    <w:docVar w:name="LW_REF.INST.NEW_ADOPTED" w:val="final"/>
    <w:docVar w:name="LW_REF.INST.NEW_TEXT" w:val="(2018) 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ijedlog"/>
    <w:docVar w:name="LW_SUPERTITRE" w:val="&lt;UNUSED&gt;"/>
    <w:docVar w:name="LW_TITRE.OBJ.CP" w:val="kojom se Republici Malti odobrava primjena posebne mjere odstupanja od \u269?lanka 287. Direktive 2006/112/EZ o zajedni\u269?kom sustavu poreza na dodanu vrijednost"/>
    <w:docVar w:name="LW_TYPE.DOC.CP" w:val="PROVEDBENE ODLUKE VIJE\u262?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character" w:customStyle="1" w:styleId="footnotereference">
    <w:name w:val="footnotereference"/>
    <w:basedOn w:val="DefaultParagraphFont"/>
  </w:style>
  <w:style w:type="character" w:styleId="Strong">
    <w:name w:val="Strong"/>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hr-HR"/>
    </w:rPr>
  </w:style>
  <w:style w:type="character" w:styleId="EndnoteReference">
    <w:name w:val="endnote reference"/>
    <w:basedOn w:val="DefaultParagraphFont"/>
    <w:uiPriority w:val="99"/>
    <w:semiHidden/>
    <w:unhideWhenUsed/>
    <w:rPr>
      <w:vertAlign w:val="superscript"/>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character" w:customStyle="1" w:styleId="footnotereference">
    <w:name w:val="footnotereference"/>
    <w:basedOn w:val="DefaultParagraphFont"/>
  </w:style>
  <w:style w:type="character" w:styleId="Strong">
    <w:name w:val="Strong"/>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hr-HR"/>
    </w:rPr>
  </w:style>
  <w:style w:type="character" w:styleId="EndnoteReference">
    <w:name w:val="endnote reference"/>
    <w:basedOn w:val="DefaultParagraphFont"/>
    <w:uiPriority w:val="99"/>
    <w:semiHidden/>
    <w:unhideWhenUsed/>
    <w:rPr>
      <w:vertAlign w:val="superscript"/>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5185">
      <w:bodyDiv w:val="1"/>
      <w:marLeft w:val="0"/>
      <w:marRight w:val="0"/>
      <w:marTop w:val="0"/>
      <w:marBottom w:val="0"/>
      <w:divBdr>
        <w:top w:val="none" w:sz="0" w:space="0" w:color="auto"/>
        <w:left w:val="none" w:sz="0" w:space="0" w:color="auto"/>
        <w:bottom w:val="none" w:sz="0" w:space="0" w:color="auto"/>
        <w:right w:val="none" w:sz="0" w:space="0" w:color="auto"/>
      </w:divBdr>
    </w:div>
    <w:div w:id="205739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5518A-A46B-4A41-B960-271BF730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1723</Words>
  <Characters>9619</Characters>
  <Application>Microsoft Office Word</Application>
  <DocSecurity>0</DocSecurity>
  <Lines>178</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18</cp:revision>
  <cp:lastPrinted>2017-01-09T13:12:00Z</cp:lastPrinted>
  <dcterms:created xsi:type="dcterms:W3CDTF">2017-12-20T10:43:00Z</dcterms:created>
  <dcterms:modified xsi:type="dcterms:W3CDTF">2018-01-04T13:19:00Z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SJ-020</vt:lpwstr>
  </property>
  <property fmtid="{D5CDD505-2E9C-101B-9397-08002B2CF9AE}" pid="9" name="Level of sensitivity">
    <vt:lpwstr>Standard treatment</vt:lpwstr>
  </property>
  <property fmtid="{D5CDD505-2E9C-101B-9397-08002B2CF9AE}" pid="10" name="DQCStatus">
    <vt:lpwstr>Green (DQC version 03)</vt:lpwstr>
  </property>
  <property name="OP_sanitized" fmtid="{D5CDD505-2E9C-101B-9397-08002B2CF9AE}" pid="11">
    <vt:lpwstr>True</vt:lpwstr>
  </property>
</Properties>
</file>