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9FEAC6A0-4D7A-4733-85E1-CD9F9FDEEDBF" style="width:450.35pt;height:320.6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spacing w:before="360" w:after="0" w:line="240" w:lineRule="auto"/>
        <w:jc w:val="center"/>
        <w:rPr>
          <w:rFonts w:ascii="Times New Roman" w:eastAsia="Calibri" w:hAnsi="Times New Roman" w:cs="Times New Roman"/>
          <w:b/>
          <w:noProof/>
          <w:sz w:val="24"/>
          <w:szCs w:val="20"/>
        </w:rPr>
      </w:pPr>
      <w:bookmarkStart w:id="1" w:name="_GoBack"/>
      <w:bookmarkEnd w:id="1"/>
      <w:r>
        <w:rPr>
          <w:rFonts w:ascii="Times New Roman" w:hAnsi="Times New Roman"/>
          <w:b/>
          <w:noProof/>
          <w:sz w:val="24"/>
          <w:szCs w:val="20"/>
        </w:rPr>
        <w:lastRenderedPageBreak/>
        <w:t>IZVJEŠĆE KOMISIJE VIJEĆU I EUROPSKOM PARLAMENTU</w:t>
      </w:r>
    </w:p>
    <w:p>
      <w:pPr>
        <w:keepNext/>
        <w:spacing w:before="360" w:after="360" w:line="240" w:lineRule="auto"/>
        <w:jc w:val="center"/>
        <w:rPr>
          <w:rFonts w:ascii="Times New Roman" w:eastAsia="Calibri" w:hAnsi="Times New Roman" w:cs="Times New Roman"/>
          <w:b/>
          <w:noProof/>
          <w:sz w:val="24"/>
          <w:szCs w:val="20"/>
        </w:rPr>
      </w:pPr>
      <w:r>
        <w:rPr>
          <w:rFonts w:ascii="Times New Roman" w:hAnsi="Times New Roman"/>
          <w:b/>
          <w:noProof/>
          <w:sz w:val="24"/>
          <w:szCs w:val="20"/>
        </w:rPr>
        <w:t>Dvanaesto godišnje izvješće za 2017. o provedbi pomoći Zajednice na temelju Uredbe Vijeća (EZ) br. 389/2006 od 27. veljače 2006. o uspostavljanju instrumenta financijske potpore za poticanje gospodarskog razvoja turske zajednice na Cipru</w:t>
      </w:r>
    </w:p>
    <w:p>
      <w:pPr>
        <w:keepNext/>
        <w:numPr>
          <w:ilvl w:val="0"/>
          <w:numId w:val="1"/>
        </w:numPr>
        <w:spacing w:after="120" w:line="240" w:lineRule="auto"/>
        <w:jc w:val="both"/>
        <w:outlineLvl w:val="0"/>
        <w:rPr>
          <w:rFonts w:ascii="Times New Roman" w:eastAsia="Times New Roman" w:hAnsi="Times New Roman" w:cs="Times New Roman"/>
          <w:b/>
          <w:bCs/>
          <w:smallCaps/>
          <w:noProof/>
          <w:sz w:val="24"/>
          <w:szCs w:val="28"/>
        </w:rPr>
      </w:pPr>
      <w:r>
        <w:rPr>
          <w:rFonts w:ascii="Times New Roman" w:hAnsi="Times New Roman"/>
          <w:b/>
          <w:bCs/>
          <w:smallCaps/>
          <w:noProof/>
          <w:sz w:val="24"/>
          <w:szCs w:val="28"/>
        </w:rPr>
        <w:t>Uvod</w:t>
      </w:r>
    </w:p>
    <w:p>
      <w:pPr>
        <w:keepNext/>
        <w:spacing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Uredba Vijeća (EZ) br. 389/2006</w:t>
      </w:r>
      <w:r>
        <w:rPr>
          <w:rFonts w:ascii="Times New Roman" w:eastAsia="Calibri" w:hAnsi="Times New Roman" w:cs="Times New Roman"/>
          <w:noProof/>
          <w:sz w:val="24"/>
          <w:szCs w:val="20"/>
          <w:vertAlign w:val="superscript"/>
          <w:lang w:eastAsia="en-GB"/>
        </w:rPr>
        <w:footnoteReference w:id="1"/>
      </w:r>
      <w:r>
        <w:rPr>
          <w:rFonts w:ascii="Times New Roman" w:hAnsi="Times New Roman"/>
          <w:noProof/>
          <w:sz w:val="24"/>
          <w:szCs w:val="20"/>
        </w:rPr>
        <w:t xml:space="preserve"> („Uredba o pomoći”) temelj je za pružanje pomoći turskoj zajednici na Cipru (TZC) te se njome zahtijeva podnošenje godišnjeg izvješća Vijeću i Europskom parlamentu. Ovim se izvješćem obuhvaća 2017. godina.</w:t>
      </w:r>
    </w:p>
    <w:p>
      <w:pPr>
        <w:keepNext/>
        <w:numPr>
          <w:ilvl w:val="0"/>
          <w:numId w:val="2"/>
        </w:numPr>
        <w:spacing w:after="120" w:line="240" w:lineRule="auto"/>
        <w:ind w:left="851" w:hanging="851"/>
        <w:jc w:val="both"/>
        <w:outlineLvl w:val="0"/>
        <w:rPr>
          <w:rFonts w:ascii="Times New Roman" w:eastAsia="Times New Roman" w:hAnsi="Times New Roman" w:cs="Times New Roman"/>
          <w:b/>
          <w:bCs/>
          <w:smallCaps/>
          <w:noProof/>
          <w:sz w:val="24"/>
          <w:szCs w:val="28"/>
        </w:rPr>
      </w:pPr>
      <w:r>
        <w:rPr>
          <w:rFonts w:ascii="Times New Roman" w:hAnsi="Times New Roman"/>
          <w:b/>
          <w:bCs/>
          <w:smallCaps/>
          <w:noProof/>
          <w:sz w:val="24"/>
          <w:szCs w:val="28"/>
        </w:rPr>
        <w:t>Programiranje pomoći</w:t>
      </w:r>
    </w:p>
    <w:p>
      <w:pPr>
        <w:keepNext/>
        <w:spacing w:after="120" w:line="240" w:lineRule="auto"/>
        <w:ind w:left="850"/>
        <w:jc w:val="both"/>
        <w:rPr>
          <w:rFonts w:ascii="Times New Roman" w:eastAsia="Calibri" w:hAnsi="Times New Roman" w:cs="Times New Roman"/>
          <w:noProof/>
          <w:sz w:val="24"/>
          <w:szCs w:val="20"/>
        </w:rPr>
      </w:pPr>
      <w:r>
        <w:rPr>
          <w:rFonts w:ascii="Times New Roman" w:hAnsi="Times New Roman"/>
          <w:noProof/>
          <w:sz w:val="24"/>
          <w:szCs w:val="20"/>
        </w:rPr>
        <w:t>Od 2006. do kraja 2017. za aktivnosti u okviru Uredbe o pomoći namijenjeno je 485 milijuna EUR. U prosincu 2017. za godišnji program za 2017. odobren je iznos od 34 836 240 EUR</w:t>
      </w:r>
      <w:r>
        <w:rPr>
          <w:rFonts w:ascii="Times New Roman" w:eastAsia="Calibri" w:hAnsi="Times New Roman" w:cs="Times New Roman"/>
          <w:noProof/>
          <w:sz w:val="24"/>
          <w:szCs w:val="20"/>
          <w:vertAlign w:val="superscript"/>
          <w:lang w:eastAsia="en-GB"/>
        </w:rPr>
        <w:footnoteReference w:id="2"/>
      </w:r>
      <w:r>
        <w:rPr>
          <w:rFonts w:ascii="Times New Roman" w:hAnsi="Times New Roman"/>
          <w:noProof/>
          <w:sz w:val="24"/>
          <w:szCs w:val="20"/>
        </w:rPr>
        <w:t>. Višegodišnji financijski okvir (VFO) za razdoblje 2014.–2020. programu omogućuje višegodišnju perspektivu zahvaljujući stabilnom godišnjem financiranju. Program pomoći je, međutim, privremene prirode i cilj mu je olakšati ponovno ujedinjenje Cipra, a Uredbom o pomoći i Uredbom Vijeća br. 1311/2013</w:t>
      </w:r>
      <w:r>
        <w:rPr>
          <w:rFonts w:ascii="Times New Roman" w:eastAsia="Calibri" w:hAnsi="Times New Roman" w:cs="Times New Roman"/>
          <w:noProof/>
          <w:sz w:val="24"/>
          <w:szCs w:val="20"/>
          <w:vertAlign w:val="superscript"/>
          <w:lang w:eastAsia="en-GB"/>
        </w:rPr>
        <w:footnoteReference w:id="3"/>
      </w:r>
      <w:r>
        <w:rPr>
          <w:rFonts w:ascii="Times New Roman" w:hAnsi="Times New Roman"/>
          <w:noProof/>
          <w:sz w:val="24"/>
          <w:szCs w:val="20"/>
        </w:rPr>
        <w:t xml:space="preserve"> kojom se uspostavlja VFO, omogućuje se revizija u slučaju ponovnog ujedinjenja. </w:t>
      </w:r>
    </w:p>
    <w:p>
      <w:pPr>
        <w:keepNext/>
        <w:numPr>
          <w:ilvl w:val="0"/>
          <w:numId w:val="2"/>
        </w:numPr>
        <w:spacing w:after="120" w:line="240" w:lineRule="auto"/>
        <w:ind w:left="851" w:hanging="851"/>
        <w:jc w:val="both"/>
        <w:outlineLvl w:val="0"/>
        <w:rPr>
          <w:rFonts w:ascii="Times New Roman" w:eastAsia="Times New Roman" w:hAnsi="Times New Roman" w:cs="Times New Roman"/>
          <w:b/>
          <w:bCs/>
          <w:smallCaps/>
          <w:noProof/>
          <w:sz w:val="24"/>
          <w:szCs w:val="28"/>
        </w:rPr>
      </w:pPr>
      <w:r>
        <w:rPr>
          <w:rFonts w:ascii="Times New Roman" w:hAnsi="Times New Roman"/>
          <w:b/>
          <w:bCs/>
          <w:smallCaps/>
          <w:noProof/>
          <w:sz w:val="24"/>
          <w:szCs w:val="28"/>
        </w:rPr>
        <w:t xml:space="preserve">Mehanizmi provedbe </w:t>
      </w:r>
    </w:p>
    <w:p>
      <w:pPr>
        <w:keepNext/>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Program se provodi na područjima Republike Cipra u kojima vlada Republike Cipra nema stvarnu kontrolu i u kojima je primjena pravne stečevine privremeno obustavljena na temelju Protokola br. 10 Ugovora o pristupanju. Pomoć se provodi prvenstveno izravnim upravljanjem Europske komisije, no nekim se projektima neizravno upravlja u okviru Programa Ujedinjenih naroda za razvoj (UNDP) te aktivnosti Europske banke za obnovu i razvoj (EBRD) i British Councila. </w:t>
      </w:r>
    </w:p>
    <w:p>
      <w:pPr>
        <w:keepNext/>
        <w:spacing w:before="120" w:after="120" w:line="240" w:lineRule="auto"/>
        <w:ind w:left="850"/>
        <w:jc w:val="both"/>
        <w:rPr>
          <w:rFonts w:ascii="Times New Roman" w:eastAsia="Calibri" w:hAnsi="Times New Roman" w:cs="Times New Roman"/>
          <w:bCs/>
          <w:noProof/>
          <w:sz w:val="24"/>
          <w:szCs w:val="20"/>
        </w:rPr>
      </w:pPr>
      <w:r>
        <w:rPr>
          <w:rFonts w:ascii="Times New Roman" w:hAnsi="Times New Roman"/>
          <w:noProof/>
          <w:sz w:val="24"/>
          <w:szCs w:val="20"/>
        </w:rPr>
        <w:t xml:space="preserve">Komisija djeluje u jedinstvenom političkom, pravnom i diplomatskom kontekstu. Za provedbu programa potrebni su </w:t>
      </w:r>
      <w:r>
        <w:rPr>
          <w:rFonts w:ascii="Times New Roman" w:hAnsi="Times New Roman"/>
          <w:i/>
          <w:noProof/>
          <w:sz w:val="24"/>
          <w:szCs w:val="20"/>
        </w:rPr>
        <w:t>ad hoc</w:t>
      </w:r>
      <w:r>
        <w:rPr>
          <w:rFonts w:ascii="Times New Roman" w:hAnsi="Times New Roman"/>
          <w:noProof/>
          <w:sz w:val="24"/>
          <w:szCs w:val="20"/>
        </w:rPr>
        <w:t xml:space="preserve"> dogovori, uz istovremeno poštovanje načela dobrog financijskog upravljanja. Kod programa pomoći koje financira EU pravni okvir za razvojnu pomoć u uobičajenim se okolnostima uspostavlja sporazumima s vladom korisnicom. Takvi se sporazumi ne mogu sklopiti za pomoć TZC-u. </w:t>
      </w:r>
      <w:r>
        <w:rPr>
          <w:rFonts w:ascii="Times New Roman" w:hAnsi="Times New Roman"/>
          <w:noProof/>
          <w:sz w:val="24"/>
        </w:rPr>
        <w:t>Upravljanje potencijalnim rizikom i njegovo smanjenje dio su odgovornosti Komisije, a donesene mjere uključuju intenzivno praćenje ugovorâ i pružanje potpore korisnicima, revidirane uvjete plaćanja te oprezan pristup u pogledu uporabe bankovnih jamstava.</w:t>
      </w:r>
      <w:r>
        <w:rPr>
          <w:rFonts w:ascii="Times New Roman" w:hAnsi="Times New Roman"/>
          <w:bCs/>
          <w:noProof/>
          <w:sz w:val="24"/>
          <w:szCs w:val="20"/>
        </w:rPr>
        <w:t xml:space="preserve"> Pomoć uključuje znatan iznos bespovratnih sredstava, u pogledu kojih je potrebno intenzivno upravljanje resursima. </w:t>
      </w:r>
    </w:p>
    <w:p>
      <w:pPr>
        <w:keepNext/>
        <w:spacing w:before="120" w:after="120" w:line="240" w:lineRule="auto"/>
        <w:ind w:left="850"/>
        <w:jc w:val="both"/>
        <w:rPr>
          <w:rFonts w:ascii="Times New Roman" w:eastAsia="Calibri" w:hAnsi="Times New Roman" w:cs="Times New Roman"/>
          <w:noProof/>
          <w:sz w:val="24"/>
          <w:szCs w:val="20"/>
        </w:rPr>
      </w:pPr>
      <w:r>
        <w:rPr>
          <w:rFonts w:ascii="Times New Roman" w:hAnsi="Times New Roman"/>
          <w:noProof/>
          <w:sz w:val="24"/>
          <w:szCs w:val="20"/>
        </w:rPr>
        <w:t xml:space="preserve">Kako bi se u tom okruženju osigurala uspješna i održiva provedba, TZC se mora u potpunosti uključiti u postupak uvođenja pravne stečevine nakon postizanja rješenja. </w:t>
      </w:r>
    </w:p>
    <w:p>
      <w:pPr>
        <w:keepNext/>
        <w:spacing w:before="120" w:after="120" w:line="240" w:lineRule="auto"/>
        <w:ind w:left="850"/>
        <w:jc w:val="both"/>
        <w:rPr>
          <w:rFonts w:ascii="Times New Roman" w:eastAsia="Calibri" w:hAnsi="Times New Roman" w:cs="Times New Roman"/>
          <w:bCs/>
          <w:noProof/>
          <w:sz w:val="24"/>
          <w:szCs w:val="20"/>
        </w:rPr>
      </w:pPr>
      <w:r>
        <w:rPr>
          <w:rFonts w:ascii="Times New Roman" w:hAnsi="Times New Roman"/>
          <w:noProof/>
          <w:sz w:val="24"/>
          <w:szCs w:val="20"/>
        </w:rPr>
        <w:t xml:space="preserve">Skupina zadužena za program djeluje preko Ureda EU-a za podršku programu (EUPSO) u sjevernom dijelu Nikozije. </w:t>
      </w:r>
      <w:r>
        <w:rPr>
          <w:rFonts w:ascii="Times New Roman" w:hAnsi="Times New Roman"/>
          <w:noProof/>
          <w:sz w:val="24"/>
        </w:rPr>
        <w:t>Predstavništvo Komisije na Cipru ujedno na cijelom otoku otoka organizira sastanke, seminare i konferencije za novinare te komunicira s ciparskom javnošću, među ostalim i o programu pomoći.</w:t>
      </w:r>
      <w:r>
        <w:rPr>
          <w:rFonts w:ascii="Times New Roman" w:hAnsi="Times New Roman"/>
          <w:bCs/>
          <w:noProof/>
          <w:sz w:val="24"/>
          <w:szCs w:val="24"/>
        </w:rPr>
        <w:t xml:space="preserve"> </w:t>
      </w:r>
      <w:r>
        <w:rPr>
          <w:rFonts w:ascii="Times New Roman" w:hAnsi="Times New Roman"/>
          <w:noProof/>
          <w:sz w:val="24"/>
          <w:szCs w:val="24"/>
        </w:rPr>
        <w:t>Osim toga, informacijska točka EU-a, koja se financira u okviru programa pomoći, provodi niz komunikacijskih aktivnosti i aktivnosti za povećanje vidljivosti kojima pruža informacije o politikama EU-a, prioritetima i mjerama za potporu TZC-u te promiče europsku kulturu.</w:t>
      </w:r>
      <w:r>
        <w:rPr>
          <w:noProof/>
        </w:rPr>
        <w:t xml:space="preserve"> </w:t>
      </w:r>
    </w:p>
    <w:p>
      <w:pPr>
        <w:keepNext/>
        <w:numPr>
          <w:ilvl w:val="0"/>
          <w:numId w:val="2"/>
        </w:numPr>
        <w:spacing w:before="360" w:after="120" w:line="240" w:lineRule="auto"/>
        <w:jc w:val="both"/>
        <w:outlineLvl w:val="0"/>
        <w:rPr>
          <w:rFonts w:ascii="Times New Roman" w:eastAsia="Times New Roman" w:hAnsi="Times New Roman" w:cs="Times New Roman"/>
          <w:b/>
          <w:bCs/>
          <w:smallCaps/>
          <w:noProof/>
          <w:sz w:val="24"/>
          <w:szCs w:val="28"/>
        </w:rPr>
      </w:pPr>
      <w:r>
        <w:rPr>
          <w:rFonts w:ascii="Times New Roman" w:hAnsi="Times New Roman"/>
          <w:b/>
          <w:bCs/>
          <w:smallCaps/>
          <w:noProof/>
          <w:sz w:val="24"/>
          <w:szCs w:val="28"/>
        </w:rPr>
        <w:t>Provedba tijekom razdoblja izvješćivanja</w:t>
      </w:r>
    </w:p>
    <w:p>
      <w:pPr>
        <w:keepNext/>
        <w:numPr>
          <w:ilvl w:val="1"/>
          <w:numId w:val="2"/>
        </w:numPr>
        <w:spacing w:before="120" w:after="120" w:line="240" w:lineRule="auto"/>
        <w:jc w:val="both"/>
        <w:outlineLvl w:val="1"/>
        <w:rPr>
          <w:rFonts w:ascii="Times New Roman" w:eastAsia="Times New Roman" w:hAnsi="Times New Roman" w:cs="Times New Roman"/>
          <w:b/>
          <w:bCs/>
          <w:noProof/>
          <w:sz w:val="24"/>
          <w:szCs w:val="26"/>
        </w:rPr>
      </w:pPr>
      <w:r>
        <w:rPr>
          <w:rFonts w:ascii="Times New Roman" w:hAnsi="Times New Roman"/>
          <w:b/>
          <w:bCs/>
          <w:noProof/>
          <w:sz w:val="24"/>
          <w:szCs w:val="26"/>
        </w:rPr>
        <w:t>Opći pregled</w:t>
      </w:r>
    </w:p>
    <w:p>
      <w:pPr>
        <w:keepNext/>
        <w:spacing w:before="120" w:after="120" w:line="240" w:lineRule="auto"/>
        <w:ind w:left="850"/>
        <w:jc w:val="both"/>
        <w:rPr>
          <w:rFonts w:ascii="Times New Roman" w:eastAsia="Calibri" w:hAnsi="Times New Roman" w:cs="Times New Roman"/>
          <w:noProof/>
          <w:sz w:val="24"/>
          <w:szCs w:val="20"/>
        </w:rPr>
      </w:pPr>
      <w:r>
        <w:rPr>
          <w:rFonts w:ascii="Times New Roman" w:hAnsi="Times New Roman"/>
          <w:noProof/>
          <w:sz w:val="24"/>
          <w:szCs w:val="20"/>
        </w:rPr>
        <w:t xml:space="preserve">Komisija nastavlja provoditi Uredbu o pomoći s općim ciljem podupiranja ponovnog ujedinjenja. Komisija je spremna prilagoditi program u slučaju postizanja bilo kakvih dogovora tijekom pregovora o rješenju. </w:t>
      </w:r>
    </w:p>
    <w:p>
      <w:pPr>
        <w:keepNext/>
        <w:spacing w:before="120" w:after="120" w:line="240" w:lineRule="auto"/>
        <w:ind w:left="850"/>
        <w:jc w:val="both"/>
        <w:rPr>
          <w:rFonts w:ascii="Times New Roman" w:eastAsia="Calibri" w:hAnsi="Times New Roman" w:cs="Times New Roman"/>
          <w:noProof/>
          <w:sz w:val="24"/>
          <w:szCs w:val="20"/>
        </w:rPr>
      </w:pPr>
      <w:r>
        <w:rPr>
          <w:rFonts w:ascii="Times New Roman" w:hAnsi="Times New Roman"/>
          <w:noProof/>
          <w:sz w:val="24"/>
          <w:szCs w:val="20"/>
        </w:rPr>
        <w:t xml:space="preserve">Aktivnosti tijekom 2017. obuhvaćale su nastavak niza pokrenutih i uspješnih projekata kao što su stipendije EU-a i mjere za izgradnju povjerenja kojima se podupire rad Odbora za nestale osobe i Tehničkog odbora za kulturnu baštinu. </w:t>
      </w:r>
    </w:p>
    <w:p>
      <w:pPr>
        <w:keepNext/>
        <w:spacing w:before="120" w:after="120" w:line="240" w:lineRule="auto"/>
        <w:ind w:left="850"/>
        <w:jc w:val="both"/>
        <w:rPr>
          <w:rFonts w:ascii="Times New Roman" w:eastAsia="Calibri" w:hAnsi="Times New Roman" w:cs="Times New Roman"/>
          <w:noProof/>
          <w:sz w:val="24"/>
          <w:szCs w:val="20"/>
        </w:rPr>
      </w:pPr>
      <w:r>
        <w:rPr>
          <w:rFonts w:ascii="Times New Roman" w:hAnsi="Times New Roman"/>
          <w:noProof/>
          <w:sz w:val="24"/>
          <w:szCs w:val="20"/>
        </w:rPr>
        <w:t>Pomoć ključnim gospodarskim sektorima koji se pripremaju za postizanje rješenja pojačana je projektima za razvoj privatnog sektora, ruralnih područja te ljudskih resursa. Nastavljaju se ulagati napori usmjereni na konkretne rezultate u području iskorjenjivanja bolesti životinja i sigurnosti hrane.</w:t>
      </w:r>
    </w:p>
    <w:p>
      <w:pPr>
        <w:keepNext/>
        <w:spacing w:before="120" w:after="120" w:line="240" w:lineRule="auto"/>
        <w:ind w:left="850"/>
        <w:jc w:val="both"/>
        <w:rPr>
          <w:rFonts w:ascii="Times New Roman" w:eastAsia="Calibri" w:hAnsi="Times New Roman" w:cs="Times New Roman"/>
          <w:noProof/>
          <w:sz w:val="24"/>
          <w:szCs w:val="20"/>
        </w:rPr>
      </w:pPr>
      <w:r>
        <w:rPr>
          <w:rFonts w:ascii="Times New Roman" w:hAnsi="Times New Roman"/>
          <w:noProof/>
          <w:sz w:val="24"/>
          <w:szCs w:val="20"/>
        </w:rPr>
        <w:t>I dalje postoje znatne razlike u kapacitetu korisnikâ da učinkovito provedu pravnu stečevinu i mnogi pravni tekstovi još uvijek nisu doneseni. No TZC sada bolje razumije izazove povezane s provedbom pravnih tekstova usklađenih sa standardima EU-a.</w:t>
      </w:r>
    </w:p>
    <w:p>
      <w:pPr>
        <w:spacing w:before="120" w:after="120" w:line="240" w:lineRule="auto"/>
        <w:ind w:left="850"/>
        <w:jc w:val="both"/>
        <w:rPr>
          <w:rFonts w:ascii="Times New Roman" w:eastAsia="Calibri" w:hAnsi="Times New Roman" w:cs="Times New Roman"/>
          <w:noProof/>
          <w:sz w:val="24"/>
          <w:szCs w:val="20"/>
        </w:rPr>
      </w:pPr>
      <w:r>
        <w:rPr>
          <w:rFonts w:ascii="Times New Roman" w:hAnsi="Times New Roman"/>
          <w:noProof/>
          <w:sz w:val="24"/>
          <w:szCs w:val="20"/>
        </w:rPr>
        <w:t>Bespovratna sredstva i dalje su bitan element programa. Kad je riječ o programu stipendija, Komisija je nastavila dodjeljivati poslove vanjskim izvršiteljima kako bi se osiguralo da bespovratna sredstva pravovremeno i učinkovito stignu do korisnika.</w:t>
      </w:r>
    </w:p>
    <w:p>
      <w:pPr>
        <w:spacing w:before="120" w:after="120" w:line="240" w:lineRule="auto"/>
        <w:ind w:left="850"/>
        <w:jc w:val="both"/>
        <w:rPr>
          <w:rFonts w:ascii="Times New Roman" w:eastAsia="Times New Roman" w:hAnsi="Times New Roman" w:cs="Times New Roman"/>
          <w:noProof/>
          <w:sz w:val="24"/>
          <w:szCs w:val="20"/>
        </w:rPr>
      </w:pPr>
      <w:r>
        <w:rPr>
          <w:rFonts w:ascii="Times New Roman" w:hAnsi="Times New Roman"/>
          <w:noProof/>
          <w:sz w:val="24"/>
        </w:rPr>
        <w:t>Uz to, Odjel za upravljanje projektima, uspostavljen ugovorom o uslugama tehničke pomoći, od 2008. pruža usluge za potporu provedbi programâ dodjele bespovratnih sredstava.</w:t>
      </w:r>
      <w:r>
        <w:rPr>
          <w:rFonts w:ascii="Times New Roman" w:hAnsi="Times New Roman"/>
          <w:noProof/>
          <w:sz w:val="24"/>
          <w:szCs w:val="20"/>
        </w:rPr>
        <w:t xml:space="preserve"> Taj Odjel za upravljanje projektima i dalje pruža veliku pomoć Komisiji u pogledu povećane učinkovitosti i pouzdanosti operativnog upravljanja, provedbe i praćenja programâ dodjele bespovratnih sredstava. </w:t>
      </w:r>
    </w:p>
    <w:p>
      <w:pPr>
        <w:spacing w:before="120" w:after="120" w:line="240" w:lineRule="auto"/>
        <w:ind w:left="850"/>
        <w:jc w:val="both"/>
        <w:rPr>
          <w:rFonts w:ascii="Times New Roman" w:eastAsia="Calibri" w:hAnsi="Times New Roman" w:cs="Times New Roman"/>
          <w:noProof/>
          <w:sz w:val="24"/>
          <w:szCs w:val="20"/>
        </w:rPr>
      </w:pPr>
      <w:r>
        <w:rPr>
          <w:rFonts w:ascii="Times New Roman" w:hAnsi="Times New Roman"/>
          <w:noProof/>
          <w:sz w:val="24"/>
          <w:szCs w:val="20"/>
        </w:rPr>
        <w:t>I dalje postoji problem s ugovorom o izgradnji kanalizacijske mreže u Famagusti koji je Komisija raskinula u prosincu 2013. Spor s bivšim izvođačem rješava se arbitražom nakon što su iscrpljene sve mogućnosti za mirno rješavanje spora. Istovremeno, za povezane radove popravka raspisat će se javni natječaj 2018.</w:t>
      </w:r>
    </w:p>
    <w:p>
      <w:pPr>
        <w:spacing w:before="120" w:after="120" w:line="240" w:lineRule="auto"/>
        <w:ind w:left="850"/>
        <w:jc w:val="both"/>
        <w:rPr>
          <w:rFonts w:ascii="Times New Roman" w:eastAsia="Calibri" w:hAnsi="Times New Roman" w:cs="Times New Roman"/>
          <w:noProof/>
          <w:sz w:val="24"/>
          <w:szCs w:val="20"/>
        </w:rPr>
      </w:pPr>
      <w:r>
        <w:rPr>
          <w:rFonts w:ascii="Times New Roman" w:hAnsi="Times New Roman"/>
          <w:noProof/>
          <w:sz w:val="24"/>
          <w:szCs w:val="20"/>
        </w:rPr>
        <w:t xml:space="preserve">Na kraju godine na snazi su u okviru programa ukupno bila 274 ugovora. </w:t>
      </w:r>
    </w:p>
    <w:p>
      <w:pPr>
        <w:numPr>
          <w:ilvl w:val="1"/>
          <w:numId w:val="2"/>
        </w:numPr>
        <w:spacing w:before="120" w:after="120" w:line="240" w:lineRule="auto"/>
        <w:ind w:left="851" w:hanging="851"/>
        <w:jc w:val="both"/>
        <w:outlineLvl w:val="1"/>
        <w:rPr>
          <w:rFonts w:ascii="Times New Roman" w:eastAsia="Times New Roman" w:hAnsi="Times New Roman" w:cs="Times New Roman"/>
          <w:b/>
          <w:bCs/>
          <w:noProof/>
          <w:sz w:val="24"/>
          <w:szCs w:val="26"/>
        </w:rPr>
      </w:pPr>
      <w:r>
        <w:rPr>
          <w:rFonts w:ascii="Times New Roman" w:hAnsi="Times New Roman"/>
          <w:b/>
          <w:bCs/>
          <w:noProof/>
          <w:sz w:val="24"/>
          <w:szCs w:val="26"/>
        </w:rPr>
        <w:t>Napredak po ciljevima</w:t>
      </w:r>
    </w:p>
    <w:p>
      <w:pPr>
        <w:spacing w:before="120" w:after="120" w:line="240" w:lineRule="auto"/>
        <w:ind w:left="850"/>
        <w:jc w:val="both"/>
        <w:rPr>
          <w:rFonts w:ascii="Times New Roman" w:eastAsia="Calibri" w:hAnsi="Times New Roman" w:cs="Times New Roman"/>
          <w:noProof/>
          <w:sz w:val="24"/>
          <w:szCs w:val="20"/>
        </w:rPr>
      </w:pPr>
      <w:r>
        <w:rPr>
          <w:rFonts w:ascii="Times New Roman" w:hAnsi="Times New Roman"/>
          <w:noProof/>
          <w:sz w:val="24"/>
          <w:szCs w:val="20"/>
        </w:rPr>
        <w:t xml:space="preserve">Opći je cilj programa pomoći olakšati ponovno ujedinjenje Cipra poticanjem gospodarskog razvoja TZC-a, s posebnim naglaskom na gospodarsku integraciju otoka, na poboljšanje kontakata između dviju zajednica i s EU-om te na pripreme za pravnu stečevinu. </w:t>
      </w:r>
    </w:p>
    <w:p>
      <w:pPr>
        <w:spacing w:before="120" w:after="120" w:line="240" w:lineRule="auto"/>
        <w:ind w:left="850"/>
        <w:jc w:val="both"/>
        <w:rPr>
          <w:rFonts w:ascii="Times New Roman" w:eastAsia="Calibri" w:hAnsi="Times New Roman" w:cs="Times New Roman"/>
          <w:noProof/>
          <w:sz w:val="24"/>
          <w:szCs w:val="20"/>
        </w:rPr>
      </w:pPr>
      <w:r>
        <w:rPr>
          <w:rFonts w:ascii="Times New Roman" w:hAnsi="Times New Roman"/>
          <w:noProof/>
          <w:sz w:val="24"/>
          <w:szCs w:val="20"/>
        </w:rPr>
        <w:t xml:space="preserve">Aktivnosti poduzete 2017. s obzirom na svaki od ciljeva Uredbe o pomoći navedeni su u nastavku. </w:t>
      </w:r>
    </w:p>
    <w:p>
      <w:pPr>
        <w:numPr>
          <w:ilvl w:val="2"/>
          <w:numId w:val="2"/>
        </w:numPr>
        <w:spacing w:before="120" w:after="120" w:line="240" w:lineRule="auto"/>
        <w:jc w:val="both"/>
        <w:outlineLvl w:val="2"/>
        <w:rPr>
          <w:rFonts w:ascii="Times New Roman" w:eastAsia="Times New Roman" w:hAnsi="Times New Roman" w:cs="Times New Roman"/>
          <w:bCs/>
          <w:i/>
          <w:noProof/>
          <w:sz w:val="24"/>
          <w:szCs w:val="20"/>
        </w:rPr>
      </w:pPr>
      <w:r>
        <w:rPr>
          <w:rFonts w:ascii="Times New Roman" w:hAnsi="Times New Roman"/>
          <w:bCs/>
          <w:i/>
          <w:noProof/>
          <w:sz w:val="24"/>
          <w:szCs w:val="20"/>
        </w:rPr>
        <w:t>Cilj 1.: razvoj i restrukturiranje infrastrukture</w:t>
      </w:r>
    </w:p>
    <w:p>
      <w:pPr>
        <w:keepNext/>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U sektoru voda dovršeno je projektiranje i natječajna dokumentacija za izgradnju novog kanala za odvod otpadnih voda od Nikozije do nikozijskog postrojenja za pročišćavanje otpadnih voda (WWTP) kojim se koriste obje zajednice. Objava javnog natječaja za radove predviđa se početkom 2018. Studija izvedivosti i idejni projekt za sustav raspodjele pročišćene otpadne vode iz WWTP-a kojim se koriste obje zajednice uvelike su napredovali i u postupku su dobivanja konačnog odobrenja. Konačni detaljni projekt i popratna natječajna dokumentacija za taj važni zajednički projekt dviju zajednica očekuju se tijekom 2018. </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Pripremljena je natječajna dokumentacija za potrebne popravke kanalizacijskih mreža u Famagusti i javni natječaj za radove trebao bi biti objavljen početkom 2018.</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Pokrenute su pripremne aktivnosti za prvu fazu stavljanja izvan pogona starog nikozijskog WWTP-a i izgradnju biciklističke i pješačke staze uz rijeku Pedieos. </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Pomoć u sektoru krutog otpada nastavila se primjenom različitih mjera. U prosincu 2017. potpisana su dva ugovora – „Proširenje kapaciteta odlagališta Koutsoventsis/Güngör” i „Pogon za otplinjavanje odlagališta otpada”. Radovi bi trebali biti dovršeni do prosinca 2018. U 2017. dovršeno je i projektiranje i provedba Baze podataka za gospodarenje krutim otpadom koja se temelji na Europskom katalogu krutog otpada. Tu bazu podataka trenutačno ispituju nadležna tijela za zaštitu okoliša, ali već se smatra velikim uspjehom.</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Nakon nekoliko odgoda nastavlja se ugradnja novog sterilizacijskog postrojenja za zbrinjavanje opasnog medicinskog otpada, koja bi trebala biti dovršena do sredine 2018. Taj je projekt dodatno ojačan u okviru projekta tehničkog kapaciteta koji uključuje projektiranje i provedbu održivog sustava za gospodarenje medicinskim otpadom.  </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Javni natječaj za uspostavu sustava za prikupljanje, prijevoz i središnje zbrinjavanje nusproizvoda životinjskog podrijetla koji su najopasniji za zdravlje ljudi i životinja objavljen je drugi put, ali nisu primljene valjane ponude. Nakon optimizacije natječajne dokumentacije za taj će se projekt ponovno raspisati javni natječaj početkom 2018. </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Naposljetku, gospodarenje krutim otpadom rješavalo se i u okviru programâ dodjele bespovratnih sredstava kojima se podupiru civilno društvo i lokalne zajednice. Oni uključuju uspostavu postaja za pretovar krutog otpada i sustava gospodarenja zelenim otpadom u skladu s dosljednim Integriranim planom za gospodarenje krutim otpadom koji je razvio EU. </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Osim toga, projekti za unapređenje sustava praćenja kvalitete zraka i vode odobreni su 2017. i pripremljene su tehničke specifikacije. Objava javnog natječaja očekuje se sredinom 2018. </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Dovršen je ugovor za „Tehničku pomoć pri provedbi programa za sigurnost u prometu”. Pripremljen je plan za provedbu postupaka izdavanja vozačkih dozvola, registracije vozila i tehničkog pregleda vozila i potrebna je daljnja pomoć i potpora korisnika u provedbi plana i poboljšanju sigurnosti u prometu. </w:t>
      </w:r>
    </w:p>
    <w:p>
      <w:pPr>
        <w:spacing w:before="120" w:after="120" w:line="240" w:lineRule="auto"/>
        <w:ind w:left="851"/>
        <w:jc w:val="both"/>
        <w:rPr>
          <w:rFonts w:ascii="Times New Roman" w:eastAsia="Times New Roman" w:hAnsi="Times New Roman" w:cs="Times New Roman"/>
          <w:bCs/>
          <w:i/>
          <w:noProof/>
          <w:sz w:val="24"/>
          <w:szCs w:val="20"/>
          <w:lang w:eastAsia="en-GB"/>
        </w:rPr>
      </w:pPr>
    </w:p>
    <w:p>
      <w:pPr>
        <w:numPr>
          <w:ilvl w:val="2"/>
          <w:numId w:val="2"/>
        </w:numPr>
        <w:spacing w:before="120" w:after="120" w:line="240" w:lineRule="auto"/>
        <w:jc w:val="both"/>
        <w:outlineLvl w:val="2"/>
        <w:rPr>
          <w:rFonts w:ascii="Times New Roman" w:eastAsia="Times New Roman" w:hAnsi="Times New Roman" w:cs="Times New Roman"/>
          <w:bCs/>
          <w:i/>
          <w:noProof/>
          <w:sz w:val="24"/>
          <w:szCs w:val="20"/>
        </w:rPr>
      </w:pPr>
      <w:r>
        <w:rPr>
          <w:rFonts w:ascii="Times New Roman" w:hAnsi="Times New Roman"/>
          <w:bCs/>
          <w:i/>
          <w:noProof/>
          <w:sz w:val="24"/>
          <w:szCs w:val="20"/>
        </w:rPr>
        <w:t>Cilj 2.: promicanje društvenog i gospodarskog razvoja</w:t>
      </w:r>
    </w:p>
    <w:p>
      <w:pPr>
        <w:spacing w:after="120" w:line="240" w:lineRule="auto"/>
        <w:ind w:left="851"/>
        <w:jc w:val="both"/>
        <w:rPr>
          <w:rFonts w:ascii="Times New Roman" w:hAnsi="Times New Roman" w:cs="Times New Roman"/>
          <w:noProof/>
          <w:sz w:val="24"/>
          <w:szCs w:val="24"/>
        </w:rPr>
      </w:pPr>
      <w:r>
        <w:rPr>
          <w:rFonts w:ascii="Times New Roman" w:hAnsi="Times New Roman"/>
          <w:noProof/>
          <w:sz w:val="24"/>
          <w:szCs w:val="24"/>
        </w:rPr>
        <w:t>„Projekt tehničke pomoći privatnom sektoru” (TAPS), koji je pokrenut u studenome 2015., produžen je do rujna 2018. Cilj je tog projekta promicanje rasta privatnog sektora i otvaranje novih radnih mjesta u njemu. Njime se lokalnim tijelima pruža tehnička pomoć u pripremi za primjenu pravne stečevine u područjima povezanima s razvojem privatnog sektora. Ta potpora pruža se u obliku izrade analitičkih studija i pripreme strategija, uključujući, primjerice, dovršenje strategije i akcijskog plana za mala i srednja poduzeća. Njime se ujedno pomaže mikropoduzećima i malim poduzećima u pripremi za pravnu stečevinu podupiranjem organizacija za potporu poslovanju koje jačaju njihove organizacijske kapacitete i kapacitete za pružanje usluga.</w:t>
      </w:r>
    </w:p>
    <w:p>
      <w:pPr>
        <w:spacing w:line="240" w:lineRule="auto"/>
        <w:ind w:left="851"/>
        <w:jc w:val="both"/>
        <w:rPr>
          <w:rFonts w:ascii="Times New Roman" w:hAnsi="Times New Roman" w:cs="Times New Roman"/>
          <w:noProof/>
          <w:sz w:val="24"/>
          <w:szCs w:val="24"/>
        </w:rPr>
      </w:pPr>
      <w:r>
        <w:rPr>
          <w:rFonts w:ascii="Times New Roman" w:hAnsi="Times New Roman"/>
          <w:noProof/>
          <w:sz w:val="24"/>
          <w:szCs w:val="24"/>
        </w:rPr>
        <w:t xml:space="preserve">U okviru jednog ugovora potpisanog početkom 2017. vanjski stručnjak razvio je smjernice o održivosti strategije za inovacije u skladu s programom Obzor 2020. i konceptom pametnog rasta. </w:t>
      </w:r>
    </w:p>
    <w:p>
      <w:pPr>
        <w:spacing w:after="120" w:line="240" w:lineRule="auto"/>
        <w:ind w:left="851"/>
        <w:jc w:val="both"/>
        <w:rPr>
          <w:rFonts w:ascii="Times New Roman" w:hAnsi="Times New Roman"/>
          <w:noProof/>
          <w:sz w:val="24"/>
          <w:szCs w:val="20"/>
        </w:rPr>
      </w:pPr>
      <w:r>
        <w:rPr>
          <w:noProof/>
        </w:rPr>
        <w:t>Osim toga, Sporazum o delegiranju potpisan s EBRD-om, kojim se poduzećima ciparskih Turaka odobrava pristup kreditima te se lokalnim poslovnim konzultantima osigurava potpora za izgradnju kapaciteta, proširen je s dodatnih 0,8 milijuna EUR.</w:t>
      </w:r>
      <w:r>
        <w:rPr>
          <w:rFonts w:ascii="Times New Roman" w:hAnsi="Times New Roman"/>
          <w:noProof/>
          <w:sz w:val="24"/>
          <w:szCs w:val="20"/>
        </w:rPr>
        <w:t xml:space="preserve"> Poduzeća dobivaju i izravnu potporu na temelju bespovratnih sredstava. U 2017. dovršena je dodjela svih preostalih bespovratnih sredstava poduzećima u okviru programa dodjele bespovratnih sredstava „Razvoj malih i srednjih poduzeća:</w:t>
      </w:r>
      <w:r>
        <w:rPr>
          <w:rFonts w:ascii="Times New Roman" w:hAnsi="Times New Roman"/>
          <w:i/>
          <w:noProof/>
          <w:sz w:val="24"/>
          <w:szCs w:val="20"/>
        </w:rPr>
        <w:t xml:space="preserve"> </w:t>
      </w:r>
      <w:r>
        <w:rPr>
          <w:rFonts w:ascii="Times New Roman" w:hAnsi="Times New Roman"/>
          <w:noProof/>
          <w:sz w:val="24"/>
          <w:szCs w:val="20"/>
        </w:rPr>
        <w:t xml:space="preserve">modernizacija proizvoda i usluga”. U okviru tog programa uspješno je provedeno ukupno 36 projekata. </w:t>
      </w:r>
    </w:p>
    <w:p>
      <w:pPr>
        <w:spacing w:before="120" w:after="120" w:line="240" w:lineRule="auto"/>
        <w:ind w:left="851"/>
        <w:jc w:val="both"/>
        <w:rPr>
          <w:rFonts w:ascii="Times New Roman" w:eastAsia="Times New Roman" w:hAnsi="Times New Roman" w:cs="Times New Roman"/>
          <w:noProof/>
          <w:sz w:val="24"/>
          <w:szCs w:val="20"/>
        </w:rPr>
      </w:pPr>
      <w:r>
        <w:rPr>
          <w:rFonts w:ascii="Times New Roman" w:hAnsi="Times New Roman"/>
          <w:noProof/>
          <w:sz w:val="24"/>
          <w:szCs w:val="20"/>
        </w:rPr>
        <w:t>U području ruralnog razvoja pružena je tehnička pomoć za razvoj poljoprivrednih savjetodavnih službi, uključujući osposobljavanje lokalnih savjetnika. Od 39 projekata kojima su 2013. dodijeljena sredstva u okviru Trećeg programa dodjele bespovratnih sredstava za ruralni razvoj još 6 ih je uspješno dovršeno 2017.</w:t>
      </w:r>
    </w:p>
    <w:p>
      <w:pPr>
        <w:spacing w:before="120" w:after="120" w:line="240" w:lineRule="auto"/>
        <w:ind w:left="851"/>
        <w:jc w:val="both"/>
        <w:rPr>
          <w:rFonts w:ascii="Times New Roman" w:eastAsia="Times New Roman" w:hAnsi="Times New Roman" w:cs="Times New Roman"/>
          <w:noProof/>
          <w:sz w:val="24"/>
          <w:szCs w:val="20"/>
        </w:rPr>
      </w:pPr>
      <w:r>
        <w:rPr>
          <w:rFonts w:ascii="Times New Roman" w:hAnsi="Times New Roman"/>
          <w:noProof/>
          <w:sz w:val="24"/>
          <w:szCs w:val="20"/>
        </w:rPr>
        <w:t xml:space="preserve">U 2017. u okviru projekta tehničke pomoći za potporu pripremi i provedbi iskorjenjivanja bolesti životinja (pokrenutog sredinom 2015.) nastavljena je izgradnja kapaciteta veterinarskih službi za planiranje i provedbu programa nadzora i iskorjenjivanja bolesti životinja te za jačanje sustava identifikacije i registracije životinja. Taj je projekt pomogao i u kontinuiranom poboljšanju rada i kvalitete rezultata veterinarskog laboratorija. U razdoblju 2016./2017. na sjevernom dijelu Cipra provedeno je prvo opsežno ispitivanje životinja radi određivanja statusa prioritetnih bolesti životinja (kao što su bruceloza i tuberkuloza). Lokalni uzgajivači detaljno su upoznati sa svrhom i dugoročnim koristima iskorjenjivanja ozbiljnih bolesti kod životinja koje služe za proizvodnju hrane. Time se povećala informiranost uzgajivača i osigurala njihova potpora u iskorjenjivanju ozbiljnih bolesti životinja na tom području. </w:t>
      </w:r>
    </w:p>
    <w:p>
      <w:pPr>
        <w:spacing w:before="120" w:after="120" w:line="240" w:lineRule="auto"/>
        <w:ind w:left="851"/>
        <w:jc w:val="both"/>
        <w:rPr>
          <w:rFonts w:ascii="Times New Roman" w:eastAsia="Times New Roman" w:hAnsi="Times New Roman" w:cs="Times New Roman"/>
          <w:noProof/>
          <w:sz w:val="24"/>
          <w:szCs w:val="20"/>
        </w:rPr>
      </w:pPr>
      <w:r>
        <w:rPr>
          <w:rFonts w:ascii="Times New Roman" w:hAnsi="Times New Roman"/>
          <w:noProof/>
          <w:sz w:val="24"/>
          <w:szCs w:val="20"/>
        </w:rPr>
        <w:t xml:space="preserve">U okviru projekta za razvoj kapaciteta mjeriteljstva u TZC-u provedeno je osposobljavanje u području analitičkih tehnika povezanih sa zahtjevima EU-a u pogledu standarda sigurnosti hrane. </w:t>
      </w:r>
    </w:p>
    <w:p>
      <w:pPr>
        <w:spacing w:before="120" w:after="120" w:line="240" w:lineRule="auto"/>
        <w:ind w:left="851"/>
        <w:jc w:val="both"/>
        <w:rPr>
          <w:rFonts w:ascii="Times New Roman" w:eastAsia="Times New Roman" w:hAnsi="Times New Roman" w:cs="Times New Roman"/>
          <w:noProof/>
          <w:sz w:val="24"/>
          <w:szCs w:val="20"/>
        </w:rPr>
      </w:pPr>
      <w:r>
        <w:rPr>
          <w:rFonts w:ascii="Times New Roman" w:hAnsi="Times New Roman"/>
          <w:noProof/>
          <w:sz w:val="24"/>
          <w:szCs w:val="20"/>
        </w:rPr>
        <w:t>Kapaciteti TZC-a za provedbu programâ za zdravlje životinja i sigurnost hrane dodatno su povećani dodjelom četiriju ugovora o nabavi ukupnog iznosa od 0,5 milijuna EUR za opskrbu veterinarskih laboratorija i laboratorija za sigurnost hrane opremom i potrošnim materijalom.</w:t>
      </w:r>
    </w:p>
    <w:p>
      <w:pPr>
        <w:spacing w:before="120" w:after="120" w:line="240" w:lineRule="auto"/>
        <w:ind w:left="851"/>
        <w:jc w:val="both"/>
        <w:rPr>
          <w:rFonts w:ascii="Times New Roman" w:eastAsia="Times New Roman" w:hAnsi="Times New Roman" w:cs="Times New Roman"/>
          <w:noProof/>
          <w:sz w:val="24"/>
          <w:szCs w:val="20"/>
        </w:rPr>
      </w:pPr>
      <w:r>
        <w:rPr>
          <w:rFonts w:ascii="Times New Roman" w:hAnsi="Times New Roman"/>
          <w:noProof/>
          <w:sz w:val="24"/>
          <w:szCs w:val="20"/>
        </w:rPr>
        <w:t>U okviru četvrtog poziva na dostavu prijedloga za razvoj zajednice dodijeljeno je pet ugovora o bespovratnim sredstvima u ukupnom iznosu od 3 milijuna EUR. Četiri projekta usmjerena su na povećanje učinkovitosti i kvalitete lokalnih javnih usluga kao što su gospodarenje otpadom i zaštita okoliša. Jedan projekt usmjeren je na uspostavu centra za pomoć žrtvama obiteljskog nasilja.</w:t>
      </w:r>
    </w:p>
    <w:p>
      <w:pPr>
        <w:spacing w:before="120" w:after="120" w:line="240" w:lineRule="auto"/>
        <w:ind w:left="851"/>
        <w:jc w:val="both"/>
        <w:rPr>
          <w:rFonts w:ascii="Times New Roman" w:eastAsia="Times New Roman" w:hAnsi="Times New Roman" w:cs="Times New Roman"/>
          <w:noProof/>
          <w:sz w:val="24"/>
          <w:szCs w:val="20"/>
        </w:rPr>
      </w:pPr>
      <w:r>
        <w:rPr>
          <w:rFonts w:ascii="Times New Roman" w:hAnsi="Times New Roman"/>
          <w:noProof/>
          <w:sz w:val="24"/>
        </w:rPr>
        <w:t>U obrazovnom se sektoru 2017. nastavila provedba 15 potpora dodijeljenih 2016. u okviru programa dodjele bespovratnih sredstava za „inovacije i promjene u obrazovanju VI.” vrijednog 1,5 milijuna EUR.</w:t>
      </w:r>
      <w:r>
        <w:rPr>
          <w:rFonts w:ascii="Times New Roman" w:hAnsi="Times New Roman"/>
          <w:noProof/>
          <w:sz w:val="24"/>
          <w:szCs w:val="20"/>
        </w:rPr>
        <w:t xml:space="preserve"> Od tih 15 projekata njih 9 provodi se u školama, a 6 u organizacijama za cjeloživotno učenje. Projekti su većinom usmjereni na povećanje kapaciteta za poučavanje/učenje u školama uvođenjem izvannastavnih programa i programa za stjecanje „mekih” vještina (engl. soft skills) te uspostavom znanstvenih laboratorija i staklenika za ekološki uzgoj. S druge strane, projekti cjeloživotnog učenja usmjereni su na povećanje stručnih kapaciteta arhitekata i inženjera te se u okviru tih projekata uvode tečajevi poduzetništva i tečajevi za cjeloživotno obrazovanje radi povećanja zapošljivosti mladih. </w:t>
      </w:r>
    </w:p>
    <w:p>
      <w:pPr>
        <w:spacing w:before="120" w:after="120" w:line="240" w:lineRule="auto"/>
        <w:ind w:left="851"/>
        <w:jc w:val="both"/>
        <w:rPr>
          <w:rFonts w:ascii="Times New Roman" w:eastAsia="Times New Roman" w:hAnsi="Times New Roman" w:cs="Times New Roman"/>
          <w:noProof/>
          <w:sz w:val="24"/>
          <w:szCs w:val="20"/>
        </w:rPr>
      </w:pPr>
      <w:r>
        <w:rPr>
          <w:rFonts w:ascii="Times New Roman" w:hAnsi="Times New Roman"/>
          <w:noProof/>
          <w:sz w:val="24"/>
          <w:szCs w:val="20"/>
        </w:rPr>
        <w:t xml:space="preserve">Novi program dodjele bespovratnih sredstava za „inovacije i promjene u obrazovanju VII.”, vrijedan 1,5 milijuna EUR, koji je pokrenut u prvoj polovini 2016., obuhvaća iste ciljeve kao i prethodni pozivi na dostavu prijedloga. U tijeku je evaluacija prijedloga projekata. </w:t>
      </w:r>
    </w:p>
    <w:p>
      <w:pPr>
        <w:spacing w:before="120" w:after="120" w:line="240" w:lineRule="auto"/>
        <w:ind w:left="851"/>
        <w:jc w:val="both"/>
        <w:rPr>
          <w:rFonts w:ascii="Times New Roman" w:eastAsia="Times New Roman" w:hAnsi="Times New Roman" w:cs="Times New Roman"/>
          <w:noProof/>
          <w:sz w:val="24"/>
          <w:szCs w:val="20"/>
        </w:rPr>
      </w:pPr>
      <w:r>
        <w:rPr>
          <w:rFonts w:ascii="Times New Roman" w:hAnsi="Times New Roman"/>
          <w:noProof/>
          <w:sz w:val="24"/>
        </w:rPr>
        <w:t>Nastavile su se aktivnosti drugog projekta tehničke pomoći za Strukovno obrazovanje, osposobljavanje i tržište rada (VETLAM II), pokrenutog u studenome 2015.</w:t>
      </w:r>
      <w:r>
        <w:rPr>
          <w:rFonts w:ascii="Times New Roman" w:hAnsi="Times New Roman"/>
          <w:noProof/>
          <w:sz w:val="24"/>
          <w:szCs w:val="20"/>
        </w:rPr>
        <w:t xml:space="preserve"> Tijekom 2017. tehnička pomoć uglavnom je bila usmjerena na pregled i ažuriranje kvalifikacijskog okvira, razvoj strategija za strukovne škole, razvoj aktivnih mjera tržišta rada za tri odabrane skupine u nepovoljnom položaju (mladi, žene i osobe s invaliditetom) i izgradnju kapaciteta službi za zapošljavanje. Uspostavljen je i sustav procjene programâ za učenje kroz rad i stažiranje te skupina lokalnih procjenjivača. Završetak projekta planira se za studeni 2018.</w:t>
      </w:r>
    </w:p>
    <w:p>
      <w:pPr>
        <w:spacing w:before="120" w:after="120" w:line="240" w:lineRule="auto"/>
        <w:ind w:left="851"/>
        <w:jc w:val="both"/>
        <w:rPr>
          <w:rFonts w:ascii="Times New Roman" w:eastAsia="Times New Roman" w:hAnsi="Times New Roman" w:cs="Times New Roman"/>
          <w:noProof/>
          <w:sz w:val="24"/>
          <w:szCs w:val="20"/>
        </w:rPr>
      </w:pPr>
      <w:r>
        <w:rPr>
          <w:rFonts w:ascii="Times New Roman" w:hAnsi="Times New Roman"/>
          <w:noProof/>
          <w:sz w:val="24"/>
          <w:szCs w:val="20"/>
        </w:rPr>
        <w:t>Na temelju rezultata prethodnih analiza, u drugoj fazi programa gospodarskog praćenja koji je provodila Svjetska banka pružena je dodatna dubinska analiza i tehnička pomoć u važnim područjima. Program je bio usmjeren na fiskalnu analizu, financijski održiva tijela javne uprave, gospodarske učinke ponovnog ujedinjenja povezane s trgovinom, razvoj privatnog sektora i društvenu uključenost te praćenje makroekonomskih pokazatelja. U skladu s političkim prioritetima u okviru programa pomoći 2017. ugovorena je dodatna omotnica u iznosu od 4,8 milijuna EUR za daljnje sudjelovanje Svjetske banke, koja će nastaviti s radom na temelju dosad izvršenih analiza i savjetovanja te nastaviti pružati usluge savjetovanja i ciljanu potporu TZC-u do prosinca 2020.</w:t>
      </w:r>
    </w:p>
    <w:p>
      <w:pPr>
        <w:numPr>
          <w:ilvl w:val="2"/>
          <w:numId w:val="2"/>
        </w:numPr>
        <w:spacing w:before="120" w:after="120" w:line="240" w:lineRule="auto"/>
        <w:jc w:val="both"/>
        <w:outlineLvl w:val="2"/>
        <w:rPr>
          <w:rFonts w:ascii="Times New Roman" w:eastAsia="Times New Roman" w:hAnsi="Times New Roman" w:cs="Times New Roman"/>
          <w:bCs/>
          <w:i/>
          <w:noProof/>
          <w:sz w:val="24"/>
          <w:szCs w:val="20"/>
        </w:rPr>
      </w:pPr>
      <w:r>
        <w:rPr>
          <w:rFonts w:ascii="Times New Roman" w:hAnsi="Times New Roman"/>
          <w:bCs/>
          <w:i/>
          <w:noProof/>
          <w:sz w:val="24"/>
          <w:szCs w:val="20"/>
        </w:rPr>
        <w:t>Cilj 3.: promicanje pomirenja, mjere za jačanje povjerenja i potpora civilnom društvu</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Odbor za nestale osobe, uz potporu iz programa pomoći preko neizravnog upravljanja dogovorenog s UNDP-om, nastavio je terenski i laboratorijski rad. Od ukupno 2 002 nestale osobe odbor je do kraja 2017. ekshumirao posmrtne ostatke 1 194 osobe, od kojih je 831 identificirano analizom DNK-a i vraćeno obiteljima.</w:t>
      </w:r>
    </w:p>
    <w:p>
      <w:pPr>
        <w:spacing w:before="120" w:after="120" w:line="240" w:lineRule="auto"/>
        <w:ind w:left="851"/>
        <w:jc w:val="both"/>
        <w:rPr>
          <w:rFonts w:ascii="Times New Roman" w:eastAsia="Calibri" w:hAnsi="Times New Roman" w:cs="Times New Roman"/>
          <w:noProof/>
          <w:sz w:val="24"/>
          <w:szCs w:val="20"/>
        </w:rPr>
      </w:pPr>
      <w:r>
        <w:rPr>
          <w:noProof/>
        </w:rPr>
        <w:t>U prosincu 2017. proširen je Sporazum o delegiranju s UNDP-om kako bi se i 2018. osiguralo financiranje rada Odbora za nestale osobe u vrijednosti od 2,6 milijuna EUR.</w:t>
      </w:r>
      <w:r>
        <w:rPr>
          <w:rFonts w:ascii="Times New Roman" w:hAnsi="Times New Roman"/>
          <w:noProof/>
          <w:sz w:val="24"/>
          <w:szCs w:val="20"/>
        </w:rPr>
        <w:t xml:space="preserve"> EU je u razdoblju 2006.–2018. doprinio ukupnim iznosom od 22 milijuna EUR, koji čini 80 % ukupnih sredstava dodijeljenih Odboru za nestale osobe.</w:t>
      </w:r>
    </w:p>
    <w:p>
      <w:pPr>
        <w:spacing w:before="120" w:after="120" w:line="240" w:lineRule="auto"/>
        <w:ind w:left="851"/>
        <w:jc w:val="both"/>
        <w:rPr>
          <w:rFonts w:ascii="Times New Roman" w:eastAsia="Calibri" w:hAnsi="Times New Roman" w:cs="Times New Roman"/>
          <w:noProof/>
          <w:sz w:val="24"/>
          <w:szCs w:val="24"/>
        </w:rPr>
      </w:pPr>
      <w:r>
        <w:rPr>
          <w:rFonts w:ascii="Times New Roman" w:hAnsi="Times New Roman"/>
          <w:noProof/>
          <w:color w:val="000000"/>
          <w:sz w:val="24"/>
          <w:szCs w:val="24"/>
        </w:rPr>
        <w:t>S vremenom je sve teže dobiti precizne informacije kojima bi se mogle odrediti lokacije mjesta ukopa. Riječ je o ključnom izazovu koji se sada mora riješiti ulaganjem novih napora u istraživanje građanskih i vojnih arhiva te povećanom uporabom informatičkih alata kako bi se olakšale faze istrage, iskopavanja i ekshumacije.</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U tu svrhu u objema zajednicama postavljeni su oglasni plakati u prosincu 2017. kako bi ih se potaknulo na davanje svih informacija kojima raspolažu. Članovi Odbora za nestale osobe proveli su i izravno istraživanje arhiva UN-a u New Yorku u svibnju 2017. </w:t>
      </w:r>
    </w:p>
    <w:p>
      <w:pPr>
        <w:tabs>
          <w:tab w:val="left" w:pos="2880"/>
        </w:tabs>
        <w:spacing w:before="120" w:after="120" w:line="240" w:lineRule="auto"/>
        <w:ind w:left="850"/>
        <w:jc w:val="both"/>
        <w:rPr>
          <w:rFonts w:ascii="Times New Roman" w:eastAsia="Calibri" w:hAnsi="Times New Roman" w:cs="Times New Roman"/>
          <w:i/>
          <w:noProof/>
          <w:sz w:val="24"/>
          <w:szCs w:val="20"/>
        </w:rPr>
      </w:pPr>
      <w:r>
        <w:rPr>
          <w:rFonts w:ascii="Times New Roman" w:hAnsi="Times New Roman"/>
          <w:noProof/>
          <w:sz w:val="24"/>
          <w:szCs w:val="20"/>
        </w:rPr>
        <w:t>Zaštita kulturne baštine preko Tehničkog odbora za kulturnu baštinu u kojem sudjeluju obje zajednice i dalje je ključna sastavnica mjera za pomirbu i izgradnju povjerenja u okviru programa pomoći. U razdoblju od 2011. do 2017. program zaštite kulturne baštine primio je 14,7 milijuna EUR sredstava EU-a koja se upotrebljavaju za unapređenje zaštite 71 mjesta kulturne baštine diljem otoka. Taj program uključuje 5 velikih projekata, 30 projekata srednje veličine, 26 malih projekata i 10 projekata u fazi projektiranja. Najveće dostignuće 2017. bio je završetak konzervatorskih radova na samostanu Agios Panteleimonas u svibnju te radova na utvrdi Martinengo i na dijelu zidina u Famagusti u rujnu. U 2017. završeni su i konzervatorski radovi na maronitskoj crkvi Agia Marina/Gurpinar smještenoj na vojnom području. Poduzimaju se koraci kako bi se osiguralo da zajednice korisnice na odgovarajući način održavaju obnovljene objekte.</w:t>
      </w:r>
    </w:p>
    <w:p>
      <w:pPr>
        <w:spacing w:before="120" w:after="120" w:line="240" w:lineRule="auto"/>
        <w:ind w:left="850"/>
        <w:jc w:val="both"/>
        <w:rPr>
          <w:rFonts w:ascii="Times New Roman" w:eastAsia="Calibri" w:hAnsi="Times New Roman" w:cs="Times New Roman"/>
          <w:i/>
          <w:noProof/>
          <w:sz w:val="24"/>
          <w:szCs w:val="20"/>
        </w:rPr>
      </w:pPr>
      <w:r>
        <w:rPr>
          <w:rFonts w:ascii="Times New Roman" w:hAnsi="Times New Roman"/>
          <w:noProof/>
          <w:sz w:val="24"/>
          <w:szCs w:val="20"/>
        </w:rPr>
        <w:t xml:space="preserve">Komisija je 2015. brzo odgovorila na inicijativu dvaju ciparskih vođa za nove mjere izgradnje povjerenja preraspodjelom sredstava potrebnih za otvaranje dvaju novih mjesta prijelaza na lokacijama Deryneia i Lefka-Apliki. Početkom 2016. s UNDP-om je potpisan Sporazum o delegiranju za radove sjeverno od zelene crte razgraničenja, koji su dovršeni 2017. Na zahtjev Republike Cipra Komisija i UNDP potpisali su 2017. dopunu Sporazuma o delegiranju za radove na dijelovima unutar tampon zone. Očekuje se da će ti radovi završiti tijekom 2018. </w:t>
      </w:r>
    </w:p>
    <w:p>
      <w:pPr>
        <w:spacing w:before="120" w:after="120" w:line="240" w:lineRule="auto"/>
        <w:ind w:left="850"/>
        <w:jc w:val="both"/>
        <w:rPr>
          <w:rFonts w:ascii="Times New Roman" w:eastAsia="Calibri" w:hAnsi="Times New Roman" w:cs="Times New Roman"/>
          <w:noProof/>
          <w:sz w:val="24"/>
          <w:szCs w:val="20"/>
        </w:rPr>
      </w:pPr>
      <w:r>
        <w:rPr>
          <w:rFonts w:ascii="Times New Roman" w:hAnsi="Times New Roman"/>
          <w:noProof/>
          <w:sz w:val="24"/>
        </w:rPr>
        <w:t>Potpora civilnom društvu nastavila se 2017.</w:t>
      </w:r>
      <w:r>
        <w:rPr>
          <w:rFonts w:ascii="Times New Roman" w:hAnsi="Times New Roman"/>
          <w:noProof/>
          <w:sz w:val="24"/>
          <w:szCs w:val="20"/>
        </w:rPr>
        <w:t xml:space="preserve"> U 2017. nastavila se tehnička pomoć (Civilni prostor) kojom se osigurava izgradnja kapaciteta organizacija civilnog društva i potiču umrežavanje i zajedničke aktivnosti organizacija civilnog društva ciparskih Grka i drugih organizacija civilnog društva EU-a. Napori su u početku bili usmjereni na stvaranje okruženja u kojem se omogućuje razvoj civilnog društva i potiču inicijative aktivnog građanstva s pomoću mehanizma „Civilni rast”. </w:t>
      </w:r>
      <w:r>
        <w:rPr>
          <w:rFonts w:ascii="Times New Roman" w:hAnsi="Times New Roman"/>
          <w:noProof/>
          <w:sz w:val="24"/>
        </w:rPr>
        <w:t>Osim toga, 2017. još je u tijeku bilo 18 ugovora dodijeljenih u okviru programâ dodjele bespovratnih sredstava „Civilno društvo u akciji IV. i V.”.</w:t>
      </w:r>
      <w:r>
        <w:rPr>
          <w:rFonts w:ascii="Times New Roman" w:hAnsi="Times New Roman"/>
          <w:noProof/>
          <w:sz w:val="24"/>
          <w:szCs w:val="20"/>
        </w:rPr>
        <w:t xml:space="preserve"> Njima su financirana različita djelovanja u području zaštite okoliša, ljudskih prava, umjetnosti i sporta kojima se potiču sudjelovanje građana i razmjene između zajednica. Sredinom 2017. objavljen je šesti poziv na dostavu prijedloga za program dodjele bespovratnih sredstava „Civilno društvo u akciji”, kojim se organizacijama civilnog društva pružaju nove mogućnosti za pojačanje kapaciteta, djelovanja i suradnje te za uvođenje promjena u korist svima. </w:t>
      </w:r>
    </w:p>
    <w:p>
      <w:pPr>
        <w:spacing w:before="120" w:after="120" w:line="240" w:lineRule="auto"/>
        <w:ind w:left="850"/>
        <w:jc w:val="both"/>
        <w:rPr>
          <w:rFonts w:ascii="Times New Roman" w:eastAsia="Calibri" w:hAnsi="Times New Roman" w:cs="Times New Roman"/>
          <w:noProof/>
          <w:sz w:val="24"/>
          <w:szCs w:val="20"/>
        </w:rPr>
      </w:pPr>
      <w:r>
        <w:rPr>
          <w:rFonts w:ascii="Times New Roman" w:hAnsi="Times New Roman"/>
          <w:noProof/>
          <w:sz w:val="24"/>
          <w:szCs w:val="20"/>
        </w:rPr>
        <w:t>Svaka tri mjeseca sastajao se Forum civilnog društva, platforma na kojoj organizacije civilnog društva mogu izraziti svoja očekivanja i prioritete. Taj je forum djelovao kao katalizator za zagovaranje organizacija civilnog društva te je promicao aktivno građanstvo. Tijekom cijelog listopada drugi se put održao cijeli mjesec aktivnosti organizacija civilnog društva pod nazivom „Festival otvorenih vrata” radi informiranja javnosti o prošlim i sadašnjim aktivnostima te promicanja volontiranja osoba svih dobi. Za vrijeme trajanja festivala više od 60 udruga, zaklada, platformi, inicijativa i aktivista otvorilo je svoja vrata i putovalo sjevernim dijelom Cipra s ciljem sastajanja s javnošću i povezivanja s drugim organizacijama civilnog društva.</w:t>
      </w:r>
    </w:p>
    <w:p>
      <w:pPr>
        <w:spacing w:before="120" w:after="120" w:line="240" w:lineRule="auto"/>
        <w:ind w:left="850"/>
        <w:jc w:val="both"/>
        <w:rPr>
          <w:rFonts w:ascii="Times New Roman" w:eastAsia="Calibri" w:hAnsi="Times New Roman" w:cs="Times New Roman"/>
          <w:noProof/>
          <w:sz w:val="24"/>
          <w:szCs w:val="20"/>
          <w:lang w:eastAsia="en-GB"/>
        </w:rPr>
      </w:pPr>
    </w:p>
    <w:p>
      <w:pPr>
        <w:spacing w:before="120" w:after="120" w:line="240" w:lineRule="auto"/>
        <w:ind w:left="850"/>
        <w:jc w:val="both"/>
        <w:rPr>
          <w:rFonts w:ascii="Times New Roman" w:eastAsia="Calibri" w:hAnsi="Times New Roman" w:cs="Times New Roman"/>
          <w:noProof/>
          <w:sz w:val="24"/>
          <w:szCs w:val="20"/>
          <w:lang w:eastAsia="en-GB"/>
        </w:rPr>
      </w:pPr>
    </w:p>
    <w:p>
      <w:pPr>
        <w:numPr>
          <w:ilvl w:val="2"/>
          <w:numId w:val="2"/>
        </w:numPr>
        <w:spacing w:before="120" w:after="120" w:line="240" w:lineRule="auto"/>
        <w:jc w:val="both"/>
        <w:outlineLvl w:val="2"/>
        <w:rPr>
          <w:rFonts w:ascii="Times New Roman" w:eastAsia="Times New Roman" w:hAnsi="Times New Roman" w:cs="Times New Roman"/>
          <w:bCs/>
          <w:i/>
          <w:noProof/>
          <w:sz w:val="24"/>
          <w:szCs w:val="20"/>
        </w:rPr>
      </w:pPr>
      <w:r>
        <w:rPr>
          <w:rFonts w:ascii="Times New Roman" w:hAnsi="Times New Roman"/>
          <w:bCs/>
          <w:i/>
          <w:noProof/>
          <w:sz w:val="24"/>
          <w:szCs w:val="20"/>
        </w:rPr>
        <w:t>Cilj 4.: približavanje TZC-a Europskoj uniji</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Upravljanje stipendijama EU-a za akademske godine 2014.–2016. delegirano je British Councilu. Taj je dogovor produljen za dodatne tri godine Sporazumom o delegiranju potpisanom u prosincu 2016. s British Councilom za akademske godine 2017.–2020.</w:t>
      </w:r>
      <w:r>
        <w:rPr>
          <w:noProof/>
        </w:rPr>
        <w:t xml:space="preserve"> </w:t>
      </w:r>
      <w:r>
        <w:rPr>
          <w:rFonts w:ascii="Times New Roman" w:hAnsi="Times New Roman"/>
          <w:noProof/>
          <w:sz w:val="24"/>
          <w:szCs w:val="20"/>
        </w:rPr>
        <w:t xml:space="preserve">Zahvaljujući 1,92 milijuna EUR dostupnih u okviru poziva za 2017. omogućeno je financiranje 152 stipendije u akademskoj godini 2017./2018. Tim se stipendijama u različitim državama članicama EU-a podupiru studenti tijekom prve godine preddiplomskih studija, studenti na diplomskom i doktorskom studiju te istraživači i stručnjaci u daljnjem razvoju njihovih jezičnih i profesionalnih vještina putem škola stranih jezika i programa stažiranja. Od 2007. programom stipendija osiguran je pristup stipendijama za više od 1 000 studenata i stručnjaka koji su pripadnici turske zajednice na Cipru. Nastavak tog programa smatra se ključnim i uložit će se povećani napori u usmjeravanje na potrebe i nedostatke u TZC-u. Kao dio aktivnosti za upravljanje programom stipendija, British Council svake godine organizira dan pod nazivom „Studij u Europi” kako bi studentima omogućio dobivanje informacija o mogućnostima studiranja u EU-u. Proteklih godina na internetu se razvija mreža bivših studenata kako bi se povećali kontakti i profesionalni odnosi među bivšim korisnicima stipendija. British Council neprestano prati srednjoročni učinak, na primjer stopu povrata studenata na Cipar i uspjeh u pronalaženju zaposlenja. </w:t>
      </w:r>
    </w:p>
    <w:p>
      <w:pPr>
        <w:spacing w:before="120" w:after="120" w:line="240" w:lineRule="auto"/>
        <w:ind w:left="851"/>
        <w:jc w:val="both"/>
        <w:rPr>
          <w:rFonts w:ascii="Times New Roman" w:hAnsi="Times New Roman" w:cs="Times New Roman"/>
          <w:noProof/>
          <w:sz w:val="24"/>
          <w:szCs w:val="24"/>
        </w:rPr>
      </w:pPr>
      <w:r>
        <w:rPr>
          <w:rFonts w:ascii="Times New Roman" w:hAnsi="Times New Roman"/>
          <w:noProof/>
          <w:sz w:val="24"/>
          <w:szCs w:val="24"/>
        </w:rPr>
        <w:t xml:space="preserve">Zanimanje za informacije o EU-u u TZC-u i dalje je veliko 2017. </w:t>
      </w:r>
      <w:r>
        <w:rPr>
          <w:rFonts w:ascii="Times New Roman" w:hAnsi="Times New Roman"/>
          <w:noProof/>
          <w:sz w:val="24"/>
        </w:rPr>
        <w:t>Početkom 2015. s radom je započela informacijska točka EU-a, kojom se upravlja u suradnji s Predstavništvom Europske komisije na Cipru, s ukupnim proračunom od 1 545 000 EUR za razdoblje od 30 mjeseci; projekt je u srpnju 2017. produljen do siječnja 2020. s ukupnim proračunom od 3 milijuna EUR.</w:t>
      </w:r>
      <w:r>
        <w:rPr>
          <w:rFonts w:ascii="Times New Roman" w:hAnsi="Times New Roman"/>
          <w:noProof/>
          <w:sz w:val="24"/>
          <w:szCs w:val="24"/>
        </w:rPr>
        <w:t xml:space="preserve"> Njome je ostvarena visoka razina vidljivosti za EU, njegove politike i program pomoći. Dosad su u okviru informacijske točke EU-a održani različiti paneli/događanja o raznim temama, među kojima su zaštita okoliša (voda, energija, gospodarenje otpadom uključujući recikliranje, bioraznolikost, čišćenje plaža i Zeleni tjedan), organska poljoprivreda, zdravlje i zaštita na radu, sigurnost hrane, dobrobit životinja i zdravlje životinja. Obuhvaćene su i teme kao što su ljudska prava, prava osoba s invaliditetom, prava djece, rodna ravnopravnost, prava LGBTQ osoba te prava potrošača. </w:t>
      </w:r>
    </w:p>
    <w:p>
      <w:pPr>
        <w:spacing w:before="120" w:after="120" w:line="240" w:lineRule="auto"/>
        <w:ind w:left="851"/>
        <w:jc w:val="both"/>
        <w:rPr>
          <w:rFonts w:ascii="Times New Roman" w:hAnsi="Times New Roman" w:cs="Times New Roman"/>
          <w:noProof/>
          <w:sz w:val="24"/>
          <w:szCs w:val="24"/>
        </w:rPr>
      </w:pPr>
      <w:r>
        <w:rPr>
          <w:rFonts w:ascii="Times New Roman" w:hAnsi="Times New Roman"/>
          <w:noProof/>
          <w:sz w:val="24"/>
          <w:szCs w:val="24"/>
        </w:rPr>
        <w:t xml:space="preserve">U okviru informacijske točke EU-a 2017. organizirano je 49 događanja (od kojih 28 u Nikoziji), uključujući Dan Europe, Europski tjedan protiv rasizma, Europski tjedan mladih i Međunarodni dan mladih, Europsku noć istraživača, Dan EU-a za borbu protiv krijumčarenja ljudi, Tjedan mobilnosti i sigurnosti u prometu, Europski tjedan sporta te Europski tjedan MSP-ova. Ta su događanja privukla više od 4 849 sudionika, što pokazuje povećanje interesa u zajednici (u događanjima održanima 2016. sudjelovalo je 4 382 sudionika, a u događanjima održanima 2015. 2 383 sudionika). </w:t>
      </w:r>
    </w:p>
    <w:p>
      <w:pPr>
        <w:spacing w:before="120" w:after="120" w:line="240" w:lineRule="auto"/>
        <w:ind w:left="851"/>
        <w:jc w:val="both"/>
        <w:rPr>
          <w:rFonts w:ascii="Times New Roman" w:hAnsi="Times New Roman" w:cs="Times New Roman"/>
          <w:noProof/>
          <w:sz w:val="24"/>
          <w:szCs w:val="24"/>
        </w:rPr>
      </w:pPr>
      <w:r>
        <w:rPr>
          <w:rFonts w:ascii="Times New Roman" w:hAnsi="Times New Roman"/>
          <w:noProof/>
          <w:sz w:val="24"/>
          <w:szCs w:val="24"/>
        </w:rPr>
        <w:t>Tijekom 2017. podijeljeno je 2 255 primjeraka informativnih materijala i 10 biltena (ukupno je od otvaranja informacijske točke podijeljeno 13 684 primjerka informativnih materijala i 30 biltena). U lokalnim su medijima tijekom 2017. objavljena 343 novinska članka i 33 televizijska priloga (1 266 članaka i 115 priloga od početka projekta). Popularnost tih aktivnosti potvrđuje i promet na stranici „Abbilgi” na Facebooku (4 052 nove oznake „sviđa mi se” 2017., čime se ukupan broj oznaka „sviđa mi se” od otvaranja stranice povećao na 12 523). Preko informacijske točke EU-a podupiralo se i promicanje svih poziva na dostavu prijedloga i drugih projekata i događanja financiranih iz programa pomoći i to objavama/podsjetnicima na Facebooku, izlaganjem plakata u izlozima, organiziranjem događanja i pokretanjem projekata u javnom prostoru informacijske točke EU-a. Njome je uspostavljeno strateško partnerstvo s ostalim projektima koje financira EU i s projektima tehničke pomoći, kao što su Razvoj civilnog društva (Civilni prostor), Razvoj privatnog sektora, Iskorjenjivanje bolesti životinja i Gospodarenje otpadom, te s odgovarajućim odjelima i organizacijama civilnog društva u TZC-u.</w:t>
      </w:r>
    </w:p>
    <w:p>
      <w:pPr>
        <w:numPr>
          <w:ilvl w:val="2"/>
          <w:numId w:val="2"/>
        </w:numPr>
        <w:spacing w:before="120" w:after="120" w:line="240" w:lineRule="auto"/>
        <w:ind w:left="851"/>
        <w:jc w:val="both"/>
        <w:outlineLvl w:val="2"/>
        <w:rPr>
          <w:rFonts w:ascii="Times New Roman" w:eastAsia="Times New Roman" w:hAnsi="Times New Roman" w:cs="Times New Roman"/>
          <w:bCs/>
          <w:i/>
          <w:noProof/>
          <w:sz w:val="24"/>
          <w:szCs w:val="20"/>
        </w:rPr>
      </w:pPr>
      <w:r>
        <w:rPr>
          <w:rFonts w:ascii="Times New Roman" w:hAnsi="Times New Roman"/>
          <w:bCs/>
          <w:i/>
          <w:noProof/>
          <w:sz w:val="24"/>
          <w:szCs w:val="20"/>
        </w:rPr>
        <w:t xml:space="preserve">Ciljevi 5.–6.: pripremanje turske zajednice na Cipru za uvođenje i provedbu pravne stečevine </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Komisijin Instrument za tehničku pomoć i razmjenu informacija (TAIEX) primjenjuje se za provedbu ciljeva 5. i 6. Uredbe o pomoći i stoga pomaže u pripremi TZC-a za provedbu pravne stečevine s obzirom na povlačenje njezine suspenzije nakon stupanja na snagu sveobuhvatnog rješenja ciparskog problema. </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rPr>
        <w:t>Tehnička pomoć nastavila se 2017. i odabrani su novi stručnjaci u 17 glavnih područja ili „sektora” pravne stečevine.</w:t>
      </w:r>
      <w:r>
        <w:rPr>
          <w:rFonts w:ascii="Times New Roman" w:hAnsi="Times New Roman"/>
          <w:noProof/>
          <w:sz w:val="24"/>
          <w:szCs w:val="20"/>
        </w:rPr>
        <w:t xml:space="preserve"> Ukupno je 2017. organizirano 118 događanja. Aktivnosti TAIEX-a uključivale su, među ostalim, misije stručnjaka, radionice i studijske posjete. </w:t>
      </w:r>
      <w:r>
        <w:rPr>
          <w:rFonts w:ascii="Times New Roman" w:hAnsi="Times New Roman"/>
          <w:noProof/>
          <w:sz w:val="24"/>
        </w:rPr>
        <w:t>Dionici TZC-a iskazali su znatno višu osviještenost o zahtjevima pravne stečevine u aktivnim sektorima TAIEX-a.</w:t>
      </w:r>
      <w:r>
        <w:rPr>
          <w:rFonts w:ascii="Times New Roman" w:hAnsi="Times New Roman"/>
          <w:noProof/>
          <w:sz w:val="24"/>
          <w:szCs w:val="20"/>
        </w:rPr>
        <w:t xml:space="preserve"> </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Nastavljeno je podupiranje trgovina preko zelene crte razgraničenja (Uredba 866/2004). Neovisni su stručnjaci 2017. bili uključeni u redovite fitosanitarne inspekcije krumpira i proizvoda od citrusa, prikupljanje uzoraka meda za analizu i izradu ažuriranog popisa plovila čijim se ulovom može trgovati preko zelene crte razgraničenja.</w:t>
      </w:r>
    </w:p>
    <w:p>
      <w:pPr>
        <w:numPr>
          <w:ilvl w:val="1"/>
          <w:numId w:val="2"/>
        </w:numPr>
        <w:spacing w:before="120" w:after="120" w:line="240" w:lineRule="auto"/>
        <w:ind w:left="851"/>
        <w:jc w:val="both"/>
        <w:outlineLvl w:val="1"/>
        <w:rPr>
          <w:rFonts w:ascii="Times New Roman" w:eastAsia="Times New Roman" w:hAnsi="Times New Roman" w:cs="Times New Roman"/>
          <w:b/>
          <w:bCs/>
          <w:noProof/>
          <w:sz w:val="24"/>
          <w:szCs w:val="26"/>
        </w:rPr>
      </w:pPr>
      <w:r>
        <w:rPr>
          <w:rFonts w:ascii="Times New Roman" w:hAnsi="Times New Roman"/>
          <w:b/>
          <w:bCs/>
          <w:noProof/>
          <w:sz w:val="24"/>
          <w:szCs w:val="26"/>
        </w:rPr>
        <w:t>Financijsko izvršenje (ugovori i plaćanja)</w:t>
      </w:r>
    </w:p>
    <w:p>
      <w:pPr>
        <w:numPr>
          <w:ilvl w:val="2"/>
          <w:numId w:val="2"/>
        </w:numPr>
        <w:spacing w:before="120" w:after="120" w:line="240" w:lineRule="auto"/>
        <w:ind w:left="851"/>
        <w:jc w:val="both"/>
        <w:outlineLvl w:val="2"/>
        <w:rPr>
          <w:rFonts w:ascii="Times New Roman" w:eastAsia="Times New Roman" w:hAnsi="Times New Roman" w:cs="Times New Roman"/>
          <w:bCs/>
          <w:i/>
          <w:noProof/>
          <w:sz w:val="24"/>
          <w:szCs w:val="20"/>
        </w:rPr>
      </w:pPr>
      <w:r>
        <w:rPr>
          <w:rFonts w:ascii="Times New Roman" w:hAnsi="Times New Roman"/>
          <w:bCs/>
          <w:i/>
          <w:noProof/>
          <w:sz w:val="24"/>
          <w:szCs w:val="20"/>
        </w:rPr>
        <w:t>Ugovori</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Komisija je 2017. potpisala pravne obveze u iznosu od 23,2 milijuna EUR. Ukupni se iznos povećao u odnosu na prethodnu godinu (15,5 milijuna EUR 2016.). </w:t>
      </w:r>
    </w:p>
    <w:p>
      <w:pPr>
        <w:numPr>
          <w:ilvl w:val="2"/>
          <w:numId w:val="2"/>
        </w:numPr>
        <w:spacing w:before="120" w:after="120" w:line="240" w:lineRule="auto"/>
        <w:ind w:left="851"/>
        <w:jc w:val="both"/>
        <w:outlineLvl w:val="2"/>
        <w:rPr>
          <w:rFonts w:ascii="Times New Roman" w:eastAsia="Times New Roman" w:hAnsi="Times New Roman" w:cs="Times New Roman"/>
          <w:bCs/>
          <w:i/>
          <w:noProof/>
          <w:sz w:val="24"/>
          <w:szCs w:val="20"/>
        </w:rPr>
      </w:pPr>
      <w:r>
        <w:rPr>
          <w:rFonts w:ascii="Times New Roman" w:hAnsi="Times New Roman"/>
          <w:bCs/>
          <w:i/>
          <w:noProof/>
          <w:sz w:val="24"/>
          <w:szCs w:val="20"/>
        </w:rPr>
        <w:t>Plaćanja</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Plaćanja su 2017. iznosila 17,2 milijuna EUR (21,4 milijuna EUR 2016.). </w:t>
      </w:r>
    </w:p>
    <w:p>
      <w:pPr>
        <w:numPr>
          <w:ilvl w:val="1"/>
          <w:numId w:val="2"/>
        </w:numPr>
        <w:spacing w:before="120" w:after="120" w:line="240" w:lineRule="auto"/>
        <w:ind w:left="851"/>
        <w:jc w:val="both"/>
        <w:outlineLvl w:val="1"/>
        <w:rPr>
          <w:rFonts w:ascii="Times New Roman" w:eastAsia="Times New Roman" w:hAnsi="Times New Roman" w:cs="Times New Roman"/>
          <w:b/>
          <w:bCs/>
          <w:noProof/>
          <w:sz w:val="24"/>
          <w:szCs w:val="26"/>
        </w:rPr>
      </w:pPr>
      <w:r>
        <w:rPr>
          <w:rFonts w:ascii="Times New Roman" w:hAnsi="Times New Roman"/>
          <w:b/>
          <w:bCs/>
          <w:noProof/>
          <w:sz w:val="24"/>
          <w:szCs w:val="26"/>
        </w:rPr>
        <w:t>Praćenje</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Komisija je izravno odgovorna za provedbu većine projekata (izravno upravljanje). Osoblje Komisije provodi vrlo visoki stupanj praćenja putem stalnih kontakata s izvođačima, provjera na terenu, sastanaka na lokaciji i sastanaka upravljačkih odbora. Odjel za upravljanje projektima nastavio je podupirati Komisiju praćenjem provedbe ugovora o bespovratnim sredstvima/projekata koji su dodijeljeni lokalnim zajednicama za njihov razvoj, malim i srednjim poduzećima i ruralnim poduzećima, organizacijama civilnog društva, školama i organizacijama za strukovno obrazovanje i osposobljavanje te potporom korisnicima bespovratnih sredstava u primjeni pravila EU-a za provedbu ugovora o bespovratnim sredstvima, uključujući i pravila o sekundarnoj nabavi. </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Komisija uz to provodi i niz ugovora pod neizravnim načinom upravljanja. Nad provedbenim tijelima kao što su UNDP, EBRD i British Council provodi se procjena stupova i ona Komisiji podnose izvješća u skladu s odgovarajućim okvirnim sporazumima. Komisija je uvelike uključena u svakodnevno praćenje tih mjera. </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Za TAIEX je pokrenuto novo razdoblje planiranja koje će uključivati redovne sastanke upravljačke projektne skupine usmjerene na analize, procjenu napretka i nastavak planiranja. Logistika TAIEX-a prati se TAIEX-ovim mrežnim sustavom upravljanja.</w:t>
      </w:r>
    </w:p>
    <w:p>
      <w:pPr>
        <w:spacing w:before="120" w:after="120" w:line="240" w:lineRule="auto"/>
        <w:ind w:left="851"/>
        <w:jc w:val="both"/>
        <w:rPr>
          <w:rFonts w:ascii="Times New Roman" w:eastAsia="Calibri" w:hAnsi="Times New Roman" w:cs="Times New Roman"/>
          <w:noProof/>
          <w:sz w:val="24"/>
          <w:szCs w:val="20"/>
          <w:lang w:eastAsia="en-GB"/>
        </w:rPr>
      </w:pPr>
    </w:p>
    <w:p>
      <w:pPr>
        <w:spacing w:before="120" w:after="120" w:line="240" w:lineRule="auto"/>
        <w:ind w:left="851"/>
        <w:jc w:val="both"/>
        <w:rPr>
          <w:rFonts w:ascii="Times New Roman" w:eastAsia="Calibri" w:hAnsi="Times New Roman" w:cs="Times New Roman"/>
          <w:noProof/>
          <w:sz w:val="24"/>
          <w:szCs w:val="20"/>
          <w:lang w:eastAsia="en-GB"/>
        </w:rPr>
      </w:pPr>
    </w:p>
    <w:p>
      <w:pPr>
        <w:numPr>
          <w:ilvl w:val="1"/>
          <w:numId w:val="2"/>
        </w:numPr>
        <w:spacing w:before="120" w:after="120" w:line="240" w:lineRule="auto"/>
        <w:ind w:left="851"/>
        <w:jc w:val="both"/>
        <w:outlineLvl w:val="1"/>
        <w:rPr>
          <w:rFonts w:ascii="Times New Roman" w:eastAsia="Times New Roman" w:hAnsi="Times New Roman" w:cs="Times New Roman"/>
          <w:b/>
          <w:bCs/>
          <w:noProof/>
          <w:sz w:val="24"/>
          <w:szCs w:val="26"/>
        </w:rPr>
      </w:pPr>
      <w:r>
        <w:rPr>
          <w:rFonts w:ascii="Times New Roman" w:hAnsi="Times New Roman"/>
          <w:b/>
          <w:bCs/>
          <w:noProof/>
          <w:sz w:val="24"/>
          <w:szCs w:val="26"/>
        </w:rPr>
        <w:t>Revizija i kontrola</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Služba za unutarnju reviziju (IAS) provela je 2017. reviziju financijskog upravljanja Službe za potporu strukturnim reformama, uključujući financijsko upravljanje programom pomoći. Cilj revizije uključivao je, među ostalim, prikladnost razvoja i učinkovite provedbe sustava unutarnje kontrole za financijsko upravljanja (zakonitost i pravilnost te učinkovitost financijskih radnih postupaka). IAS je utvrdio neke slabosti u okruženju unutarnje kontrole uspostavljenoj u postupcima nabave, koje se uklanjaju provedbom akcijskog plana na temelju preporuka IAS-a.</w:t>
      </w:r>
    </w:p>
    <w:p>
      <w:pPr>
        <w:numPr>
          <w:ilvl w:val="1"/>
          <w:numId w:val="1"/>
        </w:numPr>
        <w:spacing w:before="120" w:after="120" w:line="240" w:lineRule="auto"/>
        <w:ind w:left="851"/>
        <w:jc w:val="both"/>
        <w:outlineLvl w:val="1"/>
        <w:rPr>
          <w:rFonts w:ascii="Times New Roman" w:eastAsia="Times New Roman" w:hAnsi="Times New Roman" w:cs="Times New Roman"/>
          <w:bCs/>
          <w:noProof/>
          <w:sz w:val="24"/>
          <w:szCs w:val="26"/>
        </w:rPr>
      </w:pPr>
      <w:r>
        <w:rPr>
          <w:rFonts w:ascii="Times New Roman" w:hAnsi="Times New Roman"/>
          <w:b/>
          <w:bCs/>
          <w:noProof/>
          <w:sz w:val="24"/>
          <w:szCs w:val="26"/>
        </w:rPr>
        <w:t>Evaluacija</w:t>
      </w:r>
    </w:p>
    <w:p>
      <w:pPr>
        <w:spacing w:before="120" w:after="120" w:line="240" w:lineRule="auto"/>
        <w:ind w:left="851"/>
        <w:jc w:val="both"/>
        <w:outlineLvl w:val="1"/>
        <w:rPr>
          <w:rFonts w:ascii="Times New Roman" w:eastAsia="Calibri" w:hAnsi="Times New Roman" w:cs="Times New Roman"/>
          <w:bCs/>
          <w:noProof/>
          <w:sz w:val="24"/>
          <w:szCs w:val="24"/>
        </w:rPr>
      </w:pPr>
      <w:r>
        <w:rPr>
          <w:rFonts w:ascii="Times New Roman" w:hAnsi="Times New Roman"/>
          <w:bCs/>
          <w:noProof/>
          <w:sz w:val="24"/>
        </w:rPr>
        <w:t>Za praćenje postupka uvođenja pravne stečevine u budućnosti će biti potrebno znatno poboljšati statistiku unutar TZC-a.</w:t>
      </w:r>
      <w:r>
        <w:rPr>
          <w:rFonts w:ascii="Times New Roman" w:hAnsi="Times New Roman"/>
          <w:bCs/>
          <w:noProof/>
          <w:sz w:val="24"/>
          <w:szCs w:val="26"/>
        </w:rPr>
        <w:t xml:space="preserve"> </w:t>
      </w:r>
    </w:p>
    <w:p>
      <w:pPr>
        <w:spacing w:before="120" w:after="120" w:line="240" w:lineRule="auto"/>
        <w:ind w:left="851"/>
        <w:jc w:val="both"/>
        <w:outlineLvl w:val="1"/>
        <w:rPr>
          <w:rFonts w:ascii="Times New Roman" w:eastAsia="Times New Roman" w:hAnsi="Times New Roman" w:cs="Times New Roman"/>
          <w:b/>
          <w:bCs/>
          <w:noProof/>
          <w:sz w:val="24"/>
          <w:szCs w:val="26"/>
        </w:rPr>
      </w:pPr>
      <w:r>
        <w:rPr>
          <w:rFonts w:ascii="Times New Roman" w:hAnsi="Times New Roman"/>
          <w:bCs/>
          <w:noProof/>
          <w:sz w:val="24"/>
          <w:szCs w:val="24"/>
        </w:rPr>
        <w:t>Odjel za upravljanje projektima proveo je ex-post evaluaciju programâ dodjele bespovratnih sredstava MSP-ovima, na temelju koje je sastavljen novi poziv na dostavu prijedloga koji će biti objavljen 2018.</w:t>
      </w:r>
      <w:r>
        <w:rPr>
          <w:rFonts w:ascii="Times New Roman" w:hAnsi="Times New Roman"/>
          <w:bCs/>
          <w:i/>
          <w:noProof/>
          <w:sz w:val="24"/>
          <w:szCs w:val="24"/>
        </w:rPr>
        <w:t xml:space="preserve"> </w:t>
      </w:r>
      <w:r>
        <w:rPr>
          <w:rFonts w:ascii="Times New Roman" w:hAnsi="Times New Roman"/>
          <w:bCs/>
          <w:noProof/>
          <w:sz w:val="24"/>
          <w:szCs w:val="24"/>
        </w:rPr>
        <w:t>Pokrenuta je slična ex-post evaluacija programâ dodjele bespovratnih sredstava za ruralni razvoj i rezultati se očekuju 2018.</w:t>
      </w:r>
    </w:p>
    <w:p>
      <w:pPr>
        <w:numPr>
          <w:ilvl w:val="1"/>
          <w:numId w:val="2"/>
        </w:numPr>
        <w:spacing w:before="120" w:after="120" w:line="240" w:lineRule="auto"/>
        <w:ind w:left="851"/>
        <w:jc w:val="both"/>
        <w:outlineLvl w:val="1"/>
        <w:rPr>
          <w:rFonts w:ascii="Times New Roman" w:eastAsia="Times New Roman" w:hAnsi="Times New Roman" w:cs="Times New Roman"/>
          <w:b/>
          <w:bCs/>
          <w:noProof/>
          <w:sz w:val="24"/>
          <w:szCs w:val="26"/>
        </w:rPr>
      </w:pPr>
      <w:r>
        <w:rPr>
          <w:rFonts w:ascii="Times New Roman" w:hAnsi="Times New Roman"/>
          <w:b/>
          <w:bCs/>
          <w:noProof/>
          <w:sz w:val="24"/>
          <w:szCs w:val="26"/>
        </w:rPr>
        <w:t>Informiranje, promidžba i vidljivost</w:t>
      </w:r>
    </w:p>
    <w:p>
      <w:pPr>
        <w:spacing w:before="120" w:after="120" w:line="240" w:lineRule="auto"/>
        <w:ind w:left="851"/>
        <w:jc w:val="both"/>
        <w:rPr>
          <w:rFonts w:ascii="Times New Roman" w:eastAsia="Calibri" w:hAnsi="Times New Roman" w:cs="Times New Roman"/>
          <w:noProof/>
          <w:sz w:val="24"/>
          <w:szCs w:val="24"/>
        </w:rPr>
      </w:pPr>
      <w:r>
        <w:rPr>
          <w:rFonts w:ascii="Times New Roman" w:hAnsi="Times New Roman"/>
          <w:noProof/>
          <w:sz w:val="24"/>
          <w:szCs w:val="24"/>
        </w:rPr>
        <w:t xml:space="preserve">U 2017. organizirano je ukupno 120 aktivnosti za povećanje vidljivosti i komunikacijskih aktivnosti, a veliki broj tih aktivnosti organiziran je u suradnji s Predstavništvom Europske komisije na Cipru. Neki od najvažnijih događaja 2017. bili su: prezentacije na temu „Prve dvije godine Junckerove Komisije: rad za bolju Europu koja štiti, osnažuje i brani” održane u raznim gradovima, Festival otvorenih vrata, na kojem su se razmjenjivale informacije o radu organizacija civilnog društva u četiri grada (Nikozija, Famagusta, Galateia, Lefka), te Europski dan znanosti i zabave na kojem je sudjelovalo više od 500 učenika srednjih škola. Dan Europe proslavljen je dvama velikim događanjima na otvorenom u Nikoziji i Famagusti s više od 700 sudionika. </w:t>
      </w:r>
    </w:p>
    <w:p>
      <w:pPr>
        <w:spacing w:before="120" w:after="120" w:line="240" w:lineRule="auto"/>
        <w:ind w:left="851"/>
        <w:jc w:val="both"/>
        <w:rPr>
          <w:rFonts w:ascii="Times New Roman" w:eastAsia="Calibri" w:hAnsi="Times New Roman" w:cs="Times New Roman"/>
          <w:noProof/>
          <w:sz w:val="24"/>
          <w:szCs w:val="24"/>
        </w:rPr>
      </w:pPr>
      <w:r>
        <w:rPr>
          <w:rFonts w:ascii="Times New Roman" w:hAnsi="Times New Roman"/>
          <w:noProof/>
          <w:sz w:val="24"/>
          <w:szCs w:val="24"/>
        </w:rPr>
        <w:t xml:space="preserve">Brojnim javnim događanjima na temu stipendija EU-a za TZC osiguralo se informiranje zajednica održavanjem ceremonija povodom završetka radova na raznim projektima kulturne baštine, uključujući zidine i utvrdu Martinengo te crkvu Archangelos Michael. Informativno događanje na temu poduzetničkog ekosustava/tržišta okupio je mnoge sudionike koji su željeli saznati više o potpori EU-a u TZC-u. Iznesene su i informacije o potpori EU-a u području sigurnosti u prometu putem brojnih događanja s djecom školskog uzrasta, obiteljima i javnosti. </w:t>
      </w:r>
    </w:p>
    <w:p>
      <w:pPr>
        <w:numPr>
          <w:ilvl w:val="1"/>
          <w:numId w:val="2"/>
        </w:numPr>
        <w:spacing w:before="120" w:after="120" w:line="240" w:lineRule="auto"/>
        <w:ind w:left="851"/>
        <w:jc w:val="both"/>
        <w:outlineLvl w:val="1"/>
        <w:rPr>
          <w:rFonts w:ascii="Times New Roman" w:eastAsia="Times New Roman" w:hAnsi="Times New Roman" w:cs="Times New Roman"/>
          <w:b/>
          <w:bCs/>
          <w:noProof/>
          <w:sz w:val="24"/>
          <w:szCs w:val="26"/>
        </w:rPr>
      </w:pPr>
      <w:r>
        <w:rPr>
          <w:rFonts w:ascii="Times New Roman" w:hAnsi="Times New Roman"/>
          <w:b/>
          <w:bCs/>
          <w:noProof/>
          <w:sz w:val="24"/>
          <w:szCs w:val="26"/>
        </w:rPr>
        <w:t>Savjetovanja s Vladom Republike Cipra</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Održavali su se sastanci s predstavnicima Vlade Republike Cipra, posebno u vrijeme posjeta viših dužnosnika Komisije otoku. Komisija se i dalje oslanja na suradnju s Vladom kad je riječ o provjeri prava vlasništva te održava i redovite sastanke sa Stalnim predstavništvom u Bruxellesu.</w:t>
      </w:r>
    </w:p>
    <w:p>
      <w:pPr>
        <w:numPr>
          <w:ilvl w:val="0"/>
          <w:numId w:val="2"/>
        </w:numPr>
        <w:spacing w:before="120" w:after="120" w:line="240" w:lineRule="auto"/>
        <w:ind w:left="851" w:hanging="851"/>
        <w:jc w:val="both"/>
        <w:outlineLvl w:val="0"/>
        <w:rPr>
          <w:rFonts w:ascii="Times New Roman" w:eastAsia="Times New Roman" w:hAnsi="Times New Roman" w:cs="Times New Roman"/>
          <w:b/>
          <w:bCs/>
          <w:smallCaps/>
          <w:noProof/>
          <w:sz w:val="24"/>
          <w:szCs w:val="28"/>
        </w:rPr>
      </w:pPr>
      <w:r>
        <w:rPr>
          <w:rFonts w:ascii="Times New Roman" w:hAnsi="Times New Roman"/>
          <w:b/>
          <w:bCs/>
          <w:smallCaps/>
          <w:noProof/>
          <w:sz w:val="24"/>
          <w:szCs w:val="28"/>
        </w:rPr>
        <w:t>Zaključci</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 xml:space="preserve">Djelujući u okviru svojih šest ciljeva, Komisija nastavlja pružati pomoć na temelju Uredbe o pomoći da bi se olakšalo ponovno ujedinjenje Cipra poticanjem gospodarskog razvoja turske zajednice na Cipru. Tijekom 2017. pomoć je i dalje bila usmjerena na područja koja su posebno problematična u pogledu usklađivanja s pravnom stečevinom u budućnosti. </w:t>
      </w:r>
    </w:p>
    <w:p>
      <w:pPr>
        <w:spacing w:before="120" w:after="120" w:line="240" w:lineRule="auto"/>
        <w:ind w:left="851"/>
        <w:jc w:val="both"/>
        <w:rPr>
          <w:rFonts w:ascii="Times New Roman" w:eastAsia="Calibri" w:hAnsi="Times New Roman" w:cs="Times New Roman"/>
          <w:noProof/>
          <w:sz w:val="24"/>
          <w:szCs w:val="20"/>
        </w:rPr>
      </w:pPr>
      <w:r>
        <w:rPr>
          <w:rFonts w:ascii="Times New Roman" w:hAnsi="Times New Roman"/>
          <w:noProof/>
          <w:sz w:val="24"/>
          <w:szCs w:val="20"/>
        </w:rPr>
        <w:t>S obzirom na ograničenja u pogledu kapaciteta, ograničene ljudske resurse i financijska sredstva te nedovoljnu spremnost za uvođenje pravne stečevine u budućnosti, mora se pažljivo razmotriti održivost projekata. Podaci o uspješnosti pomoći u prošlosti i zrelost projekata neprestano će se odražavati u budućim postupcima programiranja. Djelovanje će biti usmjereno na povećanje učinka u prioritetnim područjima manjim brojem opsežnijih djelovanja.</w:t>
      </w:r>
    </w:p>
    <w:p>
      <w:pPr>
        <w:spacing w:before="120" w:after="120" w:line="240" w:lineRule="auto"/>
        <w:ind w:left="851"/>
        <w:jc w:val="both"/>
        <w:rPr>
          <w:rFonts w:ascii="Times New Roman" w:eastAsia="Calibri" w:hAnsi="Times New Roman" w:cs="Times New Roman"/>
          <w:noProof/>
          <w:sz w:val="24"/>
          <w:szCs w:val="24"/>
        </w:rPr>
      </w:pPr>
      <w:r>
        <w:rPr>
          <w:rFonts w:ascii="Times New Roman" w:hAnsi="Times New Roman"/>
          <w:bCs/>
          <w:noProof/>
          <w:sz w:val="24"/>
          <w:szCs w:val="24"/>
        </w:rPr>
        <w:t>Komisija je prema potrebi spremna mobilizirati resurse, među ostalim u okviru programa pomoći, za potporu pregovorima za postizanje rješenja pod pokroviteljstvom UN-a.</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HR</w:t>
    </w:r>
    <w:r>
      <w:rPr>
        <w:rFonts w:ascii="Arial" w:hAnsi="Arial" w:cs="Arial"/>
        <w:b/>
        <w:sz w:val="48"/>
      </w:rPr>
      <w:tab/>
    </w:r>
    <w:r>
      <w:rPr>
        <w:rFonts w:ascii="Arial" w:hAnsi="Arial" w:cs="Arial"/>
        <w:b/>
        <w:sz w:val="48"/>
      </w:rPr>
      <w:tab/>
    </w:r>
    <w:r>
      <w:tab/>
    </w:r>
    <w:r>
      <w:rPr>
        <w:rFonts w:ascii="Arial" w:hAnsi="Arial" w:cs="Arial"/>
        <w:b/>
        <w:sz w:val="48"/>
      </w:rPr>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306838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ab/>
        <w:t>SL L 65, 7.3.2006., str 5.</w:t>
      </w:r>
    </w:p>
  </w:footnote>
  <w:footnote w:id="2">
    <w:p>
      <w:pPr>
        <w:pStyle w:val="FootnoteText"/>
      </w:pPr>
      <w:r>
        <w:rPr>
          <w:rStyle w:val="FootnoteReference"/>
        </w:rPr>
        <w:footnoteRef/>
      </w:r>
      <w:r>
        <w:tab/>
        <w:t xml:space="preserve">Odluka Komisije C(2016) 6688. </w:t>
      </w:r>
    </w:p>
  </w:footnote>
  <w:footnote w:id="3">
    <w:p>
      <w:pPr>
        <w:pStyle w:val="FootnoteText"/>
      </w:pPr>
      <w:r>
        <w:rPr>
          <w:rStyle w:val="FootnoteReference"/>
        </w:rPr>
        <w:footnoteRef/>
      </w:r>
      <w:r>
        <w:t xml:space="preserve"> </w:t>
      </w:r>
      <w:r>
        <w:tab/>
        <w:t>SL L 347, 2.12.2013., str. 884.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A12FA4"/>
    <w:multiLevelType w:val="multilevel"/>
    <w:tmpl w:val="AAF8994C"/>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rPr>
        <w:b/>
      </w:r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FEAC6A0-4D7A-4733-85E1-CD9F9FDEEDBF"/>
    <w:docVar w:name="LW_COVERPAGE_TYPE" w:val="1"/>
    <w:docVar w:name="LW_CROSSREFERENCE" w:val="&lt;UNUSED&gt;"/>
    <w:docVar w:name="LW_DocType" w:val="NORMAL"/>
    <w:docVar w:name="LW_EMISSION" w:val="22.6.2018."/>
    <w:docVar w:name="LW_EMISSION_ISODATE" w:val="2018-06-22"/>
    <w:docVar w:name="LW_EMISSION_LOCATION" w:val="BRX"/>
    <w:docVar w:name="LW_EMISSION_PREFIX" w:val="Bruxelles, "/>
    <w:docVar w:name="LW_EMISSION_SUFFIX" w:val="&lt;EMPTY&gt;"/>
    <w:docVar w:name="LW_ID_DOCTYPE_NONLW" w:val="CP-005"/>
    <w:docVar w:name="LW_LANGUE" w:val="HR"/>
    <w:docVar w:name="LW_LEVEL_OF_SENSITIVITY" w:val="Standard treatment"/>
    <w:docVar w:name="LW_NOM.INST" w:val="EUROPSKA KOMISIJA"/>
    <w:docVar w:name="LW_NOM.INST_JOINTDOC" w:val="&lt;EMPTY&gt;"/>
    <w:docVar w:name="LW_PART_NBR" w:val="1"/>
    <w:docVar w:name="LW_PART_NBR_TOTAL" w:val="1"/>
    <w:docVar w:name="LW_REF.INST.NEW" w:val="COM"/>
    <w:docVar w:name="LW_REF.INST.NEW_ADOPTED" w:val="final"/>
    <w:docVar w:name="LW_REF.INST.NEW_TEXT" w:val="(2018) 4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Dvanaesto godi\u353?nje izvje\u353?\u263?e za 2017. o provedbi pomo\u263?i Zajednice na temelju Uredbe Vije\u263?a (EZ) br. 389/2006 od 27. velja\u269?e 2006. o uspostavljanju instrumenta financijske potpore za poticanje gospodarskog razvoja turske zajednice na Cipru"/>
    <w:docVar w:name="LW_TYPE.DOC.CP" w:val="IZVJE\u352?\u262?E KOMISIJE VIJE\u262?U I EUROPSKOM PARLAMENTU"/>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Normal"/>
    <w:link w:val="Heading2Char"/>
    <w:uiPriority w:val="9"/>
    <w:qFormat/>
    <w:pPr>
      <w:keepNext/>
      <w:numPr>
        <w:ilvl w:val="1"/>
        <w:numId w:val="1"/>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Normal"/>
    <w:link w:val="Heading3Char"/>
    <w:uiPriority w:val="9"/>
    <w:qFormat/>
    <w:pPr>
      <w:keepNext/>
      <w:numPr>
        <w:ilvl w:val="2"/>
        <w:numId w:val="1"/>
      </w:numPr>
      <w:spacing w:before="120" w:after="120" w:line="240" w:lineRule="auto"/>
      <w:jc w:val="both"/>
      <w:outlineLvl w:val="2"/>
    </w:pPr>
    <w:rPr>
      <w:rFonts w:ascii="Times New Roman" w:eastAsia="Times New Roman" w:hAnsi="Times New Roman" w:cs="Times New Roman"/>
      <w:bCs/>
      <w:i/>
      <w:sz w:val="24"/>
      <w:szCs w:val="20"/>
      <w:lang w:eastAsia="en-GB"/>
    </w:rPr>
  </w:style>
  <w:style w:type="paragraph" w:styleId="Heading4">
    <w:name w:val="heading 4"/>
    <w:basedOn w:val="Normal"/>
    <w:next w:val="Normal"/>
    <w:link w:val="Heading4Char"/>
    <w:uiPriority w:val="9"/>
    <w:qFormat/>
    <w:pPr>
      <w:keepNext/>
      <w:numPr>
        <w:ilvl w:val="3"/>
        <w:numId w:val="1"/>
      </w:numPr>
      <w:spacing w:before="120" w:after="120" w:line="240" w:lineRule="auto"/>
      <w:jc w:val="both"/>
      <w:outlineLvl w:val="3"/>
    </w:pPr>
    <w:rPr>
      <w:rFonts w:ascii="Times New Roman" w:eastAsia="Times New Roman" w:hAnsi="Times New Roman" w:cs="Times New Roman"/>
      <w:bCs/>
      <w:iCs/>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szCs w:val="20"/>
      <w:lang w:eastAsia="en-GB"/>
    </w:rPr>
  </w:style>
  <w:style w:type="character" w:customStyle="1" w:styleId="Heading4Char">
    <w:name w:val="Heading 4 Char"/>
    <w:basedOn w:val="DefaultParagraphFont"/>
    <w:link w:val="Heading4"/>
    <w:uiPriority w:val="9"/>
    <w:rPr>
      <w:rFonts w:ascii="Times New Roman" w:eastAsia="Times New Roman" w:hAnsi="Times New Roman" w:cs="Times New Roman"/>
      <w:bCs/>
      <w:iCs/>
      <w:sz w:val="24"/>
      <w:szCs w:val="20"/>
      <w:lang w:eastAsia="en-GB"/>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uiPriority w:val="99"/>
    <w:semiHidden/>
    <w:unhideWhenUsed/>
    <w:rPr>
      <w:shd w:val="clear" w:color="auto" w:fill="auto"/>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Normal"/>
    <w:link w:val="Heading2Char"/>
    <w:uiPriority w:val="9"/>
    <w:qFormat/>
    <w:pPr>
      <w:keepNext/>
      <w:numPr>
        <w:ilvl w:val="1"/>
        <w:numId w:val="1"/>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Normal"/>
    <w:link w:val="Heading3Char"/>
    <w:uiPriority w:val="9"/>
    <w:qFormat/>
    <w:pPr>
      <w:keepNext/>
      <w:numPr>
        <w:ilvl w:val="2"/>
        <w:numId w:val="1"/>
      </w:numPr>
      <w:spacing w:before="120" w:after="120" w:line="240" w:lineRule="auto"/>
      <w:jc w:val="both"/>
      <w:outlineLvl w:val="2"/>
    </w:pPr>
    <w:rPr>
      <w:rFonts w:ascii="Times New Roman" w:eastAsia="Times New Roman" w:hAnsi="Times New Roman" w:cs="Times New Roman"/>
      <w:bCs/>
      <w:i/>
      <w:sz w:val="24"/>
      <w:szCs w:val="20"/>
      <w:lang w:eastAsia="en-GB"/>
    </w:rPr>
  </w:style>
  <w:style w:type="paragraph" w:styleId="Heading4">
    <w:name w:val="heading 4"/>
    <w:basedOn w:val="Normal"/>
    <w:next w:val="Normal"/>
    <w:link w:val="Heading4Char"/>
    <w:uiPriority w:val="9"/>
    <w:qFormat/>
    <w:pPr>
      <w:keepNext/>
      <w:numPr>
        <w:ilvl w:val="3"/>
        <w:numId w:val="1"/>
      </w:numPr>
      <w:spacing w:before="120" w:after="120" w:line="240" w:lineRule="auto"/>
      <w:jc w:val="both"/>
      <w:outlineLvl w:val="3"/>
    </w:pPr>
    <w:rPr>
      <w:rFonts w:ascii="Times New Roman" w:eastAsia="Times New Roman" w:hAnsi="Times New Roman" w:cs="Times New Roman"/>
      <w:bCs/>
      <w:iCs/>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szCs w:val="20"/>
      <w:lang w:eastAsia="en-GB"/>
    </w:rPr>
  </w:style>
  <w:style w:type="character" w:customStyle="1" w:styleId="Heading4Char">
    <w:name w:val="Heading 4 Char"/>
    <w:basedOn w:val="DefaultParagraphFont"/>
    <w:link w:val="Heading4"/>
    <w:uiPriority w:val="9"/>
    <w:rPr>
      <w:rFonts w:ascii="Times New Roman" w:eastAsia="Times New Roman" w:hAnsi="Times New Roman" w:cs="Times New Roman"/>
      <w:bCs/>
      <w:iCs/>
      <w:sz w:val="24"/>
      <w:szCs w:val="20"/>
      <w:lang w:eastAsia="en-GB"/>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uiPriority w:val="99"/>
    <w:semiHidden/>
    <w:unhideWhenUsed/>
    <w:rPr>
      <w:shd w:val="clear" w:color="auto" w:fill="auto"/>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29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9A7BC-878B-4047-B74D-7AB5119B1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4185</Words>
  <Characters>25658</Characters>
  <Application>Microsoft Office Word</Application>
  <DocSecurity>0</DocSecurity>
  <Lines>427</Lines>
  <Paragraphs>101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dcterms:created xsi:type="dcterms:W3CDTF">2018-05-31T15:52:00Z</dcterms:created>
  <dcterms:modified xsi:type="dcterms:W3CDTF">2018-07-02T13:20:00Z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name="OP_sanitized" fmtid="{D5CDD505-2E9C-101B-9397-08002B2CF9AE}" pid="6">
    <vt:lpwstr>True</vt:lpwstr>
  </property>
</Properties>
</file>