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2712BC3-61D2-4EA3-8CB2-7712A148E34E" style="width:450.8pt;height:408.85pt">
            <v:imagedata r:id="rId11" o:title=""/>
          </v:shape>
        </w:pict>
      </w:r>
    </w:p>
    <w:bookmarkEnd w:id="0"/>
    <w:p>
      <w:pPr>
        <w:pStyle w:val="Pagedecouverture"/>
        <w:rPr>
          <w:noProof/>
        </w:rPr>
        <w:sectPr>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pPr>
        <w:rPr>
          <w:noProof/>
        </w:rPr>
      </w:pPr>
      <w:bookmarkStart w:id="1" w:name="_GoBack"/>
      <w:bookmarkEnd w:id="1"/>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Sažetak</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b/>
                <w:noProof/>
                <w:sz w:val="20"/>
                <w:szCs w:val="20"/>
              </w:rPr>
            </w:pPr>
            <w:r>
              <w:rPr>
                <w:rFonts w:ascii="Tahoma" w:hAnsi="Tahoma"/>
                <w:noProof/>
                <w:color w:val="FFFFFF" w:themeColor="background1"/>
                <w:sz w:val="20"/>
              </w:rPr>
              <w:t>Procjena učinka Prijedloga uredbe Vijeća o izmjeni Uredbe Vijeća (EU) br. 904/2010 o administrativnoj suradnji i suzbijanju prijevare u području poreza na dodanu vrijednost</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A. Potreba za djelovanjem</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b/>
                <w:noProof/>
                <w:sz w:val="20"/>
              </w:rPr>
              <w:t xml:space="preserve">Zašto? Koji se problem rješava?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Prijevare u području PDV-a stalan su problem na razini EU-a koji dovodi do procijenjenih 160 milijardi EUR gubitaka, od čega se od 40 do 60 milijardi odnosi na prekogranične prijevare u području PDV-a. Temeljni su uzroci te situacije nedostaci svojstveni „prijelaznim odredbama” Direktive o PDV-u kojima se u trgovini unutar EU-a dopušta prodaja robe i usluga oslobođena plaćanja PDV-a. Prijedlogom se obrađuju tri glavna problema:</w:t>
            </w:r>
          </w:p>
          <w:p>
            <w:pPr>
              <w:pStyle w:val="ListParagraph"/>
              <w:numPr>
                <w:ilvl w:val="0"/>
                <w:numId w:val="3"/>
              </w:numPr>
              <w:spacing w:line="280" w:lineRule="exact"/>
              <w:jc w:val="both"/>
              <w:rPr>
                <w:rFonts w:ascii="Arial" w:hAnsi="Arial" w:cs="Arial"/>
                <w:noProof/>
                <w:sz w:val="20"/>
                <w:szCs w:val="20"/>
              </w:rPr>
            </w:pPr>
            <w:r>
              <w:rPr>
                <w:rFonts w:ascii="Arial" w:hAnsi="Arial"/>
                <w:noProof/>
                <w:sz w:val="20"/>
              </w:rPr>
              <w:t>„prijevara s nepostojećim trgovcem unutar Zajednice” (prijevara MTIC ili „kružna prijevara”) u kojoj kupac u prekograničnoj nabavi kupuje robu ili usluge izuzete od PDV-a, a zatim PDV bez uplaćivanja poreznim tijelima naplaćuje kupcima koji taj PDV mogu odbiti;</w:t>
            </w:r>
          </w:p>
          <w:p>
            <w:pPr>
              <w:pStyle w:val="ListParagraph"/>
              <w:numPr>
                <w:ilvl w:val="0"/>
                <w:numId w:val="3"/>
              </w:numPr>
              <w:spacing w:line="280" w:lineRule="exact"/>
              <w:jc w:val="both"/>
              <w:rPr>
                <w:rFonts w:ascii="Arial" w:hAnsi="Arial" w:cs="Arial"/>
                <w:noProof/>
                <w:sz w:val="20"/>
                <w:szCs w:val="20"/>
              </w:rPr>
            </w:pPr>
            <w:r>
              <w:rPr>
                <w:rFonts w:ascii="Arial" w:hAnsi="Arial"/>
                <w:noProof/>
                <w:sz w:val="20"/>
              </w:rPr>
              <w:t>prijevara u prodaji rabljenih automobila u kojoj se oporezuje samo marža, a ne cijeli iznos prodaje i</w:t>
            </w:r>
          </w:p>
          <w:p>
            <w:pPr>
              <w:pStyle w:val="ListParagraph"/>
              <w:numPr>
                <w:ilvl w:val="0"/>
                <w:numId w:val="3"/>
              </w:numPr>
              <w:spacing w:line="280" w:lineRule="exact"/>
              <w:jc w:val="both"/>
              <w:rPr>
                <w:rFonts w:ascii="Arial" w:hAnsi="Arial" w:cs="Arial"/>
                <w:noProof/>
                <w:sz w:val="20"/>
                <w:szCs w:val="20"/>
              </w:rPr>
            </w:pPr>
            <w:r>
              <w:rPr>
                <w:rFonts w:ascii="Arial" w:hAnsi="Arial"/>
                <w:noProof/>
                <w:sz w:val="20"/>
              </w:rPr>
              <w:t xml:space="preserve">prijevara s carinskim postupcima 42 ili 63 u okviru koje se u zemlji uvoza ne plaća PDV, kako je slučaj u redovnom režimu PDV-a, jer se roba dostavlja poduzeću u drugoj državi članici.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Što se nastoji postići ovom inicijativom?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Cilj je inicijative pružiti carinskim upravama djelotvornije i učinkovitije instrumente za borbu protiv tri glavna izvora prijevara u području PDV-a koje se odvijaju u prekograničnim situacijama. Boljom uporabom i razmjenom informacija među tijelima te osnaživanjem Eurofisc-a poreznim upravama država članica omogućit će se bolje utvrđivanje počinitelja prijevara, zaustavljanje prijevara i u konačnici osigurati ravnopravne uvjete za poduzeća.</w:t>
            </w:r>
            <w:r>
              <w:rPr>
                <w:noProof/>
                <w:sz w:val="20"/>
              </w:rPr>
              <w:t xml:space="preserve">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Koja je dodana vrijednost djelovanja na razini EU-a?</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Iako su upravljanje, ubiranje i provjere PDV-a prvenstveno u nadležnosti država članica, prijevare u području PDV-a su često povezane s prekograničnim transakcijama unutar jedinstvenog tržišta. To šteti funkcioniranju jedinstvenog tržišta i uzrokuje ozbiljne gubitke za proračun EU-a. Stoga je EU uveo instrumente suradnje za organiziranje razmjena informacija među poreznim upravama i potporu zajedničkim revizijama i Eurofisc-u. Poboljšavanjem učinkovitosti tih alata na razini EU-a, posebno osnaživanjem Eurofisc-a, ostvarila bi se veća vrijednost nego što je moguće ostvariti na razini država članica.</w:t>
            </w:r>
          </w:p>
        </w:tc>
      </w:tr>
    </w:tbl>
    <w:p>
      <w:pPr>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B. Rješenja</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Koje su se zakonodavne i nezakonodavne opcije razmatrale? Postoji li najpoželjnija opcija? Zašto?</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Utvrđeno je pet glavnih opcija s podopcijama. Objedinjene u paket, sljedeće bi opcije poboljšale trenutačnu situaciju u pogledu prekograničnih prijevara u području PDV-a:</w:t>
            </w:r>
          </w:p>
          <w:p>
            <w:pPr>
              <w:pStyle w:val="ListParagraph"/>
              <w:numPr>
                <w:ilvl w:val="0"/>
                <w:numId w:val="1"/>
              </w:numPr>
              <w:spacing w:line="280" w:lineRule="exact"/>
              <w:jc w:val="both"/>
              <w:rPr>
                <w:rFonts w:ascii="Arial" w:hAnsi="Arial" w:cs="Arial"/>
                <w:noProof/>
                <w:sz w:val="20"/>
                <w:szCs w:val="20"/>
              </w:rPr>
            </w:pPr>
            <w:r>
              <w:rPr>
                <w:rFonts w:ascii="Arial" w:hAnsi="Arial"/>
                <w:noProof/>
                <w:sz w:val="20"/>
              </w:rPr>
              <w:t>provedba zajedničke obrade i analize podataka u okviru Eurofisc-a;</w:t>
            </w:r>
          </w:p>
          <w:p>
            <w:pPr>
              <w:pStyle w:val="ListParagraph"/>
              <w:numPr>
                <w:ilvl w:val="0"/>
                <w:numId w:val="1"/>
              </w:numPr>
              <w:spacing w:line="280" w:lineRule="exact"/>
              <w:jc w:val="both"/>
              <w:rPr>
                <w:rFonts w:ascii="Arial" w:hAnsi="Arial" w:cs="Arial"/>
                <w:noProof/>
                <w:sz w:val="20"/>
                <w:szCs w:val="20"/>
              </w:rPr>
            </w:pPr>
            <w:r>
              <w:rPr>
                <w:rFonts w:ascii="Arial" w:hAnsi="Arial"/>
                <w:noProof/>
                <w:sz w:val="20"/>
              </w:rPr>
              <w:t>provedba novih zajedničkih mjera revizije za porezne uprave i poboljšavanje njihove međusobne koordinacije u Eurofisc-u;</w:t>
            </w:r>
          </w:p>
          <w:p>
            <w:pPr>
              <w:pStyle w:val="ListParagraph"/>
              <w:numPr>
                <w:ilvl w:val="0"/>
                <w:numId w:val="1"/>
              </w:numPr>
              <w:spacing w:line="280" w:lineRule="exact"/>
              <w:jc w:val="both"/>
              <w:rPr>
                <w:rFonts w:ascii="Arial" w:hAnsi="Arial" w:cs="Arial"/>
                <w:noProof/>
                <w:sz w:val="20"/>
                <w:szCs w:val="20"/>
              </w:rPr>
            </w:pPr>
            <w:r>
              <w:rPr>
                <w:rFonts w:ascii="Arial" w:hAnsi="Arial"/>
                <w:noProof/>
                <w:sz w:val="20"/>
              </w:rPr>
              <w:t>razvoj razmjene informacija i obavještajnih podataka među poreznim upravama država članica u Eurofisc-u i s tijelima kaznenog progona na razini EU-a;</w:t>
            </w:r>
          </w:p>
          <w:p>
            <w:pPr>
              <w:pStyle w:val="ListParagraph"/>
              <w:numPr>
                <w:ilvl w:val="0"/>
                <w:numId w:val="1"/>
              </w:numPr>
              <w:spacing w:line="280" w:lineRule="exact"/>
              <w:jc w:val="both"/>
              <w:rPr>
                <w:rFonts w:ascii="Arial" w:hAnsi="Arial" w:cs="Arial"/>
                <w:noProof/>
                <w:sz w:val="20"/>
                <w:szCs w:val="20"/>
              </w:rPr>
            </w:pPr>
            <w:r>
              <w:rPr>
                <w:rFonts w:ascii="Arial" w:hAnsi="Arial"/>
                <w:noProof/>
                <w:sz w:val="20"/>
              </w:rPr>
              <w:t>poboljšavanje pristupa podacima o registracijama vozila;</w:t>
            </w:r>
          </w:p>
          <w:p>
            <w:pPr>
              <w:pStyle w:val="ListParagraph"/>
              <w:numPr>
                <w:ilvl w:val="0"/>
                <w:numId w:val="1"/>
              </w:numPr>
              <w:spacing w:line="280" w:lineRule="exact"/>
              <w:jc w:val="both"/>
              <w:rPr>
                <w:rFonts w:ascii="Arial" w:hAnsi="Arial" w:cs="Arial"/>
                <w:noProof/>
                <w:sz w:val="20"/>
                <w:szCs w:val="20"/>
              </w:rPr>
            </w:pPr>
            <w:r>
              <w:rPr>
                <w:rFonts w:ascii="Arial" w:hAnsi="Arial"/>
                <w:noProof/>
                <w:sz w:val="20"/>
              </w:rPr>
              <w:t xml:space="preserve">razmjena informacija o prijavama PDV-a i carinskih informacija u odnosu na </w:t>
            </w:r>
            <w:bookmarkStart w:id="2" w:name="_Toc486230711"/>
            <w:bookmarkStart w:id="3" w:name="_Toc487638296"/>
            <w:r>
              <w:rPr>
                <w:rFonts w:ascii="Arial" w:hAnsi="Arial"/>
                <w:noProof/>
                <w:sz w:val="20"/>
              </w:rPr>
              <w:t>carinske postupke 42 i 63 među carinskim i poreznim tijelima.</w:t>
            </w:r>
          </w:p>
          <w:bookmarkEnd w:id="2"/>
          <w:bookmarkEnd w:id="3"/>
          <w:p>
            <w:pPr>
              <w:spacing w:line="280" w:lineRule="exact"/>
              <w:jc w:val="both"/>
              <w:rPr>
                <w:rFonts w:ascii="Arial" w:hAnsi="Arial" w:cs="Arial"/>
                <w:noProof/>
                <w:sz w:val="20"/>
                <w:szCs w:val="20"/>
              </w:rPr>
            </w:pPr>
          </w:p>
        </w:tc>
      </w:tr>
      <w:tr>
        <w:tc>
          <w:tcPr>
            <w:tcW w:w="10188" w:type="dxa"/>
            <w:shd w:val="clear" w:color="auto" w:fill="CCCCCC"/>
          </w:tcPr>
          <w:p>
            <w:pPr>
              <w:spacing w:before="60"/>
              <w:jc w:val="both"/>
              <w:rPr>
                <w:rFonts w:ascii="Tahoma" w:hAnsi="Tahoma" w:cs="Tahoma"/>
                <w:noProof/>
                <w:sz w:val="20"/>
                <w:szCs w:val="20"/>
              </w:rPr>
            </w:pPr>
            <w:r>
              <w:rPr>
                <w:rFonts w:ascii="Tahoma" w:hAnsi="Tahoma"/>
                <w:b/>
                <w:noProof/>
                <w:sz w:val="20"/>
              </w:rPr>
              <w:t>Tko podržava koju opciju?</w:t>
            </w:r>
            <w:r>
              <w:rPr>
                <w:rFonts w:ascii="Tahoma" w:hAnsi="Tahoma"/>
                <w:noProof/>
                <w:sz w:val="20"/>
              </w:rPr>
              <w:t xml:space="preserve">  </w:t>
            </w:r>
          </w:p>
        </w:tc>
      </w:tr>
      <w:tr>
        <w:tc>
          <w:tcPr>
            <w:tcW w:w="10188" w:type="dxa"/>
            <w:shd w:val="clear" w:color="auto" w:fill="auto"/>
          </w:tcPr>
          <w:p>
            <w:pPr>
              <w:spacing w:line="280" w:lineRule="exact"/>
              <w:jc w:val="both"/>
              <w:rPr>
                <w:rFonts w:ascii="Arial" w:hAnsi="Arial" w:cs="Arial"/>
                <w:noProof/>
                <w:sz w:val="20"/>
                <w:szCs w:val="20"/>
              </w:rPr>
            </w:pPr>
            <w:r>
              <w:rPr>
                <w:rFonts w:ascii="Arial" w:hAnsi="Arial"/>
                <w:noProof/>
                <w:sz w:val="20"/>
              </w:rPr>
              <w:t xml:space="preserve">Države članice podržavaju provedbu zajedničke obrade podataka i uvođenje mjera za borbu protiv prijevara koje uključuju carinske postupke 42 i 63. Usto, države članice izrazile su potporu za pristup podacima o registracijama vozila, no u manjoj mjeri. </w:t>
            </w:r>
          </w:p>
          <w:p>
            <w:pPr>
              <w:spacing w:line="280" w:lineRule="exact"/>
              <w:jc w:val="both"/>
              <w:rPr>
                <w:rFonts w:ascii="Arial" w:hAnsi="Arial" w:cs="Arial"/>
                <w:noProof/>
                <w:sz w:val="20"/>
                <w:szCs w:val="20"/>
              </w:rPr>
            </w:pPr>
            <w:r>
              <w:rPr>
                <w:rFonts w:ascii="Arial" w:hAnsi="Arial"/>
                <w:noProof/>
                <w:sz w:val="20"/>
              </w:rPr>
              <w:t xml:space="preserve">Ostali dionici podržavaju provedbu novih automatskih razmjena informacija i nove načine za suradnju poreznih tijela i tijela kaznenog progona. Dionici podržavaju veću ulogu Eurofisc-a. Izrazili su i pozitivno mišljenje o zajedničkim revizijama. </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C. Učinci najpoželjnije opcije</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Koje su prednosti najpoželjnije opcije (ako postoji, inače prednosti glavnih opcija)?</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 xml:space="preserve">Precizna procjena i kvantifikacija koristi od glavnih najpoželjnijih opcija nisu moguće. </w:t>
            </w:r>
          </w:p>
          <w:p>
            <w:pPr>
              <w:spacing w:line="280" w:lineRule="exact"/>
              <w:jc w:val="both"/>
              <w:rPr>
                <w:rFonts w:ascii="Arial" w:hAnsi="Arial" w:cs="Arial"/>
                <w:noProof/>
                <w:sz w:val="20"/>
                <w:szCs w:val="20"/>
              </w:rPr>
            </w:pPr>
            <w:r>
              <w:rPr>
                <w:rFonts w:ascii="Arial" w:hAnsi="Arial"/>
                <w:noProof/>
                <w:sz w:val="20"/>
                <w:u w:val="single"/>
              </w:rPr>
              <w:t>Države članice</w:t>
            </w:r>
            <w:r>
              <w:rPr>
                <w:rFonts w:ascii="Arial" w:hAnsi="Arial"/>
                <w:noProof/>
                <w:sz w:val="20"/>
              </w:rPr>
              <w:t xml:space="preserve">: glavne opcije obuhvaćene ovom inicijativom trebale bi brzo i učinkovito poboljšati situaciju u pogledu prekograničnih prijevara u području PDV-a i tako povećati prihode od PDV-a. </w:t>
            </w:r>
          </w:p>
          <w:p>
            <w:pPr>
              <w:spacing w:line="280" w:lineRule="exact"/>
              <w:jc w:val="both"/>
              <w:rPr>
                <w:rFonts w:ascii="Arial" w:hAnsi="Arial" w:cs="Arial"/>
                <w:noProof/>
                <w:sz w:val="20"/>
                <w:szCs w:val="20"/>
              </w:rPr>
            </w:pPr>
            <w:r>
              <w:rPr>
                <w:rFonts w:ascii="Arial" w:hAnsi="Arial"/>
                <w:noProof/>
                <w:sz w:val="20"/>
                <w:u w:val="single"/>
              </w:rPr>
              <w:t>Poduzeća</w:t>
            </w:r>
            <w:r>
              <w:rPr>
                <w:rFonts w:ascii="Arial" w:hAnsi="Arial"/>
                <w:noProof/>
                <w:sz w:val="20"/>
              </w:rPr>
              <w:t xml:space="preserve">: bolja usmjerenost na počinitelje prijevara mogla bi smanjiti troškove usklađivanja za poduzeća uključena u trgovinu unutar Unije. </w:t>
            </w:r>
          </w:p>
          <w:p>
            <w:pPr>
              <w:spacing w:line="280" w:lineRule="exact"/>
              <w:jc w:val="both"/>
              <w:rPr>
                <w:rFonts w:ascii="Arial" w:hAnsi="Arial" w:cs="Arial"/>
                <w:noProof/>
                <w:sz w:val="20"/>
                <w:szCs w:val="20"/>
                <w:u w:val="single"/>
              </w:rPr>
            </w:pPr>
            <w:r>
              <w:rPr>
                <w:rFonts w:ascii="Arial" w:hAnsi="Arial"/>
                <w:noProof/>
                <w:sz w:val="20"/>
                <w:u w:val="single"/>
              </w:rPr>
              <w:t>Jedinstveno tržište</w:t>
            </w:r>
            <w:r>
              <w:rPr>
                <w:rFonts w:ascii="Arial" w:hAnsi="Arial"/>
                <w:noProof/>
                <w:sz w:val="20"/>
              </w:rPr>
              <w:t>: očekuje se pozitivan učinak na funkcioniranje jedinstvenog tržišta jer bi se borbom protiv prijevara u području PDV-a osiguralo ravnopravnije tržišno natjecanje za poduzeća diljem EU-a koja se pridržavaju pravila.</w:t>
            </w:r>
            <w:r>
              <w:rPr>
                <w:rFonts w:ascii="Arial" w:hAnsi="Arial"/>
                <w:noProof/>
                <w:sz w:val="20"/>
                <w:u w:val="single"/>
              </w:rPr>
              <w:t xml:space="preserve"> </w:t>
            </w:r>
          </w:p>
          <w:p>
            <w:pPr>
              <w:spacing w:line="280" w:lineRule="exact"/>
              <w:jc w:val="both"/>
              <w:rPr>
                <w:rFonts w:ascii="Arial" w:hAnsi="Arial" w:cs="Arial"/>
                <w:noProof/>
                <w:sz w:val="20"/>
                <w:szCs w:val="20"/>
              </w:rPr>
            </w:pPr>
            <w:r>
              <w:rPr>
                <w:rFonts w:ascii="Arial" w:hAnsi="Arial"/>
                <w:noProof/>
                <w:sz w:val="20"/>
              </w:rPr>
              <w:t xml:space="preserve">Okolišni i socijalni učinci su neznatni. </w:t>
            </w:r>
          </w:p>
        </w:tc>
      </w:tr>
    </w:tbl>
    <w:p>
      <w:pPr>
        <w:widowControl w:val="0"/>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Koji su troškovi najpoželjnije opcije (ako postoji, inače troškovi glavnih opcija)?</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u w:val="single"/>
              </w:rPr>
              <w:t>Poduzeća</w:t>
            </w:r>
            <w:r>
              <w:rPr>
                <w:rFonts w:ascii="Arial" w:hAnsi="Arial"/>
                <w:noProof/>
                <w:sz w:val="20"/>
              </w:rPr>
              <w:t>: nema dodatnih troškova. Prijedlogom će se ostvariti uvjeti za bolje iskorištavanje i analize informacija koje su već na raspolaganju.</w:t>
            </w:r>
          </w:p>
          <w:p>
            <w:pPr>
              <w:spacing w:line="280" w:lineRule="exact"/>
              <w:jc w:val="both"/>
              <w:rPr>
                <w:rFonts w:ascii="Arial" w:hAnsi="Arial" w:cs="Arial"/>
                <w:i/>
                <w:noProof/>
                <w:sz w:val="20"/>
                <w:szCs w:val="20"/>
              </w:rPr>
            </w:pPr>
            <w:r>
              <w:rPr>
                <w:rFonts w:ascii="Arial" w:hAnsi="Arial"/>
                <w:noProof/>
                <w:sz w:val="20"/>
                <w:u w:val="single"/>
              </w:rPr>
              <w:t>Države članice</w:t>
            </w:r>
            <w:r>
              <w:rPr>
                <w:rFonts w:ascii="Arial" w:hAnsi="Arial"/>
                <w:noProof/>
                <w:sz w:val="20"/>
              </w:rPr>
              <w:t>: provedba zajedničke obrade podataka u okviru Eurofisc-a ne bi uzrokovala dodatne troškove jer su ti troškovi već pokriveni programom Fiscalis. Podaci o registracijama vozila i carinski podaci već su raspoloživi. Odobravanje poreznim upravama automatskog pristupa tim informacijama zahtijevalo bi razvoj informacijskih tehnologija, ali ograničenog opsega. No troškove nije moguće procijeniti jer nije moguće pronaći nedavne usporedive podatke ili ih države članice ne mogu pružiti.</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Kako će to utjecati na poduzeća, MSP-ove i mikropoduzeća?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 xml:space="preserve">Ne očekuje se negativan učinak inicijative na poduzeća, MSP-ove i mikropoduzeća jer njome ne bi trebali nastati dodatno administrativno opterećenje i troškovi usklađivanja. </w:t>
            </w:r>
          </w:p>
          <w:p>
            <w:pPr>
              <w:spacing w:line="280" w:lineRule="exact"/>
              <w:jc w:val="both"/>
              <w:rPr>
                <w:rFonts w:ascii="Arial" w:hAnsi="Arial" w:cs="Arial"/>
                <w:i/>
                <w:noProof/>
                <w:sz w:val="20"/>
                <w:szCs w:val="20"/>
              </w:rPr>
            </w:pPr>
            <w:r>
              <w:rPr>
                <w:rFonts w:ascii="Arial" w:hAnsi="Arial"/>
                <w:noProof/>
                <w:sz w:val="20"/>
              </w:rPr>
              <w:t>Poduzeća bi trebala imati koristi od ravnopravnijeg tržišnog natjecanja i boljeg funkcioniranja unutarnjeg tržišta.</w:t>
            </w:r>
            <w:r>
              <w:rPr>
                <w:rFonts w:ascii="Arial" w:hAnsi="Arial"/>
                <w:i/>
                <w:noProof/>
                <w:sz w:val="20"/>
              </w:rPr>
              <w:t xml:space="preserve"> </w:t>
            </w: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b/>
                <w:noProof/>
                <w:sz w:val="20"/>
              </w:rPr>
              <w:t>Hoće li to bitno utjecati na državne proračune i uprave?</w:t>
            </w:r>
            <w:r>
              <w:rPr>
                <w:rFonts w:ascii="Tahoma" w:hAnsi="Tahoma"/>
                <w:noProof/>
                <w:sz w:val="20"/>
              </w:rPr>
              <w:t xml:space="preserve"> </w:t>
            </w:r>
          </w:p>
        </w:tc>
      </w:tr>
      <w:tr>
        <w:tc>
          <w:tcPr>
            <w:tcW w:w="10188" w:type="dxa"/>
            <w:shd w:val="clear" w:color="auto" w:fill="auto"/>
          </w:tcPr>
          <w:p>
            <w:pPr>
              <w:spacing w:line="280" w:lineRule="exact"/>
              <w:jc w:val="both"/>
              <w:rPr>
                <w:rFonts w:ascii="Arial" w:hAnsi="Arial" w:cs="Arial"/>
                <w:noProof/>
                <w:sz w:val="20"/>
                <w:szCs w:val="20"/>
              </w:rPr>
            </w:pPr>
            <w:r>
              <w:rPr>
                <w:rFonts w:ascii="Arial" w:hAnsi="Arial"/>
                <w:noProof/>
                <w:sz w:val="20"/>
              </w:rPr>
              <w:t xml:space="preserve">Iako neke opcije podrazumijevaju troškove razvoja, proračuni država članica imat će koristi od novih instrumenata uvedenih za borbu protiv prijevara u području PDV-a. Nije moguće brojčano izraziti te dodatne pogodnosti iako se očekuju neto koristi. </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Hoće li biti drugih bitnih učinaka?</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 xml:space="preserve">Ovaj će prijedlog dovesti do novih razmjena i zajedničkih obrada informacija o PDV-u koje bi mogle uključivati osobne podatke. To bi moglo utjecati na temeljna prava. No nove razmjene informacija i obrade podataka predviđene inicijativom bit će strogo ciljane i ograničene samo na potrebno za ostvarivanje ciljeva inicijative, to jest djelotvorno suzbijanje prekograničnih prijevara u području PDV-a. </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b/>
                <w:noProof/>
                <w:sz w:val="22"/>
              </w:rPr>
              <w:t>D. Daljnje mjere</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 xml:space="preserve">Kad će se ta politika preispitati? </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Tahoma" w:hAnsi="Tahoma" w:cs="Tahoma"/>
                <w:noProof/>
                <w:sz w:val="20"/>
                <w:szCs w:val="20"/>
              </w:rPr>
            </w:pPr>
            <w:r>
              <w:rPr>
                <w:rFonts w:ascii="Tahoma" w:hAnsi="Tahoma"/>
                <w:noProof/>
                <w:sz w:val="20"/>
              </w:rPr>
              <w:t>U skladu s člankom 59. Uredbe (EU) br. 904/2010 njezina se provedba preispituje svakih pet godina. Usto, u skladu s člankom 49. države članice moraju Komisiji dostaviti sve raspoložive informacije koje su relevantne za primjenu te Uredbe i, među ostalim, godišnje statističke podatke.</w:t>
            </w:r>
          </w:p>
        </w:tc>
      </w:tr>
    </w:tbl>
    <w:p>
      <w:pPr>
        <w:rPr>
          <w:noProof/>
        </w:rPr>
      </w:pPr>
    </w:p>
    <w:sectPr>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1A48"/>
    <w:multiLevelType w:val="hybridMultilevel"/>
    <w:tmpl w:val="ED38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4144FD"/>
    <w:multiLevelType w:val="hybridMultilevel"/>
    <w:tmpl w:val="DB68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C08619C"/>
    <w:multiLevelType w:val="hybridMultilevel"/>
    <w:tmpl w:val="2098CDA8"/>
    <w:lvl w:ilvl="0" w:tplc="A15487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476167F"/>
    <w:multiLevelType w:val="hybridMultilevel"/>
    <w:tmpl w:val="E9F042E8"/>
    <w:lvl w:ilvl="0" w:tplc="A15487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Prilo\u382?en dokumentu"/>
    <w:docVar w:name="LW_CORRIGENDUM" w:val="&lt;UNUSED&gt;"/>
    <w:docVar w:name="LW_COVERPAGE_EXISTS" w:val="True"/>
    <w:docVar w:name="LW_COVERPAGE_GUID" w:val="82712BC3-61D2-4EA3-8CB2-7712A148E34E"/>
    <w:docVar w:name="LW_COVERPAGE_TYPE" w:val="1"/>
    <w:docVar w:name="LW_CROSSREFERENCE" w:val="{COM(2017) 706 final}_x000b_{SWD(2017) 428 final}"/>
    <w:docVar w:name="LW_DocType" w:val="NORMAL"/>
    <w:docVar w:name="LW_EMISSION" w:val="30.11.2017."/>
    <w:docVar w:name="LW_EMISSION_ISODATE" w:val="2017-11-30"/>
    <w:docVar w:name="LW_EMISSION_LOCATION" w:val="BRX"/>
    <w:docVar w:name="LW_EMISSION_PREFIX" w:val="Bruxelles, "/>
    <w:docVar w:name="LW_EMISSION_SUFFIX" w:val="&lt;EMPTY&gt;"/>
    <w:docVar w:name="LW_ID_DOCTYPE_NONLW" w:val="CP-027"/>
    <w:docVar w:name="LW_LANGUE" w:val="HR"/>
    <w:docVar w:name="LW_LEVEL_OF_SENSITIVITY" w:val="Standard treatment"/>
    <w:docVar w:name="LW_NOM.INST" w:val="EUROPSKA KOMISIJA"/>
    <w:docVar w:name="LW_NOM.INST_JOINTDOC" w:val="&lt;EMPTY&gt;"/>
    <w:docVar w:name="LW_OBJETACTEPRINCIPAL.CP" w:val="o izmjeni Uredbe Vije\u263?a (EU) br. 904/2010 o administrativnoj suradnji i suzbijanju prijevare u podru\u269?ju poreza na dodanu vrijednost"/>
    <w:docVar w:name="LW_PART_NBR" w:val="1"/>
    <w:docVar w:name="LW_PART_NBR_TOTAL" w:val="1"/>
    <w:docVar w:name="LW_REF.INST.NEW" w:val="SWD"/>
    <w:docVar w:name="LW_REF.INST.NEW_ADOPTED" w:val="final"/>
    <w:docVar w:name="LW_REF.INST.NEW_TEXT" w:val="(2017) 4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RADNI DOKUMENT SLU\u381?BI KOMISIJE_x000b__x000b_SA\u381?ETAK PROCJENE UTJECAJA_x000b_"/>
    <w:docVar w:name="LW_TYPEACTEPRINCIPAL.CP" w:val="Izmijenjeni prijedlog Uredbe Vije\u263?a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pPr>
      <w:spacing w:after="240" w:line="280" w:lineRule="exact"/>
      <w:jc w:val="both"/>
      <w:outlineLvl w:val="1"/>
    </w:pPr>
    <w:rPr>
      <w:rFonts w:eastAsiaTheme="majorEastAsia"/>
      <w:b/>
      <w:bCs/>
      <w:sz w:val="22"/>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hr-H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b/>
      <w:bCs/>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hr-HR"/>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pPr>
      <w:spacing w:after="240" w:line="280" w:lineRule="exact"/>
      <w:jc w:val="both"/>
      <w:outlineLvl w:val="1"/>
    </w:pPr>
    <w:rPr>
      <w:rFonts w:eastAsiaTheme="majorEastAsia"/>
      <w:b/>
      <w:bCs/>
      <w:sz w:val="22"/>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hr-H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b/>
      <w:bCs/>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hr-HR"/>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5EF4959E7CFD845856F3BE47146C716" ma:contentTypeVersion="1" ma:contentTypeDescription="Create a new document in this library." ma:contentTypeScope="" ma:versionID="1754e5ff0a4b075aa19c18a670fedc3d">
  <xsd:schema xmlns:xsd="http://www.w3.org/2001/XMLSchema" xmlns:xs="http://www.w3.org/2001/XMLSchema" xmlns:p="http://schemas.microsoft.com/office/2006/metadata/properties" xmlns:ns3="75cd4fff-5666-4db4-b5ad-db4cdbd98c70" targetNamespace="http://schemas.microsoft.com/office/2006/metadata/properties" ma:root="true" ma:fieldsID="858d0a9dde80d806be8ce94973168f65" ns3:_="">
    <xsd:import namespace="75cd4fff-5666-4db4-b5ad-db4cdbd98c70"/>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d4fff-5666-4db4-b5ad-db4cdbd98c7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75cd4fff-5666-4db4-b5ad-db4cdbd98c70">EN</EC_Collab_DocumentLanguage>
    <EC_Collab_Status xmlns="75cd4fff-5666-4db4-b5ad-db4cdbd98c70">Not Started</EC_Collab_Status>
    <EC_Collab_Reference xmlns="75cd4fff-5666-4db4-b5ad-db4cdbd98c70" xsi:nil="true"/>
  </documentManagement>
</p:properties>
</file>

<file path=customXml/itemProps1.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2.xml><?xml version="1.0" encoding="utf-8"?>
<ds:datastoreItem xmlns:ds="http://schemas.openxmlformats.org/officeDocument/2006/customXml" ds:itemID="{B79A3BAA-65AE-4EC3-9310-36A8AE798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d4fff-5666-4db4-b5ad-db4cdbd98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228E3-FEEC-429F-8C93-CFCC37DE565D}">
  <ds:schemaRefs>
    <ds:schemaRef ds:uri="http://schemas.microsoft.com/office/2006/metadata/properties"/>
    <ds:schemaRef ds:uri="http://schemas.microsoft.com/office/infopath/2007/PartnerControls"/>
    <ds:schemaRef ds:uri="75cd4fff-5666-4db4-b5ad-db4cdbd98c7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950</Words>
  <Characters>5858</Characters>
  <Application>Microsoft Office Word</Application>
  <DocSecurity>0</DocSecurity>
  <Lines>91</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17</cp:revision>
  <dcterms:created xsi:type="dcterms:W3CDTF">2017-11-10T15:48:00Z</dcterms:created>
  <dcterms:modified xsi:type="dcterms:W3CDTF">2017-12-04T17:03:00Z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0x010100258AA79CEB83498886A3A086811232500055EF4959E7CFD845856F3BE47146C716</vt:lpwstr>
  </property>
  <property fmtid="{D5CDD505-2E9C-101B-9397-08002B2CF9AE}" pid="10" name="TemplateUrl">
    <vt:lpwstr/>
  </property>
  <property fmtid="{D5CDD505-2E9C-101B-9397-08002B2CF9AE}" pid="11" name="Level of sensitivity">
    <vt:lpwstr>Standard treatment</vt:lpwstr>
  </property>
  <property name="OP_sanitized" fmtid="{D5CDD505-2E9C-101B-9397-08002B2CF9AE}" pid="12">
    <vt:lpwstr>True</vt:lpwstr>
  </property>
</Properties>
</file>