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5F88C14-3C0E-4405-8041-113712B770E9" style="width:450.45pt;height:320.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0"/>
          <w:cols w:space="720"/>
          <w:docGrid w:linePitch="326"/>
        </w:sectPr>
      </w:pPr>
    </w:p>
    <w:p>
      <w:pPr>
        <w:pStyle w:val="ListParagraph"/>
        <w:numPr>
          <w:ilvl w:val="0"/>
          <w:numId w:val="2"/>
        </w:numPr>
        <w:jc w:val="both"/>
        <w:rPr>
          <w:rFonts w:ascii="Times New Roman" w:eastAsia="Times New Roman" w:hAnsi="Times New Roman" w:cs="Times New Roman"/>
          <w:b/>
          <w:bCs/>
          <w:smallCaps/>
          <w:noProof/>
        </w:rPr>
      </w:pPr>
      <w:bookmarkStart w:id="1" w:name="_GoBack"/>
      <w:bookmarkEnd w:id="1"/>
      <w:r>
        <w:rPr>
          <w:rFonts w:ascii="Times New Roman" w:hAnsi="Times New Roman"/>
          <w:b/>
          <w:smallCaps/>
          <w:noProof/>
        </w:rPr>
        <w:lastRenderedPageBreak/>
        <w:t>Uvod</w:t>
      </w:r>
    </w:p>
    <w:p>
      <w:pPr>
        <w:pStyle w:val="Body"/>
        <w:jc w:val="both"/>
        <w:rPr>
          <w:rFonts w:ascii="Times New Roman" w:hAnsi="Times New Roman"/>
          <w:noProof/>
        </w:rPr>
      </w:pPr>
      <w:r>
        <w:rPr>
          <w:rFonts w:ascii="Times New Roman" w:hAnsi="Times New Roman"/>
          <w:noProof/>
        </w:rPr>
        <w:t xml:space="preserve">Europa se sve više suočava s dramatičnim posljedicama snažnih i nepredvidljivih ekstremnih vremenskih nepogoda i potresa koji dovode do gubitka života i uništenja imovine i kulturne baštine. Zbog toga su brojni ljudi poginuli, a mnogima je ugrožena egzistencija. Europski narodi odlučili su izgraditi Europsku uniju (EU) radi promicanja zajedničke dobrobiti te kako bi se mogli zajedno suočiti s teškoćama i postati snažniji na temelju jedinstva i solidarnosti. Europa koja štiti mora imati sredstva za odlučni odgovor. </w:t>
      </w:r>
    </w:p>
    <w:p>
      <w:pPr>
        <w:pStyle w:val="Body"/>
        <w:jc w:val="both"/>
        <w:rPr>
          <w:rFonts w:ascii="Times New Roman" w:hAnsi="Times New Roman"/>
          <w:noProof/>
        </w:rPr>
      </w:pPr>
      <w:r>
        <w:rPr>
          <w:rFonts w:ascii="Times New Roman" w:hAnsi="Times New Roman"/>
          <w:noProof/>
        </w:rPr>
        <w:t>Klimatske promjene pojačavaju učinke ekstremnih vremenskih nepogoda u Europi i cijelom svijetu</w:t>
      </w:r>
      <w:r>
        <w:rPr>
          <w:rFonts w:ascii="Times New Roman" w:hAnsi="Times New Roman"/>
          <w:noProof/>
          <w:vertAlign w:val="superscript"/>
        </w:rPr>
        <w:footnoteReference w:id="2"/>
      </w:r>
      <w:r>
        <w:rPr>
          <w:rFonts w:ascii="Times New Roman" w:hAnsi="Times New Roman"/>
          <w:noProof/>
        </w:rPr>
        <w:t>. Ključni trendovi pokazuju kako klimatske promjene pridonose sve intenzivnijim šumskim požarima i duljem trajanju sezone požara u južnoj Europi, proširenju rizičnih područja za požare prema sjeveru te jačim olujama i riziku od poplava.</w:t>
      </w:r>
      <w:r>
        <w:rPr>
          <w:rFonts w:ascii="Times New Roman" w:hAnsi="Times New Roman"/>
          <w:noProof/>
          <w:vertAlign w:val="superscript"/>
        </w:rPr>
        <w:footnoteReference w:id="3"/>
      </w:r>
      <w:r>
        <w:rPr>
          <w:rFonts w:ascii="Times New Roman" w:hAnsi="Times New Roman"/>
          <w:noProof/>
        </w:rPr>
        <w:t xml:space="preserve"> Države EU-a izgubile su od 1980., povrh ljudskih života, više od 360 milijardi EUR zbog ekstremnih vremenskih i klimatskih nepogoda.</w:t>
      </w:r>
      <w:r>
        <w:rPr>
          <w:rFonts w:ascii="Times New Roman" w:hAnsi="Times New Roman"/>
          <w:noProof/>
          <w:vertAlign w:val="superscript"/>
        </w:rPr>
        <w:footnoteReference w:id="4"/>
      </w:r>
      <w:r>
        <w:rPr>
          <w:rFonts w:ascii="Times New Roman" w:hAnsi="Times New Roman"/>
          <w:noProof/>
        </w:rPr>
        <w:t xml:space="preserve"> Ekstremne nepogode poput šumskih požara istodobno pogoršavaju klimatske promjene zbog povećanih emisija stakleničkih plinova</w:t>
      </w:r>
      <w:r>
        <w:rPr>
          <w:rFonts w:ascii="Times New Roman" w:hAnsi="Times New Roman"/>
          <w:noProof/>
          <w:vertAlign w:val="superscript"/>
        </w:rPr>
        <w:footnoteReference w:id="5"/>
      </w:r>
      <w:r>
        <w:rPr>
          <w:rFonts w:ascii="Times New Roman" w:hAnsi="Times New Roman"/>
          <w:noProof/>
        </w:rPr>
        <w:t>.</w:t>
      </w:r>
    </w:p>
    <w:p>
      <w:pPr>
        <w:pStyle w:val="Body"/>
        <w:jc w:val="both"/>
        <w:rPr>
          <w:rFonts w:ascii="Times New Roman" w:eastAsia="Times New Roman" w:hAnsi="Times New Roman" w:cs="Times New Roman"/>
          <w:noProof/>
        </w:rPr>
      </w:pPr>
      <w:r>
        <w:rPr>
          <w:rFonts w:ascii="Times New Roman" w:hAnsi="Times New Roman"/>
          <w:noProof/>
        </w:rPr>
        <w:t>Tijekom 2017. zabilježen je velik broj katastrofa. U Europi je 2017. više od 200 osoba izgubilo živote zbog prirodnih katastrofa</w:t>
      </w:r>
      <w:r>
        <w:rPr>
          <w:rFonts w:ascii="Times New Roman" w:hAnsi="Times New Roman"/>
          <w:noProof/>
          <w:vertAlign w:val="superscript"/>
        </w:rPr>
        <w:footnoteReference w:id="6"/>
      </w:r>
      <w:r>
        <w:rPr>
          <w:rFonts w:ascii="Times New Roman" w:hAnsi="Times New Roman"/>
          <w:noProof/>
        </w:rPr>
        <w:t xml:space="preserve">. Nedavno su najudaljenije regije EU-a i europska prekomorska područja Kariba pogodili uragani. Uragan Ofelija uzrokovao je poplave u Irskoj i Ujedinjenoj Kraljevini i utjecao je na velike dijelove sjeverozapadne Europe. Početkom ljeta su nakon intenzivnih valova vrućine u srednjoj Europi uslijedile smrtonosne snažne oluje. </w:t>
      </w:r>
    </w:p>
    <w:p>
      <w:pPr>
        <w:pStyle w:val="Body"/>
        <w:jc w:val="both"/>
        <w:rPr>
          <w:rFonts w:ascii="Times New Roman" w:hAnsi="Times New Roman"/>
          <w:noProof/>
        </w:rPr>
      </w:pPr>
      <w:r>
        <w:rPr>
          <w:rFonts w:ascii="Times New Roman" w:hAnsi="Times New Roman"/>
          <w:noProof/>
        </w:rPr>
        <w:t>Posebno je važno istaknuti da je 2017. zabilježen niz razornih šumskih požara. Izgorjelo je više od milijun hektara šuma, gotovo tri puta više od petogodišnjeg prosjeka EU-a, od čega polovina u Portugalu. To je površina koja je četiri puta veća od površine Luksemburga ili deset puta veća od površine Berlina. Tragično je stradalo mnogo ljudi. Samo u razdoblju od lipnja do listopada u Portugalu stradalo je više od 100 osoba. Požari su uništili veliku količinu imovine i znatno su utjecali na gospodarstvo, među ostalim na mrežnu infrastrukturu, poduzeća (trgovačka i proizvođačka) te na poljoprivredne i šumske djelatnosti. Samo u Portugalu izravna gospodarska šteta od šumskih požara od lipnja do rujna procjenjuje se na otprilike 600 milijuna EUR, odnosno 0,34 % portugalskog bruto nacionalnog dohotka. Šumski požari izbijaju i na novim područjima te su 2017. zabilježeni i u dijelovima Irske i Grenlanda.</w:t>
      </w:r>
    </w:p>
    <w:p>
      <w:pPr>
        <w:pStyle w:val="Body"/>
        <w:jc w:val="both"/>
        <w:rPr>
          <w:rFonts w:ascii="Times New Roman" w:eastAsia="Times New Roman" w:hAnsi="Times New Roman" w:cs="Times New Roman"/>
          <w:noProof/>
        </w:rPr>
      </w:pPr>
      <w:r>
        <w:rPr>
          <w:rFonts w:ascii="Times New Roman" w:hAnsi="Times New Roman"/>
          <w:noProof/>
        </w:rPr>
        <w:t>Posljednje dvije godine velike štete uzrokovali su i potresi. Velik potres pogodio je središnju Italiju u kolovozu 2016., a nakon njega su sljedećih mjeseci uslijedila još tri veća potresa. Prijavljeno je da je smrtno stradalo 290 osoba. Gradovi i kulturna baština pokrajina Umbrije, Lacija i Marke uništeni su, a potresi su znatno utjecali i na gospodarstvo. Početkom prošlog ljeta potres je pogodio grčki otok Kos i susjednu Tursku. Umrlo je nekoliko osoba, stotine su ozlijeđene te je nanesena znatna šteta gospodarstvu, koje u velikoj mjeri ovisi o turizmu.</w:t>
      </w:r>
    </w:p>
    <w:p>
      <w:pPr>
        <w:pStyle w:val="Body"/>
        <w:jc w:val="both"/>
        <w:rPr>
          <w:rFonts w:ascii="Times New Roman" w:eastAsia="Times New Roman" w:hAnsi="Times New Roman" w:cs="Times New Roman"/>
          <w:noProof/>
        </w:rPr>
      </w:pPr>
      <w:r>
        <w:rPr>
          <w:rFonts w:ascii="Times New Roman" w:hAnsi="Times New Roman"/>
          <w:noProof/>
        </w:rPr>
        <w:t>Europu nisu pogodile samo prirodne katastrofe već je pretrpjela i terorističke napade s brojnim žrtvama, uključujući mnogo složenih slučajeva opekotina koje je trebalo odmah liječiti. Osim toga, virusi ebole i zike podsjetili su na rizik od epidemija i hitnih situacija povezanih sa zdravljem.</w:t>
      </w:r>
    </w:p>
    <w:p>
      <w:pPr>
        <w:pStyle w:val="Body"/>
        <w:jc w:val="both"/>
        <w:rPr>
          <w:rFonts w:ascii="Times New Roman" w:hAnsi="Times New Roman"/>
          <w:noProof/>
        </w:rPr>
      </w:pPr>
      <w:r>
        <w:rPr>
          <w:rFonts w:ascii="Times New Roman" w:hAnsi="Times New Roman"/>
          <w:noProof/>
        </w:rPr>
        <w:t>Međutim, to se ne događa samo u Europi. Učestalost i jačina nesreća povećavaju se u cijelom svijetu. Kaliforniju su ove godine pogodili uzastopni intenzivni požari na površini većoj od 200 tisuća hektara, što je više nego dva puta više od nacionalnog petogodišnjeg prosjeka</w:t>
      </w:r>
      <w:r>
        <w:rPr>
          <w:rFonts w:ascii="Times New Roman" w:hAnsi="Times New Roman"/>
          <w:noProof/>
          <w:vertAlign w:val="superscript"/>
        </w:rPr>
        <w:footnoteReference w:id="7"/>
      </w:r>
      <w:r>
        <w:rPr>
          <w:rFonts w:ascii="Times New Roman" w:hAnsi="Times New Roman"/>
          <w:noProof/>
        </w:rPr>
        <w:t>; u Brazilu je 2017. bila najgora godina prema zabilježenim požarima</w:t>
      </w:r>
      <w:r>
        <w:rPr>
          <w:rFonts w:ascii="Times New Roman" w:hAnsi="Times New Roman"/>
          <w:noProof/>
          <w:vertAlign w:val="superscript"/>
        </w:rPr>
        <w:footnoteReference w:id="8"/>
      </w:r>
      <w:r>
        <w:rPr>
          <w:rFonts w:ascii="Times New Roman" w:hAnsi="Times New Roman"/>
          <w:noProof/>
        </w:rPr>
        <w:t>; u Čileu su od srpnja 2016. do veljače 2017. šumski požari uništili više od pola milijuna hektara, a Europska unija pružila je aktivnu pomoć u borbi protiv tih požara</w:t>
      </w:r>
      <w:r>
        <w:rPr>
          <w:rFonts w:ascii="Times New Roman" w:hAnsi="Times New Roman"/>
          <w:noProof/>
          <w:vertAlign w:val="superscript"/>
        </w:rPr>
        <w:footnoteReference w:id="9"/>
      </w:r>
      <w:r>
        <w:rPr>
          <w:rFonts w:ascii="Times New Roman" w:hAnsi="Times New Roman"/>
          <w:noProof/>
        </w:rPr>
        <w:t xml:space="preserve">. Tijekom 2017. zabilježeno je i mnogo katastrofalnih poplava u Africi i Aziji i razornih potresa u cijelom svijetu, na primjer smrtonosni potresi u Meksiku u rujnu tijekom kojih je smrtno stradalo više od 270 osoba, srušeni su deseci zgrada i oštećene stotine povijesnih građevina. Potres koji je pogodio pograničnu regiju Iraka i Irana 12. studenoga ove godine uzeo je barem 420 života, ostavio više od 7 000 ozlijeđenih i oštetio tisuće kuća i objekata kulturne baštine te znatno otežao pružanje osnovnih vodoopskrbnih i energetskih usluga. Ove godine potresi su pogodili i Čile i Tursku. </w:t>
      </w:r>
    </w:p>
    <w:p>
      <w:pPr>
        <w:pStyle w:val="Body"/>
        <w:jc w:val="both"/>
        <w:rPr>
          <w:rFonts w:ascii="Times New Roman" w:eastAsia="Times New Roman" w:hAnsi="Times New Roman" w:cs="Times New Roman"/>
          <w:noProof/>
        </w:rPr>
      </w:pPr>
      <w:r>
        <w:rPr>
          <w:rFonts w:ascii="Times New Roman" w:hAnsi="Times New Roman"/>
          <w:noProof/>
        </w:rPr>
        <w:t>Budući da novi izazovi zahtijevaju nove načine djelovanja, u ovoj Komunikaciji utvrđuje se kako EU može bolje zaštititi građane od tih katastrofa. U njoj se objašnjava kako se u okviru ambicioznijeg i sveobuhvatnijeg pristupa na razini EU-a može osigurati djelotvornije i učinkovitije djelovanje i istodobno osigurati da države članice upotrebljavaju sve instrumente koje imaju na raspolaganju za prevenciju katastrofa, osiguranje pripravnosti na katastrofe i odgovor na njih.</w:t>
      </w:r>
    </w:p>
    <w:p>
      <w:pPr>
        <w:pStyle w:val="Body"/>
        <w:jc w:val="both"/>
        <w:rPr>
          <w:rFonts w:ascii="Times New Roman Bold" w:hAnsi="Times New Roman Bold"/>
          <w:b/>
          <w:smallCaps/>
          <w:noProof/>
        </w:rPr>
      </w:pPr>
      <w:r>
        <w:rPr>
          <w:rFonts w:ascii="Times New Roman Bold" w:hAnsi="Times New Roman Bold"/>
          <w:b/>
          <w:smallCaps/>
          <w:noProof/>
        </w:rPr>
        <w:t xml:space="preserve">2. </w:t>
      </w:r>
      <w:r>
        <w:rPr>
          <w:noProof/>
        </w:rPr>
        <w:tab/>
      </w:r>
      <w:r>
        <w:rPr>
          <w:rFonts w:ascii="Times New Roman Bold" w:hAnsi="Times New Roman Bold"/>
          <w:b/>
          <w:smallCaps/>
          <w:noProof/>
        </w:rPr>
        <w:t>Dosadašnji odgovor EU-a</w:t>
      </w:r>
    </w:p>
    <w:p>
      <w:pPr>
        <w:pStyle w:val="Body"/>
        <w:jc w:val="both"/>
        <w:rPr>
          <w:rFonts w:ascii="Times New Roman" w:hAnsi="Times New Roman"/>
          <w:noProof/>
        </w:rPr>
      </w:pPr>
      <w:r>
        <w:rPr>
          <w:rFonts w:ascii="Times New Roman" w:hAnsi="Times New Roman"/>
          <w:noProof/>
        </w:rPr>
        <w:t>Državama članicama i trećim zemljama na raspolaganju je Mehanizam Europske unije za civilnu zaštitu</w:t>
      </w:r>
      <w:r>
        <w:rPr>
          <w:rStyle w:val="FootnoteReference"/>
          <w:rFonts w:ascii="Times New Roman" w:hAnsi="Times New Roman"/>
          <w:noProof/>
        </w:rPr>
        <w:footnoteReference w:id="10"/>
      </w:r>
      <w:r>
        <w:rPr>
          <w:rFonts w:ascii="Times New Roman" w:hAnsi="Times New Roman"/>
          <w:noProof/>
        </w:rPr>
        <w:t xml:space="preserve"> (UCPM) koji mogu aktivirati ako u slučaju katastrofe njihovi nacionalni kapaciteti nisu dostatni. On funkcionira na dobrovoljnoj osnovi tako da država članica ili treća zemlja podnese zahtjev za pomoć posredstvom Koordinacijskog centra za odgovor na hitne situacije (ERCC) Europske komisije, a druge države članice potom mogu ponuditi pomoć. Kako bi se osigurala određena predvidljivost, stvoreni su „dobrovoljno udruženi kapaciteti”. Države članice osiguravaju sredstva koja Komisija može zatražiti, ali nisu obvezne ponuditi pomoć. Često države članice nisu ni mogle ponuditi pomoć, posebno kada se više njih istodobno suočavalo s istim katastrofama.</w:t>
      </w:r>
    </w:p>
    <w:p>
      <w:pPr>
        <w:pStyle w:val="Body"/>
        <w:jc w:val="both"/>
        <w:rPr>
          <w:rFonts w:ascii="Times New Roman" w:hAnsi="Times New Roman"/>
          <w:noProof/>
        </w:rPr>
      </w:pPr>
      <w:r>
        <w:rPr>
          <w:rFonts w:ascii="Times New Roman" w:hAnsi="Times New Roman"/>
          <w:noProof/>
        </w:rPr>
        <w:t xml:space="preserve">Posljednjih godina sposobnost država članica da pomažu jedne drugima ugrožena je zbog klimatskih i drugih pojava jer su njihovi kapaciteti često dostigli granice. </w:t>
      </w:r>
    </w:p>
    <w:p>
      <w:pPr>
        <w:pStyle w:val="Body"/>
        <w:jc w:val="both"/>
        <w:rPr>
          <w:rFonts w:ascii="Times New Roman" w:hAnsi="Times New Roman"/>
          <w:noProof/>
        </w:rPr>
      </w:pPr>
      <w:r>
        <w:rPr>
          <w:rFonts w:ascii="Times New Roman" w:hAnsi="Times New Roman"/>
          <w:noProof/>
        </w:rPr>
        <w:t>Istodobno se državama članicama daju vrlo mali poticaji da ponude pomoć posredstvom Mehanizma Unije za civilnu zaštitu jer se proračunom EU-a financira samo dio troškova prijevoza. Međutim, u većini operacija nije skupo doći od točke A do točke B: operativni troškovi mnogo su veći od troškova prijevoza. Na primjer, troškovi prijevoza u veliku poljsku bolnicu samo su dio troškova rada te bolnice koji iznose otprilike 6 milijuna EUR mjesečno. Prijevoz avionom od Francuske do Portugala također je jeftin u usporedbi s troškom njegova višednevnog zadržavanja na odredištu. Proračunom EU-a ne financira se trošak uporabe tih sredstava.</w:t>
      </w:r>
    </w:p>
    <w:p>
      <w:pPr>
        <w:pStyle w:val="Body"/>
        <w:jc w:val="both"/>
        <w:rPr>
          <w:rFonts w:ascii="Times New Roman" w:hAnsi="Times New Roman"/>
          <w:noProof/>
        </w:rPr>
      </w:pPr>
      <w:r>
        <w:rPr>
          <w:rFonts w:ascii="Times New Roman" w:hAnsi="Times New Roman"/>
          <w:noProof/>
        </w:rPr>
        <w:t>Stoga se Mehanizmom Unije za civilnu zaštitu često ne ostvaruju očekivani rezultati. Na primjer, od 17 zahtjeva povezanih sa šumskim požarima ove godine, pomoć je stvarno pružena u samo 10 slučajeva. Odgovor je ponekad bio prespor. Na njega je znatno utjecala i ograničena raspoloživost zrakoplova za gašenje požara i flote u nizu pogođenih država članica, u pogledu broja ili operativnog razdoblja. Ograničenu raspoloživost zrakoplova za gašenje požara pogoršava i činjenica da ti zrakoplovi nisu lako dostupni na tržištu zbog njihove posebne prirode i visokih troškova proizvodnje. Te su okolnosti znatno utjecale na djelotvornost relevantnih, prethodno namijenjenih kapaciteta za europski koordinirani odgovor, a ukazale su i na to da na razini EU-a nema dovoljno sredstava. To pokazuje i da današnji poticaji nisu dostatni za izgradnju snažnih kapaciteta EU-a za civilnu zaštitu i za osiguranje njihove spremnosti za uporabu za odgovor na katastrofe u drugim državama članicama. Ukratko, ovogodišnje brojne katastrofe pokazale su da smo očigledno dosegli granice Mehanizma Unije za civilnu zaštitu kako je strukturiran i kako funkcionira danas.</w:t>
      </w:r>
    </w:p>
    <w:p>
      <w:pPr>
        <w:pStyle w:val="Body"/>
        <w:jc w:val="both"/>
        <w:rPr>
          <w:rFonts w:ascii="Times New Roman" w:hAnsi="Times New Roman"/>
          <w:noProof/>
        </w:rPr>
      </w:pPr>
      <w:r>
        <w:rPr>
          <w:rFonts w:ascii="Times New Roman" w:hAnsi="Times New Roman"/>
          <w:noProof/>
        </w:rPr>
        <w:t>Istodobno je jasno da se mogući učinak katastrofa može umanjiti djelotvornom prevencijom: znatno smanjenje gospodarskih učinaka velikih poplava u srednjoj Europi 2013. u odnosu na slične događaje iz 2002. može se djelomično objasniti djelotvornim mjerama zaštite od poplava i prevencije rizika koje su uvedene od 2002.</w:t>
      </w:r>
      <w:r>
        <w:rPr>
          <w:rFonts w:ascii="Times New Roman" w:hAnsi="Times New Roman"/>
          <w:noProof/>
          <w:vertAlign w:val="superscript"/>
        </w:rPr>
        <w:footnoteReference w:id="11"/>
      </w:r>
    </w:p>
    <w:p>
      <w:pPr>
        <w:pStyle w:val="Body"/>
        <w:jc w:val="both"/>
        <w:rPr>
          <w:rFonts w:ascii="Times New Roman" w:hAnsi="Times New Roman"/>
          <w:noProof/>
        </w:rPr>
      </w:pPr>
      <w:r>
        <w:rPr>
          <w:rFonts w:ascii="Times New Roman" w:hAnsi="Times New Roman"/>
          <w:noProof/>
        </w:rPr>
        <w:t>Iz dosadašnjeg iskustva mogu se naučiti važne pouke:</w:t>
      </w:r>
    </w:p>
    <w:p>
      <w:pPr>
        <w:pStyle w:val="Body"/>
        <w:jc w:val="both"/>
        <w:rPr>
          <w:rFonts w:ascii="Times New Roman" w:hAnsi="Times New Roman"/>
          <w:noProof/>
        </w:rPr>
      </w:pPr>
      <w:r>
        <w:rPr>
          <w:rFonts w:ascii="Times New Roman" w:hAnsi="Times New Roman"/>
          <w:noProof/>
        </w:rPr>
        <w:t>1.</w:t>
      </w:r>
      <w:r>
        <w:rPr>
          <w:noProof/>
        </w:rPr>
        <w:tab/>
      </w:r>
      <w:r>
        <w:rPr>
          <w:rFonts w:ascii="Times New Roman" w:hAnsi="Times New Roman"/>
          <w:noProof/>
        </w:rPr>
        <w:t>potreban je dodatni kapacitet u slučaju višestrukih ili učestalih ekstremnih događaja kao što su oni iz 2017. Usto, on se mora što djelotvornije upotrebljavati;</w:t>
      </w:r>
    </w:p>
    <w:p>
      <w:pPr>
        <w:pStyle w:val="Body"/>
        <w:jc w:val="both"/>
        <w:rPr>
          <w:rFonts w:ascii="Times New Roman" w:hAnsi="Times New Roman"/>
          <w:noProof/>
        </w:rPr>
      </w:pPr>
      <w:r>
        <w:rPr>
          <w:rFonts w:ascii="Times New Roman" w:hAnsi="Times New Roman"/>
          <w:noProof/>
        </w:rPr>
        <w:t>2.</w:t>
      </w:r>
      <w:r>
        <w:rPr>
          <w:noProof/>
        </w:rPr>
        <w:tab/>
      </w:r>
      <w:r>
        <w:rPr>
          <w:rFonts w:ascii="Times New Roman" w:hAnsi="Times New Roman"/>
          <w:noProof/>
        </w:rPr>
        <w:t xml:space="preserve">mehanizam solidarnosti koji dobro funkcionira mora imati dostatno čvrstu strukturu poticaja kojom se potiče prekogranično dijeljenje kapaciteta za odgovor; </w:t>
      </w:r>
    </w:p>
    <w:p>
      <w:pPr>
        <w:pStyle w:val="Body"/>
        <w:jc w:val="both"/>
        <w:rPr>
          <w:rFonts w:ascii="Times New Roman" w:hAnsi="Times New Roman"/>
          <w:noProof/>
        </w:rPr>
      </w:pPr>
      <w:r>
        <w:rPr>
          <w:rFonts w:ascii="Times New Roman" w:hAnsi="Times New Roman"/>
          <w:noProof/>
        </w:rPr>
        <w:t>3.</w:t>
      </w:r>
      <w:r>
        <w:rPr>
          <w:noProof/>
        </w:rPr>
        <w:tab/>
      </w:r>
      <w:r>
        <w:rPr>
          <w:rFonts w:ascii="Times New Roman" w:hAnsi="Times New Roman"/>
          <w:noProof/>
        </w:rPr>
        <w:t xml:space="preserve">odgovarajuća analiza rizika i ciljani kratkoročni i dugoročni prevencijski napori s djelotvornim praćenjem osnova su za djelotvornu pripravnost za katastrofe i odgovor na njih; </w:t>
      </w:r>
    </w:p>
    <w:p>
      <w:pPr>
        <w:pStyle w:val="Body"/>
        <w:jc w:val="both"/>
        <w:rPr>
          <w:rFonts w:ascii="Times New Roman" w:hAnsi="Times New Roman"/>
          <w:noProof/>
        </w:rPr>
      </w:pPr>
      <w:r>
        <w:rPr>
          <w:rFonts w:ascii="Times New Roman" w:hAnsi="Times New Roman"/>
          <w:noProof/>
        </w:rPr>
        <w:t xml:space="preserve">4. </w:t>
      </w:r>
      <w:r>
        <w:rPr>
          <w:noProof/>
        </w:rPr>
        <w:tab/>
      </w:r>
      <w:r>
        <w:rPr>
          <w:rFonts w:ascii="Times New Roman" w:hAnsi="Times New Roman"/>
          <w:noProof/>
        </w:rPr>
        <w:t>svi dostupni instrumenti EU-a, kao što su europski strukturni i investicijski fondovi (ESI), moraju se u potpunosti iskoristiti za sprječavanje katastrofa i upravljanje njima te se u cijelosti moraju iskoristiti sinergije među tim instrumentima.</w:t>
      </w:r>
    </w:p>
    <w:p>
      <w:pPr>
        <w:pStyle w:val="Body"/>
        <w:jc w:val="both"/>
        <w:rPr>
          <w:rFonts w:ascii="Times New Roman" w:hAnsi="Times New Roman"/>
          <w:noProof/>
        </w:rPr>
      </w:pPr>
      <w:r>
        <w:rPr>
          <w:rFonts w:ascii="Times New Roman" w:hAnsi="Times New Roman"/>
          <w:noProof/>
        </w:rPr>
        <w:t>Jačanje upravljanja katastrofama u EU-u znači i zauzimanje kritičkog stajališta prema sprječavanju katastrofa u državama članicama i prema mjerama EU-a za podupiranje prevencije. Žurno je potreban potpuno integrirani pristup prevenciji katastrofa te pripravnosti za katastrofe i odgovoru na njih u Uniji i državama članicama. Znamo da se ulaganjem u prevenciju spašavaju životi i štiti egzistencija; stoga se treba učinkovito usmjeriti na rizike od katastrofe.</w:t>
      </w:r>
    </w:p>
    <w:p>
      <w:pPr>
        <w:pStyle w:val="Body"/>
        <w:jc w:val="both"/>
        <w:rPr>
          <w:rFonts w:ascii="Times New Roman" w:hAnsi="Times New Roman"/>
          <w:noProof/>
        </w:rPr>
      </w:pPr>
    </w:p>
    <w:p>
      <w:pPr>
        <w:pStyle w:val="ListParagraph"/>
        <w:numPr>
          <w:ilvl w:val="0"/>
          <w:numId w:val="5"/>
        </w:numPr>
        <w:jc w:val="both"/>
        <w:rPr>
          <w:rFonts w:ascii="Times New Roman" w:eastAsia="Times New Roman" w:hAnsi="Times New Roman" w:cs="Times New Roman"/>
          <w:b/>
          <w:bCs/>
          <w:smallCaps/>
          <w:noProof/>
        </w:rPr>
      </w:pPr>
      <w:r>
        <w:rPr>
          <w:rFonts w:ascii="Times New Roman" w:hAnsi="Times New Roman"/>
          <w:b/>
          <w:smallCaps/>
          <w:noProof/>
        </w:rPr>
        <w:t>Europa koja štiti: rescEU</w:t>
      </w:r>
    </w:p>
    <w:p>
      <w:pPr>
        <w:pStyle w:val="Body"/>
        <w:jc w:val="both"/>
        <w:rPr>
          <w:rFonts w:ascii="Times New Roman" w:hAnsi="Times New Roman"/>
          <w:noProof/>
        </w:rPr>
      </w:pPr>
      <w:r>
        <w:rPr>
          <w:rFonts w:ascii="Times New Roman" w:hAnsi="Times New Roman"/>
          <w:noProof/>
        </w:rPr>
        <w:t>U cijeloj Uniji moraju se predviđati promjenjivi i nastajući rizici, neovisno o tome jesu li prirodni ili uzrokovani ljudskim djelovanjem. Otporniji i sveobuhvatniji kapaciteti EU-a za upravljanje katastrofama stoga su preduvjet za bolju zaštitu ljudi, zajednica, gospodarskih interesa i okoliša. EU mora poboljšati doprinose svih svojih politika i instrumenata u cilju jačanja kapaciteta za prevenciju katastrofa, pripravnost za njih, kao i za odgovor i oporavak od katastrofa. To uključuje izgradnju europske solidarnosti i odgovornosti na svim razinama.</w:t>
      </w:r>
    </w:p>
    <w:p>
      <w:pPr>
        <w:pStyle w:val="Body"/>
        <w:jc w:val="both"/>
        <w:rPr>
          <w:rFonts w:ascii="Times New Roman" w:hAnsi="Times New Roman" w:cs="Times New Roman"/>
          <w:noProof/>
        </w:rPr>
      </w:pPr>
      <w:r>
        <w:rPr>
          <w:rFonts w:ascii="Times New Roman" w:hAnsi="Times New Roman"/>
          <w:noProof/>
        </w:rPr>
        <w:t xml:space="preserve">Prijedlogom odluke Europskog parlamenta i Vijeća uvode se izmjene postojećeg zakonodavstva o civilnoj zaštiti, čime bi se Europi omogućilo da napreduje prema svojem cilju bolje prevencije prirodnih katastrofa i katastrofa uzrokovanih ljudskim djelovanjem te bolje pripravnosti i boljeg odgovora na te katastrofe unutar Unije i izvan nje. </w:t>
      </w:r>
    </w:p>
    <w:p>
      <w:pPr>
        <w:pStyle w:val="Body"/>
        <w:jc w:val="both"/>
        <w:rPr>
          <w:rFonts w:ascii="Times New Roman" w:hAnsi="Times New Roman" w:cs="Times New Roman"/>
          <w:noProof/>
        </w:rPr>
      </w:pPr>
      <w:r>
        <w:rPr>
          <w:rFonts w:ascii="Times New Roman" w:hAnsi="Times New Roman"/>
          <w:noProof/>
        </w:rPr>
        <w:t>Ciljevi izmjena su sljedeći:</w:t>
      </w:r>
    </w:p>
    <w:p>
      <w:pPr>
        <w:pStyle w:val="Body"/>
        <w:jc w:val="both"/>
        <w:rPr>
          <w:rFonts w:ascii="Times New Roman" w:hAnsi="Times New Roman" w:cs="Times New Roman"/>
          <w:noProof/>
        </w:rPr>
      </w:pPr>
      <w:r>
        <w:rPr>
          <w:rFonts w:ascii="Times New Roman" w:hAnsi="Times New Roman"/>
          <w:noProof/>
        </w:rPr>
        <w:t>a) pojačati zajedničku sposobnost EU-a i država članica za odgovor na katastrofe i ukloniti ponavljajuće i nastajuće nedostatke u kapacitetu uspostavom dvostrukog sustava kapaciteta za odgovor: namjenske pričuve kapaciteta za odgovor pod nazivom rescEU pod zapovjedništvom i kontrolom Unije i djelotvorniji i dinamičniji doprinos država članica u okviru Europskih udruženih kapaciteta za civilnu zaštitu;</w:t>
      </w:r>
    </w:p>
    <w:p>
      <w:pPr>
        <w:pStyle w:val="Body"/>
        <w:jc w:val="both"/>
        <w:rPr>
          <w:rFonts w:ascii="Times New Roman" w:hAnsi="Times New Roman" w:cs="Times New Roman"/>
          <w:noProof/>
        </w:rPr>
      </w:pPr>
      <w:r>
        <w:rPr>
          <w:rFonts w:ascii="Times New Roman" w:hAnsi="Times New Roman"/>
          <w:noProof/>
        </w:rPr>
        <w:t>b) pojačati usmjerenost na preventivno djelovanje u okviru ciklusa upravljanja rizikom od katastrofa i povećati usklađenost s drugim ključnim politikama EU-a, među ostalim, u području prilagodbe klimatskim promjenama, prevencije katastrofa i odgovora na katastrofe;</w:t>
      </w:r>
    </w:p>
    <w:p>
      <w:pPr>
        <w:pStyle w:val="Body"/>
        <w:jc w:val="both"/>
        <w:rPr>
          <w:rFonts w:ascii="Times New Roman" w:hAnsi="Times New Roman" w:cs="Times New Roman"/>
          <w:noProof/>
        </w:rPr>
      </w:pPr>
      <w:r>
        <w:rPr>
          <w:rFonts w:ascii="Times New Roman" w:hAnsi="Times New Roman"/>
          <w:noProof/>
        </w:rPr>
        <w:t>c) osigurati pokretnost i djelotvornost Mehanizma Unije za civilnu zaštitu u njegovim administrativnim postupcima za podupiranje hitnih operacija.</w:t>
      </w:r>
    </w:p>
    <w:p>
      <w:pPr>
        <w:pStyle w:val="Body"/>
        <w:jc w:val="both"/>
        <w:rPr>
          <w:rFonts w:ascii="Times New Roman" w:hAnsi="Times New Roman" w:cs="Times New Roman"/>
          <w:b/>
          <w:noProof/>
        </w:rPr>
      </w:pPr>
      <w:r>
        <w:rPr>
          <w:rFonts w:ascii="Times New Roman" w:hAnsi="Times New Roman"/>
          <w:b/>
          <w:noProof/>
        </w:rPr>
        <w:t>3.1.</w:t>
      </w:r>
      <w:r>
        <w:rPr>
          <w:noProof/>
        </w:rPr>
        <w:tab/>
      </w:r>
      <w:r>
        <w:rPr>
          <w:rFonts w:ascii="Times New Roman" w:hAnsi="Times New Roman"/>
          <w:b/>
          <w:noProof/>
        </w:rPr>
        <w:t>Jačanje odgovora EU-a na katastrofe</w:t>
      </w:r>
    </w:p>
    <w:p>
      <w:pPr>
        <w:pStyle w:val="Body"/>
        <w:jc w:val="both"/>
        <w:rPr>
          <w:rFonts w:ascii="Times New Roman" w:hAnsi="Times New Roman" w:cs="Times New Roman"/>
          <w:noProof/>
        </w:rPr>
      </w:pPr>
      <w:r>
        <w:rPr>
          <w:rFonts w:ascii="Times New Roman" w:hAnsi="Times New Roman"/>
          <w:noProof/>
        </w:rPr>
        <w:t>Zajednički pristup EU-a znači da će se u određeno vrijeme moći rasporediti više kapaciteta. Imajući to na umu, prijedlog sadržava dvije komponente za popunjavanje praznina u kapacitetu kako bi se Uniji omogućilo da zajednički pojača svoj odgovor na katastrofe.</w:t>
      </w:r>
    </w:p>
    <w:p>
      <w:pPr>
        <w:pStyle w:val="Body"/>
        <w:jc w:val="both"/>
        <w:rPr>
          <w:rFonts w:ascii="Times New Roman" w:hAnsi="Times New Roman" w:cs="Times New Roman"/>
          <w:noProof/>
        </w:rPr>
      </w:pPr>
      <w:r>
        <w:rPr>
          <w:rFonts w:ascii="Times New Roman" w:hAnsi="Times New Roman"/>
          <w:noProof/>
        </w:rPr>
        <w:t xml:space="preserve">Prvo, kako bi se osigurao smisleni i usklađeni odgovor EU-a na katastrofe i prevladali nedostaci trenutačnog dobrovoljnog sustava u okviru Mehanizma Unije za civilnu zaštitu, Europska komisija žurno će uspostaviti namjensku pričuvu sredstava EU-a: </w:t>
      </w:r>
      <w:r>
        <w:rPr>
          <w:rFonts w:ascii="Times New Roman" w:hAnsi="Times New Roman"/>
          <w:b/>
          <w:noProof/>
        </w:rPr>
        <w:t>rescEU</w:t>
      </w:r>
      <w:r>
        <w:rPr>
          <w:rFonts w:ascii="Times New Roman" w:hAnsi="Times New Roman"/>
          <w:noProof/>
        </w:rPr>
        <w:t xml:space="preserve">. rescEU sastojat će se od kapaciteta kojima će se EU-u omogućiti da se suočava s katastrofama koje su posljednjih nekoliko godina najčešće pogađale europsko društvo. To su zrakoplovi za gašenje šumskih požara, crpke visokog kapaciteta, potrage i spašavanja u gradovima i jačanje kapaciteta za rizike za javno zdravlje, kao što su poljske bolnice i timovi za hitnu medicinsku pomoć. U slučaju novih dokazanih nedostataka u kapacitetu, Komisija bi delegiranim aktom odredila dodatne kapacitete koji bi postali dio sustava rescEU. </w:t>
      </w:r>
    </w:p>
    <w:p>
      <w:pPr>
        <w:pStyle w:val="Body"/>
        <w:jc w:val="both"/>
        <w:rPr>
          <w:rFonts w:ascii="Times New Roman" w:eastAsia="Times New Roman" w:hAnsi="Times New Roman" w:cs="Times New Roman"/>
          <w:noProof/>
        </w:rPr>
      </w:pPr>
      <w:r>
        <w:rPr>
          <w:rFonts w:ascii="Times New Roman" w:hAnsi="Times New Roman"/>
          <w:noProof/>
        </w:rPr>
        <w:t xml:space="preserve">Tim će se europskim kapacitetom za civilnu zaštitu dopuniti postojeći nacionalni kapaciteti za odgovor kojima se već pridonosi koordiniranom europskom odgovoru. </w:t>
      </w:r>
    </w:p>
    <w:p>
      <w:pPr>
        <w:pStyle w:val="Body"/>
        <w:jc w:val="both"/>
        <w:rPr>
          <w:rFonts w:ascii="Times New Roman" w:hAnsi="Times New Roman" w:cs="Times New Roman"/>
          <w:noProof/>
        </w:rPr>
      </w:pPr>
      <w:r>
        <w:rPr>
          <w:rFonts w:ascii="Times New Roman" w:hAnsi="Times New Roman"/>
          <w:noProof/>
        </w:rPr>
        <w:t xml:space="preserve">rescEU bi se sastojao od kapaciteta iznajmljenih/zakupljenih na temelju sporazuma EU-a ili kupljenih uz potpuno financiranje EU-a. Svi troškovi tih kapaciteta bili bi u cijelosti pokriveni financiranjem EU-a, a Komisija bi zadržala operativnu kontrolu nad tom imovinom i odlučivala o njezinu raspoređivanju. Država koja traži pomoć osigurala bi tijekom operacija da se aktivnosti kapaciteta i timova rescEU obavljaju u skladu s operativnim raspoređivanjem koje je dogovoreno s Komisijom. </w:t>
      </w:r>
    </w:p>
    <w:p>
      <w:pPr>
        <w:pStyle w:val="Body"/>
        <w:jc w:val="both"/>
        <w:rPr>
          <w:rFonts w:ascii="Times New Roman" w:hAnsi="Times New Roman" w:cs="Times New Roman"/>
          <w:noProof/>
        </w:rPr>
      </w:pPr>
      <w:r>
        <w:rPr>
          <w:rFonts w:ascii="Times New Roman" w:hAnsi="Times New Roman"/>
          <w:noProof/>
        </w:rPr>
        <w:t>Drugo, predlaže se jačanje i pojednostavnjenje trenutačne strukture poticaja Mehanizma Unije za civilnu zaštitu. Kad je riječ o troškovima koji se odnose na kapacitete za odgovor država članica u Europskim udruženim kapacitetima za civilnu zaštitu – tj. sredstvima na koja se u bilo kojem trenutku može računati za odgovor na krize u Uniji – EU bi trebao osigurati pojačano sufinanciranje prilagodbe, popravka i operativnih aktivnosti, uključujući prijevoz (75 %). Zahvaljujući većoj financijskoj potpori EU-a za ta sredstva, ona bi, nakon aktivacije Mehanizma Unije za civilnu zaštitu, bila dostupna za raspoređivanje na zahtjev Komisije, osim ako se država članica suočava s iznimnom situacijom koja znatno utječe na izvršavanje nacionalnih zadaća. To bi bila znatna promjena u odnosu na trenutačno stanje.</w:t>
      </w:r>
    </w:p>
    <w:p>
      <w:pPr>
        <w:pStyle w:val="Body"/>
        <w:jc w:val="both"/>
        <w:rPr>
          <w:rFonts w:ascii="Times New Roman" w:eastAsia="Times New Roman" w:hAnsi="Times New Roman" w:cs="Times New Roman"/>
          <w:noProof/>
        </w:rPr>
      </w:pPr>
      <w:r>
        <w:rPr>
          <w:rFonts w:ascii="Times New Roman" w:hAnsi="Times New Roman"/>
          <w:noProof/>
        </w:rPr>
        <w:t xml:space="preserve">Mehanizam Unije za civilnu zaštitu istodobno bi trebao prestati sufinancirati uporabu sredstava koja se pružaju </w:t>
      </w:r>
      <w:r>
        <w:rPr>
          <w:rFonts w:ascii="Times New Roman" w:hAnsi="Times New Roman"/>
          <w:i/>
          <w:noProof/>
        </w:rPr>
        <w:t>ad hoc</w:t>
      </w:r>
      <w:r>
        <w:rPr>
          <w:rFonts w:ascii="Times New Roman" w:hAnsi="Times New Roman"/>
          <w:noProof/>
        </w:rPr>
        <w:t xml:space="preserve"> i čiju raspoloživost u trenutku katastrofe nije moguće predvidjeti. </w:t>
      </w:r>
    </w:p>
    <w:p>
      <w:pPr>
        <w:pStyle w:val="Body"/>
        <w:jc w:val="both"/>
        <w:rPr>
          <w:rFonts w:ascii="Times New Roman" w:eastAsia="Times New Roman" w:hAnsi="Times New Roman" w:cs="Times New Roman"/>
          <w:noProof/>
        </w:rPr>
      </w:pPr>
      <w:r>
        <w:rPr>
          <w:rFonts w:ascii="Times New Roman" w:hAnsi="Times New Roman"/>
          <w:noProof/>
        </w:rPr>
        <w:t xml:space="preserve">Europa koja štiti mora moći spremno reagirati bez dugotrajnih administrativnih postupaka. Uvođenjem sustava rescEU taj će se problem riješiti jer će se osigurati otporan i vjerodostojan kapacitet za neposredni odgovor koji se može upotrijebiti na zahtjev država koje se ne mogu nositi s katastrofom i ne primaju dostatnu vanjsku pomoć. rescEU bit će dostupan kada su nacionalni kapaciteti nedovoljni ili preopterećeni. Međutim, on neće biti zamjena za aktivnosti na nacionalnoj, regionalnoj i lokalnoj razini: u doba kada se struktura rizika mijenja, treba pojačati pripravnost na svim razinama. </w:t>
      </w:r>
    </w:p>
    <w:p>
      <w:pPr>
        <w:pStyle w:val="Body"/>
        <w:jc w:val="both"/>
        <w:rPr>
          <w:rFonts w:ascii="Times New Roman" w:hAnsi="Times New Roman" w:cs="Times New Roman"/>
          <w:noProof/>
        </w:rPr>
      </w:pPr>
      <w:r>
        <w:rPr>
          <w:rFonts w:ascii="Times New Roman" w:hAnsi="Times New Roman"/>
          <w:noProof/>
        </w:rPr>
        <w:t xml:space="preserve">Prijedlog uključuje i odredbe kojima se osigurava da je isplata sredstava EU-a posredstvom Mehanizma Unije za civilnu zaštitu popraćena prikladnom vidljivošću Uniji. </w:t>
      </w:r>
    </w:p>
    <w:p>
      <w:pPr>
        <w:pStyle w:val="Body"/>
        <w:jc w:val="both"/>
        <w:rPr>
          <w:rFonts w:ascii="Times New Roman" w:hAnsi="Times New Roman" w:cs="Times New Roman"/>
          <w:noProof/>
        </w:rPr>
      </w:pPr>
      <w:r>
        <w:rPr>
          <w:rFonts w:ascii="Times New Roman" w:hAnsi="Times New Roman"/>
          <w:noProof/>
        </w:rPr>
        <w:t xml:space="preserve">Kao rezultat toga Europska unija imala bi mehanizam za civilnu zaštitu koji se sastoji od dva komplementarna stupa: vjerodostojne zajedničke uporabe sredstava država članica u Europskim udruženim kapacitetima za civilnu zaštitu i rescEU-a kao kapaciteta koji se, kao krajnja mogućnost, može odmah mobilizirati. Rezultat bi bio sustav koji obilježava pojednostavnjenje i znatno smanjenje administrativnog opterećenja i, što je najvažnije, brži i prikladniji odgovor. Mehanizam civilne zaštite kojim bi se osigurao dodatni sigurnosni ventil za zaštitu naših građana u slučaju katastrofe. </w:t>
      </w:r>
    </w:p>
    <w:p>
      <w:pPr>
        <w:jc w:val="both"/>
        <w:rPr>
          <w:b/>
          <w:bCs/>
          <w:noProof/>
        </w:rPr>
      </w:pPr>
      <w:r>
        <w:rPr>
          <w:b/>
          <w:noProof/>
          <w:sz w:val="22"/>
        </w:rPr>
        <w:t>3.2.</w:t>
      </w:r>
      <w:r>
        <w:rPr>
          <w:noProof/>
        </w:rPr>
        <w:tab/>
      </w:r>
      <w:r>
        <w:rPr>
          <w:b/>
          <w:noProof/>
          <w:sz w:val="22"/>
        </w:rPr>
        <w:t>Dobra prevencija i pripravnost s pomoću civilne zaštite</w:t>
      </w:r>
    </w:p>
    <w:p>
      <w:pPr>
        <w:jc w:val="both"/>
        <w:rPr>
          <w:rFonts w:eastAsia="Times New Roman"/>
          <w:b/>
          <w:bCs/>
          <w:noProof/>
        </w:rPr>
      </w:pPr>
    </w:p>
    <w:p>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noProof/>
        </w:rPr>
      </w:pPr>
      <w:r>
        <w:rPr>
          <w:rFonts w:ascii="Times New Roman" w:hAnsi="Times New Roman"/>
          <w:noProof/>
        </w:rPr>
        <w:t>Jačanjem Mehanizma Unije za civilnu zaštitu prevencija katastrofa i smanjenje rizika postaju okosnica naših nastojanja usmjerenih na upravljanje rizicima od katastrofa. Preventivne mjere potrebne su kako bi se smanjili učinci opasnosti i kako bi se društva osnažila za sljedeću katastrofu, čime se smanjuju i potrebe za odgovorom. Povećanje otpornosti infrastrukture, ekosustava i društava EU-a ključni je element za djelotvornu prevenciju katastrofa.</w:t>
      </w:r>
    </w:p>
    <w:p>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noProof/>
        </w:rPr>
      </w:pPr>
      <w:r>
        <w:rPr>
          <w:rFonts w:ascii="Times New Roman" w:hAnsi="Times New Roman"/>
          <w:noProof/>
        </w:rPr>
        <w:t xml:space="preserve">Znatna ulaganja država članica u praćenje prevencije i pripravnosti od ključne su važnosti za uspostavu sustava rescEU. Prevencija katastrofa, kao osnova za djelotvorno upravljanje njima, mora biti snažno povezana sa pripravnošću i aktivnostima odgovora i mora biti bolje strateški integrirana u djelovanja pojačanog Mehanizma Unije za civilnu zaštitu. U tu svrhu trenutačni prijedlog uključuje odredbu da Komisija može zatražiti planove prevencije i pripravnosti, nadzirati njihovu provedbu i izvješćivati o njihovoj provedbi. </w:t>
      </w:r>
    </w:p>
    <w:p>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noProof/>
        </w:rPr>
      </w:pPr>
      <w:r>
        <w:rPr>
          <w:rFonts w:ascii="Times New Roman" w:hAnsi="Times New Roman"/>
          <w:noProof/>
        </w:rPr>
        <w:t>Prijedlogom novog zakonodavstva jača se i potpora za mjere za prevenciju katastrofa isticanjem važnosti prilagodbe klimatskim promjenama, sustava ranog upozoravanja, pripravnosti za katastrofe (npr. osposobljavanja i vježbe) i inicijativa za upravljanje znanjem, kao što su one koje je poduzeo Centar znanja za upravljanje rizicima od katastrofa (DRMKC)</w:t>
      </w:r>
      <w:r>
        <w:rPr>
          <w:rStyle w:val="FootnoteReference"/>
          <w:rFonts w:ascii="Times New Roman" w:hAnsi="Times New Roman"/>
          <w:noProof/>
        </w:rPr>
        <w:footnoteReference w:id="12"/>
      </w:r>
      <w:r>
        <w:rPr>
          <w:rFonts w:ascii="Times New Roman" w:hAnsi="Times New Roman"/>
          <w:noProof/>
        </w:rPr>
        <w:t xml:space="preserve">, razmjene najbolje prakse, prijenosa tehnologije i osiguravanja da se uporabom različitih standarda i protokola ne ugrožava djelotvorno raspoređivanje. U njemu se dopuštaju i posebni mehanizmi savjetovanja kako bi Komisija mogla okupiti države članice s posebnim zajedničkim interesima da detaljno razrade načine rješavanja posebnih problema, kao što su šumski požari. </w:t>
      </w:r>
    </w:p>
    <w:p>
      <w:pPr>
        <w:pStyle w:val="Body"/>
        <w:jc w:val="both"/>
        <w:rPr>
          <w:rFonts w:ascii="Times New Roman" w:eastAsia="Times New Roman" w:hAnsi="Times New Roman" w:cs="Times New Roman"/>
          <w:noProof/>
        </w:rPr>
      </w:pPr>
      <w:r>
        <w:rPr>
          <w:rFonts w:ascii="Times New Roman" w:hAnsi="Times New Roman"/>
          <w:noProof/>
        </w:rPr>
        <w:t>Njime se omogućuje razvoj posebne Europske mreže znanja u području civilne zaštite u suradnji s inicijativama kao što su Centar znanja za upravljanje rizicima od katastrofa, čime bi se trebala pojačati komponenta osposobljavanja Mehanizma Unije za civilnu zaštitu koja se temelji na bliskoj suradnji s relevantnim nacionalnim strukturama. Cilj mreže znanja bio bi pojačati učinkovitost zajedničkog upravljanja katastrofama u EU-u. Trebalo bi ju uspostaviti kao paneuropsku mrežu specijaliziranih centara za osposobljavanje i vježbe u kojoj će se širiti najbolja europska i međunarodna praksa, pojačati interoperabilnost i mjere potpore zemlje domaćina i poduzimati zajedničke vježbe na razini EU-a. Naposljetku, Europska mreža znanja u području civilne zaštite pridonijet će poticanju suradnje i uzajamnog razumijevanja i pomoći u izgradnji zajedničke kulture pripravnosti na katastrofe u Uniji. Pojačanom suradnjom, zajedničkim osposobljavanjem i vježbama na temelju scenarija povećat će se učinkovitost zajedničke pripravnosti i odgovora EU-a na katastrofe.</w:t>
      </w:r>
    </w:p>
    <w:p>
      <w:pPr>
        <w:pStyle w:val="Body"/>
        <w:ind w:firstLine="360"/>
        <w:jc w:val="both"/>
        <w:rPr>
          <w:rFonts w:ascii="Times New Roman" w:eastAsia="Times New Roman" w:hAnsi="Times New Roman" w:cs="Times New Roman"/>
          <w:b/>
          <w:noProof/>
        </w:rPr>
      </w:pPr>
      <w:r>
        <w:rPr>
          <w:rFonts w:ascii="Times New Roman" w:hAnsi="Times New Roman"/>
          <w:b/>
          <w:noProof/>
        </w:rPr>
        <w:t>3.3.</w:t>
      </w:r>
      <w:r>
        <w:rPr>
          <w:noProof/>
        </w:rPr>
        <w:tab/>
      </w:r>
      <w:r>
        <w:rPr>
          <w:rFonts w:ascii="Times New Roman" w:hAnsi="Times New Roman"/>
          <w:b/>
          <w:noProof/>
        </w:rPr>
        <w:t>Pojednostavnjenje</w:t>
      </w:r>
    </w:p>
    <w:p>
      <w:pPr>
        <w:pStyle w:val="Body"/>
        <w:jc w:val="both"/>
        <w:rPr>
          <w:rFonts w:ascii="Times New Roman" w:eastAsia="Times New Roman" w:hAnsi="Times New Roman" w:cs="Times New Roman"/>
          <w:noProof/>
        </w:rPr>
      </w:pPr>
      <w:r>
        <w:rPr>
          <w:rFonts w:ascii="Times New Roman" w:hAnsi="Times New Roman"/>
          <w:noProof/>
        </w:rPr>
        <w:t>Prijedlogom se nastoje pojednostavniti administrativni postupci kako bi se smanjila kašnjenja u raspoređivanju pomoći. Trenutačni sustav pojednostavnjuje se na sljedeće načine:</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 xml:space="preserve">uvođenjem samo jedne kategorije sredstava za odgovor za čiju je uporabu potrebno sufinanciranje država članica i iz proračuna EU-a, odnosno Europskih udruženih kapaciteta za civilnu zaštitu, </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uvođenjem jedinstvene stope sufinanciranja (75 %) u pogledu troškova prilagodbe, popravka, prijevoza i operativnih troškova koji se odnose na sredstva koja su dio Europskih udruženih kapaciteta za civilnu zaštitu,</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 xml:space="preserve">posebnim upućivanjem na uporabu jediničnih iznosa, paušalnih iznosa i fiksnih stopa u odnosu na sufinanciranje prijevoznih troškova u cilju poboljšanja usklađenosti i učinkovitosti, </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uključivanjem posebnih odredaba kojima se aktivacije Mehanizma Unije za civilnu zaštitu ograničavaju na razdoblje od 90 dana (ako nije opravdano drugačije) kako bi se pojednostavnilo područje primjene i potaknula uporaba sredstava u fazi neposrednog odgovora.</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b/>
          <w:noProof/>
        </w:rPr>
      </w:pPr>
      <w:r>
        <w:rPr>
          <w:rFonts w:ascii="Times New Roman" w:hAnsi="Times New Roman"/>
          <w:b/>
          <w:noProof/>
        </w:rPr>
        <w:t>KLJUČNE MJERE</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Države članice u Vijeću i Europskom parlamentu trebaju donijeti zakonodavstvo o izmjeni Mehanizma Unije za civilnu zaštitu.</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Države članice trebaju poduzeti pripremne mjere kako bi bile spremne izdvojiti dodatne kapacitete u Europske udružene kapacitete za civilnu zaštitu neposredno nakon donošenja zakonodavstva.</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 xml:space="preserve">Kao prvi primjer posebnog mehanizma za savjetovanje, Komisija treba uspostaviti strukturu koja će omogućiti sustavnu, redovitu i blisku koordinaciju i suradnju među pogođenim državama članicama prije i tijekom svake sezone požara. </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Komisija treba poduzeti sve pripremne mjere za sklapanje ugovora o najmu/zakupu kako bi se za sustav rescEU osigurali predviđeni kapaciteti.</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Komisija će olakšati rasprave s industrijom kako bi se ubrzala proizvodnja kapaciteta koji nisu raspoloživi na tržištu, kao što su zrakoplovi za gašenje požara.</w:t>
      </w:r>
    </w:p>
    <w:p>
      <w:pPr>
        <w:pStyle w:val="Body"/>
        <w:pBdr>
          <w:top w:val="single" w:sz="4" w:space="1" w:color="auto"/>
          <w:left w:val="single" w:sz="4" w:space="1" w:color="auto"/>
          <w:bottom w:val="single" w:sz="4" w:space="1" w:color="auto"/>
          <w:right w:val="single" w:sz="4" w:space="1" w:color="auto"/>
        </w:pBdr>
        <w:jc w:val="both"/>
        <w:rPr>
          <w:rFonts w:ascii="Times New Roman" w:eastAsia="Times New Roman" w:hAnsi="Times New Roman" w:cs="Times New Roman"/>
          <w:noProof/>
        </w:rPr>
      </w:pPr>
      <w:r>
        <w:rPr>
          <w:rFonts w:ascii="Times New Roman" w:hAnsi="Times New Roman"/>
          <w:noProof/>
        </w:rPr>
        <w:t>Države članice trebaju izraditi planove prevencije i pripravnosti i poslati ih Komisiji najkasnije do 31. siječnja 2019. kako bi ih Komisija mogla preispitati i pomoći onim državama članicama kojima je potrebna dodatna pomoć.</w:t>
      </w:r>
    </w:p>
    <w:p>
      <w:pPr>
        <w:pStyle w:val="Body"/>
        <w:pBdr>
          <w:top w:val="single" w:sz="4" w:space="1" w:color="auto"/>
          <w:left w:val="single" w:sz="4" w:space="1" w:color="auto"/>
          <w:bottom w:val="single" w:sz="4" w:space="1" w:color="auto"/>
          <w:right w:val="single" w:sz="4" w:space="1" w:color="auto"/>
        </w:pBdr>
        <w:jc w:val="both"/>
        <w:rPr>
          <w:rFonts w:ascii="Times New Roman" w:eastAsia="Times New Roman" w:hAnsi="Times New Roman" w:cs="Times New Roman"/>
          <w:noProof/>
        </w:rPr>
      </w:pPr>
      <w:r>
        <w:rPr>
          <w:rFonts w:ascii="Times New Roman" w:hAnsi="Times New Roman"/>
          <w:noProof/>
        </w:rPr>
        <w:t>Komisija treba koordinirati razmjenu informacija s državama članicama o međusektorskoj pripravnosti i odgovoru na katastrofe velikih razmjera, među ostalim na terorističke napade u području civilne zaštite.</w:t>
      </w:r>
    </w:p>
    <w:p>
      <w:pPr>
        <w:pStyle w:val="Body"/>
        <w:jc w:val="both"/>
        <w:rPr>
          <w:rFonts w:ascii="Times New Roman" w:eastAsia="Times New Roman" w:hAnsi="Times New Roman" w:cs="Times New Roman"/>
          <w:noProof/>
        </w:rPr>
      </w:pPr>
    </w:p>
    <w:p>
      <w:pPr>
        <w:spacing w:after="200" w:line="276" w:lineRule="auto"/>
        <w:jc w:val="both"/>
        <w:rPr>
          <w:rFonts w:eastAsia="Times New Roman"/>
          <w:b/>
          <w:bCs/>
          <w:smallCaps/>
          <w:noProof/>
          <w:color w:val="000000"/>
          <w:sz w:val="22"/>
          <w:szCs w:val="22"/>
          <w:u w:color="000000"/>
        </w:rPr>
      </w:pPr>
      <w:r>
        <w:rPr>
          <w:b/>
          <w:smallCaps/>
          <w:noProof/>
          <w:color w:val="000000"/>
          <w:sz w:val="22"/>
          <w:u w:color="000000"/>
        </w:rPr>
        <w:t>4.</w:t>
      </w:r>
      <w:r>
        <w:rPr>
          <w:noProof/>
        </w:rPr>
        <w:tab/>
      </w:r>
      <w:r>
        <w:rPr>
          <w:b/>
          <w:smallCaps/>
          <w:noProof/>
          <w:color w:val="000000"/>
          <w:sz w:val="22"/>
          <w:u w:color="000000"/>
        </w:rPr>
        <w:t>Dosljednost s drugim politikama EU-a u području upravljanja katastrofama</w:t>
      </w:r>
    </w:p>
    <w:p>
      <w:pPr>
        <w:spacing w:after="200" w:line="276" w:lineRule="auto"/>
        <w:jc w:val="both"/>
        <w:rPr>
          <w:rFonts w:eastAsia="Times New Roman"/>
          <w:noProof/>
          <w:color w:val="000000"/>
          <w:sz w:val="22"/>
          <w:szCs w:val="22"/>
          <w:u w:color="000000"/>
        </w:rPr>
      </w:pPr>
      <w:r>
        <w:rPr>
          <w:noProof/>
          <w:color w:val="000000"/>
          <w:sz w:val="22"/>
          <w:u w:color="000000"/>
        </w:rPr>
        <w:t>Viši stupanj solidarnosti i odgovornosti u okviru odgovora i pripravnosti mora biti popraćen nužnim preventivnim mjerama u cilju dugoročnog smanjenja rizika. To će neizbježno podrazumijevati bolju koordinaciju politika EU-a, ali i bolju koordinaciju na nacionalnoj razini, uključujući s regionalnim i lokalnim dionicima i između različitih alata i instrumenata koje države članice imaju na raspolaganju.</w:t>
      </w:r>
    </w:p>
    <w:p>
      <w:pPr>
        <w:spacing w:after="200" w:line="276" w:lineRule="auto"/>
        <w:jc w:val="both"/>
        <w:rPr>
          <w:rFonts w:eastAsia="Calibri" w:cs="Calibri"/>
          <w:noProof/>
          <w:color w:val="000000"/>
          <w:sz w:val="22"/>
          <w:szCs w:val="22"/>
          <w:u w:color="000000"/>
        </w:rPr>
      </w:pPr>
      <w:r>
        <w:rPr>
          <w:noProof/>
          <w:color w:val="000000"/>
          <w:sz w:val="22"/>
          <w:u w:color="000000"/>
        </w:rPr>
        <w:t>Pitanja upravljanja rizikom od katastrofa sve se više uključuju u različite politike EU-a. U Strategiji EU-a o prilagodbi klimatskim promjenama, na primjer, podupire se integriranje aspekta otpornosti na klimatske promjene u djelovanja EU-a promicanjem prilagodbi u ključnim ranjivim sektorima i kroz sinergije s upravljanjem rizikom od katastrofa. Takva pitanja uključuju se u financijske instrumente, među ostalim u europske strukturne i investicijske fondove, fond solidarnosti, zakonodavstvo o zaštiti okoliša (npr. planovi upravljanja poplavama i rješenja utemeljena na ekosustavu), istraživanje i inovacije</w:t>
      </w:r>
      <w:r>
        <w:rPr>
          <w:rStyle w:val="FootnoteReference"/>
          <w:noProof/>
          <w:color w:val="000000"/>
          <w:sz w:val="22"/>
          <w:u w:color="000000"/>
        </w:rPr>
        <w:footnoteReference w:id="13"/>
      </w:r>
      <w:r>
        <w:rPr>
          <w:noProof/>
          <w:color w:val="000000"/>
          <w:sz w:val="22"/>
          <w:u w:color="000000"/>
        </w:rPr>
        <w:t>, strategije prilagodbe klimatskim promjenama, ozbiljne prekogranične prijetnje zdravlju i slično</w:t>
      </w:r>
      <w:r>
        <w:rPr>
          <w:noProof/>
          <w:color w:val="000000"/>
          <w:sz w:val="22"/>
          <w:u w:color="000000"/>
          <w:vertAlign w:val="superscript"/>
        </w:rPr>
        <w:footnoteReference w:id="14"/>
      </w:r>
      <w:r>
        <w:rPr>
          <w:noProof/>
          <w:color w:val="000000"/>
          <w:sz w:val="22"/>
          <w:u w:color="000000"/>
        </w:rPr>
        <w:t>. Slično tomu, povećanjem otpornosti ulaganja na rizik od katastrofa u EU-u pridonosi se većoj otpornosti i održivom rastu.</w:t>
      </w:r>
    </w:p>
    <w:p>
      <w:pPr>
        <w:spacing w:after="200" w:line="276" w:lineRule="auto"/>
        <w:jc w:val="both"/>
        <w:rPr>
          <w:rFonts w:eastAsia="Calibri" w:cs="Calibri"/>
          <w:noProof/>
          <w:color w:val="000000"/>
          <w:sz w:val="22"/>
          <w:szCs w:val="22"/>
          <w:u w:color="000000"/>
        </w:rPr>
      </w:pPr>
      <w:r>
        <w:rPr>
          <w:noProof/>
          <w:color w:val="000000"/>
          <w:sz w:val="22"/>
          <w:u w:color="000000"/>
        </w:rPr>
        <w:t xml:space="preserve">Većina sredstava EU-a kojima se podupiru aktivnosti prevencije katastrofa i upravljanja njima trenutačno se programiraju u okviru europskih strukturnih i investicijskih fondova: </w:t>
      </w:r>
    </w:p>
    <w:p>
      <w:pPr>
        <w:pStyle w:val="ListParagraph"/>
        <w:numPr>
          <w:ilvl w:val="0"/>
          <w:numId w:val="7"/>
        </w:numPr>
        <w:jc w:val="both"/>
        <w:rPr>
          <w:rFonts w:ascii="Times New Roman" w:eastAsia="Times New Roman" w:hAnsi="Times New Roman" w:cs="Times New Roman"/>
          <w:noProof/>
        </w:rPr>
      </w:pPr>
      <w:r>
        <w:rPr>
          <w:rFonts w:ascii="Times New Roman" w:hAnsi="Times New Roman"/>
          <w:noProof/>
        </w:rPr>
        <w:t>u razdoblju od 2014. do 2020. 20 država članica izdvojilo je približno 8 milijardi EUR za prilagodbu klimatskim promjenama i za prevenciju katastrofa i upravljanje njima u okviru fondova kohezijske politike, čime je to najveći izvor financiranja EU-a u tom području</w:t>
      </w:r>
      <w:r>
        <w:rPr>
          <w:rFonts w:ascii="Times New Roman" w:hAnsi="Times New Roman"/>
          <w:noProof/>
          <w:vertAlign w:val="superscript"/>
        </w:rPr>
        <w:footnoteReference w:id="15"/>
      </w:r>
      <w:r>
        <w:rPr>
          <w:rFonts w:ascii="Times New Roman" w:hAnsi="Times New Roman"/>
          <w:noProof/>
        </w:rPr>
        <w:t>,</w:t>
      </w:r>
    </w:p>
    <w:p>
      <w:pPr>
        <w:pStyle w:val="ListParagraph"/>
        <w:numPr>
          <w:ilvl w:val="0"/>
          <w:numId w:val="7"/>
        </w:numPr>
        <w:jc w:val="both"/>
        <w:rPr>
          <w:rFonts w:ascii="Times New Roman" w:hAnsi="Times New Roman" w:cs="Times New Roman"/>
          <w:noProof/>
        </w:rPr>
      </w:pPr>
      <w:r>
        <w:rPr>
          <w:rFonts w:ascii="Times New Roman" w:hAnsi="Times New Roman"/>
          <w:noProof/>
        </w:rPr>
        <w:t xml:space="preserve">Europski poljoprivredni fond za ruralni razvoj (EPFRR) uključuje fokusno područje za </w:t>
      </w:r>
      <w:r>
        <w:rPr>
          <w:rFonts w:ascii="Times New Roman" w:hAnsi="Times New Roman"/>
          <w:i/>
          <w:noProof/>
        </w:rPr>
        <w:t xml:space="preserve">podupiranje prevencije rizika na poljoprivrednim gospodarstvima i upravljanje tim rizikom </w:t>
      </w:r>
      <w:r>
        <w:rPr>
          <w:rFonts w:ascii="Times New Roman" w:hAnsi="Times New Roman"/>
          <w:noProof/>
        </w:rPr>
        <w:t>u okviru njegova prioriteta za ruralni razvoj. Tim fondom podupiru se i mjere u šumarstvu koje uključuju posebne mjere za prevenciju šumskih požara i mjere obnove. U razdoblju od 2014. do 2020. u tu su svrhu posebno izdvojene otprilike 2,3 milijarde EUR.</w:t>
      </w:r>
      <w:r>
        <w:rPr>
          <w:rFonts w:ascii="Times New Roman" w:hAnsi="Times New Roman"/>
          <w:i/>
          <w:noProof/>
        </w:rPr>
        <w:t xml:space="preserve"> </w:t>
      </w:r>
      <w:r>
        <w:rPr>
          <w:rFonts w:ascii="Times New Roman" w:hAnsi="Times New Roman"/>
          <w:noProof/>
        </w:rPr>
        <w:t>U trenutačnom programskom razdoblju još treba provesti veliki broj planiranih mjera za podupiranje ulaganja</w:t>
      </w:r>
      <w:r>
        <w:rPr>
          <w:rFonts w:ascii="Times New Roman" w:hAnsi="Times New Roman"/>
          <w:noProof/>
          <w:vertAlign w:val="superscript"/>
        </w:rPr>
        <w:footnoteReference w:id="16"/>
      </w:r>
      <w:r>
        <w:rPr>
          <w:rFonts w:ascii="Times New Roman" w:hAnsi="Times New Roman"/>
          <w:noProof/>
        </w:rPr>
        <w:t xml:space="preserve"> u preventivne mjere za ublažavanje posljedica prirodnih katastrofa i razornih događaja</w:t>
      </w:r>
      <w:r>
        <w:rPr>
          <w:rFonts w:ascii="Times New Roman" w:hAnsi="Times New Roman"/>
          <w:noProof/>
          <w:vertAlign w:val="superscript"/>
        </w:rPr>
        <w:footnoteReference w:id="17"/>
      </w:r>
      <w:r>
        <w:rPr>
          <w:rFonts w:ascii="Times New Roman" w:hAnsi="Times New Roman"/>
          <w:noProof/>
        </w:rPr>
        <w:t xml:space="preserve"> te za obnovu poljoprivrednog zemljišta i proizvodnog potencijala</w:t>
      </w:r>
      <w:r>
        <w:rPr>
          <w:rFonts w:ascii="Times New Roman" w:hAnsi="Times New Roman"/>
          <w:noProof/>
          <w:vertAlign w:val="superscript"/>
        </w:rPr>
        <w:footnoteReference w:id="18"/>
      </w:r>
      <w:r>
        <w:rPr>
          <w:rFonts w:ascii="Times New Roman" w:hAnsi="Times New Roman"/>
          <w:noProof/>
        </w:rPr>
        <w:t xml:space="preserve">. </w:t>
      </w:r>
    </w:p>
    <w:p>
      <w:pPr>
        <w:spacing w:after="200" w:line="276" w:lineRule="auto"/>
        <w:jc w:val="both"/>
        <w:rPr>
          <w:noProof/>
          <w:sz w:val="22"/>
          <w:szCs w:val="22"/>
        </w:rPr>
      </w:pPr>
      <w:r>
        <w:rPr>
          <w:noProof/>
          <w:sz w:val="22"/>
        </w:rPr>
        <w:t xml:space="preserve">Nadalje, od stvaranja Fonda solidarnosti EU-a 2002. kao instrumenta za (re)financiranje hitnih operacija i operacija oporavka nakon velikih prirodnih katastrofa Komisija je dodijelila ukupno više od 5 milijardi EUR financijske pomoći za intervencije nakon katastrofa. </w:t>
      </w:r>
    </w:p>
    <w:p>
      <w:pPr>
        <w:spacing w:after="200" w:line="276" w:lineRule="auto"/>
        <w:jc w:val="both"/>
        <w:rPr>
          <w:rFonts w:eastAsia="Calibri" w:cs="Calibri"/>
          <w:noProof/>
          <w:color w:val="000000"/>
          <w:sz w:val="22"/>
          <w:szCs w:val="22"/>
          <w:u w:color="000000"/>
        </w:rPr>
      </w:pPr>
      <w:r>
        <w:rPr>
          <w:noProof/>
          <w:color w:val="000000"/>
          <w:sz w:val="22"/>
          <w:u w:color="000000"/>
        </w:rPr>
        <w:t xml:space="preserve">Utvrđeni su i preduvjeti za dodjelu sredstava iz europskih strukturnih i investicijskih fondova za prevenciju rizika od katastrofa i za upravljanje njima te za prilagodbu klimatskim promjenama kako bi se tim sredstvima djelotvorno i učinkovito raspolagalo: za ulaganja u prevenciju rizika treba uspostaviti nacionalne ili regionalne procjene rizika, uključujući prilagođavanje klimatskim promjenama i upravljanje njima. Pokazalo se da se države članice uvjetovanjem potiču da u svoje sustave upravljanja rizikom od katastrofa uvedu strukturne promjene i da pojačaju svoj administrativni kapacitet i poboljšaju kvalitetu svojih ulaganja. </w:t>
      </w:r>
    </w:p>
    <w:p>
      <w:pPr>
        <w:spacing w:after="200" w:line="276" w:lineRule="auto"/>
        <w:jc w:val="both"/>
        <w:rPr>
          <w:rFonts w:eastAsia="Calibri" w:cs="Calibri"/>
          <w:noProof/>
          <w:color w:val="000000"/>
          <w:sz w:val="22"/>
          <w:szCs w:val="22"/>
          <w:u w:color="000000"/>
        </w:rPr>
      </w:pPr>
      <w:r>
        <w:rPr>
          <w:noProof/>
          <w:color w:val="000000"/>
          <w:sz w:val="22"/>
          <w:u w:color="000000"/>
        </w:rPr>
        <w:t xml:space="preserve">Jačanje prevencije u EU-u oslanja se i na snažnu bazu znanja koja se podupire znanstvenim saznanjima i na djelotvorno širenje opsežnih dokaza, naučenih pouka, dobre prakse i projektnih rezultata. Razumijevanje rizika od katastrofa preduvjet je za svijest o rizicima i za razvoj kulture rizika u EU-u. </w:t>
      </w:r>
    </w:p>
    <w:p>
      <w:pPr>
        <w:spacing w:after="200" w:line="276" w:lineRule="auto"/>
        <w:jc w:val="both"/>
        <w:rPr>
          <w:rFonts w:eastAsia="Calibri" w:cs="Calibri"/>
          <w:noProof/>
          <w:color w:val="000000"/>
          <w:sz w:val="22"/>
          <w:szCs w:val="22"/>
          <w:u w:color="000000"/>
        </w:rPr>
      </w:pPr>
      <w:r>
        <w:rPr>
          <w:noProof/>
          <w:color w:val="000000"/>
          <w:sz w:val="22"/>
          <w:u w:color="000000"/>
        </w:rPr>
        <w:t xml:space="preserve">Napori usmjereni na odgovor i oporavak mogu se podupirati nizom drugih politika i fondova EU-a, uključujući mjerama obnove u okviru Europskog poljoprivrednog fonda za ruralni razvoj, fleksibilnošću programa koji se financiraju u okviru kohezijske politike i aktivacijom Fonda solidarnosti EU-a. Nadalje, Europske snage solidarnosti omogućuju mladima da pomažu zajednicama radeći na prevenciji katastrofa ili pomažući im da se oporave, što je snažan izraz solidarnosti EU-a. </w:t>
      </w:r>
    </w:p>
    <w:p>
      <w:pPr>
        <w:spacing w:after="200" w:line="276" w:lineRule="auto"/>
        <w:jc w:val="both"/>
        <w:rPr>
          <w:rFonts w:eastAsia="Calibri" w:cs="Calibri"/>
          <w:noProof/>
          <w:color w:val="000000"/>
          <w:sz w:val="22"/>
          <w:szCs w:val="22"/>
          <w:u w:color="000000"/>
        </w:rPr>
      </w:pPr>
      <w:r>
        <w:rPr>
          <w:noProof/>
          <w:color w:val="000000"/>
          <w:sz w:val="22"/>
          <w:u w:color="000000"/>
        </w:rPr>
        <w:t xml:space="preserve">U načelu bi pri ažuriranju relevantnih područja pravne stečevine EU-a trebalo uzeti u obzir i važnost pridonošenja prevenciji katastrofa i odgovoru na njih. </w:t>
      </w:r>
    </w:p>
    <w:p>
      <w:pPr>
        <w:spacing w:after="200" w:line="276" w:lineRule="auto"/>
        <w:jc w:val="both"/>
        <w:rPr>
          <w:rFonts w:eastAsia="Times New Roman"/>
          <w:noProof/>
          <w:color w:val="000000"/>
          <w:sz w:val="22"/>
          <w:szCs w:val="22"/>
          <w:u w:color="000000"/>
        </w:rPr>
      </w:pPr>
    </w:p>
    <w:p>
      <w:pPr>
        <w:spacing w:after="200" w:line="276" w:lineRule="auto"/>
        <w:jc w:val="both"/>
        <w:rPr>
          <w:rFonts w:eastAsia="Times New Roman"/>
          <w:noProof/>
          <w:color w:val="000000"/>
          <w:sz w:val="22"/>
          <w:szCs w:val="22"/>
          <w:u w:color="000000"/>
        </w:rPr>
      </w:pP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b/>
          <w:noProof/>
          <w:color w:val="000000"/>
          <w:sz w:val="22"/>
          <w:szCs w:val="22"/>
          <w:u w:color="000000"/>
        </w:rPr>
      </w:pPr>
      <w:r>
        <w:rPr>
          <w:b/>
          <w:noProof/>
          <w:color w:val="000000"/>
          <w:sz w:val="22"/>
          <w:u w:color="000000"/>
        </w:rPr>
        <w:t>KLJUČNE MJERE</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Države članice trebale bi iskoristiti sve mogućnosti financiranja u okviru postojećeg zakonodavstva EU-a za stjecanje, prilagodbu ili obnovu kapaciteta.</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Komisija treba razmotriti mogućnost da nakon 2020. upotrijebi procjene rizika i odredbe o planiranju upravljanja rizikom</w:t>
      </w:r>
      <w:r>
        <w:rPr>
          <w:rStyle w:val="FootnoteReference"/>
          <w:noProof/>
          <w:color w:val="000000"/>
          <w:sz w:val="22"/>
          <w:u w:color="000000"/>
        </w:rPr>
        <w:footnoteReference w:id="19"/>
      </w:r>
      <w:r>
        <w:rPr>
          <w:noProof/>
          <w:color w:val="000000"/>
          <w:sz w:val="22"/>
          <w:u w:color="000000"/>
        </w:rPr>
        <w:t xml:space="preserve"> kao </w:t>
      </w:r>
      <w:r>
        <w:rPr>
          <w:i/>
          <w:noProof/>
          <w:color w:val="000000"/>
          <w:sz w:val="22"/>
          <w:u w:color="000000"/>
        </w:rPr>
        <w:t>ex ante</w:t>
      </w:r>
      <w:r>
        <w:rPr>
          <w:noProof/>
          <w:color w:val="000000"/>
          <w:sz w:val="22"/>
          <w:u w:color="000000"/>
        </w:rPr>
        <w:t xml:space="preserve"> uvjet, u okviru kohezijske politike i Europskog poljoprivrednog fonda za ruralni razvoj.</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Komisija treba razmotriti kako bi se pravilima za razdoblje nakon 2020. moglo olakšati sufinanciranje kapaciteta za odgovor na katastrofe razvijenih s pomoću fondova kohezijske politike koji se upotrebljavaju u kontekstu sredstava za odgovor Europskih udruženih kapaciteta za civilnu zaštitu.</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 xml:space="preserve">Komisija treba do ljeta 2018. pregledati planirana ulaganja u sve relevantne programe i s državama članicama razgovarati o mogućim promjenama. Države članice trebale bi usmjeriti preostala sredstva na određene projekte, a Komisija će, prema potrebi, brzo izmijeniti programe. </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 xml:space="preserve">Države članice trebaju iskoristiti mogućnost povećanih stopa sufinanciranja ili mjere oporavka/obnove nakon prirodnih katastrofa u okviru europskih strukturnih i investicijskih fondova. </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Komisija treba za razdoblje nakon 2020. razmotriti kako ubrzati postupke izmjene relevantnih programa europskih strukturnih i investicijskih fondova, posebno nakon katastrofe</w:t>
      </w:r>
      <w:r>
        <w:rPr>
          <w:noProof/>
          <w:color w:val="000000"/>
          <w:sz w:val="22"/>
          <w:u w:color="000000"/>
          <w:vertAlign w:val="superscript"/>
        </w:rPr>
        <w:footnoteReference w:id="20"/>
      </w:r>
      <w:r>
        <w:rPr>
          <w:noProof/>
          <w:color w:val="000000"/>
          <w:sz w:val="22"/>
          <w:u w:color="000000"/>
        </w:rPr>
        <w:t xml:space="preserve">. </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 xml:space="preserve">Komisija treba iskoristiti revizije relevantnog zakonodavstva i postupaka EU-a za osnaženu prevenciju katastrofa, na svim relevantnim razinama upravljanja. </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 xml:space="preserve">Komisija treba pokrenuti komunikacijsku i promidžbenu kampanju o prevenciji katastrofa koja će biti posebno usmjerena na šumske požare, valove vrućine i ostale ekstremne vremenske uvjete uzrokovane klimom u cilju povećanja svijesti o preventivnim mjerama. </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Države članice i Komisija trebaju promicati sustavnije prikupljanje i širenje podataka o posljedicama katastrofa, poboljšati prikupljanje tih podataka i iskoristiti ih za optimalno planiranje prevencije i prilagodbe klimatskim promjenama.</w:t>
      </w:r>
    </w:p>
    <w:p>
      <w:pPr>
        <w:spacing w:after="200" w:line="276" w:lineRule="auto"/>
        <w:ind w:left="360"/>
        <w:jc w:val="both"/>
        <w:rPr>
          <w:rFonts w:eastAsia="Times New Roman"/>
          <w:b/>
          <w:bCs/>
          <w:noProof/>
          <w:color w:val="000000"/>
          <w:sz w:val="22"/>
          <w:szCs w:val="22"/>
          <w:u w:color="000000"/>
        </w:rPr>
      </w:pPr>
    </w:p>
    <w:p>
      <w:pPr>
        <w:spacing w:after="200" w:line="276" w:lineRule="auto"/>
        <w:jc w:val="both"/>
        <w:rPr>
          <w:rFonts w:eastAsia="Times New Roman"/>
          <w:b/>
          <w:bCs/>
          <w:smallCaps/>
          <w:noProof/>
          <w:color w:val="000000"/>
          <w:sz w:val="22"/>
          <w:szCs w:val="22"/>
          <w:u w:color="000000"/>
        </w:rPr>
      </w:pPr>
      <w:r>
        <w:rPr>
          <w:b/>
          <w:smallCaps/>
          <w:noProof/>
          <w:color w:val="000000"/>
          <w:sz w:val="22"/>
          <w:u w:color="000000"/>
        </w:rPr>
        <w:t>5.</w:t>
      </w:r>
      <w:r>
        <w:rPr>
          <w:noProof/>
        </w:rPr>
        <w:tab/>
      </w:r>
      <w:r>
        <w:rPr>
          <w:b/>
          <w:smallCaps/>
          <w:noProof/>
          <w:color w:val="000000"/>
          <w:sz w:val="22"/>
          <w:u w:color="000000"/>
        </w:rPr>
        <w:t>Zaključak</w:t>
      </w:r>
    </w:p>
    <w:p>
      <w:pPr>
        <w:spacing w:after="200" w:line="276" w:lineRule="auto"/>
        <w:jc w:val="both"/>
        <w:rPr>
          <w:rFonts w:eastAsia="Calibri" w:cs="Calibri"/>
          <w:noProof/>
          <w:color w:val="000000"/>
          <w:sz w:val="22"/>
          <w:szCs w:val="22"/>
          <w:u w:color="000000"/>
        </w:rPr>
      </w:pPr>
      <w:r>
        <w:rPr>
          <w:noProof/>
          <w:color w:val="000000"/>
          <w:sz w:val="22"/>
          <w:u w:color="000000"/>
        </w:rPr>
        <w:t xml:space="preserve">Niz razornih katastrofa koje su 2017. uzrokovale velike štete za ljude, okoliš i gospodarstvo pokazale su da je potrebno pojačati europsku solidarnost i odgovornost EU-a i njegovih država članica u području prevencije katastrofa, pripravnosti za katastrofe i odgovora na njih. Klimatske promjene pritom su znatna otegotna okolnost i pridonijele su većoj učestalosti i intenzitetu prirodnih katastrofa. Europa koja štiti mora moći spriječiti i izazove koji utječu na naše društvo, pripremiti se za njih i odgovoriti na njih. rescEU velik je napredak prema osiguranju kapaciteta za to u Uniji i njezinim državama članicama. </w:t>
      </w:r>
    </w:p>
    <w:p>
      <w:pPr>
        <w:spacing w:after="200" w:line="276" w:lineRule="auto"/>
        <w:jc w:val="both"/>
        <w:rPr>
          <w:rFonts w:eastAsia="Calibri" w:cs="Calibri"/>
          <w:noProof/>
          <w:color w:val="000000"/>
          <w:sz w:val="22"/>
          <w:szCs w:val="22"/>
          <w:u w:color="000000"/>
        </w:rPr>
      </w:pPr>
      <w:r>
        <w:rPr>
          <w:noProof/>
          <w:color w:val="000000"/>
          <w:sz w:val="22"/>
          <w:u w:color="000000"/>
        </w:rPr>
        <w:t xml:space="preserve">U skladu s načelom da prevencija utvrđenih rizika, kao i prilagodba tim rizicima ako potpuna prevencija nije moguća, mora biti dužnost, a ne izbor, te zajedno s mogućnošću što bržeg i učinkovitijeg odgovora, sustavom rescEU znatno će se pojačati kapaciteti za upravljanje rizicima od katastrofa u EU-u. </w:t>
      </w:r>
    </w:p>
    <w:p>
      <w:pPr>
        <w:spacing w:after="200" w:line="276" w:lineRule="auto"/>
        <w:jc w:val="both"/>
        <w:rPr>
          <w:rFonts w:eastAsia="Calibri"/>
          <w:noProof/>
        </w:rPr>
      </w:pPr>
      <w:r>
        <w:rPr>
          <w:noProof/>
          <w:color w:val="000000"/>
          <w:sz w:val="22"/>
          <w:u w:color="000000"/>
        </w:rPr>
        <w:t>rescEU dovest će do toga da će sve države ugraditi prevenciju katastrofa u sve svoje politike, da će osigurati zadovoljavajuću razinu kapaciteta za odgovor i da će se s povjerenjem moći osloniti na pomoć EU-a u slučaju katastrofa iznimnog opsega ili prirode kada je intervencija EU-a opravdana. Europska unija i države koje sudjeluju u Mehanizmu Unije za civilnu zaštitu moći će se u budućnosti potpuno usredotočiti na razvoj svojih kapaciteta za odgovor na temelju budućih rizika.</w:t>
      </w:r>
    </w:p>
    <w:sectPr>
      <w:headerReference w:type="even" r:id="rId16"/>
      <w:headerReference w:type="default" r:id="rId17"/>
      <w:footerReference w:type="even" r:id="rId18"/>
      <w:footerReference w:type="default" r:id="rId19"/>
      <w:headerReference w:type="first" r:id="rId20"/>
      <w:footerReference w:type="first" r:id="rId21"/>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15676"/>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jc w:val="both"/>
        <w:rPr>
          <w:rFonts w:ascii="Times New Roman" w:hAnsi="Times New Roman" w:cs="Times New Roman"/>
          <w:sz w:val="18"/>
          <w:szCs w:val="18"/>
        </w:rPr>
      </w:pPr>
      <w:r>
        <w:rPr>
          <w:rFonts w:ascii="Times New Roman" w:hAnsi="Times New Roman"/>
          <w:vertAlign w:val="superscript"/>
        </w:rPr>
        <w:footnoteRef/>
      </w:r>
      <w:r>
        <w:t xml:space="preserve"> </w:t>
      </w:r>
      <w:r>
        <w:rPr>
          <w:rFonts w:ascii="Times New Roman" w:hAnsi="Times New Roman"/>
          <w:sz w:val="18"/>
        </w:rPr>
        <w:t xml:space="preserve">IPCC, Klimatske promjene 2014.: utjecaji, prilagodba i osjetljivost. Dio A: Globalni i sektorski aspekti. Doprinos Radne skupine II. Petom izvješću o procjeni Međuvladinog odbora za klimatske promjene, 2014. </w:t>
      </w:r>
    </w:p>
  </w:footnote>
  <w:footnote w:id="3">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Izvješće Europske agencije za okoliš br. 1/2017, 25. siječnja 2017., Klimatske promjene, utjecaji i ranjivost u Europi 2016.</w:t>
      </w:r>
    </w:p>
  </w:footnote>
  <w:footnote w:id="4">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Ako se ne poduzmu mjere za zaštitu građana, predviđa se da će od 2071. do 2100. samo u EU-u 152 000 osoba godišnje izgubiti život (tj. povećanje od 50 puta u odnosu na broj stradalih danas povezan s klimatskim promjenama) kao izravna posljedica opasnosti povezanih s ekstremnim vremenskim uvjetima, a posebno će biti pogođeni građani koji žive u južnom dijelu Europe: Vidjeti Forzieri, Giovanni et al., „Increasing risk over time of weather-related hazards to the European population”, 2017.</w:t>
      </w:r>
    </w:p>
  </w:footnote>
  <w:footnote w:id="5">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Izvješće Međuvladinog odbora za klimatske promjene, 2014.: ublažavanje klimatskih promjena. </w:t>
      </w:r>
    </w:p>
  </w:footnote>
  <w:footnote w:id="6">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EM-DAT, 2017.</w:t>
      </w:r>
    </w:p>
  </w:footnote>
  <w:footnote w:id="7">
    <w:p>
      <w:pPr>
        <w:pStyle w:val="FootnoteText"/>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Statistički podaci za razdoblje od 1. siječnja 2017. do 22. listopada 2017. Vidjeti Država Kalifornija, služba CAL FIRE, </w:t>
      </w:r>
    </w:p>
  </w:footnote>
  <w:footnote w:id="8">
    <w:p>
      <w:pPr>
        <w:pStyle w:val="FootnoteText"/>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Brazilski nacionalni zavod za istraživanje svemira,</w:t>
      </w:r>
    </w:p>
  </w:footnote>
  <w:footnote w:id="9">
    <w:p>
      <w:pPr>
        <w:pStyle w:val="FootnoteText"/>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Vidjeti portal ERCC, Čile – Potpora EU-a za šumske požare, 2. veljače 2017.</w:t>
      </w:r>
    </w:p>
  </w:footnote>
  <w:footnote w:id="10">
    <w:p>
      <w:pPr>
        <w:pStyle w:val="FootnoteText"/>
      </w:pPr>
      <w:r>
        <w:rPr>
          <w:rStyle w:val="FootnoteReference"/>
        </w:rPr>
        <w:footnoteRef/>
      </w:r>
      <w:r>
        <w:t xml:space="preserve"> </w:t>
      </w:r>
      <w:r>
        <w:rPr>
          <w:rFonts w:ascii="Times New Roman" w:hAnsi="Times New Roman"/>
          <w:sz w:val="18"/>
        </w:rPr>
        <w:t>Odluka br. 1313/2013/EU.  Ova Komunikacija u skladu je s člankom 34. Odluke.</w:t>
      </w:r>
      <w:r>
        <w:t xml:space="preserve"> </w:t>
      </w:r>
    </w:p>
  </w:footnote>
  <w:footnote w:id="11">
    <w:p>
      <w:pPr>
        <w:pStyle w:val="FootnoteText"/>
      </w:pPr>
      <w:r>
        <w:rPr>
          <w:rFonts w:ascii="Times New Roman" w:hAnsi="Times New Roman"/>
          <w:sz w:val="18"/>
          <w:vertAlign w:val="superscript"/>
        </w:rPr>
        <w:footnoteRef/>
      </w:r>
      <w:r>
        <w:rPr>
          <w:rFonts w:ascii="Times New Roman" w:hAnsi="Times New Roman"/>
          <w:sz w:val="18"/>
        </w:rPr>
        <w:t xml:space="preserve"> Vidjeti </w:t>
      </w:r>
      <w:hyperlink r:id="rId1">
        <w:r>
          <w:rPr>
            <w:rStyle w:val="Hyperlink0"/>
            <w:rFonts w:ascii="Times New Roman" w:hAnsi="Times New Roman"/>
            <w:sz w:val="18"/>
          </w:rPr>
          <w:t>http://europa.eu/rapid/press-release_IP-13-907_en.htm</w:t>
        </w:r>
      </w:hyperlink>
      <w:r>
        <w:t xml:space="preserve"> </w:t>
      </w:r>
    </w:p>
  </w:footnote>
  <w:footnote w:id="12">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Primjeri takvih inicijativa DRMKC-a uključuju trajni razvoj i uključivanje najinovativnijih rezultata istraživanja.</w:t>
      </w:r>
    </w:p>
  </w:footnote>
  <w:footnote w:id="13">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U okviru programa Obzor 2020. već je uloženo više od 20 milijuna EUR u istraživačke projekte povezane sa šumskim požarima. Buduća istraživanja predviđena za 2020. posebno će obuhvaćati sljedeće: „Novo prilagođeno upravljanje koje se temelji na ekosustavu, uključujući rješenja utemeljena na prirodi, za smanjenje rizika od šumskih požara u EU-u” (15 milijuna EUR) i „Otporne šume” u cilju razvoja novih smjernica za prevenciju rizika od šumskih požara i donošenje odluka utemeljenih na procjeni rizika o najboljim mogućnostima za prilagodbu (10 milijuna EUR). Program za strateška istraživanja i inovacije u pogledu upravljanja rizikom od šumskih požara u EU-u razvit će se 2018. na temelju potreba utvrđenih tijekom revizije istraživačkih projekata o šumskim požarima koje financira EU i preporuka donesenih u okviru radionice više dionika na temu „Kako se suočavati s velikim požarima u Europi” koja će se održati u Lisabonu u siječnju/veljači 2018.</w:t>
      </w:r>
    </w:p>
  </w:footnote>
  <w:footnote w:id="14">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Radni dokument službi Komisije: Akcijski plan za Okvir iz Sendaija za smanjenje rizika od katastrofa za razdoblje 2015.–2030., SWD(2016)205</w:t>
      </w:r>
    </w:p>
  </w:footnote>
  <w:footnote w:id="15">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Europski fond za regionalni razvoj: 4,2 milijarde EUR; Kohezijski fond: 3,7 milijardi EUR.</w:t>
      </w:r>
    </w:p>
  </w:footnote>
  <w:footnote w:id="16">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Stope sufinanciranja mogu se povećati do 80 % za pojedinačna ulaganja i do 100 % za zajednička ulaganja.</w:t>
      </w:r>
    </w:p>
  </w:footnote>
  <w:footnote w:id="17">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U razdoblju od 2014. do 2020.: od planiranih 3,8 milijardi EUR ulaganja u poboljšanje otpornosti i okolišne vrijednosti šumskih ekosustava trenutačno se provodi 13,4 %; od planirana 354 milijuna EUR za šumsko-okolišne i klimatske usluge kojima se promiču preventivni pristupi koji se temelje na ekosustavu provedeno je 7,2 %; od planiranih 2,7 milijardi EUR za alate za upravljanje rizikom, kao što su osiguranje, uzajamni fondovi i potpora za stabilizaciju prihoda, provedeno je 7,2 %.</w:t>
      </w:r>
    </w:p>
  </w:footnote>
  <w:footnote w:id="18">
    <w:p>
      <w:pPr>
        <w:pStyle w:val="FootnoteText"/>
        <w:jc w:val="both"/>
      </w:pPr>
      <w:r>
        <w:rPr>
          <w:rFonts w:ascii="Times New Roman" w:hAnsi="Times New Roman"/>
          <w:sz w:val="18"/>
          <w:vertAlign w:val="superscript"/>
        </w:rPr>
        <w:footnoteRef/>
      </w:r>
      <w:r>
        <w:rPr>
          <w:rFonts w:ascii="Times New Roman" w:hAnsi="Times New Roman"/>
          <w:sz w:val="18"/>
        </w:rPr>
        <w:t xml:space="preserve"> Od planirane 2,1 milijarde EUR za razdoblje od 2014. do 2020. trenutačno se provodi 10,4 %.</w:t>
      </w:r>
    </w:p>
  </w:footnote>
  <w:footnote w:id="19">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Odredbe kao što su postojanje planova za upravljanje rizikom od katastrofa obvezne su u zakonodavstvu o civilnoj zaštiti; planovi za upravljanje rizikom od poplava utemeljeni na Direktivi EU-a o poplavama; ili bi trebalo razmotriti mjere utemeljene na ekosustavu za povećanje otpornosti šuma od požara.</w:t>
      </w:r>
    </w:p>
  </w:footnote>
  <w:footnote w:id="20">
    <w:p>
      <w:pPr>
        <w:pStyle w:val="FootnoteText"/>
        <w:jc w:val="both"/>
      </w:pPr>
      <w:r>
        <w:rPr>
          <w:rFonts w:ascii="Times New Roman" w:hAnsi="Times New Roman"/>
          <w:sz w:val="18"/>
          <w:vertAlign w:val="superscript"/>
        </w:rPr>
        <w:footnoteRef/>
      </w:r>
      <w:r>
        <w:rPr>
          <w:rFonts w:ascii="Times New Roman" w:hAnsi="Times New Roman"/>
          <w:sz w:val="18"/>
        </w:rPr>
        <w:t xml:space="preserve"> Nakon šumskih požara u Portugalu 2017. upotrijebljeni su ubrzani postupci za izmjenu operativnih programa.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01586"/>
    <w:multiLevelType w:val="hybridMultilevel"/>
    <w:tmpl w:val="B58EA8C8"/>
    <w:lvl w:ilvl="0" w:tplc="E1C267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180E90"/>
    <w:multiLevelType w:val="multilevel"/>
    <w:tmpl w:val="7D08118C"/>
    <w:lvl w:ilvl="0">
      <w:start w:val="3"/>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92" w:hanging="432"/>
      </w:pPr>
      <w:rPr>
        <w:rFonts w:hAnsi="Arial Unicode MS" w:hint="default"/>
        <w:b/>
        <w:bCs/>
        <w:caps w:val="0"/>
        <w:smallCaps w:val="0"/>
        <w:strike w:val="0"/>
        <w:dstrike w:val="0"/>
        <w:outline w:val="0"/>
        <w:emboss w:val="0"/>
        <w:imprint w:val="0"/>
        <w:spacing w:val="0"/>
        <w:w w:val="100"/>
        <w:kern w:val="0"/>
        <w:position w:val="0"/>
        <w:vertAlign w:val="baseline"/>
      </w:rPr>
    </w:lvl>
    <w:lvl w:ilvl="2">
      <w:start w:val="1"/>
      <w:numFmt w:val="decimal"/>
      <w:suff w:val="nothing"/>
      <w:lvlText w:val="%1.%2.%3."/>
      <w:lvlJc w:val="left"/>
      <w:pPr>
        <w:ind w:left="1224" w:hanging="504"/>
      </w:pPr>
      <w:rPr>
        <w:rFonts w:hAnsi="Arial Unicode MS" w:hint="default"/>
        <w:b/>
        <w:bCs/>
        <w:caps w:val="0"/>
        <w:smallCaps w:val="0"/>
        <w:strike w:val="0"/>
        <w:dstrike w:val="0"/>
        <w:outline w:val="0"/>
        <w:emboss w:val="0"/>
        <w:imprint w:val="0"/>
        <w:spacing w:val="0"/>
        <w:w w:val="100"/>
        <w:kern w:val="0"/>
        <w:position w:val="0"/>
        <w:vertAlign w:val="baseline"/>
      </w:rPr>
    </w:lvl>
    <w:lvl w:ilvl="3">
      <w:start w:val="1"/>
      <w:numFmt w:val="decimal"/>
      <w:suff w:val="nothing"/>
      <w:lvlText w:val="%1.%2.%3.%4."/>
      <w:lvlJc w:val="left"/>
      <w:pPr>
        <w:ind w:left="1728" w:hanging="648"/>
      </w:pPr>
      <w:rPr>
        <w:rFonts w:hAnsi="Arial Unicode MS" w:hint="default"/>
        <w:b/>
        <w:bCs/>
        <w:caps w:val="0"/>
        <w:smallCaps w:val="0"/>
        <w:strike w:val="0"/>
        <w:dstrike w:val="0"/>
        <w:outline w:val="0"/>
        <w:emboss w:val="0"/>
        <w:imprint w:val="0"/>
        <w:spacing w:val="0"/>
        <w:w w:val="100"/>
        <w:kern w:val="0"/>
        <w:position w:val="0"/>
        <w:vertAlign w:val="baseline"/>
      </w:rPr>
    </w:lvl>
    <w:lvl w:ilvl="4">
      <w:start w:val="1"/>
      <w:numFmt w:val="decimal"/>
      <w:suff w:val="nothing"/>
      <w:lvlText w:val="%1.%2.%3.%4.%5."/>
      <w:lvlJc w:val="left"/>
      <w:pPr>
        <w:ind w:left="2232" w:hanging="792"/>
      </w:pPr>
      <w:rPr>
        <w:rFonts w:hAnsi="Arial Unicode MS" w:hint="default"/>
        <w:b/>
        <w:bCs/>
        <w:caps w:val="0"/>
        <w:smallCaps w:val="0"/>
        <w:strike w:val="0"/>
        <w:dstrike w:val="0"/>
        <w:outline w:val="0"/>
        <w:emboss w:val="0"/>
        <w:imprint w:val="0"/>
        <w:spacing w:val="0"/>
        <w:w w:val="100"/>
        <w:kern w:val="0"/>
        <w:position w:val="0"/>
        <w:vertAlign w:val="baseline"/>
      </w:rPr>
    </w:lvl>
    <w:lvl w:ilvl="5">
      <w:start w:val="1"/>
      <w:numFmt w:val="decimal"/>
      <w:suff w:val="nothing"/>
      <w:lvlText w:val="%1.%2.%3.%4.%5.%6."/>
      <w:lvlJc w:val="left"/>
      <w:pPr>
        <w:ind w:left="2736" w:hanging="936"/>
      </w:pPr>
      <w:rPr>
        <w:rFonts w:hAnsi="Arial Unicode MS" w:hint="default"/>
        <w:b/>
        <w:bCs/>
        <w:caps w:val="0"/>
        <w:smallCaps w:val="0"/>
        <w:strike w:val="0"/>
        <w:dstrike w:val="0"/>
        <w:outline w:val="0"/>
        <w:emboss w:val="0"/>
        <w:imprint w:val="0"/>
        <w:spacing w:val="0"/>
        <w:w w:val="100"/>
        <w:kern w:val="0"/>
        <w:position w:val="0"/>
        <w:vertAlign w:val="baseline"/>
      </w:rPr>
    </w:lvl>
    <w:lvl w:ilvl="6">
      <w:start w:val="1"/>
      <w:numFmt w:val="decimal"/>
      <w:suff w:val="nothing"/>
      <w:lvlText w:val="%1.%2.%3.%4.%5.%6.%7."/>
      <w:lvlJc w:val="left"/>
      <w:pPr>
        <w:ind w:left="3240" w:hanging="1080"/>
      </w:pPr>
      <w:rPr>
        <w:rFonts w:hAnsi="Arial Unicode MS" w:hint="default"/>
        <w:b/>
        <w:bCs/>
        <w:caps w:val="0"/>
        <w:smallCaps w:val="0"/>
        <w:strike w:val="0"/>
        <w:dstrike w:val="0"/>
        <w:outline w:val="0"/>
        <w:emboss w:val="0"/>
        <w:imprint w:val="0"/>
        <w:spacing w:val="0"/>
        <w:w w:val="100"/>
        <w:kern w:val="0"/>
        <w:position w:val="0"/>
        <w:vertAlign w:val="baseline"/>
      </w:rPr>
    </w:lvl>
    <w:lvl w:ilvl="7">
      <w:start w:val="1"/>
      <w:numFmt w:val="decimal"/>
      <w:suff w:val="nothing"/>
      <w:lvlText w:val="%1.%2.%3.%4.%5.%6.%7.%8."/>
      <w:lvlJc w:val="left"/>
      <w:pPr>
        <w:ind w:left="3744" w:hanging="1224"/>
      </w:pPr>
      <w:rPr>
        <w:rFonts w:hAnsi="Arial Unicode MS" w:hint="default"/>
        <w:b/>
        <w:bCs/>
        <w:caps w:val="0"/>
        <w:smallCaps w:val="0"/>
        <w:strike w:val="0"/>
        <w:dstrike w:val="0"/>
        <w:outline w:val="0"/>
        <w:emboss w:val="0"/>
        <w:imprint w:val="0"/>
        <w:spacing w:val="0"/>
        <w:w w:val="100"/>
        <w:kern w:val="0"/>
        <w:position w:val="0"/>
        <w:vertAlign w:val="baseline"/>
      </w:rPr>
    </w:lvl>
    <w:lvl w:ilvl="8">
      <w:start w:val="1"/>
      <w:numFmt w:val="decimal"/>
      <w:suff w:val="nothing"/>
      <w:lvlText w:val="%1.%2.%3.%4.%5.%6.%7.%8.%9."/>
      <w:lvlJc w:val="left"/>
      <w:pPr>
        <w:ind w:left="4320" w:hanging="1440"/>
      </w:pPr>
      <w:rPr>
        <w:rFonts w:hAnsi="Arial Unicode MS" w:hint="default"/>
        <w:b/>
        <w:bCs/>
        <w:caps w:val="0"/>
        <w:smallCaps w:val="0"/>
        <w:strike w:val="0"/>
        <w:dstrike w:val="0"/>
        <w:outline w:val="0"/>
        <w:emboss w:val="0"/>
        <w:imprint w:val="0"/>
        <w:spacing w:val="0"/>
        <w:w w:val="100"/>
        <w:kern w:val="0"/>
        <w:position w:val="0"/>
        <w:vertAlign w:val="baseline"/>
      </w:rPr>
    </w:lvl>
  </w:abstractNum>
  <w:abstractNum w:abstractNumId="2">
    <w:nsid w:val="69831EC5"/>
    <w:multiLevelType w:val="multilevel"/>
    <w:tmpl w:val="A0F2D876"/>
    <w:numStyleLink w:val="ImportedStyle1"/>
  </w:abstractNum>
  <w:abstractNum w:abstractNumId="3">
    <w:nsid w:val="6EFC03C1"/>
    <w:multiLevelType w:val="hybridMultilevel"/>
    <w:tmpl w:val="6E68069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nsid w:val="6FC7739C"/>
    <w:multiLevelType w:val="multilevel"/>
    <w:tmpl w:val="A0F2D876"/>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791A3F4C"/>
    <w:multiLevelType w:val="hybridMultilevel"/>
    <w:tmpl w:val="2DCA16B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nsid w:val="79F738FF"/>
    <w:multiLevelType w:val="hybridMultilevel"/>
    <w:tmpl w:val="53741072"/>
    <w:lvl w:ilvl="0" w:tplc="2C58AD0E">
      <w:start w:val="1"/>
      <w:numFmt w:val="decimal"/>
      <w:lvlText w:val="%1."/>
      <w:lvlJc w:val="left"/>
      <w:pPr>
        <w:ind w:left="786" w:hanging="360"/>
      </w:pPr>
      <w:rPr>
        <w:rFonts w:eastAsia="Calibri" w:cs="Calibr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STEWART-DAVID">
    <w15:presenceInfo w15:providerId="None" w15:userId="Julia STEWART-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docVars>
    <w:docVar w:name="DocStatus" w:val="Green"/>
    <w:docVar w:name="LW_CORRIGENDUM" w:val="&lt;UNUSED&gt;"/>
    <w:docVar w:name="LW_COVERPAGE_EXISTS" w:val="True"/>
    <w:docVar w:name="LW_COVERPAGE_GUID" w:val="E5F88C14-3C0E-4405-8041-113712B770E9"/>
    <w:docVar w:name="LW_COVERPAGE_TYPE" w:val="1"/>
    <w:docVar w:name="LW_CROSSREFERENCE" w:val="&lt;UNUSED&gt;"/>
    <w:docVar w:name="LW_DocType" w:val="NORMAL"/>
    <w:docVar w:name="LW_EMISSION" w:val="23.11.2017."/>
    <w:docVar w:name="LW_EMISSION_ISODATE" w:val="2017-11-23"/>
    <w:docVar w:name="LW_EMISSION_LOCATION" w:val="BRX"/>
    <w:docVar w:name="LW_EMISSION_PREFIX" w:val="Bruxelles, "/>
    <w:docVar w:name="LW_EMISSION_SUFFIX" w:val="&lt;EMPTY&gt;"/>
    <w:docVar w:name="LW_ID_DOCTYPE_NONLW" w:val="CP-009"/>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17) 7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 w:val="Solidarity with Responsibility"/>
    <w:docVar w:name="LW_SOUS.TITRE.OBJ.CP" w:val="Solidarity with Responsibility"/>
    <w:docVar w:name="LW_SUPERTITRE" w:val="&lt;UNUSED&gt;"/>
    <w:docVar w:name="LW_TITRE.OBJ.CP" w:val="Ja\u269?anje upravljanja katastrofama u EU-u: rescEU_x000b_Solidarnost uz odgovornost"/>
    <w:docVar w:name="LW_TYPE.DOC.CP" w:val="KOMUNIKACIJA KOMISIJE"/>
    <w:docVar w:name="LW_TYPE.DOC.CP.USERTEXT" w:val="EUROPSKOM PARLAMENTU, VIJE\u262?U I ODBORU REGIJA"/>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hr-HR" w:eastAsia="hr-HR" w:bidi="hr-HR"/>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Body"/>
    <w:pPr>
      <w:jc w:val="both"/>
    </w:pPr>
    <w:rPr>
      <w:rFonts w:eastAsia="Times New Roman"/>
      <w:color w:val="000000"/>
      <w:sz w:val="24"/>
      <w:szCs w:val="24"/>
      <w:u w:color="000000"/>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styleId="Footer">
    <w:name w:val="footer"/>
    <w:basedOn w:val="Normal"/>
    <w:link w:val="Foot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 w:val="right" w:pos="9921"/>
      </w:tabs>
      <w:spacing w:before="360"/>
      <w:ind w:left="-850" w:right="-850"/>
    </w:pPr>
    <w:rPr>
      <w:rFonts w:eastAsiaTheme="minorHAnsi"/>
      <w:szCs w:val="22"/>
      <w:bdr w:val="none" w:sz="0" w:space="0" w:color="auto"/>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FootnoteText">
    <w:name w:val="footnote text"/>
    <w:link w:val="FootnoteTextChar"/>
    <w:rPr>
      <w:rFonts w:ascii="Calibri" w:eastAsia="Calibri" w:hAnsi="Calibri" w:cs="Calibri"/>
      <w:color w:val="000000"/>
      <w:u w:color="000000"/>
    </w:rPr>
  </w:style>
  <w:style w:type="character" w:customStyle="1" w:styleId="Hyperlink0">
    <w:name w:val="Hyperlink.0"/>
    <w:basedOn w:val="Hyperlink"/>
    <w:rPr>
      <w:strike w:val="0"/>
      <w:dstrike w:val="0"/>
      <w:color w:val="428BCA"/>
      <w:u w:val="none" w:color="428BC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hr-HR" w:eastAsia="hr-HR"/>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eastAsia="hr-HR"/>
    </w:rPr>
  </w:style>
  <w:style w:type="character" w:styleId="FootnoteReference">
    <w:name w:val="footnote reference"/>
    <w:basedOn w:val="DefaultParagraphFont"/>
    <w:uiPriority w:val="99"/>
    <w:unhideWhenUsed/>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hr-HR" w:eastAsia="hr-HR"/>
    </w:rPr>
  </w:style>
  <w:style w:type="character" w:customStyle="1" w:styleId="BodyChar">
    <w:name w:val="Body Char"/>
    <w:basedOn w:val="DefaultParagraphFont"/>
    <w:link w:val="Body"/>
    <w:rPr>
      <w:rFonts w:ascii="Calibri" w:eastAsia="Calibri" w:hAnsi="Calibri" w:cs="Calibri"/>
      <w:color w:val="000000"/>
      <w:sz w:val="22"/>
      <w:szCs w:val="22"/>
      <w:u w:color="000000"/>
    </w:rPr>
  </w:style>
  <w:style w:type="numbering" w:customStyle="1" w:styleId="ImportedStyle11">
    <w:name w:val="Imported Style 11"/>
  </w:style>
  <w:style w:type="character" w:customStyle="1" w:styleId="FootnoteTextChar">
    <w:name w:val="Footnote Text Char"/>
    <w:basedOn w:val="DefaultParagraphFont"/>
    <w:link w:val="FootnoteText"/>
    <w:rPr>
      <w:rFonts w:ascii="Calibri" w:eastAsia="Calibri" w:hAnsi="Calibri" w:cs="Calibri"/>
      <w:color w:val="000000"/>
      <w:u w:color="000000"/>
      <w:lang w:val="hr-HR"/>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s>
      <w:spacing w:after="120"/>
      <w:jc w:val="both"/>
    </w:pPr>
    <w:rPr>
      <w:rFonts w:eastAsiaTheme="minorHAnsi"/>
      <w:szCs w:val="22"/>
      <w:bdr w:val="none" w:sz="0" w:space="0" w:color="auto"/>
    </w:rPr>
  </w:style>
  <w:style w:type="character" w:customStyle="1" w:styleId="HeaderChar">
    <w:name w:val="Header Char"/>
    <w:basedOn w:val="DefaultParagraphFont"/>
    <w:link w:val="Header"/>
    <w:uiPriority w:val="99"/>
    <w:rPr>
      <w:rFonts w:eastAsiaTheme="minorHAnsi"/>
      <w:sz w:val="24"/>
      <w:szCs w:val="22"/>
      <w:bdr w:val="none" w:sz="0" w:space="0" w:color="auto"/>
      <w:lang w:val="hr-HR" w:eastAsia="hr-HR"/>
    </w:rPr>
  </w:style>
  <w:style w:type="paragraph" w:customStyle="1" w:styleId="Typedudocument">
    <w:name w:val="Type du documen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eastAsiaTheme="minorHAnsi"/>
      <w:b/>
      <w:szCs w:val="22"/>
      <w:bdr w:val="none" w:sz="0" w:space="0" w:color="auto"/>
    </w:rPr>
  </w:style>
  <w:style w:type="paragraph" w:customStyle="1" w:styleId="Titreobjet">
    <w:name w:val="Titre obje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pPr>
    <w:rPr>
      <w:rFonts w:eastAsiaTheme="minorHAnsi"/>
      <w:b/>
      <w:szCs w:val="22"/>
      <w:bdr w:val="none" w:sz="0" w:space="0" w:color="auto"/>
    </w:rPr>
  </w:style>
  <w:style w:type="paragraph" w:customStyle="1" w:styleId="Sous-titreobjet">
    <w:name w:val="Sous-titre objet"/>
    <w:basedOn w:val="Normal"/>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heme="minorHAnsi"/>
      <w:b/>
      <w:szCs w:val="22"/>
      <w:bdr w:val="none" w:sz="0" w:space="0" w:color="auto"/>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Declassification">
    <w:name w:val="Declassification"/>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HeaderLandscape">
    <w:name w:val="Head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right" w:pos="14003"/>
      </w:tabs>
      <w:spacing w:after="120"/>
      <w:jc w:val="both"/>
    </w:pPr>
    <w:rPr>
      <w:rFonts w:eastAsiaTheme="minorHAnsi"/>
      <w:szCs w:val="22"/>
      <w:bdr w:val="none" w:sz="0" w:space="0" w:color="auto"/>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bdr w:val="none" w:sz="0" w:space="0" w:color="auto"/>
      <w:lang w:val="hr-HR" w:eastAsia="hr-HR"/>
    </w:rPr>
  </w:style>
  <w:style w:type="paragraph" w:customStyle="1" w:styleId="FooterLandscape">
    <w:name w:val="Foot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center" w:pos="10913"/>
        <w:tab w:val="right" w:pos="15137"/>
      </w:tabs>
      <w:spacing w:before="360"/>
      <w:ind w:left="-567" w:right="-567"/>
    </w:pPr>
    <w:rPr>
      <w:rFonts w:eastAsiaTheme="minorHAnsi"/>
      <w:szCs w:val="22"/>
      <w:bdr w:val="none" w:sz="0" w:space="0" w:color="auto"/>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before="36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hr-HR" w:eastAsia="hr-HR" w:bidi="hr-HR"/>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Body"/>
    <w:pPr>
      <w:jc w:val="both"/>
    </w:pPr>
    <w:rPr>
      <w:rFonts w:eastAsia="Times New Roman"/>
      <w:color w:val="000000"/>
      <w:sz w:val="24"/>
      <w:szCs w:val="24"/>
      <w:u w:color="000000"/>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styleId="Footer">
    <w:name w:val="footer"/>
    <w:basedOn w:val="Normal"/>
    <w:link w:val="Foot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 w:val="right" w:pos="9921"/>
      </w:tabs>
      <w:spacing w:before="360"/>
      <w:ind w:left="-850" w:right="-850"/>
    </w:pPr>
    <w:rPr>
      <w:rFonts w:eastAsiaTheme="minorHAnsi"/>
      <w:szCs w:val="22"/>
      <w:bdr w:val="none" w:sz="0" w:space="0" w:color="auto"/>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FootnoteText">
    <w:name w:val="footnote text"/>
    <w:link w:val="FootnoteTextChar"/>
    <w:rPr>
      <w:rFonts w:ascii="Calibri" w:eastAsia="Calibri" w:hAnsi="Calibri" w:cs="Calibri"/>
      <w:color w:val="000000"/>
      <w:u w:color="000000"/>
    </w:rPr>
  </w:style>
  <w:style w:type="character" w:customStyle="1" w:styleId="Hyperlink0">
    <w:name w:val="Hyperlink.0"/>
    <w:basedOn w:val="Hyperlink"/>
    <w:rPr>
      <w:strike w:val="0"/>
      <w:dstrike w:val="0"/>
      <w:color w:val="428BCA"/>
      <w:u w:val="none" w:color="428BC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hr-HR" w:eastAsia="hr-HR"/>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eastAsia="hr-HR"/>
    </w:rPr>
  </w:style>
  <w:style w:type="character" w:styleId="FootnoteReference">
    <w:name w:val="footnote reference"/>
    <w:basedOn w:val="DefaultParagraphFont"/>
    <w:uiPriority w:val="99"/>
    <w:unhideWhenUsed/>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hr-HR" w:eastAsia="hr-HR"/>
    </w:rPr>
  </w:style>
  <w:style w:type="character" w:customStyle="1" w:styleId="BodyChar">
    <w:name w:val="Body Char"/>
    <w:basedOn w:val="DefaultParagraphFont"/>
    <w:link w:val="Body"/>
    <w:rPr>
      <w:rFonts w:ascii="Calibri" w:eastAsia="Calibri" w:hAnsi="Calibri" w:cs="Calibri"/>
      <w:color w:val="000000"/>
      <w:sz w:val="22"/>
      <w:szCs w:val="22"/>
      <w:u w:color="000000"/>
    </w:rPr>
  </w:style>
  <w:style w:type="numbering" w:customStyle="1" w:styleId="ImportedStyle11">
    <w:name w:val="Imported Style 11"/>
  </w:style>
  <w:style w:type="character" w:customStyle="1" w:styleId="FootnoteTextChar">
    <w:name w:val="Footnote Text Char"/>
    <w:basedOn w:val="DefaultParagraphFont"/>
    <w:link w:val="FootnoteText"/>
    <w:rPr>
      <w:rFonts w:ascii="Calibri" w:eastAsia="Calibri" w:hAnsi="Calibri" w:cs="Calibri"/>
      <w:color w:val="000000"/>
      <w:u w:color="000000"/>
      <w:lang w:val="hr-HR"/>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s>
      <w:spacing w:after="120"/>
      <w:jc w:val="both"/>
    </w:pPr>
    <w:rPr>
      <w:rFonts w:eastAsiaTheme="minorHAnsi"/>
      <w:szCs w:val="22"/>
      <w:bdr w:val="none" w:sz="0" w:space="0" w:color="auto"/>
    </w:rPr>
  </w:style>
  <w:style w:type="character" w:customStyle="1" w:styleId="HeaderChar">
    <w:name w:val="Header Char"/>
    <w:basedOn w:val="DefaultParagraphFont"/>
    <w:link w:val="Header"/>
    <w:uiPriority w:val="99"/>
    <w:rPr>
      <w:rFonts w:eastAsiaTheme="minorHAnsi"/>
      <w:sz w:val="24"/>
      <w:szCs w:val="22"/>
      <w:bdr w:val="none" w:sz="0" w:space="0" w:color="auto"/>
      <w:lang w:val="hr-HR" w:eastAsia="hr-HR"/>
    </w:rPr>
  </w:style>
  <w:style w:type="paragraph" w:customStyle="1" w:styleId="Typedudocument">
    <w:name w:val="Type du documen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eastAsiaTheme="minorHAnsi"/>
      <w:b/>
      <w:szCs w:val="22"/>
      <w:bdr w:val="none" w:sz="0" w:space="0" w:color="auto"/>
    </w:rPr>
  </w:style>
  <w:style w:type="paragraph" w:customStyle="1" w:styleId="Titreobjet">
    <w:name w:val="Titre obje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pPr>
    <w:rPr>
      <w:rFonts w:eastAsiaTheme="minorHAnsi"/>
      <w:b/>
      <w:szCs w:val="22"/>
      <w:bdr w:val="none" w:sz="0" w:space="0" w:color="auto"/>
    </w:rPr>
  </w:style>
  <w:style w:type="paragraph" w:customStyle="1" w:styleId="Sous-titreobjet">
    <w:name w:val="Sous-titre objet"/>
    <w:basedOn w:val="Normal"/>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heme="minorHAnsi"/>
      <w:b/>
      <w:szCs w:val="22"/>
      <w:bdr w:val="none" w:sz="0" w:space="0" w:color="auto"/>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Declassification">
    <w:name w:val="Declassification"/>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HeaderLandscape">
    <w:name w:val="Head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right" w:pos="14003"/>
      </w:tabs>
      <w:spacing w:after="120"/>
      <w:jc w:val="both"/>
    </w:pPr>
    <w:rPr>
      <w:rFonts w:eastAsiaTheme="minorHAnsi"/>
      <w:szCs w:val="22"/>
      <w:bdr w:val="none" w:sz="0" w:space="0" w:color="auto"/>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bdr w:val="none" w:sz="0" w:space="0" w:color="auto"/>
      <w:lang w:val="hr-HR" w:eastAsia="hr-HR"/>
    </w:rPr>
  </w:style>
  <w:style w:type="paragraph" w:customStyle="1" w:styleId="FooterLandscape">
    <w:name w:val="Foot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center" w:pos="10913"/>
        <w:tab w:val="right" w:pos="15137"/>
      </w:tabs>
      <w:spacing w:before="360"/>
      <w:ind w:left="-567" w:right="-567"/>
    </w:pPr>
    <w:rPr>
      <w:rFonts w:eastAsiaTheme="minorHAnsi"/>
      <w:szCs w:val="22"/>
      <w:bdr w:val="none" w:sz="0" w:space="0" w:color="auto"/>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before="36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opa.eu/rapid/press-release_IP-13-907_en.ht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199E7BA-2BDE-4636-812C-1BE31F5E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3940</Words>
  <Characters>24036</Characters>
  <Application>Microsoft Office Word</Application>
  <DocSecurity>0</DocSecurity>
  <Lines>333</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2017-11-17T13:57:00Z</cp:lastPrinted>
  <dcterms:created xsi:type="dcterms:W3CDTF">2017-11-29T09:20:00Z</dcterms:created>
  <dcterms:modified xsi:type="dcterms:W3CDTF">2017-12-11T14:17:00Z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