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3C68" w:rsidRDefault="00FE4876" w:rsidP="00FE4876">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alt="816CCF472F69406AA17F4B01FCD8D3EA" style="width:450.75pt;height:351.75pt">
            <v:imagedata r:id="rId9" o:title=""/>
          </v:shape>
        </w:pict>
      </w:r>
    </w:p>
    <w:p w:rsidR="00873C68" w:rsidRDefault="00873C68">
      <w:pPr>
        <w:rPr>
          <w:noProof/>
        </w:rPr>
        <w:sectPr w:rsidR="00873C68" w:rsidSect="00FE4876">
          <w:headerReference w:type="even" r:id="rId10"/>
          <w:headerReference w:type="default" r:id="rId11"/>
          <w:footerReference w:type="even" r:id="rId12"/>
          <w:footerReference w:type="default" r:id="rId13"/>
          <w:headerReference w:type="first" r:id="rId14"/>
          <w:footerReference w:type="first" r:id="rId15"/>
          <w:pgSz w:w="11907" w:h="16839"/>
          <w:pgMar w:top="1134" w:right="1417" w:bottom="1134" w:left="1417" w:header="709" w:footer="709" w:gutter="0"/>
          <w:pgNumType w:start="1"/>
          <w:cols w:space="720"/>
          <w:docGrid w:linePitch="360"/>
        </w:sectPr>
      </w:pPr>
    </w:p>
    <w:p w:rsidR="00873C68" w:rsidRDefault="00873C68">
      <w:pPr>
        <w:pStyle w:val="Exposdesmotifstitre"/>
        <w:rPr>
          <w:noProof/>
        </w:rPr>
      </w:pPr>
    </w:p>
    <w:p w:rsidR="00873C68" w:rsidRDefault="00873C68">
      <w:pPr>
        <w:rPr>
          <w:noProof/>
        </w:rPr>
      </w:pPr>
    </w:p>
    <w:p w:rsidR="00873C68" w:rsidRDefault="00FE4876" w:rsidP="00FE4876">
      <w:pPr>
        <w:pStyle w:val="Statut"/>
        <w:rPr>
          <w:noProof/>
        </w:rPr>
      </w:pPr>
      <w:r w:rsidRPr="00FE4876">
        <w:t>Preporuka za</w:t>
      </w:r>
    </w:p>
    <w:p w:rsidR="00873C68" w:rsidRDefault="00FE4876" w:rsidP="00FE4876">
      <w:pPr>
        <w:pStyle w:val="Typedudocument"/>
        <w:rPr>
          <w:noProof/>
        </w:rPr>
      </w:pPr>
      <w:r w:rsidRPr="00FE4876">
        <w:t>PREPORUKU VIJEĆA</w:t>
      </w:r>
    </w:p>
    <w:p w:rsidR="00873C68" w:rsidRDefault="00FE4876" w:rsidP="00FE4876">
      <w:pPr>
        <w:pStyle w:val="Titreobjet"/>
        <w:rPr>
          <w:noProof/>
        </w:rPr>
      </w:pPr>
      <w:r w:rsidRPr="00FE4876">
        <w:t>o Nacionalnom programu reformi Nizozemske za</w:t>
      </w:r>
      <w:r>
        <w:t> </w:t>
      </w:r>
      <w:r w:rsidRPr="00FE4876">
        <w:t>2017.</w:t>
      </w:r>
      <w:r w:rsidRPr="00FE4876">
        <w:br/>
      </w:r>
      <w:r w:rsidRPr="00FE4876">
        <w:br/>
        <w:t>i davanje mišljenja Vijeća o Programu stabilnosti Nizozemske za 2017.</w:t>
      </w:r>
    </w:p>
    <w:p w:rsidR="00873C68" w:rsidRDefault="00FE4876">
      <w:pPr>
        <w:pStyle w:val="Institutionquiagit"/>
        <w:rPr>
          <w:noProof/>
        </w:rPr>
      </w:pPr>
      <w:r>
        <w:rPr>
          <w:noProof/>
        </w:rPr>
        <w:t>VIJEĆE EUROPSKE UNIJE,</w:t>
      </w:r>
    </w:p>
    <w:p w:rsidR="00873C68" w:rsidRDefault="00FE4876">
      <w:pPr>
        <w:rPr>
          <w:noProof/>
        </w:rPr>
      </w:pPr>
      <w:r>
        <w:rPr>
          <w:noProof/>
        </w:rPr>
        <w:t>uzimajući u obzir Ugovor o funkcioniranju Europske unije, a posebno njegov članak 121. stavak 2. i članak 148. stavak 4.,</w:t>
      </w:r>
    </w:p>
    <w:p w:rsidR="00873C68" w:rsidRDefault="00FE4876">
      <w:pPr>
        <w:rPr>
          <w:noProof/>
        </w:rPr>
      </w:pPr>
      <w:r>
        <w:rPr>
          <w:noProof/>
        </w:rPr>
        <w:t>uzimajući u obzir Uredbu Vijeća (EZ) br. 1466/97 od 7. srpnja</w:t>
      </w:r>
      <w:r>
        <w:rPr>
          <w:noProof/>
        </w:rPr>
        <w:t xml:space="preserve"> 1997. o jačanju nadzora stanja proračuna i nadzora i koordinacije ekonomskih politika</w:t>
      </w:r>
      <w:r>
        <w:rPr>
          <w:rStyle w:val="FootnoteReference"/>
          <w:noProof/>
        </w:rPr>
        <w:footnoteReference w:id="2"/>
      </w:r>
      <w:r>
        <w:rPr>
          <w:noProof/>
        </w:rPr>
        <w:t>, a posebno njezin članak 5. stavak 2.,</w:t>
      </w:r>
    </w:p>
    <w:p w:rsidR="00873C68" w:rsidRDefault="00FE4876">
      <w:pPr>
        <w:rPr>
          <w:noProof/>
        </w:rPr>
      </w:pPr>
      <w:r>
        <w:rPr>
          <w:noProof/>
        </w:rPr>
        <w:t>uzimajući u obzir Uredbu (EU) Europskog parlamenta i Vijeća br. 1176/2011 od 16. studenoga 2011. o sprečavanju i ispravljanju mak</w:t>
      </w:r>
      <w:r>
        <w:rPr>
          <w:noProof/>
        </w:rPr>
        <w:t>roekonomskih neravnoteža</w:t>
      </w:r>
      <w:r>
        <w:rPr>
          <w:rStyle w:val="FootnoteReference"/>
          <w:noProof/>
        </w:rPr>
        <w:footnoteReference w:id="3"/>
      </w:r>
      <w:r>
        <w:rPr>
          <w:noProof/>
        </w:rPr>
        <w:t>, a posebno njezin članak 6. stavak 1.,</w:t>
      </w:r>
    </w:p>
    <w:p w:rsidR="00873C68" w:rsidRDefault="00FE4876">
      <w:pPr>
        <w:rPr>
          <w:noProof/>
        </w:rPr>
      </w:pPr>
      <w:r>
        <w:rPr>
          <w:noProof/>
        </w:rPr>
        <w:t>uzimajući u obzir preporuku Europske komisije</w:t>
      </w:r>
      <w:r>
        <w:rPr>
          <w:rStyle w:val="FootnoteReference"/>
          <w:noProof/>
        </w:rPr>
        <w:footnoteReference w:id="4"/>
      </w:r>
      <w:r>
        <w:rPr>
          <w:noProof/>
        </w:rPr>
        <w:t>,</w:t>
      </w:r>
    </w:p>
    <w:p w:rsidR="00873C68" w:rsidRDefault="00FE4876">
      <w:pPr>
        <w:rPr>
          <w:noProof/>
        </w:rPr>
      </w:pPr>
      <w:r>
        <w:rPr>
          <w:noProof/>
        </w:rPr>
        <w:t>uzimajući u obzir rezolucije Europskog parlamenta</w:t>
      </w:r>
      <w:r>
        <w:rPr>
          <w:rStyle w:val="FootnoteReference"/>
          <w:noProof/>
        </w:rPr>
        <w:footnoteReference w:id="5"/>
      </w:r>
      <w:r>
        <w:rPr>
          <w:noProof/>
        </w:rPr>
        <w:t>,</w:t>
      </w:r>
    </w:p>
    <w:p w:rsidR="00873C68" w:rsidRDefault="00FE4876">
      <w:pPr>
        <w:outlineLvl w:val="0"/>
        <w:rPr>
          <w:noProof/>
        </w:rPr>
      </w:pPr>
      <w:r>
        <w:rPr>
          <w:noProof/>
        </w:rPr>
        <w:t>uzimajući u obzir zaključke Europskog vijeća,</w:t>
      </w:r>
    </w:p>
    <w:p w:rsidR="00873C68" w:rsidRDefault="00FE4876">
      <w:pPr>
        <w:rPr>
          <w:noProof/>
        </w:rPr>
      </w:pPr>
      <w:r>
        <w:rPr>
          <w:noProof/>
        </w:rPr>
        <w:t>uzimajući u obzir mišljenje Odbora za zapošlj</w:t>
      </w:r>
      <w:r>
        <w:rPr>
          <w:noProof/>
        </w:rPr>
        <w:t>avanje,</w:t>
      </w:r>
    </w:p>
    <w:p w:rsidR="00873C68" w:rsidRDefault="00FE4876">
      <w:pPr>
        <w:rPr>
          <w:noProof/>
        </w:rPr>
      </w:pPr>
      <w:r>
        <w:rPr>
          <w:noProof/>
        </w:rPr>
        <w:t>uzimajući u obzir mišljenje Gospodarskog i financijskog odbora,</w:t>
      </w:r>
    </w:p>
    <w:p w:rsidR="00873C68" w:rsidRDefault="00FE4876">
      <w:pPr>
        <w:rPr>
          <w:noProof/>
        </w:rPr>
      </w:pPr>
      <w:r>
        <w:rPr>
          <w:noProof/>
        </w:rPr>
        <w:t>uzimajući u obzir mišljenje Odbora za socijalnu zaštitu,</w:t>
      </w:r>
    </w:p>
    <w:p w:rsidR="00873C68" w:rsidRDefault="00FE4876">
      <w:pPr>
        <w:rPr>
          <w:noProof/>
        </w:rPr>
      </w:pPr>
      <w:r>
        <w:rPr>
          <w:noProof/>
        </w:rPr>
        <w:t>uzimajući u obzir mišljenje Odbora za ekonomsku politiku,</w:t>
      </w:r>
    </w:p>
    <w:p w:rsidR="00873C68" w:rsidRDefault="00FE4876">
      <w:pPr>
        <w:rPr>
          <w:noProof/>
        </w:rPr>
      </w:pPr>
      <w:r>
        <w:rPr>
          <w:noProof/>
        </w:rPr>
        <w:t>budući da:</w:t>
      </w:r>
    </w:p>
    <w:p w:rsidR="00873C68" w:rsidRDefault="00FE4876">
      <w:pPr>
        <w:pStyle w:val="Point0number"/>
        <w:numPr>
          <w:ilvl w:val="0"/>
          <w:numId w:val="1"/>
        </w:numPr>
        <w:rPr>
          <w:noProof/>
        </w:rPr>
      </w:pPr>
      <w:r>
        <w:rPr>
          <w:noProof/>
        </w:rPr>
        <w:t xml:space="preserve">Komisija je 16. studenoga 2016. donijela Godišnji pregled </w:t>
      </w:r>
      <w:r>
        <w:rPr>
          <w:noProof/>
        </w:rPr>
        <w:t>rasta</w:t>
      </w:r>
      <w:r>
        <w:rPr>
          <w:rStyle w:val="FootnoteReference"/>
          <w:noProof/>
        </w:rPr>
        <w:footnoteReference w:id="6"/>
      </w:r>
      <w:r>
        <w:rPr>
          <w:noProof/>
        </w:rPr>
        <w:t>, čime je označen početak Europskog semestra za koordinaciju ekonomskih politika za 2017. Prioritete Godišnjeg pregleda rasta potvrdilo je Europsko vijeće 9. i 10. ožujka 2017. Komisija je 16. studenoga 2016. na temelju Uredbe (EU) br. 1176/2011 doni</w:t>
      </w:r>
      <w:r>
        <w:rPr>
          <w:noProof/>
        </w:rPr>
        <w:t>jela Izvješće o mehanizmu upozoravanja</w:t>
      </w:r>
      <w:r>
        <w:rPr>
          <w:rStyle w:val="FootnoteReference"/>
          <w:noProof/>
        </w:rPr>
        <w:footnoteReference w:id="7"/>
      </w:r>
      <w:r>
        <w:rPr>
          <w:noProof/>
        </w:rPr>
        <w:t>, u kojemu je utvrdila da je Nizozemska država članica za koju je potrebno provesti detaljno preispitivanje. Istog je dana Komisija donijela i preporuku za preporuku Vijeća o ekonomskoj politici europodručja. Tu je pr</w:t>
      </w:r>
      <w:r>
        <w:rPr>
          <w:noProof/>
        </w:rPr>
        <w:t>eporuku Europsko vijeće odobrilo 9. i 10. ožujka 2017., a Vijeće donijelo 21. ožujka</w:t>
      </w:r>
      <w:r>
        <w:rPr>
          <w:rStyle w:val="FootnoteReference"/>
          <w:noProof/>
        </w:rPr>
        <w:footnoteReference w:id="8"/>
      </w:r>
      <w:r>
        <w:rPr>
          <w:noProof/>
        </w:rPr>
        <w:t xml:space="preserve">. </w:t>
      </w:r>
    </w:p>
    <w:p w:rsidR="00873C68" w:rsidRDefault="00FE4876">
      <w:pPr>
        <w:pStyle w:val="Point0number"/>
        <w:numPr>
          <w:ilvl w:val="0"/>
          <w:numId w:val="1"/>
        </w:numPr>
        <w:rPr>
          <w:noProof/>
        </w:rPr>
      </w:pPr>
      <w:r>
        <w:rPr>
          <w:noProof/>
        </w:rPr>
        <w:lastRenderedPageBreak/>
        <w:t>Kao država članica čija je valuta euro te s obzirom na visoku međusobnu povezanost ekonomija u ekonomskoj i monetarnoj uniji, Nizozemska bi trebala osigurati punu i pra</w:t>
      </w:r>
      <w:r>
        <w:rPr>
          <w:noProof/>
        </w:rPr>
        <w:t>vovremenu provedbu preporuka za europodručje koje su navedene u preporukama 1. do 3. u nastavku.</w:t>
      </w:r>
    </w:p>
    <w:p w:rsidR="00873C68" w:rsidRDefault="00FE4876">
      <w:pPr>
        <w:pStyle w:val="Point0number"/>
        <w:rPr>
          <w:noProof/>
        </w:rPr>
      </w:pPr>
      <w:r>
        <w:rPr>
          <w:noProof/>
        </w:rPr>
        <w:t>Izvješće za Nizozemsku za 2017.</w:t>
      </w:r>
      <w:r>
        <w:rPr>
          <w:rStyle w:val="FootnoteReference"/>
          <w:noProof/>
        </w:rPr>
        <w:footnoteReference w:id="9"/>
      </w:r>
      <w:r>
        <w:rPr>
          <w:noProof/>
        </w:rPr>
        <w:t xml:space="preserve"> objavljeno je 22. veljače 2017. U njemu je ocijenjen napredak Nizozemske u odnosu na provedbu preporuka za Nizozemsku koje je </w:t>
      </w:r>
      <w:r>
        <w:rPr>
          <w:noProof/>
        </w:rPr>
        <w:t>Vijeće donijelo 12. srpnja 2016., mjere poduzete kao odgovor na preporuke donesene prethodnih godina te napredak Nizozemske u ostvarenju svojih nacionalnih ciljeva strategije Europa 2020. Izvješće je sadržavalo i rezultate detaljnog preispitivanja u skladu</w:t>
      </w:r>
      <w:r>
        <w:rPr>
          <w:noProof/>
        </w:rPr>
        <w:t xml:space="preserve"> s člankom 5. Uredbe (EU) br. 1176/2011, koji su također objavljeni 22. veljače 2017.</w:t>
      </w:r>
      <w:r>
        <w:rPr>
          <w:rStyle w:val="FootnoteReference"/>
          <w:noProof/>
        </w:rPr>
        <w:footnoteReference w:id="10"/>
      </w:r>
      <w:r>
        <w:rPr>
          <w:noProof/>
        </w:rPr>
        <w:t xml:space="preserve"> U svojoj analizi Komisija zaključuje da u Nizozemskoj postoje makroekonomske neravnoteže. Među državama europodručja Nizozemska bilježi najveći trogodišnji prosjek sufic</w:t>
      </w:r>
      <w:r>
        <w:rPr>
          <w:noProof/>
        </w:rPr>
        <w:t>ita tekućeg računa u pogledu BDP-a. Taj suficit podrazumijeva da raspodjela resursa nije optimalna te da postoje mogućnosti za povećanje rasta i socijalne zaštite. Raspoloživi dohodak kućanstava ograničen je visokim klinom obveznih plaćanja. Razina privatn</w:t>
      </w:r>
      <w:r>
        <w:rPr>
          <w:noProof/>
        </w:rPr>
        <w:t>og duga je visoka, osobito hipotekarnih kredita kućanstava. Duga bilanca kućanstava povećava ranjivost u pogledu financijskih šokova. Osobito je važna potreba za mjerama kojima se smanjuju rizici od negativnih učinaka na nizozemsko gospodarstvo te, s obzir</w:t>
      </w:r>
      <w:r>
        <w:rPr>
          <w:noProof/>
        </w:rPr>
        <w:t>om na njegovu veličinu i prekograničnu važnost, na ekonomsku i monetarnu uniju.</w:t>
      </w:r>
    </w:p>
    <w:p w:rsidR="00873C68" w:rsidRDefault="00FE4876">
      <w:pPr>
        <w:pStyle w:val="Point0number"/>
        <w:rPr>
          <w:noProof/>
        </w:rPr>
      </w:pPr>
      <w:r>
        <w:rPr>
          <w:noProof/>
        </w:rPr>
        <w:t xml:space="preserve">Nizozemska je 26. travnja 2017. dostavila svoj Nacionalni program reformi za 2017. te Program stabilnosti za 2017. Kako bi se u obzir uzela njihova povezanost, oba su programa </w:t>
      </w:r>
      <w:r>
        <w:rPr>
          <w:noProof/>
        </w:rPr>
        <w:t>istodobno ocijenjena.</w:t>
      </w:r>
    </w:p>
    <w:p w:rsidR="00873C68" w:rsidRDefault="00FE4876">
      <w:pPr>
        <w:pStyle w:val="Point0number"/>
        <w:rPr>
          <w:noProof/>
        </w:rPr>
      </w:pPr>
      <w:r>
        <w:rPr>
          <w:noProof/>
        </w:rPr>
        <w:t>Kad je riječ o programima država članica u okviru europskih strukturnih i investicijskih fondova za razdoblje 2014. – 2020., u obzir su uzete relevantne preporuke po državama članicama. Kako je predviđeno zakonodavstvom kojim se uređu</w:t>
      </w:r>
      <w:r>
        <w:rPr>
          <w:noProof/>
        </w:rPr>
        <w:t>ju europski strukturni i investicijski fondovi</w:t>
      </w:r>
      <w:r>
        <w:rPr>
          <w:rStyle w:val="FootnoteReference"/>
          <w:noProof/>
        </w:rPr>
        <w:footnoteReference w:id="11"/>
      </w:r>
      <w:r>
        <w:rPr>
          <w:noProof/>
        </w:rPr>
        <w:t>, ako je potrebno poduprijeti provedbu relevantnih preporuka po državama članicama, Komisija od države članice može zatražiti da preispita i izmijeni svoje relevantne programe u okviru strukturnih i investicij</w:t>
      </w:r>
      <w:r>
        <w:rPr>
          <w:noProof/>
        </w:rPr>
        <w:t>skih fondova. Komisija je dostavila dodatne smjernice o primjeni tih odredbi</w:t>
      </w:r>
      <w:r>
        <w:rPr>
          <w:rStyle w:val="FootnoteReference"/>
          <w:noProof/>
        </w:rPr>
        <w:footnoteReference w:id="12"/>
      </w:r>
      <w:r>
        <w:rPr>
          <w:noProof/>
        </w:rPr>
        <w:t xml:space="preserve">. </w:t>
      </w:r>
    </w:p>
    <w:p w:rsidR="00873C68" w:rsidRDefault="00FE4876">
      <w:pPr>
        <w:pStyle w:val="Point0number"/>
        <w:rPr>
          <w:noProof/>
        </w:rPr>
      </w:pPr>
      <w:r>
        <w:rPr>
          <w:noProof/>
        </w:rPr>
        <w:t>Na Nizozemsku se trenutačno primjenjuje preventivni dio Pakta o stabilnosti i rastu te pravilo o dugu. Vlada u svojem Programu stabilnosti za 2017. planira povećanje suficita o</w:t>
      </w:r>
      <w:r>
        <w:rPr>
          <w:noProof/>
        </w:rPr>
        <w:t>pće države sa 0,5 % BDP-a u 2017. na 1,3 % BDP-a u 2020. Tijekom programskog razdoblja i dalje će se srednjoročni proračunski cilj, tj. strukturni deficit od 0,5 % BDP-a, ostvarivati s pozitivnom razlikom. Prema Programu stabilnosti očekuje se da će udio d</w:t>
      </w:r>
      <w:r>
        <w:rPr>
          <w:noProof/>
        </w:rPr>
        <w:t xml:space="preserve">ržavnog duga u BDP-u u 2017. pasti na 58,5 %, što je ispod referentne vrijednosti od 60 % BDP-a utvrđene Ugovorom. Vlada planira daljnje </w:t>
      </w:r>
      <w:r>
        <w:rPr>
          <w:noProof/>
        </w:rPr>
        <w:lastRenderedPageBreak/>
        <w:t>smanjenje udjela državnog duga na 49,3 % BDP-a u 2020. Makroekonomski scenarij na kojem se temelje te proračunske proje</w:t>
      </w:r>
      <w:r>
        <w:rPr>
          <w:noProof/>
        </w:rPr>
        <w:t>kcije vjerojatan je. Na temelju Komisijine proljetne prognoze 2017. predviđa se da će se strukturni saldo povećati sa suficita od 0,2 % BDP-a u 2017. na 0,4 % BDP-a u 2018., što je iznad srednjoročnog proračunskog cilja. Predviđa se da će se dug opće držav</w:t>
      </w:r>
      <w:r>
        <w:rPr>
          <w:noProof/>
        </w:rPr>
        <w:t>e i dalje stabilno smanjivati, izvan zahtjeva određenih pravilom o dugu. Općenito, Vijeće smatra da se očekuje da će Nizozemska 2017. i 2018. ispuniti odredbe Pakta o stabilnosti i rastu. Istodobno, ima još prostora za poticanje domaće potražnje na temelju</w:t>
      </w:r>
      <w:r>
        <w:rPr>
          <w:noProof/>
        </w:rPr>
        <w:t xml:space="preserve"> fiskalne politike, osobito za poticanje ulaganja u istraživanje i razvoj, te stvaranjem uvjeta za viši rast realnih plaća s obzirom na trajne vanjske neravnoteže.</w:t>
      </w:r>
    </w:p>
    <w:p w:rsidR="00873C68" w:rsidRDefault="00FE4876">
      <w:pPr>
        <w:pStyle w:val="Point0number"/>
        <w:rPr>
          <w:noProof/>
        </w:rPr>
      </w:pPr>
      <w:r>
        <w:rPr>
          <w:noProof/>
        </w:rPr>
        <w:t>Nedavni rast zaposlenosti može se u velikoj mjeri pripisati povećanju broja zaposlenih na ug</w:t>
      </w:r>
      <w:r>
        <w:rPr>
          <w:noProof/>
        </w:rPr>
        <w:t>ovor o radu na određeno vrijeme i samozaposlenih. Visok i sve veći postotak ugovora o radu na određeno vrijeme te brzo povećanje broja samozaposlenih osoba bez zaposlenika objašnjava se velikim razlikama u primjenjivom radnom zakonodavstvu, zaštiti radnika</w:t>
      </w:r>
      <w:r>
        <w:rPr>
          <w:noProof/>
        </w:rPr>
        <w:t xml:space="preserve"> te u zakonodavstvu o oporezivanju i socijalnoj sigurnosti. Iako su poduzete određene mjere, neki od tih čimbenika i dalje djeluju kao financijski poticaji za zaposlenike da počnu raditi kao samozaposlene osobe ili pogoduju njihovu zapošljavanju na određen</w:t>
      </w:r>
      <w:r>
        <w:rPr>
          <w:noProof/>
        </w:rPr>
        <w:t>o vrijeme. To može osobito imati negativne učinke na osobe koje su na marginama tržišta rada te je možda doprinijelo zabilježenom ograničenom agregatnom rastu realnih plaća. Samozaposlene osobe često nisu dovoljno osigurane u pogledu invaliditeta, nezaposl</w:t>
      </w:r>
      <w:r>
        <w:rPr>
          <w:noProof/>
        </w:rPr>
        <w:t>enosti i starosti. To bi dugoročno moglo utjecati na održivost sustava socijalne sigurnosti. Provedba mjera za suzbijanje lažnog samozapošljavanja obustavljena je do 2018. Stanje zaposlenosti osoba migrantskog podrijetla i dalje je velik izazov. Stopa zapo</w:t>
      </w:r>
      <w:r>
        <w:rPr>
          <w:noProof/>
        </w:rPr>
        <w:t>slenosti migranata rođenih izvan EU-a niža je 20 postotnih bodova od stope zaposlenosti osoba rođenih u Nizozemskoj, a to se samo djelomično može objasniti razlikama u dobi i razini obrazovanja.</w:t>
      </w:r>
    </w:p>
    <w:p w:rsidR="00873C68" w:rsidRDefault="00FE4876">
      <w:pPr>
        <w:pStyle w:val="Point0number"/>
        <w:rPr>
          <w:noProof/>
        </w:rPr>
      </w:pPr>
      <w:r>
        <w:rPr>
          <w:noProof/>
        </w:rPr>
        <w:t xml:space="preserve">Porast stope štednje kućanstava u proteklim godinama </w:t>
      </w:r>
      <w:r>
        <w:rPr>
          <w:noProof/>
        </w:rPr>
        <w:t>djelomično je rezultat veće štednje u drugom stupu mirovinskog sustava (obvezni dodatni privatni sustavi), čemu je doprinijelo regulatorno okruženje. Odgovarajuća raspodjela, unutar naraštaja i među njima, troškova i rizika koji nisu obuhvaćeni donesenim p</w:t>
      </w:r>
      <w:r>
        <w:rPr>
          <w:noProof/>
        </w:rPr>
        <w:t>ropisima o indeksaciji i financijskim zaštitnim slojevima (okvir za financijsku procjenu) pomogla bi kućanstvima da raspodijele svoja financijska sredstva na način koji više pogoduje rastu. Vlada je najavila namjeru uvođenja značajne reforme drugog mirovin</w:t>
      </w:r>
      <w:r>
        <w:rPr>
          <w:noProof/>
        </w:rPr>
        <w:t>skog stupa radi poboljšanja pokrivenosti te uspostave transparentnijeg, fleksibilnijeg i aktuarski pravednijeg sustava.</w:t>
      </w:r>
    </w:p>
    <w:p w:rsidR="00873C68" w:rsidRDefault="00FE4876">
      <w:pPr>
        <w:pStyle w:val="Point0number"/>
        <w:rPr>
          <w:noProof/>
        </w:rPr>
      </w:pPr>
      <w:r>
        <w:rPr>
          <w:noProof/>
        </w:rPr>
        <w:t>Obrasci stambenog financiranja i štednje u tom sektoru oblikuju se na temelju desetljećima prisutnih nefleksibilnosti i poticaja koji im</w:t>
      </w:r>
      <w:r>
        <w:rPr>
          <w:noProof/>
        </w:rPr>
        <w:t>aju negativan učinak. Sklonost kućanstava da povećavaju bruto hipotekarni dug s obzirom na vrijednost stambenih nekretnina uglavnom je posljedica dugotrajnih fiskalnih poticaja, posebno poreznog odbitka na hipotekarne kamate u cijelosti. Unatoč jačanju gos</w:t>
      </w:r>
      <w:r>
        <w:rPr>
          <w:noProof/>
        </w:rPr>
        <w:t>podarskog oporavka dodatne mjere za rješavanje tog pitanja nisu poduzete od 2012.</w:t>
      </w:r>
    </w:p>
    <w:p w:rsidR="00873C68" w:rsidRDefault="00FE4876">
      <w:pPr>
        <w:pStyle w:val="Point0number"/>
        <w:rPr>
          <w:noProof/>
        </w:rPr>
      </w:pPr>
      <w:r>
        <w:rPr>
          <w:noProof/>
        </w:rPr>
        <w:t>Tijekom krize došlo je do znatnog pada ulaganja, koja su se otad tek djelomično oporavila. Čini se da su slaba ulaganja na razini cijelog gospodarstva jakog cikličkog karakte</w:t>
      </w:r>
      <w:r>
        <w:rPr>
          <w:noProof/>
        </w:rPr>
        <w:t>ra, a bila su potaknuta slabljenjem aktivnosti na tržištu stambenih nekretnina te odabirom mjera fiskalne konsolidacije. Iako se čini da su prepreke ulaganjima neznatne, postupci za dobivanje građevinskih dozvola relativno su dugi. Čini se da su niska ulag</w:t>
      </w:r>
      <w:r>
        <w:rPr>
          <w:noProof/>
        </w:rPr>
        <w:t>anja u sektoru obnovljive energije povezana s prošlom dinamikom na tržištu, nesigurnošću tržišta i regulatornim čimbenicima. Javni i privatni rashodi za istraživanje i razvoj niski su s obzirom na razinu obrazovanja, akademska postignuća i razinu gospodars</w:t>
      </w:r>
      <w:r>
        <w:rPr>
          <w:noProof/>
        </w:rPr>
        <w:t>kog razvoja u usporedbi s najuspješnijim državama članicama. Državni rashodi za istraživanje i razvoj stagniraju od 2014., a privatna potrošnja u tom području i dalje je niska. Nije ostvaren napredak u pogledu povezane preporuke.</w:t>
      </w:r>
    </w:p>
    <w:p w:rsidR="00873C68" w:rsidRDefault="00FE4876">
      <w:pPr>
        <w:pStyle w:val="Point0number"/>
        <w:rPr>
          <w:noProof/>
        </w:rPr>
      </w:pPr>
      <w:r>
        <w:rPr>
          <w:noProof/>
        </w:rPr>
        <w:t>Komisija je u okviru europ</w:t>
      </w:r>
      <w:r>
        <w:rPr>
          <w:noProof/>
        </w:rPr>
        <w:t>skog semestra provela sveobuhvatnu analizu ekonomske politike Nizozemske i objavila je u Izvješću za Nizozemsku za 2017. Ocijenila je i Program stabilnosti i Nacionalni program reformi te mjere poduzete kao odgovor na preporuke upućene Nizozemskoj prethodn</w:t>
      </w:r>
      <w:r>
        <w:rPr>
          <w:noProof/>
        </w:rPr>
        <w:t>ih godina. Komisija je u obzir uzela ne samo njihovu važnost za održivu fiskalnu i socioekonomsku politiku u Nizozemskoj nego i njihovu usklađenost s pravilima i smjernicama EU-a s obzirom na potrebu jačanja sveopćeg gospodarskog upravljanja EU-om na način</w:t>
      </w:r>
      <w:r>
        <w:rPr>
          <w:noProof/>
        </w:rPr>
        <w:t xml:space="preserve"> da se na razini EU-a pridonosi budućim nacionalnim odlukama. </w:t>
      </w:r>
    </w:p>
    <w:p w:rsidR="00873C68" w:rsidRDefault="00FE4876">
      <w:pPr>
        <w:pStyle w:val="Point0number"/>
        <w:rPr>
          <w:noProof/>
        </w:rPr>
      </w:pPr>
      <w:r>
        <w:rPr>
          <w:noProof/>
        </w:rPr>
        <w:t>Uzimajući u obzir tu ocjenu, Vijeće je preispitalo Program stabilnosti i smatra</w:t>
      </w:r>
      <w:r>
        <w:rPr>
          <w:rStyle w:val="FootnoteReference"/>
          <w:noProof/>
        </w:rPr>
        <w:footnoteReference w:id="13"/>
      </w:r>
      <w:r>
        <w:rPr>
          <w:noProof/>
        </w:rPr>
        <w:t xml:space="preserve"> da se očekuje da će Nizozemska ispuniti odredbe Pakta o stabilnosti i rastu.</w:t>
      </w:r>
    </w:p>
    <w:p w:rsidR="00873C68" w:rsidRDefault="00FE4876">
      <w:pPr>
        <w:pStyle w:val="Point0number"/>
        <w:rPr>
          <w:noProof/>
        </w:rPr>
      </w:pPr>
      <w:r>
        <w:rPr>
          <w:noProof/>
        </w:rPr>
        <w:t>Uzimajući u obzir Komisijino detalj</w:t>
      </w:r>
      <w:r>
        <w:rPr>
          <w:noProof/>
        </w:rPr>
        <w:t>no preispitivanje i ovu ocjenu, Vijeće je preispitalo Nacionalni program reformi i Program stabilnosti. Preporuke Vijeća donesene u skladu s člankom 6. Uredbe (EU) br. 1176/2011 navedene su u preporukama 1. i 3. u nastavku,</w:t>
      </w:r>
    </w:p>
    <w:p w:rsidR="00873C68" w:rsidRDefault="00FE4876">
      <w:pPr>
        <w:pStyle w:val="Formuledadoption"/>
        <w:rPr>
          <w:noProof/>
        </w:rPr>
      </w:pPr>
      <w:r>
        <w:rPr>
          <w:noProof/>
        </w:rPr>
        <w:t xml:space="preserve">PREPORUČUJE da Nizozemska 2017. </w:t>
      </w:r>
      <w:r>
        <w:rPr>
          <w:noProof/>
        </w:rPr>
        <w:t>i 2018. poduzme djelovanja kojima je cilj:</w:t>
      </w:r>
    </w:p>
    <w:p w:rsidR="00873C68" w:rsidRDefault="00FE4876">
      <w:pPr>
        <w:pStyle w:val="ManualNumPar1"/>
        <w:rPr>
          <w:noProof/>
        </w:rPr>
      </w:pPr>
      <w:bookmarkStart w:id="1" w:name="_CopyToNewDocument_"/>
      <w:bookmarkEnd w:id="1"/>
      <w:r>
        <w:rPr>
          <w:noProof/>
        </w:rPr>
        <w:t xml:space="preserve">1. </w:t>
      </w:r>
      <w:r>
        <w:rPr>
          <w:noProof/>
        </w:rPr>
        <w:tab/>
        <w:t>Upotrijebiti fiskalnu politiku za poticanje domaće potražnje, uključujući ulaganje u istraživanje i razvoj. Poduzeti mjere za smanjenje preostalih poremećaja na tržištu stambenih nekretnina te sklonosti kućans</w:t>
      </w:r>
      <w:r>
        <w:rPr>
          <w:noProof/>
        </w:rPr>
        <w:t>tava zaduživanju, posebno smanjenjem poreznog odbitka na hipotekarne kamate.</w:t>
      </w:r>
    </w:p>
    <w:p w:rsidR="00873C68" w:rsidRDefault="00FE4876">
      <w:pPr>
        <w:pStyle w:val="ManualNumPar1"/>
        <w:rPr>
          <w:noProof/>
        </w:rPr>
      </w:pPr>
      <w:r>
        <w:rPr>
          <w:noProof/>
        </w:rPr>
        <w:t>2.</w:t>
      </w:r>
      <w:r>
        <w:rPr>
          <w:noProof/>
        </w:rPr>
        <w:tab/>
        <w:t>Ukloniti preostale prepreke zapošljavanju osoblja na ugovore o radu na neodređeno vrijeme. Riješiti problem velikog rasta samozaposlenih osoba bez zaposlenika, među ostalim sma</w:t>
      </w:r>
      <w:r>
        <w:rPr>
          <w:noProof/>
        </w:rPr>
        <w:t>njenjem poreznih distorzija koje pogoduju samozapošljavanju, bez ugrožavanja poduzetništva, te promicanjem dostupnosti cjenovno pristupačne socijalne zaštite za samozaposlene osobe. Na temelju već pokrenutog opsežnog pripremnog postupka povećati transparen</w:t>
      </w:r>
      <w:r>
        <w:rPr>
          <w:noProof/>
        </w:rPr>
        <w:t>tnost drugog stupa mirovinskog sustava te njegovu međugeneracijsku pravednost i otpornost na šokove. Stvoriti uvjete za promicanje višeg rasta realnih plaća uz poštovanje uloge socijalnih partnera.</w:t>
      </w:r>
    </w:p>
    <w:p w:rsidR="00873C68" w:rsidRDefault="00873C68">
      <w:pPr>
        <w:pStyle w:val="ManualNumPar1"/>
        <w:rPr>
          <w:noProof/>
        </w:rPr>
      </w:pPr>
    </w:p>
    <w:p w:rsidR="00873C68" w:rsidRDefault="00873C68">
      <w:pPr>
        <w:keepNext/>
        <w:keepLines/>
        <w:rPr>
          <w:noProof/>
        </w:rPr>
      </w:pPr>
    </w:p>
    <w:p w:rsidR="00873C68" w:rsidRDefault="00FE4876" w:rsidP="00FE4876">
      <w:pPr>
        <w:pStyle w:val="Fait"/>
        <w:rPr>
          <w:noProof/>
        </w:rPr>
      </w:pPr>
      <w:r w:rsidRPr="00FE4876">
        <w:t>Sastavljeno u Bruxellesu</w:t>
      </w:r>
    </w:p>
    <w:p w:rsidR="00873C68" w:rsidRDefault="00FE4876">
      <w:pPr>
        <w:pStyle w:val="Institutionquisigne"/>
        <w:rPr>
          <w:noProof/>
        </w:rPr>
      </w:pPr>
      <w:r>
        <w:rPr>
          <w:noProof/>
        </w:rPr>
        <w:tab/>
        <w:t>Za Vijeće</w:t>
      </w:r>
    </w:p>
    <w:p w:rsidR="00873C68" w:rsidRDefault="00FE4876">
      <w:pPr>
        <w:pStyle w:val="Personnequisigne"/>
        <w:rPr>
          <w:noProof/>
        </w:rPr>
      </w:pPr>
      <w:r>
        <w:rPr>
          <w:noProof/>
        </w:rPr>
        <w:tab/>
        <w:t>Predsjednik</w:t>
      </w:r>
    </w:p>
    <w:sectPr w:rsidR="00873C68" w:rsidSect="00FE4876">
      <w:footerReference w:type="default" r:id="rId16"/>
      <w:footerReference w:type="first" r:id="rId17"/>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3C68" w:rsidRDefault="00FE4876">
      <w:pPr>
        <w:spacing w:before="0" w:after="0"/>
      </w:pPr>
      <w:r>
        <w:separator/>
      </w:r>
    </w:p>
  </w:endnote>
  <w:endnote w:type="continuationSeparator" w:id="0">
    <w:p w:rsidR="00873C68" w:rsidRDefault="00FE4876">
      <w:pPr>
        <w:spacing w:before="0" w:after="0"/>
      </w:pPr>
      <w:r>
        <w:continuationSeparator/>
      </w:r>
    </w:p>
  </w:endnote>
  <w:endnote w:type="continuationNotice" w:id="1">
    <w:p w:rsidR="00873C68" w:rsidRDefault="00873C68">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4876" w:rsidRPr="00FE4876" w:rsidRDefault="00FE4876" w:rsidP="00FE487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3C68" w:rsidRPr="00FE4876" w:rsidRDefault="00FE4876" w:rsidP="00FE4876">
    <w:pPr>
      <w:pStyle w:val="Footer"/>
      <w:rPr>
        <w:rFonts w:ascii="Arial" w:hAnsi="Arial" w:cs="Arial"/>
        <w:b/>
        <w:sz w:val="48"/>
      </w:rPr>
    </w:pPr>
    <w:r w:rsidRPr="00FE4876">
      <w:rPr>
        <w:rFonts w:ascii="Arial" w:hAnsi="Arial" w:cs="Arial"/>
        <w:b/>
        <w:sz w:val="48"/>
      </w:rPr>
      <w:t>HR</w:t>
    </w:r>
    <w:r w:rsidRPr="00FE4876">
      <w:rPr>
        <w:rFonts w:ascii="Arial" w:hAnsi="Arial" w:cs="Arial"/>
        <w:b/>
        <w:sz w:val="48"/>
      </w:rPr>
      <w:tab/>
    </w:r>
    <w:r w:rsidRPr="00FE4876">
      <w:rPr>
        <w:rFonts w:ascii="Arial" w:hAnsi="Arial" w:cs="Arial"/>
        <w:b/>
        <w:sz w:val="48"/>
      </w:rPr>
      <w:tab/>
    </w:r>
    <w:fldSimple w:instr=" DOCVARIABLE &quot;LW_Confidence&quot; \* MERGEFORMAT ">
      <w:r>
        <w:t xml:space="preserve"> </w:t>
      </w:r>
    </w:fldSimple>
    <w:r w:rsidRPr="00FE4876">
      <w:tab/>
    </w:r>
    <w:proofErr w:type="spellStart"/>
    <w:r w:rsidRPr="00FE4876">
      <w:rPr>
        <w:rFonts w:ascii="Arial" w:hAnsi="Arial" w:cs="Arial"/>
        <w:b/>
        <w:sz w:val="48"/>
      </w:rPr>
      <w:t>HR</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4876" w:rsidRPr="00FE4876" w:rsidRDefault="00FE4876" w:rsidP="00FE4876">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4876" w:rsidRPr="00FE4876" w:rsidRDefault="00FE4876" w:rsidP="00FE4876">
    <w:pPr>
      <w:pStyle w:val="Footer"/>
      <w:rPr>
        <w:rFonts w:ascii="Arial" w:hAnsi="Arial" w:cs="Arial"/>
        <w:b/>
        <w:sz w:val="48"/>
      </w:rPr>
    </w:pPr>
    <w:r w:rsidRPr="00FE4876">
      <w:rPr>
        <w:rFonts w:ascii="Arial" w:hAnsi="Arial" w:cs="Arial"/>
        <w:b/>
        <w:sz w:val="48"/>
      </w:rPr>
      <w:t>HR</w:t>
    </w:r>
    <w:r w:rsidRPr="00FE4876">
      <w:rPr>
        <w:rFonts w:ascii="Arial" w:hAnsi="Arial" w:cs="Arial"/>
        <w:b/>
        <w:sz w:val="48"/>
      </w:rPr>
      <w:tab/>
    </w:r>
    <w:r>
      <w:fldChar w:fldCharType="begin"/>
    </w:r>
    <w:r>
      <w:instrText xml:space="preserve"> PAGE  \* MERGEFORMAT </w:instrText>
    </w:r>
    <w:r>
      <w:fldChar w:fldCharType="separate"/>
    </w:r>
    <w:r>
      <w:rPr>
        <w:noProof/>
      </w:rPr>
      <w:t>5</w:t>
    </w:r>
    <w:r>
      <w:fldChar w:fldCharType="end"/>
    </w:r>
    <w:r>
      <w:tab/>
    </w:r>
    <w:fldSimple w:instr=" DOCVARIABLE &quot;LW_Confidence&quot; \* MERGEFORMAT ">
      <w:r>
        <w:t xml:space="preserve"> </w:t>
      </w:r>
    </w:fldSimple>
    <w:r w:rsidRPr="00FE4876">
      <w:tab/>
    </w:r>
    <w:r w:rsidRPr="00FE4876">
      <w:rPr>
        <w:rFonts w:ascii="Arial" w:hAnsi="Arial" w:cs="Arial"/>
        <w:b/>
        <w:sz w:val="48"/>
      </w:rPr>
      <w:t>HR</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4876" w:rsidRPr="00FE4876" w:rsidRDefault="00FE4876" w:rsidP="00FE487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3C68" w:rsidRDefault="00FE4876">
      <w:pPr>
        <w:spacing w:before="0" w:after="0"/>
      </w:pPr>
      <w:r>
        <w:separator/>
      </w:r>
    </w:p>
  </w:footnote>
  <w:footnote w:type="continuationSeparator" w:id="0">
    <w:p w:rsidR="00873C68" w:rsidRDefault="00FE4876">
      <w:pPr>
        <w:spacing w:before="0" w:after="0"/>
      </w:pPr>
      <w:r>
        <w:continuationSeparator/>
      </w:r>
    </w:p>
  </w:footnote>
  <w:footnote w:type="continuationNotice" w:id="1">
    <w:p w:rsidR="00873C68" w:rsidRDefault="00873C68">
      <w:pPr>
        <w:spacing w:before="0" w:after="0"/>
      </w:pPr>
    </w:p>
  </w:footnote>
  <w:footnote w:id="2">
    <w:p w:rsidR="00873C68" w:rsidRDefault="00FE4876">
      <w:pPr>
        <w:pStyle w:val="FootnoteText"/>
        <w:rPr>
          <w:lang w:val="pt-PT"/>
        </w:rPr>
      </w:pPr>
      <w:r>
        <w:rPr>
          <w:rStyle w:val="FootnoteReference"/>
        </w:rPr>
        <w:footnoteRef/>
      </w:r>
      <w:r>
        <w:tab/>
        <w:t>SL L 209, 2.8.1997., str. 1.</w:t>
      </w:r>
    </w:p>
  </w:footnote>
  <w:footnote w:id="3">
    <w:p w:rsidR="00873C68" w:rsidRDefault="00FE4876">
      <w:pPr>
        <w:pStyle w:val="FootnoteText"/>
        <w:rPr>
          <w:lang w:val="pt-PT"/>
        </w:rPr>
      </w:pPr>
      <w:r>
        <w:rPr>
          <w:rStyle w:val="FootnoteReference"/>
        </w:rPr>
        <w:footnoteRef/>
      </w:r>
      <w:r>
        <w:tab/>
      </w:r>
      <w:r>
        <w:t>SL L 306, 23.11.2011., str. 25.</w:t>
      </w:r>
    </w:p>
  </w:footnote>
  <w:footnote w:id="4">
    <w:p w:rsidR="00873C68" w:rsidRDefault="00FE4876">
      <w:pPr>
        <w:pStyle w:val="FootnoteText"/>
        <w:rPr>
          <w:lang w:val="pt-PT"/>
        </w:rPr>
      </w:pPr>
      <w:r>
        <w:rPr>
          <w:rStyle w:val="FootnoteReference"/>
        </w:rPr>
        <w:footnoteRef/>
      </w:r>
      <w:r>
        <w:tab/>
      </w:r>
      <w:r>
        <w:t xml:space="preserve">COM(2017) </w:t>
      </w:r>
      <w:r>
        <w:rPr>
          <w:lang w:val="fr-BE"/>
        </w:rPr>
        <w:t>518 final</w:t>
      </w:r>
      <w:bookmarkStart w:id="0" w:name="_GoBack"/>
      <w:bookmarkEnd w:id="0"/>
      <w:r>
        <w:t>.</w:t>
      </w:r>
    </w:p>
  </w:footnote>
  <w:footnote w:id="5">
    <w:p w:rsidR="00873C68" w:rsidRDefault="00FE4876">
      <w:pPr>
        <w:pStyle w:val="FootnoteText"/>
        <w:rPr>
          <w:lang w:val="pt-PT"/>
        </w:rPr>
      </w:pPr>
      <w:r>
        <w:rPr>
          <w:rStyle w:val="FootnoteReference"/>
        </w:rPr>
        <w:footnoteRef/>
      </w:r>
      <w:r>
        <w:tab/>
      </w:r>
      <w:r>
        <w:t>P8_ TA(2017)0038, P8_ TA(2017)0039 i P8_ TA(2017)0040.</w:t>
      </w:r>
    </w:p>
  </w:footnote>
  <w:footnote w:id="6">
    <w:p w:rsidR="00873C68" w:rsidRDefault="00FE4876">
      <w:pPr>
        <w:pStyle w:val="FootnoteText"/>
        <w:rPr>
          <w:lang w:val="pt-PT"/>
        </w:rPr>
      </w:pPr>
      <w:r>
        <w:rPr>
          <w:rStyle w:val="FootnoteReference"/>
        </w:rPr>
        <w:footnoteRef/>
      </w:r>
      <w:r>
        <w:tab/>
      </w:r>
      <w:r>
        <w:t xml:space="preserve">COM(2016) 725 </w:t>
      </w:r>
      <w:proofErr w:type="spellStart"/>
      <w:r>
        <w:t>final</w:t>
      </w:r>
      <w:proofErr w:type="spellEnd"/>
      <w:r>
        <w:t>.</w:t>
      </w:r>
    </w:p>
  </w:footnote>
  <w:footnote w:id="7">
    <w:p w:rsidR="00873C68" w:rsidRDefault="00FE4876">
      <w:pPr>
        <w:pStyle w:val="FootnoteText"/>
        <w:rPr>
          <w:lang w:val="pt-PT"/>
        </w:rPr>
      </w:pPr>
      <w:r>
        <w:rPr>
          <w:rStyle w:val="FootnoteReference"/>
        </w:rPr>
        <w:footnoteRef/>
      </w:r>
      <w:r>
        <w:tab/>
      </w:r>
      <w:r>
        <w:t xml:space="preserve">COM(2016) </w:t>
      </w:r>
      <w:r>
        <w:t xml:space="preserve">728 </w:t>
      </w:r>
      <w:proofErr w:type="spellStart"/>
      <w:r>
        <w:t>final</w:t>
      </w:r>
      <w:proofErr w:type="spellEnd"/>
      <w:r>
        <w:t>.</w:t>
      </w:r>
    </w:p>
  </w:footnote>
  <w:footnote w:id="8">
    <w:p w:rsidR="00873C68" w:rsidRDefault="00FE4876">
      <w:pPr>
        <w:pStyle w:val="FootnoteText"/>
        <w:rPr>
          <w:lang w:val="pt-PT"/>
        </w:rPr>
      </w:pPr>
      <w:r>
        <w:rPr>
          <w:rStyle w:val="FootnoteReference"/>
        </w:rPr>
        <w:footnoteRef/>
      </w:r>
      <w:r>
        <w:tab/>
      </w:r>
      <w:r>
        <w:t>2017/C92/01</w:t>
      </w:r>
    </w:p>
  </w:footnote>
  <w:footnote w:id="9">
    <w:p w:rsidR="00873C68" w:rsidRDefault="00FE4876">
      <w:pPr>
        <w:pStyle w:val="FootnoteText"/>
        <w:rPr>
          <w:lang w:val="pt-PT"/>
        </w:rPr>
      </w:pPr>
      <w:r>
        <w:rPr>
          <w:rStyle w:val="FootnoteReference"/>
        </w:rPr>
        <w:footnoteRef/>
      </w:r>
      <w:r>
        <w:tab/>
      </w:r>
      <w:r>
        <w:t xml:space="preserve">SWD(2017) 84 </w:t>
      </w:r>
      <w:proofErr w:type="spellStart"/>
      <w:r>
        <w:t>final</w:t>
      </w:r>
      <w:proofErr w:type="spellEnd"/>
      <w:r>
        <w:t>.</w:t>
      </w:r>
    </w:p>
  </w:footnote>
  <w:footnote w:id="10">
    <w:p w:rsidR="00873C68" w:rsidRDefault="00FE4876">
      <w:pPr>
        <w:pStyle w:val="FootnoteText"/>
        <w:tabs>
          <w:tab w:val="left" w:pos="709"/>
        </w:tabs>
      </w:pPr>
      <w:r>
        <w:rPr>
          <w:rStyle w:val="FootnoteReference"/>
        </w:rPr>
        <w:footnoteRef/>
      </w:r>
      <w:r>
        <w:tab/>
      </w:r>
      <w:r>
        <w:t xml:space="preserve">COM(2017) 90 </w:t>
      </w:r>
      <w:proofErr w:type="spellStart"/>
      <w:r>
        <w:t>final</w:t>
      </w:r>
      <w:proofErr w:type="spellEnd"/>
      <w:r>
        <w:t>.</w:t>
      </w:r>
    </w:p>
  </w:footnote>
  <w:footnote w:id="11">
    <w:p w:rsidR="00873C68" w:rsidRDefault="00FE4876">
      <w:pPr>
        <w:pStyle w:val="FootnoteText"/>
      </w:pPr>
      <w:r>
        <w:rPr>
          <w:rStyle w:val="FootnoteReference"/>
        </w:rPr>
        <w:footnoteRef/>
      </w:r>
      <w:r>
        <w:tab/>
      </w:r>
      <w:r>
        <w:t>Članak 23. Uredbe (EU) br. 1303/2013 Europskog parlamenta i Vijeća od 17. prosinca 2013. o utvrđivanju zajedničkih odredbi o Europskom fondu za regionalni razvoj, Europskom socijalnom f</w:t>
      </w:r>
      <w:r>
        <w:t>ondu, Kohezijskom fondu, Europskom poljoprivrednom fondu za ruralni razvoj i Europskom fondu za pomorstvo i ribarstvo i o utvrđivanju općih odredbi o Europskom fondu za regionalni razvoj, Europskom socijalnom fondu, Kohezijskom fondu i Europskom fondu za p</w:t>
      </w:r>
      <w:r>
        <w:t>omorstvo i ribarstvo te o stavljanju izvan snage Uredbe Vijeća (EZ) br. 1083/2006, SL L 347, 20.12.2013., str. 320.</w:t>
      </w:r>
    </w:p>
  </w:footnote>
  <w:footnote w:id="12">
    <w:p w:rsidR="00873C68" w:rsidRDefault="00FE4876">
      <w:pPr>
        <w:spacing w:before="0" w:after="0"/>
        <w:rPr>
          <w:sz w:val="20"/>
          <w:szCs w:val="20"/>
        </w:rPr>
      </w:pPr>
      <w:r>
        <w:rPr>
          <w:rStyle w:val="FootnoteReference"/>
        </w:rPr>
        <w:footnoteRef/>
      </w:r>
      <w:r>
        <w:tab/>
      </w:r>
      <w:r>
        <w:rPr>
          <w:sz w:val="20"/>
        </w:rPr>
        <w:t xml:space="preserve">COM(2014) 494 </w:t>
      </w:r>
      <w:proofErr w:type="spellStart"/>
      <w:r>
        <w:rPr>
          <w:sz w:val="20"/>
        </w:rPr>
        <w:t>final</w:t>
      </w:r>
      <w:proofErr w:type="spellEnd"/>
      <w:r>
        <w:rPr>
          <w:sz w:val="20"/>
        </w:rPr>
        <w:t>.</w:t>
      </w:r>
    </w:p>
    <w:p w:rsidR="00873C68" w:rsidRDefault="00873C68">
      <w:pPr>
        <w:pStyle w:val="FootnoteText"/>
      </w:pPr>
    </w:p>
  </w:footnote>
  <w:footnote w:id="13">
    <w:p w:rsidR="00873C68" w:rsidRDefault="00FE4876">
      <w:pPr>
        <w:pStyle w:val="FootnoteText"/>
      </w:pPr>
      <w:r>
        <w:rPr>
          <w:rStyle w:val="FootnoteReference"/>
        </w:rPr>
        <w:footnoteRef/>
      </w:r>
      <w:r>
        <w:tab/>
      </w:r>
      <w:r>
        <w:t>U skladu s člankom 5. stavkom 2. Uredbe Vijeća (EZ) br. 1466/97.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4876" w:rsidRPr="00FE4876" w:rsidRDefault="00FE4876" w:rsidP="00FE487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4876" w:rsidRPr="00FE4876" w:rsidRDefault="00FE4876" w:rsidP="00FE487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4876" w:rsidRPr="00FE4876" w:rsidRDefault="00FE4876" w:rsidP="00FE487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7454371E"/>
    <w:lvl w:ilvl="0">
      <w:start w:val="1"/>
      <w:numFmt w:val="decimal"/>
      <w:pStyle w:val="ListNumber4"/>
      <w:lvlText w:val="%1."/>
      <w:lvlJc w:val="left"/>
      <w:pPr>
        <w:tabs>
          <w:tab w:val="num" w:pos="1209"/>
        </w:tabs>
        <w:ind w:left="1209" w:hanging="360"/>
      </w:pPr>
    </w:lvl>
  </w:abstractNum>
  <w:abstractNum w:abstractNumId="1">
    <w:nsid w:val="FFFFFF7E"/>
    <w:multiLevelType w:val="singleLevel"/>
    <w:tmpl w:val="8578C146"/>
    <w:lvl w:ilvl="0">
      <w:start w:val="1"/>
      <w:numFmt w:val="decimal"/>
      <w:pStyle w:val="ListNumber3"/>
      <w:lvlText w:val="%1."/>
      <w:lvlJc w:val="left"/>
      <w:pPr>
        <w:tabs>
          <w:tab w:val="num" w:pos="926"/>
        </w:tabs>
        <w:ind w:left="926" w:hanging="360"/>
      </w:pPr>
    </w:lvl>
  </w:abstractNum>
  <w:abstractNum w:abstractNumId="2">
    <w:nsid w:val="FFFFFF7F"/>
    <w:multiLevelType w:val="singleLevel"/>
    <w:tmpl w:val="611E1672"/>
    <w:lvl w:ilvl="0">
      <w:start w:val="1"/>
      <w:numFmt w:val="decimal"/>
      <w:pStyle w:val="ListNumber2"/>
      <w:lvlText w:val="%1."/>
      <w:lvlJc w:val="left"/>
      <w:pPr>
        <w:tabs>
          <w:tab w:val="num" w:pos="643"/>
        </w:tabs>
        <w:ind w:left="643" w:hanging="360"/>
      </w:pPr>
    </w:lvl>
  </w:abstractNum>
  <w:abstractNum w:abstractNumId="3">
    <w:nsid w:val="FFFFFF81"/>
    <w:multiLevelType w:val="singleLevel"/>
    <w:tmpl w:val="D736F07E"/>
    <w:lvl w:ilvl="0">
      <w:start w:val="1"/>
      <w:numFmt w:val="bullet"/>
      <w:pStyle w:val="ListBullet4"/>
      <w:lvlText w:val=""/>
      <w:lvlJc w:val="left"/>
      <w:pPr>
        <w:tabs>
          <w:tab w:val="num" w:pos="1209"/>
        </w:tabs>
        <w:ind w:left="1209" w:hanging="360"/>
      </w:pPr>
      <w:rPr>
        <w:rFonts w:ascii="Symbol" w:hAnsi="Symbol" w:hint="default"/>
      </w:rPr>
    </w:lvl>
  </w:abstractNum>
  <w:abstractNum w:abstractNumId="4">
    <w:nsid w:val="FFFFFF82"/>
    <w:multiLevelType w:val="singleLevel"/>
    <w:tmpl w:val="EE14FC7C"/>
    <w:lvl w:ilvl="0">
      <w:start w:val="1"/>
      <w:numFmt w:val="bullet"/>
      <w:pStyle w:val="ListBullet3"/>
      <w:lvlText w:val=""/>
      <w:lvlJc w:val="left"/>
      <w:pPr>
        <w:tabs>
          <w:tab w:val="num" w:pos="926"/>
        </w:tabs>
        <w:ind w:left="926" w:hanging="360"/>
      </w:pPr>
      <w:rPr>
        <w:rFonts w:ascii="Symbol" w:hAnsi="Symbol" w:hint="default"/>
      </w:rPr>
    </w:lvl>
  </w:abstractNum>
  <w:abstractNum w:abstractNumId="5">
    <w:nsid w:val="FFFFFF83"/>
    <w:multiLevelType w:val="singleLevel"/>
    <w:tmpl w:val="6AD63042"/>
    <w:lvl w:ilvl="0">
      <w:start w:val="1"/>
      <w:numFmt w:val="bullet"/>
      <w:pStyle w:val="ListBullet2"/>
      <w:lvlText w:val=""/>
      <w:lvlJc w:val="left"/>
      <w:pPr>
        <w:tabs>
          <w:tab w:val="num" w:pos="643"/>
        </w:tabs>
        <w:ind w:left="643" w:hanging="360"/>
      </w:pPr>
      <w:rPr>
        <w:rFonts w:ascii="Symbol" w:hAnsi="Symbol" w:hint="default"/>
      </w:rPr>
    </w:lvl>
  </w:abstractNum>
  <w:abstractNum w:abstractNumId="6">
    <w:nsid w:val="FFFFFF88"/>
    <w:multiLevelType w:val="singleLevel"/>
    <w:tmpl w:val="3FACF604"/>
    <w:lvl w:ilvl="0">
      <w:start w:val="1"/>
      <w:numFmt w:val="decimal"/>
      <w:pStyle w:val="ListNumber"/>
      <w:lvlText w:val="%1."/>
      <w:lvlJc w:val="left"/>
      <w:pPr>
        <w:tabs>
          <w:tab w:val="num" w:pos="360"/>
        </w:tabs>
        <w:ind w:left="360" w:hanging="360"/>
      </w:pPr>
    </w:lvl>
  </w:abstractNum>
  <w:abstractNum w:abstractNumId="7">
    <w:nsid w:val="FFFFFF89"/>
    <w:multiLevelType w:val="singleLevel"/>
    <w:tmpl w:val="4F4EB274"/>
    <w:lvl w:ilvl="0">
      <w:start w:val="1"/>
      <w:numFmt w:val="bullet"/>
      <w:pStyle w:val="ListBullet"/>
      <w:lvlText w:val=""/>
      <w:lvlJc w:val="left"/>
      <w:pPr>
        <w:tabs>
          <w:tab w:val="num" w:pos="360"/>
        </w:tabs>
        <w:ind w:left="360" w:hanging="360"/>
      </w:pPr>
      <w:rPr>
        <w:rFonts w:ascii="Symbol" w:hAnsi="Symbol" w:hint="default"/>
      </w:rPr>
    </w:lvl>
  </w:abstractNum>
  <w:abstractNum w:abstractNumId="8">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5">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6">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7">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8">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9">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1">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5"/>
  </w:num>
  <w:num w:numId="4">
    <w:abstractNumId w:val="4"/>
  </w:num>
  <w:num w:numId="5">
    <w:abstractNumId w:val="3"/>
  </w:num>
  <w:num w:numId="6">
    <w:abstractNumId w:val="6"/>
  </w:num>
  <w:num w:numId="7">
    <w:abstractNumId w:val="2"/>
  </w:num>
  <w:num w:numId="8">
    <w:abstractNumId w:val="1"/>
  </w:num>
  <w:num w:numId="9">
    <w:abstractNumId w:val="0"/>
  </w:num>
  <w:num w:numId="10">
    <w:abstractNumId w:val="18"/>
  </w:num>
  <w:num w:numId="11">
    <w:abstractNumId w:val="12"/>
  </w:num>
  <w:num w:numId="12">
    <w:abstractNumId w:val="20"/>
  </w:num>
  <w:num w:numId="13">
    <w:abstractNumId w:val="11"/>
  </w:num>
  <w:num w:numId="14">
    <w:abstractNumId w:val="13"/>
  </w:num>
  <w:num w:numId="15">
    <w:abstractNumId w:val="9"/>
  </w:num>
  <w:num w:numId="16">
    <w:abstractNumId w:val="19"/>
  </w:num>
  <w:num w:numId="17">
    <w:abstractNumId w:val="8"/>
  </w:num>
  <w:num w:numId="18">
    <w:abstractNumId w:val="14"/>
  </w:num>
  <w:num w:numId="19">
    <w:abstractNumId w:val="16"/>
  </w:num>
  <w:num w:numId="20">
    <w:abstractNumId w:val="17"/>
  </w:num>
  <w:num w:numId="21">
    <w:abstractNumId w:val="10"/>
  </w:num>
  <w:num w:numId="22">
    <w:abstractNumId w:val="15"/>
  </w:num>
  <w:num w:numId="23">
    <w:abstractNumId w:val="21"/>
  </w:num>
  <w:num w:numId="24">
    <w:abstractNumId w:val="18"/>
  </w:num>
  <w:num w:numId="25">
    <w:abstractNumId w:val="12"/>
  </w:num>
  <w:num w:numId="26">
    <w:abstractNumId w:val="20"/>
  </w:num>
  <w:num w:numId="27">
    <w:abstractNumId w:val="11"/>
  </w:num>
  <w:num w:numId="28">
    <w:abstractNumId w:val="13"/>
  </w:num>
  <w:num w:numId="29">
    <w:abstractNumId w:val="9"/>
  </w:num>
  <w:num w:numId="30">
    <w:abstractNumId w:val="19"/>
  </w:num>
  <w:num w:numId="31">
    <w:abstractNumId w:val="8"/>
  </w:num>
  <w:num w:numId="32">
    <w:abstractNumId w:val="14"/>
  </w:num>
  <w:num w:numId="33">
    <w:abstractNumId w:val="16"/>
  </w:num>
  <w:num w:numId="34">
    <w:abstractNumId w:val="17"/>
  </w:num>
  <w:num w:numId="35">
    <w:abstractNumId w:val="10"/>
  </w:num>
  <w:num w:numId="36">
    <w:abstractNumId w:val="15"/>
  </w:num>
  <w:num w:numId="37">
    <w:abstractNumId w:val="21"/>
  </w:num>
  <w:numIdMacAtCleanup w:val="23"/>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LBANE DEMBLANS">
    <w15:presenceInfo w15:providerId="Windows Live" w15:userId="eb0a7c95d094d9a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attachedTemplate r:id="rId1"/>
  <w:defaultTabStop w:val="720"/>
  <w:hyphenationZone w:val="425"/>
  <w:characterSpacingControl w:val="doNotCompress"/>
  <w:hdrShapeDefaults>
    <o:shapedefaults v:ext="edit" spidmax="28673"/>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VERPAGE_EXISTS" w:val="True"/>
    <w:docVar w:name="DQCDateTime" w:val="2017-05-29 16:38:01"/>
    <w:docVar w:name="DQCResult_Distribution" w:val="0;0"/>
    <w:docVar w:name="DQCResult_DocumentContent" w:val="0;0"/>
    <w:docVar w:name="DQCResult_DocumentSize" w:val="0;0"/>
    <w:docVar w:name="DQCResult_DocumentVersions" w:val="0;0"/>
    <w:docVar w:name="DQCResult_ExistenceOfMacros" w:val="0;0"/>
    <w:docVar w:name="DQCResult_InvalidFootnotes" w:val="0;0"/>
    <w:docVar w:name="DQCResult_LinkedStyles" w:val="0;0"/>
    <w:docVar w:name="DQCResult_ModifiedMargins" w:val="0;0"/>
    <w:docVar w:name="DQCResult_ModifiedMarkers" w:val="0;0"/>
    <w:docVar w:name="DQCResult_ModifiedNumbering" w:val="0;0"/>
    <w:docVar w:name="DQCResult_Objects" w:val="0;0"/>
    <w:docVar w:name="DQCResult_Sections" w:val="0;0"/>
    <w:docVar w:name="DQCResult_StructureCheck" w:val="0;0"/>
    <w:docVar w:name="DQCResult_SuperfluousWhitespace" w:val="0;5"/>
    <w:docVar w:name="DQCResult_UnknownFonts" w:val="0;0"/>
    <w:docVar w:name="DQCResult_UnknownStyles" w:val="0;1"/>
    <w:docVar w:name="DQCStatus" w:val="Yellow"/>
    <w:docVar w:name="DQCVersion" w:val="3"/>
    <w:docVar w:name="DQCWithWarnings" w:val="0"/>
    <w:docVar w:name="LW_CONFIDENCE" w:val=" "/>
    <w:docVar w:name="LW_CONST_RESTREINT_UE" w:val="RESTREINT UE/EU RESTRICTED"/>
    <w:docVar w:name="LW_CORRIGENDUM" w:val="&lt;UNUSED&gt;"/>
    <w:docVar w:name="LW_COVERPAGE_GUID" w:val="816CCF472F69406AA17F4B01FCD8D3EA"/>
    <w:docVar w:name="LW_CROSSREFERENCE" w:val="&lt;UNUSED&gt;"/>
    <w:docVar w:name="LW_DocType" w:val="COM"/>
    <w:docVar w:name="LW_EMISSION" w:val="22.5.2017."/>
    <w:docVar w:name="LW_EMISSION_ISODATE" w:val="2017-05-22"/>
    <w:docVar w:name="LW_EMISSION_LOCATION" w:val="BRX"/>
    <w:docVar w:name="LW_EMISSION_PREFIX" w:val="Bruxelles, "/>
    <w:docVar w:name="LW_EMISSION_SUFFIX" w:val=" "/>
    <w:docVar w:name="LW_ID_DOCMODEL" w:val="SG-002"/>
    <w:docVar w:name="LW_ID_DOCSIGNATURE" w:val="SG-002"/>
    <w:docVar w:name="LW_ID_DOCSTRUCTURE" w:val="COM/PL/ORG"/>
    <w:docVar w:name="LW_ID_DOCTYPE" w:val="SG-002"/>
    <w:docVar w:name="LW_ID_STATUT" w:val="SG-002"/>
    <w:docVar w:name="LW_INTERETEEE.CP" w:val="&lt;UNUSED&gt;"/>
    <w:docVar w:name="LW_LANGUE" w:val="HR"/>
    <w:docVar w:name="LW_MARKING" w:val="&lt;UNUSED&gt;"/>
    <w:docVar w:name="LW_NOM.INST" w:val="EUROPSKA KOMISIJA"/>
    <w:docVar w:name="LW_NOM.INST_JOINTDOC" w:val="&lt;EMPTY&gt;"/>
    <w:docVar w:name="LW_PART_NBR" w:val="1"/>
    <w:docVar w:name="LW_PART_NBR_TOTAL" w:val="1"/>
    <w:docVar w:name="LW_REF.II.NEW.CP" w:val="&lt;UNUSED&gt;"/>
    <w:docVar w:name="LW_REF.II.NEW.CP_NUMBER" w:val="&lt;UNUSED&gt;"/>
    <w:docVar w:name="LW_REF.II.NEW.CP_YEAR" w:val="2017"/>
    <w:docVar w:name="LW_REF.INST.NEW" w:val="COM"/>
    <w:docVar w:name="LW_REF.INST.NEW_ADOPTED" w:val="final"/>
    <w:docVar w:name="LW_REF.INST.NEW_TEXT" w:val="(2017) 518"/>
    <w:docVar w:name="LW_REF.INTERNE" w:val="&lt;UNUSED&gt;"/>
    <w:docVar w:name="LW_SOUS.TITRE.OBJ.CP" w:val="&lt;UNUSED&gt;"/>
    <w:docVar w:name="LW_STATUT.CP" w:val="Preporuka za"/>
    <w:docVar w:name="LW_SUPERTITRE" w:val="&lt;UNUSED&gt;"/>
    <w:docVar w:name="LW_TITRE.OBJ.CP" w:val="o Nacionalnom programu reformi Nizozemske za 2017._x000b__x000b_i davanje mi\u353?ljenja Vije\u263?a o Programu stabilnosti Nizozemske za 2017."/>
    <w:docVar w:name="LW_TYPE.DOC.CP" w:val="PREPORUKU VIJE\u262?A"/>
  </w:docVars>
  <w:rsids>
    <w:rsidRoot w:val="00873C68"/>
    <w:rsid w:val="00873C68"/>
    <w:rsid w:val="00FE48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hr-HR" w:bidi="hr-H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rPr>
  </w:style>
  <w:style w:type="paragraph" w:styleId="Heading1">
    <w:name w:val="heading 1"/>
    <w:basedOn w:val="Normal"/>
    <w:next w:val="Text1"/>
    <w:link w:val="Heading1Char"/>
    <w:uiPriority w:val="9"/>
    <w:qFormat/>
    <w:pPr>
      <w:keepNext/>
      <w:numPr>
        <w:numId w:val="30"/>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30"/>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30"/>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30"/>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semiHidden/>
    <w:unhideWhenUsed/>
    <w:qFormat/>
    <w:pPr>
      <w:spacing w:before="0" w:after="200"/>
    </w:pPr>
    <w:rPr>
      <w:b/>
      <w:bCs/>
      <w:color w:val="4F81BD" w:themeColor="accent1"/>
      <w:sz w:val="18"/>
      <w:szCs w:val="18"/>
    </w:rPr>
  </w:style>
  <w:style w:type="paragraph" w:styleId="TableofFigures">
    <w:name w:val="table of figures"/>
    <w:basedOn w:val="Normal"/>
    <w:next w:val="Normal"/>
    <w:uiPriority w:val="99"/>
    <w:semiHidden/>
    <w:unhideWhenUsed/>
    <w:pPr>
      <w:spacing w:after="0"/>
    </w:pPr>
  </w:style>
  <w:style w:type="paragraph" w:styleId="ListBullet">
    <w:name w:val="List Bullet"/>
    <w:basedOn w:val="Normal"/>
    <w:uiPriority w:val="99"/>
    <w:semiHidden/>
    <w:unhideWhenUsed/>
    <w:pPr>
      <w:numPr>
        <w:numId w:val="2"/>
      </w:numPr>
      <w:contextualSpacing/>
    </w:pPr>
  </w:style>
  <w:style w:type="paragraph" w:styleId="ListBullet2">
    <w:name w:val="List Bullet 2"/>
    <w:basedOn w:val="Normal"/>
    <w:uiPriority w:val="99"/>
    <w:semiHidden/>
    <w:unhideWhenUsed/>
    <w:pPr>
      <w:numPr>
        <w:numId w:val="3"/>
      </w:numPr>
      <w:contextualSpacing/>
    </w:pPr>
  </w:style>
  <w:style w:type="paragraph" w:styleId="ListBullet3">
    <w:name w:val="List Bullet 3"/>
    <w:basedOn w:val="Normal"/>
    <w:uiPriority w:val="99"/>
    <w:semiHidden/>
    <w:unhideWhenUsed/>
    <w:pPr>
      <w:numPr>
        <w:numId w:val="4"/>
      </w:numPr>
      <w:contextualSpacing/>
    </w:pPr>
  </w:style>
  <w:style w:type="paragraph" w:styleId="ListBullet4">
    <w:name w:val="List Bullet 4"/>
    <w:basedOn w:val="Normal"/>
    <w:uiPriority w:val="99"/>
    <w:semiHidden/>
    <w:unhideWhenUsed/>
    <w:pPr>
      <w:numPr>
        <w:numId w:val="5"/>
      </w:numPr>
      <w:contextualSpacing/>
    </w:pPr>
  </w:style>
  <w:style w:type="paragraph" w:styleId="ListNumber">
    <w:name w:val="List Number"/>
    <w:basedOn w:val="Normal"/>
    <w:uiPriority w:val="99"/>
    <w:semiHidden/>
    <w:unhideWhenUsed/>
    <w:pPr>
      <w:numPr>
        <w:numId w:val="6"/>
      </w:numPr>
      <w:contextualSpacing/>
    </w:pPr>
  </w:style>
  <w:style w:type="paragraph" w:styleId="ListNumber2">
    <w:name w:val="List Number 2"/>
    <w:basedOn w:val="Normal"/>
    <w:uiPriority w:val="99"/>
    <w:semiHidden/>
    <w:unhideWhenUsed/>
    <w:pPr>
      <w:numPr>
        <w:numId w:val="7"/>
      </w:numPr>
      <w:contextualSpacing/>
    </w:pPr>
  </w:style>
  <w:style w:type="paragraph" w:styleId="ListNumber3">
    <w:name w:val="List Number 3"/>
    <w:basedOn w:val="Normal"/>
    <w:uiPriority w:val="99"/>
    <w:semiHidden/>
    <w:unhideWhenUsed/>
    <w:pPr>
      <w:numPr>
        <w:numId w:val="8"/>
      </w:numPr>
      <w:contextualSpacing/>
    </w:pPr>
  </w:style>
  <w:style w:type="paragraph" w:styleId="ListNumber4">
    <w:name w:val="List Number 4"/>
    <w:basedOn w:val="Normal"/>
    <w:uiPriority w:val="99"/>
    <w:semiHidden/>
    <w:unhideWhenUsed/>
    <w:pPr>
      <w:numPr>
        <w:numId w:val="9"/>
      </w:numPr>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lang w:val="hr-HR"/>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hr-HR"/>
    </w:rPr>
  </w:style>
  <w:style w:type="character" w:styleId="Hyperlink">
    <w:name w:val="Hyperlink"/>
    <w:basedOn w:val="DefaultParagraphFont"/>
    <w:uiPriority w:val="99"/>
    <w:unhideWhenUsed/>
    <w:rPr>
      <w:color w:val="0000FF" w:themeColor="hyperlink"/>
      <w:u w:val="single"/>
    </w:r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hr-HR"/>
    </w:rPr>
  </w:style>
  <w:style w:type="paragraph" w:styleId="Header">
    <w:name w:val="header"/>
    <w:basedOn w:val="Normal"/>
    <w:link w:val="HeaderChar"/>
    <w:uiPriority w:val="99"/>
    <w:unhideWhenUsed/>
    <w:rsid w:val="00FE4876"/>
    <w:pPr>
      <w:tabs>
        <w:tab w:val="center" w:pos="4535"/>
        <w:tab w:val="right" w:pos="9071"/>
      </w:tabs>
      <w:spacing w:before="0"/>
    </w:pPr>
    <w:rPr>
      <w:lang w:eastAsia="en-US" w:bidi="ar-SA"/>
    </w:rPr>
  </w:style>
  <w:style w:type="character" w:customStyle="1" w:styleId="HeaderChar">
    <w:name w:val="Header Char"/>
    <w:basedOn w:val="DefaultParagraphFont"/>
    <w:link w:val="Header"/>
    <w:uiPriority w:val="99"/>
    <w:rsid w:val="00FE4876"/>
    <w:rPr>
      <w:rFonts w:ascii="Times New Roman" w:hAnsi="Times New Roman" w:cs="Times New Roman"/>
      <w:sz w:val="24"/>
      <w:lang w:eastAsia="en-US" w:bidi="ar-SA"/>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shd w:val="clear" w:color="auto" w:fill="auto"/>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rsid w:val="00FE4876"/>
    <w:pPr>
      <w:tabs>
        <w:tab w:val="center" w:pos="7285"/>
        <w:tab w:val="right" w:pos="14003"/>
      </w:tabs>
      <w:spacing w:before="0"/>
    </w:pPr>
    <w:rPr>
      <w:lang w:eastAsia="en-US" w:bidi="ar-SA"/>
    </w:r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24"/>
      </w:numPr>
    </w:pPr>
  </w:style>
  <w:style w:type="paragraph" w:customStyle="1" w:styleId="Tiret1">
    <w:name w:val="Tiret 1"/>
    <w:basedOn w:val="Point1"/>
    <w:pPr>
      <w:numPr>
        <w:numId w:val="25"/>
      </w:numPr>
    </w:pPr>
  </w:style>
  <w:style w:type="paragraph" w:customStyle="1" w:styleId="Tiret2">
    <w:name w:val="Tiret 2"/>
    <w:basedOn w:val="Point2"/>
    <w:pPr>
      <w:numPr>
        <w:numId w:val="26"/>
      </w:numPr>
    </w:pPr>
  </w:style>
  <w:style w:type="paragraph" w:customStyle="1" w:styleId="Tiret3">
    <w:name w:val="Tiret 3"/>
    <w:basedOn w:val="Point3"/>
    <w:pPr>
      <w:numPr>
        <w:numId w:val="27"/>
      </w:numPr>
    </w:pPr>
  </w:style>
  <w:style w:type="paragraph" w:customStyle="1" w:styleId="Tiret4">
    <w:name w:val="Tiret 4"/>
    <w:basedOn w:val="Point4"/>
    <w:pPr>
      <w:numPr>
        <w:numId w:val="28"/>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29"/>
      </w:numPr>
    </w:pPr>
  </w:style>
  <w:style w:type="paragraph" w:customStyle="1" w:styleId="NumPar2">
    <w:name w:val="NumPar 2"/>
    <w:basedOn w:val="Normal"/>
    <w:next w:val="Text1"/>
    <w:pPr>
      <w:numPr>
        <w:ilvl w:val="1"/>
        <w:numId w:val="29"/>
      </w:numPr>
    </w:pPr>
  </w:style>
  <w:style w:type="paragraph" w:customStyle="1" w:styleId="NumPar3">
    <w:name w:val="NumPar 3"/>
    <w:basedOn w:val="Normal"/>
    <w:next w:val="Text1"/>
    <w:pPr>
      <w:numPr>
        <w:ilvl w:val="2"/>
        <w:numId w:val="29"/>
      </w:numPr>
    </w:pPr>
  </w:style>
  <w:style w:type="paragraph" w:customStyle="1" w:styleId="NumPar4">
    <w:name w:val="NumPar 4"/>
    <w:basedOn w:val="Normal"/>
    <w:next w:val="Text1"/>
    <w:pPr>
      <w:numPr>
        <w:ilvl w:val="3"/>
        <w:numId w:val="29"/>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1"/>
      </w:numPr>
    </w:pPr>
  </w:style>
  <w:style w:type="paragraph" w:customStyle="1" w:styleId="Point1number">
    <w:name w:val="Point 1 (number)"/>
    <w:basedOn w:val="Normal"/>
    <w:pPr>
      <w:numPr>
        <w:ilvl w:val="2"/>
        <w:numId w:val="31"/>
      </w:numPr>
    </w:pPr>
  </w:style>
  <w:style w:type="paragraph" w:customStyle="1" w:styleId="Point2number">
    <w:name w:val="Point 2 (number)"/>
    <w:basedOn w:val="Normal"/>
    <w:pPr>
      <w:numPr>
        <w:ilvl w:val="4"/>
        <w:numId w:val="31"/>
      </w:numPr>
    </w:pPr>
  </w:style>
  <w:style w:type="paragraph" w:customStyle="1" w:styleId="Point3number">
    <w:name w:val="Point 3 (number)"/>
    <w:basedOn w:val="Normal"/>
    <w:pPr>
      <w:numPr>
        <w:ilvl w:val="6"/>
        <w:numId w:val="31"/>
      </w:numPr>
    </w:pPr>
  </w:style>
  <w:style w:type="paragraph" w:customStyle="1" w:styleId="Point0letter">
    <w:name w:val="Point 0 (letter)"/>
    <w:basedOn w:val="Normal"/>
    <w:pPr>
      <w:numPr>
        <w:ilvl w:val="1"/>
        <w:numId w:val="31"/>
      </w:numPr>
    </w:pPr>
  </w:style>
  <w:style w:type="paragraph" w:customStyle="1" w:styleId="Point1letter">
    <w:name w:val="Point 1 (letter)"/>
    <w:basedOn w:val="Normal"/>
    <w:pPr>
      <w:numPr>
        <w:ilvl w:val="3"/>
        <w:numId w:val="31"/>
      </w:numPr>
    </w:pPr>
  </w:style>
  <w:style w:type="paragraph" w:customStyle="1" w:styleId="Point2letter">
    <w:name w:val="Point 2 (letter)"/>
    <w:basedOn w:val="Normal"/>
    <w:pPr>
      <w:numPr>
        <w:ilvl w:val="5"/>
        <w:numId w:val="31"/>
      </w:numPr>
    </w:pPr>
  </w:style>
  <w:style w:type="paragraph" w:customStyle="1" w:styleId="Point3letter">
    <w:name w:val="Point 3 (letter)"/>
    <w:basedOn w:val="Normal"/>
    <w:pPr>
      <w:numPr>
        <w:ilvl w:val="7"/>
        <w:numId w:val="31"/>
      </w:numPr>
    </w:pPr>
  </w:style>
  <w:style w:type="paragraph" w:customStyle="1" w:styleId="Point4letter">
    <w:name w:val="Point 4 (letter)"/>
    <w:basedOn w:val="Normal"/>
    <w:pPr>
      <w:numPr>
        <w:ilvl w:val="8"/>
        <w:numId w:val="31"/>
      </w:numPr>
    </w:pPr>
  </w:style>
  <w:style w:type="paragraph" w:customStyle="1" w:styleId="Bullet0">
    <w:name w:val="Bullet 0"/>
    <w:basedOn w:val="Normal"/>
    <w:pPr>
      <w:numPr>
        <w:numId w:val="32"/>
      </w:numPr>
    </w:pPr>
  </w:style>
  <w:style w:type="paragraph" w:customStyle="1" w:styleId="Bullet1">
    <w:name w:val="Bullet 1"/>
    <w:basedOn w:val="Normal"/>
    <w:pPr>
      <w:numPr>
        <w:numId w:val="33"/>
      </w:numPr>
    </w:pPr>
  </w:style>
  <w:style w:type="paragraph" w:customStyle="1" w:styleId="Bullet2">
    <w:name w:val="Bullet 2"/>
    <w:basedOn w:val="Normal"/>
    <w:pPr>
      <w:numPr>
        <w:numId w:val="34"/>
      </w:numPr>
    </w:pPr>
  </w:style>
  <w:style w:type="paragraph" w:customStyle="1" w:styleId="Bullet3">
    <w:name w:val="Bullet 3"/>
    <w:basedOn w:val="Normal"/>
    <w:pPr>
      <w:numPr>
        <w:numId w:val="35"/>
      </w:numPr>
    </w:pPr>
  </w:style>
  <w:style w:type="paragraph" w:customStyle="1" w:styleId="Bullet4">
    <w:name w:val="Bullet 4"/>
    <w:basedOn w:val="Normal"/>
    <w:pPr>
      <w:numPr>
        <w:numId w:val="36"/>
      </w:numPr>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37"/>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mission">
    <w:name w:val="Emission"/>
    <w:basedOn w:val="Normal"/>
    <w:next w:val="Rfrenceinstitutionnelle"/>
    <w:pPr>
      <w:spacing w:before="0" w:after="0"/>
      <w:ind w:left="5103"/>
      <w:jc w:val="left"/>
    </w:p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ManualConsidrant">
    <w:name w:val="Manual Considérant"/>
    <w:basedOn w:val="Normal"/>
    <w:pPr>
      <w:ind w:left="709" w:hanging="709"/>
    </w:p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stitutionnelle">
    <w:name w:val="Référence institutionnelle"/>
    <w:basedOn w:val="Normal"/>
    <w:next w:val="Confidentialit"/>
    <w:pPr>
      <w:spacing w:before="0" w:after="240"/>
      <w:ind w:left="5103"/>
      <w:jc w:val="left"/>
    </w:p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ous-titreobjet">
    <w:name w:val="Sous-titre objet"/>
    <w:basedOn w:val="Normal"/>
    <w:pPr>
      <w:spacing w:before="0" w:after="0"/>
      <w:jc w:val="center"/>
    </w:pPr>
    <w:rPr>
      <w:b/>
    </w:r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Sous-titreobjet"/>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Pagedecouverture">
    <w:name w:val="Page de couverture"/>
    <w:basedOn w:val="Normal"/>
    <w:next w:val="Normal"/>
    <w:pPr>
      <w:spacing w:before="0" w:after="0"/>
    </w:p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ous-titreobjetPagedecouverture">
    <w:name w:val="Sous-titre objet (Page de couverture)"/>
    <w:basedOn w:val="Sous-titreobje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Sous-titreobjet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hr-HR" w:bidi="hr-H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rPr>
  </w:style>
  <w:style w:type="paragraph" w:styleId="Heading1">
    <w:name w:val="heading 1"/>
    <w:basedOn w:val="Normal"/>
    <w:next w:val="Text1"/>
    <w:link w:val="Heading1Char"/>
    <w:uiPriority w:val="9"/>
    <w:qFormat/>
    <w:pPr>
      <w:keepNext/>
      <w:numPr>
        <w:numId w:val="30"/>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30"/>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30"/>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30"/>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semiHidden/>
    <w:unhideWhenUsed/>
    <w:qFormat/>
    <w:pPr>
      <w:spacing w:before="0" w:after="200"/>
    </w:pPr>
    <w:rPr>
      <w:b/>
      <w:bCs/>
      <w:color w:val="4F81BD" w:themeColor="accent1"/>
      <w:sz w:val="18"/>
      <w:szCs w:val="18"/>
    </w:rPr>
  </w:style>
  <w:style w:type="paragraph" w:styleId="TableofFigures">
    <w:name w:val="table of figures"/>
    <w:basedOn w:val="Normal"/>
    <w:next w:val="Normal"/>
    <w:uiPriority w:val="99"/>
    <w:semiHidden/>
    <w:unhideWhenUsed/>
    <w:pPr>
      <w:spacing w:after="0"/>
    </w:pPr>
  </w:style>
  <w:style w:type="paragraph" w:styleId="ListBullet">
    <w:name w:val="List Bullet"/>
    <w:basedOn w:val="Normal"/>
    <w:uiPriority w:val="99"/>
    <w:semiHidden/>
    <w:unhideWhenUsed/>
    <w:pPr>
      <w:numPr>
        <w:numId w:val="2"/>
      </w:numPr>
      <w:contextualSpacing/>
    </w:pPr>
  </w:style>
  <w:style w:type="paragraph" w:styleId="ListBullet2">
    <w:name w:val="List Bullet 2"/>
    <w:basedOn w:val="Normal"/>
    <w:uiPriority w:val="99"/>
    <w:semiHidden/>
    <w:unhideWhenUsed/>
    <w:pPr>
      <w:numPr>
        <w:numId w:val="3"/>
      </w:numPr>
      <w:contextualSpacing/>
    </w:pPr>
  </w:style>
  <w:style w:type="paragraph" w:styleId="ListBullet3">
    <w:name w:val="List Bullet 3"/>
    <w:basedOn w:val="Normal"/>
    <w:uiPriority w:val="99"/>
    <w:semiHidden/>
    <w:unhideWhenUsed/>
    <w:pPr>
      <w:numPr>
        <w:numId w:val="4"/>
      </w:numPr>
      <w:contextualSpacing/>
    </w:pPr>
  </w:style>
  <w:style w:type="paragraph" w:styleId="ListBullet4">
    <w:name w:val="List Bullet 4"/>
    <w:basedOn w:val="Normal"/>
    <w:uiPriority w:val="99"/>
    <w:semiHidden/>
    <w:unhideWhenUsed/>
    <w:pPr>
      <w:numPr>
        <w:numId w:val="5"/>
      </w:numPr>
      <w:contextualSpacing/>
    </w:pPr>
  </w:style>
  <w:style w:type="paragraph" w:styleId="ListNumber">
    <w:name w:val="List Number"/>
    <w:basedOn w:val="Normal"/>
    <w:uiPriority w:val="99"/>
    <w:semiHidden/>
    <w:unhideWhenUsed/>
    <w:pPr>
      <w:numPr>
        <w:numId w:val="6"/>
      </w:numPr>
      <w:contextualSpacing/>
    </w:pPr>
  </w:style>
  <w:style w:type="paragraph" w:styleId="ListNumber2">
    <w:name w:val="List Number 2"/>
    <w:basedOn w:val="Normal"/>
    <w:uiPriority w:val="99"/>
    <w:semiHidden/>
    <w:unhideWhenUsed/>
    <w:pPr>
      <w:numPr>
        <w:numId w:val="7"/>
      </w:numPr>
      <w:contextualSpacing/>
    </w:pPr>
  </w:style>
  <w:style w:type="paragraph" w:styleId="ListNumber3">
    <w:name w:val="List Number 3"/>
    <w:basedOn w:val="Normal"/>
    <w:uiPriority w:val="99"/>
    <w:semiHidden/>
    <w:unhideWhenUsed/>
    <w:pPr>
      <w:numPr>
        <w:numId w:val="8"/>
      </w:numPr>
      <w:contextualSpacing/>
    </w:pPr>
  </w:style>
  <w:style w:type="paragraph" w:styleId="ListNumber4">
    <w:name w:val="List Number 4"/>
    <w:basedOn w:val="Normal"/>
    <w:uiPriority w:val="99"/>
    <w:semiHidden/>
    <w:unhideWhenUsed/>
    <w:pPr>
      <w:numPr>
        <w:numId w:val="9"/>
      </w:numPr>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lang w:val="hr-HR"/>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hr-HR"/>
    </w:rPr>
  </w:style>
  <w:style w:type="character" w:styleId="Hyperlink">
    <w:name w:val="Hyperlink"/>
    <w:basedOn w:val="DefaultParagraphFont"/>
    <w:uiPriority w:val="99"/>
    <w:unhideWhenUsed/>
    <w:rPr>
      <w:color w:val="0000FF" w:themeColor="hyperlink"/>
      <w:u w:val="single"/>
    </w:r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hr-HR"/>
    </w:rPr>
  </w:style>
  <w:style w:type="paragraph" w:styleId="Header">
    <w:name w:val="header"/>
    <w:basedOn w:val="Normal"/>
    <w:link w:val="HeaderChar"/>
    <w:uiPriority w:val="99"/>
    <w:unhideWhenUsed/>
    <w:rsid w:val="00FE4876"/>
    <w:pPr>
      <w:tabs>
        <w:tab w:val="center" w:pos="4535"/>
        <w:tab w:val="right" w:pos="9071"/>
      </w:tabs>
      <w:spacing w:before="0"/>
    </w:pPr>
    <w:rPr>
      <w:lang w:eastAsia="en-US" w:bidi="ar-SA"/>
    </w:rPr>
  </w:style>
  <w:style w:type="character" w:customStyle="1" w:styleId="HeaderChar">
    <w:name w:val="Header Char"/>
    <w:basedOn w:val="DefaultParagraphFont"/>
    <w:link w:val="Header"/>
    <w:uiPriority w:val="99"/>
    <w:rsid w:val="00FE4876"/>
    <w:rPr>
      <w:rFonts w:ascii="Times New Roman" w:hAnsi="Times New Roman" w:cs="Times New Roman"/>
      <w:sz w:val="24"/>
      <w:lang w:eastAsia="en-US" w:bidi="ar-SA"/>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shd w:val="clear" w:color="auto" w:fill="auto"/>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rsid w:val="00FE4876"/>
    <w:pPr>
      <w:tabs>
        <w:tab w:val="center" w:pos="7285"/>
        <w:tab w:val="right" w:pos="14003"/>
      </w:tabs>
      <w:spacing w:before="0"/>
    </w:pPr>
    <w:rPr>
      <w:lang w:eastAsia="en-US" w:bidi="ar-SA"/>
    </w:r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24"/>
      </w:numPr>
    </w:pPr>
  </w:style>
  <w:style w:type="paragraph" w:customStyle="1" w:styleId="Tiret1">
    <w:name w:val="Tiret 1"/>
    <w:basedOn w:val="Point1"/>
    <w:pPr>
      <w:numPr>
        <w:numId w:val="25"/>
      </w:numPr>
    </w:pPr>
  </w:style>
  <w:style w:type="paragraph" w:customStyle="1" w:styleId="Tiret2">
    <w:name w:val="Tiret 2"/>
    <w:basedOn w:val="Point2"/>
    <w:pPr>
      <w:numPr>
        <w:numId w:val="26"/>
      </w:numPr>
    </w:pPr>
  </w:style>
  <w:style w:type="paragraph" w:customStyle="1" w:styleId="Tiret3">
    <w:name w:val="Tiret 3"/>
    <w:basedOn w:val="Point3"/>
    <w:pPr>
      <w:numPr>
        <w:numId w:val="27"/>
      </w:numPr>
    </w:pPr>
  </w:style>
  <w:style w:type="paragraph" w:customStyle="1" w:styleId="Tiret4">
    <w:name w:val="Tiret 4"/>
    <w:basedOn w:val="Point4"/>
    <w:pPr>
      <w:numPr>
        <w:numId w:val="28"/>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29"/>
      </w:numPr>
    </w:pPr>
  </w:style>
  <w:style w:type="paragraph" w:customStyle="1" w:styleId="NumPar2">
    <w:name w:val="NumPar 2"/>
    <w:basedOn w:val="Normal"/>
    <w:next w:val="Text1"/>
    <w:pPr>
      <w:numPr>
        <w:ilvl w:val="1"/>
        <w:numId w:val="29"/>
      </w:numPr>
    </w:pPr>
  </w:style>
  <w:style w:type="paragraph" w:customStyle="1" w:styleId="NumPar3">
    <w:name w:val="NumPar 3"/>
    <w:basedOn w:val="Normal"/>
    <w:next w:val="Text1"/>
    <w:pPr>
      <w:numPr>
        <w:ilvl w:val="2"/>
        <w:numId w:val="29"/>
      </w:numPr>
    </w:pPr>
  </w:style>
  <w:style w:type="paragraph" w:customStyle="1" w:styleId="NumPar4">
    <w:name w:val="NumPar 4"/>
    <w:basedOn w:val="Normal"/>
    <w:next w:val="Text1"/>
    <w:pPr>
      <w:numPr>
        <w:ilvl w:val="3"/>
        <w:numId w:val="29"/>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1"/>
      </w:numPr>
    </w:pPr>
  </w:style>
  <w:style w:type="paragraph" w:customStyle="1" w:styleId="Point1number">
    <w:name w:val="Point 1 (number)"/>
    <w:basedOn w:val="Normal"/>
    <w:pPr>
      <w:numPr>
        <w:ilvl w:val="2"/>
        <w:numId w:val="31"/>
      </w:numPr>
    </w:pPr>
  </w:style>
  <w:style w:type="paragraph" w:customStyle="1" w:styleId="Point2number">
    <w:name w:val="Point 2 (number)"/>
    <w:basedOn w:val="Normal"/>
    <w:pPr>
      <w:numPr>
        <w:ilvl w:val="4"/>
        <w:numId w:val="31"/>
      </w:numPr>
    </w:pPr>
  </w:style>
  <w:style w:type="paragraph" w:customStyle="1" w:styleId="Point3number">
    <w:name w:val="Point 3 (number)"/>
    <w:basedOn w:val="Normal"/>
    <w:pPr>
      <w:numPr>
        <w:ilvl w:val="6"/>
        <w:numId w:val="31"/>
      </w:numPr>
    </w:pPr>
  </w:style>
  <w:style w:type="paragraph" w:customStyle="1" w:styleId="Point0letter">
    <w:name w:val="Point 0 (letter)"/>
    <w:basedOn w:val="Normal"/>
    <w:pPr>
      <w:numPr>
        <w:ilvl w:val="1"/>
        <w:numId w:val="31"/>
      </w:numPr>
    </w:pPr>
  </w:style>
  <w:style w:type="paragraph" w:customStyle="1" w:styleId="Point1letter">
    <w:name w:val="Point 1 (letter)"/>
    <w:basedOn w:val="Normal"/>
    <w:pPr>
      <w:numPr>
        <w:ilvl w:val="3"/>
        <w:numId w:val="31"/>
      </w:numPr>
    </w:pPr>
  </w:style>
  <w:style w:type="paragraph" w:customStyle="1" w:styleId="Point2letter">
    <w:name w:val="Point 2 (letter)"/>
    <w:basedOn w:val="Normal"/>
    <w:pPr>
      <w:numPr>
        <w:ilvl w:val="5"/>
        <w:numId w:val="31"/>
      </w:numPr>
    </w:pPr>
  </w:style>
  <w:style w:type="paragraph" w:customStyle="1" w:styleId="Point3letter">
    <w:name w:val="Point 3 (letter)"/>
    <w:basedOn w:val="Normal"/>
    <w:pPr>
      <w:numPr>
        <w:ilvl w:val="7"/>
        <w:numId w:val="31"/>
      </w:numPr>
    </w:pPr>
  </w:style>
  <w:style w:type="paragraph" w:customStyle="1" w:styleId="Point4letter">
    <w:name w:val="Point 4 (letter)"/>
    <w:basedOn w:val="Normal"/>
    <w:pPr>
      <w:numPr>
        <w:ilvl w:val="8"/>
        <w:numId w:val="31"/>
      </w:numPr>
    </w:pPr>
  </w:style>
  <w:style w:type="paragraph" w:customStyle="1" w:styleId="Bullet0">
    <w:name w:val="Bullet 0"/>
    <w:basedOn w:val="Normal"/>
    <w:pPr>
      <w:numPr>
        <w:numId w:val="32"/>
      </w:numPr>
    </w:pPr>
  </w:style>
  <w:style w:type="paragraph" w:customStyle="1" w:styleId="Bullet1">
    <w:name w:val="Bullet 1"/>
    <w:basedOn w:val="Normal"/>
    <w:pPr>
      <w:numPr>
        <w:numId w:val="33"/>
      </w:numPr>
    </w:pPr>
  </w:style>
  <w:style w:type="paragraph" w:customStyle="1" w:styleId="Bullet2">
    <w:name w:val="Bullet 2"/>
    <w:basedOn w:val="Normal"/>
    <w:pPr>
      <w:numPr>
        <w:numId w:val="34"/>
      </w:numPr>
    </w:pPr>
  </w:style>
  <w:style w:type="paragraph" w:customStyle="1" w:styleId="Bullet3">
    <w:name w:val="Bullet 3"/>
    <w:basedOn w:val="Normal"/>
    <w:pPr>
      <w:numPr>
        <w:numId w:val="35"/>
      </w:numPr>
    </w:pPr>
  </w:style>
  <w:style w:type="paragraph" w:customStyle="1" w:styleId="Bullet4">
    <w:name w:val="Bullet 4"/>
    <w:basedOn w:val="Normal"/>
    <w:pPr>
      <w:numPr>
        <w:numId w:val="36"/>
      </w:numPr>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37"/>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mission">
    <w:name w:val="Emission"/>
    <w:basedOn w:val="Normal"/>
    <w:next w:val="Rfrenceinstitutionnelle"/>
    <w:pPr>
      <w:spacing w:before="0" w:after="0"/>
      <w:ind w:left="5103"/>
      <w:jc w:val="left"/>
    </w:p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ManualConsidrant">
    <w:name w:val="Manual Considérant"/>
    <w:basedOn w:val="Normal"/>
    <w:pPr>
      <w:ind w:left="709" w:hanging="709"/>
    </w:p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stitutionnelle">
    <w:name w:val="Référence institutionnelle"/>
    <w:basedOn w:val="Normal"/>
    <w:next w:val="Confidentialit"/>
    <w:pPr>
      <w:spacing w:before="0" w:after="240"/>
      <w:ind w:left="5103"/>
      <w:jc w:val="left"/>
    </w:p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ous-titreobjet">
    <w:name w:val="Sous-titre objet"/>
    <w:basedOn w:val="Normal"/>
    <w:pPr>
      <w:spacing w:before="0" w:after="0"/>
      <w:jc w:val="center"/>
    </w:pPr>
    <w:rPr>
      <w:b/>
    </w:r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Sous-titreobjet"/>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Pagedecouverture">
    <w:name w:val="Page de couverture"/>
    <w:basedOn w:val="Normal"/>
    <w:next w:val="Normal"/>
    <w:pPr>
      <w:spacing w:before="0" w:after="0"/>
    </w:p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ous-titreobjetPagedecouverture">
    <w:name w:val="Sous-titre objet (Page de couverture)"/>
    <w:basedOn w:val="Sous-titreobje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Sous-titreobjet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E8D28E-DB70-40B5-9D28-AC8C4D5A48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0</TotalTime>
  <Pages>5</Pages>
  <Words>1549</Words>
  <Characters>9295</Characters>
  <Application>Microsoft Office Word</Application>
  <DocSecurity>0</DocSecurity>
  <Lines>157</Lines>
  <Paragraphs>39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10805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18</cp:revision>
  <dcterms:created xsi:type="dcterms:W3CDTF">2017-05-23T15:06:00Z</dcterms:created>
  <dcterms:modified xsi:type="dcterms:W3CDTF">2017-05-29T15:02:00Z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Classification">
    <vt:lpwstr> </vt:lpwstr>
  </property>
  <property fmtid="{D5CDD505-2E9C-101B-9397-08002B2CF9AE}" pid="4" name="Version">
    <vt:lpwstr>5.84.2.0</vt:lpwstr>
  </property>
  <property fmtid="{D5CDD505-2E9C-101B-9397-08002B2CF9AE}" pid="5" name="Last edited using">
    <vt:lpwstr>LW 5.8.4, Build 20150407</vt:lpwstr>
  </property>
  <property fmtid="{D5CDD505-2E9C-101B-9397-08002B2CF9AE}" pid="6" name="Created using">
    <vt:lpwstr>LW 5.8.4, Build 20150407</vt:lpwstr>
  </property>
  <property fmtid="{D5CDD505-2E9C-101B-9397-08002B2CF9AE}" pid="7" name="Part">
    <vt:lpwstr>1</vt:lpwstr>
  </property>
  <property fmtid="{D5CDD505-2E9C-101B-9397-08002B2CF9AE}" pid="8" name="Total parts">
    <vt:lpwstr>1</vt:lpwstr>
  </property>
  <property fmtid="{D5CDD505-2E9C-101B-9397-08002B2CF9AE}" pid="9" name="LWTemplateID">
    <vt:lpwstr>SG-002</vt:lpwstr>
  </property>
  <property fmtid="{D5CDD505-2E9C-101B-9397-08002B2CF9AE}" pid="10" name="DQCStatus">
    <vt:lpwstr>Yellow (DQC version 03)</vt:lpwstr>
  </property>
  <property name="OP_sanitized" fmtid="{D5CDD505-2E9C-101B-9397-08002B2CF9AE}" pid="11">
    <vt:lpwstr>True</vt:lpwstr>
  </property>
</Properties>
</file>