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E071D4CE97A4EA7959203D03D8C0933"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rPr>
          <w:noProof/>
        </w:rPr>
      </w:pPr>
      <w:bookmarkStart w:id="1" w:name="_Toc469647940"/>
      <w:bookmarkStart w:id="2" w:name="_Toc471999481"/>
      <w:bookmarkStart w:id="3" w:name="_GoBack"/>
      <w:bookmarkEnd w:id="3"/>
      <w:r>
        <w:rPr>
          <w:noProof/>
        </w:rPr>
        <w:lastRenderedPageBreak/>
        <w:t>Odjeljak A:</w:t>
      </w:r>
      <w:r>
        <w:rPr>
          <w:noProof/>
        </w:rPr>
        <w:tab/>
      </w:r>
      <w:r>
        <w:rPr>
          <w:noProof/>
        </w:rPr>
        <w:tab/>
        <w:t>Uvod</w:t>
      </w:r>
      <w:bookmarkEnd w:id="1"/>
      <w:bookmarkEnd w:id="2"/>
    </w:p>
    <w:p>
      <w:pPr>
        <w:spacing w:after="240"/>
        <w:jc w:val="both"/>
        <w:rPr>
          <w:noProof/>
        </w:rPr>
      </w:pPr>
      <w:r>
        <w:rPr>
          <w:noProof/>
        </w:rPr>
        <w:t>Krijumčarenje cigareta već je neko vrijeme jedan od glavnih izvora zabrinutosti u Europi. Zbog nezakonite trgovine duhanom cigarete su dostupne po cijenama nižima od onih koje su određene radi odvraćanja od pušenja. Istodobno nezakoniti proizvodi obično nisu u skladu s propisima o proizvodima, poput propisa o označivanju. Nezakonita trgovina duhanom uzrokuje i znatan gubitak javnih prihoda – kad bi sve cigarete koje se prodaju na crnom tržištu bile prodane zakonito, u proračun EU-a i država članica uplatilo bi se više od 10 milijardi EUR godišnje. Naposljetku, krijumčarenje cigareta izvor je prihoda organiziranih kriminalnih skupina u Europi i šire te postoje naznake da je u nekim slučajevima povezano i s financiranjem terorizma </w:t>
      </w:r>
      <w:r>
        <w:rPr>
          <w:rStyle w:val="FootnoteReference"/>
          <w:noProof/>
        </w:rPr>
        <w:footnoteReference w:id="1"/>
      </w:r>
      <w:r>
        <w:rPr>
          <w:noProof/>
        </w:rPr>
        <w:t>. Borba protiv nezakonite trgovine duhanom stoga je ključna za zaštitu sigurnosti EU-a </w:t>
      </w:r>
      <w:r>
        <w:rPr>
          <w:rStyle w:val="FootnoteReference"/>
          <w:noProof/>
        </w:rPr>
        <w:footnoteReference w:id="2"/>
      </w:r>
      <w:r>
        <w:rPr>
          <w:noProof/>
        </w:rPr>
        <w:t xml:space="preserve">. </w:t>
      </w:r>
    </w:p>
    <w:p>
      <w:pPr>
        <w:spacing w:after="240"/>
        <w:jc w:val="both"/>
        <w:rPr>
          <w:noProof/>
        </w:rPr>
      </w:pPr>
      <w:r>
        <w:rPr>
          <w:noProof/>
        </w:rPr>
        <w:t>Komisija je 2013. predstavila sveobuhvatnu strategiju </w:t>
      </w:r>
      <w:r>
        <w:rPr>
          <w:rStyle w:val="FootnoteReference"/>
          <w:noProof/>
        </w:rPr>
        <w:footnoteReference w:id="3"/>
      </w:r>
      <w:r>
        <w:rPr>
          <w:noProof/>
        </w:rPr>
        <w:t xml:space="preserve"> za jačanje borbe protiv nezakonite trgovine duhanom. U njoj se, na temelju podataka dobivenih detaljnom analizom fenomena krijumčarenja u EU-u i čimbenika koji ga pokreću, predlažu načini borbe protiv nezakonite trgovine duhanom, na temelju već prije donesenog akcijskog plana za borbu protiv krijumčarenja cigareta i alkohola duž istočne granice EU-a </w:t>
      </w:r>
      <w:r>
        <w:rPr>
          <w:rStyle w:val="FootnoteReference"/>
          <w:noProof/>
        </w:rPr>
        <w:footnoteReference w:id="4"/>
      </w:r>
      <w:r>
        <w:rPr>
          <w:noProof/>
        </w:rPr>
        <w:t>. Uz strategiju iz 2013. donesen je i novi akcijski plan, </w:t>
      </w:r>
      <w:r>
        <w:rPr>
          <w:rStyle w:val="FootnoteReference"/>
          <w:noProof/>
        </w:rPr>
        <w:footnoteReference w:id="5"/>
      </w:r>
      <w:r>
        <w:rPr>
          <w:noProof/>
        </w:rPr>
        <w:t xml:space="preserve"> koji sadržava 50 stavki i koji će provoditi Komisija i/ili države članice. Strategiju i akcijski plan potvrdilo je Vijeće u svojim zaključcima od 10. prosinca 2013. </w:t>
      </w:r>
      <w:r>
        <w:rPr>
          <w:rStyle w:val="FootnoteReference"/>
          <w:noProof/>
        </w:rPr>
        <w:footnoteReference w:id="6"/>
      </w:r>
      <w:r>
        <w:rPr>
          <w:noProof/>
        </w:rPr>
        <w:t>. Europski parlament nedavno je naglasio potrebu za jačanjem borbe protiv nezakonite trgovine duhanom, posebice cigaretama bez oznake proizvođača („jeftinim bijelim cigaretama”) </w:t>
      </w:r>
      <w:r>
        <w:rPr>
          <w:rStyle w:val="FootnoteReference"/>
          <w:noProof/>
        </w:rPr>
        <w:footnoteReference w:id="7"/>
      </w:r>
      <w:r>
        <w:rPr>
          <w:noProof/>
        </w:rPr>
        <w:t>.</w:t>
      </w:r>
    </w:p>
    <w:p>
      <w:pPr>
        <w:spacing w:after="240"/>
        <w:jc w:val="both"/>
        <w:rPr>
          <w:noProof/>
        </w:rPr>
      </w:pPr>
      <w:r>
        <w:rPr>
          <w:noProof/>
        </w:rPr>
        <w:t>Ovim se izvješćem ispunjava obveza nadziranja provedbe strategije i akcijskog plana </w:t>
      </w:r>
      <w:r>
        <w:rPr>
          <w:rStyle w:val="FootnoteReference"/>
          <w:noProof/>
        </w:rPr>
        <w:footnoteReference w:id="8"/>
      </w:r>
      <w:r>
        <w:rPr>
          <w:noProof/>
        </w:rPr>
        <w:t xml:space="preserve"> koju je Komisija preuzela 2013., posebice uzimajući u obzir konkretne čimbenike koji su pokretači tog problema. U odjeljku </w:t>
      </w:r>
      <w:r>
        <w:rPr>
          <w:b/>
          <w:noProof/>
        </w:rPr>
        <w:t>B</w:t>
      </w:r>
      <w:r>
        <w:rPr>
          <w:noProof/>
        </w:rPr>
        <w:t xml:space="preserve"> izvješća nalazi se pregled glavnih inicijativa poduzetih nakon predstavljanja Strategije iz 2013. U odjeljku </w:t>
      </w:r>
      <w:r>
        <w:rPr>
          <w:b/>
          <w:noProof/>
        </w:rPr>
        <w:t>C</w:t>
      </w:r>
      <w:r>
        <w:rPr>
          <w:noProof/>
        </w:rPr>
        <w:t xml:space="preserve"> ukratko se opisuje trenutačno stanje na ilegalnom tržištu. U odjeljku </w:t>
      </w:r>
      <w:r>
        <w:rPr>
          <w:b/>
          <w:noProof/>
        </w:rPr>
        <w:t>D</w:t>
      </w:r>
      <w:r>
        <w:rPr>
          <w:noProof/>
        </w:rPr>
        <w:t xml:space="preserve"> opisuje se stečeno iskustvo i navode se prijedlozi za daljnje razmatranje. </w:t>
      </w:r>
    </w:p>
    <w:p>
      <w:pPr>
        <w:pStyle w:val="Heading1"/>
        <w:rPr>
          <w:noProof/>
        </w:rPr>
      </w:pPr>
      <w:bookmarkStart w:id="4" w:name="_Toc469647941"/>
      <w:bookmarkStart w:id="5" w:name="_Toc471999482"/>
      <w:r>
        <w:rPr>
          <w:noProof/>
        </w:rPr>
        <w:t>Odjeljak B:</w:t>
      </w:r>
      <w:r>
        <w:rPr>
          <w:noProof/>
        </w:rPr>
        <w:tab/>
      </w:r>
      <w:r>
        <w:rPr>
          <w:noProof/>
        </w:rPr>
        <w:tab/>
        <w:t>glavne inicijative provedene od 2013.</w:t>
      </w:r>
      <w:bookmarkEnd w:id="4"/>
      <w:bookmarkEnd w:id="5"/>
    </w:p>
    <w:p>
      <w:pPr>
        <w:spacing w:after="240"/>
        <w:jc w:val="both"/>
        <w:rPr>
          <w:noProof/>
        </w:rPr>
      </w:pPr>
      <w:r>
        <w:rPr>
          <w:noProof/>
        </w:rPr>
        <w:t>Strategijom iz 2013. poziva se na donošenje ciljanih unutarnjih i vanjskih mjera za jačanje borbe protiv prekograničnog krijumčarenja cigareta i drugih duhanskih proizvoda. Glavni cilj donošenja tih mjera bio je osigurati zakoniti lanac opskrbe, pojačati provedbu i početi se boriti protiv pobuda na kojima se temelji nezakonita trgovina. Naposljetku, u strategiji se prepoznaje da se zbog teritorijalnih ograničenja nacionalnog prava taj globalni fenomen može riješiti samo usklađenim djelovanjem na europskoj i međunarodnoj razini, uz primjenu mjera koje se poduzimaju na nacionalnoj razini. Stoga je od 2013. poduzeto nekoliko važnih mjera:</w:t>
      </w:r>
    </w:p>
    <w:p>
      <w:pPr>
        <w:spacing w:after="240"/>
        <w:jc w:val="both"/>
        <w:rPr>
          <w:rFonts w:eastAsiaTheme="minorHAnsi"/>
          <w:b/>
          <w:noProof/>
        </w:rPr>
      </w:pPr>
      <w:r>
        <w:rPr>
          <w:rFonts w:eastAsiaTheme="minorHAnsi"/>
          <w:b/>
          <w:noProof/>
        </w:rPr>
        <w:t>1.</w:t>
      </w:r>
      <w:r>
        <w:rPr>
          <w:noProof/>
        </w:rPr>
        <w:tab/>
      </w:r>
      <w:r>
        <w:rPr>
          <w:rFonts w:eastAsiaTheme="minorHAnsi"/>
          <w:b/>
          <w:noProof/>
        </w:rPr>
        <w:t>Izmjene zakonodavnog i političkog okvira</w:t>
      </w:r>
    </w:p>
    <w:p>
      <w:pPr>
        <w:spacing w:after="240"/>
        <w:jc w:val="both"/>
        <w:rPr>
          <w:rFonts w:eastAsiaTheme="minorHAnsi"/>
          <w:noProof/>
        </w:rPr>
      </w:pPr>
      <w:r>
        <w:rPr>
          <w:rFonts w:eastAsiaTheme="minorHAnsi"/>
          <w:b/>
          <w:noProof/>
        </w:rPr>
        <w:t>a)</w:t>
      </w:r>
      <w:r>
        <w:rPr>
          <w:noProof/>
        </w:rPr>
        <w:t xml:space="preserve"> Na svjetskoj je razini Komisija od početka predvodila rad povezan s </w:t>
      </w:r>
      <w:r>
        <w:rPr>
          <w:rFonts w:eastAsiaTheme="minorHAnsi"/>
          <w:i/>
          <w:noProof/>
        </w:rPr>
        <w:t>Protokolom o uklanjanju nezakonite trgovine duhanskim proizvodima</w:t>
      </w:r>
      <w:r>
        <w:rPr>
          <w:noProof/>
        </w:rPr>
        <w:t xml:space="preserve"> </w:t>
      </w:r>
      <w:r>
        <w:rPr>
          <w:rFonts w:eastAsiaTheme="minorHAnsi"/>
          <w:i/>
          <w:noProof/>
        </w:rPr>
        <w:t>Okvirne konvencije Svjetske zdravstvene organizacije o nadzoru nad duhanom</w:t>
      </w:r>
      <w:r>
        <w:rPr>
          <w:noProof/>
        </w:rPr>
        <w:t xml:space="preserve"> („</w:t>
      </w:r>
      <w:r>
        <w:rPr>
          <w:rFonts w:eastAsiaTheme="minorHAnsi"/>
          <w:b/>
          <w:noProof/>
        </w:rPr>
        <w:t>Protokol FCTC</w:t>
      </w:r>
      <w:r>
        <w:rPr>
          <w:noProof/>
        </w:rPr>
        <w:t>”) (mjere 2.1 i 2.2). Cilj je Protokola osigurati lanac opskrbe originalnih cigareta tako da potpisnice Protokola slijede i prate promet duhanskih proizvoda u roku od pet godina od njegova stupanja na snagu. Protokolom je predviđeno i izdavanje licencija za određene aktivnosti, propisi o dužnoj pozornosti za proizvođače te pravila o internetskoj prodaji, bescarinskoj prodaji i slobodnim zonama. Protokolom se također potiče međunarodna suradnja među tijelima za izvršavanje zakonodavstva.</w:t>
      </w:r>
    </w:p>
    <w:p>
      <w:pPr>
        <w:spacing w:after="240"/>
        <w:jc w:val="both"/>
        <w:rPr>
          <w:rFonts w:eastAsiaTheme="minorHAnsi"/>
          <w:noProof/>
        </w:rPr>
      </w:pPr>
      <w:r>
        <w:rPr>
          <w:noProof/>
        </w:rPr>
        <w:t>Danas je on glavni odgovor međunarodne zajednice na prekograničnu nezakonitu trgovinu duhanom. EU je pokazao predanost Protokolu tako što ga je među prvima ratificirao </w:t>
      </w:r>
      <w:r>
        <w:rPr>
          <w:rFonts w:eastAsiaTheme="minorHAnsi"/>
          <w:noProof/>
          <w:vertAlign w:val="superscript"/>
        </w:rPr>
        <w:footnoteReference w:id="9"/>
      </w:r>
      <w:r>
        <w:rPr>
          <w:noProof/>
        </w:rPr>
        <w:t xml:space="preserve"> u lipnju 2016. Prije nego što stupi na snagu, Protokol mora ratificirati 40 potpisnica. Od 31. prosinca 2016. ratificiralo ga je 25 potpisnica, uključujući šest država članica EU-a </w:t>
      </w:r>
      <w:r>
        <w:rPr>
          <w:rFonts w:eastAsiaTheme="minorHAnsi"/>
          <w:noProof/>
          <w:vertAlign w:val="superscript"/>
        </w:rPr>
        <w:footnoteReference w:id="10"/>
      </w:r>
      <w:r>
        <w:rPr>
          <w:noProof/>
        </w:rPr>
        <w:t>.</w:t>
      </w:r>
    </w:p>
    <w:p>
      <w:pPr>
        <w:spacing w:after="240"/>
        <w:jc w:val="both"/>
        <w:rPr>
          <w:rFonts w:eastAsiaTheme="minorHAnsi"/>
          <w:noProof/>
        </w:rPr>
      </w:pPr>
      <w:r>
        <w:rPr>
          <w:noProof/>
        </w:rPr>
        <w:t>Komisija aktivno promiče Protokol u EU-u i diljem svijeta koristeći se svojim diplomatskim utjecajem u međunarodnim odnosima, uključujući institucionalni okvir u susjednim državama (mjera 3.2.12) i istočnoj Aziji (mjera 3.2.1). U tom je kontekstu Komisija poduprla tajništvo FCTC-a u organizaciji regionalne radionice u Mjanmaru u prosincu 2014. Na 7. Konferenciji ugovornih stranaka Okvirne konvencije Svjetske zdravstvene organizacije, održanoj u studenome 2016., EU je započeo globalnu raspravu o provedbi Protokola u budućnosti (mjera 3.2.13). Komisija je od početka pružala i druge oblike financijske pomoći za taj proces </w:t>
      </w:r>
      <w:r>
        <w:rPr>
          <w:rFonts w:eastAsiaTheme="minorHAnsi"/>
          <w:noProof/>
          <w:vertAlign w:val="superscript"/>
        </w:rPr>
        <w:footnoteReference w:id="11"/>
      </w:r>
      <w:r>
        <w:rPr>
          <w:noProof/>
        </w:rPr>
        <w:t>.</w:t>
      </w:r>
    </w:p>
    <w:p>
      <w:pPr>
        <w:spacing w:after="240"/>
        <w:jc w:val="both"/>
        <w:rPr>
          <w:rFonts w:eastAsiaTheme="minorHAnsi"/>
          <w:noProof/>
        </w:rPr>
      </w:pPr>
      <w:r>
        <w:rPr>
          <w:rFonts w:eastAsiaTheme="minorHAnsi"/>
          <w:b/>
          <w:noProof/>
        </w:rPr>
        <w:t>b)</w:t>
      </w:r>
      <w:r>
        <w:rPr>
          <w:noProof/>
        </w:rPr>
        <w:t xml:space="preserve"> EU je istodobno ažurirao i ojačao </w:t>
      </w:r>
      <w:r>
        <w:rPr>
          <w:rFonts w:eastAsiaTheme="minorHAnsi"/>
          <w:b/>
          <w:noProof/>
        </w:rPr>
        <w:t>zakonodavstvo o nadzoru nad duhanom.</w:t>
      </w:r>
      <w:r>
        <w:rPr>
          <w:noProof/>
        </w:rPr>
        <w:t xml:space="preserve"> Revidirana </w:t>
      </w:r>
      <w:r>
        <w:rPr>
          <w:rFonts w:eastAsiaTheme="minorHAnsi"/>
          <w:b/>
          <w:noProof/>
        </w:rPr>
        <w:t>Direktiva o duhanskim proizvodima </w:t>
      </w:r>
      <w:r>
        <w:rPr>
          <w:rFonts w:eastAsiaTheme="minorHAnsi"/>
          <w:noProof/>
          <w:vertAlign w:val="superscript"/>
        </w:rPr>
        <w:footnoteReference w:id="12"/>
      </w:r>
      <w:r>
        <w:rPr>
          <w:noProof/>
        </w:rPr>
        <w:t xml:space="preserve"> donesena je 2014. U pogledu nezakonite trgovine duhanom cilj je Direktive o duhanskim proizvodima zaštititi lanac opskrbe uvođenjem sustava slijeđenja i praćenja nezakonitih proizvoda na razini EU-a i sigurnosnih obilježja koja se ne mogu neovlašteno izmijeniti na razini pakiranja. Provedbom odgovarajućih obveza Direktive o duhanskim proizvodima povezanih sa slijeđenjem i praćenjem, države članice poštovat će i odgovarajuće odredbe Protokola FCTC. Načelo slijeđenja i praćenja cigareta koje su proizvedene na jedinstvenom tržištu EU-a ili za to tržište u skladu s tom direktivom počinje se primjenjivati od svibnja 2019. Komisija trenutačno priprema zakonodavstvo potrebno za uspostavu budućeg sustava EU-a za slijeđenje i praćenje (mjere 2.3 i 2.4).</w:t>
      </w:r>
    </w:p>
    <w:p>
      <w:pPr>
        <w:spacing w:after="240"/>
        <w:jc w:val="both"/>
        <w:rPr>
          <w:rFonts w:eastAsiaTheme="minorHAnsi"/>
          <w:noProof/>
        </w:rPr>
      </w:pPr>
      <w:r>
        <w:rPr>
          <w:rFonts w:eastAsiaTheme="minorHAnsi"/>
          <w:b/>
          <w:noProof/>
        </w:rPr>
        <w:t>c)</w:t>
      </w:r>
      <w:r>
        <w:rPr>
          <w:noProof/>
        </w:rPr>
        <w:t xml:space="preserve"> EU je i ojačao svoje istražne mjere radi otkrivanja carinskih prijevara i prijevara povezanih s trošarinama poboljšavši </w:t>
      </w:r>
      <w:r>
        <w:rPr>
          <w:rFonts w:eastAsiaTheme="minorHAnsi"/>
          <w:b/>
          <w:noProof/>
        </w:rPr>
        <w:t>Uredbu Vijeća (EZ) br. 515/97 o uzajamnoj pomoći upravnih tijela država članica o carinskim pitanjima </w:t>
      </w:r>
      <w:r>
        <w:rPr>
          <w:rFonts w:eastAsiaTheme="minorHAnsi"/>
          <w:noProof/>
          <w:vertAlign w:val="superscript"/>
        </w:rPr>
        <w:footnoteReference w:id="13"/>
      </w:r>
      <w:r>
        <w:rPr>
          <w:noProof/>
        </w:rPr>
        <w:t xml:space="preserve">. Novom se Uredbom istražiteljima omogućuje uspoređivanje kretanja kontejnera s podacima o uvozu i provozu te podacima o izvozu za robu na koju se plaćaju trošarine, konkretno cigarete. Njome se također olakšava uporaba dokaza iz drugih jurisdikcija EU-a u nacionalnim upravnim i sudskim postupcima. Nakon potpune provedbe na temelju novog </w:t>
      </w:r>
      <w:r>
        <w:rPr>
          <w:rFonts w:eastAsiaTheme="minorHAnsi"/>
          <w:b/>
          <w:noProof/>
        </w:rPr>
        <w:t>Carinskog zakonika Unije (UCC)</w:t>
      </w:r>
      <w:r>
        <w:rPr>
          <w:noProof/>
        </w:rPr>
        <w:t> </w:t>
      </w:r>
      <w:r>
        <w:rPr>
          <w:rFonts w:eastAsiaTheme="minorHAnsi"/>
          <w:noProof/>
          <w:vertAlign w:val="superscript"/>
        </w:rPr>
        <w:footnoteReference w:id="14"/>
      </w:r>
      <w:r>
        <w:rPr>
          <w:noProof/>
        </w:rPr>
        <w:t xml:space="preserve"> kreirat će se informatičko okruženje koje će omogućiti učinkovitije carinske kontrole koje se temelje na procjeni rizika, pa i u području krijumčarenja cigareta.</w:t>
      </w:r>
    </w:p>
    <w:p>
      <w:pPr>
        <w:spacing w:after="240"/>
        <w:jc w:val="both"/>
        <w:rPr>
          <w:rFonts w:eastAsiaTheme="minorHAnsi"/>
          <w:noProof/>
        </w:rPr>
      </w:pPr>
      <w:r>
        <w:rPr>
          <w:noProof/>
        </w:rPr>
        <w:t xml:space="preserve">Slično tomu, Komisija je 2014. donijela strategiju EU-a i akcijski plan za </w:t>
      </w:r>
      <w:r>
        <w:rPr>
          <w:rFonts w:eastAsiaTheme="minorHAnsi"/>
          <w:b/>
          <w:noProof/>
        </w:rPr>
        <w:t>upravljanje rizicima</w:t>
      </w:r>
      <w:r>
        <w:rPr>
          <w:noProof/>
        </w:rPr>
        <w:t> </w:t>
      </w:r>
      <w:r>
        <w:rPr>
          <w:rFonts w:eastAsiaTheme="minorHAnsi"/>
          <w:noProof/>
          <w:vertAlign w:val="superscript"/>
        </w:rPr>
        <w:footnoteReference w:id="15"/>
      </w:r>
      <w:r>
        <w:rPr>
          <w:noProof/>
        </w:rPr>
        <w:t xml:space="preserve"> u carinskim pitanjima za zaštitu osiguranja i sigurnosti Unije i njezinih stanovnika, interesa zakonitih trgovaca te financijskih interesa EU-a istodobno omogućujući neometan tijek trgovine. U srpnju 2016. Komisija je donijela izvješće o napretku u provedbi aktivnosti </w:t>
      </w:r>
      <w:r>
        <w:rPr>
          <w:rFonts w:eastAsiaTheme="minorHAnsi"/>
          <w:noProof/>
          <w:vertAlign w:val="superscript"/>
        </w:rPr>
        <w:footnoteReference w:id="16"/>
      </w:r>
      <w:r>
        <w:rPr>
          <w:noProof/>
        </w:rPr>
        <w:t>.</w:t>
      </w:r>
    </w:p>
    <w:p>
      <w:pPr>
        <w:spacing w:after="240"/>
        <w:jc w:val="both"/>
        <w:rPr>
          <w:rFonts w:eastAsiaTheme="minorHAnsi"/>
          <w:noProof/>
        </w:rPr>
      </w:pPr>
      <w:r>
        <w:rPr>
          <w:rFonts w:eastAsiaTheme="minorHAnsi"/>
          <w:b/>
          <w:noProof/>
        </w:rPr>
        <w:t>d)</w:t>
      </w:r>
      <w:r>
        <w:rPr>
          <w:noProof/>
        </w:rPr>
        <w:t xml:space="preserve"> Usto, Komisija trenutačno provodi procjenu učinka moguće revizije fiskalnog okvira, tj. Direktive 2011/64/EU </w:t>
      </w:r>
      <w:r>
        <w:rPr>
          <w:rFonts w:eastAsiaTheme="minorHAnsi"/>
          <w:noProof/>
          <w:vertAlign w:val="superscript"/>
        </w:rPr>
        <w:footnoteReference w:id="17"/>
      </w:r>
      <w:r>
        <w:rPr>
          <w:noProof/>
        </w:rPr>
        <w:t xml:space="preserve">, na strukturu i stope </w:t>
      </w:r>
      <w:r>
        <w:rPr>
          <w:rFonts w:eastAsiaTheme="minorHAnsi"/>
          <w:b/>
          <w:noProof/>
        </w:rPr>
        <w:t>trošarina koje države članice primjenjuju na prerađeni duhan</w:t>
      </w:r>
      <w:r>
        <w:rPr>
          <w:noProof/>
        </w:rPr>
        <w:t>. Vanjsko evaluacijsko izvješće </w:t>
      </w:r>
      <w:r>
        <w:rPr>
          <w:rFonts w:eastAsiaTheme="minorHAnsi"/>
          <w:noProof/>
          <w:vertAlign w:val="superscript"/>
        </w:rPr>
        <w:footnoteReference w:id="18"/>
      </w:r>
      <w:r>
        <w:rPr>
          <w:noProof/>
        </w:rPr>
        <w:t xml:space="preserve"> pomoglo je u prepoznavanju mogućnosti za smanjivanje administrativnog opterećenja i troškova za države članice i gospodarske subjekte, u smanjivanju narušavanja unutarnjeg tržišta </w:t>
      </w:r>
      <w:r>
        <w:rPr>
          <w:rFonts w:eastAsiaTheme="minorHAnsi"/>
          <w:noProof/>
          <w:vertAlign w:val="superscript"/>
        </w:rPr>
        <w:footnoteReference w:id="19"/>
      </w:r>
      <w:r>
        <w:rPr>
          <w:noProof/>
        </w:rPr>
        <w:t xml:space="preserve"> i u slabljenju pobuda koje vode nezakonitoj trgovini duhanom. Komisija trenutačno proučava utjecaj tih mogućnosti te u tom smislu proučava definicije i porezne režime za duhanske proizvode u EU-u (mjera 1.1). Razmatra i mogućnost obuhvaćanja </w:t>
      </w:r>
      <w:r>
        <w:rPr>
          <w:rFonts w:eastAsiaTheme="minorHAnsi"/>
          <w:b/>
          <w:noProof/>
        </w:rPr>
        <w:t xml:space="preserve">sirovog duhana </w:t>
      </w:r>
      <w:r>
        <w:rPr>
          <w:noProof/>
        </w:rPr>
        <w:t xml:space="preserve">sustavom trošarina u skladu s Direktivom 2011/64/EU jer on njime sada nije obuhvaćen. Stoga se trenutačno ne mogu primijeniti ključni instrumenti u borbi protiv prijevara (tj. administrativna suradnja, razmjena informacija i sustav kontrole kretanja trošarinskih proizvoda (EMCS)) na sirovi duhan. </w:t>
      </w:r>
    </w:p>
    <w:p>
      <w:pPr>
        <w:spacing w:after="240"/>
        <w:jc w:val="both"/>
        <w:rPr>
          <w:rFonts w:eastAsiaTheme="minorHAnsi"/>
          <w:noProof/>
        </w:rPr>
      </w:pPr>
      <w:r>
        <w:rPr>
          <w:noProof/>
        </w:rPr>
        <w:t xml:space="preserve">U tom je kontekstu Komisija razmotrila usklađivanje mjera obračunavanja trošarina na cigarete na zalihama (mjera 1.3). Međutim, države članice to nisu smatrale izvedivim ni poželjnim. Kad je riječ o </w:t>
      </w:r>
      <w:r>
        <w:rPr>
          <w:b/>
          <w:noProof/>
        </w:rPr>
        <w:t>odobrenim količinama za putnike</w:t>
      </w:r>
      <w:r>
        <w:rPr>
          <w:noProof/>
        </w:rPr>
        <w:t xml:space="preserve"> (na temelju Direktive 2007/74/EZ </w:t>
      </w:r>
      <w:r>
        <w:rPr>
          <w:rFonts w:eastAsiaTheme="minorHAnsi"/>
          <w:noProof/>
          <w:vertAlign w:val="superscript"/>
        </w:rPr>
        <w:footnoteReference w:id="20"/>
      </w:r>
      <w:r>
        <w:rPr>
          <w:noProof/>
        </w:rPr>
        <w:t xml:space="preserve"> o oslobođenju od poreza na dodanu vrijednost i trošarina na uvoz robe za putnike), Komisija je zaključila da bi se to pitanje moglo obuhvatiti nezakonodavnim mjerama </w:t>
      </w:r>
      <w:r>
        <w:rPr>
          <w:rFonts w:eastAsiaTheme="minorHAnsi"/>
          <w:noProof/>
          <w:vertAlign w:val="superscript"/>
        </w:rPr>
        <w:footnoteReference w:id="21"/>
      </w:r>
      <w:r>
        <w:rPr>
          <w:noProof/>
        </w:rPr>
        <w:t xml:space="preserve"> (mjera 1.2).</w:t>
      </w:r>
    </w:p>
    <w:p>
      <w:pPr>
        <w:spacing w:after="240"/>
        <w:jc w:val="both"/>
        <w:rPr>
          <w:rFonts w:eastAsiaTheme="minorHAnsi"/>
          <w:noProof/>
        </w:rPr>
      </w:pPr>
      <w:r>
        <w:rPr>
          <w:rFonts w:eastAsiaTheme="minorHAnsi"/>
          <w:b/>
          <w:noProof/>
        </w:rPr>
        <w:t>e)</w:t>
      </w:r>
      <w:r>
        <w:rPr>
          <w:noProof/>
        </w:rPr>
        <w:t xml:space="preserve"> Direktiva (EU) 2015/849 o sprečavanju korištenja financijskog sustava u svrhu pranja novca ili financiranja terorizma („</w:t>
      </w:r>
      <w:r>
        <w:rPr>
          <w:rFonts w:eastAsiaTheme="minorHAnsi"/>
          <w:b/>
          <w:noProof/>
        </w:rPr>
        <w:t>4. direktiva o borbi protiv pranja novca</w:t>
      </w:r>
      <w:r>
        <w:rPr>
          <w:noProof/>
        </w:rPr>
        <w:t>”) </w:t>
      </w:r>
      <w:r>
        <w:rPr>
          <w:rFonts w:eastAsiaTheme="minorHAnsi"/>
          <w:noProof/>
          <w:vertAlign w:val="superscript"/>
        </w:rPr>
        <w:footnoteReference w:id="22"/>
      </w:r>
      <w:r>
        <w:rPr>
          <w:noProof/>
        </w:rPr>
        <w:t xml:space="preserve"> bila je važan korak prema poboljšanju učinkovitosti nastojanja EU-a u borbi protiv pranja novca koji je potekao od kriminalnih aktivnosti i u sprečavanju financiranja terorističkih aktivnosti. Njome se postavljaju visoki standardi za sprečavanje pranja novca, kao što je zahtjev da države članice uspostave nacionalne registre stvarnih vlasnika poduzeća i određenih fondova. To će pomoći u praćenju financijskih tokova povezanih s, primjerice, nezakonitom trgovinom duhanom i sprečavanju pranja prihoda od takvih aktivnosti. </w:t>
      </w:r>
    </w:p>
    <w:p>
      <w:pPr>
        <w:spacing w:after="240"/>
        <w:jc w:val="both"/>
        <w:rPr>
          <w:rFonts w:eastAsiaTheme="minorHAnsi"/>
          <w:noProof/>
        </w:rPr>
      </w:pPr>
      <w:r>
        <w:rPr>
          <w:noProof/>
        </w:rPr>
        <w:t xml:space="preserve">Nadalje, Komisija je donijela sveobuhvatan </w:t>
      </w:r>
      <w:r>
        <w:rPr>
          <w:rFonts w:eastAsiaTheme="minorHAnsi"/>
          <w:b/>
          <w:noProof/>
        </w:rPr>
        <w:t>akcijski plan za jačanje borbe protiv financiranja terorizma </w:t>
      </w:r>
      <w:r>
        <w:rPr>
          <w:rFonts w:eastAsiaTheme="minorHAnsi"/>
          <w:noProof/>
          <w:vertAlign w:val="superscript"/>
        </w:rPr>
        <w:footnoteReference w:id="23"/>
      </w:r>
      <w:r>
        <w:rPr>
          <w:noProof/>
        </w:rPr>
        <w:t>. Jedan je od ciljeva plana proglašavanje pranja novca kaznenim djelom donošenjem zajedničke definicije kaznenog djela pranja novca i usklađenih sankcija na području Unije </w:t>
      </w:r>
      <w:r>
        <w:rPr>
          <w:rFonts w:eastAsiaTheme="minorHAnsi"/>
          <w:noProof/>
          <w:vertAlign w:val="superscript"/>
        </w:rPr>
        <w:footnoteReference w:id="24"/>
      </w:r>
      <w:r>
        <w:rPr>
          <w:noProof/>
        </w:rPr>
        <w:t>.</w:t>
      </w:r>
    </w:p>
    <w:p>
      <w:pPr>
        <w:spacing w:after="240"/>
        <w:jc w:val="both"/>
        <w:rPr>
          <w:rFonts w:eastAsiaTheme="minorHAnsi"/>
          <w:noProof/>
        </w:rPr>
      </w:pPr>
      <w:r>
        <w:rPr>
          <w:rFonts w:eastAsiaTheme="minorHAnsi"/>
          <w:b/>
          <w:noProof/>
        </w:rPr>
        <w:t>f)</w:t>
      </w:r>
      <w:r>
        <w:rPr>
          <w:noProof/>
        </w:rPr>
        <w:t xml:space="preserve"> Usto, Komisija je pokrenula inicijativu usklađivanja </w:t>
      </w:r>
      <w:r>
        <w:rPr>
          <w:rFonts w:eastAsiaTheme="minorHAnsi"/>
          <w:b/>
          <w:noProof/>
        </w:rPr>
        <w:t>sankcija</w:t>
      </w:r>
      <w:r>
        <w:rPr>
          <w:noProof/>
        </w:rPr>
        <w:t xml:space="preserve"> za kaznena djela povezana s carinom, uključujući krijumčarenje cigareta. Stoga je iznijela zakonodavni prijedlog </w:t>
      </w:r>
      <w:r>
        <w:rPr>
          <w:rFonts w:eastAsiaTheme="minorHAnsi"/>
          <w:noProof/>
          <w:vertAlign w:val="superscript"/>
        </w:rPr>
        <w:footnoteReference w:id="25"/>
      </w:r>
      <w:r>
        <w:rPr>
          <w:noProof/>
        </w:rPr>
        <w:t xml:space="preserve"> o kojem Vijeće i Europski parlament trenutačno pregovaraju. Nadalje, nakon što su suzakonodavci postigli politički dogovor o </w:t>
      </w:r>
      <w:r>
        <w:rPr>
          <w:rFonts w:eastAsiaTheme="minorHAnsi"/>
          <w:b/>
          <w:noProof/>
        </w:rPr>
        <w:t>novoj Direktivi o kaznenopravnoj borbi protiv prijevara koje su štetne za financijske interese Unije</w:t>
      </w:r>
      <w:r>
        <w:rPr>
          <w:noProof/>
        </w:rPr>
        <w:t> </w:t>
      </w:r>
      <w:r>
        <w:rPr>
          <w:rFonts w:eastAsiaTheme="minorHAnsi"/>
          <w:noProof/>
          <w:vertAlign w:val="superscript"/>
        </w:rPr>
        <w:footnoteReference w:id="26"/>
      </w:r>
      <w:r>
        <w:rPr>
          <w:noProof/>
        </w:rPr>
        <w:t xml:space="preserve">, Vijeće je donijelo svoje stajalište u prvom čitanju u travnju 2017. </w:t>
      </w:r>
    </w:p>
    <w:p>
      <w:pPr>
        <w:spacing w:after="240"/>
        <w:jc w:val="both"/>
        <w:rPr>
          <w:rFonts w:eastAsiaTheme="minorHAnsi"/>
          <w:noProof/>
        </w:rPr>
      </w:pPr>
      <w:r>
        <w:rPr>
          <w:noProof/>
        </w:rPr>
        <w:t>Komisija je istodobno naručila studiju o učinkovitosti sankcija koje države članice primjenjuju kad je riječ o kaznenim djelima povezanim s nezakonitom trgovinom duhanom (mjera 3.3.1). Studija je potvrdila da se postojeće sankcije za krijumčarenje cigareta i način na koji se relevantno zakonodavstvo primjenjuje u praksi znatno razlikuju među državama članicama.</w:t>
      </w:r>
    </w:p>
    <w:p>
      <w:pPr>
        <w:spacing w:after="240"/>
        <w:jc w:val="both"/>
        <w:rPr>
          <w:rFonts w:eastAsiaTheme="minorHAnsi"/>
          <w:b/>
          <w:noProof/>
        </w:rPr>
      </w:pPr>
      <w:r>
        <w:rPr>
          <w:rFonts w:eastAsiaTheme="minorHAnsi"/>
          <w:b/>
          <w:noProof/>
        </w:rPr>
        <w:t>2.</w:t>
      </w:r>
      <w:r>
        <w:rPr>
          <w:noProof/>
        </w:rPr>
        <w:tab/>
      </w:r>
      <w:r>
        <w:rPr>
          <w:rFonts w:eastAsiaTheme="minorHAnsi"/>
          <w:b/>
          <w:noProof/>
        </w:rPr>
        <w:t>Jačanje suradnje tijela za izvršavanje zakonodavstva i međuagencijske suradnje</w:t>
      </w:r>
    </w:p>
    <w:p>
      <w:pPr>
        <w:spacing w:after="240"/>
        <w:jc w:val="both"/>
        <w:rPr>
          <w:rFonts w:eastAsiaTheme="minorHAnsi"/>
          <w:b/>
          <w:noProof/>
        </w:rPr>
      </w:pPr>
      <w:r>
        <w:rPr>
          <w:noProof/>
        </w:rPr>
        <w:t>Važan je dio strategije iz 2013. bilo jačanje provedbe zakona na razini EU-a i država članica te poboljšanje suradnje među relevantnim subjektima.</w:t>
      </w:r>
    </w:p>
    <w:p>
      <w:pPr>
        <w:spacing w:after="240"/>
        <w:jc w:val="both"/>
        <w:rPr>
          <w:rFonts w:eastAsiaTheme="minorHAnsi"/>
          <w:noProof/>
        </w:rPr>
      </w:pPr>
      <w:r>
        <w:rPr>
          <w:rFonts w:eastAsiaTheme="minorHAnsi"/>
          <w:b/>
          <w:noProof/>
        </w:rPr>
        <w:t>a)</w:t>
      </w:r>
      <w:r>
        <w:rPr>
          <w:noProof/>
        </w:rPr>
        <w:t xml:space="preserve"> </w:t>
      </w:r>
      <w:r>
        <w:rPr>
          <w:rFonts w:eastAsiaTheme="minorHAnsi"/>
          <w:b/>
          <w:noProof/>
        </w:rPr>
        <w:t>Europski ured za borbu protiv prijevara (OLAF)</w:t>
      </w:r>
      <w:r>
        <w:rPr>
          <w:noProof/>
        </w:rPr>
        <w:t xml:space="preserve"> jedino je istražno tijelo EU-a za zaštitu proračuna Unije u pogledu prihodovne i rashodovne strane proračuna. Uloga Ureda obuhvaća otkrivanje i istraživanje slučajeva carinske prijevare te koordinaciju transnacionalnih operacija borbe protiv krijumčarenja. Revidirana Uredba br. 883/2013 </w:t>
      </w:r>
      <w:r>
        <w:rPr>
          <w:rFonts w:eastAsiaTheme="minorHAnsi"/>
          <w:noProof/>
          <w:vertAlign w:val="superscript"/>
        </w:rPr>
        <w:footnoteReference w:id="27"/>
      </w:r>
      <w:r>
        <w:rPr>
          <w:noProof/>
        </w:rPr>
        <w:t xml:space="preserve"> o radu OLAF-a temelji se na iskustvu stečenom od njegova osnivanja 1999. (mjera 3.1.19.). Njome se kodificira dosadašnja praksa i jača se učinkovitost OLAF-ovih istražnih aktivnosti. Uredba omogućuje i bolju suradnju i razmjenu informacija između OLAF-a i njegovih partnera. Od 2012. OLAF-ova uloga donošenja politika i istražna uloga strogo su odvojene. Osnovana je i posebna skupina koja se bavi politikama povezanim s borbom protiv nezakonite trgovine duhanom. U OLAF-ovim aktivnostima u tom području sudjeluju i časnici za vezu u Ukrajini, Kini i Ujedinjenim Arapskim Emiratima (mjera 3.2.10), koje su važne zemlje podrijetla i provoza.</w:t>
      </w:r>
    </w:p>
    <w:p>
      <w:pPr>
        <w:spacing w:after="240"/>
        <w:jc w:val="both"/>
        <w:rPr>
          <w:rFonts w:eastAsiaTheme="minorHAnsi"/>
          <w:noProof/>
        </w:rPr>
      </w:pPr>
      <w:r>
        <w:rPr>
          <w:rFonts w:eastAsiaTheme="minorHAnsi"/>
          <w:b/>
          <w:noProof/>
        </w:rPr>
        <w:t>b)</w:t>
      </w:r>
      <w:r>
        <w:rPr>
          <w:noProof/>
        </w:rPr>
        <w:t xml:space="preserve"> Uredbom 794/2016 </w:t>
      </w:r>
      <w:r>
        <w:rPr>
          <w:rFonts w:eastAsiaTheme="minorHAnsi"/>
          <w:noProof/>
          <w:vertAlign w:val="superscript"/>
        </w:rPr>
        <w:footnoteReference w:id="28"/>
      </w:r>
      <w:r>
        <w:rPr>
          <w:noProof/>
        </w:rPr>
        <w:t xml:space="preserve"> ojačan je zakonski okvir za aktivnosti </w:t>
      </w:r>
      <w:r>
        <w:rPr>
          <w:rFonts w:eastAsiaTheme="minorHAnsi"/>
          <w:b/>
          <w:noProof/>
        </w:rPr>
        <w:t>Europola</w:t>
      </w:r>
      <w:r>
        <w:rPr>
          <w:noProof/>
        </w:rPr>
        <w:t>; izvršne ovlasti i dalje imaju države članice. Borba protiv nezakonite trgovine duhanom prioritetna je zadaća OLAF-a i Europola te obje institucije pojačavaju bilateralnu suradnju. To uključuje uzajaman pristup podacima i tehničkim mrežama kako bi te institucije mogle međusobno dopunjavati svoj rad i iskoristiti svoje prednosti (mjera 3.1.20).</w:t>
      </w:r>
      <w:r>
        <w:rPr>
          <w:rFonts w:eastAsiaTheme="minorHAnsi"/>
          <w:noProof/>
          <w:sz w:val="22"/>
        </w:rPr>
        <w:t xml:space="preserve"> </w:t>
      </w:r>
      <w:r>
        <w:rPr>
          <w:noProof/>
        </w:rPr>
        <w:t xml:space="preserve">Raspravlja se i o jačanju </w:t>
      </w:r>
      <w:r>
        <w:rPr>
          <w:rFonts w:eastAsiaTheme="minorHAnsi"/>
          <w:b/>
          <w:noProof/>
        </w:rPr>
        <w:t>Eurojusta</w:t>
      </w:r>
      <w:r>
        <w:rPr>
          <w:noProof/>
        </w:rPr>
        <w:t> </w:t>
      </w:r>
      <w:r>
        <w:rPr>
          <w:rFonts w:eastAsiaTheme="minorHAnsi"/>
          <w:noProof/>
          <w:vertAlign w:val="superscript"/>
        </w:rPr>
        <w:footnoteReference w:id="29"/>
      </w:r>
      <w:r>
        <w:rPr>
          <w:noProof/>
        </w:rPr>
        <w:t xml:space="preserve"> (mjera 3.1.21).</w:t>
      </w:r>
    </w:p>
    <w:p>
      <w:pPr>
        <w:spacing w:after="240"/>
        <w:jc w:val="both"/>
        <w:rPr>
          <w:rFonts w:eastAsiaTheme="minorHAnsi"/>
          <w:noProof/>
        </w:rPr>
      </w:pPr>
      <w:r>
        <w:rPr>
          <w:rFonts w:eastAsiaTheme="minorHAnsi"/>
          <w:b/>
          <w:noProof/>
        </w:rPr>
        <w:t>c)</w:t>
      </w:r>
      <w:r>
        <w:rPr>
          <w:noProof/>
        </w:rPr>
        <w:t xml:space="preserve"> Šire gledano, nedavno su uloženi napori za jačanje </w:t>
      </w:r>
      <w:r>
        <w:rPr>
          <w:rFonts w:eastAsiaTheme="minorHAnsi"/>
          <w:b/>
          <w:noProof/>
        </w:rPr>
        <w:t>međuagencijske suradnje</w:t>
      </w:r>
      <w:r>
        <w:rPr>
          <w:noProof/>
        </w:rPr>
        <w:t xml:space="preserve"> u tom području. Kao što je ilustrirano u grafikonu (vidjeti točku 3.), službenici OLAF-a, Europola, Frontexa, Svjetske carinske organizacije i Interpola redovito provode zajedničke aktivnosti (mjere 3.1.17 i 3.1.18). Usto, EU je 2013. uspostavio novi europski sustav nadzora granica </w:t>
      </w:r>
      <w:r>
        <w:rPr>
          <w:rFonts w:eastAsiaTheme="minorHAnsi"/>
          <w:noProof/>
          <w:vertAlign w:val="superscript"/>
        </w:rPr>
        <w:footnoteReference w:id="30"/>
      </w:r>
      <w:r>
        <w:rPr>
          <w:noProof/>
        </w:rPr>
        <w:t>, EUROSUR, kako bi se poboljšao uvid država članica u stanje i njihova sposobnost reagiranja pri suzbijanju prekograničnog kriminaliteta i nezakonitog useljavanja (mjera 3.1.22).</w:t>
      </w:r>
    </w:p>
    <w:p>
      <w:pPr>
        <w:spacing w:after="240"/>
        <w:jc w:val="both"/>
        <w:rPr>
          <w:rFonts w:eastAsiaTheme="minorHAnsi"/>
          <w:noProof/>
        </w:rPr>
      </w:pPr>
      <w:r>
        <w:rPr>
          <w:rFonts w:eastAsiaTheme="minorHAnsi"/>
          <w:b/>
          <w:noProof/>
        </w:rPr>
        <w:t>d)</w:t>
      </w:r>
      <w:r>
        <w:rPr>
          <w:noProof/>
        </w:rPr>
        <w:t xml:space="preserve"> Komisija podupire države članice </w:t>
      </w:r>
      <w:r>
        <w:rPr>
          <w:rFonts w:eastAsiaTheme="minorHAnsi"/>
          <w:b/>
          <w:noProof/>
        </w:rPr>
        <w:t>tehničkom pomoći</w:t>
      </w:r>
      <w:r>
        <w:rPr>
          <w:noProof/>
        </w:rPr>
        <w:t xml:space="preserve"> radi povećanja operativnih i obavještajnih kapaciteta. Proračun predviđen za program „Hercule III” </w:t>
      </w:r>
      <w:r>
        <w:rPr>
          <w:rFonts w:eastAsiaTheme="minorHAnsi"/>
          <w:noProof/>
          <w:vertAlign w:val="superscript"/>
        </w:rPr>
        <w:footnoteReference w:id="31"/>
      </w:r>
      <w:r>
        <w:rPr>
          <w:noProof/>
        </w:rPr>
        <w:t xml:space="preserve"> iznosi 104,9 milijuna EUR za razdoblje od 2014. do 2020., a namijenjen je pomaganju nadležnim tijelima u državama članicama pri borbi protiv prijevara, korupcije i ostalih nezakonitih aktivnosti. Program „Hercule III” carinskim tijelima omogućuje, primjerice, kupnju rendgenskih skenera (za pomoć pri npr. otkrivanju cigareta skrivenih u kamionima) i druge tehničke opreme te izobrazbu radi razmjene najboljih praksi. Usto, informatička platforma AFIS (Komisijin Informacijski sustav za borbu protiv prijevara) državama članicama omogućuje pokretanje drugih inicijativa u tom području, poput zajedničkih carinskih operacija (vidjeti točku 3b). Dok je postojala Radna skupina za Grčku, Komisija je grčkoj carinskoj upravi omogućila pristup institucijskom stručnom znanju iz područja borbe protiv prijevara (mjera 3.1.23).</w:t>
      </w:r>
    </w:p>
    <w:p>
      <w:pPr>
        <w:spacing w:after="240"/>
        <w:ind w:left="720" w:hanging="720"/>
        <w:jc w:val="both"/>
        <w:rPr>
          <w:rFonts w:eastAsiaTheme="minorHAnsi"/>
          <w:b/>
          <w:noProof/>
        </w:rPr>
      </w:pPr>
      <w:r>
        <w:rPr>
          <w:rFonts w:eastAsiaTheme="minorHAnsi"/>
          <w:b/>
          <w:noProof/>
        </w:rPr>
        <w:t xml:space="preserve">3. </w:t>
      </w:r>
      <w:r>
        <w:rPr>
          <w:noProof/>
        </w:rPr>
        <w:tab/>
      </w:r>
      <w:r>
        <w:rPr>
          <w:rFonts w:eastAsiaTheme="minorHAnsi"/>
          <w:b/>
          <w:noProof/>
        </w:rPr>
        <w:t>Stroža provedba zakona: operativne aktivnosti, upravljanje rizikom i prikupljanje obavještajnih podataka</w:t>
      </w:r>
    </w:p>
    <w:p>
      <w:pPr>
        <w:spacing w:after="240"/>
        <w:jc w:val="both"/>
        <w:rPr>
          <w:rFonts w:eastAsiaTheme="minorHAnsi"/>
          <w:noProof/>
        </w:rPr>
      </w:pPr>
      <w:r>
        <w:rPr>
          <w:noProof/>
        </w:rPr>
        <w:t xml:space="preserve">Uz uspješne političke mjere namijenjene borbi protiv nezakonite trgovine duhanom mora se provoditi </w:t>
      </w:r>
      <w:r>
        <w:rPr>
          <w:rFonts w:eastAsiaTheme="minorHAnsi"/>
          <w:b/>
          <w:noProof/>
        </w:rPr>
        <w:t>snažna i koordinirana provedba zakona</w:t>
      </w:r>
      <w:r>
        <w:rPr>
          <w:noProof/>
        </w:rPr>
        <w:t xml:space="preserve">. </w:t>
      </w:r>
    </w:p>
    <w:p>
      <w:pPr>
        <w:spacing w:after="240"/>
        <w:jc w:val="both"/>
        <w:rPr>
          <w:rFonts w:eastAsiaTheme="minorHAnsi"/>
          <w:noProof/>
        </w:rPr>
      </w:pPr>
      <w:r>
        <w:rPr>
          <w:rFonts w:eastAsiaTheme="minorHAnsi"/>
          <w:b/>
          <w:noProof/>
        </w:rPr>
        <w:t>a)</w:t>
      </w:r>
      <w:r>
        <w:rPr>
          <w:noProof/>
        </w:rPr>
        <w:t xml:space="preserve"> Tijela kaznenog progona u EU-u pojačala su borbu protiv nezakonite trgovine duhanom: količina </w:t>
      </w:r>
      <w:r>
        <w:rPr>
          <w:rFonts w:eastAsiaTheme="minorHAnsi"/>
          <w:b/>
          <w:noProof/>
        </w:rPr>
        <w:t>zaplijenjenih</w:t>
      </w:r>
      <w:r>
        <w:rPr>
          <w:noProof/>
        </w:rPr>
        <w:t xml:space="preserve"> nezakonitih duhanskih proizvoda (većinom cigareta), koja se smanjivala od 2011., opet se povećava. Prema podacima primljenima od država članica količina cigareta zaplijenjenih od 2013. do 2015. povećala se s 3,1 milijardi na 3,8 milijardi (vidjeti grafikon 1), prije svega zahvaljujući svakodnevnom radu nacionalnih nadležnih tijela. Posljednje je dvije godine zahvaljujući </w:t>
      </w:r>
      <w:r>
        <w:rPr>
          <w:b/>
          <w:noProof/>
        </w:rPr>
        <w:t>OLAF-ovim operacijama</w:t>
      </w:r>
      <w:r>
        <w:rPr>
          <w:noProof/>
        </w:rPr>
        <w:t xml:space="preserve"> zaplijenjeno više od milijardu cigareta. </w:t>
      </w:r>
    </w:p>
    <w:p>
      <w:pPr>
        <w:keepNext/>
        <w:spacing w:after="200" w:line="276" w:lineRule="auto"/>
        <w:jc w:val="center"/>
        <w:rPr>
          <w:rFonts w:eastAsiaTheme="minorHAnsi"/>
          <w:b/>
          <w:i/>
          <w:noProof/>
        </w:rPr>
      </w:pPr>
      <w:r>
        <w:rPr>
          <w:rFonts w:eastAsiaTheme="minorHAnsi"/>
          <w:b/>
          <w:i/>
          <w:noProof/>
        </w:rPr>
        <w:t>Grafikon 1: Kretanje broja zaplijenjenih cigareta u EU-u 2005.–2015.</w:t>
      </w:r>
    </w:p>
    <w:p>
      <w:pPr>
        <w:keepNext/>
        <w:spacing w:after="200" w:line="276" w:lineRule="auto"/>
        <w:jc w:val="center"/>
        <w:rPr>
          <w:rFonts w:eastAsiaTheme="minorHAnsi"/>
          <w:b/>
          <w:i/>
          <w:noProof/>
        </w:rPr>
      </w:pPr>
      <w:r>
        <w:rPr>
          <w:rFonts w:eastAsiaTheme="minorHAnsi"/>
          <w:b/>
          <w:i/>
          <w:noProof/>
          <w:lang w:val="en-US" w:eastAsia="en-US" w:bidi="ar-SA"/>
        </w:rPr>
        <mc:AlternateContent>
          <mc:Choice Requires="wpc">
            <w:drawing>
              <wp:inline distT="0" distB="0" distL="0" distR="0">
                <wp:extent cx="5261212" cy="2756848"/>
                <wp:effectExtent l="0" t="0" r="0" b="5715"/>
                <wp:docPr id="274" name="Canvas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2" name="Rectangle 241"/>
                        <wps:cNvSpPr>
                          <a:spLocks noChangeArrowheads="1"/>
                        </wps:cNvSpPr>
                        <wps:spPr bwMode="auto">
                          <a:xfrm>
                            <a:off x="409433" y="3810"/>
                            <a:ext cx="4610564" cy="274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42"/>
                        <wps:cNvSpPr>
                          <a:spLocks noChangeArrowheads="1"/>
                        </wps:cNvSpPr>
                        <wps:spPr bwMode="auto">
                          <a:xfrm>
                            <a:off x="1009972" y="785495"/>
                            <a:ext cx="3869690" cy="164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Freeform 243"/>
                        <wps:cNvSpPr>
                          <a:spLocks noEditPoints="1"/>
                        </wps:cNvSpPr>
                        <wps:spPr bwMode="auto">
                          <a:xfrm>
                            <a:off x="1009972" y="781050"/>
                            <a:ext cx="3869690" cy="1378585"/>
                          </a:xfrm>
                          <a:custGeom>
                            <a:avLst/>
                            <a:gdLst>
                              <a:gd name="T0" fmla="*/ 0 w 6094"/>
                              <a:gd name="T1" fmla="*/ 2157 h 2171"/>
                              <a:gd name="T2" fmla="*/ 6094 w 6094"/>
                              <a:gd name="T3" fmla="*/ 2157 h 2171"/>
                              <a:gd name="T4" fmla="*/ 6094 w 6094"/>
                              <a:gd name="T5" fmla="*/ 2171 h 2171"/>
                              <a:gd name="T6" fmla="*/ 0 w 6094"/>
                              <a:gd name="T7" fmla="*/ 2171 h 2171"/>
                              <a:gd name="T8" fmla="*/ 0 w 6094"/>
                              <a:gd name="T9" fmla="*/ 2157 h 2171"/>
                              <a:gd name="T10" fmla="*/ 0 w 6094"/>
                              <a:gd name="T11" fmla="*/ 1725 h 2171"/>
                              <a:gd name="T12" fmla="*/ 6094 w 6094"/>
                              <a:gd name="T13" fmla="*/ 1725 h 2171"/>
                              <a:gd name="T14" fmla="*/ 6094 w 6094"/>
                              <a:gd name="T15" fmla="*/ 1739 h 2171"/>
                              <a:gd name="T16" fmla="*/ 0 w 6094"/>
                              <a:gd name="T17" fmla="*/ 1739 h 2171"/>
                              <a:gd name="T18" fmla="*/ 0 w 6094"/>
                              <a:gd name="T19" fmla="*/ 1725 h 2171"/>
                              <a:gd name="T20" fmla="*/ 0 w 6094"/>
                              <a:gd name="T21" fmla="*/ 1293 h 2171"/>
                              <a:gd name="T22" fmla="*/ 6094 w 6094"/>
                              <a:gd name="T23" fmla="*/ 1293 h 2171"/>
                              <a:gd name="T24" fmla="*/ 6094 w 6094"/>
                              <a:gd name="T25" fmla="*/ 1307 h 2171"/>
                              <a:gd name="T26" fmla="*/ 0 w 6094"/>
                              <a:gd name="T27" fmla="*/ 1307 h 2171"/>
                              <a:gd name="T28" fmla="*/ 0 w 6094"/>
                              <a:gd name="T29" fmla="*/ 1293 h 2171"/>
                              <a:gd name="T30" fmla="*/ 0 w 6094"/>
                              <a:gd name="T31" fmla="*/ 864 h 2171"/>
                              <a:gd name="T32" fmla="*/ 6094 w 6094"/>
                              <a:gd name="T33" fmla="*/ 864 h 2171"/>
                              <a:gd name="T34" fmla="*/ 6094 w 6094"/>
                              <a:gd name="T35" fmla="*/ 878 h 2171"/>
                              <a:gd name="T36" fmla="*/ 0 w 6094"/>
                              <a:gd name="T37" fmla="*/ 878 h 2171"/>
                              <a:gd name="T38" fmla="*/ 0 w 6094"/>
                              <a:gd name="T39" fmla="*/ 864 h 2171"/>
                              <a:gd name="T40" fmla="*/ 0 w 6094"/>
                              <a:gd name="T41" fmla="*/ 432 h 2171"/>
                              <a:gd name="T42" fmla="*/ 6094 w 6094"/>
                              <a:gd name="T43" fmla="*/ 432 h 2171"/>
                              <a:gd name="T44" fmla="*/ 6094 w 6094"/>
                              <a:gd name="T45" fmla="*/ 446 h 2171"/>
                              <a:gd name="T46" fmla="*/ 0 w 6094"/>
                              <a:gd name="T47" fmla="*/ 446 h 2171"/>
                              <a:gd name="T48" fmla="*/ 0 w 6094"/>
                              <a:gd name="T49" fmla="*/ 432 h 2171"/>
                              <a:gd name="T50" fmla="*/ 0 w 6094"/>
                              <a:gd name="T51" fmla="*/ 0 h 2171"/>
                              <a:gd name="T52" fmla="*/ 6094 w 6094"/>
                              <a:gd name="T53" fmla="*/ 0 h 2171"/>
                              <a:gd name="T54" fmla="*/ 6094 w 6094"/>
                              <a:gd name="T55" fmla="*/ 14 h 2171"/>
                              <a:gd name="T56" fmla="*/ 0 w 6094"/>
                              <a:gd name="T57" fmla="*/ 14 h 2171"/>
                              <a:gd name="T58" fmla="*/ 0 w 6094"/>
                              <a:gd name="T59" fmla="*/ 0 h 2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94" h="2171">
                                <a:moveTo>
                                  <a:pt x="0" y="2157"/>
                                </a:moveTo>
                                <a:lnTo>
                                  <a:pt x="6094" y="2157"/>
                                </a:lnTo>
                                <a:lnTo>
                                  <a:pt x="6094" y="2171"/>
                                </a:lnTo>
                                <a:lnTo>
                                  <a:pt x="0" y="2171"/>
                                </a:lnTo>
                                <a:lnTo>
                                  <a:pt x="0" y="2157"/>
                                </a:lnTo>
                                <a:close/>
                                <a:moveTo>
                                  <a:pt x="0" y="1725"/>
                                </a:moveTo>
                                <a:lnTo>
                                  <a:pt x="6094" y="1725"/>
                                </a:lnTo>
                                <a:lnTo>
                                  <a:pt x="6094" y="1739"/>
                                </a:lnTo>
                                <a:lnTo>
                                  <a:pt x="0" y="1739"/>
                                </a:lnTo>
                                <a:lnTo>
                                  <a:pt x="0" y="1725"/>
                                </a:lnTo>
                                <a:close/>
                                <a:moveTo>
                                  <a:pt x="0" y="1293"/>
                                </a:moveTo>
                                <a:lnTo>
                                  <a:pt x="6094" y="1293"/>
                                </a:lnTo>
                                <a:lnTo>
                                  <a:pt x="6094" y="1307"/>
                                </a:lnTo>
                                <a:lnTo>
                                  <a:pt x="0" y="1307"/>
                                </a:lnTo>
                                <a:lnTo>
                                  <a:pt x="0" y="1293"/>
                                </a:lnTo>
                                <a:close/>
                                <a:moveTo>
                                  <a:pt x="0" y="864"/>
                                </a:moveTo>
                                <a:lnTo>
                                  <a:pt x="6094" y="864"/>
                                </a:lnTo>
                                <a:lnTo>
                                  <a:pt x="6094" y="878"/>
                                </a:lnTo>
                                <a:lnTo>
                                  <a:pt x="0" y="878"/>
                                </a:lnTo>
                                <a:lnTo>
                                  <a:pt x="0" y="864"/>
                                </a:lnTo>
                                <a:close/>
                                <a:moveTo>
                                  <a:pt x="0" y="432"/>
                                </a:moveTo>
                                <a:lnTo>
                                  <a:pt x="6094" y="432"/>
                                </a:lnTo>
                                <a:lnTo>
                                  <a:pt x="6094" y="446"/>
                                </a:lnTo>
                                <a:lnTo>
                                  <a:pt x="0" y="446"/>
                                </a:lnTo>
                                <a:lnTo>
                                  <a:pt x="0" y="432"/>
                                </a:lnTo>
                                <a:close/>
                                <a:moveTo>
                                  <a:pt x="0" y="0"/>
                                </a:moveTo>
                                <a:lnTo>
                                  <a:pt x="6094" y="0"/>
                                </a:lnTo>
                                <a:lnTo>
                                  <a:pt x="6094" y="14"/>
                                </a:lnTo>
                                <a:lnTo>
                                  <a:pt x="0" y="14"/>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235" name="Rectangle 244"/>
                        <wps:cNvSpPr>
                          <a:spLocks noChangeArrowheads="1"/>
                        </wps:cNvSpPr>
                        <wps:spPr bwMode="auto">
                          <a:xfrm>
                            <a:off x="1005527" y="785495"/>
                            <a:ext cx="8890" cy="164274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236" name="Freeform 245"/>
                        <wps:cNvSpPr>
                          <a:spLocks noEditPoints="1"/>
                        </wps:cNvSpPr>
                        <wps:spPr bwMode="auto">
                          <a:xfrm>
                            <a:off x="969967" y="781050"/>
                            <a:ext cx="40005" cy="1651635"/>
                          </a:xfrm>
                          <a:custGeom>
                            <a:avLst/>
                            <a:gdLst>
                              <a:gd name="T0" fmla="*/ 0 w 63"/>
                              <a:gd name="T1" fmla="*/ 2586 h 2601"/>
                              <a:gd name="T2" fmla="*/ 63 w 63"/>
                              <a:gd name="T3" fmla="*/ 2586 h 2601"/>
                              <a:gd name="T4" fmla="*/ 63 w 63"/>
                              <a:gd name="T5" fmla="*/ 2601 h 2601"/>
                              <a:gd name="T6" fmla="*/ 0 w 63"/>
                              <a:gd name="T7" fmla="*/ 2601 h 2601"/>
                              <a:gd name="T8" fmla="*/ 0 w 63"/>
                              <a:gd name="T9" fmla="*/ 2586 h 2601"/>
                              <a:gd name="T10" fmla="*/ 0 w 63"/>
                              <a:gd name="T11" fmla="*/ 2157 h 2601"/>
                              <a:gd name="T12" fmla="*/ 63 w 63"/>
                              <a:gd name="T13" fmla="*/ 2157 h 2601"/>
                              <a:gd name="T14" fmla="*/ 63 w 63"/>
                              <a:gd name="T15" fmla="*/ 2171 h 2601"/>
                              <a:gd name="T16" fmla="*/ 0 w 63"/>
                              <a:gd name="T17" fmla="*/ 2171 h 2601"/>
                              <a:gd name="T18" fmla="*/ 0 w 63"/>
                              <a:gd name="T19" fmla="*/ 2157 h 2601"/>
                              <a:gd name="T20" fmla="*/ 0 w 63"/>
                              <a:gd name="T21" fmla="*/ 1725 h 2601"/>
                              <a:gd name="T22" fmla="*/ 63 w 63"/>
                              <a:gd name="T23" fmla="*/ 1725 h 2601"/>
                              <a:gd name="T24" fmla="*/ 63 w 63"/>
                              <a:gd name="T25" fmla="*/ 1739 h 2601"/>
                              <a:gd name="T26" fmla="*/ 0 w 63"/>
                              <a:gd name="T27" fmla="*/ 1739 h 2601"/>
                              <a:gd name="T28" fmla="*/ 0 w 63"/>
                              <a:gd name="T29" fmla="*/ 1725 h 2601"/>
                              <a:gd name="T30" fmla="*/ 0 w 63"/>
                              <a:gd name="T31" fmla="*/ 1293 h 2601"/>
                              <a:gd name="T32" fmla="*/ 63 w 63"/>
                              <a:gd name="T33" fmla="*/ 1293 h 2601"/>
                              <a:gd name="T34" fmla="*/ 63 w 63"/>
                              <a:gd name="T35" fmla="*/ 1307 h 2601"/>
                              <a:gd name="T36" fmla="*/ 0 w 63"/>
                              <a:gd name="T37" fmla="*/ 1307 h 2601"/>
                              <a:gd name="T38" fmla="*/ 0 w 63"/>
                              <a:gd name="T39" fmla="*/ 1293 h 2601"/>
                              <a:gd name="T40" fmla="*/ 0 w 63"/>
                              <a:gd name="T41" fmla="*/ 864 h 2601"/>
                              <a:gd name="T42" fmla="*/ 63 w 63"/>
                              <a:gd name="T43" fmla="*/ 864 h 2601"/>
                              <a:gd name="T44" fmla="*/ 63 w 63"/>
                              <a:gd name="T45" fmla="*/ 878 h 2601"/>
                              <a:gd name="T46" fmla="*/ 0 w 63"/>
                              <a:gd name="T47" fmla="*/ 878 h 2601"/>
                              <a:gd name="T48" fmla="*/ 0 w 63"/>
                              <a:gd name="T49" fmla="*/ 864 h 2601"/>
                              <a:gd name="T50" fmla="*/ 0 w 63"/>
                              <a:gd name="T51" fmla="*/ 432 h 2601"/>
                              <a:gd name="T52" fmla="*/ 63 w 63"/>
                              <a:gd name="T53" fmla="*/ 432 h 2601"/>
                              <a:gd name="T54" fmla="*/ 63 w 63"/>
                              <a:gd name="T55" fmla="*/ 446 h 2601"/>
                              <a:gd name="T56" fmla="*/ 0 w 63"/>
                              <a:gd name="T57" fmla="*/ 446 h 2601"/>
                              <a:gd name="T58" fmla="*/ 0 w 63"/>
                              <a:gd name="T59" fmla="*/ 432 h 2601"/>
                              <a:gd name="T60" fmla="*/ 0 w 63"/>
                              <a:gd name="T61" fmla="*/ 0 h 2601"/>
                              <a:gd name="T62" fmla="*/ 63 w 63"/>
                              <a:gd name="T63" fmla="*/ 0 h 2601"/>
                              <a:gd name="T64" fmla="*/ 63 w 63"/>
                              <a:gd name="T65" fmla="*/ 14 h 2601"/>
                              <a:gd name="T66" fmla="*/ 0 w 63"/>
                              <a:gd name="T67" fmla="*/ 14 h 2601"/>
                              <a:gd name="T68" fmla="*/ 0 w 63"/>
                              <a:gd name="T69" fmla="*/ 0 h 2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 h="2601">
                                <a:moveTo>
                                  <a:pt x="0" y="2586"/>
                                </a:moveTo>
                                <a:lnTo>
                                  <a:pt x="63" y="2586"/>
                                </a:lnTo>
                                <a:lnTo>
                                  <a:pt x="63" y="2601"/>
                                </a:lnTo>
                                <a:lnTo>
                                  <a:pt x="0" y="2601"/>
                                </a:lnTo>
                                <a:lnTo>
                                  <a:pt x="0" y="2586"/>
                                </a:lnTo>
                                <a:close/>
                                <a:moveTo>
                                  <a:pt x="0" y="2157"/>
                                </a:moveTo>
                                <a:lnTo>
                                  <a:pt x="63" y="2157"/>
                                </a:lnTo>
                                <a:lnTo>
                                  <a:pt x="63" y="2171"/>
                                </a:lnTo>
                                <a:lnTo>
                                  <a:pt x="0" y="2171"/>
                                </a:lnTo>
                                <a:lnTo>
                                  <a:pt x="0" y="2157"/>
                                </a:lnTo>
                                <a:close/>
                                <a:moveTo>
                                  <a:pt x="0" y="1725"/>
                                </a:moveTo>
                                <a:lnTo>
                                  <a:pt x="63" y="1725"/>
                                </a:lnTo>
                                <a:lnTo>
                                  <a:pt x="63" y="1739"/>
                                </a:lnTo>
                                <a:lnTo>
                                  <a:pt x="0" y="1739"/>
                                </a:lnTo>
                                <a:lnTo>
                                  <a:pt x="0" y="1725"/>
                                </a:lnTo>
                                <a:close/>
                                <a:moveTo>
                                  <a:pt x="0" y="1293"/>
                                </a:moveTo>
                                <a:lnTo>
                                  <a:pt x="63" y="1293"/>
                                </a:lnTo>
                                <a:lnTo>
                                  <a:pt x="63" y="1307"/>
                                </a:lnTo>
                                <a:lnTo>
                                  <a:pt x="0" y="1307"/>
                                </a:lnTo>
                                <a:lnTo>
                                  <a:pt x="0" y="1293"/>
                                </a:lnTo>
                                <a:close/>
                                <a:moveTo>
                                  <a:pt x="0" y="864"/>
                                </a:moveTo>
                                <a:lnTo>
                                  <a:pt x="63" y="864"/>
                                </a:lnTo>
                                <a:lnTo>
                                  <a:pt x="63" y="878"/>
                                </a:lnTo>
                                <a:lnTo>
                                  <a:pt x="0" y="878"/>
                                </a:lnTo>
                                <a:lnTo>
                                  <a:pt x="0" y="864"/>
                                </a:lnTo>
                                <a:close/>
                                <a:moveTo>
                                  <a:pt x="0" y="432"/>
                                </a:moveTo>
                                <a:lnTo>
                                  <a:pt x="63" y="432"/>
                                </a:lnTo>
                                <a:lnTo>
                                  <a:pt x="63" y="446"/>
                                </a:lnTo>
                                <a:lnTo>
                                  <a:pt x="0" y="446"/>
                                </a:lnTo>
                                <a:lnTo>
                                  <a:pt x="0" y="432"/>
                                </a:lnTo>
                                <a:close/>
                                <a:moveTo>
                                  <a:pt x="0" y="0"/>
                                </a:moveTo>
                                <a:lnTo>
                                  <a:pt x="63" y="0"/>
                                </a:lnTo>
                                <a:lnTo>
                                  <a:pt x="63" y="14"/>
                                </a:lnTo>
                                <a:lnTo>
                                  <a:pt x="0" y="14"/>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237" name="Rectangle 246"/>
                        <wps:cNvSpPr>
                          <a:spLocks noChangeArrowheads="1"/>
                        </wps:cNvSpPr>
                        <wps:spPr bwMode="auto">
                          <a:xfrm>
                            <a:off x="1009972" y="2423160"/>
                            <a:ext cx="3869690" cy="952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238" name="Freeform 247"/>
                        <wps:cNvSpPr>
                          <a:spLocks noEditPoints="1"/>
                        </wps:cNvSpPr>
                        <wps:spPr bwMode="auto">
                          <a:xfrm>
                            <a:off x="1005527" y="2428240"/>
                            <a:ext cx="3879215" cy="40640"/>
                          </a:xfrm>
                          <a:custGeom>
                            <a:avLst/>
                            <a:gdLst>
                              <a:gd name="T0" fmla="*/ 14 w 6109"/>
                              <a:gd name="T1" fmla="*/ 0 h 64"/>
                              <a:gd name="T2" fmla="*/ 14 w 6109"/>
                              <a:gd name="T3" fmla="*/ 64 h 64"/>
                              <a:gd name="T4" fmla="*/ 0 w 6109"/>
                              <a:gd name="T5" fmla="*/ 64 h 64"/>
                              <a:gd name="T6" fmla="*/ 0 w 6109"/>
                              <a:gd name="T7" fmla="*/ 0 h 64"/>
                              <a:gd name="T8" fmla="*/ 14 w 6109"/>
                              <a:gd name="T9" fmla="*/ 0 h 64"/>
                              <a:gd name="T10" fmla="*/ 568 w 6109"/>
                              <a:gd name="T11" fmla="*/ 0 h 64"/>
                              <a:gd name="T12" fmla="*/ 568 w 6109"/>
                              <a:gd name="T13" fmla="*/ 64 h 64"/>
                              <a:gd name="T14" fmla="*/ 554 w 6109"/>
                              <a:gd name="T15" fmla="*/ 64 h 64"/>
                              <a:gd name="T16" fmla="*/ 554 w 6109"/>
                              <a:gd name="T17" fmla="*/ 0 h 64"/>
                              <a:gd name="T18" fmla="*/ 568 w 6109"/>
                              <a:gd name="T19" fmla="*/ 0 h 64"/>
                              <a:gd name="T20" fmla="*/ 1123 w 6109"/>
                              <a:gd name="T21" fmla="*/ 0 h 64"/>
                              <a:gd name="T22" fmla="*/ 1123 w 6109"/>
                              <a:gd name="T23" fmla="*/ 64 h 64"/>
                              <a:gd name="T24" fmla="*/ 1109 w 6109"/>
                              <a:gd name="T25" fmla="*/ 64 h 64"/>
                              <a:gd name="T26" fmla="*/ 1109 w 6109"/>
                              <a:gd name="T27" fmla="*/ 0 h 64"/>
                              <a:gd name="T28" fmla="*/ 1123 w 6109"/>
                              <a:gd name="T29" fmla="*/ 0 h 64"/>
                              <a:gd name="T30" fmla="*/ 1677 w 6109"/>
                              <a:gd name="T31" fmla="*/ 0 h 64"/>
                              <a:gd name="T32" fmla="*/ 1677 w 6109"/>
                              <a:gd name="T33" fmla="*/ 64 h 64"/>
                              <a:gd name="T34" fmla="*/ 1663 w 6109"/>
                              <a:gd name="T35" fmla="*/ 64 h 64"/>
                              <a:gd name="T36" fmla="*/ 1663 w 6109"/>
                              <a:gd name="T37" fmla="*/ 0 h 64"/>
                              <a:gd name="T38" fmla="*/ 1677 w 6109"/>
                              <a:gd name="T39" fmla="*/ 0 h 64"/>
                              <a:gd name="T40" fmla="*/ 2232 w 6109"/>
                              <a:gd name="T41" fmla="*/ 0 h 64"/>
                              <a:gd name="T42" fmla="*/ 2232 w 6109"/>
                              <a:gd name="T43" fmla="*/ 64 h 64"/>
                              <a:gd name="T44" fmla="*/ 2218 w 6109"/>
                              <a:gd name="T45" fmla="*/ 64 h 64"/>
                              <a:gd name="T46" fmla="*/ 2218 w 6109"/>
                              <a:gd name="T47" fmla="*/ 0 h 64"/>
                              <a:gd name="T48" fmla="*/ 2232 w 6109"/>
                              <a:gd name="T49" fmla="*/ 0 h 64"/>
                              <a:gd name="T50" fmla="*/ 2784 w 6109"/>
                              <a:gd name="T51" fmla="*/ 0 h 64"/>
                              <a:gd name="T52" fmla="*/ 2784 w 6109"/>
                              <a:gd name="T53" fmla="*/ 64 h 64"/>
                              <a:gd name="T54" fmla="*/ 2770 w 6109"/>
                              <a:gd name="T55" fmla="*/ 64 h 64"/>
                              <a:gd name="T56" fmla="*/ 2770 w 6109"/>
                              <a:gd name="T57" fmla="*/ 0 h 64"/>
                              <a:gd name="T58" fmla="*/ 2784 w 6109"/>
                              <a:gd name="T59" fmla="*/ 0 h 64"/>
                              <a:gd name="T60" fmla="*/ 3339 w 6109"/>
                              <a:gd name="T61" fmla="*/ 0 h 64"/>
                              <a:gd name="T62" fmla="*/ 3339 w 6109"/>
                              <a:gd name="T63" fmla="*/ 64 h 64"/>
                              <a:gd name="T64" fmla="*/ 3324 w 6109"/>
                              <a:gd name="T65" fmla="*/ 64 h 64"/>
                              <a:gd name="T66" fmla="*/ 3324 w 6109"/>
                              <a:gd name="T67" fmla="*/ 0 h 64"/>
                              <a:gd name="T68" fmla="*/ 3339 w 6109"/>
                              <a:gd name="T69" fmla="*/ 0 h 64"/>
                              <a:gd name="T70" fmla="*/ 3893 w 6109"/>
                              <a:gd name="T71" fmla="*/ 0 h 64"/>
                              <a:gd name="T72" fmla="*/ 3893 w 6109"/>
                              <a:gd name="T73" fmla="*/ 64 h 64"/>
                              <a:gd name="T74" fmla="*/ 3879 w 6109"/>
                              <a:gd name="T75" fmla="*/ 64 h 64"/>
                              <a:gd name="T76" fmla="*/ 3879 w 6109"/>
                              <a:gd name="T77" fmla="*/ 0 h 64"/>
                              <a:gd name="T78" fmla="*/ 3893 w 6109"/>
                              <a:gd name="T79" fmla="*/ 0 h 64"/>
                              <a:gd name="T80" fmla="*/ 4448 w 6109"/>
                              <a:gd name="T81" fmla="*/ 0 h 64"/>
                              <a:gd name="T82" fmla="*/ 4448 w 6109"/>
                              <a:gd name="T83" fmla="*/ 64 h 64"/>
                              <a:gd name="T84" fmla="*/ 4433 w 6109"/>
                              <a:gd name="T85" fmla="*/ 64 h 64"/>
                              <a:gd name="T86" fmla="*/ 4433 w 6109"/>
                              <a:gd name="T87" fmla="*/ 0 h 64"/>
                              <a:gd name="T88" fmla="*/ 4448 w 6109"/>
                              <a:gd name="T89" fmla="*/ 0 h 64"/>
                              <a:gd name="T90" fmla="*/ 5002 w 6109"/>
                              <a:gd name="T91" fmla="*/ 0 h 64"/>
                              <a:gd name="T92" fmla="*/ 5002 w 6109"/>
                              <a:gd name="T93" fmla="*/ 64 h 64"/>
                              <a:gd name="T94" fmla="*/ 4988 w 6109"/>
                              <a:gd name="T95" fmla="*/ 64 h 64"/>
                              <a:gd name="T96" fmla="*/ 4988 w 6109"/>
                              <a:gd name="T97" fmla="*/ 0 h 64"/>
                              <a:gd name="T98" fmla="*/ 5002 w 6109"/>
                              <a:gd name="T99" fmla="*/ 0 h 64"/>
                              <a:gd name="T100" fmla="*/ 5557 w 6109"/>
                              <a:gd name="T101" fmla="*/ 0 h 64"/>
                              <a:gd name="T102" fmla="*/ 5557 w 6109"/>
                              <a:gd name="T103" fmla="*/ 64 h 64"/>
                              <a:gd name="T104" fmla="*/ 5542 w 6109"/>
                              <a:gd name="T105" fmla="*/ 64 h 64"/>
                              <a:gd name="T106" fmla="*/ 5542 w 6109"/>
                              <a:gd name="T107" fmla="*/ 0 h 64"/>
                              <a:gd name="T108" fmla="*/ 5557 w 6109"/>
                              <a:gd name="T109" fmla="*/ 0 h 64"/>
                              <a:gd name="T110" fmla="*/ 6109 w 6109"/>
                              <a:gd name="T111" fmla="*/ 0 h 64"/>
                              <a:gd name="T112" fmla="*/ 6109 w 6109"/>
                              <a:gd name="T113" fmla="*/ 64 h 64"/>
                              <a:gd name="T114" fmla="*/ 6094 w 6109"/>
                              <a:gd name="T115" fmla="*/ 64 h 64"/>
                              <a:gd name="T116" fmla="*/ 6094 w 6109"/>
                              <a:gd name="T117" fmla="*/ 0 h 64"/>
                              <a:gd name="T118" fmla="*/ 6109 w 6109"/>
                              <a:gd name="T119"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09" h="64">
                                <a:moveTo>
                                  <a:pt x="14" y="0"/>
                                </a:moveTo>
                                <a:lnTo>
                                  <a:pt x="14" y="64"/>
                                </a:lnTo>
                                <a:lnTo>
                                  <a:pt x="0" y="64"/>
                                </a:lnTo>
                                <a:lnTo>
                                  <a:pt x="0" y="0"/>
                                </a:lnTo>
                                <a:lnTo>
                                  <a:pt x="14" y="0"/>
                                </a:lnTo>
                                <a:close/>
                                <a:moveTo>
                                  <a:pt x="568" y="0"/>
                                </a:moveTo>
                                <a:lnTo>
                                  <a:pt x="568" y="64"/>
                                </a:lnTo>
                                <a:lnTo>
                                  <a:pt x="554" y="64"/>
                                </a:lnTo>
                                <a:lnTo>
                                  <a:pt x="554" y="0"/>
                                </a:lnTo>
                                <a:lnTo>
                                  <a:pt x="568" y="0"/>
                                </a:lnTo>
                                <a:close/>
                                <a:moveTo>
                                  <a:pt x="1123" y="0"/>
                                </a:moveTo>
                                <a:lnTo>
                                  <a:pt x="1123" y="64"/>
                                </a:lnTo>
                                <a:lnTo>
                                  <a:pt x="1109" y="64"/>
                                </a:lnTo>
                                <a:lnTo>
                                  <a:pt x="1109" y="0"/>
                                </a:lnTo>
                                <a:lnTo>
                                  <a:pt x="1123" y="0"/>
                                </a:lnTo>
                                <a:close/>
                                <a:moveTo>
                                  <a:pt x="1677" y="0"/>
                                </a:moveTo>
                                <a:lnTo>
                                  <a:pt x="1677" y="64"/>
                                </a:lnTo>
                                <a:lnTo>
                                  <a:pt x="1663" y="64"/>
                                </a:lnTo>
                                <a:lnTo>
                                  <a:pt x="1663" y="0"/>
                                </a:lnTo>
                                <a:lnTo>
                                  <a:pt x="1677" y="0"/>
                                </a:lnTo>
                                <a:close/>
                                <a:moveTo>
                                  <a:pt x="2232" y="0"/>
                                </a:moveTo>
                                <a:lnTo>
                                  <a:pt x="2232" y="64"/>
                                </a:lnTo>
                                <a:lnTo>
                                  <a:pt x="2218" y="64"/>
                                </a:lnTo>
                                <a:lnTo>
                                  <a:pt x="2218" y="0"/>
                                </a:lnTo>
                                <a:lnTo>
                                  <a:pt x="2232" y="0"/>
                                </a:lnTo>
                                <a:close/>
                                <a:moveTo>
                                  <a:pt x="2784" y="0"/>
                                </a:moveTo>
                                <a:lnTo>
                                  <a:pt x="2784" y="64"/>
                                </a:lnTo>
                                <a:lnTo>
                                  <a:pt x="2770" y="64"/>
                                </a:lnTo>
                                <a:lnTo>
                                  <a:pt x="2770" y="0"/>
                                </a:lnTo>
                                <a:lnTo>
                                  <a:pt x="2784" y="0"/>
                                </a:lnTo>
                                <a:close/>
                                <a:moveTo>
                                  <a:pt x="3339" y="0"/>
                                </a:moveTo>
                                <a:lnTo>
                                  <a:pt x="3339" y="64"/>
                                </a:lnTo>
                                <a:lnTo>
                                  <a:pt x="3324" y="64"/>
                                </a:lnTo>
                                <a:lnTo>
                                  <a:pt x="3324" y="0"/>
                                </a:lnTo>
                                <a:lnTo>
                                  <a:pt x="3339" y="0"/>
                                </a:lnTo>
                                <a:close/>
                                <a:moveTo>
                                  <a:pt x="3893" y="0"/>
                                </a:moveTo>
                                <a:lnTo>
                                  <a:pt x="3893" y="64"/>
                                </a:lnTo>
                                <a:lnTo>
                                  <a:pt x="3879" y="64"/>
                                </a:lnTo>
                                <a:lnTo>
                                  <a:pt x="3879" y="0"/>
                                </a:lnTo>
                                <a:lnTo>
                                  <a:pt x="3893" y="0"/>
                                </a:lnTo>
                                <a:close/>
                                <a:moveTo>
                                  <a:pt x="4448" y="0"/>
                                </a:moveTo>
                                <a:lnTo>
                                  <a:pt x="4448" y="64"/>
                                </a:lnTo>
                                <a:lnTo>
                                  <a:pt x="4433" y="64"/>
                                </a:lnTo>
                                <a:lnTo>
                                  <a:pt x="4433" y="0"/>
                                </a:lnTo>
                                <a:lnTo>
                                  <a:pt x="4448" y="0"/>
                                </a:lnTo>
                                <a:close/>
                                <a:moveTo>
                                  <a:pt x="5002" y="0"/>
                                </a:moveTo>
                                <a:lnTo>
                                  <a:pt x="5002" y="64"/>
                                </a:lnTo>
                                <a:lnTo>
                                  <a:pt x="4988" y="64"/>
                                </a:lnTo>
                                <a:lnTo>
                                  <a:pt x="4988" y="0"/>
                                </a:lnTo>
                                <a:lnTo>
                                  <a:pt x="5002" y="0"/>
                                </a:lnTo>
                                <a:close/>
                                <a:moveTo>
                                  <a:pt x="5557" y="0"/>
                                </a:moveTo>
                                <a:lnTo>
                                  <a:pt x="5557" y="64"/>
                                </a:lnTo>
                                <a:lnTo>
                                  <a:pt x="5542" y="64"/>
                                </a:lnTo>
                                <a:lnTo>
                                  <a:pt x="5542" y="0"/>
                                </a:lnTo>
                                <a:lnTo>
                                  <a:pt x="5557" y="0"/>
                                </a:lnTo>
                                <a:close/>
                                <a:moveTo>
                                  <a:pt x="6109" y="0"/>
                                </a:moveTo>
                                <a:lnTo>
                                  <a:pt x="6109" y="64"/>
                                </a:lnTo>
                                <a:lnTo>
                                  <a:pt x="6094" y="64"/>
                                </a:lnTo>
                                <a:lnTo>
                                  <a:pt x="6094" y="0"/>
                                </a:lnTo>
                                <a:lnTo>
                                  <a:pt x="6109"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239" name="Freeform 248"/>
                        <wps:cNvSpPr>
                          <a:spLocks/>
                        </wps:cNvSpPr>
                        <wps:spPr bwMode="auto">
                          <a:xfrm>
                            <a:off x="1172532" y="1103630"/>
                            <a:ext cx="3547745" cy="481965"/>
                          </a:xfrm>
                          <a:custGeom>
                            <a:avLst/>
                            <a:gdLst>
                              <a:gd name="T0" fmla="*/ 71 w 18618"/>
                              <a:gd name="T1" fmla="*/ 369 h 2530"/>
                              <a:gd name="T2" fmla="*/ 1911 w 18618"/>
                              <a:gd name="T3" fmla="*/ 305 h 2530"/>
                              <a:gd name="T4" fmla="*/ 3750 w 18618"/>
                              <a:gd name="T5" fmla="*/ 1 h 2530"/>
                              <a:gd name="T6" fmla="*/ 3771 w 18618"/>
                              <a:gd name="T7" fmla="*/ 1 h 2530"/>
                              <a:gd name="T8" fmla="*/ 5619 w 18618"/>
                              <a:gd name="T9" fmla="*/ 257 h 2530"/>
                              <a:gd name="T10" fmla="*/ 5605 w 18618"/>
                              <a:gd name="T11" fmla="*/ 257 h 2530"/>
                              <a:gd name="T12" fmla="*/ 7453 w 18618"/>
                              <a:gd name="T13" fmla="*/ 137 h 2530"/>
                              <a:gd name="T14" fmla="*/ 9303 w 18618"/>
                              <a:gd name="T15" fmla="*/ 81 h 2530"/>
                              <a:gd name="T16" fmla="*/ 9324 w 18618"/>
                              <a:gd name="T17" fmla="*/ 83 h 2530"/>
                              <a:gd name="T18" fmla="*/ 11172 w 18618"/>
                              <a:gd name="T19" fmla="*/ 563 h 2530"/>
                              <a:gd name="T20" fmla="*/ 11184 w 18618"/>
                              <a:gd name="T21" fmla="*/ 567 h 2530"/>
                              <a:gd name="T22" fmla="*/ 13024 w 18618"/>
                              <a:gd name="T23" fmla="*/ 1431 h 2530"/>
                              <a:gd name="T24" fmla="*/ 14875 w 18618"/>
                              <a:gd name="T25" fmla="*/ 2393 h 2530"/>
                              <a:gd name="T26" fmla="*/ 14829 w 18618"/>
                              <a:gd name="T27" fmla="*/ 2386 h 2530"/>
                              <a:gd name="T28" fmla="*/ 16677 w 18618"/>
                              <a:gd name="T29" fmla="*/ 2050 h 2530"/>
                              <a:gd name="T30" fmla="*/ 18515 w 18618"/>
                              <a:gd name="T31" fmla="*/ 1452 h 2530"/>
                              <a:gd name="T32" fmla="*/ 18606 w 18618"/>
                              <a:gd name="T33" fmla="*/ 1498 h 2530"/>
                              <a:gd name="T34" fmla="*/ 18560 w 18618"/>
                              <a:gd name="T35" fmla="*/ 1589 h 2530"/>
                              <a:gd name="T36" fmla="*/ 16702 w 18618"/>
                              <a:gd name="T37" fmla="*/ 2191 h 2530"/>
                              <a:gd name="T38" fmla="*/ 14854 w 18618"/>
                              <a:gd name="T39" fmla="*/ 2527 h 2530"/>
                              <a:gd name="T40" fmla="*/ 14808 w 18618"/>
                              <a:gd name="T41" fmla="*/ 2520 h 2530"/>
                              <a:gd name="T42" fmla="*/ 12963 w 18618"/>
                              <a:gd name="T43" fmla="*/ 1562 h 2530"/>
                              <a:gd name="T44" fmla="*/ 11123 w 18618"/>
                              <a:gd name="T45" fmla="*/ 698 h 2530"/>
                              <a:gd name="T46" fmla="*/ 11135 w 18618"/>
                              <a:gd name="T47" fmla="*/ 702 h 2530"/>
                              <a:gd name="T48" fmla="*/ 9287 w 18618"/>
                              <a:gd name="T49" fmla="*/ 222 h 2530"/>
                              <a:gd name="T50" fmla="*/ 9308 w 18618"/>
                              <a:gd name="T51" fmla="*/ 224 h 2530"/>
                              <a:gd name="T52" fmla="*/ 7462 w 18618"/>
                              <a:gd name="T53" fmla="*/ 280 h 2530"/>
                              <a:gd name="T54" fmla="*/ 5614 w 18618"/>
                              <a:gd name="T55" fmla="*/ 400 h 2530"/>
                              <a:gd name="T56" fmla="*/ 5600 w 18618"/>
                              <a:gd name="T57" fmla="*/ 400 h 2530"/>
                              <a:gd name="T58" fmla="*/ 3752 w 18618"/>
                              <a:gd name="T59" fmla="*/ 144 h 2530"/>
                              <a:gd name="T60" fmla="*/ 3773 w 18618"/>
                              <a:gd name="T61" fmla="*/ 144 h 2530"/>
                              <a:gd name="T62" fmla="*/ 1916 w 18618"/>
                              <a:gd name="T63" fmla="*/ 448 h 2530"/>
                              <a:gd name="T64" fmla="*/ 76 w 18618"/>
                              <a:gd name="T65" fmla="*/ 512 h 2530"/>
                              <a:gd name="T66" fmla="*/ 2 w 18618"/>
                              <a:gd name="T67" fmla="*/ 443 h 2530"/>
                              <a:gd name="T68" fmla="*/ 71 w 18618"/>
                              <a:gd name="T69" fmla="*/ 369 h 2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618" h="2530">
                                <a:moveTo>
                                  <a:pt x="71" y="369"/>
                                </a:moveTo>
                                <a:lnTo>
                                  <a:pt x="1911" y="305"/>
                                </a:lnTo>
                                <a:lnTo>
                                  <a:pt x="3750" y="1"/>
                                </a:lnTo>
                                <a:cubicBezTo>
                                  <a:pt x="3757" y="0"/>
                                  <a:pt x="3764" y="0"/>
                                  <a:pt x="3771" y="1"/>
                                </a:cubicBezTo>
                                <a:lnTo>
                                  <a:pt x="5619" y="257"/>
                                </a:lnTo>
                                <a:lnTo>
                                  <a:pt x="5605" y="257"/>
                                </a:lnTo>
                                <a:lnTo>
                                  <a:pt x="7453" y="137"/>
                                </a:lnTo>
                                <a:lnTo>
                                  <a:pt x="9303" y="81"/>
                                </a:lnTo>
                                <a:cubicBezTo>
                                  <a:pt x="9310" y="80"/>
                                  <a:pt x="9317" y="81"/>
                                  <a:pt x="9324" y="83"/>
                                </a:cubicBezTo>
                                <a:lnTo>
                                  <a:pt x="11172" y="563"/>
                                </a:lnTo>
                                <a:cubicBezTo>
                                  <a:pt x="11176" y="564"/>
                                  <a:pt x="11180" y="565"/>
                                  <a:pt x="11184" y="567"/>
                                </a:cubicBezTo>
                                <a:lnTo>
                                  <a:pt x="13024" y="1431"/>
                                </a:lnTo>
                                <a:lnTo>
                                  <a:pt x="14875" y="2393"/>
                                </a:lnTo>
                                <a:lnTo>
                                  <a:pt x="14829" y="2386"/>
                                </a:lnTo>
                                <a:lnTo>
                                  <a:pt x="16677" y="2050"/>
                                </a:lnTo>
                                <a:lnTo>
                                  <a:pt x="18515" y="1452"/>
                                </a:lnTo>
                                <a:cubicBezTo>
                                  <a:pt x="18553" y="1440"/>
                                  <a:pt x="18594" y="1460"/>
                                  <a:pt x="18606" y="1498"/>
                                </a:cubicBezTo>
                                <a:cubicBezTo>
                                  <a:pt x="18618" y="1536"/>
                                  <a:pt x="18598" y="1577"/>
                                  <a:pt x="18560" y="1589"/>
                                </a:cubicBezTo>
                                <a:lnTo>
                                  <a:pt x="16702" y="2191"/>
                                </a:lnTo>
                                <a:lnTo>
                                  <a:pt x="14854" y="2527"/>
                                </a:lnTo>
                                <a:cubicBezTo>
                                  <a:pt x="14839" y="2530"/>
                                  <a:pt x="14822" y="2528"/>
                                  <a:pt x="14808" y="2520"/>
                                </a:cubicBezTo>
                                <a:lnTo>
                                  <a:pt x="12963" y="1562"/>
                                </a:lnTo>
                                <a:lnTo>
                                  <a:pt x="11123" y="698"/>
                                </a:lnTo>
                                <a:lnTo>
                                  <a:pt x="11135" y="702"/>
                                </a:lnTo>
                                <a:lnTo>
                                  <a:pt x="9287" y="222"/>
                                </a:lnTo>
                                <a:lnTo>
                                  <a:pt x="9308" y="224"/>
                                </a:lnTo>
                                <a:lnTo>
                                  <a:pt x="7462" y="280"/>
                                </a:lnTo>
                                <a:lnTo>
                                  <a:pt x="5614" y="400"/>
                                </a:lnTo>
                                <a:cubicBezTo>
                                  <a:pt x="5609" y="401"/>
                                  <a:pt x="5604" y="400"/>
                                  <a:pt x="5600" y="400"/>
                                </a:cubicBezTo>
                                <a:lnTo>
                                  <a:pt x="3752" y="144"/>
                                </a:lnTo>
                                <a:lnTo>
                                  <a:pt x="3773" y="144"/>
                                </a:lnTo>
                                <a:lnTo>
                                  <a:pt x="1916" y="448"/>
                                </a:lnTo>
                                <a:lnTo>
                                  <a:pt x="76" y="512"/>
                                </a:lnTo>
                                <a:cubicBezTo>
                                  <a:pt x="36" y="514"/>
                                  <a:pt x="3" y="483"/>
                                  <a:pt x="2" y="443"/>
                                </a:cubicBezTo>
                                <a:cubicBezTo>
                                  <a:pt x="0" y="403"/>
                                  <a:pt x="31" y="370"/>
                                  <a:pt x="71" y="369"/>
                                </a:cubicBezTo>
                                <a:close/>
                              </a:path>
                            </a:pathLst>
                          </a:custGeom>
                          <a:solidFill>
                            <a:srgbClr val="4A7EBB"/>
                          </a:solidFill>
                          <a:ln w="1270" cap="flat">
                            <a:solidFill>
                              <a:srgbClr val="4A7EBB"/>
                            </a:solidFill>
                            <a:prstDash val="solid"/>
                            <a:bevel/>
                            <a:headEnd/>
                            <a:tailEnd/>
                          </a:ln>
                        </wps:spPr>
                        <wps:bodyPr rot="0" vert="horz" wrap="square" lIns="91440" tIns="45720" rIns="91440" bIns="45720" anchor="t" anchorCtr="0" upright="1">
                          <a:noAutofit/>
                        </wps:bodyPr>
                      </wps:wsp>
                      <wps:wsp>
                        <wps:cNvPr id="240" name="Rectangle 249"/>
                        <wps:cNvSpPr>
                          <a:spLocks noChangeArrowheads="1"/>
                        </wps:cNvSpPr>
                        <wps:spPr bwMode="auto">
                          <a:xfrm>
                            <a:off x="1293817" y="1111885"/>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4,53</w:t>
                              </w:r>
                            </w:p>
                          </w:txbxContent>
                        </wps:txbx>
                        <wps:bodyPr rot="0" vert="horz" wrap="none" lIns="0" tIns="0" rIns="0" bIns="0" anchor="t" anchorCtr="0">
                          <a:spAutoFit/>
                        </wps:bodyPr>
                      </wps:wsp>
                      <wps:wsp>
                        <wps:cNvPr id="241" name="Rectangle 250"/>
                        <wps:cNvSpPr>
                          <a:spLocks noChangeArrowheads="1"/>
                        </wps:cNvSpPr>
                        <wps:spPr bwMode="auto">
                          <a:xfrm>
                            <a:off x="1997397" y="1040765"/>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4,79</w:t>
                              </w:r>
                            </w:p>
                          </w:txbxContent>
                        </wps:txbx>
                        <wps:bodyPr rot="0" vert="horz" wrap="none" lIns="0" tIns="0" rIns="0" bIns="0" anchor="t" anchorCtr="0">
                          <a:spAutoFit/>
                        </wps:bodyPr>
                      </wps:wsp>
                      <wps:wsp>
                        <wps:cNvPr id="242" name="Rectangle 251"/>
                        <wps:cNvSpPr>
                          <a:spLocks noChangeArrowheads="1"/>
                        </wps:cNvSpPr>
                        <wps:spPr bwMode="auto">
                          <a:xfrm>
                            <a:off x="3052767" y="1056640"/>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4,73</w:t>
                              </w:r>
                            </w:p>
                          </w:txbxContent>
                        </wps:txbx>
                        <wps:bodyPr rot="0" vert="horz" wrap="none" lIns="0" tIns="0" rIns="0" bIns="0" anchor="t" anchorCtr="0">
                          <a:spAutoFit/>
                        </wps:bodyPr>
                      </wps:wsp>
                      <wps:wsp>
                        <wps:cNvPr id="243" name="Rectangle 252"/>
                        <wps:cNvSpPr>
                          <a:spLocks noChangeArrowheads="1"/>
                        </wps:cNvSpPr>
                        <wps:spPr bwMode="auto">
                          <a:xfrm>
                            <a:off x="3756347" y="1312545"/>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3,80</w:t>
                              </w:r>
                            </w:p>
                          </w:txbxContent>
                        </wps:txbx>
                        <wps:bodyPr rot="0" vert="horz" wrap="none" lIns="0" tIns="0" rIns="0" bIns="0" anchor="t" anchorCtr="0">
                          <a:spAutoFit/>
                        </wps:bodyPr>
                      </wps:wsp>
                      <wps:wsp>
                        <wps:cNvPr id="244" name="Rectangle 253"/>
                        <wps:cNvSpPr>
                          <a:spLocks noChangeArrowheads="1"/>
                        </wps:cNvSpPr>
                        <wps:spPr bwMode="auto">
                          <a:xfrm>
                            <a:off x="4108772" y="1495425"/>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3,13</w:t>
                              </w:r>
                            </w:p>
                          </w:txbxContent>
                        </wps:txbx>
                        <wps:bodyPr rot="0" vert="horz" wrap="none" lIns="0" tIns="0" rIns="0" bIns="0" anchor="t" anchorCtr="0">
                          <a:spAutoFit/>
                        </wps:bodyPr>
                      </wps:wsp>
                      <wps:wsp>
                        <wps:cNvPr id="245" name="Rectangle 254"/>
                        <wps:cNvSpPr>
                          <a:spLocks noChangeArrowheads="1"/>
                        </wps:cNvSpPr>
                        <wps:spPr bwMode="auto">
                          <a:xfrm>
                            <a:off x="4460562" y="1431925"/>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3,36</w:t>
                              </w:r>
                            </w:p>
                          </w:txbxContent>
                        </wps:txbx>
                        <wps:bodyPr rot="0" vert="horz" wrap="none" lIns="0" tIns="0" rIns="0" bIns="0" anchor="t" anchorCtr="0">
                          <a:spAutoFit/>
                        </wps:bodyPr>
                      </wps:wsp>
                      <wps:wsp>
                        <wps:cNvPr id="246" name="Rectangle 255"/>
                        <wps:cNvSpPr>
                          <a:spLocks noChangeArrowheads="1"/>
                        </wps:cNvSpPr>
                        <wps:spPr bwMode="auto">
                          <a:xfrm>
                            <a:off x="4757107" y="1316355"/>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3,78</w:t>
                              </w:r>
                            </w:p>
                          </w:txbxContent>
                        </wps:txbx>
                        <wps:bodyPr rot="0" vert="horz" wrap="none" lIns="0" tIns="0" rIns="0" bIns="0" anchor="t" anchorCtr="0">
                          <a:spAutoFit/>
                        </wps:bodyPr>
                      </wps:wsp>
                      <wps:wsp>
                        <wps:cNvPr id="247" name="Rectangle 256"/>
                        <wps:cNvSpPr>
                          <a:spLocks noChangeArrowheads="1"/>
                        </wps:cNvSpPr>
                        <wps:spPr bwMode="auto">
                          <a:xfrm>
                            <a:off x="799152" y="234442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0</w:t>
                              </w:r>
                            </w:p>
                          </w:txbxContent>
                        </wps:txbx>
                        <wps:bodyPr rot="0" vert="horz" wrap="none" lIns="0" tIns="0" rIns="0" bIns="0" anchor="t" anchorCtr="0">
                          <a:spAutoFit/>
                        </wps:bodyPr>
                      </wps:wsp>
                      <wps:wsp>
                        <wps:cNvPr id="248" name="Rectangle 257"/>
                        <wps:cNvSpPr>
                          <a:spLocks noChangeArrowheads="1"/>
                        </wps:cNvSpPr>
                        <wps:spPr bwMode="auto">
                          <a:xfrm>
                            <a:off x="799152" y="207073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1</w:t>
                              </w:r>
                            </w:p>
                          </w:txbxContent>
                        </wps:txbx>
                        <wps:bodyPr rot="0" vert="horz" wrap="none" lIns="0" tIns="0" rIns="0" bIns="0" anchor="t" anchorCtr="0">
                          <a:spAutoFit/>
                        </wps:bodyPr>
                      </wps:wsp>
                      <wps:wsp>
                        <wps:cNvPr id="249" name="Rectangle 258"/>
                        <wps:cNvSpPr>
                          <a:spLocks noChangeArrowheads="1"/>
                        </wps:cNvSpPr>
                        <wps:spPr bwMode="auto">
                          <a:xfrm>
                            <a:off x="799152" y="179705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w:t>
                              </w:r>
                            </w:p>
                          </w:txbxContent>
                        </wps:txbx>
                        <wps:bodyPr rot="0" vert="horz" wrap="none" lIns="0" tIns="0" rIns="0" bIns="0" anchor="t" anchorCtr="0">
                          <a:spAutoFit/>
                        </wps:bodyPr>
                      </wps:wsp>
                      <wps:wsp>
                        <wps:cNvPr id="250" name="Rectangle 259"/>
                        <wps:cNvSpPr>
                          <a:spLocks noChangeArrowheads="1"/>
                        </wps:cNvSpPr>
                        <wps:spPr bwMode="auto">
                          <a:xfrm>
                            <a:off x="799152" y="152336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3</w:t>
                              </w:r>
                            </w:p>
                          </w:txbxContent>
                        </wps:txbx>
                        <wps:bodyPr rot="0" vert="horz" wrap="none" lIns="0" tIns="0" rIns="0" bIns="0" anchor="t" anchorCtr="0">
                          <a:spAutoFit/>
                        </wps:bodyPr>
                      </wps:wsp>
                      <wps:wsp>
                        <wps:cNvPr id="251" name="Rectangle 260"/>
                        <wps:cNvSpPr>
                          <a:spLocks noChangeArrowheads="1"/>
                        </wps:cNvSpPr>
                        <wps:spPr bwMode="auto">
                          <a:xfrm>
                            <a:off x="799152" y="124968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4</w:t>
                              </w:r>
                            </w:p>
                          </w:txbxContent>
                        </wps:txbx>
                        <wps:bodyPr rot="0" vert="horz" wrap="none" lIns="0" tIns="0" rIns="0" bIns="0" anchor="t" anchorCtr="0">
                          <a:spAutoFit/>
                        </wps:bodyPr>
                      </wps:wsp>
                      <wps:wsp>
                        <wps:cNvPr id="252" name="Rectangle 261"/>
                        <wps:cNvSpPr>
                          <a:spLocks noChangeArrowheads="1"/>
                        </wps:cNvSpPr>
                        <wps:spPr bwMode="auto">
                          <a:xfrm>
                            <a:off x="799152" y="97599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5</w:t>
                              </w:r>
                            </w:p>
                          </w:txbxContent>
                        </wps:txbx>
                        <wps:bodyPr rot="0" vert="horz" wrap="none" lIns="0" tIns="0" rIns="0" bIns="0" anchor="t" anchorCtr="0">
                          <a:spAutoFit/>
                        </wps:bodyPr>
                      </wps:wsp>
                      <wps:wsp>
                        <wps:cNvPr id="253" name="Rectangle 262"/>
                        <wps:cNvSpPr>
                          <a:spLocks noChangeArrowheads="1"/>
                        </wps:cNvSpPr>
                        <wps:spPr bwMode="auto">
                          <a:xfrm>
                            <a:off x="799152" y="70231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6</w:t>
                              </w:r>
                            </w:p>
                          </w:txbxContent>
                        </wps:txbx>
                        <wps:bodyPr rot="0" vert="horz" wrap="none" lIns="0" tIns="0" rIns="0" bIns="0" anchor="t" anchorCtr="0">
                          <a:spAutoFit/>
                        </wps:bodyPr>
                      </wps:wsp>
                      <wps:wsp>
                        <wps:cNvPr id="254" name="Rectangle 263"/>
                        <wps:cNvSpPr>
                          <a:spLocks noChangeArrowheads="1"/>
                        </wps:cNvSpPr>
                        <wps:spPr bwMode="auto">
                          <a:xfrm>
                            <a:off x="105759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2005.</w:t>
                              </w:r>
                            </w:p>
                          </w:txbxContent>
                        </wps:txbx>
                        <wps:bodyPr rot="0" vert="horz" wrap="none" lIns="0" tIns="0" rIns="0" bIns="0" anchor="t" anchorCtr="0">
                          <a:spAutoFit/>
                        </wps:bodyPr>
                      </wps:wsp>
                      <wps:wsp>
                        <wps:cNvPr id="255" name="Rectangle 264"/>
                        <wps:cNvSpPr>
                          <a:spLocks noChangeArrowheads="1"/>
                        </wps:cNvSpPr>
                        <wps:spPr bwMode="auto">
                          <a:xfrm>
                            <a:off x="140938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2006.</w:t>
                              </w:r>
                            </w:p>
                          </w:txbxContent>
                        </wps:txbx>
                        <wps:bodyPr rot="0" vert="horz" wrap="none" lIns="0" tIns="0" rIns="0" bIns="0" anchor="t" anchorCtr="0">
                          <a:spAutoFit/>
                        </wps:bodyPr>
                      </wps:wsp>
                      <wps:wsp>
                        <wps:cNvPr id="256" name="Rectangle 265"/>
                        <wps:cNvSpPr>
                          <a:spLocks noChangeArrowheads="1"/>
                        </wps:cNvSpPr>
                        <wps:spPr bwMode="auto">
                          <a:xfrm>
                            <a:off x="176117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2007.</w:t>
                              </w:r>
                            </w:p>
                          </w:txbxContent>
                        </wps:txbx>
                        <wps:bodyPr rot="0" vert="horz" wrap="none" lIns="0" tIns="0" rIns="0" bIns="0" anchor="t" anchorCtr="0">
                          <a:spAutoFit/>
                        </wps:bodyPr>
                      </wps:wsp>
                      <wps:wsp>
                        <wps:cNvPr id="257" name="Rectangle 266"/>
                        <wps:cNvSpPr>
                          <a:spLocks noChangeArrowheads="1"/>
                        </wps:cNvSpPr>
                        <wps:spPr bwMode="auto">
                          <a:xfrm>
                            <a:off x="211296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2008.</w:t>
                              </w:r>
                            </w:p>
                          </w:txbxContent>
                        </wps:txbx>
                        <wps:bodyPr rot="0" vert="horz" wrap="none" lIns="0" tIns="0" rIns="0" bIns="0" anchor="t" anchorCtr="0">
                          <a:spAutoFit/>
                        </wps:bodyPr>
                      </wps:wsp>
                      <wps:wsp>
                        <wps:cNvPr id="258" name="Rectangle 267"/>
                        <wps:cNvSpPr>
                          <a:spLocks noChangeArrowheads="1"/>
                        </wps:cNvSpPr>
                        <wps:spPr bwMode="auto">
                          <a:xfrm>
                            <a:off x="246475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2009.</w:t>
                              </w:r>
                            </w:p>
                          </w:txbxContent>
                        </wps:txbx>
                        <wps:bodyPr rot="0" vert="horz" wrap="none" lIns="0" tIns="0" rIns="0" bIns="0" anchor="t" anchorCtr="0">
                          <a:spAutoFit/>
                        </wps:bodyPr>
                      </wps:wsp>
                      <wps:wsp>
                        <wps:cNvPr id="259" name="Rectangle 268"/>
                        <wps:cNvSpPr>
                          <a:spLocks noChangeArrowheads="1"/>
                        </wps:cNvSpPr>
                        <wps:spPr bwMode="auto">
                          <a:xfrm>
                            <a:off x="281654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2010.</w:t>
                              </w:r>
                            </w:p>
                          </w:txbxContent>
                        </wps:txbx>
                        <wps:bodyPr rot="0" vert="horz" wrap="none" lIns="0" tIns="0" rIns="0" bIns="0" anchor="t" anchorCtr="0">
                          <a:spAutoFit/>
                        </wps:bodyPr>
                      </wps:wsp>
                      <wps:wsp>
                        <wps:cNvPr id="260" name="Rectangle 269"/>
                        <wps:cNvSpPr>
                          <a:spLocks noChangeArrowheads="1"/>
                        </wps:cNvSpPr>
                        <wps:spPr bwMode="auto">
                          <a:xfrm>
                            <a:off x="316833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2011.</w:t>
                              </w:r>
                            </w:p>
                          </w:txbxContent>
                        </wps:txbx>
                        <wps:bodyPr rot="0" vert="horz" wrap="none" lIns="0" tIns="0" rIns="0" bIns="0" anchor="t" anchorCtr="0">
                          <a:spAutoFit/>
                        </wps:bodyPr>
                      </wps:wsp>
                      <wps:wsp>
                        <wps:cNvPr id="261" name="Rectangle 270"/>
                        <wps:cNvSpPr>
                          <a:spLocks noChangeArrowheads="1"/>
                        </wps:cNvSpPr>
                        <wps:spPr bwMode="auto">
                          <a:xfrm>
                            <a:off x="352012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2012.</w:t>
                              </w:r>
                            </w:p>
                          </w:txbxContent>
                        </wps:txbx>
                        <wps:bodyPr rot="0" vert="horz" wrap="none" lIns="0" tIns="0" rIns="0" bIns="0" anchor="t" anchorCtr="0">
                          <a:spAutoFit/>
                        </wps:bodyPr>
                      </wps:wsp>
                      <wps:wsp>
                        <wps:cNvPr id="262" name="Rectangle 271"/>
                        <wps:cNvSpPr>
                          <a:spLocks noChangeArrowheads="1"/>
                        </wps:cNvSpPr>
                        <wps:spPr bwMode="auto">
                          <a:xfrm>
                            <a:off x="387191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2013.</w:t>
                              </w:r>
                            </w:p>
                          </w:txbxContent>
                        </wps:txbx>
                        <wps:bodyPr rot="0" vert="horz" wrap="none" lIns="0" tIns="0" rIns="0" bIns="0" anchor="t" anchorCtr="0">
                          <a:spAutoFit/>
                        </wps:bodyPr>
                      </wps:wsp>
                      <wps:wsp>
                        <wps:cNvPr id="263" name="Rectangle 272"/>
                        <wps:cNvSpPr>
                          <a:spLocks noChangeArrowheads="1"/>
                        </wps:cNvSpPr>
                        <wps:spPr bwMode="auto">
                          <a:xfrm>
                            <a:off x="422370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2014.</w:t>
                              </w:r>
                            </w:p>
                          </w:txbxContent>
                        </wps:txbx>
                        <wps:bodyPr rot="0" vert="horz" wrap="none" lIns="0" tIns="0" rIns="0" bIns="0" anchor="t" anchorCtr="0">
                          <a:spAutoFit/>
                        </wps:bodyPr>
                      </wps:wsp>
                      <wps:wsp>
                        <wps:cNvPr id="264" name="Rectangle 273"/>
                        <wps:cNvSpPr>
                          <a:spLocks noChangeArrowheads="1"/>
                        </wps:cNvSpPr>
                        <wps:spPr bwMode="auto">
                          <a:xfrm>
                            <a:off x="4575497" y="2509235"/>
                            <a:ext cx="289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color w:val="000000"/>
                                  <w:sz w:val="20"/>
                                  <w:szCs w:val="20"/>
                                  <w:lang w:val="en-US"/>
                                </w:rPr>
                                <w:t>2015.</w:t>
                              </w:r>
                            </w:p>
                          </w:txbxContent>
                        </wps:txbx>
                        <wps:bodyPr rot="0" vert="horz" wrap="none" lIns="0" tIns="0" rIns="0" bIns="0" anchor="t" anchorCtr="0">
                          <a:spAutoFit/>
                        </wps:bodyPr>
                      </wps:wsp>
                      <wps:wsp>
                        <wps:cNvPr id="265" name="Rectangle 274"/>
                        <wps:cNvSpPr>
                          <a:spLocks noChangeArrowheads="1"/>
                        </wps:cNvSpPr>
                        <wps:spPr bwMode="auto">
                          <a:xfrm>
                            <a:off x="592936" y="977775"/>
                            <a:ext cx="206215" cy="615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Theme="minorHAnsi" w:hAnsiTheme="minorHAnsi"/>
                                  <w:b/>
                                  <w:sz w:val="20"/>
                                  <w:szCs w:val="20"/>
                                </w:rPr>
                              </w:pPr>
                              <w:r>
                                <w:rPr>
                                  <w:rFonts w:asciiTheme="minorHAnsi" w:hAnsiTheme="minorHAnsi"/>
                                  <w:b/>
                                  <w:sz w:val="20"/>
                                  <w:szCs w:val="20"/>
                                </w:rPr>
                                <w:t>Milijardi</w:t>
                              </w:r>
                            </w:p>
                          </w:txbxContent>
                        </wps:txbx>
                        <wps:bodyPr rot="0" vert="vert270" wrap="square" lIns="0" tIns="0" rIns="0" bIns="0" anchor="t" anchorCtr="0">
                          <a:noAutofit/>
                        </wps:bodyPr>
                      </wps:wsp>
                      <wps:wsp>
                        <wps:cNvPr id="266" name="Rectangle 275"/>
                        <wps:cNvSpPr>
                          <a:spLocks noChangeArrowheads="1"/>
                        </wps:cNvSpPr>
                        <wps:spPr bwMode="auto">
                          <a:xfrm>
                            <a:off x="1116652" y="99695"/>
                            <a:ext cx="32518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b/>
                                  <w:bCs/>
                                  <w:color w:val="000000"/>
                                  <w:sz w:val="36"/>
                                  <w:szCs w:val="36"/>
                                  <w:lang w:val="en-US"/>
                                </w:rPr>
                                <w:t xml:space="preserve">Ukupan broj zaplijenjenih cigareta </w:t>
                              </w:r>
                            </w:p>
                          </w:txbxContent>
                        </wps:txbx>
                        <wps:bodyPr rot="0" vert="horz" wrap="none" lIns="0" tIns="0" rIns="0" bIns="0" anchor="t" anchorCtr="0">
                          <a:spAutoFit/>
                        </wps:bodyPr>
                      </wps:wsp>
                      <wps:wsp>
                        <wps:cNvPr id="267" name="Rectangle 276"/>
                        <wps:cNvSpPr>
                          <a:spLocks noChangeArrowheads="1"/>
                        </wps:cNvSpPr>
                        <wps:spPr bwMode="auto">
                          <a:xfrm>
                            <a:off x="2176467" y="378460"/>
                            <a:ext cx="47561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b/>
                                  <w:bCs/>
                                  <w:color w:val="000000"/>
                                  <w:sz w:val="32"/>
                                  <w:szCs w:val="32"/>
                                  <w:lang w:val="en-US"/>
                                </w:rPr>
                                <w:t>(2005</w:t>
                              </w:r>
                            </w:p>
                          </w:txbxContent>
                        </wps:txbx>
                        <wps:bodyPr rot="0" vert="horz" wrap="none" lIns="0" tIns="0" rIns="0" bIns="0" anchor="t" anchorCtr="0">
                          <a:spAutoFit/>
                        </wps:bodyPr>
                      </wps:wsp>
                      <wps:wsp>
                        <wps:cNvPr id="268" name="Rectangle 277"/>
                        <wps:cNvSpPr>
                          <a:spLocks noChangeArrowheads="1"/>
                        </wps:cNvSpPr>
                        <wps:spPr bwMode="auto">
                          <a:xfrm>
                            <a:off x="2647002" y="378460"/>
                            <a:ext cx="5461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b/>
                                  <w:bCs/>
                                  <w:color w:val="000000"/>
                                  <w:sz w:val="32"/>
                                  <w:szCs w:val="32"/>
                                  <w:lang w:val="en-US"/>
                                </w:rPr>
                                <w:t>.</w:t>
                              </w:r>
                            </w:p>
                          </w:txbxContent>
                        </wps:txbx>
                        <wps:bodyPr rot="0" vert="horz" wrap="none" lIns="0" tIns="0" rIns="0" bIns="0" anchor="t" anchorCtr="0">
                          <a:spAutoFit/>
                        </wps:bodyPr>
                      </wps:wsp>
                      <wps:wsp>
                        <wps:cNvPr id="269" name="Rectangle 278"/>
                        <wps:cNvSpPr>
                          <a:spLocks noChangeArrowheads="1"/>
                        </wps:cNvSpPr>
                        <wps:spPr bwMode="auto">
                          <a:xfrm>
                            <a:off x="2695413" y="347992"/>
                            <a:ext cx="1143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sz w:val="36"/>
                                  <w:szCs w:val="36"/>
                                </w:rPr>
                              </w:pPr>
                              <w:r>
                                <w:rPr>
                                  <w:rFonts w:ascii="Calibri" w:hAnsi="Calibri" w:cs="Calibri"/>
                                  <w:color w:val="000000"/>
                                  <w:sz w:val="36"/>
                                  <w:szCs w:val="36"/>
                                  <w:lang w:val="en-US"/>
                                </w:rPr>
                                <w:t>–</w:t>
                              </w:r>
                            </w:p>
                          </w:txbxContent>
                        </wps:txbx>
                        <wps:bodyPr rot="0" vert="horz" wrap="none" lIns="0" tIns="0" rIns="0" bIns="0" anchor="t" anchorCtr="0">
                          <a:spAutoFit/>
                        </wps:bodyPr>
                      </wps:wsp>
                      <wps:wsp>
                        <wps:cNvPr id="270" name="Rectangle 279"/>
                        <wps:cNvSpPr>
                          <a:spLocks noChangeArrowheads="1"/>
                        </wps:cNvSpPr>
                        <wps:spPr bwMode="auto">
                          <a:xfrm>
                            <a:off x="2823408" y="378471"/>
                            <a:ext cx="41211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b/>
                                  <w:bCs/>
                                  <w:color w:val="000000"/>
                                  <w:sz w:val="32"/>
                                  <w:szCs w:val="32"/>
                                  <w:lang w:val="en-US"/>
                                </w:rPr>
                                <w:t>2015</w:t>
                              </w:r>
                            </w:p>
                          </w:txbxContent>
                        </wps:txbx>
                        <wps:bodyPr rot="0" vert="horz" wrap="none" lIns="0" tIns="0" rIns="0" bIns="0" anchor="t" anchorCtr="0">
                          <a:spAutoFit/>
                        </wps:bodyPr>
                      </wps:wsp>
                      <wps:wsp>
                        <wps:cNvPr id="271" name="Rectangle 280"/>
                        <wps:cNvSpPr>
                          <a:spLocks noChangeArrowheads="1"/>
                        </wps:cNvSpPr>
                        <wps:spPr bwMode="auto">
                          <a:xfrm>
                            <a:off x="3227392" y="378471"/>
                            <a:ext cx="5461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b/>
                                  <w:bCs/>
                                  <w:color w:val="000000"/>
                                  <w:sz w:val="32"/>
                                  <w:szCs w:val="32"/>
                                  <w:lang w:val="en-US"/>
                                </w:rPr>
                                <w:t>.</w:t>
                              </w:r>
                            </w:p>
                          </w:txbxContent>
                        </wps:txbx>
                        <wps:bodyPr rot="0" vert="horz" wrap="none" lIns="0" tIns="0" rIns="0" bIns="0" anchor="t" anchorCtr="0">
                          <a:spAutoFit/>
                        </wps:bodyPr>
                      </wps:wsp>
                      <wps:wsp>
                        <wps:cNvPr id="272" name="Rectangle 281"/>
                        <wps:cNvSpPr>
                          <a:spLocks noChangeArrowheads="1"/>
                        </wps:cNvSpPr>
                        <wps:spPr bwMode="auto">
                          <a:xfrm>
                            <a:off x="3278192" y="378460"/>
                            <a:ext cx="635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cs="Calibri"/>
                                  <w:b/>
                                  <w:bCs/>
                                  <w:color w:val="000000"/>
                                  <w:sz w:val="32"/>
                                  <w:szCs w:val="32"/>
                                  <w:lang w:val="en-US"/>
                                </w:rPr>
                                <w:t xml:space="preserve">) </w:t>
                              </w:r>
                            </w:p>
                          </w:txbxContent>
                        </wps:txbx>
                        <wps:bodyPr rot="0" vert="horz" wrap="none" lIns="0" tIns="0" rIns="0" bIns="0" anchor="t" anchorCtr="0">
                          <a:spAutoFit/>
                        </wps:bodyPr>
                      </wps:wsp>
                      <wps:wsp>
                        <wps:cNvPr id="273" name="Rectangle 282"/>
                        <wps:cNvSpPr>
                          <a:spLocks noChangeArrowheads="1"/>
                        </wps:cNvSpPr>
                        <wps:spPr bwMode="auto">
                          <a:xfrm>
                            <a:off x="532262" y="3810"/>
                            <a:ext cx="4486239" cy="2742565"/>
                          </a:xfrm>
                          <a:prstGeom prst="rect">
                            <a:avLst/>
                          </a:prstGeom>
                          <a:noFill/>
                          <a:ln w="889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274" o:spid="_x0000_s1026" editas="canvas" style="width:414.25pt;height:217.05pt;mso-position-horizontal-relative:char;mso-position-vertical-relative:line" coordsize="52609,2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">
                <v:shape id="_x0000_s1027" type="#_x0000_t75" style="position:absolute;width:52609;height:27565;visibility:visible;mso-wrap-style:square">
                  <v:fill o:detectmouseclick="t"/>
                  <v:path o:connecttype="none"/>
                </v:shape>
                <v:rect id="Rectangle 241" o:spid="_x0000_s1028" style="position:absolute;left:4094;top:38;width:46105;height:2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rect id="Rectangle 242" o:spid="_x0000_s1029" style="position:absolute;left:10099;top:7854;width:38697;height:16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VhsUA&#10;AADcAAAADwAAAGRycy9kb3ducmV2LnhtbESPW2sCMRSE3wv+h3CEvtVEty7tdqNIQShUH7xAXw+b&#10;sxfcnKybqNt/bwoFH4eZ+YbJl4NtxZV63zjWMJ0oEMSFMw1XGo6H9csbCB+QDbaOScMveVguRk85&#10;ZsbdeEfXfahEhLDPUEMdQpdJ6YuaLPqJ64ijV7reYoiyr6Tp8RbhtpUzpVJpseG4UGNHnzUVp/3F&#10;asD01Zy3ZbI5fF9SfK8GtZ7/KK2fx8PqA0SgITzC/+0vo2GWJPB3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5WGxQAAANwAAAAPAAAAAAAAAAAAAAAAAJgCAABkcnMv&#10;ZG93bnJldi54bWxQSwUGAAAAAAQABAD1AAAAigMAAAAA&#10;" stroked="f"/>
                <v:shape id="Freeform 243" o:spid="_x0000_s1030" style="position:absolute;left:10099;top:7810;width:38697;height:13786;visibility:visible;mso-wrap-style:square;v-text-anchor:top" coordsize="609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3lcQA&#10;AADcAAAADwAAAGRycy9kb3ducmV2LnhtbESPQYvCMBSE74L/IbwFb5quyrJUo4ggiOLB6lKPj+bZ&#10;VpuX2kSt/36zsOBxmJlvmOm8NZV4UONKywo+BxEI4szqknMFx8Oq/w3CeWSNlWVS8CIH81m3M8VY&#10;2yfv6ZH4XAQIuxgVFN7XsZQuK8igG9iaOHhn2xj0QTa51A0+A9xUchhFX9JgyWGhwJqWBWXX5G4U&#10;JD83XNWb9BS5/JJu9we7a6VVqvfRLiYgPLX+Hf5vr7WC4WgMf2fCEZ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dN5XEAAAA3AAAAA8AAAAAAAAAAAAAAAAAmAIAAGRycy9k&#10;b3ducmV2LnhtbFBLBQYAAAAABAAEAPUAAACJAwAAAAA=&#10;" path="m,2157r6094,l6094,2171,,2171r,-14xm,1725r6094,l6094,1739,,1739r,-14xm,1293r6094,l6094,1307,,1307r,-14xm,864r6094,l6094,878,,878,,864xm,432r6094,l6094,446,,446,,432xm,l6094,r,14l,14,,xe" fillcolor="#868686" strokecolor="#868686" strokeweight=".1pt">
                  <v:stroke joinstyle="bevel"/>
                  <v:path arrowok="t" o:connecttype="custom" o:connectlocs="0,1369695;3869690,1369695;3869690,1378585;0,1378585;0,1369695;0,1095375;3869690,1095375;3869690,1104265;0,1104265;0,1095375;0,821055;3869690,821055;3869690,829945;0,829945;0,821055;0,548640;3869690,548640;3869690,557530;0,557530;0,548640;0,274320;3869690,274320;3869690,283210;0,283210;0,274320;0,0;3869690,0;3869690,8890;0,8890;0,0" o:connectangles="0,0,0,0,0,0,0,0,0,0,0,0,0,0,0,0,0,0,0,0,0,0,0,0,0,0,0,0,0,0"/>
                  <o:lock v:ext="edit" verticies="t"/>
                </v:shape>
                <v:rect id="Rectangle 244" o:spid="_x0000_s1031" style="position:absolute;left:10055;top:7854;width:89;height:16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1fsQA&#10;AADcAAAADwAAAGRycy9kb3ducmV2LnhtbESPT2vCQBTE7wW/w/IEb82miqVGVylCIB79A9XbI/ua&#10;BLNv093VxG/vFgo9DjO/GWa1GUwr7uR8Y1nBW5KCIC6tbrhScDrmrx8gfEDW2FomBQ/ysFmPXlaY&#10;advznu6HUIlYwj5DBXUIXSalL2sy6BPbEUfv2zqDIUpXSe2wj+WmldM0fZcGG44LNXa0ram8Hm5G&#10;wTSf7artInX5Tsvi5/hVXK79WanJePhcggg0hP/wH13oyM3m8Hs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x9X7EAAAA3AAAAA8AAAAAAAAAAAAAAAAAmAIAAGRycy9k&#10;b3ducmV2LnhtbFBLBQYAAAAABAAEAPUAAACJAwAAAAA=&#10;" fillcolor="#868686" strokecolor="#868686" strokeweight=".1pt">
                  <v:stroke joinstyle="bevel"/>
                </v:rect>
                <v:shape id="Freeform 245" o:spid="_x0000_s1032" style="position:absolute;left:9699;top:7810;width:400;height:16516;visibility:visible;mso-wrap-style:square;v-text-anchor:top" coordsize="63,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gcIA&#10;AADcAAAADwAAAGRycy9kb3ducmV2LnhtbESP3YrCMBSE74V9h3AW9k7TrVKWahRRBG8Ef/YBDs2x&#10;rTYn3STW7tsbQfBymJlvmNmiN43oyPnasoLvUQKCuLC65lLB72kz/AHhA7LGxjIp+CcPi/nHYIa5&#10;tnc+UHcMpYgQ9jkqqEJocyl9UZFBP7ItcfTO1hkMUbpSaof3CDeNTJMkkwZrjgsVtrSqqLgeb0bB&#10;bk3d0l36dLLa++2YXbbB7E+pr89+OQURqA/v8Ku91QrScQbP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2BwgAAANwAAAAPAAAAAAAAAAAAAAAAAJgCAABkcnMvZG93&#10;bnJldi54bWxQSwUGAAAAAAQABAD1AAAAhwMAAAAA&#10;" path="m,2586r63,l63,2601r-63,l,2586xm,2157r63,l63,2171r-63,l,2157xm,1725r63,l63,1739r-63,l,1725xm,1293r63,l63,1307r-63,l,1293xm,864r63,l63,878,,878,,864xm,432r63,l63,446,,446,,432xm,l63,r,14l,14,,xe" fillcolor="#868686" strokecolor="#868686" strokeweight=".1pt">
                  <v:stroke joinstyle="bevel"/>
                  <v:path arrowok="t" o:connecttype="custom" o:connectlocs="0,1642110;40005,1642110;40005,1651635;0,1651635;0,1642110;0,1369695;40005,1369695;40005,1378585;0,1378585;0,1369695;0,1095375;40005,1095375;40005,1104265;0,1104265;0,1095375;0,821055;40005,821055;40005,829945;0,829945;0,821055;0,548640;40005,548640;40005,557530;0,557530;0,548640;0,274320;40005,274320;40005,283210;0,283210;0,274320;0,0;40005,0;40005,8890;0,8890;0,0" o:connectangles="0,0,0,0,0,0,0,0,0,0,0,0,0,0,0,0,0,0,0,0,0,0,0,0,0,0,0,0,0,0,0,0,0,0,0"/>
                  <o:lock v:ext="edit" verticies="t"/>
                </v:shape>
                <v:rect id="Rectangle 246" o:spid="_x0000_s1033" style="position:absolute;left:10099;top:24231;width:38697;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ksQA&#10;AADcAAAADwAAAGRycy9kb3ducmV2LnhtbESPT2vCQBTE7wW/w/IEb82mCrZGVylCIB79A9XbI/ua&#10;BLNv093VxG/vFgo9DjO/GWa1GUwr7uR8Y1nBW5KCIC6tbrhScDrmrx8gfEDW2FomBQ/ysFmPXlaY&#10;advznu6HUIlYwj5DBXUIXSalL2sy6BPbEUfv2zqDIUpXSe2wj+WmldM0nUuDDceFGjva1lReDzej&#10;YJrPdtV2kbp8p2Xxc/wqLtf+rNRkPHwuQQQawn/4jy505Gbv8Hs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vzpLEAAAA3AAAAA8AAAAAAAAAAAAAAAAAmAIAAGRycy9k&#10;b3ducmV2LnhtbFBLBQYAAAAABAAEAPUAAACJAwAAAAA=&#10;" fillcolor="#868686" strokecolor="#868686" strokeweight=".1pt">
                  <v:stroke joinstyle="bevel"/>
                </v:rect>
                <v:shape id="Freeform 247" o:spid="_x0000_s1034" style="position:absolute;left:10055;top:24282;width:38792;height:406;visibility:visible;mso-wrap-style:square;v-text-anchor:top" coordsize="610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4PMMA&#10;AADcAAAADwAAAGRycy9kb3ducmV2LnhtbERPTU/CQBC9k/AfNkPijW5FUkxl2xASiOgBLHofu2Nb&#10;6M423RXqv3cPJBxf3vcyH0wrLtS7xrKCxygGQVxa3XCl4PO4mT6DcB5ZY2uZFPyRgzwbj5aYanvl&#10;D7oUvhIhhF2KCmrvu1RKV9Zk0EW2Iw7cj+0N+gD7SuoeryHctHIWx4k02HBoqLGjdU3lufg1Ctpj&#10;Un018+Jt2PvD+pQs3nfb87dSD5Nh9QLC0+Dv4pv7VSuYPYW14Uw4Aj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14PMMAAADcAAAADwAAAAAAAAAAAAAAAACYAgAAZHJzL2Rv&#10;d25yZXYueG1sUEsFBgAAAAAEAAQA9QAAAIgDAAAAAA==&#10;" path="m14,r,64l,64,,,14,xm568,r,64l554,64,554,r14,xm1123,r,64l1109,64r,-64l1123,xm1677,r,64l1663,64r,-64l1677,xm2232,r,64l2218,64r,-64l2232,xm2784,r,64l2770,64r,-64l2784,xm3339,r,64l3324,64r,-64l3339,xm3893,r,64l3879,64r,-64l3893,xm4448,r,64l4433,64r,-64l4448,xm5002,r,64l4988,64r,-64l5002,xm5557,r,64l5542,64r,-64l5557,xm6109,r,64l6094,64r,-64l6109,xe" fillcolor="#868686" strokecolor="#868686" strokeweight=".1pt">
                  <v:stroke joinstyle="bevel"/>
                  <v:path arrowok="t" o:connecttype="custom" o:connectlocs="8890,0;8890,40640;0,40640;0,0;8890,0;360680,0;360680,40640;351790,40640;351790,0;360680,0;713105,0;713105,40640;704215,40640;704215,0;713105,0;1064895,0;1064895,40640;1056005,40640;1056005,0;1064895,0;1417320,0;1417320,40640;1408430,40640;1408430,0;1417320,0;1767840,0;1767840,40640;1758950,40640;1758950,0;1767840,0;2120265,0;2120265,40640;2110740,40640;2110740,0;2120265,0;2472055,0;2472055,40640;2463165,40640;2463165,0;2472055,0;2824480,0;2824480,40640;2814955,40640;2814955,0;2824480,0;3176270,0;3176270,40640;3167380,40640;3167380,0;3176270,0;3528695,0;3528695,40640;3519170,40640;3519170,0;3528695,0;3879215,0;3879215,40640;3869690,40640;3869690,0;3879215,0" o:connectangles="0,0,0,0,0,0,0,0,0,0,0,0,0,0,0,0,0,0,0,0,0,0,0,0,0,0,0,0,0,0,0,0,0,0,0,0,0,0,0,0,0,0,0,0,0,0,0,0,0,0,0,0,0,0,0,0,0,0,0,0"/>
                  <o:lock v:ext="edit" verticies="t"/>
                </v:shape>
                <v:shape id="Freeform 248" o:spid="_x0000_s1035" style="position:absolute;left:11725;top:11036;width:35477;height:4819;visibility:visible;mso-wrap-style:square;v-text-anchor:top" coordsize="18618,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zB8cA&#10;AADcAAAADwAAAGRycy9kb3ducmV2LnhtbESPUUvDQBCE3wX/w7FCX6S9GLFq2ksIUkGwpTba0scl&#10;tybB3F7InWn8954g9HGYnW92ltloWjFQ7xrLCm5mEQji0uqGKwUf78/TBxDOI2tsLZOCH3KQpZcX&#10;S0y0PfGOhsJXIkDYJaig9r5LpHRlTQbdzHbEwfu0vUEfZF9J3eMpwE0r4yiaS4MNh4YaO3qqqfwq&#10;vk1449DR3f31sN0cV7Hb7vN8/Rq/KTW5GvMFCE+jPx//p1+0gvj2Ef7GBAL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RcwfHAAAA3AAAAA8AAAAAAAAAAAAAAAAAmAIAAGRy&#10;cy9kb3ducmV2LnhtbFBLBQYAAAAABAAEAPUAAACMAwAAAAA=&#10;" path="m71,369l1911,305,3750,1v7,-1,14,-1,21,l5619,257r-14,l7453,137,9303,81v7,-1,14,,21,2l11172,563v4,1,8,2,12,4l13024,1431r1851,962l14829,2386r1848,-336l18515,1452v38,-12,79,8,91,46c18618,1536,18598,1577,18560,1589r-1858,602l14854,2527v-15,3,-32,1,-46,-7l12963,1562,11123,698r12,4l9287,222r21,2l7462,280,5614,400v-5,1,-10,,-14,l3752,144r21,l1916,448,76,512c36,514,3,483,2,443,,403,31,370,71,369xe" fillcolor="#4a7ebb" strokecolor="#4a7ebb" strokeweight=".1pt">
                  <v:stroke joinstyle="bevel"/>
                  <v:path arrowok="t" o:connecttype="custom" o:connectlocs="13529,70295;364150,58103;714580,191;718581,191;1070726,48959;1068058,48959;1420203,26099;1772729,15431;1776731,15812;2128876,107252;2131162,108014;2481783,272606;2834499,455867;2825734,454533;3177879,390525;3528118,276606;3545458,285369;3536693,302705;3182642,417386;2830498,481394;2821732,480060;2470159,297561;2119538,132969;2121825,133731;1769680,42291;1773682,42672;1421918,53340;1069773,76200;1067106,76200;714961,27432;718962,27432;365103,85344;14482,97536;381,84392;13529,70295" o:connectangles="0,0,0,0,0,0,0,0,0,0,0,0,0,0,0,0,0,0,0,0,0,0,0,0,0,0,0,0,0,0,0,0,0,0,0"/>
                </v:shape>
                <v:rect id="Rectangle 249" o:spid="_x0000_s1036" style="position:absolute;left:12938;top:11118;width:2254;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
                          <w:rPr>
                            <w:rFonts w:ascii="Calibri" w:hAnsi="Calibri" w:cs="Calibri"/>
                            <w:color w:val="000000"/>
                            <w:sz w:val="20"/>
                            <w:szCs w:val="20"/>
                            <w:lang w:val="en-US"/>
                          </w:rPr>
                          <w:t>4,53</w:t>
                        </w:r>
                      </w:p>
                    </w:txbxContent>
                  </v:textbox>
                </v:rect>
                <v:rect id="Rectangle 250" o:spid="_x0000_s1037" style="position:absolute;left:19973;top:10407;width:2255;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4,79</w:t>
                        </w:r>
                      </w:p>
                    </w:txbxContent>
                  </v:textbox>
                </v:rect>
                <v:rect id="Rectangle 251" o:spid="_x0000_s1038" style="position:absolute;left:30527;top:10566;width:225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4,73</w:t>
                        </w:r>
                      </w:p>
                    </w:txbxContent>
                  </v:textbox>
                </v:rect>
                <v:rect id="Rectangle 252" o:spid="_x0000_s1039" style="position:absolute;left:37563;top:13125;width:225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3,80</w:t>
                        </w:r>
                      </w:p>
                    </w:txbxContent>
                  </v:textbox>
                </v:rect>
                <v:rect id="Rectangle 253" o:spid="_x0000_s1040" style="position:absolute;left:41087;top:14954;width:225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3,13</w:t>
                        </w:r>
                      </w:p>
                    </w:txbxContent>
                  </v:textbox>
                </v:rect>
                <v:rect id="Rectangle 254" o:spid="_x0000_s1041" style="position:absolute;left:44605;top:14319;width:225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3,36</w:t>
                        </w:r>
                      </w:p>
                    </w:txbxContent>
                  </v:textbox>
                </v:rect>
                <v:rect id="Rectangle 255" o:spid="_x0000_s1042" style="position:absolute;left:47571;top:13163;width:225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3,78</w:t>
                        </w:r>
                      </w:p>
                    </w:txbxContent>
                  </v:textbox>
                </v:rect>
                <v:rect id="Rectangle 256" o:spid="_x0000_s1043" style="position:absolute;left:7991;top:23444;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0</w:t>
                        </w:r>
                      </w:p>
                    </w:txbxContent>
                  </v:textbox>
                </v:rect>
                <v:rect id="Rectangle 257" o:spid="_x0000_s1044" style="position:absolute;left:7991;top:20707;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
                          <w:rPr>
                            <w:rFonts w:ascii="Calibri" w:hAnsi="Calibri" w:cs="Calibri"/>
                            <w:color w:val="000000"/>
                            <w:sz w:val="20"/>
                            <w:szCs w:val="20"/>
                            <w:lang w:val="en-US"/>
                          </w:rPr>
                          <w:t>1</w:t>
                        </w:r>
                      </w:p>
                    </w:txbxContent>
                  </v:textbox>
                </v:rect>
                <v:rect id="Rectangle 258" o:spid="_x0000_s1045" style="position:absolute;left:7991;top:17970;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2</w:t>
                        </w:r>
                      </w:p>
                    </w:txbxContent>
                  </v:textbox>
                </v:rect>
                <v:rect id="Rectangle 259" o:spid="_x0000_s1046" style="position:absolute;left:7991;top:15233;width:64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
                          <w:rPr>
                            <w:rFonts w:ascii="Calibri" w:hAnsi="Calibri" w:cs="Calibri"/>
                            <w:color w:val="000000"/>
                            <w:sz w:val="20"/>
                            <w:szCs w:val="20"/>
                            <w:lang w:val="en-US"/>
                          </w:rPr>
                          <w:t>3</w:t>
                        </w:r>
                      </w:p>
                    </w:txbxContent>
                  </v:textbox>
                </v:rect>
                <v:rect id="Rectangle 260" o:spid="_x0000_s1047" style="position:absolute;left:7991;top:12496;width:64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4</w:t>
                        </w:r>
                      </w:p>
                    </w:txbxContent>
                  </v:textbox>
                </v:rect>
                <v:rect id="Rectangle 261" o:spid="_x0000_s1048" style="position:absolute;left:7991;top:9759;width:64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5</w:t>
                        </w:r>
                      </w:p>
                    </w:txbxContent>
                  </v:textbox>
                </v:rect>
                <v:rect id="Rectangle 262" o:spid="_x0000_s1049" style="position:absolute;left:7991;top:7023;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6</w:t>
                        </w:r>
                      </w:p>
                    </w:txbxContent>
                  </v:textbox>
                </v:rect>
                <v:rect id="Rectangle 263" o:spid="_x0000_s1050" style="position:absolute;left:10575;top:25092;width:289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2005.</w:t>
                        </w:r>
                      </w:p>
                    </w:txbxContent>
                  </v:textbox>
                </v:rect>
                <v:rect id="Rectangle 264" o:spid="_x0000_s1051" style="position:absolute;left:14093;top:25092;width:289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2006.</w:t>
                        </w:r>
                      </w:p>
                    </w:txbxContent>
                  </v:textbox>
                </v:rect>
                <v:rect id="Rectangle 265" o:spid="_x0000_s1052" style="position:absolute;left:17611;top:25092;width:289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2007.</w:t>
                        </w:r>
                      </w:p>
                    </w:txbxContent>
                  </v:textbox>
                </v:rect>
                <v:rect id="Rectangle 266" o:spid="_x0000_s1053" style="position:absolute;left:21129;top:25092;width:289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2008.</w:t>
                        </w:r>
                      </w:p>
                    </w:txbxContent>
                  </v:textbox>
                </v:rect>
                <v:rect id="Rectangle 267" o:spid="_x0000_s1054" style="position:absolute;left:24647;top:25092;width:289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
                          <w:rPr>
                            <w:rFonts w:ascii="Calibri" w:hAnsi="Calibri" w:cs="Calibri"/>
                            <w:color w:val="000000"/>
                            <w:sz w:val="20"/>
                            <w:szCs w:val="20"/>
                            <w:lang w:val="en-US"/>
                          </w:rPr>
                          <w:t>2009.</w:t>
                        </w:r>
                      </w:p>
                    </w:txbxContent>
                  </v:textbox>
                </v:rect>
                <v:rect id="Rectangle 268" o:spid="_x0000_s1055" style="position:absolute;left:28165;top:25092;width:289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
                          <w:rPr>
                            <w:rFonts w:ascii="Calibri" w:hAnsi="Calibri" w:cs="Calibri"/>
                            <w:color w:val="000000"/>
                            <w:sz w:val="20"/>
                            <w:szCs w:val="20"/>
                            <w:lang w:val="en-US"/>
                          </w:rPr>
                          <w:t>2010.</w:t>
                        </w:r>
                      </w:p>
                    </w:txbxContent>
                  </v:textbox>
                </v:rect>
                <v:rect id="Rectangle 269" o:spid="_x0000_s1056" style="position:absolute;left:31683;top:25092;width:289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
                          <w:rPr>
                            <w:rFonts w:ascii="Calibri" w:hAnsi="Calibri" w:cs="Calibri"/>
                            <w:color w:val="000000"/>
                            <w:sz w:val="20"/>
                            <w:szCs w:val="20"/>
                            <w:lang w:val="en-US"/>
                          </w:rPr>
                          <w:t>2011.</w:t>
                        </w:r>
                      </w:p>
                    </w:txbxContent>
                  </v:textbox>
                </v:rect>
                <v:rect id="Rectangle 270" o:spid="_x0000_s1057" style="position:absolute;left:35201;top:25092;width:289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2012.</w:t>
                        </w:r>
                      </w:p>
                    </w:txbxContent>
                  </v:textbox>
                </v:rect>
                <v:rect id="Rectangle 271" o:spid="_x0000_s1058" style="position:absolute;left:38719;top:25092;width:289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2013.</w:t>
                        </w:r>
                      </w:p>
                    </w:txbxContent>
                  </v:textbox>
                </v:rect>
                <v:rect id="Rectangle 272" o:spid="_x0000_s1059" style="position:absolute;left:42237;top:25092;width:289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2014.</w:t>
                        </w:r>
                      </w:p>
                    </w:txbxContent>
                  </v:textbox>
                </v:rect>
                <v:rect id="Rectangle 273" o:spid="_x0000_s1060" style="position:absolute;left:45754;top:25092;width:289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
                          <w:rPr>
                            <w:rFonts w:ascii="Calibri" w:hAnsi="Calibri" w:cs="Calibri"/>
                            <w:color w:val="000000"/>
                            <w:sz w:val="20"/>
                            <w:szCs w:val="20"/>
                            <w:lang w:val="en-US"/>
                          </w:rPr>
                          <w:t>2015.</w:t>
                        </w:r>
                      </w:p>
                    </w:txbxContent>
                  </v:textbox>
                </v:rect>
                <v:rect id="Rectangle 274" o:spid="_x0000_s1061" style="position:absolute;left:5929;top:9777;width:2062;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hcQA&#10;AADcAAAADwAAAGRycy9kb3ducmV2LnhtbESPzWrDMBCE74W+g9hAbo0cQ0xwo4QQaOmpIT+UHhdr&#10;Y5laK2OplvP2USCQ4zAz3zCrzWhbMVDvG8cK5rMMBHHldMO1gvPp420Jwgdkja1jUnAlD5v168sK&#10;S+0iH2g4hlokCPsSFZgQulJKXxmy6GeuI07exfUWQ5J9LXWPMcFtK/MsK6TFhtOCwY52hqq/479V&#10;cCji3gzLzyHOt/H3EnLixc+3UtPJuH0HEWgMz/Cj/aUV5MUC7mfS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54XEAAAA3AAAAA8AAAAAAAAAAAAAAAAAmAIAAGRycy9k&#10;b3ducmV2LnhtbFBLBQYAAAAABAAEAPUAAACJAwAAAAA=&#10;" filled="f" stroked="f">
                  <v:textbox style="layout-flow:vertical;mso-layout-flow-alt:bottom-to-top" inset="0,0,0,0">
                    <w:txbxContent>
                      <w:p>
                        <w:pPr>
                          <w:rPr>
                            <w:rFonts w:asciiTheme="minorHAnsi" w:hAnsiTheme="minorHAnsi"/>
                            <w:b/>
                            <w:sz w:val="20"/>
                            <w:szCs w:val="20"/>
                          </w:rPr>
                        </w:pPr>
                        <w:r>
                          <w:rPr>
                            <w:rFonts w:asciiTheme="minorHAnsi" w:hAnsiTheme="minorHAnsi"/>
                            <w:b/>
                            <w:sz w:val="20"/>
                            <w:szCs w:val="20"/>
                          </w:rPr>
                          <w:t>Milijardi</w:t>
                        </w:r>
                      </w:p>
                    </w:txbxContent>
                  </v:textbox>
                </v:rect>
                <v:rect id="Rectangle 275" o:spid="_x0000_s1062" style="position:absolute;left:11166;top:996;width:32518;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
                          <w:rPr>
                            <w:rFonts w:ascii="Calibri" w:hAnsi="Calibri" w:cs="Calibri"/>
                            <w:b/>
                            <w:bCs/>
                            <w:color w:val="000000"/>
                            <w:sz w:val="36"/>
                            <w:szCs w:val="36"/>
                            <w:lang w:val="en-US"/>
                          </w:rPr>
                          <w:t xml:space="preserve">Ukupan broj zaplijenjenih cigareta </w:t>
                        </w:r>
                      </w:p>
                    </w:txbxContent>
                  </v:textbox>
                </v:rect>
                <v:rect id="Rectangle 276" o:spid="_x0000_s1063" style="position:absolute;left:21764;top:3784;width:4756;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
                          <w:rPr>
                            <w:rFonts w:ascii="Calibri" w:hAnsi="Calibri" w:cs="Calibri"/>
                            <w:b/>
                            <w:bCs/>
                            <w:color w:val="000000"/>
                            <w:sz w:val="32"/>
                            <w:szCs w:val="32"/>
                            <w:lang w:val="en-US"/>
                          </w:rPr>
                          <w:t>(2005</w:t>
                        </w:r>
                      </w:p>
                    </w:txbxContent>
                  </v:textbox>
                </v:rect>
                <v:rect id="Rectangle 277" o:spid="_x0000_s1064" style="position:absolute;left:26470;top:3784;width:546;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
                          <w:rPr>
                            <w:rFonts w:ascii="Calibri" w:hAnsi="Calibri" w:cs="Calibri"/>
                            <w:b/>
                            <w:bCs/>
                            <w:color w:val="000000"/>
                            <w:sz w:val="32"/>
                            <w:szCs w:val="32"/>
                            <w:lang w:val="en-US"/>
                          </w:rPr>
                          <w:t>.</w:t>
                        </w:r>
                      </w:p>
                    </w:txbxContent>
                  </v:textbox>
                </v:rect>
                <v:rect id="Rectangle 278" o:spid="_x0000_s1065" style="position:absolute;left:26954;top:3479;width:1143;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pPr>
                          <w:rPr>
                            <w:sz w:val="36"/>
                            <w:szCs w:val="36"/>
                          </w:rPr>
                        </w:pPr>
                        <w:r>
                          <w:rPr>
                            <w:rFonts w:ascii="Calibri" w:hAnsi="Calibri" w:cs="Calibri"/>
                            <w:color w:val="000000"/>
                            <w:sz w:val="36"/>
                            <w:szCs w:val="36"/>
                            <w:lang w:val="en-US"/>
                          </w:rPr>
                          <w:t>–</w:t>
                        </w:r>
                      </w:p>
                    </w:txbxContent>
                  </v:textbox>
                </v:rect>
                <v:rect id="Rectangle 279" o:spid="_x0000_s1066" style="position:absolute;left:28234;top:3784;width:4121;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
                          <w:rPr>
                            <w:rFonts w:ascii="Calibri" w:hAnsi="Calibri" w:cs="Calibri"/>
                            <w:b/>
                            <w:bCs/>
                            <w:color w:val="000000"/>
                            <w:sz w:val="32"/>
                            <w:szCs w:val="32"/>
                            <w:lang w:val="en-US"/>
                          </w:rPr>
                          <w:t>2015</w:t>
                        </w:r>
                      </w:p>
                    </w:txbxContent>
                  </v:textbox>
                </v:rect>
                <v:rect id="Rectangle 280" o:spid="_x0000_s1067" style="position:absolute;left:32273;top:3784;width:547;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
                          <w:rPr>
                            <w:rFonts w:ascii="Calibri" w:hAnsi="Calibri" w:cs="Calibri"/>
                            <w:b/>
                            <w:bCs/>
                            <w:color w:val="000000"/>
                            <w:sz w:val="32"/>
                            <w:szCs w:val="32"/>
                            <w:lang w:val="en-US"/>
                          </w:rPr>
                          <w:t>.</w:t>
                        </w:r>
                      </w:p>
                    </w:txbxContent>
                  </v:textbox>
                </v:rect>
                <v:rect id="Rectangle 281" o:spid="_x0000_s1068" style="position:absolute;left:32781;top:3784;width:635;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
                          <w:rPr>
                            <w:rFonts w:ascii="Calibri" w:hAnsi="Calibri" w:cs="Calibri"/>
                            <w:b/>
                            <w:bCs/>
                            <w:color w:val="000000"/>
                            <w:sz w:val="32"/>
                            <w:szCs w:val="32"/>
                            <w:lang w:val="en-US"/>
                          </w:rPr>
                          <w:t xml:space="preserve">) </w:t>
                        </w:r>
                      </w:p>
                    </w:txbxContent>
                  </v:textbox>
                </v:rect>
                <v:rect id="Rectangle 282" o:spid="_x0000_s1069" style="position:absolute;left:5322;top:38;width:44863;height:2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psQA&#10;AADcAAAADwAAAGRycy9kb3ducmV2LnhtbESPQWvCQBSE74L/YXlCb7pbC1Wiq1RLJQeLmBbB2yP7&#10;TILZtyG7avrv3YLgcZiZb5j5srO1uFLrK8caXkcKBHHuTMWFht+fr+EUhA/IBmvHpOGPPCwX/d4c&#10;E+NuvKdrFgoRIewT1FCG0CRS+rwki37kGuLonVxrMUTZFtK0eItwW8uxUu/SYsVxocSG1iXl5+xi&#10;NaTHw+eET9/KqFW3yWS6M2YrtX4ZdB8zEIG68Aw/2qnRMJ68wf+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aPqbEAAAA3AAAAA8AAAAAAAAAAAAAAAAAmAIAAGRycy9k&#10;b3ducmV2LnhtbFBLBQYAAAAABAAEAPUAAACJAwAAAAA=&#10;" filled="f" strokecolor="#868686" strokeweight=".7pt">
                  <v:stroke joinstyle="round"/>
                </v:rect>
                <w10:anchorlock/>
              </v:group>
            </w:pict>
          </mc:Fallback>
        </mc:AlternateContent>
      </w:r>
    </w:p>
    <w:p>
      <w:pPr>
        <w:spacing w:after="240"/>
        <w:jc w:val="both"/>
        <w:rPr>
          <w:rFonts w:eastAsiaTheme="minorHAnsi"/>
          <w:noProof/>
        </w:rPr>
      </w:pPr>
      <w:r>
        <w:rPr>
          <w:rFonts w:eastAsiaTheme="minorHAnsi"/>
          <w:b/>
          <w:noProof/>
        </w:rPr>
        <w:t>b)</w:t>
      </w:r>
      <w:r>
        <w:rPr>
          <w:noProof/>
        </w:rPr>
        <w:t xml:space="preserve"> </w:t>
      </w:r>
      <w:r>
        <w:rPr>
          <w:rFonts w:eastAsiaTheme="minorHAnsi"/>
          <w:b/>
          <w:noProof/>
        </w:rPr>
        <w:t>Zajedničke carinske operacije</w:t>
      </w:r>
      <w:r>
        <w:rPr>
          <w:noProof/>
        </w:rPr>
        <w:t xml:space="preserve"> (JCO) operativne su, koordinirane i ciljane mjere koje carinska tijela provode tijekom ograničenog razdoblja radi borbe protiv prekograničnog krijumčarenja robe. Zajedničke carinske operacije ne donose samo operativne rezultate već i znatno pridonose poboljšanju prekogranične suradnje i izgradnji povjerenja među tijelima kaznenog progona u državama članicama. Od 2013. OLAF je pridonio brojnim zajedničkim carinskim operacijama koje su u cijelosti ili djelomično orijentirane na nezakonitu trgovinu duhanom ili ih je u cijelosti organizirao. Nekoliko je njih (vidjeti tablicu 1) bilo usmjereno na istočnu granicu EU-a jer se oko polovine svih zapljena cigareta u EU-u događa u državama članicama u toj regiji (mjere 3.1.3 i 3.1.7).</w:t>
      </w:r>
    </w:p>
    <w:p>
      <w:pPr>
        <w:spacing w:before="120" w:after="120"/>
        <w:jc w:val="center"/>
        <w:rPr>
          <w:rFonts w:eastAsiaTheme="minorHAnsi"/>
          <w:noProof/>
        </w:rPr>
      </w:pPr>
      <w:r>
        <w:rPr>
          <w:rFonts w:eastAsiaTheme="minorHAnsi"/>
          <w:b/>
          <w:i/>
          <w:noProof/>
        </w:rPr>
        <w:t>Tablica 1: Velike zajedničke carinske operacije diljem EU-a od 2013.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trPr>
          <w:trHeight w:hRule="exact" w:val="766"/>
          <w:jc w:val="center"/>
        </w:trPr>
        <w:tc>
          <w:tcPr>
            <w:tcW w:w="2268" w:type="dxa"/>
            <w:shd w:val="clear" w:color="auto" w:fill="DBE5F1"/>
            <w:vAlign w:val="center"/>
          </w:tcPr>
          <w:p>
            <w:pPr>
              <w:jc w:val="center"/>
              <w:rPr>
                <w:rFonts w:eastAsiaTheme="minorHAnsi"/>
                <w:b/>
                <w:noProof/>
              </w:rPr>
            </w:pPr>
            <w:r>
              <w:rPr>
                <w:rFonts w:eastAsiaTheme="minorHAnsi"/>
                <w:b/>
                <w:noProof/>
              </w:rPr>
              <w:t>Godina</w:t>
            </w:r>
          </w:p>
        </w:tc>
        <w:tc>
          <w:tcPr>
            <w:tcW w:w="2268" w:type="dxa"/>
            <w:shd w:val="clear" w:color="auto" w:fill="DBE5F1"/>
            <w:vAlign w:val="center"/>
          </w:tcPr>
          <w:p>
            <w:pPr>
              <w:jc w:val="center"/>
              <w:rPr>
                <w:rFonts w:eastAsiaTheme="minorHAnsi"/>
                <w:b/>
                <w:noProof/>
              </w:rPr>
            </w:pPr>
            <w:r>
              <w:rPr>
                <w:rFonts w:eastAsiaTheme="minorHAnsi"/>
                <w:b/>
                <w:noProof/>
              </w:rPr>
              <w:t>Naziv zajedničke carinske operacije</w:t>
            </w:r>
          </w:p>
        </w:tc>
        <w:tc>
          <w:tcPr>
            <w:tcW w:w="2268" w:type="dxa"/>
            <w:shd w:val="clear" w:color="auto" w:fill="DBE5F1"/>
            <w:vAlign w:val="center"/>
          </w:tcPr>
          <w:p>
            <w:pPr>
              <w:jc w:val="center"/>
              <w:rPr>
                <w:rFonts w:eastAsiaTheme="minorHAnsi"/>
                <w:b/>
                <w:noProof/>
              </w:rPr>
            </w:pPr>
            <w:r>
              <w:rPr>
                <w:rFonts w:eastAsiaTheme="minorHAnsi"/>
                <w:b/>
                <w:noProof/>
              </w:rPr>
              <w:t>Tijelo koje ju je provelo</w:t>
            </w:r>
          </w:p>
        </w:tc>
        <w:tc>
          <w:tcPr>
            <w:tcW w:w="2268" w:type="dxa"/>
            <w:shd w:val="clear" w:color="auto" w:fill="DBE5F1"/>
            <w:vAlign w:val="center"/>
          </w:tcPr>
          <w:p>
            <w:pPr>
              <w:jc w:val="center"/>
              <w:rPr>
                <w:rFonts w:eastAsiaTheme="minorHAnsi"/>
                <w:b/>
                <w:noProof/>
              </w:rPr>
            </w:pPr>
            <w:r>
              <w:rPr>
                <w:rFonts w:eastAsiaTheme="minorHAnsi"/>
                <w:b/>
                <w:noProof/>
              </w:rPr>
              <w:t>Broj zaplijenjenih cigareta</w:t>
            </w:r>
          </w:p>
        </w:tc>
      </w:tr>
      <w:tr>
        <w:trPr>
          <w:trHeight w:hRule="exact" w:val="397"/>
          <w:jc w:val="center"/>
        </w:trPr>
        <w:tc>
          <w:tcPr>
            <w:tcW w:w="2268" w:type="dxa"/>
            <w:shd w:val="clear" w:color="auto" w:fill="auto"/>
            <w:vAlign w:val="center"/>
          </w:tcPr>
          <w:p>
            <w:pPr>
              <w:jc w:val="center"/>
              <w:rPr>
                <w:rFonts w:eastAsiaTheme="minorHAnsi"/>
                <w:noProof/>
                <w:sz w:val="22"/>
                <w:szCs w:val="22"/>
              </w:rPr>
            </w:pPr>
            <w:r>
              <w:rPr>
                <w:rFonts w:eastAsiaTheme="minorHAnsi"/>
                <w:noProof/>
                <w:sz w:val="22"/>
              </w:rPr>
              <w:t>2013.</w:t>
            </w:r>
          </w:p>
        </w:tc>
        <w:tc>
          <w:tcPr>
            <w:tcW w:w="2268" w:type="dxa"/>
            <w:shd w:val="clear" w:color="auto" w:fill="auto"/>
            <w:vAlign w:val="center"/>
          </w:tcPr>
          <w:p>
            <w:pPr>
              <w:jc w:val="center"/>
              <w:rPr>
                <w:rFonts w:eastAsiaTheme="minorHAnsi"/>
                <w:noProof/>
                <w:sz w:val="22"/>
                <w:szCs w:val="22"/>
              </w:rPr>
            </w:pPr>
            <w:r>
              <w:rPr>
                <w:rFonts w:eastAsiaTheme="minorHAnsi"/>
                <w:noProof/>
                <w:sz w:val="22"/>
              </w:rPr>
              <w:t>Romoluk</w:t>
            </w:r>
          </w:p>
        </w:tc>
        <w:tc>
          <w:tcPr>
            <w:tcW w:w="2268" w:type="dxa"/>
            <w:shd w:val="clear" w:color="auto" w:fill="auto"/>
            <w:vAlign w:val="center"/>
          </w:tcPr>
          <w:p>
            <w:pPr>
              <w:jc w:val="center"/>
              <w:rPr>
                <w:rFonts w:eastAsiaTheme="minorHAnsi"/>
                <w:noProof/>
                <w:sz w:val="22"/>
                <w:szCs w:val="22"/>
              </w:rPr>
            </w:pPr>
            <w:r>
              <w:rPr>
                <w:rFonts w:eastAsiaTheme="minorHAnsi"/>
                <w:noProof/>
                <w:sz w:val="22"/>
              </w:rPr>
              <w:t>RO, OLAF</w:t>
            </w:r>
          </w:p>
        </w:tc>
        <w:tc>
          <w:tcPr>
            <w:tcW w:w="2268" w:type="dxa"/>
            <w:shd w:val="clear" w:color="auto" w:fill="auto"/>
            <w:vAlign w:val="center"/>
          </w:tcPr>
          <w:p>
            <w:pPr>
              <w:jc w:val="center"/>
              <w:rPr>
                <w:rFonts w:eastAsiaTheme="minorHAnsi"/>
                <w:noProof/>
                <w:sz w:val="22"/>
                <w:szCs w:val="22"/>
              </w:rPr>
            </w:pPr>
            <w:r>
              <w:rPr>
                <w:rFonts w:eastAsiaTheme="minorHAnsi"/>
                <w:noProof/>
                <w:snapToGrid w:val="0"/>
                <w:sz w:val="22"/>
              </w:rPr>
              <w:t>23 milijuna</w:t>
            </w:r>
          </w:p>
        </w:tc>
      </w:tr>
      <w:tr>
        <w:trPr>
          <w:trHeight w:hRule="exact" w:val="397"/>
          <w:jc w:val="center"/>
        </w:trPr>
        <w:tc>
          <w:tcPr>
            <w:tcW w:w="2268" w:type="dxa"/>
            <w:shd w:val="clear" w:color="auto" w:fill="auto"/>
            <w:vAlign w:val="center"/>
          </w:tcPr>
          <w:p>
            <w:pPr>
              <w:jc w:val="center"/>
              <w:rPr>
                <w:rFonts w:eastAsiaTheme="minorHAnsi"/>
                <w:noProof/>
                <w:sz w:val="22"/>
                <w:szCs w:val="22"/>
              </w:rPr>
            </w:pPr>
            <w:r>
              <w:rPr>
                <w:rFonts w:eastAsiaTheme="minorHAnsi"/>
                <w:noProof/>
                <w:sz w:val="22"/>
              </w:rPr>
              <w:t>2013.</w:t>
            </w:r>
          </w:p>
        </w:tc>
        <w:tc>
          <w:tcPr>
            <w:tcW w:w="2268" w:type="dxa"/>
            <w:shd w:val="clear" w:color="auto" w:fill="auto"/>
            <w:vAlign w:val="center"/>
          </w:tcPr>
          <w:p>
            <w:pPr>
              <w:jc w:val="center"/>
              <w:rPr>
                <w:rFonts w:eastAsiaTheme="minorHAnsi"/>
                <w:noProof/>
                <w:sz w:val="22"/>
                <w:szCs w:val="22"/>
              </w:rPr>
            </w:pPr>
            <w:r>
              <w:rPr>
                <w:rFonts w:eastAsiaTheme="minorHAnsi"/>
                <w:noProof/>
                <w:sz w:val="22"/>
              </w:rPr>
              <w:t>Warehouse</w:t>
            </w:r>
          </w:p>
        </w:tc>
        <w:tc>
          <w:tcPr>
            <w:tcW w:w="2268" w:type="dxa"/>
            <w:shd w:val="clear" w:color="auto" w:fill="auto"/>
            <w:vAlign w:val="center"/>
          </w:tcPr>
          <w:p>
            <w:pPr>
              <w:jc w:val="center"/>
              <w:rPr>
                <w:rFonts w:eastAsiaTheme="minorHAnsi"/>
                <w:noProof/>
                <w:sz w:val="22"/>
                <w:szCs w:val="22"/>
              </w:rPr>
            </w:pPr>
            <w:r>
              <w:rPr>
                <w:rFonts w:eastAsiaTheme="minorHAnsi"/>
                <w:noProof/>
                <w:sz w:val="22"/>
              </w:rPr>
              <w:t>LT, OLAF</w:t>
            </w:r>
          </w:p>
        </w:tc>
        <w:tc>
          <w:tcPr>
            <w:tcW w:w="2268" w:type="dxa"/>
            <w:shd w:val="clear" w:color="auto" w:fill="auto"/>
            <w:vAlign w:val="center"/>
          </w:tcPr>
          <w:p>
            <w:pPr>
              <w:jc w:val="center"/>
              <w:rPr>
                <w:rFonts w:eastAsiaTheme="minorHAnsi"/>
                <w:noProof/>
                <w:sz w:val="22"/>
                <w:szCs w:val="22"/>
              </w:rPr>
            </w:pPr>
            <w:r>
              <w:rPr>
                <w:rFonts w:eastAsiaTheme="minorHAnsi"/>
                <w:noProof/>
                <w:sz w:val="22"/>
              </w:rPr>
              <w:t>45 milijuna</w:t>
            </w:r>
          </w:p>
        </w:tc>
      </w:tr>
      <w:tr>
        <w:trPr>
          <w:trHeight w:hRule="exact" w:val="397"/>
          <w:jc w:val="center"/>
        </w:trPr>
        <w:tc>
          <w:tcPr>
            <w:tcW w:w="2268" w:type="dxa"/>
            <w:shd w:val="clear" w:color="auto" w:fill="auto"/>
            <w:vAlign w:val="center"/>
          </w:tcPr>
          <w:p>
            <w:pPr>
              <w:jc w:val="center"/>
              <w:rPr>
                <w:rFonts w:eastAsiaTheme="minorHAnsi"/>
                <w:noProof/>
                <w:sz w:val="22"/>
                <w:szCs w:val="22"/>
              </w:rPr>
            </w:pPr>
            <w:r>
              <w:rPr>
                <w:rFonts w:eastAsiaTheme="minorHAnsi"/>
                <w:noProof/>
                <w:sz w:val="22"/>
              </w:rPr>
              <w:t>2014.</w:t>
            </w:r>
          </w:p>
        </w:tc>
        <w:tc>
          <w:tcPr>
            <w:tcW w:w="2268" w:type="dxa"/>
            <w:shd w:val="clear" w:color="auto" w:fill="auto"/>
            <w:vAlign w:val="center"/>
          </w:tcPr>
          <w:p>
            <w:pPr>
              <w:jc w:val="center"/>
              <w:rPr>
                <w:rFonts w:eastAsiaTheme="minorHAnsi"/>
                <w:noProof/>
                <w:sz w:val="22"/>
                <w:szCs w:val="22"/>
              </w:rPr>
            </w:pPr>
            <w:r>
              <w:rPr>
                <w:rFonts w:eastAsiaTheme="minorHAnsi"/>
                <w:noProof/>
                <w:sz w:val="22"/>
              </w:rPr>
              <w:t>Replica</w:t>
            </w:r>
          </w:p>
        </w:tc>
        <w:tc>
          <w:tcPr>
            <w:tcW w:w="2268" w:type="dxa"/>
            <w:shd w:val="clear" w:color="auto" w:fill="auto"/>
            <w:vAlign w:val="center"/>
          </w:tcPr>
          <w:p>
            <w:pPr>
              <w:jc w:val="center"/>
              <w:rPr>
                <w:rFonts w:eastAsiaTheme="minorHAnsi"/>
                <w:noProof/>
                <w:sz w:val="22"/>
                <w:szCs w:val="22"/>
              </w:rPr>
            </w:pPr>
            <w:r>
              <w:rPr>
                <w:rFonts w:eastAsiaTheme="minorHAnsi"/>
                <w:noProof/>
                <w:sz w:val="22"/>
              </w:rPr>
              <w:t>OLAF</w:t>
            </w:r>
          </w:p>
        </w:tc>
        <w:tc>
          <w:tcPr>
            <w:tcW w:w="2268" w:type="dxa"/>
            <w:shd w:val="clear" w:color="auto" w:fill="auto"/>
            <w:vAlign w:val="center"/>
          </w:tcPr>
          <w:p>
            <w:pPr>
              <w:jc w:val="center"/>
              <w:rPr>
                <w:rFonts w:eastAsiaTheme="minorHAnsi"/>
                <w:noProof/>
                <w:sz w:val="22"/>
                <w:szCs w:val="22"/>
              </w:rPr>
            </w:pPr>
            <w:r>
              <w:rPr>
                <w:rFonts w:eastAsiaTheme="minorHAnsi"/>
                <w:noProof/>
                <w:sz w:val="22"/>
              </w:rPr>
              <w:t>130 milijuna</w:t>
            </w:r>
          </w:p>
        </w:tc>
      </w:tr>
      <w:tr>
        <w:trPr>
          <w:trHeight w:hRule="exact" w:val="397"/>
          <w:jc w:val="center"/>
        </w:trPr>
        <w:tc>
          <w:tcPr>
            <w:tcW w:w="2268" w:type="dxa"/>
            <w:shd w:val="clear" w:color="auto" w:fill="auto"/>
            <w:vAlign w:val="center"/>
          </w:tcPr>
          <w:p>
            <w:pPr>
              <w:jc w:val="center"/>
              <w:rPr>
                <w:rFonts w:eastAsiaTheme="minorHAnsi"/>
                <w:noProof/>
                <w:sz w:val="22"/>
                <w:szCs w:val="22"/>
              </w:rPr>
            </w:pPr>
            <w:r>
              <w:rPr>
                <w:rFonts w:eastAsiaTheme="minorHAnsi"/>
                <w:noProof/>
                <w:sz w:val="22"/>
              </w:rPr>
              <w:t>2015.</w:t>
            </w:r>
          </w:p>
        </w:tc>
        <w:tc>
          <w:tcPr>
            <w:tcW w:w="2268" w:type="dxa"/>
            <w:shd w:val="clear" w:color="auto" w:fill="auto"/>
            <w:vAlign w:val="center"/>
          </w:tcPr>
          <w:p>
            <w:pPr>
              <w:jc w:val="center"/>
              <w:rPr>
                <w:rFonts w:eastAsiaTheme="minorHAnsi"/>
                <w:noProof/>
                <w:sz w:val="22"/>
                <w:szCs w:val="22"/>
              </w:rPr>
            </w:pPr>
            <w:r>
              <w:rPr>
                <w:rFonts w:eastAsiaTheme="minorHAnsi"/>
                <w:noProof/>
                <w:sz w:val="22"/>
              </w:rPr>
              <w:t>Baltica</w:t>
            </w:r>
          </w:p>
        </w:tc>
        <w:tc>
          <w:tcPr>
            <w:tcW w:w="2268" w:type="dxa"/>
            <w:shd w:val="clear" w:color="auto" w:fill="auto"/>
            <w:vAlign w:val="center"/>
          </w:tcPr>
          <w:p>
            <w:pPr>
              <w:jc w:val="center"/>
              <w:rPr>
                <w:rFonts w:eastAsiaTheme="minorHAnsi"/>
                <w:noProof/>
                <w:sz w:val="22"/>
                <w:szCs w:val="22"/>
              </w:rPr>
            </w:pPr>
            <w:r>
              <w:rPr>
                <w:rFonts w:eastAsiaTheme="minorHAnsi"/>
                <w:noProof/>
                <w:sz w:val="22"/>
              </w:rPr>
              <w:t>PL, OLAF</w:t>
            </w:r>
          </w:p>
        </w:tc>
        <w:tc>
          <w:tcPr>
            <w:tcW w:w="2268" w:type="dxa"/>
            <w:shd w:val="clear" w:color="auto" w:fill="auto"/>
            <w:vAlign w:val="center"/>
          </w:tcPr>
          <w:p>
            <w:pPr>
              <w:jc w:val="center"/>
              <w:rPr>
                <w:rFonts w:eastAsiaTheme="minorHAnsi"/>
                <w:noProof/>
                <w:sz w:val="22"/>
                <w:szCs w:val="22"/>
              </w:rPr>
            </w:pPr>
            <w:r>
              <w:rPr>
                <w:rFonts w:eastAsiaTheme="minorHAnsi"/>
                <w:noProof/>
                <w:sz w:val="22"/>
              </w:rPr>
              <w:t>13 milijuna</w:t>
            </w:r>
          </w:p>
        </w:tc>
      </w:tr>
      <w:tr>
        <w:trPr>
          <w:trHeight w:hRule="exact" w:val="397"/>
          <w:jc w:val="center"/>
        </w:trPr>
        <w:tc>
          <w:tcPr>
            <w:tcW w:w="2268" w:type="dxa"/>
            <w:shd w:val="clear" w:color="auto" w:fill="auto"/>
            <w:vAlign w:val="center"/>
          </w:tcPr>
          <w:p>
            <w:pPr>
              <w:jc w:val="center"/>
              <w:rPr>
                <w:rFonts w:eastAsiaTheme="minorHAnsi"/>
                <w:noProof/>
                <w:sz w:val="22"/>
                <w:szCs w:val="22"/>
              </w:rPr>
            </w:pPr>
            <w:r>
              <w:rPr>
                <w:rFonts w:eastAsiaTheme="minorHAnsi"/>
                <w:noProof/>
                <w:sz w:val="22"/>
              </w:rPr>
              <w:t>2015.</w:t>
            </w:r>
          </w:p>
        </w:tc>
        <w:tc>
          <w:tcPr>
            <w:tcW w:w="2268" w:type="dxa"/>
            <w:shd w:val="clear" w:color="auto" w:fill="auto"/>
            <w:vAlign w:val="center"/>
          </w:tcPr>
          <w:p>
            <w:pPr>
              <w:jc w:val="center"/>
              <w:rPr>
                <w:rFonts w:eastAsiaTheme="minorHAnsi"/>
                <w:noProof/>
                <w:sz w:val="22"/>
                <w:szCs w:val="22"/>
              </w:rPr>
            </w:pPr>
            <w:r>
              <w:rPr>
                <w:rFonts w:eastAsiaTheme="minorHAnsi"/>
                <w:noProof/>
                <w:sz w:val="22"/>
              </w:rPr>
              <w:t>Romoluk II</w:t>
            </w:r>
          </w:p>
        </w:tc>
        <w:tc>
          <w:tcPr>
            <w:tcW w:w="2268" w:type="dxa"/>
            <w:shd w:val="clear" w:color="auto" w:fill="auto"/>
            <w:vAlign w:val="center"/>
          </w:tcPr>
          <w:p>
            <w:pPr>
              <w:jc w:val="center"/>
              <w:rPr>
                <w:rFonts w:eastAsiaTheme="minorHAnsi"/>
                <w:noProof/>
                <w:sz w:val="22"/>
                <w:szCs w:val="22"/>
              </w:rPr>
            </w:pPr>
            <w:r>
              <w:rPr>
                <w:rFonts w:eastAsiaTheme="minorHAnsi"/>
                <w:noProof/>
                <w:sz w:val="22"/>
              </w:rPr>
              <w:t>RO, OLAF</w:t>
            </w:r>
          </w:p>
        </w:tc>
        <w:tc>
          <w:tcPr>
            <w:tcW w:w="2268" w:type="dxa"/>
            <w:shd w:val="clear" w:color="auto" w:fill="auto"/>
            <w:vAlign w:val="center"/>
          </w:tcPr>
          <w:p>
            <w:pPr>
              <w:jc w:val="center"/>
              <w:rPr>
                <w:rFonts w:eastAsiaTheme="minorHAnsi"/>
                <w:noProof/>
                <w:sz w:val="22"/>
                <w:szCs w:val="22"/>
              </w:rPr>
            </w:pPr>
            <w:r>
              <w:rPr>
                <w:rFonts w:eastAsiaTheme="minorHAnsi"/>
                <w:noProof/>
                <w:sz w:val="22"/>
              </w:rPr>
              <w:t>3,74 milijuna</w:t>
            </w:r>
          </w:p>
        </w:tc>
      </w:tr>
      <w:tr>
        <w:trPr>
          <w:trHeight w:hRule="exact" w:val="397"/>
          <w:jc w:val="center"/>
        </w:trPr>
        <w:tc>
          <w:tcPr>
            <w:tcW w:w="2268" w:type="dxa"/>
            <w:shd w:val="clear" w:color="auto" w:fill="auto"/>
            <w:vAlign w:val="center"/>
          </w:tcPr>
          <w:p>
            <w:pPr>
              <w:jc w:val="center"/>
              <w:rPr>
                <w:rFonts w:eastAsiaTheme="minorHAnsi"/>
                <w:noProof/>
                <w:sz w:val="22"/>
                <w:szCs w:val="22"/>
              </w:rPr>
            </w:pPr>
            <w:r>
              <w:rPr>
                <w:rFonts w:eastAsiaTheme="minorHAnsi"/>
                <w:noProof/>
                <w:sz w:val="22"/>
              </w:rPr>
              <w:t>2016.</w:t>
            </w:r>
          </w:p>
        </w:tc>
        <w:tc>
          <w:tcPr>
            <w:tcW w:w="2268" w:type="dxa"/>
            <w:shd w:val="clear" w:color="auto" w:fill="auto"/>
            <w:vAlign w:val="center"/>
          </w:tcPr>
          <w:p>
            <w:pPr>
              <w:jc w:val="center"/>
              <w:rPr>
                <w:rFonts w:eastAsiaTheme="minorHAnsi"/>
                <w:noProof/>
                <w:sz w:val="22"/>
                <w:szCs w:val="22"/>
              </w:rPr>
            </w:pPr>
            <w:r>
              <w:rPr>
                <w:rFonts w:eastAsiaTheme="minorHAnsi"/>
                <w:noProof/>
                <w:sz w:val="22"/>
              </w:rPr>
              <w:t>Magnum</w:t>
            </w:r>
          </w:p>
        </w:tc>
        <w:tc>
          <w:tcPr>
            <w:tcW w:w="2268" w:type="dxa"/>
            <w:shd w:val="clear" w:color="auto" w:fill="auto"/>
            <w:vAlign w:val="center"/>
          </w:tcPr>
          <w:p>
            <w:pPr>
              <w:jc w:val="center"/>
              <w:rPr>
                <w:rFonts w:eastAsiaTheme="minorHAnsi"/>
                <w:noProof/>
                <w:sz w:val="22"/>
                <w:szCs w:val="22"/>
              </w:rPr>
            </w:pPr>
            <w:r>
              <w:rPr>
                <w:rFonts w:eastAsiaTheme="minorHAnsi"/>
                <w:noProof/>
                <w:sz w:val="22"/>
              </w:rPr>
              <w:t>EE, OLAF</w:t>
            </w:r>
          </w:p>
        </w:tc>
        <w:tc>
          <w:tcPr>
            <w:tcW w:w="2268" w:type="dxa"/>
            <w:shd w:val="clear" w:color="auto" w:fill="auto"/>
            <w:vAlign w:val="center"/>
          </w:tcPr>
          <w:p>
            <w:pPr>
              <w:jc w:val="center"/>
              <w:rPr>
                <w:rFonts w:eastAsiaTheme="minorHAnsi"/>
                <w:noProof/>
                <w:sz w:val="22"/>
                <w:szCs w:val="22"/>
              </w:rPr>
            </w:pPr>
            <w:r>
              <w:rPr>
                <w:rFonts w:eastAsiaTheme="minorHAnsi"/>
                <w:noProof/>
                <w:sz w:val="22"/>
              </w:rPr>
              <w:t>11 milijuna</w:t>
            </w:r>
          </w:p>
        </w:tc>
      </w:tr>
    </w:tbl>
    <w:p>
      <w:pPr>
        <w:spacing w:before="240" w:after="240"/>
        <w:jc w:val="both"/>
        <w:rPr>
          <w:rFonts w:eastAsiaTheme="minorHAnsi"/>
          <w:noProof/>
        </w:rPr>
      </w:pPr>
      <w:r>
        <w:rPr>
          <w:noProof/>
        </w:rPr>
        <w:t>Usto, Komisija je 2013. i 2014. koordinirala prioritetnu kontrolnu mjeru „DISMANTLE” </w:t>
      </w:r>
      <w:r>
        <w:rPr>
          <w:rFonts w:eastAsiaTheme="minorHAnsi"/>
          <w:noProof/>
          <w:vertAlign w:val="superscript"/>
        </w:rPr>
        <w:footnoteReference w:id="32"/>
      </w:r>
      <w:r>
        <w:rPr>
          <w:noProof/>
        </w:rPr>
        <w:t xml:space="preserve"> u sklopu zajedničkog okvira upravljanja rizikom sa svim državama članicama EU-a. Ta mjera trajala je više od 12 mjeseci, dovela je do zapljene 816 milijuna cigareta, a na temelju njezinih rezultata predstavljen je niz posebnih preporuka za bolje usredotočenje na rizike u pogledu prokrijumčarene robe na koju se plaća trošarina (mjera 3.1.2). OLAF je 2015. i 2016. podupro i Dan zajedničke akcije „HANSA”, koji su provele države članice uz potporu Europola u okviru prioriteta prijevara na području trošarina u ciklusu politika EU-a povezanih s teškim i organiziranim kaznenim djelima </w:t>
      </w:r>
      <w:r>
        <w:rPr>
          <w:rFonts w:eastAsiaTheme="minorHAnsi"/>
          <w:noProof/>
          <w:vertAlign w:val="superscript"/>
        </w:rPr>
        <w:footnoteReference w:id="33"/>
      </w:r>
      <w:r>
        <w:rPr>
          <w:noProof/>
        </w:rPr>
        <w:t xml:space="preserve">. </w:t>
      </w:r>
    </w:p>
    <w:p>
      <w:pPr>
        <w:spacing w:before="240" w:after="240"/>
        <w:jc w:val="both"/>
        <w:rPr>
          <w:rFonts w:eastAsiaTheme="minorHAnsi"/>
          <w:noProof/>
        </w:rPr>
      </w:pPr>
      <w:r>
        <w:rPr>
          <w:rFonts w:eastAsiaTheme="minorHAnsi"/>
          <w:b/>
          <w:noProof/>
        </w:rPr>
        <w:t>c)</w:t>
      </w:r>
      <w:r>
        <w:rPr>
          <w:noProof/>
        </w:rPr>
        <w:t xml:space="preserve"> Uz operativne aktivnosti u Europi provode se i </w:t>
      </w:r>
      <w:r>
        <w:rPr>
          <w:rFonts w:eastAsiaTheme="minorHAnsi"/>
          <w:b/>
          <w:noProof/>
        </w:rPr>
        <w:t>globalne aktivnosti</w:t>
      </w:r>
      <w:r>
        <w:rPr>
          <w:noProof/>
        </w:rPr>
        <w:t xml:space="preserve">. Oko 100 carinskih uprava sudjelovalo je u operacijama „GRYPHON I” i „GRYPHON II” koje je započela i organizirala Svjetska carinska organizacija (2014. i uz potporu Europola i OLAF-a ponovno 2016.). U sklopu tih operacija diljem svijeta zaplijenjeno je 1,39 milijardi cigareta, 287 000 cigara i nekoliko stotina tona drugih duhanskih proizvoda. Zaplijenjeno je i nekoliko strojeva i komponenata za proizvodnju cigareta te 12 milijuna duhanskih markica. U sklopu tih dviju operacija zatvoreno je nekoliko nezakonitih tvornica duhana te je uhićeno više od 150 uključenih osoba. </w:t>
      </w:r>
    </w:p>
    <w:p>
      <w:pPr>
        <w:spacing w:after="240"/>
        <w:jc w:val="both"/>
        <w:rPr>
          <w:rFonts w:eastAsiaTheme="minorHAnsi"/>
          <w:noProof/>
        </w:rPr>
      </w:pPr>
      <w:r>
        <w:rPr>
          <w:rFonts w:eastAsiaTheme="minorHAnsi"/>
          <w:b/>
          <w:noProof/>
        </w:rPr>
        <w:t>d)</w:t>
      </w:r>
      <w:r>
        <w:rPr>
          <w:noProof/>
        </w:rPr>
        <w:t xml:space="preserve"> Usto, carinska tijela pojačala su napore povezane s analizom kretanja na nezakonitom tržištu duhana. U svibnju 2014. sastali su se stručnjaci kako bi raspravljali o poboljšanju </w:t>
      </w:r>
      <w:r>
        <w:rPr>
          <w:rFonts w:eastAsiaTheme="minorHAnsi"/>
          <w:b/>
          <w:noProof/>
        </w:rPr>
        <w:t>prikupljanja podataka o zapljenama</w:t>
      </w:r>
      <w:r>
        <w:rPr>
          <w:noProof/>
        </w:rPr>
        <w:t xml:space="preserve"> (mjera 3.1.12). Zbog tih nastojanja te novih </w:t>
      </w:r>
      <w:r>
        <w:rPr>
          <w:rFonts w:eastAsiaTheme="minorHAnsi"/>
          <w:noProof/>
          <w:vertAlign w:val="superscript"/>
        </w:rPr>
        <w:footnoteReference w:id="34"/>
      </w:r>
      <w:r>
        <w:rPr>
          <w:noProof/>
        </w:rPr>
        <w:t xml:space="preserve"> i boljih alata stvorena je jasnija slika o zapljenama na kontinentu (mjere 3.1.11 i 3.1.10).</w:t>
      </w:r>
    </w:p>
    <w:p>
      <w:pPr>
        <w:spacing w:after="240"/>
        <w:jc w:val="both"/>
        <w:rPr>
          <w:rFonts w:eastAsiaTheme="minorHAnsi"/>
          <w:noProof/>
        </w:rPr>
      </w:pPr>
      <w:r>
        <w:rPr>
          <w:rFonts w:eastAsiaTheme="minorHAnsi"/>
          <w:b/>
          <w:noProof/>
        </w:rPr>
        <w:t>e)</w:t>
      </w:r>
      <w:r>
        <w:rPr>
          <w:noProof/>
        </w:rPr>
        <w:t xml:space="preserve"> Kada carinska tijela zaplijene cigarete, često je teško pronaći poveznicu među cigaretama zaplijenjenima na jednom mjestu i cigaretama iz iste nezakonite serije zaplijenjenima na drugome mjestu. U tim slučajevima istražiteljima mogu pomoći analize provedene u </w:t>
      </w:r>
      <w:r>
        <w:rPr>
          <w:rFonts w:eastAsiaTheme="minorHAnsi"/>
          <w:b/>
          <w:noProof/>
        </w:rPr>
        <w:t>carinskim laboratorijima</w:t>
      </w:r>
      <w:r>
        <w:rPr>
          <w:noProof/>
        </w:rPr>
        <w:t>. Stoga je 2015. Komisijin Zajednički istraživački centar osnovao laboratorij za neovisnu analizu svih tipova zaplijenjenih cigareta. Laboratorij je osmišljen kako bi se u njemu provodile provjere u kontekstu primjene sporazuma o borbi protiv prijevara sklopljenih s tri velika proizvođača duhana (mjere 3.1.8 i 3.1.9).</w:t>
      </w:r>
    </w:p>
    <w:p>
      <w:pPr>
        <w:spacing w:after="240"/>
        <w:jc w:val="both"/>
        <w:rPr>
          <w:rFonts w:eastAsiaTheme="minorHAnsi"/>
          <w:b/>
          <w:noProof/>
        </w:rPr>
      </w:pPr>
      <w:r>
        <w:rPr>
          <w:rFonts w:eastAsiaTheme="minorHAnsi"/>
          <w:b/>
          <w:noProof/>
        </w:rPr>
        <w:t xml:space="preserve">4. </w:t>
      </w:r>
      <w:r>
        <w:rPr>
          <w:noProof/>
        </w:rPr>
        <w:tab/>
      </w:r>
      <w:r>
        <w:rPr>
          <w:rFonts w:eastAsiaTheme="minorHAnsi"/>
          <w:b/>
          <w:noProof/>
        </w:rPr>
        <w:t>Poboljšana bilateralna suradnja s glavnim zemljama podrijetla i provoza</w:t>
      </w:r>
    </w:p>
    <w:p>
      <w:pPr>
        <w:spacing w:after="240"/>
        <w:jc w:val="both"/>
        <w:rPr>
          <w:rFonts w:eastAsiaTheme="minorHAnsi"/>
          <w:noProof/>
        </w:rPr>
      </w:pPr>
      <w:r>
        <w:rPr>
          <w:noProof/>
        </w:rPr>
        <w:t>Kako bi se poboljšala prekogranična koordinacija i suradnja u borbi protiv nezakonite trgovine duhanom, Komisija je pokrenula bilateralnu suradnju s ključnim zemljama podrijetla i provoza:</w:t>
      </w:r>
    </w:p>
    <w:p>
      <w:pPr>
        <w:spacing w:after="240"/>
        <w:jc w:val="both"/>
        <w:rPr>
          <w:rFonts w:eastAsiaTheme="minorHAnsi"/>
          <w:noProof/>
        </w:rPr>
      </w:pPr>
      <w:r>
        <w:rPr>
          <w:rFonts w:eastAsiaTheme="minorHAnsi"/>
          <w:b/>
          <w:noProof/>
        </w:rPr>
        <w:t>a)</w:t>
      </w:r>
      <w:r>
        <w:rPr>
          <w:noProof/>
        </w:rPr>
        <w:t xml:space="preserve"> U borbi protiv carinske prijevare carinska tijela oslanjaju se na prekograničnu suradnju koja se temelji na odredbama o </w:t>
      </w:r>
      <w:r>
        <w:rPr>
          <w:rFonts w:eastAsiaTheme="minorHAnsi"/>
          <w:b/>
          <w:noProof/>
        </w:rPr>
        <w:t>uzajamnoj upravnoj pomoći</w:t>
      </w:r>
      <w:r>
        <w:rPr>
          <w:noProof/>
        </w:rPr>
        <w:t xml:space="preserve"> u međunarodnim sporazumima. Od 2013. su na snazi odredbe o uzajamnoj upravnoj pomoći s još 14 zemalja. Danas su sporazumi koji sadržavaju takve odredbe sklopljeni s više od 70 zemalja;</w:t>
      </w:r>
    </w:p>
    <w:p>
      <w:pPr>
        <w:spacing w:after="240"/>
        <w:jc w:val="both"/>
        <w:rPr>
          <w:rFonts w:eastAsiaTheme="minorHAnsi"/>
          <w:b/>
          <w:noProof/>
        </w:rPr>
      </w:pPr>
      <w:r>
        <w:rPr>
          <w:rFonts w:eastAsiaTheme="minorHAnsi"/>
          <w:b/>
          <w:noProof/>
        </w:rPr>
        <w:t>b)</w:t>
      </w:r>
      <w:r>
        <w:rPr>
          <w:noProof/>
        </w:rPr>
        <w:t xml:space="preserve"> Od 2015. stručnjaci iz država članica i Komisija/OLAF pojačali su </w:t>
      </w:r>
      <w:r>
        <w:rPr>
          <w:rFonts w:eastAsiaTheme="minorHAnsi"/>
          <w:b/>
          <w:noProof/>
        </w:rPr>
        <w:t>bilateralne dijaloge </w:t>
      </w:r>
      <w:r>
        <w:rPr>
          <w:rStyle w:val="FootnoteReference"/>
          <w:rFonts w:eastAsiaTheme="minorHAnsi"/>
          <w:b/>
          <w:noProof/>
        </w:rPr>
        <w:footnoteReference w:id="35"/>
      </w:r>
      <w:r>
        <w:rPr>
          <w:rFonts w:eastAsiaTheme="minorHAnsi"/>
          <w:b/>
          <w:noProof/>
        </w:rPr>
        <w:t xml:space="preserve"> o carinskim pitanjima</w:t>
      </w:r>
      <w:r>
        <w:rPr>
          <w:noProof/>
        </w:rPr>
        <w:t>, posebice s Rusijom, Bjelarusom i Ukrajinom. Tim se sastancima na tehničkoj razini nastoji poboljšati svakodnevna prekogranična suradnja, posebice u području nezakonite trgovine duhanom (mjere 3.2.4 i 3.2.5);</w:t>
      </w:r>
    </w:p>
    <w:p>
      <w:pPr>
        <w:spacing w:after="240"/>
        <w:jc w:val="both"/>
        <w:rPr>
          <w:rFonts w:eastAsiaTheme="minorHAnsi"/>
          <w:noProof/>
        </w:rPr>
      </w:pPr>
      <w:r>
        <w:rPr>
          <w:rFonts w:eastAsiaTheme="minorHAnsi"/>
          <w:b/>
          <w:noProof/>
        </w:rPr>
        <w:t>c)</w:t>
      </w:r>
      <w:r>
        <w:rPr>
          <w:noProof/>
        </w:rPr>
        <w:t xml:space="preserve"> Ključni pokretač prekogranične trgovine općenito, a posebice nezakonite trgovine, velika je razlika u cijenama u državama članicama EU-a i susjednim državama poput Bjelarusa, Ukrajine i Rusije. Kako bi se smanjio taj fiskalni poticaj za krijumčarenje, nedavnim sklapanjem sporazuma o pridruživanju s EU-om Moldova, Ukrajina i Gruzija </w:t>
      </w:r>
      <w:r>
        <w:rPr>
          <w:rFonts w:eastAsiaTheme="minorHAnsi"/>
          <w:b/>
          <w:noProof/>
        </w:rPr>
        <w:t>nastoje povisiti trošarine</w:t>
      </w:r>
      <w:r>
        <w:rPr>
          <w:noProof/>
        </w:rPr>
        <w:t xml:space="preserve"> i </w:t>
      </w:r>
      <w:r>
        <w:rPr>
          <w:rFonts w:eastAsiaTheme="minorHAnsi"/>
          <w:b/>
          <w:noProof/>
        </w:rPr>
        <w:t>prilagoditi njihovu strukturu</w:t>
      </w:r>
      <w:r>
        <w:rPr>
          <w:noProof/>
        </w:rPr>
        <w:t xml:space="preserve"> (mjera 3.2.3);</w:t>
      </w:r>
    </w:p>
    <w:p>
      <w:pPr>
        <w:spacing w:after="240"/>
        <w:jc w:val="both"/>
        <w:rPr>
          <w:rFonts w:eastAsiaTheme="minorHAnsi"/>
          <w:noProof/>
        </w:rPr>
      </w:pPr>
      <w:r>
        <w:rPr>
          <w:rFonts w:eastAsiaTheme="minorHAnsi"/>
          <w:b/>
          <w:noProof/>
        </w:rPr>
        <w:t>d)</w:t>
      </w:r>
      <w:r>
        <w:rPr>
          <w:noProof/>
        </w:rPr>
        <w:t xml:space="preserve"> EU u pravilu pri dodjeli carinskih povlastica trećim zemljama pregovara o </w:t>
      </w:r>
      <w:r>
        <w:rPr>
          <w:rFonts w:eastAsiaTheme="minorHAnsi"/>
          <w:b/>
          <w:noProof/>
        </w:rPr>
        <w:t>odredbama o borbi protiv prijevara</w:t>
      </w:r>
      <w:r>
        <w:rPr>
          <w:noProof/>
        </w:rPr>
        <w:t>. Danas su takve odredbe na snazi u brojnim partnerskim državama kako bi se promicala suradnja u carinskim istragama koje se odnose i na nezakonitu trgovinu duhanom. Od 2013. odredbe o borbi protiv prijevara dogovorene su s Kanadom, Gruzijom, Moldovom, Singapurom i Vijetnamom, a u tijeku su i pregovori s drugim zemljama (mjera 3.2.11);</w:t>
      </w:r>
    </w:p>
    <w:p>
      <w:pPr>
        <w:spacing w:after="240"/>
        <w:jc w:val="both"/>
        <w:rPr>
          <w:rFonts w:eastAsiaTheme="minorHAnsi"/>
          <w:noProof/>
        </w:rPr>
      </w:pPr>
      <w:r>
        <w:rPr>
          <w:rFonts w:eastAsiaTheme="minorHAnsi"/>
          <w:b/>
          <w:noProof/>
        </w:rPr>
        <w:t>e)</w:t>
      </w:r>
      <w:r>
        <w:rPr>
          <w:noProof/>
        </w:rPr>
        <w:t xml:space="preserve"> OLAF se koristi i </w:t>
      </w:r>
      <w:r>
        <w:rPr>
          <w:rFonts w:eastAsiaTheme="minorHAnsi"/>
          <w:b/>
          <w:noProof/>
        </w:rPr>
        <w:t>sporazumima o administrativnoj suradnji</w:t>
      </w:r>
      <w:r>
        <w:rPr>
          <w:noProof/>
        </w:rPr>
        <w:t xml:space="preserve"> (ACA) sklopljenima s nadležnim tijelima u trećim zemljama kako bi se olakšala praktična suradnja u području istraga. Posljednjih je godina OLAF pojačao nastojanje sklapanja takvih sporazuma u području carine te su oni sklopljeni s carinskim tijelima Australije, Bangladeša, Bjelarusa, Kine, Moldove, Maroka, Tajvana i Ukrajine (mjere 3.2.6 i 3.2.7).</w:t>
      </w:r>
    </w:p>
    <w:p>
      <w:pPr>
        <w:spacing w:after="240"/>
        <w:jc w:val="both"/>
        <w:rPr>
          <w:rFonts w:eastAsiaTheme="minorHAnsi"/>
          <w:b/>
          <w:noProof/>
        </w:rPr>
      </w:pPr>
      <w:r>
        <w:rPr>
          <w:rFonts w:eastAsiaTheme="minorHAnsi"/>
          <w:b/>
          <w:noProof/>
        </w:rPr>
        <w:t xml:space="preserve">5. </w:t>
      </w:r>
      <w:r>
        <w:rPr>
          <w:noProof/>
        </w:rPr>
        <w:tab/>
      </w:r>
      <w:r>
        <w:rPr>
          <w:rFonts w:eastAsiaTheme="minorHAnsi"/>
          <w:b/>
          <w:noProof/>
        </w:rPr>
        <w:t>Rješavanje pitanja potražnje na nezakonitom tržištu duhana</w:t>
      </w:r>
    </w:p>
    <w:p>
      <w:pPr>
        <w:spacing w:after="240"/>
        <w:jc w:val="both"/>
        <w:rPr>
          <w:rFonts w:eastAsiaTheme="minorHAnsi"/>
          <w:noProof/>
        </w:rPr>
      </w:pPr>
      <w:r>
        <w:rPr>
          <w:noProof/>
        </w:rPr>
        <w:t xml:space="preserve">U sklopu strategije iz 2013. pojavila se potreba za boljim razumijevanjem </w:t>
      </w:r>
      <w:r>
        <w:rPr>
          <w:rFonts w:eastAsiaTheme="minorHAnsi"/>
          <w:b/>
          <w:noProof/>
        </w:rPr>
        <w:t>potražnje</w:t>
      </w:r>
      <w:r>
        <w:rPr>
          <w:noProof/>
        </w:rPr>
        <w:t>. Stoga je Komisija financirala </w:t>
      </w:r>
      <w:r>
        <w:rPr>
          <w:rFonts w:eastAsiaTheme="minorHAnsi"/>
          <w:noProof/>
          <w:vertAlign w:val="superscript"/>
        </w:rPr>
        <w:footnoteReference w:id="36"/>
      </w:r>
      <w:r>
        <w:rPr>
          <w:noProof/>
        </w:rPr>
        <w:t xml:space="preserve"> istraživanje Eurobarometra </w:t>
      </w:r>
      <w:r>
        <w:rPr>
          <w:rFonts w:eastAsiaTheme="minorHAnsi"/>
          <w:noProof/>
          <w:vertAlign w:val="superscript"/>
        </w:rPr>
        <w:footnoteReference w:id="37"/>
      </w:r>
      <w:r>
        <w:rPr>
          <w:noProof/>
        </w:rPr>
        <w:t xml:space="preserve"> o percepciji građana povezanoj s nezakonitom trgovinom duhanom. Najvažniji rezultati toga prvog istraživanja pokazali su sljedeće: kad je riječ o cigaretama koje se prodaju na crnom tržištu, građani su najviše zabrinuti zbog gubitka prihoda države, kupuju ih zato što su jeftine, a količina cigareta koje se prodaju na crnom tržištu znatno je veća u srednjoj i istočnoj Europi. Samo 14 % građana smatra da su one važan izvor prihoda za skupine organiziranog kriminala (aktivnost 1.4).</w:t>
      </w:r>
    </w:p>
    <w:p>
      <w:pPr>
        <w:keepNext/>
        <w:keepLines/>
        <w:spacing w:before="240" w:after="240"/>
        <w:outlineLvl w:val="0"/>
        <w:rPr>
          <w:b/>
          <w:bCs/>
          <w:caps/>
          <w:noProof/>
          <w:szCs w:val="28"/>
        </w:rPr>
      </w:pPr>
      <w:bookmarkStart w:id="6" w:name="_Toc469647942"/>
      <w:bookmarkStart w:id="7" w:name="_Toc471999483"/>
      <w:r>
        <w:rPr>
          <w:b/>
          <w:caps/>
          <w:noProof/>
        </w:rPr>
        <w:t>Odjeljak C:</w:t>
      </w:r>
      <w:r>
        <w:rPr>
          <w:noProof/>
        </w:rPr>
        <w:tab/>
      </w:r>
      <w:bookmarkEnd w:id="6"/>
      <w:r>
        <w:rPr>
          <w:b/>
          <w:caps/>
          <w:noProof/>
        </w:rPr>
        <w:t>Novosti o nezakonitoj trgovini duhanom</w:t>
      </w:r>
      <w:bookmarkEnd w:id="7"/>
      <w:r>
        <w:rPr>
          <w:b/>
          <w:caps/>
          <w:noProof/>
        </w:rPr>
        <w:t xml:space="preserve"> u EU-u</w:t>
      </w:r>
    </w:p>
    <w:p>
      <w:pPr>
        <w:spacing w:after="240"/>
        <w:jc w:val="both"/>
        <w:rPr>
          <w:rFonts w:eastAsiaTheme="minorHAnsi"/>
          <w:noProof/>
        </w:rPr>
      </w:pPr>
      <w:r>
        <w:rPr>
          <w:noProof/>
        </w:rPr>
        <w:t xml:space="preserve">Unatoč provedbi strategije iz 2013. na europskoj i nacionalnoj razini posljednjih godina </w:t>
      </w:r>
      <w:r>
        <w:rPr>
          <w:rFonts w:eastAsiaTheme="minorHAnsi"/>
          <w:b/>
          <w:noProof/>
        </w:rPr>
        <w:t>razmjer nezakonite trgovine duhanom u EU-u i dalje je, općenito gledano, velik i zabrinjavajući</w:t>
      </w:r>
      <w:r>
        <w:rPr>
          <w:noProof/>
        </w:rPr>
        <w:t xml:space="preserve">. </w:t>
      </w:r>
    </w:p>
    <w:p>
      <w:pPr>
        <w:spacing w:after="240"/>
        <w:jc w:val="both"/>
        <w:rPr>
          <w:rFonts w:eastAsiaTheme="minorHAnsi"/>
          <w:noProof/>
        </w:rPr>
      </w:pPr>
      <w:r>
        <w:rPr>
          <w:noProof/>
        </w:rPr>
        <w:t>Kvantifikacija ilegalne aktivnosti sama je po sebi teška. Stoga različiti izvori </w:t>
      </w:r>
      <w:r>
        <w:rPr>
          <w:rStyle w:val="FootnoteReference"/>
          <w:rFonts w:eastAsiaTheme="minorHAnsi"/>
          <w:noProof/>
        </w:rPr>
        <w:footnoteReference w:id="38"/>
      </w:r>
      <w:r>
        <w:rPr>
          <w:noProof/>
        </w:rPr>
        <w:t xml:space="preserve"> procjenjuju da je </w:t>
      </w:r>
      <w:r>
        <w:rPr>
          <w:rFonts w:eastAsiaTheme="minorHAnsi"/>
          <w:b/>
          <w:noProof/>
        </w:rPr>
        <w:t>potrošnja nezakonitih duhanskih proizvoda</w:t>
      </w:r>
      <w:r>
        <w:rPr>
          <w:noProof/>
        </w:rPr>
        <w:t xml:space="preserve"> u EU-u i dalje </w:t>
      </w:r>
      <w:r>
        <w:rPr>
          <w:rFonts w:eastAsiaTheme="minorHAnsi"/>
          <w:b/>
          <w:noProof/>
        </w:rPr>
        <w:t>većinom stabilna</w:t>
      </w:r>
      <w:r>
        <w:rPr>
          <w:noProof/>
        </w:rPr>
        <w:t xml:space="preserve"> – od 55 do 65 milijardi cigareta – unatoč općenitom padu potrošnje duhana u EU-u </w:t>
      </w:r>
      <w:r>
        <w:rPr>
          <w:rFonts w:eastAsiaTheme="minorHAnsi"/>
          <w:noProof/>
          <w:vertAlign w:val="superscript"/>
        </w:rPr>
        <w:footnoteReference w:id="39"/>
      </w:r>
      <w:r>
        <w:rPr>
          <w:noProof/>
        </w:rPr>
        <w:t>. U posljednje dvije godine zapljena nezakonitih duhanskih proizvoda u EU-u porasla je za petinu (vidjeti točku 3a), što ukazuje na stabilan udio nezakonitih cigareta, a možda i na njegov rast. Udio nezakonitog tržišta u nekim državama članicama možda premašuje četvrtinu cijelog tržišta duhana.</w:t>
      </w:r>
    </w:p>
    <w:p>
      <w:pPr>
        <w:spacing w:after="240"/>
        <w:jc w:val="both"/>
        <w:rPr>
          <w:rFonts w:eastAsiaTheme="minorHAnsi"/>
          <w:noProof/>
        </w:rPr>
      </w:pPr>
      <w:r>
        <w:rPr>
          <w:noProof/>
        </w:rPr>
        <w:t xml:space="preserve">Prosječna </w:t>
      </w:r>
      <w:r>
        <w:rPr>
          <w:rFonts w:eastAsiaTheme="minorHAnsi"/>
          <w:b/>
          <w:noProof/>
        </w:rPr>
        <w:t>količina cigareta zaplijenjenih u pojedinačnim zapljenama</w:t>
      </w:r>
      <w:r>
        <w:rPr>
          <w:noProof/>
        </w:rPr>
        <w:t xml:space="preserve"> posljednjih se godina smanjila. Krijumčarenje vrlo velikih količina nezakonitih duhanskih proizvoda, posebice u kontejnerima, danas je rjeđe. Međutim, sve se češće više puta prelazi granica s manjim količinama, a ponekad su to organizirane aktivnosti kriminalnih skupina. Tijelima za provedbu zakona te su aktivnosti manjeg opsega izazov drukčiji od krijumčarenja u kontejnerima. </w:t>
      </w:r>
    </w:p>
    <w:p>
      <w:pPr>
        <w:spacing w:after="240"/>
        <w:jc w:val="both"/>
        <w:rPr>
          <w:rFonts w:eastAsiaTheme="minorHAnsi"/>
          <w:noProof/>
        </w:rPr>
      </w:pPr>
      <w:r>
        <w:rPr>
          <w:noProof/>
        </w:rPr>
        <w:t>Kao što je primijećeno u veljači 2016. </w:t>
      </w:r>
      <w:r>
        <w:rPr>
          <w:rFonts w:eastAsiaTheme="minorHAnsi"/>
          <w:noProof/>
          <w:vertAlign w:val="superscript"/>
        </w:rPr>
        <w:footnoteReference w:id="40"/>
      </w:r>
      <w:r>
        <w:rPr>
          <w:noProof/>
        </w:rPr>
        <w:t xml:space="preserve">, </w:t>
      </w:r>
      <w:r>
        <w:rPr>
          <w:rFonts w:eastAsiaTheme="minorHAnsi"/>
          <w:b/>
          <w:noProof/>
        </w:rPr>
        <w:t xml:space="preserve">slika nezakonitog tržišta duhana znatno se promijenila tijekom godina. </w:t>
      </w:r>
      <w:r>
        <w:rPr>
          <w:noProof/>
        </w:rPr>
        <w:t>U velikim je zapljenama u EU-u danas mnogo manje krijumčarene robe velikih međunarodnih proizvođača nego u prošlosti. S druge strane, najveći dio velikih zapljena </w:t>
      </w:r>
      <w:r>
        <w:rPr>
          <w:rStyle w:val="FootnoteReference"/>
          <w:rFonts w:eastAsiaTheme="minorHAnsi"/>
          <w:noProof/>
        </w:rPr>
        <w:footnoteReference w:id="41"/>
      </w:r>
      <w:r>
        <w:rPr>
          <w:noProof/>
        </w:rPr>
        <w:t xml:space="preserve">, posebice zapljena povezanih s kontejnerskim prijevozom, čine </w:t>
      </w:r>
      <w:r>
        <w:rPr>
          <w:rFonts w:eastAsiaTheme="minorHAnsi"/>
          <w:b/>
          <w:noProof/>
        </w:rPr>
        <w:t>cigarete bez oznake proizvođača („jeftine bijele cigarete”)</w:t>
      </w:r>
      <w:r>
        <w:rPr>
          <w:noProof/>
        </w:rPr>
        <w:t xml:space="preserve"> i </w:t>
      </w:r>
      <w:r>
        <w:rPr>
          <w:rFonts w:eastAsiaTheme="minorHAnsi"/>
          <w:b/>
          <w:noProof/>
        </w:rPr>
        <w:t>krivotvorene cigarete</w:t>
      </w:r>
      <w:r>
        <w:rPr>
          <w:noProof/>
        </w:rPr>
        <w:t xml:space="preserve"> (uključujući krivotvorene cigarete bez oznake proizvođača). Stoga je Europski parlament pozvao Komisiju da poduzme korake kojima će se utvrditi nove mjere za rješavanje problema cigareta bez oznake proizvođača </w:t>
      </w:r>
      <w:r>
        <w:rPr>
          <w:rFonts w:eastAsiaTheme="minorHAnsi"/>
          <w:noProof/>
          <w:vertAlign w:val="superscript"/>
        </w:rPr>
        <w:footnoteReference w:id="42"/>
      </w:r>
      <w:r>
        <w:rPr>
          <w:noProof/>
        </w:rPr>
        <w:t>.</w:t>
      </w:r>
    </w:p>
    <w:p>
      <w:pPr>
        <w:spacing w:after="240"/>
        <w:jc w:val="both"/>
        <w:rPr>
          <w:rFonts w:eastAsiaTheme="minorHAnsi"/>
          <w:noProof/>
        </w:rPr>
      </w:pPr>
      <w:r>
        <w:rPr>
          <w:noProof/>
        </w:rPr>
        <w:t xml:space="preserve">Sve veća upotreba vodene lule u EU-u odražava se u znatnim količinama prokrijumčarenog </w:t>
      </w:r>
      <w:r>
        <w:rPr>
          <w:b/>
          <w:noProof/>
        </w:rPr>
        <w:t>duhana za vodenu lulu</w:t>
      </w:r>
      <w:r>
        <w:rPr>
          <w:noProof/>
        </w:rPr>
        <w:t xml:space="preserve"> zaplijenjenog u državama članicama. </w:t>
      </w:r>
    </w:p>
    <w:p>
      <w:pPr>
        <w:spacing w:after="240"/>
        <w:jc w:val="both"/>
        <w:rPr>
          <w:rFonts w:eastAsiaTheme="minorHAnsi"/>
          <w:noProof/>
        </w:rPr>
      </w:pPr>
      <w:r>
        <w:rPr>
          <w:noProof/>
        </w:rPr>
        <w:t>Nadalje, čini se da raste i nezakonita proizvodnja duhana u EU-u, a toj teoriji u prilog idu i zapljene velikih količina sirovog duhana i otkrića brojnih nezakonitih tvornica duhana </w:t>
      </w:r>
      <w:r>
        <w:rPr>
          <w:rFonts w:eastAsiaTheme="minorHAnsi"/>
          <w:noProof/>
          <w:vertAlign w:val="superscript"/>
        </w:rPr>
        <w:footnoteReference w:id="43"/>
      </w:r>
      <w:r>
        <w:rPr>
          <w:noProof/>
        </w:rPr>
        <w:t>. Nezakonita se proizvodnja duhana u EU-u možda povećala zbog strožeg nadzora na vanjskim granicama EU-a.</w:t>
      </w:r>
    </w:p>
    <w:p>
      <w:pPr>
        <w:spacing w:after="240"/>
        <w:jc w:val="both"/>
        <w:rPr>
          <w:rFonts w:eastAsiaTheme="minorHAnsi"/>
          <w:noProof/>
        </w:rPr>
      </w:pPr>
      <w:r>
        <w:rPr>
          <w:noProof/>
        </w:rPr>
        <w:t xml:space="preserve">Zemlje koje su u strategiji iz 2013. identificirane kao </w:t>
      </w:r>
      <w:r>
        <w:rPr>
          <w:rFonts w:eastAsiaTheme="minorHAnsi"/>
          <w:b/>
          <w:noProof/>
        </w:rPr>
        <w:t>glavne zemlje podrijetla i provoza</w:t>
      </w:r>
      <w:r>
        <w:rPr>
          <w:noProof/>
        </w:rPr>
        <w:t xml:space="preserve"> i dalje izazivaju zabrinutost, iako se razina do koje pojedine zemlje sudjeluju na tržištu nezakonitih duhanskih proizvoda, čini se, mijenja. Izgleda da su se izvori u istočnoj Aziji umnogostručili, a krijumčarenje iz Kine, izgleda, opada. Usto, slabljenje upravljačkih struktura u državama poput Libije olakšava krijumčarenje na Mediteranu. Posebnu zabrinutost izaziva krijumčarenje cigareta bez oznake proizvođača iz Bjelarusa te provoz duhana preko slobodnih zona u Ujedinjenim Arapskim Emiratima i nezakonita proizvodnja u njima.</w:t>
      </w:r>
    </w:p>
    <w:p>
      <w:pPr>
        <w:spacing w:after="240"/>
        <w:jc w:val="both"/>
        <w:rPr>
          <w:rFonts w:eastAsiaTheme="minorHAnsi"/>
          <w:noProof/>
        </w:rPr>
      </w:pPr>
      <w:r>
        <w:rPr>
          <w:noProof/>
        </w:rPr>
        <w:t xml:space="preserve">Zločinci i krijumčari i dalje iskorištavaju određene </w:t>
      </w:r>
      <w:r>
        <w:rPr>
          <w:rFonts w:eastAsiaTheme="minorHAnsi"/>
          <w:b/>
          <w:noProof/>
        </w:rPr>
        <w:t>carinske postupke i postupke u vezi s trošarinama na temelju kojih se promet robe odvija u sustavu odgode plaćanja trošarine</w:t>
      </w:r>
      <w:r>
        <w:rPr>
          <w:noProof/>
        </w:rPr>
        <w:t>. Jedna je od mogućnosti koje su isplative kriminalcima ta da se cigarete proizvedu u EU-u i deklariraju se za izvoz, no zapravo se ne izvezu ili se nakon izvoza ponovno prokrijumčare u EU. Slično tomu, kako bi se sakrilo pravo odredište cigareta, uvezena se roba u postupku provoza može nekoliko puta fiktivno kretati unutar carinske unije. Umjesto toga, te se cigarete ilegalno distribuiraju na nezakonitom tržištu EU-a bez plaćanja PDV-a i trošarina.</w:t>
      </w:r>
    </w:p>
    <w:p>
      <w:pPr>
        <w:keepNext/>
        <w:keepLines/>
        <w:spacing w:before="240" w:after="240"/>
        <w:outlineLvl w:val="0"/>
        <w:rPr>
          <w:b/>
          <w:bCs/>
          <w:caps/>
          <w:noProof/>
          <w:szCs w:val="28"/>
        </w:rPr>
      </w:pPr>
      <w:bookmarkStart w:id="8" w:name="_Toc471999484"/>
    </w:p>
    <w:p>
      <w:pPr>
        <w:keepNext/>
        <w:keepLines/>
        <w:spacing w:before="240" w:after="240"/>
        <w:outlineLvl w:val="0"/>
        <w:rPr>
          <w:b/>
          <w:bCs/>
          <w:caps/>
          <w:noProof/>
          <w:szCs w:val="28"/>
        </w:rPr>
      </w:pPr>
      <w:r>
        <w:rPr>
          <w:b/>
          <w:caps/>
          <w:noProof/>
        </w:rPr>
        <w:t>Odjeljak D: Ključna iskustva i daljnja razmatranja</w:t>
      </w:r>
      <w:bookmarkEnd w:id="8"/>
    </w:p>
    <w:p>
      <w:pPr>
        <w:spacing w:after="240"/>
        <w:jc w:val="both"/>
        <w:rPr>
          <w:rFonts w:eastAsiaTheme="minorHAnsi"/>
          <w:b/>
          <w:noProof/>
        </w:rPr>
      </w:pPr>
      <w:r>
        <w:rPr>
          <w:rFonts w:eastAsiaTheme="minorHAnsi"/>
          <w:b/>
          <w:noProof/>
        </w:rPr>
        <w:t xml:space="preserve">1. </w:t>
      </w:r>
      <w:r>
        <w:rPr>
          <w:noProof/>
        </w:rPr>
        <w:tab/>
      </w:r>
      <w:r>
        <w:rPr>
          <w:rFonts w:eastAsiaTheme="minorHAnsi"/>
          <w:b/>
          <w:noProof/>
        </w:rPr>
        <w:t>Daljnji koraci na temelju strategije iz 2013.</w:t>
      </w:r>
    </w:p>
    <w:p>
      <w:pPr>
        <w:spacing w:after="240"/>
        <w:jc w:val="both"/>
        <w:rPr>
          <w:rFonts w:eastAsiaTheme="minorHAnsi"/>
          <w:noProof/>
        </w:rPr>
      </w:pPr>
      <w:r>
        <w:rPr>
          <w:rFonts w:eastAsiaTheme="minorHAnsi"/>
          <w:b/>
          <w:noProof/>
        </w:rPr>
        <w:t>Provedeni su glavni stupovi strategije iz 2013. i gotovo sve točke akcijskog plana.</w:t>
      </w:r>
      <w:r>
        <w:rPr>
          <w:noProof/>
        </w:rPr>
        <w:t xml:space="preserve"> S obzirom na to da taj fenomen i dalje postoji, a neke ključne mjere još nisu primijenjene, rad bi trebalo nastaviti u postojećem smjeru, uz neke prilagodbe:</w:t>
      </w:r>
    </w:p>
    <w:p>
      <w:pPr>
        <w:numPr>
          <w:ilvl w:val="0"/>
          <w:numId w:val="15"/>
        </w:numPr>
        <w:spacing w:after="240"/>
        <w:jc w:val="both"/>
        <w:rPr>
          <w:rFonts w:eastAsiaTheme="minorHAnsi"/>
          <w:noProof/>
        </w:rPr>
      </w:pPr>
      <w:r>
        <w:rPr>
          <w:noProof/>
        </w:rPr>
        <w:t xml:space="preserve">TPD i protokol FCTC i zajedno bit će ključni za </w:t>
      </w:r>
      <w:r>
        <w:rPr>
          <w:rFonts w:eastAsiaTheme="minorHAnsi"/>
          <w:b/>
          <w:noProof/>
        </w:rPr>
        <w:t>osiguranje lanca opskrbe</w:t>
      </w:r>
      <w:r>
        <w:rPr>
          <w:noProof/>
        </w:rPr>
        <w:t xml:space="preserve"> za zakonito proizvedene cigarete namijenjene tržištu EU-a, zajedno s cigaretama koje se proizvode u EU-u radi izvoza. Međutim, puni učinak obaju instrumenata vidjet će se za nekoliko godina.</w:t>
      </w:r>
    </w:p>
    <w:p>
      <w:pPr>
        <w:spacing w:after="240"/>
        <w:ind w:left="720"/>
        <w:jc w:val="both"/>
        <w:rPr>
          <w:rFonts w:eastAsiaTheme="minorHAnsi"/>
          <w:noProof/>
        </w:rPr>
      </w:pPr>
      <w:r>
        <w:rPr>
          <w:noProof/>
        </w:rPr>
        <w:t xml:space="preserve">Promicanje Protokola FCTC u pogledu trećih zemalja (kao i država članica) kako bi se osigurali globalni lanci opskrbe i potaknula unutarnja provedba u EU-u bit će neizostavan dio Komisijinih aktivnosti u borbi protiv nezakonite trgovine duhanom idućih godina. Naposljetku, borba protiv nezakonite trgovine duhanom bit će najučinkovitija ako se Protokol FCTC provede na temelju okvira usklađenog djelovanja na međunarodnoj, europskoj i nacionalnoj razini; </w:t>
      </w:r>
    </w:p>
    <w:p>
      <w:pPr>
        <w:numPr>
          <w:ilvl w:val="0"/>
          <w:numId w:val="15"/>
        </w:numPr>
        <w:spacing w:after="240"/>
        <w:ind w:hanging="357"/>
        <w:jc w:val="both"/>
        <w:rPr>
          <w:rFonts w:eastAsiaTheme="minorHAnsi"/>
          <w:noProof/>
        </w:rPr>
      </w:pPr>
      <w:r>
        <w:rPr>
          <w:noProof/>
        </w:rPr>
        <w:t xml:space="preserve">ojačana su tijela za izvršavanje zakonodavstva, poput OLAF-a, te se poboljšava koordinacija među agencijama. Taj je </w:t>
      </w:r>
      <w:r>
        <w:rPr>
          <w:rFonts w:eastAsiaTheme="minorHAnsi"/>
          <w:b/>
          <w:noProof/>
        </w:rPr>
        <w:t>poboljšani provedbeni okvir</w:t>
      </w:r>
      <w:r>
        <w:rPr>
          <w:noProof/>
        </w:rPr>
        <w:t xml:space="preserve"> pridonio znatno višem brojem zapljena diljem EU-a od 2013. Kako bi se proizvođače nezakonitih duhanskih proizvoda spriječilo da proizvodnju presele iz zemalja izvan EU-a u EU, trebalo bi razmotriti pojačanu provedbu na razini EU-a, uključujući ovlasti OLAF-a;</w:t>
      </w:r>
    </w:p>
    <w:p>
      <w:pPr>
        <w:numPr>
          <w:ilvl w:val="0"/>
          <w:numId w:val="15"/>
        </w:numPr>
        <w:spacing w:after="240"/>
        <w:ind w:left="714" w:hanging="357"/>
        <w:jc w:val="both"/>
        <w:rPr>
          <w:rFonts w:eastAsiaTheme="minorHAnsi"/>
          <w:noProof/>
        </w:rPr>
      </w:pPr>
      <w:r>
        <w:rPr>
          <w:noProof/>
        </w:rPr>
        <w:t xml:space="preserve">u tom su pogledu EU i njegove države članice napredovale i u </w:t>
      </w:r>
      <w:r>
        <w:rPr>
          <w:rFonts w:eastAsiaTheme="minorHAnsi"/>
          <w:b/>
          <w:noProof/>
        </w:rPr>
        <w:t>integraciji analitičkih i informatičkih kapaciteta te kapaciteta izvješćivanja</w:t>
      </w:r>
      <w:r>
        <w:rPr>
          <w:noProof/>
        </w:rPr>
        <w:t>. Carinska tijela već ažuriraju svoje analitičko stručno znanje i sposobnosti radi iskorištavanja dostupnih izvora podataka u potpunosti </w:t>
      </w:r>
      <w:r>
        <w:rPr>
          <w:rFonts w:eastAsiaTheme="minorHAnsi"/>
          <w:noProof/>
          <w:vertAlign w:val="superscript"/>
        </w:rPr>
        <w:footnoteReference w:id="44"/>
      </w:r>
      <w:r>
        <w:rPr>
          <w:noProof/>
        </w:rPr>
        <w:t>. Taj postupak mogao bi se olakšati daljnjim udruživanjem analitičkih sposobnosti koje su dostupne na razini Europe, primjerice omogućivanjem pristupa odgovarajućim informatičkim sustavima i bazama podataka. Istražitelje bi također trebalo poticati da u potpunosti iskoriste potencijal laboratorija za duhan koji je dostupan u Komisijinu Zajedničkom istraživačkom centru;</w:t>
      </w:r>
    </w:p>
    <w:p>
      <w:pPr>
        <w:numPr>
          <w:ilvl w:val="0"/>
          <w:numId w:val="15"/>
        </w:numPr>
        <w:spacing w:after="240"/>
        <w:ind w:hanging="357"/>
        <w:jc w:val="both"/>
        <w:rPr>
          <w:rFonts w:eastAsiaTheme="minorHAnsi"/>
          <w:noProof/>
        </w:rPr>
      </w:pPr>
      <w:r>
        <w:rPr>
          <w:rFonts w:eastAsiaTheme="minorHAnsi"/>
          <w:b/>
          <w:noProof/>
        </w:rPr>
        <w:t>suradnja s ključnim zemljama podrijetla i provoza</w:t>
      </w:r>
      <w:r>
        <w:rPr>
          <w:noProof/>
        </w:rPr>
        <w:t xml:space="preserve"> jača, iako će nedvojbeno trebati vremena prije nego što na temelju diplomatskih inicijativa provedba postane učinkovitija. Postignut je znatan napredak u suradnji s trećim zemljama na institucijskoj i operativnoj razini, a bilateralni kontakti s ključnim državama trebali bi dodatno ojačati. Ti se kontakti također mogu koristiti za promicanje Protokola FCTC, a EU u tu svrhu može iskoristiti svoj diplomatski utjecaj. U tom kontekstu treba razmotriti i povećanje broja OLAF-ovih časnika za vezu, kojih je sada troje, ovisno o dostupnim sredstvima;</w:t>
      </w:r>
    </w:p>
    <w:p>
      <w:pPr>
        <w:numPr>
          <w:ilvl w:val="0"/>
          <w:numId w:val="15"/>
        </w:numPr>
        <w:spacing w:after="240"/>
        <w:ind w:left="714" w:hanging="357"/>
        <w:jc w:val="both"/>
        <w:rPr>
          <w:rFonts w:eastAsiaTheme="minorHAnsi"/>
          <w:noProof/>
        </w:rPr>
      </w:pPr>
      <w:r>
        <w:rPr>
          <w:noProof/>
        </w:rPr>
        <w:t xml:space="preserve">tijela izvršavanja zakona manje se dosljedno usredotočuju na </w:t>
      </w:r>
      <w:r>
        <w:rPr>
          <w:b/>
          <w:noProof/>
        </w:rPr>
        <w:t>potražnju</w:t>
      </w:r>
      <w:r>
        <w:rPr>
          <w:noProof/>
        </w:rPr>
        <w:t xml:space="preserve"> za nezakonitim proizvodima u usporedbi s, primjerice, zdravstvenim tijelima. Međutim, neke države članice, poput Estonije, u tom su području pokrenule zanimljive inicijative te provele kampanje podizanja javne svijesti u sklopu kojih su isticale povezanost nezakonitih cigareta i organiziranog kriminala. Potencijal mjera usmjerenih na potražnju mogao bi se iskorištavati više rutinski.</w:t>
      </w:r>
    </w:p>
    <w:p>
      <w:pPr>
        <w:spacing w:after="240"/>
        <w:jc w:val="both"/>
        <w:rPr>
          <w:rFonts w:eastAsiaTheme="minorHAnsi"/>
          <w:b/>
          <w:noProof/>
        </w:rPr>
      </w:pPr>
      <w:r>
        <w:rPr>
          <w:rFonts w:eastAsiaTheme="minorHAnsi"/>
          <w:b/>
          <w:noProof/>
        </w:rPr>
        <w:t xml:space="preserve">2. </w:t>
      </w:r>
      <w:r>
        <w:rPr>
          <w:noProof/>
        </w:rPr>
        <w:tab/>
      </w:r>
      <w:r>
        <w:rPr>
          <w:rFonts w:eastAsiaTheme="minorHAnsi"/>
          <w:b/>
          <w:noProof/>
        </w:rPr>
        <w:t>Daljnja razmatranja</w:t>
      </w:r>
    </w:p>
    <w:p>
      <w:pPr>
        <w:spacing w:after="200"/>
        <w:jc w:val="both"/>
        <w:rPr>
          <w:rFonts w:eastAsiaTheme="minorHAnsi"/>
          <w:noProof/>
        </w:rPr>
      </w:pPr>
      <w:r>
        <w:rPr>
          <w:noProof/>
        </w:rPr>
        <w:t>Unatoč poduzetim mjerama obujam nezakonite trgovine većinom ostaje stabilan. Fenomen cigareta bez oznake proizvođača („jeftinih bijelih cigareta”) i krivotvorenih cigareta nije potpuno nov, no posljednjih godina sve više zabrinjava. Stoga se čini se da je sada pravi trenutak za razmatranje uvođenja dodatnih mjera kako bi se u budućnosti učinkovito dopunila strategija iz 2013. Predlaže se daljnje razmatranje sljedećih pitanja:</w:t>
      </w:r>
    </w:p>
    <w:p>
      <w:pPr>
        <w:numPr>
          <w:ilvl w:val="0"/>
          <w:numId w:val="24"/>
        </w:numPr>
        <w:spacing w:after="240"/>
        <w:contextualSpacing/>
        <w:jc w:val="both"/>
        <w:rPr>
          <w:rFonts w:eastAsiaTheme="minorHAnsi"/>
          <w:noProof/>
        </w:rPr>
      </w:pPr>
      <w:r>
        <w:rPr>
          <w:noProof/>
        </w:rPr>
        <w:t xml:space="preserve">treba smanjiti poticaje za krijumčare. Trenutačno je glavni poticaj za nezakonitu trgovinu duhanom mogućnost iskorištavanja </w:t>
      </w:r>
      <w:r>
        <w:rPr>
          <w:rFonts w:eastAsiaTheme="minorHAnsi"/>
          <w:b/>
          <w:noProof/>
        </w:rPr>
        <w:t>razlike u cijeni</w:t>
      </w:r>
      <w:r>
        <w:rPr>
          <w:noProof/>
        </w:rPr>
        <w:t xml:space="preserve"> duhanskih proizvoda u državama članicama EU-a i susjednim zemljama, no i među tržištima u državama članicama EU-a </w:t>
      </w:r>
      <w:r>
        <w:rPr>
          <w:rFonts w:eastAsiaTheme="minorHAnsi"/>
          <w:noProof/>
          <w:vertAlign w:val="superscript"/>
        </w:rPr>
        <w:footnoteReference w:id="45"/>
      </w:r>
      <w:r>
        <w:rPr>
          <w:noProof/>
        </w:rPr>
        <w:t>. Standardni kontejner veličine 40 stopa u kojem se nalazi oko 20 milijuna cigareta prokrijumčarenih u EU može donijeti nezakoniti prihod do dva milijuna EUR, ovisno o poreznom opterećenju. Visina poreza važan je čimbenik u cijeni duhanskih proizvoda, što utječe na naviku pušenja u potrošača u skladu s pravilom elastičnosti cijena. Određen stupanj pozitivne konvergencije razine oporezivanja koja se primjenjuje u državama članicama pomogao bi u smanjenju prijevara i krijumčarenja. Susjedne države poput Bjelarusa, u kojima je stopa poreza na duhanske proizvode iznimno niska, trebalo bi pozvati da usklade stope trošarine s minimalnim stopama u EU-u, ponajprije zbog zajedničkih interesa zdravstvene politike i rasta javnih prihoda;</w:t>
      </w:r>
    </w:p>
    <w:p>
      <w:pPr>
        <w:spacing w:after="200"/>
        <w:ind w:left="360"/>
        <w:contextualSpacing/>
        <w:rPr>
          <w:rFonts w:eastAsiaTheme="minorHAnsi"/>
          <w:noProof/>
        </w:rPr>
      </w:pPr>
    </w:p>
    <w:p>
      <w:pPr>
        <w:numPr>
          <w:ilvl w:val="0"/>
          <w:numId w:val="24"/>
        </w:numPr>
        <w:spacing w:after="240"/>
        <w:ind w:left="357" w:hanging="357"/>
        <w:jc w:val="both"/>
        <w:rPr>
          <w:rFonts w:eastAsiaTheme="minorHAnsi"/>
          <w:noProof/>
        </w:rPr>
      </w:pPr>
      <w:r>
        <w:rPr>
          <w:noProof/>
        </w:rPr>
        <w:t xml:space="preserve">učinak smanjenja poticaja mogao bi se povećati kad bi se istodobno </w:t>
      </w:r>
      <w:r>
        <w:rPr>
          <w:rFonts w:eastAsiaTheme="minorHAnsi"/>
          <w:b/>
          <w:noProof/>
        </w:rPr>
        <w:t>troškovi krijumčara za proizvodnju i distribuciju</w:t>
      </w:r>
      <w:r>
        <w:rPr>
          <w:noProof/>
        </w:rPr>
        <w:t xml:space="preserve"> povećali i kad bi sankcije imale dovoljno odvraćajući učinak. Takve inicijative mogle bi uključivati:</w:t>
      </w:r>
    </w:p>
    <w:p>
      <w:pPr>
        <w:numPr>
          <w:ilvl w:val="0"/>
          <w:numId w:val="13"/>
        </w:numPr>
        <w:spacing w:after="240"/>
        <w:ind w:left="714" w:hanging="357"/>
        <w:jc w:val="both"/>
        <w:rPr>
          <w:rFonts w:eastAsiaTheme="minorHAnsi"/>
          <w:noProof/>
        </w:rPr>
      </w:pPr>
      <w:r>
        <w:rPr>
          <w:rFonts w:eastAsiaTheme="minorHAnsi"/>
          <w:b/>
          <w:noProof/>
        </w:rPr>
        <w:t>ograničavanje pristupa ulaznim materijalima</w:t>
      </w:r>
      <w:r>
        <w:rPr>
          <w:noProof/>
        </w:rPr>
        <w:t>, što je ključno za proizvođače nezakonitog duhana. Ograničavanjem pristupa ključnim ulaznim materijalima onemogućilo bi se njihovo poslovanje. Europski parlament pozvao je Komisiju da poduzme mjere kako bi osigurala učinkovit nadzor ulaznih materijala </w:t>
      </w:r>
      <w:r>
        <w:rPr>
          <w:rFonts w:eastAsiaTheme="minorHAnsi"/>
          <w:noProof/>
          <w:vertAlign w:val="superscript"/>
        </w:rPr>
        <w:footnoteReference w:id="46"/>
      </w:r>
      <w:r>
        <w:rPr>
          <w:noProof/>
        </w:rPr>
        <w:t>. Uz opremu za proizvodnju, u tom bi se pogledu mogle uzeti u obzir tri glavne skupine proizvoda:</w:t>
      </w:r>
    </w:p>
    <w:p>
      <w:pPr>
        <w:numPr>
          <w:ilvl w:val="0"/>
          <w:numId w:val="47"/>
        </w:numPr>
        <w:spacing w:after="240"/>
        <w:ind w:left="1434" w:hanging="357"/>
        <w:jc w:val="both"/>
        <w:rPr>
          <w:rFonts w:eastAsiaTheme="minorHAnsi"/>
          <w:noProof/>
        </w:rPr>
      </w:pPr>
      <w:r>
        <w:rPr>
          <w:noProof/>
        </w:rPr>
        <w:t xml:space="preserve">nadzor kretanja </w:t>
      </w:r>
      <w:r>
        <w:rPr>
          <w:b/>
          <w:noProof/>
        </w:rPr>
        <w:t>sirovog duhana</w:t>
      </w:r>
      <w:r>
        <w:rPr>
          <w:noProof/>
        </w:rPr>
        <w:t xml:space="preserve">, na koji se trenutačno ne plaća trošarina, preispituje se (vidjeti točku B1d). Tržište sirovog duhana, međutim, rascjepkano je, a mnogi proizvođači posluju unutar EU-a i izvan njega, </w:t>
      </w:r>
    </w:p>
    <w:p>
      <w:pPr>
        <w:numPr>
          <w:ilvl w:val="0"/>
          <w:numId w:val="47"/>
        </w:numPr>
        <w:spacing w:after="240"/>
        <w:ind w:left="1434" w:hanging="357"/>
        <w:jc w:val="both"/>
        <w:rPr>
          <w:rFonts w:eastAsiaTheme="minorHAnsi"/>
          <w:noProof/>
        </w:rPr>
      </w:pPr>
      <w:r>
        <w:rPr>
          <w:rFonts w:eastAsiaTheme="minorHAnsi"/>
          <w:b/>
          <w:noProof/>
        </w:rPr>
        <w:t>papir</w:t>
      </w:r>
      <w:r>
        <w:rPr>
          <w:noProof/>
        </w:rPr>
        <w:t xml:space="preserve"> koji se upotrebljava za cigarete ima posebna obilježja. Praćenje i kontroliranje papira otežava to što diljem svijeta postoje brojni proizvođači papira,</w:t>
      </w:r>
    </w:p>
    <w:p>
      <w:pPr>
        <w:numPr>
          <w:ilvl w:val="0"/>
          <w:numId w:val="47"/>
        </w:numPr>
        <w:spacing w:after="240"/>
        <w:ind w:left="1434" w:hanging="357"/>
        <w:jc w:val="both"/>
        <w:rPr>
          <w:rFonts w:eastAsiaTheme="minorHAnsi"/>
          <w:noProof/>
        </w:rPr>
      </w:pPr>
      <w:r>
        <w:rPr>
          <w:noProof/>
        </w:rPr>
        <w:t xml:space="preserve">naprotiv, broj proizvođača </w:t>
      </w:r>
      <w:r>
        <w:rPr>
          <w:rFonts w:eastAsiaTheme="minorHAnsi"/>
          <w:b/>
          <w:noProof/>
        </w:rPr>
        <w:t>acetatnih vlakana</w:t>
      </w:r>
      <w:r>
        <w:rPr>
          <w:noProof/>
        </w:rPr>
        <w:t xml:space="preserve"> koja se upotrebljavaju za cigaretne filtre ograničen je, što bi povećalo izglede za učinkovitu kontrolu opskrbe. No, s obzirom na to da su mogućnosti nabave u tom industrijskom sektoru globalne (posebice za proizvođače cigareta u trećim državama), teško je zamisliti da bi sustav kontrole ograničen na Europu mogao biti učinkovit. Stoga je ponajprije potrebna suradnja industrije i država u kojima se ta poduzeća nalaze;</w:t>
      </w:r>
    </w:p>
    <w:p>
      <w:pPr>
        <w:numPr>
          <w:ilvl w:val="0"/>
          <w:numId w:val="13"/>
        </w:numPr>
        <w:spacing w:after="240"/>
        <w:contextualSpacing/>
        <w:jc w:val="both"/>
        <w:rPr>
          <w:rFonts w:eastAsiaTheme="minorHAnsi"/>
          <w:noProof/>
        </w:rPr>
      </w:pPr>
      <w:r>
        <w:rPr>
          <w:rFonts w:eastAsiaTheme="minorHAnsi"/>
          <w:b/>
          <w:noProof/>
        </w:rPr>
        <w:t>onemogućivanje logističkog lanca kojim se koriste krijumčari.</w:t>
      </w:r>
      <w:r>
        <w:rPr>
          <w:noProof/>
        </w:rPr>
        <w:t xml:space="preserve"> To uključuje pomniji nadzor carinskih postupaka koje krijumčari često zloupotrebljavaju (vidjeti odjeljak C). Porezni režim za uvozne cigarete niz je poreznih i carinskih pravila koja često provode različita tijela. Suradnja tih nacionalnih tijela može se dodatno pojačati, primjerice putem interoperabilnosti računalnih sustava;</w:t>
      </w:r>
    </w:p>
    <w:p>
      <w:pPr>
        <w:spacing w:after="240"/>
        <w:ind w:left="732"/>
        <w:contextualSpacing/>
        <w:jc w:val="both"/>
        <w:rPr>
          <w:rFonts w:eastAsiaTheme="minorHAnsi"/>
          <w:noProof/>
        </w:rPr>
      </w:pPr>
    </w:p>
    <w:p>
      <w:pPr>
        <w:numPr>
          <w:ilvl w:val="0"/>
          <w:numId w:val="13"/>
        </w:numPr>
        <w:spacing w:after="240"/>
        <w:contextualSpacing/>
        <w:jc w:val="both"/>
        <w:rPr>
          <w:rFonts w:eastAsiaTheme="minorHAnsi"/>
          <w:noProof/>
        </w:rPr>
      </w:pPr>
      <w:r>
        <w:rPr>
          <w:rFonts w:eastAsiaTheme="minorHAnsi"/>
          <w:b/>
          <w:noProof/>
        </w:rPr>
        <w:t>sankcije i jamstva</w:t>
      </w:r>
      <w:r>
        <w:rPr>
          <w:noProof/>
        </w:rPr>
        <w:t xml:space="preserve">. Upitno je jesu li administrativne i/ili kaznene sankcije koje se u državama članicama primjenjuju za kazneno djelo krijumčarenja dovoljno odvraćajuće. To je još važnije u kontekstu unutarnjeg tržišta jer privlačnost nezakonite trgovine duhanom u jednoj državi članici može lako izazvati znatne krijumčarske aktivnosti u drugoj državi članici. </w:t>
      </w:r>
    </w:p>
    <w:p>
      <w:pPr>
        <w:spacing w:after="240"/>
        <w:ind w:left="732"/>
        <w:contextualSpacing/>
        <w:jc w:val="both"/>
        <w:rPr>
          <w:rFonts w:eastAsiaTheme="minorHAnsi"/>
          <w:noProof/>
        </w:rPr>
      </w:pPr>
    </w:p>
    <w:p>
      <w:pPr>
        <w:spacing w:after="240"/>
        <w:ind w:left="732"/>
        <w:contextualSpacing/>
        <w:jc w:val="both"/>
        <w:rPr>
          <w:rFonts w:eastAsiaTheme="minorHAnsi"/>
          <w:noProof/>
        </w:rPr>
      </w:pPr>
      <w:r>
        <w:rPr>
          <w:noProof/>
        </w:rPr>
        <w:t>Isto je tako upitno jesu li jamstva koja države članice traže kad je riječ o osjetljivim aktivnostima povezanima s bescarinskim tretmanom trošarinskih proizvoda (npr. o upravljanju carinskim skladištem) dovoljno prilagođena nezakonitoj dobiti koju kriminalne skupine mogu steći;</w:t>
      </w:r>
    </w:p>
    <w:p>
      <w:pPr>
        <w:spacing w:after="240"/>
        <w:ind w:left="720"/>
        <w:contextualSpacing/>
        <w:jc w:val="both"/>
        <w:rPr>
          <w:rFonts w:eastAsiaTheme="minorHAnsi"/>
          <w:noProof/>
        </w:rPr>
      </w:pPr>
    </w:p>
    <w:p>
      <w:pPr>
        <w:numPr>
          <w:ilvl w:val="0"/>
          <w:numId w:val="24"/>
        </w:numPr>
        <w:spacing w:after="240"/>
        <w:contextualSpacing/>
        <w:jc w:val="both"/>
        <w:rPr>
          <w:rFonts w:eastAsiaTheme="minorHAnsi"/>
          <w:noProof/>
        </w:rPr>
      </w:pPr>
      <w:r>
        <w:rPr>
          <w:noProof/>
        </w:rPr>
        <w:t xml:space="preserve">Komisija godinama </w:t>
      </w:r>
      <w:r>
        <w:rPr>
          <w:rFonts w:eastAsiaTheme="minorHAnsi"/>
          <w:b/>
          <w:noProof/>
        </w:rPr>
        <w:t>podupire države članice</w:t>
      </w:r>
      <w:r>
        <w:rPr>
          <w:noProof/>
        </w:rPr>
        <w:t xml:space="preserve"> u borbi protiv krijumčarenja duhana. Države članice na istočnoj granici Unije na prvoj su crti obrane od krijumčarenja nezakonitih duhanskih proizvoda u EU preko kopnenih državnih granica.</w:t>
      </w:r>
      <w:r>
        <w:rPr>
          <w:noProof/>
          <w:color w:val="376092"/>
        </w:rPr>
        <w:t xml:space="preserve"> </w:t>
      </w:r>
      <w:r>
        <w:rPr>
          <w:noProof/>
        </w:rPr>
        <w:t>Stoga se postavlja pitanje bi li tim carinskim tijelima bilo u općem interesu primati ciljaniju potporu. Na to pitanje može se gledati u okviru revizije programa „Hercule”, također uzimajući u obzir nove obveze u skladu s Protokolom FCTC;</w:t>
      </w:r>
    </w:p>
    <w:p>
      <w:pPr>
        <w:spacing w:after="240"/>
        <w:ind w:left="360"/>
        <w:contextualSpacing/>
        <w:jc w:val="both"/>
        <w:rPr>
          <w:rFonts w:eastAsiaTheme="minorHAnsi"/>
          <w:noProof/>
        </w:rPr>
      </w:pPr>
    </w:p>
    <w:p>
      <w:pPr>
        <w:numPr>
          <w:ilvl w:val="0"/>
          <w:numId w:val="24"/>
        </w:numPr>
        <w:spacing w:after="240"/>
        <w:contextualSpacing/>
        <w:jc w:val="both"/>
        <w:rPr>
          <w:rFonts w:eastAsiaTheme="minorHAnsi"/>
          <w:noProof/>
        </w:rPr>
      </w:pPr>
      <w:r>
        <w:rPr>
          <w:noProof/>
        </w:rPr>
        <w:t xml:space="preserve">trenutačno traje rasprava o tome pružaju li pravni instrumenti koji su trenutačno na snazi, poput sporazuma o uzajamnoj administrativnoj pomoći, dovoljno mogućnosti za sustavnu </w:t>
      </w:r>
      <w:r>
        <w:rPr>
          <w:rFonts w:eastAsiaTheme="minorHAnsi"/>
          <w:b/>
          <w:noProof/>
        </w:rPr>
        <w:t>razmjenu carinskih podataka</w:t>
      </w:r>
      <w:r>
        <w:rPr>
          <w:noProof/>
        </w:rPr>
        <w:t xml:space="preserve"> sa susjednim državama. Vijeće je stoga pozvalo na donošenje novih instrumenata </w:t>
      </w:r>
      <w:r>
        <w:rPr>
          <w:rFonts w:eastAsiaTheme="minorHAnsi"/>
          <w:noProof/>
          <w:vertAlign w:val="superscript"/>
        </w:rPr>
        <w:footnoteReference w:id="47"/>
      </w:r>
      <w:r>
        <w:rPr>
          <w:noProof/>
        </w:rPr>
        <w:t xml:space="preserve"> na temelju novog članka 12. Carinskog zakonika Unije kako bi se to stanje poboljšalo;</w:t>
      </w:r>
    </w:p>
    <w:p>
      <w:pPr>
        <w:spacing w:after="200"/>
        <w:ind w:left="360"/>
        <w:contextualSpacing/>
        <w:jc w:val="both"/>
        <w:rPr>
          <w:rFonts w:eastAsiaTheme="minorHAnsi"/>
          <w:noProof/>
        </w:rPr>
      </w:pPr>
    </w:p>
    <w:p>
      <w:pPr>
        <w:numPr>
          <w:ilvl w:val="0"/>
          <w:numId w:val="24"/>
        </w:numPr>
        <w:spacing w:after="240"/>
        <w:contextualSpacing/>
        <w:jc w:val="both"/>
        <w:rPr>
          <w:rFonts w:eastAsiaTheme="minorHAnsi"/>
          <w:noProof/>
        </w:rPr>
      </w:pPr>
      <w:r>
        <w:rPr>
          <w:noProof/>
        </w:rPr>
        <w:t xml:space="preserve">mnogo je legitimnih </w:t>
      </w:r>
      <w:r>
        <w:rPr>
          <w:rFonts w:eastAsiaTheme="minorHAnsi"/>
          <w:b/>
          <w:noProof/>
        </w:rPr>
        <w:t>privatnih i državnih</w:t>
      </w:r>
      <w:r>
        <w:rPr>
          <w:noProof/>
        </w:rPr>
        <w:t xml:space="preserve"> posredničkih </w:t>
      </w:r>
      <w:r>
        <w:rPr>
          <w:b/>
          <w:noProof/>
        </w:rPr>
        <w:t>subjekata</w:t>
      </w:r>
      <w:r>
        <w:rPr>
          <w:noProof/>
        </w:rPr>
        <w:t xml:space="preserve"> uključenih u lanac opskrbe, poput otpremnika, prijevoznika, luka, špeditera, carinskih službenika i društava za skladištenje. Njima je ugled važan te bi oni mogli postati još važniji saveznici u borbi protiv nezakonite trgovine duhanom.</w:t>
      </w:r>
    </w:p>
    <w:p>
      <w:pPr>
        <w:spacing w:after="240"/>
        <w:ind w:left="360"/>
        <w:contextualSpacing/>
        <w:jc w:val="both"/>
        <w:rPr>
          <w:rFonts w:eastAsiaTheme="minorHAnsi"/>
          <w:noProof/>
        </w:rPr>
      </w:pPr>
    </w:p>
    <w:p>
      <w:pPr>
        <w:spacing w:after="240"/>
        <w:ind w:left="360"/>
        <w:contextualSpacing/>
        <w:jc w:val="both"/>
        <w:rPr>
          <w:rFonts w:eastAsiaTheme="minorHAnsi"/>
          <w:noProof/>
        </w:rPr>
      </w:pPr>
      <w:r>
        <w:rPr>
          <w:noProof/>
        </w:rPr>
        <w:t xml:space="preserve">Kao što je prepoznato i u Protokolu FCTC, poseban je izazov proizvodnja u </w:t>
      </w:r>
      <w:r>
        <w:rPr>
          <w:rFonts w:eastAsiaTheme="minorHAnsi"/>
          <w:b/>
          <w:noProof/>
        </w:rPr>
        <w:t>slobodnim zonama</w:t>
      </w:r>
      <w:r>
        <w:rPr>
          <w:noProof/>
        </w:rPr>
        <w:t xml:space="preserve"> te krijumčarenje robe iz njih i kroz njih. Često se trenutačne poteškoće mogu riješiti samo u suradnji s lokalnim vlastima. Stoga se može razmotriti sklapanje sporazuma o carinskoj suradnji s relevantnim zemljama, uključujući Ujedinjene Arapske Emirate/Dubai, s kojima takvi sporazumi još nisu sklopljeni;</w:t>
      </w:r>
    </w:p>
    <w:p>
      <w:pPr>
        <w:spacing w:after="200"/>
        <w:ind w:left="360"/>
        <w:contextualSpacing/>
        <w:jc w:val="both"/>
        <w:rPr>
          <w:rFonts w:eastAsiaTheme="minorHAnsi"/>
          <w:noProof/>
        </w:rPr>
      </w:pPr>
    </w:p>
    <w:p>
      <w:pPr>
        <w:numPr>
          <w:ilvl w:val="0"/>
          <w:numId w:val="24"/>
        </w:numPr>
        <w:spacing w:after="200"/>
        <w:contextualSpacing/>
        <w:jc w:val="both"/>
        <w:rPr>
          <w:rFonts w:eastAsiaTheme="minorHAnsi"/>
          <w:noProof/>
        </w:rPr>
      </w:pPr>
      <w:r>
        <w:rPr>
          <w:noProof/>
        </w:rPr>
        <w:t xml:space="preserve">Usto, trenutačno ne postoji </w:t>
      </w:r>
      <w:r>
        <w:rPr>
          <w:rFonts w:eastAsiaTheme="minorHAnsi"/>
          <w:b/>
          <w:noProof/>
        </w:rPr>
        <w:t>neovisna procjena</w:t>
      </w:r>
      <w:r>
        <w:rPr>
          <w:noProof/>
        </w:rPr>
        <w:t xml:space="preserve"> razmjera i kretanja nezakonitog tržišta duhana u EU-u. Iako su se statistički podaci poboljšali, oni se uvijek temelje na zapljenama, a tako se ne može dobiti potpuna i neovisna slika nezakonitog tržišta. Stoga će za daljnje utemeljeno i ciljano kreiranje politika možda biti potrebne dodatne informacije koje će se temeljiti na obrascima potrošnje.</w:t>
      </w:r>
    </w:p>
    <w:p>
      <w:pPr>
        <w:spacing w:after="240"/>
        <w:ind w:left="360"/>
        <w:contextualSpacing/>
        <w:jc w:val="both"/>
        <w:rPr>
          <w:rFonts w:eastAsiaTheme="minorHAnsi"/>
          <w:noProof/>
        </w:rPr>
      </w:pPr>
    </w:p>
    <w:p>
      <w:pPr>
        <w:keepNext/>
        <w:keepLines/>
        <w:spacing w:before="240" w:after="240"/>
        <w:outlineLvl w:val="0"/>
        <w:rPr>
          <w:b/>
          <w:bCs/>
          <w:caps/>
          <w:noProof/>
          <w:szCs w:val="28"/>
        </w:rPr>
      </w:pPr>
      <w:bookmarkStart w:id="9" w:name="_Toc469647943"/>
      <w:bookmarkStart w:id="10" w:name="_Toc471999485"/>
      <w:r>
        <w:rPr>
          <w:b/>
          <w:caps/>
          <w:noProof/>
        </w:rPr>
        <w:t>Odjeljak E: Zaključci</w:t>
      </w:r>
      <w:bookmarkEnd w:id="9"/>
      <w:bookmarkEnd w:id="10"/>
      <w:r>
        <w:rPr>
          <w:b/>
          <w:caps/>
          <w:noProof/>
        </w:rPr>
        <w:t xml:space="preserve"> </w:t>
      </w:r>
    </w:p>
    <w:p>
      <w:pPr>
        <w:spacing w:after="240"/>
        <w:jc w:val="both"/>
        <w:rPr>
          <w:rFonts w:eastAsiaTheme="minorHAnsi"/>
          <w:noProof/>
        </w:rPr>
      </w:pPr>
      <w:r>
        <w:rPr>
          <w:noProof/>
        </w:rPr>
        <w:t>Unatoč mjerama poduzetima od 2013. izazov koji predstavlja nezakonita trgovina duhanom i danas je zabrinjavajući kao što je bio i u prošlosti. EU i njegove države članice nemaju drugog izbora nego odlučno nastaviti rješavati prijetnju koju predstavljaju nezakoniti duhan i promjene u kretanjima jer ta je nezakonita aktivnost štetna za javno zdravlje, financije i sigurnost.</w:t>
      </w:r>
    </w:p>
    <w:p>
      <w:pPr>
        <w:spacing w:after="240"/>
        <w:jc w:val="both"/>
        <w:rPr>
          <w:rFonts w:eastAsiaTheme="minorHAnsi"/>
          <w:noProof/>
        </w:rPr>
      </w:pPr>
      <w:r>
        <w:rPr>
          <w:noProof/>
        </w:rPr>
        <w:t xml:space="preserve">Strategija iz 2013. i dalje je relevantna jer su u njoj navedeni odlučni zakonodavni odgovori, jak sustav kaznenog progona i pojačana suradnja na nacionalnoj, europskoj i međunarodnoj razini. Prerano je da bi se donijela konačna ocjena njezine učinkovitosti jer njezine ključne komponente, kao što su slijeđenje i praćenje, još nisu u uporabi. </w:t>
      </w:r>
    </w:p>
    <w:p>
      <w:pPr>
        <w:spacing w:after="240"/>
        <w:jc w:val="both"/>
        <w:rPr>
          <w:rFonts w:eastAsiaTheme="minorHAnsi"/>
          <w:noProof/>
        </w:rPr>
      </w:pPr>
      <w:r>
        <w:rPr>
          <w:noProof/>
        </w:rPr>
        <w:t>S obzirom na rastuću prijetnju koju posebice predstavljaju cigarete bez oznake proizvođača („jeftine bijele cigarete”), Protokol FCTC, kada ga bude u potpunosti počelo primjenjivati dovoljno zemalja, uključujući ključne zemlje podrijetla i provoza, bit će ključan instrument za borbu protiv nezakonite trgovine duhanom na svjetskoj razini. No iako će posebice slijeđenje i praćenje pomoći osigurati zakoniti lanac opskrbe, bit će potrebni dodatni instrumenti za učinkovito rješavanje pitanja domaće ili inozemne ilegalne proizvodnje cigareta.</w:t>
      </w:r>
    </w:p>
    <w:p>
      <w:pPr>
        <w:spacing w:after="240"/>
        <w:jc w:val="both"/>
        <w:rPr>
          <w:rFonts w:eastAsiaTheme="minorHAnsi"/>
          <w:noProof/>
        </w:rPr>
      </w:pPr>
      <w:r>
        <w:rPr>
          <w:noProof/>
        </w:rPr>
        <w:t>S obzirom na navedeno te na temelju ove analize i daljnjeg dijaloga s dionicima, Komisija će dovršiti evaluaciju te strategije i odlučiti o prikladnim daljnjim postupcima u 2018.</w:t>
      </w:r>
    </w:p>
    <w:p>
      <w:pPr>
        <w:spacing w:after="240"/>
        <w:jc w:val="both"/>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360"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67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40"/>
        <w:ind w:left="284" w:hanging="284"/>
        <w:jc w:val="both"/>
      </w:pPr>
      <w:r>
        <w:rPr>
          <w:rStyle w:val="FootnoteReference"/>
        </w:rPr>
        <w:footnoteRef/>
      </w:r>
      <w:r>
        <w:t xml:space="preserve"> </w:t>
      </w:r>
      <w:r>
        <w:tab/>
        <w:t>Vidjeti i Rezoluciju Vijeća sigurnosti UN-a br. 2199 od 12. veljače 2015.</w:t>
      </w:r>
    </w:p>
  </w:footnote>
  <w:footnote w:id="2">
    <w:p>
      <w:pPr>
        <w:pStyle w:val="FootnoteText"/>
        <w:spacing w:after="40"/>
        <w:ind w:left="284" w:hanging="284"/>
        <w:jc w:val="both"/>
      </w:pPr>
      <w:r>
        <w:rPr>
          <w:rStyle w:val="FootnoteReference"/>
        </w:rPr>
        <w:footnoteRef/>
      </w:r>
      <w:r>
        <w:t xml:space="preserve"> </w:t>
      </w:r>
      <w:r>
        <w:tab/>
        <w:t>Europski program sigurnosti, COM(2015) 185 final, od 28. travnja 2015., str. 4. i 6.</w:t>
      </w:r>
    </w:p>
  </w:footnote>
  <w:footnote w:id="3">
    <w:p>
      <w:pPr>
        <w:pStyle w:val="FootnoteText"/>
        <w:spacing w:after="40"/>
        <w:ind w:left="284" w:hanging="284"/>
      </w:pPr>
      <w:r>
        <w:rPr>
          <w:rStyle w:val="FootnoteReference"/>
        </w:rPr>
        <w:footnoteRef/>
      </w:r>
      <w:r>
        <w:t xml:space="preserve"> </w:t>
      </w:r>
      <w:r>
        <w:tab/>
        <w:t>COM(2013) 324 final od 6. lipnja 2013.</w:t>
      </w:r>
    </w:p>
  </w:footnote>
  <w:footnote w:id="4">
    <w:p>
      <w:pPr>
        <w:pStyle w:val="FootnoteText"/>
        <w:spacing w:after="40"/>
        <w:ind w:left="284" w:hanging="284"/>
      </w:pPr>
      <w:r>
        <w:rPr>
          <w:rStyle w:val="FootnoteReference"/>
        </w:rPr>
        <w:footnoteRef/>
      </w:r>
      <w:r>
        <w:t xml:space="preserve"> </w:t>
      </w:r>
      <w:r>
        <w:tab/>
        <w:t>SEC(2011) 791 final od 24. lipnja 2011.</w:t>
      </w:r>
    </w:p>
  </w:footnote>
  <w:footnote w:id="5">
    <w:p>
      <w:pPr>
        <w:pStyle w:val="FootnoteText"/>
        <w:spacing w:after="40"/>
        <w:ind w:left="284" w:hanging="284"/>
      </w:pPr>
      <w:r>
        <w:rPr>
          <w:rStyle w:val="FootnoteReference"/>
        </w:rPr>
        <w:footnoteRef/>
      </w:r>
      <w:r>
        <w:t xml:space="preserve"> </w:t>
      </w:r>
      <w:r>
        <w:tab/>
        <w:t>SWD(2013) 193 final od 6. lipnja 2013.</w:t>
      </w:r>
    </w:p>
  </w:footnote>
  <w:footnote w:id="6">
    <w:p>
      <w:pPr>
        <w:pStyle w:val="FootnoteText"/>
        <w:spacing w:after="40"/>
        <w:ind w:left="284" w:hanging="284"/>
      </w:pPr>
      <w:r>
        <w:rPr>
          <w:rStyle w:val="FootnoteReference"/>
        </w:rPr>
        <w:footnoteRef/>
      </w:r>
      <w:r>
        <w:t xml:space="preserve"> </w:t>
      </w:r>
      <w:r>
        <w:tab/>
      </w:r>
      <w:hyperlink r:id="rId1">
        <w:r>
          <w:rPr>
            <w:rStyle w:val="Hyperlink"/>
          </w:rPr>
          <w:t>https://ec.europa.eu/anti-fraud/sites/antifraud/files/docs/body/council_conclusions_en.pdf</w:t>
        </w:r>
      </w:hyperlink>
      <w:r>
        <w:t xml:space="preserve"> </w:t>
      </w:r>
    </w:p>
  </w:footnote>
  <w:footnote w:id="7">
    <w:p>
      <w:pPr>
        <w:pStyle w:val="FootnoteText"/>
        <w:spacing w:after="40"/>
        <w:ind w:left="284" w:hanging="284"/>
      </w:pPr>
      <w:r>
        <w:rPr>
          <w:rStyle w:val="FootnoteReference"/>
        </w:rPr>
        <w:footnoteRef/>
      </w:r>
      <w:r>
        <w:t xml:space="preserve"> </w:t>
      </w:r>
      <w:r>
        <w:tab/>
        <w:t>Rezolucija Europskog parlamenta od 9. ožujka 2016. (2016/2555(RSP)).</w:t>
      </w:r>
    </w:p>
  </w:footnote>
  <w:footnote w:id="8">
    <w:p>
      <w:pPr>
        <w:pStyle w:val="FootnoteText"/>
        <w:spacing w:after="40"/>
        <w:ind w:left="284" w:hanging="284"/>
      </w:pPr>
      <w:r>
        <w:rPr>
          <w:rStyle w:val="FootnoteReference"/>
        </w:rPr>
        <w:footnoteRef/>
      </w:r>
      <w:r>
        <w:t xml:space="preserve"> </w:t>
      </w:r>
      <w:r>
        <w:tab/>
        <w:t>Radi lakšeg snalaženja u ovom izvješću upućuje se na mjere iz akcijskog plana iz 2013.</w:t>
      </w:r>
    </w:p>
  </w:footnote>
  <w:footnote w:id="9">
    <w:p>
      <w:pPr>
        <w:spacing w:after="40"/>
        <w:ind w:left="284" w:hanging="284"/>
        <w:rPr>
          <w:color w:val="1F497D"/>
          <w:sz w:val="20"/>
          <w:szCs w:val="20"/>
        </w:rPr>
      </w:pPr>
      <w:r>
        <w:rPr>
          <w:rStyle w:val="FootnoteReference"/>
          <w:sz w:val="20"/>
        </w:rPr>
        <w:footnoteRef/>
      </w:r>
      <w:r>
        <w:rPr>
          <w:sz w:val="20"/>
        </w:rPr>
        <w:t xml:space="preserve"> </w:t>
      </w:r>
      <w:r>
        <w:tab/>
      </w:r>
      <w:r>
        <w:rPr>
          <w:sz w:val="20"/>
        </w:rPr>
        <w:t xml:space="preserve">Odluke Vijeća (EU) 2016/1750 i 2016/1749 od 17. lipnja 2016., SL L 268 od 1.10.2016., str. 1. </w:t>
      </w:r>
    </w:p>
  </w:footnote>
  <w:footnote w:id="10">
    <w:p>
      <w:pPr>
        <w:pStyle w:val="FootnoteText"/>
        <w:spacing w:after="40"/>
        <w:ind w:left="284" w:hanging="284"/>
      </w:pPr>
      <w:r>
        <w:rPr>
          <w:rStyle w:val="FootnoteReference"/>
        </w:rPr>
        <w:footnoteRef/>
      </w:r>
      <w:r>
        <w:t xml:space="preserve"> </w:t>
      </w:r>
      <w:r>
        <w:tab/>
        <w:t>Ratifikacija EU-a ne uračunava se u zahtjev za 40 ratifikacija.</w:t>
      </w:r>
    </w:p>
  </w:footnote>
  <w:footnote w:id="11">
    <w:p>
      <w:pPr>
        <w:pStyle w:val="FootnoteText"/>
        <w:spacing w:after="40"/>
        <w:ind w:left="284" w:hanging="284"/>
      </w:pPr>
      <w:r>
        <w:rPr>
          <w:rStyle w:val="FootnoteReference"/>
        </w:rPr>
        <w:footnoteRef/>
      </w:r>
      <w:r>
        <w:t xml:space="preserve"> </w:t>
      </w:r>
      <w:r>
        <w:tab/>
        <w:t>Primjerice, nedavno je osigurala sredstva iz zdravstvenog programa EU-a (400 000 EUR).</w:t>
      </w:r>
    </w:p>
  </w:footnote>
  <w:footnote w:id="12">
    <w:p>
      <w:pPr>
        <w:pStyle w:val="FootnoteText"/>
        <w:spacing w:after="40"/>
        <w:ind w:left="284" w:hanging="284"/>
      </w:pPr>
      <w:r>
        <w:rPr>
          <w:rStyle w:val="FootnoteReference"/>
        </w:rPr>
        <w:footnoteRef/>
      </w:r>
      <w:r>
        <w:t xml:space="preserve"> </w:t>
      </w:r>
      <w:r>
        <w:tab/>
        <w:t>Direktiva 2014/40/EU od 3. travnja 2014, SL L 127, 29.4.2014., str. 1.</w:t>
      </w:r>
    </w:p>
  </w:footnote>
  <w:footnote w:id="13">
    <w:p>
      <w:pPr>
        <w:spacing w:after="40"/>
        <w:ind w:left="284" w:hanging="284"/>
        <w:rPr>
          <w:sz w:val="20"/>
          <w:szCs w:val="20"/>
        </w:rPr>
      </w:pPr>
      <w:r>
        <w:rPr>
          <w:rStyle w:val="FootnoteReference"/>
          <w:sz w:val="20"/>
        </w:rPr>
        <w:footnoteRef/>
      </w:r>
      <w:r>
        <w:rPr>
          <w:sz w:val="20"/>
        </w:rPr>
        <w:t xml:space="preserve"> </w:t>
      </w:r>
      <w:r>
        <w:tab/>
      </w:r>
      <w:r>
        <w:rPr>
          <w:sz w:val="20"/>
        </w:rPr>
        <w:t>Uredba (EU) 2015/1525 od 9. rujna 2015., SL L 243, 18.9.2015., str. 1.</w:t>
      </w:r>
    </w:p>
  </w:footnote>
  <w:footnote w:id="14">
    <w:p>
      <w:pPr>
        <w:spacing w:after="40"/>
        <w:ind w:left="284" w:hanging="284"/>
        <w:rPr>
          <w:i/>
          <w:sz w:val="20"/>
          <w:szCs w:val="20"/>
        </w:rPr>
      </w:pPr>
      <w:r>
        <w:rPr>
          <w:rStyle w:val="FootnoteReference"/>
          <w:sz w:val="20"/>
        </w:rPr>
        <w:footnoteRef/>
      </w:r>
      <w:r>
        <w:rPr>
          <w:sz w:val="20"/>
        </w:rPr>
        <w:t xml:space="preserve"> </w:t>
      </w:r>
      <w:r>
        <w:tab/>
      </w:r>
      <w:r>
        <w:rPr>
          <w:sz w:val="20"/>
        </w:rPr>
        <w:t>Uredba (EU) br. 952/2013 od 9. listopada 2013., SL L 269, 10.10.2013., str. 1.</w:t>
      </w:r>
    </w:p>
  </w:footnote>
  <w:footnote w:id="15">
    <w:p>
      <w:pPr>
        <w:pStyle w:val="FootnoteText"/>
        <w:spacing w:after="40"/>
        <w:ind w:left="284" w:hanging="284"/>
      </w:pPr>
      <w:r>
        <w:rPr>
          <w:rStyle w:val="FootnoteReference"/>
        </w:rPr>
        <w:footnoteRef/>
      </w:r>
      <w:r>
        <w:t xml:space="preserve"> </w:t>
      </w:r>
      <w:r>
        <w:tab/>
        <w:t>COM(2014) 527 final od 21. kolovoza 2014.</w:t>
      </w:r>
    </w:p>
  </w:footnote>
  <w:footnote w:id="16">
    <w:p>
      <w:pPr>
        <w:pStyle w:val="FootnoteText"/>
        <w:spacing w:after="40"/>
        <w:ind w:left="284" w:hanging="284"/>
      </w:pPr>
      <w:r>
        <w:rPr>
          <w:rStyle w:val="FootnoteReference"/>
        </w:rPr>
        <w:footnoteRef/>
      </w:r>
      <w:r>
        <w:t xml:space="preserve"> </w:t>
      </w:r>
      <w:r>
        <w:tab/>
        <w:t>COM(2016) 476 final od 19. srpnja 2016.</w:t>
      </w:r>
    </w:p>
  </w:footnote>
  <w:footnote w:id="17">
    <w:p>
      <w:pPr>
        <w:pStyle w:val="FootnoteText"/>
        <w:spacing w:after="40"/>
        <w:ind w:left="284" w:hanging="284"/>
      </w:pPr>
      <w:r>
        <w:rPr>
          <w:rStyle w:val="FootnoteReference"/>
        </w:rPr>
        <w:footnoteRef/>
      </w:r>
      <w:r>
        <w:t xml:space="preserve"> </w:t>
      </w:r>
      <w:r>
        <w:tab/>
        <w:t>Direktiva 2011/64/EU od 21. lipnja 2011., SL L 176, 5.7.2011., str. 24.</w:t>
      </w:r>
    </w:p>
  </w:footnote>
  <w:footnote w:id="18">
    <w:p>
      <w:pPr>
        <w:pStyle w:val="FootnoteText"/>
        <w:spacing w:after="40"/>
        <w:ind w:left="284" w:hanging="284"/>
      </w:pPr>
      <w:r>
        <w:rPr>
          <w:rStyle w:val="FootnoteReference"/>
        </w:rPr>
        <w:footnoteRef/>
      </w:r>
      <w:r>
        <w:t xml:space="preserve"> </w:t>
      </w:r>
      <w:r>
        <w:tab/>
        <w:t xml:space="preserve">Studija o mjerenju i smanjivanju administrativnih troškova gospodarskih subjekata i poreznih uprava te istodobnom ostvarivanju više razine usklađenosti i sigurnosti u primjeni trošarina na duhanske proizvode </w:t>
      </w:r>
      <w:hyperlink r:id="rId2">
        <w:r>
          <w:rPr>
            <w:rStyle w:val="Hyperlink"/>
          </w:rPr>
          <w:t>http://ec.europa.eu/taxation_customs/sites/taxation/files/resources/documents/taxation/excise_duties/tobacco_products/studies_reports/ramboll-tobacco-study.pdf</w:t>
        </w:r>
      </w:hyperlink>
    </w:p>
  </w:footnote>
  <w:footnote w:id="19">
    <w:p>
      <w:pPr>
        <w:pStyle w:val="FootnoteText"/>
        <w:spacing w:after="40"/>
        <w:ind w:left="284" w:hanging="284"/>
      </w:pPr>
      <w:r>
        <w:rPr>
          <w:rStyle w:val="FootnoteReference"/>
        </w:rPr>
        <w:footnoteRef/>
      </w:r>
      <w:r>
        <w:t xml:space="preserve"> </w:t>
      </w:r>
      <w:r>
        <w:tab/>
        <w:t>COM(2015) 621 od 21. prosinca 2015.</w:t>
      </w:r>
    </w:p>
  </w:footnote>
  <w:footnote w:id="20">
    <w:p>
      <w:pPr>
        <w:pStyle w:val="FootnoteText"/>
        <w:spacing w:after="40"/>
        <w:ind w:left="284" w:hanging="284"/>
      </w:pPr>
      <w:r>
        <w:rPr>
          <w:rStyle w:val="FootnoteReference"/>
        </w:rPr>
        <w:footnoteRef/>
      </w:r>
      <w:r>
        <w:t xml:space="preserve"> </w:t>
      </w:r>
      <w:r>
        <w:tab/>
        <w:t>Uredba EC/2007/74/ od 20. prosinca 2007., SL L 346, 29.12.2007., str. 6.</w:t>
      </w:r>
    </w:p>
  </w:footnote>
  <w:footnote w:id="21">
    <w:p>
      <w:pPr>
        <w:pStyle w:val="FootnoteText"/>
        <w:spacing w:after="40"/>
        <w:ind w:left="284" w:hanging="284"/>
      </w:pPr>
      <w:r>
        <w:rPr>
          <w:rStyle w:val="FootnoteReference"/>
        </w:rPr>
        <w:footnoteRef/>
      </w:r>
      <w:r>
        <w:t xml:space="preserve"> </w:t>
      </w:r>
      <w:r>
        <w:tab/>
        <w:t>COM(2013) 849 final od 3. prosinca 2013.</w:t>
      </w:r>
    </w:p>
  </w:footnote>
  <w:footnote w:id="22">
    <w:p>
      <w:pPr>
        <w:pStyle w:val="FootnoteText"/>
        <w:spacing w:after="40"/>
        <w:ind w:left="284" w:hanging="284"/>
      </w:pPr>
      <w:r>
        <w:rPr>
          <w:rStyle w:val="FootnoteReference"/>
        </w:rPr>
        <w:footnoteRef/>
      </w:r>
      <w:r>
        <w:t xml:space="preserve"> </w:t>
      </w:r>
      <w:r>
        <w:tab/>
        <w:t>Uredba (EU) 2015/849/ od 20. svibnja 2015., SL L 141, 5.6.2015., str. 73.</w:t>
      </w:r>
    </w:p>
  </w:footnote>
  <w:footnote w:id="23">
    <w:p>
      <w:pPr>
        <w:pStyle w:val="FootnoteText"/>
        <w:spacing w:after="40"/>
        <w:ind w:left="284" w:hanging="284"/>
        <w:rPr>
          <w:lang w:val="pt-PT"/>
        </w:rPr>
      </w:pPr>
      <w:r>
        <w:rPr>
          <w:rStyle w:val="FootnoteReference"/>
        </w:rPr>
        <w:footnoteRef/>
      </w:r>
      <w:r>
        <w:t xml:space="preserve"> </w:t>
      </w:r>
      <w:r>
        <w:tab/>
        <w:t>COM(2016) 50 final od 2. veljače 2016.</w:t>
      </w:r>
    </w:p>
  </w:footnote>
  <w:footnote w:id="24">
    <w:p>
      <w:pPr>
        <w:pStyle w:val="FootnoteText"/>
        <w:spacing w:after="40"/>
        <w:ind w:left="284" w:hanging="284"/>
        <w:rPr>
          <w:lang w:val="pt-PT"/>
        </w:rPr>
      </w:pPr>
      <w:r>
        <w:rPr>
          <w:rStyle w:val="FootnoteReference"/>
        </w:rPr>
        <w:footnoteRef/>
      </w:r>
      <w:r>
        <w:t xml:space="preserve"> </w:t>
      </w:r>
      <w:r>
        <w:tab/>
        <w:t>COM(2016) 826 final.</w:t>
      </w:r>
    </w:p>
  </w:footnote>
  <w:footnote w:id="25">
    <w:p>
      <w:pPr>
        <w:pStyle w:val="FootnoteText"/>
        <w:spacing w:after="40"/>
        <w:ind w:left="284" w:hanging="284"/>
        <w:rPr>
          <w:lang w:val="pt-PT"/>
        </w:rPr>
      </w:pPr>
      <w:r>
        <w:rPr>
          <w:rStyle w:val="FootnoteReference"/>
        </w:rPr>
        <w:footnoteRef/>
      </w:r>
      <w:r>
        <w:t xml:space="preserve"> </w:t>
      </w:r>
      <w:r>
        <w:tab/>
        <w:t>COM(2013) 884 final.</w:t>
      </w:r>
    </w:p>
  </w:footnote>
  <w:footnote w:id="26">
    <w:p>
      <w:pPr>
        <w:pStyle w:val="FootnoteText"/>
        <w:ind w:left="284" w:hanging="284"/>
      </w:pPr>
      <w:r>
        <w:rPr>
          <w:rStyle w:val="FootnoteReference"/>
        </w:rPr>
        <w:footnoteRef/>
      </w:r>
      <w:r>
        <w:t xml:space="preserve"> </w:t>
      </w:r>
      <w:r>
        <w:tab/>
        <w:t>COM(2012) 363 final od 11. srpnja 2012.</w:t>
      </w:r>
    </w:p>
  </w:footnote>
  <w:footnote w:id="27">
    <w:p>
      <w:pPr>
        <w:pStyle w:val="FootnoteText"/>
        <w:spacing w:after="40"/>
        <w:ind w:left="284" w:hanging="284"/>
      </w:pPr>
      <w:r>
        <w:rPr>
          <w:rStyle w:val="FootnoteReference"/>
        </w:rPr>
        <w:footnoteRef/>
      </w:r>
      <w:r>
        <w:t xml:space="preserve"> </w:t>
      </w:r>
      <w:r>
        <w:tab/>
        <w:t>Uredba (EU, Euratom) br. 883/2013 od 11. rujna 2013., SL L 248, 18.9.2013., str. 1.</w:t>
      </w:r>
    </w:p>
  </w:footnote>
  <w:footnote w:id="28">
    <w:p>
      <w:pPr>
        <w:pStyle w:val="FootnoteText"/>
        <w:spacing w:after="40"/>
        <w:ind w:left="284" w:hanging="284"/>
      </w:pPr>
      <w:r>
        <w:rPr>
          <w:rStyle w:val="FootnoteReference"/>
        </w:rPr>
        <w:footnoteRef/>
      </w:r>
      <w:r>
        <w:t xml:space="preserve"> </w:t>
      </w:r>
      <w:r>
        <w:tab/>
        <w:t>Uredba (EU) 794/2016 od 11. svibnja 2016., SL L 135, 24.5.2016., str. 53.</w:t>
      </w:r>
    </w:p>
  </w:footnote>
  <w:footnote w:id="29">
    <w:p>
      <w:pPr>
        <w:pStyle w:val="FootnoteText"/>
        <w:spacing w:after="40"/>
        <w:ind w:left="284" w:hanging="284"/>
      </w:pPr>
      <w:r>
        <w:rPr>
          <w:rStyle w:val="FootnoteReference"/>
        </w:rPr>
        <w:footnoteRef/>
      </w:r>
      <w:r>
        <w:t xml:space="preserve"> </w:t>
      </w:r>
      <w:r>
        <w:tab/>
        <w:t>COM(2013) 535 final.</w:t>
      </w:r>
    </w:p>
  </w:footnote>
  <w:footnote w:id="30">
    <w:p>
      <w:pPr>
        <w:pStyle w:val="FootnoteText"/>
        <w:spacing w:after="40"/>
        <w:ind w:left="284" w:hanging="284"/>
      </w:pPr>
      <w:r>
        <w:rPr>
          <w:rStyle w:val="FootnoteReference"/>
        </w:rPr>
        <w:footnoteRef/>
      </w:r>
      <w:r>
        <w:t xml:space="preserve"> </w:t>
      </w:r>
      <w:r>
        <w:tab/>
        <w:t>Uredba (EU) br. 1052/2013 od 22. listopada 2013., SL L 295, 6.11.2013., str. 11.</w:t>
      </w:r>
    </w:p>
  </w:footnote>
  <w:footnote w:id="31">
    <w:p>
      <w:pPr>
        <w:pStyle w:val="FootnoteText"/>
        <w:spacing w:after="40"/>
        <w:ind w:left="284" w:hanging="284"/>
      </w:pPr>
      <w:r>
        <w:rPr>
          <w:rStyle w:val="FootnoteReference"/>
        </w:rPr>
        <w:footnoteRef/>
      </w:r>
      <w:r>
        <w:t xml:space="preserve"> </w:t>
      </w:r>
      <w:r>
        <w:tab/>
        <w:t>Uredba (EU) 250/2014 od 26. veljače 2014., SL L 84, 20.3.2014., str. 6.</w:t>
      </w:r>
    </w:p>
  </w:footnote>
  <w:footnote w:id="32">
    <w:p>
      <w:pPr>
        <w:pStyle w:val="FootnoteText"/>
        <w:spacing w:after="40"/>
        <w:ind w:left="284" w:hanging="284"/>
      </w:pPr>
      <w:r>
        <w:rPr>
          <w:rStyle w:val="FootnoteReference"/>
        </w:rPr>
        <w:footnoteRef/>
      </w:r>
      <w:r>
        <w:t xml:space="preserve"> </w:t>
      </w:r>
      <w:r>
        <w:tab/>
        <w:t>Komisijino priopćenje za tisak dostupno je na: http://europa.eu/rapid/press-release_IP-14-679_en.htm</w:t>
      </w:r>
    </w:p>
  </w:footnote>
  <w:footnote w:id="33">
    <w:p>
      <w:pPr>
        <w:pStyle w:val="FootnoteText"/>
        <w:spacing w:after="40"/>
        <w:ind w:left="284" w:hanging="284"/>
      </w:pPr>
      <w:r>
        <w:rPr>
          <w:rStyle w:val="FootnoteReference"/>
        </w:rPr>
        <w:footnoteRef/>
      </w:r>
      <w:r>
        <w:t xml:space="preserve"> </w:t>
      </w:r>
      <w:r>
        <w:tab/>
        <w:t>Ciklus politika EU-a metodologija je koju je EU donio 2010. kako bi se suočio s najvećim kriminalnim prijetnjama kojima je EU pogođen. Jedanput godišnje donose se operativni akcijski planovi za koordinaciju prekograničnih aktivnosti provedbe zakona u području prioriteta koje odrede države članice. Prijevare povezane s trošarinama bile su jedan od prioriteta za ciklus od 2014. do 2017.</w:t>
      </w:r>
    </w:p>
  </w:footnote>
  <w:footnote w:id="34">
    <w:p>
      <w:pPr>
        <w:pStyle w:val="FootnoteText"/>
        <w:spacing w:after="40"/>
        <w:ind w:left="284" w:hanging="284"/>
      </w:pPr>
      <w:r>
        <w:rPr>
          <w:rStyle w:val="FootnoteReference"/>
        </w:rPr>
        <w:footnoteRef/>
      </w:r>
      <w:r>
        <w:t xml:space="preserve"> </w:t>
      </w:r>
      <w:r>
        <w:tab/>
        <w:t>Poput aplikacije za upravljanje zapljenama duhana (ToSMA) koja služi za obradu zapljena na temelju sporazuma o borbi protiv prijevara s velikim proizvođačima, vidjeti SWD(2016) 44 od 24. veljače 2016., str. 24.</w:t>
      </w:r>
    </w:p>
  </w:footnote>
  <w:footnote w:id="35">
    <w:p>
      <w:pPr>
        <w:pStyle w:val="FootnoteText"/>
        <w:ind w:left="240" w:hanging="240"/>
      </w:pPr>
      <w:r>
        <w:rPr>
          <w:rStyle w:val="FootnoteReference"/>
        </w:rPr>
        <w:footnoteRef/>
      </w:r>
      <w:r>
        <w:t xml:space="preserve">  Poput Sporazuma o slobodnoj trgovini EU – Ukrajina, Strateškog okvira za carinsku suradnju EU-a i Rusije, Radne skupine EU-a i Rusije o pitanjima carinske granice i Akcijskog plana za carinski dijalog između EU-a i Republike Bjelarusa.</w:t>
      </w:r>
    </w:p>
  </w:footnote>
  <w:footnote w:id="36">
    <w:p>
      <w:pPr>
        <w:pStyle w:val="FootnoteText"/>
        <w:spacing w:after="40"/>
        <w:ind w:left="284" w:hanging="284"/>
        <w:jc w:val="both"/>
      </w:pPr>
      <w:r>
        <w:rPr>
          <w:rStyle w:val="FootnoteReference"/>
        </w:rPr>
        <w:footnoteRef/>
      </w:r>
      <w:r>
        <w:t xml:space="preserve"> </w:t>
      </w:r>
      <w:r>
        <w:tab/>
        <w:t>Istraživanje je provedeno u jesen 2015. na 27 672 ispitanika iz svih država članica.</w:t>
      </w:r>
    </w:p>
  </w:footnote>
  <w:footnote w:id="37">
    <w:p>
      <w:pPr>
        <w:pStyle w:val="FootnoteText"/>
        <w:spacing w:after="40"/>
        <w:ind w:left="284" w:hanging="284"/>
      </w:pPr>
      <w:r>
        <w:rPr>
          <w:rStyle w:val="FootnoteReference"/>
        </w:rPr>
        <w:footnoteRef/>
      </w:r>
      <w:r>
        <w:t xml:space="preserve"> </w:t>
      </w:r>
      <w:r>
        <w:tab/>
      </w:r>
      <w:hyperlink r:id="rId3">
        <w:r>
          <w:rPr>
            <w:rStyle w:val="Hyperlink"/>
          </w:rPr>
          <w:t>https://ec.europa.eu/anti-fraud/public-perception-illicit-tobacco-trade_hr</w:t>
        </w:r>
      </w:hyperlink>
      <w:r>
        <w:rPr>
          <w:rStyle w:val="Hyperlink"/>
        </w:rPr>
        <w:t>.</w:t>
      </w:r>
      <w:r>
        <w:t xml:space="preserve"> </w:t>
      </w:r>
    </w:p>
  </w:footnote>
  <w:footnote w:id="38">
    <w:p>
      <w:pPr>
        <w:pStyle w:val="FootnoteText"/>
        <w:ind w:left="284" w:hanging="284"/>
      </w:pPr>
      <w:r>
        <w:rPr>
          <w:rStyle w:val="FootnoteReference"/>
        </w:rPr>
        <w:footnoteRef/>
      </w:r>
      <w:r>
        <w:t xml:space="preserve"> </w:t>
      </w:r>
      <w:r>
        <w:tab/>
        <w:t>SWD(2016) 44 od 24. veljače 2016., str. 10.–11.</w:t>
      </w:r>
    </w:p>
  </w:footnote>
  <w:footnote w:id="39">
    <w:p>
      <w:pPr>
        <w:pStyle w:val="FootnoteText"/>
        <w:spacing w:after="40"/>
        <w:ind w:left="284" w:hanging="284"/>
      </w:pPr>
      <w:r>
        <w:rPr>
          <w:rStyle w:val="FootnoteReference"/>
        </w:rPr>
        <w:footnoteRef/>
      </w:r>
      <w:r>
        <w:t xml:space="preserve"> </w:t>
      </w:r>
      <w:r>
        <w:tab/>
        <w:t xml:space="preserve">Prema podacima Komisije prikupljenima od država članica broj cigareta puštenih u promet snizio se sa 728 milijardi (2005.) na 486 milijardi (2014.). Vidjeti </w:t>
      </w:r>
      <w:hyperlink r:id="rId4">
        <w:r>
          <w:rPr>
            <w:rStyle w:val="Hyperlink"/>
          </w:rPr>
          <w:t>http://ec.europa.eu/taxation_customs/resources/documents/taxation/excise_duties/tobacco_products/tobacco_products_releases-consumption.pdf</w:t>
        </w:r>
      </w:hyperlink>
      <w:r>
        <w:t>.</w:t>
      </w:r>
    </w:p>
  </w:footnote>
  <w:footnote w:id="40">
    <w:p>
      <w:pPr>
        <w:pStyle w:val="FootnoteText"/>
        <w:spacing w:after="40"/>
        <w:ind w:left="284" w:hanging="284"/>
      </w:pPr>
      <w:r>
        <w:rPr>
          <w:rStyle w:val="FootnoteReference"/>
        </w:rPr>
        <w:footnoteRef/>
      </w:r>
      <w:r>
        <w:t xml:space="preserve"> </w:t>
      </w:r>
      <w:r>
        <w:tab/>
        <w:t>SWD(2016) 44 od 24. veljače 2016.</w:t>
      </w:r>
    </w:p>
  </w:footnote>
  <w:footnote w:id="41">
    <w:p>
      <w:pPr>
        <w:pStyle w:val="FootnoteText"/>
        <w:spacing w:after="40"/>
        <w:ind w:left="284" w:hanging="284"/>
      </w:pPr>
      <w:r>
        <w:rPr>
          <w:rStyle w:val="FootnoteReference"/>
        </w:rPr>
        <w:footnoteRef/>
      </w:r>
      <w:r>
        <w:t xml:space="preserve">  Prema podacima o zapljenama država članica iz 2013., osam od deset najčešće zaplijenjenih vrsta cigareta bile su cigarete bez oznake proizvođača. Više od 90 % od više od milijarde cigareta zaplijenjenih uz pomoć OLAF-a tijekom posljednje dvije godine bile su cigarete bez oznake proizvođača.</w:t>
      </w:r>
    </w:p>
  </w:footnote>
  <w:footnote w:id="42">
    <w:p>
      <w:pPr>
        <w:pStyle w:val="FootnoteText"/>
        <w:spacing w:after="40"/>
        <w:ind w:left="284" w:hanging="284"/>
      </w:pPr>
      <w:r>
        <w:rPr>
          <w:rStyle w:val="FootnoteReference"/>
        </w:rPr>
        <w:footnoteRef/>
      </w:r>
      <w:r>
        <w:t xml:space="preserve"> </w:t>
      </w:r>
      <w:r>
        <w:tab/>
        <w:t>Rezolucija Europskog parlamenta od 9. ožujka 2016. (2016/2555(RSP)).</w:t>
      </w:r>
    </w:p>
  </w:footnote>
  <w:footnote w:id="43">
    <w:p>
      <w:pPr>
        <w:pStyle w:val="FootnoteText"/>
        <w:spacing w:after="40"/>
        <w:ind w:left="284" w:hanging="284"/>
      </w:pPr>
      <w:r>
        <w:rPr>
          <w:rStyle w:val="FootnoteReference"/>
        </w:rPr>
        <w:footnoteRef/>
      </w:r>
      <w:r>
        <w:t xml:space="preserve"> </w:t>
      </w:r>
      <w:r>
        <w:tab/>
        <w:t>Prema podacima poljskih nadležnih tijela samo je 2016. u Poljskoj otkriveno više od 40 tvornica čiji se ukupni kapacitet procjenjuje na nekoliko milijardi cigareta godišnje.</w:t>
      </w:r>
    </w:p>
  </w:footnote>
  <w:footnote w:id="44">
    <w:p>
      <w:pPr>
        <w:pStyle w:val="FootnoteText"/>
        <w:ind w:left="284" w:hanging="284"/>
      </w:pPr>
      <w:r>
        <w:rPr>
          <w:rStyle w:val="FootnoteReference"/>
        </w:rPr>
        <w:footnoteRef/>
      </w:r>
      <w:r>
        <w:t xml:space="preserve"> </w:t>
      </w:r>
      <w:r>
        <w:tab/>
        <w:t>Poput poruka o statusu kontejnera i registara o uvozu, izvozu i provozu u okviru Uredbe Vijeća (EZ) br. 515/97.</w:t>
      </w:r>
    </w:p>
  </w:footnote>
  <w:footnote w:id="45">
    <w:p>
      <w:pPr>
        <w:pStyle w:val="FootnoteText"/>
        <w:spacing w:after="40"/>
        <w:ind w:left="284" w:hanging="284"/>
      </w:pPr>
      <w:r>
        <w:rPr>
          <w:rStyle w:val="FootnoteReference"/>
        </w:rPr>
        <w:footnoteRef/>
      </w:r>
      <w:r>
        <w:t xml:space="preserve"> </w:t>
      </w:r>
      <w:r>
        <w:tab/>
        <w:t>Prosječna cijena 20 cigareta u Finskoj iznosi 5,01 EUR. U Rusiji iznosi samo 0,95 EUR, a u Bjelarusu oko polovine te cijene. I prosječna cijena kutije od 20 cigareta u Poljskoj iznosi 2,08 EUR, a u Irskoj 9,09 EUR (vidjeti Godišnju analizu rizika Frontexa za istočne granice Europe iz 2015., str. 24.).</w:t>
      </w:r>
    </w:p>
  </w:footnote>
  <w:footnote w:id="46">
    <w:p>
      <w:pPr>
        <w:pStyle w:val="FootnoteText"/>
        <w:spacing w:after="40"/>
        <w:ind w:left="284" w:hanging="284"/>
      </w:pPr>
      <w:r>
        <w:rPr>
          <w:rStyle w:val="FootnoteReference"/>
        </w:rPr>
        <w:footnoteRef/>
      </w:r>
      <w:r>
        <w:t xml:space="preserve"> </w:t>
      </w:r>
      <w:r>
        <w:tab/>
        <w:t>Rezolucija Europskog parlamenta od 9. ožujka 2016. (2016/2555(RSP)).</w:t>
      </w:r>
    </w:p>
  </w:footnote>
  <w:footnote w:id="47">
    <w:p>
      <w:pPr>
        <w:pStyle w:val="FootnoteText"/>
        <w:spacing w:after="40"/>
        <w:ind w:left="284" w:hanging="284"/>
      </w:pPr>
      <w:r>
        <w:rPr>
          <w:rStyle w:val="FootnoteReference"/>
        </w:rPr>
        <w:footnoteRef/>
      </w:r>
      <w:r>
        <w:t xml:space="preserve"> </w:t>
      </w:r>
      <w:r>
        <w:tab/>
        <w:t>Zaključci Vijeća od 16. prosinca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96CF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1492794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180D79"/>
    <w:multiLevelType w:val="hybridMultilevel"/>
    <w:tmpl w:val="3094FB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53B6B1B"/>
    <w:multiLevelType w:val="hybridMultilevel"/>
    <w:tmpl w:val="81063D8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08F14268"/>
    <w:multiLevelType w:val="hybridMultilevel"/>
    <w:tmpl w:val="AD562C0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0007B8"/>
    <w:multiLevelType w:val="hybridMultilevel"/>
    <w:tmpl w:val="AFCA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C62B4A"/>
    <w:multiLevelType w:val="hybridMultilevel"/>
    <w:tmpl w:val="FE549D1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D85B3C"/>
    <w:multiLevelType w:val="hybridMultilevel"/>
    <w:tmpl w:val="A0DC90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0A9B1EE6"/>
    <w:multiLevelType w:val="hybridMultilevel"/>
    <w:tmpl w:val="4ADA02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AD00C5B"/>
    <w:multiLevelType w:val="hybridMultilevel"/>
    <w:tmpl w:val="26ACE358"/>
    <w:lvl w:ilvl="0" w:tplc="08090017">
      <w:start w:val="1"/>
      <w:numFmt w:val="lowerLetter"/>
      <w:lvlText w:val="%1)"/>
      <w:lvlJc w:val="left"/>
      <w:pPr>
        <w:ind w:left="-1779" w:hanging="360"/>
      </w:pPr>
    </w:lvl>
    <w:lvl w:ilvl="1" w:tplc="08090019" w:tentative="1">
      <w:start w:val="1"/>
      <w:numFmt w:val="lowerLetter"/>
      <w:lvlText w:val="%2."/>
      <w:lvlJc w:val="left"/>
      <w:pPr>
        <w:ind w:left="-1059" w:hanging="360"/>
      </w:pPr>
    </w:lvl>
    <w:lvl w:ilvl="2" w:tplc="0809001B" w:tentative="1">
      <w:start w:val="1"/>
      <w:numFmt w:val="lowerRoman"/>
      <w:lvlText w:val="%3."/>
      <w:lvlJc w:val="right"/>
      <w:pPr>
        <w:ind w:left="-339" w:hanging="180"/>
      </w:pPr>
    </w:lvl>
    <w:lvl w:ilvl="3" w:tplc="0809000F" w:tentative="1">
      <w:start w:val="1"/>
      <w:numFmt w:val="decimal"/>
      <w:lvlText w:val="%4."/>
      <w:lvlJc w:val="left"/>
      <w:pPr>
        <w:ind w:left="381" w:hanging="360"/>
      </w:pPr>
    </w:lvl>
    <w:lvl w:ilvl="4" w:tplc="08090019" w:tentative="1">
      <w:start w:val="1"/>
      <w:numFmt w:val="lowerLetter"/>
      <w:lvlText w:val="%5."/>
      <w:lvlJc w:val="left"/>
      <w:pPr>
        <w:ind w:left="1101" w:hanging="360"/>
      </w:pPr>
    </w:lvl>
    <w:lvl w:ilvl="5" w:tplc="0809001B" w:tentative="1">
      <w:start w:val="1"/>
      <w:numFmt w:val="lowerRoman"/>
      <w:lvlText w:val="%6."/>
      <w:lvlJc w:val="right"/>
      <w:pPr>
        <w:ind w:left="1821" w:hanging="180"/>
      </w:pPr>
    </w:lvl>
    <w:lvl w:ilvl="6" w:tplc="0809000F" w:tentative="1">
      <w:start w:val="1"/>
      <w:numFmt w:val="decimal"/>
      <w:lvlText w:val="%7."/>
      <w:lvlJc w:val="left"/>
      <w:pPr>
        <w:ind w:left="2541" w:hanging="360"/>
      </w:pPr>
    </w:lvl>
    <w:lvl w:ilvl="7" w:tplc="08090019" w:tentative="1">
      <w:start w:val="1"/>
      <w:numFmt w:val="lowerLetter"/>
      <w:lvlText w:val="%8."/>
      <w:lvlJc w:val="left"/>
      <w:pPr>
        <w:ind w:left="3261" w:hanging="360"/>
      </w:pPr>
    </w:lvl>
    <w:lvl w:ilvl="8" w:tplc="0809001B" w:tentative="1">
      <w:start w:val="1"/>
      <w:numFmt w:val="lowerRoman"/>
      <w:lvlText w:val="%9."/>
      <w:lvlJc w:val="right"/>
      <w:pPr>
        <w:ind w:left="3981" w:hanging="180"/>
      </w:pPr>
    </w:lvl>
  </w:abstractNum>
  <w:abstractNum w:abstractNumId="10">
    <w:nsid w:val="0ADB2A7E"/>
    <w:multiLevelType w:val="hybridMultilevel"/>
    <w:tmpl w:val="DA823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0B1D0C"/>
    <w:multiLevelType w:val="hybridMultilevel"/>
    <w:tmpl w:val="033A03D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4720635"/>
    <w:multiLevelType w:val="hybridMultilevel"/>
    <w:tmpl w:val="B89E2D9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4CD2E98"/>
    <w:multiLevelType w:val="hybridMultilevel"/>
    <w:tmpl w:val="5A2A98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D848DA"/>
    <w:multiLevelType w:val="hybridMultilevel"/>
    <w:tmpl w:val="1CC2BB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18227ED5"/>
    <w:multiLevelType w:val="hybridMultilevel"/>
    <w:tmpl w:val="EAC8B0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B356801"/>
    <w:multiLevelType w:val="hybridMultilevel"/>
    <w:tmpl w:val="91584750"/>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nsid w:val="21840AC1"/>
    <w:multiLevelType w:val="hybridMultilevel"/>
    <w:tmpl w:val="9DECD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DA710C"/>
    <w:multiLevelType w:val="hybridMultilevel"/>
    <w:tmpl w:val="15420C74"/>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26681BCE"/>
    <w:multiLevelType w:val="hybridMultilevel"/>
    <w:tmpl w:val="F9A4A2B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2C6D0276"/>
    <w:multiLevelType w:val="hybridMultilevel"/>
    <w:tmpl w:val="21CC043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E30D7F"/>
    <w:multiLevelType w:val="hybridMultilevel"/>
    <w:tmpl w:val="280A7C06"/>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nsid w:val="324D70E1"/>
    <w:multiLevelType w:val="hybridMultilevel"/>
    <w:tmpl w:val="827C633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7131FFB"/>
    <w:multiLevelType w:val="hybridMultilevel"/>
    <w:tmpl w:val="9D1A6E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41BD4480"/>
    <w:multiLevelType w:val="hybridMultilevel"/>
    <w:tmpl w:val="6228EE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33A57D3"/>
    <w:multiLevelType w:val="hybridMultilevel"/>
    <w:tmpl w:val="151401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B930F3"/>
    <w:multiLevelType w:val="hybridMultilevel"/>
    <w:tmpl w:val="6C3492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F412C9A"/>
    <w:multiLevelType w:val="hybridMultilevel"/>
    <w:tmpl w:val="97FAC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4615F1"/>
    <w:multiLevelType w:val="hybridMultilevel"/>
    <w:tmpl w:val="4EEAE4DA"/>
    <w:lvl w:ilvl="0" w:tplc="0809001B">
      <w:start w:val="1"/>
      <w:numFmt w:val="lowerRoman"/>
      <w:lvlText w:val="%1."/>
      <w:lvlJc w:val="right"/>
      <w:pPr>
        <w:ind w:left="-108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9">
    <w:nsid w:val="57690F3C"/>
    <w:multiLevelType w:val="hybridMultilevel"/>
    <w:tmpl w:val="5BBA60C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146F94"/>
    <w:multiLevelType w:val="hybridMultilevel"/>
    <w:tmpl w:val="9AC4EBA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4ED34AD"/>
    <w:multiLevelType w:val="hybridMultilevel"/>
    <w:tmpl w:val="3ADECB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024FB5"/>
    <w:multiLevelType w:val="hybridMultilevel"/>
    <w:tmpl w:val="10249C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81F3BAE"/>
    <w:multiLevelType w:val="hybridMultilevel"/>
    <w:tmpl w:val="8534AE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73016"/>
    <w:multiLevelType w:val="hybridMultilevel"/>
    <w:tmpl w:val="D89217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CB779B8"/>
    <w:multiLevelType w:val="hybridMultilevel"/>
    <w:tmpl w:val="9118CB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09B35C3"/>
    <w:multiLevelType w:val="hybridMultilevel"/>
    <w:tmpl w:val="660656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0C15F85"/>
    <w:multiLevelType w:val="hybridMultilevel"/>
    <w:tmpl w:val="8C0C0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9768A0"/>
    <w:multiLevelType w:val="hybridMultilevel"/>
    <w:tmpl w:val="1D8E40B2"/>
    <w:lvl w:ilvl="0" w:tplc="0809001B">
      <w:start w:val="1"/>
      <w:numFmt w:val="lowerRoman"/>
      <w:lvlText w:val="%1."/>
      <w:lvlJc w:val="righ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
    <w:nsid w:val="746527A7"/>
    <w:multiLevelType w:val="hybridMultilevel"/>
    <w:tmpl w:val="DFDC88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75AF018C"/>
    <w:multiLevelType w:val="hybridMultilevel"/>
    <w:tmpl w:val="155E0654"/>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
    <w:nsid w:val="762D64A7"/>
    <w:multiLevelType w:val="hybridMultilevel"/>
    <w:tmpl w:val="0E8A3A56"/>
    <w:lvl w:ilvl="0" w:tplc="0809001B">
      <w:start w:val="1"/>
      <w:numFmt w:val="lowerRoman"/>
      <w:lvlText w:val="%1."/>
      <w:lvlJc w:val="right"/>
      <w:pPr>
        <w:ind w:left="732" w:hanging="360"/>
      </w:pPr>
      <w:rPr>
        <w:rFont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2">
    <w:nsid w:val="76670F82"/>
    <w:multiLevelType w:val="hybridMultilevel"/>
    <w:tmpl w:val="3D64A2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768803F4"/>
    <w:multiLevelType w:val="hybridMultilevel"/>
    <w:tmpl w:val="CBA05F5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81F16AF"/>
    <w:multiLevelType w:val="hybridMultilevel"/>
    <w:tmpl w:val="E9201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6451D8"/>
    <w:multiLevelType w:val="hybridMultilevel"/>
    <w:tmpl w:val="FF9EEE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F971B0"/>
    <w:multiLevelType w:val="hybridMultilevel"/>
    <w:tmpl w:val="C6D69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4"/>
  </w:num>
  <w:num w:numId="2">
    <w:abstractNumId w:val="17"/>
  </w:num>
  <w:num w:numId="3">
    <w:abstractNumId w:val="37"/>
  </w:num>
  <w:num w:numId="4">
    <w:abstractNumId w:val="10"/>
  </w:num>
  <w:num w:numId="5">
    <w:abstractNumId w:val="5"/>
  </w:num>
  <w:num w:numId="6">
    <w:abstractNumId w:val="33"/>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6"/>
  </w:num>
  <w:num w:numId="11">
    <w:abstractNumId w:val="24"/>
  </w:num>
  <w:num w:numId="12">
    <w:abstractNumId w:val="43"/>
  </w:num>
  <w:num w:numId="13">
    <w:abstractNumId w:val="41"/>
  </w:num>
  <w:num w:numId="14">
    <w:abstractNumId w:val="12"/>
  </w:num>
  <w:num w:numId="15">
    <w:abstractNumId w:val="19"/>
  </w:num>
  <w:num w:numId="16">
    <w:abstractNumId w:val="21"/>
  </w:num>
  <w:num w:numId="17">
    <w:abstractNumId w:val="18"/>
  </w:num>
  <w:num w:numId="18">
    <w:abstractNumId w:val="23"/>
  </w:num>
  <w:num w:numId="19">
    <w:abstractNumId w:val="9"/>
  </w:num>
  <w:num w:numId="20">
    <w:abstractNumId w:val="25"/>
  </w:num>
  <w:num w:numId="21">
    <w:abstractNumId w:val="28"/>
  </w:num>
  <w:num w:numId="22">
    <w:abstractNumId w:val="8"/>
  </w:num>
  <w:num w:numId="23">
    <w:abstractNumId w:val="2"/>
  </w:num>
  <w:num w:numId="24">
    <w:abstractNumId w:val="26"/>
  </w:num>
  <w:num w:numId="25">
    <w:abstractNumId w:val="36"/>
  </w:num>
  <w:num w:numId="26">
    <w:abstractNumId w:val="30"/>
  </w:num>
  <w:num w:numId="27">
    <w:abstractNumId w:val="7"/>
  </w:num>
  <w:num w:numId="28">
    <w:abstractNumId w:val="14"/>
  </w:num>
  <w:num w:numId="29">
    <w:abstractNumId w:val="11"/>
  </w:num>
  <w:num w:numId="30">
    <w:abstractNumId w:val="45"/>
  </w:num>
  <w:num w:numId="31">
    <w:abstractNumId w:val="4"/>
  </w:num>
  <w:num w:numId="32">
    <w:abstractNumId w:val="39"/>
  </w:num>
  <w:num w:numId="33">
    <w:abstractNumId w:val="35"/>
  </w:num>
  <w:num w:numId="34">
    <w:abstractNumId w:val="38"/>
  </w:num>
  <w:num w:numId="35">
    <w:abstractNumId w:val="16"/>
  </w:num>
  <w:num w:numId="36">
    <w:abstractNumId w:val="32"/>
  </w:num>
  <w:num w:numId="37">
    <w:abstractNumId w:val="40"/>
  </w:num>
  <w:num w:numId="38">
    <w:abstractNumId w:val="15"/>
  </w:num>
  <w:num w:numId="39">
    <w:abstractNumId w:val="29"/>
  </w:num>
  <w:num w:numId="40">
    <w:abstractNumId w:val="6"/>
  </w:num>
  <w:num w:numId="41">
    <w:abstractNumId w:val="42"/>
  </w:num>
  <w:num w:numId="42">
    <w:abstractNumId w:val="20"/>
  </w:num>
  <w:num w:numId="43">
    <w:abstractNumId w:val="34"/>
  </w:num>
  <w:num w:numId="44">
    <w:abstractNumId w:val="27"/>
  </w:num>
  <w:num w:numId="45">
    <w:abstractNumId w:val="31"/>
  </w:num>
  <w:num w:numId="46">
    <w:abstractNumId w:val="1"/>
  </w:num>
  <w:num w:numId="47">
    <w:abstractNumId w:val="2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E071D4CE97A4EA7959203D03D8C0933"/>
    <w:docVar w:name="LW_CROSSREFERENCE" w:val="&lt;UNUSED&gt;"/>
    <w:docVar w:name="LW_DocType" w:val="NORMAL"/>
    <w:docVar w:name="LW_EMISSION" w:val="12.5.2017."/>
    <w:docVar w:name="LW_EMISSION_ISODATE" w:val="2017-05-12"/>
    <w:docVar w:name="LW_EMISSION_LOCATION" w:val="BRX"/>
    <w:docVar w:name="LW_EMISSION_PREFIX" w:val="Bruxelles, "/>
    <w:docVar w:name="LW_EMISSION_SUFFIX" w:val="&lt;EMPTY&gt;"/>
    <w:docVar w:name="LW_ID_DOCTYPE_NONLW" w:val="CP-005"/>
    <w:docVar w:name="LW_LANGUE" w:val="HR"/>
    <w:docVar w:name="LW_MARKING" w:val="&lt;UNUSED&g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7) 235"/>
    <w:docVar w:name="LW_REF.INTERNE" w:val="&lt;UNUSED&gt;"/>
    <w:docVar w:name="LW_SOUS.TITRE.OBJ.CP" w:val="&lt;UNUSED&gt;"/>
    <w:docVar w:name="LW_SUPERTITRE" w:val="&lt;UNUSED&gt;"/>
    <w:docVar w:name="LW_TITRE.OBJ.CP" w:val="Izvje\u353?\u263?e o napretku u provedbi komunikacije Komisije &quot;Ja\u269?anje borbe protiv krijum\u269?arenja cigareta i drugih oblika nezakonite trgovine duhanskim proizvodima \u8211? sveobuhvatna strategija EU-a (Com (2013) 324 final od 6.6.2013.)&quot;"/>
    <w:docVar w:name="LW_TYPE.DOC.CP" w:val="IZVJE\u352?\u262?E KOMISIJE VIJE\u262?U I EUROPSKOM PARLAMENT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after="240"/>
      <w:outlineLvl w:val="0"/>
    </w:pPr>
    <w:rPr>
      <w:b/>
      <w:bCs/>
      <w:caps/>
      <w:szCs w:val="28"/>
    </w:rPr>
  </w:style>
  <w:style w:type="paragraph" w:styleId="Heading2">
    <w:name w:val="heading 2"/>
    <w:basedOn w:val="Normal"/>
    <w:next w:val="Normal"/>
    <w:link w:val="Heading2Char"/>
    <w:uiPriority w:val="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caps/>
      <w:sz w:val="24"/>
      <w:szCs w:val="28"/>
    </w:rPr>
  </w:style>
  <w:style w:type="character" w:customStyle="1" w:styleId="Heading2Char">
    <w:name w:val="Heading 2 Char"/>
    <w:basedOn w:val="DefaultParagraphFont"/>
    <w:link w:val="Heading2"/>
    <w:uiPriority w:val="9"/>
    <w:rPr>
      <w:rFonts w:ascii="Cambria" w:hAnsi="Cambria"/>
      <w:b/>
      <w:bCs/>
      <w:color w:val="4F81BD"/>
      <w:sz w:val="26"/>
      <w:szCs w:val="26"/>
    </w:rPr>
  </w:style>
  <w:style w:type="character" w:customStyle="1" w:styleId="Heading3Char">
    <w:name w:val="Heading 3 Char"/>
    <w:basedOn w:val="DefaultParagraphFont"/>
    <w:link w:val="Heading3"/>
    <w:uiPriority w:val="9"/>
    <w:rPr>
      <w:rFonts w:ascii="Cambria" w:hAnsi="Cambria"/>
      <w:b/>
      <w:bCs/>
      <w:color w:val="4F81BD"/>
      <w:sz w:val="24"/>
      <w:szCs w:val="24"/>
    </w:rPr>
  </w:style>
  <w:style w:type="character" w:customStyle="1" w:styleId="Heading4Char">
    <w:name w:val="Heading 4 Char"/>
    <w:basedOn w:val="DefaultParagraphFont"/>
    <w:link w:val="Heading4"/>
    <w:uiPriority w:val="9"/>
    <w:rPr>
      <w:rFonts w:ascii="Cambria" w:hAnsi="Cambria"/>
      <w:b/>
      <w:bCs/>
      <w:i/>
      <w:iCs/>
      <w:color w:val="4F81BD"/>
      <w:sz w:val="24"/>
      <w:szCs w:val="24"/>
    </w:rPr>
  </w:style>
  <w:style w:type="character" w:customStyle="1" w:styleId="Heading5Char">
    <w:name w:val="Heading 5 Char"/>
    <w:basedOn w:val="DefaultParagraphFont"/>
    <w:link w:val="Heading5"/>
    <w:uiPriority w:val="9"/>
    <w:rPr>
      <w:rFonts w:ascii="Cambria" w:hAnsi="Cambria"/>
      <w:color w:val="243F60"/>
      <w:sz w:val="24"/>
      <w:szCs w:val="24"/>
    </w:rPr>
  </w:style>
  <w:style w:type="paragraph" w:customStyle="1" w:styleId="ColorfulList-Accent11">
    <w:name w:val="Colorful List - Accent 11"/>
    <w:basedOn w:val="Normal"/>
    <w:qFormat/>
    <w:pPr>
      <w:ind w:left="720"/>
      <w:contextualSpacing/>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aliases w:val="Footnote Reference Superscript,Footnote symbol,Footnote reference number,Footnote,Times 10 Point,Exposant 3 Point,Ref,de nota al pie,note TESI,SUPERS,EN Footnote text,EN Footnote Reference,Footnote Reference Number,E FNZ,Footnote#,E"/>
    <w:uiPriority w:val="99"/>
    <w:unhideWhenUsed/>
    <w:qFormat/>
    <w:rPr>
      <w:vertAlign w:val="superscript"/>
    </w:rPr>
  </w:style>
  <w:style w:type="character" w:styleId="Hyperlink">
    <w:name w:val="Hyperlink"/>
    <w:uiPriority w:val="99"/>
    <w:unhideWhenUsed/>
    <w:rPr>
      <w:color w:val="0000FF"/>
      <w:u w:val="single"/>
    </w:rPr>
  </w:style>
  <w:style w:type="paragraph" w:customStyle="1" w:styleId="ColorfulShading-Accent11">
    <w:name w:val="Colorful Shading - Accent 11"/>
    <w:hidden/>
    <w:uiPriority w:val="99"/>
    <w:semiHidden/>
    <w:rPr>
      <w:rFonts w:ascii="Calibri" w:eastAsia="Calibri" w:hAnsi="Calibri"/>
      <w:sz w:val="22"/>
      <w:szCs w:val="22"/>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TOC1">
    <w:name w:val="toc 1"/>
    <w:basedOn w:val="Normal"/>
    <w:next w:val="Normal"/>
    <w:autoRedefine/>
    <w:uiPriority w:val="39"/>
    <w:unhideWhenUsed/>
    <w:pPr>
      <w:tabs>
        <w:tab w:val="left" w:pos="1540"/>
        <w:tab w:val="right" w:leader="dot" w:pos="9062"/>
      </w:tabs>
      <w:spacing w:before="120" w:after="100"/>
    </w:pPr>
    <w:rPr>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ListBullet">
    <w:name w:val="List Bullet"/>
    <w:basedOn w:val="Normal"/>
    <w:uiPriority w:val="99"/>
    <w:unhideWhenUsed/>
    <w:pPr>
      <w:numPr>
        <w:numId w:val="46"/>
      </w:numPr>
      <w:contextualSpacing/>
    </w:pPr>
  </w:style>
  <w:style w:type="paragraph" w:styleId="Caption">
    <w:name w:val="caption"/>
    <w:basedOn w:val="Normal"/>
    <w:next w:val="Normal"/>
    <w:uiPriority w:val="35"/>
    <w:semiHidden/>
    <w:unhideWhenUsed/>
    <w:qFormat/>
    <w:rPr>
      <w:b/>
      <w:bCs/>
      <w:sz w:val="20"/>
      <w:szCs w:val="20"/>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after="240"/>
      <w:outlineLvl w:val="0"/>
    </w:pPr>
    <w:rPr>
      <w:b/>
      <w:bCs/>
      <w:caps/>
      <w:szCs w:val="28"/>
    </w:rPr>
  </w:style>
  <w:style w:type="paragraph" w:styleId="Heading2">
    <w:name w:val="heading 2"/>
    <w:basedOn w:val="Normal"/>
    <w:next w:val="Normal"/>
    <w:link w:val="Heading2Char"/>
    <w:uiPriority w:val="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caps/>
      <w:sz w:val="24"/>
      <w:szCs w:val="28"/>
    </w:rPr>
  </w:style>
  <w:style w:type="character" w:customStyle="1" w:styleId="Heading2Char">
    <w:name w:val="Heading 2 Char"/>
    <w:basedOn w:val="DefaultParagraphFont"/>
    <w:link w:val="Heading2"/>
    <w:uiPriority w:val="9"/>
    <w:rPr>
      <w:rFonts w:ascii="Cambria" w:hAnsi="Cambria"/>
      <w:b/>
      <w:bCs/>
      <w:color w:val="4F81BD"/>
      <w:sz w:val="26"/>
      <w:szCs w:val="26"/>
    </w:rPr>
  </w:style>
  <w:style w:type="character" w:customStyle="1" w:styleId="Heading3Char">
    <w:name w:val="Heading 3 Char"/>
    <w:basedOn w:val="DefaultParagraphFont"/>
    <w:link w:val="Heading3"/>
    <w:uiPriority w:val="9"/>
    <w:rPr>
      <w:rFonts w:ascii="Cambria" w:hAnsi="Cambria"/>
      <w:b/>
      <w:bCs/>
      <w:color w:val="4F81BD"/>
      <w:sz w:val="24"/>
      <w:szCs w:val="24"/>
    </w:rPr>
  </w:style>
  <w:style w:type="character" w:customStyle="1" w:styleId="Heading4Char">
    <w:name w:val="Heading 4 Char"/>
    <w:basedOn w:val="DefaultParagraphFont"/>
    <w:link w:val="Heading4"/>
    <w:uiPriority w:val="9"/>
    <w:rPr>
      <w:rFonts w:ascii="Cambria" w:hAnsi="Cambria"/>
      <w:b/>
      <w:bCs/>
      <w:i/>
      <w:iCs/>
      <w:color w:val="4F81BD"/>
      <w:sz w:val="24"/>
      <w:szCs w:val="24"/>
    </w:rPr>
  </w:style>
  <w:style w:type="character" w:customStyle="1" w:styleId="Heading5Char">
    <w:name w:val="Heading 5 Char"/>
    <w:basedOn w:val="DefaultParagraphFont"/>
    <w:link w:val="Heading5"/>
    <w:uiPriority w:val="9"/>
    <w:rPr>
      <w:rFonts w:ascii="Cambria" w:hAnsi="Cambria"/>
      <w:color w:val="243F60"/>
      <w:sz w:val="24"/>
      <w:szCs w:val="24"/>
    </w:rPr>
  </w:style>
  <w:style w:type="paragraph" w:customStyle="1" w:styleId="ColorfulList-Accent11">
    <w:name w:val="Colorful List - Accent 11"/>
    <w:basedOn w:val="Normal"/>
    <w:qFormat/>
    <w:pPr>
      <w:ind w:left="720"/>
      <w:contextualSpacing/>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aliases w:val="Footnote Reference Superscript,Footnote symbol,Footnote reference number,Footnote,Times 10 Point,Exposant 3 Point,Ref,de nota al pie,note TESI,SUPERS,EN Footnote text,EN Footnote Reference,Footnote Reference Number,E FNZ,Footnote#,E"/>
    <w:uiPriority w:val="99"/>
    <w:unhideWhenUsed/>
    <w:qFormat/>
    <w:rPr>
      <w:vertAlign w:val="superscript"/>
    </w:rPr>
  </w:style>
  <w:style w:type="character" w:styleId="Hyperlink">
    <w:name w:val="Hyperlink"/>
    <w:uiPriority w:val="99"/>
    <w:unhideWhenUsed/>
    <w:rPr>
      <w:color w:val="0000FF"/>
      <w:u w:val="single"/>
    </w:rPr>
  </w:style>
  <w:style w:type="paragraph" w:customStyle="1" w:styleId="ColorfulShading-Accent11">
    <w:name w:val="Colorful Shading - Accent 11"/>
    <w:hidden/>
    <w:uiPriority w:val="99"/>
    <w:semiHidden/>
    <w:rPr>
      <w:rFonts w:ascii="Calibri" w:eastAsia="Calibri" w:hAnsi="Calibri"/>
      <w:sz w:val="22"/>
      <w:szCs w:val="22"/>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TOC1">
    <w:name w:val="toc 1"/>
    <w:basedOn w:val="Normal"/>
    <w:next w:val="Normal"/>
    <w:autoRedefine/>
    <w:uiPriority w:val="39"/>
    <w:unhideWhenUsed/>
    <w:pPr>
      <w:tabs>
        <w:tab w:val="left" w:pos="1540"/>
        <w:tab w:val="right" w:leader="dot" w:pos="9062"/>
      </w:tabs>
      <w:spacing w:before="120" w:after="100"/>
    </w:pPr>
    <w:rPr>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ListBullet">
    <w:name w:val="List Bullet"/>
    <w:basedOn w:val="Normal"/>
    <w:uiPriority w:val="99"/>
    <w:unhideWhenUsed/>
    <w:pPr>
      <w:numPr>
        <w:numId w:val="46"/>
      </w:numPr>
      <w:contextualSpacing/>
    </w:pPr>
  </w:style>
  <w:style w:type="paragraph" w:styleId="Caption">
    <w:name w:val="caption"/>
    <w:basedOn w:val="Normal"/>
    <w:next w:val="Normal"/>
    <w:uiPriority w:val="35"/>
    <w:semiHidden/>
    <w:unhideWhenUsed/>
    <w:qFormat/>
    <w:rPr>
      <w:b/>
      <w:bCs/>
      <w:sz w:val="20"/>
      <w:szCs w:val="20"/>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nti-fraud/public-perception-illicit-tobacco-trade_hr" TargetMode="External"/><Relationship Id="rId2" Type="http://schemas.openxmlformats.org/officeDocument/2006/relationships/hyperlink" Target="http://ec.europa.eu/taxation_customs/sites/taxation/files/resources/documents/taxation/excise_duties/tobacco_products/studies_reports/ramboll-tobacco-study.pdf" TargetMode="External"/><Relationship Id="rId1" Type="http://schemas.openxmlformats.org/officeDocument/2006/relationships/hyperlink" Target="https://ec.europa.eu/anti-fraud/sites/antifraud/files/docs/body/council_conclusions_en.pdf" TargetMode="External"/><Relationship Id="rId4" Type="http://schemas.openxmlformats.org/officeDocument/2006/relationships/hyperlink" Target="http://ec.europa.eu/taxation_customs/resources/documents/taxation/excise_duties/tobacco_products/tobacco_products_releases-consum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7C8D-4117-4349-8B13-40AAE410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4851</Words>
  <Characters>29452</Characters>
  <Application>Microsoft Office Word</Application>
  <DocSecurity>0</DocSecurity>
  <Lines>475</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2017-03-14T09:11:00Z</cp:lastPrinted>
  <dcterms:created xsi:type="dcterms:W3CDTF">2017-04-27T15:20:00Z</dcterms:created>
  <dcterms:modified xsi:type="dcterms:W3CDTF">2017-05-22T12:34:00Z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