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8F273C588A124D148FD50C74D8E092F7" style="width:450.35pt;height:324.7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OBRAZLOŽENJE</w:t>
      </w:r>
    </w:p>
    <w:p>
      <w:pPr>
        <w:pStyle w:val="ManualHeading1"/>
        <w:rPr>
          <w:noProof/>
        </w:rPr>
      </w:pPr>
      <w:r>
        <w:rPr>
          <w:noProof/>
        </w:rPr>
        <w:t>1.</w:t>
      </w:r>
      <w:r>
        <w:rPr>
          <w:noProof/>
        </w:rPr>
        <w:tab/>
      </w:r>
      <w:r>
        <w:rPr>
          <w:rStyle w:val="Heading1Char"/>
          <w:b/>
          <w:noProof/>
          <w:lang w:val="hr-HR"/>
        </w:rPr>
        <w:t>KONTEKST PRIJEDLOGA</w:t>
      </w:r>
    </w:p>
    <w:p>
      <w:pPr>
        <w:rPr>
          <w:noProof/>
        </w:rPr>
      </w:pPr>
      <w:r>
        <w:rPr>
          <w:noProof/>
        </w:rPr>
        <w:t>Uredbom Vijeća (EU, EURATOM) br. 1311/2013 od 2. prosinca 2013. kojom se uspostavlja višegodišnji financijski okvir za razdoblje 2014. – 2020.</w:t>
      </w:r>
      <w:r>
        <w:rPr>
          <w:rStyle w:val="FootnoteReference"/>
          <w:noProof/>
        </w:rPr>
        <w:footnoteReference w:id="1"/>
      </w:r>
      <w:r>
        <w:rPr>
          <w:noProof/>
        </w:rPr>
        <w:t xml:space="preserve"> („Uredba o VFO-u”) omogućava se mobilizacija pričuve za nepredviđene izdatke od maksimalno 0,03 % bruto nacionalnog dohotka 28 država članica EU-a kao instrument za slučaj krajnje nužde kojim se omogućava reakcija na nepredviđene okolnosti. U okviru tehničke prilagodbe VFO-a za 2016.</w:t>
      </w:r>
      <w:r>
        <w:rPr>
          <w:rStyle w:val="FootnoteReference"/>
          <w:noProof/>
        </w:rPr>
        <w:footnoteReference w:id="2"/>
      </w:r>
      <w:r>
        <w:rPr>
          <w:noProof/>
        </w:rPr>
        <w:t xml:space="preserve"> na temelju članka 6. Uredbe o VFO-u apsolutni iznos pričuve za nepredviđene izdatke za 2016. utvrđen je na razini od 4438,2 milijuna EUR.</w:t>
      </w:r>
    </w:p>
    <w:p>
      <w:pPr>
        <w:rPr>
          <w:noProof/>
        </w:rPr>
      </w:pPr>
      <w:r>
        <w:rPr>
          <w:noProof/>
        </w:rPr>
        <w:t xml:space="preserve">U skladu s člankom 13. Uredbe o VFO-u i nakon što je ispitala sve mogućnosti za financiranje dodatnih i nepredviđenih potreba za preuzetim obvezama, Komisija predlaže da se pričuva za nepredviđene izdatke za 2016. mobilizira u iznosu od 240,1 milijun EUR kako bi se dopunila odobrena sredstva za preuzimanje obveza povezana s rashodima iz naslova 3. </w:t>
      </w:r>
      <w:r>
        <w:rPr>
          <w:i/>
          <w:noProof/>
        </w:rPr>
        <w:t>Sigurnost i građanstvo</w:t>
      </w:r>
      <w:r>
        <w:rPr>
          <w:noProof/>
        </w:rPr>
        <w:t xml:space="preserve"> općeg proračuna Europske unije za financijsku godinu 2016., iznad gornje granice preuzetih obveza od 2546 milijuna EUR u sadašnjim cijenama.</w:t>
      </w:r>
    </w:p>
    <w:p>
      <w:pPr>
        <w:rPr>
          <w:noProof/>
        </w:rPr>
      </w:pPr>
      <w:r>
        <w:rPr>
          <w:noProof/>
        </w:rPr>
        <w:t>U skladu s točkom 14. Međuinstitucionalnog sporazuma od 2. prosinca 2013. između Europskog parlamenta, Vijeća i Komisije o proračunskoj disciplini, o suradnji u vezi s proračunskim pitanjima i o dobrom financijskom upravljanju</w:t>
      </w:r>
      <w:r>
        <w:rPr>
          <w:rStyle w:val="FootnoteReference"/>
          <w:noProof/>
        </w:rPr>
        <w:footnoteReference w:id="3"/>
      </w:r>
      <w:r>
        <w:rPr>
          <w:noProof/>
        </w:rPr>
        <w:t>, Komisija je analizirala mogućnosti preraspodjele znatnih iznosa u okviru postojećeg proračuna.</w:t>
      </w:r>
    </w:p>
    <w:p>
      <w:pPr>
        <w:rPr>
          <w:noProof/>
        </w:rPr>
      </w:pPr>
      <w:r>
        <w:rPr>
          <w:noProof/>
        </w:rPr>
        <w:t xml:space="preserve">U skladu s člankom 13. stavkom 3. Uredbe o VFO-u Komisija predlaže prebijanje povećanja gornjih granica rashoda za naslov 3. s nedodijeljenom pričuvom dostupnom u okviru gornjih granica rashoda za naslov 5. </w:t>
      </w:r>
      <w:r>
        <w:rPr>
          <w:i/>
          <w:noProof/>
        </w:rPr>
        <w:t>Administracija</w:t>
      </w:r>
      <w:r>
        <w:rPr>
          <w:noProof/>
        </w:rPr>
        <w:t xml:space="preserve"> u 2016.</w:t>
      </w:r>
    </w:p>
    <w:p>
      <w:pPr>
        <w:rPr>
          <w:noProof/>
        </w:rPr>
      </w:pPr>
      <w:r>
        <w:rPr>
          <w:noProof/>
        </w:rPr>
        <w:t>Ovim se prijedlogom dopunjuje Odluka (EU) 2016/253 Europskog parlamenta i Vijeća od 25. studenoga 2015. o mobilizaciji cijelog iznosa instrumenta fleksibilnosti</w:t>
      </w:r>
      <w:r>
        <w:rPr>
          <w:rStyle w:val="FootnoteReference"/>
          <w:noProof/>
        </w:rPr>
        <w:footnoteReference w:id="4"/>
      </w:r>
      <w:r>
        <w:rPr>
          <w:noProof/>
        </w:rPr>
        <w:t xml:space="preserve"> dostupnog za 2017. (520 milijuna EUR), 2016. (510 milijuna EUR) i 2015. (500 milijuna EUR) kako bi se pokrili troškovi hitnih proračunskih mjera za rješavanje izbjegličke krize.</w:t>
      </w:r>
    </w:p>
    <w:p>
      <w:pPr>
        <w:pStyle w:val="ManualHeading1"/>
        <w:ind w:left="851" w:hanging="851"/>
        <w:rPr>
          <w:noProof/>
        </w:rPr>
      </w:pPr>
      <w:r>
        <w:rPr>
          <w:noProof/>
        </w:rPr>
        <w:t>2.</w:t>
      </w:r>
      <w:r>
        <w:rPr>
          <w:noProof/>
        </w:rPr>
        <w:tab/>
      </w:r>
      <w:r>
        <w:rPr>
          <w:rStyle w:val="Heading1Char"/>
          <w:b/>
          <w:noProof/>
          <w:lang w:val="hr-HR"/>
        </w:rPr>
        <w:t>OPRAVDANJE MOBILIZACIJE</w:t>
      </w:r>
    </w:p>
    <w:p>
      <w:pPr>
        <w:pStyle w:val="ManualHeading2"/>
        <w:rPr>
          <w:noProof/>
        </w:rPr>
      </w:pPr>
      <w:r>
        <w:rPr>
          <w:noProof/>
        </w:rPr>
        <w:t>2.1.</w:t>
      </w:r>
      <w:r>
        <w:rPr>
          <w:noProof/>
        </w:rPr>
        <w:tab/>
        <w:t xml:space="preserve">UVOD </w:t>
      </w:r>
    </w:p>
    <w:p>
      <w:pPr>
        <w:rPr>
          <w:noProof/>
        </w:rPr>
      </w:pPr>
      <w:r>
        <w:rPr>
          <w:noProof/>
        </w:rPr>
        <w:t>Unutarnja dimenzija migracijske, izbjegličke i sigurnosne krize financira se iz naslova 3. iz Fonda za azil, migracije i integraciju (FAMI) i Fonda za unutarnju sigurnost (FUS) te s pomoću specijaliziranih agencija kao što su Frontex, EASO, eu-Lisa i Europol. Osim toga, Vijeće je 15. ožujka 2016. donijelo novi instrument</w:t>
      </w:r>
      <w:r>
        <w:rPr>
          <w:rStyle w:val="FootnoteReference"/>
          <w:noProof/>
        </w:rPr>
        <w:footnoteReference w:id="5"/>
      </w:r>
      <w:r>
        <w:rPr>
          <w:noProof/>
        </w:rPr>
        <w:t xml:space="preserve"> kojim se omogućava pružanje hitne potpore humanitarne prirode kao odgovor na povećani priljev izbjeglica i migranata u Uniju.</w:t>
      </w:r>
    </w:p>
    <w:p>
      <w:pPr>
        <w:rPr>
          <w:noProof/>
        </w:rPr>
      </w:pPr>
      <w:r>
        <w:rPr>
          <w:noProof/>
        </w:rPr>
        <w:t>Kako je utvrđeno u povezanom prijedlogu Komisije</w:t>
      </w:r>
      <w:r>
        <w:rPr>
          <w:rStyle w:val="FootnoteReference"/>
          <w:noProof/>
        </w:rPr>
        <w:footnoteReference w:id="6"/>
      </w:r>
      <w:r>
        <w:rPr>
          <w:noProof/>
        </w:rPr>
        <w:t>, potrebe financiranja tog novog instrumenta za hitne slučajeve u 2016. procijenjene su na razini od 300 milijuna EUR u odobrenim sredstvima za preuzimanje obveza i 241 milijun EUR u odobrenim sredstvima za plaćanje</w:t>
      </w:r>
      <w:r>
        <w:rPr>
          <w:rStyle w:val="FootnoteReference"/>
          <w:noProof/>
        </w:rPr>
        <w:footnoteReference w:id="7"/>
      </w:r>
      <w:r>
        <w:rPr>
          <w:noProof/>
        </w:rPr>
        <w:t>. 199 milijuna EUR u odobrenim sredstvima za preuzimanje obveza i 130,2 milijuna EUR u odobrenim sredstvima za plaćanje preraspodijeljeno je iz FAMI-ja, prvo u kontekstu izmjene proračuna br. 1/2016 donesene 13. travnja 2016.</w:t>
      </w:r>
      <w:r>
        <w:rPr>
          <w:rStyle w:val="FootnoteReference"/>
          <w:noProof/>
        </w:rPr>
        <w:footnoteReference w:id="8"/>
      </w:r>
      <w:r>
        <w:rPr>
          <w:noProof/>
        </w:rPr>
        <w:t xml:space="preserve"> (100 milijuna EUR u u odobrenim sredstvima za preuzimanje obveza i 80,2 milijuna EUR u odobrenim sredstvima za plaćanje) i nakon toga Komisijinim prijenosom odobrenih sredstava provedenim u kolovozu u skladu s člankom 26. stavkom 1. točkom (c) Financijske uredbe (99 milijuna EUR u odobrenim sredstvima za preuzimanje obveza i 50 milijuna EUR u odobrenim sredstvima za plaćanje). </w:t>
      </w:r>
    </w:p>
    <w:p>
      <w:pPr>
        <w:rPr>
          <w:noProof/>
        </w:rPr>
      </w:pPr>
      <w:r>
        <w:rPr>
          <w:noProof/>
        </w:rPr>
        <w:t>Vjerojatno nepodmirene potrebe povezane s novim instrumentom za hitne slučajeve, koje se trenutačno procjenjuju na razini od 50 milijuna EUR u odobrenim sredstvima za preuzimanje obveza i 10 milijuna EUR u odobrenim sredstvima za plaćanje, još se moraju financirati u 2016. Nadalje, u najnovijoj je ponovnoj procjeni potreba FAMI-ja do kraja godine utvrđeno da se prethodno navedene preraspodjele moraju djelomično prebiti novim odobrenim sredstvima u iznosu od 130 milijuna EUR samo u obvezama. Ta djelomična nadopuna FAMI-ja kombinira se s jačanjem područja granica u okviru Fonda za unutarnju sigurnost (FUS – Granice) za 70 milijuna EUR u odobrenim sredstvima za preuzimanje obveza kako bi se odgovorilo na nedavni zahtjev Bugarske za pomoć za hitne slučajeve. Time se uzima u obzir činjenica da je pomoć za hitne slučajeve u okviru FUS-a koja je trenutačno dostupna u proračunu za 2016. gotovo u cijelosti iskorištena.</w:t>
      </w:r>
    </w:p>
    <w:p>
      <w:pPr>
        <w:rPr>
          <w:noProof/>
        </w:rPr>
      </w:pPr>
      <w:r>
        <w:rPr>
          <w:noProof/>
        </w:rPr>
        <w:t>Nakon što je uzela u obzir moguće preraspodjele utvrđene u drugim proračunskim linijama u okviru naslova 3. (9,9 milijuna EUR), Komisija je u nacrtu izmjene proračuna br. 4/2016</w:t>
      </w:r>
      <w:r>
        <w:rPr>
          <w:rStyle w:val="FootnoteReference"/>
          <w:noProof/>
        </w:rPr>
        <w:footnoteReference w:id="9"/>
      </w:r>
      <w:r>
        <w:rPr>
          <w:noProof/>
        </w:rPr>
        <w:t xml:space="preserve"> zatražila povećanje odobrenih sredstava za preuzimanje obveza za 240,1 milijun EUR iznad gornje granice tog naslova.</w:t>
      </w:r>
    </w:p>
    <w:p>
      <w:pPr>
        <w:rPr>
          <w:noProof/>
        </w:rPr>
      </w:pPr>
      <w:r>
        <w:rPr>
          <w:noProof/>
        </w:rPr>
        <w:t>Gornja granica rashoda za naslov 3. u 2016. iznosi 2546 milijuna EUR u sadašnjim cijenama. Odobrena sredstva za preuzimanje obveza odobrena za naslov 3. u proračunu za 2016. iznose 4052 milijuna EUR, za što je bila potrebna mobilizacija instrumenta fleksibilnosti (1506 milijuna EUR) iznad gornje granice za naslov 3. u skladu s člankom 11. stavkom 2. Uredbe o VFO-u.</w:t>
      </w:r>
    </w:p>
    <w:p>
      <w:pPr>
        <w:rPr>
          <w:noProof/>
          <w:color w:val="231F20"/>
          <w:szCs w:val="24"/>
        </w:rPr>
      </w:pPr>
      <w:r>
        <w:rPr>
          <w:noProof/>
          <w:color w:val="231F20"/>
        </w:rPr>
        <w:t>Potrošnja povezana s migracijama, izbjeglicama i sigurnošću čini više od 70 % ukupnih rashoda u okviru gornje granice naslova 3. Komisija je pažljivo preispitala sve mogućnosti preraspodjele. Međutim, s obzirom na ograničeni manevarski prostor u okviru tog naslova, moguće je pokriti tek mali dio potreba za odobrenim sredstvima za preuzimanje obveza na prethodno opisan način a da se ne ugrozi ispravno funkcioniranje drugih, relativno manjih programa.</w:t>
      </w:r>
    </w:p>
    <w:p>
      <w:pPr>
        <w:rPr>
          <w:noProof/>
          <w:color w:val="231F20"/>
          <w:szCs w:val="24"/>
        </w:rPr>
      </w:pPr>
      <w:r>
        <w:rPr>
          <w:noProof/>
          <w:color w:val="231F20"/>
        </w:rPr>
        <w:t xml:space="preserve">Stoga je mobilizacija pričuva za nepredviđene izdatke jedini mogući način da se zadovolje proračunske potrebe za odobrenim sredstvima za preuzimanje obveza. Dostupnost pričuva u drugim naslovima omogućuje potpuno prebijanje te mobilizacije u 2016. </w:t>
      </w:r>
    </w:p>
    <w:p>
      <w:pPr>
        <w:rPr>
          <w:noProof/>
          <w:color w:val="231F20"/>
          <w:szCs w:val="24"/>
        </w:rPr>
      </w:pPr>
      <w:r>
        <w:rPr>
          <w:noProof/>
          <w:color w:val="231F20"/>
        </w:rPr>
        <w:t>Potrebe za odobrenim sredstvima za plaćanje osigurat će se u okviru gornje granice plaćanja za 2016., što znači da mobilizacija pričuve za nepredviđene izdatke za plaćanja nije nužna.</w:t>
      </w:r>
    </w:p>
    <w:p>
      <w:pPr>
        <w:pStyle w:val="ManualHeading2"/>
        <w:rPr>
          <w:noProof/>
        </w:rPr>
      </w:pPr>
      <w:r>
        <w:rPr>
          <w:noProof/>
        </w:rPr>
        <w:t>2.2.</w:t>
      </w:r>
      <w:r>
        <w:rPr>
          <w:noProof/>
        </w:rPr>
        <w:tab/>
        <w:t>PRIČUVA ZA NEPREDVIĐENE IZDATKE KAO INSTRUMENT ZA SLUČAJ KRAJNJE NUŽDE</w:t>
      </w:r>
    </w:p>
    <w:p>
      <w:pPr>
        <w:rPr>
          <w:noProof/>
        </w:rPr>
      </w:pPr>
      <w:r>
        <w:rPr>
          <w:noProof/>
        </w:rPr>
        <w:t xml:space="preserve">Člankom 13. stavkom 1. Uredbe o VFO-u pričuva za nepredviđene izdatke definira se kao instrument za slučaj krajnje nužde kojim se omogućava reakcija na nepredviđene okolnosti. S obzirom na činjenicu da ne postoji nedodijeljena pričuva u okviru gornje granice preuzetih obveza u naslovu 3., u proračunu za 2016. Komisija je ispitala sve mogućnosti za preraspodjelu u okviru tog naslova. </w:t>
      </w:r>
    </w:p>
    <w:p>
      <w:pPr>
        <w:rPr>
          <w:noProof/>
        </w:rPr>
      </w:pPr>
      <w:r>
        <w:rPr>
          <w:noProof/>
        </w:rPr>
        <w:t xml:space="preserve">S obzirom na mobilizaciju cijelog iznosa instrumenta fleksibilnosti u proračunu za 2016. (1530 milijuna EUR), mobilizacija 240,1 milijuna EUR iz pričuve za nepredviđene izdatke za 2016. jedini je dostupan instrument kojim se može premostiti jaz između iznosa gornje granice rashoda naslova 3. i dodatnih nepredviđenih potreba procijenjenih za 2016. </w:t>
      </w:r>
    </w:p>
    <w:p>
      <w:pPr>
        <w:pStyle w:val="ManualHeading2"/>
        <w:rPr>
          <w:noProof/>
        </w:rPr>
      </w:pPr>
      <w:r>
        <w:rPr>
          <w:noProof/>
        </w:rPr>
        <w:t>2.3.</w:t>
      </w:r>
      <w:r>
        <w:rPr>
          <w:noProof/>
        </w:rPr>
        <w:tab/>
        <w:t>UTJECAJ NEPREDVIĐENIH OKOLNOSTI NA PRORAČUN U 2016.</w:t>
      </w:r>
    </w:p>
    <w:p>
      <w:pPr>
        <w:rPr>
          <w:noProof/>
        </w:rPr>
      </w:pPr>
      <w:r>
        <w:rPr>
          <w:noProof/>
        </w:rPr>
        <w:t>Iako je migracijska, izbjeglička i sigurnosna kriza započela 2015., njezin utjecaj i posljedice i dalje se svakodnevno razvijaju. Zbog političkih odluka u trećim zemljama o prihvaćanju izbjeglica na njihovu državnom području te otvaranju i zatvaranju granica bilo je teško predvidjeti dugoročni razvoj u tom području. Zbog promjenjivosti i nepredvidljivosti krize opravdano je iskoristiti pričuvu za nepredviđene izdatke kao instrument za slučaj krajnje nužde za rješavanje nepredviđenih posljedica migracijske, izbjegličke i sigurnosne krize u pogledu potreba rashoda u naslovu 3.</w:t>
      </w:r>
    </w:p>
    <w:p>
      <w:pPr>
        <w:pStyle w:val="ManualHeading1"/>
        <w:rPr>
          <w:noProof/>
        </w:rPr>
      </w:pPr>
      <w:r>
        <w:rPr>
          <w:noProof/>
        </w:rPr>
        <w:t>3.</w:t>
      </w:r>
      <w:r>
        <w:rPr>
          <w:noProof/>
        </w:rPr>
        <w:tab/>
        <w:t xml:space="preserve">PREBIJANJE PRIČUVE ZA NEPREDVIĐENE IZDATKE GORNJIM GRANICAMA U OKVIRU VFO-a </w:t>
      </w:r>
    </w:p>
    <w:p>
      <w:pPr>
        <w:rPr>
          <w:noProof/>
        </w:rPr>
      </w:pPr>
      <w:r>
        <w:rPr>
          <w:noProof/>
        </w:rPr>
        <w:t>Člankom 13. stavkom 3. Uredbe o VFO-u propisuje se da se iznosi povučeni iz pričuve za nepredviđene izdatke u cijelosti prebiju s razlikama za tekuću ili naredne financijske godine.</w:t>
      </w:r>
    </w:p>
    <w:p>
      <w:pPr>
        <w:spacing w:before="0" w:after="0"/>
        <w:rPr>
          <w:noProof/>
        </w:rPr>
      </w:pPr>
      <w:r>
        <w:rPr>
          <w:noProof/>
        </w:rPr>
        <w:t xml:space="preserve">U skladu s člankom 13. stavkom 4. Uredbe o VFO-u prebijeni iznosi ne upotrebljavaju se dodatno u kontekstu VFO-a kako se ne bi prekoračile ukupne gornje granice za odobrena sredstva za obveze i plaćanja određene za tekuću i naredne financijske godine u okviru VFO-a. Stoga mobilizacija pričuve za nepredviđene izdatke za odobrena sredstva za preuzimanje obveza u 2016. u okviru naslova 3. i s njome povezano prebijanje moraju poštovati ukupnu gornju granicu za obveze za razdoblje 2017. – 2020. </w:t>
      </w:r>
    </w:p>
    <w:p>
      <w:pPr>
        <w:rPr>
          <w:noProof/>
        </w:rPr>
      </w:pPr>
      <w:r>
        <w:rPr>
          <w:noProof/>
        </w:rPr>
        <w:t>S obzirom na to da je dostatna pričuva dostupna u okviru gornje granice rashoda za 2016. u naslovu 5., Komisija predlaže da se prebijanje u potpunosti provede tijekom 2016. kako se ne bi dovele u pitanje potrebe za odobrenim sredstvima za preuzimanje obveza za razdoblje 2017. – 2020. Iznos prebijanja u naslovu 5. iznosit će 240,1 milijun EUR, što i dalje ostavlja pričuvu od 291,9 milijuna EUR u 2016. Ukupna gornja granica preuzetih obveza za 2016. i za cijeli VFO ostat će nepromijenjena.</w:t>
      </w:r>
    </w:p>
    <w:p>
      <w:pPr>
        <w:pStyle w:val="ManualHeading1"/>
        <w:rPr>
          <w:noProof/>
        </w:rPr>
      </w:pPr>
      <w:r>
        <w:rPr>
          <w:noProof/>
        </w:rPr>
        <w:t>4.</w:t>
      </w:r>
      <w:r>
        <w:rPr>
          <w:noProof/>
        </w:rPr>
        <w:tab/>
        <w:t xml:space="preserve">DODATNI ELEMENTI </w:t>
      </w:r>
    </w:p>
    <w:p>
      <w:pPr>
        <w:rPr>
          <w:noProof/>
        </w:rPr>
      </w:pPr>
      <w:r>
        <w:rPr>
          <w:noProof/>
        </w:rPr>
        <w:t xml:space="preserve">Europski parlament i Vijeće podsjećaju se na to da se ova Odluka mora objaviti u </w:t>
      </w:r>
      <w:r>
        <w:rPr>
          <w:i/>
          <w:noProof/>
        </w:rPr>
        <w:t>Službenom listu Europske unije</w:t>
      </w:r>
      <w:r>
        <w:rPr>
          <w:noProof/>
        </w:rPr>
        <w:t xml:space="preserve"> najkasnije na dan objave nacrta izmjene proračuna br. 4/2016, u skladu sa zadnjom rečenicom članka 13. stavka 1. Uredbe o VFO-u.</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Statut"/>
        <w:rPr>
          <w:noProof/>
        </w:rPr>
      </w:pPr>
      <w:r>
        <w:rPr>
          <w:noProof/>
        </w:rPr>
        <w:t>Prijedlog</w:t>
      </w:r>
    </w:p>
    <w:p>
      <w:pPr>
        <w:pStyle w:val="Typedudocument"/>
        <w:rPr>
          <w:noProof/>
        </w:rPr>
      </w:pPr>
      <w:r>
        <w:rPr>
          <w:noProof/>
        </w:rPr>
        <w:t>ODLUKE EUROPSKOG PARLAMENTA I VIJEĆA</w:t>
      </w:r>
    </w:p>
    <w:p>
      <w:pPr>
        <w:pStyle w:val="Titreobjet"/>
        <w:rPr>
          <w:noProof/>
        </w:rPr>
      </w:pPr>
      <w:r>
        <w:rPr>
          <w:noProof/>
        </w:rPr>
        <w:t>o mobilizaciji pričuve za nepredviđene izdatke za 2016.</w:t>
      </w:r>
    </w:p>
    <w:p>
      <w:pPr>
        <w:pStyle w:val="Institutionquiagit"/>
        <w:rPr>
          <w:noProof/>
        </w:rPr>
      </w:pPr>
      <w:r>
        <w:rPr>
          <w:noProof/>
        </w:rPr>
        <w:t>EUROPSKI PARLAMENT I VIJEĆE EUROPSKE UNIJE,</w:t>
      </w:r>
    </w:p>
    <w:p>
      <w:pPr>
        <w:rPr>
          <w:noProof/>
        </w:rPr>
      </w:pPr>
      <w:r>
        <w:rPr>
          <w:noProof/>
        </w:rPr>
        <w:t>uzimajući u obzir Ugovor o funkcioniranju Europske unije,</w:t>
      </w:r>
    </w:p>
    <w:p>
      <w:pPr>
        <w:rPr>
          <w:noProof/>
        </w:rPr>
      </w:pPr>
      <w:r>
        <w:rPr>
          <w:noProof/>
        </w:rPr>
        <w:t>uzimajući u obzir Međuinstitucionalni sporazum od 2. prosinca 2013. između Europskog parlamenta, Vijeća i Komisije o proračunskoj disciplini, o suradnji u vezi s proračunskim pitanjima i o dobrom financijskom upravljanju</w:t>
      </w:r>
      <w:r>
        <w:rPr>
          <w:rStyle w:val="FootnoteReference"/>
          <w:noProof/>
        </w:rPr>
        <w:footnoteReference w:id="10"/>
      </w:r>
      <w:r>
        <w:rPr>
          <w:noProof/>
        </w:rPr>
        <w:t>, a posebno njegovu točku 14. drugi podstavak,</w:t>
      </w:r>
    </w:p>
    <w:p>
      <w:pPr>
        <w:rPr>
          <w:noProof/>
        </w:rPr>
      </w:pPr>
      <w:r>
        <w:rPr>
          <w:noProof/>
        </w:rPr>
        <w:t>uzimajući u obzir prijedlog Europske komisije,</w:t>
      </w:r>
    </w:p>
    <w:p>
      <w:pPr>
        <w:rPr>
          <w:noProof/>
        </w:rPr>
      </w:pPr>
      <w:r>
        <w:rPr>
          <w:noProof/>
        </w:rPr>
        <w:t xml:space="preserve">budući da: </w:t>
      </w:r>
    </w:p>
    <w:p>
      <w:pPr>
        <w:rPr>
          <w:noProof/>
        </w:rPr>
      </w:pPr>
      <w:r>
        <w:rPr>
          <w:noProof/>
        </w:rPr>
        <w:t>(1) Člankom 13. Uredbe Vijeća br. 1311/2013</w:t>
      </w:r>
      <w:r>
        <w:rPr>
          <w:rStyle w:val="FootnoteReference"/>
          <w:noProof/>
        </w:rPr>
        <w:footnoteReference w:id="11"/>
      </w:r>
      <w:r>
        <w:rPr>
          <w:noProof/>
        </w:rPr>
        <w:t xml:space="preserve"> utvrđena je pričuva za nepredviđene izdatke od maksimalno 0,03 % bruto nacionalnog dohotka Unije. </w:t>
      </w:r>
    </w:p>
    <w:p>
      <w:pPr>
        <w:rPr>
          <w:noProof/>
        </w:rPr>
      </w:pPr>
      <w:r>
        <w:rPr>
          <w:noProof/>
        </w:rPr>
        <w:t>(2) U skladu s člankom 6. te Uredbe Komisija je izračunala apsolutni iznos te pričuve za nepredviđene izdatke za 2016.</w:t>
      </w:r>
      <w:r>
        <w:rPr>
          <w:rStyle w:val="FootnoteReference"/>
          <w:noProof/>
        </w:rPr>
        <w:footnoteReference w:id="12"/>
      </w:r>
      <w:r>
        <w:rPr>
          <w:noProof/>
        </w:rPr>
        <w:t>.</w:t>
      </w:r>
    </w:p>
    <w:p>
      <w:pPr>
        <w:rPr>
          <w:noProof/>
        </w:rPr>
      </w:pPr>
      <w:r>
        <w:rPr>
          <w:noProof/>
        </w:rPr>
        <w:t xml:space="preserve">(3) Nakon ispitivanja svih ostalih financijskih mogućnosti reagiranja na nepredviđene okolnosti u okviru gornjih granica rashoda za naslov 3. </w:t>
      </w:r>
      <w:r>
        <w:rPr>
          <w:i/>
          <w:noProof/>
        </w:rPr>
        <w:t>Sigurnost i građanstvo</w:t>
      </w:r>
      <w:r>
        <w:rPr>
          <w:noProof/>
        </w:rPr>
        <w:t xml:space="preserve"> za 2016. i nakon što je predložena mobilizacija instrumenta fleksibilnosti za naslove 3. i 4. za cijeli iznos od 1530 milijuna EUR dostupnih u 2016., potrebna je mobilizacija pričuve za nepredviđene izdatke kako bi se povećavanjem odobrenih sredstava za preuzimanje obveza naslova 3. u općem proračunu Europske unije za financijsku godinu 2016. iznad gornje granice tog naslova riješile potrebe koje proizlaze iz migracijske, izbjegličke i sigurnosne krize.</w:t>
      </w:r>
    </w:p>
    <w:p>
      <w:pPr>
        <w:rPr>
          <w:noProof/>
        </w:rPr>
      </w:pPr>
      <w:r>
        <w:rPr>
          <w:noProof/>
        </w:rPr>
        <w:t>(4) Uzimajući u obzir tu vrlo specifičnu situaciju, ispunjen je uvjet krajnje nužde iz članka 13. stavka 1. Uredbe (EU, Euratom) br. 1311/2013,</w:t>
      </w:r>
    </w:p>
    <w:p>
      <w:pPr>
        <w:pStyle w:val="Formuledadoption"/>
        <w:rPr>
          <w:noProof/>
        </w:rPr>
      </w:pPr>
      <w:r>
        <w:rPr>
          <w:noProof/>
        </w:rPr>
        <w:t>DONIJELI SU OVU ODLUKU:</w:t>
      </w:r>
    </w:p>
    <w:p>
      <w:pPr>
        <w:pStyle w:val="Titrearticle"/>
        <w:rPr>
          <w:noProof/>
        </w:rPr>
      </w:pPr>
      <w:r>
        <w:rPr>
          <w:noProof/>
        </w:rPr>
        <w:t>Članak 1.</w:t>
      </w:r>
    </w:p>
    <w:p>
      <w:pPr>
        <w:rPr>
          <w:noProof/>
        </w:rPr>
      </w:pPr>
      <w:r>
        <w:rPr>
          <w:noProof/>
        </w:rPr>
        <w:t>Za opći proračun Unije za fiskalnu godinu 2016. mobilizira se pričuva za nepredviđene izdatke kako bi se osiguralo 240,1 milijun EUR odobrenih sredstava za preuzimanje obveza iznad gornje granice za preuzete obveze naslova 3. višegodišnjeg financijskog okvira.</w:t>
      </w:r>
    </w:p>
    <w:p>
      <w:pPr>
        <w:pStyle w:val="Titrearticle"/>
        <w:rPr>
          <w:noProof/>
        </w:rPr>
      </w:pPr>
      <w:r>
        <w:rPr>
          <w:noProof/>
        </w:rPr>
        <w:t>Članak 2.</w:t>
      </w:r>
    </w:p>
    <w:p>
      <w:pPr>
        <w:rPr>
          <w:noProof/>
        </w:rPr>
      </w:pPr>
      <w:r>
        <w:rPr>
          <w:noProof/>
        </w:rPr>
        <w:t xml:space="preserve">Odobrena sredstva za preuzimanje obveza u iznosu od 240,1 milijun EUR mobilizirana iz pričuve za nepredviđene izdatke za financijsku godinu 2016. prebijaju se s pričuvom za naslov 5. </w:t>
      </w:r>
      <w:r>
        <w:rPr>
          <w:i/>
          <w:noProof/>
        </w:rPr>
        <w:t>Administracija</w:t>
      </w:r>
      <w:r>
        <w:rPr>
          <w:noProof/>
        </w:rPr>
        <w:t>.</w:t>
      </w:r>
    </w:p>
    <w:p>
      <w:pPr>
        <w:pStyle w:val="Titrearticle"/>
        <w:rPr>
          <w:noProof/>
        </w:rPr>
      </w:pPr>
      <w:r>
        <w:rPr>
          <w:noProof/>
        </w:rPr>
        <w:t>Članak 3.</w:t>
      </w:r>
    </w:p>
    <w:p>
      <w:pPr>
        <w:rPr>
          <w:i/>
          <w:noProof/>
        </w:rPr>
      </w:pPr>
      <w:r>
        <w:rPr>
          <w:noProof/>
        </w:rPr>
        <w:t xml:space="preserve">Ova se Odluka objavljuje u </w:t>
      </w:r>
      <w:r>
        <w:rPr>
          <w:i/>
          <w:noProof/>
        </w:rPr>
        <w:t>Službenom listu Europske unije</w:t>
      </w:r>
      <w:r>
        <w:rPr>
          <w:noProof/>
        </w:rPr>
        <w:t>.</w:t>
      </w:r>
    </w:p>
    <w:p>
      <w:pPr>
        <w:pStyle w:val="Fait"/>
        <w:rPr>
          <w:noProof/>
        </w:rPr>
      </w:pPr>
      <w:r>
        <w:rPr>
          <w:noProof/>
        </w:rPr>
        <w:t>Sastavljeno u Bruxellesu</w:t>
      </w:r>
    </w:p>
    <w:p>
      <w:pPr>
        <w:pStyle w:val="Institutionquisigne"/>
        <w:rPr>
          <w:noProof/>
        </w:rPr>
      </w:pPr>
      <w:r>
        <w:rPr>
          <w:noProof/>
        </w:rPr>
        <w:t>Za Europski parlament</w:t>
      </w:r>
      <w:r>
        <w:rPr>
          <w:noProof/>
        </w:rPr>
        <w:tab/>
        <w:t>Za Vijeće</w:t>
      </w:r>
    </w:p>
    <w:p>
      <w:pPr>
        <w:pStyle w:val="Personnequisigne"/>
        <w:rPr>
          <w:noProof/>
        </w:rPr>
      </w:pPr>
      <w:r>
        <w:rPr>
          <w:noProof/>
        </w:rPr>
        <w:t>Predsjednik</w:t>
      </w:r>
      <w:r>
        <w:rPr>
          <w:noProof/>
        </w:rPr>
        <w:tab/>
        <w:t>Predsjednik</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HR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HR</w:t>
    </w:r>
    <w:r>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HR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nn-NO"/>
        </w:rPr>
      </w:pPr>
      <w:r>
        <w:rPr>
          <w:rStyle w:val="FootnoteReference"/>
        </w:rPr>
        <w:footnoteRef/>
      </w:r>
      <w:r>
        <w:tab/>
        <w:t>SL L 347, 20.12.2013., str. 884.</w:t>
      </w:r>
    </w:p>
  </w:footnote>
  <w:footnote w:id="2">
    <w:p>
      <w:pPr>
        <w:pStyle w:val="FootnoteText"/>
        <w:tabs>
          <w:tab w:val="left" w:pos="709"/>
        </w:tabs>
        <w:ind w:left="170" w:hanging="170"/>
        <w:rPr>
          <w:lang w:val="nn-NO"/>
        </w:rPr>
      </w:pPr>
      <w:r>
        <w:rPr>
          <w:rStyle w:val="FootnoteReference"/>
        </w:rPr>
        <w:footnoteRef/>
      </w:r>
      <w:r>
        <w:tab/>
        <w:t>COM(2015) 320, 22.5.2015.</w:t>
      </w:r>
    </w:p>
  </w:footnote>
  <w:footnote w:id="3">
    <w:p>
      <w:pPr>
        <w:pStyle w:val="FootnoteText"/>
        <w:rPr>
          <w:lang w:val="nn-NO"/>
        </w:rPr>
      </w:pPr>
      <w:r>
        <w:rPr>
          <w:rStyle w:val="FootnoteReference"/>
        </w:rPr>
        <w:footnoteRef/>
      </w:r>
      <w:r>
        <w:tab/>
        <w:t>SL C 373, 20.12.2013., str. 1.</w:t>
      </w:r>
    </w:p>
  </w:footnote>
  <w:footnote w:id="4">
    <w:p>
      <w:pPr>
        <w:pStyle w:val="FootnoteText"/>
        <w:rPr>
          <w:lang w:val="nn-NO"/>
        </w:rPr>
      </w:pPr>
      <w:r>
        <w:rPr>
          <w:rStyle w:val="FootnoteReference"/>
        </w:rPr>
        <w:footnoteRef/>
      </w:r>
      <w:r>
        <w:tab/>
        <w:t>SL L 47, 24.2.2016., str. 6.</w:t>
      </w:r>
    </w:p>
  </w:footnote>
  <w:footnote w:id="5">
    <w:p>
      <w:pPr>
        <w:pStyle w:val="FootnoteText"/>
        <w:rPr>
          <w:lang w:val="nn-NO"/>
        </w:rPr>
      </w:pPr>
      <w:r>
        <w:rPr>
          <w:rStyle w:val="FootnoteReference"/>
        </w:rPr>
        <w:footnoteRef/>
      </w:r>
      <w:r>
        <w:tab/>
        <w:t>SL L 70, 16.3.2016., str. 1.</w:t>
      </w:r>
    </w:p>
  </w:footnote>
  <w:footnote w:id="6">
    <w:p>
      <w:pPr>
        <w:pStyle w:val="FootnoteText"/>
        <w:rPr>
          <w:lang w:val="nn-NO"/>
        </w:rPr>
      </w:pPr>
      <w:r>
        <w:rPr>
          <w:rStyle w:val="FootnoteReference"/>
        </w:rPr>
        <w:footnoteRef/>
      </w:r>
      <w:r>
        <w:tab/>
        <w:t>COM(2016) 115, 2.3.2016.</w:t>
      </w:r>
    </w:p>
  </w:footnote>
  <w:footnote w:id="7">
    <w:p>
      <w:pPr>
        <w:pStyle w:val="FootnoteText"/>
      </w:pPr>
      <w:r>
        <w:rPr>
          <w:rStyle w:val="FootnoteReference"/>
        </w:rPr>
        <w:footnoteRef/>
      </w:r>
      <w:r>
        <w:tab/>
        <w:t>80 % pretfinanciranja</w:t>
      </w:r>
    </w:p>
  </w:footnote>
  <w:footnote w:id="8">
    <w:p>
      <w:pPr>
        <w:pStyle w:val="FootnoteText"/>
      </w:pPr>
      <w:r>
        <w:rPr>
          <w:rStyle w:val="FootnoteReference"/>
        </w:rPr>
        <w:footnoteRef/>
      </w:r>
      <w:r>
        <w:tab/>
        <w:t>SL L 143, 31.5.2016.</w:t>
      </w:r>
    </w:p>
  </w:footnote>
  <w:footnote w:id="9">
    <w:p>
      <w:pPr>
        <w:pStyle w:val="FootnoteText"/>
      </w:pPr>
      <w:r>
        <w:rPr>
          <w:rStyle w:val="FootnoteReference"/>
        </w:rPr>
        <w:footnoteRef/>
      </w:r>
      <w:r>
        <w:tab/>
        <w:t>COM(2016) 623, 30.9.2016.</w:t>
      </w:r>
    </w:p>
  </w:footnote>
  <w:footnote w:id="10">
    <w:p>
      <w:pPr>
        <w:pStyle w:val="FootnoteText"/>
      </w:pPr>
      <w:r>
        <w:rPr>
          <w:rStyle w:val="FootnoteReference"/>
        </w:rPr>
        <w:footnoteRef/>
      </w:r>
      <w:r>
        <w:tab/>
        <w:t>SL C 373, 20.12.2013., str. 1.</w:t>
      </w:r>
    </w:p>
  </w:footnote>
  <w:footnote w:id="11">
    <w:p>
      <w:pPr>
        <w:pStyle w:val="FootnoteText"/>
      </w:pPr>
      <w:r>
        <w:rPr>
          <w:rStyle w:val="FootnoteReference"/>
        </w:rPr>
        <w:footnoteRef/>
      </w:r>
      <w:r>
        <w:tab/>
        <w:t>Uredba Vijeća (EU, Euratom) br. 1311/2013 od 2. prosinca 2013. kojom se uspostavlja višegodišnji financijski okvir za razdoblje 2014. – 2020. (SL L 347, 20.12.2013., str. 884.)</w:t>
      </w:r>
    </w:p>
  </w:footnote>
  <w:footnote w:id="12">
    <w:p>
      <w:pPr>
        <w:pStyle w:val="FootnoteText"/>
      </w:pPr>
      <w:r>
        <w:rPr>
          <w:rStyle w:val="FootnoteReference"/>
        </w:rPr>
        <w:footnoteRef/>
      </w:r>
      <w:r>
        <w:tab/>
        <w:t>Komunikacija Komisije Vijeću i Europskom parlamentu od 22. svibnja 2015. o tehničkoj prilagodbi financijskog okvira za 2016. u skladu s kretanjima BND-a (COM(2015) 320, 30.6.2016.)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55CD04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20001082"/>
    <w:lvl w:ilvl="0">
      <w:start w:val="1"/>
      <w:numFmt w:val="decimal"/>
      <w:pStyle w:val="ListNumber3"/>
      <w:lvlText w:val="%1."/>
      <w:lvlJc w:val="left"/>
      <w:pPr>
        <w:tabs>
          <w:tab w:val="num" w:pos="926"/>
        </w:tabs>
        <w:ind w:left="926" w:hanging="360"/>
      </w:pPr>
    </w:lvl>
  </w:abstractNum>
  <w:abstractNum w:abstractNumId="2">
    <w:nsid w:val="FFFFFF7F"/>
    <w:multiLevelType w:val="singleLevel"/>
    <w:tmpl w:val="1ED40C0A"/>
    <w:lvl w:ilvl="0">
      <w:start w:val="1"/>
      <w:numFmt w:val="decimal"/>
      <w:pStyle w:val="ListNumber2"/>
      <w:lvlText w:val="%1."/>
      <w:lvlJc w:val="left"/>
      <w:pPr>
        <w:tabs>
          <w:tab w:val="num" w:pos="643"/>
        </w:tabs>
        <w:ind w:left="643" w:hanging="360"/>
      </w:pPr>
    </w:lvl>
  </w:abstractNum>
  <w:abstractNum w:abstractNumId="3">
    <w:nsid w:val="FFFFFF81"/>
    <w:multiLevelType w:val="singleLevel"/>
    <w:tmpl w:val="C08419E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38AC50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5C8E361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AE6E3A90"/>
    <w:lvl w:ilvl="0">
      <w:start w:val="1"/>
      <w:numFmt w:val="decimal"/>
      <w:pStyle w:val="ListNumber"/>
      <w:lvlText w:val="%1."/>
      <w:lvlJc w:val="left"/>
      <w:pPr>
        <w:tabs>
          <w:tab w:val="num" w:pos="360"/>
        </w:tabs>
        <w:ind w:left="360" w:hanging="360"/>
      </w:pPr>
    </w:lvl>
  </w:abstractNum>
  <w:abstractNum w:abstractNumId="7">
    <w:nsid w:val="FFFFFF89"/>
    <w:multiLevelType w:val="singleLevel"/>
    <w:tmpl w:val="B81A51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2"/>
  </w:num>
  <w:num w:numId="10">
    <w:abstractNumId w:val="19"/>
  </w:num>
  <w:num w:numId="11">
    <w:abstractNumId w:val="13"/>
  </w:num>
  <w:num w:numId="12">
    <w:abstractNumId w:val="21"/>
  </w:num>
  <w:num w:numId="13">
    <w:abstractNumId w:val="11"/>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hideSpellingErrors/>
  <w:hideGrammaticalErrors/>
  <w:attachedTemplate r:id="rId1"/>
  <w:revisionView w:markup="0"/>
  <w:defaultTabStop w:val="720"/>
  <w:drawingGridHorizontalSpacing w:val="120"/>
  <w:displayHorizontalDrawingGridEvery w:val="2"/>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0-10 09:11:41"/>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8F273C588A124D148FD50C74D8E092F7"/>
    <w:docVar w:name="LW_CROSSREFERENCE" w:val="&lt;UNUSED&gt;"/>
    <w:docVar w:name="LW_DocType" w:val="COM"/>
    <w:docVar w:name="LW_EMISSION" w:val="30.9.2016."/>
    <w:docVar w:name="LW_EMISSION_ISODATE" w:val="2016-09-30"/>
    <w:docVar w:name="LW_EMISSION_LOCATION" w:val="BRX"/>
    <w:docVar w:name="LW_EMISSION_PREFIX" w:val="Bruxelles, "/>
    <w:docVar w:name="LW_EMISSION_SUFFIX" w:val=" "/>
    <w:docVar w:name="LW_ID_DOCMODEL" w:val="SJ-025"/>
    <w:docVar w:name="LW_ID_DOCSIGNATURE" w:val="SJ-025"/>
    <w:docVar w:name="LW_ID_DOCSTRUCTURE" w:val="COM/PL/ORG"/>
    <w:docVar w:name="LW_ID_DOCTYPE" w:val="SJ-025"/>
    <w:docVar w:name="LW_ID_STATUT" w:val="SJ-025"/>
    <w:docVar w:name="LW_INTERETEEE.CP" w:val="&lt;UNUSED&gt;"/>
    <w:docVar w:name="LW_LANGUE" w:val="HR"/>
    <w:docVar w:name="LW_MARKING" w:val="&lt;UNUSED&gt;"/>
    <w:docVar w:name="LW_NOM.INST" w:val="EUROPSKA KOMISIJA"/>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624"/>
    <w:docVar w:name="LW_REF.INTERNE" w:val="&lt;UNUSED&gt;"/>
    <w:docVar w:name="LW_SOUS.TITRE.OBJ.CP" w:val="&lt;UNUSED&gt;"/>
    <w:docVar w:name="LW_STATUT.CP" w:val="Prijedlog"/>
    <w:docVar w:name="LW_SUPERTITRE" w:val="&lt;UNUSED&gt;"/>
    <w:docVar w:name="LW_TITRE.OBJ.CP" w:val="o mobilizaciji pri\u269?uve za nepredvi\u273?ene izdatke za 2016."/>
    <w:docVar w:name="LW_TYPE.DOC.CP" w:val="ODLUKE EUROPSKOG PARLAMENTA I VIJE\u262?A"/>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hr-HR" w:eastAsia="hr-HR" w:bidi="hr-H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before="120" w:after="120" w:line="240" w:lineRule="auto"/>
      <w:jc w:val="both"/>
    </w:pPr>
    <w:rPr>
      <w:rFonts w:ascii="Times New Roman" w:hAnsi="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Pr>
      <w:b/>
      <w:bCs/>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hr-HR"/>
    </w:rPr>
  </w:style>
  <w:style w:type="paragraph" w:styleId="Caption">
    <w:name w:val="caption"/>
    <w:basedOn w:val="Normal"/>
    <w:next w:val="Normal"/>
    <w:uiPriority w:val="35"/>
    <w:qFormat/>
    <w:rPr>
      <w:b/>
      <w:bCs/>
      <w:sz w:val="20"/>
    </w:rPr>
  </w:style>
  <w:style w:type="paragraph" w:styleId="TableofFigures">
    <w:name w:val="table of figures"/>
    <w:basedOn w:val="Normal"/>
    <w:next w:val="Normal"/>
    <w:uiPriority w:val="99"/>
    <w:semiHidden/>
    <w:unhideWhenUsed/>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link w:val="CommentText"/>
    <w:uiPriority w:val="99"/>
    <w:semiHidden/>
    <w:rPr>
      <w:rFonts w:ascii="Times New Roman" w:hAnsi="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b/>
      <w:bCs/>
    </w:rPr>
  </w:style>
  <w:style w:type="character" w:styleId="Hyperlink">
    <w:name w:val="Hyperlink"/>
    <w:uiPriority w:val="99"/>
    <w:unhideWhenUsed/>
    <w:rPr>
      <w:color w:val="0000FF"/>
      <w:u w:val="single"/>
    </w:rPr>
  </w:style>
  <w:style w:type="paragraph" w:customStyle="1" w:styleId="ListDash">
    <w:name w:val="List Dash"/>
    <w:basedOn w:val="Normal"/>
    <w:pPr>
      <w:numPr>
        <w:numId w:val="9"/>
      </w:numPr>
    </w:pPr>
    <w:rPr>
      <w:rFonts w:eastAsia="Times New Roman"/>
      <w:szCs w:val="24"/>
    </w:rPr>
  </w:style>
  <w:style w:type="paragraph" w:styleId="Revision">
    <w:name w:val="Revision"/>
    <w:hidden/>
    <w:uiPriority w:val="99"/>
    <w:semiHidden/>
    <w:rPr>
      <w:rFonts w:ascii="Times New Roman" w:hAnsi="Times New Roman"/>
      <w:sz w:val="24"/>
    </w:rPr>
  </w:style>
  <w:style w:type="paragraph" w:styleId="Header">
    <w:name w:val="header"/>
    <w:basedOn w:val="Normal"/>
    <w:link w:val="HeaderChar"/>
    <w:uiPriority w:val="99"/>
    <w:unhideWhenUsed/>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Pr>
      <w:rFonts w:ascii="Times New Roman" w:eastAsiaTheme="minorHAnsi" w:hAnsi="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rFonts w:eastAsiaTheme="minorHAnsi"/>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hr-HR" w:eastAsia="hr-HR" w:bidi="hr-H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before="120" w:after="120" w:line="240" w:lineRule="auto"/>
      <w:jc w:val="both"/>
    </w:pPr>
    <w:rPr>
      <w:rFonts w:ascii="Times New Roman" w:hAnsi="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Pr>
      <w:b/>
      <w:bCs/>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hr-HR"/>
    </w:rPr>
  </w:style>
  <w:style w:type="paragraph" w:styleId="Caption">
    <w:name w:val="caption"/>
    <w:basedOn w:val="Normal"/>
    <w:next w:val="Normal"/>
    <w:uiPriority w:val="35"/>
    <w:qFormat/>
    <w:rPr>
      <w:b/>
      <w:bCs/>
      <w:sz w:val="20"/>
    </w:rPr>
  </w:style>
  <w:style w:type="paragraph" w:styleId="TableofFigures">
    <w:name w:val="table of figures"/>
    <w:basedOn w:val="Normal"/>
    <w:next w:val="Normal"/>
    <w:uiPriority w:val="99"/>
    <w:semiHidden/>
    <w:unhideWhenUsed/>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link w:val="CommentText"/>
    <w:uiPriority w:val="99"/>
    <w:semiHidden/>
    <w:rPr>
      <w:rFonts w:ascii="Times New Roman" w:hAnsi="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b/>
      <w:bCs/>
    </w:rPr>
  </w:style>
  <w:style w:type="character" w:styleId="Hyperlink">
    <w:name w:val="Hyperlink"/>
    <w:uiPriority w:val="99"/>
    <w:unhideWhenUsed/>
    <w:rPr>
      <w:color w:val="0000FF"/>
      <w:u w:val="single"/>
    </w:rPr>
  </w:style>
  <w:style w:type="paragraph" w:customStyle="1" w:styleId="ListDash">
    <w:name w:val="List Dash"/>
    <w:basedOn w:val="Normal"/>
    <w:pPr>
      <w:numPr>
        <w:numId w:val="9"/>
      </w:numPr>
    </w:pPr>
    <w:rPr>
      <w:rFonts w:eastAsia="Times New Roman"/>
      <w:szCs w:val="24"/>
    </w:rPr>
  </w:style>
  <w:style w:type="paragraph" w:styleId="Revision">
    <w:name w:val="Revision"/>
    <w:hidden/>
    <w:uiPriority w:val="99"/>
    <w:semiHidden/>
    <w:rPr>
      <w:rFonts w:ascii="Times New Roman" w:hAnsi="Times New Roman"/>
      <w:sz w:val="24"/>
    </w:rPr>
  </w:style>
  <w:style w:type="paragraph" w:styleId="Header">
    <w:name w:val="header"/>
    <w:basedOn w:val="Normal"/>
    <w:link w:val="HeaderChar"/>
    <w:uiPriority w:val="99"/>
    <w:unhideWhenUsed/>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Pr>
      <w:rFonts w:ascii="Times New Roman" w:eastAsiaTheme="minorHAnsi" w:hAnsi="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rFonts w:eastAsiaTheme="minorHAnsi"/>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005942">
      <w:bodyDiv w:val="1"/>
      <w:marLeft w:val="0"/>
      <w:marRight w:val="0"/>
      <w:marTop w:val="0"/>
      <w:marBottom w:val="0"/>
      <w:divBdr>
        <w:top w:val="none" w:sz="0" w:space="0" w:color="auto"/>
        <w:left w:val="none" w:sz="0" w:space="0" w:color="auto"/>
        <w:bottom w:val="none" w:sz="0" w:space="0" w:color="auto"/>
        <w:right w:val="none" w:sz="0" w:space="0" w:color="auto"/>
      </w:divBdr>
    </w:div>
    <w:div w:id="437066267">
      <w:bodyDiv w:val="1"/>
      <w:marLeft w:val="0"/>
      <w:marRight w:val="0"/>
      <w:marTop w:val="0"/>
      <w:marBottom w:val="0"/>
      <w:divBdr>
        <w:top w:val="none" w:sz="0" w:space="0" w:color="auto"/>
        <w:left w:val="none" w:sz="0" w:space="0" w:color="auto"/>
        <w:bottom w:val="none" w:sz="0" w:space="0" w:color="auto"/>
        <w:right w:val="none" w:sz="0" w:space="0" w:color="auto"/>
      </w:divBdr>
    </w:div>
    <w:div w:id="583300590">
      <w:bodyDiv w:val="1"/>
      <w:marLeft w:val="0"/>
      <w:marRight w:val="0"/>
      <w:marTop w:val="0"/>
      <w:marBottom w:val="0"/>
      <w:divBdr>
        <w:top w:val="none" w:sz="0" w:space="0" w:color="auto"/>
        <w:left w:val="none" w:sz="0" w:space="0" w:color="auto"/>
        <w:bottom w:val="none" w:sz="0" w:space="0" w:color="auto"/>
        <w:right w:val="none" w:sz="0" w:space="0" w:color="auto"/>
      </w:divBdr>
    </w:div>
    <w:div w:id="604966165">
      <w:bodyDiv w:val="1"/>
      <w:marLeft w:val="0"/>
      <w:marRight w:val="0"/>
      <w:marTop w:val="0"/>
      <w:marBottom w:val="0"/>
      <w:divBdr>
        <w:top w:val="none" w:sz="0" w:space="0" w:color="auto"/>
        <w:left w:val="none" w:sz="0" w:space="0" w:color="auto"/>
        <w:bottom w:val="none" w:sz="0" w:space="0" w:color="auto"/>
        <w:right w:val="none" w:sz="0" w:space="0" w:color="auto"/>
      </w:divBdr>
    </w:div>
    <w:div w:id="788546335">
      <w:bodyDiv w:val="1"/>
      <w:marLeft w:val="0"/>
      <w:marRight w:val="0"/>
      <w:marTop w:val="0"/>
      <w:marBottom w:val="0"/>
      <w:divBdr>
        <w:top w:val="none" w:sz="0" w:space="0" w:color="auto"/>
        <w:left w:val="none" w:sz="0" w:space="0" w:color="auto"/>
        <w:bottom w:val="none" w:sz="0" w:space="0" w:color="auto"/>
        <w:right w:val="none" w:sz="0" w:space="0" w:color="auto"/>
      </w:divBdr>
    </w:div>
    <w:div w:id="967472392">
      <w:bodyDiv w:val="1"/>
      <w:marLeft w:val="0"/>
      <w:marRight w:val="0"/>
      <w:marTop w:val="0"/>
      <w:marBottom w:val="0"/>
      <w:divBdr>
        <w:top w:val="none" w:sz="0" w:space="0" w:color="auto"/>
        <w:left w:val="none" w:sz="0" w:space="0" w:color="auto"/>
        <w:bottom w:val="none" w:sz="0" w:space="0" w:color="auto"/>
        <w:right w:val="none" w:sz="0" w:space="0" w:color="auto"/>
      </w:divBdr>
    </w:div>
    <w:div w:id="1631978419">
      <w:bodyDiv w:val="1"/>
      <w:marLeft w:val="0"/>
      <w:marRight w:val="0"/>
      <w:marTop w:val="0"/>
      <w:marBottom w:val="0"/>
      <w:divBdr>
        <w:top w:val="none" w:sz="0" w:space="0" w:color="auto"/>
        <w:left w:val="none" w:sz="0" w:space="0" w:color="auto"/>
        <w:bottom w:val="none" w:sz="0" w:space="0" w:color="auto"/>
        <w:right w:val="none" w:sz="0" w:space="0" w:color="auto"/>
      </w:divBdr>
    </w:div>
    <w:div w:id="1665282216">
      <w:bodyDiv w:val="1"/>
      <w:marLeft w:val="0"/>
      <w:marRight w:val="0"/>
      <w:marTop w:val="0"/>
      <w:marBottom w:val="0"/>
      <w:divBdr>
        <w:top w:val="none" w:sz="0" w:space="0" w:color="auto"/>
        <w:left w:val="none" w:sz="0" w:space="0" w:color="auto"/>
        <w:bottom w:val="none" w:sz="0" w:space="0" w:color="auto"/>
        <w:right w:val="none" w:sz="0" w:space="0" w:color="auto"/>
      </w:divBdr>
    </w:div>
    <w:div w:id="188594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0BB91-1B7A-4CE7-8C1A-042796021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6</Pages>
  <Words>1644</Words>
  <Characters>9391</Characters>
  <Application>Microsoft Office Word</Application>
  <DocSecurity>0</DocSecurity>
  <Lines>156</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17</cp:revision>
  <cp:lastPrinted>2016-09-20T09:27:00Z</cp:lastPrinted>
  <dcterms:created xsi:type="dcterms:W3CDTF">2016-10-06T11:23:00Z</dcterms:created>
  <dcterms:modified xsi:type="dcterms:W3CDTF">2016-10-10T07:11:00Z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5.8.3, Build 20130911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SJ-025</vt:lpwstr>
  </property>
  <property fmtid="{D5CDD505-2E9C-101B-9397-08002B2CF9AE}" pid="10" name="DQCStatus">
    <vt:lpwstr>Green (DQC version 03)</vt:lpwstr>
  </property>
  <property name="OP_sanitized" fmtid="{D5CDD505-2E9C-101B-9397-08002B2CF9AE}" pid="11">
    <vt:lpwstr>True</vt:lpwstr>
  </property>
</Properties>
</file>