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1A897619C4594BC8B415DDDCAAC493E9" style="width:450.75pt;height:36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OBRAZLOŽENJE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PRIJEDLOGA</w:t>
      </w:r>
    </w:p>
    <w:p>
      <w:pPr>
        <w:pStyle w:val="Text1"/>
        <w:rPr>
          <w:noProof/>
        </w:rPr>
      </w:pPr>
      <w:r>
        <w:rPr>
          <w:noProof/>
        </w:rPr>
        <w:t>Stockholmska konvencija o postojanim organskim onečišćujućim tvarima (dalje u tekstu: „Konvencija”), koja je odobrena Odlukom Vijeća 2006/507/EZ, stupila je na snagu 17. svibnja 2004. Konvencijom se nastoje zaštititi ljudsko zdravlje i okoliš od postojanih organskih onečišćujućih tvari. Konvencijom se osigurava okvir, na temelju načela predostrožnosti, za uklanjanje proizvodnje, uporabe, uvoza i izvoza trenutačno 23 prioritetne postojane organske onečišćujuće tvari, sigurno rukovanje njima i njihovo zbrinjavanje te uklanjanje ili smanjivanje ispuštanja određenih nenamjernih postojanih organskih onečišćujućih tvari.</w:t>
      </w:r>
    </w:p>
    <w:p>
      <w:pPr>
        <w:pStyle w:val="Text1"/>
        <w:rPr>
          <w:noProof/>
        </w:rPr>
      </w:pPr>
      <w:r>
        <w:rPr>
          <w:noProof/>
        </w:rPr>
        <w:t>Uredbom (EZ) br. 850/2004 o postojanim organskim onečišćujućim tvarima u zakonodavstvu Unije provode se obveze utvrđene Konvencijom i Protokolom o postojanim organskim onečišćujućim tvarima uz Konvenciju iz 1979. o dalekosežnom prekograničnom onečišćenju zraka (dalje u tekstu: „Protokol”), odobrenim Odlukom Vijeća 2004/259/EZ.</w:t>
      </w:r>
    </w:p>
    <w:p>
      <w:pPr>
        <w:pStyle w:val="Text1"/>
        <w:rPr>
          <w:noProof/>
        </w:rPr>
      </w:pPr>
      <w:r>
        <w:rPr>
          <w:noProof/>
        </w:rPr>
        <w:t>Člankom 8. stavkom 1. Konvencije propisuje se da svaka stranka može podnijeti prijedlog Tajništvu za uvrštavanje kemikalije u priloge A, B ili C Konvenciji, koji će revidirati Povjerenstvo za razmatranje postojanih organskih onečišćujućih tvari (POP RC) u skladu s člankom 8. stavcima 3. i 4. Prijedlog sadržava podatke navedene u Prilogu D. Postupak donošenja izmjena priloga reguliran je člankom 22. Konvencije.</w:t>
      </w:r>
    </w:p>
    <w:p>
      <w:pPr>
        <w:pStyle w:val="Text1"/>
        <w:rPr>
          <w:noProof/>
        </w:rPr>
      </w:pPr>
      <w:r>
        <w:rPr>
          <w:noProof/>
        </w:rPr>
        <w:t xml:space="preserve">Ovim se Prijedlogom odluke Vijeća razmatra namjera Europske unije da podnese prijedlog za uvrštavanje oktametilciklotetrasiloksana (D4), što podrazumijeva podnošenje dosjea iz Priloga D koji sadržava podatke o kriterijima </w:t>
      </w:r>
      <w:r>
        <w:rPr>
          <w:i/>
          <w:noProof/>
        </w:rPr>
        <w:t>provjere</w:t>
      </w:r>
      <w:r>
        <w:rPr>
          <w:noProof/>
        </w:rPr>
        <w:t xml:space="preserve"> te kemikalije i kojim se pokreće revizija koju provodi POP RC.</w:t>
      </w:r>
    </w:p>
    <w:p>
      <w:pPr>
        <w:pStyle w:val="Text1"/>
        <w:rPr>
          <w:noProof/>
        </w:rPr>
      </w:pPr>
      <w:r>
        <w:rPr>
          <w:noProof/>
        </w:rPr>
        <w:t>Bude li D4 ispunjavao kriterije provjere, podnijet će se dodatni podaci potrebni za utvrđivanje profila rizika te kemikalije. Time su među ostalim obuhvaćeni podaci o proizvodnji, uporabama, procjenama opasnosti i evaluacijama rizika u Uniji. Ako će se pripremati evaluacija upravljanja rizicima, u skladu s Prilogom F podnijet će se dodatni podaci o socioekonomskim okolnostima kojima se odražava stanje u Uniji.</w:t>
      </w:r>
    </w:p>
    <w:p>
      <w:pPr>
        <w:pStyle w:val="Text1"/>
        <w:rPr>
          <w:noProof/>
        </w:rPr>
      </w:pPr>
      <w:r>
        <w:rPr>
          <w:noProof/>
        </w:rPr>
        <w:t xml:space="preserve">Prema dostupnim znanstvenim podacima i revizijskim izvješćima te uzimajući u obzir kriterije provjere utvrđene u Prilogu D Konvenciji, D4 pokazuje svojstva postojanih organskih onečišćujućih tvari. </w:t>
      </w:r>
    </w:p>
    <w:p>
      <w:pPr>
        <w:pStyle w:val="Text1"/>
        <w:rPr>
          <w:noProof/>
        </w:rPr>
      </w:pPr>
      <w:r>
        <w:rPr>
          <w:noProof/>
        </w:rPr>
        <w:t>D4 se proizvodi u EU-u te se isto tako uvozi kao tvar (pojedinačno ili u mješavinama) te u proizvodima. D4 ispušta se tijekom formulacije i faze prerade („proizvodnje”), tijekom životnog vijeka proizvoda i predmeta te tijekom faze gospodarenja otpadom (recikliranja, odlaganja i spaljivanja). D4 uglavnom se koristi kao sirovina za proizvodnju silikonskih polimera.</w:t>
      </w:r>
    </w:p>
    <w:p>
      <w:pPr>
        <w:pStyle w:val="Text1"/>
        <w:rPr>
          <w:noProof/>
        </w:rPr>
      </w:pPr>
      <w:r>
        <w:rPr>
          <w:noProof/>
        </w:rPr>
        <w:t xml:space="preserve">Prema informativnom </w:t>
      </w:r>
      <w:r>
        <w:rPr>
          <w:i/>
          <w:noProof/>
        </w:rPr>
        <w:t>web</w:t>
      </w:r>
      <w:r>
        <w:rPr>
          <w:noProof/>
        </w:rPr>
        <w:t xml:space="preserve">-mjestu Europske agencije za kemikalije registrirani količinski raspon za D4 iznosi 100 000 – 1 000 000 tona godišnje. </w:t>
      </w:r>
    </w:p>
    <w:p>
      <w:pPr>
        <w:pStyle w:val="Text1"/>
        <w:rPr>
          <w:noProof/>
        </w:rPr>
      </w:pPr>
      <w:r>
        <w:rPr>
          <w:noProof/>
        </w:rPr>
        <w:t>Nadležna tijela Ujedinjene Kraljevine sastavila su dosje u skladu s Prilogom XV. Uredbi REACH kako bi se predložilo uvrštavanje dva spoja siloksana u proces ograničavanja u okviru Uredbe REACH. U tom se dosjeu za uvođenje ograničenja predlaže ograničavanje stavljanja na tržište ili uporabe D4 i dekametilciklopentasiloksana (D5) u koncentracijama od 0,1 % masenog udjela ili više u proizvodima za osobnu njegu koji se pri uobičajenoj uporabi ispiru.</w:t>
      </w:r>
    </w:p>
    <w:p>
      <w:pPr>
        <w:pStyle w:val="Text1"/>
        <w:rPr>
          <w:noProof/>
        </w:rPr>
      </w:pPr>
      <w:r>
        <w:rPr>
          <w:noProof/>
        </w:rPr>
        <w:t>Te se tvari uglavnom koriste kao sirovine za proizvodnju silikonskih polimera. Silikonske tekućine, elastomeri, gelovi i smole koriste se u vrlo raznolike svrhe, među ostalim kao guma; elastomeri za premaze i sredstva za brtvljenje; sredstva protiv pjenjenja; poboljšivači protoka i/ili sjaja u alkidnim bojama i lakovima; sredstva za omekšivanje, impregnaciju i vlaženje u proizvodnji tekstila; sastojci sredstava za laštenje i drugih formulacija za obradu površina; maziva, masti, premazi protiv prianjanja i sredstva za odvajanje kalupa; premazi za papir; hidraulične i dielektrične tekućine te tekućine za prijenos topline i kao proizvodi široke potrošnje poput proizvoda za osobnu njegu, proizvoda za čišćenje i održavanje kućanstva i vozila. Polimeri se isto tako mogu modificirati dodatnim funkcionalnim skupinama omogućavajući im mnoštvo drugih primjena. D4 i D5 koriste se u raznim proizvodima široke potrošnje, kao i u industriji te zbog toga dolazi do opsežnog oslobađanja tih tvari u okoliš.</w:t>
      </w:r>
    </w:p>
    <w:p>
      <w:pPr>
        <w:pStyle w:val="Text1"/>
        <w:rPr>
          <w:noProof/>
          <w:snapToGrid w:val="0"/>
        </w:rPr>
      </w:pPr>
      <w:r>
        <w:rPr>
          <w:noProof/>
        </w:rPr>
        <w:t>Odbor država članica u okviru Europske agencije za kemikalije (ECHA) na svojem je 41. sastanku održanom 2015., na zahtjev izvršnog direktora ECHA-e u skladu s člankom 77. stavkom 3. točkom (c) Uredbe REACH, donio Mišljenje</w:t>
      </w:r>
      <w:r>
        <w:rPr>
          <w:rStyle w:val="FootnoteReference"/>
          <w:noProof/>
          <w:snapToGrid w:val="0"/>
        </w:rPr>
        <w:footnoteReference w:id="1"/>
      </w:r>
      <w:r>
        <w:rPr>
          <w:noProof/>
        </w:rPr>
        <w:t xml:space="preserve"> o postojanosti (P/vP) i bioakumulaciji (B/vB) D4 i D5. Taj je Odbor smatrao da D4 i D5 ispunjavaju kriterije svojstava vP i vB iz Priloga XIII. Uredbi REACH. Stoga ispunjavaju i kriterije postojanosti i bioakumulacije iz Priloga D Konvenciji.</w:t>
      </w:r>
    </w:p>
    <w:p>
      <w:pPr>
        <w:pStyle w:val="Text1"/>
        <w:rPr>
          <w:noProof/>
        </w:rPr>
      </w:pPr>
      <w:r>
        <w:rPr>
          <w:noProof/>
        </w:rPr>
        <w:t>U Prilogu VI. Uredbi (EZ) br. 1272/2008 o razvrstavanju, označivanju i pakiranju tvari i smjesa D4 usklađeno je razvrstan kao reproduktivno toksična tvar iz 2. kategorije opasnosti i tvar otrovna za vodeni okoliš iz 4. kategorije opasnosti. Međutim, očekuje se da će novi kriterij kronične toksičnosti u vodenom okolišu uveden Uredbom Komisije (EU) br. 286/2011 u Uredbu o razvrstavanju, označivanju i pakiranju tvari i smjesa dovesti do strožeg razvrstavanja prema učinku na okoliš jer najniža pouzdana kronična koncentracija bez uočenih učinaka na vodeni okoliš (NOEC) iznosi oko 4,4 µg/L. Očekuje se da će taj kronični NOEC dovesti do usklađenog razvrstavanja kronične toksičnosti u vodenom okolišu iz 1. kategorije opasnosti. Stoga bi D4 ispunjavao kriterije toksičnosti postojanih organskih onečišćujućih tvari na temelju krajnjih ishoda za vodene organizme i sisavce.</w:t>
      </w:r>
    </w:p>
    <w:p>
      <w:pPr>
        <w:pStyle w:val="Text1"/>
        <w:rPr>
          <w:noProof/>
        </w:rPr>
      </w:pPr>
      <w:r>
        <w:rPr>
          <w:noProof/>
        </w:rPr>
        <w:t>U dosjeu za uvođenje ograničenja iz Priloga XV. navode se dokazana PBT/vPvB svojstva, vidljiva iz navedene ocjene u okviru Uredbe REACH, a istražuje se i potencijal dalekosežnog prijenosa D4 i D5 kroz okoliš (LRT) te zaključuje da, zbog njihove tendencije zadržavanja u atmosferi i dugog vremena njihovog poluraspada u atmosferi, D4 i D5 imaju mogućnost dalekosežnog prijenosa atmosferom u udaljene regije.</w:t>
      </w:r>
    </w:p>
    <w:p>
      <w:pPr>
        <w:pStyle w:val="Text1"/>
        <w:rPr>
          <w:noProof/>
        </w:rPr>
      </w:pPr>
      <w:r>
        <w:rPr>
          <w:noProof/>
        </w:rPr>
        <w:t>Health Canada zaključio je u svojoj sigurnosnoj procjeni iz 2008.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da je, na temelju podataka dobivenih modeliranjem kojima se procijenila karakteristična udaljenost koju može prijeći D4, mogućnost dalekosežnog prijenosa D4 atmosferom velika te se složio s tim da D4 može prijeći atmosferom u udaljene regije poput Arktika.</w:t>
      </w:r>
    </w:p>
    <w:p>
      <w:pPr>
        <w:pStyle w:val="Text1"/>
        <w:rPr>
          <w:noProof/>
        </w:rPr>
      </w:pPr>
      <w:r>
        <w:rPr>
          <w:noProof/>
        </w:rPr>
        <w:t xml:space="preserve">Prema mišljenju Odbora država članica, D4 može se pronaći u mnoštvu raznih organizama (posebno ribama i vodenim beskralježnjacima, ali i u pticama i sisavcima) te je prisutan u bioti u udaljenim regijama, uključujući ribe i ptice europskog Arktika. </w:t>
      </w:r>
    </w:p>
    <w:p>
      <w:pPr>
        <w:pStyle w:val="Text1"/>
        <w:rPr>
          <w:noProof/>
        </w:rPr>
      </w:pPr>
      <w:r>
        <w:rPr>
          <w:noProof/>
        </w:rPr>
        <w:t>S obzirom na trenutačno dostupne podatke u vezi s PBT i LRT svojstvima D4 i uzimajući u obzir navedene studije i izvješća, predlaže se da D4 ispunjava kriterije iz Priloga D Konvenciji te ga stoga treba smatrati postojanom organskom onečišćujućom tvari.</w:t>
      </w:r>
    </w:p>
    <w:p>
      <w:pPr>
        <w:pStyle w:val="Text1"/>
        <w:rPr>
          <w:noProof/>
        </w:rPr>
      </w:pPr>
      <w:r>
        <w:rPr>
          <w:noProof/>
        </w:rPr>
        <w:t>D4 je kemikalija koja se proizvodi u velikim količinama i često se upotrebljava u proizvodima za čišćenje i održavanje kućanstva te proizvodima za osobnu njegu. S obzirom na potencijal za dalekosežni prijenos te kemikalije kroz okoliš, mjere poduzete na nacionalnoj razini ili na razini Unije nisu dovoljne za osiguravanje visoke razine zaštite okoliša i ljudskog zdravlja te je nužno šire međunarodno djelovanje.</w:t>
      </w:r>
    </w:p>
    <w:p>
      <w:pPr>
        <w:pStyle w:val="Text1"/>
        <w:rPr>
          <w:noProof/>
        </w:rPr>
      </w:pPr>
      <w:r>
        <w:rPr>
          <w:noProof/>
        </w:rPr>
        <w:t>S obzirom na sljedeću sjednicu POP RC-a u rujnu 2016., primjereno je da Komisija u ime Unije podnese Tajništvu Stockholmske konvencije prijedlog za uvrštavanje oktametilciklotetrasiloksana u Prilog A, B i/ili C. To će se stajalište zauzeti u ime Unije u svrhu članka 218. stavka 9. UFEU-a.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SAVJETOVANJA S DIONICIMA I PROCJENE UČINAKA</w:t>
      </w:r>
    </w:p>
    <w:p>
      <w:pPr>
        <w:pStyle w:val="Text1"/>
        <w:rPr>
          <w:noProof/>
        </w:rPr>
      </w:pPr>
      <w:r>
        <w:rPr>
          <w:noProof/>
        </w:rPr>
        <w:t>Bude li, u skladu s Prilogom D Konvenciji, D4 ispunjavao kriterije provjere, sve će stranke i svi promatrači biti pozvani da dostave podatke kojima bi se omogućilo utvrđivanje profila rizika te kemikalije. Time su među ostalim obuhvaćeni podaci o proizvodnji, uporabama, procjenama opasnosti i evaluacijama rizika. Bude li na temelju profila rizika odlučeno da se nastavi sa sljedećim korakom i pripremi evaluacija upravljanja rizicima, sve će stranke i svi promatrači biti pozvani da, u skladu s Prilogom F Konvenciji, dostave podatke o socioekonomskim okolnostima. Opširnim se pozivom na podnošenje podataka upućenim svim strankama i promatračima nastoji pripremiti sveobuhvatna procjena utjecaja navedene kemikalije na ljudsko zdravlje i okoliš te na prikladan način uzeti u obzir različite sposobnosti stranaka i okolnosti u kojima se one nalaze kad je riječ o upravljanju rizicima i njihovom uklanjanju.</w:t>
      </w:r>
    </w:p>
    <w:p>
      <w:pPr>
        <w:pStyle w:val="Text1"/>
        <w:rPr>
          <w:noProof/>
        </w:rPr>
      </w:pPr>
      <w:r>
        <w:rPr>
          <w:noProof/>
        </w:rPr>
        <w:t>Bude li POP RC zaključio da D4 ispunjava kriterije provjere u skladu s Prilogom D Stockholmskoj konvenciji, Komisija će pokrenuti istraživanje radi prikupljanja podataka o socioekonomskim učincima koje bi moglo izazvati uvrštavanje D4.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PRAVNI ELEMENTI PRIJEDLOGA</w:t>
      </w:r>
    </w:p>
    <w:p>
      <w:pPr>
        <w:pStyle w:val="Text1"/>
        <w:rPr>
          <w:noProof/>
        </w:rPr>
      </w:pPr>
      <w:r>
        <w:rPr>
          <w:noProof/>
        </w:rPr>
        <w:t>Slijedom tog prijedloga sastavit će se informativni dosje u skladu s odredbama članka 8. stavka 1. i kriterijima iz Priloga D Konvenciji, nakon čega će se Tajništvu Konvencije poslati prijedlog za dodavanje D4 u Prilog A, B i/ili C Konvenciji.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2016/0083 (NLE)</w:t>
      </w:r>
    </w:p>
    <w:p>
      <w:pPr>
        <w:pStyle w:val="Statut"/>
        <w:rPr>
          <w:noProof/>
        </w:rPr>
      </w:pPr>
      <w:r>
        <w:rPr>
          <w:noProof/>
        </w:rPr>
        <w:t>Prijedlog</w:t>
      </w:r>
    </w:p>
    <w:p>
      <w:pPr>
        <w:pStyle w:val="Typedudocument"/>
        <w:rPr>
          <w:noProof/>
        </w:rPr>
      </w:pPr>
      <w:r>
        <w:rPr>
          <w:noProof/>
        </w:rPr>
        <w:t>ODLUKE VIJEĆA</w:t>
      </w:r>
    </w:p>
    <w:p>
      <w:pPr>
        <w:pStyle w:val="Titreobjet"/>
        <w:rPr>
          <w:noProof/>
        </w:rPr>
      </w:pPr>
      <w:r>
        <w:rPr>
          <w:noProof/>
        </w:rPr>
        <w:t>o podnošenju, u ime Europske unije, prijedloga za uvrštavanje dodatnih kemikalija u Prilog A, B i/ili C Stockholmskoj konvenciji o postojanim organskim onečišćujućim tvarima</w:t>
      </w:r>
    </w:p>
    <w:p>
      <w:pPr>
        <w:pStyle w:val="Institutionquiagit"/>
        <w:rPr>
          <w:noProof/>
        </w:rPr>
      </w:pPr>
      <w:r>
        <w:rPr>
          <w:noProof/>
        </w:rPr>
        <w:t>VIJEĆE EUROPSKE UNIJE,</w:t>
      </w:r>
    </w:p>
    <w:p>
      <w:pPr>
        <w:rPr>
          <w:noProof/>
        </w:rPr>
      </w:pPr>
      <w:r>
        <w:rPr>
          <w:noProof/>
        </w:rPr>
        <w:t>uzimajući u obzir Ugovor o funkcioniranju Europske unije, a posebno njegov članak 191. stavak 1. u vezi s člankom 218. stavkom 9.,</w:t>
      </w:r>
    </w:p>
    <w:p>
      <w:pPr>
        <w:rPr>
          <w:noProof/>
        </w:rPr>
      </w:pPr>
      <w:r>
        <w:rPr>
          <w:noProof/>
        </w:rPr>
        <w:t>uzimajući u obzir prijedlog Europske komisije,</w:t>
      </w:r>
    </w:p>
    <w:p>
      <w:pPr>
        <w:rPr>
          <w:noProof/>
        </w:rPr>
      </w:pPr>
      <w:r>
        <w:rPr>
          <w:noProof/>
        </w:rPr>
        <w:t>budući da: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Unija je ratificirala Stockholmsku konvenciju o postojanim organskim onečišćujućim tvarima (dalje u tekstu: „Konvencija”) 16. studenoga 2004. Odlukom Vijeća 2006/507/EZ od 14. listopada 2004. o sklapanju Stockholmske konvencije o postojanim organskim onečišćujućim tvarima u ime Europske zajednice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Kao stranka Konvencije, Unija može davati prijedloge za izmjene priloga Konvenciji. U Prilogu A Konvenciji navode se postojane organske onečišćujuće tvari koje treba ukloniti, u Prilogu B navode se postojane organske onečišćujuće tvari koje treba ograničiti, a u Prilogu C one postojane organske onečišćujuće tvari s čijom se nenamjernom proizvodnjom potrebno pozabaviti.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 xml:space="preserve">S obzirom na dostupne znanstvene podatke i revizijska izvješća te uzimajući u obzir kriterije provjere utvrđene u Prilogu D Konvenciji, </w:t>
      </w:r>
      <w:r>
        <w:rPr>
          <w:noProof/>
          <w:color w:val="000000" w:themeColor="text1"/>
        </w:rPr>
        <w:t>oktametilciklotetrasiloksan (CAS br. 556-67-2)</w:t>
      </w:r>
      <w:r>
        <w:rPr>
          <w:noProof/>
        </w:rPr>
        <w:t xml:space="preserve"> pokazuje svojstva postojanih organskih onečišćujućih tvari.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 xml:space="preserve">Na temelju dostupnih podataka </w:t>
      </w:r>
      <w:r>
        <w:rPr>
          <w:noProof/>
          <w:color w:val="000000" w:themeColor="text1"/>
        </w:rPr>
        <w:t>oktametilciklotetrasiloksan</w:t>
      </w:r>
      <w:r>
        <w:rPr>
          <w:noProof/>
        </w:rPr>
        <w:t xml:space="preserve"> ispunjava kriterije iz Priloga XIII. Uredbi (EZ) br. 1907/2006 Europskog parlamenta i Vijeća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za „postojane, bioakumulativne i toksične” (PBT) i „vrlo postojane i vrlo bioakumulativne” (vPvB) tvari u okolišu. 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U skladu s člankom 69. stavkom 4. Uredbe (EZ) br. 1907/2006 Ujedinjena Kraljevina sastavila je dosje iz Priloga XV. za uvođenje ograničenja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</w:t>
      </w:r>
      <w:r>
        <w:rPr>
          <w:noProof/>
          <w:color w:val="000000" w:themeColor="text1"/>
        </w:rPr>
        <w:t>oktametilciklotetrasiloksana</w:t>
      </w:r>
      <w:r>
        <w:rPr>
          <w:noProof/>
        </w:rPr>
        <w:t xml:space="preserve"> radi otklanjanja rizika za okoliš koji može nastati stavljanjem na tržište ili uporabom oktametilciklotetrasiloksana u koncentracijama od 0,1 % masenog udjela ili više u proizvodima za osobnu njegu koji se pri uobičajenoj uporabi ispiru.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  <w:color w:val="000000" w:themeColor="text1"/>
        </w:rPr>
        <w:t>Oktametilciklotetrasiloksan</w:t>
      </w:r>
      <w:r>
        <w:rPr>
          <w:noProof/>
        </w:rPr>
        <w:t xml:space="preserve"> je tvar koja se diljem svijeta primjenjuje disperzivno te se pronalazi posvuda u okolišu. S obzirom na potencijal za dalekosežni prijenos oktametilciklotetrasiloksana kroz okoliš, mjere poduzete na nacionalnoj razini ili na razini Unije nisu dovoljne za osiguravanje visoke razine zaštite okoliša i ljudskog zdravlja te je potrebno šire međunarodno djelovanje.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 xml:space="preserve">Unija bi stoga trebala podnijeti prijedlog Tajništvu Konvencije za uvrštavanje </w:t>
      </w:r>
      <w:r>
        <w:rPr>
          <w:noProof/>
          <w:color w:val="000000" w:themeColor="text1"/>
        </w:rPr>
        <w:t>oktametilciklotetrasiloksana</w:t>
      </w:r>
      <w:r>
        <w:rPr>
          <w:noProof/>
        </w:rPr>
        <w:t xml:space="preserve"> u Prilog A, B i/ili C Konvenciji,</w:t>
      </w:r>
    </w:p>
    <w:p>
      <w:pPr>
        <w:pStyle w:val="Formuledadoption"/>
        <w:rPr>
          <w:noProof/>
        </w:rPr>
      </w:pPr>
      <w:r>
        <w:rPr>
          <w:noProof/>
        </w:rPr>
        <w:t xml:space="preserve">DONIJELO JE OVU ODLUKU: </w:t>
      </w:r>
    </w:p>
    <w:p>
      <w:pPr>
        <w:pStyle w:val="Titrearticle"/>
        <w:rPr>
          <w:i w:val="0"/>
          <w:noProof/>
        </w:rPr>
      </w:pPr>
      <w:r>
        <w:rPr>
          <w:noProof/>
        </w:rPr>
        <w:t>Članak 1.</w:t>
      </w:r>
    </w:p>
    <w:p>
      <w:pPr>
        <w:rPr>
          <w:noProof/>
        </w:rPr>
      </w:pPr>
      <w:r>
        <w:rPr>
          <w:noProof/>
        </w:rPr>
        <w:t>1. Unija podnosi prijedlog za uvrštavanje oktametilciklotetrasiloksana u Prilog A, B i/ili C Stockholmskoj konvenciji o postojanim organskim onečišćujućim tvarima.</w:t>
      </w:r>
    </w:p>
    <w:p>
      <w:pPr>
        <w:rPr>
          <w:noProof/>
        </w:rPr>
      </w:pPr>
    </w:p>
    <w:p>
      <w:pPr>
        <w:rPr>
          <w:noProof/>
          <w:color w:val="000000" w:themeColor="text1"/>
        </w:rPr>
      </w:pPr>
      <w:r>
        <w:rPr>
          <w:noProof/>
        </w:rPr>
        <w:t>2. Komisija dostavlja prijedlog u ime Unije Tajništvu Konvencije sa svim potrebnim podacima u skladu s Prilogom D Konvenciji.</w:t>
      </w:r>
    </w:p>
    <w:p>
      <w:pPr>
        <w:pStyle w:val="Titrearticle"/>
        <w:rPr>
          <w:i w:val="0"/>
          <w:noProof/>
        </w:rPr>
      </w:pPr>
      <w:r>
        <w:rPr>
          <w:noProof/>
        </w:rPr>
        <w:t>Članak 2.</w:t>
      </w:r>
    </w:p>
    <w:p>
      <w:pPr>
        <w:keepLines/>
        <w:rPr>
          <w:noProof/>
        </w:rPr>
      </w:pPr>
      <w:r>
        <w:rPr>
          <w:noProof/>
        </w:rPr>
        <w:t>Ova Odluka stupa na snagu na dan donošenja.</w:t>
      </w:r>
    </w:p>
    <w:p>
      <w:pPr>
        <w:pStyle w:val="Fait"/>
        <w:rPr>
          <w:noProof/>
        </w:rPr>
      </w:pPr>
      <w:r>
        <w:rPr>
          <w:noProof/>
        </w:rPr>
        <w:t>Sastavljeno u Bruxellesu</w:t>
      </w:r>
    </w:p>
    <w:p>
      <w:pPr>
        <w:pStyle w:val="Institutionquisigne"/>
        <w:rPr>
          <w:noProof/>
        </w:rPr>
      </w:pPr>
      <w:r>
        <w:rPr>
          <w:noProof/>
        </w:rPr>
        <w:tab/>
        <w:t>Za Vijeće</w:t>
      </w:r>
    </w:p>
    <w:p>
      <w:pPr>
        <w:pStyle w:val="Personnequisigne"/>
        <w:rPr>
          <w:i w:val="0"/>
          <w:noProof/>
        </w:rPr>
      </w:pPr>
      <w:r>
        <w:rPr>
          <w:noProof/>
        </w:rPr>
        <w:tab/>
        <w:t>Predsjednik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tab/>
      </w:r>
      <w:hyperlink r:id="rId1">
        <w:r>
          <w:rPr>
            <w:rStyle w:val="Hyperlink"/>
          </w:rPr>
          <w:t>http://echa.europa.eu/documents/10162/13641/art77-3c_msc_opinion_on_d4_and_d5_20150422_en.pdf</w:t>
        </w:r>
      </w:hyperlink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i/>
        </w:rPr>
        <w:t>Environment Canada and Health Canada.</w:t>
      </w:r>
      <w:r>
        <w:t xml:space="preserve"> </w:t>
      </w:r>
      <w:r>
        <w:rPr>
          <w:i/>
        </w:rPr>
        <w:t>Screening Assessment for the Challenge Octamethylcyclotetrasiloxane (D4) Chemical Abstracts Service Registry Number 556-67-2,</w:t>
      </w:r>
    </w:p>
    <w:p>
      <w:pPr>
        <w:pStyle w:val="FootnoteText"/>
        <w:ind w:firstLine="0"/>
      </w:pPr>
      <w:r>
        <w:t>listopad 2008. Vidjeti: http://www.ec.gc.ca/ese-ees/default.asp?lang=En&amp;n=2481B508-1#a1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SL L 209, 31.7.2006., str. 1.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Uredba (EZ) br. 1907/2006 Europskog parlamenta i Vijeća od 18. prosinca 2006. o registraciji, evaluaciji, autorizaciji i ograničavanju kemikalija (REACH) i osnivanju Europske agencije za kemikalije te o izmjeni Direktive 1999/45/EZ i stavljanju izvan snage Uredbe Vijeća (EEZ) br. 793/93 i Uredbe Komisije (EZ) br. 1488/94 kao i Direktive Vijeća 76/769/EEZ i direktiva Komisije 91/155/EEZ, 93/67/EEZ, 93/105/EZ i 2000/21/EZ (SL L 396, 30.12.2006., str. 1.).</w:t>
      </w:r>
    </w:p>
  </w:footnote>
  <w:footnote w:id="5">
    <w:p>
      <w:pPr>
        <w:pStyle w:val="FootnoteText"/>
        <w:jc w:val="left"/>
      </w:pPr>
      <w:r>
        <w:rPr>
          <w:rStyle w:val="FootnoteReference"/>
        </w:rPr>
        <w:footnoteRef/>
      </w:r>
      <w:r>
        <w:tab/>
        <w:t xml:space="preserve">Dostupno je na sljedećoj adresi: </w:t>
      </w:r>
      <w:hyperlink r:id="rId2">
        <w:r>
          <w:rPr>
            <w:rStyle w:val="Hyperlink"/>
            <w:color w:val="auto"/>
          </w:rPr>
          <w:t>http://www.echa.europa.eu/web/guest/restrictions-under-consideration</w:t>
        </w:r>
      </w:hyperlink>
      <w:r>
        <w:rPr>
          <w:rStyle w:val="Hyperlink"/>
          <w:color w:val="auto"/>
        </w:rPr>
        <w:br/>
      </w:r>
      <w:r>
        <w:t>Dekametilciklopentasiloksan je isto tako obuhvaćen prijedlogom o ograničenju.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B20DB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ABA6E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8AA7A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63AF4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DC24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01448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29C16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C86A0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3-10 09:36:2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1A897619C4594BC8B415DDDCAAC493E9"/>
    <w:docVar w:name="LW_CROSSREFERENCE" w:val="&lt;UNUSED&gt;"/>
    <w:docVar w:name="LW_DocType" w:val="COM"/>
    <w:docVar w:name="LW_EMISSION" w:val="17.3.2016."/>
    <w:docVar w:name="LW_EMISSION_ISODATE" w:val="2016-03-17"/>
    <w:docVar w:name="LW_EMISSION_LOCATION" w:val="BRX"/>
    <w:docVar w:name="LW_EMISSION_PREFIX" w:val="Bruxelles,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TERETEEE.CP" w:val="&lt;UNUSED&gt;"/>
    <w:docVar w:name="LW_LANGUE" w:val="HR"/>
    <w:docVar w:name="LW_MARKING" w:val="&lt;UNUSED&gt;"/>
    <w:docVar w:name="LW_NOM.INST" w:val="EUROPSKA KOMISIJ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83"/>
    <w:docVar w:name="LW_REF.II.NEW.CP_YEAR" w:val="2016"/>
    <w:docVar w:name="LW_REF.INST.NEW" w:val="COM"/>
    <w:docVar w:name="LW_REF.INST.NEW_ADOPTED" w:val="final"/>
    <w:docVar w:name="LW_REF.INST.NEW_TEXT" w:val="(2016) 154"/>
    <w:docVar w:name="LW_REF.INTERNE" w:val="&lt;UNUSED&gt;"/>
    <w:docVar w:name="LW_SOUS.TITRE.OBJ.CP" w:val="&lt;UNUSED&gt;"/>
    <w:docVar w:name="LW_STATUT.CP" w:val="Prijedlog"/>
    <w:docVar w:name="LW_SUPERTITRE" w:val="&lt;UNUSED&gt;"/>
    <w:docVar w:name="LW_TITRE.OBJ.CP" w:val="o podno\u353?enju, u ime Europske unije, prijedloga za uvr\u353?tavanje dodatnih kemikalija u Prilog A, B i/ili C Stockholmskoj konvenciji o postojanim organskim one\u269?i\u353?\u263?uju\u263?im tvarima"/>
    <w:docVar w:name="LW_TYPE.DOC.CP" w:val="ODLUKE VIJE\u262?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://www.echa.europa.eu/web/guest/restrictions-under-consideration" TargetMode="External"/><Relationship Id="rId1" Type="http://schemas.openxmlformats.org/officeDocument/2006/relationships/hyperlink" Target="http://echa.europa.eu/documents/10162/13641/art77-3c_msc_opinion_on_d4_and_d5_20150422_en.pdf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6322-FDED-4246-921C-74FBF2A6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6</Pages>
  <Words>1718</Words>
  <Characters>10311</Characters>
  <Application>Microsoft Office Word</Application>
  <DocSecurity>0</DocSecurity>
  <Lines>177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2016-02-29T09:45:00Z</cp:lastPrinted>
  <dcterms:created xsi:type="dcterms:W3CDTF">2016-03-04T16:20:00Z</dcterms:created>
  <dcterms:modified xsi:type="dcterms:W3CDTF">2016-03-10T08:36:00Z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5.8.3, Build 20140113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SJ-019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