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_Toc440386882"/>
      <w:bookmarkStart w:id="1"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F6641A385C014B4EAD0EE8EA1D3A4E11" style="width:450.75pt;height:321pt">
            <v:imagedata r:id="rId9" o:title=""/>
          </v:shape>
        </w:pict>
      </w:r>
    </w:p>
    <w:bookmarkEnd w:id="1"/>
    <w:p>
      <w:pPr>
        <w:widowControl/>
        <w:autoSpaceDE/>
        <w:autoSpaceDN/>
        <w:adjustRightInd/>
        <w:spacing w:before="120" w:after="120"/>
        <w:jc w:val="both"/>
        <w:rPr>
          <w:noProof/>
          <w:sz w:val="24"/>
          <w:szCs w:val="24"/>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aperSrc w:first="15" w:other="15"/>
          <w:pgNumType w:start="1"/>
          <w:cols w:space="720"/>
          <w:docGrid w:linePitch="326"/>
        </w:sectPr>
      </w:pPr>
    </w:p>
    <w:p>
      <w:pPr>
        <w:rPr>
          <w:b/>
          <w:noProof/>
          <w:sz w:val="28"/>
          <w:szCs w:val="28"/>
        </w:rPr>
      </w:pPr>
      <w:bookmarkStart w:id="2" w:name="_GoBack"/>
      <w:bookmarkEnd w:id="2"/>
    </w:p>
    <w:p>
      <w:pPr>
        <w:widowControl/>
        <w:autoSpaceDE/>
        <w:autoSpaceDN/>
        <w:adjustRightInd/>
        <w:spacing w:before="120" w:after="240"/>
        <w:jc w:val="center"/>
        <w:rPr>
          <w:b/>
          <w:noProof/>
          <w:sz w:val="28"/>
          <w:szCs w:val="24"/>
        </w:rPr>
      </w:pPr>
      <w:r>
        <w:rPr>
          <w:b/>
          <w:noProof/>
          <w:sz w:val="28"/>
        </w:rPr>
        <w:t>Sadržaj</w:t>
      </w:r>
    </w:p>
    <w:p>
      <w:pPr>
        <w:pStyle w:val="TOC1"/>
        <w:tabs>
          <w:tab w:val="left" w:pos="440"/>
          <w:tab w:val="right" w:leader="dot" w:pos="9062"/>
        </w:tabs>
        <w:rPr>
          <w:rFonts w:asciiTheme="minorHAnsi" w:eastAsiaTheme="minorEastAsia" w:hAnsiTheme="minorHAnsi" w:cstheme="minorBidi"/>
          <w:noProof/>
          <w:sz w:val="22"/>
          <w:szCs w:val="22"/>
          <w:lang w:bidi="ar-SA"/>
        </w:rPr>
      </w:pPr>
      <w:r>
        <w:rPr>
          <w:noProof/>
        </w:rPr>
        <w:fldChar w:fldCharType="begin"/>
      </w:r>
      <w:r>
        <w:rPr>
          <w:noProof/>
        </w:rPr>
        <w:instrText xml:space="preserve"> TOC \o "1-3" \h \z \u </w:instrText>
      </w:r>
      <w:r>
        <w:rPr>
          <w:noProof/>
        </w:rPr>
        <w:fldChar w:fldCharType="separate"/>
      </w:r>
      <w:hyperlink w:anchor="_Toc451958572" w:history="1">
        <w:r>
          <w:rPr>
            <w:rStyle w:val="Hyperlink"/>
            <w:b/>
            <w:bCs/>
            <w:smallCaps/>
            <w:noProof/>
          </w:rPr>
          <w:t>1.</w:t>
        </w:r>
        <w:r>
          <w:rPr>
            <w:rFonts w:asciiTheme="minorHAnsi" w:eastAsiaTheme="minorEastAsia" w:hAnsiTheme="minorHAnsi" w:cstheme="minorBidi"/>
            <w:noProof/>
            <w:sz w:val="22"/>
            <w:szCs w:val="22"/>
            <w:lang w:bidi="ar-SA"/>
          </w:rPr>
          <w:tab/>
        </w:r>
        <w:r>
          <w:rPr>
            <w:rStyle w:val="Hyperlink"/>
            <w:b/>
            <w:smallCaps/>
            <w:noProof/>
          </w:rPr>
          <w:t>Uvod</w:t>
        </w:r>
        <w:r>
          <w:rPr>
            <w:noProof/>
            <w:webHidden/>
          </w:rPr>
          <w:tab/>
        </w:r>
        <w:r>
          <w:rPr>
            <w:noProof/>
            <w:webHidden/>
          </w:rPr>
          <w:fldChar w:fldCharType="begin"/>
        </w:r>
        <w:r>
          <w:rPr>
            <w:noProof/>
            <w:webHidden/>
          </w:rPr>
          <w:instrText xml:space="preserve"> PAGEREF _Toc451958572 \h </w:instrText>
        </w:r>
        <w:r>
          <w:rPr>
            <w:noProof/>
            <w:webHidden/>
          </w:rPr>
        </w:r>
        <w:r>
          <w:rPr>
            <w:noProof/>
            <w:webHidden/>
          </w:rPr>
          <w:fldChar w:fldCharType="separate"/>
        </w:r>
        <w:r>
          <w:rPr>
            <w:noProof/>
            <w:webHidden/>
          </w:rPr>
          <w:t>3</w:t>
        </w:r>
        <w:r>
          <w:rPr>
            <w:noProof/>
            <w:webHidden/>
          </w:rPr>
          <w:fldChar w:fldCharType="end"/>
        </w:r>
      </w:hyperlink>
    </w:p>
    <w:p>
      <w:pPr>
        <w:pStyle w:val="TOC1"/>
        <w:tabs>
          <w:tab w:val="left" w:pos="440"/>
          <w:tab w:val="right" w:leader="dot" w:pos="9062"/>
        </w:tabs>
        <w:rPr>
          <w:rFonts w:asciiTheme="minorHAnsi" w:eastAsiaTheme="minorEastAsia" w:hAnsiTheme="minorHAnsi" w:cstheme="minorBidi"/>
          <w:noProof/>
          <w:sz w:val="22"/>
          <w:szCs w:val="22"/>
          <w:lang w:bidi="ar-SA"/>
        </w:rPr>
      </w:pPr>
      <w:hyperlink w:anchor="_Toc451958573" w:history="1">
        <w:r>
          <w:rPr>
            <w:rStyle w:val="Hyperlink"/>
            <w:b/>
            <w:smallCaps/>
            <w:noProof/>
          </w:rPr>
          <w:t>2.</w:t>
        </w:r>
        <w:r>
          <w:rPr>
            <w:rFonts w:asciiTheme="minorHAnsi" w:eastAsiaTheme="minorEastAsia" w:hAnsiTheme="minorHAnsi" w:cstheme="minorBidi"/>
            <w:noProof/>
            <w:sz w:val="22"/>
            <w:szCs w:val="22"/>
            <w:lang w:bidi="ar-SA"/>
          </w:rPr>
          <w:tab/>
        </w:r>
        <w:r>
          <w:rPr>
            <w:rStyle w:val="Hyperlink"/>
            <w:b/>
            <w:smallCaps/>
            <w:noProof/>
          </w:rPr>
          <w:t>Operativni kontekst</w:t>
        </w:r>
        <w:r>
          <w:rPr>
            <w:noProof/>
            <w:webHidden/>
          </w:rPr>
          <w:tab/>
        </w:r>
        <w:r>
          <w:rPr>
            <w:noProof/>
            <w:webHidden/>
          </w:rPr>
          <w:fldChar w:fldCharType="begin"/>
        </w:r>
        <w:r>
          <w:rPr>
            <w:noProof/>
            <w:webHidden/>
          </w:rPr>
          <w:instrText xml:space="preserve"> PAGEREF _Toc451958573 \h </w:instrText>
        </w:r>
        <w:r>
          <w:rPr>
            <w:noProof/>
            <w:webHidden/>
          </w:rPr>
        </w:r>
        <w:r>
          <w:rPr>
            <w:noProof/>
            <w:webHidden/>
          </w:rPr>
          <w:fldChar w:fldCharType="separate"/>
        </w:r>
        <w:r>
          <w:rPr>
            <w:noProof/>
            <w:webHidden/>
          </w:rPr>
          <w:t>3</w:t>
        </w:r>
        <w:r>
          <w:rPr>
            <w:noProof/>
            <w:webHidden/>
          </w:rPr>
          <w:fldChar w:fldCharType="end"/>
        </w:r>
      </w:hyperlink>
    </w:p>
    <w:p>
      <w:pPr>
        <w:pStyle w:val="TOC1"/>
        <w:tabs>
          <w:tab w:val="left" w:pos="440"/>
          <w:tab w:val="right" w:leader="dot" w:pos="9062"/>
        </w:tabs>
        <w:rPr>
          <w:rFonts w:asciiTheme="minorHAnsi" w:eastAsiaTheme="minorEastAsia" w:hAnsiTheme="minorHAnsi" w:cstheme="minorBidi"/>
          <w:noProof/>
          <w:sz w:val="22"/>
          <w:szCs w:val="22"/>
          <w:lang w:bidi="ar-SA"/>
        </w:rPr>
      </w:pPr>
      <w:hyperlink w:anchor="_Toc451958574" w:history="1">
        <w:r>
          <w:rPr>
            <w:rStyle w:val="Hyperlink"/>
            <w:b/>
            <w:bCs/>
            <w:smallCaps/>
            <w:noProof/>
          </w:rPr>
          <w:t>3.</w:t>
        </w:r>
        <w:r>
          <w:rPr>
            <w:rFonts w:asciiTheme="minorHAnsi" w:eastAsiaTheme="minorEastAsia" w:hAnsiTheme="minorHAnsi" w:cstheme="minorBidi"/>
            <w:noProof/>
            <w:sz w:val="22"/>
            <w:szCs w:val="22"/>
            <w:lang w:bidi="ar-SA"/>
          </w:rPr>
          <w:tab/>
        </w:r>
        <w:r>
          <w:rPr>
            <w:rStyle w:val="Hyperlink"/>
            <w:b/>
            <w:smallCaps/>
            <w:noProof/>
          </w:rPr>
          <w:t>FINANCIJSKI IZVJEŠTAJI</w:t>
        </w:r>
        <w:r>
          <w:rPr>
            <w:noProof/>
            <w:webHidden/>
          </w:rPr>
          <w:tab/>
        </w:r>
        <w:r>
          <w:rPr>
            <w:noProof/>
            <w:webHidden/>
          </w:rPr>
          <w:fldChar w:fldCharType="begin"/>
        </w:r>
        <w:r>
          <w:rPr>
            <w:noProof/>
            <w:webHidden/>
          </w:rPr>
          <w:instrText xml:space="preserve"> PAGEREF _Toc451958574 \h </w:instrText>
        </w:r>
        <w:r>
          <w:rPr>
            <w:noProof/>
            <w:webHidden/>
          </w:rPr>
        </w:r>
        <w:r>
          <w:rPr>
            <w:noProof/>
            <w:webHidden/>
          </w:rPr>
          <w:fldChar w:fldCharType="separate"/>
        </w:r>
        <w:r>
          <w:rPr>
            <w:noProof/>
            <w:webHidden/>
          </w:rPr>
          <w:t>4</w:t>
        </w:r>
        <w:r>
          <w:rPr>
            <w:noProof/>
            <w:webHidden/>
          </w:rPr>
          <w:fldChar w:fldCharType="end"/>
        </w:r>
      </w:hyperlink>
    </w:p>
    <w:p>
      <w:pPr>
        <w:pStyle w:val="TOC1"/>
        <w:tabs>
          <w:tab w:val="left" w:pos="440"/>
          <w:tab w:val="right" w:leader="dot" w:pos="9062"/>
        </w:tabs>
        <w:rPr>
          <w:rFonts w:asciiTheme="minorHAnsi" w:eastAsiaTheme="minorEastAsia" w:hAnsiTheme="minorHAnsi" w:cstheme="minorBidi"/>
          <w:noProof/>
          <w:sz w:val="22"/>
          <w:szCs w:val="22"/>
          <w:lang w:bidi="ar-SA"/>
        </w:rPr>
      </w:pPr>
      <w:hyperlink w:anchor="_Toc451958575" w:history="1">
        <w:r>
          <w:rPr>
            <w:rStyle w:val="Hyperlink"/>
            <w:b/>
            <w:bCs/>
            <w:smallCaps/>
            <w:noProof/>
          </w:rPr>
          <w:t>4.</w:t>
        </w:r>
        <w:r>
          <w:rPr>
            <w:rFonts w:asciiTheme="minorHAnsi" w:eastAsiaTheme="minorEastAsia" w:hAnsiTheme="minorHAnsi" w:cstheme="minorBidi"/>
            <w:noProof/>
            <w:sz w:val="22"/>
            <w:szCs w:val="22"/>
            <w:lang w:bidi="ar-SA"/>
          </w:rPr>
          <w:tab/>
        </w:r>
        <w:r>
          <w:rPr>
            <w:rStyle w:val="Hyperlink"/>
            <w:b/>
            <w:smallCaps/>
            <w:noProof/>
          </w:rPr>
          <w:t>Upravljanje Jamstvenim fondom EFSU-a u 2015.</w:t>
        </w:r>
        <w:r>
          <w:rPr>
            <w:noProof/>
            <w:webHidden/>
          </w:rPr>
          <w:tab/>
        </w:r>
        <w:r>
          <w:rPr>
            <w:noProof/>
            <w:webHidden/>
          </w:rPr>
          <w:fldChar w:fldCharType="begin"/>
        </w:r>
        <w:r>
          <w:rPr>
            <w:noProof/>
            <w:webHidden/>
          </w:rPr>
          <w:instrText xml:space="preserve"> PAGEREF _Toc451958575 \h </w:instrText>
        </w:r>
        <w:r>
          <w:rPr>
            <w:noProof/>
            <w:webHidden/>
          </w:rPr>
        </w:r>
        <w:r>
          <w:rPr>
            <w:noProof/>
            <w:webHidden/>
          </w:rPr>
          <w:fldChar w:fldCharType="separate"/>
        </w:r>
        <w:r>
          <w:rPr>
            <w:noProof/>
            <w:webHidden/>
          </w:rPr>
          <w:t>4</w:t>
        </w:r>
        <w:r>
          <w:rPr>
            <w:noProof/>
            <w:webHidden/>
          </w:rPr>
          <w:fldChar w:fldCharType="end"/>
        </w:r>
      </w:hyperlink>
    </w:p>
    <w:p>
      <w:pPr>
        <w:pStyle w:val="TOC1"/>
        <w:tabs>
          <w:tab w:val="left" w:pos="440"/>
          <w:tab w:val="right" w:leader="dot" w:pos="9062"/>
        </w:tabs>
        <w:rPr>
          <w:rFonts w:asciiTheme="minorHAnsi" w:eastAsiaTheme="minorEastAsia" w:hAnsiTheme="minorHAnsi" w:cstheme="minorBidi"/>
          <w:noProof/>
          <w:sz w:val="22"/>
          <w:szCs w:val="22"/>
          <w:lang w:bidi="ar-SA"/>
        </w:rPr>
      </w:pPr>
      <w:hyperlink w:anchor="_Toc451958576" w:history="1">
        <w:r>
          <w:rPr>
            <w:rStyle w:val="Hyperlink"/>
            <w:b/>
            <w:bCs/>
            <w:smallCaps/>
            <w:noProof/>
          </w:rPr>
          <w:t>5.</w:t>
        </w:r>
        <w:r>
          <w:rPr>
            <w:rFonts w:asciiTheme="minorHAnsi" w:eastAsiaTheme="minorEastAsia" w:hAnsiTheme="minorHAnsi" w:cstheme="minorBidi"/>
            <w:noProof/>
            <w:sz w:val="22"/>
            <w:szCs w:val="22"/>
            <w:lang w:bidi="ar-SA"/>
          </w:rPr>
          <w:tab/>
        </w:r>
        <w:r>
          <w:rPr>
            <w:rStyle w:val="Hyperlink"/>
            <w:b/>
            <w:smallCaps/>
            <w:noProof/>
          </w:rPr>
          <w:t>Procjena primjerenosti ciljnog iznosa i razine Jamstvenog fonda EFSU-a</w:t>
        </w:r>
        <w:r>
          <w:rPr>
            <w:noProof/>
            <w:webHidden/>
          </w:rPr>
          <w:tab/>
        </w:r>
        <w:r>
          <w:rPr>
            <w:noProof/>
            <w:webHidden/>
          </w:rPr>
          <w:fldChar w:fldCharType="begin"/>
        </w:r>
        <w:r>
          <w:rPr>
            <w:noProof/>
            <w:webHidden/>
          </w:rPr>
          <w:instrText xml:space="preserve"> PAGEREF _Toc451958576 \h </w:instrText>
        </w:r>
        <w:r>
          <w:rPr>
            <w:noProof/>
            <w:webHidden/>
          </w:rPr>
        </w:r>
        <w:r>
          <w:rPr>
            <w:noProof/>
            <w:webHidden/>
          </w:rPr>
          <w:fldChar w:fldCharType="separate"/>
        </w:r>
        <w:r>
          <w:rPr>
            <w:noProof/>
            <w:webHidden/>
          </w:rPr>
          <w:t>5</w:t>
        </w:r>
        <w:r>
          <w:rPr>
            <w:noProof/>
            <w:webHidden/>
          </w:rPr>
          <w:fldChar w:fldCharType="end"/>
        </w:r>
      </w:hyperlink>
    </w:p>
    <w:p>
      <w:pPr>
        <w:rPr>
          <w:rFonts w:asciiTheme="minorHAnsi" w:eastAsiaTheme="minorEastAsia" w:hAnsiTheme="minorHAnsi" w:cstheme="minorBidi"/>
          <w:b/>
          <w:bCs/>
          <w:noProof/>
          <w:sz w:val="24"/>
          <w:szCs w:val="24"/>
        </w:rPr>
        <w:sectPr>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cols w:space="708"/>
          <w:docGrid w:linePitch="360"/>
        </w:sectPr>
      </w:pPr>
      <w:r>
        <w:rPr>
          <w:b/>
          <w:bCs/>
          <w:noProof/>
          <w:sz w:val="24"/>
          <w:szCs w:val="24"/>
        </w:rPr>
        <w:fldChar w:fldCharType="end"/>
      </w:r>
    </w:p>
    <w:p>
      <w:pPr>
        <w:keepNext/>
        <w:widowControl/>
        <w:numPr>
          <w:ilvl w:val="0"/>
          <w:numId w:val="18"/>
        </w:numPr>
        <w:tabs>
          <w:tab w:val="num" w:pos="850"/>
        </w:tabs>
        <w:autoSpaceDE/>
        <w:autoSpaceDN/>
        <w:adjustRightInd/>
        <w:spacing w:before="240" w:after="240"/>
        <w:ind w:left="850" w:hanging="850"/>
        <w:jc w:val="both"/>
        <w:outlineLvl w:val="0"/>
        <w:rPr>
          <w:b/>
          <w:bCs/>
          <w:smallCaps/>
          <w:noProof/>
          <w:sz w:val="24"/>
          <w:szCs w:val="32"/>
        </w:rPr>
      </w:pPr>
      <w:bookmarkStart w:id="3" w:name="_Toc449686519"/>
      <w:bookmarkStart w:id="4" w:name="_Toc449969919"/>
      <w:bookmarkStart w:id="5" w:name="_Toc449969966"/>
      <w:bookmarkStart w:id="6" w:name="_Toc449686550"/>
      <w:bookmarkStart w:id="7" w:name="_Toc449689406"/>
      <w:bookmarkStart w:id="8" w:name="_Toc358640308"/>
      <w:bookmarkStart w:id="9" w:name="_Toc358640576"/>
      <w:bookmarkStart w:id="10" w:name="_Toc358640627"/>
      <w:bookmarkStart w:id="11" w:name="_Toc358640725"/>
      <w:bookmarkStart w:id="12" w:name="_Toc385254771"/>
      <w:bookmarkStart w:id="13" w:name="_Toc415736037"/>
      <w:bookmarkStart w:id="14" w:name="_Toc415748654"/>
      <w:bookmarkStart w:id="15" w:name="_Toc417031771"/>
      <w:bookmarkStart w:id="16" w:name="_Toc449626267"/>
      <w:bookmarkStart w:id="17" w:name="_Toc449626494"/>
      <w:bookmarkStart w:id="18" w:name="_Toc449972638"/>
      <w:bookmarkStart w:id="19" w:name="_Toc451958572"/>
      <w:bookmarkStart w:id="20" w:name="_Toc449689407"/>
      <w:bookmarkEnd w:id="0"/>
      <w:bookmarkEnd w:id="3"/>
      <w:bookmarkEnd w:id="4"/>
      <w:bookmarkEnd w:id="5"/>
      <w:bookmarkEnd w:id="6"/>
      <w:bookmarkEnd w:id="7"/>
      <w:r>
        <w:rPr>
          <w:b/>
          <w:smallCaps/>
          <w:noProof/>
          <w:sz w:val="24"/>
        </w:rPr>
        <w:lastRenderedPageBreak/>
        <w:t>Uvod</w:t>
      </w:r>
      <w:bookmarkEnd w:id="8"/>
      <w:bookmarkEnd w:id="9"/>
      <w:bookmarkEnd w:id="10"/>
      <w:bookmarkEnd w:id="11"/>
      <w:bookmarkEnd w:id="12"/>
      <w:bookmarkEnd w:id="13"/>
      <w:bookmarkEnd w:id="14"/>
      <w:bookmarkEnd w:id="15"/>
      <w:bookmarkEnd w:id="16"/>
      <w:bookmarkEnd w:id="17"/>
      <w:bookmarkEnd w:id="18"/>
      <w:bookmarkEnd w:id="19"/>
    </w:p>
    <w:bookmarkEnd w:id="20"/>
    <w:p>
      <w:pPr>
        <w:spacing w:before="240" w:after="240"/>
        <w:jc w:val="both"/>
        <w:rPr>
          <w:noProof/>
          <w:sz w:val="24"/>
          <w:szCs w:val="24"/>
        </w:rPr>
      </w:pPr>
      <w:r>
        <w:rPr>
          <w:noProof/>
          <w:sz w:val="24"/>
        </w:rPr>
        <w:t>Pravna je osnova za ovo izvješće Uredba (EU) 2015/1017 Europskog parlamenta i Vijeća od 25. lipnja 2015. o Europskom fondu za strateška ulaganja, Europskom savjetodavnom centru za ulaganja i Europskom portalu projekata ulaganja i o izmjeni uredaba (EU) br. 1291/2013 i (EU) br. 1316/2013 – Europski fond za strateška ulaganja</w:t>
      </w:r>
      <w:r>
        <w:rPr>
          <w:rStyle w:val="FootnoteReference"/>
          <w:noProof/>
          <w:sz w:val="24"/>
        </w:rPr>
        <w:footnoteReference w:id="1"/>
      </w:r>
      <w:r>
        <w:rPr>
          <w:noProof/>
          <w:sz w:val="24"/>
        </w:rPr>
        <w:t xml:space="preserve"> („Uredba o EFSU-u”). Europska komisija i Europska investicijska banka („EIB”) potpisale su 22. srpnja 2015. Sporazum o upravljanju EFSU-om i odobravanju jamstva EU-a („Sporazum o EFSU-u”).</w:t>
      </w:r>
    </w:p>
    <w:p>
      <w:pPr>
        <w:spacing w:before="240" w:after="240"/>
        <w:jc w:val="both"/>
        <w:rPr>
          <w:noProof/>
          <w:sz w:val="24"/>
          <w:szCs w:val="24"/>
        </w:rPr>
      </w:pPr>
      <w:r>
        <w:rPr>
          <w:noProof/>
          <w:sz w:val="24"/>
        </w:rPr>
        <w:t>Člankom 16. stavkom 6. Uredbe o EFSU-u propisuje se da Komisija svake godine do 31. svibnja podnosi Europskom parlamentu, Vijeću i Europskom revizorskom sudu godišnje izvješće o upravljanju Jamstvenim fondom EFSU-a u prethodnoj kalendarskoj godini, uključujući procjenu primjerenosti ciljnog iznosa i razine Jamstvenog fonda EFSU-a i potrebe za njegovim obnavljanjem. To godišnje izvješće sadržava prikaz financijskog stanja Jamstvenog fonda EFSU-a na kraju prethodne kalendarske godine, financijske tokove tijekom prethodne kalendarske godine te važne transakcije i sve relevantne informacije o financijskim izvještajima. Izvješće uključuje i informacije o financijskom upravljanju, uspješnosti i rizicima Jamstvenog fonda EFSU-a na kraju prethodne kalendarske godine.</w:t>
      </w:r>
    </w:p>
    <w:p>
      <w:pPr>
        <w:spacing w:before="240" w:after="240"/>
        <w:jc w:val="both"/>
        <w:rPr>
          <w:noProof/>
          <w:sz w:val="24"/>
          <w:szCs w:val="24"/>
        </w:rPr>
      </w:pPr>
      <w:r>
        <w:rPr>
          <w:noProof/>
          <w:sz w:val="24"/>
        </w:rPr>
        <w:t>Člankom 16. stavkom 2. Uredbe o EFSU-u propisuje se i da EIB, prema potrebi u suradnji s Europskim investicijskim fondom („EIF”), jednom godišnje izvješćuje Europski parlament i Vijeće o EIB-ovim operacijama financiranja i ulaganja obuhvaćenima Uredbom („operacije EFSU-a”) te da se to izvješće objavljuje.</w:t>
      </w:r>
      <w:bookmarkStart w:id="21" w:name="_Toc449686522"/>
      <w:bookmarkStart w:id="22" w:name="_Toc449686553"/>
      <w:bookmarkStart w:id="23" w:name="_Toc449686523"/>
      <w:bookmarkStart w:id="24" w:name="_Toc449686554"/>
      <w:bookmarkEnd w:id="21"/>
      <w:bookmarkEnd w:id="22"/>
      <w:bookmarkEnd w:id="23"/>
      <w:bookmarkEnd w:id="24"/>
      <w:r>
        <w:rPr>
          <w:noProof/>
          <w:sz w:val="24"/>
        </w:rPr>
        <w:t xml:space="preserve"> Do dana objave ovog izvješća, EIB još nije donio godišnje izvješće za 2015.</w:t>
      </w:r>
    </w:p>
    <w:p>
      <w:pPr>
        <w:keepNext/>
        <w:widowControl/>
        <w:numPr>
          <w:ilvl w:val="0"/>
          <w:numId w:val="18"/>
        </w:numPr>
        <w:tabs>
          <w:tab w:val="num" w:pos="850"/>
        </w:tabs>
        <w:autoSpaceDE/>
        <w:autoSpaceDN/>
        <w:adjustRightInd/>
        <w:spacing w:before="480" w:after="240"/>
        <w:ind w:left="851" w:hanging="851"/>
        <w:jc w:val="both"/>
        <w:outlineLvl w:val="0"/>
        <w:rPr>
          <w:b/>
          <w:smallCaps/>
          <w:noProof/>
          <w:sz w:val="24"/>
          <w:szCs w:val="32"/>
        </w:rPr>
      </w:pPr>
      <w:bookmarkStart w:id="25" w:name="_Toc449689408"/>
      <w:bookmarkStart w:id="26" w:name="_Toc449972639"/>
      <w:bookmarkStart w:id="27" w:name="_Toc451958573"/>
      <w:r>
        <w:rPr>
          <w:b/>
          <w:smallCaps/>
          <w:noProof/>
          <w:sz w:val="24"/>
        </w:rPr>
        <w:t>Operativni kontekst</w:t>
      </w:r>
      <w:bookmarkEnd w:id="25"/>
      <w:bookmarkEnd w:id="26"/>
      <w:bookmarkEnd w:id="27"/>
    </w:p>
    <w:p>
      <w:pPr>
        <w:spacing w:before="240" w:after="240"/>
        <w:jc w:val="both"/>
        <w:rPr>
          <w:noProof/>
          <w:sz w:val="24"/>
          <w:szCs w:val="24"/>
        </w:rPr>
      </w:pPr>
      <w:r>
        <w:rPr>
          <w:noProof/>
          <w:sz w:val="24"/>
        </w:rPr>
        <w:t>Jamstvo EU-a pokriva operacije financiranja i ulaganja koje je EIB potpisao u okviru dijela za infrastrukturu i inovacije, a EIF u okviru dijela za MSP-ove. Dio tih operacija pokriva se jamstvom EU-a, dok dio na vlastiti rizik pokriva Grupa EIB.</w:t>
      </w:r>
    </w:p>
    <w:p>
      <w:pPr>
        <w:spacing w:before="240" w:after="240"/>
        <w:jc w:val="both"/>
        <w:rPr>
          <w:noProof/>
          <w:sz w:val="24"/>
          <w:szCs w:val="24"/>
        </w:rPr>
      </w:pPr>
      <w:r>
        <w:rPr>
          <w:noProof/>
          <w:sz w:val="24"/>
        </w:rPr>
        <w:t>U 2015. ukupni je broj zaključenih operacija u okviru EFSU-a, kojima je bilo obuhvaćeno 19 država članica, iznosio 3 milijarde EUR, od čega je EIB potpisao 1,2 milijarde EUR (10 operacija), a EIF 1,8 milijardi EUR (83 operacije). Od tih je potpisa krajem 2015. jamstvom EU-a pokriveno 1 553 milijuna EUR (1 155 milijuna EUR iz EIB-a i 398 milijuna EUR iz EIF-a). Ukupna nepodmirena izloženost pokrivena jamstvom EU-a u smislu isplata iznosila je približno 202 milijuna EUR.</w:t>
      </w:r>
    </w:p>
    <w:p>
      <w:pPr>
        <w:spacing w:before="240" w:after="240"/>
        <w:jc w:val="both"/>
        <w:rPr>
          <w:noProof/>
          <w:sz w:val="24"/>
          <w:szCs w:val="24"/>
        </w:rPr>
      </w:pPr>
      <w:r>
        <w:rPr>
          <w:noProof/>
          <w:sz w:val="24"/>
        </w:rPr>
        <w:t xml:space="preserve">EIB i EIF zaduženi su za procjenu i praćenje rizika pojedinačnih operacija te su u ožujku 2016. Komisiji i Europskom revizorskom sudu podnijeli izvješće u skladu s člankom 16. stavkom 3. Uredbe o EFSU-u. Na temelju tog izvješća Komisija procjenjuje primjerenost ciljnog iznosa i razine Jamstvenog fonda EFSU-a. </w:t>
      </w:r>
    </w:p>
    <w:p>
      <w:pPr>
        <w:spacing w:before="240" w:after="240"/>
        <w:jc w:val="both"/>
        <w:rPr>
          <w:noProof/>
          <w:sz w:val="24"/>
          <w:szCs w:val="24"/>
        </w:rPr>
      </w:pPr>
      <w:r>
        <w:rPr>
          <w:noProof/>
          <w:sz w:val="24"/>
        </w:rPr>
        <w:t>U skladu s člankom 16. stavkom 2. Uredbe o EFSU-u, godišnje izvješće koje EIB podnosi Europskom parlamentu i Vijeću sadržava konkretne informacije o ukupnom riziku povezanom s operacijama financiranja i ulaganja provedenima u okviru EFSU-a te o aktiviranju jamstva.</w:t>
      </w:r>
    </w:p>
    <w:p>
      <w:pPr>
        <w:spacing w:before="240" w:after="240"/>
        <w:jc w:val="both"/>
        <w:rPr>
          <w:rFonts w:eastAsiaTheme="minorHAnsi"/>
          <w:noProof/>
          <w:sz w:val="24"/>
          <w:szCs w:val="24"/>
        </w:rPr>
      </w:pPr>
      <w:r>
        <w:rPr>
          <w:noProof/>
          <w:sz w:val="24"/>
        </w:rPr>
        <w:lastRenderedPageBreak/>
        <w:t xml:space="preserve">U skladu s člankom 12. Uredbe o EFSU-u, Jamstveni fond EFSU-a predstavlja rezervu likvidnosti iz koje se EIB-u isplaćuju sredstva u slučaju aktiviranja jamstva EU-a. U skladu sa Sporazumom o EFSU-u između EU-a i EIB-a, aktiviranja isplaćuje Jamstveni fond EFSU-a ako njihov iznos premašuje iznos sredstava kojima EIB raspolaže na računu EFSU-a. Račun EFSU-a, kojim upravlja EIB, uspostavljen je radi prikupljanja prihoda EU-a od operacija pokrivenih jamstvom EFSU-a i naplaćenih iznosa, a ovisno o raspoloživom saldu, i za plaćanje aktiviranja u okviru jamstva EU-a. </w:t>
      </w:r>
    </w:p>
    <w:p>
      <w:pPr>
        <w:spacing w:before="240" w:after="240"/>
        <w:jc w:val="both"/>
        <w:rPr>
          <w:noProof/>
          <w:sz w:val="24"/>
          <w:szCs w:val="24"/>
        </w:rPr>
      </w:pPr>
      <w:r>
        <w:rPr>
          <w:noProof/>
          <w:sz w:val="24"/>
        </w:rPr>
        <w:t>Jamstveni fond EFSU-a postupno se popunjava s obzirom na povećanje izloženosti jamstva EU-a.</w:t>
      </w:r>
    </w:p>
    <w:p>
      <w:pPr>
        <w:spacing w:before="240" w:after="240"/>
        <w:jc w:val="both"/>
        <w:rPr>
          <w:noProof/>
          <w:sz w:val="24"/>
          <w:szCs w:val="24"/>
        </w:rPr>
      </w:pPr>
      <w:r>
        <w:rPr>
          <w:noProof/>
          <w:sz w:val="24"/>
        </w:rPr>
        <w:t xml:space="preserve">Sredstvima Jamstvenog fonda EFSU-a izravno upravlja Komisija i ona se ulažu u skladu s načelom dobrog financijskog upravljanja i primjerenim bonitetnim zahtjevima. </w:t>
      </w:r>
    </w:p>
    <w:p>
      <w:pPr>
        <w:keepNext/>
        <w:widowControl/>
        <w:numPr>
          <w:ilvl w:val="0"/>
          <w:numId w:val="18"/>
        </w:numPr>
        <w:tabs>
          <w:tab w:val="num" w:pos="850"/>
        </w:tabs>
        <w:autoSpaceDE/>
        <w:autoSpaceDN/>
        <w:adjustRightInd/>
        <w:spacing w:before="480" w:after="240"/>
        <w:ind w:left="851" w:hanging="851"/>
        <w:jc w:val="both"/>
        <w:outlineLvl w:val="0"/>
        <w:rPr>
          <w:b/>
          <w:bCs/>
          <w:smallCaps/>
          <w:noProof/>
          <w:sz w:val="24"/>
          <w:szCs w:val="32"/>
        </w:rPr>
      </w:pPr>
      <w:bookmarkStart w:id="28" w:name="_Toc449686525"/>
      <w:bookmarkStart w:id="29" w:name="_Toc449686556"/>
      <w:bookmarkStart w:id="30" w:name="_Toc449689409"/>
      <w:bookmarkStart w:id="31" w:name="_Toc449686526"/>
      <w:bookmarkStart w:id="32" w:name="_Toc449686557"/>
      <w:bookmarkStart w:id="33" w:name="_Toc449689410"/>
      <w:bookmarkStart w:id="34" w:name="_Toc449689411"/>
      <w:bookmarkStart w:id="35" w:name="_Toc449972640"/>
      <w:bookmarkStart w:id="36" w:name="_Toc451958574"/>
      <w:bookmarkEnd w:id="28"/>
      <w:bookmarkEnd w:id="29"/>
      <w:bookmarkEnd w:id="30"/>
      <w:bookmarkEnd w:id="31"/>
      <w:bookmarkEnd w:id="32"/>
      <w:bookmarkEnd w:id="33"/>
      <w:r>
        <w:rPr>
          <w:b/>
          <w:smallCaps/>
          <w:noProof/>
          <w:sz w:val="24"/>
        </w:rPr>
        <w:t>FINANCIJSKI IZVJEŠTAJI</w:t>
      </w:r>
      <w:bookmarkEnd w:id="34"/>
      <w:bookmarkEnd w:id="35"/>
      <w:bookmarkEnd w:id="36"/>
    </w:p>
    <w:p>
      <w:pPr>
        <w:spacing w:before="240" w:after="240"/>
        <w:jc w:val="both"/>
        <w:rPr>
          <w:noProof/>
          <w:sz w:val="24"/>
          <w:szCs w:val="24"/>
        </w:rPr>
      </w:pPr>
      <w:r>
        <w:rPr>
          <w:noProof/>
          <w:sz w:val="24"/>
        </w:rPr>
        <w:t>Na dan 31. prosinca 2015. u Jamstvenom fondu EFSU-a nije bilo sredstava. Jamstveni fond EFSU-a stoga nije uključen u konsolidirane financijske izvještaje Europske unije za 2015.</w:t>
      </w:r>
    </w:p>
    <w:p>
      <w:pPr>
        <w:spacing w:before="240" w:after="240"/>
        <w:jc w:val="both"/>
        <w:rPr>
          <w:noProof/>
          <w:sz w:val="24"/>
          <w:szCs w:val="24"/>
        </w:rPr>
      </w:pPr>
      <w:r>
        <w:rPr>
          <w:rFonts w:eastAsiaTheme="minorHAnsi"/>
          <w:noProof/>
          <w:sz w:val="24"/>
        </w:rPr>
        <w:t xml:space="preserve">U financijskim izvještajima EU-a za 2015. zabilježeno je potraživanje od 1 399 423 EUR, koje odgovara neto prihodu EU-a od operacija pokrivenih jamstvom EFSU-a u 2015., te je uplaćeno na račun EFSU-a u siječnju 2016. </w:t>
      </w:r>
    </w:p>
    <w:p>
      <w:pPr>
        <w:spacing w:before="240" w:after="240"/>
        <w:jc w:val="both"/>
        <w:rPr>
          <w:noProof/>
          <w:sz w:val="24"/>
          <w:szCs w:val="24"/>
        </w:rPr>
      </w:pPr>
      <w:r>
        <w:rPr>
          <w:noProof/>
          <w:sz w:val="24"/>
        </w:rPr>
        <w:t>Izloženost jamstva EU-a u odnosu na isplaćene operacije EFSU-a koje su nepodmirene iznosila je 201 899 614 EUR na dan 31. prosinca 2015., od sveukupnog najvišeg iznosa od 16 000 000 000 EUR za koji jamči EU (članak 11. Uredbe o EFSU-u). Iznos od 201 899 614 EUR zabilježen je u bilješkama uz financijske izvještaje EU-a za 2015. kao nepredviđena obveza.</w:t>
      </w:r>
    </w:p>
    <w:p>
      <w:pPr>
        <w:rPr>
          <w:b/>
          <w:noProof/>
          <w:sz w:val="24"/>
          <w:szCs w:val="24"/>
        </w:rPr>
      </w:pPr>
      <w:bookmarkStart w:id="37" w:name="_Toc449689412"/>
      <w:r>
        <w:rPr>
          <w:b/>
          <w:noProof/>
          <w:sz w:val="24"/>
        </w:rPr>
        <w:t>Znatne transakcije</w:t>
      </w:r>
      <w:bookmarkEnd w:id="37"/>
      <w:r>
        <w:rPr>
          <w:b/>
          <w:noProof/>
          <w:sz w:val="24"/>
        </w:rPr>
        <w:t xml:space="preserve"> </w:t>
      </w:r>
    </w:p>
    <w:p>
      <w:pPr>
        <w:spacing w:before="240" w:after="240"/>
        <w:jc w:val="both"/>
        <w:rPr>
          <w:noProof/>
          <w:sz w:val="24"/>
          <w:szCs w:val="24"/>
        </w:rPr>
      </w:pPr>
      <w:r>
        <w:rPr>
          <w:noProof/>
          <w:sz w:val="24"/>
        </w:rPr>
        <w:t xml:space="preserve">U 2015. dodijeljeno je 1,35 milijardi EUR proračunskih sredstava za popunjavanje Jamstvenog fonda EFSU-a u 2016. i 2017. </w:t>
      </w:r>
    </w:p>
    <w:p>
      <w:pPr>
        <w:spacing w:before="240" w:after="240"/>
        <w:jc w:val="both"/>
        <w:rPr>
          <w:noProof/>
          <w:sz w:val="24"/>
          <w:szCs w:val="24"/>
        </w:rPr>
      </w:pPr>
      <w:r>
        <w:rPr>
          <w:noProof/>
          <w:sz w:val="24"/>
        </w:rPr>
        <w:t>To je objavljeno u bilješkama uz financijske izvještaje EU-a za 2015. u poglavlju „Nepodmirene proračunske obveze koje još nisu rashodovane”.</w:t>
      </w:r>
    </w:p>
    <w:p>
      <w:pPr>
        <w:keepNext/>
        <w:widowControl/>
        <w:numPr>
          <w:ilvl w:val="0"/>
          <w:numId w:val="18"/>
        </w:numPr>
        <w:tabs>
          <w:tab w:val="num" w:pos="850"/>
        </w:tabs>
        <w:autoSpaceDE/>
        <w:autoSpaceDN/>
        <w:adjustRightInd/>
        <w:spacing w:before="480" w:after="240"/>
        <w:ind w:left="851" w:hanging="851"/>
        <w:jc w:val="both"/>
        <w:outlineLvl w:val="0"/>
        <w:rPr>
          <w:b/>
          <w:bCs/>
          <w:smallCaps/>
          <w:noProof/>
          <w:sz w:val="24"/>
          <w:szCs w:val="32"/>
        </w:rPr>
      </w:pPr>
      <w:bookmarkStart w:id="38" w:name="_Toc449689413"/>
      <w:bookmarkStart w:id="39" w:name="_Toc449689414"/>
      <w:bookmarkStart w:id="40" w:name="_Toc449972641"/>
      <w:bookmarkStart w:id="41" w:name="_Toc451958575"/>
      <w:bookmarkEnd w:id="38"/>
      <w:r>
        <w:rPr>
          <w:b/>
          <w:smallCaps/>
          <w:noProof/>
          <w:sz w:val="24"/>
        </w:rPr>
        <w:t>Upravljanje Jamstvenim fondom EFSU-a u 2015.</w:t>
      </w:r>
      <w:bookmarkEnd w:id="39"/>
      <w:bookmarkEnd w:id="40"/>
      <w:bookmarkEnd w:id="41"/>
    </w:p>
    <w:p>
      <w:pPr>
        <w:spacing w:before="240" w:after="240"/>
        <w:jc w:val="both"/>
        <w:rPr>
          <w:noProof/>
          <w:sz w:val="24"/>
          <w:szCs w:val="24"/>
        </w:rPr>
      </w:pPr>
      <w:r>
        <w:rPr>
          <w:noProof/>
          <w:sz w:val="24"/>
        </w:rPr>
        <w:t>Komisija je 21. siječnja 2016. donijela Odluku C(2016)165 o odobrenju smjernica za upravljanje imovinom Jamstvenog fonda Europskog fonda za strateška ulaganja.</w:t>
      </w:r>
    </w:p>
    <w:p>
      <w:pPr>
        <w:pStyle w:val="ListParagraph"/>
        <w:spacing w:before="240" w:after="240"/>
        <w:ind w:left="0"/>
        <w:jc w:val="both"/>
        <w:rPr>
          <w:noProof/>
          <w:sz w:val="24"/>
          <w:szCs w:val="24"/>
        </w:rPr>
      </w:pPr>
      <w:r>
        <w:rPr>
          <w:noProof/>
          <w:sz w:val="24"/>
        </w:rPr>
        <w:t>U Jamstvenom fondu EFSU-a nije bilo sredstava ni u jednom trenutku tijekom 2015. Stoga će se prvo izvješće o financijskom upravljanju, uspješnosti i rizicima Jamstvenog fonda EFSU-a podnijeti 2017. za 2016.</w:t>
      </w:r>
    </w:p>
    <w:p>
      <w:pPr>
        <w:keepNext/>
        <w:widowControl/>
        <w:numPr>
          <w:ilvl w:val="0"/>
          <w:numId w:val="18"/>
        </w:numPr>
        <w:tabs>
          <w:tab w:val="num" w:pos="850"/>
        </w:tabs>
        <w:autoSpaceDE/>
        <w:autoSpaceDN/>
        <w:adjustRightInd/>
        <w:spacing w:before="480" w:after="240"/>
        <w:ind w:left="851" w:hanging="851"/>
        <w:jc w:val="both"/>
        <w:outlineLvl w:val="0"/>
        <w:rPr>
          <w:b/>
          <w:bCs/>
          <w:smallCaps/>
          <w:noProof/>
          <w:sz w:val="24"/>
          <w:szCs w:val="32"/>
        </w:rPr>
      </w:pPr>
      <w:bookmarkStart w:id="42" w:name="_Toc449689415"/>
      <w:bookmarkStart w:id="43" w:name="_Toc449972642"/>
      <w:bookmarkStart w:id="44" w:name="_Toc451958576"/>
      <w:r>
        <w:rPr>
          <w:b/>
          <w:smallCaps/>
          <w:noProof/>
          <w:sz w:val="24"/>
        </w:rPr>
        <w:lastRenderedPageBreak/>
        <w:t>Procjena primjerenosti ciljnog iznosa i razine Jamstvenog fonda EFSU-a</w:t>
      </w:r>
      <w:bookmarkEnd w:id="42"/>
      <w:bookmarkEnd w:id="43"/>
      <w:bookmarkEnd w:id="44"/>
    </w:p>
    <w:p>
      <w:pPr>
        <w:spacing w:before="240" w:after="240"/>
        <w:jc w:val="both"/>
        <w:rPr>
          <w:noProof/>
          <w:sz w:val="24"/>
          <w:szCs w:val="24"/>
        </w:rPr>
      </w:pPr>
      <w:r>
        <w:rPr>
          <w:noProof/>
          <w:sz w:val="24"/>
        </w:rPr>
        <w:t xml:space="preserve">EIB je krajem 2015. potpisao deset operacija pokrivenih jamstvom EFSU-a u ukupnom iznosu od 1 155 milijuna EUR, od čega je isplaćeno 202 milijuna EUR. Nastanu li zbog tih operacija ikakvi gubitci, oni će se pokriti jamstvom EU-a u skladu s odredbama Sporazuma o EFSU-u. Konkretno, jamstvo EU-a u okviru dijela za infrastrukturu i inovacije dodjeljuje se u obliku portfelja s tranšom prvog gubitka za pokriće dužničkih operacija EIB-a i u obliku potpunog jamstva za vlasničke operacije u kojima EIB na jednakoj osnovi na vlastiti rizik ulaže isti iznos sredstava. </w:t>
      </w:r>
    </w:p>
    <w:p>
      <w:pPr>
        <w:spacing w:before="240" w:after="240"/>
        <w:jc w:val="both"/>
        <w:rPr>
          <w:noProof/>
          <w:sz w:val="24"/>
          <w:szCs w:val="24"/>
        </w:rPr>
      </w:pPr>
      <w:r>
        <w:rPr>
          <w:noProof/>
          <w:sz w:val="24"/>
        </w:rPr>
        <w:t>Operacije EIF-a koje su potpisane 2015. i pokrivene jamstvom EFSU-a iznose oko 398 milijuna EUR; nastanu li zbog tih operacija ikakvi gubitci, oni će se pokriti prvenstveno doprinosima iz instrumenta za davanje jamstava MSP-ovima InnovFin te iz instrumenta kreditnog jamstva COSME.</w:t>
      </w:r>
    </w:p>
    <w:p>
      <w:pPr>
        <w:spacing w:before="240" w:after="240"/>
        <w:jc w:val="both"/>
        <w:rPr>
          <w:noProof/>
          <w:sz w:val="24"/>
          <w:szCs w:val="24"/>
        </w:rPr>
      </w:pPr>
      <w:r>
        <w:rPr>
          <w:noProof/>
          <w:sz w:val="24"/>
        </w:rPr>
        <w:t xml:space="preserve">U skladu s Uredbom o EFSU-u, utvrđen je ciljni iznos Jamstvenog fonda EFSU-a od 50 % ukupnih obveza jamstva EU-a, koji trenutačno iznosi 16 milijardi EUR. S obzirom na relativno ograničenu razinu potpisa i isplata do kraja 2015., nema dovoljno elemenata koji bi omogućili procjenu primjerenosti ciljnog iznosa na temelju stvarnih operacija. Stoga će se prvo izvješće o procjeni primjerenosti ciljnog iznosa i razine Jamstvenog fonda EFSU-a podnijeti do 31. svibnja 2017. za 2016. </w:t>
      </w:r>
    </w:p>
    <w:p>
      <w:pPr>
        <w:spacing w:before="240" w:after="240"/>
        <w:jc w:val="both"/>
        <w:rPr>
          <w:noProof/>
          <w:sz w:val="24"/>
          <w:szCs w:val="24"/>
        </w:rPr>
      </w:pPr>
      <w:r>
        <w:rPr>
          <w:noProof/>
          <w:sz w:val="24"/>
        </w:rPr>
        <w:t>Trenutačno je predviđeno da će se iz proračuna EU-a tijekom 2016. u Jamstveni fond EFSU-a uplatiti oko 500 milijuna EUR.</w:t>
      </w:r>
    </w:p>
    <w:p>
      <w:pPr>
        <w:spacing w:before="240" w:after="240"/>
        <w:jc w:val="both"/>
        <w:rPr>
          <w:noProof/>
          <w:sz w:val="24"/>
          <w:szCs w:val="24"/>
        </w:rPr>
      </w:pPr>
      <w:r>
        <w:rPr>
          <w:noProof/>
          <w:sz w:val="24"/>
        </w:rPr>
        <w:t>Budući da se s vremenom očekuje znatno povećanje portfelja operacija EFSU-a i s obzirom na proračunska ograničenja tijekom programskog razdoblja EFSU-a, Komisija će u budućnosti provoditi detaljnije procjene.</w:t>
      </w:r>
    </w:p>
    <w:p>
      <w:pPr>
        <w:spacing w:before="240" w:after="240"/>
        <w:jc w:val="both"/>
        <w:rPr>
          <w:noProof/>
        </w:rPr>
      </w:pPr>
    </w:p>
    <w:sectPr>
      <w:headerReference w:type="even" r:id="rId22"/>
      <w:headerReference w:type="default" r:id="rId23"/>
      <w:footerReference w:type="even" r:id="rId24"/>
      <w:footerReference w:type="default" r:id="rId25"/>
      <w:headerReference w:type="first" r:id="rId26"/>
      <w:footerReference w:type="first" r:id="rId2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HR</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HR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68715447"/>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25889283"/>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5</w:t>
        </w:r>
        <w:r>
          <w:rPr>
            <w:noProof/>
          </w:rPr>
          <w:fldChar w:fldCharType="end"/>
        </w:r>
      </w:p>
    </w:sdtContent>
  </w:sdt>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 w:id="1">
    <w:p>
      <w:pPr>
        <w:pStyle w:val="FootnoteText"/>
      </w:pPr>
      <w:r>
        <w:rPr>
          <w:rStyle w:val="FootnoteReference"/>
        </w:rPr>
        <w:footnoteRef/>
      </w:r>
      <w:r>
        <w:tab/>
        <w:t>SL L 169, 1.7.2015., str. 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734F07"/>
    <w:multiLevelType w:val="hybridMultilevel"/>
    <w:tmpl w:val="9B6ABB6A"/>
    <w:lvl w:ilvl="0" w:tplc="1DAC8F62">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70A6FBE"/>
    <w:multiLevelType w:val="hybridMultilevel"/>
    <w:tmpl w:val="9988660C"/>
    <w:lvl w:ilvl="0" w:tplc="A9EA035E">
      <w:start w:val="1"/>
      <w:numFmt w:val="decimal"/>
      <w:lvlText w:val="(%1)"/>
      <w:lvlJc w:val="left"/>
      <w:pPr>
        <w:ind w:left="1437" w:hanging="87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
    <w:nsid w:val="2E0B1B1D"/>
    <w:multiLevelType w:val="hybridMultilevel"/>
    <w:tmpl w:val="AA98FB40"/>
    <w:lvl w:ilvl="0" w:tplc="572A3A2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7876AF7"/>
    <w:multiLevelType w:val="hybridMultilevel"/>
    <w:tmpl w:val="A0E60D0A"/>
    <w:lvl w:ilvl="0" w:tplc="08090001">
      <w:start w:val="1"/>
      <w:numFmt w:val="bullet"/>
      <w:lvlText w:val=""/>
      <w:lvlJc w:val="left"/>
      <w:pPr>
        <w:ind w:left="1320" w:hanging="360"/>
      </w:pPr>
      <w:rPr>
        <w:rFonts w:ascii="Symbol" w:hAnsi="Symbol" w:hint="default"/>
      </w:rPr>
    </w:lvl>
    <w:lvl w:ilvl="1" w:tplc="08090003" w:tentative="1">
      <w:start w:val="1"/>
      <w:numFmt w:val="bullet"/>
      <w:lvlText w:val="o"/>
      <w:lvlJc w:val="left"/>
      <w:pPr>
        <w:ind w:left="2040" w:hanging="360"/>
      </w:pPr>
      <w:rPr>
        <w:rFonts w:ascii="Courier New" w:hAnsi="Courier New" w:cs="Courier New" w:hint="default"/>
      </w:rPr>
    </w:lvl>
    <w:lvl w:ilvl="2" w:tplc="08090005" w:tentative="1">
      <w:start w:val="1"/>
      <w:numFmt w:val="bullet"/>
      <w:lvlText w:val=""/>
      <w:lvlJc w:val="left"/>
      <w:pPr>
        <w:ind w:left="2760" w:hanging="360"/>
      </w:pPr>
      <w:rPr>
        <w:rFonts w:ascii="Wingdings" w:hAnsi="Wingdings" w:hint="default"/>
      </w:rPr>
    </w:lvl>
    <w:lvl w:ilvl="3" w:tplc="08090001" w:tentative="1">
      <w:start w:val="1"/>
      <w:numFmt w:val="bullet"/>
      <w:lvlText w:val=""/>
      <w:lvlJc w:val="left"/>
      <w:pPr>
        <w:ind w:left="3480" w:hanging="360"/>
      </w:pPr>
      <w:rPr>
        <w:rFonts w:ascii="Symbol" w:hAnsi="Symbol" w:hint="default"/>
      </w:rPr>
    </w:lvl>
    <w:lvl w:ilvl="4" w:tplc="08090003" w:tentative="1">
      <w:start w:val="1"/>
      <w:numFmt w:val="bullet"/>
      <w:lvlText w:val="o"/>
      <w:lvlJc w:val="left"/>
      <w:pPr>
        <w:ind w:left="4200" w:hanging="360"/>
      </w:pPr>
      <w:rPr>
        <w:rFonts w:ascii="Courier New" w:hAnsi="Courier New" w:cs="Courier New" w:hint="default"/>
      </w:rPr>
    </w:lvl>
    <w:lvl w:ilvl="5" w:tplc="08090005" w:tentative="1">
      <w:start w:val="1"/>
      <w:numFmt w:val="bullet"/>
      <w:lvlText w:val=""/>
      <w:lvlJc w:val="left"/>
      <w:pPr>
        <w:ind w:left="4920" w:hanging="360"/>
      </w:pPr>
      <w:rPr>
        <w:rFonts w:ascii="Wingdings" w:hAnsi="Wingdings" w:hint="default"/>
      </w:rPr>
    </w:lvl>
    <w:lvl w:ilvl="6" w:tplc="08090001" w:tentative="1">
      <w:start w:val="1"/>
      <w:numFmt w:val="bullet"/>
      <w:lvlText w:val=""/>
      <w:lvlJc w:val="left"/>
      <w:pPr>
        <w:ind w:left="5640" w:hanging="360"/>
      </w:pPr>
      <w:rPr>
        <w:rFonts w:ascii="Symbol" w:hAnsi="Symbol" w:hint="default"/>
      </w:rPr>
    </w:lvl>
    <w:lvl w:ilvl="7" w:tplc="08090003" w:tentative="1">
      <w:start w:val="1"/>
      <w:numFmt w:val="bullet"/>
      <w:lvlText w:val="o"/>
      <w:lvlJc w:val="left"/>
      <w:pPr>
        <w:ind w:left="6360" w:hanging="360"/>
      </w:pPr>
      <w:rPr>
        <w:rFonts w:ascii="Courier New" w:hAnsi="Courier New" w:cs="Courier New" w:hint="default"/>
      </w:rPr>
    </w:lvl>
    <w:lvl w:ilvl="8" w:tplc="08090005" w:tentative="1">
      <w:start w:val="1"/>
      <w:numFmt w:val="bullet"/>
      <w:lvlText w:val=""/>
      <w:lvlJc w:val="left"/>
      <w:pPr>
        <w:ind w:left="7080" w:hanging="360"/>
      </w:pPr>
      <w:rPr>
        <w:rFonts w:ascii="Wingdings" w:hAnsi="Wingdings" w:hint="default"/>
      </w:rPr>
    </w:lvl>
  </w:abstractNum>
  <w:abstractNum w:abstractNumId="4">
    <w:nsid w:val="43FD7195"/>
    <w:multiLevelType w:val="hybridMultilevel"/>
    <w:tmpl w:val="7EE216C2"/>
    <w:lvl w:ilvl="0" w:tplc="72F6E5CC">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477C34C2"/>
    <w:multiLevelType w:val="hybridMultilevel"/>
    <w:tmpl w:val="71207D2C"/>
    <w:lvl w:ilvl="0" w:tplc="08090017">
      <w:start w:val="1"/>
      <w:numFmt w:val="lowerLetter"/>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6">
    <w:nsid w:val="4EB24C5E"/>
    <w:multiLevelType w:val="hybridMultilevel"/>
    <w:tmpl w:val="E3805112"/>
    <w:lvl w:ilvl="0" w:tplc="08090001">
      <w:start w:val="1"/>
      <w:numFmt w:val="bullet"/>
      <w:lvlText w:val=""/>
      <w:lvlJc w:val="left"/>
      <w:pPr>
        <w:ind w:left="1320" w:hanging="360"/>
      </w:pPr>
      <w:rPr>
        <w:rFonts w:ascii="Symbol" w:hAnsi="Symbol" w:hint="default"/>
      </w:rPr>
    </w:lvl>
    <w:lvl w:ilvl="1" w:tplc="08090003">
      <w:start w:val="1"/>
      <w:numFmt w:val="bullet"/>
      <w:lvlText w:val="o"/>
      <w:lvlJc w:val="left"/>
      <w:pPr>
        <w:ind w:left="2040" w:hanging="360"/>
      </w:pPr>
      <w:rPr>
        <w:rFonts w:ascii="Courier New" w:hAnsi="Courier New" w:cs="Courier New" w:hint="default"/>
      </w:rPr>
    </w:lvl>
    <w:lvl w:ilvl="2" w:tplc="08090005" w:tentative="1">
      <w:start w:val="1"/>
      <w:numFmt w:val="bullet"/>
      <w:lvlText w:val=""/>
      <w:lvlJc w:val="left"/>
      <w:pPr>
        <w:ind w:left="2760" w:hanging="360"/>
      </w:pPr>
      <w:rPr>
        <w:rFonts w:ascii="Wingdings" w:hAnsi="Wingdings" w:hint="default"/>
      </w:rPr>
    </w:lvl>
    <w:lvl w:ilvl="3" w:tplc="08090001" w:tentative="1">
      <w:start w:val="1"/>
      <w:numFmt w:val="bullet"/>
      <w:lvlText w:val=""/>
      <w:lvlJc w:val="left"/>
      <w:pPr>
        <w:ind w:left="3480" w:hanging="360"/>
      </w:pPr>
      <w:rPr>
        <w:rFonts w:ascii="Symbol" w:hAnsi="Symbol" w:hint="default"/>
      </w:rPr>
    </w:lvl>
    <w:lvl w:ilvl="4" w:tplc="08090003" w:tentative="1">
      <w:start w:val="1"/>
      <w:numFmt w:val="bullet"/>
      <w:lvlText w:val="o"/>
      <w:lvlJc w:val="left"/>
      <w:pPr>
        <w:ind w:left="4200" w:hanging="360"/>
      </w:pPr>
      <w:rPr>
        <w:rFonts w:ascii="Courier New" w:hAnsi="Courier New" w:cs="Courier New" w:hint="default"/>
      </w:rPr>
    </w:lvl>
    <w:lvl w:ilvl="5" w:tplc="08090005" w:tentative="1">
      <w:start w:val="1"/>
      <w:numFmt w:val="bullet"/>
      <w:lvlText w:val=""/>
      <w:lvlJc w:val="left"/>
      <w:pPr>
        <w:ind w:left="4920" w:hanging="360"/>
      </w:pPr>
      <w:rPr>
        <w:rFonts w:ascii="Wingdings" w:hAnsi="Wingdings" w:hint="default"/>
      </w:rPr>
    </w:lvl>
    <w:lvl w:ilvl="6" w:tplc="08090001" w:tentative="1">
      <w:start w:val="1"/>
      <w:numFmt w:val="bullet"/>
      <w:lvlText w:val=""/>
      <w:lvlJc w:val="left"/>
      <w:pPr>
        <w:ind w:left="5640" w:hanging="360"/>
      </w:pPr>
      <w:rPr>
        <w:rFonts w:ascii="Symbol" w:hAnsi="Symbol" w:hint="default"/>
      </w:rPr>
    </w:lvl>
    <w:lvl w:ilvl="7" w:tplc="08090003" w:tentative="1">
      <w:start w:val="1"/>
      <w:numFmt w:val="bullet"/>
      <w:lvlText w:val="o"/>
      <w:lvlJc w:val="left"/>
      <w:pPr>
        <w:ind w:left="6360" w:hanging="360"/>
      </w:pPr>
      <w:rPr>
        <w:rFonts w:ascii="Courier New" w:hAnsi="Courier New" w:cs="Courier New" w:hint="default"/>
      </w:rPr>
    </w:lvl>
    <w:lvl w:ilvl="8" w:tplc="08090005" w:tentative="1">
      <w:start w:val="1"/>
      <w:numFmt w:val="bullet"/>
      <w:lvlText w:val=""/>
      <w:lvlJc w:val="left"/>
      <w:pPr>
        <w:ind w:left="7080" w:hanging="360"/>
      </w:pPr>
      <w:rPr>
        <w:rFonts w:ascii="Wingdings" w:hAnsi="Wingdings" w:hint="default"/>
      </w:rPr>
    </w:lvl>
  </w:abstractNum>
  <w:abstractNum w:abstractNumId="7">
    <w:nsid w:val="5A203610"/>
    <w:multiLevelType w:val="multilevel"/>
    <w:tmpl w:val="35A8E08C"/>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8">
    <w:nsid w:val="61E60656"/>
    <w:multiLevelType w:val="multilevel"/>
    <w:tmpl w:val="B606A5D2"/>
    <w:lvl w:ilvl="0">
      <w:start w:val="1"/>
      <w:numFmt w:val="decimal"/>
      <w:lvlText w:val="%1."/>
      <w:lvlJc w:val="left"/>
      <w:pPr>
        <w:tabs>
          <w:tab w:val="num" w:pos="360"/>
        </w:tabs>
        <w:ind w:left="360" w:hanging="360"/>
      </w:pPr>
      <w:rPr>
        <w:rFonts w:hint="default"/>
      </w:rPr>
    </w:lvl>
    <w:lvl w:ilvl="1">
      <w:start w:val="1"/>
      <w:numFmt w:val="decimal"/>
      <w:lvlText w:val="2.%2"/>
      <w:lvlJc w:val="left"/>
      <w:pPr>
        <w:tabs>
          <w:tab w:val="num" w:pos="552"/>
        </w:tabs>
        <w:ind w:left="552" w:hanging="432"/>
      </w:pPr>
      <w:rPr>
        <w:rFonts w:ascii="Times New Roman" w:hAnsi="Times New Roman" w:cs="Times New Roman" w:hint="default"/>
        <w:i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tabs>
          <w:tab w:val="num" w:pos="1004"/>
        </w:tabs>
        <w:ind w:left="788" w:hanging="504"/>
      </w:pPr>
      <w:rPr>
        <w:rFonts w:hint="default"/>
      </w:rPr>
    </w:lvl>
    <w:lvl w:ilvl="3">
      <w:start w:val="1"/>
      <w:numFmt w:val="decimal"/>
      <w:lvlText w:val="%1.%2.%3.%4."/>
      <w:lvlJc w:val="left"/>
      <w:pPr>
        <w:tabs>
          <w:tab w:val="num" w:pos="720"/>
        </w:tabs>
        <w:ind w:left="64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nsid w:val="669775C8"/>
    <w:multiLevelType w:val="hybridMultilevel"/>
    <w:tmpl w:val="1A6CF2D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6FCB1A15"/>
    <w:multiLevelType w:val="hybridMultilevel"/>
    <w:tmpl w:val="1600407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6FDE696B"/>
    <w:multiLevelType w:val="hybridMultilevel"/>
    <w:tmpl w:val="7820FFC0"/>
    <w:lvl w:ilvl="0" w:tplc="953A6C7E">
      <w:start w:val="1"/>
      <w:numFmt w:val="decimal"/>
      <w:lvlText w:val="1. %1"/>
      <w:lvlJc w:val="left"/>
      <w:pPr>
        <w:ind w:left="1440" w:hanging="360"/>
      </w:pPr>
      <w:rPr>
        <w:rFonts w:ascii="Times New Roman" w:hAnsi="Times New Roman" w:hint="default"/>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nsid w:val="78A241BD"/>
    <w:multiLevelType w:val="singleLevel"/>
    <w:tmpl w:val="0809000F"/>
    <w:lvl w:ilvl="0">
      <w:start w:val="1"/>
      <w:numFmt w:val="decimal"/>
      <w:lvlText w:val="%1."/>
      <w:lvlJc w:val="left"/>
      <w:pPr>
        <w:ind w:left="1211" w:hanging="360"/>
      </w:pPr>
    </w:lvl>
  </w:abstractNum>
  <w:num w:numId="1">
    <w:abstractNumId w:val="8"/>
  </w:num>
  <w:num w:numId="2">
    <w:abstractNumId w:val="10"/>
  </w:num>
  <w:num w:numId="3">
    <w:abstractNumId w:val="3"/>
  </w:num>
  <w:num w:numId="4">
    <w:abstractNumId w:val="6"/>
  </w:num>
  <w:num w:numId="5">
    <w:abstractNumId w:val="5"/>
  </w:num>
  <w:num w:numId="6">
    <w:abstractNumId w:val="1"/>
  </w:num>
  <w:num w:numId="7">
    <w:abstractNumId w:val="8"/>
  </w:num>
  <w:num w:numId="8">
    <w:abstractNumId w:val="2"/>
  </w:num>
  <w:num w:numId="9">
    <w:abstractNumId w:val="9"/>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num>
  <w:num w:numId="13">
    <w:abstractNumId w:val="11"/>
    <w:lvlOverride w:ilvl="0">
      <w:startOverride w:val="1"/>
    </w:lvlOverride>
  </w:num>
  <w:num w:numId="14">
    <w:abstractNumId w:val="4"/>
  </w:num>
  <w:num w:numId="15">
    <w:abstractNumId w:val="0"/>
  </w:num>
  <w:num w:numId="16">
    <w:abstractNumId w:val="7"/>
  </w:num>
  <w:num w:numId="17">
    <w:abstractNumId w:val="7"/>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hideSpellingErrors/>
  <w:hideGrammaticalErrors/>
  <w:revisionView w:markup="0"/>
  <w:doNotTrackFormatting/>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F6641A385C014B4EAD0EE8EA1D3A4E11"/>
    <w:docVar w:name="LW_CROSSREFERENCE" w:val="&lt;UNUSED&gt;"/>
    <w:docVar w:name="LW_DocType" w:val="NORMAL"/>
    <w:docVar w:name="LW_EMISSION" w:val="31.5.2016."/>
    <w:docVar w:name="LW_EMISSION_ISODATE" w:val="2016-05-31"/>
    <w:docVar w:name="LW_EMISSION_LOCATION" w:val="BRX"/>
    <w:docVar w:name="LW_EMISSION_PREFIX" w:val="Bruxelles, "/>
    <w:docVar w:name="LW_EMISSION_SUFFIX" w:val="&lt;EMPTY&gt;"/>
    <w:docVar w:name="LW_ID_DOCTYPE_NONLW" w:val="CP-035"/>
    <w:docVar w:name="LW_LANGUE" w:val="HR"/>
    <w:docVar w:name="LW_MARKING" w:val="&lt;UNUSED&gt;"/>
    <w:docVar w:name="LW_NOM.INST" w:val="EUROPSKA KOMISIJA"/>
    <w:docVar w:name="LW_NOM.INST_JOINTDOC" w:val="&lt;EMPTY&gt;"/>
    <w:docVar w:name="LW_PART_NBR" w:val="1"/>
    <w:docVar w:name="LW_PART_NBR_TOTAL" w:val="1"/>
    <w:docVar w:name="LW_REF.II.NEW.CP" w:val="&lt;UNUSED&gt;"/>
    <w:docVar w:name="LW_REF.II.NEW.CP_NUMBER" w:val="&lt;UNUSED&gt;"/>
    <w:docVar w:name="LW_REF.II.NEW.CP_YEAR" w:val="2016"/>
    <w:docVar w:name="LW_REF.INST.NEW" w:val="COM"/>
    <w:docVar w:name="LW_REF.INST.NEW_ADOPTED" w:val="final"/>
    <w:docVar w:name="LW_REF.INST.NEW_TEXT" w:val="(2016) 353"/>
    <w:docVar w:name="LW_REF.INTERNE" w:val="&lt;UNUSED&gt;"/>
    <w:docVar w:name="LW_SOUS.TITRE.OBJ.CP" w:val="&lt;UNUSED&gt;"/>
    <w:docVar w:name="LW_SUPERTITRE" w:val="&lt;UNUSED&gt;"/>
    <w:docVar w:name="LW_TITRE.OBJ.CP" w:val="O UPRAVLJANJU JAMSTVENIM FONDOM EUROPSKOG FONDA ZA STRATE\u352?KA ULAGANJA U 2015."/>
    <w:docVar w:name="LW_TYPE.DOC.CP" w:val="IZVJE\u352?\u262?E KOMISIJE EUROPSKOM PARLAMENTU, VIJE\u262?U I EUROPSKOM REVIZORSKOM SUDU"/>
  </w:docVar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r-HR" w:eastAsia="hr-HR" w:bidi="hr-H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uiPriority w:val="9"/>
    <w:qFormat/>
    <w:pPr>
      <w:keepNext/>
      <w:keepLines/>
      <w:numPr>
        <w:numId w:val="16"/>
      </w:numPr>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autoRedefine/>
    <w:qFormat/>
    <w:pPr>
      <w:keepNext/>
      <w:numPr>
        <w:ilvl w:val="1"/>
        <w:numId w:val="16"/>
      </w:numPr>
      <w:tabs>
        <w:tab w:val="left" w:pos="1134"/>
      </w:tabs>
      <w:spacing w:before="360" w:after="120"/>
      <w:jc w:val="both"/>
      <w:outlineLvl w:val="1"/>
    </w:pPr>
    <w:rPr>
      <w:b/>
      <w:bCs/>
      <w:iCs/>
      <w:sz w:val="24"/>
      <w:szCs w:val="24"/>
    </w:rPr>
  </w:style>
  <w:style w:type="paragraph" w:styleId="Heading3">
    <w:name w:val="heading 3"/>
    <w:basedOn w:val="Normal"/>
    <w:next w:val="Normal"/>
    <w:link w:val="Heading3Char"/>
    <w:autoRedefine/>
    <w:qFormat/>
    <w:pPr>
      <w:keepNext/>
      <w:numPr>
        <w:ilvl w:val="2"/>
        <w:numId w:val="16"/>
      </w:numPr>
      <w:spacing w:before="240" w:after="60"/>
      <w:outlineLvl w:val="2"/>
    </w:pPr>
    <w:rPr>
      <w:rFonts w:cs="Arial"/>
      <w:bCs/>
      <w:sz w:val="24"/>
      <w:szCs w:val="26"/>
      <w:u w:val="single"/>
    </w:rPr>
  </w:style>
  <w:style w:type="paragraph" w:styleId="Heading4">
    <w:name w:val="heading 4"/>
    <w:basedOn w:val="Normal"/>
    <w:next w:val="Normal"/>
    <w:link w:val="Heading4Char"/>
    <w:qFormat/>
    <w:pPr>
      <w:keepNext/>
      <w:numPr>
        <w:ilvl w:val="3"/>
        <w:numId w:val="16"/>
      </w:numPr>
      <w:spacing w:before="240" w:after="60"/>
      <w:outlineLvl w:val="3"/>
    </w:pPr>
    <w:rPr>
      <w:b/>
      <w:bCs/>
      <w:sz w:val="28"/>
      <w:szCs w:val="28"/>
    </w:rPr>
  </w:style>
  <w:style w:type="paragraph" w:styleId="Heading5">
    <w:name w:val="heading 5"/>
    <w:basedOn w:val="Normal"/>
    <w:next w:val="Normal"/>
    <w:link w:val="Heading5Char"/>
    <w:qFormat/>
    <w:pPr>
      <w:numPr>
        <w:ilvl w:val="4"/>
        <w:numId w:val="16"/>
      </w:numPr>
      <w:spacing w:before="240" w:after="60"/>
      <w:outlineLvl w:val="4"/>
    </w:pPr>
    <w:rPr>
      <w:b/>
      <w:bCs/>
      <w:i/>
      <w:iCs/>
      <w:sz w:val="26"/>
      <w:szCs w:val="26"/>
    </w:rPr>
  </w:style>
  <w:style w:type="paragraph" w:styleId="Heading6">
    <w:name w:val="heading 6"/>
    <w:basedOn w:val="Normal"/>
    <w:next w:val="Normal"/>
    <w:link w:val="Heading6Char"/>
    <w:qFormat/>
    <w:pPr>
      <w:numPr>
        <w:ilvl w:val="5"/>
        <w:numId w:val="16"/>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pPr>
      <w:keepNext/>
      <w:keepLines/>
      <w:numPr>
        <w:ilvl w:val="6"/>
        <w:numId w:val="16"/>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numPr>
        <w:ilvl w:val="7"/>
        <w:numId w:val="16"/>
      </w:numPr>
      <w:spacing w:before="200"/>
      <w:outlineLvl w:val="7"/>
    </w:pPr>
    <w:rPr>
      <w:rFonts w:asciiTheme="majorHAnsi" w:eastAsiaTheme="majorEastAsia" w:hAnsiTheme="majorHAnsi" w:cstheme="majorBidi"/>
      <w:color w:val="404040" w:themeColor="text1" w:themeTint="BF"/>
    </w:rPr>
  </w:style>
  <w:style w:type="paragraph" w:styleId="Heading9">
    <w:name w:val="heading 9"/>
    <w:basedOn w:val="Normal"/>
    <w:next w:val="Normal"/>
    <w:link w:val="Heading9Char"/>
    <w:uiPriority w:val="9"/>
    <w:semiHidden/>
    <w:unhideWhenUsed/>
    <w:qFormat/>
    <w:pPr>
      <w:keepNext/>
      <w:keepLines/>
      <w:numPr>
        <w:ilvl w:val="8"/>
        <w:numId w:val="16"/>
      </w:numPr>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Pr>
      <w:rFonts w:ascii="Times New Roman" w:eastAsia="Times New Roman" w:hAnsi="Times New Roman" w:cs="Times New Roman"/>
      <w:b/>
      <w:bCs/>
      <w:iCs/>
      <w:sz w:val="24"/>
      <w:szCs w:val="24"/>
      <w:lang w:eastAsia="hr-HR"/>
    </w:rPr>
  </w:style>
  <w:style w:type="character" w:customStyle="1" w:styleId="Heading3Char">
    <w:name w:val="Heading 3 Char"/>
    <w:basedOn w:val="DefaultParagraphFont"/>
    <w:link w:val="Heading3"/>
    <w:rPr>
      <w:rFonts w:ascii="Times New Roman" w:eastAsia="Times New Roman" w:hAnsi="Times New Roman" w:cs="Arial"/>
      <w:bCs/>
      <w:sz w:val="24"/>
      <w:szCs w:val="26"/>
      <w:u w:val="single"/>
      <w:lang w:eastAsia="hr-HR"/>
    </w:rPr>
  </w:style>
  <w:style w:type="character" w:customStyle="1" w:styleId="Heading4Char">
    <w:name w:val="Heading 4 Char"/>
    <w:basedOn w:val="DefaultParagraphFont"/>
    <w:link w:val="Heading4"/>
    <w:rPr>
      <w:rFonts w:ascii="Times New Roman" w:eastAsia="Times New Roman" w:hAnsi="Times New Roman" w:cs="Times New Roman"/>
      <w:b/>
      <w:bCs/>
      <w:sz w:val="28"/>
      <w:szCs w:val="28"/>
      <w:lang w:eastAsia="hr-HR"/>
    </w:rPr>
  </w:style>
  <w:style w:type="character" w:customStyle="1" w:styleId="Heading5Char">
    <w:name w:val="Heading 5 Char"/>
    <w:basedOn w:val="DefaultParagraphFont"/>
    <w:link w:val="Heading5"/>
    <w:rPr>
      <w:rFonts w:ascii="Times New Roman" w:eastAsia="Times New Roman" w:hAnsi="Times New Roman" w:cs="Times New Roman"/>
      <w:b/>
      <w:bCs/>
      <w:i/>
      <w:iCs/>
      <w:sz w:val="26"/>
      <w:szCs w:val="26"/>
      <w:lang w:eastAsia="hr-HR"/>
    </w:rPr>
  </w:style>
  <w:style w:type="character" w:customStyle="1" w:styleId="Heading6Char">
    <w:name w:val="Heading 6 Char"/>
    <w:basedOn w:val="DefaultParagraphFont"/>
    <w:link w:val="Heading6"/>
    <w:rPr>
      <w:rFonts w:ascii="Times New Roman" w:eastAsia="Times New Roman" w:hAnsi="Times New Roman" w:cs="Times New Roman"/>
      <w:b/>
      <w:bCs/>
      <w:lang w:eastAsia="hr-HR"/>
    </w:r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513"/>
        <w:tab w:val="right" w:pos="9026"/>
      </w:tabs>
    </w:pPr>
  </w:style>
  <w:style w:type="character" w:customStyle="1" w:styleId="HeaderChar">
    <w:name w:val="Header Char"/>
    <w:basedOn w:val="DefaultParagraphFont"/>
    <w:link w:val="Header"/>
    <w:uiPriority w:val="99"/>
    <w:rPr>
      <w:rFonts w:ascii="Times New Roman" w:eastAsia="Times New Roman" w:hAnsi="Times New Roman" w:cs="Times New Roman"/>
      <w:sz w:val="20"/>
      <w:szCs w:val="20"/>
      <w:lang w:eastAsia="hr-HR"/>
    </w:rPr>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basedOn w:val="DefaultParagraphFont"/>
    <w:link w:val="Footer"/>
    <w:uiPriority w:val="99"/>
    <w:rPr>
      <w:rFonts w:ascii="Times New Roman" w:eastAsia="Times New Roman" w:hAnsi="Times New Roman" w:cs="Times New Roman"/>
      <w:sz w:val="20"/>
      <w:szCs w:val="20"/>
      <w:lang w:eastAsia="hr-HR"/>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imes New Roman" w:hAnsi="Tahoma" w:cs="Tahoma"/>
      <w:sz w:val="16"/>
      <w:szCs w:val="16"/>
      <w:lang w:eastAsia="hr-HR"/>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lang w:eastAsia="hr-H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lang w:eastAsia="hr-HR"/>
    </w:rPr>
  </w:style>
  <w:style w:type="paragraph" w:styleId="Revision">
    <w:name w:val="Revision"/>
    <w:hidden/>
    <w:uiPriority w:val="99"/>
    <w:semiHidden/>
    <w:pPr>
      <w:spacing w:after="0" w:line="240" w:lineRule="auto"/>
    </w:pPr>
    <w:rPr>
      <w:rFonts w:ascii="Times New Roman" w:eastAsia="Times New Roman" w:hAnsi="Times New Roman" w:cs="Times New Roman"/>
      <w:sz w:val="20"/>
      <w:szCs w:val="20"/>
    </w:rPr>
  </w:style>
  <w:style w:type="paragraph" w:styleId="FootnoteText">
    <w:name w:val="footnote text"/>
    <w:basedOn w:val="Normal"/>
    <w:link w:val="FootnoteTextChar"/>
    <w:uiPriority w:val="99"/>
    <w:semiHidden/>
    <w:unhideWhenUsed/>
  </w:style>
  <w:style w:type="character" w:customStyle="1" w:styleId="FootnoteTextChar">
    <w:name w:val="Footnote Text Char"/>
    <w:basedOn w:val="DefaultParagraphFont"/>
    <w:link w:val="FootnoteText"/>
    <w:uiPriority w:val="99"/>
    <w:semiHidden/>
    <w:rPr>
      <w:rFonts w:ascii="Times New Roman" w:eastAsia="Times New Roman" w:hAnsi="Times New Roman" w:cs="Times New Roman"/>
      <w:sz w:val="20"/>
      <w:szCs w:val="20"/>
      <w:lang w:eastAsia="hr-HR"/>
    </w:rPr>
  </w:style>
  <w:style w:type="character" w:styleId="FootnoteReference">
    <w:name w:val="footnote reference"/>
    <w:basedOn w:val="DefaultParagraphFont"/>
    <w:uiPriority w:val="99"/>
    <w:semiHidden/>
    <w:unhideWhenUsed/>
    <w:rPr>
      <w:vertAlign w:val="superscript"/>
    </w:rPr>
  </w:style>
  <w:style w:type="paragraph" w:customStyle="1" w:styleId="FooterCoverPage">
    <w:name w:val="Footer Cover Page"/>
    <w:basedOn w:val="Normal"/>
    <w:link w:val="FooterCoverPageChar"/>
    <w:pPr>
      <w:widowControl/>
      <w:tabs>
        <w:tab w:val="center" w:pos="4535"/>
        <w:tab w:val="right" w:pos="9071"/>
        <w:tab w:val="right" w:pos="9921"/>
      </w:tabs>
      <w:autoSpaceDE/>
      <w:autoSpaceDN/>
      <w:adjustRightInd/>
      <w:spacing w:before="360"/>
      <w:ind w:left="-850" w:right="-850"/>
    </w:pPr>
    <w:rPr>
      <w:sz w:val="24"/>
      <w:szCs w:val="24"/>
    </w:rPr>
  </w:style>
  <w:style w:type="character" w:customStyle="1" w:styleId="FooterCoverPageChar">
    <w:name w:val="Footer Cover Page Char"/>
    <w:link w:val="FooterCoverPage"/>
    <w:rPr>
      <w:rFonts w:ascii="Times New Roman" w:eastAsia="Times New Roman" w:hAnsi="Times New Roman" w:cs="Times New Roman"/>
      <w:sz w:val="24"/>
      <w:szCs w:val="24"/>
    </w:rPr>
  </w:style>
  <w:style w:type="paragraph" w:customStyle="1" w:styleId="HeaderCoverPage">
    <w:name w:val="Header Cover Page"/>
    <w:basedOn w:val="Normal"/>
    <w:link w:val="HeaderCoverPageChar"/>
    <w:pPr>
      <w:widowControl/>
      <w:tabs>
        <w:tab w:val="center" w:pos="4535"/>
        <w:tab w:val="right" w:pos="9071"/>
      </w:tabs>
      <w:autoSpaceDE/>
      <w:autoSpaceDN/>
      <w:adjustRightInd/>
      <w:spacing w:after="120"/>
      <w:jc w:val="both"/>
    </w:pPr>
    <w:rPr>
      <w:sz w:val="24"/>
      <w:szCs w:val="24"/>
    </w:rPr>
  </w:style>
  <w:style w:type="character" w:customStyle="1" w:styleId="HeaderCoverPageChar">
    <w:name w:val="Header Cover Page Char"/>
    <w:link w:val="HeaderCoverPage"/>
    <w:rPr>
      <w:rFonts w:ascii="Times New Roman" w:eastAsia="Times New Roman" w:hAnsi="Times New Roman" w:cs="Times New Roman"/>
      <w:sz w:val="24"/>
      <w:szCs w:val="24"/>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widowControl/>
      <w:autoSpaceDE/>
      <w:autoSpaceDN/>
      <w:adjustRightInd/>
      <w:jc w:val="both"/>
    </w:pPr>
    <w:rPr>
      <w:rFonts w:eastAsiaTheme="minorHAnsi"/>
      <w:sz w:val="24"/>
      <w:szCs w:val="22"/>
    </w:rPr>
  </w:style>
  <w:style w:type="character" w:styleId="BookTitle">
    <w:name w:val="Book Title"/>
    <w:basedOn w:val="DefaultParagraphFont"/>
    <w:uiPriority w:val="33"/>
    <w:qFormat/>
    <w:rPr>
      <w:b/>
      <w:bCs/>
      <w:smallCaps/>
      <w:spacing w:val="5"/>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lang w:eastAsia="hr-HR"/>
    </w:rPr>
  </w:style>
  <w:style w:type="paragraph" w:styleId="TOCHeading">
    <w:name w:val="TOC Heading"/>
    <w:basedOn w:val="Heading1"/>
    <w:next w:val="Normal"/>
    <w:uiPriority w:val="39"/>
    <w:semiHidden/>
    <w:unhideWhenUsed/>
    <w:qFormat/>
    <w:pPr>
      <w:widowControl/>
      <w:autoSpaceDE/>
      <w:autoSpaceDN/>
      <w:adjustRightInd/>
      <w:spacing w:line="276" w:lineRule="auto"/>
      <w:outlineLvl w:val="9"/>
    </w:pPr>
  </w:style>
  <w:style w:type="paragraph" w:styleId="TOC1">
    <w:name w:val="toc 1"/>
    <w:basedOn w:val="Normal"/>
    <w:next w:val="Normal"/>
    <w:autoRedefine/>
    <w:uiPriority w:val="39"/>
    <w:unhideWhenUsed/>
    <w:pPr>
      <w:spacing w:after="100"/>
    </w:pPr>
  </w:style>
  <w:style w:type="paragraph" w:styleId="TOC2">
    <w:name w:val="toc 2"/>
    <w:basedOn w:val="Normal"/>
    <w:next w:val="Normal"/>
    <w:autoRedefine/>
    <w:uiPriority w:val="39"/>
    <w:unhideWhenUsed/>
    <w:pPr>
      <w:tabs>
        <w:tab w:val="left" w:pos="720"/>
        <w:tab w:val="right" w:leader="dot" w:pos="9062"/>
      </w:tabs>
      <w:spacing w:after="100"/>
      <w:ind w:left="200"/>
      <w:jc w:val="both"/>
    </w:pPr>
  </w:style>
  <w:style w:type="character" w:styleId="Hyperlink">
    <w:name w:val="Hyperlink"/>
    <w:basedOn w:val="DefaultParagraphFont"/>
    <w:uiPriority w:val="99"/>
    <w:unhideWhenUsed/>
    <w:rPr>
      <w:color w:val="0000FF" w:themeColor="hyperlink"/>
      <w:u w:val="single"/>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404040" w:themeColor="text1" w:themeTint="BF"/>
      <w:sz w:val="20"/>
      <w:szCs w:val="20"/>
      <w:lang w:eastAsia="hr-HR"/>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404040" w:themeColor="text1" w:themeTint="BF"/>
      <w:sz w:val="20"/>
      <w:szCs w:val="20"/>
      <w:lang w:eastAsia="hr-HR"/>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404040" w:themeColor="text1" w:themeTint="BF"/>
      <w:sz w:val="20"/>
      <w:szCs w:val="20"/>
      <w:lang w:eastAsia="hr-HR"/>
    </w:rPr>
  </w:style>
  <w:style w:type="paragraph" w:customStyle="1" w:styleId="ListDash3">
    <w:name w:val="List Dash 3"/>
    <w:basedOn w:val="Normal"/>
    <w:pPr>
      <w:widowControl/>
      <w:autoSpaceDE/>
      <w:autoSpaceDN/>
      <w:adjustRightInd/>
      <w:spacing w:before="120" w:after="120"/>
      <w:jc w:val="both"/>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r-HR" w:eastAsia="hr-HR" w:bidi="hr-H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uiPriority w:val="9"/>
    <w:qFormat/>
    <w:pPr>
      <w:keepNext/>
      <w:keepLines/>
      <w:numPr>
        <w:numId w:val="16"/>
      </w:numPr>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autoRedefine/>
    <w:qFormat/>
    <w:pPr>
      <w:keepNext/>
      <w:numPr>
        <w:ilvl w:val="1"/>
        <w:numId w:val="16"/>
      </w:numPr>
      <w:tabs>
        <w:tab w:val="left" w:pos="1134"/>
      </w:tabs>
      <w:spacing w:before="360" w:after="120"/>
      <w:jc w:val="both"/>
      <w:outlineLvl w:val="1"/>
    </w:pPr>
    <w:rPr>
      <w:b/>
      <w:bCs/>
      <w:iCs/>
      <w:sz w:val="24"/>
      <w:szCs w:val="24"/>
    </w:rPr>
  </w:style>
  <w:style w:type="paragraph" w:styleId="Heading3">
    <w:name w:val="heading 3"/>
    <w:basedOn w:val="Normal"/>
    <w:next w:val="Normal"/>
    <w:link w:val="Heading3Char"/>
    <w:autoRedefine/>
    <w:qFormat/>
    <w:pPr>
      <w:keepNext/>
      <w:numPr>
        <w:ilvl w:val="2"/>
        <w:numId w:val="16"/>
      </w:numPr>
      <w:spacing w:before="240" w:after="60"/>
      <w:outlineLvl w:val="2"/>
    </w:pPr>
    <w:rPr>
      <w:rFonts w:cs="Arial"/>
      <w:bCs/>
      <w:sz w:val="24"/>
      <w:szCs w:val="26"/>
      <w:u w:val="single"/>
    </w:rPr>
  </w:style>
  <w:style w:type="paragraph" w:styleId="Heading4">
    <w:name w:val="heading 4"/>
    <w:basedOn w:val="Normal"/>
    <w:next w:val="Normal"/>
    <w:link w:val="Heading4Char"/>
    <w:qFormat/>
    <w:pPr>
      <w:keepNext/>
      <w:numPr>
        <w:ilvl w:val="3"/>
        <w:numId w:val="16"/>
      </w:numPr>
      <w:spacing w:before="240" w:after="60"/>
      <w:outlineLvl w:val="3"/>
    </w:pPr>
    <w:rPr>
      <w:b/>
      <w:bCs/>
      <w:sz w:val="28"/>
      <w:szCs w:val="28"/>
    </w:rPr>
  </w:style>
  <w:style w:type="paragraph" w:styleId="Heading5">
    <w:name w:val="heading 5"/>
    <w:basedOn w:val="Normal"/>
    <w:next w:val="Normal"/>
    <w:link w:val="Heading5Char"/>
    <w:qFormat/>
    <w:pPr>
      <w:numPr>
        <w:ilvl w:val="4"/>
        <w:numId w:val="16"/>
      </w:numPr>
      <w:spacing w:before="240" w:after="60"/>
      <w:outlineLvl w:val="4"/>
    </w:pPr>
    <w:rPr>
      <w:b/>
      <w:bCs/>
      <w:i/>
      <w:iCs/>
      <w:sz w:val="26"/>
      <w:szCs w:val="26"/>
    </w:rPr>
  </w:style>
  <w:style w:type="paragraph" w:styleId="Heading6">
    <w:name w:val="heading 6"/>
    <w:basedOn w:val="Normal"/>
    <w:next w:val="Normal"/>
    <w:link w:val="Heading6Char"/>
    <w:qFormat/>
    <w:pPr>
      <w:numPr>
        <w:ilvl w:val="5"/>
        <w:numId w:val="16"/>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pPr>
      <w:keepNext/>
      <w:keepLines/>
      <w:numPr>
        <w:ilvl w:val="6"/>
        <w:numId w:val="16"/>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numPr>
        <w:ilvl w:val="7"/>
        <w:numId w:val="16"/>
      </w:numPr>
      <w:spacing w:before="200"/>
      <w:outlineLvl w:val="7"/>
    </w:pPr>
    <w:rPr>
      <w:rFonts w:asciiTheme="majorHAnsi" w:eastAsiaTheme="majorEastAsia" w:hAnsiTheme="majorHAnsi" w:cstheme="majorBidi"/>
      <w:color w:val="404040" w:themeColor="text1" w:themeTint="BF"/>
    </w:rPr>
  </w:style>
  <w:style w:type="paragraph" w:styleId="Heading9">
    <w:name w:val="heading 9"/>
    <w:basedOn w:val="Normal"/>
    <w:next w:val="Normal"/>
    <w:link w:val="Heading9Char"/>
    <w:uiPriority w:val="9"/>
    <w:semiHidden/>
    <w:unhideWhenUsed/>
    <w:qFormat/>
    <w:pPr>
      <w:keepNext/>
      <w:keepLines/>
      <w:numPr>
        <w:ilvl w:val="8"/>
        <w:numId w:val="16"/>
      </w:numPr>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Pr>
      <w:rFonts w:ascii="Times New Roman" w:eastAsia="Times New Roman" w:hAnsi="Times New Roman" w:cs="Times New Roman"/>
      <w:b/>
      <w:bCs/>
      <w:iCs/>
      <w:sz w:val="24"/>
      <w:szCs w:val="24"/>
      <w:lang w:eastAsia="hr-HR"/>
    </w:rPr>
  </w:style>
  <w:style w:type="character" w:customStyle="1" w:styleId="Heading3Char">
    <w:name w:val="Heading 3 Char"/>
    <w:basedOn w:val="DefaultParagraphFont"/>
    <w:link w:val="Heading3"/>
    <w:rPr>
      <w:rFonts w:ascii="Times New Roman" w:eastAsia="Times New Roman" w:hAnsi="Times New Roman" w:cs="Arial"/>
      <w:bCs/>
      <w:sz w:val="24"/>
      <w:szCs w:val="26"/>
      <w:u w:val="single"/>
      <w:lang w:eastAsia="hr-HR"/>
    </w:rPr>
  </w:style>
  <w:style w:type="character" w:customStyle="1" w:styleId="Heading4Char">
    <w:name w:val="Heading 4 Char"/>
    <w:basedOn w:val="DefaultParagraphFont"/>
    <w:link w:val="Heading4"/>
    <w:rPr>
      <w:rFonts w:ascii="Times New Roman" w:eastAsia="Times New Roman" w:hAnsi="Times New Roman" w:cs="Times New Roman"/>
      <w:b/>
      <w:bCs/>
      <w:sz w:val="28"/>
      <w:szCs w:val="28"/>
      <w:lang w:eastAsia="hr-HR"/>
    </w:rPr>
  </w:style>
  <w:style w:type="character" w:customStyle="1" w:styleId="Heading5Char">
    <w:name w:val="Heading 5 Char"/>
    <w:basedOn w:val="DefaultParagraphFont"/>
    <w:link w:val="Heading5"/>
    <w:rPr>
      <w:rFonts w:ascii="Times New Roman" w:eastAsia="Times New Roman" w:hAnsi="Times New Roman" w:cs="Times New Roman"/>
      <w:b/>
      <w:bCs/>
      <w:i/>
      <w:iCs/>
      <w:sz w:val="26"/>
      <w:szCs w:val="26"/>
      <w:lang w:eastAsia="hr-HR"/>
    </w:rPr>
  </w:style>
  <w:style w:type="character" w:customStyle="1" w:styleId="Heading6Char">
    <w:name w:val="Heading 6 Char"/>
    <w:basedOn w:val="DefaultParagraphFont"/>
    <w:link w:val="Heading6"/>
    <w:rPr>
      <w:rFonts w:ascii="Times New Roman" w:eastAsia="Times New Roman" w:hAnsi="Times New Roman" w:cs="Times New Roman"/>
      <w:b/>
      <w:bCs/>
      <w:lang w:eastAsia="hr-HR"/>
    </w:r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513"/>
        <w:tab w:val="right" w:pos="9026"/>
      </w:tabs>
    </w:pPr>
  </w:style>
  <w:style w:type="character" w:customStyle="1" w:styleId="HeaderChar">
    <w:name w:val="Header Char"/>
    <w:basedOn w:val="DefaultParagraphFont"/>
    <w:link w:val="Header"/>
    <w:uiPriority w:val="99"/>
    <w:rPr>
      <w:rFonts w:ascii="Times New Roman" w:eastAsia="Times New Roman" w:hAnsi="Times New Roman" w:cs="Times New Roman"/>
      <w:sz w:val="20"/>
      <w:szCs w:val="20"/>
      <w:lang w:eastAsia="hr-HR"/>
    </w:rPr>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basedOn w:val="DefaultParagraphFont"/>
    <w:link w:val="Footer"/>
    <w:uiPriority w:val="99"/>
    <w:rPr>
      <w:rFonts w:ascii="Times New Roman" w:eastAsia="Times New Roman" w:hAnsi="Times New Roman" w:cs="Times New Roman"/>
      <w:sz w:val="20"/>
      <w:szCs w:val="20"/>
      <w:lang w:eastAsia="hr-HR"/>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imes New Roman" w:hAnsi="Tahoma" w:cs="Tahoma"/>
      <w:sz w:val="16"/>
      <w:szCs w:val="16"/>
      <w:lang w:eastAsia="hr-HR"/>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lang w:eastAsia="hr-H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lang w:eastAsia="hr-HR"/>
    </w:rPr>
  </w:style>
  <w:style w:type="paragraph" w:styleId="Revision">
    <w:name w:val="Revision"/>
    <w:hidden/>
    <w:uiPriority w:val="99"/>
    <w:semiHidden/>
    <w:pPr>
      <w:spacing w:after="0" w:line="240" w:lineRule="auto"/>
    </w:pPr>
    <w:rPr>
      <w:rFonts w:ascii="Times New Roman" w:eastAsia="Times New Roman" w:hAnsi="Times New Roman" w:cs="Times New Roman"/>
      <w:sz w:val="20"/>
      <w:szCs w:val="20"/>
    </w:rPr>
  </w:style>
  <w:style w:type="paragraph" w:styleId="FootnoteText">
    <w:name w:val="footnote text"/>
    <w:basedOn w:val="Normal"/>
    <w:link w:val="FootnoteTextChar"/>
    <w:uiPriority w:val="99"/>
    <w:semiHidden/>
    <w:unhideWhenUsed/>
  </w:style>
  <w:style w:type="character" w:customStyle="1" w:styleId="FootnoteTextChar">
    <w:name w:val="Footnote Text Char"/>
    <w:basedOn w:val="DefaultParagraphFont"/>
    <w:link w:val="FootnoteText"/>
    <w:uiPriority w:val="99"/>
    <w:semiHidden/>
    <w:rPr>
      <w:rFonts w:ascii="Times New Roman" w:eastAsia="Times New Roman" w:hAnsi="Times New Roman" w:cs="Times New Roman"/>
      <w:sz w:val="20"/>
      <w:szCs w:val="20"/>
      <w:lang w:eastAsia="hr-HR"/>
    </w:rPr>
  </w:style>
  <w:style w:type="character" w:styleId="FootnoteReference">
    <w:name w:val="footnote reference"/>
    <w:basedOn w:val="DefaultParagraphFont"/>
    <w:uiPriority w:val="99"/>
    <w:semiHidden/>
    <w:unhideWhenUsed/>
    <w:rPr>
      <w:vertAlign w:val="superscript"/>
    </w:rPr>
  </w:style>
  <w:style w:type="paragraph" w:customStyle="1" w:styleId="FooterCoverPage">
    <w:name w:val="Footer Cover Page"/>
    <w:basedOn w:val="Normal"/>
    <w:link w:val="FooterCoverPageChar"/>
    <w:pPr>
      <w:widowControl/>
      <w:tabs>
        <w:tab w:val="center" w:pos="4535"/>
        <w:tab w:val="right" w:pos="9071"/>
        <w:tab w:val="right" w:pos="9921"/>
      </w:tabs>
      <w:autoSpaceDE/>
      <w:autoSpaceDN/>
      <w:adjustRightInd/>
      <w:spacing w:before="360"/>
      <w:ind w:left="-850" w:right="-850"/>
    </w:pPr>
    <w:rPr>
      <w:sz w:val="24"/>
      <w:szCs w:val="24"/>
    </w:rPr>
  </w:style>
  <w:style w:type="character" w:customStyle="1" w:styleId="FooterCoverPageChar">
    <w:name w:val="Footer Cover Page Char"/>
    <w:link w:val="FooterCoverPage"/>
    <w:rPr>
      <w:rFonts w:ascii="Times New Roman" w:eastAsia="Times New Roman" w:hAnsi="Times New Roman" w:cs="Times New Roman"/>
      <w:sz w:val="24"/>
      <w:szCs w:val="24"/>
    </w:rPr>
  </w:style>
  <w:style w:type="paragraph" w:customStyle="1" w:styleId="HeaderCoverPage">
    <w:name w:val="Header Cover Page"/>
    <w:basedOn w:val="Normal"/>
    <w:link w:val="HeaderCoverPageChar"/>
    <w:pPr>
      <w:widowControl/>
      <w:tabs>
        <w:tab w:val="center" w:pos="4535"/>
        <w:tab w:val="right" w:pos="9071"/>
      </w:tabs>
      <w:autoSpaceDE/>
      <w:autoSpaceDN/>
      <w:adjustRightInd/>
      <w:spacing w:after="120"/>
      <w:jc w:val="both"/>
    </w:pPr>
    <w:rPr>
      <w:sz w:val="24"/>
      <w:szCs w:val="24"/>
    </w:rPr>
  </w:style>
  <w:style w:type="character" w:customStyle="1" w:styleId="HeaderCoverPageChar">
    <w:name w:val="Header Cover Page Char"/>
    <w:link w:val="HeaderCoverPage"/>
    <w:rPr>
      <w:rFonts w:ascii="Times New Roman" w:eastAsia="Times New Roman" w:hAnsi="Times New Roman" w:cs="Times New Roman"/>
      <w:sz w:val="24"/>
      <w:szCs w:val="24"/>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widowControl/>
      <w:autoSpaceDE/>
      <w:autoSpaceDN/>
      <w:adjustRightInd/>
      <w:jc w:val="both"/>
    </w:pPr>
    <w:rPr>
      <w:rFonts w:eastAsiaTheme="minorHAnsi"/>
      <w:sz w:val="24"/>
      <w:szCs w:val="22"/>
    </w:rPr>
  </w:style>
  <w:style w:type="character" w:styleId="BookTitle">
    <w:name w:val="Book Title"/>
    <w:basedOn w:val="DefaultParagraphFont"/>
    <w:uiPriority w:val="33"/>
    <w:qFormat/>
    <w:rPr>
      <w:b/>
      <w:bCs/>
      <w:smallCaps/>
      <w:spacing w:val="5"/>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lang w:eastAsia="hr-HR"/>
    </w:rPr>
  </w:style>
  <w:style w:type="paragraph" w:styleId="TOCHeading">
    <w:name w:val="TOC Heading"/>
    <w:basedOn w:val="Heading1"/>
    <w:next w:val="Normal"/>
    <w:uiPriority w:val="39"/>
    <w:semiHidden/>
    <w:unhideWhenUsed/>
    <w:qFormat/>
    <w:pPr>
      <w:widowControl/>
      <w:autoSpaceDE/>
      <w:autoSpaceDN/>
      <w:adjustRightInd/>
      <w:spacing w:line="276" w:lineRule="auto"/>
      <w:outlineLvl w:val="9"/>
    </w:pPr>
  </w:style>
  <w:style w:type="paragraph" w:styleId="TOC1">
    <w:name w:val="toc 1"/>
    <w:basedOn w:val="Normal"/>
    <w:next w:val="Normal"/>
    <w:autoRedefine/>
    <w:uiPriority w:val="39"/>
    <w:unhideWhenUsed/>
    <w:pPr>
      <w:spacing w:after="100"/>
    </w:pPr>
  </w:style>
  <w:style w:type="paragraph" w:styleId="TOC2">
    <w:name w:val="toc 2"/>
    <w:basedOn w:val="Normal"/>
    <w:next w:val="Normal"/>
    <w:autoRedefine/>
    <w:uiPriority w:val="39"/>
    <w:unhideWhenUsed/>
    <w:pPr>
      <w:tabs>
        <w:tab w:val="left" w:pos="720"/>
        <w:tab w:val="right" w:leader="dot" w:pos="9062"/>
      </w:tabs>
      <w:spacing w:after="100"/>
      <w:ind w:left="200"/>
      <w:jc w:val="both"/>
    </w:pPr>
  </w:style>
  <w:style w:type="character" w:styleId="Hyperlink">
    <w:name w:val="Hyperlink"/>
    <w:basedOn w:val="DefaultParagraphFont"/>
    <w:uiPriority w:val="99"/>
    <w:unhideWhenUsed/>
    <w:rPr>
      <w:color w:val="0000FF" w:themeColor="hyperlink"/>
      <w:u w:val="single"/>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404040" w:themeColor="text1" w:themeTint="BF"/>
      <w:sz w:val="20"/>
      <w:szCs w:val="20"/>
      <w:lang w:eastAsia="hr-HR"/>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404040" w:themeColor="text1" w:themeTint="BF"/>
      <w:sz w:val="20"/>
      <w:szCs w:val="20"/>
      <w:lang w:eastAsia="hr-HR"/>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404040" w:themeColor="text1" w:themeTint="BF"/>
      <w:sz w:val="20"/>
      <w:szCs w:val="20"/>
      <w:lang w:eastAsia="hr-HR"/>
    </w:rPr>
  </w:style>
  <w:style w:type="paragraph" w:customStyle="1" w:styleId="ListDash3">
    <w:name w:val="List Dash 3"/>
    <w:basedOn w:val="Normal"/>
    <w:pPr>
      <w:widowControl/>
      <w:autoSpaceDE/>
      <w:autoSpaceDN/>
      <w:adjustRightInd/>
      <w:spacing w:before="120" w:after="120"/>
      <w:jc w:val="both"/>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991508">
      <w:bodyDiv w:val="1"/>
      <w:marLeft w:val="0"/>
      <w:marRight w:val="0"/>
      <w:marTop w:val="0"/>
      <w:marBottom w:val="0"/>
      <w:divBdr>
        <w:top w:val="none" w:sz="0" w:space="0" w:color="auto"/>
        <w:left w:val="none" w:sz="0" w:space="0" w:color="auto"/>
        <w:bottom w:val="none" w:sz="0" w:space="0" w:color="auto"/>
        <w:right w:val="none" w:sz="0" w:space="0" w:color="auto"/>
      </w:divBdr>
    </w:div>
    <w:div w:id="1541669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D57096-0ADD-4639-B96F-1980144C23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5</Pages>
  <Words>1129</Words>
  <Characters>6430</Characters>
  <Application>Microsoft Office Word</Application>
  <DocSecurity>0</DocSecurity>
  <Lines>112</Lines>
  <Paragraphs>41</Paragraphs>
  <ScaleCrop>false</ScaleCrop>
  <HeadingPairs>
    <vt:vector size="4" baseType="variant">
      <vt:variant>
        <vt:lpstr>Title</vt:lpstr>
      </vt:variant>
      <vt:variant>
        <vt:i4>1</vt:i4>
      </vt:variant>
      <vt:variant>
        <vt:lpstr>Název</vt:lpstr>
      </vt:variant>
      <vt:variant>
        <vt:i4>1</vt:i4>
      </vt:variant>
    </vt:vector>
  </HeadingPairs>
  <TitlesOfParts>
    <vt:vector size="2" baseType="lpstr">
      <vt:lpstr/>
      <vt:lpstr/>
    </vt:vector>
  </TitlesOfParts>
  <Manager/>
  <Company/>
  <LinksUpToDate>false</LinksUpToDate>
  <CharactersWithSpaces>7518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18</cp:revision>
  <cp:lastPrinted>2016-05-02T15:31:00Z</cp:lastPrinted>
  <dcterms:created xsi:type="dcterms:W3CDTF">2016-05-25T12:58:00Z</dcterms:created>
  <dcterms:modified xsi:type="dcterms:W3CDTF">2016-05-30T14:22:00Z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Classification">
    <vt:lpwstr> </vt:lpwstr>
  </property>
  <property name="OP_sanitized" fmtid="{D5CDD505-2E9C-101B-9397-08002B2CF9AE}" pid="6">
    <vt:lpwstr>True</vt:lpwstr>
  </property>
</Properties>
</file>