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893A2A504F84599BB658BDF7865BE71" style="width:450.5pt;height:352.5pt">
            <v:imagedata r:id="rId11" o:title=""/>
          </v:shape>
        </w:pict>
      </w:r>
    </w:p>
    <w:p>
      <w:pPr>
        <w:rPr>
          <w:noProof/>
        </w:rPr>
        <w:sectPr>
          <w:footerReference w:type="default" r:id="rId12"/>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Preporuka za</w:t>
      </w:r>
    </w:p>
    <w:p>
      <w:pPr>
        <w:pStyle w:val="Typedudocument"/>
        <w:rPr>
          <w:noProof/>
        </w:rPr>
      </w:pPr>
      <w:r>
        <w:rPr>
          <w:noProof/>
        </w:rPr>
        <w:t>PREPORUKU VIJEĆA</w:t>
      </w:r>
    </w:p>
    <w:p>
      <w:pPr>
        <w:pStyle w:val="Titreobjet"/>
        <w:rPr>
          <w:noProof/>
        </w:rPr>
      </w:pPr>
      <w:r>
        <w:rPr>
          <w:noProof/>
        </w:rPr>
        <w:t>o Nacionalnom programu reformi Irske za 2016.</w:t>
      </w:r>
      <w:r>
        <w:rPr>
          <w:noProof/>
        </w:rPr>
        <w:br/>
      </w:r>
      <w:r>
        <w:rPr>
          <w:noProof/>
        </w:rPr>
        <w:br/>
        <w:t>i dostavljanju mišljenja Vijeća o Programu stabilnosti Irske za 2016.</w:t>
      </w:r>
    </w:p>
    <w:p>
      <w:pPr>
        <w:pStyle w:val="Institutionquiagit"/>
        <w:rPr>
          <w:noProof/>
        </w:rPr>
      </w:pPr>
      <w:r>
        <w:rPr>
          <w:noProof/>
        </w:rPr>
        <w:t>VIJEĆE EUROPSKE UNIJE,</w:t>
      </w:r>
    </w:p>
    <w:p>
      <w:pPr>
        <w:rPr>
          <w:noProof/>
        </w:rPr>
      </w:pPr>
      <w:r>
        <w:rPr>
          <w:noProof/>
        </w:rPr>
        <w:t>uzimajući u obzir Ugovor o funkcioniranju Europske unije, a posebno njegov članak 121. stavak 2. i članak 148. stavak 4.,</w:t>
      </w:r>
    </w:p>
    <w:p>
      <w:pPr>
        <w:rPr>
          <w:noProof/>
        </w:rPr>
      </w:pPr>
      <w:r>
        <w:rPr>
          <w:noProof/>
        </w:rPr>
        <w:t>uzimajući u obzir Uredbu Vijeća (EZ) br. 1466/97 od 7. srpnja 1997. o jačanju nadzora stanja proračuna i nadzora i koordinacije ekonomskih politika</w:t>
      </w:r>
      <w:r>
        <w:rPr>
          <w:rStyle w:val="FootnoteReference"/>
          <w:noProof/>
        </w:rPr>
        <w:footnoteReference w:id="2"/>
      </w:r>
      <w:r>
        <w:rPr>
          <w:noProof/>
        </w:rPr>
        <w:t>, a posebno njezin članak 5. stavak 2.,</w:t>
      </w:r>
    </w:p>
    <w:p>
      <w:pPr>
        <w:rPr>
          <w:noProof/>
        </w:rPr>
      </w:pPr>
      <w:r>
        <w:rPr>
          <w:noProof/>
        </w:rPr>
        <w:t>uzimajući u obzir Uredbu (EU) br. 1176/2011 Europskog parlamenta i Vijeća od 16. studenoga 2011. o sprečavanju i ispravljanju makroekonomskih neravnoteža</w:t>
      </w:r>
      <w:r>
        <w:rPr>
          <w:rStyle w:val="FootnoteReference"/>
          <w:noProof/>
        </w:rPr>
        <w:footnoteReference w:id="3"/>
      </w:r>
      <w:r>
        <w:rPr>
          <w:noProof/>
        </w:rPr>
        <w:t>, a posebno njezin članak 6. stavak 1.,</w:t>
      </w:r>
    </w:p>
    <w:p>
      <w:pPr>
        <w:rPr>
          <w:noProof/>
        </w:rPr>
      </w:pPr>
      <w:r>
        <w:rPr>
          <w:noProof/>
        </w:rPr>
        <w:t>uzimajući u obzir preporuku Europske komisije</w:t>
      </w:r>
      <w:r>
        <w:rPr>
          <w:rStyle w:val="FootnoteReference"/>
          <w:noProof/>
        </w:rPr>
        <w:footnoteReference w:id="4"/>
      </w:r>
      <w:r>
        <w:rPr>
          <w:noProof/>
        </w:rPr>
        <w:t>,</w:t>
      </w:r>
    </w:p>
    <w:p>
      <w:pPr>
        <w:rPr>
          <w:noProof/>
        </w:rPr>
      </w:pPr>
      <w:r>
        <w:rPr>
          <w:noProof/>
        </w:rPr>
        <w:t>uzimajući u obzir rezolucije Europskog parlamenta</w:t>
      </w:r>
      <w:r>
        <w:rPr>
          <w:rStyle w:val="FootnoteReference"/>
          <w:noProof/>
        </w:rPr>
        <w:footnoteReference w:id="5"/>
      </w:r>
      <w:r>
        <w:rPr>
          <w:noProof/>
        </w:rPr>
        <w:t>,</w:t>
      </w:r>
    </w:p>
    <w:p>
      <w:pPr>
        <w:outlineLvl w:val="0"/>
        <w:rPr>
          <w:noProof/>
        </w:rPr>
      </w:pPr>
      <w:r>
        <w:rPr>
          <w:noProof/>
        </w:rPr>
        <w:t>uzimajući u obzir zaključke Europskog vijeća,</w:t>
      </w:r>
    </w:p>
    <w:p>
      <w:pPr>
        <w:rPr>
          <w:noProof/>
        </w:rPr>
      </w:pPr>
      <w:r>
        <w:rPr>
          <w:noProof/>
        </w:rPr>
        <w:t>uzimajući u obzir mišljenje Odbora za zapošljavanje,</w:t>
      </w:r>
    </w:p>
    <w:p>
      <w:pPr>
        <w:rPr>
          <w:noProof/>
        </w:rPr>
      </w:pPr>
      <w:r>
        <w:rPr>
          <w:noProof/>
        </w:rPr>
        <w:t>uzimajući u obzir mišljenje Gospodarskog i financijskog odbora,</w:t>
      </w:r>
    </w:p>
    <w:p>
      <w:pPr>
        <w:rPr>
          <w:noProof/>
        </w:rPr>
      </w:pPr>
      <w:r>
        <w:rPr>
          <w:noProof/>
        </w:rPr>
        <w:t>uzimajući u obzir mišljenje Odbora za socijalnu zaštitu,</w:t>
      </w:r>
    </w:p>
    <w:p>
      <w:pPr>
        <w:rPr>
          <w:noProof/>
        </w:rPr>
      </w:pPr>
      <w:r>
        <w:rPr>
          <w:noProof/>
        </w:rPr>
        <w:t>uzimajući u obzir mišljenje Odbora za ekonomsku politiku,</w:t>
      </w:r>
    </w:p>
    <w:p>
      <w:pPr>
        <w:rPr>
          <w:noProof/>
        </w:rPr>
      </w:pPr>
      <w:r>
        <w:rPr>
          <w:noProof/>
        </w:rPr>
        <w:t>budući da:</w:t>
      </w:r>
    </w:p>
    <w:p>
      <w:pPr>
        <w:pStyle w:val="Point0number"/>
        <w:numPr>
          <w:ilvl w:val="0"/>
          <w:numId w:val="9"/>
        </w:numPr>
        <w:rPr>
          <w:noProof/>
        </w:rPr>
      </w:pPr>
      <w:r>
        <w:rPr>
          <w:noProof/>
        </w:rPr>
        <w:t>Komisija je 26. studenoga 2015. donijela Godišnji pregled rasta</w:t>
      </w:r>
      <w:r>
        <w:rPr>
          <w:rStyle w:val="FootnoteReference"/>
          <w:noProof/>
        </w:rPr>
        <w:footnoteReference w:id="6"/>
      </w:r>
      <w:r>
        <w:rPr>
          <w:noProof/>
        </w:rPr>
        <w:t>, čime je označen početak Europskog semestra koordinacije ekonomske politike za 2016. Prioritete godišnjeg pregleda rasta odobrilo je Europsko vijeće 17. i 18. ožujka 2016. Komisija je 26. studenoga 2015. na temelju Uredbe (EU) br. 1176/2011 donijela Izvješće o mehanizmu upozoravanja</w:t>
      </w:r>
      <w:r>
        <w:rPr>
          <w:rStyle w:val="FootnoteReference"/>
          <w:noProof/>
        </w:rPr>
        <w:footnoteReference w:id="7"/>
      </w:r>
      <w:r>
        <w:rPr>
          <w:noProof/>
        </w:rPr>
        <w:t>, u kojem Irsku smatra jednom od država članica za koje je potrebno provesti detaljno preispitivanje. Istog je dana Komisija donijela preporuku za preporuku Vijeća o ekonomskoj politici europodručja</w:t>
      </w:r>
      <w:r>
        <w:rPr>
          <w:rStyle w:val="FootnoteReference"/>
          <w:noProof/>
        </w:rPr>
        <w:footnoteReference w:id="8"/>
      </w:r>
      <w:r>
        <w:rPr>
          <w:noProof/>
        </w:rPr>
        <w:t>. Tu je preporuku Europsko vijeće odobrilo 18. i 19. veljače 2016., a Vijeće donijelo 8. ožujka 2016. Kao zemlja čija je valuta euro te s obzirom na visoku međusobnu povezanost ekonomija u ekonomskoj i monetarnoj uniji, Irska bi trebala osigurati punu i pravovremenu provedbu tih preporuka.</w:t>
      </w:r>
    </w:p>
    <w:p>
      <w:pPr>
        <w:pStyle w:val="Point0number"/>
        <w:rPr>
          <w:noProof/>
        </w:rPr>
      </w:pPr>
      <w:r>
        <w:rPr>
          <w:noProof/>
        </w:rPr>
        <w:t>Izvješće za Irsku za 2016.</w:t>
      </w:r>
      <w:r>
        <w:rPr>
          <w:rStyle w:val="FootnoteReference"/>
          <w:noProof/>
        </w:rPr>
        <w:footnoteReference w:id="9"/>
      </w:r>
      <w:r>
        <w:rPr>
          <w:noProof/>
        </w:rPr>
        <w:t xml:space="preserve"> objavljeno je 26. veljače 2016. Njime je ocijenjen napredak Irske u odnosu na preporuke za Irsku koje je Vijeće donijelo 14. srpnja 2015. te napredak te zemlje u pogledu ostvarivanja nacionalnih ciljeva strategije Europa 2020. Izvješće je obuhvaćalo i detaljno preispitivanje u skladu s člankom 5. Uredbe (EU) br. 1176/2011. Komisija je 8. ožujka 2016. predstavila rezultate detaljnog preispitivanja</w:t>
      </w:r>
      <w:r>
        <w:rPr>
          <w:rStyle w:val="FootnoteReference"/>
          <w:noProof/>
        </w:rPr>
        <w:footnoteReference w:id="10"/>
      </w:r>
      <w:r>
        <w:rPr>
          <w:noProof/>
        </w:rPr>
        <w:t>. U svojoj analizi Komisija zaključuje da u Irskoj postoje makroekonomske neravnoteže. Konkretno, neophodno je suočiti se s visokim razinama neto vanjskih obveza i javnog i privatnog duga, koji unatoč poboljšanjima predstavljaju ranjivosti.</w:t>
      </w:r>
    </w:p>
    <w:p>
      <w:pPr>
        <w:pStyle w:val="Point0number"/>
        <w:rPr>
          <w:noProof/>
        </w:rPr>
      </w:pPr>
      <w:r>
        <w:rPr>
          <w:noProof/>
        </w:rPr>
        <w:t>Irska je 29. travnja 2016. dostavila svoj nacionalni program reformi za 2016. i svoj program stabilnosti za 2016. Kako bi se u obzir uzela njihova povezanost, oba su programa istodobno ocijenjena.</w:t>
      </w:r>
    </w:p>
    <w:p>
      <w:pPr>
        <w:pStyle w:val="Point0number"/>
        <w:rPr>
          <w:noProof/>
        </w:rPr>
      </w:pPr>
      <w:r>
        <w:rPr>
          <w:noProof/>
        </w:rPr>
        <w:t>Pri planiranju europskih strukturnih i investicijskih fondova za razdoblje 2014. – 2020. u obzir su uzete relevantne preporuke po državama članicama. Kako je predviđeno člankom 23. Uredbe (EU) br. 1303/2013, ako je potrebna potpora pri provedbi relevantnih preporuka Vijeća, Komisija od države članice može zatražiti da preispita i predloži izmjene svojeg sporazuma o partnerstvu i povezanih programa. Komisija je dostavila dodatne pojedinosti o tome kako bi iskoristila tu odredbu u smjernicama o primjeni mjera kojima se povezuju učinkovitost europskih strukturnih i investicijskih fondova i dobro ekonomsko upravljanje</w:t>
      </w:r>
      <w:r>
        <w:rPr>
          <w:rStyle w:val="FootnoteReference"/>
          <w:noProof/>
        </w:rPr>
        <w:footnoteReference w:id="11"/>
      </w:r>
      <w:r>
        <w:rPr>
          <w:noProof/>
        </w:rPr>
        <w:t>.</w:t>
      </w:r>
    </w:p>
    <w:p>
      <w:pPr>
        <w:pStyle w:val="Point0number"/>
        <w:numPr>
          <w:ilvl w:val="0"/>
          <w:numId w:val="10"/>
        </w:numPr>
        <w:ind w:left="851" w:hanging="851"/>
        <w:rPr>
          <w:noProof/>
        </w:rPr>
      </w:pPr>
      <w:r>
        <w:rPr>
          <w:noProof/>
        </w:rPr>
        <w:t xml:space="preserve">[Nakon obustave postupka u slučaju prekomjernog deficita na Irsku se primjenjuje preventivni dio Pakta o stabilnosti i rastu te prijelazno pravilo o dugu.] U svojem programu stabilnosti za 2016., koji se temelji na pretpostavci o nepromijenjenim politikama, vlada planira postupna poboljšanja ukupnog salda do postizanja suficita od 0,4 % BDP-a u 2018. Očekuje se ostvarenje revidiranog srednjoročnog proračunskog cilja </w:t>
      </w:r>
      <w:r>
        <w:rPr>
          <w:noProof/>
        </w:rPr>
        <w:sym w:font="Symbol" w:char="F02D"/>
      </w:r>
      <w:r>
        <w:rPr>
          <w:noProof/>
        </w:rPr>
        <w:t xml:space="preserve"> strukturnog deficita od 0,5 % BDP-a – do 2018. Međutim godišnja promjena ponovno izračunanog strukturnog salda</w:t>
      </w:r>
      <w:r>
        <w:rPr>
          <w:rStyle w:val="FootnoteReference"/>
          <w:noProof/>
        </w:rPr>
        <w:footnoteReference w:id="12"/>
      </w:r>
      <w:r>
        <w:rPr>
          <w:noProof/>
        </w:rPr>
        <w:t xml:space="preserve"> od 0,1 % BDP-a u 2016. ne osigurava dostatan napredak prema ostvarenju srednjoročnog proračunskog cilja. Prema programu stabilnosti očekuje se da će udio državnog duga u BDP-u pasti na 88,2 % BDP-a u 2016. te će se nastaviti smanjivati, do razine od 85,5 % BDP-a u 2017. Makroekonomski scenarij na kojem se temelje te proračunske projekcije uvjerljiv je. Međutim mjere potrebne za podupiranje planiranih ciljeva deficita od 2017. nadalje nisu dovoljno određene. Na temelju Komisijine proljetne prognoze 2016. postoji rizik od određenog odstupanja od preporučene fiskalne prilagodbe u 2016., ali predviđa se da će Irska ispunjivati zahtjeve u 2017., ne bude li promjene u politikama. Predviđa se da će Irska ispunjivati zahtjeve prijelaznog pravila o dugu u 2016. i 2017. Vijeće na temelju ocjene programa stabilnosti i uzimajući u obzir Komisijinu proljetnu prognozu 2016. smatra da se očekuje da će Irska uglavnom ispuniti odredbe Pakta o stabilnosti i rastu. No za osiguravanje njihova ispunjivanja u 2016. ipak će biti potrebne dodatne mjere. </w:t>
      </w:r>
    </w:p>
    <w:p>
      <w:pPr>
        <w:pStyle w:val="Point0number"/>
        <w:rPr>
          <w:noProof/>
        </w:rPr>
      </w:pPr>
      <w:r>
        <w:rPr>
          <w:noProof/>
        </w:rPr>
        <w:t xml:space="preserve">Nastojanja za proširenje porezne osnovice bila su ograničena, a nedavne porezne mjere bile su usmjerene na porezne rezove i olakšice. Potrebno je dodatno napredovati prema učinkovitijem poreznom sustavu koji više pogoduje rastu. Irska nadležna tijela trenutačno provode program revizija poreznih rashoda, čiji će rezultati biti objavljeni u godišnjem izvješću. Međutim postupkom revizije nisu obuhvaćeni porezni rashodi povezani s PDV-om te ima još prostora za proširenje porezne osnovice povećanjima najmanje distorzivnih poreza. </w:t>
      </w:r>
    </w:p>
    <w:p>
      <w:pPr>
        <w:pStyle w:val="Point0number"/>
        <w:rPr>
          <w:noProof/>
        </w:rPr>
      </w:pPr>
      <w:r>
        <w:rPr>
          <w:noProof/>
        </w:rPr>
        <w:t xml:space="preserve">Troškovna učinkovitost, jednak pristup i održivost i dalje su ključni izazovi s kojima se suočava zdravstveni sustav. Primjetan je napredak u određenim područjima reformi, ali troškovi farmaceutskih proizvoda, posebno zbog visokog troška lijekova sa samo jednim dobavljačem, i dalje negativno utječu na troškovnu učinkovitost. Sustavi financijskog upravljanja i informacijski sustavi još uvijek su slabi, a nejednak pristup primarnoj zdravstvenoj zaštiti i dalje predstavlja problem. Oko 40 % stanovništva ima besplatan pristup uslugama liječnika opće prakse, dok ostali snose puni trošak. Prisutna je znatna nesigurnost u pogledu opsežne reforme zdravstvenog sustava s obzirom na nedoumice u pogledu modela univerzalnog zdravstvenog osiguranja. </w:t>
      </w:r>
    </w:p>
    <w:p>
      <w:pPr>
        <w:pStyle w:val="Point0number"/>
        <w:rPr>
          <w:noProof/>
        </w:rPr>
      </w:pPr>
      <w:r>
        <w:rPr>
          <w:noProof/>
        </w:rPr>
        <w:t>Potrebno je posvetiti se infrastrukturnim potrebama radi promicanja trajnog i uravnoteženog rasta u budućnosti. Nakon vrhunca od 5,2% BDP-a u 2008. javno ulaganje palo je na 1,8 % BDP-a u 2013. prije laganog oporavka u 2014., kad je još uvijek bilo znatno ispod prosjeka EU-a. Osim toga, čini se da je zbog krize došlo do strukturnog zaokreta u sastavu rashoda opće države, od ulaganja prema tekućoj potrošnji. U razdoblju 2010. – 2013. kapitalni rashodi iznosili su u prosjeku tek 4,8 % ukupnih rashoda, što je manje od polovine dugoročnog prosjeka za razdoblje 1995. – 2008. Sedam godina znatnog smanjivanja državnog ulaganja imalo je negativan učinak na kvalitetu i primjerenost infrastrukture i državne potpore za nematerijalna ulaganja. Prisutne su važne slabosti u pogledu kapaciteta u području stambenih nekretnina, javnog prijevoza, vode i ublažavanja klimatskih promjena. U glavnim urbanim područjima države potražnja za novim stambenim prostorom trenutačno uvelike premašuje ponudu. Kao posljedica toga u 2014. naglo su porasle cijene stambenih nekretnina i najamnina u urbanim područjima prije usporavanja njihova rasta u 2015. Trenutačno nema naznaka precijenjenosti, ali ograničenja građevinskog sektora i ponude stambenog prostora, uključujući neka ograničenja povezana s javnom infrastrukturom, mogla bi, ako se ne riješe, dovesti do rizika od neravnoteža. Promjena državnih rashoda utjecala je i na potporu javnog sektora za istraživanje i razvoj i inovacije, koja je 2014. bila ispod razine iz 2007. U pogledu istraživanja i razvoja u javnom sektoru kao postotka BDP-a Irska je trenutačno na 22. mjestu u Europi. To ima negativan učinak na konkurentnost malih i srednjih poduzeća.</w:t>
      </w:r>
    </w:p>
    <w:p>
      <w:pPr>
        <w:pStyle w:val="Point0number"/>
        <w:rPr>
          <w:noProof/>
        </w:rPr>
      </w:pPr>
      <w:r>
        <w:rPr>
          <w:noProof/>
        </w:rPr>
        <w:t xml:space="preserve">Nezaposlenost je pala ispod prosjeka EU-a te je u ožujku 2016. iznosila 8,6 %. Međutim dugotrajna nezaposlenost i nizak intenzitet rada kućanstava i dalje su izvori zabrinutosti. Konkretno, udio dugotrajno nezaposlenih u ukupnoj nezaposlenosti još uvijek je visok te je u četvrtom tromjesečju 2015. iznosio 56,3 %, što je iznad prosjeka EU-a od 48,3 %. U 2014. (zadnji usporedivi podaci) postotak stanovništva koje živi u kućanstvima vrlo niskog intenziteta bio je najviši u EU-u te je iznosio 21,1 %, a osobito je prevladavao u jednoroditeljskim kućanstvima. Udio djece (u dobi od 0 do 17) suočene s rizikom od siromaštva ili socijalne isključenosti pao je na 30,3 % u 2014., ali i dalje je veći od prosjeka EU-a od 27,8 %. Odgovarajuća brojka djece suočene s rizikom od siromaštva ili socijalne isključenosti za jednoroditeljska kućanstva (62,5 % u 2014.) mnogo je veća od prosjeka EU-a (48,2 %). </w:t>
      </w:r>
    </w:p>
    <w:p>
      <w:pPr>
        <w:pStyle w:val="Point0number"/>
        <w:rPr>
          <w:noProof/>
        </w:rPr>
      </w:pPr>
      <w:r>
        <w:rPr>
          <w:noProof/>
        </w:rPr>
        <w:t xml:space="preserve">Irska je započela s provedbom programa </w:t>
      </w:r>
      <w:r>
        <w:rPr>
          <w:i/>
          <w:noProof/>
        </w:rPr>
        <w:t>JobPath</w:t>
      </w:r>
      <w:r>
        <w:rPr>
          <w:noProof/>
        </w:rPr>
        <w:t xml:space="preserve"> za rješavanje potreba dugotrajno nezaposlenih osoba te razvija aktivacijski pristup za poticaj osoba s potencijalom i željom za aktivnijom ulogom u radnoj snazi. Preostaje izazov proširenja službi pružanja potpore u traženju zaposlenja onima koji su obično isključeni iz tržišta rada, uključujući osobe s invaliditetom i one koje su dužne skrbiti o drugima. Sveukupno gledano, sustav socijalne skrbi bio je uspješan u suzbijanju učinaka krize na siromaštvo i nejednakost, ali još uvijek su prisutne prepreke uključivom rastu. Postignut je određen napredak u postupnom smanjenju naknada, ali i dalje je prisutna zabrinutost u pogledu zamki neaktivnosti za određena kućanstva. Neto troškovi skrbi o djeci u Irskoj, izraženi kao postotak plaće, među najvećima su u EU-u, drugi po visini za parove te najviši za samohrane roditelje. I dalje su prisutne zabrinutosti u pogledu kvalitete ponude skrbi o djeci. Primjerice, u 2014. postotak osoba s diplomom koje rade u sektoru predškolskog obrazovanja i odgoja (15 %) i dalje je bio znatno ispod preporučene razine</w:t>
      </w:r>
      <w:r>
        <w:rPr>
          <w:noProof/>
          <w:color w:val="FF0000"/>
        </w:rPr>
        <w:t xml:space="preserve">. </w:t>
      </w:r>
      <w:r>
        <w:rPr>
          <w:noProof/>
        </w:rPr>
        <w:t>I dalje su prisutne neusklađenosti vještina te se u određenim područjima pojavio i manjak vještina, a istovremeno su mogućnosti unapređenja vještina i prekvalifikacije još uvijek nedostatne, te bi smanjenje rashoda za obrazovanje moglo imati negativan učinak na buduće obrazovne rezultate.</w:t>
      </w:r>
    </w:p>
    <w:p>
      <w:pPr>
        <w:pStyle w:val="Point0number"/>
        <w:rPr>
          <w:noProof/>
        </w:rPr>
      </w:pPr>
      <w:r>
        <w:rPr>
          <w:noProof/>
        </w:rPr>
        <w:t xml:space="preserve">Visoka razina zaduženosti privatnog sektora odraz je tekućih problema u pogledu umanjenja vrijednosti kredita. Krajem lipnja 2015. nekonsolidirani dug privatnog sektora iznosio je 266,3 % BDP-a, što je znatno iznad prosjeka europodručja. Iako je zahvaljujući gospodarskom oporavku i aktivnostima restrukturiranja udio loših kredita u opadanju, krajem 2015. i dalje je bio među najvećima u europodručju te je iznosio preko 16 % svih kredita domaćih banaka. Nadalje, 14,7 % hipoteka nije plaćeno na vrijeme krajem 2015., a hipoteke s čijim se plaćanjem kasni više od dvije godine predstavljale su gotovo 10 % ukupnog salda hipotekarnih kredita. Restrukturiranje hipoteka uglavnom je privremeno, što upućuje na rizik od ponovnog neispunjavanja obveza, posebno u slučaju makroekonomskog pogoršanja ili vanjskog šoka. Komercijalni krediti za nekretnine koje drže domaće banke te krediti za MSP-ove i poslovni krediti i dalje su problematična područja, s udjelom loših kredita od 37,3 % odnosno 13,8 %. Bit će potrebno mnogo više vremena i truda za održivo restrukturiranje tih računa. I dalje se nedostatno primjenjuju postupci osobnog stečaja, stečaj, postupak </w:t>
      </w:r>
      <w:r>
        <w:rPr>
          <w:i/>
          <w:noProof/>
        </w:rPr>
        <w:t>examinership</w:t>
      </w:r>
      <w:r>
        <w:rPr>
          <w:noProof/>
        </w:rPr>
        <w:t xml:space="preserve"> (sudska zaštita za društva u poteškoćama u okviru irskog zakona) te ostala sredstva djelomičnog otpisa dugova namijenjena povratu održivosti kućanstava i poduzeća. Uvođenje središnjeg kreditnog registra sporo je, iako je on ključan za podupiranje razboritog kreditiranja.</w:t>
      </w:r>
    </w:p>
    <w:p>
      <w:pPr>
        <w:pStyle w:val="Point0number"/>
        <w:rPr>
          <w:noProof/>
        </w:rPr>
      </w:pPr>
      <w:r>
        <w:rPr>
          <w:noProof/>
        </w:rPr>
        <w:t xml:space="preserve">Zakon o uređenju pravnih usluga iz 2015. donesen je, ali su u kasnijoj fazi postupka učinjeni ustupci pravnim profesijama čime je znatno ublažena početna ambicija reforme. Tek počinje provedba novog okvira te je prerano s punim pouzdanjem tvrditi da će se njime potaknuti tržišno natjecanje i smanjiti troškovi. Pravne usluge pružaju se u svim sektorima gospodarstva, a njihova cijena utječe na konkurentnost Irske. Stvarno smanjenje troškova može se ostvariti samo ako odredbe o jačanju tržišnog natjecanja i smanjenju troškova iz planiranog regulatornog okvira postanu zakon nakon postupaka javnog savjetovanja ili se uključe u propise koje će donijeti regulatorno tijelo u području pravnih usluga. </w:t>
      </w:r>
    </w:p>
    <w:p>
      <w:pPr>
        <w:pStyle w:val="Point0number"/>
        <w:rPr>
          <w:noProof/>
        </w:rPr>
      </w:pPr>
      <w:r>
        <w:rPr>
          <w:noProof/>
        </w:rPr>
        <w:t xml:space="preserve">Komisija je u okviru europskog semestra provela sveobuhvatnu analizu irske ekonomske politike i objavila je u izvješću za tu zemlju za 2016. Ocijenila je i program stabilnosti, nacionalni program reformi te mjere poduzete kao odgovor na preporuke upućene Irskoj prethodnih godina. Komisija je u obzir uzela ne samo njihovu važnost za održivu fiskalnu i socioekonomsku politiku u Irskoj nego i njihovu usklađenost s pravilima i smjernicama EU-a s obzirom na potrebu doprinosa na razini EU-a budućim nacionalnim odlukama, a time i jačanja sveopćeg ekonomskog upravljanja EU-om. Preporuke </w:t>
      </w:r>
      <w:bookmarkStart w:id="1" w:name="temp"/>
      <w:bookmarkEnd w:id="1"/>
      <w:r>
        <w:rPr>
          <w:noProof/>
        </w:rPr>
        <w:t>u okviru europskog semestra navedene su u preporukama 1. do 3. u nastavku.</w:t>
      </w:r>
    </w:p>
    <w:p>
      <w:pPr>
        <w:pStyle w:val="Point0number"/>
        <w:rPr>
          <w:noProof/>
        </w:rPr>
      </w:pPr>
      <w:r>
        <w:rPr>
          <w:noProof/>
        </w:rPr>
        <w:t>Uzimajući u obzir tu ocjenu Vijeće je preispitalo program stabilnosti, a njegovo je mišljenje</w:t>
      </w:r>
      <w:r>
        <w:rPr>
          <w:rStyle w:val="FootnoteReference"/>
          <w:noProof/>
        </w:rPr>
        <w:footnoteReference w:id="13"/>
      </w:r>
      <w:r>
        <w:rPr>
          <w:noProof/>
        </w:rPr>
        <w:t xml:space="preserve"> posebno navedeno u preporuci 1. u nastavku.</w:t>
      </w:r>
    </w:p>
    <w:p>
      <w:pPr>
        <w:pStyle w:val="Point0number"/>
        <w:rPr>
          <w:noProof/>
        </w:rPr>
      </w:pPr>
      <w:r>
        <w:rPr>
          <w:noProof/>
        </w:rPr>
        <w:t>Uzimajući u obzir Komisijino detaljno preispitivanje i ovu ocjenu Vijeće je preispitalo nacionalni program reformi i program stabilnosti. Njegove preporuke u skladu s člankom 6. Uredbe (EU) br. 1176/2011 navedene su u preporukama 1. i 3. u nastavku.</w:t>
      </w:r>
    </w:p>
    <w:p>
      <w:pPr>
        <w:pStyle w:val="Formuledadoption"/>
        <w:rPr>
          <w:noProof/>
        </w:rPr>
      </w:pPr>
      <w:r>
        <w:rPr>
          <w:noProof/>
        </w:rPr>
        <w:t>PREPORUČUJE da Irska u 2016. i 2017. poduzme djelovanja kojima je cilj:</w:t>
      </w:r>
    </w:p>
    <w:p>
      <w:pPr>
        <w:pStyle w:val="ManualNumPar1"/>
        <w:rPr>
          <w:noProof/>
        </w:rPr>
      </w:pPr>
      <w:bookmarkStart w:id="2" w:name="_CopyToNewDocument_"/>
      <w:bookmarkEnd w:id="2"/>
      <w:r>
        <w:rPr>
          <w:noProof/>
        </w:rPr>
        <w:t>1.</w:t>
      </w:r>
      <w:r>
        <w:rPr>
          <w:noProof/>
        </w:rPr>
        <w:tab/>
        <w:t xml:space="preserve">Nakon smanjenja prekomjernog deficita ostvariti godišnju fiskalnu prilagodbu od 0,6 % BDP-a prema srednjoročnom proračunskom cilju u 2016. i 2017. Iskoristiti neočekivane prihode proizašle iz jakih gospodarskih i financijskih uvjeta te iz prodaje imovine za ubrzanje smanjenja duga. Smanjiti ranjivost na gospodarske fluktuacije i šokove, među ostalim proširivanjem porezne osnovice. Povećati kvalitetu rashoda, posebno povećanjem troškovne učinkovitosti zdravstvene skrbi i davanjem prednosti državnim kapitalnim rashodima u području istraživanja i razvoja te javne infrastrukture, posebno prometa, vodnih usluga te stambenih nekretnina. </w:t>
      </w:r>
    </w:p>
    <w:p>
      <w:pPr>
        <w:pStyle w:val="ManualNumPar1"/>
        <w:rPr>
          <w:iCs/>
          <w:noProof/>
        </w:rPr>
      </w:pPr>
      <w:r>
        <w:rPr>
          <w:noProof/>
        </w:rPr>
        <w:t>2.</w:t>
      </w:r>
      <w:r>
        <w:rPr>
          <w:noProof/>
        </w:rPr>
        <w:tab/>
        <w:t>Proširiti i ubrzati provedbu politika aktivacije za povećanje radnog intenziteta kućanstava te riješiti problem rizika od siromaštva djece. Poduzeti mjere za poticanje zapošljavanja postupnim ukidanjem socijalnih naknada te dodatnih isplata. Poboljšati dostupnost kvalitetne, pristupačne skrbi o djeci tijekom punog radnog vremena.</w:t>
      </w:r>
    </w:p>
    <w:p>
      <w:pPr>
        <w:pStyle w:val="Text1"/>
        <w:ind w:left="851" w:hanging="851"/>
        <w:rPr>
          <w:noProof/>
        </w:rPr>
      </w:pPr>
      <w:r>
        <w:rPr>
          <w:noProof/>
        </w:rPr>
        <w:t>3.</w:t>
      </w:r>
      <w:r>
        <w:rPr>
          <w:noProof/>
        </w:rPr>
        <w:tab/>
        <w:t>Ostvariti trajna rješenja za restrukturiranje radi smanjenja loših kredita i osiguranja održivosti duga kućanstava te radi poticanja zajmodavaca na smanjenje duga pretjerano zaduženih, ali održivih poduzeća. Ubrzati postupno uvođenje potpuno operativnog središnjeg kreditnog registra koji će obuhvaćati sve kategorije zajmodavaca i dužnika.</w:t>
      </w:r>
    </w:p>
    <w:p>
      <w:pPr>
        <w:keepNext/>
        <w:keepLines/>
        <w:rPr>
          <w:noProof/>
        </w:rPr>
      </w:pPr>
    </w:p>
    <w:p>
      <w:pPr>
        <w:pStyle w:val="Fait"/>
        <w:rPr>
          <w:noProof/>
        </w:rPr>
      </w:pPr>
      <w:r>
        <w:rPr>
          <w:noProof/>
        </w:rPr>
        <w:t>Sastavljeno u Bruxellesu</w:t>
      </w:r>
    </w:p>
    <w:p>
      <w:pPr>
        <w:pStyle w:val="Institutionquisigne"/>
        <w:rPr>
          <w:noProof/>
        </w:rPr>
      </w:pPr>
      <w:r>
        <w:rPr>
          <w:noProof/>
        </w:rPr>
        <w:tab/>
        <w:t>Za Vijeće</w:t>
      </w:r>
    </w:p>
    <w:p>
      <w:pPr>
        <w:pStyle w:val="Personnequisigne"/>
        <w:rPr>
          <w:noProof/>
        </w:rPr>
      </w:pPr>
      <w:r>
        <w:rPr>
          <w:noProof/>
        </w:rPr>
        <w:tab/>
        <w:t>Predsjednik</w:t>
      </w:r>
    </w:p>
    <w:sectPr>
      <w:footerReference w:type="default" r:id="rId13"/>
      <w:footerReference w:type="first" r:id="rId1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tab/>
      </w:r>
      <w:r>
        <w:rPr>
          <w:rStyle w:val="FootnoteReference"/>
        </w:rPr>
        <w:footnoteRef/>
      </w:r>
      <w:r>
        <w:t>SL L 209, 2.8.1997., str. 1.</w:t>
      </w:r>
    </w:p>
  </w:footnote>
  <w:footnote w:id="3">
    <w:p>
      <w:pPr>
        <w:pStyle w:val="FootnoteText"/>
        <w:rPr>
          <w:lang w:val="pt-PT"/>
        </w:rPr>
      </w:pPr>
      <w:r>
        <w:rPr>
          <w:rStyle w:val="FootnoteReference"/>
        </w:rPr>
        <w:footnoteRef/>
      </w:r>
      <w:r>
        <w:tab/>
      </w:r>
      <w:r>
        <w:rPr>
          <w:rStyle w:val="FootnoteReference"/>
        </w:rPr>
        <w:footnoteRef/>
      </w:r>
      <w:r>
        <w:t>SL L 306, 23.11.2011., str. 25.</w:t>
      </w:r>
    </w:p>
  </w:footnote>
  <w:footnote w:id="4">
    <w:p>
      <w:pPr>
        <w:pStyle w:val="FootnoteText"/>
        <w:rPr>
          <w:lang w:val="pt-PT"/>
        </w:rPr>
      </w:pPr>
      <w:r>
        <w:rPr>
          <w:rStyle w:val="FootnoteReference"/>
        </w:rPr>
        <w:footnoteRef/>
      </w:r>
      <w:r>
        <w:tab/>
        <w:t>COM(2016) 328 final.</w:t>
      </w:r>
    </w:p>
  </w:footnote>
  <w:footnote w:id="5">
    <w:p>
      <w:pPr>
        <w:pStyle w:val="FootnoteText"/>
        <w:rPr>
          <w:lang w:val="pt-PT"/>
        </w:rPr>
      </w:pPr>
      <w:r>
        <w:rPr>
          <w:rStyle w:val="FootnoteReference"/>
        </w:rPr>
        <w:footnoteRef/>
      </w:r>
      <w:r>
        <w:tab/>
        <w:t>P8_TA(2016)0058, P8_TA(2016)0059, and P8_TA(2016)0060.</w:t>
      </w:r>
    </w:p>
  </w:footnote>
  <w:footnote w:id="6">
    <w:p>
      <w:pPr>
        <w:pStyle w:val="FootnoteText"/>
        <w:rPr>
          <w:lang w:val="pt-PT"/>
        </w:rPr>
      </w:pPr>
      <w:r>
        <w:rPr>
          <w:rStyle w:val="FootnoteReference"/>
        </w:rPr>
        <w:footnoteRef/>
      </w:r>
      <w:r>
        <w:tab/>
        <w:t>COM(2015) 690 final.</w:t>
      </w:r>
    </w:p>
  </w:footnote>
  <w:footnote w:id="7">
    <w:p>
      <w:pPr>
        <w:pStyle w:val="FootnoteText"/>
        <w:rPr>
          <w:lang w:val="pt-PT"/>
        </w:rPr>
      </w:pPr>
      <w:r>
        <w:rPr>
          <w:rStyle w:val="FootnoteReference"/>
        </w:rPr>
        <w:footnoteRef/>
      </w:r>
      <w:r>
        <w:tab/>
        <w:t>COM(2015) 691 final.</w:t>
      </w:r>
    </w:p>
  </w:footnote>
  <w:footnote w:id="8">
    <w:p>
      <w:pPr>
        <w:pStyle w:val="FootnoteText"/>
        <w:tabs>
          <w:tab w:val="left" w:pos="900"/>
        </w:tabs>
        <w:rPr>
          <w:lang w:val="pt-PT"/>
        </w:rPr>
      </w:pPr>
      <w:r>
        <w:rPr>
          <w:rStyle w:val="FootnoteReference"/>
        </w:rPr>
        <w:footnoteRef/>
      </w:r>
      <w:r>
        <w:tab/>
        <w:t>COM(2015) 692 final.</w:t>
      </w:r>
    </w:p>
  </w:footnote>
  <w:footnote w:id="9">
    <w:p>
      <w:pPr>
        <w:pStyle w:val="FootnoteText"/>
        <w:rPr>
          <w:lang w:val="pt-PT"/>
        </w:rPr>
      </w:pPr>
      <w:r>
        <w:rPr>
          <w:rStyle w:val="FootnoteReference"/>
        </w:rPr>
        <w:footnoteRef/>
      </w:r>
      <w:r>
        <w:tab/>
        <w:t>SWD(2016) 77 final.</w:t>
      </w:r>
    </w:p>
  </w:footnote>
  <w:footnote w:id="10">
    <w:p>
      <w:pPr>
        <w:pStyle w:val="FootnoteText"/>
      </w:pPr>
      <w:r>
        <w:rPr>
          <w:rStyle w:val="FootnoteReference"/>
        </w:rPr>
        <w:footnoteRef/>
      </w:r>
      <w:r>
        <w:tab/>
        <w:t>COM(2016) 95 final.</w:t>
      </w:r>
    </w:p>
  </w:footnote>
  <w:footnote w:id="11">
    <w:p>
      <w:pPr>
        <w:pStyle w:val="FootnoteText"/>
      </w:pPr>
      <w:r>
        <w:rPr>
          <w:rStyle w:val="FootnoteReference"/>
        </w:rPr>
        <w:footnoteRef/>
      </w:r>
      <w:r>
        <w:tab/>
        <w:t>COM(2014) 494 final.</w:t>
      </w:r>
    </w:p>
  </w:footnote>
  <w:footnote w:id="12">
    <w:p>
      <w:pPr>
        <w:pStyle w:val="FootnoteText"/>
        <w:ind w:left="709" w:hanging="709"/>
      </w:pPr>
      <w:r>
        <w:rPr>
          <w:rStyle w:val="FootnoteReference"/>
        </w:rPr>
        <w:footnoteRef/>
      </w:r>
      <w:r>
        <w:tab/>
        <w:t>Strukturni saldo, prema novom izračunu Komisije, na temelju informacija u Programu konvergencije, prema usuglašenoj metodologiji.</w:t>
      </w:r>
    </w:p>
  </w:footnote>
  <w:footnote w:id="13">
    <w:p>
      <w:pPr>
        <w:pStyle w:val="FootnoteText"/>
      </w:pPr>
      <w:r>
        <w:rPr>
          <w:rStyle w:val="FootnoteReference"/>
        </w:rPr>
        <w:footnoteRef/>
      </w:r>
      <w:r>
        <w:tab/>
        <w:t>U skladu s člankom 5. stavkom 2. Uredbe Vijeća (EZ) br. 1466/97.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B38C57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EA4E9A6"/>
    <w:lvl w:ilvl="0">
      <w:start w:val="1"/>
      <w:numFmt w:val="decimal"/>
      <w:pStyle w:val="ListNumber3"/>
      <w:lvlText w:val="%1."/>
      <w:lvlJc w:val="left"/>
      <w:pPr>
        <w:tabs>
          <w:tab w:val="num" w:pos="926"/>
        </w:tabs>
        <w:ind w:left="926" w:hanging="360"/>
      </w:pPr>
    </w:lvl>
  </w:abstractNum>
  <w:abstractNum w:abstractNumId="2">
    <w:nsid w:val="FFFFFF7F"/>
    <w:multiLevelType w:val="singleLevel"/>
    <w:tmpl w:val="2FE6022C"/>
    <w:lvl w:ilvl="0">
      <w:start w:val="1"/>
      <w:numFmt w:val="decimal"/>
      <w:pStyle w:val="ListNumber2"/>
      <w:lvlText w:val="%1."/>
      <w:lvlJc w:val="left"/>
      <w:pPr>
        <w:tabs>
          <w:tab w:val="num" w:pos="643"/>
        </w:tabs>
        <w:ind w:left="643" w:hanging="360"/>
      </w:pPr>
    </w:lvl>
  </w:abstractNum>
  <w:abstractNum w:abstractNumId="3">
    <w:nsid w:val="FFFFFF81"/>
    <w:multiLevelType w:val="singleLevel"/>
    <w:tmpl w:val="9490F0D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CA0FB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9E4E5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3F463E8"/>
    <w:lvl w:ilvl="0">
      <w:start w:val="1"/>
      <w:numFmt w:val="decimal"/>
      <w:pStyle w:val="ListNumber"/>
      <w:lvlText w:val="%1."/>
      <w:lvlJc w:val="left"/>
      <w:pPr>
        <w:tabs>
          <w:tab w:val="num" w:pos="360"/>
        </w:tabs>
        <w:ind w:left="360" w:hanging="360"/>
      </w:pPr>
    </w:lvl>
  </w:abstractNum>
  <w:abstractNum w:abstractNumId="7">
    <w:nsid w:val="FFFFFF89"/>
    <w:multiLevelType w:val="singleLevel"/>
    <w:tmpl w:val="F74239C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5-20 15:31:3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7893A2A504F84599BB658BDF7865BE71"/>
    <w:docVar w:name="LW_CROSSREFERENCE" w:val="&lt;UNUSED&gt;"/>
    <w:docVar w:name="LW_DocType" w:val="COM"/>
    <w:docVar w:name="LW_EMISSION" w:val="18.5.2016."/>
    <w:docVar w:name="LW_EMISSION_ISODATE" w:val="2016-05-18"/>
    <w:docVar w:name="LW_EMISSION_LOCATION" w:val="BRX"/>
    <w:docVar w:name="LW_EMISSION_PREFIX" w:val="Bruxelles, "/>
    <w:docVar w:name="LW_EMISSION_SUFFIX" w:val=" "/>
    <w:docVar w:name="LW_ID_DOCMODEL" w:val="SG-002"/>
    <w:docVar w:name="LW_ID_DOCSIGNATURE" w:val="SG-002"/>
    <w:docVar w:name="LW_ID_DOCSTRUCTURE" w:val="COM/PL/ORG"/>
    <w:docVar w:name="LW_ID_DOCTYPE" w:val="SG-002"/>
    <w:docVar w:name="LW_ID_STATUT" w:val="SG-002"/>
    <w:docVar w:name="LW_INTERETEEE.CP" w:val="&lt;UNUSED&gt;"/>
    <w:docVar w:name="LW_LANGUE" w:val="HR"/>
    <w:docVar w:name="LW_MARKING" w:val="&lt;UNUSED&gt;"/>
    <w:docVar w:name="LW_NOM.INST" w:val="EUROPSKA KOMISIJA"/>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328"/>
    <w:docVar w:name="LW_REF.INTERNE" w:val="&lt;UNUSED&gt;"/>
    <w:docVar w:name="LW_SOUS.TITRE.OBJ.CP" w:val="&lt;UNUSED&gt;"/>
    <w:docVar w:name="LW_STATUT.CP" w:val="Preporuka za"/>
    <w:docVar w:name="LW_SUPERTITRE" w:val="&lt;UNUSED&gt;"/>
    <w:docVar w:name="LW_TITRE.OBJ.CP" w:val="o Nacionalnom programu reformi Irske za 2016._x000b__x000b_i dostavljanju mi\u353?ljenja Vije\u263?a o Programu stabilnosti Irske za 2016."/>
    <w:docVar w:name="LW_TYPE.DOC.CP" w:val="PREPORUKU VIJE\u262?A"/>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Normal"/>
    <w:link w:val="Heading5Char"/>
    <w:qFormat/>
    <w:pPr>
      <w:tabs>
        <w:tab w:val="num" w:pos="1440"/>
      </w:tabs>
      <w:spacing w:after="240"/>
      <w:ind w:left="1440" w:hanging="1440"/>
      <w:outlineLvl w:val="4"/>
    </w:pPr>
    <w:rPr>
      <w:szCs w:val="20"/>
    </w:rPr>
  </w:style>
  <w:style w:type="paragraph" w:styleId="Heading6">
    <w:name w:val="heading 6"/>
    <w:basedOn w:val="Normal"/>
    <w:next w:val="Normal"/>
    <w:link w:val="Heading6Char"/>
    <w:qFormat/>
    <w:pPr>
      <w:tabs>
        <w:tab w:val="num" w:pos="1440"/>
      </w:tabs>
      <w:spacing w:after="240"/>
      <w:ind w:left="1440" w:hanging="1440"/>
      <w:outlineLvl w:val="5"/>
    </w:pPr>
    <w:rPr>
      <w:szCs w:val="20"/>
    </w:rPr>
  </w:style>
  <w:style w:type="paragraph" w:styleId="Heading7">
    <w:name w:val="heading 7"/>
    <w:basedOn w:val="Normal"/>
    <w:next w:val="Normal"/>
    <w:link w:val="Heading7Char"/>
    <w:qFormat/>
    <w:pPr>
      <w:tabs>
        <w:tab w:val="num" w:pos="1440"/>
      </w:tabs>
      <w:spacing w:after="240"/>
      <w:ind w:left="1440" w:hanging="1440"/>
      <w:outlineLvl w:val="6"/>
    </w:pPr>
    <w:rPr>
      <w:szCs w:val="20"/>
    </w:rPr>
  </w:style>
  <w:style w:type="paragraph" w:styleId="Heading8">
    <w:name w:val="heading 8"/>
    <w:basedOn w:val="Normal"/>
    <w:next w:val="Normal"/>
    <w:link w:val="Heading8Char"/>
    <w:qFormat/>
    <w:pPr>
      <w:tabs>
        <w:tab w:val="num" w:pos="1440"/>
      </w:tabs>
      <w:spacing w:after="240"/>
      <w:ind w:left="1440" w:hanging="1440"/>
      <w:outlineLvl w:val="7"/>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hr-HR"/>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hr-HR"/>
    </w:rPr>
  </w:style>
  <w:style w:type="character" w:customStyle="1" w:styleId="Heading5Char">
    <w:name w:val="Heading 5 Char"/>
    <w:link w:val="Heading5"/>
    <w:rPr>
      <w:rFonts w:ascii="Times New Roman" w:eastAsia="Calibri" w:hAnsi="Times New Roman" w:cs="Times New Roman"/>
      <w:sz w:val="24"/>
      <w:szCs w:val="20"/>
      <w:lang w:val="hr-HR"/>
    </w:rPr>
  </w:style>
  <w:style w:type="character" w:customStyle="1" w:styleId="Heading6Char">
    <w:name w:val="Heading 6 Char"/>
    <w:link w:val="Heading6"/>
    <w:rPr>
      <w:rFonts w:ascii="Times New Roman" w:eastAsia="Calibri" w:hAnsi="Times New Roman" w:cs="Times New Roman"/>
      <w:sz w:val="24"/>
      <w:szCs w:val="20"/>
      <w:lang w:val="hr-HR"/>
    </w:rPr>
  </w:style>
  <w:style w:type="character" w:customStyle="1" w:styleId="Heading7Char">
    <w:name w:val="Heading 7 Char"/>
    <w:link w:val="Heading7"/>
    <w:rPr>
      <w:rFonts w:ascii="Times New Roman" w:eastAsia="Calibri" w:hAnsi="Times New Roman" w:cs="Times New Roman"/>
      <w:sz w:val="24"/>
      <w:szCs w:val="20"/>
      <w:lang w:val="hr-HR"/>
    </w:rPr>
  </w:style>
  <w:style w:type="character" w:customStyle="1" w:styleId="Heading8Char">
    <w:name w:val="Heading 8 Char"/>
    <w:link w:val="Heading8"/>
    <w:rPr>
      <w:rFonts w:ascii="Times New Roman" w:eastAsia="Calibri" w:hAnsi="Times New Roman" w:cs="Times New Roman"/>
      <w:sz w:val="24"/>
      <w:szCs w:val="20"/>
      <w:lang w:val="hr-HR"/>
    </w:rPr>
  </w:style>
  <w:style w:type="character" w:styleId="Strong">
    <w:name w:val="Strong"/>
    <w:qFormat/>
    <w:rPr>
      <w:b/>
      <w:bCs/>
    </w:rPr>
  </w:style>
  <w:style w:type="character" w:styleId="Emphasis">
    <w:name w:val="Emphasis"/>
    <w:uiPriority w:val="20"/>
    <w:qFormat/>
    <w:rPr>
      <w:i/>
      <w:iCs/>
    </w:rPr>
  </w:style>
  <w:style w:type="paragraph" w:styleId="ListParagraph">
    <w:name w:val="List Paragraph"/>
    <w:basedOn w:val="Normal"/>
    <w:uiPriority w:val="34"/>
    <w:qFormat/>
    <w:pPr>
      <w:spacing w:after="240"/>
      <w:ind w:left="720"/>
      <w:contextualSpacing/>
    </w:pPr>
    <w:rPr>
      <w:szCs w:val="20"/>
    </w:rPr>
  </w:style>
  <w:style w:type="paragraph" w:styleId="Revision">
    <w:name w:val="Revision"/>
    <w:hidden/>
    <w:uiPriority w:val="99"/>
    <w:semiHidden/>
    <w:rPr>
      <w:rFonts w:ascii="Times New Roman" w:hAnsi="Times New Roman"/>
      <w:sz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Normal"/>
    <w:link w:val="Heading5Char"/>
    <w:qFormat/>
    <w:pPr>
      <w:tabs>
        <w:tab w:val="num" w:pos="1440"/>
      </w:tabs>
      <w:spacing w:after="240"/>
      <w:ind w:left="1440" w:hanging="1440"/>
      <w:outlineLvl w:val="4"/>
    </w:pPr>
    <w:rPr>
      <w:szCs w:val="20"/>
    </w:rPr>
  </w:style>
  <w:style w:type="paragraph" w:styleId="Heading6">
    <w:name w:val="heading 6"/>
    <w:basedOn w:val="Normal"/>
    <w:next w:val="Normal"/>
    <w:link w:val="Heading6Char"/>
    <w:qFormat/>
    <w:pPr>
      <w:tabs>
        <w:tab w:val="num" w:pos="1440"/>
      </w:tabs>
      <w:spacing w:after="240"/>
      <w:ind w:left="1440" w:hanging="1440"/>
      <w:outlineLvl w:val="5"/>
    </w:pPr>
    <w:rPr>
      <w:szCs w:val="20"/>
    </w:rPr>
  </w:style>
  <w:style w:type="paragraph" w:styleId="Heading7">
    <w:name w:val="heading 7"/>
    <w:basedOn w:val="Normal"/>
    <w:next w:val="Normal"/>
    <w:link w:val="Heading7Char"/>
    <w:qFormat/>
    <w:pPr>
      <w:tabs>
        <w:tab w:val="num" w:pos="1440"/>
      </w:tabs>
      <w:spacing w:after="240"/>
      <w:ind w:left="1440" w:hanging="1440"/>
      <w:outlineLvl w:val="6"/>
    </w:pPr>
    <w:rPr>
      <w:szCs w:val="20"/>
    </w:rPr>
  </w:style>
  <w:style w:type="paragraph" w:styleId="Heading8">
    <w:name w:val="heading 8"/>
    <w:basedOn w:val="Normal"/>
    <w:next w:val="Normal"/>
    <w:link w:val="Heading8Char"/>
    <w:qFormat/>
    <w:pPr>
      <w:tabs>
        <w:tab w:val="num" w:pos="1440"/>
      </w:tabs>
      <w:spacing w:after="240"/>
      <w:ind w:left="1440" w:hanging="1440"/>
      <w:outlineLvl w:val="7"/>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hr-HR"/>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hr-HR"/>
    </w:rPr>
  </w:style>
  <w:style w:type="character" w:customStyle="1" w:styleId="Heading5Char">
    <w:name w:val="Heading 5 Char"/>
    <w:link w:val="Heading5"/>
    <w:rPr>
      <w:rFonts w:ascii="Times New Roman" w:eastAsia="Calibri" w:hAnsi="Times New Roman" w:cs="Times New Roman"/>
      <w:sz w:val="24"/>
      <w:szCs w:val="20"/>
      <w:lang w:val="hr-HR"/>
    </w:rPr>
  </w:style>
  <w:style w:type="character" w:customStyle="1" w:styleId="Heading6Char">
    <w:name w:val="Heading 6 Char"/>
    <w:link w:val="Heading6"/>
    <w:rPr>
      <w:rFonts w:ascii="Times New Roman" w:eastAsia="Calibri" w:hAnsi="Times New Roman" w:cs="Times New Roman"/>
      <w:sz w:val="24"/>
      <w:szCs w:val="20"/>
      <w:lang w:val="hr-HR"/>
    </w:rPr>
  </w:style>
  <w:style w:type="character" w:customStyle="1" w:styleId="Heading7Char">
    <w:name w:val="Heading 7 Char"/>
    <w:link w:val="Heading7"/>
    <w:rPr>
      <w:rFonts w:ascii="Times New Roman" w:eastAsia="Calibri" w:hAnsi="Times New Roman" w:cs="Times New Roman"/>
      <w:sz w:val="24"/>
      <w:szCs w:val="20"/>
      <w:lang w:val="hr-HR"/>
    </w:rPr>
  </w:style>
  <w:style w:type="character" w:customStyle="1" w:styleId="Heading8Char">
    <w:name w:val="Heading 8 Char"/>
    <w:link w:val="Heading8"/>
    <w:rPr>
      <w:rFonts w:ascii="Times New Roman" w:eastAsia="Calibri" w:hAnsi="Times New Roman" w:cs="Times New Roman"/>
      <w:sz w:val="24"/>
      <w:szCs w:val="20"/>
      <w:lang w:val="hr-HR"/>
    </w:rPr>
  </w:style>
  <w:style w:type="character" w:styleId="Strong">
    <w:name w:val="Strong"/>
    <w:qFormat/>
    <w:rPr>
      <w:b/>
      <w:bCs/>
    </w:rPr>
  </w:style>
  <w:style w:type="character" w:styleId="Emphasis">
    <w:name w:val="Emphasis"/>
    <w:uiPriority w:val="20"/>
    <w:qFormat/>
    <w:rPr>
      <w:i/>
      <w:iCs/>
    </w:rPr>
  </w:style>
  <w:style w:type="paragraph" w:styleId="ListParagraph">
    <w:name w:val="List Paragraph"/>
    <w:basedOn w:val="Normal"/>
    <w:uiPriority w:val="34"/>
    <w:qFormat/>
    <w:pPr>
      <w:spacing w:after="240"/>
      <w:ind w:left="720"/>
      <w:contextualSpacing/>
    </w:pPr>
    <w:rPr>
      <w:szCs w:val="20"/>
    </w:rPr>
  </w:style>
  <w:style w:type="paragraph" w:styleId="Revision">
    <w:name w:val="Revision"/>
    <w:hidden/>
    <w:uiPriority w:val="99"/>
    <w:semiHidden/>
    <w:rPr>
      <w:rFonts w:ascii="Times New Roman" w:hAnsi="Times New Roman"/>
      <w:sz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52462">
      <w:bodyDiv w:val="1"/>
      <w:marLeft w:val="0"/>
      <w:marRight w:val="0"/>
      <w:marTop w:val="0"/>
      <w:marBottom w:val="0"/>
      <w:divBdr>
        <w:top w:val="none" w:sz="0" w:space="0" w:color="auto"/>
        <w:left w:val="none" w:sz="0" w:space="0" w:color="auto"/>
        <w:bottom w:val="none" w:sz="0" w:space="0" w:color="auto"/>
        <w:right w:val="none" w:sz="0" w:space="0" w:color="auto"/>
      </w:divBdr>
    </w:div>
    <w:div w:id="1159231055">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f1740c95-8c94-4e2b-bb68-099fa8775224">Not Started</EC_Collab_Status>
    <_Status xmlns="http://schemas.microsoft.com/sharepoint/v3/fields">Not Started</_Status>
    <EC_Collab_DocumentLanguage xmlns="f1740c95-8c94-4e2b-bb68-099fa8775224">EN</EC_Collab_DocumentLanguage>
    <EC_Collab_Reference xmlns="f1740c95-8c94-4e2b-bb68-099fa87752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9C034196E3757489169EA8E8E1B4C16" ma:contentTypeVersion="1" ma:contentTypeDescription="Create a new document in this library." ma:contentTypeScope="" ma:versionID="aeddc8888498fa536f50d3e231ff526e">
  <xsd:schema xmlns:xsd="http://www.w3.org/2001/XMLSchema" xmlns:xs="http://www.w3.org/2001/XMLSchema" xmlns:p="http://schemas.microsoft.com/office/2006/metadata/properties" xmlns:ns2="http://schemas.microsoft.com/sharepoint/v3/fields" xmlns:ns3="f1740c95-8c94-4e2b-bb68-099fa8775224" targetNamespace="http://schemas.microsoft.com/office/2006/metadata/properties" ma:root="true" ma:fieldsID="2658a571dec28f573b4d7987cc77c626" ns2:_="" ns3:_="">
    <xsd:import namespace="http://schemas.microsoft.com/sharepoint/v3/fields"/>
    <xsd:import namespace="f1740c95-8c94-4e2b-bb68-099fa877522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1740c95-8c94-4e2b-bb68-099fa877522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1FE04-C3C1-41CA-AD66-4F9C17DACA63}">
  <ds:schemaRefs>
    <ds:schemaRef ds:uri="f1740c95-8c94-4e2b-bb68-099fa8775224"/>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schemas.microsoft.com/sharepoint/v3/fields"/>
    <ds:schemaRef ds:uri="http://schemas.microsoft.com/office/2006/metadata/properties"/>
  </ds:schemaRefs>
</ds:datastoreItem>
</file>

<file path=customXml/itemProps2.xml><?xml version="1.0" encoding="utf-8"?>
<ds:datastoreItem xmlns:ds="http://schemas.openxmlformats.org/officeDocument/2006/customXml" ds:itemID="{4FE94079-39DD-4D85-97AD-69EE0D274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1740c95-8c94-4e2b-bb68-099fa8775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E3A26-285B-4CFE-9438-ACE4DD16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2170</Words>
  <Characters>12719</Characters>
  <Application>Microsoft Office Word</Application>
  <DocSecurity>0</DocSecurity>
  <Lines>208</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2016-05-19T14:33:00Z</dcterms:created>
  <dcterms:modified xsi:type="dcterms:W3CDTF">2016-05-20T13:31:00Z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SG-002</vt:lpwstr>
  </property>
  <property fmtid="{D5CDD505-2E9C-101B-9397-08002B2CF9AE}" pid="8" name="_NewReviewCycle">
    <vt:lpwstr/>
  </property>
  <property fmtid="{D5CDD505-2E9C-101B-9397-08002B2CF9AE}" pid="9" name="DQCStatus">
    <vt:lpwstr>Green (DQC version 03)</vt:lpwstr>
  </property>
</Properties>
</file>