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4E2" w:rsidRDefault="00B444E2">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B1E43359F554B7CBD143375A68A1BA9" style="width:450.75pt;height:293.25pt">
            <v:imagedata r:id="rId8" o:title=""/>
          </v:shape>
        </w:pict>
      </w:r>
    </w:p>
    <w:bookmarkEnd w:id="0"/>
    <w:p w:rsidR="00B444E2" w:rsidRDefault="00B444E2">
      <w:pPr>
        <w:rPr>
          <w:noProof/>
        </w:rPr>
        <w:sectPr w:rsidR="00B444E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rsidR="00B444E2" w:rsidRDefault="00B444E2">
      <w:pPr>
        <w:jc w:val="center"/>
        <w:rPr>
          <w:rFonts w:ascii="Times New Roman" w:hAnsi="Times New Roman"/>
          <w:b/>
          <w:noProof/>
          <w:sz w:val="24"/>
        </w:rPr>
      </w:pPr>
      <w:r>
        <w:rPr>
          <w:rFonts w:ascii="Times New Roman" w:hAnsi="Times New Roman"/>
          <w:b/>
          <w:noProof/>
          <w:sz w:val="24"/>
        </w:rPr>
        <w:t>IZVJEŠĆE KOMISIJE EUROPSKOM PARLAMENTU I VIJEĆU</w:t>
      </w:r>
    </w:p>
    <w:p w:rsidR="00B444E2" w:rsidRDefault="00B444E2">
      <w:pPr>
        <w:jc w:val="center"/>
        <w:rPr>
          <w:rFonts w:ascii="Times New Roman" w:hAnsi="Times New Roman"/>
          <w:b/>
          <w:noProof/>
          <w:sz w:val="24"/>
        </w:rPr>
      </w:pPr>
      <w:r>
        <w:rPr>
          <w:rFonts w:ascii="Times New Roman" w:hAnsi="Times New Roman"/>
          <w:b/>
          <w:noProof/>
          <w:sz w:val="24"/>
        </w:rPr>
        <w:t>o utjecaju genetskog odabira na dobrobit pilića koji se uzgajaju za proizvodnju mesa</w:t>
      </w:r>
    </w:p>
    <w:p w:rsidR="00B444E2" w:rsidRDefault="00B444E2">
      <w:pPr>
        <w:pStyle w:val="TOC1"/>
        <w:tabs>
          <w:tab w:val="left" w:pos="440"/>
          <w:tab w:val="right" w:leader="dot" w:pos="9062"/>
        </w:tabs>
        <w:rPr>
          <w:rFonts w:eastAsia="SimSun"/>
          <w:noProof/>
          <w:lang w:eastAsia="zh-CN"/>
        </w:rPr>
      </w:pPr>
      <w:r>
        <w:rPr>
          <w:rFonts w:ascii="Times New Roman" w:hAnsi="Times New Roman"/>
          <w:noProof/>
        </w:rPr>
        <w:fldChar w:fldCharType="begin"/>
      </w:r>
      <w:r>
        <w:rPr>
          <w:rFonts w:ascii="Times New Roman" w:hAnsi="Times New Roman"/>
          <w:noProof/>
        </w:rPr>
        <w:instrText xml:space="preserve"> TOC \o "1-3" \h \z \u </w:instrText>
      </w:r>
      <w:r>
        <w:rPr>
          <w:rFonts w:ascii="Times New Roman" w:hAnsi="Times New Roman"/>
          <w:noProof/>
        </w:rPr>
        <w:fldChar w:fldCharType="separate"/>
      </w:r>
      <w:hyperlink w:anchor="_Toc445910052" w:history="1">
        <w:r>
          <w:rPr>
            <w:rStyle w:val="Hyperlink"/>
            <w:noProof/>
          </w:rPr>
          <w:t>1.</w:t>
        </w:r>
        <w:r>
          <w:rPr>
            <w:rFonts w:eastAsia="SimSun"/>
            <w:noProof/>
            <w:lang w:eastAsia="zh-CN"/>
          </w:rPr>
          <w:tab/>
        </w:r>
        <w:r>
          <w:rPr>
            <w:rStyle w:val="Hyperlink"/>
            <w:noProof/>
          </w:rPr>
          <w:t>KONTEKST</w:t>
        </w:r>
        <w:r>
          <w:rPr>
            <w:noProof/>
            <w:webHidden/>
          </w:rPr>
          <w:tab/>
        </w:r>
        <w:r>
          <w:rPr>
            <w:noProof/>
            <w:webHidden/>
          </w:rPr>
          <w:fldChar w:fldCharType="begin"/>
        </w:r>
        <w:r>
          <w:rPr>
            <w:noProof/>
            <w:webHidden/>
          </w:rPr>
          <w:instrText xml:space="preserve"> PAGEREF _Toc445910052 \h </w:instrText>
        </w:r>
        <w:r>
          <w:rPr>
            <w:noProof/>
            <w:webHidden/>
          </w:rPr>
        </w:r>
        <w:r>
          <w:rPr>
            <w:noProof/>
            <w:webHidden/>
          </w:rPr>
          <w:fldChar w:fldCharType="separate"/>
        </w:r>
        <w:r>
          <w:rPr>
            <w:noProof/>
            <w:webHidden/>
          </w:rPr>
          <w:t>2</w:t>
        </w:r>
        <w:r>
          <w:rPr>
            <w:noProof/>
            <w:webHidden/>
          </w:rPr>
          <w:fldChar w:fldCharType="end"/>
        </w:r>
      </w:hyperlink>
    </w:p>
    <w:p w:rsidR="00B444E2" w:rsidRDefault="00B444E2">
      <w:pPr>
        <w:pStyle w:val="TOC1"/>
        <w:tabs>
          <w:tab w:val="left" w:pos="440"/>
          <w:tab w:val="right" w:leader="dot" w:pos="9062"/>
        </w:tabs>
        <w:rPr>
          <w:rFonts w:eastAsia="SimSun"/>
          <w:noProof/>
          <w:lang w:eastAsia="zh-CN"/>
        </w:rPr>
      </w:pPr>
      <w:hyperlink w:anchor="_Toc445910053" w:history="1">
        <w:r>
          <w:rPr>
            <w:rStyle w:val="Hyperlink"/>
            <w:noProof/>
          </w:rPr>
          <w:t>2.</w:t>
        </w:r>
        <w:r>
          <w:rPr>
            <w:rFonts w:eastAsia="SimSun"/>
            <w:noProof/>
            <w:lang w:eastAsia="zh-CN"/>
          </w:rPr>
          <w:tab/>
        </w:r>
        <w:r>
          <w:rPr>
            <w:rStyle w:val="Hyperlink"/>
            <w:noProof/>
          </w:rPr>
          <w:t>SEKTOR PILEĆEG MESA</w:t>
        </w:r>
        <w:r>
          <w:rPr>
            <w:noProof/>
            <w:webHidden/>
          </w:rPr>
          <w:tab/>
        </w:r>
        <w:r>
          <w:rPr>
            <w:noProof/>
            <w:webHidden/>
          </w:rPr>
          <w:fldChar w:fldCharType="begin"/>
        </w:r>
        <w:r>
          <w:rPr>
            <w:noProof/>
            <w:webHidden/>
          </w:rPr>
          <w:instrText xml:space="preserve"> PAGEREF _Toc445910053 \h </w:instrText>
        </w:r>
        <w:r>
          <w:rPr>
            <w:noProof/>
            <w:webHidden/>
          </w:rPr>
        </w:r>
        <w:r>
          <w:rPr>
            <w:noProof/>
            <w:webHidden/>
          </w:rPr>
          <w:fldChar w:fldCharType="separate"/>
        </w:r>
        <w:r>
          <w:rPr>
            <w:noProof/>
            <w:webHidden/>
          </w:rPr>
          <w:t>3</w:t>
        </w:r>
        <w:r>
          <w:rPr>
            <w:noProof/>
            <w:webHidden/>
          </w:rPr>
          <w:fldChar w:fldCharType="end"/>
        </w:r>
      </w:hyperlink>
    </w:p>
    <w:p w:rsidR="00B444E2" w:rsidRDefault="00B444E2">
      <w:pPr>
        <w:pStyle w:val="TOC2"/>
        <w:tabs>
          <w:tab w:val="right" w:leader="dot" w:pos="9062"/>
        </w:tabs>
        <w:rPr>
          <w:rFonts w:eastAsia="SimSun"/>
          <w:noProof/>
          <w:lang w:eastAsia="zh-CN"/>
        </w:rPr>
      </w:pPr>
      <w:hyperlink w:anchor="_Toc445910054" w:history="1">
        <w:r>
          <w:rPr>
            <w:rStyle w:val="Hyperlink"/>
            <w:noProof/>
          </w:rPr>
          <w:t>2.1. Proizvodnja, trgovina i potrošnja u EU-u</w:t>
        </w:r>
        <w:r>
          <w:rPr>
            <w:noProof/>
            <w:webHidden/>
          </w:rPr>
          <w:tab/>
        </w:r>
        <w:r>
          <w:rPr>
            <w:noProof/>
            <w:webHidden/>
          </w:rPr>
          <w:fldChar w:fldCharType="begin"/>
        </w:r>
        <w:r>
          <w:rPr>
            <w:noProof/>
            <w:webHidden/>
          </w:rPr>
          <w:instrText xml:space="preserve"> PAGEREF _Toc445910054 \h </w:instrText>
        </w:r>
        <w:r>
          <w:rPr>
            <w:noProof/>
            <w:webHidden/>
          </w:rPr>
        </w:r>
        <w:r>
          <w:rPr>
            <w:noProof/>
            <w:webHidden/>
          </w:rPr>
          <w:fldChar w:fldCharType="separate"/>
        </w:r>
        <w:r>
          <w:rPr>
            <w:noProof/>
            <w:webHidden/>
          </w:rPr>
          <w:t>3</w:t>
        </w:r>
        <w:r>
          <w:rPr>
            <w:noProof/>
            <w:webHidden/>
          </w:rPr>
          <w:fldChar w:fldCharType="end"/>
        </w:r>
      </w:hyperlink>
    </w:p>
    <w:p w:rsidR="00B444E2" w:rsidRDefault="00B444E2">
      <w:pPr>
        <w:pStyle w:val="TOC2"/>
        <w:tabs>
          <w:tab w:val="right" w:leader="dot" w:pos="9062"/>
        </w:tabs>
        <w:rPr>
          <w:rFonts w:eastAsia="SimSun"/>
          <w:noProof/>
          <w:lang w:eastAsia="zh-CN"/>
        </w:rPr>
      </w:pPr>
      <w:hyperlink w:anchor="_Toc445910055" w:history="1">
        <w:r>
          <w:rPr>
            <w:rStyle w:val="Hyperlink"/>
            <w:noProof/>
          </w:rPr>
          <w:t>2.2. Odabir za uzgoj</w:t>
        </w:r>
        <w:r>
          <w:rPr>
            <w:noProof/>
            <w:webHidden/>
          </w:rPr>
          <w:tab/>
        </w:r>
        <w:r>
          <w:rPr>
            <w:noProof/>
            <w:webHidden/>
          </w:rPr>
          <w:fldChar w:fldCharType="begin"/>
        </w:r>
        <w:r>
          <w:rPr>
            <w:noProof/>
            <w:webHidden/>
          </w:rPr>
          <w:instrText xml:space="preserve"> PAGEREF _Toc445910055 \h </w:instrText>
        </w:r>
        <w:r>
          <w:rPr>
            <w:noProof/>
            <w:webHidden/>
          </w:rPr>
        </w:r>
        <w:r>
          <w:rPr>
            <w:noProof/>
            <w:webHidden/>
          </w:rPr>
          <w:fldChar w:fldCharType="separate"/>
        </w:r>
        <w:r>
          <w:rPr>
            <w:noProof/>
            <w:webHidden/>
          </w:rPr>
          <w:t>3</w:t>
        </w:r>
        <w:r>
          <w:rPr>
            <w:noProof/>
            <w:webHidden/>
          </w:rPr>
          <w:fldChar w:fldCharType="end"/>
        </w:r>
      </w:hyperlink>
    </w:p>
    <w:p w:rsidR="00B444E2" w:rsidRDefault="00B444E2">
      <w:pPr>
        <w:pStyle w:val="TOC1"/>
        <w:tabs>
          <w:tab w:val="left" w:pos="440"/>
          <w:tab w:val="right" w:leader="dot" w:pos="9062"/>
        </w:tabs>
        <w:rPr>
          <w:rFonts w:eastAsia="SimSun"/>
          <w:noProof/>
          <w:lang w:eastAsia="zh-CN"/>
        </w:rPr>
      </w:pPr>
      <w:hyperlink w:anchor="_Toc445910056" w:history="1">
        <w:r>
          <w:rPr>
            <w:rStyle w:val="Hyperlink"/>
            <w:noProof/>
          </w:rPr>
          <w:t>3.</w:t>
        </w:r>
        <w:r>
          <w:rPr>
            <w:rFonts w:eastAsia="SimSun"/>
            <w:noProof/>
            <w:lang w:eastAsia="zh-CN"/>
          </w:rPr>
          <w:tab/>
        </w:r>
        <w:r>
          <w:rPr>
            <w:rStyle w:val="Hyperlink"/>
            <w:noProof/>
          </w:rPr>
          <w:t>GENETSKI ODABIR I NJEGOV UČINAK NA DOBROBIT BROJLERA</w:t>
        </w:r>
        <w:r>
          <w:rPr>
            <w:noProof/>
            <w:webHidden/>
          </w:rPr>
          <w:tab/>
        </w:r>
        <w:r>
          <w:rPr>
            <w:noProof/>
            <w:webHidden/>
          </w:rPr>
          <w:fldChar w:fldCharType="begin"/>
        </w:r>
        <w:r>
          <w:rPr>
            <w:noProof/>
            <w:webHidden/>
          </w:rPr>
          <w:instrText xml:space="preserve"> PAGEREF _Toc445910056 \h </w:instrText>
        </w:r>
        <w:r>
          <w:rPr>
            <w:noProof/>
            <w:webHidden/>
          </w:rPr>
        </w:r>
        <w:r>
          <w:rPr>
            <w:noProof/>
            <w:webHidden/>
          </w:rPr>
          <w:fldChar w:fldCharType="separate"/>
        </w:r>
        <w:r>
          <w:rPr>
            <w:noProof/>
            <w:webHidden/>
          </w:rPr>
          <w:t>5</w:t>
        </w:r>
        <w:r>
          <w:rPr>
            <w:noProof/>
            <w:webHidden/>
          </w:rPr>
          <w:fldChar w:fldCharType="end"/>
        </w:r>
      </w:hyperlink>
    </w:p>
    <w:p w:rsidR="00B444E2" w:rsidRDefault="00B444E2">
      <w:pPr>
        <w:pStyle w:val="TOC2"/>
        <w:tabs>
          <w:tab w:val="right" w:leader="dot" w:pos="9062"/>
        </w:tabs>
        <w:rPr>
          <w:rFonts w:eastAsia="SimSun"/>
          <w:noProof/>
          <w:lang w:eastAsia="zh-CN"/>
        </w:rPr>
      </w:pPr>
      <w:hyperlink w:anchor="_Toc445910057" w:history="1">
        <w:r>
          <w:rPr>
            <w:rStyle w:val="Hyperlink"/>
            <w:noProof/>
          </w:rPr>
          <w:t>3.1. Genetski odabir: nasljednost i pritisak odabira</w:t>
        </w:r>
        <w:r>
          <w:rPr>
            <w:noProof/>
            <w:webHidden/>
          </w:rPr>
          <w:tab/>
        </w:r>
        <w:r>
          <w:rPr>
            <w:noProof/>
            <w:webHidden/>
          </w:rPr>
          <w:fldChar w:fldCharType="begin"/>
        </w:r>
        <w:r>
          <w:rPr>
            <w:noProof/>
            <w:webHidden/>
          </w:rPr>
          <w:instrText xml:space="preserve"> PAGEREF _Toc445910057 \h </w:instrText>
        </w:r>
        <w:r>
          <w:rPr>
            <w:noProof/>
            <w:webHidden/>
          </w:rPr>
        </w:r>
        <w:r>
          <w:rPr>
            <w:noProof/>
            <w:webHidden/>
          </w:rPr>
          <w:fldChar w:fldCharType="separate"/>
        </w:r>
        <w:r>
          <w:rPr>
            <w:noProof/>
            <w:webHidden/>
          </w:rPr>
          <w:t>5</w:t>
        </w:r>
        <w:r>
          <w:rPr>
            <w:noProof/>
            <w:webHidden/>
          </w:rPr>
          <w:fldChar w:fldCharType="end"/>
        </w:r>
      </w:hyperlink>
    </w:p>
    <w:p w:rsidR="00B444E2" w:rsidRDefault="00B444E2">
      <w:pPr>
        <w:pStyle w:val="TOC2"/>
        <w:tabs>
          <w:tab w:val="right" w:leader="dot" w:pos="9062"/>
        </w:tabs>
        <w:rPr>
          <w:rFonts w:eastAsia="SimSun"/>
          <w:noProof/>
          <w:lang w:eastAsia="zh-CN"/>
        </w:rPr>
      </w:pPr>
      <w:hyperlink w:anchor="_Toc445910058" w:history="1">
        <w:r>
          <w:rPr>
            <w:rStyle w:val="Hyperlink"/>
            <w:noProof/>
          </w:rPr>
          <w:t>3.2. Utjecaj na dobrobit životinja</w:t>
        </w:r>
        <w:r>
          <w:rPr>
            <w:noProof/>
            <w:webHidden/>
          </w:rPr>
          <w:tab/>
        </w:r>
        <w:r>
          <w:rPr>
            <w:noProof/>
            <w:webHidden/>
          </w:rPr>
          <w:fldChar w:fldCharType="begin"/>
        </w:r>
        <w:r>
          <w:rPr>
            <w:noProof/>
            <w:webHidden/>
          </w:rPr>
          <w:instrText xml:space="preserve"> PAGEREF _Toc445910058 \h </w:instrText>
        </w:r>
        <w:r>
          <w:rPr>
            <w:noProof/>
            <w:webHidden/>
          </w:rPr>
        </w:r>
        <w:r>
          <w:rPr>
            <w:noProof/>
            <w:webHidden/>
          </w:rPr>
          <w:fldChar w:fldCharType="separate"/>
        </w:r>
        <w:r>
          <w:rPr>
            <w:noProof/>
            <w:webHidden/>
          </w:rPr>
          <w:t>6</w:t>
        </w:r>
        <w:r>
          <w:rPr>
            <w:noProof/>
            <w:webHidden/>
          </w:rPr>
          <w:fldChar w:fldCharType="end"/>
        </w:r>
      </w:hyperlink>
    </w:p>
    <w:p w:rsidR="00B444E2" w:rsidRDefault="00B444E2">
      <w:pPr>
        <w:pStyle w:val="TOC2"/>
        <w:tabs>
          <w:tab w:val="right" w:leader="dot" w:pos="9062"/>
        </w:tabs>
        <w:rPr>
          <w:rFonts w:eastAsia="SimSun"/>
          <w:noProof/>
          <w:lang w:eastAsia="zh-CN"/>
        </w:rPr>
      </w:pPr>
      <w:hyperlink w:anchor="_Toc445910059" w:history="1">
        <w:r>
          <w:rPr>
            <w:rStyle w:val="Hyperlink"/>
            <w:noProof/>
          </w:rPr>
          <w:t>3.3. Ciljevi u pogledu dobrobiti životinja i odabira</w:t>
        </w:r>
        <w:r>
          <w:rPr>
            <w:noProof/>
            <w:webHidden/>
          </w:rPr>
          <w:tab/>
        </w:r>
        <w:r>
          <w:rPr>
            <w:noProof/>
            <w:webHidden/>
          </w:rPr>
          <w:fldChar w:fldCharType="begin"/>
        </w:r>
        <w:r>
          <w:rPr>
            <w:noProof/>
            <w:webHidden/>
          </w:rPr>
          <w:instrText xml:space="preserve"> PAGEREF _Toc445910059 \h </w:instrText>
        </w:r>
        <w:r>
          <w:rPr>
            <w:noProof/>
            <w:webHidden/>
          </w:rPr>
        </w:r>
        <w:r>
          <w:rPr>
            <w:noProof/>
            <w:webHidden/>
          </w:rPr>
          <w:fldChar w:fldCharType="separate"/>
        </w:r>
        <w:r>
          <w:rPr>
            <w:noProof/>
            <w:webHidden/>
          </w:rPr>
          <w:t>7</w:t>
        </w:r>
        <w:r>
          <w:rPr>
            <w:noProof/>
            <w:webHidden/>
          </w:rPr>
          <w:fldChar w:fldCharType="end"/>
        </w:r>
      </w:hyperlink>
    </w:p>
    <w:p w:rsidR="00B444E2" w:rsidRDefault="00B444E2">
      <w:pPr>
        <w:pStyle w:val="TOC1"/>
        <w:tabs>
          <w:tab w:val="left" w:pos="440"/>
          <w:tab w:val="right" w:leader="dot" w:pos="9062"/>
        </w:tabs>
        <w:rPr>
          <w:rFonts w:eastAsia="SimSun"/>
          <w:noProof/>
          <w:lang w:eastAsia="zh-CN"/>
        </w:rPr>
      </w:pPr>
      <w:hyperlink w:anchor="_Toc445910060" w:history="1">
        <w:r>
          <w:rPr>
            <w:rStyle w:val="Hyperlink"/>
            <w:noProof/>
          </w:rPr>
          <w:t>4.</w:t>
        </w:r>
        <w:r>
          <w:rPr>
            <w:rFonts w:eastAsia="SimSun"/>
            <w:noProof/>
            <w:lang w:eastAsia="zh-CN"/>
          </w:rPr>
          <w:tab/>
        </w:r>
        <w:r>
          <w:rPr>
            <w:rStyle w:val="Hyperlink"/>
            <w:noProof/>
          </w:rPr>
          <w:t>TRENUTAČNO STANJE</w:t>
        </w:r>
        <w:r>
          <w:rPr>
            <w:noProof/>
            <w:webHidden/>
          </w:rPr>
          <w:tab/>
        </w:r>
        <w:r>
          <w:rPr>
            <w:noProof/>
            <w:webHidden/>
          </w:rPr>
          <w:fldChar w:fldCharType="begin"/>
        </w:r>
        <w:r>
          <w:rPr>
            <w:noProof/>
            <w:webHidden/>
          </w:rPr>
          <w:instrText xml:space="preserve"> PAGEREF _Toc445910060 \h </w:instrText>
        </w:r>
        <w:r>
          <w:rPr>
            <w:noProof/>
            <w:webHidden/>
          </w:rPr>
        </w:r>
        <w:r>
          <w:rPr>
            <w:noProof/>
            <w:webHidden/>
          </w:rPr>
          <w:fldChar w:fldCharType="separate"/>
        </w:r>
        <w:r>
          <w:rPr>
            <w:noProof/>
            <w:webHidden/>
          </w:rPr>
          <w:t>8</w:t>
        </w:r>
        <w:r>
          <w:rPr>
            <w:noProof/>
            <w:webHidden/>
          </w:rPr>
          <w:fldChar w:fldCharType="end"/>
        </w:r>
      </w:hyperlink>
    </w:p>
    <w:p w:rsidR="00B444E2" w:rsidRDefault="00B444E2">
      <w:pPr>
        <w:pStyle w:val="TOC2"/>
        <w:tabs>
          <w:tab w:val="right" w:leader="dot" w:pos="9062"/>
        </w:tabs>
        <w:rPr>
          <w:rFonts w:eastAsia="SimSun"/>
          <w:noProof/>
          <w:lang w:eastAsia="zh-CN"/>
        </w:rPr>
      </w:pPr>
      <w:hyperlink w:anchor="_Toc445910061" w:history="1">
        <w:r>
          <w:rPr>
            <w:rStyle w:val="Hyperlink"/>
            <w:noProof/>
          </w:rPr>
          <w:t>4.1. Dostupni podatci o programima odabira</w:t>
        </w:r>
        <w:r>
          <w:rPr>
            <w:noProof/>
            <w:webHidden/>
          </w:rPr>
          <w:tab/>
        </w:r>
        <w:r>
          <w:rPr>
            <w:noProof/>
            <w:webHidden/>
          </w:rPr>
          <w:fldChar w:fldCharType="begin"/>
        </w:r>
        <w:r>
          <w:rPr>
            <w:noProof/>
            <w:webHidden/>
          </w:rPr>
          <w:instrText xml:space="preserve"> PAGEREF _Toc445910061 \h </w:instrText>
        </w:r>
        <w:r>
          <w:rPr>
            <w:noProof/>
            <w:webHidden/>
          </w:rPr>
        </w:r>
        <w:r>
          <w:rPr>
            <w:noProof/>
            <w:webHidden/>
          </w:rPr>
          <w:fldChar w:fldCharType="separate"/>
        </w:r>
        <w:r>
          <w:rPr>
            <w:noProof/>
            <w:webHidden/>
          </w:rPr>
          <w:t>8</w:t>
        </w:r>
        <w:r>
          <w:rPr>
            <w:noProof/>
            <w:webHidden/>
          </w:rPr>
          <w:fldChar w:fldCharType="end"/>
        </w:r>
      </w:hyperlink>
    </w:p>
    <w:p w:rsidR="00B444E2" w:rsidRDefault="00B444E2">
      <w:pPr>
        <w:pStyle w:val="TOC2"/>
        <w:tabs>
          <w:tab w:val="right" w:leader="dot" w:pos="9062"/>
        </w:tabs>
        <w:rPr>
          <w:rFonts w:eastAsia="SimSun"/>
          <w:noProof/>
          <w:lang w:eastAsia="zh-CN"/>
        </w:rPr>
      </w:pPr>
      <w:hyperlink w:anchor="_Toc445910062" w:history="1">
        <w:r>
          <w:rPr>
            <w:rStyle w:val="Hyperlink"/>
            <w:noProof/>
          </w:rPr>
          <w:t>4.2. Genetska raznolikost</w:t>
        </w:r>
        <w:r>
          <w:rPr>
            <w:noProof/>
            <w:webHidden/>
          </w:rPr>
          <w:tab/>
        </w:r>
        <w:r>
          <w:rPr>
            <w:noProof/>
            <w:webHidden/>
          </w:rPr>
          <w:fldChar w:fldCharType="begin"/>
        </w:r>
        <w:r>
          <w:rPr>
            <w:noProof/>
            <w:webHidden/>
          </w:rPr>
          <w:instrText xml:space="preserve"> PAGEREF _Toc445910062 \h </w:instrText>
        </w:r>
        <w:r>
          <w:rPr>
            <w:noProof/>
            <w:webHidden/>
          </w:rPr>
        </w:r>
        <w:r>
          <w:rPr>
            <w:noProof/>
            <w:webHidden/>
          </w:rPr>
          <w:fldChar w:fldCharType="separate"/>
        </w:r>
        <w:r>
          <w:rPr>
            <w:noProof/>
            <w:webHidden/>
          </w:rPr>
          <w:t>8</w:t>
        </w:r>
        <w:r>
          <w:rPr>
            <w:noProof/>
            <w:webHidden/>
          </w:rPr>
          <w:fldChar w:fldCharType="end"/>
        </w:r>
      </w:hyperlink>
    </w:p>
    <w:p w:rsidR="00B444E2" w:rsidRDefault="00B444E2">
      <w:pPr>
        <w:pStyle w:val="TOC1"/>
        <w:tabs>
          <w:tab w:val="left" w:pos="440"/>
          <w:tab w:val="right" w:leader="dot" w:pos="9062"/>
        </w:tabs>
        <w:rPr>
          <w:rFonts w:eastAsia="SimSun"/>
          <w:noProof/>
          <w:lang w:eastAsia="zh-CN"/>
        </w:rPr>
      </w:pPr>
      <w:hyperlink w:anchor="_Toc445910063" w:history="1">
        <w:r>
          <w:rPr>
            <w:rStyle w:val="Hyperlink"/>
            <w:noProof/>
          </w:rPr>
          <w:t>5.</w:t>
        </w:r>
        <w:r>
          <w:rPr>
            <w:rFonts w:eastAsia="SimSun"/>
            <w:noProof/>
            <w:lang w:eastAsia="zh-CN"/>
          </w:rPr>
          <w:tab/>
        </w:r>
        <w:r>
          <w:rPr>
            <w:rStyle w:val="Hyperlink"/>
            <w:noProof/>
          </w:rPr>
          <w:t>ZAKLJUČCI</w:t>
        </w:r>
        <w:r>
          <w:rPr>
            <w:noProof/>
            <w:webHidden/>
          </w:rPr>
          <w:tab/>
        </w:r>
        <w:r>
          <w:rPr>
            <w:noProof/>
            <w:webHidden/>
          </w:rPr>
          <w:fldChar w:fldCharType="begin"/>
        </w:r>
        <w:r>
          <w:rPr>
            <w:noProof/>
            <w:webHidden/>
          </w:rPr>
          <w:instrText xml:space="preserve"> PAGEREF _Toc445910063 \h </w:instrText>
        </w:r>
        <w:r>
          <w:rPr>
            <w:noProof/>
            <w:webHidden/>
          </w:rPr>
        </w:r>
        <w:r>
          <w:rPr>
            <w:noProof/>
            <w:webHidden/>
          </w:rPr>
          <w:fldChar w:fldCharType="separate"/>
        </w:r>
        <w:r>
          <w:rPr>
            <w:noProof/>
            <w:webHidden/>
          </w:rPr>
          <w:t>9</w:t>
        </w:r>
        <w:r>
          <w:rPr>
            <w:noProof/>
            <w:webHidden/>
          </w:rPr>
          <w:fldChar w:fldCharType="end"/>
        </w:r>
      </w:hyperlink>
    </w:p>
    <w:p w:rsidR="00B444E2" w:rsidRDefault="00B444E2">
      <w:pPr>
        <w:pStyle w:val="TOC3"/>
        <w:tabs>
          <w:tab w:val="right" w:leader="dot" w:pos="9062"/>
        </w:tabs>
        <w:rPr>
          <w:rFonts w:eastAsia="SimSun"/>
          <w:noProof/>
          <w:lang w:eastAsia="zh-CN"/>
        </w:rPr>
      </w:pPr>
      <w:hyperlink w:anchor="_Toc445910064" w:history="1">
        <w:r>
          <w:rPr>
            <w:rStyle w:val="Hyperlink"/>
            <w:noProof/>
          </w:rPr>
          <w:t>PRILOG I.: PROIZVODNJA PILEĆEG MESA U EU-u U RAZDOBLJU 2010. – 2014. (u tisućama tona)</w:t>
        </w:r>
        <w:r>
          <w:rPr>
            <w:noProof/>
            <w:webHidden/>
          </w:rPr>
          <w:tab/>
        </w:r>
        <w:r>
          <w:rPr>
            <w:noProof/>
            <w:webHidden/>
          </w:rPr>
          <w:fldChar w:fldCharType="begin"/>
        </w:r>
        <w:r>
          <w:rPr>
            <w:noProof/>
            <w:webHidden/>
          </w:rPr>
          <w:instrText xml:space="preserve"> PAGEREF _Toc445910064 \h </w:instrText>
        </w:r>
        <w:r>
          <w:rPr>
            <w:noProof/>
            <w:webHidden/>
          </w:rPr>
        </w:r>
        <w:r>
          <w:rPr>
            <w:noProof/>
            <w:webHidden/>
          </w:rPr>
          <w:fldChar w:fldCharType="separate"/>
        </w:r>
        <w:r>
          <w:rPr>
            <w:noProof/>
            <w:webHidden/>
          </w:rPr>
          <w:t>10</w:t>
        </w:r>
        <w:r>
          <w:rPr>
            <w:noProof/>
            <w:webHidden/>
          </w:rPr>
          <w:fldChar w:fldCharType="end"/>
        </w:r>
      </w:hyperlink>
    </w:p>
    <w:p w:rsidR="00B444E2" w:rsidRDefault="00B444E2">
      <w:pPr>
        <w:pStyle w:val="TOC3"/>
        <w:tabs>
          <w:tab w:val="right" w:leader="dot" w:pos="9062"/>
        </w:tabs>
        <w:rPr>
          <w:rFonts w:eastAsia="SimSun"/>
          <w:noProof/>
          <w:lang w:eastAsia="zh-CN"/>
        </w:rPr>
      </w:pPr>
      <w:hyperlink w:anchor="_Toc445910065" w:history="1">
        <w:r>
          <w:rPr>
            <w:rStyle w:val="Hyperlink"/>
            <w:noProof/>
          </w:rPr>
          <w:t>PRILOG II.: BROJ GOSPODARSTAVA KOJA SU UZGAJALA BROJLERE U 2010. NA PODRUČJU EU-27</w:t>
        </w:r>
        <w:r>
          <w:rPr>
            <w:noProof/>
            <w:webHidden/>
          </w:rPr>
          <w:tab/>
        </w:r>
        <w:r>
          <w:rPr>
            <w:noProof/>
            <w:webHidden/>
          </w:rPr>
          <w:fldChar w:fldCharType="begin"/>
        </w:r>
        <w:r>
          <w:rPr>
            <w:noProof/>
            <w:webHidden/>
          </w:rPr>
          <w:instrText xml:space="preserve"> PAGEREF _Toc445910065 \h </w:instrText>
        </w:r>
        <w:r>
          <w:rPr>
            <w:noProof/>
            <w:webHidden/>
          </w:rPr>
        </w:r>
        <w:r>
          <w:rPr>
            <w:noProof/>
            <w:webHidden/>
          </w:rPr>
          <w:fldChar w:fldCharType="separate"/>
        </w:r>
        <w:r>
          <w:rPr>
            <w:noProof/>
            <w:webHidden/>
          </w:rPr>
          <w:t>11</w:t>
        </w:r>
        <w:r>
          <w:rPr>
            <w:noProof/>
            <w:webHidden/>
          </w:rPr>
          <w:fldChar w:fldCharType="end"/>
        </w:r>
      </w:hyperlink>
    </w:p>
    <w:p w:rsidR="00B444E2" w:rsidRDefault="00B444E2">
      <w:pPr>
        <w:pStyle w:val="TOC3"/>
        <w:tabs>
          <w:tab w:val="right" w:leader="dot" w:pos="9062"/>
        </w:tabs>
        <w:rPr>
          <w:rFonts w:eastAsia="SimSun"/>
          <w:noProof/>
          <w:lang w:eastAsia="zh-CN"/>
        </w:rPr>
      </w:pPr>
      <w:hyperlink w:anchor="_Toc445910066" w:history="1">
        <w:r>
          <w:rPr>
            <w:rStyle w:val="Hyperlink"/>
            <w:noProof/>
          </w:rPr>
          <w:t>PRILOG III. PIRAMIDALNA STRUKTURA KRIŽANJA ZA KOMERCIJALNE BROJLERE</w:t>
        </w:r>
        <w:r>
          <w:rPr>
            <w:noProof/>
            <w:webHidden/>
          </w:rPr>
          <w:tab/>
        </w:r>
        <w:r>
          <w:rPr>
            <w:noProof/>
            <w:webHidden/>
          </w:rPr>
          <w:fldChar w:fldCharType="begin"/>
        </w:r>
        <w:r>
          <w:rPr>
            <w:noProof/>
            <w:webHidden/>
          </w:rPr>
          <w:instrText xml:space="preserve"> PAGEREF _Toc445910066 \h </w:instrText>
        </w:r>
        <w:r>
          <w:rPr>
            <w:noProof/>
            <w:webHidden/>
          </w:rPr>
        </w:r>
        <w:r>
          <w:rPr>
            <w:noProof/>
            <w:webHidden/>
          </w:rPr>
          <w:fldChar w:fldCharType="separate"/>
        </w:r>
        <w:r>
          <w:rPr>
            <w:noProof/>
            <w:webHidden/>
          </w:rPr>
          <w:t>12</w:t>
        </w:r>
        <w:r>
          <w:rPr>
            <w:noProof/>
            <w:webHidden/>
          </w:rPr>
          <w:fldChar w:fldCharType="end"/>
        </w:r>
      </w:hyperlink>
    </w:p>
    <w:p w:rsidR="00B444E2" w:rsidRDefault="00B444E2">
      <w:pPr>
        <w:pStyle w:val="TOC3"/>
        <w:tabs>
          <w:tab w:val="right" w:leader="dot" w:pos="9062"/>
        </w:tabs>
        <w:rPr>
          <w:rFonts w:eastAsia="SimSun"/>
          <w:noProof/>
          <w:lang w:eastAsia="zh-CN"/>
        </w:rPr>
      </w:pPr>
      <w:hyperlink w:anchor="_Toc445910067" w:history="1">
        <w:r>
          <w:rPr>
            <w:rStyle w:val="Hyperlink"/>
            <w:noProof/>
          </w:rPr>
          <w:t>PRILOG IV. OBILJEŽJA KOJA SE UZIMAJU U OBZIR U TRENUTAČNIM PROGRAMIMA ODABIRA BROJLERA</w:t>
        </w:r>
        <w:r>
          <w:rPr>
            <w:noProof/>
            <w:webHidden/>
          </w:rPr>
          <w:tab/>
        </w:r>
        <w:r>
          <w:rPr>
            <w:noProof/>
            <w:webHidden/>
          </w:rPr>
          <w:fldChar w:fldCharType="begin"/>
        </w:r>
        <w:r>
          <w:rPr>
            <w:noProof/>
            <w:webHidden/>
          </w:rPr>
          <w:instrText xml:space="preserve"> PAGEREF _Toc445910067 \h </w:instrText>
        </w:r>
        <w:r>
          <w:rPr>
            <w:noProof/>
            <w:webHidden/>
          </w:rPr>
        </w:r>
        <w:r>
          <w:rPr>
            <w:noProof/>
            <w:webHidden/>
          </w:rPr>
          <w:fldChar w:fldCharType="separate"/>
        </w:r>
        <w:r>
          <w:rPr>
            <w:noProof/>
            <w:webHidden/>
          </w:rPr>
          <w:t>13</w:t>
        </w:r>
        <w:r>
          <w:rPr>
            <w:noProof/>
            <w:webHidden/>
          </w:rPr>
          <w:fldChar w:fldCharType="end"/>
        </w:r>
      </w:hyperlink>
    </w:p>
    <w:p w:rsidR="00B444E2" w:rsidRDefault="00B444E2">
      <w:pPr>
        <w:spacing w:before="360" w:after="0" w:line="240" w:lineRule="auto"/>
        <w:ind w:left="697"/>
        <w:jc w:val="center"/>
        <w:rPr>
          <w:rFonts w:ascii="Times New Roman" w:hAnsi="Times New Roman"/>
          <w:b/>
          <w:noProof/>
          <w:sz w:val="24"/>
          <w:szCs w:val="24"/>
        </w:rPr>
      </w:pPr>
      <w:r>
        <w:rPr>
          <w:rFonts w:ascii="Times New Roman" w:hAnsi="Times New Roman"/>
          <w:noProof/>
        </w:rPr>
        <w:fldChar w:fldCharType="end"/>
      </w:r>
      <w:r>
        <w:rPr>
          <w:noProof/>
        </w:rPr>
        <w:br w:type="page"/>
      </w:r>
      <w:r>
        <w:rPr>
          <w:rFonts w:ascii="Times New Roman" w:hAnsi="Times New Roman"/>
          <w:b/>
          <w:noProof/>
          <w:sz w:val="24"/>
        </w:rPr>
        <w:t>IZVJEŠĆE KOMISIJE EUROPSKOM PARLAMENTU I VIJEĆU</w:t>
      </w:r>
    </w:p>
    <w:p w:rsidR="00B444E2" w:rsidRDefault="00B444E2">
      <w:pPr>
        <w:spacing w:before="360" w:after="0" w:line="240" w:lineRule="auto"/>
        <w:ind w:left="697"/>
        <w:jc w:val="center"/>
        <w:rPr>
          <w:rFonts w:ascii="Times New Roman" w:hAnsi="Times New Roman"/>
          <w:b/>
          <w:noProof/>
          <w:sz w:val="24"/>
          <w:szCs w:val="24"/>
        </w:rPr>
      </w:pPr>
      <w:r>
        <w:rPr>
          <w:rFonts w:ascii="Times New Roman" w:hAnsi="Times New Roman"/>
          <w:b/>
          <w:noProof/>
          <w:sz w:val="24"/>
        </w:rPr>
        <w:t>o utjecaju genetskog odabira na dobrobit pilića koji se uzgajaju za proizvodnju mesa</w:t>
      </w:r>
    </w:p>
    <w:p w:rsidR="00B444E2" w:rsidRDefault="00B444E2">
      <w:pPr>
        <w:pStyle w:val="Heading1"/>
        <w:spacing w:before="720"/>
        <w:ind w:left="1077" w:hanging="357"/>
        <w:rPr>
          <w:noProof/>
        </w:rPr>
      </w:pPr>
      <w:bookmarkStart w:id="1" w:name="_Toc444589105"/>
      <w:bookmarkStart w:id="2" w:name="_Toc445910052"/>
      <w:r>
        <w:rPr>
          <w:noProof/>
        </w:rPr>
        <w:t>KONTEKST</w:t>
      </w:r>
      <w:bookmarkEnd w:id="1"/>
      <w:bookmarkEnd w:id="2"/>
    </w:p>
    <w:p w:rsidR="00B444E2" w:rsidRDefault="00B444E2">
      <w:pPr>
        <w:spacing w:before="120"/>
        <w:jc w:val="both"/>
        <w:rPr>
          <w:rFonts w:ascii="Times New Roman" w:hAnsi="Times New Roman"/>
          <w:noProof/>
          <w:sz w:val="24"/>
          <w:szCs w:val="24"/>
        </w:rPr>
      </w:pPr>
      <w:r>
        <w:rPr>
          <w:rFonts w:ascii="Times New Roman" w:hAnsi="Times New Roman"/>
          <w:noProof/>
          <w:sz w:val="24"/>
        </w:rPr>
        <w:t>U članku 6. stavku 1. Direktive (EZ) 2007/43/EZ</w:t>
      </w:r>
      <w:r>
        <w:rPr>
          <w:rStyle w:val="FootnoteReference"/>
          <w:rFonts w:ascii="Times New Roman" w:hAnsi="Times New Roman"/>
          <w:noProof/>
          <w:sz w:val="24"/>
        </w:rPr>
        <w:footnoteReference w:id="1"/>
      </w:r>
      <w:r>
        <w:rPr>
          <w:rFonts w:ascii="Times New Roman" w:hAnsi="Times New Roman"/>
          <w:noProof/>
          <w:sz w:val="24"/>
        </w:rPr>
        <w:t xml:space="preserve"> </w:t>
      </w:r>
      <w:r>
        <w:rPr>
          <w:rFonts w:ascii="Times New Roman" w:hAnsi="Times New Roman"/>
          <w:i/>
          <w:noProof/>
          <w:sz w:val="24"/>
        </w:rPr>
        <w:t>o utvrđivanju minimalnih pravila za zaštitu pilića koji se uzgajaju za proizvodnju mesa</w:t>
      </w:r>
      <w:r>
        <w:rPr>
          <w:rFonts w:ascii="Times New Roman" w:hAnsi="Times New Roman"/>
          <w:noProof/>
          <w:sz w:val="24"/>
        </w:rPr>
        <w:t xml:space="preserve"> navodi se sljedeće:</w:t>
      </w:r>
    </w:p>
    <w:p w:rsidR="00B444E2" w:rsidRDefault="00B444E2">
      <w:pPr>
        <w:jc w:val="both"/>
        <w:rPr>
          <w:rFonts w:ascii="Times New Roman" w:hAnsi="Times New Roman"/>
          <w:i/>
          <w:noProof/>
          <w:sz w:val="24"/>
          <w:szCs w:val="24"/>
        </w:rPr>
      </w:pPr>
      <w:r>
        <w:rPr>
          <w:rFonts w:ascii="Times New Roman" w:hAnsi="Times New Roman"/>
          <w:i/>
          <w:noProof/>
          <w:sz w:val="24"/>
        </w:rPr>
        <w:t>„Na temelju znanstvenog mišljenja Europske agencije za sigurnost hrane, Komisija najkasnije do 31. prosinca 2010. dostavlja Europskom parlamentu i Vijeću izvješće o utjecaju genetskih parametara na otkrivene nedostatke koji uzrokuju slabu dobrobit pilića. To izvješće može biti popraćeno odgovarajućim zakonodavnim prijedlozima, ako je to potrebno.”</w:t>
      </w:r>
    </w:p>
    <w:p w:rsidR="00B444E2" w:rsidRDefault="00B444E2">
      <w:pPr>
        <w:jc w:val="both"/>
        <w:rPr>
          <w:rFonts w:ascii="Times New Roman" w:hAnsi="Times New Roman"/>
          <w:noProof/>
          <w:sz w:val="24"/>
          <w:szCs w:val="24"/>
        </w:rPr>
      </w:pPr>
      <w:r>
        <w:rPr>
          <w:rFonts w:ascii="Times New Roman" w:hAnsi="Times New Roman"/>
          <w:noProof/>
          <w:sz w:val="24"/>
        </w:rPr>
        <w:t>Ovo izvješće predstavlja odgovor Komisije na tu obvezu.</w:t>
      </w:r>
    </w:p>
    <w:p w:rsidR="00B444E2" w:rsidRDefault="00B444E2">
      <w:pPr>
        <w:jc w:val="both"/>
        <w:rPr>
          <w:rFonts w:ascii="Times New Roman" w:hAnsi="Times New Roman"/>
          <w:noProof/>
          <w:sz w:val="24"/>
          <w:szCs w:val="24"/>
        </w:rPr>
      </w:pPr>
      <w:r>
        <w:rPr>
          <w:rFonts w:ascii="Times New Roman" w:hAnsi="Times New Roman"/>
          <w:noProof/>
          <w:sz w:val="24"/>
        </w:rPr>
        <w:t>Za potrebe izrade ovog izvješća Komisija je 2010. od Europske agencije za sigurnost hrane (EFSA)</w:t>
      </w:r>
      <w:r>
        <w:rPr>
          <w:rFonts w:ascii="Times New Roman" w:hAnsi="Times New Roman"/>
          <w:noProof/>
          <w:sz w:val="24"/>
          <w:vertAlign w:val="superscript"/>
        </w:rPr>
        <w:footnoteReference w:id="2"/>
      </w:r>
      <w:r>
        <w:rPr>
          <w:rFonts w:ascii="Times New Roman" w:hAnsi="Times New Roman"/>
          <w:noProof/>
          <w:sz w:val="24"/>
        </w:rPr>
        <w:t xml:space="preserve"> zatražila znanstveno mišljenje koje je ažurirano 2012.</w:t>
      </w:r>
      <w:r>
        <w:rPr>
          <w:rStyle w:val="FootnoteReference"/>
          <w:rFonts w:ascii="Times New Roman" w:hAnsi="Times New Roman"/>
          <w:noProof/>
          <w:sz w:val="24"/>
        </w:rPr>
        <w:footnoteReference w:id="3"/>
      </w:r>
      <w:r>
        <w:rPr>
          <w:rFonts w:ascii="Times New Roman" w:hAnsi="Times New Roman"/>
          <w:noProof/>
          <w:sz w:val="24"/>
        </w:rPr>
        <w:t xml:space="preserve"> te je naručila provođenje ekonomske studije</w:t>
      </w:r>
      <w:r>
        <w:rPr>
          <w:rStyle w:val="FootnoteReference"/>
          <w:rFonts w:ascii="Times New Roman" w:hAnsi="Times New Roman"/>
          <w:noProof/>
          <w:sz w:val="24"/>
        </w:rPr>
        <w:footnoteReference w:id="4"/>
      </w:r>
      <w:r>
        <w:rPr>
          <w:rFonts w:ascii="Times New Roman" w:hAnsi="Times New Roman"/>
          <w:noProof/>
          <w:sz w:val="24"/>
        </w:rPr>
        <w:t xml:space="preserve"> koja je dovršena 2013.</w:t>
      </w:r>
    </w:p>
    <w:p w:rsidR="00B444E2" w:rsidRDefault="00B444E2">
      <w:pPr>
        <w:jc w:val="both"/>
        <w:rPr>
          <w:rFonts w:ascii="Times New Roman" w:hAnsi="Times New Roman"/>
          <w:noProof/>
          <w:sz w:val="24"/>
          <w:szCs w:val="24"/>
        </w:rPr>
      </w:pPr>
      <w:r>
        <w:rPr>
          <w:rFonts w:ascii="Times New Roman" w:hAnsi="Times New Roman"/>
          <w:noProof/>
          <w:sz w:val="24"/>
        </w:rPr>
        <w:t>Ovo se izvješće odnosi isključivo na piliće u području primjene Direktive 2007/43/EZ</w:t>
      </w:r>
      <w:r>
        <w:rPr>
          <w:rStyle w:val="FootnoteReference"/>
          <w:rFonts w:ascii="Times New Roman" w:hAnsi="Times New Roman"/>
          <w:noProof/>
          <w:sz w:val="24"/>
        </w:rPr>
        <w:footnoteReference w:id="5"/>
      </w:r>
      <w:r>
        <w:rPr>
          <w:rFonts w:ascii="Times New Roman" w:hAnsi="Times New Roman"/>
          <w:noProof/>
          <w:sz w:val="24"/>
        </w:rPr>
        <w:t>.</w:t>
      </w:r>
    </w:p>
    <w:p w:rsidR="00B444E2" w:rsidRDefault="00B444E2">
      <w:pPr>
        <w:jc w:val="both"/>
        <w:rPr>
          <w:rFonts w:ascii="Times New Roman" w:hAnsi="Times New Roman"/>
          <w:noProof/>
          <w:sz w:val="24"/>
          <w:szCs w:val="24"/>
        </w:rPr>
      </w:pPr>
      <w:r>
        <w:rPr>
          <w:rFonts w:ascii="Times New Roman" w:hAnsi="Times New Roman"/>
          <w:noProof/>
          <w:sz w:val="24"/>
        </w:rPr>
        <w:t xml:space="preserve">Kašnjenje u donošenju ovog izvješća objašnjeno je neočekivanim dodatnim vremenom koje je bilo potrebno za dobivanje sveobuvatnih znanstvenih i gospodarskih podataka. </w:t>
      </w:r>
    </w:p>
    <w:p w:rsidR="00B444E2" w:rsidRDefault="00B444E2">
      <w:pPr>
        <w:pStyle w:val="Heading1"/>
        <w:keepLines/>
        <w:rPr>
          <w:noProof/>
        </w:rPr>
      </w:pPr>
      <w:bookmarkStart w:id="3" w:name="_Toc444589106"/>
      <w:bookmarkStart w:id="4" w:name="_Toc445910053"/>
      <w:r>
        <w:rPr>
          <w:noProof/>
        </w:rPr>
        <w:t>SEKTOR PILEĆEG MESA</w:t>
      </w:r>
      <w:bookmarkEnd w:id="3"/>
      <w:bookmarkEnd w:id="4"/>
    </w:p>
    <w:p w:rsidR="00B444E2" w:rsidRDefault="00B444E2">
      <w:pPr>
        <w:pStyle w:val="Heading2"/>
        <w:keepLines/>
        <w:rPr>
          <w:noProof/>
        </w:rPr>
      </w:pPr>
      <w:bookmarkStart w:id="5" w:name="_Toc444589107"/>
      <w:bookmarkStart w:id="6" w:name="_Toc445910054"/>
      <w:r>
        <w:rPr>
          <w:noProof/>
        </w:rPr>
        <w:t>2.1. Proizvodnja, trgovina i potrošnja u EU-u</w:t>
      </w:r>
      <w:bookmarkEnd w:id="5"/>
      <w:bookmarkEnd w:id="6"/>
    </w:p>
    <w:p w:rsidR="00B444E2" w:rsidRDefault="00B444E2">
      <w:pPr>
        <w:keepNext/>
        <w:keepLines/>
        <w:spacing w:before="120"/>
        <w:ind w:left="357"/>
        <w:jc w:val="both"/>
        <w:rPr>
          <w:rFonts w:ascii="Times New Roman" w:hAnsi="Times New Roman"/>
          <w:noProof/>
          <w:sz w:val="24"/>
          <w:szCs w:val="24"/>
        </w:rPr>
      </w:pPr>
      <w:r>
        <w:rPr>
          <w:rFonts w:ascii="Times New Roman" w:hAnsi="Times New Roman"/>
          <w:b/>
          <w:noProof/>
          <w:sz w:val="24"/>
        </w:rPr>
        <w:t>Proizvodnja pilećeg mesa u EU-u u 2014.</w:t>
      </w:r>
      <w:r>
        <w:rPr>
          <w:rFonts w:ascii="Times New Roman" w:hAnsi="Times New Roman"/>
          <w:noProof/>
          <w:sz w:val="24"/>
        </w:rPr>
        <w:t xml:space="preserve"> (piliće za proizvodnju mesa naziva se i „brojlerima”) dostigla je 10,5 milijuna tona, što predstavlja oko 6,5 milijardi ptica</w:t>
      </w:r>
      <w:r>
        <w:rPr>
          <w:rStyle w:val="FootnoteReference"/>
          <w:rFonts w:ascii="Times New Roman" w:hAnsi="Times New Roman"/>
          <w:noProof/>
          <w:sz w:val="24"/>
        </w:rPr>
        <w:footnoteReference w:id="6"/>
      </w:r>
      <w:r>
        <w:rPr>
          <w:rFonts w:ascii="Times New Roman" w:hAnsi="Times New Roman"/>
          <w:noProof/>
          <w:sz w:val="24"/>
        </w:rPr>
        <w:t xml:space="preserve"> i oko </w:t>
      </w:r>
      <w:r>
        <w:rPr>
          <w:rFonts w:ascii="Times New Roman" w:hAnsi="Times New Roman"/>
          <w:b/>
          <w:noProof/>
          <w:sz w:val="24"/>
        </w:rPr>
        <w:t>12 % svjetske proizvodnje</w:t>
      </w:r>
      <w:r>
        <w:rPr>
          <w:rStyle w:val="FootnoteReference"/>
          <w:rFonts w:ascii="Times New Roman" w:hAnsi="Times New Roman"/>
          <w:b/>
          <w:noProof/>
          <w:sz w:val="24"/>
        </w:rPr>
        <w:footnoteReference w:id="7"/>
      </w:r>
      <w:r>
        <w:rPr>
          <w:rFonts w:ascii="Times New Roman" w:hAnsi="Times New Roman"/>
          <w:noProof/>
          <w:sz w:val="24"/>
        </w:rPr>
        <w:t>.</w:t>
      </w:r>
    </w:p>
    <w:p w:rsidR="00B444E2" w:rsidRDefault="00B444E2">
      <w:pPr>
        <w:keepNext/>
        <w:keepLines/>
        <w:ind w:left="357"/>
        <w:jc w:val="both"/>
        <w:rPr>
          <w:rFonts w:ascii="Times New Roman" w:hAnsi="Times New Roman"/>
          <w:noProof/>
          <w:sz w:val="24"/>
          <w:szCs w:val="24"/>
        </w:rPr>
      </w:pPr>
      <w:r>
        <w:rPr>
          <w:rFonts w:ascii="Times New Roman" w:hAnsi="Times New Roman"/>
          <w:noProof/>
          <w:sz w:val="24"/>
        </w:rPr>
        <w:t>Za tri četvrtine proizvodnje EU-a zaslužno je sedam država članica: Poljska, Francuska, Ujedinjena Kraljevina, Njemačka, Španjolska, Italija i Nizozemska (vidi Prilog I.).</w:t>
      </w:r>
    </w:p>
    <w:p w:rsidR="00B444E2" w:rsidRDefault="00B444E2">
      <w:pPr>
        <w:keepNext/>
        <w:keepLines/>
        <w:ind w:left="357"/>
        <w:jc w:val="both"/>
        <w:rPr>
          <w:rFonts w:ascii="Times New Roman" w:hAnsi="Times New Roman"/>
          <w:noProof/>
          <w:sz w:val="24"/>
          <w:szCs w:val="24"/>
        </w:rPr>
      </w:pPr>
      <w:r>
        <w:rPr>
          <w:rFonts w:ascii="Times New Roman" w:hAnsi="Times New Roman"/>
          <w:noProof/>
          <w:sz w:val="24"/>
        </w:rPr>
        <w:t>Na području EU-27 u 2010. postojalo je više od 2,2 milijuna</w:t>
      </w:r>
      <w:r>
        <w:rPr>
          <w:rFonts w:ascii="Times New Roman" w:hAnsi="Times New Roman"/>
          <w:b/>
          <w:noProof/>
          <w:sz w:val="24"/>
        </w:rPr>
        <w:t xml:space="preserve"> gospodarstava koja uzgajaju brojlere</w:t>
      </w:r>
      <w:r>
        <w:rPr>
          <w:rFonts w:ascii="Times New Roman" w:hAnsi="Times New Roman"/>
          <w:noProof/>
          <w:sz w:val="24"/>
        </w:rPr>
        <w:t xml:space="preserve">. Međutim, samo je </w:t>
      </w:r>
      <w:r>
        <w:rPr>
          <w:rFonts w:ascii="Times New Roman" w:hAnsi="Times New Roman"/>
          <w:b/>
          <w:noProof/>
          <w:sz w:val="24"/>
        </w:rPr>
        <w:t>20 000 gospodarstava</w:t>
      </w:r>
      <w:r>
        <w:rPr>
          <w:rFonts w:ascii="Times New Roman" w:hAnsi="Times New Roman"/>
          <w:noProof/>
          <w:sz w:val="24"/>
        </w:rPr>
        <w:t xml:space="preserve"> držalo više od 5 000 brojlera (vidi Prilog II).</w:t>
      </w:r>
    </w:p>
    <w:p w:rsidR="00B444E2" w:rsidRDefault="00B444E2">
      <w:pPr>
        <w:ind w:left="357"/>
        <w:jc w:val="both"/>
        <w:rPr>
          <w:rFonts w:ascii="Times New Roman" w:hAnsi="Times New Roman"/>
          <w:noProof/>
          <w:sz w:val="24"/>
          <w:szCs w:val="24"/>
        </w:rPr>
      </w:pPr>
      <w:r>
        <w:rPr>
          <w:rFonts w:ascii="Times New Roman" w:hAnsi="Times New Roman"/>
          <w:b/>
          <w:noProof/>
          <w:sz w:val="24"/>
        </w:rPr>
        <w:t>Stupanj samodostatnosti</w:t>
      </w:r>
      <w:r>
        <w:rPr>
          <w:rStyle w:val="FootnoteReference"/>
          <w:rFonts w:ascii="Times New Roman" w:hAnsi="Times New Roman"/>
          <w:b/>
          <w:noProof/>
          <w:sz w:val="24"/>
        </w:rPr>
        <w:footnoteReference w:id="8"/>
      </w:r>
      <w:r>
        <w:rPr>
          <w:rFonts w:ascii="Times New Roman" w:hAnsi="Times New Roman"/>
          <w:b/>
          <w:noProof/>
          <w:sz w:val="24"/>
        </w:rPr>
        <w:t xml:space="preserve"> u EU-u iznosio je 103,9 %</w:t>
      </w:r>
      <w:r>
        <w:rPr>
          <w:rFonts w:ascii="Times New Roman" w:hAnsi="Times New Roman"/>
          <w:noProof/>
          <w:sz w:val="24"/>
        </w:rPr>
        <w:t xml:space="preserve"> u 2014. Trgovina unutar EU-a uglavnom se temelji na svježem pilećem mesu. Nizozemska dominira trgovinom pilećeg mesa unutar EU-a (oko 30 % ukupnih prekograničnih kretanja unutar EU-a), a slijede je Francuska, Njemačka i Poljska. </w:t>
      </w:r>
    </w:p>
    <w:p w:rsidR="00B444E2" w:rsidRDefault="00B444E2">
      <w:pPr>
        <w:ind w:left="357"/>
        <w:jc w:val="both"/>
        <w:rPr>
          <w:rFonts w:ascii="Times New Roman" w:hAnsi="Times New Roman"/>
          <w:noProof/>
          <w:sz w:val="24"/>
          <w:szCs w:val="24"/>
        </w:rPr>
      </w:pPr>
      <w:r>
        <w:rPr>
          <w:rFonts w:ascii="Times New Roman" w:hAnsi="Times New Roman"/>
          <w:noProof/>
          <w:sz w:val="24"/>
        </w:rPr>
        <w:t xml:space="preserve">Glavni su </w:t>
      </w:r>
      <w:r>
        <w:rPr>
          <w:rFonts w:ascii="Times New Roman" w:hAnsi="Times New Roman"/>
          <w:b/>
          <w:noProof/>
          <w:sz w:val="24"/>
        </w:rPr>
        <w:t>kupci</w:t>
      </w:r>
      <w:r>
        <w:rPr>
          <w:rFonts w:ascii="Times New Roman" w:hAnsi="Times New Roman"/>
          <w:noProof/>
          <w:sz w:val="24"/>
        </w:rPr>
        <w:t xml:space="preserve"> pilećeg mesa u EU-u Nizozemska, Ujedinjena Kraljevina, Njemačka i Francuska. Te su četiri zemlje zaslužne i za 62 % sveg uvoza pilećeg mesa u EU-u, uglavnom zamrznutih svježih prsa iz Brazila ili zamrznutih kuhanih prsa iz Tajlanda.</w:t>
      </w:r>
    </w:p>
    <w:p w:rsidR="00B444E2" w:rsidRDefault="00B444E2">
      <w:pPr>
        <w:ind w:left="357"/>
        <w:jc w:val="both"/>
        <w:rPr>
          <w:rFonts w:ascii="Times New Roman" w:hAnsi="Times New Roman"/>
          <w:noProof/>
          <w:sz w:val="24"/>
          <w:szCs w:val="24"/>
        </w:rPr>
      </w:pPr>
      <w:r>
        <w:rPr>
          <w:rFonts w:ascii="Times New Roman" w:hAnsi="Times New Roman"/>
          <w:noProof/>
          <w:sz w:val="24"/>
        </w:rPr>
        <w:t xml:space="preserve">S </w:t>
      </w:r>
      <w:r>
        <w:rPr>
          <w:rFonts w:ascii="Times New Roman" w:hAnsi="Times New Roman"/>
          <w:b/>
          <w:noProof/>
          <w:sz w:val="24"/>
        </w:rPr>
        <w:t>prosječnom potrošnjom od 26,8 kg godišnje po osobi u 2014.</w:t>
      </w:r>
      <w:r>
        <w:rPr>
          <w:rFonts w:ascii="Times New Roman" w:hAnsi="Times New Roman"/>
          <w:noProof/>
          <w:sz w:val="24"/>
        </w:rPr>
        <w:t>, pileće meso drugo je najčešće konzumirano meso u EU-u (oko 30 % ukupne potrošnje mesa, nakon svinjskog mesa</w:t>
      </w:r>
      <w:r>
        <w:rPr>
          <w:rStyle w:val="FootnoteReference"/>
          <w:rFonts w:ascii="Times New Roman" w:hAnsi="Times New Roman"/>
          <w:noProof/>
          <w:sz w:val="24"/>
        </w:rPr>
        <w:footnoteReference w:id="9"/>
      </w:r>
      <w:r>
        <w:rPr>
          <w:rFonts w:ascii="Times New Roman" w:hAnsi="Times New Roman"/>
          <w:noProof/>
          <w:sz w:val="24"/>
        </w:rPr>
        <w:t>). Potrošnja piletine nastavlja rasti u gotovo svim državama članicama.</w:t>
      </w:r>
    </w:p>
    <w:p w:rsidR="00B444E2" w:rsidRDefault="00B444E2">
      <w:pPr>
        <w:pStyle w:val="Heading2"/>
        <w:rPr>
          <w:noProof/>
        </w:rPr>
      </w:pPr>
      <w:bookmarkStart w:id="7" w:name="_Toc444589108"/>
      <w:bookmarkStart w:id="8" w:name="_Toc445910055"/>
      <w:r>
        <w:rPr>
          <w:noProof/>
        </w:rPr>
        <w:t>2.2. Odabir za uzgoj</w:t>
      </w:r>
      <w:bookmarkEnd w:id="7"/>
      <w:bookmarkEnd w:id="8"/>
      <w:r>
        <w:rPr>
          <w:noProof/>
        </w:rPr>
        <w:t xml:space="preserve">  </w:t>
      </w:r>
    </w:p>
    <w:p w:rsidR="00B444E2" w:rsidRDefault="00B444E2">
      <w:pPr>
        <w:spacing w:before="120" w:line="240" w:lineRule="auto"/>
        <w:ind w:left="357"/>
        <w:jc w:val="both"/>
        <w:rPr>
          <w:rFonts w:ascii="Times New Roman" w:hAnsi="Times New Roman"/>
          <w:noProof/>
          <w:sz w:val="24"/>
          <w:szCs w:val="24"/>
        </w:rPr>
      </w:pPr>
      <w:r>
        <w:rPr>
          <w:rFonts w:ascii="Times New Roman" w:hAnsi="Times New Roman"/>
          <w:noProof/>
          <w:sz w:val="24"/>
        </w:rPr>
        <w:t>Sustav proizvodnje pilećeg mesa vrlo je sofisticiran i započinje još prije valenja pilića. Pilići koji se uzgajaju za proizvodnju mesa rezultat su složenih genetskih kombinacija koje se provode nekoliko generacija unaprijed.</w:t>
      </w:r>
    </w:p>
    <w:p w:rsidR="00B444E2" w:rsidRDefault="00B444E2">
      <w:pPr>
        <w:spacing w:line="240" w:lineRule="auto"/>
        <w:ind w:left="357"/>
        <w:jc w:val="both"/>
        <w:rPr>
          <w:rFonts w:ascii="Times New Roman" w:hAnsi="Times New Roman"/>
          <w:noProof/>
          <w:sz w:val="24"/>
          <w:szCs w:val="24"/>
        </w:rPr>
      </w:pPr>
      <w:r>
        <w:rPr>
          <w:rFonts w:ascii="Times New Roman" w:hAnsi="Times New Roman"/>
          <w:b/>
          <w:noProof/>
          <w:sz w:val="24"/>
        </w:rPr>
        <w:t>Genetskim odabirom utvrđuje se koje su ptice najprikladnije da postanu roditelji sljedeće generacije</w:t>
      </w:r>
      <w:r>
        <w:rPr>
          <w:rFonts w:ascii="Times New Roman" w:hAnsi="Times New Roman"/>
          <w:noProof/>
          <w:sz w:val="24"/>
        </w:rPr>
        <w:t xml:space="preserve">. Utvrđuju se obilježja radi kojih se odabire određena linija kako bi se zadovoljili zahtjevi tržišta. </w:t>
      </w:r>
    </w:p>
    <w:p w:rsidR="00B444E2" w:rsidRDefault="00B444E2">
      <w:pPr>
        <w:ind w:left="357"/>
        <w:jc w:val="both"/>
        <w:rPr>
          <w:rFonts w:ascii="Times New Roman" w:hAnsi="Times New Roman"/>
          <w:noProof/>
          <w:sz w:val="24"/>
          <w:szCs w:val="24"/>
        </w:rPr>
      </w:pPr>
      <w:r>
        <w:rPr>
          <w:rFonts w:ascii="Times New Roman" w:hAnsi="Times New Roman"/>
          <w:noProof/>
          <w:sz w:val="24"/>
        </w:rPr>
        <w:t xml:space="preserve">Proizvodnja brojlera rezultat je križanja u </w:t>
      </w:r>
      <w:r>
        <w:rPr>
          <w:rFonts w:ascii="Times New Roman" w:hAnsi="Times New Roman"/>
          <w:b/>
          <w:noProof/>
          <w:sz w:val="24"/>
        </w:rPr>
        <w:t>četiri koraka</w:t>
      </w:r>
      <w:r>
        <w:rPr>
          <w:rFonts w:ascii="Times New Roman" w:hAnsi="Times New Roman"/>
          <w:noProof/>
          <w:sz w:val="24"/>
        </w:rPr>
        <w:t xml:space="preserve"> (vidi Prilog III.). Početna je točka u ovom piramidalnom proizvodnom postupku genetski odabir nekoliko </w:t>
      </w:r>
      <w:r>
        <w:rPr>
          <w:rFonts w:ascii="Times New Roman" w:hAnsi="Times New Roman"/>
          <w:b/>
          <w:noProof/>
          <w:sz w:val="24"/>
        </w:rPr>
        <w:t xml:space="preserve">čistih linija </w:t>
      </w:r>
      <w:r>
        <w:rPr>
          <w:rFonts w:ascii="Times New Roman" w:hAnsi="Times New Roman"/>
          <w:noProof/>
          <w:sz w:val="24"/>
        </w:rPr>
        <w:t xml:space="preserve">(naziva ih se i </w:t>
      </w:r>
      <w:r>
        <w:rPr>
          <w:noProof/>
        </w:rPr>
        <w:t xml:space="preserve"> </w:t>
      </w:r>
      <w:r>
        <w:rPr>
          <w:rFonts w:ascii="Times New Roman" w:hAnsi="Times New Roman"/>
          <w:b/>
          <w:noProof/>
          <w:sz w:val="24"/>
        </w:rPr>
        <w:t>pedigre</w:t>
      </w:r>
      <w:r>
        <w:rPr>
          <w:rFonts w:ascii="Times New Roman" w:hAnsi="Times New Roman"/>
          <w:noProof/>
          <w:sz w:val="24"/>
        </w:rPr>
        <w:t xml:space="preserve">) koji izvršava uzgajivač. Ptice odabranih čistokrvnih linija međusobno se pare i čuvaju na visokoj razini biosigurnosti s posebnim statusom slobodnih od patogena te geografski raširene kako bi se izbjegla kontaminacija koja bi mogla dovesti do znatnih gospodarskih i genetskih gubitaka. </w:t>
      </w:r>
    </w:p>
    <w:p w:rsidR="00B444E2" w:rsidRDefault="00B444E2">
      <w:pPr>
        <w:ind w:left="357"/>
        <w:jc w:val="both"/>
        <w:rPr>
          <w:rFonts w:ascii="Times New Roman" w:hAnsi="Times New Roman"/>
          <w:noProof/>
          <w:sz w:val="24"/>
          <w:szCs w:val="24"/>
        </w:rPr>
      </w:pPr>
      <w:r>
        <w:rPr>
          <w:rFonts w:ascii="Times New Roman" w:hAnsi="Times New Roman"/>
          <w:noProof/>
          <w:sz w:val="24"/>
        </w:rPr>
        <w:t xml:space="preserve">Kod čistokrvnih ptica koje će pridonijeti sljedećoj generaciji nakon odabira započinje </w:t>
      </w:r>
      <w:r>
        <w:rPr>
          <w:rFonts w:ascii="Times New Roman" w:hAnsi="Times New Roman"/>
          <w:b/>
          <w:noProof/>
          <w:sz w:val="24"/>
        </w:rPr>
        <w:t>postupak razmnožavanja</w:t>
      </w:r>
      <w:r>
        <w:rPr>
          <w:rFonts w:ascii="Times New Roman" w:hAnsi="Times New Roman"/>
          <w:noProof/>
          <w:sz w:val="24"/>
        </w:rPr>
        <w:t xml:space="preserve">. Tim su postupkom obuhvaćena </w:t>
      </w:r>
      <w:r>
        <w:rPr>
          <w:rFonts w:ascii="Times New Roman" w:hAnsi="Times New Roman"/>
          <w:b/>
          <w:noProof/>
          <w:sz w:val="24"/>
        </w:rPr>
        <w:t>tri koraka</w:t>
      </w:r>
      <w:r>
        <w:rPr>
          <w:rFonts w:ascii="Times New Roman" w:hAnsi="Times New Roman"/>
          <w:noProof/>
          <w:sz w:val="24"/>
        </w:rPr>
        <w:t xml:space="preserve">: prvi na razini jata pradjedova, drugi na razini jata djedova, a treći na razini roditeljskog jata kako bi se proizveli jednodnevni pilići koji će postati komercijalni brojleri. </w:t>
      </w:r>
    </w:p>
    <w:p w:rsidR="00B444E2" w:rsidRDefault="00B444E2">
      <w:pPr>
        <w:ind w:left="357"/>
        <w:jc w:val="both"/>
        <w:rPr>
          <w:rFonts w:ascii="Times New Roman" w:hAnsi="Times New Roman"/>
          <w:noProof/>
          <w:sz w:val="24"/>
          <w:szCs w:val="24"/>
        </w:rPr>
      </w:pPr>
      <w:r>
        <w:rPr>
          <w:rFonts w:ascii="Times New Roman" w:hAnsi="Times New Roman"/>
          <w:noProof/>
          <w:sz w:val="24"/>
        </w:rPr>
        <w:t xml:space="preserve">Trenutačno </w:t>
      </w:r>
      <w:r>
        <w:rPr>
          <w:rFonts w:ascii="Times New Roman" w:hAnsi="Times New Roman"/>
          <w:b/>
          <w:noProof/>
          <w:sz w:val="24"/>
        </w:rPr>
        <w:t>svjetskim tržištem brojlera za rasplod dominira nekoliko društava</w:t>
      </w:r>
      <w:r>
        <w:rPr>
          <w:rFonts w:ascii="Times New Roman" w:hAnsi="Times New Roman"/>
          <w:noProof/>
          <w:sz w:val="24"/>
        </w:rPr>
        <w:t>. Ta društva Komisiji nisu otkrila pojedinosti o mjestima uzgoja ili pticama koje uzgajaju uglavnom zbog toga što te informacije smatraju komercijalno osjetljivima.</w:t>
      </w:r>
    </w:p>
    <w:p w:rsidR="00B444E2" w:rsidRDefault="00B444E2">
      <w:pPr>
        <w:spacing w:before="360" w:after="120" w:line="240" w:lineRule="auto"/>
        <w:ind w:left="360"/>
        <w:jc w:val="both"/>
        <w:rPr>
          <w:rFonts w:ascii="Times New Roman" w:hAnsi="Times New Roman"/>
          <w:b/>
          <w:noProof/>
          <w:sz w:val="24"/>
          <w:szCs w:val="24"/>
        </w:rPr>
      </w:pPr>
      <w:r>
        <w:rPr>
          <w:rFonts w:ascii="Times New Roman" w:hAnsi="Times New Roman"/>
          <w:b/>
          <w:noProof/>
          <w:sz w:val="24"/>
        </w:rPr>
        <w:t>2.3. Modeli proizvodnje pilića u EU-u</w:t>
      </w:r>
    </w:p>
    <w:p w:rsidR="00B444E2" w:rsidRDefault="00B444E2">
      <w:pPr>
        <w:spacing w:before="120"/>
        <w:ind w:left="357"/>
        <w:jc w:val="both"/>
        <w:rPr>
          <w:rFonts w:ascii="Times New Roman" w:hAnsi="Times New Roman"/>
          <w:noProof/>
          <w:sz w:val="24"/>
          <w:szCs w:val="24"/>
        </w:rPr>
      </w:pPr>
      <w:r>
        <w:rPr>
          <w:rFonts w:ascii="Times New Roman" w:hAnsi="Times New Roman"/>
          <w:noProof/>
          <w:sz w:val="24"/>
        </w:rPr>
        <w:t xml:space="preserve">Industrija pilića u EU-u uglavnom funkcionira unutar dvaju organizacijskih modela, </w:t>
      </w:r>
      <w:r>
        <w:rPr>
          <w:rFonts w:ascii="Times New Roman" w:hAnsi="Times New Roman"/>
          <w:b/>
          <w:noProof/>
          <w:sz w:val="24"/>
        </w:rPr>
        <w:t xml:space="preserve">vertikalno integrirane proizvodnje </w:t>
      </w:r>
      <w:r>
        <w:rPr>
          <w:rFonts w:ascii="Times New Roman" w:hAnsi="Times New Roman"/>
          <w:noProof/>
          <w:sz w:val="24"/>
        </w:rPr>
        <w:t xml:space="preserve">i </w:t>
      </w:r>
      <w:r>
        <w:rPr>
          <w:rFonts w:ascii="Times New Roman" w:hAnsi="Times New Roman"/>
          <w:b/>
          <w:noProof/>
          <w:sz w:val="24"/>
        </w:rPr>
        <w:t>neovisnih karika</w:t>
      </w:r>
      <w:r>
        <w:rPr>
          <w:rFonts w:ascii="Times New Roman" w:hAnsi="Times New Roman"/>
          <w:noProof/>
          <w:sz w:val="24"/>
        </w:rPr>
        <w:t xml:space="preserve"> u lancu proizvodnje.</w:t>
      </w:r>
    </w:p>
    <w:p w:rsidR="00B444E2" w:rsidRDefault="00B444E2">
      <w:pPr>
        <w:ind w:left="357"/>
        <w:jc w:val="both"/>
        <w:rPr>
          <w:rFonts w:ascii="Times New Roman" w:hAnsi="Times New Roman"/>
          <w:noProof/>
          <w:sz w:val="24"/>
          <w:szCs w:val="24"/>
        </w:rPr>
      </w:pPr>
      <w:r>
        <w:rPr>
          <w:rFonts w:ascii="Times New Roman" w:hAnsi="Times New Roman"/>
          <w:noProof/>
          <w:sz w:val="24"/>
        </w:rPr>
        <w:t xml:space="preserve">U okviru </w:t>
      </w:r>
      <w:r>
        <w:rPr>
          <w:rFonts w:ascii="Times New Roman" w:hAnsi="Times New Roman"/>
          <w:b/>
          <w:noProof/>
          <w:sz w:val="24"/>
        </w:rPr>
        <w:t>vertikalno integriranog</w:t>
      </w:r>
      <w:r>
        <w:rPr>
          <w:rFonts w:ascii="Times New Roman" w:hAnsi="Times New Roman"/>
          <w:noProof/>
          <w:sz w:val="24"/>
        </w:rPr>
        <w:t xml:space="preserve"> modela društvo integrator kontrolira nekoliko poveznica s proizvodnjom, ili sve njih (uzgoj, valenje, smještaj, mlin za hranu za životinje, pogon za preradu). Integrator osigurava jednodnevne piliće, hranu za životinje te ponekad smještaj i vlasnik je ptica u svakom trenutku. Poljoprivrednicima se isplaćuje fiksni iznos za rad i varijabilne troškove. Taj se sustav upotrebljava u Ujedinjenoj Kraljevini, Italiji, Francuskoj i Španjolskoj. </w:t>
      </w:r>
    </w:p>
    <w:p w:rsidR="00B444E2" w:rsidRDefault="00B444E2">
      <w:pPr>
        <w:ind w:left="357"/>
        <w:jc w:val="both"/>
        <w:rPr>
          <w:rFonts w:ascii="Times New Roman" w:hAnsi="Times New Roman"/>
          <w:noProof/>
          <w:sz w:val="24"/>
          <w:szCs w:val="24"/>
        </w:rPr>
      </w:pPr>
      <w:r>
        <w:rPr>
          <w:rFonts w:ascii="Times New Roman" w:hAnsi="Times New Roman"/>
          <w:noProof/>
          <w:sz w:val="24"/>
        </w:rPr>
        <w:t xml:space="preserve">U okviru drugog modela, </w:t>
      </w:r>
      <w:r>
        <w:rPr>
          <w:rFonts w:ascii="Times New Roman" w:hAnsi="Times New Roman"/>
          <w:b/>
          <w:noProof/>
          <w:sz w:val="24"/>
        </w:rPr>
        <w:t>neovisnih karika</w:t>
      </w:r>
      <w:r>
        <w:rPr>
          <w:rFonts w:ascii="Times New Roman" w:hAnsi="Times New Roman"/>
          <w:noProof/>
          <w:sz w:val="24"/>
        </w:rPr>
        <w:t xml:space="preserve">, sve karike djeluju na otvorenom tržištu i same preuzimaju rizike. Poljoprivrednik je vlasnik ptica te se izravnije suočava s promjenama cijena hrane i potražnje za pilećim mesom. Taj se sustav upotrebljava u Nizozemskoj i Belgiji, dok u Njemačkoj postoje oba modela. </w:t>
      </w:r>
    </w:p>
    <w:p w:rsidR="00B444E2" w:rsidRDefault="00B444E2">
      <w:pPr>
        <w:ind w:left="357"/>
        <w:jc w:val="both"/>
        <w:rPr>
          <w:rFonts w:ascii="Times New Roman" w:hAnsi="Times New Roman"/>
          <w:noProof/>
          <w:sz w:val="24"/>
          <w:szCs w:val="24"/>
        </w:rPr>
      </w:pPr>
      <w:r>
        <w:rPr>
          <w:rFonts w:ascii="Times New Roman" w:hAnsi="Times New Roman"/>
          <w:noProof/>
          <w:sz w:val="24"/>
        </w:rPr>
        <w:t>Genetski odabir uglavnom je usmjeren na ispunjavanje potreba za brzo rastućim pticama, a to je prevladavajući sustav proizvodnje u EU-u.</w:t>
      </w:r>
    </w:p>
    <w:p w:rsidR="00B444E2" w:rsidRDefault="00B444E2">
      <w:pPr>
        <w:ind w:left="357"/>
        <w:jc w:val="both"/>
        <w:rPr>
          <w:rFonts w:ascii="Times New Roman" w:hAnsi="Times New Roman"/>
          <w:noProof/>
          <w:sz w:val="24"/>
          <w:szCs w:val="24"/>
        </w:rPr>
      </w:pPr>
      <w:r>
        <w:rPr>
          <w:rFonts w:ascii="Times New Roman" w:hAnsi="Times New Roman"/>
          <w:noProof/>
          <w:sz w:val="24"/>
        </w:rPr>
        <w:t xml:space="preserve">U tu se svrhu u sektoru pilećeg mesa EU-a upotrebljavaju </w:t>
      </w:r>
      <w:r>
        <w:rPr>
          <w:rFonts w:ascii="Times New Roman" w:hAnsi="Times New Roman"/>
          <w:b/>
          <w:noProof/>
          <w:sz w:val="24"/>
        </w:rPr>
        <w:t>brzo rastući brojleri</w:t>
      </w:r>
      <w:r>
        <w:rPr>
          <w:rFonts w:ascii="Times New Roman" w:hAnsi="Times New Roman"/>
          <w:noProof/>
          <w:sz w:val="24"/>
        </w:rPr>
        <w:t xml:space="preserve">. Ti brojleri postižu ciljnu </w:t>
      </w:r>
      <w:r>
        <w:rPr>
          <w:rFonts w:ascii="Times New Roman" w:hAnsi="Times New Roman"/>
          <w:b/>
          <w:noProof/>
          <w:sz w:val="24"/>
        </w:rPr>
        <w:t>živu masu od 2 do 2,5 kg</w:t>
      </w:r>
      <w:r>
        <w:rPr>
          <w:rFonts w:ascii="Times New Roman" w:hAnsi="Times New Roman"/>
          <w:noProof/>
          <w:sz w:val="24"/>
        </w:rPr>
        <w:t xml:space="preserve"> za otprilike </w:t>
      </w:r>
      <w:r>
        <w:rPr>
          <w:rFonts w:ascii="Times New Roman" w:hAnsi="Times New Roman"/>
          <w:b/>
          <w:noProof/>
          <w:sz w:val="24"/>
        </w:rPr>
        <w:t>35 do 45 dana</w:t>
      </w:r>
      <w:r>
        <w:rPr>
          <w:rFonts w:ascii="Times New Roman" w:hAnsi="Times New Roman"/>
          <w:noProof/>
          <w:sz w:val="24"/>
        </w:rPr>
        <w:t xml:space="preserve">. Međutim, postoje razlike ovisno o zemlji, regiji ili tržišnom segmentu koji treba opskrbiti. U Europi se brojlere odabrane za brz rast uobičajeno drži u zatvorenom i kontroliranom smještaju sa steljom i automatskom opskrbom hranom i vodom. </w:t>
      </w:r>
    </w:p>
    <w:p w:rsidR="00B444E2" w:rsidRDefault="00B444E2">
      <w:pPr>
        <w:ind w:left="357"/>
        <w:jc w:val="both"/>
        <w:rPr>
          <w:rFonts w:ascii="Times New Roman" w:hAnsi="Times New Roman"/>
          <w:noProof/>
          <w:sz w:val="24"/>
          <w:szCs w:val="24"/>
        </w:rPr>
      </w:pPr>
      <w:r>
        <w:rPr>
          <w:rFonts w:ascii="Times New Roman" w:hAnsi="Times New Roman"/>
          <w:noProof/>
          <w:sz w:val="24"/>
        </w:rPr>
        <w:t>Međutim, dio je te proizvodnje, a samim time i genetski odabir, osmišljen za sporo rastuće ptice.</w:t>
      </w:r>
    </w:p>
    <w:p w:rsidR="00B444E2" w:rsidRDefault="00B444E2">
      <w:pPr>
        <w:ind w:left="357"/>
        <w:jc w:val="both"/>
        <w:rPr>
          <w:rFonts w:ascii="Times New Roman" w:hAnsi="Times New Roman"/>
          <w:noProof/>
          <w:sz w:val="24"/>
          <w:szCs w:val="24"/>
        </w:rPr>
      </w:pPr>
      <w:r>
        <w:rPr>
          <w:rFonts w:ascii="Times New Roman" w:hAnsi="Times New Roman"/>
          <w:b/>
          <w:noProof/>
          <w:sz w:val="24"/>
        </w:rPr>
        <w:t xml:space="preserve">Sporo rastući </w:t>
      </w:r>
      <w:r>
        <w:rPr>
          <w:rFonts w:ascii="Times New Roman" w:hAnsi="Times New Roman"/>
          <w:noProof/>
          <w:sz w:val="24"/>
        </w:rPr>
        <w:t xml:space="preserve">brojleri (od </w:t>
      </w:r>
      <w:r>
        <w:rPr>
          <w:rFonts w:ascii="Times New Roman" w:hAnsi="Times New Roman"/>
          <w:b/>
          <w:noProof/>
          <w:sz w:val="24"/>
        </w:rPr>
        <w:t>70 do 81 dana</w:t>
      </w:r>
      <w:r>
        <w:rPr>
          <w:rFonts w:ascii="Times New Roman" w:hAnsi="Times New Roman"/>
          <w:noProof/>
          <w:sz w:val="24"/>
        </w:rPr>
        <w:t xml:space="preserve">) posljednjih su godina sve popularniji u brojnim državama članicama EU-a. Ti se brojleri upotrebljavaju u slobodnom uzgoju i organskoj proizvodnji, a drži ih se u malom broju te sa stalnim pristupom otvorenom prostoru. Međutim, stručnjaci iz industrije smatraju da će sporo rastući pilići ostati tržišna niša.  Nadalje, postoji i </w:t>
      </w:r>
      <w:r>
        <w:rPr>
          <w:rFonts w:ascii="Times New Roman" w:hAnsi="Times New Roman"/>
          <w:b/>
          <w:noProof/>
          <w:sz w:val="24"/>
        </w:rPr>
        <w:t>certificirana proizvodnja brojlera</w:t>
      </w:r>
      <w:r>
        <w:rPr>
          <w:rFonts w:ascii="Times New Roman" w:hAnsi="Times New Roman"/>
          <w:noProof/>
          <w:sz w:val="24"/>
        </w:rPr>
        <w:t xml:space="preserve">, koja uključuje sporo rastuće brojlere koje se drži u zatvorenom prostoru do starosti od </w:t>
      </w:r>
      <w:r>
        <w:rPr>
          <w:rFonts w:ascii="Times New Roman" w:hAnsi="Times New Roman"/>
          <w:b/>
          <w:noProof/>
          <w:sz w:val="24"/>
        </w:rPr>
        <w:t>56 dana</w:t>
      </w:r>
      <w:r>
        <w:rPr>
          <w:rFonts w:ascii="Times New Roman" w:hAnsi="Times New Roman"/>
          <w:noProof/>
          <w:sz w:val="24"/>
        </w:rPr>
        <w:t>, a radi se o načinu proizvodnje koji je između uobičajene proizvodnje brojlera i organske proizvodnje. Nisu dostupni statistički podaci o točnom broju brojlera iz alternativne proizvodnje (sporo rastući ili certificirani brojleri) u EU-u, ali stručnjaci iz industrije procjenjuju da je udio te proizvodnje na tržištu između 5 i 10 % ukupne proizvodnje</w:t>
      </w:r>
      <w:r>
        <w:rPr>
          <w:rStyle w:val="FootnoteReference"/>
          <w:rFonts w:ascii="Times New Roman" w:hAnsi="Times New Roman"/>
          <w:noProof/>
          <w:sz w:val="24"/>
        </w:rPr>
        <w:footnoteReference w:id="10"/>
      </w:r>
      <w:r>
        <w:rPr>
          <w:rFonts w:ascii="Times New Roman" w:hAnsi="Times New Roman"/>
          <w:noProof/>
          <w:sz w:val="24"/>
        </w:rPr>
        <w:t>.</w:t>
      </w:r>
    </w:p>
    <w:p w:rsidR="00B444E2" w:rsidRDefault="00B444E2">
      <w:pPr>
        <w:pStyle w:val="Heading1"/>
        <w:rPr>
          <w:noProof/>
        </w:rPr>
      </w:pPr>
      <w:bookmarkStart w:id="9" w:name="_Toc444589109"/>
      <w:bookmarkStart w:id="10" w:name="_Toc445910056"/>
      <w:r>
        <w:rPr>
          <w:noProof/>
        </w:rPr>
        <w:t>GENETSKI ODABIR I NJEGOV UČINAK NA DOBROBIT BROJLERA</w:t>
      </w:r>
      <w:bookmarkEnd w:id="9"/>
      <w:bookmarkEnd w:id="10"/>
      <w:r>
        <w:rPr>
          <w:noProof/>
        </w:rPr>
        <w:t xml:space="preserve"> </w:t>
      </w:r>
    </w:p>
    <w:p w:rsidR="00B444E2" w:rsidRDefault="00B444E2">
      <w:pPr>
        <w:spacing w:before="120"/>
        <w:jc w:val="both"/>
        <w:rPr>
          <w:rFonts w:ascii="Times New Roman" w:hAnsi="Times New Roman"/>
          <w:noProof/>
          <w:sz w:val="24"/>
          <w:szCs w:val="24"/>
        </w:rPr>
      </w:pPr>
      <w:r>
        <w:rPr>
          <w:rFonts w:ascii="Times New Roman" w:hAnsi="Times New Roman"/>
          <w:noProof/>
          <w:sz w:val="24"/>
        </w:rPr>
        <w:t xml:space="preserve">Genetski odabir brojlera u posljednjih se 50 godina znatno izmijenio. Točnije, povećala se stopa rasta komercijalnih brojlera te danas standardni brojleri postižu tjelesnu masu od 1,5 kg u manje od 30 dana, dok je 1950-ih godina za to bilo potrebno 120 dana. U početku je odabir bio usmjeren na veću stopu rasta i veći udio mesa. Međutim, kako bi se izbjegle nepoželjne posljedice jednostranog odabira za proizvodnju, posljednjih se godina provodi i odabir u odnosu na osjetljivost u pogledu određenih vrsta bolesti i obilježja vezana uz dobrobit.  </w:t>
      </w:r>
    </w:p>
    <w:p w:rsidR="00B444E2" w:rsidRDefault="00B444E2">
      <w:pPr>
        <w:spacing w:line="240" w:lineRule="auto"/>
        <w:jc w:val="both"/>
        <w:rPr>
          <w:rFonts w:ascii="Times New Roman" w:hAnsi="Times New Roman"/>
          <w:noProof/>
          <w:sz w:val="24"/>
          <w:szCs w:val="24"/>
        </w:rPr>
      </w:pPr>
      <w:r>
        <w:rPr>
          <w:rFonts w:ascii="Times New Roman" w:hAnsi="Times New Roman"/>
          <w:noProof/>
          <w:sz w:val="24"/>
        </w:rPr>
        <w:t xml:space="preserve">Do većine problema u pogledu dobrobiti kod brojlera dolazi zbog brojnih čimbenika, kao što su okolišni čimbenici, čimbenici upravljanja i genetički čimbenici. Međutim, u znanstvenim se mišljenjima prepoznaje da </w:t>
      </w:r>
      <w:r>
        <w:rPr>
          <w:rFonts w:ascii="Times New Roman" w:hAnsi="Times New Roman"/>
          <w:b/>
          <w:noProof/>
          <w:sz w:val="24"/>
        </w:rPr>
        <w:t>su određeni problemi u pogledu dobrobiti u biti povezani s genetskim čimbenicima</w:t>
      </w:r>
      <w:r>
        <w:rPr>
          <w:rFonts w:ascii="Times New Roman" w:hAnsi="Times New Roman"/>
          <w:noProof/>
          <w:sz w:val="24"/>
        </w:rPr>
        <w:t xml:space="preserve">, a ostale se uglavnom povezuje s okolišnim čimbenicima i čimbenicima upravljanja poput gustoće držanja i kvalitete stelje, svjetla i oskudne sredine. </w:t>
      </w:r>
    </w:p>
    <w:p w:rsidR="00B444E2" w:rsidRDefault="00B444E2">
      <w:pPr>
        <w:pStyle w:val="Heading2"/>
        <w:rPr>
          <w:noProof/>
        </w:rPr>
      </w:pPr>
      <w:bookmarkStart w:id="11" w:name="_Toc444589110"/>
      <w:bookmarkStart w:id="12" w:name="_Toc445910057"/>
      <w:r>
        <w:rPr>
          <w:noProof/>
        </w:rPr>
        <w:t>3.1. Genetski odabir: nasljednost i pritisak odabira</w:t>
      </w:r>
      <w:bookmarkEnd w:id="11"/>
      <w:bookmarkEnd w:id="12"/>
    </w:p>
    <w:p w:rsidR="00B444E2" w:rsidRDefault="00B444E2">
      <w:pPr>
        <w:spacing w:before="120" w:line="240" w:lineRule="auto"/>
        <w:ind w:left="357"/>
        <w:jc w:val="both"/>
        <w:rPr>
          <w:rFonts w:ascii="Times New Roman" w:hAnsi="Times New Roman"/>
          <w:noProof/>
          <w:sz w:val="24"/>
          <w:szCs w:val="24"/>
        </w:rPr>
      </w:pPr>
      <w:r>
        <w:rPr>
          <w:rFonts w:ascii="Times New Roman" w:hAnsi="Times New Roman"/>
          <w:noProof/>
          <w:sz w:val="24"/>
        </w:rPr>
        <w:t xml:space="preserve">Programi uzgoja ustrojeni su tako da opskrbljuju komercijalna jata jednodnevnim brojlerima u okviru piramide razmnožavanja (vidi odjeljak 2.2.). Rasplodnom se piramidom olakšava križanje genetski različitih linija radi odabira određenih obilježja uključenih u genetski program. Odgovor na  jednu generaciju odabira ovisi o </w:t>
      </w:r>
      <w:r>
        <w:rPr>
          <w:rFonts w:ascii="Times New Roman" w:hAnsi="Times New Roman"/>
          <w:b/>
          <w:noProof/>
          <w:sz w:val="24"/>
        </w:rPr>
        <w:t>nasljednosti</w:t>
      </w:r>
      <w:r>
        <w:rPr>
          <w:rStyle w:val="FootnoteReference"/>
          <w:rFonts w:ascii="Times New Roman" w:hAnsi="Times New Roman"/>
          <w:b/>
          <w:noProof/>
          <w:sz w:val="24"/>
        </w:rPr>
        <w:footnoteReference w:id="11"/>
      </w:r>
      <w:r>
        <w:rPr>
          <w:rFonts w:ascii="Times New Roman" w:hAnsi="Times New Roman"/>
          <w:noProof/>
          <w:sz w:val="24"/>
        </w:rPr>
        <w:t xml:space="preserve"> </w:t>
      </w:r>
      <w:r>
        <w:rPr>
          <w:rFonts w:ascii="Times New Roman" w:hAnsi="Times New Roman"/>
          <w:b/>
          <w:noProof/>
          <w:sz w:val="24"/>
        </w:rPr>
        <w:t>obilježja</w:t>
      </w:r>
      <w:r>
        <w:rPr>
          <w:rFonts w:ascii="Times New Roman" w:hAnsi="Times New Roman"/>
          <w:noProof/>
          <w:sz w:val="24"/>
        </w:rPr>
        <w:t xml:space="preserve"> i primijenjenom </w:t>
      </w:r>
      <w:r>
        <w:rPr>
          <w:rFonts w:ascii="Times New Roman" w:hAnsi="Times New Roman"/>
          <w:b/>
          <w:noProof/>
          <w:sz w:val="24"/>
        </w:rPr>
        <w:t>pritisku</w:t>
      </w:r>
      <w:r>
        <w:rPr>
          <w:rFonts w:ascii="Times New Roman" w:hAnsi="Times New Roman"/>
          <w:noProof/>
          <w:sz w:val="24"/>
        </w:rPr>
        <w:t xml:space="preserve"> </w:t>
      </w:r>
      <w:r>
        <w:rPr>
          <w:rFonts w:ascii="Times New Roman" w:hAnsi="Times New Roman"/>
          <w:b/>
          <w:noProof/>
          <w:sz w:val="24"/>
        </w:rPr>
        <w:t>odabira</w:t>
      </w:r>
      <w:r>
        <w:rPr>
          <w:rFonts w:ascii="Times New Roman" w:hAnsi="Times New Roman"/>
          <w:noProof/>
          <w:sz w:val="24"/>
        </w:rPr>
        <w:t xml:space="preserve"> (udio ptica s upotrijebljenim određenim obilježjem kao roditelja iduće generacije). Nadalje, napredak ostvaren zahvaljujući genetskom odabiru u čistokrvnim jatima ne jamči da će se slična promjena uočiti kod komercijalnih brojlera jer </w:t>
      </w:r>
      <w:r>
        <w:rPr>
          <w:rFonts w:ascii="Times New Roman" w:hAnsi="Times New Roman"/>
          <w:b/>
          <w:noProof/>
          <w:sz w:val="24"/>
        </w:rPr>
        <w:t>se komercijalni brojleri ne drže u istim sredinama kao jata kod uzgajivača</w:t>
      </w:r>
      <w:r>
        <w:rPr>
          <w:rStyle w:val="FootnoteReference"/>
          <w:rFonts w:ascii="Times New Roman" w:hAnsi="Times New Roman"/>
          <w:b/>
          <w:noProof/>
          <w:sz w:val="24"/>
        </w:rPr>
        <w:footnoteReference w:id="12"/>
      </w:r>
      <w:r>
        <w:rPr>
          <w:rFonts w:ascii="Times New Roman" w:hAnsi="Times New Roman"/>
          <w:noProof/>
          <w:sz w:val="24"/>
        </w:rPr>
        <w:t>.</w:t>
      </w:r>
    </w:p>
    <w:p w:rsidR="00B444E2" w:rsidRDefault="00B444E2">
      <w:pPr>
        <w:spacing w:line="240" w:lineRule="auto"/>
        <w:ind w:left="357"/>
        <w:jc w:val="both"/>
        <w:rPr>
          <w:rFonts w:ascii="Times New Roman" w:hAnsi="Times New Roman"/>
          <w:noProof/>
          <w:sz w:val="24"/>
          <w:szCs w:val="24"/>
        </w:rPr>
      </w:pPr>
      <w:r>
        <w:rPr>
          <w:rFonts w:ascii="Times New Roman" w:hAnsi="Times New Roman"/>
          <w:noProof/>
          <w:sz w:val="24"/>
        </w:rPr>
        <w:t xml:space="preserve">Postoje znatne poteškoće u dobivanju podataka o </w:t>
      </w:r>
      <w:r>
        <w:rPr>
          <w:rFonts w:ascii="Times New Roman" w:hAnsi="Times New Roman"/>
          <w:b/>
          <w:noProof/>
          <w:sz w:val="24"/>
        </w:rPr>
        <w:t>nasljedivosti</w:t>
      </w:r>
      <w:r>
        <w:rPr>
          <w:rFonts w:ascii="Times New Roman" w:hAnsi="Times New Roman"/>
          <w:noProof/>
          <w:sz w:val="24"/>
        </w:rPr>
        <w:t xml:space="preserve"> odabranog obilježja jer je, s jedne strane, potrebno nekoliko stotina ptica kako bi se dobili pouzdani podatci, a s druge strane, razdoblje potrebno za pojavu genetskih razlika u komercijalnim jatima nikad nije kraće od četiri godine (vidi Prilog III.).</w:t>
      </w:r>
    </w:p>
    <w:p w:rsidR="00B444E2" w:rsidRDefault="00B444E2">
      <w:pPr>
        <w:spacing w:line="240" w:lineRule="auto"/>
        <w:ind w:left="357"/>
        <w:jc w:val="both"/>
        <w:rPr>
          <w:rFonts w:ascii="Times New Roman" w:hAnsi="Times New Roman"/>
          <w:noProof/>
          <w:sz w:val="24"/>
          <w:szCs w:val="24"/>
        </w:rPr>
      </w:pPr>
      <w:r>
        <w:rPr>
          <w:rFonts w:ascii="Times New Roman" w:hAnsi="Times New Roman"/>
          <w:noProof/>
          <w:sz w:val="24"/>
        </w:rPr>
        <w:t xml:space="preserve">Kad se odabir istovremeno odnosi na nekoliko obilježja, odgovor na odabir po obilježju sporiji je no što bi bio da je to obilježje bilo jedino koje se biralo te se time smanjuje </w:t>
      </w:r>
      <w:r>
        <w:rPr>
          <w:rFonts w:ascii="Times New Roman" w:hAnsi="Times New Roman"/>
          <w:b/>
          <w:noProof/>
          <w:sz w:val="24"/>
        </w:rPr>
        <w:t>pritisak odabira</w:t>
      </w:r>
      <w:r>
        <w:rPr>
          <w:rFonts w:ascii="Times New Roman" w:hAnsi="Times New Roman"/>
          <w:noProof/>
          <w:sz w:val="24"/>
        </w:rPr>
        <w:t>. Na primjer, pretpostavi li se da program odabira A uključuje stopu rasta i otpornost na bolesti, a program odabira B uključuje samo stopu rasta, odgovor na odabir u pogledu stope rasta u programu A bit će sporiji no u programu B.</w:t>
      </w:r>
    </w:p>
    <w:p w:rsidR="00B444E2" w:rsidRDefault="00B444E2">
      <w:pPr>
        <w:spacing w:line="240" w:lineRule="auto"/>
        <w:ind w:left="357"/>
        <w:jc w:val="both"/>
        <w:rPr>
          <w:rFonts w:ascii="Times New Roman" w:hAnsi="Times New Roman"/>
          <w:noProof/>
          <w:sz w:val="24"/>
          <w:szCs w:val="24"/>
        </w:rPr>
      </w:pPr>
      <w:r>
        <w:rPr>
          <w:rFonts w:ascii="Times New Roman" w:hAnsi="Times New Roman"/>
          <w:noProof/>
          <w:sz w:val="24"/>
        </w:rPr>
        <w:t xml:space="preserve">U prošlosti su obilježja vezana uz proizvodnju bila jedini kriteriji za programe uzgoja i odabira. Budući da su troškovi za hranu za životinje glavni čimbenik koji utječe na isplativost proizvodnje pilećeg mesa, </w:t>
      </w:r>
      <w:r>
        <w:rPr>
          <w:rFonts w:ascii="Times New Roman" w:hAnsi="Times New Roman"/>
          <w:b/>
          <w:noProof/>
          <w:sz w:val="24"/>
        </w:rPr>
        <w:t>učinkovitost konverzije hrane</w:t>
      </w:r>
      <w:r>
        <w:rPr>
          <w:rStyle w:val="FootnoteReference"/>
          <w:rFonts w:ascii="Times New Roman" w:hAnsi="Times New Roman"/>
          <w:b/>
          <w:noProof/>
          <w:sz w:val="24"/>
        </w:rPr>
        <w:footnoteReference w:id="13"/>
      </w:r>
      <w:r>
        <w:rPr>
          <w:rFonts w:ascii="Times New Roman" w:hAnsi="Times New Roman"/>
          <w:b/>
          <w:noProof/>
          <w:sz w:val="24"/>
        </w:rPr>
        <w:t xml:space="preserve"> glavni je kriterij za odabir</w:t>
      </w:r>
      <w:r>
        <w:rPr>
          <w:rFonts w:ascii="Times New Roman" w:hAnsi="Times New Roman"/>
          <w:noProof/>
          <w:sz w:val="24"/>
        </w:rPr>
        <w:t>. Međutim, posljednjih godina dolazi do promjena te se naglasak sve više stavlja na obilježja koja nisu vezana uz proizvodnju, kao što su kvaliteta kostiju, kardiovaskularna učinkovitost i otpornost na nakupljanje tekućine u trbušnoj šupljini (ascites) (vidi Prilog IV.).</w:t>
      </w:r>
    </w:p>
    <w:p w:rsidR="00B444E2" w:rsidRDefault="00B444E2">
      <w:pPr>
        <w:spacing w:line="240" w:lineRule="auto"/>
        <w:ind w:left="357"/>
        <w:jc w:val="both"/>
        <w:rPr>
          <w:rFonts w:ascii="Times New Roman" w:hAnsi="Times New Roman"/>
          <w:noProof/>
          <w:sz w:val="24"/>
          <w:szCs w:val="24"/>
        </w:rPr>
      </w:pPr>
      <w:r>
        <w:rPr>
          <w:rFonts w:ascii="Times New Roman" w:hAnsi="Times New Roman"/>
          <w:noProof/>
          <w:sz w:val="24"/>
        </w:rPr>
        <w:t xml:space="preserve">Način na koji su ta </w:t>
      </w:r>
      <w:r>
        <w:rPr>
          <w:rFonts w:ascii="Times New Roman" w:hAnsi="Times New Roman"/>
          <w:b/>
          <w:noProof/>
          <w:sz w:val="24"/>
        </w:rPr>
        <w:t>obilježja uključena u</w:t>
      </w:r>
      <w:r>
        <w:rPr>
          <w:rFonts w:ascii="Times New Roman" w:hAnsi="Times New Roman"/>
          <w:noProof/>
          <w:sz w:val="24"/>
        </w:rPr>
        <w:t xml:space="preserve"> programe </w:t>
      </w:r>
      <w:r>
        <w:rPr>
          <w:rFonts w:ascii="Times New Roman" w:hAnsi="Times New Roman"/>
          <w:b/>
          <w:noProof/>
          <w:sz w:val="24"/>
        </w:rPr>
        <w:t>genetskog odabira komercijalno je osjetljiva informacija</w:t>
      </w:r>
      <w:r>
        <w:rPr>
          <w:rFonts w:ascii="Times New Roman" w:hAnsi="Times New Roman"/>
          <w:noProof/>
          <w:sz w:val="24"/>
        </w:rPr>
        <w:t xml:space="preserve"> te je stoga društva uzgajivači ne otkrivaju. Stoga nije poznat točan pritisak odabira na obilježja koja su vezana uz proizvodnju i ona koja nisu. </w:t>
      </w:r>
    </w:p>
    <w:p w:rsidR="00B444E2" w:rsidRDefault="00B444E2">
      <w:pPr>
        <w:pStyle w:val="Heading2"/>
        <w:rPr>
          <w:noProof/>
        </w:rPr>
      </w:pPr>
      <w:bookmarkStart w:id="13" w:name="_Toc444589111"/>
      <w:bookmarkStart w:id="14" w:name="_Toc445910058"/>
      <w:r>
        <w:rPr>
          <w:noProof/>
        </w:rPr>
        <w:t>3.2. Utjecaj na dobrobit životinja</w:t>
      </w:r>
      <w:bookmarkEnd w:id="13"/>
      <w:bookmarkEnd w:id="14"/>
    </w:p>
    <w:p w:rsidR="00B444E2" w:rsidRDefault="00B444E2">
      <w:pPr>
        <w:spacing w:before="120" w:line="240" w:lineRule="auto"/>
        <w:ind w:left="357"/>
        <w:jc w:val="both"/>
        <w:rPr>
          <w:rFonts w:ascii="Times New Roman" w:hAnsi="Times New Roman"/>
          <w:noProof/>
          <w:sz w:val="24"/>
          <w:szCs w:val="24"/>
        </w:rPr>
      </w:pPr>
      <w:r>
        <w:rPr>
          <w:rFonts w:ascii="Times New Roman" w:hAnsi="Times New Roman"/>
          <w:noProof/>
          <w:sz w:val="24"/>
        </w:rPr>
        <w:t xml:space="preserve">Posljednjih je desetljeća velik broj obilježja metabolizma i ponašanja u brojlerima izmijenjen genetskim odabirom te je to dovelo do različitih </w:t>
      </w:r>
      <w:r>
        <w:rPr>
          <w:rFonts w:ascii="Times New Roman" w:hAnsi="Times New Roman"/>
          <w:b/>
          <w:noProof/>
          <w:sz w:val="24"/>
        </w:rPr>
        <w:t xml:space="preserve">problema u pogledu dobrobiti </w:t>
      </w:r>
      <w:r>
        <w:rPr>
          <w:rFonts w:ascii="Times New Roman" w:hAnsi="Times New Roman"/>
          <w:noProof/>
          <w:sz w:val="24"/>
        </w:rPr>
        <w:t>koji su navedeni u nastavku:</w:t>
      </w:r>
    </w:p>
    <w:p w:rsidR="00B444E2" w:rsidRDefault="00B444E2">
      <w:pPr>
        <w:numPr>
          <w:ilvl w:val="0"/>
          <w:numId w:val="6"/>
        </w:numPr>
        <w:spacing w:before="360" w:after="120" w:line="240" w:lineRule="auto"/>
        <w:jc w:val="both"/>
        <w:rPr>
          <w:rFonts w:ascii="Times New Roman" w:hAnsi="Times New Roman"/>
          <w:b/>
          <w:i/>
          <w:noProof/>
          <w:sz w:val="24"/>
          <w:szCs w:val="24"/>
        </w:rPr>
      </w:pPr>
      <w:r>
        <w:rPr>
          <w:rFonts w:ascii="Times New Roman" w:hAnsi="Times New Roman"/>
          <w:b/>
          <w:i/>
          <w:noProof/>
          <w:sz w:val="24"/>
        </w:rPr>
        <w:t>Noge i lokomocija</w:t>
      </w:r>
    </w:p>
    <w:p w:rsidR="00B444E2" w:rsidRDefault="00B444E2">
      <w:pPr>
        <w:spacing w:before="120" w:line="240" w:lineRule="auto"/>
        <w:ind w:left="720"/>
        <w:jc w:val="both"/>
        <w:rPr>
          <w:rFonts w:ascii="Times New Roman" w:hAnsi="Times New Roman"/>
          <w:noProof/>
          <w:sz w:val="24"/>
          <w:szCs w:val="24"/>
        </w:rPr>
      </w:pPr>
      <w:r>
        <w:rPr>
          <w:rFonts w:ascii="Times New Roman" w:hAnsi="Times New Roman"/>
          <w:noProof/>
          <w:sz w:val="24"/>
        </w:rPr>
        <w:t xml:space="preserve">Problemi s nogama koji utječu na mišićno-koštani sustav, kao što su deformacije kostiju i šepavost, glavni su uzrok slabe dobrobiti brojlera, a do njih može doći iz genetskih razloga. EFSA je istaknula da su kod oko 30 % komercijalnih brojlera iz intenzivnog uzgoja zabilježene anomalije nogu. Ta su biomehanička ograničenja vjerojatno posljedica morfoloških promjena poput brzog rasta prsnog mišića koji pomiče težište unaprijed i relativno kratkih nogu u odnosu na tjelesnu masu ptice. </w:t>
      </w:r>
    </w:p>
    <w:p w:rsidR="00B444E2" w:rsidRDefault="00B444E2">
      <w:pPr>
        <w:spacing w:line="240" w:lineRule="auto"/>
        <w:ind w:left="720"/>
        <w:jc w:val="both"/>
        <w:rPr>
          <w:rFonts w:ascii="Times New Roman" w:hAnsi="Times New Roman"/>
          <w:noProof/>
          <w:sz w:val="24"/>
          <w:szCs w:val="24"/>
        </w:rPr>
      </w:pPr>
      <w:r>
        <w:rPr>
          <w:rFonts w:ascii="Times New Roman" w:hAnsi="Times New Roman"/>
          <w:noProof/>
          <w:sz w:val="24"/>
        </w:rPr>
        <w:t xml:space="preserve">U tom je znanstvenom mišljenju dokazano da su kosti brzo rastućeg odabranog soja poroznije i sadržavaju manje minerala od kostiju kontrolnog soja sporijeg rasta. Nadalje, ispitivanja su pokazala da sporo rastući brojleri koji se uzgajaju do starosti od 56 dana imaju znatno bolju sposobnost hodanja od onih uzgajanih do starosti od 42 dana. </w:t>
      </w:r>
    </w:p>
    <w:p w:rsidR="00B444E2" w:rsidRDefault="00B444E2">
      <w:pPr>
        <w:spacing w:line="240" w:lineRule="auto"/>
        <w:ind w:left="720"/>
        <w:jc w:val="both"/>
        <w:rPr>
          <w:rFonts w:ascii="Times New Roman" w:hAnsi="Times New Roman"/>
          <w:noProof/>
          <w:sz w:val="24"/>
          <w:szCs w:val="24"/>
        </w:rPr>
      </w:pPr>
      <w:r>
        <w:rPr>
          <w:rFonts w:ascii="Times New Roman" w:hAnsi="Times New Roman"/>
          <w:noProof/>
          <w:sz w:val="24"/>
        </w:rPr>
        <w:t xml:space="preserve">Ptice s teškim anomalijama u hodu otežano se kreću i vjerojatno je da će kod njih doći do promjena aktivnosti hranjenja, odnosno više će vremena provoditi u ležećem položaju zbog boli koju im uzrokuje kretanje te će zbog toga kod njih biti izraženija prisutnost kontaktnog dermatitisa (vidi u nastavku). </w:t>
      </w:r>
    </w:p>
    <w:p w:rsidR="00B444E2" w:rsidRDefault="00B444E2">
      <w:pPr>
        <w:numPr>
          <w:ilvl w:val="0"/>
          <w:numId w:val="6"/>
        </w:numPr>
        <w:spacing w:before="360" w:after="120" w:line="240" w:lineRule="auto"/>
        <w:jc w:val="both"/>
        <w:rPr>
          <w:rFonts w:ascii="Times New Roman" w:hAnsi="Times New Roman"/>
          <w:b/>
          <w:i/>
          <w:noProof/>
          <w:sz w:val="24"/>
          <w:szCs w:val="24"/>
        </w:rPr>
      </w:pPr>
      <w:r>
        <w:rPr>
          <w:rFonts w:ascii="Times New Roman" w:hAnsi="Times New Roman"/>
          <w:b/>
          <w:i/>
          <w:noProof/>
          <w:sz w:val="24"/>
        </w:rPr>
        <w:t>Ascites i sindrom iznenadne smrti</w:t>
      </w:r>
    </w:p>
    <w:p w:rsidR="00B444E2" w:rsidRDefault="00B444E2">
      <w:pPr>
        <w:spacing w:before="120" w:line="240" w:lineRule="auto"/>
        <w:ind w:left="720"/>
        <w:jc w:val="both"/>
        <w:rPr>
          <w:rFonts w:ascii="Times New Roman" w:hAnsi="Times New Roman"/>
          <w:noProof/>
          <w:sz w:val="24"/>
          <w:szCs w:val="24"/>
        </w:rPr>
      </w:pPr>
      <w:r>
        <w:rPr>
          <w:rFonts w:ascii="Times New Roman" w:hAnsi="Times New Roman"/>
          <w:noProof/>
          <w:sz w:val="24"/>
        </w:rPr>
        <w:t>Ascites je nakupljanje tekućine u trbušnoj šupljini, poremećaj metabolizma koji proizlazi iz proširenja i hipertrofije srca koji dovode do zatajenja srca i promjena u funkciji jetre. Sindrom iznenadne smrti najčešći je uzrok smrti u jatima brojlera, a najčešći je kod brzo rastućih muških jedinki ptica</w:t>
      </w:r>
      <w:r>
        <w:rPr>
          <w:rStyle w:val="FootnoteReference"/>
          <w:rFonts w:ascii="Times New Roman" w:hAnsi="Times New Roman"/>
          <w:noProof/>
          <w:sz w:val="24"/>
        </w:rPr>
        <w:footnoteReference w:id="14"/>
      </w:r>
      <w:r>
        <w:rPr>
          <w:rFonts w:ascii="Times New Roman" w:hAnsi="Times New Roman"/>
          <w:noProof/>
          <w:sz w:val="24"/>
        </w:rPr>
        <w:t>. Općenito se smatra da oboje uzrokuje nedostatna opskrba kisikom ili prevelika potreba za kisikom. Dodatni čimbenici poput ishrane, kvalitete zraka ili uvjeti u pogledu svjetla isto tako mogu utjecati na pojavu ascitesa i sindroma iznenadne smrti.</w:t>
      </w:r>
    </w:p>
    <w:p w:rsidR="00B444E2" w:rsidRDefault="00B444E2">
      <w:pPr>
        <w:spacing w:line="240" w:lineRule="auto"/>
        <w:ind w:left="720"/>
        <w:jc w:val="both"/>
        <w:rPr>
          <w:rFonts w:ascii="Times New Roman" w:hAnsi="Times New Roman"/>
          <w:noProof/>
          <w:sz w:val="24"/>
          <w:szCs w:val="24"/>
        </w:rPr>
      </w:pPr>
      <w:r>
        <w:rPr>
          <w:rFonts w:ascii="Times New Roman" w:hAnsi="Times New Roman"/>
          <w:noProof/>
          <w:sz w:val="24"/>
        </w:rPr>
        <w:t xml:space="preserve">Nekoliko je ispitivanja koje navodi EFSA pokazalo da je osjetljivost na ascites genetska. Zbog brzih stopa rasta postignutih genetskim odabirom povaćava se rizik od tih dviju bolesti jer povećana potreba za kisikom opterećuje kardiopulmonarni sustav. U nekoliko je ispitivanja postignut zaključak da kod brzo rastućih brojlera (zaklanih u starosti od 42 dana) postoji veći postotak smrti uzrokovane ascitesom nego kod sporo rastućih brojlera (zaklanih u starosti od 56 dana). </w:t>
      </w:r>
    </w:p>
    <w:p w:rsidR="00B444E2" w:rsidRDefault="00B444E2">
      <w:pPr>
        <w:numPr>
          <w:ilvl w:val="0"/>
          <w:numId w:val="6"/>
        </w:numPr>
        <w:spacing w:before="360" w:after="120" w:line="240" w:lineRule="auto"/>
        <w:jc w:val="both"/>
        <w:rPr>
          <w:rFonts w:ascii="Times New Roman" w:hAnsi="Times New Roman"/>
          <w:b/>
          <w:i/>
          <w:noProof/>
          <w:sz w:val="24"/>
          <w:szCs w:val="24"/>
        </w:rPr>
      </w:pPr>
      <w:r>
        <w:rPr>
          <w:rFonts w:ascii="Times New Roman" w:hAnsi="Times New Roman"/>
          <w:b/>
          <w:i/>
          <w:noProof/>
          <w:sz w:val="24"/>
        </w:rPr>
        <w:t>Kontaktni dermatitis</w:t>
      </w:r>
    </w:p>
    <w:p w:rsidR="00B444E2" w:rsidRDefault="00B444E2">
      <w:pPr>
        <w:spacing w:before="120" w:line="240" w:lineRule="auto"/>
        <w:ind w:left="720"/>
        <w:jc w:val="both"/>
        <w:rPr>
          <w:rFonts w:ascii="Times New Roman" w:hAnsi="Times New Roman"/>
          <w:noProof/>
          <w:sz w:val="24"/>
          <w:szCs w:val="24"/>
        </w:rPr>
      </w:pPr>
      <w:r>
        <w:rPr>
          <w:rFonts w:ascii="Times New Roman" w:hAnsi="Times New Roman"/>
          <w:noProof/>
          <w:sz w:val="24"/>
        </w:rPr>
        <w:t>Kožna oboljenja poput kontaktnog dermatitisa (erozije prsa, skočnog zgloba i nogu mogu prerasti u ulceracije i može doći do zaraze) uglavnom su povezana s praksama u pogledu upravljanja jer se čini da su mokra stelja i sastav hrane (u manjoj mjeri) bili najvažniji čimbenici za sprječavanje njihove pojave</w:t>
      </w:r>
      <w:r>
        <w:rPr>
          <w:rStyle w:val="FootnoteReference"/>
          <w:rFonts w:ascii="Times New Roman" w:hAnsi="Times New Roman"/>
          <w:noProof/>
          <w:sz w:val="24"/>
        </w:rPr>
        <w:footnoteReference w:id="15"/>
      </w:r>
      <w:r>
        <w:rPr>
          <w:rFonts w:ascii="Times New Roman" w:hAnsi="Times New Roman"/>
          <w:noProof/>
          <w:sz w:val="24"/>
        </w:rPr>
        <w:t>. Međutim, nekoliko je ispitivanja pokazalo da je kontaktni dermatitis umjereno nasljedan te da bi se stoga genetskim odabirom mogao ublažiti taj problem dobrobiti.</w:t>
      </w:r>
    </w:p>
    <w:p w:rsidR="00B444E2" w:rsidRDefault="00B444E2">
      <w:pPr>
        <w:pStyle w:val="Heading2"/>
        <w:rPr>
          <w:noProof/>
        </w:rPr>
      </w:pPr>
      <w:bookmarkStart w:id="15" w:name="_Toc444589112"/>
      <w:bookmarkStart w:id="16" w:name="_Toc445910059"/>
      <w:r>
        <w:rPr>
          <w:noProof/>
        </w:rPr>
        <w:t>3.3. Ciljevi u pogledu dobrobiti životinja i odabira</w:t>
      </w:r>
      <w:bookmarkEnd w:id="15"/>
      <w:bookmarkEnd w:id="16"/>
    </w:p>
    <w:p w:rsidR="00B444E2" w:rsidRDefault="00B444E2">
      <w:pPr>
        <w:spacing w:before="120" w:line="240" w:lineRule="auto"/>
        <w:ind w:left="357"/>
        <w:jc w:val="both"/>
        <w:rPr>
          <w:rFonts w:ascii="Times New Roman" w:hAnsi="Times New Roman"/>
          <w:noProof/>
          <w:sz w:val="24"/>
          <w:szCs w:val="24"/>
        </w:rPr>
      </w:pPr>
      <w:r>
        <w:rPr>
          <w:rFonts w:ascii="Times New Roman" w:hAnsi="Times New Roman"/>
          <w:noProof/>
          <w:sz w:val="24"/>
        </w:rPr>
        <w:t>S genetskog stajališta, poželjan rezultat odabira bit će ptica kod koje su učinkovito povezana obilježja vezana uz proizvodnju, razmnožavanje, zdravlje i dobrobit. Procjena genetske korelacije između obilježja vezanih uz proizvodnju i dobrobit koja se upotrebljavaju kao kriteriji za odabir u programima uzgoja životinja bila bi od pomoći u predviđanju kako će izravni odabir utjecati na druga obilježja.</w:t>
      </w:r>
    </w:p>
    <w:p w:rsidR="00B444E2" w:rsidRDefault="00B444E2">
      <w:pPr>
        <w:spacing w:line="240" w:lineRule="auto"/>
        <w:ind w:left="360"/>
        <w:jc w:val="both"/>
        <w:rPr>
          <w:rFonts w:ascii="Times New Roman" w:hAnsi="Times New Roman"/>
          <w:noProof/>
          <w:sz w:val="24"/>
          <w:szCs w:val="24"/>
        </w:rPr>
      </w:pPr>
      <w:r>
        <w:rPr>
          <w:rFonts w:ascii="Times New Roman" w:hAnsi="Times New Roman"/>
          <w:noProof/>
          <w:sz w:val="24"/>
        </w:rPr>
        <w:t>Korelacija bi mogla biti niža ili viša između određenih obilježja vezanih uz zdravlje i dobrobit s jedne strane i proizvodnju s druge strane. Ako je korelacija između dvaju obilježja visoka, to znači da se genetski odabir ne može provoditi odvojeno. Ako kod obilježja vezanih uz proizvodnju postoji visoka negativna korelacija s obilježjima vezanima uz zdravlje i dobrobit, to znači da će unaprjeđenje određenog obilježja vezanog uz proizvodnju (npr. stopa rasta) ugroziti druga obilježja (npr. ascites). To je izazov koji je moguće riješili u uravnotoženom programu uzgoja upotrebom odgovarajućih indeksa odabira.</w:t>
      </w:r>
    </w:p>
    <w:p w:rsidR="00B444E2" w:rsidRDefault="00B444E2">
      <w:pPr>
        <w:spacing w:line="240" w:lineRule="auto"/>
        <w:ind w:left="360"/>
        <w:jc w:val="both"/>
        <w:rPr>
          <w:rFonts w:ascii="Times New Roman" w:hAnsi="Times New Roman"/>
          <w:noProof/>
          <w:sz w:val="24"/>
          <w:szCs w:val="24"/>
        </w:rPr>
      </w:pPr>
      <w:r>
        <w:rPr>
          <w:rFonts w:ascii="Times New Roman" w:hAnsi="Times New Roman"/>
          <w:noProof/>
          <w:sz w:val="24"/>
        </w:rPr>
        <w:t>U idealnom bi se slučaju programima uzgoja trebalo povezivati obilježja u indeks odabira kojim se uzimaju u obzir učinci različitih obilježja ptica.</w:t>
      </w:r>
    </w:p>
    <w:p w:rsidR="00B444E2" w:rsidRDefault="00B444E2">
      <w:pPr>
        <w:spacing w:line="240" w:lineRule="auto"/>
        <w:ind w:left="360"/>
        <w:jc w:val="both"/>
        <w:rPr>
          <w:rFonts w:ascii="Times New Roman" w:hAnsi="Times New Roman"/>
          <w:noProof/>
          <w:sz w:val="24"/>
          <w:szCs w:val="24"/>
        </w:rPr>
      </w:pPr>
      <w:r>
        <w:rPr>
          <w:rFonts w:ascii="Times New Roman" w:hAnsi="Times New Roman"/>
          <w:noProof/>
          <w:sz w:val="24"/>
        </w:rPr>
        <w:t>U pogledu prethodno opisanih glavnih utjecaja na dobrobit, znanstvena ispitivanja koja je navela EFSA pokazala su sljedeće:</w:t>
      </w:r>
    </w:p>
    <w:p w:rsidR="00B444E2" w:rsidRDefault="00B444E2">
      <w:pPr>
        <w:numPr>
          <w:ilvl w:val="0"/>
          <w:numId w:val="19"/>
        </w:numPr>
        <w:spacing w:line="240" w:lineRule="auto"/>
        <w:jc w:val="both"/>
        <w:rPr>
          <w:rFonts w:ascii="Times New Roman" w:hAnsi="Times New Roman"/>
          <w:noProof/>
          <w:sz w:val="24"/>
          <w:szCs w:val="24"/>
        </w:rPr>
      </w:pPr>
      <w:r>
        <w:rPr>
          <w:rFonts w:ascii="Times New Roman" w:hAnsi="Times New Roman"/>
          <w:noProof/>
          <w:sz w:val="24"/>
        </w:rPr>
        <w:t xml:space="preserve">Genetskom korelacijom između obilježja kao što su određeni </w:t>
      </w:r>
      <w:r>
        <w:rPr>
          <w:rFonts w:ascii="Times New Roman" w:hAnsi="Times New Roman"/>
          <w:b/>
          <w:noProof/>
          <w:sz w:val="24"/>
        </w:rPr>
        <w:t>problemi s kostima</w:t>
      </w:r>
      <w:r>
        <w:rPr>
          <w:rFonts w:ascii="Times New Roman" w:hAnsi="Times New Roman"/>
          <w:noProof/>
          <w:sz w:val="24"/>
        </w:rPr>
        <w:t xml:space="preserve"> i rast trebalo bi omogućiti genetsko poboljšanje zdravlja nogu uz neprestano, iako umjerenije, poboljšanje u pogledu stope rasta.</w:t>
      </w:r>
      <w:r>
        <w:rPr>
          <w:rFonts w:ascii="Times New Roman" w:hAnsi="Times New Roman"/>
          <w:noProof/>
          <w:color w:val="000000"/>
        </w:rPr>
        <w:t xml:space="preserve"> </w:t>
      </w:r>
      <w:r>
        <w:rPr>
          <w:rFonts w:ascii="Times New Roman" w:hAnsi="Times New Roman"/>
          <w:noProof/>
          <w:sz w:val="24"/>
        </w:rPr>
        <w:t xml:space="preserve"> </w:t>
      </w:r>
    </w:p>
    <w:p w:rsidR="00B444E2" w:rsidRDefault="00B444E2">
      <w:pPr>
        <w:numPr>
          <w:ilvl w:val="0"/>
          <w:numId w:val="19"/>
        </w:numPr>
        <w:spacing w:line="240" w:lineRule="auto"/>
        <w:jc w:val="both"/>
        <w:rPr>
          <w:rFonts w:ascii="Times New Roman" w:hAnsi="Times New Roman"/>
          <w:noProof/>
          <w:sz w:val="24"/>
          <w:szCs w:val="24"/>
        </w:rPr>
      </w:pPr>
      <w:r>
        <w:rPr>
          <w:rFonts w:ascii="Times New Roman" w:hAnsi="Times New Roman"/>
          <w:noProof/>
          <w:sz w:val="24"/>
        </w:rPr>
        <w:t xml:space="preserve">Moguće je razviti liniju otpornu na </w:t>
      </w:r>
      <w:r>
        <w:rPr>
          <w:rFonts w:ascii="Times New Roman" w:hAnsi="Times New Roman"/>
          <w:b/>
          <w:noProof/>
          <w:sz w:val="24"/>
        </w:rPr>
        <w:t>ascites</w:t>
      </w:r>
      <w:r>
        <w:rPr>
          <w:rFonts w:ascii="Times New Roman" w:hAnsi="Times New Roman"/>
          <w:noProof/>
          <w:sz w:val="24"/>
        </w:rPr>
        <w:t xml:space="preserve"> jer se čini da je samo nekoliko gena odgovorno za osjetljivost na ascites te su ti geni u znatnoj mjeri nasljedni. Sindrom iznenadne smrti dovodi se u korelaciju s ascitesom.  </w:t>
      </w:r>
    </w:p>
    <w:p w:rsidR="00B444E2" w:rsidRDefault="00B444E2">
      <w:pPr>
        <w:numPr>
          <w:ilvl w:val="0"/>
          <w:numId w:val="19"/>
        </w:numPr>
        <w:spacing w:line="240" w:lineRule="auto"/>
        <w:jc w:val="both"/>
        <w:rPr>
          <w:rFonts w:ascii="Times New Roman" w:hAnsi="Times New Roman"/>
          <w:noProof/>
          <w:sz w:val="24"/>
          <w:szCs w:val="24"/>
        </w:rPr>
      </w:pPr>
      <w:r>
        <w:rPr>
          <w:rFonts w:ascii="Times New Roman" w:hAnsi="Times New Roman"/>
          <w:noProof/>
          <w:sz w:val="24"/>
        </w:rPr>
        <w:t xml:space="preserve">Niska je genetska korelacija između </w:t>
      </w:r>
      <w:r>
        <w:rPr>
          <w:rFonts w:ascii="Times New Roman" w:hAnsi="Times New Roman"/>
          <w:b/>
          <w:noProof/>
          <w:sz w:val="24"/>
        </w:rPr>
        <w:t>kontaktnog dermatitisa (</w:t>
      </w:r>
      <w:r>
        <w:rPr>
          <w:rFonts w:ascii="Times New Roman" w:hAnsi="Times New Roman"/>
          <w:noProof/>
          <w:sz w:val="24"/>
        </w:rPr>
        <w:t>na jastučićima nogu i na tarzalnim zglobovima) i tjelesne mase, što ukazuje na činjenicu da bi odabir kojim bi se spriječila osjetljivost na dermatitis na jastučićima nogu trebao biti moguć, bez štetnog učinka na masu.</w:t>
      </w:r>
    </w:p>
    <w:p w:rsidR="00B444E2" w:rsidRDefault="00B444E2">
      <w:pPr>
        <w:spacing w:line="240" w:lineRule="auto"/>
        <w:ind w:left="426"/>
        <w:jc w:val="both"/>
        <w:rPr>
          <w:rFonts w:ascii="Times New Roman" w:hAnsi="Times New Roman"/>
          <w:noProof/>
          <w:sz w:val="24"/>
          <w:szCs w:val="24"/>
        </w:rPr>
      </w:pPr>
      <w:r>
        <w:rPr>
          <w:rFonts w:ascii="Times New Roman" w:hAnsi="Times New Roman"/>
          <w:noProof/>
          <w:sz w:val="24"/>
        </w:rPr>
        <w:t>U tom su smislu već vidljive pozitivne naznake bolje integracije pitanja u pogledu dobrobiti u postupak odabira u okviru programa uzgoja. Na primjer, nedavnim je istraživanjima komercijalnih jata utvrđeno smanjenje pojavnosti problema s nogama i ascitesa u posljednjih 10 godina. Podatci industrije ukazuju na to da su takvi rezultati postignuti zbog integriranja obilježja vezanih uz zdravlje i dobrobit u programe odabira.</w:t>
      </w:r>
    </w:p>
    <w:p w:rsidR="00B444E2" w:rsidRDefault="00B444E2">
      <w:pPr>
        <w:pStyle w:val="Heading1"/>
        <w:rPr>
          <w:noProof/>
        </w:rPr>
      </w:pPr>
      <w:bookmarkStart w:id="17" w:name="_Toc444589113"/>
      <w:bookmarkStart w:id="18" w:name="_Toc445910060"/>
      <w:r>
        <w:rPr>
          <w:noProof/>
        </w:rPr>
        <w:t>TRENUTAČNO STANJE</w:t>
      </w:r>
      <w:bookmarkEnd w:id="17"/>
      <w:bookmarkEnd w:id="18"/>
      <w:r>
        <w:rPr>
          <w:noProof/>
        </w:rPr>
        <w:t xml:space="preserve"> </w:t>
      </w:r>
    </w:p>
    <w:p w:rsidR="00B444E2" w:rsidRDefault="00B444E2">
      <w:pPr>
        <w:pStyle w:val="Heading2"/>
        <w:rPr>
          <w:noProof/>
        </w:rPr>
      </w:pPr>
      <w:bookmarkStart w:id="19" w:name="_Toc444589114"/>
      <w:bookmarkStart w:id="20" w:name="_Toc445910061"/>
      <w:r>
        <w:rPr>
          <w:noProof/>
        </w:rPr>
        <w:t>4.1. Dostupni podatci o programima odabira</w:t>
      </w:r>
      <w:bookmarkEnd w:id="19"/>
      <w:bookmarkEnd w:id="20"/>
      <w:r>
        <w:rPr>
          <w:noProof/>
        </w:rPr>
        <w:t xml:space="preserve"> </w:t>
      </w:r>
    </w:p>
    <w:p w:rsidR="00B444E2" w:rsidRDefault="00B444E2">
      <w:pPr>
        <w:spacing w:before="120" w:line="240" w:lineRule="auto"/>
        <w:ind w:left="357"/>
        <w:jc w:val="both"/>
        <w:rPr>
          <w:rFonts w:ascii="Times New Roman" w:hAnsi="Times New Roman"/>
          <w:noProof/>
          <w:sz w:val="24"/>
          <w:szCs w:val="24"/>
        </w:rPr>
      </w:pPr>
      <w:r>
        <w:rPr>
          <w:rFonts w:ascii="Times New Roman" w:hAnsi="Times New Roman"/>
          <w:noProof/>
          <w:sz w:val="24"/>
        </w:rPr>
        <w:t xml:space="preserve">Nove tehnologije temeljene na genetskim markerima mogu se uključiti u genetski odabir radi utvrđivanja ptica koje imaju poželjne gene. Genetskim odabirom u programima uzgoja pridonijelo se osiguravanju konkurentne proizvodnje brojlera u EU-u, ali razinu genetskih poboljšanja pojedinačnih obilježja u ovome izvješću nije moguće kvantificirati zbog </w:t>
      </w:r>
      <w:r>
        <w:rPr>
          <w:rFonts w:ascii="Times New Roman" w:hAnsi="Times New Roman"/>
          <w:b/>
          <w:noProof/>
          <w:sz w:val="24"/>
        </w:rPr>
        <w:t>nemogućnosti pristupa</w:t>
      </w:r>
      <w:r>
        <w:rPr>
          <w:rFonts w:ascii="Times New Roman" w:hAnsi="Times New Roman"/>
          <w:noProof/>
          <w:sz w:val="24"/>
        </w:rPr>
        <w:t xml:space="preserve"> povjerljivim </w:t>
      </w:r>
      <w:r>
        <w:rPr>
          <w:rFonts w:ascii="Times New Roman" w:hAnsi="Times New Roman"/>
          <w:b/>
          <w:noProof/>
          <w:sz w:val="24"/>
        </w:rPr>
        <w:t>podatcima</w:t>
      </w:r>
      <w:r>
        <w:rPr>
          <w:rFonts w:ascii="Times New Roman" w:hAnsi="Times New Roman"/>
          <w:noProof/>
          <w:sz w:val="24"/>
        </w:rPr>
        <w:t xml:space="preserve"> uzgajivača. </w:t>
      </w:r>
    </w:p>
    <w:p w:rsidR="00B444E2" w:rsidRDefault="00B444E2">
      <w:pPr>
        <w:spacing w:before="120" w:line="240" w:lineRule="auto"/>
        <w:ind w:left="357"/>
        <w:jc w:val="both"/>
        <w:rPr>
          <w:rFonts w:ascii="Times New Roman" w:hAnsi="Times New Roman"/>
          <w:noProof/>
          <w:sz w:val="24"/>
          <w:szCs w:val="24"/>
        </w:rPr>
      </w:pPr>
      <w:r>
        <w:rPr>
          <w:rFonts w:ascii="Times New Roman" w:hAnsi="Times New Roman"/>
          <w:noProof/>
          <w:sz w:val="24"/>
        </w:rPr>
        <w:t>Nadalje, ti se postupci odabira uglavnom temelje na jatima koja kontroliraju društva uzgajivači. Samo nekoliko društava uzgajivača u svijetu bavi se opskrbom brojlerima za rasplod i brojler pilićima</w:t>
      </w:r>
      <w:r>
        <w:rPr>
          <w:rStyle w:val="FootnoteReference"/>
          <w:rFonts w:ascii="Times New Roman" w:hAnsi="Times New Roman"/>
          <w:noProof/>
          <w:sz w:val="24"/>
        </w:rPr>
        <w:footnoteReference w:id="16"/>
      </w:r>
      <w:r>
        <w:rPr>
          <w:rFonts w:ascii="Times New Roman" w:hAnsi="Times New Roman"/>
          <w:noProof/>
          <w:sz w:val="24"/>
        </w:rPr>
        <w:t xml:space="preserve">. Proizvođači imaju ograničen pristup detaljnim informacijama u pogledu kriterija odabira u programu uzgoja. </w:t>
      </w:r>
    </w:p>
    <w:p w:rsidR="00B444E2" w:rsidRDefault="00B444E2">
      <w:pPr>
        <w:spacing w:before="120" w:line="240" w:lineRule="auto"/>
        <w:ind w:left="357"/>
        <w:jc w:val="both"/>
        <w:rPr>
          <w:rFonts w:ascii="Times New Roman" w:hAnsi="Times New Roman"/>
          <w:noProof/>
          <w:sz w:val="24"/>
          <w:szCs w:val="24"/>
        </w:rPr>
      </w:pPr>
      <w:r>
        <w:rPr>
          <w:rFonts w:ascii="Times New Roman" w:hAnsi="Times New Roman"/>
          <w:noProof/>
          <w:sz w:val="24"/>
        </w:rPr>
        <w:t xml:space="preserve">Nadalje, zbog </w:t>
      </w:r>
      <w:r>
        <w:rPr>
          <w:rFonts w:ascii="Times New Roman" w:hAnsi="Times New Roman"/>
          <w:b/>
          <w:noProof/>
          <w:sz w:val="24"/>
        </w:rPr>
        <w:t>tržišnog pritiska</w:t>
      </w:r>
      <w:r>
        <w:rPr>
          <w:rFonts w:ascii="Times New Roman" w:hAnsi="Times New Roman"/>
          <w:noProof/>
          <w:sz w:val="24"/>
        </w:rPr>
        <w:t xml:space="preserve"> društva uzgajivači trenutačno </w:t>
      </w:r>
      <w:r>
        <w:rPr>
          <w:rFonts w:ascii="Times New Roman" w:hAnsi="Times New Roman"/>
          <w:b/>
          <w:noProof/>
          <w:sz w:val="24"/>
        </w:rPr>
        <w:t>nemaju</w:t>
      </w:r>
      <w:r>
        <w:rPr>
          <w:rFonts w:ascii="Times New Roman" w:hAnsi="Times New Roman"/>
          <w:noProof/>
          <w:sz w:val="24"/>
        </w:rPr>
        <w:t xml:space="preserve"> </w:t>
      </w:r>
      <w:r>
        <w:rPr>
          <w:rFonts w:ascii="Times New Roman" w:hAnsi="Times New Roman"/>
          <w:b/>
          <w:noProof/>
          <w:sz w:val="24"/>
        </w:rPr>
        <w:t>dovoljno poticaja</w:t>
      </w:r>
      <w:r>
        <w:rPr>
          <w:rFonts w:ascii="Times New Roman" w:hAnsi="Times New Roman"/>
          <w:noProof/>
          <w:sz w:val="24"/>
        </w:rPr>
        <w:t xml:space="preserve"> pridati </w:t>
      </w:r>
      <w:r>
        <w:rPr>
          <w:rFonts w:ascii="Times New Roman" w:hAnsi="Times New Roman"/>
          <w:b/>
          <w:noProof/>
          <w:sz w:val="24"/>
        </w:rPr>
        <w:t>više značaja obilježjima vezanima uz dobrobit u svojim programima uzgoja</w:t>
      </w:r>
      <w:r>
        <w:rPr>
          <w:rFonts w:ascii="Times New Roman" w:hAnsi="Times New Roman"/>
          <w:noProof/>
          <w:sz w:val="24"/>
        </w:rPr>
        <w:t>.</w:t>
      </w:r>
    </w:p>
    <w:p w:rsidR="00B444E2" w:rsidRDefault="00B444E2">
      <w:pPr>
        <w:spacing w:line="240" w:lineRule="auto"/>
        <w:ind w:left="357"/>
        <w:jc w:val="both"/>
        <w:rPr>
          <w:rFonts w:ascii="Times New Roman" w:hAnsi="Times New Roman"/>
          <w:noProof/>
          <w:sz w:val="24"/>
          <w:szCs w:val="24"/>
        </w:rPr>
      </w:pPr>
      <w:r>
        <w:rPr>
          <w:rFonts w:ascii="Times New Roman" w:hAnsi="Times New Roman"/>
          <w:noProof/>
          <w:sz w:val="24"/>
        </w:rPr>
        <w:t xml:space="preserve">Konkurencija je na tržištu pilećeg mesa uglavnom usmjerena na smanjenje cijena. Hrana za životinje čini oko 65 % troškova proizvodnje pa se genetski odabir uglavnom temelji na brzo rastućim stopama radi smanjenja troškova. Zbog nižeg stupnja učinkovitosti konverzije hrane kod brojlera odabranih radi obilježja vezanih uz dobrobit dolazi do povećanja troškova proizvodnje. </w:t>
      </w:r>
    </w:p>
    <w:p w:rsidR="00B444E2" w:rsidRDefault="00B444E2">
      <w:pPr>
        <w:pStyle w:val="Heading2"/>
        <w:spacing w:before="0" w:after="200"/>
        <w:ind w:left="357" w:firstLine="0"/>
        <w:rPr>
          <w:b w:val="0"/>
          <w:bCs w:val="0"/>
          <w:iCs w:val="0"/>
          <w:noProof/>
          <w:szCs w:val="24"/>
        </w:rPr>
      </w:pPr>
      <w:bookmarkStart w:id="21" w:name="_Toc444589115"/>
      <w:bookmarkStart w:id="22" w:name="_Toc445910062"/>
      <w:r>
        <w:rPr>
          <w:noProof/>
        </w:rPr>
        <w:t>4.2.</w:t>
      </w:r>
      <w:r>
        <w:rPr>
          <w:b w:val="0"/>
          <w:noProof/>
        </w:rPr>
        <w:t xml:space="preserve"> </w:t>
      </w:r>
      <w:r>
        <w:rPr>
          <w:noProof/>
        </w:rPr>
        <w:t>Genetska raznolikost</w:t>
      </w:r>
      <w:bookmarkEnd w:id="21"/>
      <w:bookmarkEnd w:id="22"/>
      <w:r>
        <w:rPr>
          <w:b w:val="0"/>
          <w:noProof/>
        </w:rPr>
        <w:t xml:space="preserve">  </w:t>
      </w:r>
    </w:p>
    <w:p w:rsidR="00B444E2" w:rsidRDefault="00B444E2">
      <w:pPr>
        <w:spacing w:line="240" w:lineRule="auto"/>
        <w:ind w:left="357"/>
        <w:jc w:val="both"/>
        <w:rPr>
          <w:rFonts w:ascii="Times New Roman" w:hAnsi="Times New Roman"/>
          <w:noProof/>
          <w:sz w:val="24"/>
          <w:szCs w:val="24"/>
        </w:rPr>
      </w:pPr>
      <w:r>
        <w:rPr>
          <w:rFonts w:ascii="Times New Roman" w:hAnsi="Times New Roman"/>
          <w:noProof/>
          <w:sz w:val="24"/>
        </w:rPr>
        <w:t xml:space="preserve">Programi odabira korisni su alat za poboljšanje određenih obilježja vezanih uz proizvodnju u komercijalnim linijama. Međutim, istovremeno dovode do </w:t>
      </w:r>
      <w:r>
        <w:rPr>
          <w:rFonts w:ascii="Times New Roman" w:hAnsi="Times New Roman"/>
          <w:b/>
          <w:noProof/>
          <w:sz w:val="24"/>
        </w:rPr>
        <w:t>gubitka genetske raznolikosti</w:t>
      </w:r>
      <w:r>
        <w:rPr>
          <w:rFonts w:ascii="Times New Roman" w:hAnsi="Times New Roman"/>
          <w:noProof/>
          <w:sz w:val="24"/>
        </w:rPr>
        <w:t>, zbog čega može doći do neželjenog gubitka genetskih obilježja koja bi mogla biti korisna u budućnosti ako se promijene uvjeti proizvodnje (otpornost na nove bolesti, novi klimatski uvjeti itd.).</w:t>
      </w:r>
    </w:p>
    <w:p w:rsidR="00B444E2" w:rsidRDefault="00B444E2">
      <w:pPr>
        <w:spacing w:line="240" w:lineRule="auto"/>
        <w:ind w:left="357"/>
        <w:jc w:val="both"/>
        <w:rPr>
          <w:rFonts w:ascii="Times New Roman" w:hAnsi="Times New Roman"/>
          <w:noProof/>
          <w:sz w:val="24"/>
          <w:szCs w:val="24"/>
        </w:rPr>
      </w:pPr>
      <w:r>
        <w:rPr>
          <w:rFonts w:ascii="Times New Roman" w:hAnsi="Times New Roman"/>
          <w:noProof/>
          <w:sz w:val="24"/>
        </w:rPr>
        <w:t xml:space="preserve">Zbog toga se programom Zajednice (EU-a) za očuvanje, opisivanje, sakupljanje i uporabu genetskih resursa u poljoprivredi promiče genetska raznolikost. U tom je kontekstu Komisija financirala projekt </w:t>
      </w:r>
      <w:r>
        <w:rPr>
          <w:rFonts w:ascii="Times New Roman" w:hAnsi="Times New Roman"/>
          <w:i/>
          <w:noProof/>
          <w:sz w:val="24"/>
        </w:rPr>
        <w:t>Globaldiv</w:t>
      </w:r>
      <w:r>
        <w:rPr>
          <w:rFonts w:ascii="Times New Roman" w:hAnsi="Times New Roman"/>
          <w:i/>
          <w:noProof/>
          <w:sz w:val="24"/>
          <w:vertAlign w:val="superscript"/>
        </w:rPr>
        <w:footnoteReference w:id="17"/>
      </w:r>
      <w:r>
        <w:rPr>
          <w:rFonts w:ascii="Times New Roman" w:hAnsi="Times New Roman"/>
          <w:noProof/>
          <w:sz w:val="24"/>
        </w:rPr>
        <w:t xml:space="preserve"> čiji je glavni cilj okupljanje međunarodnih stručnjaka za različita područja povezana s opisivanjem genetskih resursa domaćih životinja radi preispitivanja glavnih pokretača gubitka bioraznolikosti i strategija za očuvanje. </w:t>
      </w:r>
    </w:p>
    <w:p w:rsidR="00B444E2" w:rsidRDefault="00B444E2">
      <w:pPr>
        <w:spacing w:line="240" w:lineRule="auto"/>
        <w:ind w:left="357"/>
        <w:jc w:val="both"/>
        <w:rPr>
          <w:rFonts w:ascii="Times New Roman" w:hAnsi="Times New Roman"/>
          <w:noProof/>
          <w:sz w:val="24"/>
          <w:szCs w:val="24"/>
        </w:rPr>
      </w:pPr>
    </w:p>
    <w:p w:rsidR="00B444E2" w:rsidRDefault="00B444E2">
      <w:pPr>
        <w:pStyle w:val="Heading1"/>
        <w:spacing w:before="600"/>
        <w:ind w:left="1077" w:hanging="357"/>
        <w:rPr>
          <w:noProof/>
        </w:rPr>
      </w:pPr>
      <w:bookmarkStart w:id="23" w:name="_Toc444513673"/>
      <w:bookmarkStart w:id="24" w:name="_Toc444521893"/>
      <w:bookmarkStart w:id="25" w:name="_Toc444513674"/>
      <w:bookmarkStart w:id="26" w:name="_Toc444521894"/>
      <w:bookmarkStart w:id="27" w:name="_Toc444513675"/>
      <w:bookmarkStart w:id="28" w:name="_Toc444521895"/>
      <w:bookmarkStart w:id="29" w:name="_Toc444513676"/>
      <w:bookmarkStart w:id="30" w:name="_Toc444521896"/>
      <w:bookmarkStart w:id="31" w:name="_Toc444513677"/>
      <w:bookmarkStart w:id="32" w:name="_Toc444521897"/>
      <w:bookmarkStart w:id="33" w:name="_Toc444513678"/>
      <w:bookmarkStart w:id="34" w:name="_Toc444521898"/>
      <w:bookmarkStart w:id="35" w:name="_Toc444513680"/>
      <w:bookmarkStart w:id="36" w:name="_Toc444521900"/>
      <w:bookmarkStart w:id="37" w:name="_Toc444513681"/>
      <w:bookmarkStart w:id="38" w:name="_Toc444521901"/>
      <w:bookmarkStart w:id="39" w:name="_Toc444513683"/>
      <w:bookmarkStart w:id="40" w:name="_Toc444521903"/>
      <w:bookmarkStart w:id="41" w:name="_Toc444513684"/>
      <w:bookmarkStart w:id="42" w:name="_Toc444521904"/>
      <w:bookmarkStart w:id="43" w:name="_Toc444589116"/>
      <w:bookmarkStart w:id="44" w:name="_Toc445910063"/>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noProof/>
        </w:rPr>
        <w:t>ZAKLJUČCI</w:t>
      </w:r>
      <w:bookmarkEnd w:id="43"/>
      <w:bookmarkEnd w:id="44"/>
    </w:p>
    <w:p w:rsidR="00B444E2" w:rsidRDefault="00B444E2">
      <w:pPr>
        <w:spacing w:line="240" w:lineRule="auto"/>
        <w:ind w:left="357"/>
        <w:jc w:val="both"/>
        <w:rPr>
          <w:rFonts w:ascii="Times New Roman" w:hAnsi="Times New Roman"/>
          <w:noProof/>
          <w:sz w:val="24"/>
          <w:szCs w:val="24"/>
        </w:rPr>
      </w:pPr>
      <w:bookmarkStart w:id="45" w:name="_Toc441158203"/>
      <w:bookmarkStart w:id="46" w:name="_Toc441482845"/>
      <w:r>
        <w:rPr>
          <w:rFonts w:ascii="Times New Roman" w:hAnsi="Times New Roman"/>
          <w:noProof/>
          <w:sz w:val="24"/>
        </w:rPr>
        <w:t xml:space="preserve">Uzgajivači u svojim programima uzgoja postupno uzimaju u obzir obilježja povezana sa zdravljem i dobrobiti pilića. </w:t>
      </w:r>
    </w:p>
    <w:p w:rsidR="00B444E2" w:rsidRDefault="00B444E2">
      <w:pPr>
        <w:spacing w:line="240" w:lineRule="auto"/>
        <w:ind w:left="357"/>
        <w:jc w:val="both"/>
        <w:rPr>
          <w:rFonts w:ascii="Times New Roman" w:hAnsi="Times New Roman"/>
          <w:noProof/>
          <w:sz w:val="24"/>
          <w:szCs w:val="24"/>
        </w:rPr>
      </w:pPr>
      <w:r>
        <w:rPr>
          <w:rFonts w:ascii="Times New Roman" w:hAnsi="Times New Roman"/>
          <w:noProof/>
          <w:sz w:val="24"/>
        </w:rPr>
        <w:t>Trenutačnim se zakonodavstvom omogućuje sustav praćenja pokazatelja dobrobiti životinja</w:t>
      </w:r>
      <w:r>
        <w:rPr>
          <w:rStyle w:val="FootnoteReference"/>
          <w:rFonts w:ascii="Times New Roman" w:hAnsi="Times New Roman"/>
          <w:noProof/>
          <w:sz w:val="24"/>
        </w:rPr>
        <w:footnoteReference w:id="18"/>
      </w:r>
      <w:r>
        <w:rPr>
          <w:rFonts w:ascii="Times New Roman" w:hAnsi="Times New Roman"/>
          <w:noProof/>
          <w:sz w:val="24"/>
        </w:rPr>
        <w:t xml:space="preserve"> u komercijalnim uvjetima, koji bi se moglo dodatno iskoristiti u kontekstu genetskog odabira. </w:t>
      </w:r>
    </w:p>
    <w:p w:rsidR="00B444E2" w:rsidRDefault="00B444E2">
      <w:pPr>
        <w:spacing w:line="240" w:lineRule="auto"/>
        <w:ind w:left="357"/>
        <w:jc w:val="both"/>
        <w:rPr>
          <w:rFonts w:ascii="Times New Roman" w:hAnsi="Times New Roman"/>
          <w:noProof/>
          <w:sz w:val="24"/>
          <w:szCs w:val="24"/>
        </w:rPr>
      </w:pPr>
      <w:r>
        <w:rPr>
          <w:rFonts w:ascii="Times New Roman" w:hAnsi="Times New Roman"/>
          <w:noProof/>
          <w:sz w:val="24"/>
        </w:rPr>
        <w:t>Potrošači pokazuju sve više zanimanja za brojlere odabrane radi obilježja povezanih s  dobrobiti, koji se proizvode uz uvećane troškove.</w:t>
      </w:r>
    </w:p>
    <w:p w:rsidR="00B444E2" w:rsidRDefault="00B444E2">
      <w:pPr>
        <w:spacing w:line="240" w:lineRule="auto"/>
        <w:ind w:left="357"/>
        <w:jc w:val="both"/>
        <w:rPr>
          <w:rFonts w:ascii="Times New Roman" w:hAnsi="Times New Roman"/>
          <w:noProof/>
          <w:sz w:val="24"/>
          <w:szCs w:val="24"/>
        </w:rPr>
      </w:pPr>
      <w:r>
        <w:rPr>
          <w:rFonts w:ascii="Times New Roman" w:hAnsi="Times New Roman"/>
          <w:noProof/>
          <w:sz w:val="24"/>
        </w:rPr>
        <w:t xml:space="preserve">Dostupnost informacija o dobrobiti životinja na različitim razinama i prilagođeno određenoj vrsti javnosti (škole, mediji...) mogla bi pridonijeti povećanju potražnje za proizvode proizvedene u skladu s pravilima za dobrobit životinja. </w:t>
      </w:r>
    </w:p>
    <w:p w:rsidR="00B444E2" w:rsidRDefault="00B444E2">
      <w:pPr>
        <w:spacing w:line="240" w:lineRule="auto"/>
        <w:ind w:left="357"/>
        <w:jc w:val="both"/>
        <w:rPr>
          <w:b/>
          <w:noProof/>
          <w:szCs w:val="24"/>
        </w:rPr>
      </w:pPr>
      <w:r>
        <w:rPr>
          <w:rFonts w:ascii="Times New Roman" w:hAnsi="Times New Roman"/>
          <w:noProof/>
          <w:sz w:val="24"/>
        </w:rPr>
        <w:t>U ovom trenutku nije potreban nikakav zakonodavni prijedlog. Europska komisija, u skladu s mandatom za dobrobit životinja te s pomoću postojećih alata, želi omogućiti poboljšanja u tom području.</w:t>
      </w:r>
      <w:bookmarkEnd w:id="45"/>
      <w:bookmarkEnd w:id="46"/>
      <w:r>
        <w:rPr>
          <w:b/>
          <w:noProof/>
        </w:rPr>
        <w:t xml:space="preserve">  </w:t>
      </w:r>
    </w:p>
    <w:p w:rsidR="00B444E2" w:rsidRDefault="00B444E2">
      <w:pPr>
        <w:rPr>
          <w:noProof/>
        </w:rPr>
        <w:sectPr w:rsidR="00B444E2">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pPr>
    </w:p>
    <w:p w:rsidR="00B444E2" w:rsidRDefault="00B444E2">
      <w:pPr>
        <w:pStyle w:val="Heading3"/>
        <w:rPr>
          <w:noProof/>
        </w:rPr>
      </w:pPr>
      <w:bookmarkStart w:id="47" w:name="_Toc444589117"/>
      <w:bookmarkStart w:id="48" w:name="_Toc445910064"/>
      <w:r>
        <w:rPr>
          <w:noProof/>
        </w:rPr>
        <w:t>PRILOG I.: PROIZVODNJA PILEĆEG MESA U EU-u U RAZDOBLJU 2010. – 2014. (u tisućama tona)</w:t>
      </w:r>
      <w:bookmarkEnd w:id="47"/>
      <w:bookmarkEnd w:id="48"/>
    </w:p>
    <w:tbl>
      <w:tblPr>
        <w:tblW w:w="7258" w:type="dxa"/>
        <w:jc w:val="center"/>
        <w:tblInd w:w="-303" w:type="dxa"/>
        <w:tblLook w:val="04A0" w:firstRow="1" w:lastRow="0" w:firstColumn="1" w:lastColumn="0" w:noHBand="0" w:noVBand="1"/>
      </w:tblPr>
      <w:tblGrid>
        <w:gridCol w:w="2056"/>
        <w:gridCol w:w="996"/>
        <w:gridCol w:w="996"/>
        <w:gridCol w:w="996"/>
        <w:gridCol w:w="1107"/>
        <w:gridCol w:w="1107"/>
      </w:tblGrid>
      <w:tr w:rsidR="00B444E2">
        <w:trPr>
          <w:trHeight w:val="300"/>
          <w:jc w:val="center"/>
        </w:trPr>
        <w:tc>
          <w:tcPr>
            <w:tcW w:w="2056" w:type="dxa"/>
            <w:tcBorders>
              <w:top w:val="single" w:sz="8" w:space="0" w:color="auto"/>
              <w:left w:val="single" w:sz="8" w:space="0" w:color="auto"/>
              <w:bottom w:val="single" w:sz="4" w:space="0" w:color="auto"/>
              <w:right w:val="nil"/>
            </w:tcBorders>
            <w:noWrap/>
            <w:vAlign w:val="bottom"/>
            <w:hideMark/>
          </w:tcPr>
          <w:p w:rsidR="00B444E2" w:rsidRDefault="00B444E2">
            <w:pPr>
              <w:spacing w:after="0" w:line="240" w:lineRule="auto"/>
              <w:rPr>
                <w:noProof/>
                <w:color w:val="000000"/>
              </w:rPr>
            </w:pPr>
            <w:r>
              <w:rPr>
                <w:noProof/>
                <w:color w:val="000000"/>
              </w:rPr>
              <w:t> </w:t>
            </w:r>
          </w:p>
        </w:tc>
        <w:tc>
          <w:tcPr>
            <w:tcW w:w="996" w:type="dxa"/>
            <w:tcBorders>
              <w:top w:val="single" w:sz="8" w:space="0" w:color="auto"/>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b/>
                <w:bCs/>
                <w:noProof/>
                <w:color w:val="000000"/>
              </w:rPr>
            </w:pPr>
            <w:r>
              <w:rPr>
                <w:rFonts w:ascii="Times New Roman" w:hAnsi="Times New Roman"/>
                <w:b/>
                <w:noProof/>
                <w:color w:val="000000"/>
              </w:rPr>
              <w:t>2010.</w:t>
            </w:r>
          </w:p>
        </w:tc>
        <w:tc>
          <w:tcPr>
            <w:tcW w:w="996" w:type="dxa"/>
            <w:tcBorders>
              <w:top w:val="single" w:sz="8" w:space="0" w:color="auto"/>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b/>
                <w:bCs/>
                <w:noProof/>
                <w:color w:val="000000"/>
              </w:rPr>
            </w:pPr>
            <w:r>
              <w:rPr>
                <w:rFonts w:ascii="Times New Roman" w:hAnsi="Times New Roman"/>
                <w:b/>
                <w:noProof/>
                <w:color w:val="000000"/>
              </w:rPr>
              <w:t>2011.</w:t>
            </w:r>
          </w:p>
        </w:tc>
        <w:tc>
          <w:tcPr>
            <w:tcW w:w="996" w:type="dxa"/>
            <w:tcBorders>
              <w:top w:val="single" w:sz="8" w:space="0" w:color="auto"/>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b/>
                <w:bCs/>
                <w:noProof/>
                <w:color w:val="000000"/>
              </w:rPr>
            </w:pPr>
            <w:r>
              <w:rPr>
                <w:rFonts w:ascii="Times New Roman" w:hAnsi="Times New Roman"/>
                <w:b/>
                <w:noProof/>
                <w:color w:val="000000"/>
              </w:rPr>
              <w:t>2012.</w:t>
            </w:r>
          </w:p>
        </w:tc>
        <w:tc>
          <w:tcPr>
            <w:tcW w:w="1107" w:type="dxa"/>
            <w:tcBorders>
              <w:top w:val="single" w:sz="8" w:space="0" w:color="auto"/>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b/>
                <w:bCs/>
                <w:noProof/>
                <w:color w:val="000000"/>
              </w:rPr>
            </w:pPr>
            <w:r>
              <w:rPr>
                <w:rFonts w:ascii="Times New Roman" w:hAnsi="Times New Roman"/>
                <w:b/>
                <w:noProof/>
                <w:color w:val="000000"/>
              </w:rPr>
              <w:t>2013.</w:t>
            </w:r>
          </w:p>
        </w:tc>
        <w:tc>
          <w:tcPr>
            <w:tcW w:w="1107" w:type="dxa"/>
            <w:tcBorders>
              <w:top w:val="single" w:sz="8" w:space="0" w:color="auto"/>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b/>
                <w:bCs/>
                <w:noProof/>
                <w:color w:val="000000"/>
              </w:rPr>
            </w:pPr>
            <w:r>
              <w:rPr>
                <w:rFonts w:ascii="Times New Roman" w:hAnsi="Times New Roman"/>
                <w:b/>
                <w:noProof/>
                <w:color w:val="000000"/>
              </w:rPr>
              <w:t>2014.</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Belgija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497,117</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487,05</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401,747</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379,33</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425,01</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Bugarska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72,763</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73,428</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74,482</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69,81</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71,53</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Češka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182,723</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166,636</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148,986</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143,85</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143,87</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Danska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184</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185,7</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153,9</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159,3</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142,8</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 xml:space="preserve">Njemačka </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802,781</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853,525</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864</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911</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969</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Estonija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11,244</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11,244</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11,244</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11,244</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11,244</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Irska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108,554</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108,554</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108,554</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108,554</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108,554</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Grčka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175,898</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173,05</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179,999</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177,73</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187,86</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Španjolska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1.115,86</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1.111,91</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1.128,37</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1.133,70</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1.236,83</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Francuska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1.037,00</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1.060,00</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1.044,00</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1.078,00</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1.047,00</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Hrvatska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48,5</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50</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48,8</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49,8</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Italija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864,969</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894,744</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922,353</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902,74</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919,55</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Cipar</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27,473</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27,22</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25,148</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21,83</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21,48</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Latvija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23,394</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22,807</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24,491</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26,71</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28,56</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Litva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63,994</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67,943</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73,773</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82,94</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86,69</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Luksemburg</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0</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0</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0</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0</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0</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Mađarska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208,275</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219,828</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240,09</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235,59</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261,26</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Malta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4,398</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4,155</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4,252</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4,13</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3,94</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Nizozemska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781,454</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840,922</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888,521</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920,8</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956,12</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Austrija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96,562</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95,063</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92,681</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94,94</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97,27</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Poljska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1.000,29</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1.046,25</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1.270,70</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1.365,61</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1.477,09</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Portugal</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248,848</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245,633</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244,311</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245,4</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248,9</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Rumunjska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298,386</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298,386</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298,386</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301,877</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301,877</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Slovenija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54,626</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52,903</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53,957</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52,81</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55,64</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Slovačka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71,315</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71,315</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71,315</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69,739</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69,739</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Finska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86,544</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92,493</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98,183</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102,33</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104,55</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Švedska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111,993</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111,528</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109,671</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117,42</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126,12</w:t>
            </w:r>
          </w:p>
        </w:tc>
      </w:tr>
      <w:tr w:rsidR="00B444E2">
        <w:trPr>
          <w:trHeight w:val="300"/>
          <w:jc w:val="center"/>
        </w:trPr>
        <w:tc>
          <w:tcPr>
            <w:tcW w:w="2056" w:type="dxa"/>
            <w:tcBorders>
              <w:top w:val="nil"/>
              <w:left w:val="single" w:sz="8" w:space="0" w:color="auto"/>
              <w:bottom w:val="single" w:sz="4"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Ujedinjena Kraljevina</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1.379,37</w:t>
            </w:r>
          </w:p>
        </w:tc>
        <w:tc>
          <w:tcPr>
            <w:tcW w:w="996" w:type="dxa"/>
            <w:tcBorders>
              <w:top w:val="nil"/>
              <w:left w:val="nil"/>
              <w:bottom w:val="single" w:sz="4"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1.357,00</w:t>
            </w:r>
          </w:p>
        </w:tc>
        <w:tc>
          <w:tcPr>
            <w:tcW w:w="996" w:type="dxa"/>
            <w:tcBorders>
              <w:top w:val="nil"/>
              <w:left w:val="single" w:sz="8" w:space="0" w:color="auto"/>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1.378,97</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1.442,55</w:t>
            </w:r>
          </w:p>
        </w:tc>
        <w:tc>
          <w:tcPr>
            <w:tcW w:w="1107" w:type="dxa"/>
            <w:tcBorders>
              <w:top w:val="nil"/>
              <w:left w:val="nil"/>
              <w:bottom w:val="single" w:sz="4"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1.437,64</w:t>
            </w:r>
          </w:p>
        </w:tc>
      </w:tr>
      <w:tr w:rsidR="00B444E2">
        <w:trPr>
          <w:trHeight w:val="315"/>
          <w:jc w:val="center"/>
        </w:trPr>
        <w:tc>
          <w:tcPr>
            <w:tcW w:w="2056" w:type="dxa"/>
            <w:tcBorders>
              <w:top w:val="nil"/>
              <w:left w:val="single" w:sz="8" w:space="0" w:color="auto"/>
              <w:bottom w:val="single" w:sz="8" w:space="0" w:color="auto"/>
              <w:right w:val="nil"/>
            </w:tcBorders>
            <w:noWrap/>
            <w:vAlign w:val="center"/>
            <w:hideMark/>
          </w:tcPr>
          <w:p w:rsidR="00B444E2" w:rsidRDefault="00B444E2">
            <w:pPr>
              <w:spacing w:after="0" w:line="240" w:lineRule="auto"/>
              <w:rPr>
                <w:rFonts w:ascii="Times New Roman" w:hAnsi="Times New Roman"/>
                <w:b/>
                <w:bCs/>
                <w:noProof/>
                <w:color w:val="000000"/>
              </w:rPr>
            </w:pPr>
            <w:r>
              <w:rPr>
                <w:rFonts w:ascii="Times New Roman" w:hAnsi="Times New Roman"/>
                <w:b/>
                <w:noProof/>
                <w:color w:val="000000"/>
              </w:rPr>
              <w:t>EU</w:t>
            </w:r>
          </w:p>
        </w:tc>
        <w:tc>
          <w:tcPr>
            <w:tcW w:w="996" w:type="dxa"/>
            <w:tcBorders>
              <w:top w:val="nil"/>
              <w:left w:val="single" w:sz="8" w:space="0" w:color="auto"/>
              <w:bottom w:val="single" w:sz="8"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9.509,83</w:t>
            </w:r>
          </w:p>
        </w:tc>
        <w:tc>
          <w:tcPr>
            <w:tcW w:w="996" w:type="dxa"/>
            <w:tcBorders>
              <w:top w:val="nil"/>
              <w:left w:val="nil"/>
              <w:bottom w:val="single" w:sz="8" w:space="0" w:color="auto"/>
              <w:right w:val="nil"/>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9.727,78</w:t>
            </w:r>
          </w:p>
        </w:tc>
        <w:tc>
          <w:tcPr>
            <w:tcW w:w="996" w:type="dxa"/>
            <w:tcBorders>
              <w:top w:val="nil"/>
              <w:left w:val="single" w:sz="8" w:space="0" w:color="auto"/>
              <w:bottom w:val="single" w:sz="8"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9.962,09</w:t>
            </w:r>
          </w:p>
        </w:tc>
        <w:tc>
          <w:tcPr>
            <w:tcW w:w="1107" w:type="dxa"/>
            <w:tcBorders>
              <w:top w:val="nil"/>
              <w:left w:val="nil"/>
              <w:bottom w:val="single" w:sz="8"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10.208,73</w:t>
            </w:r>
          </w:p>
        </w:tc>
        <w:tc>
          <w:tcPr>
            <w:tcW w:w="1107" w:type="dxa"/>
            <w:tcBorders>
              <w:top w:val="nil"/>
              <w:left w:val="nil"/>
              <w:bottom w:val="single" w:sz="8" w:space="0" w:color="auto"/>
              <w:right w:val="single" w:sz="8" w:space="0" w:color="auto"/>
            </w:tcBorders>
            <w:noWrap/>
            <w:vAlign w:val="bottom"/>
            <w:hideMark/>
          </w:tcPr>
          <w:p w:rsidR="00B444E2" w:rsidRDefault="00B444E2">
            <w:pPr>
              <w:spacing w:after="0" w:line="240" w:lineRule="auto"/>
              <w:jc w:val="center"/>
              <w:rPr>
                <w:rFonts w:ascii="Times New Roman" w:hAnsi="Times New Roman"/>
                <w:noProof/>
                <w:color w:val="000000"/>
              </w:rPr>
            </w:pPr>
            <w:r>
              <w:rPr>
                <w:rFonts w:ascii="Times New Roman" w:hAnsi="Times New Roman"/>
                <w:noProof/>
                <w:color w:val="000000"/>
              </w:rPr>
              <w:t>10.589,92</w:t>
            </w:r>
          </w:p>
        </w:tc>
      </w:tr>
    </w:tbl>
    <w:p w:rsidR="00B444E2" w:rsidRDefault="00B444E2">
      <w:pPr>
        <w:ind w:left="2160" w:firstLine="720"/>
        <w:rPr>
          <w:rFonts w:ascii="Times New Roman" w:hAnsi="Times New Roman"/>
          <w:b/>
          <w:noProof/>
        </w:rPr>
      </w:pPr>
    </w:p>
    <w:p w:rsidR="00B444E2" w:rsidRDefault="00B444E2">
      <w:pPr>
        <w:rPr>
          <w:noProof/>
        </w:rPr>
        <w:sectPr w:rsidR="00B444E2">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pPr>
    </w:p>
    <w:p w:rsidR="00B444E2" w:rsidRDefault="00B444E2">
      <w:pPr>
        <w:pStyle w:val="Heading3"/>
        <w:rPr>
          <w:noProof/>
        </w:rPr>
      </w:pPr>
      <w:bookmarkStart w:id="49" w:name="_Toc444589118"/>
      <w:bookmarkStart w:id="50" w:name="_Toc445910065"/>
      <w:r>
        <w:rPr>
          <w:noProof/>
        </w:rPr>
        <w:t>PRILOG II.: BROJ GOSPODARSTAVA KOJA SU UZGAJALA BROJLERE U 2010. NA PODRUČJU EU-27</w:t>
      </w:r>
      <w:bookmarkEnd w:id="49"/>
      <w:bookmarkEnd w:id="50"/>
      <w:r>
        <w:rPr>
          <w:noProo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2"/>
        <w:gridCol w:w="2322"/>
        <w:gridCol w:w="2322"/>
        <w:gridCol w:w="2322"/>
      </w:tblGrid>
      <w:tr w:rsidR="00B444E2">
        <w:tc>
          <w:tcPr>
            <w:tcW w:w="2322" w:type="dxa"/>
          </w:tcPr>
          <w:p w:rsidR="00B444E2" w:rsidRDefault="00B444E2">
            <w:pPr>
              <w:spacing w:after="0" w:line="240" w:lineRule="auto"/>
              <w:rPr>
                <w:noProof/>
              </w:rPr>
            </w:pPr>
            <w:r>
              <w:rPr>
                <w:noProof/>
              </w:rPr>
              <w:t>Zemlja</w:t>
            </w:r>
          </w:p>
        </w:tc>
        <w:tc>
          <w:tcPr>
            <w:tcW w:w="2322" w:type="dxa"/>
          </w:tcPr>
          <w:p w:rsidR="00B444E2" w:rsidRDefault="00B444E2">
            <w:pPr>
              <w:spacing w:after="0" w:line="240" w:lineRule="auto"/>
              <w:rPr>
                <w:noProof/>
              </w:rPr>
            </w:pPr>
            <w:r>
              <w:rPr>
                <w:noProof/>
              </w:rPr>
              <w:t>&gt; 1 brojler</w:t>
            </w:r>
          </w:p>
        </w:tc>
        <w:tc>
          <w:tcPr>
            <w:tcW w:w="2322" w:type="dxa"/>
          </w:tcPr>
          <w:p w:rsidR="00B444E2" w:rsidRDefault="00B444E2">
            <w:pPr>
              <w:spacing w:after="0" w:line="240" w:lineRule="auto"/>
              <w:rPr>
                <w:noProof/>
              </w:rPr>
            </w:pPr>
            <w:r>
              <w:rPr>
                <w:noProof/>
              </w:rPr>
              <w:t>&gt; 5000 brojlera</w:t>
            </w:r>
          </w:p>
        </w:tc>
        <w:tc>
          <w:tcPr>
            <w:tcW w:w="2322" w:type="dxa"/>
          </w:tcPr>
          <w:p w:rsidR="00B444E2" w:rsidRDefault="00B444E2">
            <w:pPr>
              <w:spacing w:after="0" w:line="240" w:lineRule="auto"/>
              <w:rPr>
                <w:noProof/>
              </w:rPr>
            </w:pPr>
            <w:r>
              <w:rPr>
                <w:noProof/>
              </w:rPr>
              <w:t>% ukupno u EU-27</w:t>
            </w:r>
          </w:p>
          <w:p w:rsidR="00B444E2" w:rsidRDefault="00B444E2">
            <w:pPr>
              <w:spacing w:after="0" w:line="240" w:lineRule="auto"/>
              <w:rPr>
                <w:noProof/>
              </w:rPr>
            </w:pPr>
            <w:r>
              <w:rPr>
                <w:noProof/>
              </w:rPr>
              <w:t>(&gt; 5000 brojlera)</w:t>
            </w:r>
          </w:p>
        </w:tc>
      </w:tr>
      <w:tr w:rsidR="00B444E2">
        <w:tc>
          <w:tcPr>
            <w:tcW w:w="2322" w:type="dxa"/>
          </w:tcPr>
          <w:p w:rsidR="00B444E2" w:rsidRDefault="00B444E2">
            <w:pPr>
              <w:spacing w:after="0" w:line="240" w:lineRule="auto"/>
              <w:rPr>
                <w:noProof/>
              </w:rPr>
            </w:pPr>
            <w:r>
              <w:rPr>
                <w:noProof/>
              </w:rPr>
              <w:t>Belgija</w:t>
            </w:r>
          </w:p>
        </w:tc>
        <w:tc>
          <w:tcPr>
            <w:tcW w:w="2322" w:type="dxa"/>
          </w:tcPr>
          <w:p w:rsidR="00B444E2" w:rsidRDefault="00B444E2">
            <w:pPr>
              <w:spacing w:after="0" w:line="240" w:lineRule="auto"/>
              <w:rPr>
                <w:noProof/>
              </w:rPr>
            </w:pPr>
            <w:r>
              <w:rPr>
                <w:noProof/>
              </w:rPr>
              <w:t>930</w:t>
            </w:r>
          </w:p>
        </w:tc>
        <w:tc>
          <w:tcPr>
            <w:tcW w:w="2322" w:type="dxa"/>
          </w:tcPr>
          <w:p w:rsidR="00B444E2" w:rsidRDefault="00B444E2">
            <w:pPr>
              <w:spacing w:after="0" w:line="240" w:lineRule="auto"/>
              <w:rPr>
                <w:noProof/>
              </w:rPr>
            </w:pPr>
            <w:r>
              <w:rPr>
                <w:noProof/>
              </w:rPr>
              <w:t>620</w:t>
            </w:r>
          </w:p>
        </w:tc>
        <w:tc>
          <w:tcPr>
            <w:tcW w:w="2322" w:type="dxa"/>
          </w:tcPr>
          <w:p w:rsidR="00B444E2" w:rsidRDefault="00B444E2">
            <w:pPr>
              <w:spacing w:after="0" w:line="240" w:lineRule="auto"/>
              <w:rPr>
                <w:noProof/>
              </w:rPr>
            </w:pPr>
            <w:r>
              <w:rPr>
                <w:noProof/>
              </w:rPr>
              <w:t>3,2</w:t>
            </w:r>
          </w:p>
        </w:tc>
      </w:tr>
      <w:tr w:rsidR="00B444E2">
        <w:tc>
          <w:tcPr>
            <w:tcW w:w="2322" w:type="dxa"/>
          </w:tcPr>
          <w:p w:rsidR="00B444E2" w:rsidRDefault="00B444E2">
            <w:pPr>
              <w:spacing w:after="0" w:line="240" w:lineRule="auto"/>
              <w:rPr>
                <w:noProof/>
              </w:rPr>
            </w:pPr>
            <w:r>
              <w:rPr>
                <w:noProof/>
              </w:rPr>
              <w:t>Bugarska</w:t>
            </w:r>
          </w:p>
        </w:tc>
        <w:tc>
          <w:tcPr>
            <w:tcW w:w="2322" w:type="dxa"/>
          </w:tcPr>
          <w:p w:rsidR="00B444E2" w:rsidRDefault="00B444E2">
            <w:pPr>
              <w:spacing w:after="0" w:line="240" w:lineRule="auto"/>
              <w:rPr>
                <w:noProof/>
              </w:rPr>
            </w:pPr>
            <w:r>
              <w:rPr>
                <w:noProof/>
              </w:rPr>
              <w:t>19 470</w:t>
            </w:r>
          </w:p>
        </w:tc>
        <w:tc>
          <w:tcPr>
            <w:tcW w:w="2322" w:type="dxa"/>
          </w:tcPr>
          <w:p w:rsidR="00B444E2" w:rsidRDefault="00B444E2">
            <w:pPr>
              <w:spacing w:after="0" w:line="240" w:lineRule="auto"/>
              <w:rPr>
                <w:noProof/>
              </w:rPr>
            </w:pPr>
            <w:r>
              <w:rPr>
                <w:noProof/>
              </w:rPr>
              <w:t>140</w:t>
            </w:r>
          </w:p>
        </w:tc>
        <w:tc>
          <w:tcPr>
            <w:tcW w:w="2322" w:type="dxa"/>
          </w:tcPr>
          <w:p w:rsidR="00B444E2" w:rsidRDefault="00B444E2">
            <w:pPr>
              <w:spacing w:after="0" w:line="240" w:lineRule="auto"/>
              <w:rPr>
                <w:noProof/>
              </w:rPr>
            </w:pPr>
            <w:r>
              <w:rPr>
                <w:noProof/>
              </w:rPr>
              <w:t>0,7</w:t>
            </w:r>
          </w:p>
        </w:tc>
      </w:tr>
      <w:tr w:rsidR="00B444E2">
        <w:tc>
          <w:tcPr>
            <w:tcW w:w="2322" w:type="dxa"/>
          </w:tcPr>
          <w:p w:rsidR="00B444E2" w:rsidRDefault="00B444E2">
            <w:pPr>
              <w:spacing w:after="0" w:line="240" w:lineRule="auto"/>
              <w:rPr>
                <w:noProof/>
              </w:rPr>
            </w:pPr>
            <w:r>
              <w:rPr>
                <w:noProof/>
              </w:rPr>
              <w:t>Češka</w:t>
            </w:r>
          </w:p>
        </w:tc>
        <w:tc>
          <w:tcPr>
            <w:tcW w:w="2322" w:type="dxa"/>
          </w:tcPr>
          <w:p w:rsidR="00B444E2" w:rsidRDefault="00B444E2">
            <w:pPr>
              <w:spacing w:after="0" w:line="240" w:lineRule="auto"/>
              <w:rPr>
                <w:noProof/>
              </w:rPr>
            </w:pPr>
            <w:r>
              <w:rPr>
                <w:noProof/>
              </w:rPr>
              <w:t>280</w:t>
            </w:r>
          </w:p>
        </w:tc>
        <w:tc>
          <w:tcPr>
            <w:tcW w:w="2322" w:type="dxa"/>
          </w:tcPr>
          <w:p w:rsidR="00B444E2" w:rsidRDefault="00B444E2">
            <w:pPr>
              <w:spacing w:after="0" w:line="240" w:lineRule="auto"/>
              <w:rPr>
                <w:noProof/>
              </w:rPr>
            </w:pPr>
            <w:r>
              <w:rPr>
                <w:noProof/>
              </w:rPr>
              <w:t>130</w:t>
            </w:r>
          </w:p>
        </w:tc>
        <w:tc>
          <w:tcPr>
            <w:tcW w:w="2322" w:type="dxa"/>
          </w:tcPr>
          <w:p w:rsidR="00B444E2" w:rsidRDefault="00B444E2">
            <w:pPr>
              <w:spacing w:after="0" w:line="240" w:lineRule="auto"/>
              <w:rPr>
                <w:noProof/>
              </w:rPr>
            </w:pPr>
            <w:r>
              <w:rPr>
                <w:noProof/>
              </w:rPr>
              <w:t>0,7</w:t>
            </w:r>
          </w:p>
        </w:tc>
      </w:tr>
      <w:tr w:rsidR="00B444E2">
        <w:tc>
          <w:tcPr>
            <w:tcW w:w="2322" w:type="dxa"/>
          </w:tcPr>
          <w:p w:rsidR="00B444E2" w:rsidRDefault="00B444E2">
            <w:pPr>
              <w:spacing w:after="0" w:line="240" w:lineRule="auto"/>
              <w:rPr>
                <w:noProof/>
              </w:rPr>
            </w:pPr>
            <w:r>
              <w:rPr>
                <w:noProof/>
              </w:rPr>
              <w:t>Danska</w:t>
            </w:r>
          </w:p>
        </w:tc>
        <w:tc>
          <w:tcPr>
            <w:tcW w:w="2322" w:type="dxa"/>
          </w:tcPr>
          <w:p w:rsidR="00B444E2" w:rsidRDefault="00B444E2">
            <w:pPr>
              <w:spacing w:after="0" w:line="240" w:lineRule="auto"/>
              <w:rPr>
                <w:noProof/>
              </w:rPr>
            </w:pPr>
            <w:r>
              <w:rPr>
                <w:noProof/>
              </w:rPr>
              <w:t>280</w:t>
            </w:r>
          </w:p>
        </w:tc>
        <w:tc>
          <w:tcPr>
            <w:tcW w:w="2322" w:type="dxa"/>
          </w:tcPr>
          <w:p w:rsidR="00B444E2" w:rsidRDefault="00B444E2">
            <w:pPr>
              <w:spacing w:after="0" w:line="240" w:lineRule="auto"/>
              <w:rPr>
                <w:noProof/>
              </w:rPr>
            </w:pPr>
            <w:r>
              <w:rPr>
                <w:noProof/>
              </w:rPr>
              <w:t>170</w:t>
            </w:r>
          </w:p>
        </w:tc>
        <w:tc>
          <w:tcPr>
            <w:tcW w:w="2322" w:type="dxa"/>
          </w:tcPr>
          <w:p w:rsidR="00B444E2" w:rsidRDefault="00B444E2">
            <w:pPr>
              <w:spacing w:after="0" w:line="240" w:lineRule="auto"/>
              <w:rPr>
                <w:noProof/>
              </w:rPr>
            </w:pPr>
            <w:r>
              <w:rPr>
                <w:noProof/>
              </w:rPr>
              <w:t>0,9</w:t>
            </w:r>
          </w:p>
        </w:tc>
      </w:tr>
      <w:tr w:rsidR="00B444E2">
        <w:tc>
          <w:tcPr>
            <w:tcW w:w="2322" w:type="dxa"/>
          </w:tcPr>
          <w:p w:rsidR="00B444E2" w:rsidRDefault="00B444E2">
            <w:pPr>
              <w:spacing w:after="0" w:line="240" w:lineRule="auto"/>
              <w:rPr>
                <w:noProof/>
              </w:rPr>
            </w:pPr>
            <w:r>
              <w:rPr>
                <w:noProof/>
              </w:rPr>
              <w:t>Njemačka</w:t>
            </w:r>
          </w:p>
        </w:tc>
        <w:tc>
          <w:tcPr>
            <w:tcW w:w="2322" w:type="dxa"/>
          </w:tcPr>
          <w:p w:rsidR="00B444E2" w:rsidRDefault="00B444E2">
            <w:pPr>
              <w:spacing w:after="0" w:line="240" w:lineRule="auto"/>
              <w:rPr>
                <w:noProof/>
              </w:rPr>
            </w:pPr>
            <w:r>
              <w:rPr>
                <w:noProof/>
              </w:rPr>
              <w:t>4540</w:t>
            </w:r>
          </w:p>
        </w:tc>
        <w:tc>
          <w:tcPr>
            <w:tcW w:w="2322" w:type="dxa"/>
          </w:tcPr>
          <w:p w:rsidR="00B444E2" w:rsidRDefault="00B444E2">
            <w:pPr>
              <w:spacing w:after="0" w:line="240" w:lineRule="auto"/>
              <w:rPr>
                <w:noProof/>
              </w:rPr>
            </w:pPr>
            <w:r>
              <w:rPr>
                <w:noProof/>
              </w:rPr>
              <w:t>1040</w:t>
            </w:r>
          </w:p>
        </w:tc>
        <w:tc>
          <w:tcPr>
            <w:tcW w:w="2322" w:type="dxa"/>
          </w:tcPr>
          <w:p w:rsidR="00B444E2" w:rsidRDefault="00B444E2">
            <w:pPr>
              <w:spacing w:after="0" w:line="240" w:lineRule="auto"/>
              <w:rPr>
                <w:noProof/>
              </w:rPr>
            </w:pPr>
            <w:r>
              <w:rPr>
                <w:noProof/>
              </w:rPr>
              <w:t>5,3</w:t>
            </w:r>
          </w:p>
        </w:tc>
      </w:tr>
      <w:tr w:rsidR="00B444E2">
        <w:tc>
          <w:tcPr>
            <w:tcW w:w="2322" w:type="dxa"/>
          </w:tcPr>
          <w:p w:rsidR="00B444E2" w:rsidRDefault="00B444E2">
            <w:pPr>
              <w:spacing w:after="0" w:line="240" w:lineRule="auto"/>
              <w:rPr>
                <w:noProof/>
              </w:rPr>
            </w:pPr>
            <w:r>
              <w:rPr>
                <w:noProof/>
              </w:rPr>
              <w:t>Estonija</w:t>
            </w:r>
          </w:p>
        </w:tc>
        <w:tc>
          <w:tcPr>
            <w:tcW w:w="2322" w:type="dxa"/>
          </w:tcPr>
          <w:p w:rsidR="00B444E2" w:rsidRDefault="00B444E2">
            <w:pPr>
              <w:spacing w:after="0" w:line="240" w:lineRule="auto"/>
              <w:rPr>
                <w:noProof/>
              </w:rPr>
            </w:pPr>
            <w:r>
              <w:rPr>
                <w:noProof/>
              </w:rPr>
              <w:t>120</w:t>
            </w:r>
          </w:p>
        </w:tc>
        <w:tc>
          <w:tcPr>
            <w:tcW w:w="2322" w:type="dxa"/>
          </w:tcPr>
          <w:p w:rsidR="00B444E2" w:rsidRDefault="00B444E2">
            <w:pPr>
              <w:spacing w:after="0" w:line="240" w:lineRule="auto"/>
              <w:rPr>
                <w:noProof/>
              </w:rPr>
            </w:pPr>
            <w:r>
              <w:rPr>
                <w:noProof/>
              </w:rPr>
              <w:t>0</w:t>
            </w:r>
          </w:p>
        </w:tc>
        <w:tc>
          <w:tcPr>
            <w:tcW w:w="2322" w:type="dxa"/>
          </w:tcPr>
          <w:p w:rsidR="00B444E2" w:rsidRDefault="00B444E2">
            <w:pPr>
              <w:spacing w:after="0" w:line="240" w:lineRule="auto"/>
              <w:rPr>
                <w:noProof/>
              </w:rPr>
            </w:pPr>
            <w:r>
              <w:rPr>
                <w:noProof/>
              </w:rPr>
              <w:t>0,0</w:t>
            </w:r>
          </w:p>
        </w:tc>
      </w:tr>
      <w:tr w:rsidR="00B444E2">
        <w:tc>
          <w:tcPr>
            <w:tcW w:w="2322" w:type="dxa"/>
          </w:tcPr>
          <w:p w:rsidR="00B444E2" w:rsidRDefault="00B444E2">
            <w:pPr>
              <w:spacing w:after="0" w:line="240" w:lineRule="auto"/>
              <w:rPr>
                <w:noProof/>
              </w:rPr>
            </w:pPr>
            <w:r>
              <w:rPr>
                <w:noProof/>
              </w:rPr>
              <w:t>Irska</w:t>
            </w:r>
          </w:p>
        </w:tc>
        <w:tc>
          <w:tcPr>
            <w:tcW w:w="2322" w:type="dxa"/>
          </w:tcPr>
          <w:p w:rsidR="00B444E2" w:rsidRDefault="00B444E2">
            <w:pPr>
              <w:spacing w:after="0" w:line="240" w:lineRule="auto"/>
              <w:rPr>
                <w:noProof/>
              </w:rPr>
            </w:pPr>
            <w:r>
              <w:rPr>
                <w:noProof/>
              </w:rPr>
              <w:t>550</w:t>
            </w:r>
          </w:p>
        </w:tc>
        <w:tc>
          <w:tcPr>
            <w:tcW w:w="2322" w:type="dxa"/>
          </w:tcPr>
          <w:p w:rsidR="00B444E2" w:rsidRDefault="00B444E2">
            <w:pPr>
              <w:spacing w:after="0" w:line="240" w:lineRule="auto"/>
              <w:rPr>
                <w:noProof/>
              </w:rPr>
            </w:pPr>
            <w:r>
              <w:rPr>
                <w:noProof/>
              </w:rPr>
              <w:t>170</w:t>
            </w:r>
          </w:p>
        </w:tc>
        <w:tc>
          <w:tcPr>
            <w:tcW w:w="2322" w:type="dxa"/>
          </w:tcPr>
          <w:p w:rsidR="00B444E2" w:rsidRDefault="00B444E2">
            <w:pPr>
              <w:spacing w:after="0" w:line="240" w:lineRule="auto"/>
              <w:rPr>
                <w:noProof/>
              </w:rPr>
            </w:pPr>
            <w:r>
              <w:rPr>
                <w:noProof/>
              </w:rPr>
              <w:t>0,9</w:t>
            </w:r>
          </w:p>
        </w:tc>
      </w:tr>
      <w:tr w:rsidR="00B444E2">
        <w:tc>
          <w:tcPr>
            <w:tcW w:w="2322" w:type="dxa"/>
          </w:tcPr>
          <w:p w:rsidR="00B444E2" w:rsidRDefault="00B444E2">
            <w:pPr>
              <w:spacing w:after="0" w:line="240" w:lineRule="auto"/>
              <w:rPr>
                <w:noProof/>
              </w:rPr>
            </w:pPr>
            <w:r>
              <w:rPr>
                <w:noProof/>
              </w:rPr>
              <w:t>Grčka</w:t>
            </w:r>
          </w:p>
        </w:tc>
        <w:tc>
          <w:tcPr>
            <w:tcW w:w="2322" w:type="dxa"/>
          </w:tcPr>
          <w:p w:rsidR="00B444E2" w:rsidRDefault="00B444E2">
            <w:pPr>
              <w:spacing w:after="0" w:line="240" w:lineRule="auto"/>
              <w:rPr>
                <w:noProof/>
              </w:rPr>
            </w:pPr>
            <w:r>
              <w:rPr>
                <w:noProof/>
              </w:rPr>
              <w:t>102 280</w:t>
            </w:r>
          </w:p>
        </w:tc>
        <w:tc>
          <w:tcPr>
            <w:tcW w:w="2322" w:type="dxa"/>
          </w:tcPr>
          <w:p w:rsidR="00B444E2" w:rsidRDefault="00B444E2">
            <w:pPr>
              <w:spacing w:after="0" w:line="240" w:lineRule="auto"/>
              <w:rPr>
                <w:noProof/>
              </w:rPr>
            </w:pPr>
            <w:r>
              <w:rPr>
                <w:noProof/>
              </w:rPr>
              <w:t>630</w:t>
            </w:r>
          </w:p>
        </w:tc>
        <w:tc>
          <w:tcPr>
            <w:tcW w:w="2322" w:type="dxa"/>
          </w:tcPr>
          <w:p w:rsidR="00B444E2" w:rsidRDefault="00B444E2">
            <w:pPr>
              <w:spacing w:after="0" w:line="240" w:lineRule="auto"/>
              <w:rPr>
                <w:noProof/>
              </w:rPr>
            </w:pPr>
            <w:r>
              <w:rPr>
                <w:noProof/>
              </w:rPr>
              <w:t>3,2</w:t>
            </w:r>
          </w:p>
        </w:tc>
      </w:tr>
      <w:tr w:rsidR="00B444E2">
        <w:tc>
          <w:tcPr>
            <w:tcW w:w="2322" w:type="dxa"/>
          </w:tcPr>
          <w:p w:rsidR="00B444E2" w:rsidRDefault="00B444E2">
            <w:pPr>
              <w:spacing w:after="0" w:line="240" w:lineRule="auto"/>
              <w:rPr>
                <w:noProof/>
              </w:rPr>
            </w:pPr>
            <w:r>
              <w:rPr>
                <w:noProof/>
              </w:rPr>
              <w:t>Španjolska</w:t>
            </w:r>
          </w:p>
        </w:tc>
        <w:tc>
          <w:tcPr>
            <w:tcW w:w="2322" w:type="dxa"/>
          </w:tcPr>
          <w:p w:rsidR="00B444E2" w:rsidRDefault="00B444E2">
            <w:pPr>
              <w:spacing w:after="0" w:line="240" w:lineRule="auto"/>
              <w:rPr>
                <w:noProof/>
              </w:rPr>
            </w:pPr>
            <w:r>
              <w:rPr>
                <w:noProof/>
              </w:rPr>
              <w:t>36 570</w:t>
            </w:r>
          </w:p>
        </w:tc>
        <w:tc>
          <w:tcPr>
            <w:tcW w:w="2322" w:type="dxa"/>
          </w:tcPr>
          <w:p w:rsidR="00B444E2" w:rsidRDefault="00B444E2">
            <w:pPr>
              <w:spacing w:after="0" w:line="240" w:lineRule="auto"/>
              <w:rPr>
                <w:noProof/>
              </w:rPr>
            </w:pPr>
            <w:r>
              <w:rPr>
                <w:noProof/>
              </w:rPr>
              <w:t>3360</w:t>
            </w:r>
          </w:p>
        </w:tc>
        <w:tc>
          <w:tcPr>
            <w:tcW w:w="2322" w:type="dxa"/>
          </w:tcPr>
          <w:p w:rsidR="00B444E2" w:rsidRDefault="00B444E2">
            <w:pPr>
              <w:spacing w:after="0" w:line="240" w:lineRule="auto"/>
              <w:rPr>
                <w:noProof/>
              </w:rPr>
            </w:pPr>
            <w:r>
              <w:rPr>
                <w:noProof/>
              </w:rPr>
              <w:t>17,1</w:t>
            </w:r>
          </w:p>
        </w:tc>
      </w:tr>
      <w:tr w:rsidR="00B444E2">
        <w:tc>
          <w:tcPr>
            <w:tcW w:w="2322" w:type="dxa"/>
          </w:tcPr>
          <w:p w:rsidR="00B444E2" w:rsidRDefault="00B444E2">
            <w:pPr>
              <w:spacing w:after="0" w:line="240" w:lineRule="auto"/>
              <w:rPr>
                <w:noProof/>
              </w:rPr>
            </w:pPr>
            <w:r>
              <w:rPr>
                <w:noProof/>
              </w:rPr>
              <w:t>Francuska</w:t>
            </w:r>
          </w:p>
        </w:tc>
        <w:tc>
          <w:tcPr>
            <w:tcW w:w="2322" w:type="dxa"/>
          </w:tcPr>
          <w:p w:rsidR="00B444E2" w:rsidRDefault="00B444E2">
            <w:pPr>
              <w:spacing w:after="0" w:line="240" w:lineRule="auto"/>
              <w:rPr>
                <w:noProof/>
              </w:rPr>
            </w:pPr>
            <w:r>
              <w:rPr>
                <w:noProof/>
              </w:rPr>
              <w:t>41 710</w:t>
            </w:r>
          </w:p>
        </w:tc>
        <w:tc>
          <w:tcPr>
            <w:tcW w:w="2322" w:type="dxa"/>
          </w:tcPr>
          <w:p w:rsidR="00B444E2" w:rsidRDefault="00B444E2">
            <w:pPr>
              <w:spacing w:after="0" w:line="240" w:lineRule="auto"/>
              <w:rPr>
                <w:noProof/>
              </w:rPr>
            </w:pPr>
            <w:r>
              <w:rPr>
                <w:noProof/>
              </w:rPr>
              <w:t>5780</w:t>
            </w:r>
          </w:p>
        </w:tc>
        <w:tc>
          <w:tcPr>
            <w:tcW w:w="2322" w:type="dxa"/>
          </w:tcPr>
          <w:p w:rsidR="00B444E2" w:rsidRDefault="00B444E2">
            <w:pPr>
              <w:spacing w:after="0" w:line="240" w:lineRule="auto"/>
              <w:rPr>
                <w:noProof/>
              </w:rPr>
            </w:pPr>
            <w:r>
              <w:rPr>
                <w:noProof/>
              </w:rPr>
              <w:t>29,4</w:t>
            </w:r>
          </w:p>
        </w:tc>
      </w:tr>
      <w:tr w:rsidR="00B444E2">
        <w:tc>
          <w:tcPr>
            <w:tcW w:w="2322" w:type="dxa"/>
          </w:tcPr>
          <w:p w:rsidR="00B444E2" w:rsidRDefault="00B444E2">
            <w:pPr>
              <w:spacing w:after="0" w:line="240" w:lineRule="auto"/>
              <w:rPr>
                <w:noProof/>
              </w:rPr>
            </w:pPr>
            <w:r>
              <w:rPr>
                <w:noProof/>
              </w:rPr>
              <w:t>Italija</w:t>
            </w:r>
          </w:p>
        </w:tc>
        <w:tc>
          <w:tcPr>
            <w:tcW w:w="2322" w:type="dxa"/>
          </w:tcPr>
          <w:p w:rsidR="00B444E2" w:rsidRDefault="00B444E2">
            <w:pPr>
              <w:spacing w:after="0" w:line="240" w:lineRule="auto"/>
              <w:rPr>
                <w:noProof/>
              </w:rPr>
            </w:pPr>
            <w:r>
              <w:rPr>
                <w:noProof/>
              </w:rPr>
              <w:t>13 200</w:t>
            </w:r>
          </w:p>
        </w:tc>
        <w:tc>
          <w:tcPr>
            <w:tcW w:w="2322" w:type="dxa"/>
          </w:tcPr>
          <w:p w:rsidR="00B444E2" w:rsidRDefault="00B444E2">
            <w:pPr>
              <w:spacing w:after="0" w:line="240" w:lineRule="auto"/>
              <w:rPr>
                <w:noProof/>
              </w:rPr>
            </w:pPr>
            <w:r>
              <w:rPr>
                <w:noProof/>
              </w:rPr>
              <w:t>1550</w:t>
            </w:r>
          </w:p>
        </w:tc>
        <w:tc>
          <w:tcPr>
            <w:tcW w:w="2322" w:type="dxa"/>
          </w:tcPr>
          <w:p w:rsidR="00B444E2" w:rsidRDefault="00B444E2">
            <w:pPr>
              <w:spacing w:after="0" w:line="240" w:lineRule="auto"/>
              <w:rPr>
                <w:noProof/>
              </w:rPr>
            </w:pPr>
            <w:r>
              <w:rPr>
                <w:noProof/>
              </w:rPr>
              <w:t>7,9</w:t>
            </w:r>
          </w:p>
        </w:tc>
      </w:tr>
      <w:tr w:rsidR="00B444E2">
        <w:tc>
          <w:tcPr>
            <w:tcW w:w="2322" w:type="dxa"/>
          </w:tcPr>
          <w:p w:rsidR="00B444E2" w:rsidRDefault="00B444E2">
            <w:pPr>
              <w:spacing w:after="0" w:line="240" w:lineRule="auto"/>
              <w:rPr>
                <w:noProof/>
              </w:rPr>
            </w:pPr>
            <w:r>
              <w:rPr>
                <w:noProof/>
              </w:rPr>
              <w:t>Cipar</w:t>
            </w:r>
          </w:p>
        </w:tc>
        <w:tc>
          <w:tcPr>
            <w:tcW w:w="2322" w:type="dxa"/>
          </w:tcPr>
          <w:p w:rsidR="00B444E2" w:rsidRDefault="00B444E2">
            <w:pPr>
              <w:spacing w:after="0" w:line="240" w:lineRule="auto"/>
              <w:rPr>
                <w:noProof/>
              </w:rPr>
            </w:pPr>
            <w:r>
              <w:rPr>
                <w:noProof/>
              </w:rPr>
              <w:t>2570</w:t>
            </w:r>
          </w:p>
        </w:tc>
        <w:tc>
          <w:tcPr>
            <w:tcW w:w="2322" w:type="dxa"/>
          </w:tcPr>
          <w:p w:rsidR="00B444E2" w:rsidRDefault="00B444E2">
            <w:pPr>
              <w:spacing w:after="0" w:line="240" w:lineRule="auto"/>
              <w:rPr>
                <w:noProof/>
              </w:rPr>
            </w:pPr>
            <w:r>
              <w:rPr>
                <w:noProof/>
              </w:rPr>
              <w:t>40</w:t>
            </w:r>
          </w:p>
        </w:tc>
        <w:tc>
          <w:tcPr>
            <w:tcW w:w="2322" w:type="dxa"/>
          </w:tcPr>
          <w:p w:rsidR="00B444E2" w:rsidRDefault="00B444E2">
            <w:pPr>
              <w:spacing w:after="0" w:line="240" w:lineRule="auto"/>
              <w:rPr>
                <w:noProof/>
              </w:rPr>
            </w:pPr>
            <w:r>
              <w:rPr>
                <w:noProof/>
              </w:rPr>
              <w:t>0,2</w:t>
            </w:r>
          </w:p>
        </w:tc>
      </w:tr>
      <w:tr w:rsidR="00B444E2">
        <w:tc>
          <w:tcPr>
            <w:tcW w:w="2322" w:type="dxa"/>
          </w:tcPr>
          <w:p w:rsidR="00B444E2" w:rsidRDefault="00B444E2">
            <w:pPr>
              <w:spacing w:after="0" w:line="240" w:lineRule="auto"/>
              <w:rPr>
                <w:noProof/>
              </w:rPr>
            </w:pPr>
            <w:r>
              <w:rPr>
                <w:noProof/>
              </w:rPr>
              <w:t>Latvija</w:t>
            </w:r>
          </w:p>
        </w:tc>
        <w:tc>
          <w:tcPr>
            <w:tcW w:w="2322" w:type="dxa"/>
          </w:tcPr>
          <w:p w:rsidR="00B444E2" w:rsidRDefault="00B444E2">
            <w:pPr>
              <w:spacing w:after="0" w:line="240" w:lineRule="auto"/>
              <w:rPr>
                <w:noProof/>
              </w:rPr>
            </w:pPr>
            <w:r>
              <w:rPr>
                <w:noProof/>
              </w:rPr>
              <w:t>480</w:t>
            </w:r>
          </w:p>
        </w:tc>
        <w:tc>
          <w:tcPr>
            <w:tcW w:w="2322" w:type="dxa"/>
          </w:tcPr>
          <w:p w:rsidR="00B444E2" w:rsidRDefault="00B444E2">
            <w:pPr>
              <w:spacing w:after="0" w:line="240" w:lineRule="auto"/>
              <w:rPr>
                <w:noProof/>
              </w:rPr>
            </w:pPr>
            <w:r>
              <w:rPr>
                <w:noProof/>
              </w:rPr>
              <w:t>0</w:t>
            </w:r>
          </w:p>
        </w:tc>
        <w:tc>
          <w:tcPr>
            <w:tcW w:w="2322" w:type="dxa"/>
          </w:tcPr>
          <w:p w:rsidR="00B444E2" w:rsidRDefault="00B444E2">
            <w:pPr>
              <w:spacing w:after="0" w:line="240" w:lineRule="auto"/>
              <w:rPr>
                <w:noProof/>
              </w:rPr>
            </w:pPr>
            <w:r>
              <w:rPr>
                <w:noProof/>
              </w:rPr>
              <w:t>0,0</w:t>
            </w:r>
          </w:p>
        </w:tc>
      </w:tr>
      <w:tr w:rsidR="00B444E2">
        <w:tc>
          <w:tcPr>
            <w:tcW w:w="2322" w:type="dxa"/>
          </w:tcPr>
          <w:p w:rsidR="00B444E2" w:rsidRDefault="00B444E2">
            <w:pPr>
              <w:spacing w:after="0" w:line="240" w:lineRule="auto"/>
              <w:rPr>
                <w:noProof/>
              </w:rPr>
            </w:pPr>
            <w:r>
              <w:rPr>
                <w:noProof/>
              </w:rPr>
              <w:t>Litva</w:t>
            </w:r>
          </w:p>
        </w:tc>
        <w:tc>
          <w:tcPr>
            <w:tcW w:w="2322" w:type="dxa"/>
          </w:tcPr>
          <w:p w:rsidR="00B444E2" w:rsidRDefault="00B444E2">
            <w:pPr>
              <w:spacing w:after="0" w:line="240" w:lineRule="auto"/>
              <w:rPr>
                <w:noProof/>
              </w:rPr>
            </w:pPr>
            <w:r>
              <w:rPr>
                <w:noProof/>
              </w:rPr>
              <w:t>13 190</w:t>
            </w:r>
          </w:p>
        </w:tc>
        <w:tc>
          <w:tcPr>
            <w:tcW w:w="2322" w:type="dxa"/>
          </w:tcPr>
          <w:p w:rsidR="00B444E2" w:rsidRDefault="00B444E2">
            <w:pPr>
              <w:spacing w:after="0" w:line="240" w:lineRule="auto"/>
              <w:rPr>
                <w:noProof/>
              </w:rPr>
            </w:pPr>
            <w:r>
              <w:rPr>
                <w:noProof/>
              </w:rPr>
              <w:t>10</w:t>
            </w:r>
          </w:p>
        </w:tc>
        <w:tc>
          <w:tcPr>
            <w:tcW w:w="2322" w:type="dxa"/>
          </w:tcPr>
          <w:p w:rsidR="00B444E2" w:rsidRDefault="00B444E2">
            <w:pPr>
              <w:spacing w:after="0" w:line="240" w:lineRule="auto"/>
              <w:rPr>
                <w:noProof/>
              </w:rPr>
            </w:pPr>
            <w:r>
              <w:rPr>
                <w:noProof/>
              </w:rPr>
              <w:t>0,1</w:t>
            </w:r>
          </w:p>
        </w:tc>
      </w:tr>
      <w:tr w:rsidR="00B444E2">
        <w:tc>
          <w:tcPr>
            <w:tcW w:w="2322" w:type="dxa"/>
          </w:tcPr>
          <w:p w:rsidR="00B444E2" w:rsidRDefault="00B444E2">
            <w:pPr>
              <w:spacing w:after="0" w:line="240" w:lineRule="auto"/>
              <w:rPr>
                <w:noProof/>
              </w:rPr>
            </w:pPr>
            <w:r>
              <w:rPr>
                <w:noProof/>
              </w:rPr>
              <w:t>Luksemburg</w:t>
            </w:r>
          </w:p>
        </w:tc>
        <w:tc>
          <w:tcPr>
            <w:tcW w:w="2322" w:type="dxa"/>
          </w:tcPr>
          <w:p w:rsidR="00B444E2" w:rsidRDefault="00B444E2">
            <w:pPr>
              <w:spacing w:after="0" w:line="240" w:lineRule="auto"/>
              <w:rPr>
                <w:noProof/>
              </w:rPr>
            </w:pPr>
            <w:r>
              <w:rPr>
                <w:noProof/>
              </w:rPr>
              <w:t>40</w:t>
            </w:r>
          </w:p>
        </w:tc>
        <w:tc>
          <w:tcPr>
            <w:tcW w:w="2322" w:type="dxa"/>
          </w:tcPr>
          <w:p w:rsidR="00B444E2" w:rsidRDefault="00B444E2">
            <w:pPr>
              <w:spacing w:after="0" w:line="240" w:lineRule="auto"/>
              <w:rPr>
                <w:i/>
                <w:noProof/>
              </w:rPr>
            </w:pPr>
            <w:r>
              <w:rPr>
                <w:i/>
                <w:noProof/>
              </w:rPr>
              <w:t>Vidi podatke za BE</w:t>
            </w:r>
          </w:p>
        </w:tc>
        <w:tc>
          <w:tcPr>
            <w:tcW w:w="2322" w:type="dxa"/>
          </w:tcPr>
          <w:p w:rsidR="00B444E2" w:rsidRDefault="00B444E2">
            <w:pPr>
              <w:spacing w:after="0" w:line="240" w:lineRule="auto"/>
              <w:rPr>
                <w:noProof/>
              </w:rPr>
            </w:pPr>
            <w:r>
              <w:rPr>
                <w:noProof/>
              </w:rPr>
              <w:t>0,0</w:t>
            </w:r>
          </w:p>
        </w:tc>
      </w:tr>
      <w:tr w:rsidR="00B444E2">
        <w:tc>
          <w:tcPr>
            <w:tcW w:w="2322" w:type="dxa"/>
          </w:tcPr>
          <w:p w:rsidR="00B444E2" w:rsidRDefault="00B444E2">
            <w:pPr>
              <w:spacing w:after="0" w:line="240" w:lineRule="auto"/>
              <w:rPr>
                <w:noProof/>
              </w:rPr>
            </w:pPr>
            <w:r>
              <w:rPr>
                <w:noProof/>
              </w:rPr>
              <w:t>Mađarska</w:t>
            </w:r>
          </w:p>
        </w:tc>
        <w:tc>
          <w:tcPr>
            <w:tcW w:w="2322" w:type="dxa"/>
          </w:tcPr>
          <w:p w:rsidR="00B444E2" w:rsidRDefault="00B444E2">
            <w:pPr>
              <w:spacing w:after="0" w:line="240" w:lineRule="auto"/>
              <w:rPr>
                <w:noProof/>
              </w:rPr>
            </w:pPr>
            <w:r>
              <w:rPr>
                <w:noProof/>
              </w:rPr>
              <w:t>18 760</w:t>
            </w:r>
          </w:p>
        </w:tc>
        <w:tc>
          <w:tcPr>
            <w:tcW w:w="2322" w:type="dxa"/>
          </w:tcPr>
          <w:p w:rsidR="00B444E2" w:rsidRDefault="00B444E2">
            <w:pPr>
              <w:spacing w:after="0" w:line="240" w:lineRule="auto"/>
              <w:rPr>
                <w:noProof/>
              </w:rPr>
            </w:pPr>
            <w:r>
              <w:rPr>
                <w:noProof/>
              </w:rPr>
              <w:t>250</w:t>
            </w:r>
          </w:p>
        </w:tc>
        <w:tc>
          <w:tcPr>
            <w:tcW w:w="2322" w:type="dxa"/>
          </w:tcPr>
          <w:p w:rsidR="00B444E2" w:rsidRDefault="00B444E2">
            <w:pPr>
              <w:spacing w:after="0" w:line="240" w:lineRule="auto"/>
              <w:rPr>
                <w:noProof/>
              </w:rPr>
            </w:pPr>
            <w:r>
              <w:rPr>
                <w:noProof/>
              </w:rPr>
              <w:t>1,3</w:t>
            </w:r>
          </w:p>
        </w:tc>
      </w:tr>
      <w:tr w:rsidR="00B444E2">
        <w:tc>
          <w:tcPr>
            <w:tcW w:w="2322" w:type="dxa"/>
          </w:tcPr>
          <w:p w:rsidR="00B444E2" w:rsidRDefault="00B444E2">
            <w:pPr>
              <w:spacing w:after="0" w:line="240" w:lineRule="auto"/>
              <w:rPr>
                <w:noProof/>
              </w:rPr>
            </w:pPr>
            <w:r>
              <w:rPr>
                <w:noProof/>
              </w:rPr>
              <w:t>Malta</w:t>
            </w:r>
          </w:p>
        </w:tc>
        <w:tc>
          <w:tcPr>
            <w:tcW w:w="2322" w:type="dxa"/>
          </w:tcPr>
          <w:p w:rsidR="00B444E2" w:rsidRDefault="00B444E2">
            <w:pPr>
              <w:spacing w:after="0" w:line="240" w:lineRule="auto"/>
              <w:rPr>
                <w:noProof/>
              </w:rPr>
            </w:pPr>
            <w:r>
              <w:rPr>
                <w:noProof/>
              </w:rPr>
              <w:t>160</w:t>
            </w:r>
          </w:p>
        </w:tc>
        <w:tc>
          <w:tcPr>
            <w:tcW w:w="2322" w:type="dxa"/>
          </w:tcPr>
          <w:p w:rsidR="00B444E2" w:rsidRDefault="00B444E2">
            <w:pPr>
              <w:spacing w:after="0" w:line="240" w:lineRule="auto"/>
              <w:rPr>
                <w:noProof/>
              </w:rPr>
            </w:pPr>
            <w:r>
              <w:rPr>
                <w:noProof/>
              </w:rPr>
              <w:t>40</w:t>
            </w:r>
          </w:p>
        </w:tc>
        <w:tc>
          <w:tcPr>
            <w:tcW w:w="2322" w:type="dxa"/>
          </w:tcPr>
          <w:p w:rsidR="00B444E2" w:rsidRDefault="00B444E2">
            <w:pPr>
              <w:spacing w:after="0" w:line="240" w:lineRule="auto"/>
              <w:rPr>
                <w:noProof/>
              </w:rPr>
            </w:pPr>
            <w:r>
              <w:rPr>
                <w:noProof/>
              </w:rPr>
              <w:t>0,2</w:t>
            </w:r>
          </w:p>
        </w:tc>
      </w:tr>
      <w:tr w:rsidR="00B444E2">
        <w:tc>
          <w:tcPr>
            <w:tcW w:w="2322" w:type="dxa"/>
          </w:tcPr>
          <w:p w:rsidR="00B444E2" w:rsidRDefault="00B444E2">
            <w:pPr>
              <w:spacing w:after="0" w:line="240" w:lineRule="auto"/>
              <w:rPr>
                <w:noProof/>
              </w:rPr>
            </w:pPr>
            <w:r>
              <w:rPr>
                <w:noProof/>
              </w:rPr>
              <w:t>Nizozemska</w:t>
            </w:r>
          </w:p>
        </w:tc>
        <w:tc>
          <w:tcPr>
            <w:tcW w:w="2322" w:type="dxa"/>
          </w:tcPr>
          <w:p w:rsidR="00B444E2" w:rsidRDefault="00B444E2">
            <w:pPr>
              <w:spacing w:after="0" w:line="240" w:lineRule="auto"/>
              <w:rPr>
                <w:noProof/>
              </w:rPr>
            </w:pPr>
            <w:r>
              <w:rPr>
                <w:noProof/>
              </w:rPr>
              <w:t>640</w:t>
            </w:r>
          </w:p>
        </w:tc>
        <w:tc>
          <w:tcPr>
            <w:tcW w:w="2322" w:type="dxa"/>
          </w:tcPr>
          <w:p w:rsidR="00B444E2" w:rsidRDefault="00B444E2">
            <w:pPr>
              <w:spacing w:after="0" w:line="240" w:lineRule="auto"/>
              <w:rPr>
                <w:noProof/>
              </w:rPr>
            </w:pPr>
            <w:r>
              <w:rPr>
                <w:noProof/>
              </w:rPr>
              <w:t>620</w:t>
            </w:r>
          </w:p>
        </w:tc>
        <w:tc>
          <w:tcPr>
            <w:tcW w:w="2322" w:type="dxa"/>
          </w:tcPr>
          <w:p w:rsidR="00B444E2" w:rsidRDefault="00B444E2">
            <w:pPr>
              <w:spacing w:after="0" w:line="240" w:lineRule="auto"/>
              <w:rPr>
                <w:noProof/>
              </w:rPr>
            </w:pPr>
            <w:r>
              <w:rPr>
                <w:noProof/>
              </w:rPr>
              <w:t>3,2</w:t>
            </w:r>
          </w:p>
        </w:tc>
      </w:tr>
      <w:tr w:rsidR="00B444E2">
        <w:tc>
          <w:tcPr>
            <w:tcW w:w="2322" w:type="dxa"/>
          </w:tcPr>
          <w:p w:rsidR="00B444E2" w:rsidRDefault="00B444E2">
            <w:pPr>
              <w:spacing w:after="0" w:line="240" w:lineRule="auto"/>
              <w:rPr>
                <w:noProof/>
              </w:rPr>
            </w:pPr>
            <w:r>
              <w:rPr>
                <w:noProof/>
              </w:rPr>
              <w:t>Austrija</w:t>
            </w:r>
          </w:p>
        </w:tc>
        <w:tc>
          <w:tcPr>
            <w:tcW w:w="2322" w:type="dxa"/>
          </w:tcPr>
          <w:p w:rsidR="00B444E2" w:rsidRDefault="00B444E2">
            <w:pPr>
              <w:spacing w:after="0" w:line="240" w:lineRule="auto"/>
              <w:rPr>
                <w:noProof/>
              </w:rPr>
            </w:pPr>
            <w:r>
              <w:rPr>
                <w:noProof/>
              </w:rPr>
              <w:t>1190</w:t>
            </w:r>
          </w:p>
        </w:tc>
        <w:tc>
          <w:tcPr>
            <w:tcW w:w="2322" w:type="dxa"/>
          </w:tcPr>
          <w:p w:rsidR="00B444E2" w:rsidRDefault="00B444E2">
            <w:pPr>
              <w:spacing w:after="0" w:line="240" w:lineRule="auto"/>
              <w:rPr>
                <w:noProof/>
              </w:rPr>
            </w:pPr>
            <w:r>
              <w:rPr>
                <w:noProof/>
              </w:rPr>
              <w:t>300</w:t>
            </w:r>
          </w:p>
        </w:tc>
        <w:tc>
          <w:tcPr>
            <w:tcW w:w="2322" w:type="dxa"/>
          </w:tcPr>
          <w:p w:rsidR="00B444E2" w:rsidRDefault="00B444E2">
            <w:pPr>
              <w:spacing w:after="0" w:line="240" w:lineRule="auto"/>
              <w:rPr>
                <w:noProof/>
              </w:rPr>
            </w:pPr>
            <w:r>
              <w:rPr>
                <w:noProof/>
              </w:rPr>
              <w:t>1,5</w:t>
            </w:r>
          </w:p>
        </w:tc>
      </w:tr>
      <w:tr w:rsidR="00B444E2">
        <w:tc>
          <w:tcPr>
            <w:tcW w:w="2322" w:type="dxa"/>
          </w:tcPr>
          <w:p w:rsidR="00B444E2" w:rsidRDefault="00B444E2">
            <w:pPr>
              <w:spacing w:after="0" w:line="240" w:lineRule="auto"/>
              <w:rPr>
                <w:noProof/>
              </w:rPr>
            </w:pPr>
            <w:r>
              <w:rPr>
                <w:noProof/>
              </w:rPr>
              <w:t>Poljska</w:t>
            </w:r>
          </w:p>
        </w:tc>
        <w:tc>
          <w:tcPr>
            <w:tcW w:w="2322" w:type="dxa"/>
          </w:tcPr>
          <w:p w:rsidR="00B444E2" w:rsidRDefault="00B444E2">
            <w:pPr>
              <w:spacing w:after="0" w:line="240" w:lineRule="auto"/>
              <w:rPr>
                <w:noProof/>
              </w:rPr>
            </w:pPr>
            <w:r>
              <w:rPr>
                <w:noProof/>
              </w:rPr>
              <w:t>337 540</w:t>
            </w:r>
          </w:p>
        </w:tc>
        <w:tc>
          <w:tcPr>
            <w:tcW w:w="2322" w:type="dxa"/>
          </w:tcPr>
          <w:p w:rsidR="00B444E2" w:rsidRDefault="00B444E2">
            <w:pPr>
              <w:spacing w:after="0" w:line="240" w:lineRule="auto"/>
              <w:rPr>
                <w:noProof/>
              </w:rPr>
            </w:pPr>
            <w:r>
              <w:rPr>
                <w:noProof/>
              </w:rPr>
              <w:t>2330</w:t>
            </w:r>
          </w:p>
        </w:tc>
        <w:tc>
          <w:tcPr>
            <w:tcW w:w="2322" w:type="dxa"/>
          </w:tcPr>
          <w:p w:rsidR="00B444E2" w:rsidRDefault="00B444E2">
            <w:pPr>
              <w:spacing w:after="0" w:line="240" w:lineRule="auto"/>
              <w:rPr>
                <w:noProof/>
              </w:rPr>
            </w:pPr>
            <w:r>
              <w:rPr>
                <w:noProof/>
              </w:rPr>
              <w:t>11,8</w:t>
            </w:r>
          </w:p>
        </w:tc>
      </w:tr>
      <w:tr w:rsidR="00B444E2">
        <w:tc>
          <w:tcPr>
            <w:tcW w:w="2322" w:type="dxa"/>
          </w:tcPr>
          <w:p w:rsidR="00B444E2" w:rsidRDefault="00B444E2">
            <w:pPr>
              <w:spacing w:after="0" w:line="240" w:lineRule="auto"/>
              <w:rPr>
                <w:noProof/>
              </w:rPr>
            </w:pPr>
            <w:r>
              <w:rPr>
                <w:noProof/>
              </w:rPr>
              <w:t>Portugal</w:t>
            </w:r>
          </w:p>
        </w:tc>
        <w:tc>
          <w:tcPr>
            <w:tcW w:w="2322" w:type="dxa"/>
          </w:tcPr>
          <w:p w:rsidR="00B444E2" w:rsidRDefault="00B444E2">
            <w:pPr>
              <w:spacing w:after="0" w:line="240" w:lineRule="auto"/>
              <w:rPr>
                <w:noProof/>
              </w:rPr>
            </w:pPr>
            <w:r>
              <w:rPr>
                <w:noProof/>
              </w:rPr>
              <w:t>105 010</w:t>
            </w:r>
          </w:p>
        </w:tc>
        <w:tc>
          <w:tcPr>
            <w:tcW w:w="2322" w:type="dxa"/>
          </w:tcPr>
          <w:p w:rsidR="00B444E2" w:rsidRDefault="00B444E2">
            <w:pPr>
              <w:spacing w:after="0" w:line="240" w:lineRule="auto"/>
              <w:rPr>
                <w:noProof/>
              </w:rPr>
            </w:pPr>
            <w:r>
              <w:rPr>
                <w:noProof/>
              </w:rPr>
              <w:t>750</w:t>
            </w:r>
          </w:p>
        </w:tc>
        <w:tc>
          <w:tcPr>
            <w:tcW w:w="2322" w:type="dxa"/>
          </w:tcPr>
          <w:p w:rsidR="00B444E2" w:rsidRDefault="00B444E2">
            <w:pPr>
              <w:spacing w:after="0" w:line="240" w:lineRule="auto"/>
              <w:rPr>
                <w:noProof/>
              </w:rPr>
            </w:pPr>
            <w:r>
              <w:rPr>
                <w:noProof/>
              </w:rPr>
              <w:t>3,8</w:t>
            </w:r>
          </w:p>
        </w:tc>
      </w:tr>
      <w:tr w:rsidR="00B444E2">
        <w:tc>
          <w:tcPr>
            <w:tcW w:w="2322" w:type="dxa"/>
          </w:tcPr>
          <w:p w:rsidR="00B444E2" w:rsidRDefault="00B444E2">
            <w:pPr>
              <w:spacing w:after="0" w:line="240" w:lineRule="auto"/>
              <w:rPr>
                <w:noProof/>
              </w:rPr>
            </w:pPr>
            <w:r>
              <w:rPr>
                <w:noProof/>
              </w:rPr>
              <w:t>Rumunjska</w:t>
            </w:r>
          </w:p>
        </w:tc>
        <w:tc>
          <w:tcPr>
            <w:tcW w:w="2322" w:type="dxa"/>
          </w:tcPr>
          <w:p w:rsidR="00B444E2" w:rsidRDefault="00B444E2">
            <w:pPr>
              <w:spacing w:after="0" w:line="240" w:lineRule="auto"/>
              <w:rPr>
                <w:noProof/>
              </w:rPr>
            </w:pPr>
            <w:r>
              <w:rPr>
                <w:noProof/>
              </w:rPr>
              <w:t>1 532 550</w:t>
            </w:r>
          </w:p>
        </w:tc>
        <w:tc>
          <w:tcPr>
            <w:tcW w:w="2322" w:type="dxa"/>
          </w:tcPr>
          <w:p w:rsidR="00B444E2" w:rsidRDefault="00B444E2">
            <w:pPr>
              <w:spacing w:after="0" w:line="240" w:lineRule="auto"/>
              <w:rPr>
                <w:noProof/>
              </w:rPr>
            </w:pPr>
            <w:r>
              <w:rPr>
                <w:noProof/>
              </w:rPr>
              <w:t>300</w:t>
            </w:r>
          </w:p>
        </w:tc>
        <w:tc>
          <w:tcPr>
            <w:tcW w:w="2322" w:type="dxa"/>
          </w:tcPr>
          <w:p w:rsidR="00B444E2" w:rsidRDefault="00B444E2">
            <w:pPr>
              <w:spacing w:after="0" w:line="240" w:lineRule="auto"/>
              <w:rPr>
                <w:noProof/>
              </w:rPr>
            </w:pPr>
            <w:r>
              <w:rPr>
                <w:noProof/>
              </w:rPr>
              <w:t>1,5</w:t>
            </w:r>
          </w:p>
        </w:tc>
      </w:tr>
      <w:tr w:rsidR="00B444E2">
        <w:tc>
          <w:tcPr>
            <w:tcW w:w="2322" w:type="dxa"/>
          </w:tcPr>
          <w:p w:rsidR="00B444E2" w:rsidRDefault="00B444E2">
            <w:pPr>
              <w:spacing w:after="0" w:line="240" w:lineRule="auto"/>
              <w:rPr>
                <w:noProof/>
              </w:rPr>
            </w:pPr>
            <w:r>
              <w:rPr>
                <w:noProof/>
              </w:rPr>
              <w:t>Slovenija</w:t>
            </w:r>
          </w:p>
        </w:tc>
        <w:tc>
          <w:tcPr>
            <w:tcW w:w="2322" w:type="dxa"/>
          </w:tcPr>
          <w:p w:rsidR="00B444E2" w:rsidRDefault="00B444E2">
            <w:pPr>
              <w:spacing w:after="0" w:line="240" w:lineRule="auto"/>
              <w:rPr>
                <w:noProof/>
              </w:rPr>
            </w:pPr>
            <w:r>
              <w:rPr>
                <w:noProof/>
              </w:rPr>
              <w:t>2910</w:t>
            </w:r>
          </w:p>
        </w:tc>
        <w:tc>
          <w:tcPr>
            <w:tcW w:w="2322" w:type="dxa"/>
          </w:tcPr>
          <w:p w:rsidR="00B444E2" w:rsidRDefault="00B444E2">
            <w:pPr>
              <w:spacing w:after="0" w:line="240" w:lineRule="auto"/>
              <w:rPr>
                <w:noProof/>
              </w:rPr>
            </w:pPr>
            <w:r>
              <w:rPr>
                <w:noProof/>
              </w:rPr>
              <w:t>170</w:t>
            </w:r>
          </w:p>
        </w:tc>
        <w:tc>
          <w:tcPr>
            <w:tcW w:w="2322" w:type="dxa"/>
          </w:tcPr>
          <w:p w:rsidR="00B444E2" w:rsidRDefault="00B444E2">
            <w:pPr>
              <w:spacing w:after="0" w:line="240" w:lineRule="auto"/>
              <w:rPr>
                <w:noProof/>
              </w:rPr>
            </w:pPr>
            <w:r>
              <w:rPr>
                <w:noProof/>
              </w:rPr>
              <w:t>0,9</w:t>
            </w:r>
          </w:p>
        </w:tc>
      </w:tr>
      <w:tr w:rsidR="00B444E2">
        <w:tc>
          <w:tcPr>
            <w:tcW w:w="2322" w:type="dxa"/>
          </w:tcPr>
          <w:p w:rsidR="00B444E2" w:rsidRDefault="00B444E2">
            <w:pPr>
              <w:spacing w:after="0" w:line="240" w:lineRule="auto"/>
              <w:rPr>
                <w:noProof/>
              </w:rPr>
            </w:pPr>
            <w:r>
              <w:rPr>
                <w:noProof/>
              </w:rPr>
              <w:t>Slovačka</w:t>
            </w:r>
          </w:p>
        </w:tc>
        <w:tc>
          <w:tcPr>
            <w:tcW w:w="2322" w:type="dxa"/>
          </w:tcPr>
          <w:p w:rsidR="00B444E2" w:rsidRDefault="00B444E2">
            <w:pPr>
              <w:spacing w:after="0" w:line="240" w:lineRule="auto"/>
              <w:rPr>
                <w:noProof/>
              </w:rPr>
            </w:pPr>
            <w:r>
              <w:rPr>
                <w:noProof/>
              </w:rPr>
              <w:t>470</w:t>
            </w:r>
          </w:p>
        </w:tc>
        <w:tc>
          <w:tcPr>
            <w:tcW w:w="2322" w:type="dxa"/>
          </w:tcPr>
          <w:p w:rsidR="00B444E2" w:rsidRDefault="00B444E2">
            <w:pPr>
              <w:spacing w:after="0" w:line="240" w:lineRule="auto"/>
              <w:rPr>
                <w:noProof/>
              </w:rPr>
            </w:pPr>
            <w:r>
              <w:rPr>
                <w:noProof/>
              </w:rPr>
              <w:t>60</w:t>
            </w:r>
          </w:p>
        </w:tc>
        <w:tc>
          <w:tcPr>
            <w:tcW w:w="2322" w:type="dxa"/>
          </w:tcPr>
          <w:p w:rsidR="00B444E2" w:rsidRDefault="00B444E2">
            <w:pPr>
              <w:spacing w:after="0" w:line="240" w:lineRule="auto"/>
              <w:rPr>
                <w:noProof/>
              </w:rPr>
            </w:pPr>
            <w:r>
              <w:rPr>
                <w:noProof/>
              </w:rPr>
              <w:t>0,3</w:t>
            </w:r>
          </w:p>
        </w:tc>
      </w:tr>
      <w:tr w:rsidR="00B444E2">
        <w:tc>
          <w:tcPr>
            <w:tcW w:w="2322" w:type="dxa"/>
          </w:tcPr>
          <w:p w:rsidR="00B444E2" w:rsidRDefault="00B444E2">
            <w:pPr>
              <w:spacing w:after="0" w:line="240" w:lineRule="auto"/>
              <w:rPr>
                <w:noProof/>
              </w:rPr>
            </w:pPr>
            <w:r>
              <w:rPr>
                <w:noProof/>
              </w:rPr>
              <w:t>Finska</w:t>
            </w:r>
          </w:p>
        </w:tc>
        <w:tc>
          <w:tcPr>
            <w:tcW w:w="2322" w:type="dxa"/>
          </w:tcPr>
          <w:p w:rsidR="00B444E2" w:rsidRDefault="00B444E2">
            <w:pPr>
              <w:spacing w:after="0" w:line="240" w:lineRule="auto"/>
              <w:rPr>
                <w:noProof/>
              </w:rPr>
            </w:pPr>
            <w:r>
              <w:rPr>
                <w:noProof/>
              </w:rPr>
              <w:t>100</w:t>
            </w:r>
          </w:p>
        </w:tc>
        <w:tc>
          <w:tcPr>
            <w:tcW w:w="2322" w:type="dxa"/>
          </w:tcPr>
          <w:p w:rsidR="00B444E2" w:rsidRDefault="00B444E2">
            <w:pPr>
              <w:spacing w:after="0" w:line="240" w:lineRule="auto"/>
              <w:rPr>
                <w:noProof/>
              </w:rPr>
            </w:pPr>
            <w:r>
              <w:rPr>
                <w:noProof/>
              </w:rPr>
              <w:t>100</w:t>
            </w:r>
          </w:p>
        </w:tc>
        <w:tc>
          <w:tcPr>
            <w:tcW w:w="2322" w:type="dxa"/>
          </w:tcPr>
          <w:p w:rsidR="00B444E2" w:rsidRDefault="00B444E2">
            <w:pPr>
              <w:spacing w:after="0" w:line="240" w:lineRule="auto"/>
              <w:rPr>
                <w:noProof/>
              </w:rPr>
            </w:pPr>
            <w:r>
              <w:rPr>
                <w:noProof/>
              </w:rPr>
              <w:t>05</w:t>
            </w:r>
          </w:p>
        </w:tc>
      </w:tr>
      <w:tr w:rsidR="00B444E2">
        <w:tc>
          <w:tcPr>
            <w:tcW w:w="2322" w:type="dxa"/>
          </w:tcPr>
          <w:p w:rsidR="00B444E2" w:rsidRDefault="00B444E2">
            <w:pPr>
              <w:spacing w:after="0" w:line="240" w:lineRule="auto"/>
              <w:rPr>
                <w:noProof/>
              </w:rPr>
            </w:pPr>
            <w:r>
              <w:rPr>
                <w:noProof/>
              </w:rPr>
              <w:t>Švedska</w:t>
            </w:r>
          </w:p>
        </w:tc>
        <w:tc>
          <w:tcPr>
            <w:tcW w:w="2322" w:type="dxa"/>
          </w:tcPr>
          <w:p w:rsidR="00B444E2" w:rsidRDefault="00B444E2">
            <w:pPr>
              <w:spacing w:after="0" w:line="240" w:lineRule="auto"/>
              <w:rPr>
                <w:noProof/>
              </w:rPr>
            </w:pPr>
            <w:r>
              <w:rPr>
                <w:noProof/>
              </w:rPr>
              <w:t>180</w:t>
            </w:r>
          </w:p>
        </w:tc>
        <w:tc>
          <w:tcPr>
            <w:tcW w:w="2322" w:type="dxa"/>
          </w:tcPr>
          <w:p w:rsidR="00B444E2" w:rsidRDefault="00B444E2">
            <w:pPr>
              <w:spacing w:after="0" w:line="240" w:lineRule="auto"/>
              <w:rPr>
                <w:noProof/>
              </w:rPr>
            </w:pPr>
            <w:r>
              <w:rPr>
                <w:noProof/>
              </w:rPr>
              <w:t>80</w:t>
            </w:r>
          </w:p>
        </w:tc>
        <w:tc>
          <w:tcPr>
            <w:tcW w:w="2322" w:type="dxa"/>
          </w:tcPr>
          <w:p w:rsidR="00B444E2" w:rsidRDefault="00B444E2">
            <w:pPr>
              <w:spacing w:after="0" w:line="240" w:lineRule="auto"/>
              <w:rPr>
                <w:noProof/>
              </w:rPr>
            </w:pPr>
            <w:r>
              <w:rPr>
                <w:noProof/>
              </w:rPr>
              <w:t>0,4</w:t>
            </w:r>
          </w:p>
        </w:tc>
      </w:tr>
      <w:tr w:rsidR="00B444E2">
        <w:tc>
          <w:tcPr>
            <w:tcW w:w="2322" w:type="dxa"/>
          </w:tcPr>
          <w:p w:rsidR="00B444E2" w:rsidRDefault="00B444E2">
            <w:pPr>
              <w:spacing w:after="0" w:line="240" w:lineRule="auto"/>
              <w:rPr>
                <w:noProof/>
              </w:rPr>
            </w:pPr>
            <w:r>
              <w:rPr>
                <w:noProof/>
              </w:rPr>
              <w:t>Ujedinjena Kraljevina</w:t>
            </w:r>
          </w:p>
        </w:tc>
        <w:tc>
          <w:tcPr>
            <w:tcW w:w="2322" w:type="dxa"/>
          </w:tcPr>
          <w:p w:rsidR="00B444E2" w:rsidRDefault="00B444E2">
            <w:pPr>
              <w:spacing w:after="0" w:line="240" w:lineRule="auto"/>
              <w:rPr>
                <w:noProof/>
              </w:rPr>
            </w:pPr>
            <w:r>
              <w:rPr>
                <w:noProof/>
              </w:rPr>
              <w:t>1740</w:t>
            </w:r>
          </w:p>
        </w:tc>
        <w:tc>
          <w:tcPr>
            <w:tcW w:w="2322" w:type="dxa"/>
          </w:tcPr>
          <w:p w:rsidR="00B444E2" w:rsidRDefault="00B444E2">
            <w:pPr>
              <w:spacing w:after="0" w:line="240" w:lineRule="auto"/>
              <w:rPr>
                <w:noProof/>
              </w:rPr>
            </w:pPr>
            <w:r>
              <w:rPr>
                <w:noProof/>
              </w:rPr>
              <w:t>1040</w:t>
            </w:r>
          </w:p>
        </w:tc>
        <w:tc>
          <w:tcPr>
            <w:tcW w:w="2322" w:type="dxa"/>
          </w:tcPr>
          <w:p w:rsidR="00B444E2" w:rsidRDefault="00B444E2">
            <w:pPr>
              <w:spacing w:after="0" w:line="240" w:lineRule="auto"/>
              <w:rPr>
                <w:noProof/>
              </w:rPr>
            </w:pPr>
            <w:r>
              <w:rPr>
                <w:noProof/>
              </w:rPr>
              <w:t>5,3</w:t>
            </w:r>
          </w:p>
        </w:tc>
      </w:tr>
      <w:tr w:rsidR="00B444E2">
        <w:tc>
          <w:tcPr>
            <w:tcW w:w="2322" w:type="dxa"/>
          </w:tcPr>
          <w:p w:rsidR="00B444E2" w:rsidRDefault="00B444E2">
            <w:pPr>
              <w:spacing w:after="0" w:line="240" w:lineRule="auto"/>
              <w:rPr>
                <w:noProof/>
              </w:rPr>
            </w:pPr>
            <w:r>
              <w:rPr>
                <w:noProof/>
              </w:rPr>
              <w:t>EU-27</w:t>
            </w:r>
          </w:p>
        </w:tc>
        <w:tc>
          <w:tcPr>
            <w:tcW w:w="2322" w:type="dxa"/>
          </w:tcPr>
          <w:p w:rsidR="00B444E2" w:rsidRDefault="00B444E2">
            <w:pPr>
              <w:spacing w:after="0" w:line="240" w:lineRule="auto"/>
              <w:rPr>
                <w:noProof/>
              </w:rPr>
            </w:pPr>
            <w:r>
              <w:rPr>
                <w:noProof/>
              </w:rPr>
              <w:t>2 237 460</w:t>
            </w:r>
          </w:p>
        </w:tc>
        <w:tc>
          <w:tcPr>
            <w:tcW w:w="2322" w:type="dxa"/>
          </w:tcPr>
          <w:p w:rsidR="00B444E2" w:rsidRDefault="00B444E2">
            <w:pPr>
              <w:spacing w:after="0" w:line="240" w:lineRule="auto"/>
              <w:rPr>
                <w:noProof/>
              </w:rPr>
            </w:pPr>
            <w:r>
              <w:rPr>
                <w:noProof/>
              </w:rPr>
              <w:t>19 680</w:t>
            </w:r>
          </w:p>
        </w:tc>
        <w:tc>
          <w:tcPr>
            <w:tcW w:w="2322" w:type="dxa"/>
          </w:tcPr>
          <w:p w:rsidR="00B444E2" w:rsidRDefault="00B444E2">
            <w:pPr>
              <w:spacing w:after="0" w:line="240" w:lineRule="auto"/>
              <w:rPr>
                <w:noProof/>
              </w:rPr>
            </w:pPr>
            <w:r>
              <w:rPr>
                <w:noProof/>
              </w:rPr>
              <w:t>100,0</w:t>
            </w:r>
          </w:p>
        </w:tc>
      </w:tr>
      <w:tr w:rsidR="00B444E2">
        <w:tc>
          <w:tcPr>
            <w:tcW w:w="9288" w:type="dxa"/>
            <w:gridSpan w:val="4"/>
          </w:tcPr>
          <w:p w:rsidR="00B444E2" w:rsidRDefault="00B444E2">
            <w:pPr>
              <w:spacing w:after="0" w:line="240" w:lineRule="auto"/>
              <w:rPr>
                <w:noProof/>
              </w:rPr>
            </w:pPr>
            <w:r>
              <w:rPr>
                <w:noProof/>
              </w:rPr>
              <w:t>Izvor: Eurostat (2010.)</w:t>
            </w:r>
          </w:p>
        </w:tc>
      </w:tr>
    </w:tbl>
    <w:p w:rsidR="00B444E2" w:rsidRDefault="00B444E2">
      <w:pPr>
        <w:rPr>
          <w:noProof/>
        </w:rPr>
        <w:sectPr w:rsidR="00B444E2">
          <w:headerReference w:type="even" r:id="rId27"/>
          <w:headerReference w:type="default" r:id="rId28"/>
          <w:footerReference w:type="even" r:id="rId29"/>
          <w:footerReference w:type="default" r:id="rId30"/>
          <w:headerReference w:type="first" r:id="rId31"/>
          <w:footerReference w:type="first" r:id="rId32"/>
          <w:pgSz w:w="11906" w:h="16838"/>
          <w:pgMar w:top="1417" w:right="1417" w:bottom="1417" w:left="1417" w:header="708" w:footer="708" w:gutter="0"/>
          <w:cols w:space="720"/>
          <w:docGrid w:linePitch="360"/>
        </w:sectPr>
      </w:pPr>
    </w:p>
    <w:p w:rsidR="00B444E2" w:rsidRDefault="00B444E2">
      <w:pPr>
        <w:pStyle w:val="Heading3"/>
        <w:rPr>
          <w:noProof/>
        </w:rPr>
      </w:pPr>
      <w:bookmarkStart w:id="51" w:name="_Toc444589119"/>
      <w:bookmarkStart w:id="52" w:name="_Toc445910066"/>
      <w:r>
        <w:rPr>
          <w:noProof/>
        </w:rPr>
        <w:t>PRILOG III. PIRAMIDALNA STRUKTURA KRIŽANJA ZA KOMERCIJALNE BROJLERE</w:t>
      </w:r>
      <w:bookmarkEnd w:id="51"/>
      <w:bookmarkEnd w:id="52"/>
    </w:p>
    <w:p w:rsidR="00B444E2" w:rsidRDefault="00B444E2">
      <w:pPr>
        <w:jc w:val="center"/>
        <w:rPr>
          <w:rFonts w:ascii="Times New Roman" w:hAnsi="Times New Roman"/>
          <w:b/>
          <w:noProof/>
          <w:sz w:val="24"/>
        </w:rPr>
      </w:pPr>
      <w:r>
        <w:rPr>
          <w:noProof/>
        </w:rPr>
        <w:pict>
          <v:shape id="_x0000_i1026" type="#_x0000_t75" style="width:453pt;height:280.5pt">
            <v:imagedata r:id="rId33" o:title=""/>
          </v:shape>
        </w:pict>
      </w:r>
    </w:p>
    <w:p w:rsidR="00B444E2" w:rsidRDefault="00B444E2">
      <w:pPr>
        <w:jc w:val="center"/>
        <w:rPr>
          <w:noProof/>
        </w:rPr>
        <w:sectPr w:rsidR="00B444E2">
          <w:headerReference w:type="even" r:id="rId34"/>
          <w:headerReference w:type="default" r:id="rId35"/>
          <w:footerReference w:type="even" r:id="rId36"/>
          <w:footerReference w:type="default" r:id="rId37"/>
          <w:headerReference w:type="first" r:id="rId38"/>
          <w:footerReference w:type="first" r:id="rId39"/>
          <w:pgSz w:w="11906" w:h="16838"/>
          <w:pgMar w:top="1417" w:right="1417" w:bottom="1417" w:left="1417" w:header="708" w:footer="708" w:gutter="0"/>
          <w:cols w:space="720"/>
          <w:docGrid w:linePitch="360"/>
        </w:sectPr>
      </w:pPr>
    </w:p>
    <w:p w:rsidR="00B444E2" w:rsidRDefault="00B444E2">
      <w:pPr>
        <w:pStyle w:val="Heading3"/>
        <w:rPr>
          <w:noProof/>
        </w:rPr>
      </w:pPr>
      <w:bookmarkStart w:id="53" w:name="_Toc444589120"/>
      <w:bookmarkStart w:id="54" w:name="_Toc445910067"/>
      <w:r>
        <w:rPr>
          <w:noProof/>
        </w:rPr>
        <w:t>PRILOG IV. OBILJEŽJA KOJA SE UZIMAJU U OBZIR U TRENUTAČNIM PROGRAMIMA ODABIRA BROJLERA</w:t>
      </w:r>
      <w:bookmarkEnd w:id="53"/>
      <w:bookmarkEnd w:id="54"/>
    </w:p>
    <w:tbl>
      <w:tblPr>
        <w:tblW w:w="8440" w:type="dxa"/>
        <w:jc w:val="center"/>
        <w:tblInd w:w="93" w:type="dxa"/>
        <w:tblLook w:val="04A0" w:firstRow="1" w:lastRow="0" w:firstColumn="1" w:lastColumn="0" w:noHBand="0" w:noVBand="1"/>
      </w:tblPr>
      <w:tblGrid>
        <w:gridCol w:w="2160"/>
        <w:gridCol w:w="6280"/>
      </w:tblGrid>
      <w:tr w:rsidR="00B444E2">
        <w:trPr>
          <w:trHeight w:val="330"/>
          <w:jc w:val="center"/>
        </w:trPr>
        <w:tc>
          <w:tcPr>
            <w:tcW w:w="2160" w:type="dxa"/>
            <w:tcBorders>
              <w:top w:val="single" w:sz="8" w:space="0" w:color="auto"/>
              <w:left w:val="single" w:sz="8" w:space="0" w:color="auto"/>
              <w:bottom w:val="single" w:sz="8" w:space="0" w:color="auto"/>
              <w:right w:val="single" w:sz="8" w:space="0" w:color="000000"/>
            </w:tcBorders>
            <w:shd w:val="clear" w:color="000000" w:fill="F2F2F2"/>
            <w:noWrap/>
            <w:vAlign w:val="center"/>
            <w:hideMark/>
          </w:tcPr>
          <w:p w:rsidR="00B444E2" w:rsidRDefault="00B444E2">
            <w:pPr>
              <w:spacing w:after="0" w:line="240" w:lineRule="auto"/>
              <w:jc w:val="center"/>
              <w:rPr>
                <w:rFonts w:ascii="Times New Roman" w:hAnsi="Times New Roman"/>
                <w:b/>
                <w:bCs/>
                <w:noProof/>
                <w:color w:val="000000"/>
                <w:sz w:val="24"/>
                <w:szCs w:val="24"/>
              </w:rPr>
            </w:pPr>
            <w:r>
              <w:rPr>
                <w:rFonts w:ascii="Times New Roman" w:hAnsi="Times New Roman"/>
                <w:b/>
                <w:noProof/>
                <w:color w:val="000000"/>
                <w:sz w:val="24"/>
              </w:rPr>
              <w:t>Područja koja se biraju</w:t>
            </w:r>
          </w:p>
        </w:tc>
        <w:tc>
          <w:tcPr>
            <w:tcW w:w="6280" w:type="dxa"/>
            <w:tcBorders>
              <w:top w:val="single" w:sz="8" w:space="0" w:color="auto"/>
              <w:left w:val="nil"/>
              <w:bottom w:val="single" w:sz="8" w:space="0" w:color="auto"/>
              <w:right w:val="single" w:sz="8" w:space="0" w:color="000000"/>
            </w:tcBorders>
            <w:shd w:val="clear" w:color="000000" w:fill="F2F2F2"/>
            <w:noWrap/>
            <w:vAlign w:val="center"/>
            <w:hideMark/>
          </w:tcPr>
          <w:p w:rsidR="00B444E2" w:rsidRDefault="00B444E2">
            <w:pPr>
              <w:spacing w:after="0" w:line="240" w:lineRule="auto"/>
              <w:jc w:val="center"/>
              <w:rPr>
                <w:rFonts w:ascii="Times New Roman" w:hAnsi="Times New Roman"/>
                <w:b/>
                <w:bCs/>
                <w:noProof/>
                <w:color w:val="000000"/>
                <w:sz w:val="24"/>
                <w:szCs w:val="24"/>
              </w:rPr>
            </w:pPr>
            <w:r>
              <w:rPr>
                <w:rFonts w:ascii="Times New Roman" w:hAnsi="Times New Roman"/>
                <w:b/>
                <w:noProof/>
                <w:color w:val="000000"/>
                <w:sz w:val="24"/>
              </w:rPr>
              <w:t xml:space="preserve">Kategorije važnih obilježja </w:t>
            </w:r>
            <w:r>
              <w:rPr>
                <w:rFonts w:ascii="Times New Roman" w:hAnsi="Times New Roman"/>
                <w:b/>
                <w:noProof/>
                <w:color w:val="000000"/>
                <w:sz w:val="16"/>
              </w:rPr>
              <w:t>(može biti uključeno više obilježja)</w:t>
            </w:r>
          </w:p>
        </w:tc>
      </w:tr>
      <w:tr w:rsidR="00B444E2">
        <w:trPr>
          <w:trHeight w:val="705"/>
          <w:jc w:val="center"/>
        </w:trPr>
        <w:tc>
          <w:tcPr>
            <w:tcW w:w="2160" w:type="dxa"/>
            <w:tcBorders>
              <w:top w:val="single" w:sz="8" w:space="0" w:color="auto"/>
              <w:left w:val="single" w:sz="8" w:space="0" w:color="auto"/>
              <w:bottom w:val="single" w:sz="8" w:space="0" w:color="auto"/>
              <w:right w:val="single" w:sz="8" w:space="0" w:color="000000"/>
            </w:tcBorders>
            <w:noWrap/>
            <w:vAlign w:val="center"/>
            <w:hideMark/>
          </w:tcPr>
          <w:p w:rsidR="00B444E2" w:rsidRDefault="00B444E2">
            <w:pPr>
              <w:spacing w:after="0" w:line="240" w:lineRule="auto"/>
              <w:rPr>
                <w:rFonts w:ascii="Times New Roman" w:hAnsi="Times New Roman"/>
                <w:b/>
                <w:bCs/>
                <w:i/>
                <w:iCs/>
                <w:noProof/>
                <w:color w:val="000000"/>
                <w:sz w:val="24"/>
                <w:szCs w:val="24"/>
              </w:rPr>
            </w:pPr>
            <w:r>
              <w:rPr>
                <w:rFonts w:ascii="Times New Roman" w:hAnsi="Times New Roman"/>
                <w:b/>
                <w:i/>
                <w:noProof/>
                <w:color w:val="000000"/>
                <w:sz w:val="24"/>
              </w:rPr>
              <w:t>Zdravlje i dobrobit</w:t>
            </w:r>
          </w:p>
        </w:tc>
        <w:tc>
          <w:tcPr>
            <w:tcW w:w="6280" w:type="dxa"/>
            <w:tcBorders>
              <w:top w:val="single" w:sz="8" w:space="0" w:color="auto"/>
              <w:left w:val="nil"/>
              <w:bottom w:val="single" w:sz="8" w:space="0" w:color="auto"/>
              <w:right w:val="single" w:sz="8" w:space="0" w:color="000000"/>
            </w:tcBorders>
            <w:vAlign w:val="center"/>
            <w:hideMark/>
          </w:tcPr>
          <w:p w:rsidR="00B444E2" w:rsidRDefault="00B444E2">
            <w:pPr>
              <w:spacing w:after="0" w:line="240" w:lineRule="auto"/>
              <w:rPr>
                <w:rFonts w:ascii="Times New Roman" w:hAnsi="Times New Roman"/>
                <w:noProof/>
                <w:color w:val="000000"/>
                <w:sz w:val="24"/>
                <w:szCs w:val="24"/>
              </w:rPr>
            </w:pPr>
            <w:r>
              <w:rPr>
                <w:rFonts w:ascii="Times New Roman" w:hAnsi="Times New Roman"/>
                <w:noProof/>
                <w:color w:val="000000"/>
                <w:sz w:val="24"/>
              </w:rPr>
              <w:t>Imunološki odgovor, cjelovitost koštanog sustava, zdravlje srca i pluća, mogućnost života / preživljavanje / niska stopa smrtnosti, prekrivenost perjem, nepostojanje lezija na prsima</w:t>
            </w:r>
          </w:p>
        </w:tc>
      </w:tr>
      <w:tr w:rsidR="00B444E2">
        <w:trPr>
          <w:trHeight w:val="705"/>
          <w:jc w:val="center"/>
        </w:trPr>
        <w:tc>
          <w:tcPr>
            <w:tcW w:w="2160" w:type="dxa"/>
            <w:tcBorders>
              <w:top w:val="single" w:sz="8" w:space="0" w:color="auto"/>
              <w:left w:val="single" w:sz="8" w:space="0" w:color="auto"/>
              <w:bottom w:val="single" w:sz="8" w:space="0" w:color="auto"/>
              <w:right w:val="single" w:sz="8" w:space="0" w:color="000000"/>
            </w:tcBorders>
            <w:noWrap/>
            <w:vAlign w:val="center"/>
            <w:hideMark/>
          </w:tcPr>
          <w:p w:rsidR="00B444E2" w:rsidRDefault="00B444E2">
            <w:pPr>
              <w:spacing w:after="0" w:line="240" w:lineRule="auto"/>
              <w:rPr>
                <w:rFonts w:ascii="Times New Roman" w:hAnsi="Times New Roman"/>
                <w:b/>
                <w:bCs/>
                <w:i/>
                <w:iCs/>
                <w:noProof/>
                <w:color w:val="000000"/>
                <w:sz w:val="24"/>
                <w:szCs w:val="24"/>
              </w:rPr>
            </w:pPr>
            <w:r>
              <w:rPr>
                <w:rFonts w:ascii="Times New Roman" w:hAnsi="Times New Roman"/>
                <w:b/>
                <w:i/>
                <w:noProof/>
                <w:color w:val="000000"/>
                <w:sz w:val="24"/>
              </w:rPr>
              <w:t>Razmnožavanje</w:t>
            </w:r>
          </w:p>
        </w:tc>
        <w:tc>
          <w:tcPr>
            <w:tcW w:w="6280" w:type="dxa"/>
            <w:tcBorders>
              <w:top w:val="single" w:sz="8" w:space="0" w:color="auto"/>
              <w:left w:val="nil"/>
              <w:bottom w:val="single" w:sz="8" w:space="0" w:color="auto"/>
              <w:right w:val="single" w:sz="8" w:space="0" w:color="000000"/>
            </w:tcBorders>
            <w:vAlign w:val="center"/>
            <w:hideMark/>
          </w:tcPr>
          <w:p w:rsidR="00B444E2" w:rsidRDefault="00B444E2">
            <w:pPr>
              <w:spacing w:after="0" w:line="240" w:lineRule="auto"/>
              <w:rPr>
                <w:rFonts w:ascii="Times New Roman" w:hAnsi="Times New Roman"/>
                <w:noProof/>
                <w:color w:val="000000"/>
                <w:sz w:val="24"/>
                <w:szCs w:val="24"/>
              </w:rPr>
            </w:pPr>
            <w:r>
              <w:rPr>
                <w:rFonts w:ascii="Times New Roman" w:hAnsi="Times New Roman"/>
                <w:noProof/>
                <w:color w:val="000000"/>
                <w:sz w:val="24"/>
              </w:rPr>
              <w:t>Sposobnost valenja,an količina jaja, plodnost, dob pri spolnoj zrelosti</w:t>
            </w:r>
          </w:p>
        </w:tc>
      </w:tr>
      <w:tr w:rsidR="00B444E2">
        <w:trPr>
          <w:trHeight w:val="705"/>
          <w:jc w:val="center"/>
        </w:trPr>
        <w:tc>
          <w:tcPr>
            <w:tcW w:w="2160" w:type="dxa"/>
            <w:tcBorders>
              <w:top w:val="nil"/>
              <w:left w:val="single" w:sz="8" w:space="0" w:color="auto"/>
              <w:bottom w:val="single" w:sz="8" w:space="0" w:color="auto"/>
              <w:right w:val="single" w:sz="8" w:space="0" w:color="000000"/>
            </w:tcBorders>
            <w:noWrap/>
            <w:vAlign w:val="center"/>
            <w:hideMark/>
          </w:tcPr>
          <w:p w:rsidR="00B444E2" w:rsidRDefault="00B444E2">
            <w:pPr>
              <w:spacing w:after="0" w:line="240" w:lineRule="auto"/>
              <w:rPr>
                <w:rFonts w:ascii="Times New Roman" w:hAnsi="Times New Roman"/>
                <w:b/>
                <w:bCs/>
                <w:i/>
                <w:iCs/>
                <w:noProof/>
                <w:color w:val="000000"/>
                <w:sz w:val="24"/>
                <w:szCs w:val="24"/>
              </w:rPr>
            </w:pPr>
            <w:r>
              <w:rPr>
                <w:rFonts w:ascii="Times New Roman" w:hAnsi="Times New Roman"/>
                <w:b/>
                <w:i/>
                <w:noProof/>
                <w:color w:val="000000"/>
                <w:sz w:val="24"/>
              </w:rPr>
              <w:t xml:space="preserve">Proizvodnja </w:t>
            </w:r>
          </w:p>
        </w:tc>
        <w:tc>
          <w:tcPr>
            <w:tcW w:w="6280" w:type="dxa"/>
            <w:tcBorders>
              <w:top w:val="nil"/>
              <w:left w:val="nil"/>
              <w:bottom w:val="single" w:sz="8" w:space="0" w:color="auto"/>
              <w:right w:val="single" w:sz="8" w:space="0" w:color="000000"/>
            </w:tcBorders>
            <w:vAlign w:val="center"/>
            <w:hideMark/>
          </w:tcPr>
          <w:p w:rsidR="00B444E2" w:rsidRDefault="00B444E2">
            <w:pPr>
              <w:spacing w:after="0" w:line="240" w:lineRule="auto"/>
              <w:rPr>
                <w:rFonts w:ascii="Times New Roman" w:hAnsi="Times New Roman"/>
                <w:noProof/>
                <w:color w:val="000000"/>
                <w:sz w:val="24"/>
                <w:szCs w:val="24"/>
              </w:rPr>
            </w:pPr>
            <w:r>
              <w:rPr>
                <w:rFonts w:ascii="Times New Roman" w:hAnsi="Times New Roman"/>
                <w:noProof/>
                <w:color w:val="000000"/>
                <w:sz w:val="24"/>
              </w:rPr>
              <w:t>Konverzija hrane, profil rasta, kvaliteta mesa, količina dobivenog mesa prsiju, masa, niži sadržaj masti</w:t>
            </w:r>
          </w:p>
        </w:tc>
      </w:tr>
    </w:tbl>
    <w:p w:rsidR="00B444E2" w:rsidRDefault="00B444E2">
      <w:pPr>
        <w:jc w:val="center"/>
        <w:rPr>
          <w:rFonts w:ascii="Times New Roman" w:hAnsi="Times New Roman"/>
          <w:b/>
          <w:noProof/>
          <w:sz w:val="24"/>
        </w:rPr>
      </w:pPr>
    </w:p>
    <w:sectPr w:rsidR="00B444E2" w:rsidSect="00B444E2">
      <w:headerReference w:type="even" r:id="rId40"/>
      <w:headerReference w:type="default" r:id="rId41"/>
      <w:footerReference w:type="even" r:id="rId42"/>
      <w:footerReference w:type="default" r:id="rId43"/>
      <w:headerReference w:type="first" r:id="rId44"/>
      <w:footerReference w:type="first" r:id="rId45"/>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4E2" w:rsidRDefault="00B444E2">
      <w:pPr>
        <w:spacing w:after="0" w:line="240" w:lineRule="auto"/>
      </w:pPr>
      <w:r>
        <w:separator/>
      </w:r>
    </w:p>
  </w:endnote>
  <w:endnote w:type="continuationSeparator" w:id="0">
    <w:p w:rsidR="00B444E2" w:rsidRDefault="00B44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ËÎÌå"/>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FooterCoverPage"/>
      <w:rPr>
        <w:rFonts w:ascii="Arial" w:hAnsi="Arial" w:cs="Arial"/>
        <w:b/>
        <w:sz w:val="48"/>
      </w:rPr>
    </w:pPr>
    <w:r>
      <w:rPr>
        <w:rFonts w:ascii="Arial" w:hAnsi="Arial" w:cs="Arial"/>
        <w:b/>
        <w:sz w:val="48"/>
      </w:rPr>
      <w:t>HR</w:t>
    </w:r>
    <w:r>
      <w:rPr>
        <w:rFonts w:ascii="Arial" w:hAnsi="Arial" w:cs="Arial"/>
        <w:b/>
        <w:sz w:val="48"/>
      </w:rPr>
      <w:tab/>
    </w:r>
    <w:r>
      <w:rPr>
        <w:rFonts w:ascii="Arial" w:hAnsi="Arial" w:cs="Arial"/>
        <w:b/>
        <w:sz w:val="48"/>
      </w:rPr>
      <w:tab/>
    </w:r>
    <w:fldSimple w:instr=" DOCVARIABLE &quot;LW_Confidence&quot; \* MERGEFORMAT ">
      <w:r>
        <w:t xml:space="preserve"> </w:t>
      </w:r>
    </w:fldSimple>
    <w:r>
      <w:tab/>
    </w:r>
    <w:r>
      <w:rPr>
        <w:rFonts w:ascii="Arial" w:hAnsi="Arial" w:cs="Arial"/>
        <w:b/>
        <w:sz w:val="48"/>
      </w:rPr>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2</w:t>
    </w:r>
    <w:r>
      <w:rPr>
        <w:rFonts w:ascii="Times New Roman" w:hAnsi="Times New Roman"/>
      </w:rPr>
      <w:fldChar w:fldCharType="end"/>
    </w:r>
  </w:p>
  <w:p w:rsidR="00B444E2" w:rsidRDefault="00B444E2">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11</w:t>
    </w:r>
    <w:r>
      <w:rPr>
        <w:rFonts w:ascii="Times New Roman" w:hAnsi="Times New Roman"/>
      </w:rPr>
      <w:fldChar w:fldCharType="end"/>
    </w:r>
  </w:p>
  <w:p w:rsidR="00B444E2" w:rsidRDefault="00B444E2">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12</w:t>
    </w:r>
    <w:r>
      <w:rPr>
        <w:rFonts w:ascii="Times New Roman" w:hAnsi="Times New Roman"/>
      </w:rPr>
      <w:fldChar w:fldCharType="end"/>
    </w:r>
  </w:p>
  <w:p w:rsidR="00B444E2" w:rsidRDefault="00B444E2">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13</w:t>
    </w:r>
    <w:r>
      <w:rPr>
        <w:rFonts w:ascii="Times New Roman" w:hAnsi="Times New Roman"/>
      </w:rPr>
      <w:fldChar w:fldCharType="end"/>
    </w:r>
  </w:p>
  <w:p w:rsidR="00B444E2" w:rsidRDefault="00B444E2">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14</w:t>
    </w:r>
    <w:r>
      <w:rPr>
        <w:rFonts w:ascii="Times New Roman" w:hAnsi="Times New Roman"/>
      </w:rPr>
      <w:fldChar w:fldCharType="end"/>
    </w:r>
  </w:p>
  <w:p w:rsidR="00B444E2" w:rsidRDefault="00B444E2">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4E2" w:rsidRDefault="00B444E2">
      <w:pPr>
        <w:spacing w:after="0" w:line="240" w:lineRule="auto"/>
      </w:pPr>
      <w:r>
        <w:separator/>
      </w:r>
    </w:p>
  </w:footnote>
  <w:footnote w:type="continuationSeparator" w:id="0">
    <w:p w:rsidR="00B444E2" w:rsidRDefault="00B444E2">
      <w:pPr>
        <w:spacing w:after="0" w:line="240" w:lineRule="auto"/>
      </w:pPr>
      <w:r>
        <w:continuationSeparator/>
      </w:r>
    </w:p>
  </w:footnote>
  <w:footnote w:id="1">
    <w:p w:rsidR="00B444E2" w:rsidRDefault="00B444E2">
      <w:pPr>
        <w:pStyle w:val="FootnoteText"/>
        <w:spacing w:after="0" w:line="240" w:lineRule="auto"/>
        <w:ind w:left="284" w:hanging="284"/>
        <w:jc w:val="both"/>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SL L 182, 12.7.2007., str. 19.</w:t>
      </w:r>
    </w:p>
  </w:footnote>
  <w:footnote w:id="2">
    <w:p w:rsidR="00B444E2" w:rsidRDefault="00B444E2">
      <w:pPr>
        <w:pStyle w:val="FootnoteText"/>
        <w:spacing w:after="0" w:line="240" w:lineRule="auto"/>
        <w:ind w:left="284" w:hanging="284"/>
        <w:jc w:val="both"/>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 xml:space="preserve">Odbor EFSA-e za zdravlje i dobrobit životinja: Znanstveno mišljenje o utjecaju genetskih parametara na dobrobit komercijalnih brojlera i njihovu otpornost na stres. EFSA Journal 2010; 8(7):1666. [str. 82]. doi:10.2903/j.efsa.2010.1666. Dostupno na internetu na poveznici: www.efsa.europa.eu </w:t>
      </w:r>
    </w:p>
  </w:footnote>
  <w:footnote w:id="3">
    <w:p w:rsidR="00B444E2" w:rsidRDefault="00B444E2">
      <w:pPr>
        <w:pStyle w:val="FootnoteText"/>
        <w:spacing w:after="0" w:line="240" w:lineRule="auto"/>
        <w:ind w:left="284" w:hanging="284"/>
        <w:jc w:val="both"/>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de Jong I, Berg C., Butterworth A., Estevéz I.; Scientific report updating the EFSA opinions on the welfare of broilers and broiler breeders. Supporting Publications 2012:EN-295. Dostupno na internetu na poveznici: www.efsa.europa.eu/publications</w:t>
      </w:r>
    </w:p>
  </w:footnote>
  <w:footnote w:id="4">
    <w:p w:rsidR="00B444E2" w:rsidRDefault="00B444E2">
      <w:pPr>
        <w:pStyle w:val="FootnoteText"/>
        <w:spacing w:after="0" w:line="240" w:lineRule="auto"/>
        <w:ind w:left="284" w:hanging="284"/>
        <w:jc w:val="both"/>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Studija o utjecaju genetskog odabira na dobrobit pilića koji se uzgajaju i drže za proizvodnju mesa (siječanj 2013.): http://ec.europa.eu/food/animals/docs/aw_practice_farm_broilers_653020_final-report_en.pdf</w:t>
      </w:r>
    </w:p>
  </w:footnote>
  <w:footnote w:id="5">
    <w:p w:rsidR="00B444E2" w:rsidRDefault="00B444E2">
      <w:pPr>
        <w:pStyle w:val="FootnoteText"/>
        <w:spacing w:after="0" w:line="240" w:lineRule="auto"/>
        <w:ind w:left="284" w:hanging="284"/>
        <w:jc w:val="both"/>
      </w:pPr>
      <w:r>
        <w:rPr>
          <w:rStyle w:val="FootnoteReference"/>
          <w:rFonts w:ascii="Times New Roman" w:hAnsi="Times New Roman"/>
        </w:rPr>
        <w:footnoteRef/>
      </w:r>
      <w:r>
        <w:rPr>
          <w:rFonts w:ascii="Times New Roman" w:hAnsi="Times New Roman"/>
        </w:rPr>
        <w:t xml:space="preserve"> </w:t>
      </w:r>
      <w:r>
        <w:rPr>
          <w:rFonts w:ascii="Times New Roman" w:hAnsi="Times New Roman"/>
        </w:rPr>
        <w:tab/>
      </w:r>
      <w:r>
        <w:rPr>
          <w:rStyle w:val="FootnoteReference"/>
          <w:rFonts w:ascii="Times New Roman" w:hAnsi="Times New Roman"/>
          <w:vertAlign w:val="baseline"/>
        </w:rPr>
        <w:t>Vidi članak 1. stavak 1. točku (b) i članak 1. stavak 2. prvi podstavak Direktive 2007/43/EZ.</w:t>
      </w:r>
    </w:p>
  </w:footnote>
  <w:footnote w:id="6">
    <w:p w:rsidR="00B444E2" w:rsidRDefault="00B444E2">
      <w:pPr>
        <w:pStyle w:val="FootnoteText"/>
        <w:spacing w:after="0" w:line="240" w:lineRule="auto"/>
        <w:ind w:left="284" w:hanging="284"/>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Izvor: Eurostat.</w:t>
      </w:r>
    </w:p>
  </w:footnote>
  <w:footnote w:id="7">
    <w:p w:rsidR="00B444E2" w:rsidRDefault="00B444E2">
      <w:pPr>
        <w:pStyle w:val="FootnoteText"/>
        <w:spacing w:after="0" w:line="240" w:lineRule="auto"/>
        <w:ind w:left="284" w:hanging="284"/>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http://www.avec-poultry.eu/system/files/archive/new-structure/avec/Communication/Study%20final%20version.pdf</w:t>
      </w:r>
    </w:p>
  </w:footnote>
  <w:footnote w:id="8">
    <w:p w:rsidR="00B444E2" w:rsidRDefault="00B444E2">
      <w:pPr>
        <w:pStyle w:val="FootnoteText"/>
        <w:spacing w:after="0" w:line="240" w:lineRule="auto"/>
        <w:ind w:left="284" w:hanging="284"/>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Stupnjem samodostatnosti izražava se količina proizvodnje EU-a u odnosu na domaću upotrebu (stupanj samodostatnosti = proizvodnja / (proizvodnja + uvoz – izvoz).</w:t>
      </w:r>
    </w:p>
  </w:footnote>
  <w:footnote w:id="9">
    <w:p w:rsidR="00B444E2" w:rsidRDefault="00B444E2">
      <w:pPr>
        <w:pStyle w:val="FootnoteText"/>
        <w:spacing w:after="0" w:line="240" w:lineRule="auto"/>
        <w:ind w:left="284" w:hanging="284"/>
      </w:pPr>
      <w:r>
        <w:rPr>
          <w:rFonts w:ascii="Times New Roman" w:hAnsi="Times New Roman"/>
          <w:vertAlign w:val="superscript"/>
        </w:rPr>
        <w:footnoteRef/>
      </w:r>
      <w:r>
        <w:rPr>
          <w:rFonts w:ascii="Times New Roman" w:hAnsi="Times New Roman"/>
        </w:rPr>
        <w:t xml:space="preserve"> </w:t>
      </w:r>
      <w:r>
        <w:rPr>
          <w:rFonts w:ascii="Times New Roman" w:hAnsi="Times New Roman"/>
        </w:rPr>
        <w:tab/>
        <w:t>http://ec.europa.eu/agriculture/external-studies/2013/origin-labelling/fulltext_en.pdf</w:t>
      </w:r>
    </w:p>
  </w:footnote>
  <w:footnote w:id="10">
    <w:p w:rsidR="00B444E2" w:rsidRDefault="00B444E2">
      <w:pPr>
        <w:spacing w:after="0" w:line="240" w:lineRule="auto"/>
        <w:ind w:left="284" w:hanging="284"/>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sz w:val="20"/>
        </w:rPr>
        <w:tab/>
      </w:r>
      <w:hyperlink r:id="rId1" w:history="1">
        <w:r>
          <w:rPr>
            <w:rFonts w:ascii="Times New Roman" w:hAnsi="Times New Roman"/>
            <w:color w:val="0000FF"/>
            <w:sz w:val="20"/>
            <w:u w:val="single"/>
          </w:rPr>
          <w:t>http://www.avec-poultry.eu/system/files/archive/new-structure/avec/Communication/Study%20final%20version.pdf</w:t>
        </w:r>
      </w:hyperlink>
    </w:p>
  </w:footnote>
  <w:footnote w:id="11">
    <w:p w:rsidR="00B444E2" w:rsidRDefault="00B444E2">
      <w:pPr>
        <w:pStyle w:val="FootnoteText"/>
        <w:spacing w:after="0" w:line="240" w:lineRule="auto"/>
        <w:ind w:left="284" w:hanging="284"/>
        <w:jc w:val="both"/>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Nasljednost odražava udio razlika među pojedincima do kojih je došlo zbog genetike. Njome se analizira relativni doprinos razlika u genetskim čimbenicima i onima koji nisu genetski ukupnim uočljivim odstupanjima u populaciji. Na primjer, neke su osobe u populaciji više od drugih, a nasljednošću se pokušava utvrditi koliku je ulogu genetika imala u tome da je dio populacije viši.</w:t>
      </w:r>
    </w:p>
  </w:footnote>
  <w:footnote w:id="12">
    <w:p w:rsidR="00B444E2" w:rsidRDefault="00B444E2">
      <w:pPr>
        <w:pStyle w:val="FootnoteText"/>
        <w:spacing w:after="0" w:line="240" w:lineRule="auto"/>
        <w:ind w:left="284" w:hanging="284"/>
        <w:jc w:val="both"/>
      </w:pPr>
      <w:r>
        <w:rPr>
          <w:rStyle w:val="FootnoteReference"/>
          <w:rFonts w:ascii="Times New Roman" w:hAnsi="Times New Roman"/>
        </w:rPr>
        <w:footnoteRef/>
      </w:r>
      <w:r>
        <w:rPr>
          <w:rFonts w:ascii="Times New Roman" w:hAnsi="Times New Roman"/>
        </w:rPr>
        <w:t xml:space="preserve"> </w:t>
      </w:r>
      <w:r>
        <w:rPr>
          <w:rFonts w:ascii="Times New Roman" w:hAnsi="Times New Roman"/>
        </w:rPr>
        <w:tab/>
      </w:r>
      <w:r>
        <w:rPr>
          <w:rStyle w:val="FootnoteReference"/>
          <w:rFonts w:ascii="Times New Roman" w:hAnsi="Times New Roman"/>
          <w:vertAlign w:val="baseline"/>
        </w:rPr>
        <w:t>Studija o utjecaju genetskog odabira na dobrobit pilića koji se uzgajaju i drže za proizvodnju mesa (siječanj 2013.): http://ec.europa.eu/food/animals/docs/aw_practice_farm_broilers_653020_final-report_en.pdf</w:t>
      </w:r>
    </w:p>
  </w:footnote>
  <w:footnote w:id="13">
    <w:p w:rsidR="00B444E2" w:rsidRDefault="00B444E2">
      <w:pPr>
        <w:pStyle w:val="FootnoteText"/>
        <w:spacing w:after="0" w:line="240" w:lineRule="auto"/>
        <w:ind w:left="284" w:hanging="284"/>
        <w:jc w:val="both"/>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Stopa konverzije hrane: količina hrane konzumirana radi povećanja tjelesne mase za jedan kilogram.</w:t>
      </w:r>
    </w:p>
  </w:footnote>
  <w:footnote w:id="14">
    <w:p w:rsidR="00B444E2" w:rsidRDefault="00B444E2">
      <w:pPr>
        <w:pStyle w:val="FootnoteText"/>
        <w:spacing w:after="0" w:line="240" w:lineRule="auto"/>
        <w:ind w:left="284" w:hanging="284"/>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Maxwell i Robertson (1997.; 1998.) zaključili su da je bilo zahvaćeno 4,7 % brojlera diljem svijeta.</w:t>
      </w:r>
    </w:p>
  </w:footnote>
  <w:footnote w:id="15">
    <w:p w:rsidR="00B444E2" w:rsidRDefault="00B444E2">
      <w:pPr>
        <w:pStyle w:val="FootnoteText"/>
        <w:spacing w:after="0" w:line="240" w:lineRule="auto"/>
        <w:ind w:left="284" w:hanging="284"/>
      </w:pPr>
      <w:r>
        <w:rPr>
          <w:rFonts w:ascii="Times New Roman" w:hAnsi="Times New Roman"/>
          <w:vertAlign w:val="superscript"/>
        </w:rPr>
        <w:footnoteRef/>
      </w:r>
      <w:r>
        <w:rPr>
          <w:rFonts w:ascii="Times New Roman" w:hAnsi="Times New Roman"/>
          <w:vertAlign w:val="superscript"/>
        </w:rPr>
        <w:t xml:space="preserve"> </w:t>
      </w:r>
      <w:r>
        <w:rPr>
          <w:rFonts w:ascii="Times New Roman" w:hAnsi="Times New Roman"/>
          <w:vertAlign w:val="superscript"/>
        </w:rPr>
        <w:tab/>
      </w:r>
      <w:r>
        <w:rPr>
          <w:rFonts w:ascii="Times New Roman" w:hAnsi="Times New Roman"/>
        </w:rPr>
        <w:t>Pojavnost kontaktnog dermatitisa varira, a rezultati su se razlikovali ovisno o starosti ptica u trenutku procjene.</w:t>
      </w:r>
    </w:p>
  </w:footnote>
  <w:footnote w:id="16">
    <w:p w:rsidR="00B444E2" w:rsidRDefault="00B444E2">
      <w:pPr>
        <w:pStyle w:val="FootnoteText"/>
        <w:spacing w:after="0" w:line="240" w:lineRule="auto"/>
        <w:ind w:left="284" w:hanging="284"/>
        <w:jc w:val="both"/>
      </w:pPr>
      <w:r>
        <w:rPr>
          <w:rStyle w:val="FootnoteReference"/>
        </w:rPr>
        <w:footnoteRef/>
      </w:r>
      <w:r>
        <w:t xml:space="preserve"> </w:t>
      </w:r>
      <w:r>
        <w:tab/>
      </w:r>
      <w:r>
        <w:rPr>
          <w:rFonts w:ascii="Times New Roman" w:hAnsi="Times New Roman"/>
        </w:rPr>
        <w:t>Oko 60 do 70 % uzgoja brojlera provode društva u Europi, a potražnja je za njihovim proizvodima u rastu, posebno u zemljama u razvoju (Kina, Brazil, Indija).</w:t>
      </w:r>
    </w:p>
  </w:footnote>
  <w:footnote w:id="17">
    <w:p w:rsidR="00B444E2" w:rsidRDefault="00B444E2">
      <w:pPr>
        <w:pStyle w:val="FootnoteText"/>
        <w:spacing w:after="0" w:line="240" w:lineRule="auto"/>
        <w:ind w:left="284" w:hanging="284"/>
        <w:jc w:val="both"/>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http://ec.europa.eu/agriculture/genetic-resources/actions/f-067/067-executive-summary_en.pdf</w:t>
      </w:r>
    </w:p>
  </w:footnote>
  <w:footnote w:id="18">
    <w:p w:rsidR="00B444E2" w:rsidRDefault="00B444E2">
      <w:pPr>
        <w:pStyle w:val="FootnoteText"/>
        <w:spacing w:after="0" w:line="240" w:lineRule="auto"/>
        <w:ind w:left="284" w:hanging="284"/>
        <w:jc w:val="both"/>
      </w:pPr>
      <w:r>
        <w:rPr>
          <w:rStyle w:val="FootnoteReference"/>
        </w:rPr>
        <w:footnoteRef/>
      </w:r>
      <w:r>
        <w:t xml:space="preserve"> </w:t>
      </w:r>
      <w:r>
        <w:tab/>
      </w:r>
      <w:r>
        <w:rPr>
          <w:rFonts w:ascii="Times New Roman" w:hAnsi="Times New Roman"/>
        </w:rPr>
        <w:t>Vidi članak 6. stavak 2. Direktive Vijeća 2007/43/EZ.</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E2" w:rsidRDefault="00B444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10E9486"/>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8126F5C2"/>
    <w:lvl w:ilvl="0">
      <w:start w:val="1"/>
      <w:numFmt w:val="decimal"/>
      <w:lvlText w:val="%1."/>
      <w:lvlJc w:val="left"/>
      <w:pPr>
        <w:tabs>
          <w:tab w:val="num" w:pos="1492"/>
        </w:tabs>
        <w:ind w:left="1492" w:hanging="360"/>
      </w:pPr>
      <w:rPr>
        <w:rFonts w:cs="Times New Roman"/>
      </w:rPr>
    </w:lvl>
  </w:abstractNum>
  <w:abstractNum w:abstractNumId="2">
    <w:nsid w:val="FFFFFF7D"/>
    <w:multiLevelType w:val="singleLevel"/>
    <w:tmpl w:val="D074AAA2"/>
    <w:lvl w:ilvl="0">
      <w:start w:val="1"/>
      <w:numFmt w:val="decimal"/>
      <w:lvlText w:val="%1."/>
      <w:lvlJc w:val="left"/>
      <w:pPr>
        <w:tabs>
          <w:tab w:val="num" w:pos="1209"/>
        </w:tabs>
        <w:ind w:left="1209" w:hanging="360"/>
      </w:pPr>
      <w:rPr>
        <w:rFonts w:cs="Times New Roman"/>
      </w:rPr>
    </w:lvl>
  </w:abstractNum>
  <w:abstractNum w:abstractNumId="3">
    <w:nsid w:val="FFFFFF7E"/>
    <w:multiLevelType w:val="singleLevel"/>
    <w:tmpl w:val="859C2B98"/>
    <w:lvl w:ilvl="0">
      <w:start w:val="1"/>
      <w:numFmt w:val="decimal"/>
      <w:lvlText w:val="%1."/>
      <w:lvlJc w:val="left"/>
      <w:pPr>
        <w:tabs>
          <w:tab w:val="num" w:pos="926"/>
        </w:tabs>
        <w:ind w:left="926" w:hanging="360"/>
      </w:pPr>
      <w:rPr>
        <w:rFonts w:cs="Times New Roman"/>
      </w:rPr>
    </w:lvl>
  </w:abstractNum>
  <w:abstractNum w:abstractNumId="4">
    <w:nsid w:val="FFFFFF7F"/>
    <w:multiLevelType w:val="singleLevel"/>
    <w:tmpl w:val="6EEE15D2"/>
    <w:lvl w:ilvl="0">
      <w:start w:val="1"/>
      <w:numFmt w:val="decimal"/>
      <w:lvlText w:val="%1."/>
      <w:lvlJc w:val="left"/>
      <w:pPr>
        <w:tabs>
          <w:tab w:val="num" w:pos="643"/>
        </w:tabs>
        <w:ind w:left="643" w:hanging="360"/>
      </w:pPr>
      <w:rPr>
        <w:rFonts w:cs="Times New Roman"/>
      </w:rPr>
    </w:lvl>
  </w:abstractNum>
  <w:abstractNum w:abstractNumId="5">
    <w:nsid w:val="FFFFFF80"/>
    <w:multiLevelType w:val="singleLevel"/>
    <w:tmpl w:val="2E5E335E"/>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BAA4B174"/>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CBF29216"/>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FDD4757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4D366104"/>
    <w:lvl w:ilvl="0">
      <w:start w:val="1"/>
      <w:numFmt w:val="decimal"/>
      <w:lvlText w:val="%1."/>
      <w:lvlJc w:val="left"/>
      <w:pPr>
        <w:tabs>
          <w:tab w:val="num" w:pos="360"/>
        </w:tabs>
        <w:ind w:left="360" w:hanging="360"/>
      </w:pPr>
      <w:rPr>
        <w:rFonts w:cs="Times New Roman"/>
      </w:rPr>
    </w:lvl>
  </w:abstractNum>
  <w:abstractNum w:abstractNumId="10">
    <w:nsid w:val="FFFFFF89"/>
    <w:multiLevelType w:val="singleLevel"/>
    <w:tmpl w:val="C8946A64"/>
    <w:lvl w:ilvl="0">
      <w:start w:val="1"/>
      <w:numFmt w:val="bullet"/>
      <w:lvlText w:val=""/>
      <w:lvlJc w:val="left"/>
      <w:pPr>
        <w:tabs>
          <w:tab w:val="num" w:pos="360"/>
        </w:tabs>
        <w:ind w:left="360" w:hanging="360"/>
      </w:pPr>
      <w:rPr>
        <w:rFonts w:ascii="Symbol" w:hAnsi="Symbol" w:hint="default"/>
      </w:rPr>
    </w:lvl>
  </w:abstractNum>
  <w:abstractNum w:abstractNumId="11">
    <w:nsid w:val="2C161622"/>
    <w:multiLevelType w:val="hybridMultilevel"/>
    <w:tmpl w:val="9F66B1EC"/>
    <w:lvl w:ilvl="0" w:tplc="FFFFFFFF">
      <w:start w:val="1"/>
      <w:numFmt w:val="bullet"/>
      <w:lvlText w:val=""/>
      <w:lvlJc w:val="left"/>
      <w:pPr>
        <w:ind w:left="2511" w:hanging="360"/>
      </w:pPr>
      <w:rPr>
        <w:rFonts w:ascii="Symbol" w:hAnsi="Symbol" w:hint="default"/>
      </w:rPr>
    </w:lvl>
    <w:lvl w:ilvl="1" w:tplc="FFFFFFFF" w:tentative="1">
      <w:start w:val="1"/>
      <w:numFmt w:val="bullet"/>
      <w:lvlText w:val="o"/>
      <w:lvlJc w:val="left"/>
      <w:pPr>
        <w:ind w:left="3231" w:hanging="360"/>
      </w:pPr>
      <w:rPr>
        <w:rFonts w:ascii="Courier New" w:hAnsi="Courier New" w:hint="default"/>
      </w:rPr>
    </w:lvl>
    <w:lvl w:ilvl="2" w:tplc="FFFFFFFF" w:tentative="1">
      <w:start w:val="1"/>
      <w:numFmt w:val="bullet"/>
      <w:lvlText w:val=""/>
      <w:lvlJc w:val="left"/>
      <w:pPr>
        <w:ind w:left="3951" w:hanging="360"/>
      </w:pPr>
      <w:rPr>
        <w:rFonts w:ascii="Wingdings" w:hAnsi="Wingdings" w:hint="default"/>
      </w:rPr>
    </w:lvl>
    <w:lvl w:ilvl="3" w:tplc="FFFFFFFF" w:tentative="1">
      <w:start w:val="1"/>
      <w:numFmt w:val="bullet"/>
      <w:lvlText w:val=""/>
      <w:lvlJc w:val="left"/>
      <w:pPr>
        <w:ind w:left="4671" w:hanging="360"/>
      </w:pPr>
      <w:rPr>
        <w:rFonts w:ascii="Symbol" w:hAnsi="Symbol" w:hint="default"/>
      </w:rPr>
    </w:lvl>
    <w:lvl w:ilvl="4" w:tplc="FFFFFFFF" w:tentative="1">
      <w:start w:val="1"/>
      <w:numFmt w:val="bullet"/>
      <w:lvlText w:val="o"/>
      <w:lvlJc w:val="left"/>
      <w:pPr>
        <w:ind w:left="5391" w:hanging="360"/>
      </w:pPr>
      <w:rPr>
        <w:rFonts w:ascii="Courier New" w:hAnsi="Courier New" w:hint="default"/>
      </w:rPr>
    </w:lvl>
    <w:lvl w:ilvl="5" w:tplc="FFFFFFFF" w:tentative="1">
      <w:start w:val="1"/>
      <w:numFmt w:val="bullet"/>
      <w:lvlText w:val=""/>
      <w:lvlJc w:val="left"/>
      <w:pPr>
        <w:ind w:left="6111" w:hanging="360"/>
      </w:pPr>
      <w:rPr>
        <w:rFonts w:ascii="Wingdings" w:hAnsi="Wingdings" w:hint="default"/>
      </w:rPr>
    </w:lvl>
    <w:lvl w:ilvl="6" w:tplc="FFFFFFFF" w:tentative="1">
      <w:start w:val="1"/>
      <w:numFmt w:val="bullet"/>
      <w:lvlText w:val=""/>
      <w:lvlJc w:val="left"/>
      <w:pPr>
        <w:ind w:left="6831" w:hanging="360"/>
      </w:pPr>
      <w:rPr>
        <w:rFonts w:ascii="Symbol" w:hAnsi="Symbol" w:hint="default"/>
      </w:rPr>
    </w:lvl>
    <w:lvl w:ilvl="7" w:tplc="FFFFFFFF" w:tentative="1">
      <w:start w:val="1"/>
      <w:numFmt w:val="bullet"/>
      <w:lvlText w:val="o"/>
      <w:lvlJc w:val="left"/>
      <w:pPr>
        <w:ind w:left="7551" w:hanging="360"/>
      </w:pPr>
      <w:rPr>
        <w:rFonts w:ascii="Courier New" w:hAnsi="Courier New" w:hint="default"/>
      </w:rPr>
    </w:lvl>
    <w:lvl w:ilvl="8" w:tplc="FFFFFFFF" w:tentative="1">
      <w:start w:val="1"/>
      <w:numFmt w:val="bullet"/>
      <w:lvlText w:val=""/>
      <w:lvlJc w:val="left"/>
      <w:pPr>
        <w:ind w:left="8271" w:hanging="360"/>
      </w:pPr>
      <w:rPr>
        <w:rFonts w:ascii="Wingdings" w:hAnsi="Wingdings" w:hint="default"/>
      </w:rPr>
    </w:lvl>
  </w:abstractNum>
  <w:abstractNum w:abstractNumId="12">
    <w:nsid w:val="2D1C33E5"/>
    <w:multiLevelType w:val="hybridMultilevel"/>
    <w:tmpl w:val="1B1669B6"/>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nsid w:val="31DB56B4"/>
    <w:multiLevelType w:val="multilevel"/>
    <w:tmpl w:val="3258D17E"/>
    <w:lvl w:ilvl="0">
      <w:start w:val="1"/>
      <w:numFmt w:val="decimal"/>
      <w:lvlText w:val="%1."/>
      <w:lvlJc w:val="left"/>
      <w:pPr>
        <w:ind w:left="360" w:hanging="360"/>
      </w:pPr>
      <w:rPr>
        <w:rFonts w:cs="Times New Roman" w:hint="default"/>
        <w:b/>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nsid w:val="376D0EAD"/>
    <w:multiLevelType w:val="hybridMultilevel"/>
    <w:tmpl w:val="49D6F6CC"/>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5">
    <w:nsid w:val="393B4EEC"/>
    <w:multiLevelType w:val="multilevel"/>
    <w:tmpl w:val="08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3A813831"/>
    <w:multiLevelType w:val="multilevel"/>
    <w:tmpl w:val="3258D17E"/>
    <w:lvl w:ilvl="0">
      <w:start w:val="1"/>
      <w:numFmt w:val="decimal"/>
      <w:lvlText w:val="%1."/>
      <w:lvlJc w:val="left"/>
      <w:pPr>
        <w:ind w:left="360" w:hanging="360"/>
      </w:pPr>
      <w:rPr>
        <w:rFonts w:cs="Times New Roman" w:hint="default"/>
        <w:b/>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7">
    <w:nsid w:val="3CC22CC2"/>
    <w:multiLevelType w:val="hybridMultilevel"/>
    <w:tmpl w:val="70A02E66"/>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nsid w:val="46654597"/>
    <w:multiLevelType w:val="hybridMultilevel"/>
    <w:tmpl w:val="F56E1DC2"/>
    <w:lvl w:ilvl="0" w:tplc="FFFFFFFF">
      <w:start w:val="1"/>
      <w:numFmt w:val="decimal"/>
      <w:lvlText w:val="%1."/>
      <w:lvlJc w:val="left"/>
      <w:pPr>
        <w:ind w:left="1080" w:hanging="360"/>
      </w:pPr>
      <w:rPr>
        <w:rFonts w:cs="Times New Roman"/>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19">
    <w:nsid w:val="4B09665C"/>
    <w:multiLevelType w:val="hybridMultilevel"/>
    <w:tmpl w:val="70A27644"/>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nsid w:val="51881056"/>
    <w:multiLevelType w:val="hybridMultilevel"/>
    <w:tmpl w:val="0CF6957A"/>
    <w:lvl w:ilvl="0" w:tplc="FFFFFFFF">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nsid w:val="556A1CC3"/>
    <w:multiLevelType w:val="hybridMultilevel"/>
    <w:tmpl w:val="B016C05A"/>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2">
    <w:nsid w:val="565C4D82"/>
    <w:multiLevelType w:val="hybridMultilevel"/>
    <w:tmpl w:val="A18E2B44"/>
    <w:lvl w:ilvl="0" w:tplc="FFFFFFFF">
      <w:start w:val="1"/>
      <w:numFmt w:val="bullet"/>
      <w:lvlText w:val="o"/>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nsid w:val="59403C02"/>
    <w:multiLevelType w:val="hybridMultilevel"/>
    <w:tmpl w:val="A514A2F2"/>
    <w:lvl w:ilvl="0" w:tplc="FFFFFFFF">
      <w:start w:val="1"/>
      <w:numFmt w:val="lowerLetter"/>
      <w:lvlText w:val="%1."/>
      <w:lvlJc w:val="left"/>
      <w:pPr>
        <w:ind w:left="1440" w:hanging="360"/>
      </w:pPr>
      <w:rPr>
        <w:rFonts w:cs="Times New Roman"/>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24">
    <w:nsid w:val="5D96021D"/>
    <w:multiLevelType w:val="hybridMultilevel"/>
    <w:tmpl w:val="669E2696"/>
    <w:lvl w:ilvl="0" w:tplc="FFFFFFFF">
      <w:start w:val="1"/>
      <w:numFmt w:val="bullet"/>
      <w:lvlText w:val=""/>
      <w:lvlJc w:val="left"/>
      <w:pPr>
        <w:ind w:left="1457" w:hanging="360"/>
      </w:pPr>
      <w:rPr>
        <w:rFonts w:ascii="Wingdings" w:hAnsi="Wingdings" w:hint="default"/>
      </w:rPr>
    </w:lvl>
    <w:lvl w:ilvl="1" w:tplc="FFFFFFFF" w:tentative="1">
      <w:start w:val="1"/>
      <w:numFmt w:val="bullet"/>
      <w:lvlText w:val="o"/>
      <w:lvlJc w:val="left"/>
      <w:pPr>
        <w:ind w:left="2177" w:hanging="360"/>
      </w:pPr>
      <w:rPr>
        <w:rFonts w:ascii="Courier New" w:hAnsi="Courier New" w:hint="default"/>
      </w:rPr>
    </w:lvl>
    <w:lvl w:ilvl="2" w:tplc="FFFFFFFF" w:tentative="1">
      <w:start w:val="1"/>
      <w:numFmt w:val="bullet"/>
      <w:lvlText w:val=""/>
      <w:lvlJc w:val="left"/>
      <w:pPr>
        <w:ind w:left="2897" w:hanging="360"/>
      </w:pPr>
      <w:rPr>
        <w:rFonts w:ascii="Wingdings" w:hAnsi="Wingdings" w:hint="default"/>
      </w:rPr>
    </w:lvl>
    <w:lvl w:ilvl="3" w:tplc="FFFFFFFF" w:tentative="1">
      <w:start w:val="1"/>
      <w:numFmt w:val="bullet"/>
      <w:lvlText w:val=""/>
      <w:lvlJc w:val="left"/>
      <w:pPr>
        <w:ind w:left="3617" w:hanging="360"/>
      </w:pPr>
      <w:rPr>
        <w:rFonts w:ascii="Symbol" w:hAnsi="Symbol" w:hint="default"/>
      </w:rPr>
    </w:lvl>
    <w:lvl w:ilvl="4" w:tplc="FFFFFFFF" w:tentative="1">
      <w:start w:val="1"/>
      <w:numFmt w:val="bullet"/>
      <w:lvlText w:val="o"/>
      <w:lvlJc w:val="left"/>
      <w:pPr>
        <w:ind w:left="4337" w:hanging="360"/>
      </w:pPr>
      <w:rPr>
        <w:rFonts w:ascii="Courier New" w:hAnsi="Courier New" w:hint="default"/>
      </w:rPr>
    </w:lvl>
    <w:lvl w:ilvl="5" w:tplc="FFFFFFFF" w:tentative="1">
      <w:start w:val="1"/>
      <w:numFmt w:val="bullet"/>
      <w:lvlText w:val=""/>
      <w:lvlJc w:val="left"/>
      <w:pPr>
        <w:ind w:left="5057" w:hanging="360"/>
      </w:pPr>
      <w:rPr>
        <w:rFonts w:ascii="Wingdings" w:hAnsi="Wingdings" w:hint="default"/>
      </w:rPr>
    </w:lvl>
    <w:lvl w:ilvl="6" w:tplc="FFFFFFFF" w:tentative="1">
      <w:start w:val="1"/>
      <w:numFmt w:val="bullet"/>
      <w:lvlText w:val=""/>
      <w:lvlJc w:val="left"/>
      <w:pPr>
        <w:ind w:left="5777" w:hanging="360"/>
      </w:pPr>
      <w:rPr>
        <w:rFonts w:ascii="Symbol" w:hAnsi="Symbol" w:hint="default"/>
      </w:rPr>
    </w:lvl>
    <w:lvl w:ilvl="7" w:tplc="FFFFFFFF" w:tentative="1">
      <w:start w:val="1"/>
      <w:numFmt w:val="bullet"/>
      <w:lvlText w:val="o"/>
      <w:lvlJc w:val="left"/>
      <w:pPr>
        <w:ind w:left="6497" w:hanging="360"/>
      </w:pPr>
      <w:rPr>
        <w:rFonts w:ascii="Courier New" w:hAnsi="Courier New" w:hint="default"/>
      </w:rPr>
    </w:lvl>
    <w:lvl w:ilvl="8" w:tplc="FFFFFFFF" w:tentative="1">
      <w:start w:val="1"/>
      <w:numFmt w:val="bullet"/>
      <w:lvlText w:val=""/>
      <w:lvlJc w:val="left"/>
      <w:pPr>
        <w:ind w:left="7217" w:hanging="360"/>
      </w:pPr>
      <w:rPr>
        <w:rFonts w:ascii="Wingdings" w:hAnsi="Wingdings" w:hint="default"/>
      </w:rPr>
    </w:lvl>
  </w:abstractNum>
  <w:abstractNum w:abstractNumId="25">
    <w:nsid w:val="5FC54BD1"/>
    <w:multiLevelType w:val="hybridMultilevel"/>
    <w:tmpl w:val="9B768A60"/>
    <w:lvl w:ilvl="0" w:tplc="FFFFFFFF">
      <w:start w:val="1"/>
      <w:numFmt w:val="lowerLetter"/>
      <w:lvlText w:val="%1."/>
      <w:lvlJc w:val="left"/>
      <w:pPr>
        <w:ind w:left="1440" w:hanging="360"/>
      </w:pPr>
      <w:rPr>
        <w:rFonts w:cs="Times New Roman"/>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26">
    <w:nsid w:val="69A414D5"/>
    <w:multiLevelType w:val="hybridMultilevel"/>
    <w:tmpl w:val="9DA68D66"/>
    <w:lvl w:ilvl="0" w:tplc="FFFFFFFF">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nsid w:val="6E051558"/>
    <w:multiLevelType w:val="hybridMultilevel"/>
    <w:tmpl w:val="9C8E8588"/>
    <w:lvl w:ilvl="0" w:tplc="FFFFFFFF">
      <w:start w:val="1"/>
      <w:numFmt w:val="decimal"/>
      <w:pStyle w:val="Heading1"/>
      <w:lvlText w:val="%1."/>
      <w:lvlJc w:val="left"/>
      <w:pPr>
        <w:ind w:left="1080" w:hanging="360"/>
      </w:pPr>
      <w:rPr>
        <w:rFonts w:cs="Times New Roman"/>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8">
    <w:nsid w:val="74BA4F80"/>
    <w:multiLevelType w:val="hybridMultilevel"/>
    <w:tmpl w:val="55341E56"/>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3"/>
  </w:num>
  <w:num w:numId="2">
    <w:abstractNumId w:val="25"/>
  </w:num>
  <w:num w:numId="3">
    <w:abstractNumId w:val="23"/>
  </w:num>
  <w:num w:numId="4">
    <w:abstractNumId w:val="11"/>
  </w:num>
  <w:num w:numId="5">
    <w:abstractNumId w:val="19"/>
  </w:num>
  <w:num w:numId="6">
    <w:abstractNumId w:val="20"/>
  </w:num>
  <w:num w:numId="7">
    <w:abstractNumId w:val="9"/>
  </w:num>
  <w:num w:numId="8">
    <w:abstractNumId w:val="4"/>
  </w:num>
  <w:num w:numId="9">
    <w:abstractNumId w:val="3"/>
  </w:num>
  <w:num w:numId="10">
    <w:abstractNumId w:val="2"/>
  </w:num>
  <w:num w:numId="11">
    <w:abstractNumId w:val="1"/>
  </w:num>
  <w:num w:numId="12">
    <w:abstractNumId w:val="10"/>
  </w:num>
  <w:num w:numId="13">
    <w:abstractNumId w:val="8"/>
  </w:num>
  <w:num w:numId="14">
    <w:abstractNumId w:val="7"/>
  </w:num>
  <w:num w:numId="15">
    <w:abstractNumId w:val="6"/>
  </w:num>
  <w:num w:numId="16">
    <w:abstractNumId w:val="5"/>
  </w:num>
  <w:num w:numId="17">
    <w:abstractNumId w:val="15"/>
  </w:num>
  <w:num w:numId="18">
    <w:abstractNumId w:val="14"/>
  </w:num>
  <w:num w:numId="19">
    <w:abstractNumId w:val="28"/>
  </w:num>
  <w:num w:numId="20">
    <w:abstractNumId w:val="22"/>
  </w:num>
  <w:num w:numId="21">
    <w:abstractNumId w:val="26"/>
  </w:num>
  <w:num w:numId="22">
    <w:abstractNumId w:val="24"/>
  </w:num>
  <w:num w:numId="23">
    <w:abstractNumId w:val="12"/>
  </w:num>
  <w:num w:numId="24">
    <w:abstractNumId w:val="17"/>
  </w:num>
  <w:num w:numId="25">
    <w:abstractNumId w:val="16"/>
  </w:num>
  <w:num w:numId="26">
    <w:abstractNumId w:val="21"/>
  </w:num>
  <w:num w:numId="27">
    <w:abstractNumId w:val="18"/>
  </w:num>
  <w:num w:numId="28">
    <w:abstractNumId w:val="27"/>
  </w:num>
  <w:num w:numId="29">
    <w:abstractNumId w:val="0"/>
  </w:num>
  <w:num w:numId="30">
    <w:abstractNumId w:val="27"/>
  </w:num>
  <w:num w:numId="31">
    <w:abstractNumId w:val="27"/>
  </w:num>
  <w:num w:numId="32">
    <w:abstractNumId w:val="27"/>
  </w:num>
  <w:num w:numId="33">
    <w:abstractNumId w:val="27"/>
  </w:num>
  <w:num w:numId="34">
    <w:abstractNumId w:val="27"/>
  </w:num>
  <w:num w:numId="35">
    <w:abstractNumId w:val="27"/>
  </w:num>
  <w:num w:numId="36">
    <w:abstractNumId w:val="27"/>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LW_CONFIDENCE" w:val=" "/>
    <w:docVar w:name="LW_CONST_RESTREINT_UE" w:val="RESTREINT UE"/>
    <w:docVar w:name="LW_CORRIGENDUM" w:val="&lt;UNUSED&gt;"/>
    <w:docVar w:name="LW_COVERPAGE_GUID" w:val="FB1E43359F554B7CBD143375A68A1BA9"/>
    <w:docVar w:name="LW_CROSSREFERENCE" w:val="&lt;UNUSED&gt;"/>
    <w:docVar w:name="LW_DocType" w:val="NORMAL"/>
    <w:docVar w:name="LW_EMISSION" w:val="7.4.2016."/>
    <w:docVar w:name="LW_EMISSION_ISODATE" w:val="2016-04-07"/>
    <w:docVar w:name="LW_EMISSION_LOCATION" w:val="BRX"/>
    <w:docVar w:name="LW_EMISSION_PREFIX" w:val="Bruxelles, "/>
    <w:docVar w:name="LW_EMISSION_SUFFIX" w:val="&lt;EMPTY&gt;"/>
    <w:docVar w:name="LW_ID_DOCTYPE_NONLW" w:val="CP-006"/>
    <w:docVar w:name="LW_LANGUE" w:val="HR"/>
    <w:docVar w:name="LW_MARKING" w:val="&lt;UNUSED&gt;"/>
    <w:docVar w:name="LW_NOM.INST" w:val="EUROPSKA KOMISIJA"/>
    <w:docVar w:name="LW_NOM.INST_JOINTDOC" w:val="&lt;EMPTY&gt;"/>
    <w:docVar w:name="LW_PART_NBR" w:val="1"/>
    <w:docVar w:name="LW_PART_NBR_TOTAL" w:val="1"/>
    <w:docVar w:name="LW_REF.INST.NEW" w:val="COM"/>
    <w:docVar w:name="LW_REF.INST.NEW_ADOPTED" w:val="final"/>
    <w:docVar w:name="LW_REF.INST.NEW_TEXT" w:val="(2016) 182"/>
    <w:docVar w:name="LW_REF.INTERNE" w:val="&lt;UNUSED&gt;"/>
    <w:docVar w:name="LW_SOUS.TITRE.OBJ.CP" w:val="&lt;UNUSED&gt;"/>
    <w:docVar w:name="LW_SUPERTITRE" w:val="&lt;UNUSED&gt;"/>
    <w:docVar w:name="LW_TITRE.OBJ.CP" w:val="o utjecaju genetskog odabira na dobrobit pili\u263?a koji se uzgajaju za proizvodnju mesa"/>
    <w:docVar w:name="LW_TYPE.DOC.CP" w:val="IZVJE\u352?\u262?E KOMISIJE EUROPSKOM PARLAMENTU I VIJE\u262?U"/>
  </w:docVars>
  <w:rsids>
    <w:rsidRoot w:val="00B444E2"/>
    <w:rsid w:val="00B44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hr-HR" w:eastAsia="hr-HR"/>
    </w:rPr>
  </w:style>
  <w:style w:type="paragraph" w:styleId="Heading1">
    <w:name w:val="heading 1"/>
    <w:basedOn w:val="Normal"/>
    <w:next w:val="Normal"/>
    <w:link w:val="Heading1Char"/>
    <w:uiPriority w:val="9"/>
    <w:qFormat/>
    <w:pPr>
      <w:keepNext/>
      <w:numPr>
        <w:numId w:val="28"/>
      </w:numPr>
      <w:spacing w:before="240" w:after="60"/>
      <w:outlineLvl w:val="0"/>
    </w:pPr>
    <w:rPr>
      <w:rFonts w:ascii="Times New Roman" w:hAnsi="Times New Roman"/>
      <w:b/>
      <w:bCs/>
      <w:kern w:val="32"/>
      <w:sz w:val="28"/>
      <w:szCs w:val="32"/>
    </w:rPr>
  </w:style>
  <w:style w:type="paragraph" w:styleId="Heading2">
    <w:name w:val="heading 2"/>
    <w:basedOn w:val="Normal"/>
    <w:next w:val="Normal"/>
    <w:link w:val="Heading2Char"/>
    <w:uiPriority w:val="9"/>
    <w:qFormat/>
    <w:pPr>
      <w:keepNext/>
      <w:spacing w:before="240" w:after="60"/>
      <w:ind w:firstLine="360"/>
      <w:outlineLvl w:val="1"/>
    </w:pPr>
    <w:rPr>
      <w:rFonts w:ascii="Times New Roman" w:hAnsi="Times New Roman"/>
      <w:b/>
      <w:bCs/>
      <w:iCs/>
      <w:sz w:val="24"/>
      <w:szCs w:val="28"/>
    </w:rPr>
  </w:style>
  <w:style w:type="paragraph" w:styleId="Heading3">
    <w:name w:val="heading 3"/>
    <w:basedOn w:val="Normal"/>
    <w:next w:val="Normal"/>
    <w:link w:val="Heading3Char"/>
    <w:autoRedefine/>
    <w:uiPriority w:val="9"/>
    <w:qFormat/>
    <w:pPr>
      <w:keepNext/>
      <w:spacing w:before="240" w:after="360"/>
      <w:jc w:val="center"/>
      <w:outlineLvl w:val="2"/>
    </w:pPr>
    <w:rPr>
      <w:rFonts w:ascii="Times New Roman" w:hAnsi="Times New Roman"/>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imes New Roman" w:hAnsi="Times New Roman"/>
      <w:b/>
      <w:kern w:val="32"/>
      <w:sz w:val="32"/>
      <w:lang w:val="hr-HR" w:eastAsia="hr-HR"/>
    </w:rPr>
  </w:style>
  <w:style w:type="character" w:customStyle="1" w:styleId="Heading2Char">
    <w:name w:val="Heading 2 Char"/>
    <w:basedOn w:val="DefaultParagraphFont"/>
    <w:link w:val="Heading2"/>
    <w:uiPriority w:val="9"/>
    <w:locked/>
    <w:rPr>
      <w:rFonts w:ascii="Times New Roman" w:hAnsi="Times New Roman"/>
      <w:b/>
      <w:sz w:val="28"/>
      <w:lang w:val="hr-HR" w:eastAsia="hr-HR"/>
    </w:rPr>
  </w:style>
  <w:style w:type="character" w:customStyle="1" w:styleId="Heading3Char">
    <w:name w:val="Heading 3 Char"/>
    <w:basedOn w:val="DefaultParagraphFont"/>
    <w:link w:val="Heading3"/>
    <w:uiPriority w:val="9"/>
    <w:locked/>
    <w:rPr>
      <w:rFonts w:ascii="Times New Roman" w:hAnsi="Times New Roman"/>
      <w:b/>
      <w:sz w:val="26"/>
      <w:lang w:val="hr-HR" w:eastAsia="hr-HR"/>
    </w:rPr>
  </w:style>
  <w:style w:type="character" w:styleId="FootnoteReference">
    <w:name w:val="footnote reference"/>
    <w:basedOn w:val="DefaultParagraphFont"/>
    <w:uiPriority w:val="99"/>
    <w:rPr>
      <w:vertAlign w:val="superscript"/>
      <w:lang w:val="hr-HR" w:eastAsia="hr-HR"/>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locked/>
    <w:rPr>
      <w:lang w:val="hr-HR" w:eastAsia="hr-HR"/>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locked/>
    <w:rPr>
      <w:sz w:val="22"/>
      <w:lang w:val="hr-HR" w:eastAsia="hr-HR"/>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locked/>
    <w:rPr>
      <w:sz w:val="22"/>
      <w:lang w:val="hr-HR" w:eastAsia="hr-HR"/>
    </w:rPr>
  </w:style>
  <w:style w:type="character" w:styleId="Hyperlink">
    <w:name w:val="Hyperlink"/>
    <w:basedOn w:val="DefaultParagraphFont"/>
    <w:uiPriority w:val="99"/>
    <w:unhideWhenUsed/>
    <w:rPr>
      <w:color w:val="0000FF"/>
      <w:u w:val="single"/>
      <w:lang w:val="hr-HR" w:eastAsia="hr-HR"/>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sz w:val="16"/>
      <w:lang w:val="hr-HR" w:eastAsia="hr-HR"/>
    </w:rPr>
  </w:style>
  <w:style w:type="character" w:styleId="CommentReference">
    <w:name w:val="annotation reference"/>
    <w:basedOn w:val="DefaultParagraphFont"/>
    <w:uiPriority w:val="99"/>
    <w:semiHidden/>
    <w:unhideWhenUsed/>
    <w:rPr>
      <w:sz w:val="16"/>
      <w:lang w:val="hr-HR" w:eastAsia="hr-HR"/>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locked/>
    <w:rPr>
      <w:lang w:val="hr-HR" w:eastAsia="hr-H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b/>
      <w:lang w:val="hr-HR" w:eastAsia="hr-HR"/>
    </w:rPr>
  </w:style>
  <w:style w:type="table" w:styleId="ColorfulShading-Accent1">
    <w:name w:val="Colorful Shading Accent 1"/>
    <w:basedOn w:val="TableNormal"/>
    <w:uiPriority w:val="71"/>
    <w:rsid w:val="00B444E2"/>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character" w:styleId="FollowedHyperlink">
    <w:name w:val="FollowedHyperlink"/>
    <w:basedOn w:val="DefaultParagraphFont"/>
    <w:uiPriority w:val="99"/>
    <w:semiHidden/>
    <w:unhideWhenUsed/>
    <w:rPr>
      <w:color w:val="800080"/>
      <w:u w:val="single"/>
      <w:lang w:val="hr-HR" w:eastAsia="hr-HR"/>
    </w:rPr>
  </w:style>
  <w:style w:type="paragraph" w:customStyle="1" w:styleId="Titolosommario">
    <w:name w:val="Titolo sommario"/>
    <w:basedOn w:val="Heading1"/>
    <w:next w:val="Normal"/>
    <w:uiPriority w:val="39"/>
    <w:semiHidden/>
    <w:unhideWhenUsed/>
    <w:qFormat/>
    <w:pPr>
      <w:keepLines/>
      <w:spacing w:before="480" w:after="0"/>
      <w:outlineLvl w:val="9"/>
    </w:pPr>
    <w:rPr>
      <w:color w:val="365F91"/>
      <w:szCs w:val="28"/>
    </w:rPr>
  </w:style>
  <w:style w:type="paragraph" w:styleId="TOC1">
    <w:name w:val="toc 1"/>
    <w:basedOn w:val="Normal"/>
    <w:next w:val="Normal"/>
    <w:autoRedefine/>
    <w:uiPriority w:val="39"/>
    <w:unhideWhenUsed/>
  </w:style>
  <w:style w:type="paragraph" w:styleId="TOC2">
    <w:name w:val="toc 2"/>
    <w:basedOn w:val="Normal"/>
    <w:next w:val="Normal"/>
    <w:autoRedefine/>
    <w:uiPriority w:val="39"/>
    <w:unhideWhenUsed/>
    <w:pPr>
      <w:ind w:left="220"/>
    </w:pPr>
  </w:style>
  <w:style w:type="paragraph" w:styleId="TOC3">
    <w:name w:val="toc 3"/>
    <w:basedOn w:val="Normal"/>
    <w:next w:val="Normal"/>
    <w:autoRedefine/>
    <w:uiPriority w:val="39"/>
    <w:unhideWhenUsed/>
    <w:pPr>
      <w:ind w:left="440"/>
    </w:pPr>
  </w:style>
  <w:style w:type="character" w:customStyle="1" w:styleId="Marker">
    <w:name w:val="Marker"/>
    <w:rPr>
      <w:color w:val="0000FF"/>
      <w:lang w:val="hr-HR" w:eastAsia="hr-HR"/>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lang w:val="en-US" w:eastAsia="en-US"/>
    </w:rPr>
  </w:style>
  <w:style w:type="character" w:customStyle="1" w:styleId="FooterCoverPageChar">
    <w:name w:val="Footer Cover Page Char"/>
    <w:link w:val="FooterCoverPage"/>
    <w:locked/>
    <w:rPr>
      <w:rFonts w:ascii="Times New Roman" w:hAnsi="Times New Roman"/>
      <w:sz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lang w:val="en-US" w:eastAsia="en-US"/>
    </w:rPr>
  </w:style>
  <w:style w:type="character" w:customStyle="1" w:styleId="HeaderCoverPageChar">
    <w:name w:val="Header Cover Page Char"/>
    <w:link w:val="HeaderCoverPage"/>
    <w:locked/>
    <w:rPr>
      <w:rFonts w:ascii="Times New Roman" w:hAnsi="Times New Roman"/>
      <w:sz w:val="22"/>
    </w:rPr>
  </w:style>
  <w:style w:type="table" w:customStyle="1" w:styleId="TableGrid1">
    <w:name w:val="Table Grid1"/>
    <w:basedOn w:val="TableNormal"/>
    <w:next w:val="TableGrid"/>
    <w:uiPriority w:val="5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Com">
    <w:name w:val="Z_Com"/>
    <w:basedOn w:val="Normal"/>
    <w:next w:val="ZDGName"/>
    <w:pPr>
      <w:widowControl w:val="0"/>
      <w:autoSpaceDE w:val="0"/>
      <w:autoSpaceDN w:val="0"/>
      <w:spacing w:after="0" w:line="240" w:lineRule="auto"/>
      <w:ind w:right="85"/>
      <w:jc w:val="both"/>
    </w:pPr>
    <w:rPr>
      <w:rFonts w:ascii="Arial" w:hAnsi="Arial" w:cs="Arial"/>
      <w:sz w:val="24"/>
      <w:szCs w:val="24"/>
      <w:lang w:val="en-GB" w:eastAsia="en-GB"/>
    </w:rPr>
  </w:style>
  <w:style w:type="paragraph" w:customStyle="1" w:styleId="ZDGName">
    <w:name w:val="Z_DGName"/>
    <w:basedOn w:val="Normal"/>
    <w:pPr>
      <w:widowControl w:val="0"/>
      <w:autoSpaceDE w:val="0"/>
      <w:autoSpaceDN w:val="0"/>
      <w:spacing w:after="0" w:line="240" w:lineRule="auto"/>
      <w:ind w:right="85"/>
    </w:pPr>
    <w:rPr>
      <w:rFonts w:ascii="Arial" w:hAnsi="Arial" w:cs="Arial"/>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eader" Target="header3.xml" Id="rId13" /><Relationship Type="http://schemas.openxmlformats.org/officeDocument/2006/relationships/footer" Target="footer5.xml" Id="rId18" /><Relationship Type="http://schemas.openxmlformats.org/officeDocument/2006/relationships/footer" Target="footer9.xml" Id="rId26" /><Relationship Type="http://schemas.openxmlformats.org/officeDocument/2006/relationships/footer" Target="footer15.xml" Id="rId39" /><Relationship Type="http://schemas.openxmlformats.org/officeDocument/2006/relationships/styles" Target="styles.xml" Id="rId3" /><Relationship Type="http://schemas.openxmlformats.org/officeDocument/2006/relationships/header" Target="header7.xml" Id="rId21" /><Relationship Type="http://schemas.openxmlformats.org/officeDocument/2006/relationships/header" Target="header13.xml" Id="rId34" /><Relationship Type="http://schemas.openxmlformats.org/officeDocument/2006/relationships/footer" Target="footer16.xml" Id="rId42" /><Relationship Type="http://schemas.openxmlformats.org/officeDocument/2006/relationships/theme" Target="theme/theme1.xml" Id="rId47"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footer" Target="footer4.xml" Id="rId17" /><Relationship Type="http://schemas.openxmlformats.org/officeDocument/2006/relationships/header" Target="header9.xml" Id="rId25" /><Relationship Type="http://schemas.openxmlformats.org/officeDocument/2006/relationships/header" Target="header15.xml" Id="rId38" /><Relationship Type="http://schemas.openxmlformats.org/officeDocument/2006/relationships/fontTable" Target="fontTable.xml" Id="rId46" /><Relationship Type="http://schemas.openxmlformats.org/officeDocument/2006/relationships/numbering" Target="numbering.xml" Id="rId2" /><Relationship Type="http://schemas.openxmlformats.org/officeDocument/2006/relationships/header" Target="header5.xml" Id="rId16" /><Relationship Type="http://schemas.openxmlformats.org/officeDocument/2006/relationships/footer" Target="footer6.xml" Id="rId20" /><Relationship Type="http://schemas.openxmlformats.org/officeDocument/2006/relationships/footer" Target="footer10.xml" Id="rId29" /><Relationship Type="http://schemas.openxmlformats.org/officeDocument/2006/relationships/header" Target="header17.xml" Id="rId41"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footer" Target="footer8.xml" Id="rId24" /><Relationship Type="http://schemas.openxmlformats.org/officeDocument/2006/relationships/footer" Target="footer12.xml" Id="rId32" /><Relationship Type="http://schemas.openxmlformats.org/officeDocument/2006/relationships/footer" Target="footer14.xml" Id="rId37" /><Relationship Type="http://schemas.openxmlformats.org/officeDocument/2006/relationships/header" Target="header16.xml" Id="rId40" /><Relationship Type="http://schemas.openxmlformats.org/officeDocument/2006/relationships/footer" Target="footer18.xml" Id="rId45" /><Relationship Type="http://schemas.openxmlformats.org/officeDocument/2006/relationships/webSettings" Target="webSettings.xml" Id="rId5" /><Relationship Type="http://schemas.openxmlformats.org/officeDocument/2006/relationships/header" Target="header4.xml" Id="rId15" /><Relationship Type="http://schemas.openxmlformats.org/officeDocument/2006/relationships/footer" Target="footer7.xml" Id="rId23" /><Relationship Type="http://schemas.openxmlformats.org/officeDocument/2006/relationships/header" Target="header11.xml" Id="rId28" /><Relationship Type="http://schemas.openxmlformats.org/officeDocument/2006/relationships/footer" Target="footer13.xml" Id="rId36" /><Relationship Type="http://schemas.openxmlformats.org/officeDocument/2006/relationships/header" Target="header2.xml" Id="rId10" /><Relationship Type="http://schemas.openxmlformats.org/officeDocument/2006/relationships/header" Target="header6.xml" Id="rId19" /><Relationship Type="http://schemas.openxmlformats.org/officeDocument/2006/relationships/header" Target="header12.xml" Id="rId31" /><Relationship Type="http://schemas.openxmlformats.org/officeDocument/2006/relationships/header" Target="header18.xml" Id="rId44"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eader" Target="header8.xml" Id="rId22" /><Relationship Type="http://schemas.openxmlformats.org/officeDocument/2006/relationships/header" Target="header10.xml" Id="rId27" /><Relationship Type="http://schemas.openxmlformats.org/officeDocument/2006/relationships/footer" Target="footer11.xml" Id="rId30" /><Relationship Type="http://schemas.openxmlformats.org/officeDocument/2006/relationships/header" Target="header14.xml" Id="rId35" /><Relationship Type="http://schemas.openxmlformats.org/officeDocument/2006/relationships/footer" Target="footer17.xml" Id="rId43" /><Relationship Type="http://schemas.openxmlformats.org/officeDocument/2006/relationships/image" Target="/word/media/image1.jpeg" Id="rId8" /><Relationship Type="http://schemas.openxmlformats.org/officeDocument/2006/relationships/image" Target="/word/media/image2.jpeg" Id="rId33" /></Relationships>
</file>

<file path=word/_rels/footnotes.xml.rels><?xml version="1.0" encoding="UTF-8" standalone="yes"?>
<Relationships xmlns="http://schemas.openxmlformats.org/package/2006/relationships"><Relationship Id="rId1" Type="http://schemas.openxmlformats.org/officeDocument/2006/relationships/hyperlink" Target="http://www.avec-poultry.eu/system/files/archive/new-structure/avec/Communication/Study%20final%20vers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CBB50-15B3-4D39-BC1B-8524E4363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Normal_Wordconv</Template>
  <TotalTime>0</TotalTime>
  <Pages>14</Pages>
  <Words>3408</Words>
  <Characters>19837</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2016-03-23T11:25:00Z</dcterms:created>
  <dcterms:modified xsi:type="dcterms:W3CDTF">2016-04-07T07:33:00Z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