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6F3" w:rsidRDefault="007E56F3">
      <w:pPr>
        <w:pStyle w:val="Pagedecouverture"/>
        <w:rPr>
          <w:noProof/>
          <w:lang w:val="hr-HR"/>
        </w:rPr>
      </w:pPr>
      <w:bookmarkStart w:id="0" w:name="LW_BM_COVERPAGE"/>
      <w:r>
        <w:rPr>
          <w:noProof/>
          <w:lang w:val="hr-H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D7C5446FF3743659411066DADD379D9" style="width:450.75pt;height:321pt">
            <v:imagedata r:id="rId8" o:title=""/>
          </v:shape>
        </w:pict>
      </w:r>
    </w:p>
    <w:bookmarkEnd w:id="0"/>
    <w:p w:rsidR="007E56F3" w:rsidRDefault="007E56F3">
      <w:pPr>
        <w:rPr>
          <w:noProof/>
          <w:lang w:val="hr-HR"/>
        </w:rPr>
        <w:sectPr w:rsidR="007E56F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rsidR="007E56F3" w:rsidRDefault="007E56F3">
      <w:pPr>
        <w:spacing w:before="120" w:after="120" w:line="240" w:lineRule="auto"/>
        <w:jc w:val="center"/>
        <w:rPr>
          <w:rFonts w:ascii="Times New Roman" w:hAnsi="Times New Roman"/>
          <w:b/>
          <w:noProof/>
          <w:color w:val="000000"/>
          <w:sz w:val="24"/>
          <w:szCs w:val="24"/>
          <w:lang w:val="hr-HR"/>
        </w:rPr>
      </w:pPr>
      <w:bookmarkStart w:id="1" w:name="TOC234897422"/>
      <w:bookmarkEnd w:id="1"/>
      <w:r>
        <w:rPr>
          <w:rFonts w:ascii="Times New Roman" w:hAnsi="Times New Roman"/>
          <w:b/>
          <w:smallCaps/>
          <w:noProof/>
          <w:color w:val="000000"/>
          <w:sz w:val="24"/>
          <w:lang w:val="hr-HR"/>
        </w:rPr>
        <w:t>Izvješće o nastavku mjera na temelju zahtjeva Europskog parlamenta iznesenih u njegovim rezolucijama o davanju razrješnice i Vijeća u njegovim preporukama za davanje razrješnice za proračunsku godinu 2013.</w:t>
      </w:r>
      <w:r>
        <w:rPr>
          <w:rFonts w:ascii="Times New Roman" w:hAnsi="Times New Roman"/>
          <w:b/>
          <w:noProof/>
          <w:color w:val="000000"/>
          <w:sz w:val="24"/>
          <w:lang w:val="hr-HR"/>
        </w:rPr>
        <w:t xml:space="preserve"> </w:t>
      </w:r>
    </w:p>
    <w:p w:rsidR="007E56F3" w:rsidRDefault="007E56F3">
      <w:pPr>
        <w:tabs>
          <w:tab w:val="left" w:pos="850"/>
        </w:tabs>
        <w:spacing w:before="360" w:after="120" w:line="240" w:lineRule="auto"/>
        <w:ind w:left="850" w:hanging="850"/>
        <w:jc w:val="both"/>
        <w:outlineLvl w:val="0"/>
        <w:rPr>
          <w:rFonts w:ascii="Times New Roman" w:hAnsi="Times New Roman"/>
          <w:b/>
          <w:smallCaps/>
          <w:noProof/>
          <w:color w:val="000000"/>
          <w:sz w:val="24"/>
          <w:szCs w:val="20"/>
          <w:lang w:val="hr-HR"/>
        </w:rPr>
      </w:pPr>
      <w:r>
        <w:rPr>
          <w:rFonts w:ascii="Times New Roman" w:hAnsi="Times New Roman"/>
          <w:b/>
          <w:smallCaps/>
          <w:noProof/>
          <w:color w:val="000000"/>
          <w:sz w:val="24"/>
          <w:lang w:val="hr-HR"/>
        </w:rPr>
        <w:t>Uvodne napomene</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Ovo je izvješće Komisije Europskom parlamentu (EP) i Vijeću o nastavku mjera na temelju rezolucija</w:t>
      </w:r>
      <w:r>
        <w:rPr>
          <w:rFonts w:ascii="Times New Roman" w:hAnsi="Times New Roman"/>
          <w:noProof/>
          <w:color w:val="000000"/>
          <w:sz w:val="20"/>
          <w:vertAlign w:val="superscript"/>
          <w:lang w:val="hr-HR"/>
        </w:rPr>
        <w:footnoteReference w:id="1"/>
      </w:r>
      <w:r>
        <w:rPr>
          <w:rFonts w:ascii="Times New Roman" w:hAnsi="Times New Roman"/>
          <w:noProof/>
          <w:color w:val="000000"/>
          <w:sz w:val="24"/>
          <w:lang w:val="hr-HR"/>
        </w:rPr>
        <w:t xml:space="preserve"> EP-a o davanju razrješnice i Preporuke Vijeća</w:t>
      </w:r>
      <w:r>
        <w:rPr>
          <w:rFonts w:ascii="Times New Roman" w:hAnsi="Times New Roman"/>
          <w:noProof/>
          <w:color w:val="000000"/>
          <w:sz w:val="24"/>
          <w:vertAlign w:val="superscript"/>
          <w:lang w:val="hr-HR"/>
        </w:rPr>
        <w:footnoteReference w:id="2"/>
      </w:r>
      <w:r>
        <w:rPr>
          <w:rFonts w:ascii="Times New Roman" w:hAnsi="Times New Roman"/>
          <w:noProof/>
          <w:color w:val="000000"/>
          <w:sz w:val="24"/>
          <w:lang w:val="hr-HR"/>
        </w:rPr>
        <w:t xml:space="preserve"> za financijsku godinu 2013. u skladu s člankom 319. stavkom 3. Ugovora o funkcioniranju Europske unije (UFEU), člankom 166. Financijske uredbe (FU) i člankom 119. stavkom 5. Financijske uredbe o devetom europskom razvojnom fondu (ERF) te člankom 144. Financijske uredbe o desetom ERF-u.</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Ovo je prvo izvješće Komisije u sastavu koji je preuzeo funkciju 1. studenoga 2014. Nova Komisija djeluje prema usmjerenijem programu rada u skladu s političkim prioritetima koje je iznio predsjednik Juncker te pridaje osobitu važnost načelu dobrog financijskog upravljanja.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Komisija je pomno razmotrila primjedbe koje su iznijeli EP i Vijeće u razrješnici za izvršenje za 2013.  </w:t>
      </w:r>
    </w:p>
    <w:p w:rsidR="007E56F3" w:rsidRDefault="007E56F3">
      <w:pPr>
        <w:spacing w:before="120" w:after="120" w:line="240" w:lineRule="auto"/>
        <w:jc w:val="both"/>
        <w:rPr>
          <w:rFonts w:ascii="Times New Roman" w:hAnsi="Times"/>
          <w:noProof/>
          <w:color w:val="000000"/>
          <w:sz w:val="24"/>
          <w:szCs w:val="24"/>
          <w:lang w:val="hr-HR"/>
        </w:rPr>
      </w:pPr>
      <w:r>
        <w:rPr>
          <w:rFonts w:ascii="Times New Roman" w:hAnsi="Times"/>
          <w:noProof/>
          <w:color w:val="000000"/>
          <w:sz w:val="24"/>
          <w:lang w:val="hr-HR"/>
        </w:rPr>
        <w:t>U rezoluciji EP-a o davanju op</w:t>
      </w:r>
      <w:r>
        <w:rPr>
          <w:rFonts w:ascii="Times New Roman" w:hAnsi="Times"/>
          <w:noProof/>
          <w:color w:val="000000"/>
          <w:sz w:val="24"/>
          <w:lang w:val="hr-HR"/>
        </w:rPr>
        <w:t>ć</w:t>
      </w:r>
      <w:r>
        <w:rPr>
          <w:rFonts w:ascii="Times New Roman" w:hAnsi="Times"/>
          <w:noProof/>
          <w:color w:val="000000"/>
          <w:sz w:val="24"/>
          <w:lang w:val="hr-HR"/>
        </w:rPr>
        <w:t>e razrje</w:t>
      </w:r>
      <w:r>
        <w:rPr>
          <w:rFonts w:ascii="Times New Roman" w:hAnsi="Times"/>
          <w:noProof/>
          <w:color w:val="000000"/>
          <w:sz w:val="24"/>
          <w:lang w:val="hr-HR"/>
        </w:rPr>
        <w:t>š</w:t>
      </w:r>
      <w:r>
        <w:rPr>
          <w:rFonts w:ascii="Times New Roman" w:hAnsi="Times"/>
          <w:noProof/>
          <w:color w:val="000000"/>
          <w:sz w:val="24"/>
          <w:lang w:val="hr-HR"/>
        </w:rPr>
        <w:t>nice naglasak je stavljen na odre</w:t>
      </w:r>
      <w:r>
        <w:rPr>
          <w:rFonts w:ascii="Times New Roman" w:hAnsi="Times"/>
          <w:noProof/>
          <w:color w:val="000000"/>
          <w:sz w:val="24"/>
          <w:lang w:val="hr-HR"/>
        </w:rPr>
        <w:t>đ</w:t>
      </w:r>
      <w:r>
        <w:rPr>
          <w:rFonts w:ascii="Times New Roman" w:hAnsi="Times"/>
          <w:noProof/>
          <w:color w:val="000000"/>
          <w:sz w:val="24"/>
          <w:lang w:val="hr-HR"/>
        </w:rPr>
        <w:t xml:space="preserve">eni broj pitanja kao </w:t>
      </w:r>
      <w:r>
        <w:rPr>
          <w:rFonts w:ascii="Times New Roman" w:hAnsi="Times"/>
          <w:noProof/>
          <w:color w:val="000000"/>
          <w:sz w:val="24"/>
          <w:lang w:val="hr-HR"/>
        </w:rPr>
        <w:t>š</w:t>
      </w:r>
      <w:r>
        <w:rPr>
          <w:rFonts w:ascii="Times New Roman" w:hAnsi="Times"/>
          <w:noProof/>
          <w:color w:val="000000"/>
          <w:sz w:val="24"/>
          <w:lang w:val="hr-HR"/>
        </w:rPr>
        <w:t>to su neophodno pobolj</w:t>
      </w:r>
      <w:r>
        <w:rPr>
          <w:rFonts w:ascii="Times New Roman" w:hAnsi="Times"/>
          <w:noProof/>
          <w:color w:val="000000"/>
          <w:sz w:val="24"/>
          <w:lang w:val="hr-HR"/>
        </w:rPr>
        <w:t>š</w:t>
      </w:r>
      <w:r>
        <w:rPr>
          <w:rFonts w:ascii="Times New Roman" w:hAnsi="Times"/>
          <w:noProof/>
          <w:color w:val="000000"/>
          <w:sz w:val="24"/>
          <w:lang w:val="hr-HR"/>
        </w:rPr>
        <w:t>anje u podru</w:t>
      </w:r>
      <w:r>
        <w:rPr>
          <w:rFonts w:ascii="Times New Roman" w:hAnsi="Times"/>
          <w:noProof/>
          <w:color w:val="000000"/>
          <w:sz w:val="24"/>
          <w:lang w:val="hr-HR"/>
        </w:rPr>
        <w:t>č</w:t>
      </w:r>
      <w:r>
        <w:rPr>
          <w:rFonts w:ascii="Times New Roman" w:hAnsi="Times"/>
          <w:noProof/>
          <w:color w:val="000000"/>
          <w:sz w:val="24"/>
          <w:lang w:val="hr-HR"/>
        </w:rPr>
        <w:t>ju podijeljenog upravljanja, pojednostavnjenje, uspje</w:t>
      </w:r>
      <w:r>
        <w:rPr>
          <w:rFonts w:ascii="Times New Roman" w:hAnsi="Times"/>
          <w:noProof/>
          <w:color w:val="000000"/>
          <w:sz w:val="24"/>
          <w:lang w:val="hr-HR"/>
        </w:rPr>
        <w:t>š</w:t>
      </w:r>
      <w:r>
        <w:rPr>
          <w:rFonts w:ascii="Times New Roman" w:hAnsi="Times"/>
          <w:noProof/>
          <w:color w:val="000000"/>
          <w:sz w:val="24"/>
          <w:lang w:val="hr-HR"/>
        </w:rPr>
        <w:t>nost i druga posebna pitanja. O tim se zahtjevima detaljno raspravljalo tijekom postupka davanja razrje</w:t>
      </w:r>
      <w:r>
        <w:rPr>
          <w:rFonts w:ascii="Times New Roman" w:hAnsi="Times"/>
          <w:noProof/>
          <w:color w:val="000000"/>
          <w:sz w:val="24"/>
          <w:lang w:val="hr-HR"/>
        </w:rPr>
        <w:t>š</w:t>
      </w:r>
      <w:r>
        <w:rPr>
          <w:rFonts w:ascii="Times New Roman" w:hAnsi="Times"/>
          <w:noProof/>
          <w:color w:val="000000"/>
          <w:sz w:val="24"/>
          <w:lang w:val="hr-HR"/>
        </w:rPr>
        <w:t xml:space="preserve">nice, a posebno s izvjestiteljem i </w:t>
      </w:r>
      <w:r>
        <w:rPr>
          <w:rFonts w:ascii="Times New Roman" w:hAnsi="Times"/>
          <w:noProof/>
          <w:color w:val="000000"/>
          <w:sz w:val="24"/>
          <w:lang w:val="hr-HR"/>
        </w:rPr>
        <w:t>č</w:t>
      </w:r>
      <w:r>
        <w:rPr>
          <w:rFonts w:ascii="Times New Roman" w:hAnsi="Times"/>
          <w:noProof/>
          <w:color w:val="000000"/>
          <w:sz w:val="24"/>
          <w:lang w:val="hr-HR"/>
        </w:rPr>
        <w:t>lanovima Odbora za prora</w:t>
      </w:r>
      <w:r>
        <w:rPr>
          <w:rFonts w:ascii="Times New Roman" w:hAnsi="Times"/>
          <w:noProof/>
          <w:color w:val="000000"/>
          <w:sz w:val="24"/>
          <w:lang w:val="hr-HR"/>
        </w:rPr>
        <w:t>č</w:t>
      </w:r>
      <w:r>
        <w:rPr>
          <w:rFonts w:ascii="Times New Roman" w:hAnsi="Times"/>
          <w:noProof/>
          <w:color w:val="000000"/>
          <w:sz w:val="24"/>
          <w:lang w:val="hr-HR"/>
        </w:rPr>
        <w:t>unski nadzor (CONT). U pismu potpredsjednice Georgieve</w:t>
      </w:r>
      <w:r>
        <w:rPr>
          <w:rFonts w:ascii="Times New Roman" w:hAnsi="Times"/>
          <w:noProof/>
          <w:color w:val="000000"/>
          <w:sz w:val="24"/>
          <w:vertAlign w:val="superscript"/>
          <w:lang w:val="hr-HR"/>
        </w:rPr>
        <w:footnoteReference w:id="3"/>
      </w:r>
      <w:r>
        <w:rPr>
          <w:rFonts w:ascii="Times New Roman" w:hAnsi="Times"/>
          <w:noProof/>
          <w:color w:val="000000"/>
          <w:sz w:val="24"/>
          <w:lang w:val="hr-HR"/>
        </w:rPr>
        <w:t xml:space="preserve"> izneseni su dokazi o slu</w:t>
      </w:r>
      <w:r>
        <w:rPr>
          <w:rFonts w:ascii="Times New Roman" w:hAnsi="Times"/>
          <w:noProof/>
          <w:color w:val="000000"/>
          <w:sz w:val="24"/>
          <w:lang w:val="hr-HR"/>
        </w:rPr>
        <w:t>ž</w:t>
      </w:r>
      <w:r>
        <w:rPr>
          <w:rFonts w:ascii="Times New Roman" w:hAnsi="Times"/>
          <w:noProof/>
          <w:color w:val="000000"/>
          <w:sz w:val="24"/>
          <w:lang w:val="hr-HR"/>
        </w:rPr>
        <w:t>benom opredijeljenu Komisije da u potpunosti i pravovremeno provede niz djelovanja i mjera povezanih s utvr</w:t>
      </w:r>
      <w:r>
        <w:rPr>
          <w:rFonts w:ascii="Times New Roman" w:hAnsi="Times"/>
          <w:noProof/>
          <w:color w:val="000000"/>
          <w:sz w:val="24"/>
          <w:lang w:val="hr-HR"/>
        </w:rPr>
        <w:t>đ</w:t>
      </w:r>
      <w:r>
        <w:rPr>
          <w:rFonts w:ascii="Times New Roman" w:hAnsi="Times"/>
          <w:noProof/>
          <w:color w:val="000000"/>
          <w:sz w:val="24"/>
          <w:lang w:val="hr-HR"/>
        </w:rPr>
        <w:t xml:space="preserve">enim pitanjima. </w:t>
      </w:r>
    </w:p>
    <w:p w:rsidR="007E56F3" w:rsidRDefault="007E56F3">
      <w:pPr>
        <w:spacing w:before="120" w:after="120" w:line="240" w:lineRule="auto"/>
        <w:jc w:val="both"/>
        <w:rPr>
          <w:rFonts w:ascii="Times New Roman" w:hAnsi="Times"/>
          <w:noProof/>
          <w:color w:val="000000"/>
          <w:sz w:val="24"/>
          <w:szCs w:val="24"/>
          <w:lang w:val="hr-HR"/>
        </w:rPr>
      </w:pPr>
      <w:r>
        <w:rPr>
          <w:rFonts w:ascii="Times New Roman" w:hAnsi="Times"/>
          <w:noProof/>
          <w:color w:val="000000"/>
          <w:sz w:val="24"/>
          <w:lang w:val="hr-HR"/>
        </w:rPr>
        <w:t>I preporuka Vije</w:t>
      </w:r>
      <w:r>
        <w:rPr>
          <w:rFonts w:ascii="Times New Roman" w:hAnsi="Times"/>
          <w:noProof/>
          <w:color w:val="000000"/>
          <w:sz w:val="24"/>
          <w:lang w:val="hr-HR"/>
        </w:rPr>
        <w:t>ć</w:t>
      </w:r>
      <w:r>
        <w:rPr>
          <w:rFonts w:ascii="Times New Roman" w:hAnsi="Times"/>
          <w:noProof/>
          <w:color w:val="000000"/>
          <w:sz w:val="24"/>
          <w:lang w:val="hr-HR"/>
        </w:rPr>
        <w:t>a sadr</w:t>
      </w:r>
      <w:r>
        <w:rPr>
          <w:rFonts w:ascii="Times New Roman" w:hAnsi="Times"/>
          <w:noProof/>
          <w:color w:val="000000"/>
          <w:sz w:val="24"/>
          <w:lang w:val="hr-HR"/>
        </w:rPr>
        <w:t>ž</w:t>
      </w:r>
      <w:r>
        <w:rPr>
          <w:rFonts w:ascii="Times New Roman" w:hAnsi="Times"/>
          <w:noProof/>
          <w:color w:val="000000"/>
          <w:sz w:val="24"/>
          <w:lang w:val="hr-HR"/>
        </w:rPr>
        <w:t>ava va</w:t>
      </w:r>
      <w:r>
        <w:rPr>
          <w:rFonts w:ascii="Times New Roman" w:hAnsi="Times"/>
          <w:noProof/>
          <w:color w:val="000000"/>
          <w:sz w:val="24"/>
          <w:lang w:val="hr-HR"/>
        </w:rPr>
        <w:t>ž</w:t>
      </w:r>
      <w:r>
        <w:rPr>
          <w:rFonts w:ascii="Times New Roman" w:hAnsi="Times"/>
          <w:noProof/>
          <w:color w:val="000000"/>
          <w:sz w:val="24"/>
          <w:lang w:val="hr-HR"/>
        </w:rPr>
        <w:t>na pitanja povezana s potrebom da se uvedu pobolj</w:t>
      </w:r>
      <w:r>
        <w:rPr>
          <w:rFonts w:ascii="Times New Roman" w:hAnsi="Times"/>
          <w:noProof/>
          <w:color w:val="000000"/>
          <w:sz w:val="24"/>
          <w:lang w:val="hr-HR"/>
        </w:rPr>
        <w:t>š</w:t>
      </w:r>
      <w:r>
        <w:rPr>
          <w:rFonts w:ascii="Times New Roman" w:hAnsi="Times"/>
          <w:noProof/>
          <w:color w:val="000000"/>
          <w:sz w:val="24"/>
          <w:lang w:val="hr-HR"/>
        </w:rPr>
        <w:t>anja u podru</w:t>
      </w:r>
      <w:r>
        <w:rPr>
          <w:rFonts w:ascii="Times New Roman" w:hAnsi="Times"/>
          <w:noProof/>
          <w:color w:val="000000"/>
          <w:sz w:val="24"/>
          <w:lang w:val="hr-HR"/>
        </w:rPr>
        <w:t>č</w:t>
      </w:r>
      <w:r>
        <w:rPr>
          <w:rFonts w:ascii="Times New Roman" w:hAnsi="Times"/>
          <w:noProof/>
          <w:color w:val="000000"/>
          <w:sz w:val="24"/>
          <w:lang w:val="hr-HR"/>
        </w:rPr>
        <w:t>jima podijeljenog upravljanja, pojednostavnjenja i u</w:t>
      </w:r>
      <w:r>
        <w:rPr>
          <w:rFonts w:ascii="Times New Roman" w:hAnsi="Times"/>
          <w:noProof/>
          <w:color w:val="000000"/>
          <w:sz w:val="24"/>
          <w:lang w:val="hr-HR"/>
        </w:rPr>
        <w:t>č</w:t>
      </w:r>
      <w:r>
        <w:rPr>
          <w:rFonts w:ascii="Times New Roman" w:hAnsi="Times"/>
          <w:noProof/>
          <w:color w:val="000000"/>
          <w:sz w:val="24"/>
          <w:lang w:val="hr-HR"/>
        </w:rPr>
        <w:t>inkovitosti.</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U ovoj komunikaciji uzima se u obzir to opredjeljenje dok se istovremeno, prema potrebi, objašnjava novo stanje u onoj mjeri u kojoj su dosad poduzete dodatne mjere. Popraćena je dvama radnim dokumentima službi Komisije s odgovorima na 319 posebnih zahtjeva EP-a za davanje razrješnice i 75 zahtjeva Vijeća.</w:t>
      </w:r>
    </w:p>
    <w:p w:rsidR="007E56F3" w:rsidRDefault="007E56F3">
      <w:pPr>
        <w:spacing w:after="0" w:line="240" w:lineRule="auto"/>
        <w:rPr>
          <w:rFonts w:ascii="Times New Roman" w:hAnsi="Times New Roman"/>
          <w:noProof/>
          <w:sz w:val="24"/>
          <w:szCs w:val="24"/>
          <w:lang w:val="hr-HR" w:eastAsia="en-GB"/>
        </w:rPr>
      </w:pPr>
      <w:r>
        <w:rPr>
          <w:rFonts w:ascii="Times New Roman" w:hAnsi="Times New Roman"/>
          <w:noProof/>
          <w:color w:val="000000"/>
          <w:sz w:val="24"/>
          <w:lang w:val="hr-HR"/>
        </w:rPr>
        <w:t>Komisija je suglasna pokrenuti nove mjere povezane sa 139 zahtjeva (115 EP-a i 24 Vijeća). Smatra da su za 218 zahtjeva (168 EP-a i 50 Vijeća) potrebne mjere već poduzete ili su u tijeku, iako će u nekim slučajevima trebati ocijeniti rezultate mjera. Konačno, zbog razloga povezanih s postojećim pravnim ili proračunskim okvirom ili njezinom institucionalnom ulogom ili ovlastima, Komisija ne može prihvatiti 37 zahtjeva (36 EP-a</w:t>
      </w:r>
      <w:r>
        <w:rPr>
          <w:rStyle w:val="FootnoteReference"/>
          <w:rFonts w:ascii="Times New Roman" w:hAnsi="Times New Roman"/>
          <w:noProof/>
          <w:color w:val="000000"/>
          <w:sz w:val="24"/>
          <w:szCs w:val="24"/>
          <w:lang w:val="hr-HR"/>
        </w:rPr>
        <w:footnoteReference w:id="4"/>
      </w:r>
      <w:r>
        <w:rPr>
          <w:rFonts w:ascii="Times New Roman" w:hAnsi="Times New Roman"/>
          <w:noProof/>
          <w:color w:val="000000"/>
          <w:sz w:val="24"/>
          <w:szCs w:val="24"/>
          <w:lang w:val="hr-HR"/>
        </w:rPr>
        <w:t xml:space="preserve"> </w:t>
      </w:r>
    </w:p>
    <w:p w:rsidR="007E56F3" w:rsidRDefault="007E56F3">
      <w:pPr>
        <w:spacing w:after="0" w:line="240" w:lineRule="auto"/>
        <w:rPr>
          <w:rFonts w:ascii="Times New Roman" w:hAnsi="Times New Roman"/>
          <w:noProof/>
          <w:sz w:val="24"/>
          <w:szCs w:val="24"/>
          <w:lang w:val="hr-HR" w:eastAsia="en-GB"/>
        </w:rPr>
      </w:pPr>
      <w:r>
        <w:rPr>
          <w:rFonts w:ascii="Times New Roman" w:hAnsi="Times New Roman"/>
          <w:noProof/>
          <w:color w:val="000000"/>
          <w:sz w:val="24"/>
          <w:lang w:val="hr-HR"/>
        </w:rPr>
        <w:t xml:space="preserve"> i 1 Vijeća</w:t>
      </w:r>
      <w:r>
        <w:rPr>
          <w:rStyle w:val="FootnoteReference"/>
          <w:rFonts w:ascii="Times New Roman" w:hAnsi="Times New Roman"/>
          <w:noProof/>
          <w:color w:val="000000"/>
          <w:sz w:val="24"/>
          <w:szCs w:val="24"/>
          <w:lang w:val="hr-HR"/>
        </w:rPr>
        <w:footnoteReference w:id="5"/>
      </w:r>
      <w:r>
        <w:rPr>
          <w:rFonts w:ascii="Times New Roman" w:hAnsi="Times New Roman"/>
          <w:noProof/>
          <w:color w:val="000000"/>
          <w:sz w:val="24"/>
          <w:szCs w:val="24"/>
          <w:lang w:val="hr-HR"/>
        </w:rPr>
        <w:t>).</w:t>
      </w:r>
      <w:r>
        <w:rPr>
          <w:rFonts w:ascii="Times New Roman" w:hAnsi="Times New Roman"/>
          <w:noProof/>
          <w:sz w:val="24"/>
          <w:szCs w:val="24"/>
          <w:lang w:val="hr-HR" w:eastAsia="en-GB"/>
        </w:rPr>
        <w:t xml:space="preserve"> </w:t>
      </w:r>
      <w:r>
        <w:rPr>
          <w:rFonts w:ascii="Times New Roman" w:hAnsi="Times New Roman"/>
          <w:noProof/>
          <w:color w:val="000000"/>
          <w:sz w:val="24"/>
          <w:lang w:val="hr-HR"/>
        </w:rPr>
        <w:t>Detaljno objašnjenje nalazi se u dvama priloženim radnim dokumentima službi Komisije.</w:t>
      </w:r>
    </w:p>
    <w:p w:rsidR="007E56F3" w:rsidRDefault="007E56F3">
      <w:pPr>
        <w:spacing w:before="120" w:after="120" w:line="240" w:lineRule="auto"/>
        <w:jc w:val="both"/>
        <w:rPr>
          <w:rFonts w:ascii="Times New Roman" w:hAnsi="Times New Roman"/>
          <w:noProof/>
          <w:color w:val="000000"/>
          <w:sz w:val="24"/>
          <w:szCs w:val="24"/>
          <w:lang w:val="hr-HR"/>
        </w:rPr>
      </w:pPr>
    </w:p>
    <w:p w:rsidR="007E56F3" w:rsidRDefault="007E56F3">
      <w:pPr>
        <w:tabs>
          <w:tab w:val="left" w:pos="850"/>
        </w:tabs>
        <w:spacing w:before="360" w:after="120" w:line="240" w:lineRule="auto"/>
        <w:ind w:left="850" w:hanging="850"/>
        <w:jc w:val="both"/>
        <w:outlineLvl w:val="0"/>
        <w:rPr>
          <w:rFonts w:ascii="Times New Roman" w:hAnsi="Times New Roman"/>
          <w:b/>
          <w:smallCaps/>
          <w:noProof/>
          <w:color w:val="000000"/>
          <w:sz w:val="24"/>
          <w:szCs w:val="20"/>
          <w:lang w:val="hr-HR"/>
        </w:rPr>
      </w:pPr>
      <w:r>
        <w:rPr>
          <w:rFonts w:ascii="Times New Roman" w:hAnsi="Times New Roman"/>
          <w:b/>
          <w:smallCaps/>
          <w:noProof/>
          <w:color w:val="000000"/>
          <w:sz w:val="24"/>
          <w:lang w:val="hr-HR"/>
        </w:rPr>
        <w:t>1.</w:t>
      </w:r>
      <w:r>
        <w:rPr>
          <w:noProof/>
          <w:lang w:val="hr-HR"/>
        </w:rPr>
        <w:tab/>
      </w:r>
      <w:r>
        <w:rPr>
          <w:rFonts w:ascii="Times New Roman" w:hAnsi="Times New Roman"/>
          <w:b/>
          <w:smallCaps/>
          <w:noProof/>
          <w:color w:val="000000"/>
          <w:sz w:val="24"/>
          <w:lang w:val="hr-HR"/>
        </w:rPr>
        <w:t>Poboljšanja u području podijeljenog upravljanja</w:t>
      </w:r>
    </w:p>
    <w:p w:rsidR="007E56F3" w:rsidRDefault="007E56F3">
      <w:pPr>
        <w:keepNext/>
        <w:numPr>
          <w:ilvl w:val="1"/>
          <w:numId w:val="1"/>
        </w:numPr>
        <w:spacing w:before="120" w:after="120" w:line="240" w:lineRule="auto"/>
        <w:ind w:hanging="567"/>
        <w:jc w:val="both"/>
        <w:outlineLvl w:val="1"/>
        <w:rPr>
          <w:rFonts w:ascii="Times New Roman" w:hAnsi="Times New Roman"/>
          <w:b/>
          <w:noProof/>
          <w:color w:val="000000"/>
          <w:sz w:val="24"/>
          <w:szCs w:val="20"/>
          <w:lang w:val="hr-HR"/>
        </w:rPr>
      </w:pPr>
      <w:r>
        <w:rPr>
          <w:rFonts w:ascii="Times New Roman" w:hAnsi="Times New Roman"/>
          <w:b/>
          <w:noProof/>
          <w:color w:val="000000"/>
          <w:sz w:val="24"/>
          <w:lang w:val="hr-HR"/>
        </w:rPr>
        <w:t>Zadrške u pogledu „izjave o jamstvu” glavnih direktora u vezi s poljoprivredom i ruralnim razvojem te zapošljavanjem i socijalnim pitanjima.</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Komisija smatra da se zadrškama potvrđuje dobro funkcioniranje postupaka nadzora koji su uspostavljeni u Komisiji i državama članicama. Broj zadrški u godišnjim izvješćima o radu [</w:t>
      </w:r>
      <w:r>
        <w:rPr>
          <w:rFonts w:ascii="Times New Roman" w:hAnsi="Times New Roman"/>
          <w:noProof/>
          <w:sz w:val="24"/>
          <w:lang w:val="hr-HR"/>
        </w:rPr>
        <w:t>21 u 2013.]</w:t>
      </w:r>
      <w:r>
        <w:rPr>
          <w:rFonts w:ascii="Times New Roman" w:hAnsi="Times New Roman"/>
          <w:noProof/>
          <w:color w:val="000000"/>
          <w:sz w:val="24"/>
          <w:lang w:val="hr-HR"/>
        </w:rPr>
        <w:t xml:space="preserve"> posljedica je poboljšanog i usmjerenijeg pristupa Komisije, koji je, među ostalim, rezultat kontinuirane stroge politike prekida i suspenzije plaćanja, a ne pogoršanja u sustavima nadzora ili nedostatka odgovornosti. Zadrške su u načelu povezane s akcijskim planovima koje Komisija pomno nadzire.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Komisija sustavno utvrđuje nedostatke i rizike, poduzima mjere i izvješćuje o ostvarenom napretku, čime EP-u omogućuje stalno praćenje stanja i razvoja kvalitete financijskog upravljanja.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Preventivnim mjerama, mjerama za otkrivanje i korektivnim mjerama koje je provela Komisija na temelju višegodišnjih sustava nadzora i kontrole u razumnoj se mjeri jamči da je proračun EU-a na odgovarajući način zaštićen od nezakonitih izdataka i rizika nastalih uslijed nedostataka u sustavima upravljanja i kontrole država članica. </w:t>
      </w:r>
    </w:p>
    <w:p w:rsidR="007E56F3" w:rsidRDefault="007E56F3">
      <w:pPr>
        <w:spacing w:before="120" w:after="120" w:line="240" w:lineRule="auto"/>
        <w:jc w:val="both"/>
        <w:rPr>
          <w:rFonts w:ascii="Times New Roman" w:hAnsi="Times New Roman"/>
          <w:noProof/>
          <w:color w:val="000000"/>
          <w:sz w:val="24"/>
          <w:szCs w:val="24"/>
          <w:lang w:val="hr-HR"/>
        </w:rPr>
      </w:pPr>
    </w:p>
    <w:p w:rsidR="007E56F3" w:rsidRDefault="007E56F3">
      <w:pPr>
        <w:keepNext/>
        <w:numPr>
          <w:ilvl w:val="1"/>
          <w:numId w:val="1"/>
        </w:numPr>
        <w:spacing w:before="120" w:after="120" w:line="240" w:lineRule="auto"/>
        <w:ind w:hanging="567"/>
        <w:jc w:val="both"/>
        <w:outlineLvl w:val="1"/>
        <w:rPr>
          <w:rFonts w:ascii="Times New Roman" w:hAnsi="Times New Roman"/>
          <w:b/>
          <w:noProof/>
          <w:color w:val="000000"/>
          <w:sz w:val="24"/>
          <w:szCs w:val="20"/>
          <w:lang w:val="hr-HR"/>
        </w:rPr>
      </w:pPr>
      <w:r>
        <w:rPr>
          <w:rFonts w:ascii="Times New Roman" w:hAnsi="Times New Roman"/>
          <w:b/>
          <w:noProof/>
          <w:color w:val="000000"/>
          <w:sz w:val="24"/>
          <w:lang w:val="hr-HR"/>
        </w:rPr>
        <w:t xml:space="preserve">Lanac jedinstvene revizije i odgovornost Komisije i država članica (točke 44. i 47.)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Komisija nastoji uspostaviti „lanac jedinstvene revizije” koji je nit vodilja većeg dijela rezolucije.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U tom kontekstu glavna jamstva Komisiji da se resursi upotrebljavaju u skladu sa zakonskim okvirom i načelima dobrog financijskog upravljanja rezultati su njezinih vlastitih revizija, revizija Europskog revizorskog suda i izvješća OLAF-a, kao i podataka nacionalnih tijela, osobito revizijskih mišljenja i statistika o kontrolama stopa pogreške, koji se dostavljaju kao dio godišnjih izvješća o kontroli i revizija nacionalnih sustava koje se provode tijekom godine.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xml:space="preserve">Važan aspekt jedinstvene revizije jest izjava o upravljanju kojom se za države članice uvodi pojačano obvezno izvješćivanje, a potpisuju je direktori / voditelji agencija ili tijela. Uz tu izjavu prilagat će se izvješće koje će sadržavati sažetak rezultata svih kontrola i revizija koje su provedene kao i korektivnih mjera koje su poduzete ili se planiraju poduzeti. Međutim, izdavanje nacionalne izjave (članak 59. stavak 1. FU-a) moglo bi biti još jedan važan element jedinstvene revizije.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U pogledu zahtjeva da izda preporuku u cilju promicanja uporabe takvih nacionalnih izjava Komisija bi, iako podupire preporuke Međuinstitucijske radne skupine</w:t>
      </w:r>
      <w:r>
        <w:rPr>
          <w:rFonts w:ascii="Times New Roman" w:hAnsi="Times New Roman"/>
          <w:noProof/>
          <w:sz w:val="24"/>
          <w:vertAlign w:val="superscript"/>
          <w:lang w:val="hr-HR"/>
        </w:rPr>
        <w:footnoteReference w:id="6"/>
      </w:r>
      <w:r>
        <w:rPr>
          <w:rFonts w:ascii="Times New Roman" w:hAnsi="Times New Roman"/>
          <w:noProof/>
          <w:sz w:val="24"/>
          <w:lang w:val="hr-HR"/>
        </w:rPr>
        <w:t xml:space="preserve">, željela naglasiti da druge mjere predstavljaju primjereniji način promicanja njihove uporabe, primjerice uključivanje informacija u javne dokumente kao što su godišnja izvješća o radu Komisije, zbirka najbolje prakse, informativni sastanci na relevantnim forumima ili promicanje nacionalnih izjava preko ministara financija, nacionalnih parlamenata i vrhovnih revizijskih institucija.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xml:space="preserve">U pogledu zahtjeva EP-a da objavljuje nacionalne izjave, godišnje sažetke i izjave o upravljanju, Komisija naglašava da nema pravo objavljivati takve dokumente. </w:t>
      </w:r>
    </w:p>
    <w:p w:rsidR="007E56F3" w:rsidRDefault="007E56F3">
      <w:pPr>
        <w:spacing w:before="120" w:after="120" w:line="240" w:lineRule="auto"/>
        <w:jc w:val="both"/>
        <w:rPr>
          <w:rFonts w:ascii="Times New Roman" w:hAnsi="Times New Roman"/>
          <w:noProof/>
          <w:color w:val="000000"/>
          <w:sz w:val="24"/>
          <w:szCs w:val="24"/>
          <w:lang w:val="hr-HR"/>
        </w:rPr>
      </w:pPr>
    </w:p>
    <w:p w:rsidR="007E56F3" w:rsidRDefault="007E56F3">
      <w:pPr>
        <w:keepNext/>
        <w:numPr>
          <w:ilvl w:val="1"/>
          <w:numId w:val="1"/>
        </w:numPr>
        <w:spacing w:before="120" w:after="120" w:line="240" w:lineRule="auto"/>
        <w:ind w:hanging="567"/>
        <w:jc w:val="both"/>
        <w:outlineLvl w:val="1"/>
        <w:rPr>
          <w:rFonts w:ascii="Times New Roman" w:hAnsi="Times New Roman"/>
          <w:b/>
          <w:noProof/>
          <w:color w:val="000000"/>
          <w:sz w:val="24"/>
          <w:szCs w:val="20"/>
          <w:lang w:val="hr-HR"/>
        </w:rPr>
      </w:pPr>
      <w:r>
        <w:rPr>
          <w:rFonts w:ascii="Times New Roman" w:hAnsi="Times New Roman"/>
          <w:b/>
          <w:noProof/>
          <w:color w:val="000000"/>
          <w:sz w:val="24"/>
          <w:lang w:val="hr-HR"/>
        </w:rPr>
        <w:t xml:space="preserve">Pouzdanost informacija koje su dostavile države članice (točke 24. – 25., točke 49. – 50.)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Komisija smatra da vjerodostojnost godišnjih izvješća o radu nije narušena nedostatkom pouzdanosti nekih od prvih razina provjera koje obavljaju države članice. Smatra da itekako ima dobar pregled, a svoju uvjerenost temelji na čvrstom i pouzdanom procesu kojim je obuhvaćeno nekoliko razina kontrola:</w:t>
      </w:r>
    </w:p>
    <w:p w:rsidR="007E56F3" w:rsidRDefault="007E56F3">
      <w:pPr>
        <w:widowControl w:val="0"/>
        <w:spacing w:after="120" w:line="240" w:lineRule="auto"/>
        <w:jc w:val="both"/>
        <w:rPr>
          <w:rFonts w:ascii="Times New Roman" w:hAnsi="Times New Roman"/>
          <w:noProof/>
          <w:sz w:val="24"/>
          <w:szCs w:val="24"/>
          <w:lang w:val="hr-HR"/>
        </w:rPr>
      </w:pPr>
      <w:r>
        <w:rPr>
          <w:rFonts w:ascii="Times New Roman" w:hAnsi="Times New Roman"/>
          <w:noProof/>
          <w:sz w:val="24"/>
          <w:lang w:val="hr-HR"/>
        </w:rPr>
        <w:t xml:space="preserve">— kontrole prve razine tijekom kojih se obavljaju provjere svih izdataka prije nego se prijave Komisiji;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kontrola druge razne koju provodi tijelo za ovjeravanje (računovođa) prije nego što se financijski izvještaji dostave Komisiji;</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kontrola  treće razine koja se sastoji od revizije projekata i uspostavljenih postupaka;</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xml:space="preserve">— i vlastitih kontrola koje provodi Komisija i koje su usmjerene bilo na nacionalna tijela za provedbu i kontrolu bilo izravno na projekte, a temelje se na ocjeni 15 ključnih zahtjeva.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xml:space="preserve">Kako bi stekla uvid Komisija uzima u obzir rezultate rada na svim tim razinama kontrole kao i rezultate revizija Europskog revizorskog suda i istraga OLAF-a.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xml:space="preserve">Kontrole osim toga pokrivaju dulje vremensko razdoblje, tako da se neke kontrole odvijaju nakon ovjeravanja izdatka Komisiji. Uz to, konačna ocjena preostalog rizika, a prema tome i uspjeha provedbe, provodit će se tijekom zaključenja.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xml:space="preserve">Komisija smatra da su informacije iz godišnjih izvješća o radu, objedinjenih izvješća, Komunikacije o zaštiti proračuna EU-a i godišnjih financijskih izvješća odgovarajući temelj za ocjenjivanje korektivnog kapaciteta uspostavljenog sustava.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Na razborit pristup donesen u Komunikaciji o zaštiti proračuna EU-a</w:t>
      </w:r>
      <w:r>
        <w:rPr>
          <w:rFonts w:ascii="Times New Roman" w:hAnsi="Times New Roman"/>
          <w:noProof/>
          <w:sz w:val="24"/>
          <w:vertAlign w:val="superscript"/>
          <w:lang w:val="hr-HR"/>
        </w:rPr>
        <w:footnoteReference w:id="7"/>
      </w:r>
      <w:r>
        <w:rPr>
          <w:rFonts w:ascii="Times New Roman" w:hAnsi="Times New Roman"/>
          <w:noProof/>
          <w:sz w:val="24"/>
          <w:lang w:val="hr-HR"/>
        </w:rPr>
        <w:t xml:space="preserve"> ne bi trebalo gledati kao na dokaz da države članice prijavljuju nepouzdane podatke. Primjedba Komisije odnosi se na praksu nekih tijela za ovjeravanje da kao financijske korekcije prijavljuju brojku koja uključuje financijske korekcije koje je izvršila država članica i one koje je izvršila Komisija.  Prema tome, kako bi izbjegla rizik dvostrukog računanja, Komisija od brojki koje prijavi država članica sustavno oduzima iznos koji je jednak iznosu korekcija koje je izvršila Komisija. </w:t>
      </w:r>
    </w:p>
    <w:p w:rsidR="007E56F3" w:rsidRDefault="007E56F3">
      <w:pPr>
        <w:widowControl w:val="0"/>
        <w:spacing w:after="240" w:line="240" w:lineRule="auto"/>
        <w:jc w:val="both"/>
        <w:rPr>
          <w:rFonts w:ascii="Times New Roman" w:hAnsi="Times New Roman"/>
          <w:noProof/>
          <w:sz w:val="24"/>
          <w:szCs w:val="24"/>
          <w:lang w:val="hr-HR"/>
        </w:rPr>
      </w:pPr>
      <w:r>
        <w:rPr>
          <w:rFonts w:ascii="Times New Roman" w:hAnsi="Times New Roman"/>
          <w:noProof/>
          <w:sz w:val="24"/>
          <w:lang w:val="hr-HR"/>
        </w:rPr>
        <w:t>GU REGIO i GU EMPL poduzimaju mjere kako bi osigurale pouzdanost podataka o financijskim korekcijama koje dostave države članice. Te se mjere sastoje od sljedećeg:</w:t>
      </w:r>
    </w:p>
    <w:p w:rsidR="007E56F3" w:rsidRDefault="007E56F3">
      <w:pPr>
        <w:widowControl w:val="0"/>
        <w:numPr>
          <w:ilvl w:val="0"/>
          <w:numId w:val="2"/>
        </w:numPr>
        <w:spacing w:before="120" w:after="120" w:line="240" w:lineRule="auto"/>
        <w:ind w:left="714" w:hanging="357"/>
        <w:jc w:val="both"/>
        <w:rPr>
          <w:rFonts w:ascii="Times New Roman" w:hAnsi="Times New Roman"/>
          <w:noProof/>
          <w:sz w:val="24"/>
          <w:szCs w:val="24"/>
          <w:lang w:val="hr-HR"/>
        </w:rPr>
      </w:pPr>
      <w:r>
        <w:rPr>
          <w:rFonts w:ascii="Times New Roman" w:hAnsi="Times New Roman"/>
          <w:noProof/>
          <w:sz w:val="24"/>
          <w:lang w:val="hr-HR"/>
        </w:rPr>
        <w:t>provedba godišnje ocjene rizika na temelju podataka koje dostave države članice,</w:t>
      </w:r>
    </w:p>
    <w:p w:rsidR="007E56F3" w:rsidRDefault="007E56F3">
      <w:pPr>
        <w:widowControl w:val="0"/>
        <w:numPr>
          <w:ilvl w:val="0"/>
          <w:numId w:val="2"/>
        </w:numPr>
        <w:spacing w:before="120" w:after="120" w:line="240" w:lineRule="auto"/>
        <w:ind w:left="714" w:hanging="357"/>
        <w:jc w:val="both"/>
        <w:rPr>
          <w:rFonts w:ascii="Times New Roman" w:hAnsi="Times New Roman"/>
          <w:noProof/>
          <w:sz w:val="24"/>
          <w:szCs w:val="24"/>
          <w:lang w:val="hr-HR"/>
        </w:rPr>
      </w:pPr>
      <w:r>
        <w:rPr>
          <w:rFonts w:ascii="Times New Roman" w:hAnsi="Times New Roman"/>
          <w:noProof/>
          <w:sz w:val="24"/>
          <w:lang w:val="hr-HR"/>
        </w:rPr>
        <w:t>kontakati s tijelima za ovjeravanje kako bi se u slučaju nedosljednosti razjasnili dostavljeni podaci,</w:t>
      </w:r>
    </w:p>
    <w:p w:rsidR="007E56F3" w:rsidRDefault="007E56F3">
      <w:pPr>
        <w:widowControl w:val="0"/>
        <w:numPr>
          <w:ilvl w:val="0"/>
          <w:numId w:val="2"/>
        </w:numPr>
        <w:spacing w:before="120" w:after="120" w:line="240" w:lineRule="auto"/>
        <w:ind w:left="714" w:hanging="357"/>
        <w:jc w:val="both"/>
        <w:rPr>
          <w:rFonts w:ascii="Times New Roman" w:hAnsi="Times New Roman"/>
          <w:noProof/>
          <w:sz w:val="24"/>
          <w:szCs w:val="24"/>
          <w:lang w:val="hr-HR"/>
        </w:rPr>
      </w:pPr>
      <w:r>
        <w:rPr>
          <w:rFonts w:ascii="Times New Roman" w:hAnsi="Times New Roman"/>
          <w:noProof/>
          <w:sz w:val="24"/>
          <w:lang w:val="hr-HR"/>
        </w:rPr>
        <w:t xml:space="preserve">provedba revizija na licu mjesta kako bi se provjerio računovodstveni sustav tijela za ovjeravanje i pouzdanost podataka o financijskim korekcijama na temelju rezultata ocjene rizika; obuhvat takvih revizija povećan je 2014. kako bi se prikupili dodatni dokazi.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xml:space="preserve">Na zahtjev da se uspostave postupci kojima bi se povezale korektivne mjere s izvornom godinom plaćanja, Komisija ističe da je u okviru programskog razdoblja 2007. – 2013. najprije odgovornost države članice da uspostavi čvrste postupke za potvrđivanje vremenskog okvira, podrijetla i iznosa korektivnih mjera.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xml:space="preserve">Komisija je oduvijek tvrdila da povezivanje korekcija s izvornom godinom plaćanja nije izvedivo.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xml:space="preserve">U slučaju da Komisija na temelju svojih ocjena i analize zaključi da podaci iz države članice nisu točni, ona to jasno navodi u odgovarajućem godišnjem izvješću o radu njezinih službi.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xml:space="preserve">Na zahtjev da glavni direktori u svojim godišnjim izvješćima o radu izvijeste o stopama pogreške koje su prijavile države članice i o korekcijama koje je izvršila Komisija, ona podsjeća da GU-ovi tu informaciju trenutačno dostavljaju za sve operativne programe na koje se odnose zadrške. Od 2014. to je prošireno na sve operativne programe na </w:t>
      </w:r>
      <w:r>
        <w:rPr>
          <w:rFonts w:ascii="Times New Roman" w:hAnsi="Times New Roman"/>
          <w:i/>
          <w:noProof/>
          <w:sz w:val="24"/>
          <w:lang w:val="hr-HR"/>
        </w:rPr>
        <w:t>ad hoc</w:t>
      </w:r>
      <w:r>
        <w:rPr>
          <w:rFonts w:ascii="Times New Roman" w:hAnsi="Times New Roman"/>
          <w:noProof/>
          <w:sz w:val="24"/>
          <w:lang w:val="hr-HR"/>
        </w:rPr>
        <w:t xml:space="preserve"> osnovi.</w:t>
      </w:r>
    </w:p>
    <w:p w:rsidR="007E56F3" w:rsidRDefault="007E56F3">
      <w:pPr>
        <w:keepNext/>
        <w:numPr>
          <w:ilvl w:val="1"/>
          <w:numId w:val="1"/>
        </w:numPr>
        <w:spacing w:before="120" w:after="120" w:line="240" w:lineRule="auto"/>
        <w:ind w:hanging="567"/>
        <w:jc w:val="both"/>
        <w:outlineLvl w:val="1"/>
        <w:rPr>
          <w:rFonts w:ascii="Times New Roman" w:hAnsi="Times New Roman"/>
          <w:b/>
          <w:noProof/>
          <w:color w:val="000000"/>
          <w:sz w:val="24"/>
          <w:szCs w:val="20"/>
          <w:lang w:val="hr-HR"/>
        </w:rPr>
      </w:pPr>
      <w:r>
        <w:rPr>
          <w:rFonts w:ascii="Times New Roman" w:hAnsi="Times New Roman"/>
          <w:b/>
          <w:noProof/>
          <w:color w:val="000000"/>
          <w:sz w:val="24"/>
          <w:lang w:val="hr-HR"/>
        </w:rPr>
        <w:t xml:space="preserve"> Objedinjeno izvješće i godišnja izvješća o radu (točke 26. – 27., 217. – 218.)</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Kao odgovor na zahtjev EP-a Komisija je u objedinjenom izvješću za 2014.</w:t>
      </w:r>
      <w:r>
        <w:rPr>
          <w:rFonts w:ascii="Times New Roman" w:hAnsi="Times New Roman"/>
          <w:noProof/>
          <w:sz w:val="24"/>
          <w:vertAlign w:val="superscript"/>
          <w:lang w:val="hr-HR"/>
        </w:rPr>
        <w:footnoteReference w:id="8"/>
      </w:r>
      <w:r>
        <w:rPr>
          <w:rFonts w:ascii="Times New Roman" w:hAnsi="Times New Roman"/>
          <w:noProof/>
          <w:sz w:val="24"/>
          <w:lang w:val="hr-HR"/>
        </w:rPr>
        <w:t xml:space="preserve"> pojasnila izračun rizičnog iznosa te je predstavila i procijenjeni utjecaj korektivnih mjera.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xml:space="preserve">Na zahtjev da u objedinjenom izvješću izda odgovarajuću „izjavu o jamstvu”, Komisija naglašava da su, u skladu s potrebom da se pojača financijska kontrola kao jednim od ključnih prioriteta njezine upravne reforme i mjera jačanja od 2000., okvirom za upravljanje (osobito člankom 66. točkom 9. FU-a) glavni direktori stekli pune ovlasti i tako postali osobno odgovorni za financijsko upravljanje. Prema tome, upravljačka funkcija koju su preuzeli glavni direktori osigurava neophodni kontinuitet i održivost strukture odgovornosti.  </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Komisija podsjeća da Kolegij donošenjem godišnjeg objedinjenog izvješća koje se sastoji od sažetka godišnjih izvješća o radu za prethodnu godinu (članak 66. stavak 9. FU-a) preuzima političku odgovornost temeljem članka 317. UFEU-a. Smatra da se kombinacijom godišnjih izvješća o radu i objedinjenog izvješća osigurava ostvarivanje unutarnjih i vanjskih ciljeva povezanih uz odgovornost.</w:t>
      </w:r>
    </w:p>
    <w:p w:rsidR="007E56F3" w:rsidRDefault="007E56F3">
      <w:pPr>
        <w:widowControl w:val="0"/>
        <w:spacing w:after="120" w:line="240" w:lineRule="auto"/>
        <w:jc w:val="both"/>
        <w:rPr>
          <w:rFonts w:ascii="Times New Roman" w:hAnsi="Times New Roman"/>
          <w:noProof/>
          <w:sz w:val="24"/>
          <w:szCs w:val="20"/>
          <w:lang w:val="hr-HR"/>
        </w:rPr>
      </w:pPr>
      <w:r>
        <w:rPr>
          <w:rFonts w:ascii="Times New Roman" w:hAnsi="Times New Roman"/>
          <w:noProof/>
          <w:sz w:val="24"/>
          <w:lang w:val="hr-HR"/>
        </w:rPr>
        <w:t xml:space="preserve">U pogledu zahtjeva EP-a da iznese pojašnjenja standardnih uputa za godišnja izvješća o radu (moguće nepovoljno mišljenje, mehanizam sankcioniranja), Komisija naglašava da se aktualnim uputama odgovornim dužnosnicima za ovjeravanje već omogućuje da zaključe da nemaju razumnog osiguranja da uspostavljeni postupci kontrole daju neophodna jamstva u pogledu zakonitosti i pravilnosti osnovnih transakcija. </w:t>
      </w:r>
    </w:p>
    <w:p w:rsidR="007E56F3" w:rsidRDefault="007E56F3">
      <w:pPr>
        <w:widowControl w:val="0"/>
        <w:spacing w:after="120" w:line="240" w:lineRule="auto"/>
        <w:jc w:val="both"/>
        <w:rPr>
          <w:rFonts w:ascii="Times New Roman" w:hAnsi="Times New Roman"/>
          <w:noProof/>
          <w:sz w:val="24"/>
          <w:szCs w:val="24"/>
          <w:lang w:val="hr-HR"/>
        </w:rPr>
      </w:pPr>
      <w:r>
        <w:rPr>
          <w:rFonts w:ascii="Times New Roman" w:hAnsi="Times New Roman"/>
          <w:noProof/>
          <w:sz w:val="24"/>
          <w:lang w:val="hr-HR"/>
        </w:rPr>
        <w:t>U pogledu mehanizma sankcioniranja, i FU-om i Pravilnikom o osoblju trenutačno se već predviđa da se na odgovornog dužnosnika za ovjeravanje primjenjuju disciplinski postupci i novčana odgovornost u slučaju nezakonite aktivnosti, prijevare ili korupcije.</w:t>
      </w:r>
    </w:p>
    <w:p w:rsidR="007E56F3" w:rsidRDefault="007E56F3">
      <w:pPr>
        <w:tabs>
          <w:tab w:val="left" w:pos="850"/>
        </w:tabs>
        <w:spacing w:before="360" w:after="120" w:line="240" w:lineRule="auto"/>
        <w:ind w:left="850" w:hanging="850"/>
        <w:jc w:val="both"/>
        <w:outlineLvl w:val="0"/>
        <w:rPr>
          <w:rFonts w:ascii="Times New Roman" w:hAnsi="Times New Roman"/>
          <w:b/>
          <w:smallCaps/>
          <w:noProof/>
          <w:color w:val="000000"/>
          <w:sz w:val="24"/>
          <w:szCs w:val="20"/>
          <w:lang w:val="hr-HR"/>
        </w:rPr>
      </w:pPr>
      <w:r>
        <w:rPr>
          <w:rFonts w:ascii="Times New Roman" w:hAnsi="Times New Roman"/>
          <w:b/>
          <w:smallCaps/>
          <w:noProof/>
          <w:color w:val="000000"/>
          <w:sz w:val="24"/>
          <w:lang w:val="hr-HR"/>
        </w:rPr>
        <w:t xml:space="preserve">2. </w:t>
      </w:r>
      <w:r>
        <w:rPr>
          <w:noProof/>
          <w:lang w:val="hr-HR"/>
        </w:rPr>
        <w:tab/>
      </w:r>
      <w:r>
        <w:rPr>
          <w:rFonts w:ascii="Times New Roman" w:hAnsi="Times New Roman"/>
          <w:b/>
          <w:smallCaps/>
          <w:noProof/>
          <w:color w:val="000000"/>
          <w:sz w:val="24"/>
          <w:lang w:val="hr-HR"/>
        </w:rPr>
        <w:t>Pojednostavnjenje</w:t>
      </w:r>
    </w:p>
    <w:p w:rsidR="007E56F3" w:rsidRDefault="007E56F3">
      <w:pPr>
        <w:widowControl w:val="0"/>
        <w:spacing w:after="120" w:line="240" w:lineRule="auto"/>
        <w:jc w:val="both"/>
        <w:rPr>
          <w:rFonts w:ascii="Times New Roman" w:hAnsi="Times New Roman"/>
          <w:noProof/>
          <w:sz w:val="24"/>
          <w:szCs w:val="24"/>
          <w:lang w:val="hr-HR"/>
        </w:rPr>
      </w:pPr>
      <w:r>
        <w:rPr>
          <w:rFonts w:ascii="Times New Roman" w:hAnsi="Times New Roman"/>
          <w:noProof/>
          <w:sz w:val="24"/>
          <w:lang w:val="hr-HR"/>
        </w:rPr>
        <w:t xml:space="preserve">Zakonskim okvirom za razdoblje 2014. – 2020. osigurava se temelj za daljnje pojednostavnjenje uvođenjem mjera poput smanjenog broja programa, usklađivanja odredaba europskih strukturnih investicijskih fondova i drugih instrumenata EU-a, jačanja mogućnosti uporabe pojednostavnjenih troškova ili uvođenja zajedničkih akcijskih planova i smanjenja tereta revizije u skladu s načelom razmjernosti. </w:t>
      </w:r>
    </w:p>
    <w:p w:rsidR="007E56F3" w:rsidRDefault="007E56F3">
      <w:pPr>
        <w:widowControl w:val="0"/>
        <w:spacing w:after="120" w:line="240" w:lineRule="auto"/>
        <w:jc w:val="both"/>
        <w:rPr>
          <w:rFonts w:ascii="Times New Roman" w:hAnsi="Times New Roman"/>
          <w:noProof/>
          <w:sz w:val="24"/>
          <w:szCs w:val="24"/>
          <w:lang w:val="hr-HR"/>
        </w:rPr>
      </w:pPr>
      <w:r>
        <w:rPr>
          <w:rFonts w:ascii="Times New Roman" w:hAnsi="Times New Roman"/>
          <w:noProof/>
          <w:sz w:val="24"/>
          <w:lang w:val="hr-HR"/>
        </w:rPr>
        <w:t xml:space="preserve">U području poljoprivrede i ruralnog razvoja novi zakonski okvir uključuje elemente pojednostavnjenja poput programa za male poljoprivrednike ili standardne troškove i paušalna plaćanju u ruralnom razvoju. Međutim, s obzirom na to da mnogi od tih elemenata za države članice nisu obvezni, njihovi učinci na terenu ovise o izboru u pogledu provedbe na nacionalnoj razini. Osim toga, neki od elemenata koje su suzakonodavci unijeli tijekom zakonodavnog postupka povećali su složenost prvotnih prijedloga Komisije. Komisija je čak započela provjeru zakonodavstva u vezi s pojednostavnjenjem, a rezultati te provjere uskoro će se priopćiti relevantnim dionicima. </w:t>
      </w:r>
    </w:p>
    <w:p w:rsidR="007E56F3" w:rsidRDefault="007E56F3">
      <w:pPr>
        <w:spacing w:before="120" w:after="120" w:line="240" w:lineRule="auto"/>
        <w:jc w:val="both"/>
        <w:rPr>
          <w:rFonts w:ascii="Times New Roman" w:hAnsi="Times New Roman"/>
          <w:noProof/>
          <w:sz w:val="24"/>
          <w:szCs w:val="24"/>
          <w:lang w:val="hr-HR"/>
        </w:rPr>
      </w:pPr>
      <w:r>
        <w:rPr>
          <w:rFonts w:ascii="Times New Roman" w:hAnsi="Times New Roman"/>
          <w:noProof/>
          <w:sz w:val="24"/>
          <w:lang w:val="hr-HR"/>
        </w:rPr>
        <w:t xml:space="preserve">U pogledu kohezijske politike, državama članicama ponuđen je široki raspon mogućnosti pojednostavnjenja koji one sada moraju iskoristiti izbjegavajući pritom „prekomjerno reguliranje”. Isto tako u novije su vrijeme poboljšanim zakonodavstvom pojednostavnjena i pravila o javnoj nabavi i državnim potporama, što bi, jednom kada u potpunosti bude na snazi, trebalo pridonijeti smanjenju pogrešaka. Komisija je osim toga poduzela i političku inicijativu kako bi uspostavila skupinu stručnjaka koja bi donosila neovisne ocjene o tome kako države članice iskorištavaju pojednostavnjenja i utvrđuju daljnje mogućnosti da se pravila učine jednostavnijima. Komisija je 10. srpnja 2015. donijela odluku o uspostavi skupine neovisnih stručnjaka na visokoj razini za praćenje pojednostavnjenja za korisnike europskih strukturnih i investicijskih fondova. To je 9. lipnja 2015. objavila povjerenica za regionalnu politiku Corina Creţu. Svrha te skupine jest ocijeniti kako države članice iskorištavaju mogućnosti za pojednostavnjenje pristupa fondovima i njihovog korištenja, kako bi se smanjilo administrativno opterećenje korisnika. </w:t>
      </w:r>
    </w:p>
    <w:p w:rsidR="007E56F3" w:rsidRDefault="007E56F3">
      <w:pPr>
        <w:widowControl w:val="0"/>
        <w:spacing w:after="120" w:line="240" w:lineRule="auto"/>
        <w:jc w:val="both"/>
        <w:rPr>
          <w:rFonts w:ascii="Times New Roman" w:hAnsi="Times New Roman"/>
          <w:noProof/>
          <w:sz w:val="24"/>
          <w:szCs w:val="24"/>
          <w:lang w:val="hr-HR"/>
        </w:rPr>
      </w:pPr>
      <w:r>
        <w:rPr>
          <w:rFonts w:ascii="Times New Roman" w:hAnsi="Times New Roman"/>
          <w:noProof/>
          <w:sz w:val="24"/>
          <w:lang w:val="hr-HR"/>
        </w:rPr>
        <w:t xml:space="preserve">U 2016. započet će se s elektroničkim upravljanjem kohezijskom politikom. Regulatornim okvirom za razdoblje 2014. – 2020. jača se mogućnost upotrebe mogućnosti pojednostavljenih troškova i utvrđuju se novi jednostavniji instrumenti, kao što su zajednički akcijski planovi koji su u potpunosti utvrđeni u smislu ishoda i rezultata koji se trebaju ostvariti i provesti s pomoću mogućnosti pojednostavljenih troškova. Osim toga, Komisija u državama članicama provodi seminare pojednostavnjivanja u vezi sa zapošljavanjem. Komisija do kraja 2015. EP-u i Vijeću namjerava predstaviti izvješće o trenutačnom stanju u području pojednostavnjivanja.  </w:t>
      </w:r>
    </w:p>
    <w:p w:rsidR="007E56F3" w:rsidRDefault="007E56F3">
      <w:pPr>
        <w:widowControl w:val="0"/>
        <w:spacing w:after="120" w:line="240" w:lineRule="auto"/>
        <w:jc w:val="both"/>
        <w:rPr>
          <w:rFonts w:ascii="Times New Roman" w:hAnsi="Times New Roman"/>
          <w:noProof/>
          <w:sz w:val="24"/>
          <w:szCs w:val="24"/>
          <w:lang w:val="hr-HR"/>
        </w:rPr>
      </w:pPr>
      <w:r>
        <w:rPr>
          <w:rFonts w:ascii="Times New Roman" w:hAnsi="Times New Roman"/>
          <w:noProof/>
          <w:sz w:val="24"/>
          <w:lang w:val="hr-HR"/>
        </w:rPr>
        <w:t>Mogućnostim auporabe pojednostavnjenih troškova i usklađivanjem pravila među fondovima smanjuje se administrativno opterećenje korisnika i rizik od pogreške. Prema tome, pojednostavnjivanje pomaže da se napori usredotoče na ostvarivanje projekata i programskih rezultata.</w:t>
      </w:r>
    </w:p>
    <w:p w:rsidR="007E56F3" w:rsidRDefault="007E56F3">
      <w:pPr>
        <w:widowControl w:val="0"/>
        <w:spacing w:after="120" w:line="240" w:lineRule="auto"/>
        <w:jc w:val="both"/>
        <w:rPr>
          <w:rFonts w:ascii="Times New Roman" w:hAnsi="Times New Roman"/>
          <w:noProof/>
          <w:sz w:val="24"/>
          <w:szCs w:val="24"/>
          <w:lang w:val="hr-HR"/>
        </w:rPr>
      </w:pPr>
      <w:r>
        <w:rPr>
          <w:rFonts w:ascii="Times New Roman" w:hAnsi="Times New Roman"/>
          <w:noProof/>
          <w:sz w:val="24"/>
          <w:lang w:val="hr-HR"/>
        </w:rPr>
        <w:t xml:space="preserve">Komisija će do kraja 2015. pratiti provedbu elemenata pojednostavnjivanja u svakom području politike te usmjeravati te odvojene inicijative s pomoću pregleda administrativnog pojednostavnjivanja. </w:t>
      </w:r>
    </w:p>
    <w:p w:rsidR="007E56F3" w:rsidRDefault="007E56F3">
      <w:pPr>
        <w:widowControl w:val="0"/>
        <w:spacing w:after="120" w:line="240" w:lineRule="auto"/>
        <w:jc w:val="both"/>
        <w:rPr>
          <w:rFonts w:ascii="Times New Roman" w:hAnsi="Times New Roman"/>
          <w:noProof/>
          <w:sz w:val="24"/>
          <w:szCs w:val="24"/>
          <w:lang w:val="hr-HR"/>
        </w:rPr>
      </w:pPr>
      <w:r>
        <w:rPr>
          <w:rFonts w:ascii="Times New Roman" w:hAnsi="Times New Roman"/>
          <w:noProof/>
          <w:sz w:val="24"/>
          <w:lang w:val="hr-HR"/>
        </w:rPr>
        <w:t>Komisija će uzeti u obzir rezultate tog praćenja i mjere koordinacije u reviziji višegodišnjeg financijskog okvira sredinom razdoblja (što bi trebalo biti 2016.) te sljedećoj reviziji FU-a.</w:t>
      </w:r>
    </w:p>
    <w:p w:rsidR="007E56F3" w:rsidRDefault="007E56F3">
      <w:pPr>
        <w:tabs>
          <w:tab w:val="left" w:pos="850"/>
        </w:tabs>
        <w:spacing w:before="360" w:after="120" w:line="240" w:lineRule="auto"/>
        <w:ind w:left="850" w:hanging="850"/>
        <w:jc w:val="both"/>
        <w:outlineLvl w:val="0"/>
        <w:rPr>
          <w:rFonts w:ascii="Times New Roman" w:hAnsi="Times New Roman"/>
          <w:b/>
          <w:smallCaps/>
          <w:noProof/>
          <w:color w:val="000000"/>
          <w:sz w:val="24"/>
          <w:szCs w:val="20"/>
          <w:lang w:val="hr-HR"/>
        </w:rPr>
      </w:pPr>
      <w:r>
        <w:rPr>
          <w:rFonts w:ascii="Times New Roman" w:hAnsi="Times New Roman"/>
          <w:b/>
          <w:smallCaps/>
          <w:noProof/>
          <w:color w:val="000000"/>
          <w:sz w:val="24"/>
          <w:lang w:val="hr-HR"/>
        </w:rPr>
        <w:t xml:space="preserve">3. </w:t>
      </w:r>
      <w:r>
        <w:rPr>
          <w:noProof/>
          <w:lang w:val="hr-HR"/>
        </w:rPr>
        <w:tab/>
      </w:r>
      <w:r>
        <w:rPr>
          <w:rFonts w:ascii="Times New Roman" w:hAnsi="Times New Roman"/>
          <w:b/>
          <w:smallCaps/>
          <w:noProof/>
          <w:color w:val="000000"/>
          <w:sz w:val="24"/>
          <w:lang w:val="hr-HR"/>
        </w:rPr>
        <w:t>Uspješnost (točke 303. do 310.)</w:t>
      </w:r>
    </w:p>
    <w:p w:rsidR="007E56F3" w:rsidRDefault="007E56F3">
      <w:pPr>
        <w:widowControl w:val="0"/>
        <w:spacing w:after="120" w:line="240" w:lineRule="auto"/>
        <w:jc w:val="both"/>
        <w:rPr>
          <w:rFonts w:ascii="Times New Roman" w:hAnsi="Times New Roman"/>
          <w:bCs/>
          <w:iCs/>
          <w:noProof/>
          <w:sz w:val="24"/>
          <w:szCs w:val="20"/>
          <w:lang w:val="hr-HR"/>
        </w:rPr>
      </w:pPr>
      <w:r>
        <w:rPr>
          <w:rFonts w:ascii="Times New Roman" w:hAnsi="Times New Roman"/>
          <w:noProof/>
          <w:sz w:val="24"/>
          <w:lang w:val="hr-HR"/>
        </w:rPr>
        <w:t>Nova generacija programa potrošnje za višegodišnji financijski okvir za razdoblje 2014. – 2010. doprinijet će ciljevima strategije Europa 2010. s obzirom da je ona više usmjerena na uspješnost, kako je detaljno opisano u ranije spomenutom pismu potpredsjednice Georgieve.</w:t>
      </w:r>
    </w:p>
    <w:p w:rsidR="007E56F3" w:rsidRDefault="007E56F3">
      <w:pPr>
        <w:widowControl w:val="0"/>
        <w:spacing w:after="120" w:line="240" w:lineRule="auto"/>
        <w:jc w:val="both"/>
        <w:rPr>
          <w:rFonts w:ascii="Times New Roman" w:hAnsi="Times New Roman"/>
          <w:bCs/>
          <w:iCs/>
          <w:noProof/>
          <w:sz w:val="24"/>
          <w:szCs w:val="20"/>
          <w:lang w:val="hr-HR"/>
        </w:rPr>
      </w:pPr>
      <w:r>
        <w:rPr>
          <w:rFonts w:ascii="Times New Roman" w:hAnsi="Times New Roman"/>
          <w:noProof/>
          <w:sz w:val="24"/>
          <w:lang w:val="hr-HR"/>
        </w:rPr>
        <w:t>Nakon rezolucije EP-a od 3. prosinca 2013. o „Integriranom okviru unutarnje kontrole” (točka 40.)</w:t>
      </w:r>
      <w:r>
        <w:rPr>
          <w:rFonts w:ascii="Times New Roman" w:hAnsi="Times New Roman"/>
          <w:noProof/>
          <w:sz w:val="24"/>
          <w:vertAlign w:val="superscript"/>
          <w:lang w:val="hr-HR"/>
        </w:rPr>
        <w:footnoteReference w:id="9"/>
      </w:r>
      <w:r>
        <w:rPr>
          <w:rFonts w:ascii="Times New Roman" w:hAnsi="Times New Roman"/>
          <w:noProof/>
          <w:sz w:val="24"/>
          <w:lang w:val="hr-HR"/>
        </w:rPr>
        <w:t>, Komisija je poduzela nužne korake kako bi tijekom 2015. uspostavila Međuinstitucijsku radnu skupinu o proračunu koji se temelji na uspješnosti.</w:t>
      </w:r>
    </w:p>
    <w:p w:rsidR="007E56F3" w:rsidRDefault="007E56F3">
      <w:pPr>
        <w:widowControl w:val="0"/>
        <w:spacing w:after="120" w:line="240" w:lineRule="auto"/>
        <w:jc w:val="both"/>
        <w:rPr>
          <w:rFonts w:ascii="Times New Roman" w:hAnsi="Times New Roman"/>
          <w:bCs/>
          <w:iCs/>
          <w:noProof/>
          <w:sz w:val="24"/>
          <w:szCs w:val="20"/>
          <w:lang w:val="hr-HR"/>
        </w:rPr>
      </w:pPr>
      <w:r>
        <w:rPr>
          <w:rFonts w:ascii="Times New Roman" w:hAnsi="Times New Roman"/>
          <w:noProof/>
          <w:sz w:val="24"/>
          <w:lang w:val="hr-HR"/>
        </w:rPr>
        <w:t xml:space="preserve">EP zahtijeva da plan upravljanja glavnih direktora sadržava ograničeni broj ciljeva o kojima izvješćuju u godišnjim izvješćima o radu. Komisija naglašava da je godišnje izvješće o radu za 2013. sadržavalo izvješće o napretku u postizanju ključnih etapa i dugoročnih ciljeva utvrđenih u planovima upravljanja za 2013. te je u njega uključen i sažetak provedenih evaluacija i revizija uspješnosti.  </w:t>
      </w:r>
    </w:p>
    <w:p w:rsidR="007E56F3" w:rsidRDefault="007E56F3">
      <w:pPr>
        <w:widowControl w:val="0"/>
        <w:spacing w:after="120" w:line="240" w:lineRule="auto"/>
        <w:jc w:val="both"/>
        <w:rPr>
          <w:rFonts w:ascii="Times New Roman" w:hAnsi="Times New Roman"/>
          <w:noProof/>
          <w:color w:val="000000"/>
          <w:sz w:val="24"/>
          <w:szCs w:val="24"/>
          <w:lang w:val="hr-HR"/>
        </w:rPr>
      </w:pPr>
      <w:r>
        <w:rPr>
          <w:rFonts w:ascii="Times New Roman" w:hAnsi="Times New Roman"/>
          <w:noProof/>
          <w:sz w:val="24"/>
          <w:lang w:val="hr-HR"/>
        </w:rPr>
        <w:t>U rezoluciji se traži da se u buduća izvješća o evaluaciji  uključe dvije analize koje se odnose na djelotvornost, učinkovitost i rezultate koji su u okviru Plana ulaganja ostvareni u području rasta</w:t>
      </w:r>
      <w:r>
        <w:rPr>
          <w:rFonts w:ascii="Times New Roman" w:hAnsi="Times New Roman"/>
          <w:noProof/>
          <w:sz w:val="24"/>
          <w:vertAlign w:val="superscript"/>
          <w:lang w:val="hr-HR"/>
        </w:rPr>
        <w:footnoteReference w:id="10"/>
      </w:r>
      <w:r>
        <w:rPr>
          <w:rFonts w:ascii="Times New Roman" w:hAnsi="Times New Roman"/>
          <w:noProof/>
          <w:color w:val="000000"/>
          <w:sz w:val="24"/>
          <w:lang w:val="hr-HR"/>
        </w:rPr>
        <w:t xml:space="preserve"> te one koji su u okviru Plana za rast i radna mjesta ostvareni u pogledu radnih mjesta.</w:t>
      </w:r>
    </w:p>
    <w:p w:rsidR="007E56F3" w:rsidRDefault="007E56F3">
      <w:pPr>
        <w:widowControl w:val="0"/>
        <w:spacing w:after="120" w:line="240" w:lineRule="auto"/>
        <w:jc w:val="both"/>
        <w:rPr>
          <w:rFonts w:ascii="Times New Roman" w:hAnsi="Times New Roman"/>
          <w:bCs/>
          <w:iCs/>
          <w:noProof/>
          <w:sz w:val="24"/>
          <w:szCs w:val="20"/>
          <w:lang w:val="hr-HR"/>
        </w:rPr>
      </w:pPr>
      <w:r>
        <w:rPr>
          <w:rFonts w:ascii="Times New Roman" w:hAnsi="Times New Roman"/>
          <w:noProof/>
          <w:sz w:val="24"/>
          <w:lang w:val="hr-HR"/>
        </w:rPr>
        <w:t>Što se tiče prve analize, nakon dogovora EP-a i Vijeća (5.6.2015.), Komisija će dostaviti: (a) evaluaciju u pogledu upotrebe i funkcioniranja jamstva EU-a uz koju se prilaže mišljenje Europskog revizorskog suda i (b) izvješće koje sadržava neovisnu evaluaciju primjene Uredbe.</w:t>
      </w:r>
    </w:p>
    <w:p w:rsidR="007E56F3" w:rsidRDefault="007E56F3">
      <w:pPr>
        <w:widowControl w:val="0"/>
        <w:spacing w:after="120" w:line="240" w:lineRule="auto"/>
        <w:jc w:val="both"/>
        <w:rPr>
          <w:rFonts w:ascii="Times New Roman" w:hAnsi="Times New Roman"/>
          <w:bCs/>
          <w:iCs/>
          <w:noProof/>
          <w:sz w:val="24"/>
          <w:szCs w:val="20"/>
          <w:lang w:val="hr-HR"/>
        </w:rPr>
      </w:pPr>
      <w:r>
        <w:rPr>
          <w:rFonts w:ascii="Times New Roman" w:hAnsi="Times New Roman"/>
          <w:noProof/>
          <w:sz w:val="24"/>
          <w:lang w:val="hr-HR"/>
        </w:rPr>
        <w:t xml:space="preserve">Što se tiče druge analize, Komisija ističe da se u izvješću o evaluaciji nalaze podaci o Planu za rast i radna mjesta koji je Europsko vijeće donijelo u lipnju 2012. u onoj mjeri u kojoj se mjere financiraju iz proračuna EU-a.  </w:t>
      </w:r>
    </w:p>
    <w:p w:rsidR="007E56F3" w:rsidRDefault="007E56F3">
      <w:pPr>
        <w:widowControl w:val="0"/>
        <w:spacing w:after="120" w:line="240" w:lineRule="auto"/>
        <w:jc w:val="both"/>
        <w:rPr>
          <w:rFonts w:ascii="Times New Roman" w:hAnsi="Times New Roman"/>
          <w:bCs/>
          <w:iCs/>
          <w:noProof/>
          <w:sz w:val="24"/>
          <w:szCs w:val="20"/>
          <w:lang w:val="hr-HR"/>
        </w:rPr>
      </w:pPr>
      <w:r>
        <w:rPr>
          <w:rFonts w:ascii="Times New Roman" w:hAnsi="Times New Roman"/>
          <w:noProof/>
          <w:sz w:val="24"/>
          <w:lang w:val="hr-HR"/>
        </w:rPr>
        <w:t xml:space="preserve">Dva dodatna zahtjeva odnose se na koordinaciju u unutarnjoj organizaciji Komisije. U svojim novim metodama rada Komisija utvrđuje na koji način osigurava da njezin rad bude u okviru ključnih područja političkih smjernica u svim službama Komisije te nastoji razviti jaču kulturu uspješnosti povezanu s proračunom EU-a. Osim toga, politikama EU-a upravlja se te ih se koordinira na način da se uzima u obzir horizontalna priroda aktivnosti GU-ova. </w:t>
      </w:r>
    </w:p>
    <w:p w:rsidR="007E56F3" w:rsidRDefault="007E56F3">
      <w:pPr>
        <w:widowControl w:val="0"/>
        <w:spacing w:after="120" w:line="240" w:lineRule="auto"/>
        <w:jc w:val="both"/>
        <w:rPr>
          <w:rFonts w:ascii="Times New Roman" w:hAnsi="Times New Roman"/>
          <w:bCs/>
          <w:iCs/>
          <w:noProof/>
          <w:sz w:val="24"/>
          <w:szCs w:val="20"/>
          <w:lang w:val="hr-HR"/>
        </w:rPr>
      </w:pPr>
      <w:r>
        <w:rPr>
          <w:rFonts w:ascii="Times New Roman" w:hAnsi="Times New Roman"/>
          <w:noProof/>
          <w:sz w:val="24"/>
          <w:lang w:val="hr-HR"/>
        </w:rPr>
        <w:t xml:space="preserve">U tom kontekstu uspostavljena je mreža povjerenika koji su usredotočeni na proračun EU-a kojim se ostvaruju rezultati. </w:t>
      </w:r>
    </w:p>
    <w:p w:rsidR="007E56F3" w:rsidRDefault="007E56F3">
      <w:pPr>
        <w:tabs>
          <w:tab w:val="left" w:pos="850"/>
        </w:tabs>
        <w:spacing w:before="360" w:after="120" w:line="240" w:lineRule="auto"/>
        <w:ind w:left="850" w:hanging="850"/>
        <w:jc w:val="both"/>
        <w:outlineLvl w:val="0"/>
        <w:rPr>
          <w:rFonts w:ascii="Times New Roman" w:hAnsi="Times New Roman"/>
          <w:b/>
          <w:smallCaps/>
          <w:noProof/>
          <w:color w:val="000000"/>
          <w:sz w:val="24"/>
          <w:szCs w:val="20"/>
          <w:lang w:val="hr-HR"/>
        </w:rPr>
      </w:pPr>
      <w:r>
        <w:rPr>
          <w:rFonts w:ascii="Times New Roman" w:hAnsi="Times New Roman"/>
          <w:b/>
          <w:smallCaps/>
          <w:noProof/>
          <w:color w:val="000000"/>
          <w:sz w:val="24"/>
          <w:lang w:val="hr-HR"/>
        </w:rPr>
        <w:t>4.</w:t>
      </w:r>
      <w:r>
        <w:rPr>
          <w:noProof/>
          <w:lang w:val="hr-HR"/>
        </w:rPr>
        <w:tab/>
      </w:r>
      <w:r>
        <w:rPr>
          <w:rFonts w:ascii="Times New Roman" w:hAnsi="Times New Roman"/>
          <w:b/>
          <w:smallCaps/>
          <w:noProof/>
          <w:color w:val="000000"/>
          <w:sz w:val="24"/>
          <w:lang w:val="hr-HR"/>
        </w:rPr>
        <w:t>Posebna pitanja</w:t>
      </w:r>
    </w:p>
    <w:p w:rsidR="007E56F3" w:rsidRDefault="007E56F3">
      <w:pPr>
        <w:tabs>
          <w:tab w:val="left" w:pos="850"/>
        </w:tabs>
        <w:spacing w:before="360" w:after="120" w:line="240" w:lineRule="auto"/>
        <w:ind w:left="850" w:hanging="850"/>
        <w:jc w:val="both"/>
        <w:outlineLvl w:val="0"/>
        <w:rPr>
          <w:rFonts w:ascii="Times New Roman" w:hAnsi="Times New Roman"/>
          <w:b/>
          <w:noProof/>
          <w:color w:val="000000"/>
          <w:sz w:val="24"/>
          <w:szCs w:val="20"/>
          <w:lang w:val="hr-HR"/>
        </w:rPr>
      </w:pPr>
      <w:r>
        <w:rPr>
          <w:rFonts w:ascii="Times New Roman" w:hAnsi="Times New Roman"/>
          <w:b/>
          <w:smallCaps/>
          <w:noProof/>
          <w:color w:val="000000"/>
          <w:sz w:val="24"/>
          <w:lang w:val="hr-HR"/>
        </w:rPr>
        <w:t xml:space="preserve">4.1. </w:t>
      </w:r>
      <w:r>
        <w:rPr>
          <w:noProof/>
          <w:lang w:val="hr-HR"/>
        </w:rPr>
        <w:tab/>
      </w:r>
      <w:r>
        <w:rPr>
          <w:rFonts w:ascii="Times New Roman" w:hAnsi="Times New Roman"/>
          <w:b/>
          <w:noProof/>
          <w:color w:val="000000"/>
          <w:sz w:val="24"/>
          <w:lang w:val="hr-HR"/>
        </w:rPr>
        <w:t>Sukob interesa (točka 56.)</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U pogledu zahtjeva EP-a da ispita aktualnu situaciju u zakonodavstvu država članica u tom području, Komisija podsjeća da je, u načelu, izbjegavanje sukoba interesa na nacionalnoj razini u nadležnosti država članica čak i kada se mogući sukob interesa odnosi na upravljanje sredstvima iz proračuna Unije.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U pogledu poziva da predstavi preporuke ili pravno obvezujuća rješenja, Komisija podsjeća da već postoje pravne odredbe</w:t>
      </w:r>
      <w:r>
        <w:rPr>
          <w:rFonts w:ascii="Times New Roman" w:hAnsi="Times New Roman"/>
          <w:noProof/>
          <w:color w:val="000000"/>
          <w:sz w:val="24"/>
          <w:vertAlign w:val="superscript"/>
          <w:lang w:val="hr-HR"/>
        </w:rPr>
        <w:footnoteReference w:id="11"/>
      </w:r>
      <w:r>
        <w:rPr>
          <w:rFonts w:ascii="Times New Roman" w:hAnsi="Times New Roman"/>
          <w:noProof/>
          <w:color w:val="000000"/>
          <w:sz w:val="24"/>
          <w:lang w:val="hr-HR"/>
        </w:rPr>
        <w:t xml:space="preserve"> za izbjegavanje sukoba interesa pri izvršavanju proračuna EU-a u okviru podijeljenog upravljanja.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Na državama članicama je da poduzmu neophodne mjere za izbjegavanje sukoba interesa u aktivnostima upravljanja i kontrole, osobito u pogledu odredaba FU-a.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Osim toga, u Uredbi o zajedničkim odredbama predviđeno je da se u operativnom programu osigurava odgovarajuće razdvajanje funkcija u slučaju kada je upravljačko tijelo ujedno i korisnik.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Isto tako, u pravilima javne nabave predviđa se da države članice osiguraju da javni naručitelji poduzmu odgovarajuće mjere za učinkovito sprječavanje, utvrđivanje i otklanjanje sukoba interesa nastalog u provedbi javne nabave kako bi se izbjeglo bilo kakvo narušavanja tržišnog natjecanja i kako bi se osiguralo jednako postupanje sa svim gospodarskim subjektima. </w:t>
      </w:r>
    </w:p>
    <w:p w:rsidR="007E56F3" w:rsidRDefault="007E56F3">
      <w:pPr>
        <w:tabs>
          <w:tab w:val="left" w:pos="850"/>
        </w:tabs>
        <w:spacing w:before="360" w:after="120" w:line="240" w:lineRule="auto"/>
        <w:ind w:left="850" w:hanging="850"/>
        <w:jc w:val="both"/>
        <w:outlineLvl w:val="0"/>
        <w:rPr>
          <w:rFonts w:ascii="Times New Roman" w:hAnsi="Times New Roman"/>
          <w:b/>
          <w:smallCaps/>
          <w:noProof/>
          <w:color w:val="000000"/>
          <w:sz w:val="24"/>
          <w:szCs w:val="20"/>
          <w:lang w:val="hr-HR"/>
        </w:rPr>
      </w:pPr>
      <w:r>
        <w:rPr>
          <w:rFonts w:ascii="Times New Roman" w:hAnsi="Times New Roman"/>
          <w:b/>
          <w:smallCaps/>
          <w:noProof/>
          <w:color w:val="000000"/>
          <w:sz w:val="24"/>
          <w:lang w:val="hr-HR"/>
        </w:rPr>
        <w:t>4.2.</w:t>
      </w:r>
      <w:r>
        <w:rPr>
          <w:noProof/>
          <w:lang w:val="hr-HR"/>
        </w:rPr>
        <w:tab/>
      </w:r>
      <w:r>
        <w:rPr>
          <w:rFonts w:ascii="Times New Roman" w:hAnsi="Times New Roman"/>
          <w:b/>
          <w:noProof/>
          <w:color w:val="000000"/>
          <w:sz w:val="24"/>
          <w:lang w:val="hr-HR"/>
        </w:rPr>
        <w:t>Predpristupno predfinanciranje (točka 215.)</w:t>
      </w:r>
    </w:p>
    <w:p w:rsidR="007E56F3" w:rsidRDefault="007E56F3">
      <w:pPr>
        <w:widowControl w:val="0"/>
        <w:spacing w:after="120" w:line="240" w:lineRule="auto"/>
        <w:jc w:val="both"/>
        <w:rPr>
          <w:rFonts w:ascii="Times New Roman" w:hAnsi="Times New Roman"/>
          <w:noProof/>
          <w:sz w:val="24"/>
          <w:szCs w:val="24"/>
          <w:lang w:val="hr-HR"/>
        </w:rPr>
      </w:pPr>
      <w:r>
        <w:rPr>
          <w:rFonts w:ascii="Times New Roman" w:hAnsi="Times New Roman"/>
          <w:noProof/>
          <w:sz w:val="24"/>
          <w:lang w:val="hr-HR"/>
        </w:rPr>
        <w:t>U pogledu poravnanja devet transakcija povezanih s nacionalnim programima za predpristupanje, Komisija naglašava da se u tom slučaju dogodila tek privremena knjigovodstvena proceduralna pogreška.  Komisija je stalno tvrdila da ta pogreška nije utjecala na pouzdanost računa ni na zakonitost odnosno pravilnost uključenih transakcija.</w:t>
      </w:r>
    </w:p>
    <w:p w:rsidR="007E56F3" w:rsidRDefault="007E56F3">
      <w:pPr>
        <w:widowControl w:val="0"/>
        <w:spacing w:after="120" w:line="240" w:lineRule="auto"/>
        <w:jc w:val="both"/>
        <w:rPr>
          <w:rFonts w:ascii="Times New Roman" w:hAnsi="Times New Roman"/>
          <w:noProof/>
          <w:sz w:val="24"/>
          <w:szCs w:val="24"/>
          <w:lang w:val="hr-HR"/>
        </w:rPr>
      </w:pPr>
      <w:r>
        <w:rPr>
          <w:rFonts w:ascii="Times New Roman" w:hAnsi="Times New Roman"/>
          <w:noProof/>
          <w:sz w:val="24"/>
          <w:lang w:val="hr-HR"/>
        </w:rPr>
        <w:t xml:space="preserve">Osim toga, predmetni stavak tek dijelom odražava zaključke Europskog revizorskog suda i uz njih povezane odgovore Komisije u godišnjem izvješću Europskog revizorskog suda za 2013. </w:t>
      </w:r>
    </w:p>
    <w:p w:rsidR="007E56F3" w:rsidRDefault="007E56F3">
      <w:pPr>
        <w:widowControl w:val="0"/>
        <w:spacing w:after="120" w:line="240" w:lineRule="auto"/>
        <w:jc w:val="both"/>
        <w:rPr>
          <w:rFonts w:ascii="Times New Roman" w:hAnsi="Times New Roman"/>
          <w:noProof/>
          <w:sz w:val="24"/>
          <w:szCs w:val="24"/>
          <w:lang w:val="hr-HR"/>
        </w:rPr>
      </w:pPr>
      <w:r>
        <w:rPr>
          <w:rFonts w:ascii="Times New Roman" w:hAnsi="Times New Roman"/>
          <w:noProof/>
          <w:sz w:val="24"/>
          <w:lang w:val="hr-HR"/>
        </w:rPr>
        <w:t xml:space="preserve">U pogledu usklađenosti praksi GU Proširenje s člankom 88. FU-a i člankom 100. njegovih pravila primjene, Komisija naglašava da se te odredbe odnose konkretno na potvrđivanje izdataka, do čega nije došlo ni u jednoj od tih transakcija. Komisija se stoga ne slaže da se nije postupalo u skladu s tim člankom: ni u jednoj fazi nije došlo do komunikacije s državom korisnicom u pogledu tih transakcija iz koje bi bilo vidljivo da je Komisija potvrdila povezani izdatak. </w:t>
      </w:r>
    </w:p>
    <w:p w:rsidR="007E56F3" w:rsidRDefault="007E56F3">
      <w:pPr>
        <w:widowControl w:val="0"/>
        <w:spacing w:after="120" w:line="240" w:lineRule="auto"/>
        <w:jc w:val="both"/>
        <w:rPr>
          <w:rFonts w:ascii="Times New Roman" w:hAnsi="Times New Roman"/>
          <w:noProof/>
          <w:sz w:val="24"/>
          <w:szCs w:val="24"/>
          <w:lang w:val="hr-HR"/>
        </w:rPr>
      </w:pPr>
      <w:r>
        <w:rPr>
          <w:rFonts w:ascii="Times New Roman" w:hAnsi="Times New Roman"/>
          <w:noProof/>
          <w:sz w:val="24"/>
          <w:lang w:val="hr-HR"/>
        </w:rPr>
        <w:t xml:space="preserve">Komisija primjećuje da su privremeni knjigovodstveni postupci na snazi bili tek dvije godine te da su ukinuti u trećoj. Glavna uprava sada je s relevantnim državama korisnicama uspostavila sustav kako bi osigurala da je priznavanje troškova u računovodstvenim knjigama u potpunosti u skladu s FU-om. </w:t>
      </w:r>
    </w:p>
    <w:p w:rsidR="007E56F3" w:rsidRDefault="007E56F3">
      <w:pPr>
        <w:tabs>
          <w:tab w:val="left" w:pos="850"/>
        </w:tabs>
        <w:spacing w:before="360" w:after="120" w:line="240" w:lineRule="auto"/>
        <w:ind w:left="850" w:hanging="850"/>
        <w:jc w:val="both"/>
        <w:outlineLvl w:val="0"/>
        <w:rPr>
          <w:rFonts w:ascii="Times New Roman" w:hAnsi="Times New Roman"/>
          <w:b/>
          <w:smallCaps/>
          <w:noProof/>
          <w:color w:val="000000"/>
          <w:sz w:val="24"/>
          <w:szCs w:val="20"/>
          <w:lang w:val="hr-HR"/>
        </w:rPr>
      </w:pPr>
      <w:r>
        <w:rPr>
          <w:rFonts w:ascii="Times New Roman" w:hAnsi="Times New Roman"/>
          <w:b/>
          <w:smallCaps/>
          <w:noProof/>
          <w:color w:val="000000"/>
          <w:sz w:val="24"/>
          <w:lang w:val="hr-HR"/>
        </w:rPr>
        <w:t>4.3.</w:t>
      </w:r>
      <w:r>
        <w:rPr>
          <w:noProof/>
          <w:lang w:val="hr-HR"/>
        </w:rPr>
        <w:tab/>
      </w:r>
      <w:r>
        <w:rPr>
          <w:rFonts w:ascii="Times New Roman" w:hAnsi="Times New Roman"/>
          <w:b/>
          <w:smallCaps/>
          <w:noProof/>
          <w:color w:val="000000"/>
          <w:sz w:val="24"/>
          <w:lang w:val="hr-HR"/>
        </w:rPr>
        <w:t>IMG (točke 234. do 235.)</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U rezoluciji se traži objašnjenje curenja u javnost završnog izvješća OLAF-a o IMG-u kao i donošenje odluke o pravnom statusu te organizacije. U okviru granica povjerljivosti Komisija će obavijestiti EP o rezultatima svoje istrage o okolnostima navodnog neovlaštenog curenja informacija u javnost.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U pogledu pravnog statusa IMG-a, Komisija se već izjasnila da, s obzirom na nove činjenične elemente u završnom izvješću OLAF-a, neće potpisivati daljnje ugovore s IMG-om u okviru posebnog postupka koji se primjenjuje na međunarodne organizacije dok IMG ne razjasni svoj status.</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Komisija bi željela podsjetiti da se FU-om i njegovim pravilima primjene osigurava jasan zakonski okvir za dodjelu bespovratnih sredstava bez poziva na podnošenje prijedloga te za dodjelu ugovora o javnoj nabavi u okviru pregovaračkih postupaka bez prethodne objave (u okviru izravnog upravljanja). U pravnim temeljima predviđene su konkretne situacije u kojima se mogu upotrebljavati te izravne dodjele, primjerice humanitarna pomoć, civilna zaštita ili krizno upravljanje pomoći, izvanredne situacije, situacije monopola, tijela koje je zakonodavac utvrdio u temeljnom aktu ili specifične mjere za koje je potrebna posebna vrsta korisnika u smislu njegove tehničke kompetencije, visokog stupnja specijalizacije ili većinom posebnih upravnih ovlasti. U slučaju javne nabave, u skladu s člankom 153. pravila primjene, u svakom godišnjem izvješću o radu (Prilog 3., tablice 11. i 12.) prijavljuje se broj pregovaračkih postupaka upotrijebljenih tijekom jedne godine.</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Važno je naglasiti da nema poveznice između tih specifičnih situacija i pravnog statusa korisnika ili ugovaratelja. Je li subjekt međunarodna organizacija ili ne nije važno u ovim konkretnim slučajevima: navodne prednosti koje bi neki subjekt mogao steći ako ga se razvrsta kao takvog ne mogu se naći u izravnom upravljanju, nego pristupom prethodnom zajedničkom upravljanju, a sad neizravnom upravljanju.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U rezoluciji se traži i da se EP obavijesti o istrazi koju je OLAF pokrenuo 2011. te da mu se dostavi popis svih organizacija, trgovačkih društava, drugih tijela ili osoba, zajedno s njihovim pravnim statusom, koje su od Komisije dobile ugovore bez poziva na podnošenje prijedloga.</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U pogledu prvog zahtjeva, Komisija je redovito izvješćivala predsjedatelja odbora CONT i njegove članove. Osobito podsjeća da su 17. lipnja 2015. predsjedatelj odbora CONT i njegovi članovi tijekom zatvorenog sastanka obaviješteni o tome da je Komisija potaknula OLAF da nastavi istragu o IMG-u. Komisija bi se htjela pozvati na te informacije.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U pogledu drugog zahtjeva, Komisija smatra da bi sastavljanje popisa primatelja ugovora dodijeljenih u pregovaračkom postupku ili izravno dodijeljenih bespovratnih sredstava i njihovo povezivanje s pravnim statusom bilo nesrazmjerno veliko radno opterećenje s obzirom na to da takvi podaci nisu lako dostupni u središnjim bazama podataka. Osim toga, slučajevi izravne dodjele jasno su navedeni u godišnjim izvješćima o radu, kako je prethodno već spomenuto. </w:t>
      </w:r>
    </w:p>
    <w:p w:rsidR="007E56F3" w:rsidRDefault="007E56F3">
      <w:pPr>
        <w:tabs>
          <w:tab w:val="left" w:pos="850"/>
        </w:tabs>
        <w:spacing w:before="360" w:after="120" w:line="240" w:lineRule="auto"/>
        <w:ind w:left="850" w:hanging="850"/>
        <w:jc w:val="both"/>
        <w:outlineLvl w:val="0"/>
        <w:rPr>
          <w:rFonts w:ascii="Times New Roman" w:hAnsi="Times New Roman"/>
          <w:b/>
          <w:smallCaps/>
          <w:noProof/>
          <w:color w:val="000000"/>
          <w:sz w:val="24"/>
          <w:szCs w:val="20"/>
          <w:lang w:val="hr-HR"/>
        </w:rPr>
      </w:pPr>
      <w:r>
        <w:rPr>
          <w:rFonts w:ascii="Times New Roman" w:hAnsi="Times New Roman"/>
          <w:b/>
          <w:smallCaps/>
          <w:noProof/>
          <w:color w:val="000000"/>
          <w:sz w:val="24"/>
          <w:lang w:val="hr-HR"/>
        </w:rPr>
        <w:t>4.4.</w:t>
      </w:r>
      <w:r>
        <w:rPr>
          <w:noProof/>
          <w:lang w:val="hr-HR"/>
        </w:rPr>
        <w:tab/>
      </w:r>
      <w:r>
        <w:rPr>
          <w:rFonts w:ascii="Times New Roman" w:hAnsi="Times New Roman"/>
          <w:b/>
          <w:smallCaps/>
          <w:noProof/>
          <w:color w:val="000000"/>
          <w:sz w:val="24"/>
          <w:lang w:val="hr-HR"/>
        </w:rPr>
        <w:t>OLAF (točke 280. do 287.)</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Zahtjevi Parlamenta u tom području uglavnom se odnose na odnose između OLAF-a i njegova nadzornog odbora. Komisija uvjerava EP da se ti odnosi propisno razmatraju.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OLAF je osobito u pogledu neovisnosti nadzornog odbora, u skladu s Uredbom 883/2013, poduzeo, u mjeri u kojoj je to moguće, mjere kojima se jamče neovisno funkcioniranje i financijska autonomija nadzornog odbora i njegova proračuna. Komisija u okviru postojećeg zakonskog okvira istražuje mogućnosti njegova daljnjeg osnaživanja, osobito u pogledu ljudskih resursa i proračunskog upravljanja. EP će biti pravovremeno obaviješten. Isto tako, u pogledu zahtjeva da se prije preinaka uputa osoblju o postupcima istrage i prije utvrđivanja prioriteta istražne politike obavi savjetovanje s nadzornim odborom, OLAF je s nadzornim odborom već obavio savjetovanje o svojim smjernicama osoblju u pogledu postupaka istrage i o svojim prioritetima istražne politike u skladu s Uredbom 883/2013 i Programom rada koji su donijeli OLAF i nadzorni odbor, a namjerava tako postupati i u budućnosti. </w:t>
      </w:r>
    </w:p>
    <w:p w:rsidR="007E56F3" w:rsidRDefault="007E56F3">
      <w:pPr>
        <w:spacing w:before="120" w:after="120" w:line="240" w:lineRule="auto"/>
        <w:jc w:val="both"/>
        <w:rPr>
          <w:rFonts w:ascii="Times New Roman" w:hAnsi="Times New Roman"/>
          <w:noProof/>
          <w:color w:val="000000"/>
          <w:sz w:val="24"/>
          <w:szCs w:val="24"/>
          <w:lang w:val="hr-HR"/>
        </w:rPr>
      </w:pPr>
      <w:r>
        <w:rPr>
          <w:rFonts w:ascii="Times New Roman" w:hAnsi="Times New Roman"/>
          <w:noProof/>
          <w:color w:val="000000"/>
          <w:sz w:val="24"/>
          <w:lang w:val="hr-HR"/>
        </w:rPr>
        <w:t xml:space="preserve">U pogledu provedbe preporuka nadzornog odbora, Komisija uvjerava EP da OLAF pomno razmatra sve preporuke nadzornog odbora i ulaže znatna sredstva kako bi proveo niz tih preporuka. Nadzorni odbor 2014. prvi je puta pratio nastavak mjera u pogledu preporuka koje je izdao za prethodnu godinu. Trenutačno se uspostavlja postupak provedbe takvog nastavka mjera u budućnosti. OLAF i nadzorni odbor djeluju zajedno kako bi ostvarili dobru suradnju u tom pogledu. Zakonitost istraga koje je pokrenuo OLAF u kontekstu njegove reorganizacije 1. veljače 2012. razmatra se u izvješću nadzornog odbora br. 3/2014 od 20. siječnja 2015. OLAF je 9. veljače 2015. dostavio svoje primjedbe na izvješće nadzornog odbora, a one su priložene izvješću nadzornog odbora koje je 12. veljače 2015. poslano institucijama. Statističke podatke o trajanju istraga OLAF predstavlja u svojim godišnjim izvješćima. Osim toga, glavni direktor OLAF-a zatražio je da nadzorni odbor izradi opsežno mišljenje o statistici OLAF-a; nadzorni odbor uključio je to mišljenje u svoj program rada za 2015. </w:t>
      </w:r>
    </w:p>
    <w:p w:rsidR="007E56F3" w:rsidRDefault="007E56F3">
      <w:pPr>
        <w:spacing w:before="120" w:after="120" w:line="240" w:lineRule="auto"/>
        <w:jc w:val="center"/>
        <w:rPr>
          <w:rFonts w:ascii="Times New Roman" w:hAnsi="Times New Roman"/>
          <w:noProof/>
          <w:sz w:val="20"/>
          <w:szCs w:val="24"/>
          <w:lang w:val="hr-HR"/>
        </w:rPr>
      </w:pPr>
      <w:r>
        <w:rPr>
          <w:rFonts w:ascii="Times New Roman" w:hAnsi="Times New Roman"/>
          <w:noProof/>
          <w:color w:val="000000"/>
          <w:sz w:val="24"/>
          <w:lang w:val="hr-HR"/>
        </w:rPr>
        <w:t>* * *</w:t>
      </w:r>
      <w:bookmarkStart w:id="2" w:name="CopyToNewDocument_"/>
      <w:bookmarkEnd w:id="2"/>
    </w:p>
    <w:p w:rsidR="007E56F3" w:rsidRDefault="007E56F3">
      <w:pPr>
        <w:rPr>
          <w:noProof/>
          <w:lang w:val="hr-HR"/>
        </w:rPr>
      </w:pPr>
    </w:p>
    <w:sectPr w:rsidR="007E56F3" w:rsidSect="007E56F3">
      <w:headerReference w:type="even" r:id="rId15"/>
      <w:headerReference w:type="default" r:id="rId16"/>
      <w:footerReference w:type="even" r:id="rId17"/>
      <w:footerReference w:type="default" r:id="rId18"/>
      <w:headerReference w:type="first" r:id="rId19"/>
      <w:footerReference w:type="first" r:id="rId20"/>
      <w:pgSz w:w="11900" w:h="16840"/>
      <w:pgMar w:top="1134" w:right="1417" w:bottom="1134" w:left="1417" w:header="709" w:footer="709"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6F3" w:rsidRDefault="007E56F3">
      <w:pPr>
        <w:spacing w:after="0" w:line="240" w:lineRule="auto"/>
      </w:pPr>
      <w:r>
        <w:separator/>
      </w:r>
    </w:p>
  </w:endnote>
  <w:endnote w:type="continuationSeparator" w:id="0">
    <w:p w:rsidR="007E56F3" w:rsidRDefault="007E5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F3" w:rsidRDefault="007E56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F3" w:rsidRDefault="007E56F3">
    <w:pPr>
      <w:pStyle w:val="FooterCoverPage"/>
      <w:rPr>
        <w:rFonts w:ascii="Arial" w:hAnsi="Arial" w:cs="Arial"/>
        <w:b/>
        <w:sz w:val="48"/>
      </w:rPr>
    </w:pPr>
    <w:r>
      <w:rPr>
        <w:rFonts w:ascii="Arial" w:hAnsi="Arial" w:cs="Arial"/>
        <w:b/>
        <w:sz w:val="48"/>
      </w:rPr>
      <w:t>HR</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F3" w:rsidRDefault="007E56F3">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F3" w:rsidRDefault="007E56F3">
    <w:pPr>
      <w:pStyle w:val="Footer1"/>
      <w:tabs>
        <w:tab w:val="clear" w:pos="9921"/>
        <w:tab w:val="right" w:pos="9612"/>
      </w:tabs>
      <w:rPr>
        <w:color w:val="auto"/>
        <w:sz w:val="20"/>
      </w:rPr>
    </w:pPr>
    <w:r>
      <w:rPr>
        <w:rFonts w:ascii="Arial" w:hAnsi="Arial"/>
        <w:b/>
        <w:sz w:val="48"/>
      </w:rPr>
      <w:t>EN</w:t>
    </w:r>
    <w:r>
      <w:rPr>
        <w:rFonts w:ascii="Arial" w:hAnsi="Arial"/>
        <w:b/>
        <w:sz w:val="48"/>
      </w:rPr>
      <w:tab/>
    </w:r>
    <w:r>
      <w:fldChar w:fldCharType="begin"/>
    </w:r>
    <w:r>
      <w:instrText xml:space="preserve"> PAGE </w:instrText>
    </w:r>
    <w:r>
      <w:fldChar w:fldCharType="separate"/>
    </w:r>
    <w:r>
      <w:rPr>
        <w:noProof/>
      </w:rPr>
      <w:t>2</w:t>
    </w:r>
    <w:r>
      <w:fldChar w:fldCharType="end"/>
    </w:r>
    <w:r>
      <w:tab/>
      <w:t xml:space="preserve"> </w:t>
    </w:r>
    <w:r>
      <w:tab/>
    </w:r>
    <w:r>
      <w:rPr>
        <w:rFonts w:ascii="Arial" w:hAnsi="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F3" w:rsidRDefault="007E56F3">
    <w:pPr>
      <w:pStyle w:val="Footer1"/>
      <w:tabs>
        <w:tab w:val="clear" w:pos="9921"/>
        <w:tab w:val="right" w:pos="9612"/>
      </w:tabs>
      <w:rPr>
        <w:color w:val="auto"/>
        <w:sz w:val="20"/>
      </w:rPr>
    </w:pPr>
    <w:r>
      <w:rPr>
        <w:rFonts w:ascii="Arial" w:hAnsi="Arial"/>
        <w:b/>
        <w:sz w:val="48"/>
      </w:rPr>
      <w:t xml:space="preserve"> </w:t>
    </w:r>
    <w:r>
      <w:rPr>
        <w:rFonts w:ascii="Arial" w:hAnsi="Arial"/>
        <w:b/>
        <w:sz w:val="48"/>
      </w:rPr>
      <w:tab/>
    </w:r>
    <w:r>
      <w:fldChar w:fldCharType="begin"/>
    </w:r>
    <w:r>
      <w:instrText xml:space="preserve"> PAGE </w:instrText>
    </w:r>
    <w:r>
      <w:fldChar w:fldCharType="separate"/>
    </w:r>
    <w:r>
      <w:rPr>
        <w:noProof/>
      </w:rPr>
      <w:t>2</w:t>
    </w:r>
    <w:r>
      <w:fldChar w:fldCharType="end"/>
    </w:r>
    <w:r>
      <w:tab/>
    </w:r>
    <w:r>
      <w:rPr>
        <w:rFonts w:ascii="Arial" w:hAnsi="Arial"/>
        <w:b/>
        <w:sz w:val="48"/>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F3" w:rsidRDefault="007E56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6F3" w:rsidRDefault="007E56F3">
      <w:pPr>
        <w:spacing w:after="0" w:line="240" w:lineRule="auto"/>
      </w:pPr>
      <w:r>
        <w:separator/>
      </w:r>
    </w:p>
  </w:footnote>
  <w:footnote w:type="continuationSeparator" w:id="0">
    <w:p w:rsidR="007E56F3" w:rsidRDefault="007E56F3">
      <w:pPr>
        <w:spacing w:after="0" w:line="240" w:lineRule="auto"/>
      </w:pPr>
      <w:r>
        <w:continuationSeparator/>
      </w:r>
    </w:p>
  </w:footnote>
  <w:footnote w:id="1">
    <w:p w:rsidR="007E56F3" w:rsidRDefault="007E56F3">
      <w:pPr>
        <w:pStyle w:val="FootnoteText1"/>
        <w:rPr>
          <w:lang w:val="hr-HR"/>
        </w:rPr>
      </w:pPr>
      <w:r>
        <w:rPr>
          <w:rStyle w:val="FootnoteReference1"/>
          <w:lang w:val="hr-HR"/>
        </w:rPr>
        <w:footnoteRef/>
      </w:r>
      <w:r>
        <w:rPr>
          <w:lang w:val="hr-HR"/>
        </w:rPr>
        <w:tab/>
        <w:t xml:space="preserve">Razrješnica za izvršenje općeg proračuna za 2013., Posebna izvješća Europskog revizorskog suda u kontekstu davanja razrješnice Komisiji, razrješnice ERF-u i razrješnice agencijama. Upućivanja na dokumente P8_TA-PROV(2015)0118, P8_TA-PROV(2015)0119, P8_TA-PROV(2015)0120 odnosno P8_TA-PROV(2015)0130 dostupna su na sljedećoj </w:t>
      </w:r>
      <w:r>
        <w:rPr>
          <w:i/>
          <w:lang w:val="hr-HR"/>
        </w:rPr>
        <w:t>web</w:t>
      </w:r>
      <w:r>
        <w:rPr>
          <w:lang w:val="hr-HR"/>
        </w:rPr>
        <w:t xml:space="preserve">-adresi: </w:t>
      </w:r>
    </w:p>
    <w:p w:rsidR="007E56F3" w:rsidRDefault="007E56F3">
      <w:pPr>
        <w:pStyle w:val="FootnoteText1"/>
      </w:pPr>
      <w:r>
        <w:rPr>
          <w:lang w:val="hr-HR"/>
        </w:rPr>
        <w:tab/>
      </w:r>
      <w:hyperlink r:id="rId1">
        <w:r>
          <w:rPr>
            <w:rStyle w:val="Hyperlink"/>
            <w:lang w:val="hr-HR"/>
          </w:rPr>
          <w:t>http://www.europarl.europa.eu/sides/getDoc.do?type=TA&amp;reference=20150429&amp;secondRef=TOC&amp;language=en</w:t>
        </w:r>
      </w:hyperlink>
    </w:p>
  </w:footnote>
  <w:footnote w:id="2">
    <w:p w:rsidR="007E56F3" w:rsidRDefault="007E56F3">
      <w:pPr>
        <w:pStyle w:val="FootnoteText1"/>
        <w:rPr>
          <w:lang w:val="hr-HR"/>
        </w:rPr>
      </w:pPr>
      <w:r>
        <w:rPr>
          <w:rStyle w:val="FootnoteReference1"/>
          <w:lang w:val="hr-HR"/>
        </w:rPr>
        <w:footnoteRef/>
      </w:r>
      <w:r>
        <w:rPr>
          <w:lang w:val="hr-HR"/>
        </w:rPr>
        <w:tab/>
        <w:t>Upućivanja na dokumente 5303/15 ADD 1, 5303//1/15 REV 1, 5304/15, 5305/15, 5305/15 ADD1, 5306/15,   5306/15 ADD 1, 5549/15 objavljena na:</w:t>
      </w:r>
    </w:p>
    <w:p w:rsidR="007E56F3" w:rsidRDefault="007E56F3">
      <w:pPr>
        <w:pStyle w:val="FootnoteText1"/>
      </w:pPr>
      <w:r>
        <w:rPr>
          <w:lang w:val="hr-HR"/>
        </w:rPr>
        <w:tab/>
      </w:r>
      <w:hyperlink r:id="rId2">
        <w:r>
          <w:rPr>
            <w:rStyle w:val="Hyperlink"/>
            <w:lang w:val="hr-HR"/>
          </w:rPr>
          <w:t>http://www.europarl.europa.eu/committees/en/cont/discharge-2013.html</w:t>
        </w:r>
      </w:hyperlink>
    </w:p>
  </w:footnote>
  <w:footnote w:id="3">
    <w:p w:rsidR="007E56F3" w:rsidRDefault="007E56F3">
      <w:pPr>
        <w:pStyle w:val="FootnoteText"/>
      </w:pPr>
      <w:r>
        <w:rPr>
          <w:rStyle w:val="FootnoteReference"/>
          <w:lang w:val="hr-HR"/>
        </w:rPr>
        <w:footnoteRef/>
      </w:r>
      <w:r>
        <w:rPr>
          <w:lang w:val="hr-HR"/>
        </w:rPr>
        <w:t xml:space="preserve"> </w:t>
      </w:r>
      <w:r>
        <w:rPr>
          <w:lang w:val="hr-HR"/>
        </w:rPr>
        <w:tab/>
        <w:t>Ares(2015)971353, 4.3.2015.</w:t>
      </w:r>
    </w:p>
  </w:footnote>
  <w:footnote w:id="4">
    <w:p w:rsidR="007E56F3" w:rsidRDefault="007E56F3">
      <w:pPr>
        <w:pStyle w:val="FootnoteText"/>
      </w:pPr>
      <w:r>
        <w:rPr>
          <w:rStyle w:val="FootnoteReference"/>
          <w:lang w:val="hr-HR"/>
        </w:rPr>
        <w:footnoteRef/>
      </w:r>
      <w:r>
        <w:rPr>
          <w:lang w:val="hr-HR"/>
        </w:rPr>
        <w:t xml:space="preserve"> </w:t>
      </w:r>
      <w:r>
        <w:rPr>
          <w:lang w:val="hr-HR"/>
        </w:rPr>
        <w:tab/>
        <w:t xml:space="preserve">Vidi točke 2., 10., 12., 26. – 27., 34. – 35., 40, 44. – 45., 58., 91., 94., 103., 110., 137. – 138., 141., 143. </w:t>
      </w:r>
      <w:r>
        <w:rPr>
          <w:lang w:val="hr-HR"/>
        </w:rPr>
        <w:tab/>
        <w:t xml:space="preserve">– 144., 148., 152., 156., </w:t>
      </w:r>
      <w:r>
        <w:rPr>
          <w:lang w:val="hr-HR"/>
        </w:rPr>
        <w:tab/>
        <w:t xml:space="preserve">169., 218., 222., 224., 268. – 269., 271., 282. – 283., 290., 294. – 295., 297. </w:t>
      </w:r>
      <w:r>
        <w:rPr>
          <w:lang w:val="hr-HR"/>
        </w:rPr>
        <w:tab/>
        <w:t>Radnog dokumenta službi Komisije o rezolucijama EP-a.</w:t>
      </w:r>
    </w:p>
  </w:footnote>
  <w:footnote w:id="5">
    <w:p w:rsidR="007E56F3" w:rsidRDefault="007E56F3">
      <w:pPr>
        <w:pStyle w:val="FootnoteText"/>
      </w:pPr>
      <w:r>
        <w:rPr>
          <w:rStyle w:val="FootnoteReference"/>
          <w:lang w:val="hr-HR"/>
        </w:rPr>
        <w:footnoteRef/>
      </w:r>
      <w:r>
        <w:rPr>
          <w:lang w:val="hr-HR"/>
        </w:rPr>
        <w:t xml:space="preserve"> </w:t>
      </w:r>
      <w:r>
        <w:rPr>
          <w:lang w:val="hr-HR"/>
        </w:rPr>
        <w:tab/>
        <w:t xml:space="preserve">Vidi točku 50. </w:t>
      </w:r>
      <w:r>
        <w:rPr>
          <w:sz w:val="19"/>
          <w:szCs w:val="19"/>
          <w:lang w:val="hr-HR"/>
        </w:rPr>
        <w:t>Radnog dokumenta službi Komisije o Preporuci Vijeća</w:t>
      </w:r>
      <w:r>
        <w:rPr>
          <w:lang w:val="hr-HR"/>
        </w:rPr>
        <w:t>.</w:t>
      </w:r>
    </w:p>
  </w:footnote>
  <w:footnote w:id="6">
    <w:p w:rsidR="007E56F3" w:rsidRDefault="007E56F3">
      <w:pPr>
        <w:pStyle w:val="FootnoteText"/>
      </w:pPr>
      <w:r>
        <w:rPr>
          <w:rStyle w:val="FootnoteReference"/>
          <w:lang w:val="hr-HR"/>
        </w:rPr>
        <w:footnoteRef/>
      </w:r>
      <w:r>
        <w:rPr>
          <w:lang w:val="hr-HR"/>
        </w:rPr>
        <w:t xml:space="preserve"> </w:t>
      </w:r>
      <w:r>
        <w:rPr>
          <w:lang w:val="hr-HR"/>
        </w:rPr>
        <w:tab/>
      </w:r>
      <w:r>
        <w:rPr>
          <w:color w:val="auto"/>
          <w:lang w:val="hr-HR"/>
        </w:rPr>
        <w:t>COM(2014)688 završna verzija.</w:t>
      </w:r>
    </w:p>
  </w:footnote>
  <w:footnote w:id="7">
    <w:p w:rsidR="007E56F3" w:rsidRDefault="007E56F3">
      <w:pPr>
        <w:pStyle w:val="FootnoteText"/>
      </w:pPr>
      <w:r>
        <w:rPr>
          <w:rStyle w:val="FootnoteReference"/>
          <w:lang w:val="hr-HR"/>
        </w:rPr>
        <w:footnoteRef/>
      </w:r>
      <w:r>
        <w:rPr>
          <w:lang w:val="hr-HR"/>
        </w:rPr>
        <w:t xml:space="preserve"> </w:t>
      </w:r>
      <w:r>
        <w:rPr>
          <w:lang w:val="hr-HR"/>
        </w:rPr>
        <w:tab/>
        <w:t>COM(2014)618 završna verzija.</w:t>
      </w:r>
    </w:p>
  </w:footnote>
  <w:footnote w:id="8">
    <w:p w:rsidR="007E56F3" w:rsidRDefault="007E56F3">
      <w:pPr>
        <w:pStyle w:val="FootnoteText"/>
      </w:pPr>
      <w:r>
        <w:rPr>
          <w:rStyle w:val="FootnoteReference"/>
          <w:lang w:val="hr-HR"/>
        </w:rPr>
        <w:footnoteRef/>
      </w:r>
      <w:r>
        <w:rPr>
          <w:lang w:val="hr-HR"/>
        </w:rPr>
        <w:t xml:space="preserve"> </w:t>
      </w:r>
      <w:r>
        <w:rPr>
          <w:lang w:val="hr-HR"/>
        </w:rPr>
        <w:tab/>
        <w:t>COM(2015)279 završna verzija.</w:t>
      </w:r>
    </w:p>
  </w:footnote>
  <w:footnote w:id="9">
    <w:p w:rsidR="007E56F3" w:rsidRDefault="007E56F3">
      <w:pPr>
        <w:pStyle w:val="FootnoteText"/>
        <w:ind w:left="709" w:hanging="709"/>
      </w:pPr>
      <w:r>
        <w:rPr>
          <w:rStyle w:val="FootnoteReference"/>
          <w:lang w:val="hr-HR"/>
        </w:rPr>
        <w:footnoteRef/>
      </w:r>
      <w:r>
        <w:rPr>
          <w:lang w:val="hr-HR"/>
        </w:rPr>
        <w:t xml:space="preserve"> </w:t>
      </w:r>
      <w:r>
        <w:rPr>
          <w:lang w:val="hr-HR"/>
        </w:rPr>
        <w:tab/>
        <w:t xml:space="preserve">Dostupno na: </w:t>
      </w:r>
      <w:hyperlink r:id="rId3">
        <w:r>
          <w:rPr>
            <w:rStyle w:val="Hyperlink"/>
            <w:lang w:val="hr-HR"/>
          </w:rPr>
          <w:t>http://www.europarl.europa.eu/sides/getDoc.do?type=TA&amp;reference=P7-TA-2013-0319&amp;language=EN&amp;ring=A7-2013-0189</w:t>
        </w:r>
      </w:hyperlink>
    </w:p>
  </w:footnote>
  <w:footnote w:id="10">
    <w:p w:rsidR="007E56F3" w:rsidRDefault="007E56F3">
      <w:pPr>
        <w:pStyle w:val="FootnoteText"/>
        <w:ind w:left="709" w:hanging="709"/>
      </w:pPr>
      <w:r>
        <w:rPr>
          <w:rStyle w:val="FootnoteReference"/>
          <w:lang w:val="hr-HR"/>
        </w:rPr>
        <w:footnoteRef/>
      </w:r>
      <w:r>
        <w:rPr>
          <w:lang w:val="hr-HR"/>
        </w:rPr>
        <w:t xml:space="preserve"> </w:t>
      </w:r>
      <w:r>
        <w:rPr>
          <w:lang w:val="hr-HR"/>
        </w:rPr>
        <w:tab/>
        <w:t>COM(2015)10 završna verzija.</w:t>
      </w:r>
    </w:p>
  </w:footnote>
  <w:footnote w:id="11">
    <w:p w:rsidR="007E56F3" w:rsidRDefault="007E56F3">
      <w:pPr>
        <w:pStyle w:val="FootnoteText"/>
      </w:pPr>
      <w:r>
        <w:rPr>
          <w:rStyle w:val="FootnoteReference"/>
          <w:lang w:val="hr-HR"/>
        </w:rPr>
        <w:footnoteRef/>
      </w:r>
      <w:r>
        <w:rPr>
          <w:lang w:val="hr-HR"/>
        </w:rPr>
        <w:t xml:space="preserve"> </w:t>
      </w:r>
      <w:r>
        <w:rPr>
          <w:lang w:val="hr-HR"/>
        </w:rPr>
        <w:tab/>
        <w:t xml:space="preserve">Članak 32. stavak 3. i članak 59. stavak 1. FU-a, članak 125. stavak 7. Uredbe o zajedničkim odredbama, članak 24. Direktive 2014/24/EU Europskog parlamenta i Vijeća o javnoj nabavi.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F3" w:rsidRDefault="007E56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F3" w:rsidRDefault="007E56F3">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F3" w:rsidRDefault="007E56F3">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F3" w:rsidRDefault="007E56F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F3" w:rsidRDefault="007E56F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F3" w:rsidRDefault="007E56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decimal"/>
      <w:isLgl/>
      <w:suff w:val="nothing"/>
      <w:lvlText w:val="%1."/>
      <w:lvlJc w:val="left"/>
      <w:pPr>
        <w:ind w:firstLine="2693"/>
      </w:pPr>
      <w:rPr>
        <w:rFonts w:cs="Times New Roman" w:hint="default"/>
        <w:color w:val="000000"/>
        <w:position w:val="0"/>
        <w:sz w:val="24"/>
      </w:rPr>
    </w:lvl>
    <w:lvl w:ilvl="1">
      <w:start w:val="1"/>
      <w:numFmt w:val="decimal"/>
      <w:isLgl/>
      <w:lvlText w:val="%1.%2."/>
      <w:lvlJc w:val="left"/>
      <w:pPr>
        <w:tabs>
          <w:tab w:val="num" w:pos="567"/>
        </w:tabs>
        <w:ind w:left="567"/>
      </w:pPr>
      <w:rPr>
        <w:rFonts w:cs="Times New Roman" w:hint="default"/>
        <w:color w:val="000000"/>
        <w:position w:val="0"/>
        <w:sz w:val="24"/>
      </w:rPr>
    </w:lvl>
    <w:lvl w:ilvl="2">
      <w:start w:val="1"/>
      <w:numFmt w:val="decimal"/>
      <w:isLgl/>
      <w:suff w:val="nothing"/>
      <w:lvlText w:val="%1.%2.%3."/>
      <w:lvlJc w:val="left"/>
      <w:pPr>
        <w:ind w:firstLine="850"/>
      </w:pPr>
      <w:rPr>
        <w:rFonts w:cs="Times New Roman" w:hint="default"/>
        <w:color w:val="000000"/>
        <w:position w:val="0"/>
        <w:sz w:val="24"/>
      </w:rPr>
    </w:lvl>
    <w:lvl w:ilvl="3">
      <w:start w:val="1"/>
      <w:numFmt w:val="decimal"/>
      <w:isLgl/>
      <w:suff w:val="nothing"/>
      <w:lvlText w:val="%1.%2.%3.%4."/>
      <w:lvlJc w:val="left"/>
      <w:pPr>
        <w:ind w:firstLine="850"/>
      </w:pPr>
      <w:rPr>
        <w:rFonts w:cs="Times New Roman" w:hint="default"/>
        <w:color w:val="000000"/>
        <w:position w:val="0"/>
        <w:sz w:val="24"/>
      </w:rPr>
    </w:lvl>
    <w:lvl w:ilvl="4">
      <w:start w:val="1"/>
      <w:numFmt w:val="lowerLetter"/>
      <w:suff w:val="nothing"/>
      <w:lvlText w:val="(%5)"/>
      <w:lvlJc w:val="left"/>
      <w:pPr>
        <w:ind w:firstLine="1800"/>
      </w:pPr>
      <w:rPr>
        <w:rFonts w:cs="Times New Roman" w:hint="default"/>
        <w:color w:val="000000"/>
        <w:position w:val="0"/>
        <w:sz w:val="24"/>
      </w:rPr>
    </w:lvl>
    <w:lvl w:ilvl="5">
      <w:start w:val="1"/>
      <w:numFmt w:val="lowerRoman"/>
      <w:suff w:val="nothing"/>
      <w:lvlText w:val="(%6)"/>
      <w:lvlJc w:val="left"/>
      <w:pPr>
        <w:ind w:firstLine="2160"/>
      </w:pPr>
      <w:rPr>
        <w:rFonts w:cs="Times New Roman" w:hint="default"/>
        <w:color w:val="000000"/>
        <w:position w:val="0"/>
        <w:sz w:val="24"/>
      </w:rPr>
    </w:lvl>
    <w:lvl w:ilvl="6">
      <w:start w:val="1"/>
      <w:numFmt w:val="decimal"/>
      <w:isLgl/>
      <w:suff w:val="nothing"/>
      <w:lvlText w:val="%7."/>
      <w:lvlJc w:val="left"/>
      <w:pPr>
        <w:ind w:firstLine="2520"/>
      </w:pPr>
      <w:rPr>
        <w:rFonts w:cs="Times New Roman" w:hint="default"/>
        <w:color w:val="000000"/>
        <w:position w:val="0"/>
        <w:sz w:val="24"/>
      </w:rPr>
    </w:lvl>
    <w:lvl w:ilvl="7">
      <w:start w:val="1"/>
      <w:numFmt w:val="lowerLetter"/>
      <w:suff w:val="nothing"/>
      <w:lvlText w:val="%8."/>
      <w:lvlJc w:val="left"/>
      <w:pPr>
        <w:ind w:firstLine="2880"/>
      </w:pPr>
      <w:rPr>
        <w:rFonts w:cs="Times New Roman" w:hint="default"/>
        <w:color w:val="000000"/>
        <w:position w:val="0"/>
        <w:sz w:val="24"/>
      </w:rPr>
    </w:lvl>
    <w:lvl w:ilvl="8">
      <w:start w:val="1"/>
      <w:numFmt w:val="lowerRoman"/>
      <w:suff w:val="nothing"/>
      <w:lvlText w:val="%9."/>
      <w:lvlJc w:val="left"/>
      <w:pPr>
        <w:ind w:firstLine="3240"/>
      </w:pPr>
      <w:rPr>
        <w:rFonts w:cs="Times New Roman" w:hint="default"/>
        <w:color w:val="000000"/>
        <w:position w:val="0"/>
        <w:sz w:val="24"/>
      </w:rPr>
    </w:lvl>
  </w:abstractNum>
  <w:abstractNum w:abstractNumId="1">
    <w:nsid w:val="349614BC"/>
    <w:multiLevelType w:val="hybridMultilevel"/>
    <w:tmpl w:val="2B5A6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ED7C5446FF3743659411066DADD379D9"/>
    <w:docVar w:name="LW_CROSSREFERENCE" w:val="{SWD(2015) 194 final}_{SWD(2015) 195 final}"/>
    <w:docVar w:name="LW_DocType" w:val="NORMAL"/>
    <w:docVar w:name="LW_EMISSION" w:val="8.10.2015."/>
    <w:docVar w:name="LW_EMISSION_ISODATE" w:val="2015-10-08"/>
    <w:docVar w:name="LW_EMISSION_LOCATION" w:val="BRX"/>
    <w:docVar w:name="LW_EMISSION_PREFIX" w:val="Bruxelles, "/>
    <w:docVar w:name="LW_EMISSION_SUFFIX" w:val="&lt;EMPTY&gt;"/>
    <w:docVar w:name="LW_ID_DOCTYPE_NONLW" w:val="CP-006"/>
    <w:docVar w:name="LW_LANGUE" w:val="HR"/>
    <w:docVar w:name="LW_MARKING" w:val="&lt;UNUSED&gt;"/>
    <w:docVar w:name="LW_NOM.INST" w:val="EUROPSKA KOMISIJA"/>
    <w:docVar w:name="LW_NOM.INST_JOINTDOC" w:val="&lt;EMPTY&gt;"/>
    <w:docVar w:name="LW_PART_NBR" w:val="1"/>
    <w:docVar w:name="LW_PART_NBR_TOTAL" w:val="1"/>
    <w:docVar w:name="LW_REF.INST.NEW" w:val="COM"/>
    <w:docVar w:name="LW_REF.INST.NEW_ADOPTED" w:val="final"/>
    <w:docVar w:name="LW_REF.INST.NEW_TEXT" w:val="(2015) 505"/>
    <w:docVar w:name="LW_REF.INTERNE" w:val="&lt;UNUSED&gt;"/>
    <w:docVar w:name="LW_SOUS.TITRE.OBJ.CP" w:val="&lt;UNUSED&gt;"/>
    <w:docVar w:name="LW_SUPERTITRE" w:val="&lt;UNUSED&gt;"/>
    <w:docVar w:name="LW_TITRE.OBJ.CP" w:val="o nastavku mjera u vezi s razrje\u353?nicom za financijsku godinu 2013. (sa\u382?etak)"/>
    <w:docVar w:name="LW_TYPE.DOC.CP" w:val="IZVJE\u352?\u262?E KOMISIJE EUROPSKOM PARLAMENTU I VIJE\u262?U"/>
  </w:docVars>
  <w:rsids>
    <w:rsidRoot w:val="007E56F3"/>
    <w:rsid w:val="007E5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locked/>
    <w:rPr>
      <w:rFonts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szCs w:val="20"/>
      <w:lang w:val="en-US"/>
    </w:rPr>
  </w:style>
  <w:style w:type="character" w:customStyle="1" w:styleId="FooterCoverPageChar">
    <w:name w:val="Footer Cover Page Char"/>
    <w:link w:val="FooterCoverPage"/>
    <w:locked/>
    <w:rPr>
      <w:rFonts w:ascii="Times New Roman" w:hAnsi="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szCs w:val="20"/>
      <w:lang w:val="en-US"/>
    </w:rPr>
  </w:style>
  <w:style w:type="character" w:customStyle="1" w:styleId="HeaderCoverPageChar">
    <w:name w:val="Header Cover Page Char"/>
    <w:link w:val="HeaderCoverPage"/>
    <w:locked/>
    <w:rPr>
      <w:rFonts w:ascii="Times New Roman" w:hAnsi="Times New Roman"/>
      <w:sz w:val="24"/>
    </w:rPr>
  </w:style>
  <w:style w:type="paragraph" w:customStyle="1" w:styleId="Footer1">
    <w:name w:val="Footer1"/>
    <w:pPr>
      <w:tabs>
        <w:tab w:val="center" w:pos="4535"/>
        <w:tab w:val="right" w:pos="9071"/>
        <w:tab w:val="right" w:pos="9921"/>
      </w:tabs>
      <w:spacing w:before="360"/>
    </w:pPr>
    <w:rPr>
      <w:rFonts w:ascii="Times New Roman" w:hAnsi="Times New Roman"/>
      <w:color w:val="000000"/>
      <w:sz w:val="24"/>
      <w:lang w:val="en-GB" w:eastAsia="en-GB"/>
    </w:rPr>
  </w:style>
  <w:style w:type="paragraph" w:customStyle="1" w:styleId="FootnoteText1">
    <w:name w:val="Footnote Text1"/>
    <w:uiPriority w:val="99"/>
    <w:pPr>
      <w:ind w:left="720" w:hanging="720"/>
      <w:jc w:val="both"/>
    </w:pPr>
    <w:rPr>
      <w:rFonts w:ascii="Times New Roman" w:hAnsi="Times New Roman"/>
      <w:color w:val="000000"/>
      <w:lang w:val="en-GB" w:eastAsia="en-GB"/>
    </w:rPr>
  </w:style>
  <w:style w:type="character" w:customStyle="1" w:styleId="FootnoteReference1">
    <w:name w:val="Footnote Reference1"/>
    <w:uiPriority w:val="99"/>
    <w:rPr>
      <w:color w:val="000000"/>
      <w:sz w:val="20"/>
      <w:vertAlign w:val="superscript"/>
    </w:rPr>
  </w:style>
  <w:style w:type="paragraph" w:styleId="FootnoteText">
    <w:name w:val="footnote text"/>
    <w:basedOn w:val="Normal"/>
    <w:link w:val="FootnoteTextChar"/>
    <w:uiPriority w:val="99"/>
    <w:pPr>
      <w:spacing w:before="120" w:after="120" w:line="240" w:lineRule="auto"/>
      <w:jc w:val="both"/>
    </w:pPr>
    <w:rPr>
      <w:rFonts w:ascii="Times New Roman" w:hAnsi="Times New Roman"/>
      <w:color w:val="000000"/>
      <w:sz w:val="20"/>
      <w:szCs w:val="20"/>
      <w:lang w:val="en-US"/>
    </w:rPr>
  </w:style>
  <w:style w:type="character" w:customStyle="1" w:styleId="FootnoteTextChar">
    <w:name w:val="Footnote Text Char"/>
    <w:basedOn w:val="DefaultParagraphFont"/>
    <w:link w:val="FootnoteText"/>
    <w:uiPriority w:val="99"/>
    <w:locked/>
    <w:rPr>
      <w:rFonts w:ascii="Times New Roman" w:eastAsia="Times New Roman" w:hAnsi="Times New Roman"/>
      <w:color w:val="000000"/>
      <w:sz w:val="20"/>
      <w:lang w:val="x-none" w:eastAsia="x-none"/>
    </w:rPr>
  </w:style>
  <w:style w:type="character" w:styleId="FootnoteReference">
    <w:name w:val="footnote reference"/>
    <w:basedOn w:val="DefaultParagraphFont"/>
    <w:uiPriority w:val="99"/>
    <w:rPr>
      <w:vertAlign w:val="superscript"/>
    </w:rPr>
  </w:style>
  <w:style w:type="character" w:styleId="Hyperlink">
    <w:name w:val="Hyperlink"/>
    <w:basedOn w:val="DefaultParagraphFont"/>
    <w:uiPriority w:val="99"/>
    <w:rPr>
      <w:color w:val="0000FF"/>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http://www.europarl.europa.eu/sides/getDoc.do?type=TA&amp;reference=P7-TA-2013-0319&amp;language=EN&amp;ring=A7-2013-0189" TargetMode="External"/><Relationship Id="rId2" Type="http://schemas.openxmlformats.org/officeDocument/2006/relationships/hyperlink" Target="http://www.europarl.europa.eu/committees/en/cont/discharge-2013.html" TargetMode="External"/><Relationship Id="rId1" Type="http://schemas.openxmlformats.org/officeDocument/2006/relationships/hyperlink" Target="http://www.europarl.europa.eu/sides/getDoc.do?type=TA&amp;reference=20150429&amp;secondRef=TOC&amp;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4C879-1DE8-4F98-AB99-14255AE88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Normal_Wordconv</Template>
  <TotalTime>3</TotalTime>
  <Pages>9</Pages>
  <Words>3531</Words>
  <Characters>21293</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17</cp:revision>
  <cp:lastPrinted>2015-09-22T14:20:00Z</cp:lastPrinted>
  <dcterms:created xsi:type="dcterms:W3CDTF">2015-10-05T09:56:00Z</dcterms:created>
  <dcterms:modified xsi:type="dcterms:W3CDTF">2015-10-08T07:20:00Z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