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15D1EE3384F40728FB5E37C6A9C48A3" style="width:450pt;height:348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0" w:h="16840"/>
          <w:pgMar w:top="1134" w:right="1417" w:bottom="1134" w:left="1417" w:header="709" w:footer="709" w:gutter="0"/>
          <w:pgNumType w:start="1"/>
          <w:cols w:space="720"/>
          <w:docGrid w:linePitch="326"/>
        </w:sectPr>
      </w:pPr>
    </w:p>
    <w:p>
      <w:pPr>
        <w:pStyle w:val="Brdtext"/>
        <w:spacing w:after="0" w:line="240" w:lineRule="auto"/>
        <w:rPr>
          <w:b/>
          <w:bCs/>
          <w:smallCaps/>
          <w:noProof/>
          <w:u w:val="single"/>
        </w:rPr>
      </w:pPr>
      <w:bookmarkStart w:id="1" w:name="_GoBack"/>
      <w:bookmarkEnd w:id="1"/>
      <w:r>
        <w:rPr>
          <w:b/>
          <w:smallCaps/>
          <w:noProof/>
          <w:u w:val="single"/>
        </w:rPr>
        <w:lastRenderedPageBreak/>
        <w:t>1. Kontekst</w:t>
      </w:r>
    </w:p>
    <w:p>
      <w:pPr>
        <w:pStyle w:val="Brdtext"/>
        <w:spacing w:after="0" w:line="240" w:lineRule="auto"/>
        <w:rPr>
          <w:rFonts w:hAnsi="Times New Roman" w:cs="Times New Roman"/>
          <w:b/>
          <w:bCs/>
          <w:noProof/>
        </w:rPr>
      </w:pPr>
    </w:p>
    <w:p>
      <w:pPr>
        <w:pStyle w:val="Brdtext"/>
        <w:spacing w:after="0" w:line="240" w:lineRule="auto"/>
        <w:rPr>
          <w:rFonts w:hAnsi="Times New Roman" w:cs="Times New Roman"/>
          <w:noProof/>
        </w:rPr>
      </w:pPr>
      <w:r>
        <w:rPr>
          <w:rFonts w:hAnsi="Times New Roman" w:cs="Times New Roman"/>
          <w:noProof/>
        </w:rPr>
        <w:t>Europa je suočena s nizom hitnih zadataka: ponovnom uspostavom stvaranja radnih mjesta i gospodarskog napretka te postizanjem održivog rasta, premošćivanjem nedostataka u području ulaganja; jačanjem socijalne kohezije; posvećivanjem posebne pažnje sprečavanju radikalizacije i nasilja. Istovremeno, Europa mora riješiti dugoročne izazove kao što su starenje, prilagodba digitalnom dobu i konkurentnost u globalnom gospodarstvu utemeljenom na znanju.</w:t>
      </w:r>
    </w:p>
    <w:p>
      <w:pPr>
        <w:pStyle w:val="Brdtext"/>
        <w:tabs>
          <w:tab w:val="left" w:pos="1152"/>
        </w:tabs>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Političko djelovanje Europe u okviru novog Programa za zapošljavanje, rast, pravednost i demokratske promjene predstavlja nov početak. Postoje snažni gospodarski argumenti u prilog tome da bi obrazovanje i osposobljavanje kao sektor kojim se pogoduje razvoju mogli imati presudnu ulogu u okviru tog novog programa. Ulaganje u ljudski kapital dobro je potrošen novac. Kvalitetnim obrazovanjem i osposobljavanjem potiče se promicanje održivog gospodarskog rasta: njima se podupiru istraživanja i razvoj, inovacije, produktivnost i konkurentnost. Kako je naglašeno u smjernicama za zapošljavanje iz 2015., potrebno je povećati učinkovitost i djelotvornost sustava obrazovanja i osposobljavanja kako bi se podigla razina vještina radne snage te riješio problem neusklađenosti vještina i uspješnije predvidjele i ispunile potrebe tržišta rada koja se ubrzano mijenjaju. To je posebno važno u društvu koje sve više prožima digitalizacija te radi prijelaza na kružno gospodarstvo.</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Tragični valovi nasilnog ekstremizma početkom 2015. podsjetili su na važnost uloge obrazovanja i osposobljavanja u poticanju uključenosti i jednakosti, stvaranju uzajamnog poštovanja te ugrađivanju temeljnih vrijednosti u otvoreno i demokratsko društvo. Zahvaljujući informiranju ljudi, a posebno onih u najnepovoljnijem položaju, obrazovanje i osposobljavanje od presudne su važnosti u borbi protiv siromaštva, socijalne isključenosti i diskriminacije te u izgradnji temelja aktivnog građanstva.</w:t>
      </w:r>
      <w:r>
        <w:rPr>
          <w:rFonts w:hAnsi="Times New Roman" w:cs="Times New Roman"/>
          <w:noProof/>
          <w:color w:val="auto"/>
        </w:rPr>
        <w:t xml:space="preserve"> </w:t>
      </w:r>
      <w:r>
        <w:rPr>
          <w:rFonts w:hAnsi="Times New Roman" w:cs="Times New Roman"/>
          <w:noProof/>
        </w:rPr>
        <w:t>Stoga bi u okviru obrazovanja i osposobljavanja trebalo pojačati napore kako bi se poboljšao pristup kvalitetnom učenju za sve, čime bi se poticala uzlazna socijalna konvergencija.</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 xml:space="preserve">Obrazovanje i osposobljavanje stoga su znatan doprinos nizu strategija i inicijativa EU-a, uključujući strategiju Europa 2020., inicijativu za jedinstveno digitalno tržište, Europski program sigurnosti i Plan ulaganja za Europu, pri čemu se poštuje nadležnost država članica nad vlastitim sustavima obrazovanja i osposobljavanja. Strateškim okvirom za obrazovanje i osposobljavanje do 2020. („ET 2020.”) dopunjuju se nacionalne mjere te se razmjenama među kolegama, uzajamnim učenjem i izgradnjom baze znanja podupiru države članice u provedbi reforma kojima će se dodatno povećati njihova uspješnost. </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U Komisijinu pregledu obrazovanja i osposobljavanja iz 2014. vidljivo je da i dalje postoje ozbiljni izazovi:</w:t>
      </w:r>
    </w:p>
    <w:p>
      <w:pPr>
        <w:pStyle w:val="Brdtext"/>
        <w:spacing w:after="0" w:line="240" w:lineRule="auto"/>
        <w:rPr>
          <w:rFonts w:hAnsi="Times New Roman" w:cs="Times New Roman"/>
          <w:noProof/>
        </w:rPr>
      </w:pPr>
    </w:p>
    <w:p>
      <w:pPr>
        <w:pStyle w:val="Brdtext"/>
        <w:spacing w:after="0" w:line="240" w:lineRule="auto"/>
        <w:ind w:left="426" w:hanging="426"/>
        <w:rPr>
          <w:rFonts w:hAnsi="Times New Roman" w:cs="Times New Roman"/>
          <w:noProof/>
        </w:rPr>
      </w:pPr>
      <w:r>
        <w:rPr>
          <w:rFonts w:hAnsi="Times New Roman" w:cs="Times New Roman"/>
          <w:noProof/>
        </w:rPr>
        <w:t xml:space="preserve">– </w:t>
      </w:r>
      <w:r>
        <w:rPr>
          <w:rFonts w:hAnsi="Times New Roman" w:cs="Times New Roman"/>
          <w:noProof/>
        </w:rPr>
        <w:tab/>
        <w:t>20 % 15-godišnjaka u EU-u postiže slabe rezultate u čitanju, znanosti i matematici; razina pismenosti i matematičke pismenosti niska je kod 20 % odraslih osoba, 25 % odraslih osoba postiglo je tek nisku razinu digitalnih vještina, a samo 10,7 % odraslih sudjeluje u programima cjeloživotnog učenja te je među njima jako mali broj osoba s niskim razinama vještina,</w:t>
      </w:r>
    </w:p>
    <w:p>
      <w:pPr>
        <w:pStyle w:val="Brdtext"/>
        <w:spacing w:after="0" w:line="240" w:lineRule="auto"/>
        <w:ind w:left="426" w:hanging="426"/>
        <w:rPr>
          <w:rFonts w:hAnsi="Times New Roman" w:cs="Times New Roman"/>
          <w:noProof/>
        </w:rPr>
      </w:pPr>
    </w:p>
    <w:p>
      <w:pPr>
        <w:pStyle w:val="Brdtext"/>
        <w:spacing w:after="0" w:line="240" w:lineRule="auto"/>
        <w:ind w:left="426" w:hanging="426"/>
        <w:rPr>
          <w:rFonts w:hAnsi="Times New Roman" w:cs="Times New Roman"/>
          <w:noProof/>
        </w:rPr>
      </w:pPr>
      <w:r>
        <w:rPr>
          <w:rFonts w:hAnsi="Times New Roman" w:cs="Times New Roman"/>
          <w:noProof/>
        </w:rPr>
        <w:t>–</w:t>
      </w:r>
      <w:r>
        <w:rPr>
          <w:rFonts w:hAnsi="Times New Roman" w:cs="Times New Roman"/>
          <w:noProof/>
        </w:rPr>
        <w:tab/>
        <w:t>postotak ranog prekidanja školovanja sada je 11,1 % i 19 država članica ostvarilo je glavni cilj u okviru strategije Europa 2020., ali i dalje postoji više od 5 milijuna osoba koje su rano prekinule školovanje te je stopa nezaposlenosti među njima vrlo visoka (41 %),</w:t>
      </w:r>
    </w:p>
    <w:p>
      <w:pPr>
        <w:pStyle w:val="Brdtext"/>
        <w:spacing w:after="0" w:line="240" w:lineRule="auto"/>
        <w:ind w:left="426" w:hanging="426"/>
        <w:rPr>
          <w:rFonts w:hAnsi="Times New Roman" w:cs="Times New Roman"/>
          <w:noProof/>
        </w:rPr>
      </w:pPr>
    </w:p>
    <w:p>
      <w:pPr>
        <w:pStyle w:val="Brdtext"/>
        <w:spacing w:after="0" w:line="240" w:lineRule="auto"/>
        <w:ind w:left="426" w:hanging="426"/>
        <w:rPr>
          <w:rFonts w:hAnsi="Times New Roman" w:cs="Times New Roman"/>
          <w:noProof/>
        </w:rPr>
      </w:pPr>
      <w:r>
        <w:rPr>
          <w:rFonts w:hAnsi="Times New Roman" w:cs="Times New Roman"/>
          <w:noProof/>
        </w:rPr>
        <w:t xml:space="preserve">– </w:t>
      </w:r>
      <w:r>
        <w:rPr>
          <w:rFonts w:hAnsi="Times New Roman" w:cs="Times New Roman"/>
          <w:noProof/>
        </w:rPr>
        <w:tab/>
        <w:t xml:space="preserve">stjecanje visokog obrazovanja i dalje se poboljšava i sada je na razini od 37,9 %. Šesnaest država članica ostvarilo je glavni cilj u okviru strategije Europa 2020., ali zapošljivost diplomanata i dalje je ozbiljan problem u zemljama na koje je kriza najviše utjecala. </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Opsežni pregled stanja strateškog okvira ET 2020. u sredini programskog razdoblja proveden 2014., u koji su bili uključeni države članice i ključni dionici te na kojem se temelji ovo izvješće, doveo je do triju glavnih zaključaka:</w:t>
      </w:r>
    </w:p>
    <w:p>
      <w:pPr>
        <w:pStyle w:val="Brdtext"/>
        <w:spacing w:after="0" w:line="240" w:lineRule="auto"/>
        <w:rPr>
          <w:rFonts w:hAnsi="Times New Roman" w:cs="Times New Roman"/>
          <w:noProof/>
        </w:rPr>
      </w:pPr>
    </w:p>
    <w:p>
      <w:pPr>
        <w:pStyle w:val="Brdtext"/>
        <w:spacing w:after="0" w:line="240" w:lineRule="auto"/>
        <w:ind w:left="426" w:hanging="426"/>
        <w:rPr>
          <w:rFonts w:hAnsi="Times New Roman" w:cs="Times New Roman"/>
          <w:noProof/>
        </w:rPr>
      </w:pPr>
      <w:r>
        <w:rPr>
          <w:rFonts w:hAnsi="Times New Roman" w:cs="Times New Roman"/>
          <w:noProof/>
        </w:rPr>
        <w:t>–</w:t>
      </w:r>
      <w:r>
        <w:rPr>
          <w:rFonts w:hAnsi="Times New Roman" w:cs="Times New Roman"/>
          <w:noProof/>
        </w:rPr>
        <w:tab/>
        <w:t>potvrđena je velika vrijednost integriranog okvira kojim su obuhvaćeni obrazovanje i osposobljavanje na svim razinama. Usklađenost politike od predškolskog i školskog odgoja do visokog obrazovanja, strukovnog obrazovanja i osposobljavanja te obrazovanja odraslih nužna je zbog današnje potrebe za fleksibilnošću i prenosivošću iskustava učenja,</w:t>
      </w:r>
    </w:p>
    <w:p>
      <w:pPr>
        <w:pStyle w:val="Brdtext"/>
        <w:spacing w:after="0" w:line="240" w:lineRule="auto"/>
        <w:ind w:left="426" w:hanging="426"/>
        <w:rPr>
          <w:rFonts w:hAnsi="Times New Roman" w:cs="Times New Roman"/>
          <w:noProof/>
        </w:rPr>
      </w:pPr>
    </w:p>
    <w:p>
      <w:pPr>
        <w:pStyle w:val="Brdtext"/>
        <w:spacing w:after="0" w:line="240" w:lineRule="auto"/>
        <w:ind w:left="426" w:hanging="426"/>
        <w:rPr>
          <w:rFonts w:hAnsi="Times New Roman" w:cs="Times New Roman"/>
          <w:noProof/>
        </w:rPr>
      </w:pPr>
      <w:r>
        <w:rPr>
          <w:rFonts w:hAnsi="Times New Roman" w:cs="Times New Roman"/>
          <w:noProof/>
        </w:rPr>
        <w:t>–</w:t>
      </w:r>
      <w:r>
        <w:rPr>
          <w:rFonts w:hAnsi="Times New Roman" w:cs="Times New Roman"/>
          <w:noProof/>
        </w:rPr>
        <w:tab/>
        <w:t>četiri strateška cilja okvira ET 2020. ( i trenutačne referentne vrijednosti EU-a) i dalje vrijede jer su utvrđeni, na opsežan način usmjeren na budućnost, u zaključcima Vijeća iz 2009. o strateškom okviru ET 2020., zbog čega se smatraju solidnom osnovom za aktivnosti u tom okviru do 2020. Međutim, potrebno je preusmjeriti fokus politike kako bi se obuhvatili aktualni gospodarski izazovi i izazovi u području zapošljavanja te uloga obrazovanja u promicanju jednakosti i nediskriminacije, kao i u prenošenju temeljnih vrijednosti, međukulturnih kompetencija i aktivnog građanstva,</w:t>
      </w:r>
    </w:p>
    <w:p>
      <w:pPr>
        <w:pStyle w:val="Brdtext"/>
        <w:spacing w:after="0" w:line="240" w:lineRule="auto"/>
        <w:rPr>
          <w:rFonts w:hAnsi="Times New Roman" w:cs="Times New Roman"/>
          <w:noProof/>
        </w:rPr>
      </w:pPr>
    </w:p>
    <w:p>
      <w:pPr>
        <w:pStyle w:val="Brdtext"/>
        <w:spacing w:after="0" w:line="240" w:lineRule="auto"/>
        <w:ind w:left="426" w:hanging="426"/>
        <w:rPr>
          <w:rFonts w:hAnsi="Times New Roman" w:cs="Times New Roman"/>
          <w:noProof/>
        </w:rPr>
      </w:pPr>
      <w:r>
        <w:rPr>
          <w:rFonts w:hAnsi="Times New Roman" w:cs="Times New Roman"/>
          <w:noProof/>
        </w:rPr>
        <w:t xml:space="preserve">– </w:t>
      </w:r>
      <w:r>
        <w:rPr>
          <w:rFonts w:hAnsi="Times New Roman" w:cs="Times New Roman"/>
          <w:noProof/>
        </w:rPr>
        <w:tab/>
        <w:t xml:space="preserve">doprinos strateškog okvira ET 2020. ukupnom programu EU-a za radna mjesta, rast i ulaganja, uključujući Europski semestar, treba se još povećati. To znači da je potrebno pojačati rad na izgradnji baze znanja i uzajamnom učenju u pogledu izazova povezanih s reformama te povećati važnost okvira za pojedine zemlje. </w:t>
      </w:r>
    </w:p>
    <w:p>
      <w:pPr>
        <w:pStyle w:val="Brdtext"/>
        <w:spacing w:after="0" w:line="240" w:lineRule="auto"/>
        <w:ind w:left="426" w:hanging="426"/>
        <w:rPr>
          <w:rFonts w:hAnsi="Times New Roman" w:cs="Times New Roman"/>
          <w:noProof/>
        </w:rPr>
      </w:pPr>
    </w:p>
    <w:p>
      <w:pPr>
        <w:pStyle w:val="Brdtext"/>
        <w:spacing w:after="0" w:line="240" w:lineRule="auto"/>
        <w:rPr>
          <w:rFonts w:hAnsi="Times New Roman" w:cs="Times New Roman"/>
          <w:strike/>
          <w:noProof/>
        </w:rPr>
      </w:pPr>
      <w:r>
        <w:rPr>
          <w:rFonts w:hAnsi="Times New Roman" w:cs="Times New Roman"/>
          <w:noProof/>
        </w:rPr>
        <w:t>S obzirom na prethodno utvrđene izazove i zaključke te kako bi se strateški okvir ET 2020. uspješnije uskladio s političkim mandatom i prioritetima EU-a, u ovom se Zajedničkom izvješću predlaže usmjeravanje europske suradnje u tom okviru do 2020., čime će se radni ciklus te strategije produljiti s tri na pet godina.</w:t>
      </w:r>
    </w:p>
    <w:p>
      <w:pPr>
        <w:pStyle w:val="Brdtext"/>
        <w:spacing w:after="0" w:line="240" w:lineRule="auto"/>
        <w:ind w:left="426" w:hanging="426"/>
        <w:rPr>
          <w:rFonts w:hAnsi="Times New Roman" w:cs="Times New Roman"/>
          <w:noProof/>
        </w:rPr>
      </w:pPr>
    </w:p>
    <w:p>
      <w:pPr>
        <w:pStyle w:val="Brdtext"/>
        <w:spacing w:after="0" w:line="240" w:lineRule="auto"/>
        <w:rPr>
          <w:rFonts w:hAnsi="Times New Roman" w:cs="Times New Roman"/>
          <w:noProof/>
        </w:rPr>
      </w:pPr>
    </w:p>
    <w:p>
      <w:pPr>
        <w:pStyle w:val="Text1"/>
        <w:spacing w:after="0" w:line="240" w:lineRule="auto"/>
        <w:ind w:left="0"/>
        <w:rPr>
          <w:rFonts w:hAnsi="Times New Roman" w:cs="Times New Roman"/>
          <w:b/>
          <w:bCs/>
          <w:smallCaps/>
          <w:noProof/>
          <w:u w:val="single"/>
        </w:rPr>
      </w:pPr>
      <w:r>
        <w:rPr>
          <w:rFonts w:hAnsi="Times New Roman" w:cs="Times New Roman"/>
          <w:b/>
          <w:smallCaps/>
          <w:noProof/>
          <w:u w:val="single"/>
        </w:rPr>
        <w:t>2. Glavni izazovi i budući prioriteti</w:t>
      </w:r>
    </w:p>
    <w:p>
      <w:pPr>
        <w:pStyle w:val="Brdtext"/>
        <w:spacing w:after="0" w:line="240" w:lineRule="auto"/>
        <w:ind w:firstLine="1"/>
        <w:rPr>
          <w:rFonts w:hAnsi="Times New Roman" w:cs="Times New Roman"/>
          <w:b/>
          <w:bCs/>
          <w:smallCaps/>
          <w:noProof/>
          <w:u w:val="single"/>
        </w:rPr>
      </w:pPr>
    </w:p>
    <w:p>
      <w:pPr>
        <w:pStyle w:val="Brdtext"/>
        <w:spacing w:after="0" w:line="240" w:lineRule="auto"/>
        <w:ind w:firstLine="1"/>
        <w:rPr>
          <w:rFonts w:hAnsi="Times New Roman" w:cs="Times New Roman"/>
          <w:noProof/>
        </w:rPr>
      </w:pPr>
      <w:r>
        <w:rPr>
          <w:rFonts w:hAnsi="Times New Roman" w:cs="Times New Roman"/>
          <w:noProof/>
        </w:rPr>
        <w:t xml:space="preserve">Na temelju pregleda stanja i prepoznajući razlike među državama članicama u ovom su poglavlju predstavljeni glavni događaji i izazovi u području europskog obrazovanja i osposobljavanja, pri čemu je u Prilogu 1. naglašeno utvrđivanje novih </w:t>
      </w:r>
      <w:r>
        <w:rPr>
          <w:rFonts w:hAnsi="Times New Roman" w:cs="Times New Roman"/>
          <w:i/>
          <w:noProof/>
        </w:rPr>
        <w:t>prioritetnih područja</w:t>
      </w:r>
      <w:r>
        <w:rPr>
          <w:rFonts w:hAnsi="Times New Roman" w:cs="Times New Roman"/>
          <w:noProof/>
        </w:rPr>
        <w:t xml:space="preserve"> i </w:t>
      </w:r>
      <w:r>
        <w:rPr>
          <w:rFonts w:hAnsi="Times New Roman" w:cs="Times New Roman"/>
          <w:i/>
          <w:noProof/>
        </w:rPr>
        <w:t>konkretnih pitanja</w:t>
      </w:r>
      <w:r>
        <w:rPr>
          <w:rFonts w:hAnsi="Times New Roman" w:cs="Times New Roman"/>
          <w:noProof/>
        </w:rPr>
        <w:t xml:space="preserve"> za nastavak rada do 2020.</w:t>
      </w:r>
    </w:p>
    <w:p>
      <w:pPr>
        <w:pStyle w:val="Text1"/>
        <w:spacing w:after="0" w:line="240" w:lineRule="auto"/>
        <w:ind w:left="0"/>
        <w:rPr>
          <w:rFonts w:hAnsi="Times New Roman" w:cs="Times New Roman"/>
          <w:noProof/>
        </w:rPr>
      </w:pPr>
    </w:p>
    <w:p>
      <w:pPr>
        <w:pStyle w:val="Brdtext"/>
        <w:keepNext/>
        <w:spacing w:after="0" w:line="240" w:lineRule="auto"/>
        <w:rPr>
          <w:rFonts w:hAnsi="Times New Roman" w:cs="Times New Roman"/>
          <w:b/>
          <w:bCs/>
          <w:i/>
          <w:iCs/>
          <w:noProof/>
        </w:rPr>
      </w:pPr>
      <w:r>
        <w:rPr>
          <w:rFonts w:hAnsi="Times New Roman" w:cs="Times New Roman"/>
          <w:b/>
          <w:i/>
          <w:noProof/>
        </w:rPr>
        <w:t>2.1. Kvaliteta i relevantnost ishoda učenja ključne su za razvoj vještina</w:t>
      </w:r>
    </w:p>
    <w:p>
      <w:pPr>
        <w:pStyle w:val="Brdtext"/>
        <w:keepNext/>
        <w:spacing w:after="0" w:line="240" w:lineRule="auto"/>
        <w:rPr>
          <w:rFonts w:hAnsi="Times New Roman" w:cs="Times New Roman"/>
          <w:b/>
          <w:bCs/>
          <w:i/>
          <w:iCs/>
          <w:noProof/>
        </w:rPr>
      </w:pPr>
    </w:p>
    <w:p>
      <w:pPr>
        <w:pStyle w:val="Brdtext"/>
        <w:spacing w:after="0" w:line="240" w:lineRule="auto"/>
        <w:rPr>
          <w:rFonts w:hAnsi="Times New Roman" w:cs="Times New Roman"/>
          <w:noProof/>
        </w:rPr>
      </w:pPr>
      <w:r>
        <w:rPr>
          <w:rFonts w:hAnsi="Times New Roman" w:cs="Times New Roman"/>
          <w:noProof/>
        </w:rPr>
        <w:t xml:space="preserve">Zbog niskih razina osnovnih kompetencija u Europi usporen je gospodarski napredak i ozbiljno ograničen profesionalni, društveni i osobni razvoj pojedinaca. Kako bi se poboljšalo zapošljivost, inovacije i aktivno građanstvo, osnovne kompetencije moraju ići u korak s drugim ključnim kompetencijama i stavovima: kreativnošću, poduzetništvom i osjećajem za inicijativu, digitalnim vještinama (uključujući programiranje), poznavanjem stranih jezika, kritičkim razmišljanjem uključujući u okviru internetske i medijske pismenosti te vještinama bitnima za sektore u razvoju kao što je zeleno gospodarstvo. </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b/>
          <w:i/>
          <w:noProof/>
        </w:rPr>
        <w:t>Kvalitetu ishoda učenja potrebno je poticati tijekom cijelog života.</w:t>
      </w:r>
      <w:r>
        <w:rPr>
          <w:rFonts w:hAnsi="Times New Roman" w:cs="Times New Roman"/>
          <w:noProof/>
        </w:rPr>
        <w:t xml:space="preserve"> Premda je 16 država članica već uvelo sveobuhvatne strategije cjeloživotnog učenja, sve bi zemlje trebale razviti takve strategije i osigurati povezanost između različitih oblika i razina učenja te povezanost obrazovanja i osposobljavanja s poslom. Za to su potrebni stalni napori u području koordinacije i partnerstva među različitim sektorima učenja.</w:t>
      </w:r>
    </w:p>
    <w:p>
      <w:pPr>
        <w:pStyle w:val="BodyText"/>
        <w:spacing w:after="0" w:line="240" w:lineRule="auto"/>
        <w:rPr>
          <w:noProof/>
        </w:rPr>
      </w:pPr>
    </w:p>
    <w:p>
      <w:pPr>
        <w:pStyle w:val="BodyText"/>
        <w:spacing w:after="0" w:line="240" w:lineRule="auto"/>
        <w:rPr>
          <w:noProof/>
        </w:rPr>
      </w:pPr>
      <w:r>
        <w:rPr>
          <w:b/>
          <w:i/>
          <w:noProof/>
        </w:rPr>
        <w:t>Rani predškolski odgoj i obrazovanje početna su točka</w:t>
      </w:r>
      <w:r>
        <w:rPr>
          <w:i/>
          <w:noProof/>
        </w:rPr>
        <w:t xml:space="preserve"> </w:t>
      </w:r>
      <w:r>
        <w:rPr>
          <w:noProof/>
        </w:rPr>
        <w:t>i jedan od najučinkovitijih načina za poboljšanje rezultata u ključnim kompetencijama, ali to je područje suočeno s dvostrukim izazovom poboljšanja pristupa i kvalitete. Pružanje usluga djeci mlađoj od tri godine posebno je problematično. U nastavku rada na kvalitativnom okviru za rani predškolski odgoj i obrazovanje koji su države članice razvile tijekom prethodnog radnog ciklusa ključna područja za daljnji rad uključuju poboljšanje pristupa, usredotočenost na ugrožene osobe, profesionalizaciju osoblja i učinkovite sustave za upravljanje, financiranje i praćenje.</w:t>
      </w:r>
    </w:p>
    <w:p>
      <w:pPr>
        <w:pStyle w:val="BodyText"/>
        <w:spacing w:after="0" w:line="240" w:lineRule="auto"/>
        <w:rPr>
          <w:noProof/>
        </w:rPr>
      </w:pPr>
    </w:p>
    <w:p>
      <w:pPr>
        <w:pStyle w:val="BodyText"/>
        <w:spacing w:after="0" w:line="240" w:lineRule="auto"/>
        <w:rPr>
          <w:noProof/>
          <w:color w:val="000000" w:themeColor="text1"/>
        </w:rPr>
      </w:pPr>
      <w:r>
        <w:rPr>
          <w:b/>
          <w:i/>
          <w:noProof/>
        </w:rPr>
        <w:t xml:space="preserve">Mjere smanjenja ranog prekida školovanja uvele su </w:t>
      </w:r>
      <w:r>
        <w:rPr>
          <w:noProof/>
        </w:rPr>
        <w:t>sve države članice, ali njima se u nekim slučajevima ne doprinosi sveobuhvatnoj strategiji koja se zahtijeva u skladu s Preporukom Vijeća iz 2011. Za uspjeh su potrebne dugoročna predanost i međusektorska suradnja, usmjerene na prevenciju i ranu intervenciju.</w:t>
      </w:r>
      <w:r>
        <w:rPr>
          <w:noProof/>
          <w:color w:val="000000" w:themeColor="text1"/>
        </w:rPr>
        <w:t xml:space="preserve"> Strategije za smanjenje ranog prekida školovanja koje se provode u školama trebale bi uključivati suradnički pristup i partnerstvo s vanjskim dionicima i zajednicom te bi se njima trebali poboljšati ishodi učenja svih učenika.</w:t>
      </w:r>
    </w:p>
    <w:p>
      <w:pPr>
        <w:pStyle w:val="Text1"/>
        <w:spacing w:after="0" w:line="240" w:lineRule="auto"/>
        <w:ind w:left="0"/>
        <w:rPr>
          <w:rFonts w:hAnsi="Times New Roman" w:cs="Times New Roman"/>
          <w:noProof/>
          <w:color w:val="000000" w:themeColor="text1"/>
        </w:rPr>
      </w:pPr>
    </w:p>
    <w:p>
      <w:pPr>
        <w:pStyle w:val="BodyText"/>
        <w:spacing w:after="0" w:line="240" w:lineRule="auto"/>
        <w:rPr>
          <w:noProof/>
        </w:rPr>
      </w:pPr>
      <w:r>
        <w:rPr>
          <w:b/>
          <w:i/>
          <w:noProof/>
        </w:rPr>
        <w:t>Sustavima visokog obrazovanja trebalo bi se jačati gospodarstvo znanja.</w:t>
      </w:r>
      <w:r>
        <w:rPr>
          <w:noProof/>
        </w:rPr>
        <w:t xml:space="preserve"> Visokim obrazovanjem potrebno je učinkovito odgovarati na zahtjeve društva i tržišta rada koji se mijenjaju. To je moguće postići osiguravanjem usmjerenosti modernizacije na sinergije među poučavanjem, istraživanjem i inovacijama, na povezivanje ustanova visokog obrazovanja s lokalnim zajednicama i regijama te na inovativne pristupe za povećanje relevantnosti obrazovnih programa, uključujući upotrebom informacijskih i komunikacijskih tehnologija. Povećanje stope završetka obrazovanja i dalje je izazov za brojne države članice, posebno među ugroženim skupinama.</w:t>
      </w:r>
    </w:p>
    <w:p>
      <w:pPr>
        <w:pStyle w:val="BodyText"/>
        <w:spacing w:after="0" w:line="240" w:lineRule="auto"/>
        <w:rPr>
          <w:noProof/>
        </w:rPr>
      </w:pPr>
    </w:p>
    <w:p>
      <w:pPr>
        <w:pStyle w:val="Brdtext"/>
        <w:spacing w:after="0" w:line="240" w:lineRule="auto"/>
        <w:rPr>
          <w:rFonts w:hAnsi="Times New Roman" w:cs="Times New Roman"/>
          <w:noProof/>
        </w:rPr>
      </w:pPr>
      <w:r>
        <w:rPr>
          <w:rFonts w:hAnsi="Times New Roman" w:cs="Times New Roman"/>
          <w:b/>
          <w:i/>
          <w:noProof/>
        </w:rPr>
        <w:t>Stopa zaposlenosti osoba sa završenim strukovnim obrazovanjem i osposobljavanjem visoka je</w:t>
      </w:r>
      <w:r>
        <w:rPr>
          <w:rFonts w:hAnsi="Times New Roman" w:cs="Times New Roman"/>
          <w:noProof/>
        </w:rPr>
        <w:t xml:space="preserve"> u većini država članica. Naukovanje i dvojni programi strukovnog obrazovanja i osposobljavanja posebno su važni jer se njima osigurava stjecanje relevantnih vještina kojima se olakšava prijelaz na tržište rada. Države članice poduzele su brojne mjere za postizanje ciljeva definiranih u Izjavi iz Brugesa (2010.) za razdoblje od 2011. do 2014. kako bi povećale uspješnost, kvalitetu i privlačnost strukovnog obrazovanja i osposobljavanja, s naglaskom na učenje kroz rad. U sljedećem radnom ciklusu trebalo bi se nastaviti promicanje svih oblika te vrste učenja, potpora Europskom savezu za naukovanje i poboljšanje predviđanja potreba za vještinama na tržištu rada. Srednjoročni ciljevi, kako su definirani u zaključcima iz Rige od 22. lipnja 2015. (vidjeti Prilog 2.), konkretnije su usmjereni i ograničenog su broja.</w:t>
      </w:r>
    </w:p>
    <w:p>
      <w:pPr>
        <w:pStyle w:val="BodyText"/>
        <w:spacing w:after="0" w:line="240" w:lineRule="auto"/>
        <w:rPr>
          <w:noProof/>
        </w:rPr>
      </w:pPr>
    </w:p>
    <w:p>
      <w:pPr>
        <w:pStyle w:val="Default"/>
        <w:spacing w:after="0" w:line="240" w:lineRule="auto"/>
        <w:rPr>
          <w:rFonts w:ascii="Times New Roman" w:hAnsi="Times New Roman" w:cs="Times New Roman"/>
          <w:noProof/>
        </w:rPr>
      </w:pPr>
      <w:r>
        <w:rPr>
          <w:rFonts w:ascii="Times New Roman" w:hAnsi="Times New Roman" w:cs="Times New Roman"/>
          <w:b/>
          <w:i/>
          <w:noProof/>
        </w:rPr>
        <w:t xml:space="preserve">Obrazovanje odraslih temelj je za razvoj postojećih i stjecanje novih vještina. </w:t>
      </w:r>
      <w:r>
        <w:rPr>
          <w:rFonts w:ascii="Times New Roman" w:hAnsi="Times New Roman" w:cs="Times New Roman"/>
          <w:noProof/>
        </w:rPr>
        <w:t>Zbog nedavnih kretanja u smislu niske razine osnovnih vještina odraslih osoba i visoke stope nezaposlenosti potrebno je poduprijeti provedbu Europskog programa za obrazovanje odraslih. Prioriteti bi trebali uključivati učinkovitije upravljanje, znatna povećanja ponude i prihvaćanja, fleksibilniju ponudu, širi pristup, temeljitije praćenje i bolje osiguranje kvalitete (vidjeti Prilog 2.).</w:t>
      </w:r>
    </w:p>
    <w:p>
      <w:pPr>
        <w:pStyle w:val="Brdtext"/>
        <w:widowControl w:val="0"/>
        <w:spacing w:after="0" w:line="240" w:lineRule="auto"/>
        <w:rPr>
          <w:rFonts w:hAnsi="Times New Roman" w:cs="Times New Roman"/>
          <w:noProof/>
        </w:rPr>
      </w:pPr>
    </w:p>
    <w:p>
      <w:pPr>
        <w:pStyle w:val="Brdtext"/>
        <w:spacing w:after="0" w:line="240" w:lineRule="auto"/>
        <w:rPr>
          <w:rFonts w:hAnsi="Times New Roman" w:cs="Times New Roman"/>
          <w:b/>
          <w:bCs/>
          <w:i/>
          <w:iCs/>
          <w:noProof/>
        </w:rPr>
      </w:pPr>
      <w:r>
        <w:rPr>
          <w:rFonts w:hAnsi="Times New Roman" w:cs="Times New Roman"/>
          <w:b/>
          <w:i/>
          <w:noProof/>
        </w:rPr>
        <w:t>2.2. Obrazovanjem se mora pridonositi socijalnoj koheziji, jednakosti, nediskriminaciji i građanskim kompetencijama</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Razina nejednakosti u većini europskih zemalja i zemalja OECD-a najviša je u posljednjih 30 godina, što negativno utječe na obrazovne ishode jer obrazovni sustavi obično odražavaju postojeće obrasce socioekonomskog statusa. Stoga se prekidanje međugeneracijskog kruga niskih kvalifikacija mora smatrati prioritetom. Iako je većina država članica poduzela mjere za poboljšanje pristupa obrazovanju učenicima u nepovoljnom položaju, i dalje postoji znatan obrazovni jaz te je pristup kvalitetnom redovnom obrazovanju i osposobljavanju izazov u brojnim dijelovima EU-a. Potrebne su učinkovite mjere za inkluzivno obrazovanje i osposobljavanje za sve učenike, s naglaskom na osobe iz ugroženih sredina, osobe s posebnim potrebama, migrante ili osobe migrantskog podrijetla te Rome. Potrebno je u potpunosti mobilizirati program Jamstvo za mlade.</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Razlike u obrazovanju i odabiru obrazovanja između spolova moraju se riješiti. Zlostavljanje i nasilje u okruženju za učenje, uključujući nasilje povezano sa spolom, ne smiju se tolerirati. Obrazovne ustanove i odgojno-obrazovno osoblje moraju biti opremljeni te im se mora pružiti potpora kako bi se učenicima u njihovim okruženjima za učenje omogućili uključenost, jednakost, nediskriminacija i demokratsko građanstvo.</w:t>
      </w:r>
    </w:p>
    <w:p>
      <w:pPr>
        <w:pStyle w:val="Brdtext"/>
        <w:spacing w:after="0" w:line="240" w:lineRule="auto"/>
        <w:rPr>
          <w:rFonts w:hAnsi="Times New Roman" w:cs="Times New Roman"/>
          <w:noProof/>
        </w:rPr>
      </w:pPr>
    </w:p>
    <w:p>
      <w:pPr>
        <w:pStyle w:val="Brdtext"/>
        <w:shd w:val="clear" w:color="auto" w:fill="FFFFFF"/>
        <w:spacing w:after="0" w:line="240" w:lineRule="auto"/>
        <w:rPr>
          <w:rFonts w:hAnsi="Times New Roman" w:cs="Times New Roman"/>
          <w:noProof/>
        </w:rPr>
      </w:pPr>
      <w:r>
        <w:rPr>
          <w:rFonts w:hAnsi="Times New Roman" w:cs="Times New Roman"/>
          <w:noProof/>
        </w:rPr>
        <w:t>U izjavi ministara obrazovanja donesenoj u Parizu 17. ožujka 2015. pozvalo se na uvođenje mjera na svim razinama kako bi se pojačala uloga obrazovanja u promicanju građanstva i zajedničkih vrijednosti slobode, snošljivosti i nediskriminacije, čime se jača socijalna kohezija i pomaže mladima da postanu odgovorni, otvorena uma te aktivni članovi našeg raznolikog i inkluzivnog društva</w:t>
      </w:r>
      <w:r>
        <w:rPr>
          <w:rFonts w:hAnsi="Times New Roman" w:cs="Times New Roman"/>
          <w:noProof/>
          <w:vertAlign w:val="superscript"/>
        </w:rPr>
        <w:footnoteReference w:id="2"/>
      </w:r>
      <w:r>
        <w:rPr>
          <w:rFonts w:hAnsi="Times New Roman" w:cs="Times New Roman"/>
          <w:noProof/>
        </w:rPr>
        <w:t>. Obrazovanje je važno za sprječavanje i borbu protiv marginalizacije i radikalizacije. Nastavak rada na pitanjima iz te izjave od ključne je važnosti u novom radnom ciklusu, s pomoću konkretnih mjera koje se financijski podupiru u okviru programa Erasmus+, u skladu s četiri područja utvrđena u izjavi: i. promicanjem stjecanja socijalnih, građanskih i međukulturnih kompetencija, poboljšanjem usvajanja europskih temeljnih vrijednosti i poticanjem aktivnog građanstva, ii. jačanjem kritičkog razmišljanja i medijske pismenosti, iii. poticanjem obrazovanja djece i mladih u nepovoljnom položaju te iv. promicanjem međukulturnog dijaloga.</w:t>
      </w:r>
    </w:p>
    <w:p>
      <w:pPr>
        <w:pStyle w:val="BodyText"/>
        <w:spacing w:after="0" w:line="240" w:lineRule="auto"/>
        <w:rPr>
          <w:noProof/>
        </w:rPr>
      </w:pPr>
    </w:p>
    <w:p>
      <w:pPr>
        <w:pStyle w:val="BodyText"/>
        <w:spacing w:after="0" w:line="240" w:lineRule="auto"/>
        <w:rPr>
          <w:b/>
          <w:bCs/>
          <w:i/>
          <w:iCs/>
          <w:noProof/>
        </w:rPr>
      </w:pPr>
      <w:r>
        <w:rPr>
          <w:b/>
          <w:i/>
          <w:noProof/>
        </w:rPr>
        <w:t>2.3. Za relevantno i kvalitetno učenje potrebni su...</w:t>
      </w:r>
    </w:p>
    <w:p>
      <w:pPr>
        <w:pStyle w:val="BodyText"/>
        <w:spacing w:after="0" w:line="240" w:lineRule="auto"/>
        <w:rPr>
          <w:noProof/>
        </w:rPr>
      </w:pPr>
    </w:p>
    <w:p>
      <w:pPr>
        <w:pStyle w:val="Default"/>
        <w:spacing w:after="0" w:line="240" w:lineRule="auto"/>
        <w:rPr>
          <w:rFonts w:ascii="Times New Roman" w:eastAsia="Arial Unicode MS" w:hAnsi="Times New Roman" w:cs="Times New Roman"/>
          <w:noProof/>
        </w:rPr>
      </w:pPr>
      <w:r>
        <w:rPr>
          <w:rFonts w:ascii="Times New Roman" w:hAnsi="Times New Roman" w:cs="Times New Roman"/>
          <w:b/>
          <w:i/>
          <w:noProof/>
        </w:rPr>
        <w:t xml:space="preserve">Aktivnija upotreba inovativnih pedagoških metoda te digitalnih vještina i alata: </w:t>
      </w:r>
      <w:r>
        <w:rPr>
          <w:rFonts w:ascii="Times New Roman" w:hAnsi="Times New Roman" w:cs="Times New Roman"/>
          <w:noProof/>
        </w:rPr>
        <w:t>Nekoliko država članica izvijestilo je o inicijativama za poboljšanje digitalnih vještina učitelja i učenika, a jedna je trećina država članica uvela nacionalne strategije za digitalizaciju obrazovanja.</w:t>
      </w:r>
      <w:r>
        <w:rPr>
          <w:rFonts w:ascii="Times New Roman" w:hAnsi="Times New Roman" w:cs="Times New Roman"/>
          <w:b/>
          <w:i/>
          <w:noProof/>
        </w:rPr>
        <w:t xml:space="preserve"> </w:t>
      </w:r>
      <w:r>
        <w:rPr>
          <w:rFonts w:ascii="Times New Roman" w:hAnsi="Times New Roman" w:cs="Times New Roman"/>
          <w:noProof/>
        </w:rPr>
        <w:t>Ipak, i dalje postoje golemi izazovi. Digitalna revolucija uzrok je povećane potražnje za digitalnim vještinama i kompetencijama;</w:t>
      </w:r>
      <w:r>
        <w:rPr>
          <w:rFonts w:ascii="Times New Roman" w:hAnsi="Times New Roman" w:cs="Times New Roman"/>
          <w:noProof/>
          <w:sz w:val="23"/>
        </w:rPr>
        <w:t xml:space="preserve"> </w:t>
      </w:r>
      <w:r>
        <w:rPr>
          <w:rFonts w:ascii="Times New Roman" w:hAnsi="Times New Roman" w:cs="Times New Roman"/>
          <w:noProof/>
        </w:rPr>
        <w:t xml:space="preserve">ta se potreba treba riješiti kroz obrazovanje i osposobljavanje, za što su potrebna ulaganja u infrastrukturu, promjene u organizaciji, digitalni uređaji i digitalne kompetencije odgojno-obrazovnog osoblja te stvaranje digitalnih (i otvorenih) obrazovnih resursa i visokokvalitetnog softvera za obrazovanje. U obrazovanju i osposobljavanju trebalo bi iskoristiti prednosti novog napretka u području informacijskih i komunikacijskih tehnologija te donijeti inovativne i aktivne pedagoške metode temeljene na participativnim metodama i metodama koje se temelje na projektima. Otvorenim okruženjima za učenje može se potaknuti suradnja među obrazovnim sektorima, uključujući za učenike u nepovoljnom položaju. </w:t>
      </w:r>
    </w:p>
    <w:p>
      <w:pPr>
        <w:pStyle w:val="BodyText"/>
        <w:spacing w:after="0" w:line="240" w:lineRule="auto"/>
        <w:rPr>
          <w:noProof/>
        </w:rPr>
      </w:pPr>
    </w:p>
    <w:p>
      <w:pPr>
        <w:pStyle w:val="BodyText"/>
        <w:spacing w:after="0" w:line="240" w:lineRule="auto"/>
        <w:rPr>
          <w:noProof/>
        </w:rPr>
      </w:pPr>
      <w:r>
        <w:rPr>
          <w:b/>
          <w:i/>
          <w:noProof/>
        </w:rPr>
        <w:t>Snažna potpora odgojno-obrazovnom osoblju</w:t>
      </w:r>
      <w:r>
        <w:rPr>
          <w:b/>
          <w:noProof/>
        </w:rPr>
        <w:t>.</w:t>
      </w:r>
      <w:r>
        <w:rPr>
          <w:noProof/>
        </w:rPr>
        <w:t xml:space="preserve"> Brojne države članice izvješćuju o mjerama za poboljšanje osposobljavanja učitelja i naglašavaju potrebu za svrsishodnošću početnog obrazovanja te trajnog stručnog usavršavanja učitelja i pružatelja osposobljavanja, u kojima se kombiniraju predmetno znanje, pedagogija i praksa. Odgojno-obrazovno osoblje trebalo bi biti osposobljeno za uspješan rad sa sve većom raznolikošću učenika, sprječavanje ranog prekida školovanja i upotrebu inovativnih pedagoških metoda te alata informacijskih i komunikacijskih tehnologija, a na početku njihove karijere potrebno im je pružiti podršku.</w:t>
      </w:r>
    </w:p>
    <w:p>
      <w:pPr>
        <w:pStyle w:val="BodyText"/>
        <w:spacing w:after="0" w:line="240" w:lineRule="auto"/>
        <w:rPr>
          <w:noProof/>
        </w:rPr>
      </w:pPr>
    </w:p>
    <w:p>
      <w:pPr>
        <w:pStyle w:val="BodyText"/>
        <w:spacing w:after="0" w:line="240" w:lineRule="auto"/>
        <w:rPr>
          <w:noProof/>
        </w:rPr>
      </w:pPr>
      <w:r>
        <w:rPr>
          <w:noProof/>
        </w:rPr>
        <w:t>Kvalitetno poučavanje u brojnim je zemljama sve češće otežano zbog nedostatka osoblja, a interes za nastavničku karijeru sve je manji. Sveobuhvatne dugoročne strategije u okviru kojih će se kandidatima nuditi privlačne mogućnosti za razvoj karijere potrebne su kako bi se birali najpogodniji kandidati, iz različitih područja i s različitim iskustvima, s obzirom na izrazitu rodnu pristranost u toj struci.</w:t>
      </w:r>
    </w:p>
    <w:p>
      <w:pPr>
        <w:pStyle w:val="BodyText"/>
        <w:spacing w:after="0" w:line="240" w:lineRule="auto"/>
        <w:rPr>
          <w:noProof/>
        </w:rPr>
      </w:pPr>
    </w:p>
    <w:p>
      <w:pPr>
        <w:pStyle w:val="BodyText"/>
        <w:spacing w:after="0" w:line="240" w:lineRule="auto"/>
        <w:rPr>
          <w:noProof/>
          <w:sz w:val="22"/>
          <w:szCs w:val="22"/>
        </w:rPr>
      </w:pPr>
      <w:r>
        <w:rPr>
          <w:b/>
          <w:i/>
          <w:noProof/>
        </w:rPr>
        <w:t xml:space="preserve">Olakšavanje mobilnosti u cilju obrazovanja: </w:t>
      </w:r>
      <w:r>
        <w:rPr>
          <w:noProof/>
        </w:rPr>
        <w:t>Prvi pregled mobilnosti (2014.) pokazuje da se uvjeti za mobilnost u cilju obrazovanja uvelike razlikuju među državama članicama, pri čemu i dalje postoje znatne prepreke u smislu informiranja, podrške studentima i priznavanja. Potrebno je razviti i provoditi mjere u pogledu transparentnosti, osiguranja kvalitete, vrednovanja i priznavanja vještina i kvalifikacija. Za praćenje i bazu znanja o mobilnosti potrebni su kvalitetniji podaci.</w:t>
      </w:r>
    </w:p>
    <w:p>
      <w:pPr>
        <w:pStyle w:val="Brdtext"/>
        <w:spacing w:after="0" w:line="240" w:lineRule="auto"/>
        <w:rPr>
          <w:rFonts w:hAnsi="Times New Roman" w:cs="Times New Roman"/>
          <w:noProof/>
          <w:sz w:val="22"/>
          <w:szCs w:val="22"/>
        </w:rPr>
      </w:pPr>
    </w:p>
    <w:p>
      <w:pPr>
        <w:pStyle w:val="Brdtext"/>
        <w:spacing w:after="0" w:line="240" w:lineRule="auto"/>
        <w:rPr>
          <w:rFonts w:hAnsi="Times New Roman" w:cs="Times New Roman"/>
          <w:noProof/>
        </w:rPr>
      </w:pPr>
      <w:r>
        <w:rPr>
          <w:rFonts w:hAnsi="Times New Roman" w:cs="Times New Roman"/>
          <w:noProof/>
        </w:rPr>
        <w:t>Potpora internacionalizaciji visokog obrazovanja ostat će prioritet, uključujući razvoj strateških partnerstava i zajedničkih studijskih programa te promicanje mobilnosti učenika, osoblja i istraživača.</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b/>
          <w:i/>
          <w:noProof/>
        </w:rPr>
        <w:t xml:space="preserve">Poboljšani i pojednostavnjeni alati EU-a za transparentnost i priznavanje: </w:t>
      </w:r>
      <w:r>
        <w:rPr>
          <w:rFonts w:hAnsi="Times New Roman" w:cs="Times New Roman"/>
          <w:noProof/>
        </w:rPr>
        <w:t>Alati za transparentnost i priznavanje nužni su za mobilnost, zapošljivost i cjeloživotno učenje te za osiguranje upotrebe kvalifikacija stečenih izvan EU-a. Većina država članica razvila je nacionalne kvalifikacijske okvire i u njih uključila upućivanja na Europski kvalifikacijski okvir. U daljnjem radu trebao bi se promicati prijelaz s transparentnosti na priznavanje kvalifikacija diljem Europe, i to jačanjem uloge Europskog kvalifikacijskog okvira te promicanjem priznavanja neformalnog i informalnog učenja. Odgovarajućim instrumentima za priznavanje i vrednovanje znanja, vještina i kompetencija stečenih digitalnim putem može se pridonijeti prihvaćanju otvorenih i inovativnih praksi učenja. Posebnu bi pažnju trebalo posvetiti pojednostavnjivanju i racionalizaciji postojećih instrumenata EU-a za vještine i kvalifikacije koji su usmjereni na širu javnost</w:t>
      </w:r>
      <w:r>
        <w:rPr>
          <w:rFonts w:hAnsi="Times New Roman" w:cs="Times New Roman"/>
          <w:noProof/>
          <w:color w:val="FF0000"/>
          <w:u w:color="FF0000"/>
        </w:rPr>
        <w:t xml:space="preserve"> </w:t>
      </w:r>
      <w:r>
        <w:rPr>
          <w:rFonts w:hAnsi="Times New Roman" w:cs="Times New Roman"/>
          <w:noProof/>
        </w:rPr>
        <w:t>kako bi se tu javnost bolje informiralo.</w:t>
      </w:r>
    </w:p>
    <w:p>
      <w:pPr>
        <w:pStyle w:val="Brdtext"/>
        <w:spacing w:after="0" w:line="240" w:lineRule="auto"/>
        <w:rPr>
          <w:rFonts w:hAnsi="Times New Roman" w:cs="Times New Roman"/>
          <w:noProof/>
        </w:rPr>
      </w:pPr>
    </w:p>
    <w:p>
      <w:pPr>
        <w:pStyle w:val="Brdtext"/>
        <w:spacing w:after="0" w:line="240" w:lineRule="auto"/>
        <w:rPr>
          <w:rFonts w:hAnsi="Times New Roman" w:cs="Times New Roman"/>
          <w:noProof/>
        </w:rPr>
      </w:pPr>
      <w:r>
        <w:rPr>
          <w:rFonts w:hAnsi="Times New Roman" w:cs="Times New Roman"/>
          <w:b/>
          <w:i/>
          <w:noProof/>
        </w:rPr>
        <w:t xml:space="preserve">Nadoknađivanje nedostataka u području ulaganja: </w:t>
      </w:r>
      <w:r>
        <w:rPr>
          <w:rFonts w:hAnsi="Times New Roman" w:cs="Times New Roman"/>
          <w:noProof/>
        </w:rPr>
        <w:t xml:space="preserve">Učinkovito ulaganje u kvalitetno obrazovanje i osposobljavanje izvor je održivog rasta. Ipak, od gospodarske krize javni su proračuni ograničeni, a nekoliko je država članica realno srezalo troškove za obrazovanje i osposobljavanje. To upućuje na potrebu da se državama članicama pruži potpora u osmišljavanju reformi kojima će se kvaliteta obrazovanja i osposobljavanja postizati učinkovitije, u okviru širokog društvenog konteksta. Plan ulaganja za Europu, program Erasmus+ te Europski strukturni i investicijski fondovi, uključujući Inicijativu za zapošljavanje mladih i program Obzor 2020., mogu pomoći u poticanju ulaganja i potpore prioritetima politike u okviru ET 2020. čime će se osigurati snažna povezanost s politikama. </w:t>
      </w:r>
    </w:p>
    <w:p>
      <w:pPr>
        <w:pStyle w:val="Brdtext"/>
        <w:spacing w:after="0" w:line="240" w:lineRule="auto"/>
        <w:rPr>
          <w:rFonts w:hAnsi="Times New Roman" w:cs="Times New Roman"/>
          <w:noProof/>
        </w:rPr>
      </w:pPr>
    </w:p>
    <w:p>
      <w:pPr>
        <w:pStyle w:val="Brdtext"/>
        <w:spacing w:after="0" w:line="240" w:lineRule="auto"/>
        <w:jc w:val="left"/>
        <w:rPr>
          <w:rFonts w:hAnsi="Times New Roman" w:cs="Times New Roman"/>
          <w:noProof/>
          <w:sz w:val="22"/>
          <w:szCs w:val="22"/>
        </w:rPr>
      </w:pPr>
    </w:p>
    <w:p>
      <w:pPr>
        <w:pStyle w:val="Text1"/>
        <w:spacing w:after="0" w:line="240" w:lineRule="auto"/>
        <w:ind w:left="0"/>
        <w:rPr>
          <w:rFonts w:hAnsi="Times New Roman" w:cs="Times New Roman"/>
          <w:b/>
          <w:bCs/>
          <w:smallCaps/>
          <w:noProof/>
          <w:u w:val="single"/>
        </w:rPr>
      </w:pPr>
      <w:r>
        <w:rPr>
          <w:rFonts w:hAnsi="Times New Roman" w:cs="Times New Roman"/>
          <w:b/>
          <w:smallCaps/>
          <w:noProof/>
          <w:u w:val="single"/>
        </w:rPr>
        <w:t>3. Upravljanje i radne metode</w:t>
      </w:r>
    </w:p>
    <w:p>
      <w:pPr>
        <w:pStyle w:val="Brdtext"/>
        <w:spacing w:after="0" w:line="240" w:lineRule="auto"/>
        <w:jc w:val="left"/>
        <w:rPr>
          <w:rFonts w:hAnsi="Times New Roman" w:cs="Times New Roman"/>
          <w:noProof/>
          <w:sz w:val="22"/>
          <w:szCs w:val="22"/>
        </w:rPr>
      </w:pPr>
    </w:p>
    <w:p>
      <w:pPr>
        <w:pStyle w:val="BodyText"/>
        <w:spacing w:after="0" w:line="240" w:lineRule="auto"/>
        <w:rPr>
          <w:noProof/>
        </w:rPr>
      </w:pPr>
      <w:r>
        <w:rPr>
          <w:noProof/>
        </w:rPr>
        <w:t>Od zajedničkog izvješća iz 2012. upravljanje okvirom ET 2020. poboljšalo se, posebno u smislu jačanja prikupljanja baze znanja (pregled obrazovanja i osposobljavanja) i iskoristivosti radnih skupina te redovnih platformi za razmjene između ključnih dionika kao što je Forum o obrazovanju, osposobljavanju i mladima. Pregled stanja upućuje na konsenzus o sljedećem pristupu za idući radni ciklus:</w:t>
      </w:r>
    </w:p>
    <w:p>
      <w:pPr>
        <w:pStyle w:val="BodyText"/>
        <w:spacing w:after="0" w:line="240" w:lineRule="auto"/>
        <w:rPr>
          <w:noProof/>
        </w:rPr>
      </w:pPr>
    </w:p>
    <w:p>
      <w:pPr>
        <w:pStyle w:val="BodyText"/>
        <w:numPr>
          <w:ilvl w:val="0"/>
          <w:numId w:val="1"/>
        </w:numPr>
        <w:tabs>
          <w:tab w:val="num" w:pos="720"/>
        </w:tabs>
        <w:spacing w:after="0" w:line="240" w:lineRule="auto"/>
        <w:ind w:left="714" w:hanging="357"/>
        <w:rPr>
          <w:noProof/>
        </w:rPr>
      </w:pPr>
      <w:r>
        <w:rPr>
          <w:b/>
          <w:i/>
          <w:noProof/>
        </w:rPr>
        <w:t>pouzdana analitička baza znanja i praćenje napretka</w:t>
      </w:r>
      <w:r>
        <w:rPr>
          <w:noProof/>
        </w:rPr>
        <w:t xml:space="preserve"> nužni su za učinkovitost okvira ET 2020. i provodit će se u suradnji s Eurostatom, mrežom Eurydice, centrom Cedefop, OECD-om i drugim organizacijama,</w:t>
      </w:r>
    </w:p>
    <w:p>
      <w:pPr>
        <w:pStyle w:val="BodyText"/>
        <w:spacing w:after="0" w:line="240" w:lineRule="auto"/>
        <w:ind w:left="714"/>
        <w:rPr>
          <w:noProof/>
        </w:rPr>
      </w:pPr>
    </w:p>
    <w:p>
      <w:pPr>
        <w:pStyle w:val="BodyText"/>
        <w:numPr>
          <w:ilvl w:val="0"/>
          <w:numId w:val="1"/>
        </w:numPr>
        <w:tabs>
          <w:tab w:val="num" w:pos="720"/>
        </w:tabs>
        <w:spacing w:after="0" w:line="240" w:lineRule="auto"/>
        <w:ind w:left="714" w:hanging="357"/>
        <w:rPr>
          <w:noProof/>
        </w:rPr>
      </w:pPr>
      <w:r>
        <w:rPr>
          <w:noProof/>
        </w:rPr>
        <w:t xml:space="preserve">usklađivanje i </w:t>
      </w:r>
      <w:r>
        <w:rPr>
          <w:b/>
          <w:i/>
          <w:noProof/>
        </w:rPr>
        <w:t>racionalizacija izvješćivanja</w:t>
      </w:r>
      <w:r>
        <w:rPr>
          <w:noProof/>
        </w:rPr>
        <w:t xml:space="preserve"> u okviru ET 2020. i dalje su među prioritetima te će se te mjere poduprijeti produženjem radnog ciklusa na pet godina,</w:t>
      </w:r>
    </w:p>
    <w:p>
      <w:pPr>
        <w:pStyle w:val="BodyText"/>
        <w:spacing w:after="0" w:line="240" w:lineRule="auto"/>
        <w:ind w:left="720"/>
        <w:rPr>
          <w:noProof/>
        </w:rPr>
      </w:pPr>
    </w:p>
    <w:p>
      <w:pPr>
        <w:pStyle w:val="BodyText"/>
        <w:numPr>
          <w:ilvl w:val="0"/>
          <w:numId w:val="2"/>
        </w:numPr>
        <w:tabs>
          <w:tab w:val="num" w:pos="720"/>
        </w:tabs>
        <w:spacing w:after="0" w:line="240" w:lineRule="auto"/>
        <w:ind w:left="720" w:hanging="360"/>
        <w:rPr>
          <w:noProof/>
        </w:rPr>
      </w:pPr>
      <w:r>
        <w:rPr>
          <w:noProof/>
        </w:rPr>
        <w:t xml:space="preserve">s pomoću </w:t>
      </w:r>
      <w:r>
        <w:rPr>
          <w:b/>
          <w:i/>
          <w:noProof/>
        </w:rPr>
        <w:t xml:space="preserve">jače povezanosti između obrazovanja, poslovanja i istraživanja te uključenosti socijalnih partnera i civilnog društva </w:t>
      </w:r>
      <w:r>
        <w:rPr>
          <w:noProof/>
        </w:rPr>
        <w:t xml:space="preserve">pojačat će se utjecaj okvira ET 2020. i važnost sustava učenja u povećanju europskog kapaciteta za inovacije. U radu na ostvarenju tih ciljeva predvodnici su savezi znanja, savezi za sektorske vještine u okviru programa Erasmus+, aktivnosti Marie Skłodowska-Curie i Europski institut za inovacije i tehnologiju u okviru programa Obzor 2020. Jednako će se tako poticati suradnja s dionicima u okviru Foruma o obrazovanju, osposobljavanju i mladima, Europskog foruma sveučilišta i poduzeća, Europskog poslovnog foruma o strukovnom obrazovanju i osposobljavanju i tematskih foruma u državama članicama. Nastojat će se surađivati s europskim civilnim društvom i europskim socijalnim partnerima kako bi se omogućio optimalan način upotrebe njihove stručnosti i mogućnosti za informiranje javnosti. </w:t>
      </w:r>
    </w:p>
    <w:p>
      <w:pPr>
        <w:pStyle w:val="BodyText"/>
        <w:spacing w:after="0" w:line="240" w:lineRule="auto"/>
        <w:ind w:left="720"/>
        <w:rPr>
          <w:noProof/>
        </w:rPr>
      </w:pPr>
    </w:p>
    <w:p>
      <w:pPr>
        <w:pStyle w:val="BodyText"/>
        <w:spacing w:after="0" w:line="240" w:lineRule="auto"/>
        <w:rPr>
          <w:noProof/>
        </w:rPr>
      </w:pPr>
      <w:r>
        <w:rPr>
          <w:noProof/>
        </w:rPr>
        <w:t>Alati u okviru ET 2020. pokazali su se vrijednima, ali nisu uvijek bili učinkoviti na nacionalnoj razini, posebno zbog nedostatne sinkronizacije aktivnosti, nedostataka u širenju podatka i niske nacionalne svijesti o korisnosti rezultata tih alata. Paket alata u okviru ET 2020. poboljšat će se:</w:t>
      </w:r>
    </w:p>
    <w:p>
      <w:pPr>
        <w:pStyle w:val="BodyText"/>
        <w:spacing w:after="0" w:line="240" w:lineRule="auto"/>
        <w:rPr>
          <w:noProof/>
        </w:rPr>
      </w:pPr>
    </w:p>
    <w:p>
      <w:pPr>
        <w:pStyle w:val="Brdtext"/>
        <w:spacing w:after="0" w:line="240" w:lineRule="auto"/>
        <w:ind w:left="425" w:hanging="425"/>
        <w:rPr>
          <w:rFonts w:hAnsi="Times New Roman" w:cs="Times New Roman"/>
          <w:noProof/>
        </w:rPr>
      </w:pPr>
      <w:r>
        <w:rPr>
          <w:rFonts w:hAnsi="Times New Roman" w:cs="Times New Roman"/>
          <w:noProof/>
        </w:rPr>
        <w:t>–</w:t>
      </w:r>
      <w:r>
        <w:rPr>
          <w:rFonts w:hAnsi="Times New Roman" w:cs="Times New Roman"/>
          <w:noProof/>
        </w:rPr>
        <w:tab/>
        <w:t xml:space="preserve">radi povećanja transparentnosti i koherentnosti aktivnosti u okviru ET 2020. Komisija će u suradnji s državama članicama (uključujući predsjedavajuću trojku Vijeća) pripremiti </w:t>
      </w:r>
      <w:r>
        <w:rPr>
          <w:rFonts w:hAnsi="Times New Roman" w:cs="Times New Roman"/>
          <w:b/>
          <w:i/>
          <w:noProof/>
        </w:rPr>
        <w:t>okvirni ažurirani radni plan za okvir ET 2020.</w:t>
      </w:r>
      <w:r>
        <w:rPr>
          <w:rFonts w:hAnsi="Times New Roman" w:cs="Times New Roman"/>
          <w:noProof/>
        </w:rPr>
        <w:t>, u kojem će biti integriran i iznesen jasan pregled događaja za uzajamno učenje i ključnih aktivnosti koje su isplanirale radne skupine za okvir ET 2020. i neslužbene skupine viših dužnosnika, tj. sastanci glavnih direktora za škole, strukovno obrazovanje i osposobljavanje te visoko obrazovanje (sastanci GU-ova) te skupina na visokoj razini za obrazovanje i osposobljavanje,</w:t>
      </w:r>
    </w:p>
    <w:p>
      <w:pPr>
        <w:pStyle w:val="Brdtext"/>
        <w:spacing w:after="0" w:line="240" w:lineRule="auto"/>
        <w:ind w:left="425" w:hanging="425"/>
        <w:rPr>
          <w:rFonts w:hAnsi="Times New Roman" w:cs="Times New Roman"/>
          <w:noProof/>
        </w:rPr>
      </w:pPr>
    </w:p>
    <w:p>
      <w:pPr>
        <w:pStyle w:val="Brdtext"/>
        <w:spacing w:after="0" w:line="240" w:lineRule="auto"/>
        <w:ind w:left="425" w:hanging="425"/>
        <w:rPr>
          <w:rFonts w:hAnsi="Times New Roman" w:cs="Times New Roman"/>
          <w:noProof/>
        </w:rPr>
      </w:pPr>
      <w:r>
        <w:rPr>
          <w:rFonts w:hAnsi="Times New Roman" w:cs="Times New Roman"/>
          <w:noProof/>
        </w:rPr>
        <w:t>–</w:t>
      </w:r>
      <w:r>
        <w:rPr>
          <w:rFonts w:hAnsi="Times New Roman" w:cs="Times New Roman"/>
          <w:noProof/>
        </w:rPr>
        <w:tab/>
        <w:t xml:space="preserve">od 2016. nova generacija </w:t>
      </w:r>
      <w:r>
        <w:rPr>
          <w:rFonts w:hAnsi="Times New Roman" w:cs="Times New Roman"/>
          <w:b/>
          <w:i/>
          <w:noProof/>
        </w:rPr>
        <w:t>radnih skupina</w:t>
      </w:r>
      <w:r>
        <w:rPr>
          <w:rFonts w:hAnsi="Times New Roman" w:cs="Times New Roman"/>
          <w:noProof/>
        </w:rPr>
        <w:t xml:space="preserve"> radit će na </w:t>
      </w:r>
      <w:r>
        <w:rPr>
          <w:rFonts w:hAnsi="Times New Roman" w:cs="Times New Roman"/>
          <w:i/>
          <w:noProof/>
        </w:rPr>
        <w:t>prioritetnim područjima okvira ET 2020.</w:t>
      </w:r>
      <w:r>
        <w:rPr>
          <w:rFonts w:hAnsi="Times New Roman" w:cs="Times New Roman"/>
          <w:noProof/>
        </w:rPr>
        <w:t xml:space="preserve"> Te skupine podnosit će izvješća relevantnim neslužbenim skupinama viših dužnosnika, koji pomažu u usmjeravanju i sažimaju relevantne rezultate te ih predaju Vijeću. Poticat će se inovativne radne metode, a rezultati skupina učinkovitije će se širiti uzimajući u obzir realnu razmjenu znanja,</w:t>
      </w:r>
    </w:p>
    <w:p>
      <w:pPr>
        <w:pStyle w:val="Brdtext"/>
        <w:spacing w:after="0" w:line="240" w:lineRule="auto"/>
        <w:ind w:left="425" w:hanging="425"/>
        <w:rPr>
          <w:rFonts w:hAnsi="Times New Roman" w:cs="Times New Roman"/>
          <w:noProof/>
        </w:rPr>
      </w:pPr>
    </w:p>
    <w:p>
      <w:pPr>
        <w:pStyle w:val="Brdtext"/>
        <w:spacing w:after="0" w:line="240" w:lineRule="auto"/>
        <w:ind w:left="425" w:hanging="425"/>
        <w:rPr>
          <w:rFonts w:hAnsi="Times New Roman" w:cs="Times New Roman"/>
          <w:noProof/>
        </w:rPr>
      </w:pPr>
      <w:r>
        <w:rPr>
          <w:rFonts w:hAnsi="Times New Roman" w:cs="Times New Roman"/>
          <w:noProof/>
        </w:rPr>
        <w:t>–</w:t>
      </w:r>
      <w:r>
        <w:rPr>
          <w:rFonts w:hAnsi="Times New Roman" w:cs="Times New Roman"/>
          <w:noProof/>
        </w:rPr>
        <w:tab/>
      </w:r>
      <w:r>
        <w:rPr>
          <w:rFonts w:hAnsi="Times New Roman" w:cs="Times New Roman"/>
          <w:b/>
          <w:i/>
          <w:noProof/>
        </w:rPr>
        <w:t>aktivnosti uzajamnog učenja u okviru ET 2020.</w:t>
      </w:r>
      <w:r>
        <w:rPr>
          <w:rFonts w:hAnsi="Times New Roman" w:cs="Times New Roman"/>
          <w:noProof/>
        </w:rPr>
        <w:t xml:space="preserve">, koje su obično obuhvaćene radnim skupinama, pojačat će se, a državama članicama suočenima sa sličnim političkim izazovima omogućit će se da rade u grupama. </w:t>
      </w:r>
      <w:r>
        <w:rPr>
          <w:rFonts w:hAnsi="Times New Roman" w:cs="Times New Roman"/>
          <w:b/>
          <w:i/>
          <w:noProof/>
        </w:rPr>
        <w:t>Stručne revizije</w:t>
      </w:r>
      <w:r>
        <w:rPr>
          <w:rFonts w:hAnsi="Times New Roman" w:cs="Times New Roman"/>
          <w:noProof/>
        </w:rPr>
        <w:t xml:space="preserve"> u kontekstu sastanaka GU-ova usmjerenih na izazove specifične za pojedine zemlje pokazale su se korisnima, ali za njih su potrebne temeljitije pripreme i interaktivni dijalog. Posebno prilagođenim </w:t>
      </w:r>
      <w:r>
        <w:rPr>
          <w:rFonts w:hAnsi="Times New Roman" w:cs="Times New Roman"/>
          <w:b/>
          <w:i/>
          <w:noProof/>
        </w:rPr>
        <w:t>stručnim savjetovanjem</w:t>
      </w:r>
      <w:r>
        <w:rPr>
          <w:rFonts w:hAnsi="Times New Roman" w:cs="Times New Roman"/>
          <w:noProof/>
        </w:rPr>
        <w:t xml:space="preserve"> može se pružiti potpora određenim nacionalnim programima reformi,</w:t>
      </w:r>
    </w:p>
    <w:p>
      <w:pPr>
        <w:pStyle w:val="Brdtext"/>
        <w:spacing w:after="0" w:line="240" w:lineRule="auto"/>
        <w:ind w:left="425" w:hanging="425"/>
        <w:rPr>
          <w:rFonts w:hAnsi="Times New Roman" w:cs="Times New Roman"/>
          <w:noProof/>
        </w:rPr>
      </w:pPr>
    </w:p>
    <w:p>
      <w:pPr>
        <w:pStyle w:val="Brdtext"/>
        <w:spacing w:after="0" w:line="240" w:lineRule="auto"/>
        <w:ind w:left="425" w:hanging="425"/>
        <w:rPr>
          <w:rFonts w:hAnsi="Times New Roman" w:cs="Times New Roman"/>
          <w:noProof/>
        </w:rPr>
      </w:pPr>
      <w:r>
        <w:rPr>
          <w:rFonts w:hAnsi="Times New Roman" w:cs="Times New Roman"/>
          <w:noProof/>
        </w:rPr>
        <w:t>–</w:t>
      </w:r>
      <w:r>
        <w:rPr>
          <w:rFonts w:hAnsi="Times New Roman" w:cs="Times New Roman"/>
          <w:noProof/>
        </w:rPr>
        <w:tab/>
      </w:r>
      <w:r>
        <w:rPr>
          <w:rFonts w:hAnsi="Times New Roman" w:cs="Times New Roman"/>
          <w:b/>
          <w:i/>
          <w:noProof/>
        </w:rPr>
        <w:t>širenje dobre prakse</w:t>
      </w:r>
      <w:r>
        <w:rPr>
          <w:rFonts w:hAnsi="Times New Roman" w:cs="Times New Roman"/>
          <w:noProof/>
        </w:rPr>
        <w:t xml:space="preserve"> i stečenih iskustava, pri kojem se prema potrebi upotrebljava međunarodna baza znanja, poboljšat će se organizacijom tematskih događaja, razmjena za informiranje o politikama i dogovorima za razmjenu znanja i dobre prakse u obrazovanju, </w:t>
      </w:r>
    </w:p>
    <w:p>
      <w:pPr>
        <w:pStyle w:val="Brdtext"/>
        <w:spacing w:after="0" w:line="240" w:lineRule="auto"/>
        <w:ind w:left="425" w:hanging="425"/>
        <w:rPr>
          <w:rFonts w:hAnsi="Times New Roman" w:cs="Times New Roman"/>
          <w:noProof/>
        </w:rPr>
      </w:pPr>
    </w:p>
    <w:p>
      <w:pPr>
        <w:pStyle w:val="Brdtext"/>
        <w:spacing w:after="0" w:line="240" w:lineRule="auto"/>
        <w:ind w:left="425" w:hanging="425"/>
        <w:rPr>
          <w:rFonts w:hAnsi="Times New Roman" w:cs="Times New Roman"/>
          <w:noProof/>
        </w:rPr>
      </w:pPr>
      <w:r>
        <w:rPr>
          <w:rFonts w:hAnsi="Times New Roman" w:cs="Times New Roman"/>
          <w:noProof/>
        </w:rPr>
        <w:t>–</w:t>
      </w:r>
      <w:r>
        <w:rPr>
          <w:rFonts w:hAnsi="Times New Roman" w:cs="Times New Roman"/>
          <w:noProof/>
        </w:rPr>
        <w:tab/>
      </w:r>
      <w:r>
        <w:rPr>
          <w:rFonts w:hAnsi="Times New Roman" w:cs="Times New Roman"/>
          <w:b/>
          <w:i/>
          <w:noProof/>
        </w:rPr>
        <w:t>Pregled obrazovanja i osposobljavanja</w:t>
      </w:r>
      <w:r>
        <w:rPr>
          <w:rFonts w:hAnsi="Times New Roman" w:cs="Times New Roman"/>
          <w:noProof/>
        </w:rPr>
        <w:t>, koji je usklađen s Europskim semestrom i omogućuje ažurne tematske podatke specifične za pojedinu zemlju (uključujući dobre strane i izazove), sustavno će se upotrebljavati kao izvor podataka za rasprave o politikama na razini Vijeća i u Europskom parlamentu u raspravama o obrazovnim izazovima i reformama,</w:t>
      </w:r>
    </w:p>
    <w:p>
      <w:pPr>
        <w:pStyle w:val="Brdtext"/>
        <w:spacing w:after="0" w:line="240" w:lineRule="auto"/>
        <w:ind w:left="425" w:hanging="425"/>
        <w:rPr>
          <w:rFonts w:hAnsi="Times New Roman" w:cs="Times New Roman"/>
          <w:noProof/>
        </w:rPr>
      </w:pPr>
    </w:p>
    <w:p>
      <w:pPr>
        <w:pStyle w:val="Brdtext"/>
        <w:spacing w:after="0" w:line="240" w:lineRule="auto"/>
        <w:ind w:left="425" w:hanging="425"/>
        <w:rPr>
          <w:rFonts w:hAnsi="Times New Roman" w:cs="Times New Roman"/>
          <w:noProof/>
        </w:rPr>
      </w:pPr>
      <w:r>
        <w:rPr>
          <w:rFonts w:hAnsi="Times New Roman" w:cs="Times New Roman"/>
          <w:noProof/>
        </w:rPr>
        <w:t>–</w:t>
      </w:r>
      <w:r>
        <w:rPr>
          <w:rFonts w:hAnsi="Times New Roman" w:cs="Times New Roman"/>
          <w:noProof/>
        </w:rPr>
        <w:tab/>
        <w:t xml:space="preserve">na temelju potencijala </w:t>
      </w:r>
      <w:r>
        <w:rPr>
          <w:rFonts w:hAnsi="Times New Roman" w:cs="Times New Roman"/>
          <w:b/>
          <w:i/>
          <w:noProof/>
        </w:rPr>
        <w:t>programa Erasmus+</w:t>
      </w:r>
      <w:r>
        <w:rPr>
          <w:rFonts w:hAnsi="Times New Roman" w:cs="Times New Roman"/>
          <w:noProof/>
        </w:rPr>
        <w:t xml:space="preserve"> za povećanje učinka alata u okviru ET 2020. ostvarit će se najveća moguća korist, uključujući jačanjem priprema za eksperimentiranja u okviru politike u radnim skupinama te primjenom znanja prikupljenog u okviru izvrsnih projekata.</w:t>
      </w:r>
    </w:p>
    <w:p>
      <w:pPr>
        <w:pStyle w:val="Brdtext"/>
        <w:spacing w:after="0" w:line="240" w:lineRule="auto"/>
        <w:jc w:val="left"/>
        <w:rPr>
          <w:noProof/>
        </w:rPr>
      </w:pPr>
      <w:r>
        <w:rPr>
          <w:noProof/>
        </w:rPr>
        <w:br w:type="page"/>
      </w:r>
    </w:p>
    <w:p>
      <w:pPr>
        <w:pStyle w:val="Brdtext"/>
        <w:spacing w:after="0" w:line="240" w:lineRule="auto"/>
        <w:jc w:val="left"/>
        <w:rPr>
          <w:b/>
          <w:bCs/>
          <w:smallCaps/>
          <w:noProof/>
          <w:u w:val="single"/>
        </w:rPr>
      </w:pPr>
    </w:p>
    <w:p>
      <w:pPr>
        <w:pStyle w:val="Brdtext"/>
        <w:spacing w:after="0" w:line="240" w:lineRule="auto"/>
        <w:rPr>
          <w:b/>
          <w:bCs/>
          <w:smallCaps/>
          <w:noProof/>
          <w:u w:val="single"/>
        </w:rPr>
      </w:pPr>
      <w:r>
        <w:rPr>
          <w:b/>
          <w:smallCaps/>
          <w:noProof/>
          <w:u w:val="single"/>
        </w:rPr>
        <w:t>Prilog 1.: Prioritetna podru</w:t>
      </w:r>
      <w:r>
        <w:rPr>
          <w:b/>
          <w:smallCaps/>
          <w:noProof/>
          <w:u w:val="single"/>
        </w:rPr>
        <w:t>č</w:t>
      </w:r>
      <w:r>
        <w:rPr>
          <w:b/>
          <w:smallCaps/>
          <w:noProof/>
          <w:u w:val="single"/>
        </w:rPr>
        <w:t>ja za europsku suradnju u obrazovanju i osposobljavanju</w:t>
      </w:r>
    </w:p>
    <w:p>
      <w:pPr>
        <w:pStyle w:val="BodyText"/>
        <w:spacing w:after="0" w:line="240" w:lineRule="auto"/>
        <w:rPr>
          <w:noProof/>
        </w:rPr>
      </w:pPr>
    </w:p>
    <w:p>
      <w:pPr>
        <w:pStyle w:val="BodyText"/>
        <w:spacing w:after="0" w:line="240" w:lineRule="auto"/>
        <w:rPr>
          <w:noProof/>
        </w:rPr>
      </w:pPr>
      <w:r>
        <w:rPr>
          <w:noProof/>
        </w:rPr>
        <w:t xml:space="preserve">Pregledom stanja u sredini programskog razdoblja potvrđena su četiri </w:t>
      </w:r>
      <w:r>
        <w:rPr>
          <w:b/>
          <w:i/>
          <w:noProof/>
        </w:rPr>
        <w:t>strateška cilja</w:t>
      </w:r>
      <w:r>
        <w:rPr>
          <w:noProof/>
        </w:rPr>
        <w:t xml:space="preserve"> okvira ET 2020. koja je Vijeće odredilo 2009.:</w:t>
      </w:r>
    </w:p>
    <w:p>
      <w:pPr>
        <w:pStyle w:val="BodyText"/>
        <w:spacing w:after="0" w:line="240" w:lineRule="auto"/>
        <w:ind w:left="426" w:hanging="426"/>
        <w:rPr>
          <w:noProof/>
        </w:rPr>
      </w:pPr>
      <w:r>
        <w:rPr>
          <w:noProof/>
        </w:rPr>
        <w:t>1.</w:t>
      </w:r>
      <w:r>
        <w:rPr>
          <w:noProof/>
        </w:rPr>
        <w:tab/>
        <w:t>ostvarivanje koncepta cjeloživotnog učenja i mobilnosti;</w:t>
      </w:r>
    </w:p>
    <w:p>
      <w:pPr>
        <w:pStyle w:val="BodyText"/>
        <w:spacing w:after="0" w:line="240" w:lineRule="auto"/>
        <w:ind w:left="426" w:hanging="426"/>
        <w:rPr>
          <w:noProof/>
        </w:rPr>
      </w:pPr>
      <w:r>
        <w:rPr>
          <w:noProof/>
        </w:rPr>
        <w:t>2.</w:t>
      </w:r>
      <w:r>
        <w:rPr>
          <w:noProof/>
        </w:rPr>
        <w:tab/>
        <w:t>unapređenje kvalitete i učinkovitosti sustava obrazovanja i osposobljavanja;</w:t>
      </w:r>
    </w:p>
    <w:p>
      <w:pPr>
        <w:pStyle w:val="BodyText"/>
        <w:spacing w:after="0" w:line="240" w:lineRule="auto"/>
        <w:ind w:left="426" w:hanging="426"/>
        <w:rPr>
          <w:noProof/>
        </w:rPr>
      </w:pPr>
      <w:r>
        <w:rPr>
          <w:noProof/>
        </w:rPr>
        <w:t>3.</w:t>
      </w:r>
      <w:r>
        <w:rPr>
          <w:noProof/>
        </w:rPr>
        <w:tab/>
        <w:t>promicanje jednakosti, socijalne kohezije i aktivnog građanstva;</w:t>
      </w:r>
    </w:p>
    <w:p>
      <w:pPr>
        <w:pStyle w:val="BodyText"/>
        <w:spacing w:after="0" w:line="240" w:lineRule="auto"/>
        <w:ind w:left="426" w:hanging="426"/>
        <w:rPr>
          <w:noProof/>
        </w:rPr>
      </w:pPr>
      <w:r>
        <w:rPr>
          <w:noProof/>
        </w:rPr>
        <w:t>4.</w:t>
      </w:r>
      <w:r>
        <w:rPr>
          <w:noProof/>
        </w:rPr>
        <w:tab/>
        <w:t>poboljšanje kreativnosti i inovacija, uključujući poduzetništvo, na svim razinama obrazovanja i osposobljavanja.</w:t>
      </w:r>
    </w:p>
    <w:p>
      <w:pPr>
        <w:pStyle w:val="BodyText"/>
        <w:spacing w:after="0" w:line="240" w:lineRule="auto"/>
        <w:rPr>
          <w:noProof/>
        </w:rPr>
      </w:pPr>
    </w:p>
    <w:p>
      <w:pPr>
        <w:pStyle w:val="Brdtext"/>
        <w:spacing w:after="0" w:line="240" w:lineRule="auto"/>
        <w:rPr>
          <w:rFonts w:hAnsi="Times New Roman" w:cs="Times New Roman"/>
          <w:noProof/>
        </w:rPr>
      </w:pPr>
      <w:r>
        <w:rPr>
          <w:rFonts w:hAnsi="Times New Roman" w:cs="Times New Roman"/>
          <w:noProof/>
        </w:rPr>
        <w:t xml:space="preserve">U okviru tih strateških ciljeva, u pregledu stanja naglašen je zajednički cilj država članica za usklađivanje trenutačnih prioritetnih područja djelovanja. U tablici u nastavku predloženo je </w:t>
      </w:r>
      <w:r>
        <w:rPr>
          <w:rFonts w:hAnsi="Times New Roman" w:cs="Times New Roman"/>
          <w:b/>
          <w:noProof/>
        </w:rPr>
        <w:t>smanjenje s 13 na šest prioritetnih područja</w:t>
      </w:r>
      <w:r>
        <w:rPr>
          <w:rFonts w:hAnsi="Times New Roman" w:cs="Times New Roman"/>
          <w:noProof/>
        </w:rPr>
        <w:t>, od kojih je svakim moguće pridonijeti najmanje jednom strateškom cilju, za razdoblje do 2020. Šest prioritetnih područja potpuno je u skladu s općenitim političkim prioritetima EU-a i njima se pridonosi tim prioritetima.</w:t>
      </w:r>
    </w:p>
    <w:p>
      <w:pPr>
        <w:pStyle w:val="BodyText"/>
        <w:spacing w:after="0" w:line="240" w:lineRule="auto"/>
        <w:rPr>
          <w:noProof/>
        </w:rPr>
      </w:pPr>
    </w:p>
    <w:p>
      <w:pPr>
        <w:pStyle w:val="BodyText"/>
        <w:spacing w:after="0" w:line="240" w:lineRule="auto"/>
        <w:rPr>
          <w:noProof/>
        </w:rPr>
      </w:pPr>
      <w:r>
        <w:rPr>
          <w:noProof/>
        </w:rPr>
        <w:t xml:space="preserve">U tablici u nastavku prioritetna područja podijeljena su na </w:t>
      </w:r>
      <w:r>
        <w:rPr>
          <w:b/>
          <w:i/>
          <w:noProof/>
        </w:rPr>
        <w:t>konkretna pitanja</w:t>
      </w:r>
      <w:r>
        <w:rPr>
          <w:noProof/>
        </w:rPr>
        <w:t xml:space="preserve"> kao odgovor na zahtjev Vijeća za konkretnijim utvrđivanjem pitanja za daljnji rad. Ta će se područja pratiti u okviru radnih metoda i paketa alata okvira ET 2020.; ona su zajednički izazov za države članice, a rad na tim područjima na europskoj razini ima dodanu vrijednost.</w:t>
      </w:r>
    </w:p>
    <w:p>
      <w:pPr>
        <w:pStyle w:val="BodyText"/>
        <w:spacing w:after="0" w:line="240" w:lineRule="auto"/>
        <w:rPr>
          <w:noProof/>
        </w:rPr>
      </w:pPr>
    </w:p>
    <w:p>
      <w:pPr>
        <w:pStyle w:val="BodyText"/>
        <w:spacing w:after="0" w:line="240" w:lineRule="auto"/>
        <w:rPr>
          <w:noProof/>
          <w:color w:val="auto"/>
        </w:rPr>
      </w:pPr>
      <w:r>
        <w:rPr>
          <w:noProof/>
        </w:rPr>
        <w:t>Države članice u skladu s nacionalnim prioritetima odabrat će područja i pitanja na kojima je potrebno raditi te oblik suradnje u kojoj žele sudjelovati.</w:t>
      </w:r>
    </w:p>
    <w:p>
      <w:pPr>
        <w:rPr>
          <w:rFonts w:eastAsia="Times New Roman"/>
          <w:noProof/>
          <w:u w:color="000000"/>
        </w:rPr>
      </w:pPr>
      <w:r>
        <w:rPr>
          <w:noProof/>
        </w:rPr>
        <w:br w:type="page"/>
      </w:r>
    </w:p>
    <w:p>
      <w:pPr>
        <w:pStyle w:val="Brdtext"/>
        <w:widowControl w:val="0"/>
        <w:spacing w:after="0" w:line="240" w:lineRule="auto"/>
        <w:rPr>
          <w:rFonts w:hAnsi="Times New Roman" w:cs="Times New Roman"/>
          <w:smallCaps/>
          <w:noProof/>
          <w:sz w:val="20"/>
          <w:szCs w:val="20"/>
        </w:rPr>
      </w:pPr>
    </w:p>
    <w:tbl>
      <w:tblPr>
        <w:tblW w:w="86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6"/>
        <w:gridCol w:w="2252"/>
        <w:gridCol w:w="5925"/>
      </w:tblGrid>
      <w:tr>
        <w:trPr>
          <w:trHeight w:val="442"/>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rPr>
                <w:noProof/>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jc w:val="center"/>
              <w:rPr>
                <w:rFonts w:hAnsi="Times New Roman" w:cs="Times New Roman"/>
                <w:noProof/>
              </w:rPr>
            </w:pPr>
            <w:r>
              <w:rPr>
                <w:rFonts w:hAnsi="Times New Roman" w:cs="Times New Roman"/>
                <w:b/>
                <w:smallCaps/>
                <w:noProof/>
                <w:sz w:val="20"/>
              </w:rPr>
              <w:t>Prioritetna područja</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jc w:val="center"/>
              <w:rPr>
                <w:rFonts w:hAnsi="Times New Roman" w:cs="Times New Roman"/>
                <w:b/>
                <w:bCs/>
                <w:smallCaps/>
                <w:noProof/>
                <w:sz w:val="20"/>
                <w:szCs w:val="20"/>
              </w:rPr>
            </w:pPr>
            <w:r>
              <w:rPr>
                <w:rFonts w:hAnsi="Times New Roman" w:cs="Times New Roman"/>
                <w:b/>
                <w:smallCaps/>
                <w:noProof/>
                <w:sz w:val="20"/>
              </w:rPr>
              <w:t>Konkretna pitanja</w:t>
            </w:r>
          </w:p>
        </w:tc>
      </w:tr>
      <w:tr>
        <w:trPr>
          <w:trHeight w:val="1417"/>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rPr>
                <w:rFonts w:hAnsi="Times New Roman" w:cs="Times New Roman"/>
                <w:noProof/>
              </w:rPr>
            </w:pPr>
            <w:r>
              <w:rPr>
                <w:rFonts w:hAnsi="Times New Roman" w:cs="Times New Roman"/>
                <w:noProof/>
                <w:sz w:val="20"/>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keepNext/>
              <w:spacing w:after="0" w:line="240" w:lineRule="auto"/>
              <w:jc w:val="left"/>
              <w:outlineLvl w:val="1"/>
              <w:rPr>
                <w:rFonts w:hAnsi="Times New Roman" w:cs="Times New Roman"/>
                <w:b/>
                <w:bCs/>
                <w:noProof/>
                <w:sz w:val="20"/>
                <w:szCs w:val="20"/>
              </w:rPr>
            </w:pPr>
            <w:r>
              <w:rPr>
                <w:rFonts w:hAnsi="Times New Roman" w:cs="Times New Roman"/>
                <w:b/>
                <w:noProof/>
                <w:sz w:val="20"/>
              </w:rPr>
              <w:t>Relevantne i visokokvalitetne vještine i kompetencije, usmjerene na ishode učenja, radi zapošljivosti, inovacija i aktivnog građanstva</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ListParagraph"/>
              <w:numPr>
                <w:ilvl w:val="0"/>
                <w:numId w:val="3"/>
              </w:numPr>
              <w:tabs>
                <w:tab w:val="clear" w:pos="360"/>
                <w:tab w:val="num" w:pos="396"/>
              </w:tabs>
              <w:ind w:left="396" w:hanging="396"/>
              <w:rPr>
                <w:rFonts w:ascii="Times New Roman" w:eastAsia="Times New Roman" w:hAnsi="Times New Roman" w:cs="Times New Roman"/>
                <w:noProof/>
                <w:sz w:val="20"/>
              </w:rPr>
            </w:pPr>
            <w:r>
              <w:rPr>
                <w:rFonts w:ascii="Times New Roman" w:hAnsi="Times New Roman" w:cs="Times New Roman"/>
                <w:noProof/>
                <w:sz w:val="20"/>
              </w:rPr>
              <w:t xml:space="preserve">jačanje usmjerenog političkog djelovanja kako bi se smanjile niske razine stjecanja </w:t>
            </w:r>
            <w:r>
              <w:rPr>
                <w:rFonts w:ascii="Times New Roman" w:hAnsi="Times New Roman" w:cs="Times New Roman"/>
                <w:b/>
                <w:noProof/>
                <w:sz w:val="20"/>
              </w:rPr>
              <w:t>osnovnih kompetencija</w:t>
            </w:r>
            <w:r>
              <w:rPr>
                <w:rFonts w:ascii="Times New Roman" w:hAnsi="Times New Roman" w:cs="Times New Roman"/>
                <w:noProof/>
                <w:sz w:val="20"/>
              </w:rPr>
              <w:t xml:space="preserve"> diljem Europe, što uključuje </w:t>
            </w:r>
            <w:r>
              <w:rPr>
                <w:rFonts w:ascii="Times New Roman" w:hAnsi="Times New Roman" w:cs="Times New Roman"/>
                <w:b/>
                <w:noProof/>
                <w:sz w:val="20"/>
              </w:rPr>
              <w:t>pismenost, matematiku, znanost i digitalnu pismenost</w:t>
            </w:r>
          </w:p>
          <w:p>
            <w:pPr>
              <w:pStyle w:val="Brdtext"/>
              <w:spacing w:after="0" w:line="240" w:lineRule="auto"/>
              <w:rPr>
                <w:rFonts w:hAnsi="Times New Roman" w:cs="Times New Roman"/>
                <w:noProof/>
                <w:sz w:val="20"/>
                <w:szCs w:val="20"/>
              </w:rPr>
            </w:pPr>
          </w:p>
          <w:p>
            <w:pPr>
              <w:pStyle w:val="Brdtext"/>
              <w:numPr>
                <w:ilvl w:val="0"/>
                <w:numId w:val="4"/>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jačanje razvoja </w:t>
            </w:r>
            <w:r>
              <w:rPr>
                <w:rFonts w:hAnsi="Times New Roman" w:cs="Times New Roman"/>
                <w:b/>
                <w:noProof/>
                <w:sz w:val="20"/>
              </w:rPr>
              <w:t>transverzalnih vještina i ključnih kompetencija</w:t>
            </w:r>
            <w:r>
              <w:rPr>
                <w:rFonts w:hAnsi="Times New Roman" w:cs="Times New Roman"/>
                <w:noProof/>
                <w:sz w:val="20"/>
              </w:rPr>
              <w:t xml:space="preserve">, u skladu s Referentnim okvirom o ključnim kompetencijama za cjeloživotno učenje, a posebno </w:t>
            </w:r>
            <w:r>
              <w:rPr>
                <w:rFonts w:hAnsi="Times New Roman" w:cs="Times New Roman"/>
                <w:b/>
                <w:noProof/>
                <w:sz w:val="20"/>
              </w:rPr>
              <w:t>digitalnih, poduzetničkih i lingvističkih kompetencija</w:t>
            </w:r>
            <w:r>
              <w:rPr>
                <w:rFonts w:hAnsi="Times New Roman" w:cs="Times New Roman"/>
                <w:noProof/>
                <w:sz w:val="20"/>
              </w:rPr>
              <w:t xml:space="preserve"> kroz zajedničke okvire EU-a i alate za samoprocjenu poput alata HEinnovate</w:t>
            </w:r>
          </w:p>
          <w:p>
            <w:pPr>
              <w:pStyle w:val="Brdtext"/>
              <w:tabs>
                <w:tab w:val="left" w:pos="2280"/>
              </w:tabs>
              <w:spacing w:after="0" w:line="240" w:lineRule="auto"/>
              <w:jc w:val="left"/>
              <w:rPr>
                <w:rFonts w:hAnsi="Times New Roman" w:cs="Times New Roman"/>
                <w:noProof/>
                <w:sz w:val="20"/>
                <w:szCs w:val="20"/>
              </w:rPr>
            </w:pPr>
          </w:p>
          <w:p>
            <w:pPr>
              <w:pStyle w:val="ListParagraph"/>
              <w:numPr>
                <w:ilvl w:val="0"/>
                <w:numId w:val="5"/>
              </w:numPr>
              <w:tabs>
                <w:tab w:val="clear" w:pos="360"/>
                <w:tab w:val="num" w:pos="396"/>
              </w:tabs>
              <w:ind w:left="396" w:hanging="396"/>
              <w:rPr>
                <w:rFonts w:ascii="Times New Roman" w:eastAsia="Times New Roman" w:hAnsi="Times New Roman" w:cs="Times New Roman"/>
                <w:noProof/>
                <w:sz w:val="20"/>
              </w:rPr>
            </w:pPr>
            <w:r>
              <w:rPr>
                <w:rFonts w:ascii="Times New Roman" w:hAnsi="Times New Roman" w:cs="Times New Roman"/>
                <w:noProof/>
                <w:sz w:val="20"/>
              </w:rPr>
              <w:t xml:space="preserve">ponovno pokretanje strategija cjeloživotnog učenja usmjerenih na </w:t>
            </w:r>
            <w:r>
              <w:rPr>
                <w:rFonts w:ascii="Times New Roman" w:hAnsi="Times New Roman" w:cs="Times New Roman"/>
                <w:b/>
                <w:noProof/>
                <w:sz w:val="20"/>
              </w:rPr>
              <w:t>prijelazne faze</w:t>
            </w:r>
            <w:r>
              <w:rPr>
                <w:rFonts w:ascii="Times New Roman" w:hAnsi="Times New Roman" w:cs="Times New Roman"/>
                <w:noProof/>
                <w:sz w:val="20"/>
              </w:rPr>
              <w:t xml:space="preserve"> u okviru školskog obrazovanja, uz istovremeno promicanje prijelaza na strukovno obrazovanje i osposobljavanje, visoko obrazovanje i obrazovanje odraslih te prijelaza između tih vrsta obrazovanja, uključujući neformalno i informalno učenje, te s obrazovanja i osposobljavanja na rad</w:t>
            </w:r>
          </w:p>
          <w:p>
            <w:pPr>
              <w:pStyle w:val="Brdtext"/>
              <w:spacing w:after="0" w:line="240" w:lineRule="auto"/>
              <w:rPr>
                <w:rFonts w:hAnsi="Times New Roman" w:cs="Times New Roman"/>
                <w:noProof/>
                <w:sz w:val="20"/>
                <w:szCs w:val="20"/>
              </w:rPr>
            </w:pPr>
          </w:p>
          <w:p>
            <w:pPr>
              <w:pStyle w:val="Brdtext"/>
              <w:numPr>
                <w:ilvl w:val="0"/>
                <w:numId w:val="6"/>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poticanje pristupa visokokvalitetnom </w:t>
            </w:r>
            <w:r>
              <w:rPr>
                <w:rFonts w:hAnsi="Times New Roman" w:cs="Times New Roman"/>
                <w:b/>
                <w:noProof/>
                <w:sz w:val="20"/>
              </w:rPr>
              <w:t>ranom predškolskom odgoju i obrazovanju</w:t>
            </w:r>
            <w:r>
              <w:rPr>
                <w:rFonts w:hAnsi="Times New Roman" w:cs="Times New Roman"/>
                <w:noProof/>
                <w:sz w:val="20"/>
              </w:rPr>
              <w:t>, posebno za osobe u nepovoljnom položaju, i provedba kvalitativnog okvira za rani predškolski odgoj i obrazovanje</w:t>
            </w:r>
          </w:p>
          <w:p>
            <w:pPr>
              <w:pStyle w:val="Brdtext"/>
              <w:spacing w:after="0" w:line="240" w:lineRule="auto"/>
              <w:jc w:val="left"/>
              <w:rPr>
                <w:rFonts w:hAnsi="Times New Roman" w:cs="Times New Roman"/>
                <w:noProof/>
                <w:sz w:val="20"/>
                <w:szCs w:val="20"/>
              </w:rPr>
            </w:pPr>
          </w:p>
          <w:p>
            <w:pPr>
              <w:pStyle w:val="Brdtext"/>
              <w:numPr>
                <w:ilvl w:val="0"/>
                <w:numId w:val="7"/>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smanjenje </w:t>
            </w:r>
            <w:r>
              <w:rPr>
                <w:rFonts w:hAnsi="Times New Roman" w:cs="Times New Roman"/>
                <w:b/>
                <w:noProof/>
                <w:sz w:val="20"/>
              </w:rPr>
              <w:t>ranog prekida školovanja</w:t>
            </w:r>
            <w:r>
              <w:rPr>
                <w:rFonts w:hAnsi="Times New Roman" w:cs="Times New Roman"/>
                <w:noProof/>
                <w:sz w:val="20"/>
              </w:rPr>
              <w:t xml:space="preserve"> podupiranjem na to usmjerenih strategija koje se provode u školama i pružanja drugih prilika, s naglaskom na učinkovite okoline za učenje i pedagoške metode</w:t>
            </w:r>
          </w:p>
          <w:p>
            <w:pPr>
              <w:pStyle w:val="Brdtext"/>
              <w:spacing w:after="0" w:line="240" w:lineRule="auto"/>
              <w:jc w:val="left"/>
              <w:rPr>
                <w:rFonts w:hAnsi="Times New Roman" w:cs="Times New Roman"/>
                <w:noProof/>
                <w:sz w:val="20"/>
                <w:szCs w:val="20"/>
              </w:rPr>
            </w:pPr>
          </w:p>
          <w:p>
            <w:pPr>
              <w:pStyle w:val="Brdtext"/>
              <w:numPr>
                <w:ilvl w:val="0"/>
                <w:numId w:val="8"/>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promicanje tržišta rada i društvene važnosti </w:t>
            </w:r>
            <w:r>
              <w:rPr>
                <w:rFonts w:hAnsi="Times New Roman" w:cs="Times New Roman"/>
                <w:b/>
                <w:noProof/>
                <w:sz w:val="20"/>
              </w:rPr>
              <w:t>visokog obrazovanja</w:t>
            </w:r>
            <w:r>
              <w:rPr>
                <w:rFonts w:hAnsi="Times New Roman" w:cs="Times New Roman"/>
                <w:noProof/>
                <w:sz w:val="20"/>
              </w:rPr>
              <w:t>, uključujući s pomoću boljeg pregleda i predviđanja potreba i ishoda na tržištu rada, novih vrsta nastavnih programa, jačanjem učenja kroz rad i suradnje između ustanova i poslodavaca</w:t>
            </w:r>
          </w:p>
          <w:p>
            <w:pPr>
              <w:pStyle w:val="Brdtext"/>
              <w:spacing w:after="0" w:line="240" w:lineRule="auto"/>
              <w:rPr>
                <w:rFonts w:hAnsi="Times New Roman" w:cs="Times New Roman"/>
                <w:noProof/>
                <w:sz w:val="20"/>
                <w:szCs w:val="20"/>
              </w:rPr>
            </w:pPr>
          </w:p>
          <w:p>
            <w:pPr>
              <w:pStyle w:val="Brdtext"/>
              <w:numPr>
                <w:ilvl w:val="0"/>
                <w:numId w:val="9"/>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provedba srednjoročnih ciljeva iz Rige u </w:t>
            </w:r>
            <w:r>
              <w:rPr>
                <w:rFonts w:hAnsi="Times New Roman" w:cs="Times New Roman"/>
                <w:b/>
                <w:noProof/>
                <w:sz w:val="20"/>
              </w:rPr>
              <w:t>strukovnom obrazovanju i osposobljavanju</w:t>
            </w:r>
            <w:r>
              <w:rPr>
                <w:rFonts w:hAnsi="Times New Roman" w:cs="Times New Roman"/>
                <w:noProof/>
                <w:sz w:val="20"/>
              </w:rPr>
              <w:t xml:space="preserve"> (vidjeti Prilog 2.) i pružanje potpore Europskom savezu za naukovanje i poboljšanje predviđanja potreba za vještinama na tržištu rada</w:t>
            </w:r>
          </w:p>
          <w:p>
            <w:pPr>
              <w:pStyle w:val="Brdtext"/>
              <w:spacing w:after="0" w:line="240" w:lineRule="auto"/>
              <w:jc w:val="left"/>
              <w:rPr>
                <w:rFonts w:hAnsi="Times New Roman" w:cs="Times New Roman"/>
                <w:noProof/>
                <w:sz w:val="20"/>
                <w:szCs w:val="20"/>
              </w:rPr>
            </w:pPr>
          </w:p>
          <w:p>
            <w:pPr>
              <w:pStyle w:val="Brdtext"/>
              <w:numPr>
                <w:ilvl w:val="0"/>
                <w:numId w:val="10"/>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provedba </w:t>
            </w:r>
            <w:r>
              <w:rPr>
                <w:rFonts w:hAnsi="Times New Roman" w:cs="Times New Roman"/>
                <w:b/>
                <w:noProof/>
                <w:sz w:val="20"/>
              </w:rPr>
              <w:t>Europskog programa za obrazovanje odraslih</w:t>
            </w:r>
            <w:r>
              <w:rPr>
                <w:rFonts w:hAnsi="Times New Roman" w:cs="Times New Roman"/>
                <w:noProof/>
                <w:sz w:val="20"/>
              </w:rPr>
              <w:t xml:space="preserve"> (vidjeti Prilog 2.)</w:t>
            </w:r>
          </w:p>
        </w:tc>
      </w:tr>
      <w:tr>
        <w:trPr>
          <w:trHeight w:val="1417"/>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rPr>
                <w:rFonts w:hAnsi="Times New Roman" w:cs="Times New Roman"/>
                <w:noProof/>
              </w:rPr>
            </w:pPr>
            <w:r>
              <w:rPr>
                <w:rFonts w:hAnsi="Times New Roman" w:cs="Times New Roman"/>
                <w:noProof/>
                <w:sz w:val="20"/>
              </w:rPr>
              <w:t>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Text2"/>
              <w:spacing w:after="0" w:line="240" w:lineRule="auto"/>
              <w:ind w:left="0"/>
              <w:jc w:val="left"/>
              <w:rPr>
                <w:rFonts w:hAnsi="Times New Roman" w:cs="Times New Roman"/>
                <w:noProof/>
              </w:rPr>
            </w:pPr>
            <w:r>
              <w:rPr>
                <w:rFonts w:hAnsi="Times New Roman" w:cs="Times New Roman"/>
                <w:b/>
                <w:noProof/>
                <w:sz w:val="20"/>
              </w:rPr>
              <w:t>Inkluzivno obrazovanje, jednakost, nediskriminacija i promicanje građanskih kompetencija</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ListParagraph"/>
              <w:numPr>
                <w:ilvl w:val="0"/>
                <w:numId w:val="11"/>
              </w:numPr>
              <w:tabs>
                <w:tab w:val="clear" w:pos="360"/>
                <w:tab w:val="num" w:pos="396"/>
              </w:tabs>
              <w:ind w:left="396" w:hanging="396"/>
              <w:contextualSpacing/>
              <w:rPr>
                <w:rFonts w:ascii="Times New Roman" w:eastAsia="Times New Roman" w:hAnsi="Times New Roman" w:cs="Times New Roman"/>
                <w:noProof/>
                <w:sz w:val="20"/>
              </w:rPr>
            </w:pPr>
            <w:r>
              <w:rPr>
                <w:rFonts w:ascii="Times New Roman" w:hAnsi="Times New Roman" w:cs="Times New Roman"/>
                <w:noProof/>
                <w:sz w:val="20"/>
              </w:rPr>
              <w:t xml:space="preserve">rješavanje pitanja rastuće </w:t>
            </w:r>
            <w:r>
              <w:rPr>
                <w:rFonts w:ascii="Times New Roman" w:hAnsi="Times New Roman" w:cs="Times New Roman"/>
                <w:b/>
                <w:noProof/>
                <w:sz w:val="20"/>
              </w:rPr>
              <w:t>raznolikosti učenika</w:t>
            </w:r>
            <w:r>
              <w:rPr>
                <w:rFonts w:ascii="Times New Roman" w:hAnsi="Times New Roman" w:cs="Times New Roman"/>
                <w:noProof/>
                <w:sz w:val="20"/>
              </w:rPr>
              <w:t xml:space="preserve"> i poboljšanje </w:t>
            </w:r>
            <w:r>
              <w:rPr>
                <w:rFonts w:ascii="Times New Roman" w:hAnsi="Times New Roman" w:cs="Times New Roman"/>
                <w:b/>
                <w:noProof/>
                <w:sz w:val="20"/>
              </w:rPr>
              <w:t>pristupa kvalitetnom i inkluzivnom redovnom obrazovanju i osposobljavanju</w:t>
            </w:r>
            <w:r>
              <w:rPr>
                <w:rFonts w:ascii="Times New Roman" w:hAnsi="Times New Roman" w:cs="Times New Roman"/>
                <w:noProof/>
                <w:sz w:val="20"/>
              </w:rPr>
              <w:t xml:space="preserve"> za sve učenike, uključujući učenike iz ugroženih sredina, učenike s posebnim potrebama, migrante i Rome, i istovremena borba protiv diskriminacije, rasizma, segregacije, zlostavljanja, nasilja i stereotipa</w:t>
            </w:r>
          </w:p>
          <w:p>
            <w:pPr>
              <w:pStyle w:val="ListParagraph"/>
              <w:ind w:left="396"/>
              <w:contextualSpacing/>
              <w:rPr>
                <w:rFonts w:ascii="Times New Roman" w:eastAsia="Times New Roman" w:hAnsi="Times New Roman" w:cs="Times New Roman"/>
                <w:noProof/>
                <w:sz w:val="20"/>
              </w:rPr>
            </w:pPr>
          </w:p>
          <w:p>
            <w:pPr>
              <w:pStyle w:val="ListParagraph"/>
              <w:numPr>
                <w:ilvl w:val="0"/>
                <w:numId w:val="11"/>
              </w:numPr>
              <w:tabs>
                <w:tab w:val="clear" w:pos="360"/>
                <w:tab w:val="num" w:pos="396"/>
              </w:tabs>
              <w:ind w:left="396" w:hanging="396"/>
              <w:contextualSpacing/>
              <w:rPr>
                <w:rFonts w:ascii="Times New Roman" w:eastAsia="Times New Roman" w:hAnsi="Times New Roman" w:cs="Times New Roman"/>
                <w:noProof/>
                <w:sz w:val="20"/>
              </w:rPr>
            </w:pPr>
            <w:r>
              <w:rPr>
                <w:rFonts w:ascii="Times New Roman" w:hAnsi="Times New Roman" w:cs="Times New Roman"/>
                <w:noProof/>
                <w:sz w:val="20"/>
              </w:rPr>
              <w:t>rješavanje razlika između spolova u obrazovanju i promicanje bolje rodne ravnoteže u odabiru obrazovanja</w:t>
            </w:r>
          </w:p>
          <w:p>
            <w:pPr>
              <w:contextualSpacing/>
              <w:rPr>
                <w:rFonts w:eastAsia="Times New Roman"/>
                <w:noProof/>
                <w:sz w:val="20"/>
              </w:rPr>
            </w:pPr>
          </w:p>
          <w:p>
            <w:pPr>
              <w:pStyle w:val="ListParagraph"/>
              <w:numPr>
                <w:ilvl w:val="0"/>
                <w:numId w:val="11"/>
              </w:numPr>
              <w:tabs>
                <w:tab w:val="clear" w:pos="360"/>
                <w:tab w:val="num" w:pos="396"/>
              </w:tabs>
              <w:ind w:left="396" w:hanging="396"/>
              <w:contextualSpacing/>
              <w:rPr>
                <w:rFonts w:ascii="Times New Roman" w:eastAsia="Times New Roman" w:hAnsi="Times New Roman" w:cs="Times New Roman"/>
                <w:noProof/>
                <w:sz w:val="20"/>
              </w:rPr>
            </w:pPr>
            <w:r>
              <w:rPr>
                <w:rFonts w:ascii="Times New Roman" w:hAnsi="Times New Roman" w:cs="Times New Roman"/>
                <w:noProof/>
                <w:sz w:val="20"/>
              </w:rPr>
              <w:t xml:space="preserve">olakšavanje učinkovitog usvajanja </w:t>
            </w:r>
            <w:r>
              <w:rPr>
                <w:rFonts w:ascii="Times New Roman" w:hAnsi="Times New Roman" w:cs="Times New Roman"/>
                <w:b/>
                <w:noProof/>
                <w:sz w:val="20"/>
              </w:rPr>
              <w:t>jezika učenja i zapošljavanja</w:t>
            </w:r>
            <w:r>
              <w:rPr>
                <w:rFonts w:ascii="Times New Roman" w:hAnsi="Times New Roman" w:cs="Times New Roman"/>
                <w:noProof/>
                <w:sz w:val="20"/>
              </w:rPr>
              <w:t xml:space="preserve"> za migrante </w:t>
            </w:r>
          </w:p>
          <w:p>
            <w:pPr>
              <w:rPr>
                <w:rFonts w:eastAsia="Times New Roman"/>
                <w:noProof/>
              </w:rPr>
            </w:pPr>
          </w:p>
          <w:p>
            <w:pPr>
              <w:pStyle w:val="ListParagraph"/>
              <w:numPr>
                <w:ilvl w:val="0"/>
                <w:numId w:val="12"/>
              </w:numPr>
              <w:tabs>
                <w:tab w:val="clear" w:pos="360"/>
                <w:tab w:val="num" w:pos="396"/>
              </w:tabs>
              <w:ind w:left="396" w:hanging="396"/>
              <w:contextualSpacing/>
              <w:rPr>
                <w:rFonts w:ascii="Times New Roman" w:eastAsia="Times New Roman" w:hAnsi="Times New Roman" w:cs="Times New Roman"/>
                <w:noProof/>
                <w:sz w:val="20"/>
              </w:rPr>
            </w:pPr>
            <w:r>
              <w:rPr>
                <w:rFonts w:ascii="Times New Roman" w:hAnsi="Times New Roman" w:cs="Times New Roman"/>
                <w:noProof/>
                <w:sz w:val="20"/>
              </w:rPr>
              <w:t xml:space="preserve">promicanje </w:t>
            </w:r>
            <w:r>
              <w:rPr>
                <w:rFonts w:ascii="Times New Roman" w:hAnsi="Times New Roman" w:cs="Times New Roman"/>
                <w:b/>
                <w:noProof/>
                <w:sz w:val="20"/>
              </w:rPr>
              <w:t>građanskih, međukulturnih, socijalnih i odnosnih kompetencija</w:t>
            </w:r>
            <w:r>
              <w:rPr>
                <w:rFonts w:ascii="Times New Roman" w:hAnsi="Times New Roman" w:cs="Times New Roman"/>
                <w:noProof/>
                <w:sz w:val="20"/>
              </w:rPr>
              <w:t xml:space="preserve">, međusobnog razumijevanja i uzajamnog poštovanja te posjedovanja demokratskih vrijednosti i temeljnih prava </w:t>
            </w:r>
          </w:p>
          <w:p>
            <w:pPr>
              <w:contextualSpacing/>
              <w:rPr>
                <w:rFonts w:eastAsia="Times New Roman"/>
                <w:noProof/>
                <w:sz w:val="20"/>
              </w:rPr>
            </w:pPr>
          </w:p>
          <w:p>
            <w:pPr>
              <w:pStyle w:val="ListParagraph"/>
              <w:numPr>
                <w:ilvl w:val="0"/>
                <w:numId w:val="12"/>
              </w:numPr>
              <w:tabs>
                <w:tab w:val="clear" w:pos="360"/>
                <w:tab w:val="num" w:pos="396"/>
              </w:tabs>
              <w:ind w:left="396" w:hanging="396"/>
              <w:contextualSpacing/>
              <w:rPr>
                <w:rFonts w:ascii="Times New Roman" w:hAnsi="Times New Roman" w:cs="Times New Roman"/>
                <w:noProof/>
                <w:sz w:val="20"/>
              </w:rPr>
            </w:pPr>
            <w:r>
              <w:rPr>
                <w:rFonts w:ascii="Times New Roman" w:hAnsi="Times New Roman" w:cs="Times New Roman"/>
                <w:noProof/>
                <w:sz w:val="20"/>
              </w:rPr>
              <w:t xml:space="preserve">jačanje </w:t>
            </w:r>
            <w:r>
              <w:rPr>
                <w:rFonts w:ascii="Times New Roman" w:hAnsi="Times New Roman" w:cs="Times New Roman"/>
                <w:b/>
                <w:noProof/>
                <w:sz w:val="20"/>
              </w:rPr>
              <w:t>kritičkog razmišljanja</w:t>
            </w:r>
            <w:r>
              <w:rPr>
                <w:rFonts w:ascii="Times New Roman" w:hAnsi="Times New Roman" w:cs="Times New Roman"/>
                <w:noProof/>
                <w:sz w:val="20"/>
              </w:rPr>
              <w:t xml:space="preserve"> te internetske i medijske pismenosti</w:t>
            </w:r>
          </w:p>
        </w:tc>
      </w:tr>
      <w:tr>
        <w:trPr>
          <w:trHeight w:val="1417"/>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rPr>
                <w:rFonts w:hAnsi="Times New Roman" w:cs="Times New Roman"/>
                <w:noProof/>
              </w:rPr>
            </w:pPr>
            <w:r>
              <w:rPr>
                <w:rFonts w:hAnsi="Times New Roman" w:cs="Times New Roman"/>
                <w:noProof/>
                <w:sz w:val="20"/>
              </w:rPr>
              <w:t xml:space="preserve">3. </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jc w:val="left"/>
              <w:rPr>
                <w:rFonts w:hAnsi="Times New Roman" w:cs="Times New Roman"/>
                <w:b/>
                <w:bCs/>
                <w:noProof/>
                <w:sz w:val="20"/>
                <w:szCs w:val="20"/>
              </w:rPr>
            </w:pPr>
            <w:r>
              <w:rPr>
                <w:rFonts w:hAnsi="Times New Roman" w:cs="Times New Roman"/>
                <w:b/>
                <w:noProof/>
                <w:sz w:val="20"/>
              </w:rPr>
              <w:t xml:space="preserve">Otvoreno i inovativno obrazovanje i osposobljavanje, uključujući potpuno prihvaćanje digitalnog doba </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ListParagraph"/>
              <w:numPr>
                <w:ilvl w:val="0"/>
                <w:numId w:val="14"/>
              </w:numPr>
              <w:tabs>
                <w:tab w:val="clear" w:pos="360"/>
                <w:tab w:val="num" w:pos="396"/>
              </w:tabs>
              <w:ind w:left="396" w:hanging="396"/>
              <w:contextualSpacing/>
              <w:rPr>
                <w:rFonts w:ascii="Times New Roman" w:eastAsia="Times New Roman" w:hAnsi="Times New Roman" w:cs="Times New Roman"/>
                <w:noProof/>
                <w:sz w:val="20"/>
              </w:rPr>
            </w:pPr>
            <w:r>
              <w:rPr>
                <w:rFonts w:ascii="Times New Roman" w:hAnsi="Times New Roman" w:cs="Times New Roman"/>
                <w:noProof/>
                <w:sz w:val="20"/>
              </w:rPr>
              <w:t xml:space="preserve">uključivanje </w:t>
            </w:r>
            <w:r>
              <w:rPr>
                <w:rFonts w:ascii="Times New Roman" w:hAnsi="Times New Roman" w:cs="Times New Roman"/>
                <w:b/>
                <w:noProof/>
                <w:sz w:val="20"/>
              </w:rPr>
              <w:t>inovativnih i aktivnih pedagoških metoda</w:t>
            </w:r>
            <w:r>
              <w:rPr>
                <w:rFonts w:ascii="Times New Roman" w:hAnsi="Times New Roman" w:cs="Times New Roman"/>
                <w:noProof/>
                <w:sz w:val="20"/>
              </w:rPr>
              <w:t xml:space="preserve"> kao što su interdisciplinarno učenje i suradničke metode kako bi se poboljšao razvoj relevantnih i naprednih vještina i kompetencija te poticalo inkluzivno obrazovanje, uključujući za učenike u nepovoljnom položaju i učenike s poteškoćama</w:t>
            </w:r>
          </w:p>
          <w:p>
            <w:pPr>
              <w:pStyle w:val="ListParagraph"/>
              <w:ind w:left="360"/>
              <w:contextualSpacing/>
              <w:rPr>
                <w:rFonts w:ascii="Times New Roman" w:eastAsia="Times New Roman" w:hAnsi="Times New Roman" w:cs="Times New Roman"/>
                <w:noProof/>
                <w:sz w:val="20"/>
                <w:szCs w:val="20"/>
              </w:rPr>
            </w:pPr>
          </w:p>
          <w:p>
            <w:pPr>
              <w:pStyle w:val="ListParagraph"/>
              <w:numPr>
                <w:ilvl w:val="0"/>
                <w:numId w:val="15"/>
              </w:numPr>
              <w:tabs>
                <w:tab w:val="clear" w:pos="360"/>
                <w:tab w:val="num" w:pos="396"/>
              </w:tabs>
              <w:ind w:left="396" w:hanging="396"/>
              <w:contextualSpacing/>
              <w:rPr>
                <w:rFonts w:ascii="Times New Roman" w:eastAsia="Times New Roman" w:hAnsi="Times New Roman" w:cs="Times New Roman"/>
                <w:noProof/>
                <w:sz w:val="20"/>
              </w:rPr>
            </w:pPr>
            <w:r>
              <w:rPr>
                <w:rFonts w:ascii="Times New Roman" w:hAnsi="Times New Roman" w:cs="Times New Roman"/>
                <w:noProof/>
                <w:sz w:val="20"/>
              </w:rPr>
              <w:t xml:space="preserve">podupiranje </w:t>
            </w:r>
            <w:r>
              <w:rPr>
                <w:rFonts w:ascii="Times New Roman" w:hAnsi="Times New Roman" w:cs="Times New Roman"/>
                <w:b/>
                <w:noProof/>
                <w:sz w:val="20"/>
              </w:rPr>
              <w:t>participativnog upravljanja obrazovanjem</w:t>
            </w:r>
            <w:r>
              <w:rPr>
                <w:rFonts w:ascii="Times New Roman" w:hAnsi="Times New Roman" w:cs="Times New Roman"/>
                <w:noProof/>
                <w:sz w:val="20"/>
              </w:rPr>
              <w:t xml:space="preserve"> poticanjem uključenosti učenika, odgojno-obrazovnog osoblja, roditelja i šire lokalne zajednice kao što su skupine civilnog društva, socijalni partneri i poduzeća</w:t>
            </w:r>
          </w:p>
          <w:p>
            <w:pPr>
              <w:pStyle w:val="Brdtext"/>
              <w:spacing w:after="0" w:line="240" w:lineRule="auto"/>
              <w:contextualSpacing/>
              <w:jc w:val="left"/>
              <w:rPr>
                <w:rFonts w:hAnsi="Times New Roman" w:cs="Times New Roman"/>
                <w:noProof/>
                <w:sz w:val="20"/>
                <w:szCs w:val="20"/>
              </w:rPr>
            </w:pPr>
          </w:p>
          <w:p>
            <w:pPr>
              <w:pStyle w:val="ListParagraph"/>
              <w:numPr>
                <w:ilvl w:val="0"/>
                <w:numId w:val="16"/>
              </w:numPr>
              <w:tabs>
                <w:tab w:val="clear" w:pos="360"/>
                <w:tab w:val="num" w:pos="396"/>
              </w:tabs>
              <w:ind w:left="396" w:hanging="396"/>
              <w:contextualSpacing/>
              <w:rPr>
                <w:rFonts w:ascii="Times New Roman" w:eastAsia="Times New Roman" w:hAnsi="Times New Roman" w:cs="Times New Roman"/>
                <w:noProof/>
                <w:sz w:val="20"/>
              </w:rPr>
            </w:pPr>
            <w:r>
              <w:rPr>
                <w:rFonts w:ascii="Times New Roman" w:hAnsi="Times New Roman" w:cs="Times New Roman"/>
                <w:noProof/>
                <w:sz w:val="20"/>
              </w:rPr>
              <w:t xml:space="preserve">povećanje </w:t>
            </w:r>
            <w:r>
              <w:rPr>
                <w:rFonts w:ascii="Times New Roman" w:hAnsi="Times New Roman" w:cs="Times New Roman"/>
                <w:b/>
                <w:noProof/>
                <w:sz w:val="20"/>
              </w:rPr>
              <w:t>sinergija</w:t>
            </w:r>
            <w:r>
              <w:rPr>
                <w:rFonts w:ascii="Times New Roman" w:hAnsi="Times New Roman" w:cs="Times New Roman"/>
                <w:noProof/>
                <w:sz w:val="20"/>
              </w:rPr>
              <w:t xml:space="preserve"> između aktivnosti u obrazovanju, istraživanju i inovacijama, imajući na umu održivi rast, čime se nastavlja razvoj visokog obrazovanja s novom usmjerenošću na strukovno obrazovanje i osposobljavanje te na škole</w:t>
            </w:r>
          </w:p>
          <w:p>
            <w:pPr>
              <w:pStyle w:val="Brdtext"/>
              <w:spacing w:after="0" w:line="240" w:lineRule="auto"/>
              <w:contextualSpacing/>
              <w:jc w:val="left"/>
              <w:rPr>
                <w:rFonts w:hAnsi="Times New Roman" w:cs="Times New Roman"/>
                <w:noProof/>
                <w:sz w:val="20"/>
                <w:szCs w:val="20"/>
              </w:rPr>
            </w:pPr>
          </w:p>
          <w:p>
            <w:pPr>
              <w:pStyle w:val="Brdtext"/>
              <w:numPr>
                <w:ilvl w:val="0"/>
                <w:numId w:val="17"/>
              </w:numPr>
              <w:tabs>
                <w:tab w:val="clear" w:pos="360"/>
                <w:tab w:val="num" w:pos="432"/>
              </w:tabs>
              <w:spacing w:after="0" w:line="240" w:lineRule="auto"/>
              <w:ind w:left="432" w:hanging="432"/>
              <w:contextualSpacing/>
              <w:jc w:val="left"/>
              <w:rPr>
                <w:rFonts w:hAnsi="Times New Roman" w:cs="Times New Roman"/>
                <w:noProof/>
                <w:sz w:val="20"/>
              </w:rPr>
            </w:pPr>
            <w:r>
              <w:rPr>
                <w:rFonts w:hAnsi="Times New Roman" w:cs="Times New Roman"/>
                <w:noProof/>
                <w:sz w:val="20"/>
              </w:rPr>
              <w:t xml:space="preserve">promicanje upotrebe </w:t>
            </w:r>
            <w:r>
              <w:rPr>
                <w:rFonts w:hAnsi="Times New Roman" w:cs="Times New Roman"/>
                <w:b/>
                <w:noProof/>
                <w:sz w:val="20"/>
              </w:rPr>
              <w:t xml:space="preserve">informacijskih i komunikacijskih tehnologija kao pokretača sustavne promjene </w:t>
            </w:r>
            <w:r>
              <w:rPr>
                <w:rFonts w:hAnsi="Times New Roman" w:cs="Times New Roman"/>
                <w:noProof/>
                <w:sz w:val="20"/>
              </w:rPr>
              <w:t>za povećanje kvalitete i relevantnosti obrazovanja na svim razinama</w:t>
            </w:r>
          </w:p>
          <w:p>
            <w:pPr>
              <w:pStyle w:val="Brdtext"/>
              <w:spacing w:after="0" w:line="240" w:lineRule="auto"/>
              <w:contextualSpacing/>
              <w:jc w:val="left"/>
              <w:rPr>
                <w:rFonts w:hAnsi="Times New Roman" w:cs="Times New Roman"/>
                <w:noProof/>
                <w:sz w:val="20"/>
                <w:szCs w:val="20"/>
              </w:rPr>
            </w:pPr>
          </w:p>
          <w:p>
            <w:pPr>
              <w:pStyle w:val="Brdtext"/>
              <w:numPr>
                <w:ilvl w:val="0"/>
                <w:numId w:val="18"/>
              </w:numPr>
              <w:tabs>
                <w:tab w:val="clear" w:pos="360"/>
                <w:tab w:val="num" w:pos="432"/>
              </w:tabs>
              <w:spacing w:after="0" w:line="240" w:lineRule="auto"/>
              <w:ind w:left="432" w:hanging="432"/>
              <w:contextualSpacing/>
              <w:jc w:val="left"/>
              <w:rPr>
                <w:rFonts w:hAnsi="Times New Roman" w:cs="Times New Roman"/>
                <w:noProof/>
                <w:sz w:val="20"/>
              </w:rPr>
            </w:pPr>
            <w:r>
              <w:rPr>
                <w:rFonts w:hAnsi="Times New Roman" w:cs="Times New Roman"/>
                <w:noProof/>
                <w:sz w:val="20"/>
              </w:rPr>
              <w:t xml:space="preserve">povećanje dostupnosti i kvalitete </w:t>
            </w:r>
            <w:r>
              <w:rPr>
                <w:rFonts w:hAnsi="Times New Roman" w:cs="Times New Roman"/>
                <w:b/>
                <w:noProof/>
                <w:sz w:val="20"/>
              </w:rPr>
              <w:t>otvorenih i digitalnih obrazovnih resursa</w:t>
            </w:r>
            <w:r>
              <w:rPr>
                <w:rFonts w:hAnsi="Times New Roman" w:cs="Times New Roman"/>
                <w:noProof/>
                <w:sz w:val="20"/>
              </w:rPr>
              <w:t xml:space="preserve"> i pedagoških metoda na svim razinama obrazovanja, u suradnji s europskim zajednicama otvorenog koda</w:t>
            </w:r>
          </w:p>
          <w:p>
            <w:pPr>
              <w:pStyle w:val="Brdtext"/>
              <w:spacing w:after="0" w:line="240" w:lineRule="auto"/>
              <w:ind w:left="432"/>
              <w:contextualSpacing/>
              <w:jc w:val="left"/>
              <w:rPr>
                <w:rFonts w:hAnsi="Times New Roman" w:cs="Times New Roman"/>
                <w:noProof/>
                <w:sz w:val="20"/>
              </w:rPr>
            </w:pPr>
          </w:p>
          <w:p>
            <w:pPr>
              <w:pStyle w:val="Brdtext"/>
              <w:numPr>
                <w:ilvl w:val="0"/>
                <w:numId w:val="18"/>
              </w:numPr>
              <w:tabs>
                <w:tab w:val="clear" w:pos="360"/>
                <w:tab w:val="num" w:pos="432"/>
              </w:tabs>
              <w:spacing w:after="0" w:line="240" w:lineRule="auto"/>
              <w:ind w:left="432" w:hanging="432"/>
              <w:contextualSpacing/>
              <w:jc w:val="left"/>
              <w:rPr>
                <w:rFonts w:hAnsi="Times New Roman" w:cs="Times New Roman"/>
                <w:noProof/>
                <w:sz w:val="20"/>
              </w:rPr>
            </w:pPr>
            <w:r>
              <w:rPr>
                <w:rFonts w:hAnsi="Times New Roman" w:cs="Times New Roman"/>
                <w:noProof/>
                <w:sz w:val="20"/>
              </w:rPr>
              <w:t xml:space="preserve">razvoj </w:t>
            </w:r>
            <w:r>
              <w:rPr>
                <w:rFonts w:hAnsi="Times New Roman" w:cs="Times New Roman"/>
                <w:b/>
                <w:noProof/>
                <w:sz w:val="20"/>
              </w:rPr>
              <w:t>digitalnih vještina i kompetencija na svim razinama učenja</w:t>
            </w:r>
            <w:r>
              <w:rPr>
                <w:rFonts w:hAnsi="Times New Roman" w:cs="Times New Roman"/>
                <w:noProof/>
                <w:sz w:val="20"/>
              </w:rPr>
              <w:t xml:space="preserve"> kao odgovor na digitalnu revoluciju </w:t>
            </w:r>
          </w:p>
          <w:p>
            <w:pPr>
              <w:pStyle w:val="Brdtext"/>
              <w:shd w:val="clear" w:color="auto" w:fill="FFFFFF"/>
              <w:spacing w:after="0" w:line="240" w:lineRule="auto"/>
              <w:ind w:left="360"/>
              <w:contextualSpacing/>
              <w:jc w:val="left"/>
              <w:rPr>
                <w:rFonts w:hAnsi="Times New Roman" w:cs="Times New Roman"/>
                <w:noProof/>
                <w:sz w:val="20"/>
              </w:rPr>
            </w:pPr>
            <w:r>
              <w:rPr>
                <w:rFonts w:hAnsi="Times New Roman" w:cs="Times New Roman"/>
                <w:noProof/>
                <w:sz w:val="20"/>
              </w:rPr>
              <w:t xml:space="preserve"> </w:t>
            </w:r>
          </w:p>
        </w:tc>
      </w:tr>
      <w:tr>
        <w:trPr>
          <w:trHeight w:val="1417"/>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rPr>
                <w:rFonts w:hAnsi="Times New Roman" w:cs="Times New Roman"/>
                <w:noProof/>
              </w:rPr>
            </w:pPr>
            <w:r>
              <w:rPr>
                <w:rFonts w:hAnsi="Times New Roman" w:cs="Times New Roman"/>
                <w:noProof/>
                <w:sz w:val="20"/>
              </w:rPr>
              <w:t>4.</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keepNext/>
              <w:spacing w:after="0" w:line="240" w:lineRule="auto"/>
              <w:jc w:val="left"/>
              <w:outlineLvl w:val="1"/>
              <w:rPr>
                <w:rFonts w:hAnsi="Times New Roman" w:cs="Times New Roman"/>
                <w:noProof/>
              </w:rPr>
            </w:pPr>
            <w:r>
              <w:rPr>
                <w:rFonts w:hAnsi="Times New Roman" w:cs="Times New Roman"/>
                <w:b/>
                <w:noProof/>
                <w:sz w:val="20"/>
              </w:rPr>
              <w:t>Snažna potpora odgojno-obrazovnom osoblju</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numPr>
                <w:ilvl w:val="0"/>
                <w:numId w:val="19"/>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jačanje </w:t>
            </w:r>
            <w:r>
              <w:rPr>
                <w:rFonts w:hAnsi="Times New Roman" w:cs="Times New Roman"/>
                <w:b/>
                <w:noProof/>
                <w:sz w:val="20"/>
              </w:rPr>
              <w:t>zapošljavanja, odabira i uvođenja</w:t>
            </w:r>
            <w:r>
              <w:rPr>
                <w:rFonts w:hAnsi="Times New Roman" w:cs="Times New Roman"/>
                <w:noProof/>
                <w:sz w:val="20"/>
              </w:rPr>
              <w:t xml:space="preserve"> najboljih i najpogodnijih kandidata za nastavničku struku</w:t>
            </w:r>
          </w:p>
          <w:p>
            <w:pPr>
              <w:pStyle w:val="Brdtext"/>
              <w:spacing w:after="0" w:line="240" w:lineRule="auto"/>
              <w:jc w:val="left"/>
              <w:rPr>
                <w:rFonts w:hAnsi="Times New Roman" w:cs="Times New Roman"/>
                <w:noProof/>
                <w:sz w:val="20"/>
                <w:szCs w:val="20"/>
              </w:rPr>
            </w:pPr>
          </w:p>
          <w:p>
            <w:pPr>
              <w:pStyle w:val="Brdtext"/>
              <w:numPr>
                <w:ilvl w:val="0"/>
                <w:numId w:val="20"/>
              </w:numPr>
              <w:tabs>
                <w:tab w:val="clear" w:pos="360"/>
                <w:tab w:val="num" w:pos="432"/>
              </w:tabs>
              <w:spacing w:after="0" w:line="240" w:lineRule="auto"/>
              <w:ind w:left="432" w:hanging="432"/>
              <w:jc w:val="left"/>
              <w:rPr>
                <w:rFonts w:hAnsi="Times New Roman" w:cs="Times New Roman"/>
                <w:noProof/>
                <w:sz w:val="20"/>
                <w:szCs w:val="20"/>
              </w:rPr>
            </w:pPr>
            <w:r>
              <w:rPr>
                <w:rFonts w:hAnsi="Times New Roman" w:cs="Times New Roman"/>
                <w:noProof/>
                <w:sz w:val="20"/>
              </w:rPr>
              <w:t xml:space="preserve">povećanje </w:t>
            </w:r>
            <w:r>
              <w:rPr>
                <w:rFonts w:hAnsi="Times New Roman" w:cs="Times New Roman"/>
                <w:b/>
                <w:noProof/>
                <w:sz w:val="20"/>
              </w:rPr>
              <w:t xml:space="preserve">privlačnosti i prestiža </w:t>
            </w:r>
            <w:r>
              <w:rPr>
                <w:rFonts w:hAnsi="Times New Roman" w:cs="Times New Roman"/>
                <w:noProof/>
                <w:sz w:val="20"/>
              </w:rPr>
              <w:t>nastavničke struke, uključujući u okviru sveobuhvatnih strategija</w:t>
            </w:r>
            <w:r>
              <w:rPr>
                <w:rFonts w:hAnsi="Times New Roman" w:cs="Times New Roman"/>
                <w:noProof/>
                <w:color w:val="000000" w:themeColor="text1"/>
                <w:sz w:val="20"/>
              </w:rPr>
              <w:t xml:space="preserve"> </w:t>
            </w:r>
          </w:p>
          <w:p>
            <w:pPr>
              <w:pStyle w:val="Brdtext"/>
              <w:spacing w:after="0" w:line="240" w:lineRule="auto"/>
              <w:jc w:val="left"/>
              <w:rPr>
                <w:rFonts w:hAnsi="Times New Roman" w:cs="Times New Roman"/>
                <w:noProof/>
                <w:sz w:val="20"/>
                <w:szCs w:val="20"/>
              </w:rPr>
            </w:pPr>
          </w:p>
          <w:p>
            <w:pPr>
              <w:pStyle w:val="Brdtext"/>
              <w:numPr>
                <w:ilvl w:val="0"/>
                <w:numId w:val="21"/>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potpora </w:t>
            </w:r>
            <w:r>
              <w:rPr>
                <w:rFonts w:hAnsi="Times New Roman" w:cs="Times New Roman"/>
                <w:b/>
                <w:noProof/>
                <w:sz w:val="20"/>
              </w:rPr>
              <w:t xml:space="preserve">početnom obrazovanju i trajnom stručnom usavršavanju </w:t>
            </w:r>
            <w:r>
              <w:rPr>
                <w:rFonts w:hAnsi="Times New Roman" w:cs="Times New Roman"/>
                <w:noProof/>
                <w:sz w:val="20"/>
              </w:rPr>
              <w:t xml:space="preserve">odgojno-obrazovnog osoblja, posebno kako bi se riješila pitanja povećane raznolikosti učenika, ranog prekida školovanja, učenja kroz rad, digitalnih kompetencija i inovativnih pedagoških metoda, uključujući u okviru alata EU-a kao što su platforma eTwinning, </w:t>
            </w:r>
            <w:r>
              <w:rPr>
                <w:rFonts w:hAnsi="Times New Roman" w:cs="Times New Roman"/>
                <w:i/>
                <w:noProof/>
                <w:sz w:val="20"/>
              </w:rPr>
              <w:t>web</w:t>
            </w:r>
            <w:r>
              <w:rPr>
                <w:rFonts w:hAnsi="Times New Roman" w:cs="Times New Roman"/>
                <w:noProof/>
                <w:sz w:val="20"/>
              </w:rPr>
              <w:t>-mjesto School Education Gateway i elektronička platforma za obrazovanje odraslih u Europi (EPALE)</w:t>
            </w:r>
          </w:p>
          <w:p>
            <w:pPr>
              <w:pStyle w:val="Brdtext"/>
              <w:spacing w:after="0" w:line="240" w:lineRule="auto"/>
              <w:jc w:val="left"/>
              <w:rPr>
                <w:rFonts w:hAnsi="Times New Roman" w:cs="Times New Roman"/>
                <w:noProof/>
                <w:sz w:val="20"/>
                <w:szCs w:val="20"/>
              </w:rPr>
            </w:pPr>
          </w:p>
          <w:p>
            <w:pPr>
              <w:pStyle w:val="Brdtext"/>
              <w:numPr>
                <w:ilvl w:val="0"/>
                <w:numId w:val="22"/>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promicanje izvrsnosti u </w:t>
            </w:r>
            <w:r>
              <w:rPr>
                <w:rFonts w:hAnsi="Times New Roman" w:cs="Times New Roman"/>
                <w:b/>
                <w:noProof/>
                <w:sz w:val="20"/>
              </w:rPr>
              <w:t>poučavanju</w:t>
            </w:r>
            <w:r>
              <w:rPr>
                <w:rFonts w:hAnsi="Times New Roman" w:cs="Times New Roman"/>
                <w:noProof/>
                <w:sz w:val="20"/>
              </w:rPr>
              <w:t xml:space="preserve"> na svim razinama s pomoću izrade programa, organizacije učenja i poticajnih struktura te istraživanje novih načina za mjerenje kvalitete osposobljavanja učitelja</w:t>
            </w:r>
          </w:p>
        </w:tc>
      </w:tr>
      <w:tr>
        <w:trPr>
          <w:trHeight w:val="1417"/>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rPr>
                <w:rFonts w:hAnsi="Times New Roman" w:cs="Times New Roman"/>
                <w:noProof/>
              </w:rPr>
            </w:pPr>
            <w:r>
              <w:rPr>
                <w:rFonts w:hAnsi="Times New Roman" w:cs="Times New Roman"/>
                <w:noProof/>
                <w:sz w:val="20"/>
              </w:rPr>
              <w:t>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jc w:val="left"/>
              <w:rPr>
                <w:rFonts w:hAnsi="Times New Roman" w:cs="Times New Roman"/>
                <w:noProof/>
              </w:rPr>
            </w:pPr>
            <w:r>
              <w:rPr>
                <w:rFonts w:hAnsi="Times New Roman" w:cs="Times New Roman"/>
                <w:b/>
                <w:noProof/>
                <w:sz w:val="20"/>
              </w:rPr>
              <w:t xml:space="preserve">Transparentnost i priznavanje vještina i kvalifikacija radi olakšavanja obrazovne mobilnosti te mobilnosti radne snage </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numPr>
                <w:ilvl w:val="0"/>
                <w:numId w:val="23"/>
              </w:numPr>
              <w:spacing w:after="0" w:line="240" w:lineRule="auto"/>
              <w:jc w:val="left"/>
              <w:rPr>
                <w:rFonts w:hAnsi="Times New Roman" w:cs="Times New Roman"/>
                <w:noProof/>
                <w:sz w:val="20"/>
              </w:rPr>
            </w:pPr>
            <w:r>
              <w:rPr>
                <w:rFonts w:hAnsi="Times New Roman" w:cs="Times New Roman"/>
                <w:noProof/>
                <w:sz w:val="20"/>
              </w:rPr>
              <w:t xml:space="preserve">poticanje </w:t>
            </w:r>
            <w:r>
              <w:rPr>
                <w:rFonts w:hAnsi="Times New Roman" w:cs="Times New Roman"/>
                <w:b/>
                <w:noProof/>
                <w:sz w:val="20"/>
              </w:rPr>
              <w:t>transparentnosti, osiguranja kvalitete, vrednovanja i priznavanja</w:t>
            </w:r>
            <w:r>
              <w:rPr>
                <w:rFonts w:hAnsi="Times New Roman" w:cs="Times New Roman"/>
                <w:noProof/>
                <w:sz w:val="20"/>
              </w:rPr>
              <w:t xml:space="preserve"> vještina i kvalifikacija, uključujući one stečene digitalno, na internetu i s pomoću otvorenih resursa za učenje te vrednovanja informalnog i neformalnog učenja</w:t>
            </w:r>
          </w:p>
          <w:p>
            <w:pPr>
              <w:pStyle w:val="Brdtext"/>
              <w:spacing w:after="0" w:line="240" w:lineRule="auto"/>
              <w:ind w:left="357"/>
              <w:jc w:val="left"/>
              <w:rPr>
                <w:rFonts w:hAnsi="Times New Roman" w:cs="Times New Roman"/>
                <w:noProof/>
                <w:sz w:val="20"/>
                <w:szCs w:val="20"/>
              </w:rPr>
            </w:pPr>
          </w:p>
          <w:p>
            <w:pPr>
              <w:pStyle w:val="ListParagraph"/>
              <w:numPr>
                <w:ilvl w:val="0"/>
                <w:numId w:val="24"/>
              </w:numPr>
              <w:tabs>
                <w:tab w:val="clear" w:pos="360"/>
                <w:tab w:val="num" w:pos="396"/>
              </w:tabs>
              <w:ind w:left="396" w:hanging="396"/>
              <w:rPr>
                <w:rFonts w:ascii="Times New Roman" w:eastAsia="Times New Roman" w:hAnsi="Times New Roman" w:cs="Times New Roman"/>
                <w:noProof/>
                <w:sz w:val="20"/>
              </w:rPr>
            </w:pPr>
            <w:r>
              <w:rPr>
                <w:rFonts w:ascii="Times New Roman" w:hAnsi="Times New Roman" w:cs="Times New Roman"/>
                <w:b/>
                <w:noProof/>
                <w:sz w:val="20"/>
              </w:rPr>
              <w:t>pojednostavnjivanje i racionalizacija</w:t>
            </w:r>
            <w:r>
              <w:rPr>
                <w:rFonts w:ascii="Times New Roman" w:hAnsi="Times New Roman" w:cs="Times New Roman"/>
                <w:noProof/>
                <w:sz w:val="20"/>
              </w:rPr>
              <w:t xml:space="preserve"> transparentnosti, dokumentacije te alata za vrednovanje i priznavanje koji uključuju izravno informiranje učenika, radnika i poslodavaca te promicanje upotrebe kvalifikacijskih okvira</w:t>
            </w:r>
          </w:p>
          <w:p>
            <w:pPr>
              <w:pStyle w:val="ListParagraph"/>
              <w:ind w:left="357"/>
              <w:rPr>
                <w:rFonts w:ascii="Times New Roman" w:eastAsia="Times New Roman" w:hAnsi="Times New Roman" w:cs="Times New Roman"/>
                <w:noProof/>
                <w:sz w:val="20"/>
                <w:szCs w:val="20"/>
              </w:rPr>
            </w:pPr>
          </w:p>
          <w:p>
            <w:pPr>
              <w:pStyle w:val="Brdtext"/>
              <w:numPr>
                <w:ilvl w:val="0"/>
                <w:numId w:val="25"/>
              </w:numPr>
              <w:tabs>
                <w:tab w:val="clear" w:pos="360"/>
                <w:tab w:val="num" w:pos="432"/>
              </w:tabs>
              <w:spacing w:after="0" w:line="240" w:lineRule="auto"/>
              <w:ind w:left="432" w:hanging="432"/>
              <w:jc w:val="left"/>
              <w:rPr>
                <w:rFonts w:hAnsi="Times New Roman" w:cs="Times New Roman"/>
                <w:noProof/>
                <w:sz w:val="20"/>
              </w:rPr>
            </w:pPr>
            <w:r>
              <w:rPr>
                <w:rFonts w:hAnsi="Times New Roman" w:cs="Times New Roman"/>
                <w:noProof/>
                <w:sz w:val="20"/>
              </w:rPr>
              <w:t xml:space="preserve">potpora mobilnosti studenata, osoblja i znanstvenih istraživača te razvoj strateških partnerstava i zajedničkih studijskih programa povećanjem </w:t>
            </w:r>
            <w:r>
              <w:rPr>
                <w:rFonts w:hAnsi="Times New Roman" w:cs="Times New Roman"/>
                <w:b/>
                <w:noProof/>
                <w:sz w:val="20"/>
              </w:rPr>
              <w:t>internacionalizacije</w:t>
            </w:r>
            <w:r>
              <w:rPr>
                <w:rFonts w:hAnsi="Times New Roman" w:cs="Times New Roman"/>
                <w:noProof/>
                <w:sz w:val="20"/>
              </w:rPr>
              <w:t xml:space="preserve"> visokog obrazovanja</w:t>
            </w:r>
            <w:r>
              <w:rPr>
                <w:rFonts w:hAnsi="Times New Roman" w:cs="Times New Roman"/>
                <w:b/>
                <w:noProof/>
                <w:sz w:val="20"/>
              </w:rPr>
              <w:t xml:space="preserve"> </w:t>
            </w:r>
          </w:p>
        </w:tc>
      </w:tr>
      <w:tr>
        <w:trPr>
          <w:trHeight w:val="1417"/>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rPr>
                <w:rFonts w:hAnsi="Times New Roman" w:cs="Times New Roman"/>
                <w:noProof/>
              </w:rPr>
            </w:pPr>
            <w:r>
              <w:rPr>
                <w:rFonts w:hAnsi="Times New Roman" w:cs="Times New Roman"/>
                <w:noProof/>
                <w:sz w:val="20"/>
              </w:rPr>
              <w:t>6.</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Brdtext"/>
              <w:spacing w:after="0" w:line="240" w:lineRule="auto"/>
              <w:jc w:val="left"/>
              <w:rPr>
                <w:rFonts w:hAnsi="Times New Roman" w:cs="Times New Roman"/>
                <w:noProof/>
              </w:rPr>
            </w:pPr>
            <w:r>
              <w:rPr>
                <w:rFonts w:hAnsi="Times New Roman" w:cs="Times New Roman"/>
                <w:b/>
                <w:noProof/>
                <w:sz w:val="20"/>
              </w:rPr>
              <w:t xml:space="preserve">Održivo ulaganje, djelotvornost i učinkovitost sustava za obrazovanje i osposobljavanje </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sz w:val="20"/>
                <w:szCs w:val="20"/>
              </w:rPr>
            </w:pPr>
            <w:r>
              <w:rPr>
                <w:noProof/>
                <w:sz w:val="20"/>
              </w:rPr>
              <w:t xml:space="preserve">istraživanje </w:t>
            </w:r>
            <w:r>
              <w:rPr>
                <w:b/>
                <w:noProof/>
                <w:sz w:val="20"/>
              </w:rPr>
              <w:t>potencijala Plana ulaganja za Europu</w:t>
            </w:r>
            <w:r>
              <w:rPr>
                <w:noProof/>
                <w:sz w:val="20"/>
              </w:rPr>
              <w:t xml:space="preserve"> u području obrazovanja i osposobljavanja, uključujući promicanjem modela financiranja kojima će se privući privatni dionici i kapital</w:t>
            </w:r>
          </w:p>
          <w:p>
            <w:pPr>
              <w:pStyle w:val="Brdtext"/>
              <w:spacing w:after="0" w:line="240" w:lineRule="auto"/>
              <w:ind w:left="360"/>
              <w:jc w:val="left"/>
              <w:rPr>
                <w:rFonts w:hAnsi="Times New Roman" w:cs="Times New Roman"/>
                <w:noProof/>
                <w:sz w:val="20"/>
                <w:szCs w:val="20"/>
              </w:rPr>
            </w:pPr>
          </w:p>
          <w:p>
            <w:pPr>
              <w:pStyle w:val="Brdtext"/>
              <w:numPr>
                <w:ilvl w:val="0"/>
                <w:numId w:val="26"/>
              </w:numPr>
              <w:spacing w:after="0" w:line="240" w:lineRule="auto"/>
              <w:jc w:val="left"/>
              <w:rPr>
                <w:rFonts w:hAnsi="Times New Roman" w:cs="Times New Roman"/>
                <w:noProof/>
                <w:sz w:val="20"/>
              </w:rPr>
            </w:pPr>
            <w:r>
              <w:rPr>
                <w:rFonts w:hAnsi="Times New Roman" w:cs="Times New Roman"/>
                <w:noProof/>
                <w:sz w:val="20"/>
              </w:rPr>
              <w:t xml:space="preserve">poticanje država članica na donošenje politika na temelju dokaza kako bi se </w:t>
            </w:r>
            <w:r>
              <w:rPr>
                <w:rFonts w:hAnsi="Times New Roman" w:cs="Times New Roman"/>
                <w:b/>
                <w:noProof/>
                <w:sz w:val="20"/>
              </w:rPr>
              <w:t>pratilo politike i osmišljalo reforme</w:t>
            </w:r>
            <w:r>
              <w:rPr>
                <w:rFonts w:hAnsi="Times New Roman" w:cs="Times New Roman"/>
                <w:noProof/>
                <w:sz w:val="20"/>
              </w:rPr>
              <w:t xml:space="preserve"> kojima se učinkovitije postiže kvaliteta obrazovanja</w:t>
            </w:r>
          </w:p>
          <w:p>
            <w:pPr>
              <w:pStyle w:val="Brdtext"/>
              <w:spacing w:after="0" w:line="240" w:lineRule="auto"/>
              <w:ind w:left="431"/>
              <w:jc w:val="left"/>
              <w:rPr>
                <w:rFonts w:hAnsi="Times New Roman" w:cs="Times New Roman"/>
                <w:noProof/>
                <w:sz w:val="20"/>
              </w:rPr>
            </w:pPr>
          </w:p>
          <w:p>
            <w:pPr>
              <w:pStyle w:val="Brdtext"/>
              <w:widowControl w:val="0"/>
              <w:numPr>
                <w:ilvl w:val="0"/>
                <w:numId w:val="26"/>
              </w:numPr>
              <w:spacing w:after="0" w:line="240" w:lineRule="auto"/>
              <w:jc w:val="left"/>
              <w:rPr>
                <w:rFonts w:hAnsi="Times New Roman" w:cs="Times New Roman"/>
                <w:noProof/>
                <w:sz w:val="20"/>
              </w:rPr>
            </w:pPr>
            <w:r>
              <w:rPr>
                <w:rFonts w:hAnsi="Times New Roman" w:cs="Times New Roman"/>
                <w:noProof/>
                <w:sz w:val="20"/>
              </w:rPr>
              <w:t xml:space="preserve">poticanje inovativnih načina za osiguranje </w:t>
            </w:r>
            <w:r>
              <w:rPr>
                <w:rFonts w:hAnsi="Times New Roman" w:cs="Times New Roman"/>
                <w:b/>
                <w:noProof/>
                <w:sz w:val="20"/>
              </w:rPr>
              <w:t>održivog ulaganja</w:t>
            </w:r>
            <w:r>
              <w:rPr>
                <w:rFonts w:hAnsi="Times New Roman" w:cs="Times New Roman"/>
                <w:noProof/>
                <w:sz w:val="20"/>
              </w:rPr>
              <w:t xml:space="preserve"> u sve oblike i razine učenja, uključujući financiranje na temelju rezultata i raspodjelu troškova</w:t>
            </w:r>
          </w:p>
        </w:tc>
      </w:tr>
    </w:tbl>
    <w:p>
      <w:pPr>
        <w:pStyle w:val="Brdtext"/>
        <w:widowControl w:val="0"/>
        <w:spacing w:after="0" w:line="240" w:lineRule="auto"/>
        <w:rPr>
          <w:rFonts w:hAnsi="Times New Roman" w:cs="Times New Roman"/>
          <w:smallCaps/>
          <w:noProof/>
          <w:sz w:val="20"/>
          <w:szCs w:val="20"/>
        </w:rPr>
      </w:pPr>
    </w:p>
    <w:p>
      <w:pPr>
        <w:pStyle w:val="Brdtext"/>
        <w:spacing w:after="0" w:line="240" w:lineRule="auto"/>
        <w:jc w:val="left"/>
        <w:rPr>
          <w:rFonts w:hAnsi="Times New Roman" w:cs="Times New Roman"/>
          <w:smallCaps/>
          <w:noProof/>
          <w:sz w:val="20"/>
          <w:szCs w:val="20"/>
        </w:rPr>
      </w:pPr>
    </w:p>
    <w:p>
      <w:pPr>
        <w:pStyle w:val="Brdtext"/>
        <w:spacing w:after="0" w:line="240" w:lineRule="auto"/>
        <w:jc w:val="left"/>
        <w:rPr>
          <w:rFonts w:hAnsi="Times New Roman" w:cs="Times New Roman"/>
          <w:noProof/>
        </w:rPr>
      </w:pPr>
      <w:r>
        <w:rPr>
          <w:rFonts w:hAnsi="Times New Roman" w:cs="Times New Roman"/>
          <w:noProof/>
        </w:rPr>
        <w:br w:type="page"/>
      </w:r>
    </w:p>
    <w:p>
      <w:pPr>
        <w:pStyle w:val="Brdtext"/>
        <w:spacing w:after="0" w:line="240" w:lineRule="auto"/>
        <w:jc w:val="left"/>
        <w:rPr>
          <w:rFonts w:hAnsi="Times New Roman" w:cs="Times New Roman"/>
          <w:b/>
          <w:bCs/>
          <w:smallCaps/>
          <w:noProof/>
          <w:u w:val="single"/>
        </w:rPr>
      </w:pPr>
      <w:r>
        <w:rPr>
          <w:rFonts w:hAnsi="Times New Roman" w:cs="Times New Roman"/>
          <w:b/>
          <w:smallCaps/>
          <w:noProof/>
          <w:u w:val="single"/>
        </w:rPr>
        <w:t>Prilog 2.: Posebni prioriteti za strukovno obrazovanje i osposobljavanje te obrazovanje odraslih do 2020.</w:t>
      </w:r>
    </w:p>
    <w:p>
      <w:pPr>
        <w:pStyle w:val="Brdtext"/>
        <w:spacing w:after="0" w:line="240" w:lineRule="auto"/>
        <w:jc w:val="left"/>
        <w:rPr>
          <w:rFonts w:hAnsi="Times New Roman" w:cs="Times New Roman"/>
          <w:noProof/>
        </w:rPr>
      </w:pPr>
    </w:p>
    <w:p>
      <w:pPr>
        <w:pStyle w:val="Brdtext"/>
        <w:spacing w:after="0" w:line="240" w:lineRule="auto"/>
        <w:rPr>
          <w:rFonts w:hAnsi="Times New Roman" w:cs="Times New Roman"/>
          <w:noProof/>
        </w:rPr>
      </w:pPr>
      <w:r>
        <w:rPr>
          <w:rFonts w:hAnsi="Times New Roman" w:cs="Times New Roman"/>
          <w:noProof/>
        </w:rPr>
        <w:t>Za sektorske programe za strukovno obrazovanje i osposobljavanje (postupak Kopenhagen-Bruges) i obnovljeni Europski program za obrazovanje odraslih potrebno je detaljnije utvrditi ciljeve/prioritete za razdoblje do 2020. i odobriti te ciljeve/prioritete u ovom Zajedničkom izvješću.</w:t>
      </w:r>
    </w:p>
    <w:p>
      <w:pPr>
        <w:pStyle w:val="Brdtext"/>
        <w:spacing w:after="0" w:line="240" w:lineRule="auto"/>
        <w:rPr>
          <w:rFonts w:hAnsi="Times New Roman" w:cs="Times New Roman"/>
          <w:noProof/>
        </w:rPr>
      </w:pPr>
    </w:p>
    <w:p>
      <w:pPr>
        <w:pStyle w:val="Brdtext"/>
        <w:keepNext/>
        <w:keepLines/>
        <w:spacing w:after="0" w:line="240" w:lineRule="auto"/>
        <w:outlineLvl w:val="0"/>
        <w:rPr>
          <w:rFonts w:hAnsi="Times New Roman" w:cs="Times New Roman"/>
          <w:b/>
          <w:bCs/>
          <w:noProof/>
        </w:rPr>
      </w:pPr>
      <w:r>
        <w:rPr>
          <w:rFonts w:hAnsi="Times New Roman" w:cs="Times New Roman"/>
          <w:b/>
          <w:noProof/>
        </w:rPr>
        <w:t>Srednjoročni ciljevi iz Rige za strukovno obrazovanje i osposobljavanje</w:t>
      </w:r>
    </w:p>
    <w:p>
      <w:pPr>
        <w:pStyle w:val="Brdtext"/>
        <w:keepNext/>
        <w:keepLines/>
        <w:spacing w:after="0" w:line="240" w:lineRule="auto"/>
        <w:outlineLvl w:val="0"/>
        <w:rPr>
          <w:rFonts w:hAnsi="Times New Roman" w:cs="Times New Roman"/>
          <w:noProof/>
        </w:rPr>
      </w:pPr>
    </w:p>
    <w:p>
      <w:pPr>
        <w:pStyle w:val="ListParagraph"/>
        <w:numPr>
          <w:ilvl w:val="0"/>
          <w:numId w:val="28"/>
        </w:numPr>
        <w:tabs>
          <w:tab w:val="clear" w:pos="360"/>
          <w:tab w:val="num" w:pos="330"/>
        </w:tabs>
        <w:ind w:left="330" w:hanging="330"/>
        <w:jc w:val="both"/>
        <w:rPr>
          <w:rFonts w:ascii="Times New Roman" w:eastAsia="Times New Roman" w:hAnsi="Times New Roman" w:cs="Times New Roman"/>
          <w:noProof/>
          <w:color w:val="auto"/>
        </w:rPr>
      </w:pPr>
      <w:r>
        <w:rPr>
          <w:rFonts w:ascii="Times New Roman" w:hAnsi="Times New Roman" w:cs="Times New Roman"/>
          <w:noProof/>
          <w:color w:val="auto"/>
          <w:sz w:val="24"/>
        </w:rPr>
        <w:t xml:space="preserve">promicanje svih oblika </w:t>
      </w:r>
      <w:r>
        <w:rPr>
          <w:rFonts w:ascii="Times New Roman" w:hAnsi="Times New Roman" w:cs="Times New Roman"/>
          <w:b/>
          <w:noProof/>
          <w:color w:val="auto"/>
          <w:sz w:val="24"/>
        </w:rPr>
        <w:t>učenja kroz rad</w:t>
      </w:r>
      <w:r>
        <w:rPr>
          <w:rFonts w:ascii="Times New Roman" w:hAnsi="Times New Roman" w:cs="Times New Roman"/>
          <w:noProof/>
          <w:color w:val="auto"/>
          <w:sz w:val="24"/>
        </w:rPr>
        <w:t>, uz poseban naglasak na naukovanje, uključivanjem socijalnih partnera, poduzeća, komora i pružatelja strukovnog obrazovanja i osposobljavanja te poticanjem inovacija i poduzetništva,</w:t>
      </w:r>
    </w:p>
    <w:p>
      <w:pPr>
        <w:pStyle w:val="ListParagraph"/>
        <w:numPr>
          <w:ilvl w:val="0"/>
          <w:numId w:val="29"/>
        </w:numPr>
        <w:tabs>
          <w:tab w:val="clear" w:pos="360"/>
          <w:tab w:val="num" w:pos="330"/>
        </w:tabs>
        <w:ind w:left="330" w:hanging="330"/>
        <w:jc w:val="both"/>
        <w:rPr>
          <w:rFonts w:ascii="Times New Roman" w:eastAsia="Times New Roman" w:hAnsi="Times New Roman" w:cs="Times New Roman"/>
          <w:noProof/>
          <w:color w:val="auto"/>
        </w:rPr>
      </w:pPr>
      <w:r>
        <w:rPr>
          <w:rFonts w:ascii="Times New Roman" w:hAnsi="Times New Roman" w:cs="Times New Roman"/>
          <w:noProof/>
          <w:color w:val="auto"/>
          <w:sz w:val="24"/>
        </w:rPr>
        <w:t>daljnji razvoj mehanizama</w:t>
      </w:r>
      <w:r>
        <w:rPr>
          <w:rFonts w:ascii="Times New Roman" w:hAnsi="Times New Roman" w:cs="Times New Roman"/>
          <w:b/>
          <w:noProof/>
          <w:color w:val="auto"/>
          <w:sz w:val="24"/>
        </w:rPr>
        <w:t xml:space="preserve"> osiguranja kvalitete</w:t>
      </w:r>
      <w:r>
        <w:rPr>
          <w:rFonts w:ascii="Times New Roman" w:hAnsi="Times New Roman" w:cs="Times New Roman"/>
          <w:noProof/>
          <w:color w:val="auto"/>
          <w:sz w:val="24"/>
        </w:rPr>
        <w:t xml:space="preserve"> u strukovnom obrazovanju i osposobljavanju u skladu s preporukom Europskog referentnog okvira za osiguranje kvalitete u strukovnom obrazovanju i osposobljavanju (EQAVET) te, u okviru sustava za osiguranje kvalitete, uspostava kontinuiranih </w:t>
      </w:r>
      <w:r>
        <w:rPr>
          <w:rFonts w:ascii="Times New Roman" w:hAnsi="Times New Roman" w:cs="Times New Roman"/>
          <w:b/>
          <w:noProof/>
          <w:color w:val="auto"/>
          <w:sz w:val="24"/>
        </w:rPr>
        <w:t>sustava informiranja i povratnih informacija u sustavu za početno strukovno obrazovanje i osposobljavanje te sustavu za trajno strukovno obrazovanje i osposobljavanje na temelju ishoda učenja,</w:t>
      </w:r>
    </w:p>
    <w:p>
      <w:pPr>
        <w:pStyle w:val="ListParagraph"/>
        <w:numPr>
          <w:ilvl w:val="0"/>
          <w:numId w:val="30"/>
        </w:numPr>
        <w:tabs>
          <w:tab w:val="clear" w:pos="360"/>
          <w:tab w:val="num" w:pos="330"/>
        </w:tabs>
        <w:ind w:left="330" w:hanging="330"/>
        <w:jc w:val="both"/>
        <w:rPr>
          <w:rFonts w:ascii="Times New Roman" w:eastAsia="Times New Roman" w:hAnsi="Times New Roman" w:cs="Times New Roman"/>
          <w:noProof/>
          <w:color w:val="auto"/>
        </w:rPr>
      </w:pPr>
      <w:r>
        <w:rPr>
          <w:rFonts w:ascii="Times New Roman" w:hAnsi="Times New Roman" w:cs="Times New Roman"/>
          <w:noProof/>
          <w:color w:val="auto"/>
          <w:sz w:val="24"/>
        </w:rPr>
        <w:t xml:space="preserve">poboljšanje </w:t>
      </w:r>
      <w:r>
        <w:rPr>
          <w:rFonts w:ascii="Times New Roman" w:hAnsi="Times New Roman" w:cs="Times New Roman"/>
          <w:b/>
          <w:noProof/>
          <w:color w:val="auto"/>
          <w:sz w:val="24"/>
        </w:rPr>
        <w:t>pristupa strukovnom obrazovanju i osposobljavanju i kvalifikacijama za sve</w:t>
      </w:r>
      <w:r>
        <w:rPr>
          <w:rFonts w:ascii="Times New Roman" w:hAnsi="Times New Roman" w:cs="Times New Roman"/>
          <w:noProof/>
          <w:color w:val="auto"/>
          <w:sz w:val="24"/>
        </w:rPr>
        <w:t xml:space="preserve"> s pomoću fleksibilnijih i međusobno povezanijih sustava, a posebno pružanjem učinkovitih i integriranih usluga savjetovanja i omogućivanjem vrednovanja neformalnog i informalnog učenja,</w:t>
      </w:r>
    </w:p>
    <w:p>
      <w:pPr>
        <w:pStyle w:val="ListParagraph"/>
        <w:numPr>
          <w:ilvl w:val="0"/>
          <w:numId w:val="31"/>
        </w:numPr>
        <w:tabs>
          <w:tab w:val="clear" w:pos="360"/>
          <w:tab w:val="num" w:pos="330"/>
        </w:tabs>
        <w:ind w:left="330" w:hanging="330"/>
        <w:jc w:val="both"/>
        <w:rPr>
          <w:rFonts w:ascii="Times New Roman" w:eastAsia="Times New Roman" w:hAnsi="Times New Roman" w:cs="Times New Roman"/>
          <w:noProof/>
          <w:color w:val="auto"/>
        </w:rPr>
      </w:pPr>
      <w:r>
        <w:rPr>
          <w:rFonts w:ascii="Times New Roman" w:hAnsi="Times New Roman" w:cs="Times New Roman"/>
          <w:noProof/>
          <w:color w:val="auto"/>
          <w:sz w:val="24"/>
        </w:rPr>
        <w:t xml:space="preserve">daljnje jačanje </w:t>
      </w:r>
      <w:r>
        <w:rPr>
          <w:rFonts w:ascii="Times New Roman" w:hAnsi="Times New Roman" w:cs="Times New Roman"/>
          <w:b/>
          <w:noProof/>
          <w:color w:val="auto"/>
          <w:sz w:val="24"/>
        </w:rPr>
        <w:t>ključnih kompetencija</w:t>
      </w:r>
      <w:r>
        <w:rPr>
          <w:rFonts w:ascii="Times New Roman" w:hAnsi="Times New Roman" w:cs="Times New Roman"/>
          <w:noProof/>
          <w:color w:val="auto"/>
          <w:sz w:val="24"/>
        </w:rPr>
        <w:t xml:space="preserve"> u nastavnim programima za strukovno obrazovanje i osposobljavanje te pružanje učinkovitijih prilika za stjecanje ili razvoj tih vještina u okviru početnog i trajnog strukovnog obrazovanja i osposobljavanja</w:t>
      </w:r>
    </w:p>
    <w:p>
      <w:pPr>
        <w:pStyle w:val="ListParagraph"/>
        <w:numPr>
          <w:ilvl w:val="0"/>
          <w:numId w:val="32"/>
        </w:numPr>
        <w:tabs>
          <w:tab w:val="clear" w:pos="360"/>
          <w:tab w:val="num" w:pos="330"/>
        </w:tabs>
        <w:ind w:left="330" w:hanging="330"/>
        <w:jc w:val="both"/>
        <w:rPr>
          <w:rFonts w:ascii="Times New Roman" w:eastAsia="Times New Roman" w:hAnsi="Times New Roman" w:cs="Times New Roman"/>
          <w:noProof/>
          <w:color w:val="auto"/>
        </w:rPr>
      </w:pPr>
      <w:r>
        <w:rPr>
          <w:rFonts w:ascii="Times New Roman" w:hAnsi="Times New Roman" w:cs="Times New Roman"/>
          <w:noProof/>
          <w:color w:val="auto"/>
          <w:sz w:val="24"/>
        </w:rPr>
        <w:t xml:space="preserve">uvođenje sustavnih pristupa i prilika za </w:t>
      </w:r>
      <w:r>
        <w:rPr>
          <w:rFonts w:ascii="Times New Roman" w:hAnsi="Times New Roman" w:cs="Times New Roman"/>
          <w:b/>
          <w:noProof/>
          <w:color w:val="auto"/>
          <w:sz w:val="24"/>
        </w:rPr>
        <w:t>početno i trajno stručno usavršavanje učitelja, pružatelja osposobljavanja i mentora u strukovnom obrazovanju i osposobljavanju</w:t>
      </w:r>
      <w:r>
        <w:rPr>
          <w:rFonts w:ascii="Times New Roman" w:hAnsi="Times New Roman" w:cs="Times New Roman"/>
          <w:noProof/>
          <w:color w:val="auto"/>
          <w:sz w:val="24"/>
        </w:rPr>
        <w:t>, kako u školskom tako i u radnom okruženju.</w:t>
      </w:r>
    </w:p>
    <w:p>
      <w:pPr>
        <w:pStyle w:val="Brdtext"/>
        <w:keepNext/>
        <w:keepLines/>
        <w:spacing w:after="0" w:line="240" w:lineRule="auto"/>
        <w:outlineLvl w:val="0"/>
        <w:rPr>
          <w:rFonts w:hAnsi="Times New Roman" w:cs="Times New Roman"/>
          <w:noProof/>
        </w:rPr>
      </w:pPr>
    </w:p>
    <w:p>
      <w:pPr>
        <w:pStyle w:val="Brdtext"/>
        <w:keepNext/>
        <w:keepLines/>
        <w:spacing w:after="0" w:line="240" w:lineRule="auto"/>
        <w:outlineLvl w:val="0"/>
        <w:rPr>
          <w:rFonts w:hAnsi="Times New Roman" w:cs="Times New Roman"/>
          <w:b/>
          <w:bCs/>
          <w:noProof/>
        </w:rPr>
      </w:pPr>
      <w:r>
        <w:rPr>
          <w:rFonts w:hAnsi="Times New Roman" w:cs="Times New Roman"/>
          <w:b/>
          <w:noProof/>
        </w:rPr>
        <w:t>Prioriteti obnovljenog Europskog programa za obrazovanje odraslih</w:t>
      </w:r>
    </w:p>
    <w:p>
      <w:pPr>
        <w:pStyle w:val="Brdtext"/>
        <w:spacing w:after="0" w:line="240" w:lineRule="auto"/>
        <w:rPr>
          <w:rFonts w:hAnsi="Times New Roman" w:cs="Times New Roman"/>
          <w:noProof/>
        </w:rPr>
      </w:pPr>
    </w:p>
    <w:p>
      <w:pPr>
        <w:pStyle w:val="ListParagraph"/>
        <w:numPr>
          <w:ilvl w:val="0"/>
          <w:numId w:val="33"/>
        </w:numPr>
        <w:tabs>
          <w:tab w:val="clear" w:pos="360"/>
          <w:tab w:val="num" w:pos="330"/>
        </w:tabs>
        <w:ind w:left="330" w:hanging="330"/>
        <w:jc w:val="both"/>
        <w:rPr>
          <w:rFonts w:ascii="Times New Roman" w:eastAsia="Times New Roman" w:hAnsi="Times New Roman" w:cs="Times New Roman"/>
          <w:noProof/>
          <w:color w:val="000000" w:themeColor="text1"/>
        </w:rPr>
      </w:pPr>
      <w:r>
        <w:rPr>
          <w:rFonts w:ascii="Times New Roman" w:hAnsi="Times New Roman" w:cs="Times New Roman"/>
          <w:b/>
          <w:noProof/>
          <w:sz w:val="24"/>
        </w:rPr>
        <w:t>Upravljanje:</w:t>
      </w:r>
      <w:r>
        <w:rPr>
          <w:rFonts w:ascii="Times New Roman" w:hAnsi="Times New Roman" w:cs="Times New Roman"/>
          <w:noProof/>
          <w:sz w:val="24"/>
        </w:rPr>
        <w:t xml:space="preserve"> osiguravanje usklađenosti obrazovanja odraslih s drugim područjima politike, poboljšavanje koordinacije, učinkovitosti i relevantnosti za potrebe u društvu, gospodarstvu i okolišu,</w:t>
      </w:r>
      <w:r>
        <w:rPr>
          <w:rFonts w:ascii="Times New Roman" w:hAnsi="Times New Roman" w:cs="Times New Roman"/>
          <w:noProof/>
          <w:color w:val="000000" w:themeColor="text1"/>
          <w:sz w:val="24"/>
        </w:rPr>
        <w:t xml:space="preserve"> povećanje ulaganja</w:t>
      </w:r>
    </w:p>
    <w:p>
      <w:pPr>
        <w:pStyle w:val="ListParagraph"/>
        <w:numPr>
          <w:ilvl w:val="0"/>
          <w:numId w:val="34"/>
        </w:numPr>
        <w:tabs>
          <w:tab w:val="clear" w:pos="360"/>
          <w:tab w:val="num" w:pos="330"/>
        </w:tabs>
        <w:ind w:left="330" w:hanging="330"/>
        <w:jc w:val="both"/>
        <w:rPr>
          <w:rFonts w:ascii="Times New Roman" w:eastAsia="Times New Roman" w:hAnsi="Times New Roman" w:cs="Times New Roman"/>
          <w:noProof/>
        </w:rPr>
      </w:pPr>
      <w:r>
        <w:rPr>
          <w:rFonts w:ascii="Times New Roman" w:hAnsi="Times New Roman" w:cs="Times New Roman"/>
          <w:b/>
          <w:noProof/>
          <w:color w:val="000000" w:themeColor="text1"/>
          <w:sz w:val="24"/>
        </w:rPr>
        <w:t>Ponuda i sudjelovanje:</w:t>
      </w:r>
      <w:r>
        <w:rPr>
          <w:rFonts w:ascii="Times New Roman" w:hAnsi="Times New Roman" w:cs="Times New Roman"/>
          <w:noProof/>
          <w:color w:val="000000" w:themeColor="text1"/>
          <w:sz w:val="24"/>
        </w:rPr>
        <w:t xml:space="preserve"> znatno povećanje ponude visokokvalitetnog pružanja obrazovanja odraslih</w:t>
      </w:r>
      <w:r>
        <w:rPr>
          <w:rFonts w:ascii="Times New Roman" w:hAnsi="Times New Roman" w:cs="Times New Roman"/>
          <w:noProof/>
          <w:sz w:val="24"/>
        </w:rPr>
        <w:t>, posebno u pogledu pismenosti, matematičke pismenosti i digitalnih vještina, i povećanje sudjelovanja s pomoću učinkovitih strategija za informiranje, savjetovanje i motiviranje usmjerenih na skupine kojima je ono najpotrebnije,</w:t>
      </w:r>
    </w:p>
    <w:p>
      <w:pPr>
        <w:pStyle w:val="ListParagraph"/>
        <w:numPr>
          <w:ilvl w:val="0"/>
          <w:numId w:val="35"/>
        </w:numPr>
        <w:tabs>
          <w:tab w:val="clear" w:pos="360"/>
          <w:tab w:val="num" w:pos="330"/>
        </w:tabs>
        <w:ind w:left="330" w:hanging="330"/>
        <w:jc w:val="both"/>
        <w:rPr>
          <w:rFonts w:ascii="Times New Roman" w:eastAsia="Times New Roman" w:hAnsi="Times New Roman" w:cs="Times New Roman"/>
          <w:noProof/>
        </w:rPr>
      </w:pPr>
      <w:r>
        <w:rPr>
          <w:rFonts w:ascii="Times New Roman" w:hAnsi="Times New Roman" w:cs="Times New Roman"/>
          <w:b/>
          <w:noProof/>
          <w:sz w:val="24"/>
        </w:rPr>
        <w:t>Fleksibilnost i pristup:</w:t>
      </w:r>
      <w:r>
        <w:rPr>
          <w:rFonts w:ascii="Times New Roman" w:hAnsi="Times New Roman" w:cs="Times New Roman"/>
          <w:noProof/>
          <w:sz w:val="24"/>
        </w:rPr>
        <w:t xml:space="preserve"> proširivanje pristupa povećanjem dostupnosti učenja na radnom mjestu i učinkovita upotreba informacijskih i komunikacijskih tehnologija; uvođenje postupaka za utvrđivanje i ocjenjivanje vještina nisko kvalificiranih odraslih osoba i pružanje dostatnih drugih prilika kojima se osobama bez 3. razine kvalifikacije omogućuje stjecanje kvalifikacije u skladu s Europskim kvalifikacijskim okvirom,</w:t>
      </w:r>
    </w:p>
    <w:p>
      <w:pPr>
        <w:pStyle w:val="ListParagraph"/>
        <w:numPr>
          <w:ilvl w:val="0"/>
          <w:numId w:val="36"/>
        </w:numPr>
        <w:tabs>
          <w:tab w:val="clear" w:pos="360"/>
          <w:tab w:val="num" w:pos="330"/>
        </w:tabs>
        <w:ind w:left="330" w:hanging="330"/>
        <w:jc w:val="both"/>
        <w:rPr>
          <w:rFonts w:ascii="Times New Roman" w:eastAsia="Times New Roman" w:hAnsi="Times New Roman" w:cs="Times New Roman"/>
          <w:noProof/>
        </w:rPr>
      </w:pPr>
      <w:r>
        <w:rPr>
          <w:rFonts w:ascii="Times New Roman" w:hAnsi="Times New Roman" w:cs="Times New Roman"/>
          <w:b/>
          <w:noProof/>
          <w:sz w:val="24"/>
        </w:rPr>
        <w:t xml:space="preserve">Kvaliteta: </w:t>
      </w:r>
      <w:r>
        <w:rPr>
          <w:rFonts w:ascii="Times New Roman" w:hAnsi="Times New Roman" w:cs="Times New Roman"/>
          <w:noProof/>
          <w:sz w:val="24"/>
        </w:rPr>
        <w:t>poboljšanje osiguranja kvalitete, uključujući praćenje i procjene utjecaja, poboljšanje početnog i trajnog obrazovanja nastavnika u obrazovanju odraslih i prikupljanje potrebnih podataka o potrebama kako bi se učinkovito usmjerila i osmislila ponuda.</w:t>
      </w:r>
    </w:p>
    <w:sectPr>
      <w:headerReference w:type="even" r:id="rId19"/>
      <w:headerReference w:type="default" r:id="rId20"/>
      <w:footerReference w:type="even" r:id="rId21"/>
      <w:footerReference w:type="default" r:id="rId22"/>
      <w:headerReference w:type="first" r:id="rId23"/>
      <w:footerReference w:type="first" r:id="rId24"/>
      <w:pgSz w:w="11900" w:h="16840" w:code="9"/>
      <w:pgMar w:top="1021" w:right="1701" w:bottom="1021" w:left="1588"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w:instrText>
    </w:r>
    <w:r>
      <w:fldChar w:fldCharType="separate"/>
    </w:r>
    <w:r>
      <w:rPr>
        <w:noProof/>
      </w:rPr>
      <w:t>13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6928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line="240" w:lineRule="auto"/>
        <w:ind w:left="0" w:firstLine="0"/>
        <w:rPr>
          <w:lang w:val="en-GB"/>
        </w:rPr>
      </w:pPr>
      <w:r>
        <w:rPr>
          <w:rStyle w:val="FootnoteReference"/>
        </w:rPr>
        <w:footnoteRef/>
      </w:r>
      <w:r>
        <w:t xml:space="preserve"> </w:t>
      </w:r>
      <w:r>
        <w:tab/>
        <w:t>Neformalno obrazovanje bitno je za promicanje društvenog i demokratskog sudjelovanja mladih, što je jedan od prioriteta okvira suradnje EU-a u području mladih; vidjeti predstojeće Izvješće EU-a o mladima za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US" w:eastAsia="en-US" w:bidi="ar-SA"/>
      </w:rPr>
      <mc:AlternateContent>
        <mc:Choice Requires="wps">
          <w:drawing>
            <wp:anchor distT="152400" distB="152400" distL="152400" distR="152400" simplePos="0" relativeHeight="251657728" behindDoc="1" locked="0" layoutInCell="1" allowOverlap="1">
              <wp:simplePos x="0" y="0"/>
              <wp:positionH relativeFrom="page">
                <wp:posOffset>1125220</wp:posOffset>
              </wp:positionH>
              <wp:positionV relativeFrom="page">
                <wp:posOffset>3774440</wp:posOffset>
              </wp:positionV>
              <wp:extent cx="5237480" cy="3142615"/>
              <wp:effectExtent l="342900" t="1409700" r="306070" b="1410335"/>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900000">
                        <a:off x="0" y="0"/>
                        <a:ext cx="5237480" cy="3142615"/>
                      </a:xfrm>
                      <a:prstGeom prst="rect">
                        <a:avLst/>
                      </a:prstGeom>
                      <a:noFill/>
                      <a:ln w="12700" cap="flat">
                        <a:noFill/>
                        <a:miter lim="400000"/>
                      </a:ln>
                      <a:effectLst/>
                    </wps:spPr>
                    <wps:txbx>
                      <w:txbxContent>
                        <w:p>
                          <w:pPr>
                            <w:pStyle w:val="Brdtext"/>
                            <w:tabs>
                              <w:tab w:val="left" w:pos="1440"/>
                              <w:tab w:val="left" w:pos="2880"/>
                              <w:tab w:val="left" w:pos="4320"/>
                              <w:tab w:val="left" w:pos="5760"/>
                              <w:tab w:val="left" w:pos="7200"/>
                            </w:tabs>
                            <w:suppressAutoHyphens/>
                            <w:spacing w:after="0" w:line="240" w:lineRule="auto"/>
                            <w:jc w:val="left"/>
                            <w:outlineLvl w:val="0"/>
                          </w:pPr>
                        </w:p>
                      </w:txbxContent>
                    </wps:txbx>
                    <wps:bodyPr wrap="square" lIns="0" tIns="0" rIns="0" bIns="0" numCol="1" anchor="ctr">
                      <a:normAutofit/>
                    </wps:bodyPr>
                  </wps:wsp>
                </a:graphicData>
              </a:graphic>
              <wp14:sizeRelH relativeFrom="page">
                <wp14:pctWidth>0</wp14:pctWidth>
              </wp14:sizeRelH>
              <wp14:sizeRelV relativeFrom="page">
                <wp14:pctHeight>0</wp14:pctHeight>
              </wp14:sizeRelV>
            </wp:anchor>
          </w:drawing>
        </mc:Choice>
        <mc:Fallback>
          <w:pict>
            <v:rect id="officeArt object" o:spid="_x0000_s1026" style="position:absolute;left:0;text-align:left;margin-left:88.6pt;margin-top:297.2pt;width:412.4pt;height:247.45pt;rotation:-45;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" filled="f" stroked="f" strokeweight="1pt">
              <v:stroke miterlimit="4"/>
              <v:path arrowok="t"/>
              <v:textbox inset="0,0,0,0">
                <w:txbxContent>
                  <w:p>
                    <w:pPr>
                      <w:pStyle w:val="Brdtext"/>
                      <w:tabs>
                        <w:tab w:val="left" w:pos="1440"/>
                        <w:tab w:val="left" w:pos="2880"/>
                        <w:tab w:val="left" w:pos="4320"/>
                        <w:tab w:val="left" w:pos="5760"/>
                        <w:tab w:val="left" w:pos="7200"/>
                      </w:tabs>
                      <w:suppressAutoHyphens/>
                      <w:spacing w:after="0" w:line="240" w:lineRule="auto"/>
                      <w:jc w:val="left"/>
                      <w:outlineLvl w:val="0"/>
                    </w:pP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65B7798"/>
    <w:multiLevelType w:val="multilevel"/>
    <w:tmpl w:val="B82601F4"/>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
    <w:nsid w:val="0B24081C"/>
    <w:multiLevelType w:val="multilevel"/>
    <w:tmpl w:val="A2122FD4"/>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
    <w:nsid w:val="0DD30EA6"/>
    <w:multiLevelType w:val="multilevel"/>
    <w:tmpl w:val="56C2A6EA"/>
    <w:styleLink w:val="List0"/>
    <w:lvl w:ilvl="0">
      <w:numFmt w:val="bullet"/>
      <w:lvlText w:val="•"/>
      <w:lvlJc w:val="left"/>
      <w:rPr>
        <w:b/>
        <w:bCs/>
        <w:i/>
        <w:iCs/>
        <w:position w:val="0"/>
        <w:rtl w:val="0"/>
        <w:lang w:val="en-US"/>
      </w:rPr>
    </w:lvl>
    <w:lvl w:ilvl="1">
      <w:start w:val="1"/>
      <w:numFmt w:val="bullet"/>
      <w:lvlText w:val="o"/>
      <w:lvlJc w:val="left"/>
      <w:rPr>
        <w:b/>
        <w:bCs/>
        <w:i/>
        <w:iCs/>
        <w:position w:val="0"/>
        <w:rtl w:val="0"/>
        <w:lang w:val="en-US"/>
      </w:rPr>
    </w:lvl>
    <w:lvl w:ilvl="2">
      <w:start w:val="1"/>
      <w:numFmt w:val="bullet"/>
      <w:lvlText w:val="▪"/>
      <w:lvlJc w:val="left"/>
      <w:rPr>
        <w:b/>
        <w:bCs/>
        <w:i/>
        <w:iCs/>
        <w:position w:val="0"/>
        <w:rtl w:val="0"/>
        <w:lang w:val="en-US"/>
      </w:rPr>
    </w:lvl>
    <w:lvl w:ilvl="3">
      <w:start w:val="1"/>
      <w:numFmt w:val="bullet"/>
      <w:lvlText w:val="•"/>
      <w:lvlJc w:val="left"/>
      <w:rPr>
        <w:b/>
        <w:bCs/>
        <w:i/>
        <w:iCs/>
        <w:position w:val="0"/>
        <w:rtl w:val="0"/>
        <w:lang w:val="en-US"/>
      </w:rPr>
    </w:lvl>
    <w:lvl w:ilvl="4">
      <w:start w:val="1"/>
      <w:numFmt w:val="bullet"/>
      <w:lvlText w:val="o"/>
      <w:lvlJc w:val="left"/>
      <w:rPr>
        <w:b/>
        <w:bCs/>
        <w:i/>
        <w:iCs/>
        <w:position w:val="0"/>
        <w:rtl w:val="0"/>
        <w:lang w:val="en-US"/>
      </w:rPr>
    </w:lvl>
    <w:lvl w:ilvl="5">
      <w:start w:val="1"/>
      <w:numFmt w:val="bullet"/>
      <w:lvlText w:val="▪"/>
      <w:lvlJc w:val="left"/>
      <w:rPr>
        <w:b/>
        <w:bCs/>
        <w:i/>
        <w:iCs/>
        <w:position w:val="0"/>
        <w:rtl w:val="0"/>
        <w:lang w:val="en-US"/>
      </w:rPr>
    </w:lvl>
    <w:lvl w:ilvl="6">
      <w:start w:val="1"/>
      <w:numFmt w:val="bullet"/>
      <w:lvlText w:val="•"/>
      <w:lvlJc w:val="left"/>
      <w:rPr>
        <w:b/>
        <w:bCs/>
        <w:i/>
        <w:iCs/>
        <w:position w:val="0"/>
        <w:rtl w:val="0"/>
        <w:lang w:val="en-US"/>
      </w:rPr>
    </w:lvl>
    <w:lvl w:ilvl="7">
      <w:start w:val="1"/>
      <w:numFmt w:val="bullet"/>
      <w:lvlText w:val="o"/>
      <w:lvlJc w:val="left"/>
      <w:rPr>
        <w:b/>
        <w:bCs/>
        <w:i/>
        <w:iCs/>
        <w:position w:val="0"/>
        <w:rtl w:val="0"/>
        <w:lang w:val="en-US"/>
      </w:rPr>
    </w:lvl>
    <w:lvl w:ilvl="8">
      <w:start w:val="1"/>
      <w:numFmt w:val="bullet"/>
      <w:lvlText w:val="▪"/>
      <w:lvlJc w:val="left"/>
      <w:rPr>
        <w:b/>
        <w:bCs/>
        <w:i/>
        <w:iCs/>
        <w:position w:val="0"/>
        <w:rtl w:val="0"/>
        <w:lang w:val="en-US"/>
      </w:rPr>
    </w:lvl>
  </w:abstractNum>
  <w:abstractNum w:abstractNumId="4">
    <w:nsid w:val="0FE56BB3"/>
    <w:multiLevelType w:val="multilevel"/>
    <w:tmpl w:val="F0A8DD60"/>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
    <w:nsid w:val="104B2EAE"/>
    <w:multiLevelType w:val="multilevel"/>
    <w:tmpl w:val="F9886196"/>
    <w:styleLink w:val="List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3554F3C"/>
    <w:multiLevelType w:val="multilevel"/>
    <w:tmpl w:val="D5362598"/>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8AF35D0"/>
    <w:multiLevelType w:val="multilevel"/>
    <w:tmpl w:val="73588A5A"/>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
    <w:nsid w:val="19464EBE"/>
    <w:multiLevelType w:val="multilevel"/>
    <w:tmpl w:val="210E61DE"/>
    <w:lvl w:ilvl="0">
      <w:numFmt w:val="bullet"/>
      <w:lvlText w:val="•"/>
      <w:lvlJc w:val="left"/>
      <w:rPr>
        <w:b/>
        <w:bCs/>
        <w:i/>
        <w:iCs/>
        <w:position w:val="0"/>
        <w:rtl w:val="0"/>
        <w:lang w:val="en-US"/>
      </w:rPr>
    </w:lvl>
    <w:lvl w:ilvl="1">
      <w:start w:val="1"/>
      <w:numFmt w:val="bullet"/>
      <w:lvlText w:val="o"/>
      <w:lvlJc w:val="left"/>
      <w:rPr>
        <w:b/>
        <w:bCs/>
        <w:i/>
        <w:iCs/>
        <w:position w:val="0"/>
        <w:rtl w:val="0"/>
        <w:lang w:val="en-US"/>
      </w:rPr>
    </w:lvl>
    <w:lvl w:ilvl="2">
      <w:start w:val="1"/>
      <w:numFmt w:val="bullet"/>
      <w:lvlText w:val="▪"/>
      <w:lvlJc w:val="left"/>
      <w:rPr>
        <w:b/>
        <w:bCs/>
        <w:i/>
        <w:iCs/>
        <w:position w:val="0"/>
        <w:rtl w:val="0"/>
        <w:lang w:val="en-US"/>
      </w:rPr>
    </w:lvl>
    <w:lvl w:ilvl="3">
      <w:start w:val="1"/>
      <w:numFmt w:val="bullet"/>
      <w:lvlText w:val="•"/>
      <w:lvlJc w:val="left"/>
      <w:rPr>
        <w:b/>
        <w:bCs/>
        <w:i/>
        <w:iCs/>
        <w:position w:val="0"/>
        <w:rtl w:val="0"/>
        <w:lang w:val="en-US"/>
      </w:rPr>
    </w:lvl>
    <w:lvl w:ilvl="4">
      <w:start w:val="1"/>
      <w:numFmt w:val="bullet"/>
      <w:lvlText w:val="o"/>
      <w:lvlJc w:val="left"/>
      <w:rPr>
        <w:b/>
        <w:bCs/>
        <w:i/>
        <w:iCs/>
        <w:position w:val="0"/>
        <w:rtl w:val="0"/>
        <w:lang w:val="en-US"/>
      </w:rPr>
    </w:lvl>
    <w:lvl w:ilvl="5">
      <w:start w:val="1"/>
      <w:numFmt w:val="bullet"/>
      <w:lvlText w:val="▪"/>
      <w:lvlJc w:val="left"/>
      <w:rPr>
        <w:b/>
        <w:bCs/>
        <w:i/>
        <w:iCs/>
        <w:position w:val="0"/>
        <w:rtl w:val="0"/>
        <w:lang w:val="en-US"/>
      </w:rPr>
    </w:lvl>
    <w:lvl w:ilvl="6">
      <w:start w:val="1"/>
      <w:numFmt w:val="bullet"/>
      <w:lvlText w:val="•"/>
      <w:lvlJc w:val="left"/>
      <w:rPr>
        <w:b/>
        <w:bCs/>
        <w:i/>
        <w:iCs/>
        <w:position w:val="0"/>
        <w:rtl w:val="0"/>
        <w:lang w:val="en-US"/>
      </w:rPr>
    </w:lvl>
    <w:lvl w:ilvl="7">
      <w:start w:val="1"/>
      <w:numFmt w:val="bullet"/>
      <w:lvlText w:val="o"/>
      <w:lvlJc w:val="left"/>
      <w:rPr>
        <w:b/>
        <w:bCs/>
        <w:i/>
        <w:iCs/>
        <w:position w:val="0"/>
        <w:rtl w:val="0"/>
        <w:lang w:val="en-US"/>
      </w:rPr>
    </w:lvl>
    <w:lvl w:ilvl="8">
      <w:start w:val="1"/>
      <w:numFmt w:val="bullet"/>
      <w:lvlText w:val="▪"/>
      <w:lvlJc w:val="left"/>
      <w:rPr>
        <w:b/>
        <w:bCs/>
        <w:i/>
        <w:iCs/>
        <w:position w:val="0"/>
        <w:rtl w:val="0"/>
        <w:lang w:val="en-US"/>
      </w:rPr>
    </w:lvl>
  </w:abstractNum>
  <w:abstractNum w:abstractNumId="11">
    <w:nsid w:val="19A32EB5"/>
    <w:multiLevelType w:val="multilevel"/>
    <w:tmpl w:val="29060FA6"/>
    <w:styleLink w:val="List21"/>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
    <w:nsid w:val="1A310A9F"/>
    <w:multiLevelType w:val="multilevel"/>
    <w:tmpl w:val="6212AA18"/>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
    <w:nsid w:val="1AB5421A"/>
    <w:multiLevelType w:val="multilevel"/>
    <w:tmpl w:val="600C4858"/>
    <w:styleLink w:val="List7"/>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
    <w:nsid w:val="1C313F0A"/>
    <w:multiLevelType w:val="multilevel"/>
    <w:tmpl w:val="6812F128"/>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5">
    <w:nsid w:val="205F2472"/>
    <w:multiLevelType w:val="multilevel"/>
    <w:tmpl w:val="AD8A2508"/>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6">
    <w:nsid w:val="20970612"/>
    <w:multiLevelType w:val="multilevel"/>
    <w:tmpl w:val="39A862D8"/>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7">
    <w:nsid w:val="21D6557D"/>
    <w:multiLevelType w:val="multilevel"/>
    <w:tmpl w:val="BCDE09F0"/>
    <w:lvl w:ilvl="0">
      <w:numFmt w:val="bullet"/>
      <w:lvlText w:val="•"/>
      <w:lvlJc w:val="left"/>
      <w:pPr>
        <w:tabs>
          <w:tab w:val="num" w:pos="360"/>
        </w:tabs>
        <w:ind w:left="360" w:hanging="360"/>
      </w:pPr>
      <w:rPr>
        <w:b/>
        <w:bCs/>
        <w:position w:val="0"/>
        <w:sz w:val="22"/>
        <w:szCs w:val="22"/>
      </w:rPr>
    </w:lvl>
    <w:lvl w:ilvl="1">
      <w:start w:val="1"/>
      <w:numFmt w:val="bullet"/>
      <w:lvlText w:val="o"/>
      <w:lvlJc w:val="left"/>
      <w:pPr>
        <w:tabs>
          <w:tab w:val="num" w:pos="1080"/>
        </w:tabs>
        <w:ind w:left="1080" w:hanging="360"/>
      </w:pPr>
      <w:rPr>
        <w:b/>
        <w:bCs/>
        <w:position w:val="0"/>
        <w:sz w:val="24"/>
        <w:szCs w:val="24"/>
      </w:rPr>
    </w:lvl>
    <w:lvl w:ilvl="2">
      <w:start w:val="1"/>
      <w:numFmt w:val="bullet"/>
      <w:lvlText w:val="▪"/>
      <w:lvlJc w:val="left"/>
      <w:pPr>
        <w:tabs>
          <w:tab w:val="num" w:pos="1800"/>
        </w:tabs>
        <w:ind w:left="1800" w:hanging="360"/>
      </w:pPr>
      <w:rPr>
        <w:b/>
        <w:bCs/>
        <w:position w:val="0"/>
        <w:sz w:val="24"/>
        <w:szCs w:val="24"/>
      </w:rPr>
    </w:lvl>
    <w:lvl w:ilvl="3">
      <w:start w:val="1"/>
      <w:numFmt w:val="bullet"/>
      <w:lvlText w:val="•"/>
      <w:lvlJc w:val="left"/>
      <w:pPr>
        <w:tabs>
          <w:tab w:val="num" w:pos="2520"/>
        </w:tabs>
        <w:ind w:left="2520" w:hanging="360"/>
      </w:pPr>
      <w:rPr>
        <w:b/>
        <w:bCs/>
        <w:position w:val="0"/>
        <w:sz w:val="24"/>
        <w:szCs w:val="24"/>
      </w:rPr>
    </w:lvl>
    <w:lvl w:ilvl="4">
      <w:start w:val="1"/>
      <w:numFmt w:val="bullet"/>
      <w:lvlText w:val="o"/>
      <w:lvlJc w:val="left"/>
      <w:pPr>
        <w:tabs>
          <w:tab w:val="num" w:pos="3240"/>
        </w:tabs>
        <w:ind w:left="3240" w:hanging="360"/>
      </w:pPr>
      <w:rPr>
        <w:b/>
        <w:bCs/>
        <w:position w:val="0"/>
        <w:sz w:val="24"/>
        <w:szCs w:val="24"/>
      </w:rPr>
    </w:lvl>
    <w:lvl w:ilvl="5">
      <w:start w:val="1"/>
      <w:numFmt w:val="bullet"/>
      <w:lvlText w:val="▪"/>
      <w:lvlJc w:val="left"/>
      <w:pPr>
        <w:tabs>
          <w:tab w:val="num" w:pos="3960"/>
        </w:tabs>
        <w:ind w:left="3960" w:hanging="360"/>
      </w:pPr>
      <w:rPr>
        <w:b/>
        <w:bCs/>
        <w:position w:val="0"/>
        <w:sz w:val="24"/>
        <w:szCs w:val="24"/>
      </w:rPr>
    </w:lvl>
    <w:lvl w:ilvl="6">
      <w:start w:val="1"/>
      <w:numFmt w:val="bullet"/>
      <w:lvlText w:val="•"/>
      <w:lvlJc w:val="left"/>
      <w:pPr>
        <w:tabs>
          <w:tab w:val="num" w:pos="4680"/>
        </w:tabs>
        <w:ind w:left="4680" w:hanging="360"/>
      </w:pPr>
      <w:rPr>
        <w:b/>
        <w:bCs/>
        <w:position w:val="0"/>
        <w:sz w:val="24"/>
        <w:szCs w:val="24"/>
      </w:rPr>
    </w:lvl>
    <w:lvl w:ilvl="7">
      <w:start w:val="1"/>
      <w:numFmt w:val="bullet"/>
      <w:lvlText w:val="o"/>
      <w:lvlJc w:val="left"/>
      <w:pPr>
        <w:tabs>
          <w:tab w:val="num" w:pos="5400"/>
        </w:tabs>
        <w:ind w:left="5400" w:hanging="360"/>
      </w:pPr>
      <w:rPr>
        <w:b/>
        <w:bCs/>
        <w:position w:val="0"/>
        <w:sz w:val="24"/>
        <w:szCs w:val="24"/>
      </w:rPr>
    </w:lvl>
    <w:lvl w:ilvl="8">
      <w:start w:val="1"/>
      <w:numFmt w:val="bullet"/>
      <w:lvlText w:val="▪"/>
      <w:lvlJc w:val="left"/>
      <w:pPr>
        <w:tabs>
          <w:tab w:val="num" w:pos="6120"/>
        </w:tabs>
        <w:ind w:left="6120" w:hanging="360"/>
      </w:pPr>
      <w:rPr>
        <w:b/>
        <w:bCs/>
        <w:position w:val="0"/>
        <w:sz w:val="24"/>
        <w:szCs w:val="24"/>
      </w:rPr>
    </w:lvl>
  </w:abstractNum>
  <w:abstractNum w:abstractNumId="18">
    <w:nsid w:val="232867C5"/>
    <w:multiLevelType w:val="multilevel"/>
    <w:tmpl w:val="9B90831C"/>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9752FDE"/>
    <w:multiLevelType w:val="multilevel"/>
    <w:tmpl w:val="21BA6634"/>
    <w:styleLink w:val="List8"/>
    <w:lvl w:ilvl="0">
      <w:numFmt w:val="bullet"/>
      <w:lvlText w:val="•"/>
      <w:lvlJc w:val="left"/>
      <w:pPr>
        <w:tabs>
          <w:tab w:val="num" w:pos="360"/>
        </w:tabs>
        <w:ind w:left="360" w:hanging="360"/>
      </w:pPr>
      <w:rPr>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2">
    <w:nsid w:val="2E7B638F"/>
    <w:multiLevelType w:val="multilevel"/>
    <w:tmpl w:val="3DA2FC1E"/>
    <w:lvl w:ilvl="0">
      <w:numFmt w:val="bullet"/>
      <w:lvlText w:val="•"/>
      <w:lvlJc w:val="left"/>
      <w:pPr>
        <w:tabs>
          <w:tab w:val="num" w:pos="360"/>
        </w:tabs>
        <w:ind w:left="360" w:hanging="360"/>
      </w:pPr>
      <w:rPr>
        <w:b/>
        <w:bCs/>
        <w:position w:val="0"/>
        <w:sz w:val="22"/>
        <w:szCs w:val="22"/>
      </w:rPr>
    </w:lvl>
    <w:lvl w:ilvl="1">
      <w:start w:val="1"/>
      <w:numFmt w:val="bullet"/>
      <w:lvlText w:val="o"/>
      <w:lvlJc w:val="left"/>
      <w:pPr>
        <w:tabs>
          <w:tab w:val="num" w:pos="1080"/>
        </w:tabs>
        <w:ind w:left="1080" w:hanging="360"/>
      </w:pPr>
      <w:rPr>
        <w:b/>
        <w:bCs/>
        <w:position w:val="0"/>
        <w:sz w:val="24"/>
        <w:szCs w:val="24"/>
      </w:rPr>
    </w:lvl>
    <w:lvl w:ilvl="2">
      <w:start w:val="1"/>
      <w:numFmt w:val="bullet"/>
      <w:lvlText w:val="▪"/>
      <w:lvlJc w:val="left"/>
      <w:pPr>
        <w:tabs>
          <w:tab w:val="num" w:pos="1800"/>
        </w:tabs>
        <w:ind w:left="1800" w:hanging="360"/>
      </w:pPr>
      <w:rPr>
        <w:b/>
        <w:bCs/>
        <w:position w:val="0"/>
        <w:sz w:val="24"/>
        <w:szCs w:val="24"/>
      </w:rPr>
    </w:lvl>
    <w:lvl w:ilvl="3">
      <w:start w:val="1"/>
      <w:numFmt w:val="bullet"/>
      <w:lvlText w:val="•"/>
      <w:lvlJc w:val="left"/>
      <w:pPr>
        <w:tabs>
          <w:tab w:val="num" w:pos="2520"/>
        </w:tabs>
        <w:ind w:left="2520" w:hanging="360"/>
      </w:pPr>
      <w:rPr>
        <w:b/>
        <w:bCs/>
        <w:position w:val="0"/>
        <w:sz w:val="24"/>
        <w:szCs w:val="24"/>
      </w:rPr>
    </w:lvl>
    <w:lvl w:ilvl="4">
      <w:start w:val="1"/>
      <w:numFmt w:val="bullet"/>
      <w:lvlText w:val="o"/>
      <w:lvlJc w:val="left"/>
      <w:pPr>
        <w:tabs>
          <w:tab w:val="num" w:pos="3240"/>
        </w:tabs>
        <w:ind w:left="3240" w:hanging="360"/>
      </w:pPr>
      <w:rPr>
        <w:b/>
        <w:bCs/>
        <w:position w:val="0"/>
        <w:sz w:val="24"/>
        <w:szCs w:val="24"/>
      </w:rPr>
    </w:lvl>
    <w:lvl w:ilvl="5">
      <w:start w:val="1"/>
      <w:numFmt w:val="bullet"/>
      <w:lvlText w:val="▪"/>
      <w:lvlJc w:val="left"/>
      <w:pPr>
        <w:tabs>
          <w:tab w:val="num" w:pos="3960"/>
        </w:tabs>
        <w:ind w:left="3960" w:hanging="360"/>
      </w:pPr>
      <w:rPr>
        <w:b/>
        <w:bCs/>
        <w:position w:val="0"/>
        <w:sz w:val="24"/>
        <w:szCs w:val="24"/>
      </w:rPr>
    </w:lvl>
    <w:lvl w:ilvl="6">
      <w:start w:val="1"/>
      <w:numFmt w:val="bullet"/>
      <w:lvlText w:val="•"/>
      <w:lvlJc w:val="left"/>
      <w:pPr>
        <w:tabs>
          <w:tab w:val="num" w:pos="4680"/>
        </w:tabs>
        <w:ind w:left="4680" w:hanging="360"/>
      </w:pPr>
      <w:rPr>
        <w:b/>
        <w:bCs/>
        <w:position w:val="0"/>
        <w:sz w:val="24"/>
        <w:szCs w:val="24"/>
      </w:rPr>
    </w:lvl>
    <w:lvl w:ilvl="7">
      <w:start w:val="1"/>
      <w:numFmt w:val="bullet"/>
      <w:lvlText w:val="o"/>
      <w:lvlJc w:val="left"/>
      <w:pPr>
        <w:tabs>
          <w:tab w:val="num" w:pos="5400"/>
        </w:tabs>
        <w:ind w:left="5400" w:hanging="360"/>
      </w:pPr>
      <w:rPr>
        <w:b/>
        <w:bCs/>
        <w:position w:val="0"/>
        <w:sz w:val="24"/>
        <w:szCs w:val="24"/>
      </w:rPr>
    </w:lvl>
    <w:lvl w:ilvl="8">
      <w:start w:val="1"/>
      <w:numFmt w:val="bullet"/>
      <w:lvlText w:val="▪"/>
      <w:lvlJc w:val="left"/>
      <w:pPr>
        <w:tabs>
          <w:tab w:val="num" w:pos="6120"/>
        </w:tabs>
        <w:ind w:left="6120" w:hanging="360"/>
      </w:pPr>
      <w:rPr>
        <w:b/>
        <w:bCs/>
        <w:position w:val="0"/>
        <w:sz w:val="24"/>
        <w:szCs w:val="24"/>
      </w:rPr>
    </w:lvl>
  </w:abstractNum>
  <w:abstractNum w:abstractNumId="23">
    <w:nsid w:val="31B7071E"/>
    <w:multiLevelType w:val="multilevel"/>
    <w:tmpl w:val="68BA3646"/>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24">
    <w:nsid w:val="37E058EB"/>
    <w:multiLevelType w:val="multilevel"/>
    <w:tmpl w:val="F4B08E20"/>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6">
    <w:nsid w:val="3BB12D54"/>
    <w:multiLevelType w:val="multilevel"/>
    <w:tmpl w:val="46C424E8"/>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27">
    <w:nsid w:val="3BF73649"/>
    <w:multiLevelType w:val="multilevel"/>
    <w:tmpl w:val="92182D4C"/>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8">
    <w:nsid w:val="3EE46E37"/>
    <w:multiLevelType w:val="multilevel"/>
    <w:tmpl w:val="29EE1962"/>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9">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68947AE"/>
    <w:multiLevelType w:val="multilevel"/>
    <w:tmpl w:val="210AC12C"/>
    <w:styleLink w:val="List9"/>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9115D01"/>
    <w:multiLevelType w:val="multilevel"/>
    <w:tmpl w:val="5ADE7276"/>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35">
    <w:nsid w:val="49A6196E"/>
    <w:multiLevelType w:val="multilevel"/>
    <w:tmpl w:val="9964FF4E"/>
    <w:styleLink w:val="List31"/>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6">
    <w:nsid w:val="4B373E02"/>
    <w:multiLevelType w:val="multilevel"/>
    <w:tmpl w:val="1AD6E504"/>
    <w:lvl w:ilvl="0">
      <w:numFmt w:val="bullet"/>
      <w:lvlText w:val="•"/>
      <w:lvlJc w:val="left"/>
      <w:pPr>
        <w:tabs>
          <w:tab w:val="num" w:pos="360"/>
        </w:tabs>
        <w:ind w:left="360" w:hanging="360"/>
      </w:pPr>
      <w:rPr>
        <w:b/>
        <w:bCs/>
        <w:position w:val="0"/>
        <w:sz w:val="22"/>
        <w:szCs w:val="22"/>
      </w:rPr>
    </w:lvl>
    <w:lvl w:ilvl="1">
      <w:start w:val="1"/>
      <w:numFmt w:val="bullet"/>
      <w:lvlText w:val="o"/>
      <w:lvlJc w:val="left"/>
      <w:pPr>
        <w:tabs>
          <w:tab w:val="num" w:pos="1080"/>
        </w:tabs>
        <w:ind w:left="1080" w:hanging="360"/>
      </w:pPr>
      <w:rPr>
        <w:b/>
        <w:bCs/>
        <w:position w:val="0"/>
        <w:sz w:val="24"/>
        <w:szCs w:val="24"/>
      </w:rPr>
    </w:lvl>
    <w:lvl w:ilvl="2">
      <w:start w:val="1"/>
      <w:numFmt w:val="bullet"/>
      <w:lvlText w:val="▪"/>
      <w:lvlJc w:val="left"/>
      <w:pPr>
        <w:tabs>
          <w:tab w:val="num" w:pos="1800"/>
        </w:tabs>
        <w:ind w:left="1800" w:hanging="360"/>
      </w:pPr>
      <w:rPr>
        <w:b/>
        <w:bCs/>
        <w:position w:val="0"/>
        <w:sz w:val="24"/>
        <w:szCs w:val="24"/>
      </w:rPr>
    </w:lvl>
    <w:lvl w:ilvl="3">
      <w:start w:val="1"/>
      <w:numFmt w:val="bullet"/>
      <w:lvlText w:val="•"/>
      <w:lvlJc w:val="left"/>
      <w:pPr>
        <w:tabs>
          <w:tab w:val="num" w:pos="2520"/>
        </w:tabs>
        <w:ind w:left="2520" w:hanging="360"/>
      </w:pPr>
      <w:rPr>
        <w:b/>
        <w:bCs/>
        <w:position w:val="0"/>
        <w:sz w:val="24"/>
        <w:szCs w:val="24"/>
      </w:rPr>
    </w:lvl>
    <w:lvl w:ilvl="4">
      <w:start w:val="1"/>
      <w:numFmt w:val="bullet"/>
      <w:lvlText w:val="o"/>
      <w:lvlJc w:val="left"/>
      <w:pPr>
        <w:tabs>
          <w:tab w:val="num" w:pos="3240"/>
        </w:tabs>
        <w:ind w:left="3240" w:hanging="360"/>
      </w:pPr>
      <w:rPr>
        <w:b/>
        <w:bCs/>
        <w:position w:val="0"/>
        <w:sz w:val="24"/>
        <w:szCs w:val="24"/>
      </w:rPr>
    </w:lvl>
    <w:lvl w:ilvl="5">
      <w:start w:val="1"/>
      <w:numFmt w:val="bullet"/>
      <w:lvlText w:val="▪"/>
      <w:lvlJc w:val="left"/>
      <w:pPr>
        <w:tabs>
          <w:tab w:val="num" w:pos="3960"/>
        </w:tabs>
        <w:ind w:left="3960" w:hanging="360"/>
      </w:pPr>
      <w:rPr>
        <w:b/>
        <w:bCs/>
        <w:position w:val="0"/>
        <w:sz w:val="24"/>
        <w:szCs w:val="24"/>
      </w:rPr>
    </w:lvl>
    <w:lvl w:ilvl="6">
      <w:start w:val="1"/>
      <w:numFmt w:val="bullet"/>
      <w:lvlText w:val="•"/>
      <w:lvlJc w:val="left"/>
      <w:pPr>
        <w:tabs>
          <w:tab w:val="num" w:pos="4680"/>
        </w:tabs>
        <w:ind w:left="4680" w:hanging="360"/>
      </w:pPr>
      <w:rPr>
        <w:b/>
        <w:bCs/>
        <w:position w:val="0"/>
        <w:sz w:val="24"/>
        <w:szCs w:val="24"/>
      </w:rPr>
    </w:lvl>
    <w:lvl w:ilvl="7">
      <w:start w:val="1"/>
      <w:numFmt w:val="bullet"/>
      <w:lvlText w:val="o"/>
      <w:lvlJc w:val="left"/>
      <w:pPr>
        <w:tabs>
          <w:tab w:val="num" w:pos="5400"/>
        </w:tabs>
        <w:ind w:left="5400" w:hanging="360"/>
      </w:pPr>
      <w:rPr>
        <w:b/>
        <w:bCs/>
        <w:position w:val="0"/>
        <w:sz w:val="24"/>
        <w:szCs w:val="24"/>
      </w:rPr>
    </w:lvl>
    <w:lvl w:ilvl="8">
      <w:start w:val="1"/>
      <w:numFmt w:val="bullet"/>
      <w:lvlText w:val="▪"/>
      <w:lvlJc w:val="left"/>
      <w:pPr>
        <w:tabs>
          <w:tab w:val="num" w:pos="6120"/>
        </w:tabs>
        <w:ind w:left="6120" w:hanging="360"/>
      </w:pPr>
      <w:rPr>
        <w:b/>
        <w:bCs/>
        <w:position w:val="0"/>
        <w:sz w:val="24"/>
        <w:szCs w:val="24"/>
      </w:rPr>
    </w:lvl>
  </w:abstractNum>
  <w:abstractNum w:abstractNumId="37">
    <w:nsid w:val="4DB67F0E"/>
    <w:multiLevelType w:val="multilevel"/>
    <w:tmpl w:val="2A046846"/>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38">
    <w:nsid w:val="4E42769F"/>
    <w:multiLevelType w:val="multilevel"/>
    <w:tmpl w:val="2AC6607A"/>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0">
    <w:nsid w:val="55A448CE"/>
    <w:multiLevelType w:val="multilevel"/>
    <w:tmpl w:val="87705274"/>
    <w:styleLink w:val="List10"/>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41">
    <w:nsid w:val="5BFB7A0F"/>
    <w:multiLevelType w:val="multilevel"/>
    <w:tmpl w:val="D9E8289A"/>
    <w:styleLink w:val="List4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8D338F7"/>
    <w:multiLevelType w:val="multilevel"/>
    <w:tmpl w:val="2B9207A0"/>
    <w:styleLink w:val="List5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6">
    <w:nsid w:val="68DE5CDA"/>
    <w:multiLevelType w:val="multilevel"/>
    <w:tmpl w:val="B1489B48"/>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7">
    <w:nsid w:val="6A3D6936"/>
    <w:multiLevelType w:val="multilevel"/>
    <w:tmpl w:val="2822E60E"/>
    <w:styleLink w:val="List11"/>
    <w:lvl w:ilvl="0">
      <w:numFmt w:val="bullet"/>
      <w:lvlText w:val="•"/>
      <w:lvlJc w:val="left"/>
      <w:pPr>
        <w:tabs>
          <w:tab w:val="num" w:pos="360"/>
        </w:tabs>
        <w:ind w:left="360" w:hanging="360"/>
      </w:pPr>
      <w:rPr>
        <w:b/>
        <w:bCs/>
        <w:position w:val="0"/>
        <w:sz w:val="22"/>
        <w:szCs w:val="22"/>
      </w:rPr>
    </w:lvl>
    <w:lvl w:ilvl="1">
      <w:start w:val="1"/>
      <w:numFmt w:val="bullet"/>
      <w:lvlText w:val="o"/>
      <w:lvlJc w:val="left"/>
      <w:pPr>
        <w:tabs>
          <w:tab w:val="num" w:pos="1080"/>
        </w:tabs>
        <w:ind w:left="1080" w:hanging="360"/>
      </w:pPr>
      <w:rPr>
        <w:b/>
        <w:bCs/>
        <w:position w:val="0"/>
        <w:sz w:val="24"/>
        <w:szCs w:val="24"/>
      </w:rPr>
    </w:lvl>
    <w:lvl w:ilvl="2">
      <w:start w:val="1"/>
      <w:numFmt w:val="bullet"/>
      <w:lvlText w:val="▪"/>
      <w:lvlJc w:val="left"/>
      <w:pPr>
        <w:tabs>
          <w:tab w:val="num" w:pos="1800"/>
        </w:tabs>
        <w:ind w:left="1800" w:hanging="360"/>
      </w:pPr>
      <w:rPr>
        <w:b/>
        <w:bCs/>
        <w:position w:val="0"/>
        <w:sz w:val="24"/>
        <w:szCs w:val="24"/>
      </w:rPr>
    </w:lvl>
    <w:lvl w:ilvl="3">
      <w:start w:val="1"/>
      <w:numFmt w:val="bullet"/>
      <w:lvlText w:val="•"/>
      <w:lvlJc w:val="left"/>
      <w:pPr>
        <w:tabs>
          <w:tab w:val="num" w:pos="2520"/>
        </w:tabs>
        <w:ind w:left="2520" w:hanging="360"/>
      </w:pPr>
      <w:rPr>
        <w:b/>
        <w:bCs/>
        <w:position w:val="0"/>
        <w:sz w:val="24"/>
        <w:szCs w:val="24"/>
      </w:rPr>
    </w:lvl>
    <w:lvl w:ilvl="4">
      <w:start w:val="1"/>
      <w:numFmt w:val="bullet"/>
      <w:lvlText w:val="o"/>
      <w:lvlJc w:val="left"/>
      <w:pPr>
        <w:tabs>
          <w:tab w:val="num" w:pos="3240"/>
        </w:tabs>
        <w:ind w:left="3240" w:hanging="360"/>
      </w:pPr>
      <w:rPr>
        <w:b/>
        <w:bCs/>
        <w:position w:val="0"/>
        <w:sz w:val="24"/>
        <w:szCs w:val="24"/>
      </w:rPr>
    </w:lvl>
    <w:lvl w:ilvl="5">
      <w:start w:val="1"/>
      <w:numFmt w:val="bullet"/>
      <w:lvlText w:val="▪"/>
      <w:lvlJc w:val="left"/>
      <w:pPr>
        <w:tabs>
          <w:tab w:val="num" w:pos="3960"/>
        </w:tabs>
        <w:ind w:left="3960" w:hanging="360"/>
      </w:pPr>
      <w:rPr>
        <w:b/>
        <w:bCs/>
        <w:position w:val="0"/>
        <w:sz w:val="24"/>
        <w:szCs w:val="24"/>
      </w:rPr>
    </w:lvl>
    <w:lvl w:ilvl="6">
      <w:start w:val="1"/>
      <w:numFmt w:val="bullet"/>
      <w:lvlText w:val="•"/>
      <w:lvlJc w:val="left"/>
      <w:pPr>
        <w:tabs>
          <w:tab w:val="num" w:pos="4680"/>
        </w:tabs>
        <w:ind w:left="4680" w:hanging="360"/>
      </w:pPr>
      <w:rPr>
        <w:b/>
        <w:bCs/>
        <w:position w:val="0"/>
        <w:sz w:val="24"/>
        <w:szCs w:val="24"/>
      </w:rPr>
    </w:lvl>
    <w:lvl w:ilvl="7">
      <w:start w:val="1"/>
      <w:numFmt w:val="bullet"/>
      <w:lvlText w:val="o"/>
      <w:lvlJc w:val="left"/>
      <w:pPr>
        <w:tabs>
          <w:tab w:val="num" w:pos="5400"/>
        </w:tabs>
        <w:ind w:left="5400" w:hanging="360"/>
      </w:pPr>
      <w:rPr>
        <w:b/>
        <w:bCs/>
        <w:position w:val="0"/>
        <w:sz w:val="24"/>
        <w:szCs w:val="24"/>
      </w:rPr>
    </w:lvl>
    <w:lvl w:ilvl="8">
      <w:start w:val="1"/>
      <w:numFmt w:val="bullet"/>
      <w:lvlText w:val="▪"/>
      <w:lvlJc w:val="left"/>
      <w:pPr>
        <w:tabs>
          <w:tab w:val="num" w:pos="6120"/>
        </w:tabs>
        <w:ind w:left="6120" w:hanging="360"/>
      </w:pPr>
      <w:rPr>
        <w:b/>
        <w:bCs/>
        <w:position w:val="0"/>
        <w:sz w:val="24"/>
        <w:szCs w:val="24"/>
      </w:rPr>
    </w:lvl>
  </w:abstractNum>
  <w:abstractNum w:abstractNumId="4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9">
    <w:nsid w:val="75FB7E37"/>
    <w:multiLevelType w:val="multilevel"/>
    <w:tmpl w:val="99D64BE0"/>
    <w:styleLink w:val="List6"/>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0">
    <w:nsid w:val="7AA020F8"/>
    <w:multiLevelType w:val="multilevel"/>
    <w:tmpl w:val="16E6CB70"/>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020"/>
        </w:tabs>
        <w:ind w:left="102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1740"/>
        </w:tabs>
        <w:ind w:left="174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460"/>
        </w:tabs>
        <w:ind w:left="246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180"/>
        </w:tabs>
        <w:ind w:left="318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3900"/>
        </w:tabs>
        <w:ind w:left="390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620"/>
        </w:tabs>
        <w:ind w:left="462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340"/>
        </w:tabs>
        <w:ind w:left="534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060"/>
        </w:tabs>
        <w:ind w:left="6060" w:hanging="300"/>
      </w:pPr>
      <w:rPr>
        <w:caps w:val="0"/>
        <w:smallCaps w:val="0"/>
        <w:strike w:val="0"/>
        <w:dstrike w:val="0"/>
        <w:color w:val="000000"/>
        <w:spacing w:val="0"/>
        <w:kern w:val="0"/>
        <w:position w:val="0"/>
        <w:sz w:val="20"/>
        <w:szCs w:val="20"/>
        <w:u w:val="none" w:color="000000"/>
        <w:vertAlign w:val="baseline"/>
        <w:rtl w:val="0"/>
        <w14:textOutline w14:w="0" w14:cap="rnd" w14:cmpd="sng" w14:algn="ctr">
          <w14:noFill/>
          <w14:prstDash w14:val="solid"/>
          <w14:bevel/>
        </w14:textOutline>
      </w:rPr>
    </w:lvl>
  </w:abstractNum>
  <w:num w:numId="1">
    <w:abstractNumId w:val="10"/>
  </w:num>
  <w:num w:numId="2">
    <w:abstractNumId w:val="3"/>
  </w:num>
  <w:num w:numId="3">
    <w:abstractNumId w:val="18"/>
  </w:num>
  <w:num w:numId="4">
    <w:abstractNumId w:val="50"/>
  </w:num>
  <w:num w:numId="5">
    <w:abstractNumId w:val="5"/>
  </w:num>
  <w:num w:numId="6">
    <w:abstractNumId w:val="2"/>
  </w:num>
  <w:num w:numId="7">
    <w:abstractNumId w:val="7"/>
  </w:num>
  <w:num w:numId="8">
    <w:abstractNumId w:val="28"/>
  </w:num>
  <w:num w:numId="9">
    <w:abstractNumId w:val="4"/>
  </w:num>
  <w:num w:numId="10">
    <w:abstractNumId w:val="24"/>
  </w:num>
  <w:num w:numId="11">
    <w:abstractNumId w:val="14"/>
  </w:num>
  <w:num w:numId="12">
    <w:abstractNumId w:val="16"/>
  </w:num>
  <w:num w:numId="13">
    <w:abstractNumId w:val="35"/>
  </w:num>
  <w:num w:numId="14">
    <w:abstractNumId w:val="41"/>
  </w:num>
  <w:num w:numId="15">
    <w:abstractNumId w:val="45"/>
  </w:num>
  <w:num w:numId="16">
    <w:abstractNumId w:val="49"/>
  </w:num>
  <w:num w:numId="17">
    <w:abstractNumId w:val="12"/>
  </w:num>
  <w:num w:numId="18">
    <w:abstractNumId w:val="1"/>
  </w:num>
  <w:num w:numId="19">
    <w:abstractNumId w:val="27"/>
  </w:num>
  <w:num w:numId="20">
    <w:abstractNumId w:val="15"/>
  </w:num>
  <w:num w:numId="21">
    <w:abstractNumId w:val="9"/>
  </w:num>
  <w:num w:numId="22">
    <w:abstractNumId w:val="13"/>
  </w:num>
  <w:num w:numId="23">
    <w:abstractNumId w:val="46"/>
  </w:num>
  <w:num w:numId="24">
    <w:abstractNumId w:val="20"/>
  </w:num>
  <w:num w:numId="25">
    <w:abstractNumId w:val="11"/>
  </w:num>
  <w:num w:numId="26">
    <w:abstractNumId w:val="38"/>
  </w:num>
  <w:num w:numId="27">
    <w:abstractNumId w:val="32"/>
  </w:num>
  <w:num w:numId="28">
    <w:abstractNumId w:val="26"/>
  </w:num>
  <w:num w:numId="29">
    <w:abstractNumId w:val="23"/>
  </w:num>
  <w:num w:numId="30">
    <w:abstractNumId w:val="34"/>
  </w:num>
  <w:num w:numId="31">
    <w:abstractNumId w:val="37"/>
  </w:num>
  <w:num w:numId="32">
    <w:abstractNumId w:val="40"/>
  </w:num>
  <w:num w:numId="33">
    <w:abstractNumId w:val="17"/>
  </w:num>
  <w:num w:numId="34">
    <w:abstractNumId w:val="36"/>
  </w:num>
  <w:num w:numId="35">
    <w:abstractNumId w:val="22"/>
  </w:num>
  <w:num w:numId="36">
    <w:abstractNumId w:val="47"/>
  </w:num>
  <w:num w:numId="37">
    <w:abstractNumId w:val="39"/>
  </w:num>
  <w:num w:numId="38">
    <w:abstractNumId w:val="25"/>
  </w:num>
  <w:num w:numId="39">
    <w:abstractNumId w:val="21"/>
  </w:num>
  <w:num w:numId="40">
    <w:abstractNumId w:val="8"/>
  </w:num>
  <w:num w:numId="41">
    <w:abstractNumId w:val="6"/>
  </w:num>
  <w:num w:numId="42">
    <w:abstractNumId w:val="42"/>
  </w:num>
  <w:num w:numId="43">
    <w:abstractNumId w:val="44"/>
  </w:num>
  <w:num w:numId="44">
    <w:abstractNumId w:val="43"/>
  </w:num>
  <w:num w:numId="45">
    <w:abstractNumId w:val="48"/>
  </w:num>
  <w:num w:numId="46">
    <w:abstractNumId w:val="19"/>
  </w:num>
  <w:num w:numId="47">
    <w:abstractNumId w:val="29"/>
  </w:num>
  <w:num w:numId="48">
    <w:abstractNumId w:val="31"/>
  </w:num>
  <w:num w:numId="49">
    <w:abstractNumId w:val="30"/>
  </w:num>
  <w:num w:numId="50">
    <w:abstractNumId w:val="0"/>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615D1EE3384F40728FB5E37C6A9C48A3"/>
    <w:docVar w:name="LW_CROSSREFERENCE" w:val="{SWD(2015) 161 final}"/>
    <w:docVar w:name="LW_DocType" w:val="NORMAL"/>
    <w:docVar w:name="LW_EMISSION" w:val="26.8.2015."/>
    <w:docVar w:name="LW_EMISSION_ISODATE" w:val="2015-08-26"/>
    <w:docVar w:name="LW_EMISSION_LOCATION" w:val="BRX"/>
    <w:docVar w:name="LW_EMISSION_PREFIX" w:val="Bruxelles, "/>
    <w:docVar w:name="LW_EMISSION_SUFFIX" w:val="&lt;EMPTY&gt;"/>
    <w:docVar w:name="LW_ID_DOCTYPE_NONLW" w:val="CP-014"/>
    <w:docVar w:name="LW_LANGUE" w:val="HR"/>
    <w:docVar w:name="LW_MARKING" w:val="&lt;UNUSED&g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5) 408"/>
    <w:docVar w:name="LW_REF.INTERNE" w:val="&lt;UNUSED&gt;"/>
    <w:docVar w:name="LW_SOUS.TITRE.OBJ" w:val="Novi prioriteti za europsku suradnju u podru\u269?ju obrazovanja i osposobljavanja"/>
    <w:docVar w:name="LW_SOUS.TITRE.OBJ.CP" w:val="Novi prioriteti za europsku suradnju u podru\u269?ju obrazovanja i osposobljavanja"/>
    <w:docVar w:name="LW_SUPERTITRE" w:val="&lt;UNUSED&gt;"/>
    <w:docVar w:name="LW_TITRE.OBJ.CP" w:val="Nacrt zajedni\u269?kog izvje\u353?\u263?a Vije\u263?a i Komisije za 2015. godinu o provedbi strate\u353?kog okvira za europsku suradnju u podru\u269?ju obrazovanja i osposobljavanja (ET 2020.)"/>
    <w:docVar w:name="LW_TYPE.DOC.CP" w:val="KOMUNIKACIJA KOMISIJE EUROPSKOM PARLAMENTU, VIJE\u262?U, EUROPSKOM GOSPODARSKOM I SOCIJALNOM ODBORU I ODBORU REGIJA"/>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r-HR" w:eastAsia="hr-HR" w:bidi="hr-HR"/>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rPr>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360" w:line="280" w:lineRule="atLeast"/>
      <w:jc w:val="both"/>
    </w:pPr>
    <w:rPr>
      <w:rFonts w:hAnsi="Arial Unicode MS" w:cs="Arial Unicode MS"/>
      <w:color w:val="000000"/>
      <w:sz w:val="24"/>
      <w:szCs w:val="24"/>
      <w:u w:color="000000"/>
    </w:rPr>
  </w:style>
  <w:style w:type="paragraph" w:customStyle="1" w:styleId="Brdtext">
    <w:name w:val="Brödtext"/>
    <w:pPr>
      <w:spacing w:after="360" w:line="280" w:lineRule="atLeast"/>
      <w:jc w:val="both"/>
    </w:pPr>
    <w:rPr>
      <w:rFonts w:hAnsi="Arial Unicode MS" w:cs="Arial Unicode MS"/>
      <w:color w:val="000000"/>
      <w:sz w:val="24"/>
      <w:szCs w:val="24"/>
      <w:u w:color="000000"/>
    </w:rPr>
  </w:style>
  <w:style w:type="paragraph" w:styleId="Footer">
    <w:name w:val="footer"/>
    <w:link w:val="FooterChar"/>
    <w:uiPriority w:val="99"/>
    <w:pPr>
      <w:spacing w:line="280" w:lineRule="atLeast"/>
    </w:pPr>
    <w:rPr>
      <w:rFonts w:ascii="Arial" w:eastAsia="Arial" w:hAnsi="Arial" w:cs="Arial"/>
      <w:color w:val="000000"/>
      <w:sz w:val="16"/>
      <w:szCs w:val="16"/>
      <w:u w:color="000000"/>
    </w:rPr>
  </w:style>
  <w:style w:type="paragraph" w:customStyle="1" w:styleId="Sidhuvudochsidfot">
    <w:name w:val="Sidhuvud och sidfot"/>
    <w:pPr>
      <w:tabs>
        <w:tab w:val="right" w:pos="9020"/>
      </w:tabs>
    </w:pPr>
    <w:rPr>
      <w:rFonts w:ascii="Helvetica" w:eastAsia="Helvetica" w:hAnsi="Helvetica" w:cs="Helvetica"/>
      <w:color w:val="000000"/>
      <w:sz w:val="24"/>
      <w:szCs w:val="24"/>
    </w:rPr>
  </w:style>
  <w:style w:type="paragraph" w:styleId="Caption">
    <w:name w:val="caption"/>
    <w:next w:val="Brdtext"/>
    <w:pPr>
      <w:spacing w:before="120" w:after="120" w:line="280" w:lineRule="atLeast"/>
      <w:jc w:val="both"/>
    </w:pPr>
    <w:rPr>
      <w:rFonts w:eastAsia="Times New Roman"/>
      <w:b/>
      <w:bCs/>
      <w:color w:val="000000"/>
      <w:sz w:val="24"/>
      <w:szCs w:val="24"/>
      <w:u w:color="000000"/>
    </w:rPr>
  </w:style>
  <w:style w:type="paragraph" w:customStyle="1" w:styleId="ZCom">
    <w:name w:val="Z_Com"/>
    <w:next w:val="ZDGName"/>
    <w:pPr>
      <w:widowControl w:val="0"/>
      <w:spacing w:line="280" w:lineRule="atLeast"/>
      <w:ind w:right="85"/>
      <w:jc w:val="both"/>
    </w:pPr>
    <w:rPr>
      <w:rFonts w:ascii="Arial" w:hAnsi="Arial Unicode MS" w:cs="Arial Unicode MS"/>
      <w:color w:val="000000"/>
      <w:sz w:val="24"/>
      <w:szCs w:val="24"/>
      <w:u w:color="000000"/>
    </w:rPr>
  </w:style>
  <w:style w:type="paragraph" w:customStyle="1" w:styleId="ZDGName">
    <w:name w:val="Z_DGName"/>
    <w:pPr>
      <w:widowControl w:val="0"/>
      <w:spacing w:line="280" w:lineRule="atLeast"/>
      <w:ind w:right="85"/>
    </w:pPr>
    <w:rPr>
      <w:rFonts w:ascii="Arial" w:hAnsi="Arial Unicode MS" w:cs="Arial Unicode MS"/>
      <w:color w:val="000000"/>
      <w:sz w:val="16"/>
      <w:szCs w:val="16"/>
      <w:u w:color="000000"/>
    </w:rPr>
  </w:style>
  <w:style w:type="paragraph" w:styleId="Date">
    <w:name w:val="Date"/>
    <w:pPr>
      <w:spacing w:line="280" w:lineRule="atLeast"/>
      <w:ind w:left="5103"/>
    </w:pPr>
    <w:rPr>
      <w:rFonts w:hAnsi="Arial Unicode MS" w:cs="Arial Unicode MS"/>
      <w:color w:val="000000"/>
      <w:sz w:val="24"/>
      <w:szCs w:val="24"/>
      <w:u w:color="000000"/>
    </w:rPr>
  </w:style>
  <w:style w:type="paragraph" w:styleId="BodyText">
    <w:name w:val="Body Text"/>
    <w:pPr>
      <w:spacing w:after="120" w:line="280" w:lineRule="atLeast"/>
      <w:jc w:val="both"/>
    </w:pPr>
    <w:rPr>
      <w:rFonts w:eastAsia="Times New Roman"/>
      <w:color w:val="000000"/>
      <w:sz w:val="24"/>
      <w:szCs w:val="24"/>
      <w:u w:color="000000"/>
    </w:rPr>
  </w:style>
  <w:style w:type="paragraph" w:customStyle="1" w:styleId="Frval">
    <w:name w:val="Förval"/>
    <w:rPr>
      <w:rFonts w:ascii="Helvetica" w:eastAsia="Helvetica" w:hAnsi="Helvetica" w:cs="Helvetica"/>
      <w:color w:val="000000"/>
      <w:sz w:val="22"/>
      <w:szCs w:val="22"/>
    </w:rPr>
  </w:style>
  <w:style w:type="paragraph" w:styleId="FootnoteText">
    <w:name w:val="footnote text"/>
    <w:link w:val="FootnoteTextChar"/>
    <w:uiPriority w:val="99"/>
    <w:pPr>
      <w:spacing w:after="360" w:line="280" w:lineRule="atLeast"/>
      <w:ind w:left="357" w:hanging="357"/>
      <w:jc w:val="both"/>
    </w:pPr>
    <w:rPr>
      <w:rFonts w:eastAsia="Times New Roman"/>
      <w:color w:val="000000"/>
      <w:u w:color="000000"/>
    </w:rPr>
  </w:style>
  <w:style w:type="paragraph" w:customStyle="1" w:styleId="Text1">
    <w:name w:val="Text 1"/>
    <w:pPr>
      <w:spacing w:after="360" w:line="280" w:lineRule="atLeast"/>
      <w:ind w:left="482"/>
      <w:jc w:val="both"/>
    </w:pPr>
    <w:rPr>
      <w:rFonts w:hAnsi="Arial Unicode MS" w:cs="Arial Unicode MS"/>
      <w:color w:val="000000"/>
      <w:sz w:val="24"/>
      <w:szCs w:val="24"/>
      <w:u w:color="000000"/>
    </w:rPr>
  </w:style>
  <w:style w:type="character" w:customStyle="1" w:styleId="Lnk">
    <w:name w:val="Länk"/>
    <w:rPr>
      <w:color w:val="0000FF"/>
      <w:u w:val="single" w:color="0000FF"/>
    </w:rPr>
  </w:style>
  <w:style w:type="character" w:customStyle="1" w:styleId="Hyperlink0">
    <w:name w:val="Hyperlink.0"/>
    <w:basedOn w:val="Lnk"/>
    <w:rPr>
      <w:color w:val="000000"/>
      <w:u w:val="single" w:color="000000"/>
      <w:lang w:val="hr-HR"/>
    </w:rPr>
  </w:style>
  <w:style w:type="paragraph" w:customStyle="1" w:styleId="Default">
    <w:name w:val="Default"/>
    <w:pPr>
      <w:spacing w:after="360" w:line="280" w:lineRule="atLeast"/>
      <w:jc w:val="both"/>
    </w:pPr>
    <w:rPr>
      <w:rFonts w:ascii="EUAlbertina" w:eastAsia="EUAlbertina" w:hAnsi="EUAlbertina" w:cs="EUAlbertina"/>
      <w:color w:val="000000"/>
      <w:sz w:val="24"/>
      <w:szCs w:val="24"/>
      <w:u w:color="000000"/>
    </w:rPr>
  </w:style>
  <w:style w:type="numbering" w:customStyle="1" w:styleId="List0">
    <w:name w:val="List 0"/>
    <w:basedOn w:val="Importeradestilen2"/>
    <w:pPr>
      <w:numPr>
        <w:numId w:val="2"/>
      </w:numPr>
    </w:pPr>
  </w:style>
  <w:style w:type="numbering" w:customStyle="1" w:styleId="Importeradestilen2">
    <w:name w:val="Importerade stilen 2"/>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List1">
    <w:name w:val="List 1"/>
    <w:basedOn w:val="Importeradestilen3"/>
    <w:pPr>
      <w:numPr>
        <w:numId w:val="5"/>
      </w:numPr>
    </w:pPr>
  </w:style>
  <w:style w:type="numbering" w:customStyle="1" w:styleId="Importeradestilen3">
    <w:name w:val="Importerade stilen 3"/>
  </w:style>
  <w:style w:type="numbering" w:customStyle="1" w:styleId="List21">
    <w:name w:val="List 21"/>
    <w:basedOn w:val="Importeradestilen4"/>
    <w:pPr>
      <w:numPr>
        <w:numId w:val="25"/>
      </w:numPr>
    </w:pPr>
  </w:style>
  <w:style w:type="numbering" w:customStyle="1" w:styleId="Importeradestilen4">
    <w:name w:val="Importerade stilen 4"/>
  </w:style>
  <w:style w:type="paragraph" w:customStyle="1" w:styleId="Text2">
    <w:name w:val="Text 2"/>
    <w:pPr>
      <w:tabs>
        <w:tab w:val="left" w:pos="2160"/>
      </w:tabs>
      <w:spacing w:after="360" w:line="280" w:lineRule="atLeast"/>
      <w:ind w:left="1077"/>
      <w:jc w:val="both"/>
    </w:pPr>
    <w:rPr>
      <w:rFonts w:hAnsi="Arial Unicode MS" w:cs="Arial Unicode MS"/>
      <w:color w:val="000000"/>
      <w:sz w:val="24"/>
      <w:szCs w:val="24"/>
      <w:u w:color="000000"/>
    </w:rPr>
  </w:style>
  <w:style w:type="numbering" w:customStyle="1" w:styleId="List31">
    <w:name w:val="List 31"/>
    <w:basedOn w:val="Importeradestilen5"/>
    <w:pPr>
      <w:numPr>
        <w:numId w:val="13"/>
      </w:numPr>
    </w:pPr>
  </w:style>
  <w:style w:type="numbering" w:customStyle="1" w:styleId="Importeradestilen5">
    <w:name w:val="Importerade stilen 5"/>
  </w:style>
  <w:style w:type="numbering" w:customStyle="1" w:styleId="List41">
    <w:name w:val="List 41"/>
    <w:basedOn w:val="Importeradestilen6"/>
    <w:pPr>
      <w:numPr>
        <w:numId w:val="14"/>
      </w:numPr>
    </w:pPr>
  </w:style>
  <w:style w:type="numbering" w:customStyle="1" w:styleId="Importeradestilen6">
    <w:name w:val="Importerade stilen 6"/>
  </w:style>
  <w:style w:type="numbering" w:customStyle="1" w:styleId="List51">
    <w:name w:val="List 51"/>
    <w:basedOn w:val="Importeradestilen7"/>
    <w:pPr>
      <w:numPr>
        <w:numId w:val="15"/>
      </w:numPr>
    </w:pPr>
  </w:style>
  <w:style w:type="numbering" w:customStyle="1" w:styleId="Importeradestilen7">
    <w:name w:val="Importerade stilen 7"/>
  </w:style>
  <w:style w:type="numbering" w:customStyle="1" w:styleId="List6">
    <w:name w:val="List 6"/>
    <w:basedOn w:val="Importeradestilen8"/>
    <w:pPr>
      <w:numPr>
        <w:numId w:val="16"/>
      </w:numPr>
    </w:pPr>
  </w:style>
  <w:style w:type="numbering" w:customStyle="1" w:styleId="Importeradestilen8">
    <w:name w:val="Importerade stilen 8"/>
  </w:style>
  <w:style w:type="numbering" w:customStyle="1" w:styleId="List7">
    <w:name w:val="List 7"/>
    <w:basedOn w:val="Importeradestilen40"/>
    <w:pPr>
      <w:numPr>
        <w:numId w:val="22"/>
      </w:numPr>
    </w:pPr>
  </w:style>
  <w:style w:type="numbering" w:customStyle="1" w:styleId="Importeradestilen40">
    <w:name w:val="Importerade stilen 4.0"/>
  </w:style>
  <w:style w:type="numbering" w:customStyle="1" w:styleId="List8">
    <w:name w:val="List 8"/>
    <w:basedOn w:val="Importeradestilen9"/>
    <w:pPr>
      <w:numPr>
        <w:numId w:val="24"/>
      </w:numPr>
    </w:pPr>
  </w:style>
  <w:style w:type="numbering" w:customStyle="1" w:styleId="Importeradestilen9">
    <w:name w:val="Importerade stilen 9"/>
  </w:style>
  <w:style w:type="numbering" w:customStyle="1" w:styleId="List9">
    <w:name w:val="List 9"/>
    <w:basedOn w:val="Importeradestilen10"/>
    <w:pPr>
      <w:numPr>
        <w:numId w:val="27"/>
      </w:numPr>
    </w:pPr>
  </w:style>
  <w:style w:type="numbering" w:customStyle="1" w:styleId="Importeradestilen10">
    <w:name w:val="Importerade stilen 10"/>
  </w:style>
  <w:style w:type="character" w:customStyle="1" w:styleId="Hyperlink1">
    <w:name w:val="Hyperlink.1"/>
    <w:basedOn w:val="Lnk"/>
    <w:rPr>
      <w:color w:val="000000"/>
      <w:u w:val="single" w:color="000000"/>
      <w:lang w:val="hr-HR"/>
    </w:rPr>
  </w:style>
  <w:style w:type="numbering" w:customStyle="1" w:styleId="List10">
    <w:name w:val="List 10"/>
    <w:basedOn w:val="Importeradestilen11"/>
    <w:pPr>
      <w:numPr>
        <w:numId w:val="32"/>
      </w:numPr>
    </w:pPr>
  </w:style>
  <w:style w:type="numbering" w:customStyle="1" w:styleId="Importeradestilen11">
    <w:name w:val="Importerade stilen 11"/>
  </w:style>
  <w:style w:type="numbering" w:customStyle="1" w:styleId="List11">
    <w:name w:val="List 11"/>
    <w:basedOn w:val="Importeradestilen12"/>
    <w:pPr>
      <w:numPr>
        <w:numId w:val="36"/>
      </w:numPr>
    </w:pPr>
  </w:style>
  <w:style w:type="numbering" w:customStyle="1" w:styleId="Importeradestilen12">
    <w:name w:val="Importerade stilen 1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hr-HR" w:eastAsia="hr-H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hr-HR" w:eastAsia="hr-HR"/>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FootnoteTextChar">
    <w:name w:val="Footnote Text Char"/>
    <w:basedOn w:val="DefaultParagraphFont"/>
    <w:link w:val="FootnoteText"/>
    <w:uiPriority w:val="99"/>
    <w:rPr>
      <w:rFonts w:eastAsia="Times New Roman"/>
      <w:color w:val="000000"/>
      <w:u w:color="000000"/>
      <w:lang w:val="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FooterChar">
    <w:name w:val="Footer Char"/>
    <w:basedOn w:val="DefaultParagraphFont"/>
    <w:link w:val="Footer"/>
    <w:uiPriority w:val="99"/>
    <w:rPr>
      <w:rFonts w:ascii="Arial" w:eastAsia="Arial" w:hAnsi="Arial" w:cs="Arial"/>
      <w:color w:val="000000"/>
      <w:sz w:val="16"/>
      <w:szCs w:val="16"/>
      <w:u w:color="000000"/>
    </w:rPr>
  </w:style>
  <w:style w:type="character" w:styleId="FootnoteReference">
    <w:name w:val="footnote reference"/>
    <w:basedOn w:val="DefaultParagraphFont"/>
    <w:uiPriority w:val="99"/>
    <w:semiHidden/>
    <w:unhideWhenUsed/>
    <w:rPr>
      <w:vertAlign w:val="superscript"/>
    </w:rPr>
  </w:style>
  <w:style w:type="paragraph" w:customStyle="1" w:styleId="Contact">
    <w:name w:val="Contac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480"/>
      <w:ind w:left="567" w:hanging="567"/>
    </w:pPr>
    <w:rPr>
      <w:rFonts w:eastAsia="Times New Roman"/>
      <w:szCs w:val="20"/>
      <w:bdr w:val="none" w:sz="0" w:space="0" w:color="auto"/>
    </w:rPr>
  </w:style>
  <w:style w:type="paragraph" w:styleId="ListBullet">
    <w:name w:val="List Bullet"/>
    <w:basedOn w:val="Normal"/>
    <w:pPr>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Bullet1">
    <w:name w:val="List Bullet 1"/>
    <w:basedOn w:val="Text1"/>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styleId="ListBullet2">
    <w:name w:val="List Bullet 2"/>
    <w:basedOn w:val="Text2"/>
    <w:pPr>
      <w:numPr>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styleId="ListBullet3">
    <w:name w:val="List Bullet 3"/>
    <w:basedOn w:val="Normal"/>
    <w:pPr>
      <w:numPr>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ListBullet4">
    <w:name w:val="List Bullet 4"/>
    <w:basedOn w:val="Normal"/>
    <w:pPr>
      <w:numPr>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Dash">
    <w:name w:val="List Dash"/>
    <w:basedOn w:val="Normal"/>
    <w:pPr>
      <w:numPr>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Dash1">
    <w:name w:val="List Dash 1"/>
    <w:basedOn w:val="Text1"/>
    <w:pPr>
      <w:numPr>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Dash2">
    <w:name w:val="List Dash 2"/>
    <w:basedOn w:val="Text2"/>
    <w:pPr>
      <w:numPr>
        <w:numId w:val="44"/>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Dash3">
    <w:name w:val="List Dash 3"/>
    <w:basedOn w:val="Normal"/>
    <w:pPr>
      <w:numPr>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Dash4">
    <w:name w:val="List Dash 4"/>
    <w:basedOn w:val="Normal"/>
    <w:pPr>
      <w:numPr>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ListNumber">
    <w:name w:val="List Number"/>
    <w:basedOn w:val="Normal"/>
    <w:pPr>
      <w:numPr>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
    <w:name w:val="List Number 1"/>
    <w:basedOn w:val="Text1"/>
    <w:pPr>
      <w:numPr>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styleId="ListNumber2">
    <w:name w:val="List Number 2"/>
    <w:basedOn w:val="Text2"/>
    <w:pPr>
      <w:numPr>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styleId="ListNumber3">
    <w:name w:val="List Number 3"/>
    <w:basedOn w:val="Normal"/>
    <w:pPr>
      <w:numPr>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ListNumber4">
    <w:name w:val="List Number 4"/>
    <w:basedOn w:val="Normal"/>
    <w:pPr>
      <w:numPr>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Level2">
    <w:name w:val="List Number (Level 2)"/>
    <w:basedOn w:val="Normal"/>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Level2">
    <w:name w:val="List Number 1 (Level 2)"/>
    <w:basedOn w:val="Text1"/>
    <w:pPr>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Number2Level2">
    <w:name w:val="List Number 2 (Level 2)"/>
    <w:basedOn w:val="Text2"/>
    <w:pPr>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Number3Level2">
    <w:name w:val="List Number 3 (Level 2)"/>
    <w:basedOn w:val="Normal"/>
    <w:pPr>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4Level2">
    <w:name w:val="List Number 4 (Level 2)"/>
    <w:basedOn w:val="Normal"/>
    <w:pPr>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Level3">
    <w:name w:val="List Number (Level 3)"/>
    <w:basedOn w:val="Normal"/>
    <w:pPr>
      <w:numPr>
        <w:ilvl w:val="2"/>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Level3">
    <w:name w:val="List Number 1 (Level 3)"/>
    <w:basedOn w:val="Text1"/>
    <w:pPr>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Number2Level3">
    <w:name w:val="List Number 2 (Level 3)"/>
    <w:basedOn w:val="Text2"/>
    <w:pPr>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Number3Level3">
    <w:name w:val="List Number 3 (Level 3)"/>
    <w:basedOn w:val="Normal"/>
    <w:pPr>
      <w:numPr>
        <w:ilvl w:val="2"/>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4Level3">
    <w:name w:val="List Number 4 (Level 3)"/>
    <w:basedOn w:val="Normal"/>
    <w:pPr>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Level4">
    <w:name w:val="List Number (Level 4)"/>
    <w:basedOn w:val="Normal"/>
    <w:pPr>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Level4">
    <w:name w:val="List Number 1 (Level 4)"/>
    <w:basedOn w:val="Text1"/>
    <w:pPr>
      <w:numPr>
        <w:ilvl w:val="3"/>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Number2Level4">
    <w:name w:val="List Number 2 (Level 4)"/>
    <w:basedOn w:val="Text2"/>
    <w:pPr>
      <w:numPr>
        <w:ilvl w:val="3"/>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Number3Level4">
    <w:name w:val="List Number 3 (Level 4)"/>
    <w:basedOn w:val="Normal"/>
    <w:pPr>
      <w:numPr>
        <w:ilvl w:val="3"/>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4Level4">
    <w:name w:val="List Number 4 (Level 4)"/>
    <w:basedOn w:val="Normal"/>
    <w:pPr>
      <w:numPr>
        <w:ilvl w:val="3"/>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TOC5">
    <w:name w:val="toc 5"/>
    <w:basedOn w:val="Normal"/>
    <w:next w:val="Normal"/>
    <w:semiHidden/>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641"/>
      </w:tabs>
      <w:spacing w:before="240" w:after="120"/>
      <w:ind w:right="720"/>
      <w:jc w:val="both"/>
    </w:pPr>
    <w:rPr>
      <w:rFonts w:eastAsia="Times New Roman"/>
      <w:caps/>
      <w:szCs w:val="20"/>
      <w:bdr w:val="none" w:sz="0" w:space="0" w:color="auto"/>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759E" w:themeColor="accent1" w:themeShade="BF"/>
      <w:sz w:val="28"/>
      <w:szCs w:val="28"/>
      <w:lang w:val="hr-HR" w:eastAsia="hr-HR"/>
    </w:rPr>
  </w:style>
  <w:style w:type="paragraph" w:styleId="TOCHeading">
    <w:name w:val="TOC Heading"/>
    <w:basedOn w:val="Normal"/>
    <w:next w:val="Normal"/>
    <w:qFormat/>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pPr>
    <w:rPr>
      <w:rFonts w:eastAsia="Times New Roman"/>
      <w:b/>
      <w:szCs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r-HR" w:eastAsia="hr-HR" w:bidi="hr-HR"/>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rPr>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360" w:line="280" w:lineRule="atLeast"/>
      <w:jc w:val="both"/>
    </w:pPr>
    <w:rPr>
      <w:rFonts w:hAnsi="Arial Unicode MS" w:cs="Arial Unicode MS"/>
      <w:color w:val="000000"/>
      <w:sz w:val="24"/>
      <w:szCs w:val="24"/>
      <w:u w:color="000000"/>
    </w:rPr>
  </w:style>
  <w:style w:type="paragraph" w:customStyle="1" w:styleId="Brdtext">
    <w:name w:val="Brödtext"/>
    <w:pPr>
      <w:spacing w:after="360" w:line="280" w:lineRule="atLeast"/>
      <w:jc w:val="both"/>
    </w:pPr>
    <w:rPr>
      <w:rFonts w:hAnsi="Arial Unicode MS" w:cs="Arial Unicode MS"/>
      <w:color w:val="000000"/>
      <w:sz w:val="24"/>
      <w:szCs w:val="24"/>
      <w:u w:color="000000"/>
    </w:rPr>
  </w:style>
  <w:style w:type="paragraph" w:styleId="Footer">
    <w:name w:val="footer"/>
    <w:link w:val="FooterChar"/>
    <w:uiPriority w:val="99"/>
    <w:pPr>
      <w:spacing w:line="280" w:lineRule="atLeast"/>
    </w:pPr>
    <w:rPr>
      <w:rFonts w:ascii="Arial" w:eastAsia="Arial" w:hAnsi="Arial" w:cs="Arial"/>
      <w:color w:val="000000"/>
      <w:sz w:val="16"/>
      <w:szCs w:val="16"/>
      <w:u w:color="000000"/>
    </w:rPr>
  </w:style>
  <w:style w:type="paragraph" w:customStyle="1" w:styleId="Sidhuvudochsidfot">
    <w:name w:val="Sidhuvud och sidfot"/>
    <w:pPr>
      <w:tabs>
        <w:tab w:val="right" w:pos="9020"/>
      </w:tabs>
    </w:pPr>
    <w:rPr>
      <w:rFonts w:ascii="Helvetica" w:eastAsia="Helvetica" w:hAnsi="Helvetica" w:cs="Helvetica"/>
      <w:color w:val="000000"/>
      <w:sz w:val="24"/>
      <w:szCs w:val="24"/>
    </w:rPr>
  </w:style>
  <w:style w:type="paragraph" w:styleId="Caption">
    <w:name w:val="caption"/>
    <w:next w:val="Brdtext"/>
    <w:pPr>
      <w:spacing w:before="120" w:after="120" w:line="280" w:lineRule="atLeast"/>
      <w:jc w:val="both"/>
    </w:pPr>
    <w:rPr>
      <w:rFonts w:eastAsia="Times New Roman"/>
      <w:b/>
      <w:bCs/>
      <w:color w:val="000000"/>
      <w:sz w:val="24"/>
      <w:szCs w:val="24"/>
      <w:u w:color="000000"/>
    </w:rPr>
  </w:style>
  <w:style w:type="paragraph" w:customStyle="1" w:styleId="ZCom">
    <w:name w:val="Z_Com"/>
    <w:next w:val="ZDGName"/>
    <w:pPr>
      <w:widowControl w:val="0"/>
      <w:spacing w:line="280" w:lineRule="atLeast"/>
      <w:ind w:right="85"/>
      <w:jc w:val="both"/>
    </w:pPr>
    <w:rPr>
      <w:rFonts w:ascii="Arial" w:hAnsi="Arial Unicode MS" w:cs="Arial Unicode MS"/>
      <w:color w:val="000000"/>
      <w:sz w:val="24"/>
      <w:szCs w:val="24"/>
      <w:u w:color="000000"/>
    </w:rPr>
  </w:style>
  <w:style w:type="paragraph" w:customStyle="1" w:styleId="ZDGName">
    <w:name w:val="Z_DGName"/>
    <w:pPr>
      <w:widowControl w:val="0"/>
      <w:spacing w:line="280" w:lineRule="atLeast"/>
      <w:ind w:right="85"/>
    </w:pPr>
    <w:rPr>
      <w:rFonts w:ascii="Arial" w:hAnsi="Arial Unicode MS" w:cs="Arial Unicode MS"/>
      <w:color w:val="000000"/>
      <w:sz w:val="16"/>
      <w:szCs w:val="16"/>
      <w:u w:color="000000"/>
    </w:rPr>
  </w:style>
  <w:style w:type="paragraph" w:styleId="Date">
    <w:name w:val="Date"/>
    <w:pPr>
      <w:spacing w:line="280" w:lineRule="atLeast"/>
      <w:ind w:left="5103"/>
    </w:pPr>
    <w:rPr>
      <w:rFonts w:hAnsi="Arial Unicode MS" w:cs="Arial Unicode MS"/>
      <w:color w:val="000000"/>
      <w:sz w:val="24"/>
      <w:szCs w:val="24"/>
      <w:u w:color="000000"/>
    </w:rPr>
  </w:style>
  <w:style w:type="paragraph" w:styleId="BodyText">
    <w:name w:val="Body Text"/>
    <w:pPr>
      <w:spacing w:after="120" w:line="280" w:lineRule="atLeast"/>
      <w:jc w:val="both"/>
    </w:pPr>
    <w:rPr>
      <w:rFonts w:eastAsia="Times New Roman"/>
      <w:color w:val="000000"/>
      <w:sz w:val="24"/>
      <w:szCs w:val="24"/>
      <w:u w:color="000000"/>
    </w:rPr>
  </w:style>
  <w:style w:type="paragraph" w:customStyle="1" w:styleId="Frval">
    <w:name w:val="Förval"/>
    <w:rPr>
      <w:rFonts w:ascii="Helvetica" w:eastAsia="Helvetica" w:hAnsi="Helvetica" w:cs="Helvetica"/>
      <w:color w:val="000000"/>
      <w:sz w:val="22"/>
      <w:szCs w:val="22"/>
    </w:rPr>
  </w:style>
  <w:style w:type="paragraph" w:styleId="FootnoteText">
    <w:name w:val="footnote text"/>
    <w:link w:val="FootnoteTextChar"/>
    <w:uiPriority w:val="99"/>
    <w:pPr>
      <w:spacing w:after="360" w:line="280" w:lineRule="atLeast"/>
      <w:ind w:left="357" w:hanging="357"/>
      <w:jc w:val="both"/>
    </w:pPr>
    <w:rPr>
      <w:rFonts w:eastAsia="Times New Roman"/>
      <w:color w:val="000000"/>
      <w:u w:color="000000"/>
    </w:rPr>
  </w:style>
  <w:style w:type="paragraph" w:customStyle="1" w:styleId="Text1">
    <w:name w:val="Text 1"/>
    <w:pPr>
      <w:spacing w:after="360" w:line="280" w:lineRule="atLeast"/>
      <w:ind w:left="482"/>
      <w:jc w:val="both"/>
    </w:pPr>
    <w:rPr>
      <w:rFonts w:hAnsi="Arial Unicode MS" w:cs="Arial Unicode MS"/>
      <w:color w:val="000000"/>
      <w:sz w:val="24"/>
      <w:szCs w:val="24"/>
      <w:u w:color="000000"/>
    </w:rPr>
  </w:style>
  <w:style w:type="character" w:customStyle="1" w:styleId="Lnk">
    <w:name w:val="Länk"/>
    <w:rPr>
      <w:color w:val="0000FF"/>
      <w:u w:val="single" w:color="0000FF"/>
    </w:rPr>
  </w:style>
  <w:style w:type="character" w:customStyle="1" w:styleId="Hyperlink0">
    <w:name w:val="Hyperlink.0"/>
    <w:basedOn w:val="Lnk"/>
    <w:rPr>
      <w:color w:val="000000"/>
      <w:u w:val="single" w:color="000000"/>
      <w:lang w:val="hr-HR"/>
    </w:rPr>
  </w:style>
  <w:style w:type="paragraph" w:customStyle="1" w:styleId="Default">
    <w:name w:val="Default"/>
    <w:pPr>
      <w:spacing w:after="360" w:line="280" w:lineRule="atLeast"/>
      <w:jc w:val="both"/>
    </w:pPr>
    <w:rPr>
      <w:rFonts w:ascii="EUAlbertina" w:eastAsia="EUAlbertina" w:hAnsi="EUAlbertina" w:cs="EUAlbertina"/>
      <w:color w:val="000000"/>
      <w:sz w:val="24"/>
      <w:szCs w:val="24"/>
      <w:u w:color="000000"/>
    </w:rPr>
  </w:style>
  <w:style w:type="numbering" w:customStyle="1" w:styleId="List0">
    <w:name w:val="List 0"/>
    <w:basedOn w:val="Importeradestilen2"/>
    <w:pPr>
      <w:numPr>
        <w:numId w:val="2"/>
      </w:numPr>
    </w:pPr>
  </w:style>
  <w:style w:type="numbering" w:customStyle="1" w:styleId="Importeradestilen2">
    <w:name w:val="Importerade stilen 2"/>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List1">
    <w:name w:val="List 1"/>
    <w:basedOn w:val="Importeradestilen3"/>
    <w:pPr>
      <w:numPr>
        <w:numId w:val="5"/>
      </w:numPr>
    </w:pPr>
  </w:style>
  <w:style w:type="numbering" w:customStyle="1" w:styleId="Importeradestilen3">
    <w:name w:val="Importerade stilen 3"/>
  </w:style>
  <w:style w:type="numbering" w:customStyle="1" w:styleId="List21">
    <w:name w:val="List 21"/>
    <w:basedOn w:val="Importeradestilen4"/>
    <w:pPr>
      <w:numPr>
        <w:numId w:val="25"/>
      </w:numPr>
    </w:pPr>
  </w:style>
  <w:style w:type="numbering" w:customStyle="1" w:styleId="Importeradestilen4">
    <w:name w:val="Importerade stilen 4"/>
  </w:style>
  <w:style w:type="paragraph" w:customStyle="1" w:styleId="Text2">
    <w:name w:val="Text 2"/>
    <w:pPr>
      <w:tabs>
        <w:tab w:val="left" w:pos="2160"/>
      </w:tabs>
      <w:spacing w:after="360" w:line="280" w:lineRule="atLeast"/>
      <w:ind w:left="1077"/>
      <w:jc w:val="both"/>
    </w:pPr>
    <w:rPr>
      <w:rFonts w:hAnsi="Arial Unicode MS" w:cs="Arial Unicode MS"/>
      <w:color w:val="000000"/>
      <w:sz w:val="24"/>
      <w:szCs w:val="24"/>
      <w:u w:color="000000"/>
    </w:rPr>
  </w:style>
  <w:style w:type="numbering" w:customStyle="1" w:styleId="List31">
    <w:name w:val="List 31"/>
    <w:basedOn w:val="Importeradestilen5"/>
    <w:pPr>
      <w:numPr>
        <w:numId w:val="13"/>
      </w:numPr>
    </w:pPr>
  </w:style>
  <w:style w:type="numbering" w:customStyle="1" w:styleId="Importeradestilen5">
    <w:name w:val="Importerade stilen 5"/>
  </w:style>
  <w:style w:type="numbering" w:customStyle="1" w:styleId="List41">
    <w:name w:val="List 41"/>
    <w:basedOn w:val="Importeradestilen6"/>
    <w:pPr>
      <w:numPr>
        <w:numId w:val="14"/>
      </w:numPr>
    </w:pPr>
  </w:style>
  <w:style w:type="numbering" w:customStyle="1" w:styleId="Importeradestilen6">
    <w:name w:val="Importerade stilen 6"/>
  </w:style>
  <w:style w:type="numbering" w:customStyle="1" w:styleId="List51">
    <w:name w:val="List 51"/>
    <w:basedOn w:val="Importeradestilen7"/>
    <w:pPr>
      <w:numPr>
        <w:numId w:val="15"/>
      </w:numPr>
    </w:pPr>
  </w:style>
  <w:style w:type="numbering" w:customStyle="1" w:styleId="Importeradestilen7">
    <w:name w:val="Importerade stilen 7"/>
  </w:style>
  <w:style w:type="numbering" w:customStyle="1" w:styleId="List6">
    <w:name w:val="List 6"/>
    <w:basedOn w:val="Importeradestilen8"/>
    <w:pPr>
      <w:numPr>
        <w:numId w:val="16"/>
      </w:numPr>
    </w:pPr>
  </w:style>
  <w:style w:type="numbering" w:customStyle="1" w:styleId="Importeradestilen8">
    <w:name w:val="Importerade stilen 8"/>
  </w:style>
  <w:style w:type="numbering" w:customStyle="1" w:styleId="List7">
    <w:name w:val="List 7"/>
    <w:basedOn w:val="Importeradestilen40"/>
    <w:pPr>
      <w:numPr>
        <w:numId w:val="22"/>
      </w:numPr>
    </w:pPr>
  </w:style>
  <w:style w:type="numbering" w:customStyle="1" w:styleId="Importeradestilen40">
    <w:name w:val="Importerade stilen 4.0"/>
  </w:style>
  <w:style w:type="numbering" w:customStyle="1" w:styleId="List8">
    <w:name w:val="List 8"/>
    <w:basedOn w:val="Importeradestilen9"/>
    <w:pPr>
      <w:numPr>
        <w:numId w:val="24"/>
      </w:numPr>
    </w:pPr>
  </w:style>
  <w:style w:type="numbering" w:customStyle="1" w:styleId="Importeradestilen9">
    <w:name w:val="Importerade stilen 9"/>
  </w:style>
  <w:style w:type="numbering" w:customStyle="1" w:styleId="List9">
    <w:name w:val="List 9"/>
    <w:basedOn w:val="Importeradestilen10"/>
    <w:pPr>
      <w:numPr>
        <w:numId w:val="27"/>
      </w:numPr>
    </w:pPr>
  </w:style>
  <w:style w:type="numbering" w:customStyle="1" w:styleId="Importeradestilen10">
    <w:name w:val="Importerade stilen 10"/>
  </w:style>
  <w:style w:type="character" w:customStyle="1" w:styleId="Hyperlink1">
    <w:name w:val="Hyperlink.1"/>
    <w:basedOn w:val="Lnk"/>
    <w:rPr>
      <w:color w:val="000000"/>
      <w:u w:val="single" w:color="000000"/>
      <w:lang w:val="hr-HR"/>
    </w:rPr>
  </w:style>
  <w:style w:type="numbering" w:customStyle="1" w:styleId="List10">
    <w:name w:val="List 10"/>
    <w:basedOn w:val="Importeradestilen11"/>
    <w:pPr>
      <w:numPr>
        <w:numId w:val="32"/>
      </w:numPr>
    </w:pPr>
  </w:style>
  <w:style w:type="numbering" w:customStyle="1" w:styleId="Importeradestilen11">
    <w:name w:val="Importerade stilen 11"/>
  </w:style>
  <w:style w:type="numbering" w:customStyle="1" w:styleId="List11">
    <w:name w:val="List 11"/>
    <w:basedOn w:val="Importeradestilen12"/>
    <w:pPr>
      <w:numPr>
        <w:numId w:val="36"/>
      </w:numPr>
    </w:pPr>
  </w:style>
  <w:style w:type="numbering" w:customStyle="1" w:styleId="Importeradestilen12">
    <w:name w:val="Importerade stilen 1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hr-HR" w:eastAsia="hr-H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hr-HR" w:eastAsia="hr-HR"/>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FootnoteTextChar">
    <w:name w:val="Footnote Text Char"/>
    <w:basedOn w:val="DefaultParagraphFont"/>
    <w:link w:val="FootnoteText"/>
    <w:uiPriority w:val="99"/>
    <w:rPr>
      <w:rFonts w:eastAsia="Times New Roman"/>
      <w:color w:val="000000"/>
      <w:u w:color="000000"/>
      <w:lang w:val="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FooterChar">
    <w:name w:val="Footer Char"/>
    <w:basedOn w:val="DefaultParagraphFont"/>
    <w:link w:val="Footer"/>
    <w:uiPriority w:val="99"/>
    <w:rPr>
      <w:rFonts w:ascii="Arial" w:eastAsia="Arial" w:hAnsi="Arial" w:cs="Arial"/>
      <w:color w:val="000000"/>
      <w:sz w:val="16"/>
      <w:szCs w:val="16"/>
      <w:u w:color="000000"/>
    </w:rPr>
  </w:style>
  <w:style w:type="character" w:styleId="FootnoteReference">
    <w:name w:val="footnote reference"/>
    <w:basedOn w:val="DefaultParagraphFont"/>
    <w:uiPriority w:val="99"/>
    <w:semiHidden/>
    <w:unhideWhenUsed/>
    <w:rPr>
      <w:vertAlign w:val="superscript"/>
    </w:rPr>
  </w:style>
  <w:style w:type="paragraph" w:customStyle="1" w:styleId="Contact">
    <w:name w:val="Contac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480"/>
      <w:ind w:left="567" w:hanging="567"/>
    </w:pPr>
    <w:rPr>
      <w:rFonts w:eastAsia="Times New Roman"/>
      <w:szCs w:val="20"/>
      <w:bdr w:val="none" w:sz="0" w:space="0" w:color="auto"/>
    </w:rPr>
  </w:style>
  <w:style w:type="paragraph" w:styleId="ListBullet">
    <w:name w:val="List Bullet"/>
    <w:basedOn w:val="Normal"/>
    <w:pPr>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Bullet1">
    <w:name w:val="List Bullet 1"/>
    <w:basedOn w:val="Text1"/>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styleId="ListBullet2">
    <w:name w:val="List Bullet 2"/>
    <w:basedOn w:val="Text2"/>
    <w:pPr>
      <w:numPr>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styleId="ListBullet3">
    <w:name w:val="List Bullet 3"/>
    <w:basedOn w:val="Normal"/>
    <w:pPr>
      <w:numPr>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ListBullet4">
    <w:name w:val="List Bullet 4"/>
    <w:basedOn w:val="Normal"/>
    <w:pPr>
      <w:numPr>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Dash">
    <w:name w:val="List Dash"/>
    <w:basedOn w:val="Normal"/>
    <w:pPr>
      <w:numPr>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Dash1">
    <w:name w:val="List Dash 1"/>
    <w:basedOn w:val="Text1"/>
    <w:pPr>
      <w:numPr>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Dash2">
    <w:name w:val="List Dash 2"/>
    <w:basedOn w:val="Text2"/>
    <w:pPr>
      <w:numPr>
        <w:numId w:val="44"/>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Dash3">
    <w:name w:val="List Dash 3"/>
    <w:basedOn w:val="Normal"/>
    <w:pPr>
      <w:numPr>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Dash4">
    <w:name w:val="List Dash 4"/>
    <w:basedOn w:val="Normal"/>
    <w:pPr>
      <w:numPr>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ListNumber">
    <w:name w:val="List Number"/>
    <w:basedOn w:val="Normal"/>
    <w:pPr>
      <w:numPr>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
    <w:name w:val="List Number 1"/>
    <w:basedOn w:val="Text1"/>
    <w:pPr>
      <w:numPr>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styleId="ListNumber2">
    <w:name w:val="List Number 2"/>
    <w:basedOn w:val="Text2"/>
    <w:pPr>
      <w:numPr>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styleId="ListNumber3">
    <w:name w:val="List Number 3"/>
    <w:basedOn w:val="Normal"/>
    <w:pPr>
      <w:numPr>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ListNumber4">
    <w:name w:val="List Number 4"/>
    <w:basedOn w:val="Normal"/>
    <w:pPr>
      <w:numPr>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Level2">
    <w:name w:val="List Number (Level 2)"/>
    <w:basedOn w:val="Normal"/>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Level2">
    <w:name w:val="List Number 1 (Level 2)"/>
    <w:basedOn w:val="Text1"/>
    <w:pPr>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Number2Level2">
    <w:name w:val="List Number 2 (Level 2)"/>
    <w:basedOn w:val="Text2"/>
    <w:pPr>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Number3Level2">
    <w:name w:val="List Number 3 (Level 2)"/>
    <w:basedOn w:val="Normal"/>
    <w:pPr>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4Level2">
    <w:name w:val="List Number 4 (Level 2)"/>
    <w:basedOn w:val="Normal"/>
    <w:pPr>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Level3">
    <w:name w:val="List Number (Level 3)"/>
    <w:basedOn w:val="Normal"/>
    <w:pPr>
      <w:numPr>
        <w:ilvl w:val="2"/>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Level3">
    <w:name w:val="List Number 1 (Level 3)"/>
    <w:basedOn w:val="Text1"/>
    <w:pPr>
      <w:numPr>
        <w:ilvl w:val="2"/>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Number2Level3">
    <w:name w:val="List Number 2 (Level 3)"/>
    <w:basedOn w:val="Text2"/>
    <w:pPr>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Number3Level3">
    <w:name w:val="List Number 3 (Level 3)"/>
    <w:basedOn w:val="Normal"/>
    <w:pPr>
      <w:numPr>
        <w:ilvl w:val="2"/>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4Level3">
    <w:name w:val="List Number 4 (Level 3)"/>
    <w:basedOn w:val="Normal"/>
    <w:pPr>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Level4">
    <w:name w:val="List Number (Level 4)"/>
    <w:basedOn w:val="Normal"/>
    <w:pPr>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1Level4">
    <w:name w:val="List Number 1 (Level 4)"/>
    <w:basedOn w:val="Text1"/>
    <w:pPr>
      <w:numPr>
        <w:ilvl w:val="3"/>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pPr>
    <w:rPr>
      <w:rFonts w:eastAsia="Times New Roman" w:hAnsi="Times New Roman" w:cs="Times New Roman"/>
      <w:color w:val="auto"/>
      <w:szCs w:val="20"/>
      <w:bdr w:val="none" w:sz="0" w:space="0" w:color="auto"/>
    </w:rPr>
  </w:style>
  <w:style w:type="paragraph" w:customStyle="1" w:styleId="ListNumber2Level4">
    <w:name w:val="List Number 2 (Level 4)"/>
    <w:basedOn w:val="Text2"/>
    <w:pPr>
      <w:numPr>
        <w:ilvl w:val="3"/>
        <w:numId w:val="49"/>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40" w:line="240" w:lineRule="auto"/>
    </w:pPr>
    <w:rPr>
      <w:rFonts w:eastAsia="Times New Roman" w:hAnsi="Times New Roman" w:cs="Times New Roman"/>
      <w:color w:val="auto"/>
      <w:szCs w:val="20"/>
      <w:bdr w:val="none" w:sz="0" w:space="0" w:color="auto"/>
    </w:rPr>
  </w:style>
  <w:style w:type="paragraph" w:customStyle="1" w:styleId="ListNumber3Level4">
    <w:name w:val="List Number 3 (Level 4)"/>
    <w:basedOn w:val="Normal"/>
    <w:pPr>
      <w:numPr>
        <w:ilvl w:val="3"/>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ListNumber4Level4">
    <w:name w:val="List Number 4 (Level 4)"/>
    <w:basedOn w:val="Normal"/>
    <w:pPr>
      <w:numPr>
        <w:ilvl w:val="3"/>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styleId="TOC5">
    <w:name w:val="toc 5"/>
    <w:basedOn w:val="Normal"/>
    <w:next w:val="Normal"/>
    <w:semiHidden/>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641"/>
      </w:tabs>
      <w:spacing w:before="240" w:after="120"/>
      <w:ind w:right="720"/>
      <w:jc w:val="both"/>
    </w:pPr>
    <w:rPr>
      <w:rFonts w:eastAsia="Times New Roman"/>
      <w:caps/>
      <w:szCs w:val="20"/>
      <w:bdr w:val="none" w:sz="0" w:space="0" w:color="auto"/>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759E" w:themeColor="accent1" w:themeShade="BF"/>
      <w:sz w:val="28"/>
      <w:szCs w:val="28"/>
      <w:lang w:val="hr-HR" w:eastAsia="hr-HR"/>
    </w:rPr>
  </w:style>
  <w:style w:type="paragraph" w:styleId="TOCHeading">
    <w:name w:val="TOC Heading"/>
    <w:basedOn w:val="Normal"/>
    <w:next w:val="Normal"/>
    <w:qFormat/>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pPr>
    <w:rPr>
      <w:rFonts w:eastAsia="Times New Roman"/>
      <w:b/>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73356">
      <w:bodyDiv w:val="1"/>
      <w:marLeft w:val="0"/>
      <w:marRight w:val="0"/>
      <w:marTop w:val="0"/>
      <w:marBottom w:val="0"/>
      <w:divBdr>
        <w:top w:val="none" w:sz="0" w:space="0" w:color="auto"/>
        <w:left w:val="none" w:sz="0" w:space="0" w:color="auto"/>
        <w:bottom w:val="none" w:sz="0" w:space="0" w:color="auto"/>
        <w:right w:val="none" w:sz="0" w:space="0" w:color="auto"/>
      </w:divBdr>
    </w:div>
    <w:div w:id="176371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ts val="2800"/>
          </a:lnSpc>
          <a:spcBef>
            <a:spcPts val="18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0EF3DD52A00642B1CF603C340C58E0" ma:contentTypeVersion="0" ma:contentTypeDescription="Create a new document." ma:contentTypeScope="" ma:versionID="77c9195bc15cc93ca92ef0b19dd5c5a8">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5F35-CF0E-4825-BE43-E2997D115A18}">
  <ds:schemaRefs>
    <ds:schemaRef ds:uri="http://schemas.microsoft.com/sharepoint/v3/contenttype/forms"/>
  </ds:schemaRefs>
</ds:datastoreItem>
</file>

<file path=customXml/itemProps2.xml><?xml version="1.0" encoding="utf-8"?>
<ds:datastoreItem xmlns:ds="http://schemas.openxmlformats.org/officeDocument/2006/customXml" ds:itemID="{B3701CF6-B29B-47A7-8768-E9227F92F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2501E5-ABE3-4E6A-A499-B034D2309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F15F0-5B76-46EF-B17E-387BC7BB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42</TotalTime>
  <Pages>13</Pages>
  <Words>4345</Words>
  <Characters>28377</Characters>
  <Application>Microsoft Office Word</Application>
  <DocSecurity>0</DocSecurity>
  <Lines>591</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2015-07-15T13:35:00Z</cp:lastPrinted>
  <dcterms:created xsi:type="dcterms:W3CDTF">2015-08-11T12:49:00Z</dcterms:created>
  <dcterms:modified xsi:type="dcterms:W3CDTF">2015-08-27T07:24:00Z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0x010100930EF3DD52A00642B1CF603C340C58E0</vt:lpwstr>
  </property>
  <property fmtid="{D5CDD505-2E9C-101B-9397-08002B2CF9AE}" pid="6" name="ELDocType">
    <vt:lpwstr>NOT.DOT</vt:lpwstr>
  </property>
  <property fmtid="{D5CDD505-2E9C-101B-9397-08002B2CF9AE}" pid="7" name="Created using">
    <vt:lpwstr>3.0</vt:lpwstr>
  </property>
  <property fmtid="{D5CDD505-2E9C-101B-9397-08002B2CF9AE}" pid="8" name="Last edited using">
    <vt:lpwstr>EL </vt:lpwstr>
  </property>
  <property fmtid="{D5CDD505-2E9C-101B-9397-08002B2CF9AE}" pid="9" name="DocStatus">
    <vt:lpwstr>Green</vt:lpwstr>
  </property>
  <property name="OP_sanitized" fmtid="{D5CDD505-2E9C-101B-9397-08002B2CF9AE}" pid="10">
    <vt:lpwstr>True</vt:lpwstr>
  </property>
</Properties>
</file>