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3E7D" w:rsidRDefault="007D1B12" w14:paraId="6E5229C9" w14:textId="08FB52B2">
      <w:pPr>
        <w:jc w:val="center"/>
      </w:pPr>
      <w:r>
        <w:rPr>
          <w:noProof/>
        </w:rPr>
        <w:drawing>
          <wp:inline distT="0" distB="0" distL="0" distR="0" wp14:anchorId="159A098F" wp14:editId="03199F27">
            <wp:extent cx="1792605" cy="1239520"/>
            <wp:effectExtent l="0" t="0" r="0" b="0"/>
            <wp:docPr id="1" name="Picture 1" title="EESCLogo_GA"/>
            <wp:cNvGraphicFramePr/>
            <a:graphic xmlns:a="http://schemas.openxmlformats.org/drawingml/2006/main">
              <a:graphicData uri="http://schemas.openxmlformats.org/drawingml/2006/picture">
                <pic:pic xmlns:pic="http://schemas.openxmlformats.org/drawingml/2006/picture">
                  <pic:nvPicPr>
                    <pic:cNvPr id="1" name="Picture 1" title="EESCLogo_GA"/>
                    <pic:cNvPicPr/>
                  </pic:nvPicPr>
                  <pic:blipFill>
                    <a:blip r:embed="rId11"/>
                    <a:stretch>
                      <a:fillRect/>
                    </a:stretch>
                  </pic:blipFill>
                  <pic:spPr>
                    <a:xfrm>
                      <a:off x="0" y="0"/>
                      <a:ext cx="1792605" cy="1239520"/>
                    </a:xfrm>
                    <a:prstGeom prst="rect">
                      <a:avLst/>
                    </a:prstGeom>
                  </pic:spPr>
                </pic:pic>
              </a:graphicData>
            </a:graphic>
          </wp:inline>
        </w:drawing>
      </w:r>
      <w:r w:rsidR="00FF54AA">
        <w:rPr>
          <w:noProof/>
          <w:sz w:val="20"/>
        </w:rPr>
        <mc:AlternateContent>
          <mc:Choice Requires="wps">
            <w:drawing>
              <wp:anchor distT="0" distB="0" distL="114300" distR="114300" simplePos="0" relativeHeight="251659264" behindDoc="1" locked="0" layoutInCell="0" allowOverlap="1" wp14:editId="2CA01AA2" wp14:anchorId="572791B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E7D" w:rsidRDefault="00FF54AA" w14:paraId="3F07E995" w14:textId="77777777">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72791BF">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005A3E7D" w:rsidRDefault="00FF54AA" w14:paraId="3F07E995" w14:textId="77777777">
                      <w:pPr>
                        <w:jc w:val="center"/>
                        <w:rPr>
                          <w:rFonts w:ascii="Arial" w:hAnsi="Arial" w:cs="Arial"/>
                          <w:b/>
                          <w:bCs/>
                          <w:sz w:val="48"/>
                        </w:rPr>
                      </w:pPr>
                      <w:r>
                        <w:rPr>
                          <w:rFonts w:ascii="Arial" w:hAnsi="Arial"/>
                          <w:b/>
                          <w:sz w:val="48"/>
                        </w:rPr>
                        <w:t>GA</w:t>
                      </w:r>
                    </w:p>
                  </w:txbxContent>
                </v:textbox>
                <w10:wrap anchorx="page" anchory="page"/>
              </v:shape>
            </w:pict>
          </mc:Fallback>
        </mc:AlternateContent>
      </w:r>
    </w:p>
    <w:p w:rsidR="005A3E7D" w:rsidRDefault="005A3E7D" w14:paraId="058B9A77" w14:textId="77777777">
      <w:pPr>
        <w:jc w:val="left"/>
        <w:rPr>
          <w:lang w:val="en-GB"/>
        </w:rPr>
      </w:pPr>
    </w:p>
    <w:p w:rsidR="005A3E7D" w:rsidRDefault="00FF54AA" w14:paraId="6E5229CA" w14:textId="1AA0A4FB">
      <w:pPr>
        <w:jc w:val="right"/>
      </w:pPr>
      <w:r>
        <w:rPr>
          <w:b/>
        </w:rPr>
        <w:t>ECO/657</w:t>
      </w:r>
    </w:p>
    <w:p w:rsidR="005A3E7D" w:rsidRDefault="00FF54AA" w14:paraId="6E5229CB" w14:textId="55A4F5F3">
      <w:pPr>
        <w:jc w:val="right"/>
      </w:pPr>
      <w:r>
        <w:rPr>
          <w:b/>
        </w:rPr>
        <w:t>Pacáiste an Fhómhair maidir le Seimeastar Eorpach 2025</w:t>
      </w:r>
    </w:p>
    <w:p w:rsidR="005A3E7D" w:rsidRDefault="005A3E7D" w14:paraId="6E5229CC" w14:textId="77777777">
      <w:pPr>
        <w:rPr>
          <w:lang w:val="en-GB"/>
        </w:rPr>
      </w:pPr>
    </w:p>
    <w:p w:rsidR="005A3E7D" w:rsidRDefault="005A3E7D" w14:paraId="6E5229CD" w14:textId="77777777">
      <w:pPr>
        <w:rPr>
          <w:lang w:val="en-GB"/>
        </w:rPr>
      </w:pPr>
    </w:p>
    <w:p w:rsidR="005A3E7D" w:rsidRDefault="00FF54AA" w14:paraId="14C229D4" w14:textId="6AC559A7">
      <w:pPr>
        <w:jc w:val="center"/>
        <w:rPr>
          <w:b/>
          <w:bCs/>
          <w:sz w:val="28"/>
          <w:szCs w:val="28"/>
        </w:rPr>
      </w:pPr>
      <w:r>
        <w:rPr>
          <w:b/>
          <w:sz w:val="28"/>
        </w:rPr>
        <w:t>TUAIRIM</w:t>
      </w:r>
    </w:p>
    <w:p w:rsidR="005A3E7D" w:rsidRDefault="005A3E7D" w14:paraId="38473EEC" w14:textId="77777777">
      <w:pPr>
        <w:jc w:val="center"/>
        <w:rPr>
          <w:lang w:val="en-GB"/>
        </w:rPr>
      </w:pPr>
    </w:p>
    <w:p w:rsidR="005A3E7D" w:rsidRDefault="00FF54AA" w14:paraId="7C7E984F" w14:textId="04F3FD2E">
      <w:pPr>
        <w:jc w:val="center"/>
      </w:pPr>
      <w:r>
        <w:t>An Rannóg um Aontas Eacnamaíoch agus Airgeadaíochta agus um Chomhtháthú Eacnamaíoch agus Sóisialta</w:t>
      </w:r>
    </w:p>
    <w:p w:rsidR="005A3E7D" w:rsidRDefault="005A3E7D" w14:paraId="74BA78CD" w14:textId="77777777">
      <w:pPr>
        <w:jc w:val="center"/>
        <w:rPr>
          <w:lang w:val="en-GB"/>
        </w:rPr>
      </w:pPr>
    </w:p>
    <w:p w:rsidR="005A3E7D" w:rsidRDefault="00FF54AA" w14:paraId="11068861" w14:textId="0ECAB193">
      <w:pPr>
        <w:jc w:val="center"/>
        <w:rPr>
          <w:b/>
          <w:bCs/>
        </w:rPr>
      </w:pPr>
      <w:r>
        <w:rPr>
          <w:b/>
        </w:rPr>
        <w:t>Teachtaireacht ón gCoimisiún chuig Parlaimint na hEorpa, chuig an gComhairle, chuig an mBanc Ceannais Eorpach, chuig Coiste Eacnamaíoch agus Sóisialta na hEorpa, chuig Coiste na Réigiún agus chuig an mBanc Eorpach Infheistíochta: Seimeastar Eorpach 2025 – Pacáiste an Fhómhair</w:t>
      </w:r>
    </w:p>
    <w:p w:rsidR="005A3E7D" w:rsidRDefault="006974C3" w14:paraId="6E5229CE" w14:textId="0A1A5C51">
      <w:pPr>
        <w:jc w:val="center"/>
      </w:pPr>
      <w:r>
        <w:t>[COM(2024) 700 final]</w:t>
      </w:r>
    </w:p>
    <w:p w:rsidR="005A3E7D" w:rsidRDefault="005A3E7D" w14:paraId="6E5229CF" w14:textId="77777777">
      <w:pPr>
        <w:jc w:val="center"/>
        <w:rPr>
          <w:lang w:val="en-GB"/>
        </w:rPr>
      </w:pPr>
    </w:p>
    <w:tbl>
      <w:tblPr>
        <w:tblpPr w:leftFromText="181" w:rightFromText="181" w:tblpYSpec="bottom"/>
        <w:tblOverlap w:val="never"/>
        <w:tblW w:w="9289" w:type="dxa"/>
        <w:tblLayout w:type="fixed"/>
        <w:tblLook w:val="04A0" w:firstRow="1" w:lastRow="0" w:firstColumn="1" w:lastColumn="0" w:noHBand="0" w:noVBand="1"/>
      </w:tblPr>
      <w:tblGrid>
        <w:gridCol w:w="3119"/>
        <w:gridCol w:w="6170"/>
      </w:tblGrid>
      <w:tr w:rsidR="00114D4F" w14:paraId="55E8726F" w14:textId="77777777">
        <w:tc>
          <w:tcPr>
            <w:tcW w:w="3119" w:type="dxa"/>
          </w:tcPr>
          <w:p w:rsidR="00114D4F" w:rsidDel="00A0334A" w:rsidRDefault="00114D4F" w14:paraId="56FE2862" w14:textId="14DC2AA4">
            <w:pPr>
              <w:widowControl w:val="0"/>
              <w:suppressAutoHyphens/>
              <w:jc w:val="left"/>
              <w:rPr>
                <w:b/>
              </w:rPr>
            </w:pPr>
            <w:r>
              <w:t>Teagmháil</w:t>
            </w:r>
          </w:p>
        </w:tc>
        <w:tc>
          <w:tcPr>
            <w:tcW w:w="6170" w:type="dxa"/>
          </w:tcPr>
          <w:p w:rsidR="00114D4F" w:rsidDel="00A0334A" w:rsidP="00FB150B" w:rsidRDefault="00943782" w14:paraId="6F60213F" w14:textId="6EA0D193">
            <w:pPr>
              <w:jc w:val="left"/>
              <w:rPr>
                <w:b/>
                <w:bCs/>
              </w:rPr>
            </w:pPr>
            <w:hyperlink w:history="1" r:id="rId12">
              <w:r w:rsidR="007D1B12">
                <w:rPr>
                  <w:rStyle w:val="Hyperlink"/>
                </w:rPr>
                <w:t>eco@eesc.europa.eu</w:t>
              </w:r>
            </w:hyperlink>
          </w:p>
        </w:tc>
      </w:tr>
      <w:tr w:rsidR="005A3E7D" w14:paraId="6E5229DC" w14:textId="77777777">
        <w:tc>
          <w:tcPr>
            <w:tcW w:w="3119" w:type="dxa"/>
          </w:tcPr>
          <w:p w:rsidR="005A3E7D" w:rsidRDefault="00FF54AA" w14:paraId="6E5229DA" w14:textId="77777777">
            <w:r>
              <w:t>Riarthóir</w:t>
            </w:r>
          </w:p>
        </w:tc>
        <w:tc>
          <w:tcPr>
            <w:tcW w:w="6170" w:type="dxa"/>
          </w:tcPr>
          <w:p w:rsidR="005A3E7D" w:rsidRDefault="00FF54AA" w14:paraId="6E5229DB" w14:textId="7A8438AB">
            <w:pPr>
              <w:jc w:val="left"/>
            </w:pPr>
            <w:r>
              <w:t>Anna PANTAZI</w:t>
            </w:r>
          </w:p>
        </w:tc>
      </w:tr>
      <w:tr w:rsidR="005A3E7D" w14:paraId="6E5229DF" w14:textId="77777777">
        <w:tc>
          <w:tcPr>
            <w:tcW w:w="3119" w:type="dxa"/>
          </w:tcPr>
          <w:p w:rsidR="005A3E7D" w:rsidRDefault="00FF54AA" w14:paraId="6E5229DD" w14:textId="77777777">
            <w:r>
              <w:t>Dáta an doiciméid</w:t>
            </w:r>
          </w:p>
        </w:tc>
        <w:tc>
          <w:tcPr>
            <w:tcW w:w="6170" w:type="dxa"/>
          </w:tcPr>
          <w:p w:rsidR="005A3E7D" w:rsidRDefault="00A11541" w14:paraId="6E5229DE" w14:textId="30543FD5">
            <w:pPr>
              <w:jc w:val="left"/>
            </w:pPr>
            <w:r>
              <w:t>10/2/2025</w:t>
            </w:r>
          </w:p>
        </w:tc>
      </w:tr>
    </w:tbl>
    <w:p w:rsidR="005A3E7D" w:rsidRDefault="00FF54AA" w14:paraId="6E5229E0" w14:textId="02652303">
      <w:pPr>
        <w:jc w:val="center"/>
        <w:rPr>
          <w:b/>
          <w:bCs/>
        </w:rPr>
      </w:pPr>
      <w:r>
        <w:t xml:space="preserve">Rapóirtéir: </w:t>
      </w:r>
      <w:r>
        <w:rPr>
          <w:b/>
        </w:rPr>
        <w:t>Petru Sorin DANDEA</w:t>
      </w:r>
    </w:p>
    <w:p w:rsidR="005A3E7D" w:rsidRDefault="005A3E7D" w14:paraId="3FE5ED98" w14:textId="7A55DFC1">
      <w:pPr>
        <w:jc w:val="center"/>
        <w:rPr>
          <w:b/>
          <w:bCs/>
          <w:lang w:val="en-GB"/>
        </w:rPr>
      </w:pPr>
    </w:p>
    <w:p w:rsidR="005A3E7D" w:rsidRDefault="005A3E7D" w14:paraId="4B75EF2A" w14:textId="77777777">
      <w:pPr>
        <w:jc w:val="center"/>
        <w:rPr>
          <w:bCs/>
          <w:lang w:val="en-GB"/>
        </w:rPr>
      </w:pPr>
    </w:p>
    <w:p w:rsidR="005A3E7D" w:rsidRDefault="005A3E7D" w14:paraId="6E5229E3" w14:textId="51F8483F">
      <w:pPr>
        <w:jc w:val="center"/>
        <w:rPr>
          <w:lang w:val="en-GB"/>
        </w:rPr>
        <w:sectPr w:rsidR="005A3E7D" w:rsidSect="0071334E">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005A3E7D" w:rsidRDefault="005A3E7D" w14:paraId="66F77A3F" w14:textId="77777777">
      <w:pPr>
        <w:rPr>
          <w:lang w:val="en-GB"/>
        </w:rPr>
      </w:pPr>
    </w:p>
    <w:tbl>
      <w:tblPr>
        <w:tblW w:w="0" w:type="auto"/>
        <w:tblLook w:val="04A0" w:firstRow="1" w:lastRow="0" w:firstColumn="1" w:lastColumn="0" w:noHBand="0" w:noVBand="1"/>
      </w:tblPr>
      <w:tblGrid>
        <w:gridCol w:w="3055"/>
        <w:gridCol w:w="6018"/>
      </w:tblGrid>
      <w:tr w:rsidR="005A3E7D" w14:paraId="6E522A03" w14:textId="77777777">
        <w:tc>
          <w:tcPr>
            <w:tcW w:w="3055" w:type="dxa"/>
          </w:tcPr>
          <w:p w:rsidR="005A3E7D" w:rsidRDefault="00FF54AA" w14:paraId="6E522A01" w14:textId="5C011C6A">
            <w:pPr>
              <w:jc w:val="left"/>
            </w:pPr>
            <w:r>
              <w:t>Comhairliúchán</w:t>
            </w:r>
          </w:p>
        </w:tc>
        <w:tc>
          <w:tcPr>
            <w:tcW w:w="6018" w:type="dxa"/>
          </w:tcPr>
          <w:p w:rsidR="005A3E7D" w:rsidRDefault="00FF54AA" w14:paraId="6E522A02" w14:textId="6CC0891F">
            <w:pPr>
              <w:jc w:val="left"/>
            </w:pPr>
            <w:r>
              <w:t>An Coimisiún Eorpach, 20/1/2025</w:t>
            </w:r>
          </w:p>
        </w:tc>
      </w:tr>
      <w:tr w:rsidR="005A3E7D" w14:paraId="6E522A06" w14:textId="77777777">
        <w:trPr>
          <w:trHeight w:val="251"/>
        </w:trPr>
        <w:tc>
          <w:tcPr>
            <w:tcW w:w="3055" w:type="dxa"/>
          </w:tcPr>
          <w:p w:rsidR="005A3E7D" w:rsidRDefault="00FF54AA" w14:paraId="6E522A04" w14:textId="77777777">
            <w:pPr>
              <w:jc w:val="left"/>
            </w:pPr>
            <w:r>
              <w:t>Bunús dlí</w:t>
            </w:r>
          </w:p>
        </w:tc>
        <w:tc>
          <w:tcPr>
            <w:tcW w:w="6018" w:type="dxa"/>
          </w:tcPr>
          <w:p w:rsidR="005A3E7D" w:rsidRDefault="00FF54AA" w14:paraId="6E522A05" w14:textId="14DAF2C6">
            <w:pPr>
              <w:jc w:val="left"/>
            </w:pPr>
            <w:r>
              <w:t>Airteagal 304 den Chonradh ar Fheidhmiú an Aontais Eorpaigh</w:t>
            </w:r>
          </w:p>
        </w:tc>
      </w:tr>
      <w:tr w:rsidR="005A3E7D" w14:paraId="17A00E72" w14:textId="77777777">
        <w:tc>
          <w:tcPr>
            <w:tcW w:w="3055" w:type="dxa"/>
          </w:tcPr>
          <w:p w:rsidR="005A3E7D" w:rsidRDefault="00FF54AA" w14:paraId="5E86321D" w14:textId="6BF766F6">
            <w:pPr>
              <w:jc w:val="left"/>
            </w:pPr>
            <w:r>
              <w:t>Doiciméad an Choimisiúin Eorpaigh</w:t>
            </w:r>
          </w:p>
        </w:tc>
        <w:tc>
          <w:tcPr>
            <w:tcW w:w="6018" w:type="dxa"/>
            <w:vAlign w:val="bottom"/>
          </w:tcPr>
          <w:p w:rsidR="005A3E7D" w:rsidRDefault="00FF54AA" w14:paraId="20EA07E6" w14:textId="77777777">
            <w:pPr>
              <w:jc w:val="left"/>
            </w:pPr>
            <w:r>
              <w:t>COM(2024) 700 final</w:t>
            </w:r>
          </w:p>
          <w:p w:rsidR="005A3E7D" w:rsidRDefault="005A3E7D" w14:paraId="5D3D66DD" w14:textId="19DF270E">
            <w:pPr>
              <w:jc w:val="left"/>
              <w:rPr>
                <w:lang w:val="en-GB"/>
              </w:rPr>
            </w:pPr>
          </w:p>
        </w:tc>
      </w:tr>
      <w:tr w:rsidR="005A3E7D" w14:paraId="6E522A21" w14:textId="77777777">
        <w:tc>
          <w:tcPr>
            <w:tcW w:w="3055" w:type="dxa"/>
          </w:tcPr>
          <w:p w:rsidR="005A3E7D" w:rsidRDefault="00FF54AA" w14:paraId="6E522A1F" w14:textId="77777777">
            <w:pPr>
              <w:jc w:val="left"/>
            </w:pPr>
            <w:r>
              <w:t>An rannóg atá freagrach</w:t>
            </w:r>
          </w:p>
        </w:tc>
        <w:tc>
          <w:tcPr>
            <w:tcW w:w="6018" w:type="dxa"/>
          </w:tcPr>
          <w:p w:rsidR="005A3E7D" w:rsidRDefault="00FF54AA" w14:paraId="6E522A20" w14:textId="14D70E86">
            <w:pPr>
              <w:jc w:val="left"/>
            </w:pPr>
            <w:r>
              <w:t>Aontas Eacnamaíoch agus Airgeadaíochta agus Comhtháthú Eacnamaíoch agus Sóisialta</w:t>
            </w:r>
          </w:p>
        </w:tc>
      </w:tr>
      <w:tr w:rsidR="005A3E7D" w14:paraId="6E522A24" w14:textId="77777777">
        <w:tc>
          <w:tcPr>
            <w:tcW w:w="3055" w:type="dxa"/>
          </w:tcPr>
          <w:p w:rsidR="005A3E7D" w:rsidRDefault="00FF54AA" w14:paraId="6E522A22" w14:textId="69160F6F">
            <w:pPr>
              <w:jc w:val="left"/>
            </w:pPr>
            <w:r>
              <w:t>Dáta a glactha sa rannóg</w:t>
            </w:r>
          </w:p>
        </w:tc>
        <w:tc>
          <w:tcPr>
            <w:tcW w:w="6018" w:type="dxa"/>
          </w:tcPr>
          <w:p w:rsidR="005A3E7D" w:rsidRDefault="00A0334A" w14:paraId="6E522A23" w14:textId="64A76028">
            <w:pPr>
              <w:jc w:val="left"/>
            </w:pPr>
            <w:r>
              <w:t>6/2/2025</w:t>
            </w:r>
          </w:p>
        </w:tc>
      </w:tr>
      <w:tr w:rsidR="005A3E7D" w14:paraId="30435AD6" w14:textId="77777777">
        <w:tc>
          <w:tcPr>
            <w:tcW w:w="3055" w:type="dxa"/>
          </w:tcPr>
          <w:p w:rsidR="005A3E7D" w:rsidRDefault="00FF54AA" w14:paraId="4A574C94" w14:textId="04818650">
            <w:pPr>
              <w:jc w:val="left"/>
            </w:pPr>
            <w:r>
              <w:t>Toradh na vótála</w:t>
            </w:r>
            <w:r>
              <w:br/>
              <w:t>(ar son/in aghaidh/staonadh)</w:t>
            </w:r>
          </w:p>
        </w:tc>
        <w:tc>
          <w:tcPr>
            <w:tcW w:w="6018" w:type="dxa"/>
            <w:vAlign w:val="bottom"/>
          </w:tcPr>
          <w:p w:rsidR="005A3E7D" w:rsidRDefault="0093329E" w14:paraId="1221A854" w14:textId="0420D1B3">
            <w:pPr>
              <w:jc w:val="left"/>
            </w:pPr>
            <w:r>
              <w:t>60/0/2</w:t>
            </w:r>
          </w:p>
        </w:tc>
      </w:tr>
      <w:tr w:rsidR="005A3E7D" w14:paraId="6E522A27" w14:textId="77777777">
        <w:tc>
          <w:tcPr>
            <w:tcW w:w="3055" w:type="dxa"/>
          </w:tcPr>
          <w:p w:rsidR="005A3E7D" w:rsidRDefault="00FF54AA" w14:paraId="6E522A25" w14:textId="1BBBBA02">
            <w:pPr>
              <w:jc w:val="left"/>
            </w:pPr>
            <w:r>
              <w:t>Dáta a glactha sa seisiún iomlánach</w:t>
            </w:r>
          </w:p>
        </w:tc>
        <w:tc>
          <w:tcPr>
            <w:tcW w:w="6018" w:type="dxa"/>
          </w:tcPr>
          <w:p w:rsidR="005A3E7D" w:rsidRDefault="00FF54AA" w14:paraId="6E522A26" w14:textId="3E777582">
            <w:pPr>
              <w:jc w:val="left"/>
            </w:pPr>
            <w:r>
              <w:t>D/M/YYYY</w:t>
            </w:r>
          </w:p>
        </w:tc>
      </w:tr>
      <w:tr w:rsidR="005A3E7D" w14:paraId="6E522A2A" w14:textId="77777777">
        <w:tc>
          <w:tcPr>
            <w:tcW w:w="3055" w:type="dxa"/>
          </w:tcPr>
          <w:p w:rsidR="005A3E7D" w:rsidRDefault="00FF54AA" w14:paraId="6E522A28" w14:textId="77777777">
            <w:pPr>
              <w:jc w:val="left"/>
            </w:pPr>
            <w:r>
              <w:t>Seisiún iomlánach Uimh.</w:t>
            </w:r>
          </w:p>
        </w:tc>
        <w:tc>
          <w:tcPr>
            <w:tcW w:w="6018" w:type="dxa"/>
          </w:tcPr>
          <w:p w:rsidR="005A3E7D" w:rsidRDefault="00FF54AA" w14:paraId="6E522A29" w14:textId="77777777">
            <w:pPr>
              <w:jc w:val="left"/>
            </w:pPr>
            <w:r>
              <w:t>…</w:t>
            </w:r>
          </w:p>
        </w:tc>
      </w:tr>
      <w:tr w:rsidR="005A3E7D" w14:paraId="6E522A2D" w14:textId="77777777">
        <w:tc>
          <w:tcPr>
            <w:tcW w:w="3055" w:type="dxa"/>
          </w:tcPr>
          <w:p w:rsidR="005A3E7D" w:rsidRDefault="00FF54AA" w14:paraId="6E522A2B" w14:textId="104372DD">
            <w:pPr>
              <w:jc w:val="left"/>
            </w:pPr>
            <w:r>
              <w:t>Toradh na vótála</w:t>
            </w:r>
            <w:r>
              <w:br/>
              <w:t>(ar son/in aghaidh/staonadh)</w:t>
            </w:r>
          </w:p>
        </w:tc>
        <w:tc>
          <w:tcPr>
            <w:tcW w:w="6018" w:type="dxa"/>
            <w:vAlign w:val="bottom"/>
          </w:tcPr>
          <w:p w:rsidR="005A3E7D" w:rsidRDefault="00FF54AA" w14:paraId="6E522A2C" w14:textId="77777777">
            <w:pPr>
              <w:jc w:val="left"/>
            </w:pPr>
            <w:r>
              <w:t>…/…/…</w:t>
            </w:r>
          </w:p>
        </w:tc>
      </w:tr>
    </w:tbl>
    <w:p w:rsidR="005A3E7D" w:rsidRDefault="005A3E7D" w14:paraId="6E522A2E" w14:textId="77777777">
      <w:pPr>
        <w:rPr>
          <w:lang w:val="en-GB"/>
        </w:rPr>
      </w:pPr>
    </w:p>
    <w:p w:rsidR="005A3E7D" w:rsidRDefault="00FF54AA" w14:paraId="6E522A2F" w14:textId="77777777">
      <w:r>
        <w:br w:type="page"/>
      </w:r>
    </w:p>
    <w:p w:rsidR="005A3E7D" w:rsidRDefault="00FF54AA" w14:paraId="6E522A30" w14:textId="085E1C00">
      <w:pPr>
        <w:pStyle w:val="Heading1"/>
      </w:pPr>
      <w:r>
        <w:rPr>
          <w:b/>
        </w:rPr>
        <w:lastRenderedPageBreak/>
        <w:t>MOLTAÍ</w:t>
      </w:r>
    </w:p>
    <w:p w:rsidR="005A3E7D" w:rsidRDefault="005A3E7D" w14:paraId="3865EE70" w14:textId="77777777">
      <w:pPr>
        <w:jc w:val="left"/>
        <w:rPr>
          <w:lang w:val="en-GB"/>
        </w:rPr>
      </w:pPr>
    </w:p>
    <w:p w:rsidR="005A3E7D" w:rsidRDefault="00FF54AA" w14:paraId="6A27DF43" w14:textId="480B0F31">
      <w:pPr>
        <w:jc w:val="left"/>
        <w:rPr>
          <w:i/>
          <w:iCs/>
        </w:rPr>
      </w:pPr>
      <w:r>
        <w:t>Seo seasamh Choiste Eacnamaíoch agus Sóisialta na hEorpa (CESE)</w:t>
      </w:r>
    </w:p>
    <w:p w:rsidR="005A3E7D" w:rsidRDefault="005A3E7D" w14:paraId="57DACBAF" w14:textId="49A3D035">
      <w:pPr>
        <w:ind w:left="142" w:hanging="142"/>
        <w:jc w:val="left"/>
        <w:rPr>
          <w:lang w:val="en-GB"/>
        </w:rPr>
      </w:pPr>
    </w:p>
    <w:p w:rsidR="005A3E7D" w:rsidRDefault="00FF54AA" w14:paraId="0CF55C7B" w14:textId="47D2D759">
      <w:pPr>
        <w:pStyle w:val="Heading2"/>
      </w:pPr>
      <w:r>
        <w:t>Cuireann CESE in iúl gur cúis mhór áiféala dó agus nach dtuigeann sé cén fáth ar chinn an Coimisiún Eorpach, i gcomhthéacs suaite polaitiúil, sóisialta agus eacnamaíoch an domhain, gan an Suirbhé Bliantúil don Fhás Inbhuanaithe a fhoilsiú, ós é an príomhdhoiciméad maidir le pacáiste an Fhómhair é ina gcuirtear i láthair na treoshuíomhanna polaitiúla don tréimhse atá romhainn.</w:t>
      </w:r>
    </w:p>
    <w:p w:rsidR="005A3E7D" w:rsidRDefault="005A3E7D" w14:paraId="5B587E99" w14:textId="77777777">
      <w:pPr>
        <w:ind w:left="567" w:hanging="567"/>
        <w:rPr>
          <w:highlight w:val="yellow"/>
          <w:lang w:val="en-GB"/>
        </w:rPr>
      </w:pPr>
    </w:p>
    <w:p w:rsidR="005A3E7D" w:rsidRDefault="00FF54AA" w14:paraId="7713042B" w14:textId="7E9C4D6A">
      <w:pPr>
        <w:pStyle w:val="Heading2"/>
      </w:pPr>
      <w:r>
        <w:t>Cuireann CESE in iúl go bhfuil sé den tuairim go bhféadfadh tionchar tromchúiseach a bheith ag na rioscaí geopholaitiúla tromchúiseacha atá ag dul i méid agus ag meath na n-institiúidí iltaobhacha ar gheilleagair, ar thrádáil, ar bhoilsciú agus ar fhás na hEorpa. Ba cheart do na hinstitiúidí Eorpacha a bheith ullamh chun déileáil le cásanna éigeandála.</w:t>
      </w:r>
    </w:p>
    <w:p w:rsidR="005A3E7D" w:rsidRDefault="005A3E7D" w14:paraId="0446979D" w14:textId="01F6A113">
      <w:pPr>
        <w:rPr>
          <w:lang w:val="en-GB"/>
        </w:rPr>
      </w:pPr>
    </w:p>
    <w:p w:rsidR="005A3E7D" w:rsidRDefault="00FF54AA" w14:paraId="5E46BF30" w14:textId="4ADCDA2F">
      <w:pPr>
        <w:pStyle w:val="Heading2"/>
      </w:pPr>
      <w:r>
        <w:t>Is díol sásaimh do CESE na hiarrachtaí a rinne an Choimisiúin timthriall cur chun feidhme an chreata nua rialachais Eorpaigh</w:t>
      </w:r>
      <w:r>
        <w:rPr>
          <w:rStyle w:val="FootnoteReference"/>
          <w:lang w:val="en-GB"/>
        </w:rPr>
        <w:footnoteReference w:id="1"/>
      </w:r>
      <w:r>
        <w:t xml:space="preserve"> a sheoladh agus molann sé don Choimisiún bailchríoch a chur ar an bpróiseas sin a luaithe is féidir. Sa chomhthéacs dúshlánach domhanda polaitiúil agus eacnamaíoch, creideann CESE nach mór do na Ballstáit bearta cobhsaíochta airgeadais a chomhcheangal go cliste leis na hathchóirithe agus leis na hinfheistíochtaí is gá chun a chinntiú go leanfaidh an tAontas den treocht dhearfach i ndáil leis an bhfás inbhuanaithe.</w:t>
      </w:r>
    </w:p>
    <w:p w:rsidR="005A3E7D" w:rsidRDefault="005A3E7D" w14:paraId="2223CD3D" w14:textId="77777777">
      <w:pPr>
        <w:rPr>
          <w:lang w:val="en-GB"/>
        </w:rPr>
      </w:pPr>
    </w:p>
    <w:p w:rsidR="005A3E7D" w:rsidRDefault="00FF54AA" w14:paraId="410570FE" w14:textId="15AB1F9C">
      <w:pPr>
        <w:pStyle w:val="Heading2"/>
      </w:pPr>
      <w:r>
        <w:t>Leagann CESE béim ar sheasamh na sochaí sibhialta, is é sin, cé go sonraítear i bPacáiste an Fhómhair a thábhachtaí atá rannpháirtíocht na ngeallsealbhóirí, meastar go bhfuil easpa sásraí nithiúla ann chun páirt leordhóthanach éifeachtach a thabhairt do na comhpháirtithe sóisialta agus d’eagraíochtaí na sochaí sibhialta ar an leibhéal náisiúnta.</w:t>
      </w:r>
    </w:p>
    <w:p w:rsidR="005A3E7D" w:rsidRDefault="005A3E7D" w14:paraId="5C6ACFA5" w14:textId="77777777">
      <w:pPr>
        <w:rPr>
          <w:lang w:val="en-GB" w:eastAsia="en-GB"/>
        </w:rPr>
      </w:pPr>
    </w:p>
    <w:p w:rsidR="005A3E7D" w:rsidRDefault="00FF54AA" w14:paraId="48BE476E" w14:textId="60E851AD">
      <w:pPr>
        <w:pStyle w:val="Heading2"/>
      </w:pPr>
      <w:r>
        <w:t>Aontaíonn CESE leis an togra ón gCoimisiún chun an compás iomaíochais a sheoladh go luath an bhliain seo chugainn, bunaithe ar na moltaí a rinneadh i dtuarascáil Enrico Letta</w:t>
      </w:r>
      <w:r>
        <w:rPr>
          <w:rStyle w:val="FootnoteReference"/>
          <w:lang w:val="en-GB"/>
        </w:rPr>
        <w:footnoteReference w:id="2"/>
      </w:r>
      <w:r>
        <w:t xml:space="preserve">, </w:t>
      </w:r>
      <w:r>
        <w:rPr>
          <w:i/>
        </w:rPr>
        <w:t>Much more than a market</w:t>
      </w:r>
      <w:r>
        <w:t>, agus i dtuarascáil Mario Draghi</w:t>
      </w:r>
      <w:r>
        <w:rPr>
          <w:rStyle w:val="FootnoteReference"/>
          <w:lang w:val="en-GB"/>
        </w:rPr>
        <w:footnoteReference w:id="3"/>
      </w:r>
      <w:r>
        <w:t xml:space="preserve">, </w:t>
      </w:r>
      <w:r>
        <w:rPr>
          <w:i/>
        </w:rPr>
        <w:t>The Future of European Competitiveness</w:t>
      </w:r>
      <w:r>
        <w:t>.</w:t>
      </w:r>
    </w:p>
    <w:p w:rsidR="005A3E7D" w:rsidRDefault="005A3E7D" w14:paraId="7C870481" w14:textId="60EFBAD9">
      <w:pPr>
        <w:rPr>
          <w:lang w:val="en-GB"/>
        </w:rPr>
      </w:pPr>
    </w:p>
    <w:p w:rsidR="005A3E7D" w:rsidRDefault="00FF54AA" w14:paraId="49E0F172" w14:textId="4B9247EB">
      <w:pPr>
        <w:pStyle w:val="Heading2"/>
      </w:pPr>
      <w:r>
        <w:t>Aontaíonn CESE le conclúid thuarascáil Draghi gurb é an príomhfhachtóir atá le difreálacha diúltacha táirgiúlachta agus iomaíochais i ndáil le geilleagar an Aontais i gcomparáid leis na Stáit Aontaithe agus leis an tSín ná an t-easnamh mór infheistíochta a carnadh le fiche bliain anuas. Feictear don Choiste go bhfuil géarghá le beartas láidir infheistíochta a chur chun cinn, lena ndíreofar ar na hearnálacha teicneolaíochta is forbartha, ar mhargadh fuinnimh Eorpach a chruthú lena laghdófar praghsanna fuinnimh go suntasach, agus ar aistrithe córa glasa agus digiteacha a chur chun feidhme, trí úsáid a bhaint as na huirlisí atá ar fáil mar gheall ar an neamhspleáchas straitéiseach a ghabhann le beartas tionsclaíoch Eorpach.</w:t>
      </w:r>
    </w:p>
    <w:p w:rsidR="005A3E7D" w:rsidRDefault="005A3E7D" w14:paraId="48B905FD" w14:textId="77777777">
      <w:pPr>
        <w:rPr>
          <w:lang w:val="en-GB"/>
        </w:rPr>
      </w:pPr>
    </w:p>
    <w:p w:rsidR="005A3E7D" w:rsidRDefault="00560056" w14:paraId="6A022AC7" w14:textId="0FD6ED9F">
      <w:pPr>
        <w:pStyle w:val="Heading2"/>
        <w:rPr>
          <w:iCs/>
        </w:rPr>
      </w:pPr>
      <w:r>
        <w:lastRenderedPageBreak/>
        <w:t>Tá CESE den tuairim nach mór an infheistíocht sin a mhaoiniú le caipiteal poiblí agus príobháideach, le caipiteal náisiúnta agus le caipiteal Eorpach. Creideann an Coiste gur cheart Ciste Eorpach le haghaidh Infheistíochtaí Straitéiseacha a bhunú, a bheadh dírithe ar thionscadail tosaíochta Eorpacha a mhaoiniú, agus gur cheart, leis an gCreat Airgeadais Ilbhliantúil (CAI) 2028-2034, líon na n-acmhainní a chuirtear i leataobh do thosaíochtaí infheistíochta a mhéadú ar bhealach suntasach. Ag an am céanna, ba cheart maoiniú infheistíochta príobháidí a éascú trí acmhainneacht iasachtaithe BEI a neartú agus tríd an gclár InvestEU a athnuachan, sin agus tríd an Aontas Baincéireachta agus Aontas na Margaí Caipitil a thabhairt chun críche gan tuilleadh moilleanna gan údar.</w:t>
      </w:r>
    </w:p>
    <w:p w:rsidR="005A3E7D" w:rsidRDefault="005A3E7D" w14:paraId="6E522A36" w14:textId="78F39326">
      <w:pPr>
        <w:ind w:left="567" w:hanging="567"/>
        <w:rPr>
          <w:lang w:val="en-GB"/>
        </w:rPr>
      </w:pPr>
    </w:p>
    <w:p w:rsidR="005A3E7D" w:rsidRDefault="00FF54AA" w14:paraId="724DF183" w14:textId="711F7703">
      <w:pPr>
        <w:pStyle w:val="Heading2"/>
      </w:pPr>
      <w:r>
        <w:t>Aithníonn CESE an méid a shonraítear sa togra ón gCoimisiún gur cheart moltaí tírshonracha a dhíriú ar chur chun feidhme níos fearr na n-athchóirithe agus na n-infheistíochtaí a áirítear sa tSaoráid Téarnaimh agus Athléimneachta (RRF) agus in CAI, ós rud é go bhfuil an dá uirlis ag druidim chun deiridh, in 2026 agus 2027 faoi seach. Mar sin féin, i bhfianaise an ráta cur chun feidhme atá ann faoi láthair agus chineál claochlaitheach na n-athchóirithe is gá, tá CESE ag iarraidh go ndéanfaí measúnú pragmatach chun éifeachtacht iomlán na hionstraime sin nach bhfacthas a leithéid riamh roimhe seo a áirithiú, lena n-áirítear meastóireacht láithreach ar cé acu atá nó nach bhfuil an amlíne cur chun feidhme atá ann faoi láthair fós iomchuí chun na cuspóirí atá beartaithe a bhaint amach. Chuideodh sé sin leis na Ballstáit a ndéanann míchothromaíochtaí struchtúracha difear dóibh a mbeartais mhaicreacnamaíocha a athchothromú gan athchóirithe a chur i mbaol a thacódh le hiomaíochas méadaithe agus lena nginfí fás inbhuanaithe.</w:t>
      </w:r>
    </w:p>
    <w:p w:rsidR="005A3E7D" w:rsidRDefault="005A3E7D" w14:paraId="6476ECED" w14:textId="32226456">
      <w:pPr>
        <w:ind w:left="567" w:hanging="567"/>
        <w:rPr>
          <w:lang w:val="en-GB"/>
        </w:rPr>
      </w:pPr>
    </w:p>
    <w:p w:rsidR="005A3E7D" w:rsidRDefault="00FF54AA" w14:paraId="23A4C65F" w14:textId="5F259FAE">
      <w:pPr>
        <w:pStyle w:val="Heading2"/>
      </w:pPr>
      <w:r>
        <w:t>Sa chomhthéacs deacair polaitiúil agus eacnamaíoch atá ag an Aontas, tá CESE den tuairim go bhfuil comhar níos fearr idir na Ballstáit ríthábhachtach chun na bacainní sin a shárú. Tacaíonn CESE leis an togra ón gCoimisiún le haghaidh moladh maidir le beartas eacnamaíoch an limistéir euro</w:t>
      </w:r>
      <w:r>
        <w:rPr>
          <w:rStyle w:val="FootnoteReference"/>
          <w:lang w:val="en-GB"/>
        </w:rPr>
        <w:footnoteReference w:id="4"/>
      </w:r>
      <w:r>
        <w:t>, ina n-iarrfar ar na Ballstáit gníomhú ina n-aonar agus i dteannta a chéile chun feabhas a chur ar an iomaíochas agus chun táirgiúlacht a chothú.</w:t>
      </w:r>
    </w:p>
    <w:p w:rsidR="005A3E7D" w:rsidRDefault="005A3E7D" w14:paraId="035ADFB7" w14:textId="77777777">
      <w:pPr>
        <w:ind w:left="567" w:hanging="567"/>
        <w:rPr>
          <w:lang w:val="en-GB"/>
        </w:rPr>
      </w:pPr>
    </w:p>
    <w:p w:rsidR="005A3E7D" w:rsidRDefault="00FF54AA" w14:paraId="3D8A731E" w14:textId="416BBE23">
      <w:pPr>
        <w:pStyle w:val="Heading2"/>
      </w:pPr>
      <w:r>
        <w:t>Maidir leis na hanailisí agus na torthaí atá ag an gCoimisiún sa Tuarascáil Chomhpháirteach ar Fhostaíocht</w:t>
      </w:r>
      <w:r>
        <w:rPr>
          <w:rStyle w:val="FootnoteReference"/>
          <w:lang w:val="en-GB"/>
        </w:rPr>
        <w:footnoteReference w:id="5"/>
      </w:r>
      <w:r>
        <w:t>, measann CESE go bhfuil siad ceart agus oiriúnach chun iad a thiontú go cúramach ina moltaí tírshonracha. Iarrann CESE freisin ar na Ballstáit dlús a chur lena gcuid iarrachtaí féin chun na feabhsuithe is gá a bhaint amach maidir le margadh an tsaothair agus leanúint de phrionsabail Cholún Eorpach na gCeart Sóisialta a chur chun feidhme.</w:t>
      </w:r>
    </w:p>
    <w:p w:rsidR="005A3E7D" w:rsidRDefault="005A3E7D" w14:paraId="6C70175F" w14:textId="71CBD2B4">
      <w:pPr>
        <w:ind w:left="567" w:hanging="567"/>
        <w:rPr>
          <w:lang w:val="en-GB"/>
        </w:rPr>
      </w:pPr>
    </w:p>
    <w:p w:rsidR="005A3E7D" w:rsidRDefault="00FF54AA" w14:paraId="63990ECB" w14:textId="6A685551">
      <w:pPr>
        <w:pStyle w:val="Heading2"/>
      </w:pPr>
      <w:r>
        <w:t xml:space="preserve">Molann CESE don Choimisiún leanúint den chlár chun an t-ualach a chuirtear ar chuideachtaí Eorpacha mar gheall ar rialáil iomarcach a laghdú, rud a laghdaíonn cumas na gcuideachtaí sin dul san iomaíocht ar fud an domhain. Ba cheart don Choimisiún na bacainní rialála a dhéanann dochar d’iomaíocht, cumaisc agus éadálacha cuideachtaí Eorpacha a shainaithint agus deireadh a chur leo. Ba cheart aird ar leith a thabhairt ar ghnólachtaí a bhfuil stádas margaidh straitéiseach acu. Ag an am céanna, ba cheart rialacháin shimplí náisiúnta a chomhchuibhiú a mhéid is féidir, ós rud é go dtiocfaidh na comhchaighdeáin Eorpacha astu amach anseo. </w:t>
      </w:r>
      <w:r>
        <w:lastRenderedPageBreak/>
        <w:t>Measann CESE gur rialacha tábhachtacha agus riachtanacha iad na rialacha maidir le dea</w:t>
      </w:r>
      <w:r w:rsidR="00F15532">
        <w:noBreakHyphen/>
      </w:r>
      <w:r>
        <w:t>cháilíocht rialála, lena ráthaítear cearta tomhaltóirí agus cearta sóisialta agus comhshaoil.</w:t>
      </w:r>
      <w:r>
        <w:rPr>
          <w:color w:val="D13438"/>
          <w:u w:val="single"/>
        </w:rPr>
        <w:t xml:space="preserve"> </w:t>
      </w:r>
    </w:p>
    <w:p w:rsidR="005A3E7D" w:rsidRDefault="005A3E7D" w14:paraId="335F2B51" w14:textId="57869BBB">
      <w:pPr>
        <w:rPr>
          <w:lang w:val="en-GB"/>
        </w:rPr>
      </w:pPr>
    </w:p>
    <w:p w:rsidR="005A3E7D" w:rsidRDefault="00FF54AA" w14:paraId="1A6541BD" w14:textId="2B22DBD2">
      <w:pPr>
        <w:pStyle w:val="Heading2"/>
      </w:pPr>
      <w:r>
        <w:t>Tá CESE den tuairim gur cheart tús áite a thabhairt sna moltaí tírshonracha do bhealaí ina bhféadfaí dul i ngleic leis an bhfadhb thromchúiseach tithíochta, rud a chuireann cosc ar go leor saoránach, go háirithe daoine óga, leas a bhaint as ceart bunúsach agus an fhadhb chéanna ag éirí chun bheith ina bac ar shoghluaisteacht an lucht saothair, rud atá tábhachtach ó thaobh an iomaíochais de.</w:t>
      </w:r>
    </w:p>
    <w:p w:rsidR="005A3E7D" w:rsidRDefault="005A3E7D" w14:paraId="42C4FF77" w14:textId="02E7E7A0">
      <w:pPr>
        <w:rPr>
          <w:lang w:val="en-GB"/>
        </w:rPr>
      </w:pPr>
    </w:p>
    <w:p w:rsidR="005A3E7D" w:rsidRDefault="00FF54AA" w14:paraId="6E522A38" w14:textId="23D50369">
      <w:pPr>
        <w:pStyle w:val="Heading1"/>
        <w:keepNext/>
        <w:keepLines/>
      </w:pPr>
      <w:r>
        <w:rPr>
          <w:b/>
        </w:rPr>
        <w:t>NÓTAÍ MÍNIÚCHÁIN</w:t>
      </w:r>
    </w:p>
    <w:p w:rsidR="005A3E7D" w:rsidRDefault="005A3E7D" w14:paraId="6E522A39" w14:textId="7E8149AC">
      <w:pPr>
        <w:keepNext/>
        <w:keepLines/>
        <w:rPr>
          <w:lang w:val="en-GB"/>
        </w:rPr>
      </w:pPr>
    </w:p>
    <w:p w:rsidR="005A3E7D" w:rsidRDefault="00FF54AA" w14:paraId="40F44624" w14:textId="54B3D341">
      <w:pPr>
        <w:keepNext/>
        <w:keepLines/>
        <w:rPr>
          <w:i/>
          <w:iCs/>
        </w:rPr>
      </w:pPr>
      <w:r>
        <w:rPr>
          <w:i/>
        </w:rPr>
        <w:t>Argóintí a thacaíonn le moladh 1.2 agus moladh 1.3</w:t>
      </w:r>
    </w:p>
    <w:p w:rsidR="005A3E7D" w:rsidRDefault="005A3E7D" w14:paraId="6E522A40" w14:textId="6C184D82">
      <w:pPr>
        <w:keepNext/>
        <w:keepLines/>
        <w:rPr>
          <w:lang w:val="en-GB"/>
        </w:rPr>
      </w:pPr>
    </w:p>
    <w:p w:rsidR="005A3E7D" w:rsidRDefault="00FF54AA" w14:paraId="6E522A41" w14:textId="320C6DD1">
      <w:pPr>
        <w:pStyle w:val="Heading2"/>
      </w:pPr>
      <w:r>
        <w:t>An fómhar seo, sheol an Coimisiún timthriall an tSeimeastair Eorpaigh faoin gcreat nua rialachais airgeadais. Mar gheall ar an staid chasta pholaitiúil agus eacnamaíoch ar leibhéal an Aontais agus ar an leibhéal domhanda, d’ullmhaigh an Coimisiún dréachtmholadh ón gComhairle maidir leis na pleananna meántéarmacha le haghaidh 21 Bhallstát, dréachtmholadh ón gComhairle maidir leis an nós imeachta um easnamh iomarcach le haghaidh 8 mBallstát agus tuairim maidir leis na dréachtphleananna buiséadacha le haghaidh 17 mBallstát. Tá an Coimisiún fós ag fanacht ar na pleananna meántéarmacha chun bailchríoch a chur ar na moltaí maidir le roinnt Ballstát, mar gheall ar chomhthéacsanna deacra polaitiúla ar an leibhéal náisiúnta.</w:t>
      </w:r>
    </w:p>
    <w:p w:rsidR="005A3E7D" w:rsidRDefault="005A3E7D" w14:paraId="0F458F87" w14:textId="77777777">
      <w:pPr>
        <w:rPr>
          <w:lang w:val="en-GB"/>
        </w:rPr>
      </w:pPr>
    </w:p>
    <w:p w:rsidR="005A3E7D" w:rsidRDefault="00FF54AA" w14:paraId="35E09628" w14:textId="1ADAAB52">
      <w:pPr>
        <w:pStyle w:val="Heading2"/>
      </w:pPr>
      <w:r>
        <w:t>Creideann CESE, sa chomhthéacs geopholaitiúil atá ann faoi láthair, nach mór do na Ballstáit iarracht ar leith a dhéanamh ionas go bhfanfadh an tAontas a bheith ina ghníomhaí ábhartha. Ciallaíonn sé sin nach mór na bearta agus na hathchóirithe atá leagtha amach sna pleananna meántéarmacha a ailíniú le beartas infheistíochta a thacaíonn le fás eacnamaíoch inbhuanaithe.</w:t>
      </w:r>
    </w:p>
    <w:p w:rsidR="005A3E7D" w:rsidRDefault="005A3E7D" w14:paraId="7D946BDF" w14:textId="1C224EDD">
      <w:pPr>
        <w:rPr>
          <w:lang w:val="en-GB"/>
        </w:rPr>
      </w:pPr>
    </w:p>
    <w:p w:rsidR="005A3E7D" w:rsidRDefault="00FF54AA" w14:paraId="2E27DC60" w14:textId="0D282361">
      <w:pPr>
        <w:pStyle w:val="Heading2"/>
      </w:pPr>
      <w:r>
        <w:t>Is measa na cásanna cogaidh san Úcráin agus sa Mheánoirthear toisc go bhféadfadh uachtarán nua na Stát Aontaithe tús a chur le cogadh trádála agus bagairtí uaidh cheana féin maidir le hionghabháil chríochach roinnt stát, lena n-áirítear ballstát den Aontas Eorpach.</w:t>
      </w:r>
    </w:p>
    <w:p w:rsidR="005A3E7D" w:rsidRDefault="005A3E7D" w14:paraId="3F16ED98" w14:textId="17291BE8">
      <w:pPr>
        <w:rPr>
          <w:lang w:val="en-GB"/>
        </w:rPr>
      </w:pPr>
    </w:p>
    <w:p w:rsidR="005A3E7D" w:rsidRDefault="00FF54AA" w14:paraId="0DECEEA0" w14:textId="67B24A72">
      <w:pPr>
        <w:pStyle w:val="Heading2"/>
      </w:pPr>
      <w:r>
        <w:t>Maidir leis na hinnéacsanna faireachais ar mhíchothromaíocht mhaicreacnamaíoch a úsáideann an Coimisiún, measann CESE go bhfuil siad as dáta. Molann sé próiseas leathan athbhreithnithe dhomhain a sheoladh go tapa, chun córas níos cothroime le dáta, níos oiriúnaithe agus níos éifeachtaí a fhorbairt lena bhféadfar measúnú níos cruinne a dhéanamh ar na feabhsuithe a dhéanann na Ballstáit ar a mbuiséid náisiúnta agus ar an gcaoi a gcuireann siad infheistíochtaí agus athchóirithe chun feidhme.</w:t>
      </w:r>
    </w:p>
    <w:p w:rsidR="005A3E7D" w:rsidRDefault="005A3E7D" w14:paraId="6B56C3BA" w14:textId="52E229F2">
      <w:pPr>
        <w:rPr>
          <w:lang w:val="en-GB"/>
        </w:rPr>
      </w:pPr>
    </w:p>
    <w:p w:rsidR="005A3E7D" w:rsidRDefault="00FF54AA" w14:paraId="214AC3E3" w14:textId="0664E899">
      <w:pPr>
        <w:keepNext/>
        <w:keepLines/>
        <w:rPr>
          <w:i/>
          <w:iCs/>
        </w:rPr>
      </w:pPr>
      <w:r>
        <w:rPr>
          <w:i/>
        </w:rPr>
        <w:t>Argóintí a thacaíonn le moladh 1.4</w:t>
      </w:r>
    </w:p>
    <w:p w:rsidR="005A3E7D" w:rsidRDefault="005A3E7D" w14:paraId="555F2C4D" w14:textId="39872D6B">
      <w:pPr>
        <w:keepNext/>
        <w:keepLines/>
        <w:rPr>
          <w:lang w:val="en-GB"/>
        </w:rPr>
      </w:pPr>
    </w:p>
    <w:p w:rsidR="005A3E7D" w:rsidRDefault="00FF54AA" w14:paraId="551E6697" w14:textId="60C82424">
      <w:pPr>
        <w:pStyle w:val="Heading2"/>
      </w:pPr>
      <w:r>
        <w:t>Eagraíonn CESE próiseas comhairliúcháin bliantúil leis na comhpháirtithe sóisialta agus leis an tsochaí shibhialta sna Ballstáit. Is minic a chuireann siad in iúl go mothaíonn siad nach bhfuil sa chomhairliúchán a dhéantar le hionadaithe na sochaí sibhialta maidir le cláir athchóirithe ach cleachtadh foirmiúil nach mór a dhéanamh agus nach bhfaightear mórán dua leis.</w:t>
      </w:r>
    </w:p>
    <w:p w:rsidR="005A3E7D" w:rsidRDefault="005A3E7D" w14:paraId="0A529762" w14:textId="77777777">
      <w:pPr>
        <w:rPr>
          <w:lang w:val="en-GB"/>
        </w:rPr>
      </w:pPr>
    </w:p>
    <w:p w:rsidR="005A3E7D" w:rsidRDefault="00FF54AA" w14:paraId="1D864CFE" w14:textId="7C242495">
      <w:pPr>
        <w:pStyle w:val="Heading2"/>
      </w:pPr>
      <w:r>
        <w:lastRenderedPageBreak/>
        <w:t>Creideann CESE gur gá an próiseas comhairliúcháin a fheabhsú ar an leibhéal náisiúnta agus ar an leibhéal Eorpach araon. Ba cheart go gcuirfí tograí ón tsochaí shibhialta san áireamh i gcláir náisiúnta agus Eorpacha mar thoradh ar an gcomhairliúchán sin</w:t>
      </w:r>
      <w:r>
        <w:rPr>
          <w:rStyle w:val="FootnoteReference"/>
          <w:lang w:val="en-GB"/>
        </w:rPr>
        <w:footnoteReference w:id="6"/>
      </w:r>
      <w:r>
        <w:t>.</w:t>
      </w:r>
    </w:p>
    <w:p w:rsidR="005A3E7D" w:rsidRDefault="005A3E7D" w14:paraId="5B623897" w14:textId="77777777">
      <w:pPr>
        <w:rPr>
          <w:i/>
          <w:iCs/>
          <w:lang w:val="en-GB"/>
        </w:rPr>
      </w:pPr>
    </w:p>
    <w:p w:rsidR="005A3E7D" w:rsidRDefault="00FF54AA" w14:paraId="37A9598E" w14:textId="683BE7A2">
      <w:pPr>
        <w:keepNext/>
        <w:keepLines/>
        <w:rPr>
          <w:i/>
          <w:iCs/>
        </w:rPr>
      </w:pPr>
      <w:r>
        <w:rPr>
          <w:i/>
        </w:rPr>
        <w:t>Argóintí a thacaíonn le moltaí 1.5, 1.6 agus 1.7</w:t>
      </w:r>
    </w:p>
    <w:p w:rsidR="005A3E7D" w:rsidRDefault="005A3E7D" w14:paraId="76DD5BF9" w14:textId="77777777">
      <w:pPr>
        <w:keepNext/>
        <w:keepLines/>
        <w:rPr>
          <w:lang w:val="en-GB"/>
        </w:rPr>
      </w:pPr>
    </w:p>
    <w:p w:rsidR="005A3E7D" w:rsidRDefault="00FF54AA" w14:paraId="251E52EC" w14:textId="51EB27F4">
      <w:pPr>
        <w:pStyle w:val="Heading2"/>
      </w:pPr>
      <w:r>
        <w:t>Tá an Coiste ag tnúth le foilsiú an doiciméid straitéisigh ón gCoimisiún i ndáil le compás an iomaíochais.</w:t>
      </w:r>
    </w:p>
    <w:p w:rsidR="005A3E7D" w:rsidRDefault="005A3E7D" w14:paraId="175FFE21" w14:textId="77777777">
      <w:pPr>
        <w:rPr>
          <w:lang w:val="en-GB"/>
        </w:rPr>
      </w:pPr>
    </w:p>
    <w:p w:rsidR="005A3E7D" w:rsidRDefault="00FF54AA" w14:paraId="58A4FC06" w14:textId="2941B543">
      <w:pPr>
        <w:pStyle w:val="Heading2"/>
      </w:pPr>
      <w:r>
        <w:t>Chun leibhéal iomaíochais an Aontais ar an leibhéal domhanda a athchalabrú, ní mór don Choimisiún agus do na Ballstáit, thar aon ní eile, clár a chur chun feidhme d’fhonn praghsanna fuinnimh a laghdú. Ní foláir do chuideachtaí Eorpacha dul i ngleic le caillteanas suntasach iomaíochais faoi láthair mar gheall ar an bpraghas an-ard atá ar an bhfuinneamh, agus é dhá oiread níos airde san Aontas ná mar atá sé sna Stáit Aontaithe. Creideann CESE nach mór don Aontas leanúint d’acmhainneachtaí táirgthe fuinnimh in-athnuaite a fhorbairt i gcomhthráth le hinfheistíocht chomhsheasmhach a dhéanamh i ngréasáin iompair agus i gcórais idirnaisc. Sa mheántéarma agus san fhadtéarma, is é an toradh a bheadh air sin tomhaltas éifeachtúil fuinnimh san áit a bhfuil gá leis, rud a chuirfeadh deireadh le caillteanais mar gheall ar chineál eadrannach an táirgthe fuinnimh in-athnuaite agus mar gheall ar shaoráidí stórála teoranta. Sa ghearrthéarma, is gá bearta a thabhairt isteach a mbeidh éifeacht láithreach acu chun an bhearna a dhúnadh idir na costais fuinnimh atá ar ghnólachtaí an Aontais i gcomparáid lena n</w:t>
      </w:r>
      <w:r w:rsidR="00F15532">
        <w:noBreakHyphen/>
      </w:r>
      <w:r>
        <w:t>iomaitheoirí idirnáisiúnta, agus tús áite á thabhairt do thionscail dianfhuinnimh. D’fhéadfaí a áireamh ar na bearta sin:</w:t>
      </w:r>
    </w:p>
    <w:p w:rsidR="005A3E7D" w:rsidRDefault="005A3E7D" w14:paraId="3FAD4F61" w14:textId="77777777">
      <w:pPr>
        <w:ind w:left="567"/>
        <w:rPr>
          <w:lang w:val="en-GB"/>
        </w:rPr>
      </w:pPr>
    </w:p>
    <w:p w:rsidR="005A3E7D" w:rsidRDefault="00FF54AA" w14:paraId="253D1F4C" w14:textId="04DC6F4C">
      <w:pPr>
        <w:pStyle w:val="ListParagraph"/>
        <w:numPr>
          <w:ilvl w:val="0"/>
          <w:numId w:val="12"/>
        </w:numPr>
        <w:ind w:left="924" w:hanging="357"/>
      </w:pPr>
      <w:r>
        <w:t>forálacha ábhartha an Chreata Shealadaigh Géarchéime agus Aistrithe a fhadú agus a fheabhsú;</w:t>
      </w:r>
    </w:p>
    <w:p w:rsidR="005A3E7D" w:rsidRDefault="00FF54AA" w14:paraId="18B7EF14" w14:textId="04683D6B">
      <w:pPr>
        <w:pStyle w:val="ListParagraph"/>
        <w:numPr>
          <w:ilvl w:val="0"/>
          <w:numId w:val="12"/>
        </w:numPr>
        <w:ind w:left="924" w:hanging="357"/>
      </w:pPr>
      <w:r>
        <w:t>sásra tacaíochta spriocdhírithe a chur chun feidhme chun an riosca a bhaint go héifeachtúil de chomhaontuithe ceannaigh cumhachta le haghaidh foinsí in-athnuaite fuinnimh. D’fhéadfaí a áireamh leis sin ráthaíochtaí stáit i gcoinne riosca mainneachtana ceannaitheora, maolú costas le haghaidh earnálacha dianfhuinnimh agus cearta idirnaisc fadtéarmacha.</w:t>
      </w:r>
    </w:p>
    <w:p w:rsidR="005A3E7D" w:rsidRDefault="005A3E7D" w14:paraId="4C654952" w14:textId="77777777">
      <w:pPr>
        <w:rPr>
          <w:lang w:val="en-GB"/>
        </w:rPr>
      </w:pPr>
    </w:p>
    <w:p w:rsidR="005A3E7D" w:rsidRDefault="00FF54AA" w14:paraId="626AA9F6" w14:textId="14E86A60">
      <w:pPr>
        <w:pStyle w:val="Heading2"/>
      </w:pPr>
      <w:r>
        <w:t>I bhfianaise na hilroinnte geopholaitiúla agus an teannais sa chóras trádála domhanda, measann CESE go bhfuil sé ríthábhachtach go ndéanfadh an tAontas athbhreithniú ar an gComhaontú Glas agus go ndéanfaí é a chomhlánú le Comhaontú Tionsclaíoch. Le Comhaontú Tionsclaíoch, ba cheart cur i gcrích an Aontais Fuinnimh agus ationsclú an Aontais a chur chun cinn. Ba cheart forbairt thionscal na n-amhábhar straitéiseach agus thionscal na cosanta a áireamh sa Chomhaontú Tionsclaíoch freisin.</w:t>
      </w:r>
    </w:p>
    <w:p w:rsidR="005A3E7D" w:rsidRDefault="005A3E7D" w14:paraId="3345A683" w14:textId="0AA9A907">
      <w:pPr>
        <w:rPr>
          <w:lang w:val="en-GB"/>
        </w:rPr>
      </w:pPr>
    </w:p>
    <w:p w:rsidR="005A3E7D" w:rsidRDefault="00FF54AA" w14:paraId="4D51F810" w14:textId="37F38FDF">
      <w:pPr>
        <w:pStyle w:val="Heading2"/>
      </w:pPr>
      <w:r>
        <w:t>Réimse eile ar cheart aghaidh a thabhairt air leis an gcompás iomaíochais is ea an digitiú. Agus 80 % de na táirgí digiteacha á n-allmhairiú againn, tá an tAontas i bhfad chun deiridh ar na Stáit Aontaithe agus ar an tSín sa réimse sin. Dá bhrí sin, creideann CESE gur cheart don Aontas breith suas leis an iomaíocht sin trí thionscadail mhóra a fhorbairt, agus seans go bhféadfaí é sin a dhéanamh i gcomhpháirtíochtaí príobháideacha poiblí. Is beart maith é an tacaíocht a thugtar do ghnólachtaí nuathionscanta digiteacha ach ní leor í.</w:t>
      </w:r>
    </w:p>
    <w:p w:rsidR="005A3E7D" w:rsidRDefault="005A3E7D" w14:paraId="56F5F103" w14:textId="1FD9E683">
      <w:pPr>
        <w:rPr>
          <w:lang w:val="en-GB"/>
        </w:rPr>
      </w:pPr>
    </w:p>
    <w:p w:rsidR="005A3E7D" w:rsidRDefault="00FF54AA" w14:paraId="0DDFF3B9" w14:textId="6772A0EE">
      <w:pPr>
        <w:pStyle w:val="Heading2"/>
      </w:pPr>
      <w:r>
        <w:t xml:space="preserve"> Measann CESE freisin go bhfuil sé tábhachtach feabhas a chur ar an rochtain atá ag cuideachtaí ar chaipiteal. Ní mór Aontas Caipitil na hEorpa a thabhairt chun críche mar thosaíocht.</w:t>
      </w:r>
    </w:p>
    <w:p w:rsidR="005A3E7D" w:rsidRDefault="005A3E7D" w14:paraId="03FB22F2" w14:textId="2ABFD155">
      <w:pPr>
        <w:rPr>
          <w:lang w:val="en-GB"/>
        </w:rPr>
      </w:pPr>
    </w:p>
    <w:p w:rsidR="005A3E7D" w:rsidRDefault="00FF54AA" w14:paraId="1BCE6FB7" w14:textId="3394C4AC">
      <w:pPr>
        <w:rPr>
          <w:i/>
          <w:iCs/>
        </w:rPr>
      </w:pPr>
      <w:r>
        <w:rPr>
          <w:i/>
        </w:rPr>
        <w:t>Argóintí a thacaíonn le moladh 1.8</w:t>
      </w:r>
    </w:p>
    <w:p w:rsidR="005A3E7D" w:rsidRDefault="005A3E7D" w14:paraId="1C14672E" w14:textId="640CB347">
      <w:pPr>
        <w:rPr>
          <w:i/>
          <w:iCs/>
          <w:lang w:val="en-GB"/>
        </w:rPr>
      </w:pPr>
    </w:p>
    <w:p w:rsidR="005A3E7D" w:rsidRDefault="00FF54AA" w14:paraId="56468AED" w14:textId="55CBE519">
      <w:pPr>
        <w:pStyle w:val="Heading2"/>
      </w:pPr>
      <w:r>
        <w:t>Creideann CESE go ndéanann pacáiste an Fhómhair difear do na Ballstáit éagsúla ar bhealaí éagsúla, ag brath ar na dálaí eacnamaíocha iontu, ar a spleáchais fuinnimh agus ar na creataí sóisialta atá acu. I gcás roinnt tíortha, d’fhéadfadh an pacáiste tacaíocht a bhfuil géarghá léi a chur ar fáil don fhorbairt inbhuanaithe agus don aistriú glas. Mar sin féin, d’fhéadfadh dúshláin a bheith roimh thíortha eile i ngeall ar na himpleachtaí airgeadais nó ar an ngá atá le dul in oiriúint go tapa do thimpeallachtaí rialála nua. Ina theannta sin, d’fhéadfadh an pacáiste cur leis na neamhionannais atá ann cheana i measc na mBallstát, ós rud é go bhféadfadh deacrachtaí a bheith acu siúd a bhfuil níos lú acmhainní acu na hathruithe atá beartaithe a chur chun feidhme ar bhealach éifeachtach.</w:t>
      </w:r>
    </w:p>
    <w:p w:rsidR="005A3E7D" w:rsidRDefault="005A3E7D" w14:paraId="1C725B2D" w14:textId="7AD6844B">
      <w:pPr>
        <w:rPr>
          <w:lang w:val="en-GB"/>
        </w:rPr>
      </w:pPr>
    </w:p>
    <w:p w:rsidR="005A3E7D" w:rsidRDefault="00FF54AA" w14:paraId="129E3400" w14:textId="4732E587">
      <w:pPr>
        <w:pStyle w:val="Heading2"/>
      </w:pPr>
      <w:r>
        <w:t>Tugann CESE dá aire, agus is cúis imní dó é, go bhfuil cur chun feidhme na moltaí tírshonracha ag dul i laghad. Cé go bhfuil dul chun cinn suntasach déanta ag roinnt tíortha maidir le bearta na Saoráide Téarnaimh agus Athléimneachta a chur chun feidhme, tá dúshláin maidir le cur chun feidhme roimh thíortha eile mar gheall ar shrianta ar an acmhainneacht riaracháin nó mar gheall ar chastacht na n-athchóirithe is gá</w:t>
      </w:r>
      <w:r>
        <w:rPr>
          <w:rStyle w:val="FootnoteReference"/>
          <w:lang w:val="en-GB"/>
        </w:rPr>
        <w:footnoteReference w:id="7"/>
      </w:r>
      <w:r>
        <w:t>. Tugann CESE dá aire go dtugann glacadh measartha íseal chomhpháirt iasachta na Saoráide Téarnaimh agus Athléimneachta (EUR 108 69 mbilliún as EUR 291 bhilliún) le fios gur gá athmheasúnú a dhéanamh ar an gcaoi ar féidir leis an ionstraim sin freastal níos fearr ar an gcuspóir atá beartaithe di. Tugann CESE dá aire, agus is cúis imní dó é, nár baineadh amach ach 28 % de gharspriocanna na Saoráide Téarnaimh agus Athléimneachta go luath in 2025, agus gur ionsúdh EUR 197 46 bhilliún as EUR 359 mbilliún i ndeontais. Cé go bhfuil sé ríthábhachtach móiminteam an athchóirithe a choinneáil ar bun, cuireann CESE i bhfios go láidir gur cheart díriú ar chur chun feidhme ardcháilíochta agus tionchar marthanach a áirithiú.</w:t>
      </w:r>
    </w:p>
    <w:p w:rsidR="005A3E7D" w:rsidRDefault="005A3E7D" w14:paraId="1C57769D" w14:textId="4F7D2681">
      <w:pPr>
        <w:rPr>
          <w:lang w:val="en-GB"/>
        </w:rPr>
      </w:pPr>
    </w:p>
    <w:p w:rsidR="005A3E7D" w:rsidRDefault="00FF54AA" w14:paraId="16541AA3" w14:textId="6D49B7C6">
      <w:pPr>
        <w:keepNext/>
        <w:rPr>
          <w:i/>
          <w:iCs/>
        </w:rPr>
      </w:pPr>
      <w:r>
        <w:rPr>
          <w:i/>
        </w:rPr>
        <w:t>Argóintí a thacaíonn le moladh 1.9</w:t>
      </w:r>
    </w:p>
    <w:p w:rsidR="005A3E7D" w:rsidRDefault="005A3E7D" w14:paraId="53C78280" w14:textId="233EB2AB">
      <w:pPr>
        <w:keepNext/>
        <w:rPr>
          <w:i/>
          <w:iCs/>
          <w:lang w:val="en-GB"/>
        </w:rPr>
      </w:pPr>
    </w:p>
    <w:p w:rsidR="005A3E7D" w:rsidRDefault="00FF54AA" w14:paraId="3758FF3F" w14:textId="401C1719">
      <w:pPr>
        <w:pStyle w:val="Heading2"/>
      </w:pPr>
      <w:r>
        <w:t xml:space="preserve">Mar a léirítear i dtuarascáil Draghi, sheas an tAontas leis an daonlathas, le cearta bunúsacha, leis an rathúnas agus leis an ngeilleagar sóisialta margaidh. Dá mba rud é go gcaillfeadh an tAontas an chumhacht atá aige chun seasamh leis na prionsabail sin, cén </w:t>
      </w:r>
      <w:r>
        <w:rPr>
          <w:i/>
        </w:rPr>
        <w:t>raison d’être</w:t>
      </w:r>
      <w:r>
        <w:t xml:space="preserve"> a bheadh leis. Dá bhrí sin, tá CESE ag iarraidh ar na Ballstáit tacú le hathbheochan an tionscadail Eorpaigh trí bhearta leasa ghinearálta don Aontas a chur chun cinn, agus deireadh a chur leis na bacainní atá á gcur ar bhearta den sórt sin ar mhaithe le leasanna sonracha. Sa chomhthéacs polaitiúil domhanda atá thar a bheith casta, is chun leasa gach Ballstáit é Aontas láidir a bheith ann.</w:t>
      </w:r>
    </w:p>
    <w:p w:rsidR="005A3E7D" w:rsidRDefault="005A3E7D" w14:paraId="7B1E8D43" w14:textId="7495C82F">
      <w:pPr>
        <w:rPr>
          <w:lang w:val="en-GB"/>
        </w:rPr>
      </w:pPr>
    </w:p>
    <w:p w:rsidR="005A3E7D" w:rsidRDefault="00FF54AA" w14:paraId="3AB113F8" w14:textId="10AEF0C7">
      <w:pPr>
        <w:keepNext/>
        <w:keepLines/>
        <w:rPr>
          <w:i/>
          <w:iCs/>
        </w:rPr>
      </w:pPr>
      <w:r>
        <w:rPr>
          <w:i/>
        </w:rPr>
        <w:t>Argóintí a thacaíonn le Moladh 1.10</w:t>
      </w:r>
    </w:p>
    <w:p w:rsidR="005A3E7D" w:rsidRDefault="005A3E7D" w14:paraId="4A11D1A6" w14:textId="1FBCF3F0">
      <w:pPr>
        <w:keepNext/>
        <w:keepLines/>
        <w:rPr>
          <w:i/>
          <w:iCs/>
          <w:lang w:val="en-GB"/>
        </w:rPr>
      </w:pPr>
    </w:p>
    <w:p w:rsidR="005A3E7D" w:rsidRDefault="00FF54AA" w14:paraId="2EE70D77" w14:textId="2A1CF2DD">
      <w:pPr>
        <w:pStyle w:val="Heading2"/>
      </w:pPr>
      <w:r>
        <w:t>Mar gheall ar an staid dhéimeagrafach, tá meath ag teacht ar an lucht saothair atá ar fáil san Aontas. Tá go leor cuideachtaí ag dul i ngleic le ganntanas pearsanra oilte. Sa chomhthéacs deacair sin, creideann CESE gur cheart, sa chéad chlárthréimhse eile, na hacmhainní a leithdháiltear ar chlár CSE+ a dhíriú ar scileanna a fhorbairt.</w:t>
      </w:r>
    </w:p>
    <w:p w:rsidR="005A3E7D" w:rsidRDefault="005A3E7D" w14:paraId="3FAF2696" w14:textId="5142BDE6">
      <w:pPr>
        <w:rPr>
          <w:lang w:val="en-GB"/>
        </w:rPr>
      </w:pPr>
    </w:p>
    <w:p w:rsidR="005A3E7D" w:rsidRDefault="00FF54AA" w14:paraId="0F3B03C0" w14:textId="339DDB15">
      <w:pPr>
        <w:pStyle w:val="Heading2"/>
      </w:pPr>
      <w:r>
        <w:t>Creideann CESE gur gá curaclaim oideachais agus oiliúna a thabhairt cothrom le dáta i gcomhréir leis an aistriú glas agus an aistriú digiteach. Trí pháirt a thabhairt do na comhpháirtithe sóisialta ar leibhéal na hearnála agus ar an leibhéal náisiúnta, is fearr is féidir iad a cheapadh chun freastal ar riachtanais cuideachtaí.</w:t>
      </w:r>
    </w:p>
    <w:p w:rsidR="005A3E7D" w:rsidRDefault="005A3E7D" w14:paraId="13DD4C9A" w14:textId="77777777">
      <w:pPr>
        <w:rPr>
          <w:i/>
          <w:iCs/>
          <w:lang w:val="en-GB"/>
        </w:rPr>
      </w:pPr>
    </w:p>
    <w:p w:rsidR="005A3E7D" w:rsidRDefault="00FF54AA" w14:paraId="5DF7F0A0" w14:textId="2257BBD7">
      <w:pPr>
        <w:keepNext/>
        <w:rPr>
          <w:i/>
          <w:iCs/>
        </w:rPr>
      </w:pPr>
      <w:r>
        <w:rPr>
          <w:i/>
        </w:rPr>
        <w:t>Argóintí a thacaíonn le moladh 1.11</w:t>
      </w:r>
    </w:p>
    <w:p w:rsidR="005A3E7D" w:rsidRDefault="005A3E7D" w14:paraId="0BD70BE9" w14:textId="77777777">
      <w:pPr>
        <w:keepNext/>
        <w:rPr>
          <w:i/>
          <w:iCs/>
          <w:lang w:val="en-GB"/>
        </w:rPr>
      </w:pPr>
    </w:p>
    <w:p w:rsidR="005A3E7D" w:rsidRDefault="00FF54AA" w14:paraId="53F09EB1" w14:textId="692736B1">
      <w:pPr>
        <w:pStyle w:val="Heading2"/>
      </w:pPr>
      <w:r>
        <w:t>Creideann CESE nach mór don Aontas tús áite a thabhairt don ualach rialála atá ar chuideachtaí Eorpacha agus nach bhfuil gá leis a laghdú. Tá an t-ualach rialála ar cheann de na bacainní is mó atá roimh chuideachtaí Eorpacha. I bhfianaise chur chun feidhme Cholún Eorpach na gCeart Sóisialta, measann CESE go bhfuil an rialáil shóisialta agus saothair tábhachtach agus riachtanach.</w:t>
      </w:r>
    </w:p>
    <w:p w:rsidR="005A3E7D" w:rsidRDefault="005A3E7D" w14:paraId="5104DD38" w14:textId="77777777">
      <w:pPr>
        <w:rPr>
          <w:lang w:val="en-GB"/>
        </w:rPr>
      </w:pPr>
    </w:p>
    <w:p w:rsidR="005A3E7D" w:rsidRDefault="00FF54AA" w14:paraId="0B76BFF9" w14:textId="727A28EA">
      <w:pPr>
        <w:pStyle w:val="Heading2"/>
      </w:pPr>
      <w:r>
        <w:t>Agus an compás iomaíochais á fhorbairt aige, ba cheart don Choimisiún breithniú a dhéanamh ar dheireadh a chur leis na bacainní rialála lena gcuirtear bac ar chuideachtaí Eorpacha dul san iomaíocht ar fud an domhain. Ba cheart dó athbhreithniú a dhéanamh freisin ar rialacháin chumaisc agus éadála, ós rud é nach bhfuil ach 10 gcuideachta de na 100 cuideachta is fearr ar domhan ina gcuideachtaí Eorpacha.</w:t>
      </w:r>
    </w:p>
    <w:p w:rsidR="005A3E7D" w:rsidRDefault="005A3E7D" w14:paraId="2BD3B959" w14:textId="51880B0C">
      <w:pPr>
        <w:rPr>
          <w:lang w:val="en-GB"/>
        </w:rPr>
      </w:pPr>
    </w:p>
    <w:p w:rsidR="005A3E7D" w:rsidRDefault="00FF54AA" w14:paraId="61FC345A" w14:textId="0B4D13CF">
      <w:pPr>
        <w:keepNext/>
      </w:pPr>
      <w:r>
        <w:rPr>
          <w:i/>
        </w:rPr>
        <w:t>Argóintí a thacaíonn le moladh 1.12</w:t>
      </w:r>
    </w:p>
    <w:p w:rsidR="005A3E7D" w:rsidRDefault="005A3E7D" w14:paraId="20AEE62B" w14:textId="52BBCD9D">
      <w:pPr>
        <w:keepNext/>
        <w:rPr>
          <w:i/>
          <w:iCs/>
          <w:lang w:val="en-GB"/>
        </w:rPr>
      </w:pPr>
    </w:p>
    <w:p w:rsidR="005A3E7D" w:rsidP="00167D8D" w:rsidRDefault="00FF54AA" w14:paraId="3FB22C68" w14:textId="07E729A3">
      <w:pPr>
        <w:pStyle w:val="Heading2"/>
      </w:pPr>
      <w:r>
        <w:t>Meastar go bhfuil fadhb na tithíochta agus an t-ardú dosháraithe ar phraghsanna tithíochta, a mhéid a bhaineann le praghsanna cíosa agus úinéireachta araon, ar cheann de na príomhábhair imní don daonra i bhformhór na mBallstát. Níl an soláthar leordhóthanach agus é creimthe anois mar gheall ar phróisis amhantracha agus mar gheall ar an méadú ollmhór a tháinig ar líon na réadmhaoine a ligtear ar cíos mar chóiríocht do thurasóirí, ar earnáil í sin nach bhfuil rialaithe go maith.</w:t>
      </w:r>
    </w:p>
    <w:p w:rsidR="00A0334A" w:rsidP="00A0334A" w:rsidRDefault="00A0334A" w14:paraId="4B53A6A3" w14:textId="632C8637">
      <w:pPr>
        <w:rPr>
          <w:lang w:val="en-GB"/>
        </w:rPr>
      </w:pPr>
    </w:p>
    <w:p w:rsidR="00A0334A" w:rsidP="00A0334A" w:rsidRDefault="00A0334A" w14:paraId="4EDD0484" w14:textId="77777777">
      <w:pPr>
        <w:jc w:val="left"/>
      </w:pPr>
      <w:r>
        <w:t>An Bhruiséil,  6 Feabhra 2025</w:t>
      </w:r>
    </w:p>
    <w:p w:rsidR="00A0334A" w:rsidP="00A0334A" w:rsidRDefault="00A0334A" w14:paraId="10030CBB" w14:textId="77777777">
      <w:pPr>
        <w:jc w:val="left"/>
        <w:rPr>
          <w:lang w:val="en-GB"/>
        </w:rPr>
      </w:pPr>
    </w:p>
    <w:p w:rsidR="00A0334A" w:rsidP="00A0334A" w:rsidRDefault="00A0334A" w14:paraId="49847B7D" w14:textId="77777777">
      <w:pPr>
        <w:jc w:val="left"/>
        <w:rPr>
          <w:lang w:val="en-GB"/>
        </w:rPr>
      </w:pPr>
    </w:p>
    <w:p w:rsidRPr="00650FE7" w:rsidR="00A0334A" w:rsidP="00A0334A" w:rsidRDefault="00A0334A" w14:paraId="7A825807" w14:textId="77777777">
      <w:pPr>
        <w:rPr>
          <w:i/>
          <w:iCs/>
          <w:szCs w:val="20"/>
        </w:rPr>
      </w:pPr>
      <w:r>
        <w:rPr>
          <w:i/>
        </w:rPr>
        <w:t>Cathaoirleach na Rannóige um Aontas Eacnamaíoch agus Airgeadaíochta agus um Chomhtháthú Eacnamaíoch agus Sóisialta</w:t>
      </w:r>
    </w:p>
    <w:p w:rsidR="00A0334A" w:rsidRDefault="00A0334A" w14:paraId="3E25E55D" w14:textId="13C1F167">
      <w:pPr>
        <w:rPr>
          <w:szCs w:val="20"/>
        </w:rPr>
      </w:pPr>
      <w:r>
        <w:t>Ioannis VARDAKASTANIS</w:t>
      </w:r>
    </w:p>
    <w:p w:rsidRPr="00A0334A" w:rsidR="00FB150B" w:rsidP="00DA6C53" w:rsidRDefault="00FB150B" w14:paraId="1256AF72" w14:textId="77777777">
      <w:pPr>
        <w:rPr>
          <w:lang w:val="en-GB"/>
        </w:rPr>
      </w:pPr>
    </w:p>
    <w:p w:rsidR="005A3E7D" w:rsidP="00167D8D" w:rsidRDefault="00FF54AA" w14:paraId="6E522A42" w14:textId="7514F7CE">
      <w:pPr>
        <w:overflowPunct w:val="0"/>
        <w:autoSpaceDE w:val="0"/>
        <w:autoSpaceDN w:val="0"/>
        <w:adjustRightInd w:val="0"/>
        <w:jc w:val="center"/>
        <w:textAlignment w:val="baseline"/>
      </w:pPr>
      <w:r>
        <w:t>_____________</w:t>
      </w:r>
    </w:p>
    <w:sectPr w:rsidR="005A3E7D" w:rsidSect="0071334E">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A8F9" w14:textId="77777777" w:rsidR="005A3E7D" w:rsidRDefault="00FF54AA">
      <w:r>
        <w:separator/>
      </w:r>
    </w:p>
  </w:endnote>
  <w:endnote w:type="continuationSeparator" w:id="0">
    <w:p w14:paraId="7F7BF374" w14:textId="77777777" w:rsidR="005A3E7D" w:rsidRDefault="00FF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1A6F" w14:textId="77777777" w:rsidR="00534941" w:rsidRPr="0071334E" w:rsidRDefault="00534941" w:rsidP="0071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4E" w14:textId="0B87C7AB" w:rsidR="005A3E7D" w:rsidRPr="0071334E" w:rsidRDefault="0071334E" w:rsidP="0071334E">
    <w:pPr>
      <w:pStyle w:val="Footer"/>
    </w:pPr>
    <w:r>
      <w:t xml:space="preserve">ECO/657 – EESC-2024-04138-00-01-AS-TRA (EN) </w:t>
    </w:r>
    <w:r>
      <w:fldChar w:fldCharType="begin"/>
    </w:r>
    <w:r>
      <w:instrText xml:space="preserve"> PAGE  \* Arabic  \* MERGEFORMAT </w:instrText>
    </w:r>
    <w:r>
      <w:fldChar w:fldCharType="separate"/>
    </w:r>
    <w:r w:rsidR="0062693E">
      <w:t>1</w:t>
    </w:r>
    <w:r>
      <w:fldChar w:fldCharType="end"/>
    </w:r>
    <w:r>
      <w:t>/</w:t>
    </w:r>
    <w:r w:rsidR="00943782">
      <w:fldChar w:fldCharType="begin"/>
    </w:r>
    <w:r w:rsidR="00943782">
      <w:instrText xml:space="preserve"> NUMPAGES </w:instrText>
    </w:r>
    <w:r w:rsidR="00943782">
      <w:fldChar w:fldCharType="separate"/>
    </w:r>
    <w:r w:rsidR="0062693E">
      <w:t>1</w:t>
    </w:r>
    <w:r w:rsidR="009437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EB7" w14:textId="77777777" w:rsidR="00534941" w:rsidRPr="0071334E" w:rsidRDefault="00534941" w:rsidP="007133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3" w14:textId="77777777" w:rsidR="005A3E7D" w:rsidRPr="0071334E" w:rsidRDefault="005A3E7D" w:rsidP="007133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536A28BF" w:rsidR="005A3E7D" w:rsidRPr="0071334E" w:rsidRDefault="0071334E" w:rsidP="0071334E">
    <w:pPr>
      <w:pStyle w:val="Footer"/>
    </w:pPr>
    <w:r>
      <w:t xml:space="preserve">ECO/657 – EESC-2024-04138-00-01-AS-TRA (EN) </w:t>
    </w:r>
    <w:r>
      <w:fldChar w:fldCharType="begin"/>
    </w:r>
    <w:r>
      <w:instrText xml:space="preserve"> PAGE  \* Arabic  \* MERGEFORMAT </w:instrText>
    </w:r>
    <w:r>
      <w:fldChar w:fldCharType="separate"/>
    </w:r>
    <w:r>
      <w:t>2</w:t>
    </w:r>
    <w:r>
      <w:fldChar w:fldCharType="end"/>
    </w:r>
    <w:r>
      <w:t>/</w:t>
    </w:r>
    <w:r w:rsidR="00943782">
      <w:fldChar w:fldCharType="begin"/>
    </w:r>
    <w:r w:rsidR="00943782">
      <w:instrText xml:space="preserve"> NUMPAGES </w:instrText>
    </w:r>
    <w:r w:rsidR="00943782">
      <w:fldChar w:fldCharType="separate"/>
    </w:r>
    <w:r>
      <w:t>8</w:t>
    </w:r>
    <w:r w:rsidR="0094378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6" w14:textId="77777777" w:rsidR="005A3E7D" w:rsidRPr="0071334E" w:rsidRDefault="005A3E7D" w:rsidP="0071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1D80" w14:textId="77777777" w:rsidR="005A3E7D" w:rsidRDefault="00FF54AA">
      <w:r>
        <w:separator/>
      </w:r>
    </w:p>
  </w:footnote>
  <w:footnote w:type="continuationSeparator" w:id="0">
    <w:p w14:paraId="4199C65B" w14:textId="77777777" w:rsidR="005A3E7D" w:rsidRDefault="00FF54AA">
      <w:r>
        <w:continuationSeparator/>
      </w:r>
    </w:p>
  </w:footnote>
  <w:footnote w:id="1">
    <w:p w14:paraId="2F0B5A4B" w14:textId="6BC9F833" w:rsidR="005A3E7D" w:rsidRDefault="00FF54AA">
      <w:pPr>
        <w:pStyle w:val="FootnoteText"/>
      </w:pPr>
      <w:r>
        <w:rPr>
          <w:rStyle w:val="FootnoteReference"/>
        </w:rPr>
        <w:footnoteRef/>
      </w:r>
      <w:r>
        <w:tab/>
      </w:r>
      <w:hyperlink r:id="rId1" w:history="1">
        <w:r>
          <w:rPr>
            <w:rStyle w:val="Hyperlink"/>
          </w:rPr>
          <w:t>COM(2024) 705 final</w:t>
        </w:r>
      </w:hyperlink>
      <w:r>
        <w:t>.</w:t>
      </w:r>
    </w:p>
  </w:footnote>
  <w:footnote w:id="2">
    <w:p w14:paraId="6AD5DB44" w14:textId="5DDF246A" w:rsidR="005A3E7D" w:rsidRDefault="00FF54AA">
      <w:pPr>
        <w:pStyle w:val="FootnoteText"/>
      </w:pPr>
      <w:r>
        <w:rPr>
          <w:rStyle w:val="FootnoteReference"/>
        </w:rPr>
        <w:footnoteRef/>
      </w:r>
      <w:r>
        <w:tab/>
      </w:r>
      <w:hyperlink r:id="rId2" w:history="1">
        <w:r>
          <w:rPr>
            <w:rStyle w:val="Hyperlink"/>
          </w:rPr>
          <w:t xml:space="preserve">Enrico Letta, </w:t>
        </w:r>
        <w:r>
          <w:rPr>
            <w:rStyle w:val="Hyperlink"/>
            <w:i/>
          </w:rPr>
          <w:t>Much more than a market</w:t>
        </w:r>
        <w:r>
          <w:rPr>
            <w:rStyle w:val="Hyperlink"/>
          </w:rPr>
          <w:t xml:space="preserve"> (2024)</w:t>
        </w:r>
      </w:hyperlink>
      <w:r>
        <w:t>.</w:t>
      </w:r>
    </w:p>
  </w:footnote>
  <w:footnote w:id="3">
    <w:p w14:paraId="00EBDE46" w14:textId="14B20AE9" w:rsidR="005A3E7D" w:rsidRDefault="00FF54AA">
      <w:pPr>
        <w:pStyle w:val="FootnoteText"/>
      </w:pPr>
      <w:r>
        <w:rPr>
          <w:rStyle w:val="FootnoteReference"/>
        </w:rPr>
        <w:footnoteRef/>
      </w:r>
      <w:r>
        <w:tab/>
      </w:r>
      <w:hyperlink r:id="rId3" w:history="1">
        <w:r>
          <w:rPr>
            <w:rStyle w:val="Hyperlink"/>
            <w:i/>
          </w:rPr>
          <w:t>EU competitiveness: Looking ahead</w:t>
        </w:r>
        <w:r>
          <w:rPr>
            <w:rStyle w:val="Hyperlink"/>
          </w:rPr>
          <w:t xml:space="preserve"> – an Coimisiún Eorpach</w:t>
        </w:r>
      </w:hyperlink>
      <w:r>
        <w:t>.</w:t>
      </w:r>
    </w:p>
  </w:footnote>
  <w:footnote w:id="4">
    <w:p w14:paraId="1406C0DE" w14:textId="0D593C14" w:rsidR="005A3E7D" w:rsidRDefault="00943782">
      <w:pPr>
        <w:pStyle w:val="FootnoteText"/>
      </w:pPr>
      <w:hyperlink r:id="rId4" w:history="1">
        <w:r w:rsidR="007D1B12">
          <w:rPr>
            <w:rStyle w:val="FootnoteReference"/>
          </w:rPr>
          <w:footnoteRef/>
        </w:r>
        <w:r w:rsidR="007D1B12" w:rsidRPr="001D0BDB">
          <w:rPr>
            <w:rStyle w:val="Hyperlink"/>
            <w:u w:val="none"/>
          </w:rPr>
          <w:tab/>
        </w:r>
        <w:r w:rsidR="007D1B12">
          <w:rPr>
            <w:rStyle w:val="Hyperlink"/>
          </w:rPr>
          <w:t>Moladh maidir le beartas eacnamaíoch an limistéir euro do 2025</w:t>
        </w:r>
      </w:hyperlink>
      <w:r w:rsidR="007D1B12">
        <w:t>.</w:t>
      </w:r>
    </w:p>
  </w:footnote>
  <w:footnote w:id="5">
    <w:p w14:paraId="03CEE4C9" w14:textId="33627DEB" w:rsidR="005A3E7D" w:rsidRDefault="00943782">
      <w:pPr>
        <w:pStyle w:val="FootnoteText"/>
      </w:pPr>
      <w:hyperlink r:id="rId5" w:history="1">
        <w:r w:rsidR="007D1B12">
          <w:rPr>
            <w:rStyle w:val="FootnoteReference"/>
          </w:rPr>
          <w:footnoteRef/>
        </w:r>
        <w:r w:rsidR="007D1B12" w:rsidRPr="001D0BDB">
          <w:rPr>
            <w:rStyle w:val="Hyperlink"/>
            <w:u w:val="none"/>
          </w:rPr>
          <w:tab/>
        </w:r>
        <w:r w:rsidR="007D1B12">
          <w:rPr>
            <w:rStyle w:val="Hyperlink"/>
          </w:rPr>
          <w:t>An Tuarascáil Chomhpháirteach ar Fhostaíocht</w:t>
        </w:r>
      </w:hyperlink>
      <w:r w:rsidR="007D1B12">
        <w:t>.</w:t>
      </w:r>
    </w:p>
  </w:footnote>
  <w:footnote w:id="6">
    <w:p w14:paraId="119C5933" w14:textId="59632D9F" w:rsidR="005A3E7D" w:rsidRDefault="00FF54AA">
      <w:pPr>
        <w:ind w:left="567" w:hanging="567"/>
      </w:pPr>
      <w:r>
        <w:rPr>
          <w:rStyle w:val="FootnoteReference"/>
          <w:szCs w:val="24"/>
        </w:rPr>
        <w:footnoteRef/>
      </w:r>
      <w:r>
        <w:rPr>
          <w:sz w:val="16"/>
        </w:rPr>
        <w:tab/>
        <w:t xml:space="preserve">Tuairim ó CESE </w:t>
      </w:r>
      <w:r>
        <w:rPr>
          <w:i/>
          <w:sz w:val="16"/>
        </w:rPr>
        <w:t>Moltaí CESE maidir le hathchóiriú láidir ar an Seimeastar Eorpach</w:t>
      </w:r>
      <w:r>
        <w:t>,</w:t>
      </w:r>
      <w:hyperlink r:id="rId6" w:history="1">
        <w:r>
          <w:rPr>
            <w:rStyle w:val="Hyperlink"/>
            <w:sz w:val="16"/>
          </w:rPr>
          <w:t>IO C 228, 29.6.2023, lch. 1</w:t>
        </w:r>
      </w:hyperlink>
      <w:r>
        <w:t>.</w:t>
      </w:r>
    </w:p>
  </w:footnote>
  <w:footnote w:id="7">
    <w:p w14:paraId="32395EE3" w14:textId="55722BE4" w:rsidR="005A3E7D" w:rsidRDefault="00FF54AA">
      <w:pPr>
        <w:pStyle w:val="FootnoteText"/>
      </w:pPr>
      <w:r>
        <w:rPr>
          <w:rStyle w:val="FootnoteReference"/>
        </w:rPr>
        <w:footnoteRef/>
      </w:r>
      <w:r>
        <w:tab/>
        <w:t xml:space="preserve">Tuarascáil faisnéise CESE </w:t>
      </w:r>
      <w:hyperlink r:id="rId7" w:history="1">
        <w:r>
          <w:rPr>
            <w:rStyle w:val="Hyperlink"/>
            <w:i/>
          </w:rPr>
          <w:t>Athbhreithniú meántéarma ar an tSaoráid Téarnaimh agus Athléimneachta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A688" w14:textId="77777777" w:rsidR="00534941" w:rsidRPr="0071334E" w:rsidRDefault="00534941" w:rsidP="0071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1F4C" w14:textId="6B59E6D7" w:rsidR="00534941" w:rsidRPr="0071334E" w:rsidRDefault="00534941" w:rsidP="00713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A3A8" w14:textId="77777777" w:rsidR="00534941" w:rsidRPr="0071334E" w:rsidRDefault="00534941" w:rsidP="00713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1" w14:textId="77777777" w:rsidR="005A3E7D" w:rsidRPr="0071334E" w:rsidRDefault="005A3E7D" w:rsidP="00713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2" w14:textId="72A9DCE9" w:rsidR="005A3E7D" w:rsidRPr="0071334E" w:rsidRDefault="005A3E7D" w:rsidP="007133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5" w14:textId="77777777" w:rsidR="005A3E7D" w:rsidRPr="0071334E" w:rsidRDefault="005A3E7D" w:rsidP="0071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72B563D"/>
    <w:multiLevelType w:val="hybridMultilevel"/>
    <w:tmpl w:val="6ACCA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6A8F8"/>
    <w:multiLevelType w:val="multilevel"/>
    <w:tmpl w:val="5D6098A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 w15:restartNumberingAfterBreak="0">
    <w:nsid w:val="3EEC2C05"/>
    <w:multiLevelType w:val="hybridMultilevel"/>
    <w:tmpl w:val="D52C7A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7F2B68"/>
    <w:multiLevelType w:val="hybridMultilevel"/>
    <w:tmpl w:val="82A46ADE"/>
    <w:lvl w:ilvl="0" w:tplc="2F369CAC">
      <w:numFmt w:val="none"/>
      <w:lvlText w:val=""/>
      <w:lvlJc w:val="left"/>
      <w:pPr>
        <w:tabs>
          <w:tab w:val="num" w:pos="360"/>
        </w:tabs>
      </w:pPr>
    </w:lvl>
    <w:lvl w:ilvl="1" w:tplc="F056CC92">
      <w:start w:val="1"/>
      <w:numFmt w:val="lowerLetter"/>
      <w:lvlText w:val="%2."/>
      <w:lvlJc w:val="left"/>
      <w:pPr>
        <w:ind w:left="1440" w:hanging="360"/>
      </w:pPr>
    </w:lvl>
    <w:lvl w:ilvl="2" w:tplc="B8FE5C6A">
      <w:start w:val="1"/>
      <w:numFmt w:val="lowerRoman"/>
      <w:lvlText w:val="%3."/>
      <w:lvlJc w:val="right"/>
      <w:pPr>
        <w:ind w:left="2160" w:hanging="180"/>
      </w:pPr>
    </w:lvl>
    <w:lvl w:ilvl="3" w:tplc="D082C006">
      <w:start w:val="1"/>
      <w:numFmt w:val="decimal"/>
      <w:lvlText w:val="%4."/>
      <w:lvlJc w:val="left"/>
      <w:pPr>
        <w:ind w:left="2880" w:hanging="360"/>
      </w:pPr>
    </w:lvl>
    <w:lvl w:ilvl="4" w:tplc="6018ECB2">
      <w:start w:val="1"/>
      <w:numFmt w:val="lowerLetter"/>
      <w:lvlText w:val="%5."/>
      <w:lvlJc w:val="left"/>
      <w:pPr>
        <w:ind w:left="3600" w:hanging="360"/>
      </w:pPr>
    </w:lvl>
    <w:lvl w:ilvl="5" w:tplc="E9C8407E">
      <w:start w:val="1"/>
      <w:numFmt w:val="lowerRoman"/>
      <w:lvlText w:val="%6."/>
      <w:lvlJc w:val="right"/>
      <w:pPr>
        <w:ind w:left="4320" w:hanging="180"/>
      </w:pPr>
    </w:lvl>
    <w:lvl w:ilvl="6" w:tplc="8A822582">
      <w:start w:val="1"/>
      <w:numFmt w:val="decimal"/>
      <w:lvlText w:val="%7."/>
      <w:lvlJc w:val="left"/>
      <w:pPr>
        <w:ind w:left="5040" w:hanging="360"/>
      </w:pPr>
    </w:lvl>
    <w:lvl w:ilvl="7" w:tplc="75D4D1A0">
      <w:start w:val="1"/>
      <w:numFmt w:val="lowerLetter"/>
      <w:lvlText w:val="%8."/>
      <w:lvlJc w:val="left"/>
      <w:pPr>
        <w:ind w:left="5760" w:hanging="360"/>
      </w:pPr>
    </w:lvl>
    <w:lvl w:ilvl="8" w:tplc="90661288">
      <w:start w:val="1"/>
      <w:numFmt w:val="lowerRoman"/>
      <w:lvlText w:val="%9."/>
      <w:lvlJc w:val="right"/>
      <w:pPr>
        <w:ind w:left="6480" w:hanging="180"/>
      </w:pPr>
    </w:lvl>
  </w:abstractNum>
  <w:abstractNum w:abstractNumId="6" w15:restartNumberingAfterBreak="0">
    <w:nsid w:val="4E621A8E"/>
    <w:multiLevelType w:val="hybridMultilevel"/>
    <w:tmpl w:val="2A14BFE6"/>
    <w:lvl w:ilvl="0" w:tplc="912CC1C0">
      <w:numFmt w:val="none"/>
      <w:lvlText w:val=""/>
      <w:lvlJc w:val="left"/>
      <w:pPr>
        <w:tabs>
          <w:tab w:val="num" w:pos="360"/>
        </w:tabs>
      </w:pPr>
    </w:lvl>
    <w:lvl w:ilvl="1" w:tplc="5DEA3ACE">
      <w:start w:val="1"/>
      <w:numFmt w:val="lowerLetter"/>
      <w:lvlText w:val="%2."/>
      <w:lvlJc w:val="left"/>
      <w:pPr>
        <w:ind w:left="1440" w:hanging="360"/>
      </w:pPr>
    </w:lvl>
    <w:lvl w:ilvl="2" w:tplc="7B9C93EA">
      <w:start w:val="1"/>
      <w:numFmt w:val="lowerRoman"/>
      <w:lvlText w:val="%3."/>
      <w:lvlJc w:val="right"/>
      <w:pPr>
        <w:ind w:left="2160" w:hanging="180"/>
      </w:pPr>
    </w:lvl>
    <w:lvl w:ilvl="3" w:tplc="228C9B54">
      <w:start w:val="1"/>
      <w:numFmt w:val="decimal"/>
      <w:lvlText w:val="%4."/>
      <w:lvlJc w:val="left"/>
      <w:pPr>
        <w:ind w:left="2880" w:hanging="360"/>
      </w:pPr>
    </w:lvl>
    <w:lvl w:ilvl="4" w:tplc="55F4DE9E">
      <w:start w:val="1"/>
      <w:numFmt w:val="lowerLetter"/>
      <w:lvlText w:val="%5."/>
      <w:lvlJc w:val="left"/>
      <w:pPr>
        <w:ind w:left="3600" w:hanging="360"/>
      </w:pPr>
    </w:lvl>
    <w:lvl w:ilvl="5" w:tplc="CC58C2BE">
      <w:start w:val="1"/>
      <w:numFmt w:val="lowerRoman"/>
      <w:lvlText w:val="%6."/>
      <w:lvlJc w:val="right"/>
      <w:pPr>
        <w:ind w:left="4320" w:hanging="180"/>
      </w:pPr>
    </w:lvl>
    <w:lvl w:ilvl="6" w:tplc="65E807EC">
      <w:start w:val="1"/>
      <w:numFmt w:val="decimal"/>
      <w:lvlText w:val="%7."/>
      <w:lvlJc w:val="left"/>
      <w:pPr>
        <w:ind w:left="5040" w:hanging="360"/>
      </w:pPr>
    </w:lvl>
    <w:lvl w:ilvl="7" w:tplc="51AA476E">
      <w:start w:val="1"/>
      <w:numFmt w:val="lowerLetter"/>
      <w:lvlText w:val="%8."/>
      <w:lvlJc w:val="left"/>
      <w:pPr>
        <w:ind w:left="5760" w:hanging="360"/>
      </w:pPr>
    </w:lvl>
    <w:lvl w:ilvl="8" w:tplc="9FF046F6">
      <w:start w:val="1"/>
      <w:numFmt w:val="lowerRoman"/>
      <w:lvlText w:val="%9."/>
      <w:lvlJc w:val="right"/>
      <w:pPr>
        <w:ind w:left="6480" w:hanging="180"/>
      </w:pPr>
    </w:lvl>
  </w:abstractNum>
  <w:abstractNum w:abstractNumId="7" w15:restartNumberingAfterBreak="0">
    <w:nsid w:val="4F703651"/>
    <w:multiLevelType w:val="hybridMultilevel"/>
    <w:tmpl w:val="E9366C02"/>
    <w:lvl w:ilvl="0" w:tplc="3E2EFA8E">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25D2C"/>
    <w:multiLevelType w:val="multilevel"/>
    <w:tmpl w:val="528A043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240610"/>
    <w:multiLevelType w:val="hybridMultilevel"/>
    <w:tmpl w:val="45E4935C"/>
    <w:lvl w:ilvl="0" w:tplc="986E502E">
      <w:numFmt w:val="none"/>
      <w:lvlText w:val=""/>
      <w:lvlJc w:val="left"/>
      <w:pPr>
        <w:tabs>
          <w:tab w:val="num" w:pos="360"/>
        </w:tabs>
      </w:pPr>
    </w:lvl>
    <w:lvl w:ilvl="1" w:tplc="839C8E16">
      <w:start w:val="1"/>
      <w:numFmt w:val="lowerLetter"/>
      <w:lvlText w:val="%2."/>
      <w:lvlJc w:val="left"/>
      <w:pPr>
        <w:ind w:left="1440" w:hanging="360"/>
      </w:pPr>
    </w:lvl>
    <w:lvl w:ilvl="2" w:tplc="6760349E">
      <w:start w:val="1"/>
      <w:numFmt w:val="lowerRoman"/>
      <w:lvlText w:val="%3."/>
      <w:lvlJc w:val="right"/>
      <w:pPr>
        <w:ind w:left="2160" w:hanging="180"/>
      </w:pPr>
    </w:lvl>
    <w:lvl w:ilvl="3" w:tplc="1D489D4C">
      <w:start w:val="1"/>
      <w:numFmt w:val="decimal"/>
      <w:lvlText w:val="%4."/>
      <w:lvlJc w:val="left"/>
      <w:pPr>
        <w:ind w:left="2880" w:hanging="360"/>
      </w:pPr>
    </w:lvl>
    <w:lvl w:ilvl="4" w:tplc="14845536">
      <w:start w:val="1"/>
      <w:numFmt w:val="lowerLetter"/>
      <w:lvlText w:val="%5."/>
      <w:lvlJc w:val="left"/>
      <w:pPr>
        <w:ind w:left="3600" w:hanging="360"/>
      </w:pPr>
    </w:lvl>
    <w:lvl w:ilvl="5" w:tplc="83BAE138">
      <w:start w:val="1"/>
      <w:numFmt w:val="lowerRoman"/>
      <w:lvlText w:val="%6."/>
      <w:lvlJc w:val="right"/>
      <w:pPr>
        <w:ind w:left="4320" w:hanging="180"/>
      </w:pPr>
    </w:lvl>
    <w:lvl w:ilvl="6" w:tplc="ADCC1458">
      <w:start w:val="1"/>
      <w:numFmt w:val="decimal"/>
      <w:lvlText w:val="%7."/>
      <w:lvlJc w:val="left"/>
      <w:pPr>
        <w:ind w:left="5040" w:hanging="360"/>
      </w:pPr>
    </w:lvl>
    <w:lvl w:ilvl="7" w:tplc="D7DC9CA0">
      <w:start w:val="1"/>
      <w:numFmt w:val="lowerLetter"/>
      <w:lvlText w:val="%8."/>
      <w:lvlJc w:val="left"/>
      <w:pPr>
        <w:ind w:left="5760" w:hanging="360"/>
      </w:pPr>
    </w:lvl>
    <w:lvl w:ilvl="8" w:tplc="197E5B98">
      <w:start w:val="1"/>
      <w:numFmt w:val="lowerRoman"/>
      <w:lvlText w:val="%9."/>
      <w:lvlJc w:val="right"/>
      <w:pPr>
        <w:ind w:left="6480" w:hanging="180"/>
      </w:pPr>
    </w:lvl>
  </w:abstractNum>
  <w:abstractNum w:abstractNumId="10" w15:restartNumberingAfterBreak="0">
    <w:nsid w:val="7B3FA821"/>
    <w:multiLevelType w:val="hybridMultilevel"/>
    <w:tmpl w:val="B6C8AA76"/>
    <w:lvl w:ilvl="0" w:tplc="EEEA15D6">
      <w:numFmt w:val="none"/>
      <w:lvlText w:val=""/>
      <w:lvlJc w:val="left"/>
      <w:pPr>
        <w:tabs>
          <w:tab w:val="num" w:pos="360"/>
        </w:tabs>
      </w:pPr>
    </w:lvl>
    <w:lvl w:ilvl="1" w:tplc="FFEEF3F0">
      <w:start w:val="1"/>
      <w:numFmt w:val="lowerLetter"/>
      <w:lvlText w:val="%2."/>
      <w:lvlJc w:val="left"/>
      <w:pPr>
        <w:ind w:left="1440" w:hanging="360"/>
      </w:pPr>
    </w:lvl>
    <w:lvl w:ilvl="2" w:tplc="FBF8FFEE">
      <w:start w:val="1"/>
      <w:numFmt w:val="lowerRoman"/>
      <w:lvlText w:val="%3."/>
      <w:lvlJc w:val="right"/>
      <w:pPr>
        <w:ind w:left="2160" w:hanging="180"/>
      </w:pPr>
    </w:lvl>
    <w:lvl w:ilvl="3" w:tplc="E0E092FE">
      <w:start w:val="1"/>
      <w:numFmt w:val="decimal"/>
      <w:lvlText w:val="%4."/>
      <w:lvlJc w:val="left"/>
      <w:pPr>
        <w:ind w:left="2880" w:hanging="360"/>
      </w:pPr>
    </w:lvl>
    <w:lvl w:ilvl="4" w:tplc="BC44027A">
      <w:start w:val="1"/>
      <w:numFmt w:val="lowerLetter"/>
      <w:lvlText w:val="%5."/>
      <w:lvlJc w:val="left"/>
      <w:pPr>
        <w:ind w:left="3600" w:hanging="360"/>
      </w:pPr>
    </w:lvl>
    <w:lvl w:ilvl="5" w:tplc="51602A84">
      <w:start w:val="1"/>
      <w:numFmt w:val="lowerRoman"/>
      <w:lvlText w:val="%6."/>
      <w:lvlJc w:val="right"/>
      <w:pPr>
        <w:ind w:left="4320" w:hanging="180"/>
      </w:pPr>
    </w:lvl>
    <w:lvl w:ilvl="6" w:tplc="504E2B26">
      <w:start w:val="1"/>
      <w:numFmt w:val="decimal"/>
      <w:lvlText w:val="%7."/>
      <w:lvlJc w:val="left"/>
      <w:pPr>
        <w:ind w:left="5040" w:hanging="360"/>
      </w:pPr>
    </w:lvl>
    <w:lvl w:ilvl="7" w:tplc="BA40A0EE">
      <w:start w:val="1"/>
      <w:numFmt w:val="lowerLetter"/>
      <w:lvlText w:val="%8."/>
      <w:lvlJc w:val="left"/>
      <w:pPr>
        <w:ind w:left="5760" w:hanging="360"/>
      </w:pPr>
    </w:lvl>
    <w:lvl w:ilvl="8" w:tplc="707A7D46">
      <w:start w:val="1"/>
      <w:numFmt w:val="lowerRoman"/>
      <w:lvlText w:val="%9."/>
      <w:lvlJc w:val="right"/>
      <w:pPr>
        <w:ind w:left="6480" w:hanging="180"/>
      </w:pPr>
    </w:lvl>
  </w:abstractNum>
  <w:num w:numId="1">
    <w:abstractNumId w:val="8"/>
  </w:num>
  <w:num w:numId="2">
    <w:abstractNumId w:val="6"/>
  </w:num>
  <w:num w:numId="3">
    <w:abstractNumId w:val="10"/>
  </w:num>
  <w:num w:numId="4">
    <w:abstractNumId w:val="5"/>
  </w:num>
  <w:num w:numId="5">
    <w:abstractNumId w:val="9"/>
  </w:num>
  <w:num w:numId="6">
    <w:abstractNumId w:val="2"/>
  </w:num>
  <w:num w:numId="7">
    <w:abstractNumId w:val="4"/>
  </w:num>
  <w:num w:numId="8">
    <w:abstractNumId w:val="0"/>
  </w:num>
  <w:num w:numId="9">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2B9F"/>
    <w:rsid w:val="00005AB9"/>
    <w:rsid w:val="00005EB9"/>
    <w:rsid w:val="00006912"/>
    <w:rsid w:val="00006E24"/>
    <w:rsid w:val="00007A40"/>
    <w:rsid w:val="000128CD"/>
    <w:rsid w:val="00017B45"/>
    <w:rsid w:val="00020E6E"/>
    <w:rsid w:val="000229C4"/>
    <w:rsid w:val="00026A08"/>
    <w:rsid w:val="00031A4B"/>
    <w:rsid w:val="00033913"/>
    <w:rsid w:val="00033AFC"/>
    <w:rsid w:val="00033DB4"/>
    <w:rsid w:val="00033E5B"/>
    <w:rsid w:val="000357A8"/>
    <w:rsid w:val="000430A6"/>
    <w:rsid w:val="00044923"/>
    <w:rsid w:val="000454BE"/>
    <w:rsid w:val="00046BEA"/>
    <w:rsid w:val="0005249C"/>
    <w:rsid w:val="000534A5"/>
    <w:rsid w:val="0005680D"/>
    <w:rsid w:val="00062AD8"/>
    <w:rsid w:val="00063389"/>
    <w:rsid w:val="00063FB4"/>
    <w:rsid w:val="0006793E"/>
    <w:rsid w:val="00072E0F"/>
    <w:rsid w:val="000735E5"/>
    <w:rsid w:val="0007392F"/>
    <w:rsid w:val="00076ADF"/>
    <w:rsid w:val="00087B39"/>
    <w:rsid w:val="00090F47"/>
    <w:rsid w:val="00093DE0"/>
    <w:rsid w:val="00095701"/>
    <w:rsid w:val="000960BA"/>
    <w:rsid w:val="00096502"/>
    <w:rsid w:val="00097E3F"/>
    <w:rsid w:val="000A0CDA"/>
    <w:rsid w:val="000A3061"/>
    <w:rsid w:val="000A4385"/>
    <w:rsid w:val="000A49BB"/>
    <w:rsid w:val="000A5670"/>
    <w:rsid w:val="000B3D8D"/>
    <w:rsid w:val="000B68FA"/>
    <w:rsid w:val="000B7071"/>
    <w:rsid w:val="000C3441"/>
    <w:rsid w:val="000C60BA"/>
    <w:rsid w:val="000C6B0C"/>
    <w:rsid w:val="000C6FED"/>
    <w:rsid w:val="000C7582"/>
    <w:rsid w:val="000C7F53"/>
    <w:rsid w:val="000D2215"/>
    <w:rsid w:val="000D2F8E"/>
    <w:rsid w:val="000E12DD"/>
    <w:rsid w:val="000E5728"/>
    <w:rsid w:val="000E7397"/>
    <w:rsid w:val="000F196B"/>
    <w:rsid w:val="000F72D2"/>
    <w:rsid w:val="00105361"/>
    <w:rsid w:val="00106797"/>
    <w:rsid w:val="001101F8"/>
    <w:rsid w:val="00110315"/>
    <w:rsid w:val="00111995"/>
    <w:rsid w:val="0011206F"/>
    <w:rsid w:val="00114D4F"/>
    <w:rsid w:val="00115815"/>
    <w:rsid w:val="0011656A"/>
    <w:rsid w:val="00120E2F"/>
    <w:rsid w:val="0012220C"/>
    <w:rsid w:val="00131F37"/>
    <w:rsid w:val="00134E8C"/>
    <w:rsid w:val="00136EA3"/>
    <w:rsid w:val="00137575"/>
    <w:rsid w:val="00137CE2"/>
    <w:rsid w:val="00140323"/>
    <w:rsid w:val="00144231"/>
    <w:rsid w:val="00145470"/>
    <w:rsid w:val="0014781D"/>
    <w:rsid w:val="00150434"/>
    <w:rsid w:val="0015344E"/>
    <w:rsid w:val="001554E5"/>
    <w:rsid w:val="00155721"/>
    <w:rsid w:val="00156438"/>
    <w:rsid w:val="001579E5"/>
    <w:rsid w:val="0016503F"/>
    <w:rsid w:val="0016674F"/>
    <w:rsid w:val="00167CA0"/>
    <w:rsid w:val="00167D8D"/>
    <w:rsid w:val="0017120D"/>
    <w:rsid w:val="001714F6"/>
    <w:rsid w:val="00176168"/>
    <w:rsid w:val="00176FD4"/>
    <w:rsid w:val="00177158"/>
    <w:rsid w:val="0018146E"/>
    <w:rsid w:val="00184FD4"/>
    <w:rsid w:val="00186B04"/>
    <w:rsid w:val="00186F1E"/>
    <w:rsid w:val="001902FB"/>
    <w:rsid w:val="00190836"/>
    <w:rsid w:val="00190B4F"/>
    <w:rsid w:val="00193930"/>
    <w:rsid w:val="00194B36"/>
    <w:rsid w:val="001963A5"/>
    <w:rsid w:val="00196F1E"/>
    <w:rsid w:val="00197FCA"/>
    <w:rsid w:val="001A0EF8"/>
    <w:rsid w:val="001A27DB"/>
    <w:rsid w:val="001A3571"/>
    <w:rsid w:val="001A6852"/>
    <w:rsid w:val="001A7BFA"/>
    <w:rsid w:val="001B02A8"/>
    <w:rsid w:val="001B286A"/>
    <w:rsid w:val="001B2D02"/>
    <w:rsid w:val="001B3647"/>
    <w:rsid w:val="001B77FA"/>
    <w:rsid w:val="001C0ABE"/>
    <w:rsid w:val="001C5852"/>
    <w:rsid w:val="001C7B6D"/>
    <w:rsid w:val="001D0BDB"/>
    <w:rsid w:val="001D3080"/>
    <w:rsid w:val="001D45F0"/>
    <w:rsid w:val="001D5219"/>
    <w:rsid w:val="001D6F62"/>
    <w:rsid w:val="001E1335"/>
    <w:rsid w:val="001E40ED"/>
    <w:rsid w:val="001E4A33"/>
    <w:rsid w:val="001E51BE"/>
    <w:rsid w:val="001E5C27"/>
    <w:rsid w:val="001E6CAF"/>
    <w:rsid w:val="001F0EEB"/>
    <w:rsid w:val="001F110E"/>
    <w:rsid w:val="001F2A2F"/>
    <w:rsid w:val="001F2BEB"/>
    <w:rsid w:val="001F4331"/>
    <w:rsid w:val="001F602B"/>
    <w:rsid w:val="001F6AC8"/>
    <w:rsid w:val="002037D5"/>
    <w:rsid w:val="00205BEB"/>
    <w:rsid w:val="002060F2"/>
    <w:rsid w:val="00206F90"/>
    <w:rsid w:val="00207500"/>
    <w:rsid w:val="00210957"/>
    <w:rsid w:val="002110FD"/>
    <w:rsid w:val="00212B03"/>
    <w:rsid w:val="00214410"/>
    <w:rsid w:val="00215C10"/>
    <w:rsid w:val="00215C2D"/>
    <w:rsid w:val="00224AF6"/>
    <w:rsid w:val="002252C4"/>
    <w:rsid w:val="0022541A"/>
    <w:rsid w:val="0023140A"/>
    <w:rsid w:val="0023183E"/>
    <w:rsid w:val="00232B04"/>
    <w:rsid w:val="00233227"/>
    <w:rsid w:val="00235138"/>
    <w:rsid w:val="002434ED"/>
    <w:rsid w:val="00243E36"/>
    <w:rsid w:val="00244393"/>
    <w:rsid w:val="002452DB"/>
    <w:rsid w:val="0024540B"/>
    <w:rsid w:val="00245EF4"/>
    <w:rsid w:val="00250E11"/>
    <w:rsid w:val="00251383"/>
    <w:rsid w:val="002522C9"/>
    <w:rsid w:val="00252A21"/>
    <w:rsid w:val="00253E4F"/>
    <w:rsid w:val="002542E4"/>
    <w:rsid w:val="00257E7F"/>
    <w:rsid w:val="00261053"/>
    <w:rsid w:val="0026220E"/>
    <w:rsid w:val="00262FDE"/>
    <w:rsid w:val="00263629"/>
    <w:rsid w:val="002641D0"/>
    <w:rsid w:val="002769BD"/>
    <w:rsid w:val="002809EA"/>
    <w:rsid w:val="00280BE8"/>
    <w:rsid w:val="00282CEB"/>
    <w:rsid w:val="00284962"/>
    <w:rsid w:val="00287B0E"/>
    <w:rsid w:val="0029549C"/>
    <w:rsid w:val="002954B9"/>
    <w:rsid w:val="002977EC"/>
    <w:rsid w:val="002A0B53"/>
    <w:rsid w:val="002A0EEF"/>
    <w:rsid w:val="002A62C7"/>
    <w:rsid w:val="002B2316"/>
    <w:rsid w:val="002B2DF7"/>
    <w:rsid w:val="002C01B5"/>
    <w:rsid w:val="002C0E0E"/>
    <w:rsid w:val="002C1D46"/>
    <w:rsid w:val="002C2A0D"/>
    <w:rsid w:val="002C3BF4"/>
    <w:rsid w:val="002C5832"/>
    <w:rsid w:val="002C749F"/>
    <w:rsid w:val="002E1BC5"/>
    <w:rsid w:val="002E5AE1"/>
    <w:rsid w:val="002F059B"/>
    <w:rsid w:val="002F12D7"/>
    <w:rsid w:val="002F24B2"/>
    <w:rsid w:val="002F2ED5"/>
    <w:rsid w:val="002F3756"/>
    <w:rsid w:val="002F5494"/>
    <w:rsid w:val="002F5B0B"/>
    <w:rsid w:val="00300924"/>
    <w:rsid w:val="00305777"/>
    <w:rsid w:val="0030596E"/>
    <w:rsid w:val="00306F5C"/>
    <w:rsid w:val="003073C3"/>
    <w:rsid w:val="003106D7"/>
    <w:rsid w:val="00321D32"/>
    <w:rsid w:val="00323637"/>
    <w:rsid w:val="00324E8A"/>
    <w:rsid w:val="00330760"/>
    <w:rsid w:val="00331382"/>
    <w:rsid w:val="00331D87"/>
    <w:rsid w:val="00332850"/>
    <w:rsid w:val="00334478"/>
    <w:rsid w:val="003346B4"/>
    <w:rsid w:val="00334AE6"/>
    <w:rsid w:val="003365D0"/>
    <w:rsid w:val="00336CCE"/>
    <w:rsid w:val="003439AB"/>
    <w:rsid w:val="00343DC2"/>
    <w:rsid w:val="0034525B"/>
    <w:rsid w:val="003453E4"/>
    <w:rsid w:val="00354695"/>
    <w:rsid w:val="0035549B"/>
    <w:rsid w:val="00355563"/>
    <w:rsid w:val="003755C8"/>
    <w:rsid w:val="00375687"/>
    <w:rsid w:val="00375C20"/>
    <w:rsid w:val="00380753"/>
    <w:rsid w:val="00380AE0"/>
    <w:rsid w:val="00383324"/>
    <w:rsid w:val="00384FD5"/>
    <w:rsid w:val="00385B6A"/>
    <w:rsid w:val="00386AD4"/>
    <w:rsid w:val="00387357"/>
    <w:rsid w:val="00387A75"/>
    <w:rsid w:val="003904FD"/>
    <w:rsid w:val="0039246C"/>
    <w:rsid w:val="00394254"/>
    <w:rsid w:val="0039465F"/>
    <w:rsid w:val="00394D02"/>
    <w:rsid w:val="003A326E"/>
    <w:rsid w:val="003A507D"/>
    <w:rsid w:val="003C2BFB"/>
    <w:rsid w:val="003C3440"/>
    <w:rsid w:val="003C3E2D"/>
    <w:rsid w:val="003C436B"/>
    <w:rsid w:val="003C5337"/>
    <w:rsid w:val="003C5F92"/>
    <w:rsid w:val="003C7FD8"/>
    <w:rsid w:val="003D0F03"/>
    <w:rsid w:val="003D329F"/>
    <w:rsid w:val="003D4C7B"/>
    <w:rsid w:val="003D554A"/>
    <w:rsid w:val="003D7A8C"/>
    <w:rsid w:val="003D7C00"/>
    <w:rsid w:val="003E0EB4"/>
    <w:rsid w:val="003E423D"/>
    <w:rsid w:val="003E5134"/>
    <w:rsid w:val="003E56E5"/>
    <w:rsid w:val="003E6B15"/>
    <w:rsid w:val="003E7051"/>
    <w:rsid w:val="003E7237"/>
    <w:rsid w:val="003E7E60"/>
    <w:rsid w:val="003F00D4"/>
    <w:rsid w:val="003F0592"/>
    <w:rsid w:val="003F2209"/>
    <w:rsid w:val="003F3D39"/>
    <w:rsid w:val="003F646A"/>
    <w:rsid w:val="003F6761"/>
    <w:rsid w:val="003F6A0A"/>
    <w:rsid w:val="004024F5"/>
    <w:rsid w:val="00402DE1"/>
    <w:rsid w:val="00403D8B"/>
    <w:rsid w:val="004058F1"/>
    <w:rsid w:val="00407E7D"/>
    <w:rsid w:val="0041076A"/>
    <w:rsid w:val="0041283D"/>
    <w:rsid w:val="00413AB4"/>
    <w:rsid w:val="00413BDF"/>
    <w:rsid w:val="00415EBC"/>
    <w:rsid w:val="004161D2"/>
    <w:rsid w:val="0042037B"/>
    <w:rsid w:val="00421373"/>
    <w:rsid w:val="004215DA"/>
    <w:rsid w:val="00421FB7"/>
    <w:rsid w:val="0042763B"/>
    <w:rsid w:val="00427D1C"/>
    <w:rsid w:val="0043024C"/>
    <w:rsid w:val="00431A0D"/>
    <w:rsid w:val="004321C9"/>
    <w:rsid w:val="00433FEC"/>
    <w:rsid w:val="004359DD"/>
    <w:rsid w:val="00436706"/>
    <w:rsid w:val="004367EC"/>
    <w:rsid w:val="00443D38"/>
    <w:rsid w:val="00445245"/>
    <w:rsid w:val="00446CEC"/>
    <w:rsid w:val="004473C2"/>
    <w:rsid w:val="00447D5F"/>
    <w:rsid w:val="00450E7A"/>
    <w:rsid w:val="00456AF8"/>
    <w:rsid w:val="00464941"/>
    <w:rsid w:val="00464D98"/>
    <w:rsid w:val="00466952"/>
    <w:rsid w:val="00470B15"/>
    <w:rsid w:val="00472BCC"/>
    <w:rsid w:val="00475869"/>
    <w:rsid w:val="00475A77"/>
    <w:rsid w:val="004765AC"/>
    <w:rsid w:val="004776A8"/>
    <w:rsid w:val="00477EF1"/>
    <w:rsid w:val="004801EB"/>
    <w:rsid w:val="00482DDC"/>
    <w:rsid w:val="00483784"/>
    <w:rsid w:val="00483E6C"/>
    <w:rsid w:val="00484421"/>
    <w:rsid w:val="00485129"/>
    <w:rsid w:val="004866A9"/>
    <w:rsid w:val="0048687E"/>
    <w:rsid w:val="00490FB8"/>
    <w:rsid w:val="00492774"/>
    <w:rsid w:val="0049421F"/>
    <w:rsid w:val="00496D7A"/>
    <w:rsid w:val="00496FBC"/>
    <w:rsid w:val="004A31BC"/>
    <w:rsid w:val="004A3F1A"/>
    <w:rsid w:val="004A3F45"/>
    <w:rsid w:val="004B1AFA"/>
    <w:rsid w:val="004B1D73"/>
    <w:rsid w:val="004B2AA2"/>
    <w:rsid w:val="004B2C80"/>
    <w:rsid w:val="004B6047"/>
    <w:rsid w:val="004B7088"/>
    <w:rsid w:val="004C5090"/>
    <w:rsid w:val="004C5B76"/>
    <w:rsid w:val="004C6EC9"/>
    <w:rsid w:val="004D02CD"/>
    <w:rsid w:val="004D0B24"/>
    <w:rsid w:val="004D4B90"/>
    <w:rsid w:val="004D56A4"/>
    <w:rsid w:val="004D6B95"/>
    <w:rsid w:val="004D7F41"/>
    <w:rsid w:val="004E03A2"/>
    <w:rsid w:val="004E1095"/>
    <w:rsid w:val="004E205F"/>
    <w:rsid w:val="004E2765"/>
    <w:rsid w:val="004E317E"/>
    <w:rsid w:val="004E3954"/>
    <w:rsid w:val="004E5856"/>
    <w:rsid w:val="004E6E98"/>
    <w:rsid w:val="004F2330"/>
    <w:rsid w:val="004F39C7"/>
    <w:rsid w:val="004F53C6"/>
    <w:rsid w:val="004F619E"/>
    <w:rsid w:val="004F62B5"/>
    <w:rsid w:val="004F69DB"/>
    <w:rsid w:val="004F6B87"/>
    <w:rsid w:val="005006DE"/>
    <w:rsid w:val="00501C2D"/>
    <w:rsid w:val="00502637"/>
    <w:rsid w:val="0050525A"/>
    <w:rsid w:val="005078DF"/>
    <w:rsid w:val="00507EE9"/>
    <w:rsid w:val="00511018"/>
    <w:rsid w:val="00511140"/>
    <w:rsid w:val="00511F86"/>
    <w:rsid w:val="00513CFE"/>
    <w:rsid w:val="00516EDB"/>
    <w:rsid w:val="0052260A"/>
    <w:rsid w:val="0052384A"/>
    <w:rsid w:val="00523B6A"/>
    <w:rsid w:val="00525F6C"/>
    <w:rsid w:val="005264D9"/>
    <w:rsid w:val="005319D8"/>
    <w:rsid w:val="005319E1"/>
    <w:rsid w:val="00534941"/>
    <w:rsid w:val="00542BBF"/>
    <w:rsid w:val="00546AB4"/>
    <w:rsid w:val="005514E5"/>
    <w:rsid w:val="00553500"/>
    <w:rsid w:val="0055765C"/>
    <w:rsid w:val="00560056"/>
    <w:rsid w:val="00563C84"/>
    <w:rsid w:val="00567AF3"/>
    <w:rsid w:val="005762F6"/>
    <w:rsid w:val="00584FBE"/>
    <w:rsid w:val="00585483"/>
    <w:rsid w:val="00587378"/>
    <w:rsid w:val="00587C05"/>
    <w:rsid w:val="00590AAB"/>
    <w:rsid w:val="0059116F"/>
    <w:rsid w:val="005938C3"/>
    <w:rsid w:val="0059468C"/>
    <w:rsid w:val="005947AA"/>
    <w:rsid w:val="00595125"/>
    <w:rsid w:val="005957EA"/>
    <w:rsid w:val="00596A56"/>
    <w:rsid w:val="00596F21"/>
    <w:rsid w:val="005A0A8C"/>
    <w:rsid w:val="005A3E7D"/>
    <w:rsid w:val="005A7B8E"/>
    <w:rsid w:val="005B1CDD"/>
    <w:rsid w:val="005B1E19"/>
    <w:rsid w:val="005B55FC"/>
    <w:rsid w:val="005B6256"/>
    <w:rsid w:val="005B6456"/>
    <w:rsid w:val="005C2D5E"/>
    <w:rsid w:val="005C3B81"/>
    <w:rsid w:val="005C650C"/>
    <w:rsid w:val="005C6F8A"/>
    <w:rsid w:val="005D086C"/>
    <w:rsid w:val="005D11D3"/>
    <w:rsid w:val="005D29AF"/>
    <w:rsid w:val="005D2DA9"/>
    <w:rsid w:val="005D4E1F"/>
    <w:rsid w:val="005D4FB3"/>
    <w:rsid w:val="005E0B58"/>
    <w:rsid w:val="005E2F07"/>
    <w:rsid w:val="005E2FEA"/>
    <w:rsid w:val="005E536E"/>
    <w:rsid w:val="005F314B"/>
    <w:rsid w:val="005F722D"/>
    <w:rsid w:val="00611AF2"/>
    <w:rsid w:val="0061212B"/>
    <w:rsid w:val="006127AF"/>
    <w:rsid w:val="0061311D"/>
    <w:rsid w:val="00615D12"/>
    <w:rsid w:val="00615FB2"/>
    <w:rsid w:val="00617BD1"/>
    <w:rsid w:val="00617CE8"/>
    <w:rsid w:val="00625930"/>
    <w:rsid w:val="0062693E"/>
    <w:rsid w:val="006278A0"/>
    <w:rsid w:val="0063095F"/>
    <w:rsid w:val="006338B0"/>
    <w:rsid w:val="006346DF"/>
    <w:rsid w:val="00642D36"/>
    <w:rsid w:val="006436B1"/>
    <w:rsid w:val="00644B58"/>
    <w:rsid w:val="00644E36"/>
    <w:rsid w:val="00646AC2"/>
    <w:rsid w:val="00650390"/>
    <w:rsid w:val="00651080"/>
    <w:rsid w:val="00654DAB"/>
    <w:rsid w:val="0066204A"/>
    <w:rsid w:val="00670E3C"/>
    <w:rsid w:val="00675ED3"/>
    <w:rsid w:val="00677092"/>
    <w:rsid w:val="006770E6"/>
    <w:rsid w:val="00677F57"/>
    <w:rsid w:val="00680FC5"/>
    <w:rsid w:val="00681088"/>
    <w:rsid w:val="00682DDD"/>
    <w:rsid w:val="00691264"/>
    <w:rsid w:val="00692E7B"/>
    <w:rsid w:val="0069577E"/>
    <w:rsid w:val="0069634B"/>
    <w:rsid w:val="00696623"/>
    <w:rsid w:val="006974C3"/>
    <w:rsid w:val="006A04E9"/>
    <w:rsid w:val="006A268F"/>
    <w:rsid w:val="006A30D0"/>
    <w:rsid w:val="006A4A03"/>
    <w:rsid w:val="006A531E"/>
    <w:rsid w:val="006A55DB"/>
    <w:rsid w:val="006A585F"/>
    <w:rsid w:val="006A72FA"/>
    <w:rsid w:val="006A7543"/>
    <w:rsid w:val="006B43B7"/>
    <w:rsid w:val="006B5DEE"/>
    <w:rsid w:val="006B64BA"/>
    <w:rsid w:val="006B6EDE"/>
    <w:rsid w:val="006B725C"/>
    <w:rsid w:val="006C273D"/>
    <w:rsid w:val="006C5C4F"/>
    <w:rsid w:val="006C6181"/>
    <w:rsid w:val="006C6282"/>
    <w:rsid w:val="006C65E6"/>
    <w:rsid w:val="006C762A"/>
    <w:rsid w:val="006D10CD"/>
    <w:rsid w:val="006D1523"/>
    <w:rsid w:val="006D42F5"/>
    <w:rsid w:val="006D5FF9"/>
    <w:rsid w:val="006E0772"/>
    <w:rsid w:val="006E0F86"/>
    <w:rsid w:val="006F0B15"/>
    <w:rsid w:val="006F0DCC"/>
    <w:rsid w:val="006F25F3"/>
    <w:rsid w:val="00703DF9"/>
    <w:rsid w:val="007048EB"/>
    <w:rsid w:val="00704FBB"/>
    <w:rsid w:val="0070726A"/>
    <w:rsid w:val="0070729B"/>
    <w:rsid w:val="00711094"/>
    <w:rsid w:val="007121BC"/>
    <w:rsid w:val="0071226B"/>
    <w:rsid w:val="0071334E"/>
    <w:rsid w:val="00714838"/>
    <w:rsid w:val="00714868"/>
    <w:rsid w:val="0071624C"/>
    <w:rsid w:val="0071674C"/>
    <w:rsid w:val="00717040"/>
    <w:rsid w:val="00717184"/>
    <w:rsid w:val="007234C7"/>
    <w:rsid w:val="007304EE"/>
    <w:rsid w:val="007339B7"/>
    <w:rsid w:val="00735E0A"/>
    <w:rsid w:val="00753168"/>
    <w:rsid w:val="00766CC0"/>
    <w:rsid w:val="00772720"/>
    <w:rsid w:val="00773F5E"/>
    <w:rsid w:val="007750A2"/>
    <w:rsid w:val="00775CDC"/>
    <w:rsid w:val="007817D6"/>
    <w:rsid w:val="00787912"/>
    <w:rsid w:val="0079177A"/>
    <w:rsid w:val="00791CFA"/>
    <w:rsid w:val="00794836"/>
    <w:rsid w:val="007948D5"/>
    <w:rsid w:val="007A15C9"/>
    <w:rsid w:val="007A21C5"/>
    <w:rsid w:val="007A2F1B"/>
    <w:rsid w:val="007A6676"/>
    <w:rsid w:val="007A6766"/>
    <w:rsid w:val="007A67B3"/>
    <w:rsid w:val="007B7FF5"/>
    <w:rsid w:val="007C3FC6"/>
    <w:rsid w:val="007D1B12"/>
    <w:rsid w:val="007D2CE9"/>
    <w:rsid w:val="007D4951"/>
    <w:rsid w:val="007D4FED"/>
    <w:rsid w:val="007D69DA"/>
    <w:rsid w:val="007D70B1"/>
    <w:rsid w:val="007D7140"/>
    <w:rsid w:val="007E12CD"/>
    <w:rsid w:val="007E1C73"/>
    <w:rsid w:val="007E1CDB"/>
    <w:rsid w:val="007E3302"/>
    <w:rsid w:val="007E408C"/>
    <w:rsid w:val="007E42E7"/>
    <w:rsid w:val="007E7E21"/>
    <w:rsid w:val="007E7E35"/>
    <w:rsid w:val="007F0460"/>
    <w:rsid w:val="007F0DA2"/>
    <w:rsid w:val="007F23B8"/>
    <w:rsid w:val="007F39CE"/>
    <w:rsid w:val="007F5E0D"/>
    <w:rsid w:val="007F6F3F"/>
    <w:rsid w:val="00801085"/>
    <w:rsid w:val="00801A89"/>
    <w:rsid w:val="00805038"/>
    <w:rsid w:val="00810FB9"/>
    <w:rsid w:val="00812138"/>
    <w:rsid w:val="008151F2"/>
    <w:rsid w:val="0081777A"/>
    <w:rsid w:val="00817D36"/>
    <w:rsid w:val="008210E0"/>
    <w:rsid w:val="00824079"/>
    <w:rsid w:val="00831F0A"/>
    <w:rsid w:val="00833A78"/>
    <w:rsid w:val="008356E6"/>
    <w:rsid w:val="00841436"/>
    <w:rsid w:val="0084585F"/>
    <w:rsid w:val="008462B4"/>
    <w:rsid w:val="00846A62"/>
    <w:rsid w:val="0085047C"/>
    <w:rsid w:val="008514A9"/>
    <w:rsid w:val="00853E53"/>
    <w:rsid w:val="0086115F"/>
    <w:rsid w:val="008615FF"/>
    <w:rsid w:val="00864D76"/>
    <w:rsid w:val="00865159"/>
    <w:rsid w:val="008656C9"/>
    <w:rsid w:val="0086711C"/>
    <w:rsid w:val="00867535"/>
    <w:rsid w:val="00875C5B"/>
    <w:rsid w:val="00880E16"/>
    <w:rsid w:val="00883C5F"/>
    <w:rsid w:val="0089045F"/>
    <w:rsid w:val="00891C7D"/>
    <w:rsid w:val="00892FA7"/>
    <w:rsid w:val="0089358C"/>
    <w:rsid w:val="00896B4D"/>
    <w:rsid w:val="00896F44"/>
    <w:rsid w:val="008A3301"/>
    <w:rsid w:val="008A4DF1"/>
    <w:rsid w:val="008A5636"/>
    <w:rsid w:val="008B0BA0"/>
    <w:rsid w:val="008B125E"/>
    <w:rsid w:val="008B241C"/>
    <w:rsid w:val="008B408B"/>
    <w:rsid w:val="008B41DB"/>
    <w:rsid w:val="008B4F11"/>
    <w:rsid w:val="008C2362"/>
    <w:rsid w:val="008C3049"/>
    <w:rsid w:val="008C6F2C"/>
    <w:rsid w:val="008C7780"/>
    <w:rsid w:val="008D232D"/>
    <w:rsid w:val="008D4794"/>
    <w:rsid w:val="008D4AE9"/>
    <w:rsid w:val="008D5CF3"/>
    <w:rsid w:val="008D5E21"/>
    <w:rsid w:val="008D62AF"/>
    <w:rsid w:val="008D7D39"/>
    <w:rsid w:val="008E2510"/>
    <w:rsid w:val="008E3AA1"/>
    <w:rsid w:val="008E4574"/>
    <w:rsid w:val="008F4016"/>
    <w:rsid w:val="008F42FE"/>
    <w:rsid w:val="008F4A00"/>
    <w:rsid w:val="008F5402"/>
    <w:rsid w:val="0090053A"/>
    <w:rsid w:val="00900EB3"/>
    <w:rsid w:val="00901C2A"/>
    <w:rsid w:val="00902F72"/>
    <w:rsid w:val="009032DC"/>
    <w:rsid w:val="00904D49"/>
    <w:rsid w:val="009076F9"/>
    <w:rsid w:val="009118C7"/>
    <w:rsid w:val="009201A0"/>
    <w:rsid w:val="009223A1"/>
    <w:rsid w:val="009225B6"/>
    <w:rsid w:val="009243A0"/>
    <w:rsid w:val="00925397"/>
    <w:rsid w:val="0093329E"/>
    <w:rsid w:val="00933A21"/>
    <w:rsid w:val="00934C10"/>
    <w:rsid w:val="0093541F"/>
    <w:rsid w:val="0093662A"/>
    <w:rsid w:val="009375C3"/>
    <w:rsid w:val="00940345"/>
    <w:rsid w:val="0094060C"/>
    <w:rsid w:val="00943782"/>
    <w:rsid w:val="00944075"/>
    <w:rsid w:val="00945FA1"/>
    <w:rsid w:val="00947E32"/>
    <w:rsid w:val="009533AB"/>
    <w:rsid w:val="00953BBA"/>
    <w:rsid w:val="00955A4A"/>
    <w:rsid w:val="00955A7E"/>
    <w:rsid w:val="00956E5D"/>
    <w:rsid w:val="00957311"/>
    <w:rsid w:val="009606A5"/>
    <w:rsid w:val="0096288B"/>
    <w:rsid w:val="00962A90"/>
    <w:rsid w:val="00962F1F"/>
    <w:rsid w:val="00963702"/>
    <w:rsid w:val="00965304"/>
    <w:rsid w:val="00971293"/>
    <w:rsid w:val="00973A3B"/>
    <w:rsid w:val="00973C8C"/>
    <w:rsid w:val="009808AB"/>
    <w:rsid w:val="00982532"/>
    <w:rsid w:val="00982B0B"/>
    <w:rsid w:val="00983EAE"/>
    <w:rsid w:val="00984816"/>
    <w:rsid w:val="0098760B"/>
    <w:rsid w:val="00991EF7"/>
    <w:rsid w:val="0099406B"/>
    <w:rsid w:val="009A11DD"/>
    <w:rsid w:val="009B30AA"/>
    <w:rsid w:val="009B49FD"/>
    <w:rsid w:val="009B5217"/>
    <w:rsid w:val="009C4798"/>
    <w:rsid w:val="009C48DE"/>
    <w:rsid w:val="009C677B"/>
    <w:rsid w:val="009C7861"/>
    <w:rsid w:val="009E1E1E"/>
    <w:rsid w:val="009E20D2"/>
    <w:rsid w:val="009E33E3"/>
    <w:rsid w:val="009E5590"/>
    <w:rsid w:val="009E7F16"/>
    <w:rsid w:val="009F2957"/>
    <w:rsid w:val="009F4871"/>
    <w:rsid w:val="009F5052"/>
    <w:rsid w:val="00A00842"/>
    <w:rsid w:val="00A02A1C"/>
    <w:rsid w:val="00A0334A"/>
    <w:rsid w:val="00A04C85"/>
    <w:rsid w:val="00A06639"/>
    <w:rsid w:val="00A100F0"/>
    <w:rsid w:val="00A11541"/>
    <w:rsid w:val="00A12B2F"/>
    <w:rsid w:val="00A13C4C"/>
    <w:rsid w:val="00A13F4C"/>
    <w:rsid w:val="00A15041"/>
    <w:rsid w:val="00A156E6"/>
    <w:rsid w:val="00A220E8"/>
    <w:rsid w:val="00A257C5"/>
    <w:rsid w:val="00A27D86"/>
    <w:rsid w:val="00A316C0"/>
    <w:rsid w:val="00A32164"/>
    <w:rsid w:val="00A3290B"/>
    <w:rsid w:val="00A33151"/>
    <w:rsid w:val="00A35317"/>
    <w:rsid w:val="00A36970"/>
    <w:rsid w:val="00A36F09"/>
    <w:rsid w:val="00A41EB4"/>
    <w:rsid w:val="00A4250D"/>
    <w:rsid w:val="00A44BFF"/>
    <w:rsid w:val="00A47B55"/>
    <w:rsid w:val="00A501E3"/>
    <w:rsid w:val="00A50F0C"/>
    <w:rsid w:val="00A53A5D"/>
    <w:rsid w:val="00A56441"/>
    <w:rsid w:val="00A651B7"/>
    <w:rsid w:val="00A72829"/>
    <w:rsid w:val="00A72CAE"/>
    <w:rsid w:val="00A736DD"/>
    <w:rsid w:val="00A73A82"/>
    <w:rsid w:val="00A76E78"/>
    <w:rsid w:val="00A774EA"/>
    <w:rsid w:val="00A809FF"/>
    <w:rsid w:val="00A82869"/>
    <w:rsid w:val="00A85894"/>
    <w:rsid w:val="00A8758C"/>
    <w:rsid w:val="00A87CF0"/>
    <w:rsid w:val="00A91006"/>
    <w:rsid w:val="00A92BAF"/>
    <w:rsid w:val="00A93381"/>
    <w:rsid w:val="00A96BF0"/>
    <w:rsid w:val="00AA127E"/>
    <w:rsid w:val="00AA19AE"/>
    <w:rsid w:val="00AA423D"/>
    <w:rsid w:val="00AA6A95"/>
    <w:rsid w:val="00AB10DE"/>
    <w:rsid w:val="00AB3460"/>
    <w:rsid w:val="00AB3668"/>
    <w:rsid w:val="00AB4940"/>
    <w:rsid w:val="00AB4C2D"/>
    <w:rsid w:val="00AB5ED7"/>
    <w:rsid w:val="00AB70B6"/>
    <w:rsid w:val="00AC0B4C"/>
    <w:rsid w:val="00AC1F35"/>
    <w:rsid w:val="00AD0AEE"/>
    <w:rsid w:val="00AD49E3"/>
    <w:rsid w:val="00AD4B4F"/>
    <w:rsid w:val="00AD74C2"/>
    <w:rsid w:val="00AE185E"/>
    <w:rsid w:val="00AE48F5"/>
    <w:rsid w:val="00AF0616"/>
    <w:rsid w:val="00AF0E28"/>
    <w:rsid w:val="00AF6AB3"/>
    <w:rsid w:val="00AF6F9B"/>
    <w:rsid w:val="00B01409"/>
    <w:rsid w:val="00B068BF"/>
    <w:rsid w:val="00B10DBD"/>
    <w:rsid w:val="00B12EC5"/>
    <w:rsid w:val="00B15535"/>
    <w:rsid w:val="00B15629"/>
    <w:rsid w:val="00B17C17"/>
    <w:rsid w:val="00B227B5"/>
    <w:rsid w:val="00B22ED8"/>
    <w:rsid w:val="00B2372C"/>
    <w:rsid w:val="00B30E1A"/>
    <w:rsid w:val="00B317DB"/>
    <w:rsid w:val="00B32F70"/>
    <w:rsid w:val="00B3365D"/>
    <w:rsid w:val="00B341DE"/>
    <w:rsid w:val="00B35D0B"/>
    <w:rsid w:val="00B373D0"/>
    <w:rsid w:val="00B37F84"/>
    <w:rsid w:val="00B40E18"/>
    <w:rsid w:val="00B43AAA"/>
    <w:rsid w:val="00B44A10"/>
    <w:rsid w:val="00B45FB7"/>
    <w:rsid w:val="00B52128"/>
    <w:rsid w:val="00B53139"/>
    <w:rsid w:val="00B54785"/>
    <w:rsid w:val="00B547D7"/>
    <w:rsid w:val="00B562CE"/>
    <w:rsid w:val="00B60B84"/>
    <w:rsid w:val="00B62DE2"/>
    <w:rsid w:val="00B650AB"/>
    <w:rsid w:val="00B70412"/>
    <w:rsid w:val="00B74417"/>
    <w:rsid w:val="00B74D36"/>
    <w:rsid w:val="00B757F4"/>
    <w:rsid w:val="00B760E0"/>
    <w:rsid w:val="00B77246"/>
    <w:rsid w:val="00B777AE"/>
    <w:rsid w:val="00B82982"/>
    <w:rsid w:val="00B82A90"/>
    <w:rsid w:val="00B857CC"/>
    <w:rsid w:val="00B86350"/>
    <w:rsid w:val="00B866CD"/>
    <w:rsid w:val="00B93034"/>
    <w:rsid w:val="00B96F3F"/>
    <w:rsid w:val="00B97C5D"/>
    <w:rsid w:val="00BA1290"/>
    <w:rsid w:val="00BA3101"/>
    <w:rsid w:val="00BA4244"/>
    <w:rsid w:val="00BB2792"/>
    <w:rsid w:val="00BB76BF"/>
    <w:rsid w:val="00BC1AD1"/>
    <w:rsid w:val="00BC2360"/>
    <w:rsid w:val="00BC4167"/>
    <w:rsid w:val="00BC4A58"/>
    <w:rsid w:val="00BC5878"/>
    <w:rsid w:val="00BC5AB9"/>
    <w:rsid w:val="00BC613B"/>
    <w:rsid w:val="00BC6C7B"/>
    <w:rsid w:val="00BD0343"/>
    <w:rsid w:val="00BD083E"/>
    <w:rsid w:val="00BD1B7A"/>
    <w:rsid w:val="00BD51D9"/>
    <w:rsid w:val="00BD5C76"/>
    <w:rsid w:val="00BD64E2"/>
    <w:rsid w:val="00BE1818"/>
    <w:rsid w:val="00BE3320"/>
    <w:rsid w:val="00BE4995"/>
    <w:rsid w:val="00BF429A"/>
    <w:rsid w:val="00BF62BE"/>
    <w:rsid w:val="00BF6E19"/>
    <w:rsid w:val="00C013F8"/>
    <w:rsid w:val="00C07126"/>
    <w:rsid w:val="00C155BD"/>
    <w:rsid w:val="00C16853"/>
    <w:rsid w:val="00C21827"/>
    <w:rsid w:val="00C23554"/>
    <w:rsid w:val="00C263F0"/>
    <w:rsid w:val="00C33D41"/>
    <w:rsid w:val="00C34146"/>
    <w:rsid w:val="00C40106"/>
    <w:rsid w:val="00C40AFD"/>
    <w:rsid w:val="00C41E20"/>
    <w:rsid w:val="00C42E3E"/>
    <w:rsid w:val="00C44D14"/>
    <w:rsid w:val="00C4635C"/>
    <w:rsid w:val="00C51C13"/>
    <w:rsid w:val="00C51EBA"/>
    <w:rsid w:val="00C51ECB"/>
    <w:rsid w:val="00C525A5"/>
    <w:rsid w:val="00C5300F"/>
    <w:rsid w:val="00C542E2"/>
    <w:rsid w:val="00C57A3C"/>
    <w:rsid w:val="00C57BF3"/>
    <w:rsid w:val="00C6035D"/>
    <w:rsid w:val="00C61739"/>
    <w:rsid w:val="00C64281"/>
    <w:rsid w:val="00C66CE0"/>
    <w:rsid w:val="00C70486"/>
    <w:rsid w:val="00C717C5"/>
    <w:rsid w:val="00C71BED"/>
    <w:rsid w:val="00C747C0"/>
    <w:rsid w:val="00C76B75"/>
    <w:rsid w:val="00C819EC"/>
    <w:rsid w:val="00C81B53"/>
    <w:rsid w:val="00C82AD2"/>
    <w:rsid w:val="00C9090C"/>
    <w:rsid w:val="00C90AF8"/>
    <w:rsid w:val="00C90FB6"/>
    <w:rsid w:val="00C9220E"/>
    <w:rsid w:val="00C932BD"/>
    <w:rsid w:val="00C93429"/>
    <w:rsid w:val="00CA16C5"/>
    <w:rsid w:val="00CA1AE9"/>
    <w:rsid w:val="00CA415A"/>
    <w:rsid w:val="00CA4796"/>
    <w:rsid w:val="00CA5F85"/>
    <w:rsid w:val="00CA7A35"/>
    <w:rsid w:val="00CB1536"/>
    <w:rsid w:val="00CB18D3"/>
    <w:rsid w:val="00CB3209"/>
    <w:rsid w:val="00CB5F3C"/>
    <w:rsid w:val="00CB7FB8"/>
    <w:rsid w:val="00CB7FE8"/>
    <w:rsid w:val="00CC1F71"/>
    <w:rsid w:val="00CC27C4"/>
    <w:rsid w:val="00CC3596"/>
    <w:rsid w:val="00CC5EB3"/>
    <w:rsid w:val="00CD0E7B"/>
    <w:rsid w:val="00CD2ABD"/>
    <w:rsid w:val="00CD4024"/>
    <w:rsid w:val="00CD4617"/>
    <w:rsid w:val="00CD4855"/>
    <w:rsid w:val="00CD4C3C"/>
    <w:rsid w:val="00CE229A"/>
    <w:rsid w:val="00CE6D43"/>
    <w:rsid w:val="00CE7644"/>
    <w:rsid w:val="00CE7888"/>
    <w:rsid w:val="00CE7FFC"/>
    <w:rsid w:val="00CF30BD"/>
    <w:rsid w:val="00CF75B3"/>
    <w:rsid w:val="00D06B82"/>
    <w:rsid w:val="00D10E1C"/>
    <w:rsid w:val="00D14774"/>
    <w:rsid w:val="00D161A3"/>
    <w:rsid w:val="00D17605"/>
    <w:rsid w:val="00D21B5F"/>
    <w:rsid w:val="00D22E49"/>
    <w:rsid w:val="00D23716"/>
    <w:rsid w:val="00D25ED8"/>
    <w:rsid w:val="00D27F8F"/>
    <w:rsid w:val="00D316B8"/>
    <w:rsid w:val="00D31CFC"/>
    <w:rsid w:val="00D3255D"/>
    <w:rsid w:val="00D340C3"/>
    <w:rsid w:val="00D409CD"/>
    <w:rsid w:val="00D4195A"/>
    <w:rsid w:val="00D423D4"/>
    <w:rsid w:val="00D42CAF"/>
    <w:rsid w:val="00D4763B"/>
    <w:rsid w:val="00D5251D"/>
    <w:rsid w:val="00D53136"/>
    <w:rsid w:val="00D54E13"/>
    <w:rsid w:val="00D56161"/>
    <w:rsid w:val="00D57311"/>
    <w:rsid w:val="00D5C535"/>
    <w:rsid w:val="00D601EF"/>
    <w:rsid w:val="00D61533"/>
    <w:rsid w:val="00D6277E"/>
    <w:rsid w:val="00D63B2F"/>
    <w:rsid w:val="00D70747"/>
    <w:rsid w:val="00D70BF4"/>
    <w:rsid w:val="00D71E1A"/>
    <w:rsid w:val="00D7261D"/>
    <w:rsid w:val="00D74CF8"/>
    <w:rsid w:val="00D755FC"/>
    <w:rsid w:val="00D76B6D"/>
    <w:rsid w:val="00D77863"/>
    <w:rsid w:val="00D814E3"/>
    <w:rsid w:val="00D84191"/>
    <w:rsid w:val="00D84D07"/>
    <w:rsid w:val="00D8526A"/>
    <w:rsid w:val="00D875BC"/>
    <w:rsid w:val="00D87616"/>
    <w:rsid w:val="00D90E17"/>
    <w:rsid w:val="00D90E91"/>
    <w:rsid w:val="00D97057"/>
    <w:rsid w:val="00DA15C1"/>
    <w:rsid w:val="00DA4C38"/>
    <w:rsid w:val="00DA6B21"/>
    <w:rsid w:val="00DA6C53"/>
    <w:rsid w:val="00DA7D7A"/>
    <w:rsid w:val="00DB3C80"/>
    <w:rsid w:val="00DB53C1"/>
    <w:rsid w:val="00DB5920"/>
    <w:rsid w:val="00DB7AF7"/>
    <w:rsid w:val="00DC1347"/>
    <w:rsid w:val="00DC1EB1"/>
    <w:rsid w:val="00DC205E"/>
    <w:rsid w:val="00DC39F1"/>
    <w:rsid w:val="00DC6473"/>
    <w:rsid w:val="00DC736F"/>
    <w:rsid w:val="00DD2E80"/>
    <w:rsid w:val="00DD31A7"/>
    <w:rsid w:val="00DD4BCA"/>
    <w:rsid w:val="00DE03B9"/>
    <w:rsid w:val="00DE20F2"/>
    <w:rsid w:val="00DE4B35"/>
    <w:rsid w:val="00DE6DAE"/>
    <w:rsid w:val="00DF19C1"/>
    <w:rsid w:val="00DF3C65"/>
    <w:rsid w:val="00DF54CA"/>
    <w:rsid w:val="00DF5B64"/>
    <w:rsid w:val="00E0267D"/>
    <w:rsid w:val="00E02794"/>
    <w:rsid w:val="00E03410"/>
    <w:rsid w:val="00E043E3"/>
    <w:rsid w:val="00E04AC5"/>
    <w:rsid w:val="00E0505B"/>
    <w:rsid w:val="00E11280"/>
    <w:rsid w:val="00E12359"/>
    <w:rsid w:val="00E12A2C"/>
    <w:rsid w:val="00E13B11"/>
    <w:rsid w:val="00E15009"/>
    <w:rsid w:val="00E152FF"/>
    <w:rsid w:val="00E16EA4"/>
    <w:rsid w:val="00E2461B"/>
    <w:rsid w:val="00E24886"/>
    <w:rsid w:val="00E2677C"/>
    <w:rsid w:val="00E276FB"/>
    <w:rsid w:val="00E3091B"/>
    <w:rsid w:val="00E32595"/>
    <w:rsid w:val="00E33A74"/>
    <w:rsid w:val="00E33D8D"/>
    <w:rsid w:val="00E33F30"/>
    <w:rsid w:val="00E36884"/>
    <w:rsid w:val="00E4030B"/>
    <w:rsid w:val="00E41D56"/>
    <w:rsid w:val="00E457DF"/>
    <w:rsid w:val="00E45883"/>
    <w:rsid w:val="00E4653D"/>
    <w:rsid w:val="00E46642"/>
    <w:rsid w:val="00E5139A"/>
    <w:rsid w:val="00E5413D"/>
    <w:rsid w:val="00E57977"/>
    <w:rsid w:val="00E57AAD"/>
    <w:rsid w:val="00E61E79"/>
    <w:rsid w:val="00E635D7"/>
    <w:rsid w:val="00E677CA"/>
    <w:rsid w:val="00E67B8E"/>
    <w:rsid w:val="00E70576"/>
    <w:rsid w:val="00E72527"/>
    <w:rsid w:val="00E83954"/>
    <w:rsid w:val="00E91730"/>
    <w:rsid w:val="00E94A49"/>
    <w:rsid w:val="00E96F04"/>
    <w:rsid w:val="00E97AEC"/>
    <w:rsid w:val="00EA20FE"/>
    <w:rsid w:val="00EA6D67"/>
    <w:rsid w:val="00EA7CA4"/>
    <w:rsid w:val="00EB491E"/>
    <w:rsid w:val="00EB5031"/>
    <w:rsid w:val="00EB681B"/>
    <w:rsid w:val="00EC011B"/>
    <w:rsid w:val="00EC2C54"/>
    <w:rsid w:val="00EC4FAD"/>
    <w:rsid w:val="00EC570F"/>
    <w:rsid w:val="00ED05ED"/>
    <w:rsid w:val="00EE013D"/>
    <w:rsid w:val="00EE3CFA"/>
    <w:rsid w:val="00EE69E4"/>
    <w:rsid w:val="00EF1115"/>
    <w:rsid w:val="00EF236E"/>
    <w:rsid w:val="00EF2A7F"/>
    <w:rsid w:val="00EF68E9"/>
    <w:rsid w:val="00EF723B"/>
    <w:rsid w:val="00EF7E90"/>
    <w:rsid w:val="00F002B6"/>
    <w:rsid w:val="00F02B52"/>
    <w:rsid w:val="00F05080"/>
    <w:rsid w:val="00F10AFE"/>
    <w:rsid w:val="00F12FD9"/>
    <w:rsid w:val="00F15532"/>
    <w:rsid w:val="00F15C6C"/>
    <w:rsid w:val="00F17173"/>
    <w:rsid w:val="00F224DC"/>
    <w:rsid w:val="00F23826"/>
    <w:rsid w:val="00F2687F"/>
    <w:rsid w:val="00F27F29"/>
    <w:rsid w:val="00F32D54"/>
    <w:rsid w:val="00F34046"/>
    <w:rsid w:val="00F36C54"/>
    <w:rsid w:val="00F37795"/>
    <w:rsid w:val="00F418EA"/>
    <w:rsid w:val="00F41A29"/>
    <w:rsid w:val="00F44C1C"/>
    <w:rsid w:val="00F45214"/>
    <w:rsid w:val="00F4645F"/>
    <w:rsid w:val="00F47677"/>
    <w:rsid w:val="00F477C5"/>
    <w:rsid w:val="00F50BEA"/>
    <w:rsid w:val="00F50D74"/>
    <w:rsid w:val="00F518DF"/>
    <w:rsid w:val="00F544DB"/>
    <w:rsid w:val="00F6502E"/>
    <w:rsid w:val="00F65663"/>
    <w:rsid w:val="00F7506E"/>
    <w:rsid w:val="00F756C0"/>
    <w:rsid w:val="00F75A40"/>
    <w:rsid w:val="00F76D2F"/>
    <w:rsid w:val="00F77637"/>
    <w:rsid w:val="00F8088B"/>
    <w:rsid w:val="00F80E3F"/>
    <w:rsid w:val="00F8435D"/>
    <w:rsid w:val="00F87DD0"/>
    <w:rsid w:val="00F91CA8"/>
    <w:rsid w:val="00F9311C"/>
    <w:rsid w:val="00F93360"/>
    <w:rsid w:val="00F93FE4"/>
    <w:rsid w:val="00F94DDF"/>
    <w:rsid w:val="00F969AD"/>
    <w:rsid w:val="00F97E4E"/>
    <w:rsid w:val="00F97FEE"/>
    <w:rsid w:val="00FA217B"/>
    <w:rsid w:val="00FA2D54"/>
    <w:rsid w:val="00FA4982"/>
    <w:rsid w:val="00FB0BC5"/>
    <w:rsid w:val="00FB0BCC"/>
    <w:rsid w:val="00FB150B"/>
    <w:rsid w:val="00FC0FE5"/>
    <w:rsid w:val="00FC3AA1"/>
    <w:rsid w:val="00FD1ABC"/>
    <w:rsid w:val="00FD37E7"/>
    <w:rsid w:val="00FD4DFE"/>
    <w:rsid w:val="00FD7DDF"/>
    <w:rsid w:val="00FE4C92"/>
    <w:rsid w:val="00FF0FAA"/>
    <w:rsid w:val="00FF12D9"/>
    <w:rsid w:val="00FF1FDA"/>
    <w:rsid w:val="00FF4396"/>
    <w:rsid w:val="00FF54AA"/>
    <w:rsid w:val="00FF55CC"/>
    <w:rsid w:val="00FF7F4E"/>
    <w:rsid w:val="032FD688"/>
    <w:rsid w:val="0395C28B"/>
    <w:rsid w:val="0485DDD5"/>
    <w:rsid w:val="048C25D8"/>
    <w:rsid w:val="054830EC"/>
    <w:rsid w:val="0581D9FA"/>
    <w:rsid w:val="060D2366"/>
    <w:rsid w:val="09D5AE94"/>
    <w:rsid w:val="09E6B6CA"/>
    <w:rsid w:val="0A21B78E"/>
    <w:rsid w:val="0D1EE5A8"/>
    <w:rsid w:val="0F67D963"/>
    <w:rsid w:val="131EB2D9"/>
    <w:rsid w:val="147FDA65"/>
    <w:rsid w:val="14FFF7FC"/>
    <w:rsid w:val="16D4F9D5"/>
    <w:rsid w:val="17582EB7"/>
    <w:rsid w:val="1986EFA3"/>
    <w:rsid w:val="19896E0D"/>
    <w:rsid w:val="1A0F88D8"/>
    <w:rsid w:val="1A775334"/>
    <w:rsid w:val="2043F311"/>
    <w:rsid w:val="211A95FA"/>
    <w:rsid w:val="2192193C"/>
    <w:rsid w:val="21BB33AC"/>
    <w:rsid w:val="21F5EB2B"/>
    <w:rsid w:val="262B74D9"/>
    <w:rsid w:val="266B019F"/>
    <w:rsid w:val="26E8A5B8"/>
    <w:rsid w:val="27D6C9D6"/>
    <w:rsid w:val="2A110F74"/>
    <w:rsid w:val="2BDD8B41"/>
    <w:rsid w:val="2D25593D"/>
    <w:rsid w:val="2DA969F9"/>
    <w:rsid w:val="2DC51E15"/>
    <w:rsid w:val="3031E358"/>
    <w:rsid w:val="32647971"/>
    <w:rsid w:val="331D4C9C"/>
    <w:rsid w:val="35356465"/>
    <w:rsid w:val="360C27AF"/>
    <w:rsid w:val="373C2502"/>
    <w:rsid w:val="37AD628D"/>
    <w:rsid w:val="37FFA065"/>
    <w:rsid w:val="38160E0F"/>
    <w:rsid w:val="38243FAE"/>
    <w:rsid w:val="3870A989"/>
    <w:rsid w:val="38FBECB5"/>
    <w:rsid w:val="3AE47B50"/>
    <w:rsid w:val="3B02FA5D"/>
    <w:rsid w:val="3CBF8D56"/>
    <w:rsid w:val="3E7D6C03"/>
    <w:rsid w:val="3F73D173"/>
    <w:rsid w:val="3FD3099D"/>
    <w:rsid w:val="41206B80"/>
    <w:rsid w:val="43CEC60D"/>
    <w:rsid w:val="44B26201"/>
    <w:rsid w:val="4616172C"/>
    <w:rsid w:val="487E2FB1"/>
    <w:rsid w:val="4969D7DA"/>
    <w:rsid w:val="4A610030"/>
    <w:rsid w:val="4AD7CEBD"/>
    <w:rsid w:val="4B05C7E9"/>
    <w:rsid w:val="4CF6D56A"/>
    <w:rsid w:val="4E685AAC"/>
    <w:rsid w:val="50464E2E"/>
    <w:rsid w:val="569C0D6A"/>
    <w:rsid w:val="578E9B73"/>
    <w:rsid w:val="580AF85F"/>
    <w:rsid w:val="588352BB"/>
    <w:rsid w:val="590659A5"/>
    <w:rsid w:val="596C8D0F"/>
    <w:rsid w:val="5A0DF60B"/>
    <w:rsid w:val="5BD4C2AB"/>
    <w:rsid w:val="5BF63534"/>
    <w:rsid w:val="5C195B24"/>
    <w:rsid w:val="5D7B0534"/>
    <w:rsid w:val="5DE0A82A"/>
    <w:rsid w:val="609D383E"/>
    <w:rsid w:val="622EADFC"/>
    <w:rsid w:val="626ABC03"/>
    <w:rsid w:val="629CA86A"/>
    <w:rsid w:val="62BD3E48"/>
    <w:rsid w:val="64653A07"/>
    <w:rsid w:val="65DDD312"/>
    <w:rsid w:val="6635AD98"/>
    <w:rsid w:val="667E3A3C"/>
    <w:rsid w:val="66881E80"/>
    <w:rsid w:val="67B43404"/>
    <w:rsid w:val="67C8FB75"/>
    <w:rsid w:val="67E15BD8"/>
    <w:rsid w:val="68917AD4"/>
    <w:rsid w:val="692333CE"/>
    <w:rsid w:val="6A08A17F"/>
    <w:rsid w:val="6B0CEB2E"/>
    <w:rsid w:val="6B71B044"/>
    <w:rsid w:val="6C1309B3"/>
    <w:rsid w:val="6CB6A6B6"/>
    <w:rsid w:val="6D3ABD2A"/>
    <w:rsid w:val="6EC4CB91"/>
    <w:rsid w:val="6F41833C"/>
    <w:rsid w:val="70C4B145"/>
    <w:rsid w:val="714C0745"/>
    <w:rsid w:val="71FF4D8A"/>
    <w:rsid w:val="72722631"/>
    <w:rsid w:val="7348D7BB"/>
    <w:rsid w:val="74747BF6"/>
    <w:rsid w:val="76F5D5C3"/>
    <w:rsid w:val="77AD5616"/>
    <w:rsid w:val="781BCCEC"/>
    <w:rsid w:val="791CDFC9"/>
    <w:rsid w:val="798596B5"/>
    <w:rsid w:val="7987C7DB"/>
    <w:rsid w:val="79EDFCC8"/>
    <w:rsid w:val="7A25F869"/>
    <w:rsid w:val="7C3CBB35"/>
    <w:rsid w:val="7EA18DB7"/>
    <w:rsid w:val="7EECD12B"/>
    <w:rsid w:val="7F58F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E5229C7"/>
  <w15:docId w15:val="{56932097-87C0-42E1-8174-C51810A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ga-I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5E"/>
    <w:pPr>
      <w:spacing w:line="288" w:lineRule="auto"/>
      <w:jc w:val="both"/>
    </w:pPr>
    <w:rPr>
      <w:lang w:eastAsia="en-US" w:bidi="ar-SA"/>
    </w:rPr>
  </w:style>
  <w:style w:type="paragraph" w:styleId="Heading1">
    <w:name w:val="heading 1"/>
    <w:basedOn w:val="Normal"/>
    <w:next w:val="Normal"/>
    <w:link w:val="Heading1Char"/>
    <w:qFormat/>
    <w:rsid w:val="00AE185E"/>
    <w:pPr>
      <w:numPr>
        <w:numId w:val="8"/>
      </w:numPr>
      <w:ind w:left="567" w:hanging="567"/>
      <w:outlineLvl w:val="0"/>
    </w:pPr>
    <w:rPr>
      <w:kern w:val="28"/>
    </w:rPr>
  </w:style>
  <w:style w:type="paragraph" w:styleId="Heading2">
    <w:name w:val="heading 2"/>
    <w:basedOn w:val="Normal"/>
    <w:next w:val="Normal"/>
    <w:link w:val="Heading2Char"/>
    <w:qFormat/>
    <w:rsid w:val="00AE185E"/>
    <w:pPr>
      <w:numPr>
        <w:ilvl w:val="1"/>
        <w:numId w:val="8"/>
      </w:numPr>
      <w:ind w:left="567" w:hanging="567"/>
      <w:outlineLvl w:val="1"/>
    </w:pPr>
  </w:style>
  <w:style w:type="paragraph" w:styleId="Heading3">
    <w:name w:val="heading 3"/>
    <w:basedOn w:val="Normal"/>
    <w:next w:val="Normal"/>
    <w:link w:val="Heading3Char"/>
    <w:qFormat/>
    <w:rsid w:val="00AE185E"/>
    <w:pPr>
      <w:numPr>
        <w:ilvl w:val="2"/>
        <w:numId w:val="8"/>
      </w:numPr>
      <w:ind w:left="567" w:hanging="567"/>
      <w:outlineLvl w:val="2"/>
    </w:pPr>
  </w:style>
  <w:style w:type="paragraph" w:styleId="Heading4">
    <w:name w:val="heading 4"/>
    <w:basedOn w:val="Normal"/>
    <w:next w:val="Normal"/>
    <w:link w:val="Heading4Char"/>
    <w:qFormat/>
    <w:rsid w:val="00AE185E"/>
    <w:pPr>
      <w:numPr>
        <w:ilvl w:val="3"/>
        <w:numId w:val="8"/>
      </w:numPr>
      <w:ind w:left="567" w:hanging="567"/>
      <w:outlineLvl w:val="3"/>
    </w:pPr>
  </w:style>
  <w:style w:type="paragraph" w:styleId="Heading5">
    <w:name w:val="heading 5"/>
    <w:basedOn w:val="Normal"/>
    <w:next w:val="Normal"/>
    <w:link w:val="Heading5Char"/>
    <w:qFormat/>
    <w:rsid w:val="00AE185E"/>
    <w:pPr>
      <w:numPr>
        <w:ilvl w:val="4"/>
        <w:numId w:val="8"/>
      </w:numPr>
      <w:ind w:left="567" w:hanging="567"/>
      <w:outlineLvl w:val="4"/>
    </w:pPr>
  </w:style>
  <w:style w:type="paragraph" w:styleId="Heading6">
    <w:name w:val="heading 6"/>
    <w:basedOn w:val="Normal"/>
    <w:next w:val="Normal"/>
    <w:link w:val="Heading6Char"/>
    <w:qFormat/>
    <w:rsid w:val="00AE185E"/>
    <w:pPr>
      <w:numPr>
        <w:ilvl w:val="5"/>
        <w:numId w:val="8"/>
      </w:numPr>
      <w:ind w:left="567" w:hanging="567"/>
      <w:outlineLvl w:val="5"/>
    </w:pPr>
  </w:style>
  <w:style w:type="paragraph" w:styleId="Heading7">
    <w:name w:val="heading 7"/>
    <w:basedOn w:val="Normal"/>
    <w:next w:val="Normal"/>
    <w:link w:val="Heading7Char"/>
    <w:qFormat/>
    <w:rsid w:val="00AE185E"/>
    <w:pPr>
      <w:numPr>
        <w:ilvl w:val="6"/>
        <w:numId w:val="8"/>
      </w:numPr>
      <w:ind w:left="567" w:hanging="567"/>
      <w:outlineLvl w:val="6"/>
    </w:pPr>
  </w:style>
  <w:style w:type="paragraph" w:styleId="Heading8">
    <w:name w:val="heading 8"/>
    <w:basedOn w:val="Normal"/>
    <w:next w:val="Normal"/>
    <w:link w:val="Heading8Char"/>
    <w:qFormat/>
    <w:rsid w:val="00AE185E"/>
    <w:pPr>
      <w:numPr>
        <w:ilvl w:val="7"/>
        <w:numId w:val="8"/>
      </w:numPr>
      <w:ind w:left="567" w:hanging="567"/>
      <w:outlineLvl w:val="7"/>
    </w:pPr>
  </w:style>
  <w:style w:type="paragraph" w:styleId="Heading9">
    <w:name w:val="heading 9"/>
    <w:basedOn w:val="Normal"/>
    <w:next w:val="Normal"/>
    <w:link w:val="Heading9Char"/>
    <w:qFormat/>
    <w:rsid w:val="00AE185E"/>
    <w:pPr>
      <w:numPr>
        <w:ilvl w:val="8"/>
        <w:numId w:val="8"/>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ga-IE" w:eastAsia="en-US" w:bidi="ar-SA"/>
    </w:rPr>
  </w:style>
  <w:style w:type="character" w:customStyle="1" w:styleId="Heading2Char">
    <w:name w:val="Heading 2 Char"/>
    <w:basedOn w:val="DefaultParagraphFont"/>
    <w:link w:val="Heading2"/>
    <w:qFormat/>
    <w:locked/>
    <w:rsid w:val="000E12DD"/>
    <w:rPr>
      <w:lang w:val="ga-IE" w:eastAsia="en-US" w:bidi="ar-SA"/>
    </w:rPr>
  </w:style>
  <w:style w:type="character" w:customStyle="1" w:styleId="Heading3Char">
    <w:name w:val="Heading 3 Char"/>
    <w:basedOn w:val="DefaultParagraphFont"/>
    <w:link w:val="Heading3"/>
    <w:locked/>
    <w:rsid w:val="00CB1536"/>
    <w:rPr>
      <w:lang w:val="ga-IE" w:eastAsia="en-US" w:bidi="ar-SA"/>
    </w:rPr>
  </w:style>
  <w:style w:type="character" w:customStyle="1" w:styleId="Heading4Char">
    <w:name w:val="Heading 4 Char"/>
    <w:basedOn w:val="DefaultParagraphFont"/>
    <w:link w:val="Heading4"/>
    <w:locked/>
    <w:rsid w:val="00CB1536"/>
    <w:rPr>
      <w:lang w:val="ga-IE" w:eastAsia="en-US" w:bidi="ar-SA"/>
    </w:rPr>
  </w:style>
  <w:style w:type="character" w:customStyle="1" w:styleId="Heading5Char">
    <w:name w:val="Heading 5 Char"/>
    <w:basedOn w:val="DefaultParagraphFont"/>
    <w:link w:val="Heading5"/>
    <w:locked/>
    <w:rsid w:val="00CB1536"/>
    <w:rPr>
      <w:lang w:val="ga-IE" w:eastAsia="en-US" w:bidi="ar-SA"/>
    </w:rPr>
  </w:style>
  <w:style w:type="character" w:customStyle="1" w:styleId="Heading6Char">
    <w:name w:val="Heading 6 Char"/>
    <w:basedOn w:val="DefaultParagraphFont"/>
    <w:link w:val="Heading6"/>
    <w:locked/>
    <w:rsid w:val="00CB1536"/>
    <w:rPr>
      <w:lang w:val="ga-IE" w:eastAsia="en-US" w:bidi="ar-SA"/>
    </w:rPr>
  </w:style>
  <w:style w:type="character" w:customStyle="1" w:styleId="Heading7Char">
    <w:name w:val="Heading 7 Char"/>
    <w:basedOn w:val="DefaultParagraphFont"/>
    <w:link w:val="Heading7"/>
    <w:locked/>
    <w:rsid w:val="00CB1536"/>
    <w:rPr>
      <w:lang w:val="ga-IE" w:eastAsia="en-US" w:bidi="ar-SA"/>
    </w:rPr>
  </w:style>
  <w:style w:type="character" w:customStyle="1" w:styleId="Heading8Char">
    <w:name w:val="Heading 8 Char"/>
    <w:basedOn w:val="DefaultParagraphFont"/>
    <w:link w:val="Heading8"/>
    <w:locked/>
    <w:rsid w:val="00CB1536"/>
    <w:rPr>
      <w:lang w:val="ga-IE" w:eastAsia="en-US" w:bidi="ar-SA"/>
    </w:rPr>
  </w:style>
  <w:style w:type="character" w:customStyle="1" w:styleId="Heading9Char">
    <w:name w:val="Heading 9 Char"/>
    <w:basedOn w:val="DefaultParagraphFont"/>
    <w:link w:val="Heading9"/>
    <w:locked/>
    <w:rsid w:val="00CB1536"/>
    <w:rPr>
      <w:lang w:val="ga-IE" w:eastAsia="en-US" w:bidi="ar-SA"/>
    </w:rPr>
  </w:style>
  <w:style w:type="paragraph" w:styleId="Footer">
    <w:name w:val="footer"/>
    <w:basedOn w:val="Normal"/>
    <w:link w:val="FooterChar"/>
    <w:qFormat/>
    <w:rsid w:val="00AE185E"/>
  </w:style>
  <w:style w:type="character" w:customStyle="1" w:styleId="FooterChar">
    <w:name w:val="Footer Char"/>
    <w:basedOn w:val="DefaultParagraphFont"/>
    <w:link w:val="Footer"/>
    <w:locked/>
    <w:rsid w:val="00CB1536"/>
    <w:rPr>
      <w:lang w:val="ga-IE" w:eastAsia="en-US" w:bidi="ar-SA"/>
    </w:rPr>
  </w:style>
  <w:style w:type="paragraph" w:styleId="FootnoteText">
    <w:name w:val="footnote text"/>
    <w:basedOn w:val="Normal"/>
    <w:link w:val="FootnoteTextChar"/>
    <w:qFormat/>
    <w:rsid w:val="00AE185E"/>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ga-IE" w:eastAsia="en-US" w:bidi="ar-SA"/>
    </w:rPr>
  </w:style>
  <w:style w:type="paragraph" w:styleId="Header">
    <w:name w:val="header"/>
    <w:basedOn w:val="Normal"/>
    <w:link w:val="HeaderChar"/>
    <w:qFormat/>
    <w:rsid w:val="00AE185E"/>
  </w:style>
  <w:style w:type="character" w:customStyle="1" w:styleId="HeaderChar">
    <w:name w:val="Header Char"/>
    <w:basedOn w:val="DefaultParagraphFont"/>
    <w:link w:val="Header"/>
    <w:locked/>
    <w:rsid w:val="00CB1536"/>
    <w:rPr>
      <w:lang w:val="ga-IE"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nhideWhenUsed/>
    <w:qFormat/>
    <w:rsid w:val="00AE185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AE185E"/>
    <w:pPr>
      <w:ind w:left="720"/>
    </w:pPr>
    <w:rPr>
      <w:i/>
    </w:rPr>
  </w:style>
  <w:style w:type="character" w:customStyle="1" w:styleId="UnresolvedMention1">
    <w:name w:val="Unresolved Mention1"/>
    <w:basedOn w:val="DefaultParagraphFont"/>
    <w:uiPriority w:val="99"/>
    <w:semiHidden/>
    <w:unhideWhenUsed/>
    <w:rsid w:val="00445245"/>
    <w:rPr>
      <w:color w:val="605E5C"/>
      <w:shd w:val="clear" w:color="auto" w:fill="E1DFDD"/>
    </w:rPr>
  </w:style>
  <w:style w:type="paragraph" w:styleId="BalloonText">
    <w:name w:val="Balloon Text"/>
    <w:basedOn w:val="Normal"/>
    <w:link w:val="BalloonTextChar"/>
    <w:uiPriority w:val="99"/>
    <w:semiHidden/>
    <w:unhideWhenUsed/>
    <w:rsid w:val="00735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E0A"/>
    <w:rPr>
      <w:rFonts w:ascii="Segoe UI" w:hAnsi="Segoe UI" w:cs="Segoe UI"/>
      <w:sz w:val="18"/>
      <w:szCs w:val="18"/>
      <w:lang w:val="ga-IE" w:eastAsia="en-US" w:bidi="ar-SA"/>
    </w:rPr>
  </w:style>
  <w:style w:type="paragraph" w:styleId="ListParagraph">
    <w:name w:val="List Paragraph"/>
    <w:basedOn w:val="Normal"/>
    <w:uiPriority w:val="34"/>
    <w:qFormat/>
    <w:rsid w:val="00110315"/>
    <w:pPr>
      <w:ind w:left="720"/>
      <w:contextualSpacing/>
    </w:pPr>
  </w:style>
  <w:style w:type="character" w:styleId="CommentReference">
    <w:name w:val="annotation reference"/>
    <w:basedOn w:val="DefaultParagraphFont"/>
    <w:semiHidden/>
    <w:unhideWhenUsed/>
    <w:rsid w:val="00DD2E80"/>
    <w:rPr>
      <w:sz w:val="16"/>
      <w:szCs w:val="16"/>
    </w:rPr>
  </w:style>
  <w:style w:type="paragraph" w:styleId="CommentText">
    <w:name w:val="annotation text"/>
    <w:basedOn w:val="Normal"/>
    <w:link w:val="CommentTextChar"/>
    <w:semiHidden/>
    <w:unhideWhenUsed/>
    <w:rsid w:val="00DD2E80"/>
    <w:pPr>
      <w:spacing w:line="240" w:lineRule="auto"/>
    </w:pPr>
    <w:rPr>
      <w:sz w:val="20"/>
      <w:szCs w:val="20"/>
    </w:rPr>
  </w:style>
  <w:style w:type="character" w:customStyle="1" w:styleId="CommentTextChar">
    <w:name w:val="Comment Text Char"/>
    <w:basedOn w:val="DefaultParagraphFont"/>
    <w:link w:val="CommentText"/>
    <w:semiHidden/>
    <w:rsid w:val="00DD2E80"/>
    <w:rPr>
      <w:sz w:val="20"/>
      <w:szCs w:val="20"/>
      <w:lang w:val="ga-IE" w:eastAsia="en-US" w:bidi="ar-SA"/>
    </w:rPr>
  </w:style>
  <w:style w:type="paragraph" w:styleId="CommentSubject">
    <w:name w:val="annotation subject"/>
    <w:basedOn w:val="CommentText"/>
    <w:next w:val="CommentText"/>
    <w:link w:val="CommentSubjectChar"/>
    <w:uiPriority w:val="99"/>
    <w:semiHidden/>
    <w:unhideWhenUsed/>
    <w:rsid w:val="00DD2E80"/>
    <w:rPr>
      <w:b/>
      <w:bCs/>
    </w:rPr>
  </w:style>
  <w:style w:type="character" w:customStyle="1" w:styleId="CommentSubjectChar">
    <w:name w:val="Comment Subject Char"/>
    <w:basedOn w:val="CommentTextChar"/>
    <w:link w:val="CommentSubject"/>
    <w:uiPriority w:val="99"/>
    <w:semiHidden/>
    <w:rsid w:val="00DD2E80"/>
    <w:rPr>
      <w:b/>
      <w:bCs/>
      <w:sz w:val="20"/>
      <w:szCs w:val="20"/>
      <w:lang w:val="ga-IE" w:eastAsia="en-US" w:bidi="ar-SA"/>
    </w:rPr>
  </w:style>
  <w:style w:type="character" w:customStyle="1" w:styleId="UnresolvedMention2">
    <w:name w:val="Unresolved Mention2"/>
    <w:basedOn w:val="DefaultParagraphFont"/>
    <w:uiPriority w:val="99"/>
    <w:semiHidden/>
    <w:unhideWhenUsed/>
    <w:rsid w:val="002452DB"/>
    <w:rPr>
      <w:color w:val="605E5C"/>
      <w:shd w:val="clear" w:color="auto" w:fill="E1DFDD"/>
    </w:rPr>
  </w:style>
  <w:style w:type="character" w:customStyle="1" w:styleId="UnresolvedMention3">
    <w:name w:val="Unresolved Mention3"/>
    <w:basedOn w:val="DefaultParagraphFont"/>
    <w:uiPriority w:val="99"/>
    <w:semiHidden/>
    <w:unhideWhenUsed/>
    <w:rsid w:val="00FF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500">
      <w:bodyDiv w:val="1"/>
      <w:marLeft w:val="0"/>
      <w:marRight w:val="0"/>
      <w:marTop w:val="0"/>
      <w:marBottom w:val="0"/>
      <w:divBdr>
        <w:top w:val="none" w:sz="0" w:space="0" w:color="auto"/>
        <w:left w:val="none" w:sz="0" w:space="0" w:color="auto"/>
        <w:bottom w:val="none" w:sz="0" w:space="0" w:color="auto"/>
        <w:right w:val="none" w:sz="0" w:space="0" w:color="auto"/>
      </w:divBdr>
      <w:divsChild>
        <w:div w:id="1241595141">
          <w:marLeft w:val="0"/>
          <w:marRight w:val="0"/>
          <w:marTop w:val="0"/>
          <w:marBottom w:val="0"/>
          <w:divBdr>
            <w:top w:val="none" w:sz="0" w:space="0" w:color="auto"/>
            <w:left w:val="none" w:sz="0" w:space="0" w:color="auto"/>
            <w:bottom w:val="none" w:sz="0" w:space="0" w:color="auto"/>
            <w:right w:val="none" w:sz="0" w:space="0" w:color="auto"/>
          </w:divBdr>
          <w:divsChild>
            <w:div w:id="1277365832">
              <w:marLeft w:val="0"/>
              <w:marRight w:val="0"/>
              <w:marTop w:val="0"/>
              <w:marBottom w:val="0"/>
              <w:divBdr>
                <w:top w:val="none" w:sz="0" w:space="0" w:color="auto"/>
                <w:left w:val="none" w:sz="0" w:space="0" w:color="auto"/>
                <w:bottom w:val="none" w:sz="0" w:space="0" w:color="auto"/>
                <w:right w:val="none" w:sz="0" w:space="0" w:color="auto"/>
              </w:divBdr>
            </w:div>
            <w:div w:id="2046952548">
              <w:marLeft w:val="0"/>
              <w:marRight w:val="0"/>
              <w:marTop w:val="0"/>
              <w:marBottom w:val="0"/>
              <w:divBdr>
                <w:top w:val="none" w:sz="0" w:space="0" w:color="auto"/>
                <w:left w:val="none" w:sz="0" w:space="0" w:color="auto"/>
                <w:bottom w:val="none" w:sz="0" w:space="0" w:color="auto"/>
                <w:right w:val="none" w:sz="0" w:space="0" w:color="auto"/>
              </w:divBdr>
            </w:div>
            <w:div w:id="117846161">
              <w:marLeft w:val="0"/>
              <w:marRight w:val="0"/>
              <w:marTop w:val="0"/>
              <w:marBottom w:val="0"/>
              <w:divBdr>
                <w:top w:val="none" w:sz="0" w:space="0" w:color="auto"/>
                <w:left w:val="none" w:sz="0" w:space="0" w:color="auto"/>
                <w:bottom w:val="none" w:sz="0" w:space="0" w:color="auto"/>
                <w:right w:val="none" w:sz="0" w:space="0" w:color="auto"/>
              </w:divBdr>
            </w:div>
            <w:div w:id="1145925578">
              <w:marLeft w:val="0"/>
              <w:marRight w:val="0"/>
              <w:marTop w:val="0"/>
              <w:marBottom w:val="0"/>
              <w:divBdr>
                <w:top w:val="none" w:sz="0" w:space="0" w:color="auto"/>
                <w:left w:val="none" w:sz="0" w:space="0" w:color="auto"/>
                <w:bottom w:val="none" w:sz="0" w:space="0" w:color="auto"/>
                <w:right w:val="none" w:sz="0" w:space="0" w:color="auto"/>
              </w:divBdr>
            </w:div>
            <w:div w:id="1395005617">
              <w:marLeft w:val="0"/>
              <w:marRight w:val="0"/>
              <w:marTop w:val="0"/>
              <w:marBottom w:val="0"/>
              <w:divBdr>
                <w:top w:val="none" w:sz="0" w:space="0" w:color="auto"/>
                <w:left w:val="none" w:sz="0" w:space="0" w:color="auto"/>
                <w:bottom w:val="none" w:sz="0" w:space="0" w:color="auto"/>
                <w:right w:val="none" w:sz="0" w:space="0" w:color="auto"/>
              </w:divBdr>
            </w:div>
          </w:divsChild>
        </w:div>
        <w:div w:id="1088770290">
          <w:marLeft w:val="0"/>
          <w:marRight w:val="0"/>
          <w:marTop w:val="0"/>
          <w:marBottom w:val="0"/>
          <w:divBdr>
            <w:top w:val="none" w:sz="0" w:space="0" w:color="auto"/>
            <w:left w:val="none" w:sz="0" w:space="0" w:color="auto"/>
            <w:bottom w:val="none" w:sz="0" w:space="0" w:color="auto"/>
            <w:right w:val="none" w:sz="0" w:space="0" w:color="auto"/>
          </w:divBdr>
          <w:divsChild>
            <w:div w:id="903494865">
              <w:marLeft w:val="-75"/>
              <w:marRight w:val="0"/>
              <w:marTop w:val="30"/>
              <w:marBottom w:val="30"/>
              <w:divBdr>
                <w:top w:val="none" w:sz="0" w:space="0" w:color="auto"/>
                <w:left w:val="none" w:sz="0" w:space="0" w:color="auto"/>
                <w:bottom w:val="none" w:sz="0" w:space="0" w:color="auto"/>
                <w:right w:val="none" w:sz="0" w:space="0" w:color="auto"/>
              </w:divBdr>
              <w:divsChild>
                <w:div w:id="384841762">
                  <w:marLeft w:val="0"/>
                  <w:marRight w:val="0"/>
                  <w:marTop w:val="0"/>
                  <w:marBottom w:val="0"/>
                  <w:divBdr>
                    <w:top w:val="none" w:sz="0" w:space="0" w:color="auto"/>
                    <w:left w:val="none" w:sz="0" w:space="0" w:color="auto"/>
                    <w:bottom w:val="none" w:sz="0" w:space="0" w:color="auto"/>
                    <w:right w:val="none" w:sz="0" w:space="0" w:color="auto"/>
                  </w:divBdr>
                  <w:divsChild>
                    <w:div w:id="78647945">
                      <w:marLeft w:val="0"/>
                      <w:marRight w:val="0"/>
                      <w:marTop w:val="0"/>
                      <w:marBottom w:val="0"/>
                      <w:divBdr>
                        <w:top w:val="none" w:sz="0" w:space="0" w:color="auto"/>
                        <w:left w:val="none" w:sz="0" w:space="0" w:color="auto"/>
                        <w:bottom w:val="none" w:sz="0" w:space="0" w:color="auto"/>
                        <w:right w:val="none" w:sz="0" w:space="0" w:color="auto"/>
                      </w:divBdr>
                    </w:div>
                  </w:divsChild>
                </w:div>
                <w:div w:id="2019237185">
                  <w:marLeft w:val="0"/>
                  <w:marRight w:val="0"/>
                  <w:marTop w:val="0"/>
                  <w:marBottom w:val="0"/>
                  <w:divBdr>
                    <w:top w:val="none" w:sz="0" w:space="0" w:color="auto"/>
                    <w:left w:val="none" w:sz="0" w:space="0" w:color="auto"/>
                    <w:bottom w:val="none" w:sz="0" w:space="0" w:color="auto"/>
                    <w:right w:val="none" w:sz="0" w:space="0" w:color="auto"/>
                  </w:divBdr>
                  <w:divsChild>
                    <w:div w:id="1996838574">
                      <w:marLeft w:val="0"/>
                      <w:marRight w:val="0"/>
                      <w:marTop w:val="0"/>
                      <w:marBottom w:val="0"/>
                      <w:divBdr>
                        <w:top w:val="none" w:sz="0" w:space="0" w:color="auto"/>
                        <w:left w:val="none" w:sz="0" w:space="0" w:color="auto"/>
                        <w:bottom w:val="none" w:sz="0" w:space="0" w:color="auto"/>
                        <w:right w:val="none" w:sz="0" w:space="0" w:color="auto"/>
                      </w:divBdr>
                    </w:div>
                  </w:divsChild>
                </w:div>
                <w:div w:id="1534490734">
                  <w:marLeft w:val="0"/>
                  <w:marRight w:val="0"/>
                  <w:marTop w:val="0"/>
                  <w:marBottom w:val="0"/>
                  <w:divBdr>
                    <w:top w:val="none" w:sz="0" w:space="0" w:color="auto"/>
                    <w:left w:val="none" w:sz="0" w:space="0" w:color="auto"/>
                    <w:bottom w:val="none" w:sz="0" w:space="0" w:color="auto"/>
                    <w:right w:val="none" w:sz="0" w:space="0" w:color="auto"/>
                  </w:divBdr>
                  <w:divsChild>
                    <w:div w:id="1465078362">
                      <w:marLeft w:val="0"/>
                      <w:marRight w:val="0"/>
                      <w:marTop w:val="0"/>
                      <w:marBottom w:val="0"/>
                      <w:divBdr>
                        <w:top w:val="none" w:sz="0" w:space="0" w:color="auto"/>
                        <w:left w:val="none" w:sz="0" w:space="0" w:color="auto"/>
                        <w:bottom w:val="none" w:sz="0" w:space="0" w:color="auto"/>
                        <w:right w:val="none" w:sz="0" w:space="0" w:color="auto"/>
                      </w:divBdr>
                    </w:div>
                  </w:divsChild>
                </w:div>
                <w:div w:id="1881934417">
                  <w:marLeft w:val="0"/>
                  <w:marRight w:val="0"/>
                  <w:marTop w:val="0"/>
                  <w:marBottom w:val="0"/>
                  <w:divBdr>
                    <w:top w:val="none" w:sz="0" w:space="0" w:color="auto"/>
                    <w:left w:val="none" w:sz="0" w:space="0" w:color="auto"/>
                    <w:bottom w:val="none" w:sz="0" w:space="0" w:color="auto"/>
                    <w:right w:val="none" w:sz="0" w:space="0" w:color="auto"/>
                  </w:divBdr>
                  <w:divsChild>
                    <w:div w:id="11565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279">
          <w:marLeft w:val="0"/>
          <w:marRight w:val="0"/>
          <w:marTop w:val="0"/>
          <w:marBottom w:val="0"/>
          <w:divBdr>
            <w:top w:val="none" w:sz="0" w:space="0" w:color="auto"/>
            <w:left w:val="none" w:sz="0" w:space="0" w:color="auto"/>
            <w:bottom w:val="none" w:sz="0" w:space="0" w:color="auto"/>
            <w:right w:val="none" w:sz="0" w:space="0" w:color="auto"/>
          </w:divBdr>
        </w:div>
        <w:div w:id="1253198023">
          <w:marLeft w:val="0"/>
          <w:marRight w:val="0"/>
          <w:marTop w:val="0"/>
          <w:marBottom w:val="0"/>
          <w:divBdr>
            <w:top w:val="none" w:sz="0" w:space="0" w:color="auto"/>
            <w:left w:val="none" w:sz="0" w:space="0" w:color="auto"/>
            <w:bottom w:val="none" w:sz="0" w:space="0" w:color="auto"/>
            <w:right w:val="none" w:sz="0" w:space="0" w:color="auto"/>
          </w:divBdr>
          <w:divsChild>
            <w:div w:id="1032265375">
              <w:marLeft w:val="-75"/>
              <w:marRight w:val="0"/>
              <w:marTop w:val="30"/>
              <w:marBottom w:val="30"/>
              <w:divBdr>
                <w:top w:val="none" w:sz="0" w:space="0" w:color="auto"/>
                <w:left w:val="none" w:sz="0" w:space="0" w:color="auto"/>
                <w:bottom w:val="none" w:sz="0" w:space="0" w:color="auto"/>
                <w:right w:val="none" w:sz="0" w:space="0" w:color="auto"/>
              </w:divBdr>
              <w:divsChild>
                <w:div w:id="869882954">
                  <w:marLeft w:val="0"/>
                  <w:marRight w:val="0"/>
                  <w:marTop w:val="0"/>
                  <w:marBottom w:val="0"/>
                  <w:divBdr>
                    <w:top w:val="none" w:sz="0" w:space="0" w:color="auto"/>
                    <w:left w:val="none" w:sz="0" w:space="0" w:color="auto"/>
                    <w:bottom w:val="none" w:sz="0" w:space="0" w:color="auto"/>
                    <w:right w:val="none" w:sz="0" w:space="0" w:color="auto"/>
                  </w:divBdr>
                  <w:divsChild>
                    <w:div w:id="1032001996">
                      <w:marLeft w:val="0"/>
                      <w:marRight w:val="0"/>
                      <w:marTop w:val="0"/>
                      <w:marBottom w:val="0"/>
                      <w:divBdr>
                        <w:top w:val="none" w:sz="0" w:space="0" w:color="auto"/>
                        <w:left w:val="none" w:sz="0" w:space="0" w:color="auto"/>
                        <w:bottom w:val="none" w:sz="0" w:space="0" w:color="auto"/>
                        <w:right w:val="none" w:sz="0" w:space="0" w:color="auto"/>
                      </w:divBdr>
                    </w:div>
                  </w:divsChild>
                </w:div>
                <w:div w:id="1750351379">
                  <w:marLeft w:val="0"/>
                  <w:marRight w:val="0"/>
                  <w:marTop w:val="0"/>
                  <w:marBottom w:val="0"/>
                  <w:divBdr>
                    <w:top w:val="none" w:sz="0" w:space="0" w:color="auto"/>
                    <w:left w:val="none" w:sz="0" w:space="0" w:color="auto"/>
                    <w:bottom w:val="none" w:sz="0" w:space="0" w:color="auto"/>
                    <w:right w:val="none" w:sz="0" w:space="0" w:color="auto"/>
                  </w:divBdr>
                  <w:divsChild>
                    <w:div w:id="506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416">
          <w:marLeft w:val="0"/>
          <w:marRight w:val="0"/>
          <w:marTop w:val="0"/>
          <w:marBottom w:val="0"/>
          <w:divBdr>
            <w:top w:val="none" w:sz="0" w:space="0" w:color="auto"/>
            <w:left w:val="none" w:sz="0" w:space="0" w:color="auto"/>
            <w:bottom w:val="none" w:sz="0" w:space="0" w:color="auto"/>
            <w:right w:val="none" w:sz="0" w:space="0" w:color="auto"/>
          </w:divBdr>
        </w:div>
        <w:div w:id="926841864">
          <w:marLeft w:val="0"/>
          <w:marRight w:val="0"/>
          <w:marTop w:val="0"/>
          <w:marBottom w:val="0"/>
          <w:divBdr>
            <w:top w:val="none" w:sz="0" w:space="0" w:color="auto"/>
            <w:left w:val="none" w:sz="0" w:space="0" w:color="auto"/>
            <w:bottom w:val="none" w:sz="0" w:space="0" w:color="auto"/>
            <w:right w:val="none" w:sz="0" w:space="0" w:color="auto"/>
          </w:divBdr>
        </w:div>
        <w:div w:id="2029601939">
          <w:marLeft w:val="0"/>
          <w:marRight w:val="0"/>
          <w:marTop w:val="0"/>
          <w:marBottom w:val="0"/>
          <w:divBdr>
            <w:top w:val="none" w:sz="0" w:space="0" w:color="auto"/>
            <w:left w:val="none" w:sz="0" w:space="0" w:color="auto"/>
            <w:bottom w:val="none" w:sz="0" w:space="0" w:color="auto"/>
            <w:right w:val="none" w:sz="0" w:space="0" w:color="auto"/>
          </w:divBdr>
        </w:div>
        <w:div w:id="1713111492">
          <w:marLeft w:val="0"/>
          <w:marRight w:val="0"/>
          <w:marTop w:val="0"/>
          <w:marBottom w:val="0"/>
          <w:divBdr>
            <w:top w:val="none" w:sz="0" w:space="0" w:color="auto"/>
            <w:left w:val="none" w:sz="0" w:space="0" w:color="auto"/>
            <w:bottom w:val="none" w:sz="0" w:space="0" w:color="auto"/>
            <w:right w:val="none" w:sz="0" w:space="0" w:color="auto"/>
          </w:divBdr>
        </w:div>
        <w:div w:id="1097097468">
          <w:marLeft w:val="0"/>
          <w:marRight w:val="0"/>
          <w:marTop w:val="0"/>
          <w:marBottom w:val="0"/>
          <w:divBdr>
            <w:top w:val="none" w:sz="0" w:space="0" w:color="auto"/>
            <w:left w:val="none" w:sz="0" w:space="0" w:color="auto"/>
            <w:bottom w:val="none" w:sz="0" w:space="0" w:color="auto"/>
            <w:right w:val="none" w:sz="0" w:space="0" w:color="auto"/>
          </w:divBdr>
          <w:divsChild>
            <w:div w:id="2092576736">
              <w:marLeft w:val="-75"/>
              <w:marRight w:val="0"/>
              <w:marTop w:val="30"/>
              <w:marBottom w:val="30"/>
              <w:divBdr>
                <w:top w:val="none" w:sz="0" w:space="0" w:color="auto"/>
                <w:left w:val="none" w:sz="0" w:space="0" w:color="auto"/>
                <w:bottom w:val="none" w:sz="0" w:space="0" w:color="auto"/>
                <w:right w:val="none" w:sz="0" w:space="0" w:color="auto"/>
              </w:divBdr>
              <w:divsChild>
                <w:div w:id="1437673744">
                  <w:marLeft w:val="0"/>
                  <w:marRight w:val="0"/>
                  <w:marTop w:val="0"/>
                  <w:marBottom w:val="0"/>
                  <w:divBdr>
                    <w:top w:val="none" w:sz="0" w:space="0" w:color="auto"/>
                    <w:left w:val="none" w:sz="0" w:space="0" w:color="auto"/>
                    <w:bottom w:val="none" w:sz="0" w:space="0" w:color="auto"/>
                    <w:right w:val="none" w:sz="0" w:space="0" w:color="auto"/>
                  </w:divBdr>
                  <w:divsChild>
                    <w:div w:id="1199704467">
                      <w:marLeft w:val="0"/>
                      <w:marRight w:val="0"/>
                      <w:marTop w:val="0"/>
                      <w:marBottom w:val="0"/>
                      <w:divBdr>
                        <w:top w:val="none" w:sz="0" w:space="0" w:color="auto"/>
                        <w:left w:val="none" w:sz="0" w:space="0" w:color="auto"/>
                        <w:bottom w:val="none" w:sz="0" w:space="0" w:color="auto"/>
                        <w:right w:val="none" w:sz="0" w:space="0" w:color="auto"/>
                      </w:divBdr>
                    </w:div>
                  </w:divsChild>
                </w:div>
                <w:div w:id="1823236175">
                  <w:marLeft w:val="0"/>
                  <w:marRight w:val="0"/>
                  <w:marTop w:val="0"/>
                  <w:marBottom w:val="0"/>
                  <w:divBdr>
                    <w:top w:val="none" w:sz="0" w:space="0" w:color="auto"/>
                    <w:left w:val="none" w:sz="0" w:space="0" w:color="auto"/>
                    <w:bottom w:val="none" w:sz="0" w:space="0" w:color="auto"/>
                    <w:right w:val="none" w:sz="0" w:space="0" w:color="auto"/>
                  </w:divBdr>
                  <w:divsChild>
                    <w:div w:id="1449548169">
                      <w:marLeft w:val="0"/>
                      <w:marRight w:val="0"/>
                      <w:marTop w:val="0"/>
                      <w:marBottom w:val="0"/>
                      <w:divBdr>
                        <w:top w:val="none" w:sz="0" w:space="0" w:color="auto"/>
                        <w:left w:val="none" w:sz="0" w:space="0" w:color="auto"/>
                        <w:bottom w:val="none" w:sz="0" w:space="0" w:color="auto"/>
                        <w:right w:val="none" w:sz="0" w:space="0" w:color="auto"/>
                      </w:divBdr>
                    </w:div>
                  </w:divsChild>
                </w:div>
                <w:div w:id="2066830890">
                  <w:marLeft w:val="0"/>
                  <w:marRight w:val="0"/>
                  <w:marTop w:val="0"/>
                  <w:marBottom w:val="0"/>
                  <w:divBdr>
                    <w:top w:val="none" w:sz="0" w:space="0" w:color="auto"/>
                    <w:left w:val="none" w:sz="0" w:space="0" w:color="auto"/>
                    <w:bottom w:val="none" w:sz="0" w:space="0" w:color="auto"/>
                    <w:right w:val="none" w:sz="0" w:space="0" w:color="auto"/>
                  </w:divBdr>
                  <w:divsChild>
                    <w:div w:id="1837573810">
                      <w:marLeft w:val="0"/>
                      <w:marRight w:val="0"/>
                      <w:marTop w:val="0"/>
                      <w:marBottom w:val="0"/>
                      <w:divBdr>
                        <w:top w:val="none" w:sz="0" w:space="0" w:color="auto"/>
                        <w:left w:val="none" w:sz="0" w:space="0" w:color="auto"/>
                        <w:bottom w:val="none" w:sz="0" w:space="0" w:color="auto"/>
                        <w:right w:val="none" w:sz="0" w:space="0" w:color="auto"/>
                      </w:divBdr>
                    </w:div>
                  </w:divsChild>
                </w:div>
                <w:div w:id="862598018">
                  <w:marLeft w:val="0"/>
                  <w:marRight w:val="0"/>
                  <w:marTop w:val="0"/>
                  <w:marBottom w:val="0"/>
                  <w:divBdr>
                    <w:top w:val="none" w:sz="0" w:space="0" w:color="auto"/>
                    <w:left w:val="none" w:sz="0" w:space="0" w:color="auto"/>
                    <w:bottom w:val="none" w:sz="0" w:space="0" w:color="auto"/>
                    <w:right w:val="none" w:sz="0" w:space="0" w:color="auto"/>
                  </w:divBdr>
                  <w:divsChild>
                    <w:div w:id="781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486">
          <w:marLeft w:val="0"/>
          <w:marRight w:val="0"/>
          <w:marTop w:val="0"/>
          <w:marBottom w:val="0"/>
          <w:divBdr>
            <w:top w:val="none" w:sz="0" w:space="0" w:color="auto"/>
            <w:left w:val="none" w:sz="0" w:space="0" w:color="auto"/>
            <w:bottom w:val="none" w:sz="0" w:space="0" w:color="auto"/>
            <w:right w:val="none" w:sz="0" w:space="0" w:color="auto"/>
          </w:divBdr>
        </w:div>
        <w:div w:id="77101897">
          <w:marLeft w:val="0"/>
          <w:marRight w:val="0"/>
          <w:marTop w:val="0"/>
          <w:marBottom w:val="0"/>
          <w:divBdr>
            <w:top w:val="none" w:sz="0" w:space="0" w:color="auto"/>
            <w:left w:val="none" w:sz="0" w:space="0" w:color="auto"/>
            <w:bottom w:val="none" w:sz="0" w:space="0" w:color="auto"/>
            <w:right w:val="none" w:sz="0" w:space="0" w:color="auto"/>
          </w:divBdr>
          <w:divsChild>
            <w:div w:id="207911718">
              <w:marLeft w:val="-75"/>
              <w:marRight w:val="0"/>
              <w:marTop w:val="30"/>
              <w:marBottom w:val="30"/>
              <w:divBdr>
                <w:top w:val="none" w:sz="0" w:space="0" w:color="auto"/>
                <w:left w:val="none" w:sz="0" w:space="0" w:color="auto"/>
                <w:bottom w:val="none" w:sz="0" w:space="0" w:color="auto"/>
                <w:right w:val="none" w:sz="0" w:space="0" w:color="auto"/>
              </w:divBdr>
              <w:divsChild>
                <w:div w:id="1728456931">
                  <w:marLeft w:val="0"/>
                  <w:marRight w:val="0"/>
                  <w:marTop w:val="0"/>
                  <w:marBottom w:val="0"/>
                  <w:divBdr>
                    <w:top w:val="none" w:sz="0" w:space="0" w:color="auto"/>
                    <w:left w:val="none" w:sz="0" w:space="0" w:color="auto"/>
                    <w:bottom w:val="none" w:sz="0" w:space="0" w:color="auto"/>
                    <w:right w:val="none" w:sz="0" w:space="0" w:color="auto"/>
                  </w:divBdr>
                  <w:divsChild>
                    <w:div w:id="1334838238">
                      <w:marLeft w:val="0"/>
                      <w:marRight w:val="0"/>
                      <w:marTop w:val="0"/>
                      <w:marBottom w:val="0"/>
                      <w:divBdr>
                        <w:top w:val="none" w:sz="0" w:space="0" w:color="auto"/>
                        <w:left w:val="none" w:sz="0" w:space="0" w:color="auto"/>
                        <w:bottom w:val="none" w:sz="0" w:space="0" w:color="auto"/>
                        <w:right w:val="none" w:sz="0" w:space="0" w:color="auto"/>
                      </w:divBdr>
                    </w:div>
                  </w:divsChild>
                </w:div>
                <w:div w:id="1679229970">
                  <w:marLeft w:val="0"/>
                  <w:marRight w:val="0"/>
                  <w:marTop w:val="0"/>
                  <w:marBottom w:val="0"/>
                  <w:divBdr>
                    <w:top w:val="none" w:sz="0" w:space="0" w:color="auto"/>
                    <w:left w:val="none" w:sz="0" w:space="0" w:color="auto"/>
                    <w:bottom w:val="none" w:sz="0" w:space="0" w:color="auto"/>
                    <w:right w:val="none" w:sz="0" w:space="0" w:color="auto"/>
                  </w:divBdr>
                  <w:divsChild>
                    <w:div w:id="375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51">
          <w:marLeft w:val="0"/>
          <w:marRight w:val="0"/>
          <w:marTop w:val="0"/>
          <w:marBottom w:val="0"/>
          <w:divBdr>
            <w:top w:val="none" w:sz="0" w:space="0" w:color="auto"/>
            <w:left w:val="none" w:sz="0" w:space="0" w:color="auto"/>
            <w:bottom w:val="none" w:sz="0" w:space="0" w:color="auto"/>
            <w:right w:val="none" w:sz="0" w:space="0" w:color="auto"/>
          </w:divBdr>
        </w:div>
        <w:div w:id="241960356">
          <w:marLeft w:val="0"/>
          <w:marRight w:val="0"/>
          <w:marTop w:val="0"/>
          <w:marBottom w:val="0"/>
          <w:divBdr>
            <w:top w:val="none" w:sz="0" w:space="0" w:color="auto"/>
            <w:left w:val="none" w:sz="0" w:space="0" w:color="auto"/>
            <w:bottom w:val="none" w:sz="0" w:space="0" w:color="auto"/>
            <w:right w:val="none" w:sz="0" w:space="0" w:color="auto"/>
          </w:divBdr>
        </w:div>
        <w:div w:id="1639259846">
          <w:marLeft w:val="0"/>
          <w:marRight w:val="0"/>
          <w:marTop w:val="0"/>
          <w:marBottom w:val="0"/>
          <w:divBdr>
            <w:top w:val="none" w:sz="0" w:space="0" w:color="auto"/>
            <w:left w:val="none" w:sz="0" w:space="0" w:color="auto"/>
            <w:bottom w:val="none" w:sz="0" w:space="0" w:color="auto"/>
            <w:right w:val="none" w:sz="0" w:space="0" w:color="auto"/>
          </w:divBdr>
        </w:div>
        <w:div w:id="341977377">
          <w:marLeft w:val="0"/>
          <w:marRight w:val="0"/>
          <w:marTop w:val="0"/>
          <w:marBottom w:val="0"/>
          <w:divBdr>
            <w:top w:val="none" w:sz="0" w:space="0" w:color="auto"/>
            <w:left w:val="none" w:sz="0" w:space="0" w:color="auto"/>
            <w:bottom w:val="none" w:sz="0" w:space="0" w:color="auto"/>
            <w:right w:val="none" w:sz="0" w:space="0" w:color="auto"/>
          </w:divBdr>
        </w:div>
        <w:div w:id="1600094101">
          <w:marLeft w:val="0"/>
          <w:marRight w:val="0"/>
          <w:marTop w:val="0"/>
          <w:marBottom w:val="0"/>
          <w:divBdr>
            <w:top w:val="none" w:sz="0" w:space="0" w:color="auto"/>
            <w:left w:val="none" w:sz="0" w:space="0" w:color="auto"/>
            <w:bottom w:val="none" w:sz="0" w:space="0" w:color="auto"/>
            <w:right w:val="none" w:sz="0" w:space="0" w:color="auto"/>
          </w:divBdr>
          <w:divsChild>
            <w:div w:id="1400900001">
              <w:marLeft w:val="-75"/>
              <w:marRight w:val="0"/>
              <w:marTop w:val="30"/>
              <w:marBottom w:val="30"/>
              <w:divBdr>
                <w:top w:val="none" w:sz="0" w:space="0" w:color="auto"/>
                <w:left w:val="none" w:sz="0" w:space="0" w:color="auto"/>
                <w:bottom w:val="none" w:sz="0" w:space="0" w:color="auto"/>
                <w:right w:val="none" w:sz="0" w:space="0" w:color="auto"/>
              </w:divBdr>
              <w:divsChild>
                <w:div w:id="1091121428">
                  <w:marLeft w:val="0"/>
                  <w:marRight w:val="0"/>
                  <w:marTop w:val="0"/>
                  <w:marBottom w:val="0"/>
                  <w:divBdr>
                    <w:top w:val="none" w:sz="0" w:space="0" w:color="auto"/>
                    <w:left w:val="none" w:sz="0" w:space="0" w:color="auto"/>
                    <w:bottom w:val="none" w:sz="0" w:space="0" w:color="auto"/>
                    <w:right w:val="none" w:sz="0" w:space="0" w:color="auto"/>
                  </w:divBdr>
                  <w:divsChild>
                    <w:div w:id="2002737313">
                      <w:marLeft w:val="0"/>
                      <w:marRight w:val="0"/>
                      <w:marTop w:val="0"/>
                      <w:marBottom w:val="0"/>
                      <w:divBdr>
                        <w:top w:val="none" w:sz="0" w:space="0" w:color="auto"/>
                        <w:left w:val="none" w:sz="0" w:space="0" w:color="auto"/>
                        <w:bottom w:val="none" w:sz="0" w:space="0" w:color="auto"/>
                        <w:right w:val="none" w:sz="0" w:space="0" w:color="auto"/>
                      </w:divBdr>
                    </w:div>
                  </w:divsChild>
                </w:div>
                <w:div w:id="866672889">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
                  </w:divsChild>
                </w:div>
                <w:div w:id="599720890">
                  <w:marLeft w:val="0"/>
                  <w:marRight w:val="0"/>
                  <w:marTop w:val="0"/>
                  <w:marBottom w:val="0"/>
                  <w:divBdr>
                    <w:top w:val="none" w:sz="0" w:space="0" w:color="auto"/>
                    <w:left w:val="none" w:sz="0" w:space="0" w:color="auto"/>
                    <w:bottom w:val="none" w:sz="0" w:space="0" w:color="auto"/>
                    <w:right w:val="none" w:sz="0" w:space="0" w:color="auto"/>
                  </w:divBdr>
                  <w:divsChild>
                    <w:div w:id="1654063972">
                      <w:marLeft w:val="0"/>
                      <w:marRight w:val="0"/>
                      <w:marTop w:val="0"/>
                      <w:marBottom w:val="0"/>
                      <w:divBdr>
                        <w:top w:val="none" w:sz="0" w:space="0" w:color="auto"/>
                        <w:left w:val="none" w:sz="0" w:space="0" w:color="auto"/>
                        <w:bottom w:val="none" w:sz="0" w:space="0" w:color="auto"/>
                        <w:right w:val="none" w:sz="0" w:space="0" w:color="auto"/>
                      </w:divBdr>
                    </w:div>
                  </w:divsChild>
                </w:div>
                <w:div w:id="1160584331">
                  <w:marLeft w:val="0"/>
                  <w:marRight w:val="0"/>
                  <w:marTop w:val="0"/>
                  <w:marBottom w:val="0"/>
                  <w:divBdr>
                    <w:top w:val="none" w:sz="0" w:space="0" w:color="auto"/>
                    <w:left w:val="none" w:sz="0" w:space="0" w:color="auto"/>
                    <w:bottom w:val="none" w:sz="0" w:space="0" w:color="auto"/>
                    <w:right w:val="none" w:sz="0" w:space="0" w:color="auto"/>
                  </w:divBdr>
                  <w:divsChild>
                    <w:div w:id="262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623">
          <w:marLeft w:val="0"/>
          <w:marRight w:val="0"/>
          <w:marTop w:val="0"/>
          <w:marBottom w:val="0"/>
          <w:divBdr>
            <w:top w:val="none" w:sz="0" w:space="0" w:color="auto"/>
            <w:left w:val="none" w:sz="0" w:space="0" w:color="auto"/>
            <w:bottom w:val="none" w:sz="0" w:space="0" w:color="auto"/>
            <w:right w:val="none" w:sz="0" w:space="0" w:color="auto"/>
          </w:divBdr>
        </w:div>
        <w:div w:id="1300958237">
          <w:marLeft w:val="0"/>
          <w:marRight w:val="0"/>
          <w:marTop w:val="0"/>
          <w:marBottom w:val="0"/>
          <w:divBdr>
            <w:top w:val="none" w:sz="0" w:space="0" w:color="auto"/>
            <w:left w:val="none" w:sz="0" w:space="0" w:color="auto"/>
            <w:bottom w:val="none" w:sz="0" w:space="0" w:color="auto"/>
            <w:right w:val="none" w:sz="0" w:space="0" w:color="auto"/>
          </w:divBdr>
          <w:divsChild>
            <w:div w:id="1083798021">
              <w:marLeft w:val="-75"/>
              <w:marRight w:val="0"/>
              <w:marTop w:val="30"/>
              <w:marBottom w:val="30"/>
              <w:divBdr>
                <w:top w:val="none" w:sz="0" w:space="0" w:color="auto"/>
                <w:left w:val="none" w:sz="0" w:space="0" w:color="auto"/>
                <w:bottom w:val="none" w:sz="0" w:space="0" w:color="auto"/>
                <w:right w:val="none" w:sz="0" w:space="0" w:color="auto"/>
              </w:divBdr>
              <w:divsChild>
                <w:div w:id="261913413">
                  <w:marLeft w:val="0"/>
                  <w:marRight w:val="0"/>
                  <w:marTop w:val="0"/>
                  <w:marBottom w:val="0"/>
                  <w:divBdr>
                    <w:top w:val="none" w:sz="0" w:space="0" w:color="auto"/>
                    <w:left w:val="none" w:sz="0" w:space="0" w:color="auto"/>
                    <w:bottom w:val="none" w:sz="0" w:space="0" w:color="auto"/>
                    <w:right w:val="none" w:sz="0" w:space="0" w:color="auto"/>
                  </w:divBdr>
                  <w:divsChild>
                    <w:div w:id="1152411509">
                      <w:marLeft w:val="0"/>
                      <w:marRight w:val="0"/>
                      <w:marTop w:val="0"/>
                      <w:marBottom w:val="0"/>
                      <w:divBdr>
                        <w:top w:val="none" w:sz="0" w:space="0" w:color="auto"/>
                        <w:left w:val="none" w:sz="0" w:space="0" w:color="auto"/>
                        <w:bottom w:val="none" w:sz="0" w:space="0" w:color="auto"/>
                        <w:right w:val="none" w:sz="0" w:space="0" w:color="auto"/>
                      </w:divBdr>
                    </w:div>
                  </w:divsChild>
                </w:div>
                <w:div w:id="774710644">
                  <w:marLeft w:val="0"/>
                  <w:marRight w:val="0"/>
                  <w:marTop w:val="0"/>
                  <w:marBottom w:val="0"/>
                  <w:divBdr>
                    <w:top w:val="none" w:sz="0" w:space="0" w:color="auto"/>
                    <w:left w:val="none" w:sz="0" w:space="0" w:color="auto"/>
                    <w:bottom w:val="none" w:sz="0" w:space="0" w:color="auto"/>
                    <w:right w:val="none" w:sz="0" w:space="0" w:color="auto"/>
                  </w:divBdr>
                  <w:divsChild>
                    <w:div w:id="81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2021">
          <w:marLeft w:val="0"/>
          <w:marRight w:val="0"/>
          <w:marTop w:val="0"/>
          <w:marBottom w:val="0"/>
          <w:divBdr>
            <w:top w:val="none" w:sz="0" w:space="0" w:color="auto"/>
            <w:left w:val="none" w:sz="0" w:space="0" w:color="auto"/>
            <w:bottom w:val="none" w:sz="0" w:space="0" w:color="auto"/>
            <w:right w:val="none" w:sz="0" w:space="0" w:color="auto"/>
          </w:divBdr>
          <w:divsChild>
            <w:div w:id="306782878">
              <w:marLeft w:val="0"/>
              <w:marRight w:val="0"/>
              <w:marTop w:val="0"/>
              <w:marBottom w:val="0"/>
              <w:divBdr>
                <w:top w:val="none" w:sz="0" w:space="0" w:color="auto"/>
                <w:left w:val="none" w:sz="0" w:space="0" w:color="auto"/>
                <w:bottom w:val="none" w:sz="0" w:space="0" w:color="auto"/>
                <w:right w:val="none" w:sz="0" w:space="0" w:color="auto"/>
              </w:divBdr>
            </w:div>
            <w:div w:id="225604204">
              <w:marLeft w:val="0"/>
              <w:marRight w:val="0"/>
              <w:marTop w:val="0"/>
              <w:marBottom w:val="0"/>
              <w:divBdr>
                <w:top w:val="none" w:sz="0" w:space="0" w:color="auto"/>
                <w:left w:val="none" w:sz="0" w:space="0" w:color="auto"/>
                <w:bottom w:val="none" w:sz="0" w:space="0" w:color="auto"/>
                <w:right w:val="none" w:sz="0" w:space="0" w:color="auto"/>
              </w:divBdr>
            </w:div>
            <w:div w:id="836308734">
              <w:marLeft w:val="0"/>
              <w:marRight w:val="0"/>
              <w:marTop w:val="0"/>
              <w:marBottom w:val="0"/>
              <w:divBdr>
                <w:top w:val="none" w:sz="0" w:space="0" w:color="auto"/>
                <w:left w:val="none" w:sz="0" w:space="0" w:color="auto"/>
                <w:bottom w:val="none" w:sz="0" w:space="0" w:color="auto"/>
                <w:right w:val="none" w:sz="0" w:space="0" w:color="auto"/>
              </w:divBdr>
            </w:div>
            <w:div w:id="846529254">
              <w:marLeft w:val="0"/>
              <w:marRight w:val="0"/>
              <w:marTop w:val="0"/>
              <w:marBottom w:val="0"/>
              <w:divBdr>
                <w:top w:val="none" w:sz="0" w:space="0" w:color="auto"/>
                <w:left w:val="none" w:sz="0" w:space="0" w:color="auto"/>
                <w:bottom w:val="none" w:sz="0" w:space="0" w:color="auto"/>
                <w:right w:val="none" w:sz="0" w:space="0" w:color="auto"/>
              </w:divBdr>
            </w:div>
            <w:div w:id="948044886">
              <w:marLeft w:val="0"/>
              <w:marRight w:val="0"/>
              <w:marTop w:val="0"/>
              <w:marBottom w:val="0"/>
              <w:divBdr>
                <w:top w:val="none" w:sz="0" w:space="0" w:color="auto"/>
                <w:left w:val="none" w:sz="0" w:space="0" w:color="auto"/>
                <w:bottom w:val="none" w:sz="0" w:space="0" w:color="auto"/>
                <w:right w:val="none" w:sz="0" w:space="0" w:color="auto"/>
              </w:divBdr>
            </w:div>
            <w:div w:id="1751003382">
              <w:marLeft w:val="0"/>
              <w:marRight w:val="0"/>
              <w:marTop w:val="0"/>
              <w:marBottom w:val="0"/>
              <w:divBdr>
                <w:top w:val="none" w:sz="0" w:space="0" w:color="auto"/>
                <w:left w:val="none" w:sz="0" w:space="0" w:color="auto"/>
                <w:bottom w:val="none" w:sz="0" w:space="0" w:color="auto"/>
                <w:right w:val="none" w:sz="0" w:space="0" w:color="auto"/>
              </w:divBdr>
            </w:div>
            <w:div w:id="1821388102">
              <w:marLeft w:val="0"/>
              <w:marRight w:val="0"/>
              <w:marTop w:val="0"/>
              <w:marBottom w:val="0"/>
              <w:divBdr>
                <w:top w:val="none" w:sz="0" w:space="0" w:color="auto"/>
                <w:left w:val="none" w:sz="0" w:space="0" w:color="auto"/>
                <w:bottom w:val="none" w:sz="0" w:space="0" w:color="auto"/>
                <w:right w:val="none" w:sz="0" w:space="0" w:color="auto"/>
              </w:divBdr>
            </w:div>
            <w:div w:id="1496149060">
              <w:marLeft w:val="0"/>
              <w:marRight w:val="0"/>
              <w:marTop w:val="0"/>
              <w:marBottom w:val="0"/>
              <w:divBdr>
                <w:top w:val="none" w:sz="0" w:space="0" w:color="auto"/>
                <w:left w:val="none" w:sz="0" w:space="0" w:color="auto"/>
                <w:bottom w:val="none" w:sz="0" w:space="0" w:color="auto"/>
                <w:right w:val="none" w:sz="0" w:space="0" w:color="auto"/>
              </w:divBdr>
            </w:div>
            <w:div w:id="67003743">
              <w:marLeft w:val="0"/>
              <w:marRight w:val="0"/>
              <w:marTop w:val="0"/>
              <w:marBottom w:val="0"/>
              <w:divBdr>
                <w:top w:val="none" w:sz="0" w:space="0" w:color="auto"/>
                <w:left w:val="none" w:sz="0" w:space="0" w:color="auto"/>
                <w:bottom w:val="none" w:sz="0" w:space="0" w:color="auto"/>
                <w:right w:val="none" w:sz="0" w:space="0" w:color="auto"/>
              </w:divBdr>
            </w:div>
            <w:div w:id="579826640">
              <w:marLeft w:val="0"/>
              <w:marRight w:val="0"/>
              <w:marTop w:val="0"/>
              <w:marBottom w:val="0"/>
              <w:divBdr>
                <w:top w:val="none" w:sz="0" w:space="0" w:color="auto"/>
                <w:left w:val="none" w:sz="0" w:space="0" w:color="auto"/>
                <w:bottom w:val="none" w:sz="0" w:space="0" w:color="auto"/>
                <w:right w:val="none" w:sz="0" w:space="0" w:color="auto"/>
              </w:divBdr>
            </w:div>
            <w:div w:id="1611626738">
              <w:marLeft w:val="0"/>
              <w:marRight w:val="0"/>
              <w:marTop w:val="0"/>
              <w:marBottom w:val="0"/>
              <w:divBdr>
                <w:top w:val="none" w:sz="0" w:space="0" w:color="auto"/>
                <w:left w:val="none" w:sz="0" w:space="0" w:color="auto"/>
                <w:bottom w:val="none" w:sz="0" w:space="0" w:color="auto"/>
                <w:right w:val="none" w:sz="0" w:space="0" w:color="auto"/>
              </w:divBdr>
            </w:div>
            <w:div w:id="89785285">
              <w:marLeft w:val="0"/>
              <w:marRight w:val="0"/>
              <w:marTop w:val="0"/>
              <w:marBottom w:val="0"/>
              <w:divBdr>
                <w:top w:val="none" w:sz="0" w:space="0" w:color="auto"/>
                <w:left w:val="none" w:sz="0" w:space="0" w:color="auto"/>
                <w:bottom w:val="none" w:sz="0" w:space="0" w:color="auto"/>
                <w:right w:val="none" w:sz="0" w:space="0" w:color="auto"/>
              </w:divBdr>
            </w:div>
            <w:div w:id="728381547">
              <w:marLeft w:val="0"/>
              <w:marRight w:val="0"/>
              <w:marTop w:val="0"/>
              <w:marBottom w:val="0"/>
              <w:divBdr>
                <w:top w:val="none" w:sz="0" w:space="0" w:color="auto"/>
                <w:left w:val="none" w:sz="0" w:space="0" w:color="auto"/>
                <w:bottom w:val="none" w:sz="0" w:space="0" w:color="auto"/>
                <w:right w:val="none" w:sz="0" w:space="0" w:color="auto"/>
              </w:divBdr>
            </w:div>
            <w:div w:id="2075007407">
              <w:marLeft w:val="0"/>
              <w:marRight w:val="0"/>
              <w:marTop w:val="0"/>
              <w:marBottom w:val="0"/>
              <w:divBdr>
                <w:top w:val="none" w:sz="0" w:space="0" w:color="auto"/>
                <w:left w:val="none" w:sz="0" w:space="0" w:color="auto"/>
                <w:bottom w:val="none" w:sz="0" w:space="0" w:color="auto"/>
                <w:right w:val="none" w:sz="0" w:space="0" w:color="auto"/>
              </w:divBdr>
            </w:div>
            <w:div w:id="1309506821">
              <w:marLeft w:val="0"/>
              <w:marRight w:val="0"/>
              <w:marTop w:val="0"/>
              <w:marBottom w:val="0"/>
              <w:divBdr>
                <w:top w:val="none" w:sz="0" w:space="0" w:color="auto"/>
                <w:left w:val="none" w:sz="0" w:space="0" w:color="auto"/>
                <w:bottom w:val="none" w:sz="0" w:space="0" w:color="auto"/>
                <w:right w:val="none" w:sz="0" w:space="0" w:color="auto"/>
              </w:divBdr>
            </w:div>
            <w:div w:id="1317487884">
              <w:marLeft w:val="0"/>
              <w:marRight w:val="0"/>
              <w:marTop w:val="0"/>
              <w:marBottom w:val="0"/>
              <w:divBdr>
                <w:top w:val="none" w:sz="0" w:space="0" w:color="auto"/>
                <w:left w:val="none" w:sz="0" w:space="0" w:color="auto"/>
                <w:bottom w:val="none" w:sz="0" w:space="0" w:color="auto"/>
                <w:right w:val="none" w:sz="0" w:space="0" w:color="auto"/>
              </w:divBdr>
            </w:div>
            <w:div w:id="2019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62">
      <w:bodyDiv w:val="1"/>
      <w:marLeft w:val="0"/>
      <w:marRight w:val="0"/>
      <w:marTop w:val="0"/>
      <w:marBottom w:val="0"/>
      <w:divBdr>
        <w:top w:val="none" w:sz="0" w:space="0" w:color="auto"/>
        <w:left w:val="none" w:sz="0" w:space="0" w:color="auto"/>
        <w:bottom w:val="none" w:sz="0" w:space="0" w:color="auto"/>
        <w:right w:val="none" w:sz="0" w:space="0" w:color="auto"/>
      </w:divBdr>
    </w:div>
    <w:div w:id="436950852">
      <w:bodyDiv w:val="1"/>
      <w:marLeft w:val="0"/>
      <w:marRight w:val="0"/>
      <w:marTop w:val="0"/>
      <w:marBottom w:val="0"/>
      <w:divBdr>
        <w:top w:val="none" w:sz="0" w:space="0" w:color="auto"/>
        <w:left w:val="none" w:sz="0" w:space="0" w:color="auto"/>
        <w:bottom w:val="none" w:sz="0" w:space="0" w:color="auto"/>
        <w:right w:val="none" w:sz="0" w:space="0" w:color="auto"/>
      </w:divBdr>
      <w:divsChild>
        <w:div w:id="1219440805">
          <w:marLeft w:val="0"/>
          <w:marRight w:val="0"/>
          <w:marTop w:val="0"/>
          <w:marBottom w:val="0"/>
          <w:divBdr>
            <w:top w:val="none" w:sz="0" w:space="0" w:color="auto"/>
            <w:left w:val="none" w:sz="0" w:space="0" w:color="auto"/>
            <w:bottom w:val="none" w:sz="0" w:space="0" w:color="auto"/>
            <w:right w:val="none" w:sz="0" w:space="0" w:color="auto"/>
          </w:divBdr>
        </w:div>
        <w:div w:id="944188944">
          <w:marLeft w:val="0"/>
          <w:marRight w:val="0"/>
          <w:marTop w:val="0"/>
          <w:marBottom w:val="0"/>
          <w:divBdr>
            <w:top w:val="none" w:sz="0" w:space="0" w:color="auto"/>
            <w:left w:val="none" w:sz="0" w:space="0" w:color="auto"/>
            <w:bottom w:val="none" w:sz="0" w:space="0" w:color="auto"/>
            <w:right w:val="none" w:sz="0" w:space="0" w:color="auto"/>
          </w:divBdr>
        </w:div>
        <w:div w:id="796874719">
          <w:marLeft w:val="0"/>
          <w:marRight w:val="0"/>
          <w:marTop w:val="0"/>
          <w:marBottom w:val="0"/>
          <w:divBdr>
            <w:top w:val="none" w:sz="0" w:space="0" w:color="auto"/>
            <w:left w:val="none" w:sz="0" w:space="0" w:color="auto"/>
            <w:bottom w:val="none" w:sz="0" w:space="0" w:color="auto"/>
            <w:right w:val="none" w:sz="0" w:space="0" w:color="auto"/>
          </w:divBdr>
        </w:div>
        <w:div w:id="683095631">
          <w:marLeft w:val="0"/>
          <w:marRight w:val="0"/>
          <w:marTop w:val="0"/>
          <w:marBottom w:val="0"/>
          <w:divBdr>
            <w:top w:val="none" w:sz="0" w:space="0" w:color="auto"/>
            <w:left w:val="none" w:sz="0" w:space="0" w:color="auto"/>
            <w:bottom w:val="none" w:sz="0" w:space="0" w:color="auto"/>
            <w:right w:val="none" w:sz="0" w:space="0" w:color="auto"/>
          </w:divBdr>
        </w:div>
      </w:divsChild>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534779497">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687290516">
      <w:bodyDiv w:val="1"/>
      <w:marLeft w:val="0"/>
      <w:marRight w:val="0"/>
      <w:marTop w:val="0"/>
      <w:marBottom w:val="0"/>
      <w:divBdr>
        <w:top w:val="none" w:sz="0" w:space="0" w:color="auto"/>
        <w:left w:val="none" w:sz="0" w:space="0" w:color="auto"/>
        <w:bottom w:val="none" w:sz="0" w:space="0" w:color="auto"/>
        <w:right w:val="none" w:sz="0" w:space="0" w:color="auto"/>
      </w:divBdr>
    </w:div>
    <w:div w:id="2026401349">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strengthening-european-competitiveness/eu-competitiveness-looking-ahead_en" TargetMode="External"/><Relationship Id="rId7" Type="http://schemas.openxmlformats.org/officeDocument/2006/relationships/hyperlink" Target="https://www.eesc.europa.eu/ga/our-work/opinions-information-reports/information-reports/mid-term-evaluation-recovery-and-resilience-facility"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eur-lex.europa.eu/legal-content/ga/TXT/?uri=COM:2024:705:FIN" TargetMode="External"/><Relationship Id="rId6" Type="http://schemas.openxmlformats.org/officeDocument/2006/relationships/hyperlink" Target="https://eur-lex.europa.eu/legal-content/GA/TXT/?uri=OJ:C:2023:228:TOC" TargetMode="External"/><Relationship Id="rId5" Type="http://schemas.openxmlformats.org/officeDocument/2006/relationships/hyperlink" Target="https://commission.europa.eu/publications/2025-european-semester-proposal-joint-employment-report_en" TargetMode="External"/><Relationship Id="rId4" Type="http://schemas.openxmlformats.org/officeDocument/2006/relationships/hyperlink" Target="https://commission.europa.eu/publications/2025-european-semester-recommendation-euro-are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F7M6YNZUATRX-1659962339-4791</_dlc_DocId>
    <_dlc_DocIdUrl xmlns="59ace41b-6786-4ce3-be71-52c27066c6ef">
      <Url>http://dm/eesc/2024/_layouts/15/DocIdRedir.aspx?ID=F7M6YNZUATRX-1659962339-4791</Url>
      <Description>F7M6YNZUATRX-1659962339-4791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2025-02-10T12:00:00+00:00</ProductionDate>
    <DocumentNumber xmlns="91e51ac0-4aa1-4d5e-9a67-017d481be00b">4138</DocumentNumber>
    <FicheYear xmlns="59ace41b-6786-4ce3-be71-52c27066c6ef" xsi:nil="true"/>
    <DossierNumber xmlns="59ace41b-6786-4ce3-be71-52c27066c6ef">657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132</Value>
      <Value>66</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59ace41b-6786-4ce3-be71-52c27066c6ef">DANDEA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1201</FicheNumber>
    <OriginalSender xmlns="59ace41b-6786-4ce3-be71-52c27066c6ef">
      <UserInfo>
        <DisplayName>Murphy Aiden</DisplayName>
        <AccountId>1604</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594</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1</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87A22-3647-45FC-B570-FDE3C97077CB}"/>
</file>

<file path=customXml/itemProps2.xml><?xml version="1.0" encoding="utf-8"?>
<ds:datastoreItem xmlns:ds="http://schemas.openxmlformats.org/officeDocument/2006/customXml" ds:itemID="{7E9558DF-AAA6-45E4-A113-D16C0DDA30DB}"/>
</file>

<file path=customXml/itemProps3.xml><?xml version="1.0" encoding="utf-8"?>
<ds:datastoreItem xmlns:ds="http://schemas.openxmlformats.org/officeDocument/2006/customXml" ds:itemID="{5D6B0B86-9F37-4885-983A-0D74CE90D26C}"/>
</file>

<file path=customXml/itemProps4.xml><?xml version="1.0" encoding="utf-8"?>
<ds:datastoreItem xmlns:ds="http://schemas.openxmlformats.org/officeDocument/2006/customXml" ds:itemID="{6ABBBAE0-7895-4ADE-B59F-B43B7DBDE3CD}"/>
</file>

<file path=docProps/app.xml><?xml version="1.0" encoding="utf-8"?>
<Properties xmlns="http://schemas.openxmlformats.org/officeDocument/2006/extended-properties" xmlns:vt="http://schemas.openxmlformats.org/officeDocument/2006/docPropsVTypes">
  <Template>Normal.dotm</Template>
  <TotalTime>0</TotalTime>
  <Pages>6</Pages>
  <Words>2816</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2025 European Semester - Autumn package</vt:lpstr>
    </vt:vector>
  </TitlesOfParts>
  <Company>CESE-CdR</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Pacáiste an Fhómhair maidir le Seimeastar Eorpach 2025</dc:title>
  <dc:subject>AS</dc:subject>
  <dc:creator/>
  <cp:keywords>EESC-2024-04138-00-01-AS-TRA-EN</cp:keywords>
  <dc:description>Rapporteur: DANDEA - Original language: EN - Date of document: 10/02/2025 - Date of meeting: 30/26/2025 14:30 - External documents: COM(2024)700- final - Administrator:  PANTAZI ANNA</dc:description>
  <cp:lastModifiedBy/>
  <cp:revision>9</cp:revision>
  <cp:lastPrinted>2016-01-26T08:31:00Z</cp:lastPrinted>
  <dcterms:created xsi:type="dcterms:W3CDTF">2025-02-07T15:45:00Z</dcterms:created>
  <dcterms:modified xsi:type="dcterms:W3CDTF">2025-02-10T10:23:00Z</dcterms:modified>
  <cp:category>ECO/657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07/02/2025, 06/02/2025, 23/01/2025, 23/01/2025, 10/01/2025, 12/04/2024, 03/04/2024, 11/03/2024, 04/03/2024, 04/03/2024, 04/03/2024, 20/12/2023, 17/05/2022, 04/11/2015, 27/10/2015, 19/10/2015, 09/10/2015, 05/10/2015, 05/10/2015, 26/08/2015, 26/08/2015, 25/</vt:lpwstr>
  </property>
  <property fmtid="{D5CDD505-2E9C-101B-9397-08002B2CF9AE}" pid="4" name="Pref_Time">
    <vt:lpwstr>16:40:16, 16:17:25, 16:53:36, 11:32:44, 10:35:26, 11:59:36, 08:10:26, 12:03:24, 12:56:55, 12:41:08, 11:08:50, 07:02:01, 13:02:32, 12:10:07, 14:44:02, 16:04:16, 14:09:30, 16:24:55, 16:04:02, 08:56:14, 07:27:56, 17:31:53</vt:lpwstr>
  </property>
  <property fmtid="{D5CDD505-2E9C-101B-9397-08002B2CF9AE}" pid="5" name="Pref_User">
    <vt:lpwstr>jhvi, jhvi, amett, pacup, amett, enied, enied, enied, enied, enied, enied, enied, enied, ssex, enied, amett, tvoc, mreg, mreg, amett, enied, ssex</vt:lpwstr>
  </property>
  <property fmtid="{D5CDD505-2E9C-101B-9397-08002B2CF9AE}" pid="6" name="Pref_FileName">
    <vt:lpwstr>EESC-2024-04138-00-01-AS-ORI.docx, EESC-2024-04138-00-00-AS-TRA-EN-CRR.docx, EESC-2024-04138-00-01-PA-ORI.docx, EESC-2024-04138-00-00-PA-ORI.docx, EESC-2024-04138-00-00-APA-ORI.docx, COR-EESC-2024-01326-01-00-ADMIN-ORI.docx, DT-LEGIS-EN.docx, COR-EESC-202</vt:lpwstr>
  </property>
  <property fmtid="{D5CDD505-2E9C-101B-9397-08002B2CF9AE}" pid="7" name="ContentTypeId">
    <vt:lpwstr>0x010100EA97B91038054C99906057A708A1480A0034DD74551733C243A24AB255EE6A94DB</vt:lpwstr>
  </property>
  <property fmtid="{D5CDD505-2E9C-101B-9397-08002B2CF9AE}" pid="8" name="_dlc_DocIdItemGuid">
    <vt:lpwstr>3b44f213-d60b-4455-95a4-66b2c5c5b2a3</vt:lpwstr>
  </property>
  <property fmtid="{D5CDD505-2E9C-101B-9397-08002B2CF9AE}" pid="9" name="AvailableTranslations">
    <vt:lpwstr>28;#LV|46f7e311-5d9f-4663-b433-18aeccb7ace7;#27;#SL|98a412ae-eb01-49e9-ae3d-585a81724cfc;#32;#HU|6b229040-c589-4408-b4c1-4285663d20a8;#35;#FI|87606a43-d45f-42d6-b8c9-e1a3457db5b7;#30;#HR|2f555653-ed1a-4fe6-8362-9082d95989e5;#16;#DA|5d49c027-8956-412b-aa16-e85a0f96ad0e;#12;#IT|0774613c-01ed-4e5d-a25d-11d2388de825;#23;#MT|7df99101-6854-4a26-b53a-b88c0da02c26;#18;#GA|762d2456-c427-4ecb-b312-af3dad8e258c;#34;#LT|a7ff5ce7-6123-4f68-865a-a57c31810414;#26;#SK|46d9fce0-ef79-4f71-b89b-cd6aa82426b8;#5;#EN|f2175f21-25d7-44a3-96da-d6a61b075e1b;#31;#NL|55c6556c-b4f4-441d-9acf-c498d4f838bd;#29;#EL|6d4f4d51-af9b-4650-94b4-4276bee85c91;#43;#CS|72f9705b-0217-4fd3-bea2-cbc7ed80e26e;#17;#PL|1e03da61-4678-4e07-b136-b5024ca9197b;#36;#PT|50ccc04a-eadd-42ae-a0cb-acaf45f812ba;#21;#SV|c2ed69e7-a339-43d7-8f22-d93680a92aa0;#37;#RO|feb747a2-64cd-4299-af12-4833ddc30497;#33;#ET|ff6c3f4c-b02c-4c3c-ab07-2c37995a7a0a;#14;#FR|d2afafd3-4c81-4f60-8f52-ee33f2f54ff3;#22;#BG|1a1b3951-7821-4e6a-85f5-5673fc08bd2c;#24;#ES|e7a6b05b-ae16-40c8-add9-68b64b03aeba;#25;#DE|f6b31e5a-26fa-4935-b661-318e46daf27e</vt:lpwstr>
  </property>
  <property fmtid="{D5CDD505-2E9C-101B-9397-08002B2CF9AE}" pid="10" name="DocumentType_0">
    <vt:lpwstr>AS|c7a748eb-f6f2-4d9d-8b5a-af0cafebc224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4138</vt:i4>
  </property>
  <property fmtid="{D5CDD505-2E9C-101B-9397-08002B2CF9AE}" pid="14" name="DocumentVersion">
    <vt:i4>1</vt:i4>
  </property>
  <property fmtid="{D5CDD505-2E9C-101B-9397-08002B2CF9AE}" pid="15" name="DossierNumber">
    <vt:i4>657</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SPL-CES|32d8cb1f-c9ec-4365-95c7-8385a18618ac</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7;#SPL-CES|32d8cb1f-c9ec-4365-95c7-8385a18618ac</vt:lpwstr>
  </property>
  <property fmtid="{D5CDD505-2E9C-101B-9397-08002B2CF9AE}" pid="24" name="MeetingDate">
    <vt:filetime>2025-02-26T12:00:00Z</vt:filetime>
  </property>
  <property fmtid="{D5CDD505-2E9C-101B-9397-08002B2CF9AE}" pid="25" name="AvailableTranslations_0">
    <vt:lpwstr>SL|98a412ae-eb01-49e9-ae3d-585a81724cfc;HU|6b229040-c589-4408-b4c1-4285663d20a8;FI|87606a43-d45f-42d6-b8c9-e1a3457db5b7;HR|2f555653-ed1a-4fe6-8362-9082d95989e5;DA|5d49c027-8956-412b-aa16-e85a0f96ad0e;IT|0774613c-01ed-4e5d-a25d-11d2388de825;MT|7df99101-6854-4a26-b53a-b88c0da02c26;LT|a7ff5ce7-6123-4f68-865a-a57c31810414;EN|f2175f21-25d7-44a3-96da-d6a61b075e1b;CS|72f9705b-0217-4fd3-bea2-cbc7ed80e26e;PT|50ccc04a-eadd-42ae-a0cb-acaf45f812ba;ET|ff6c3f4c-b02c-4c3c-ab07-2c37995a7a0a;FR|d2afafd3-4c81-4f60-8f52-ee33f2f54ff3;ES|e7a6b05b-ae16-40c8-add9-68b64b03aeba</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PT|50ccc04a-eadd-42ae-a0cb-acaf45f812ba;#35;#FI|87606a43-d45f-42d6-b8c9-e1a3457db5b7;#34;#LT|a7ff5ce7-6123-4f68-865a-a57c31810414;#33;#ET|ff6c3f4c-b02c-4c3c-ab07-2c37995a7a0a;#32;#HU|6b229040-c589-4408-b4c1-4285663d20a8;#30;#HR|2f555653-ed1a-4fe6-8362-9082d95989e5;#66;#ECO|8df351f5-c957-404c-8cf3-8ffb22c9cba2;#27;#SL|98a412ae-eb01-49e9-ae3d-585a81724cfc;#24;#ES|e7a6b05b-ae16-40c8-add9-68b64b03aeba;#23;#MT|7df99101-6854-4a26-b53a-b88c0da02c26;#132;#AS|c7a748eb-f6f2-4d9d-8b5a-af0cafebc224;#43;#CS|72f9705b-0217-4fd3-bea2-cbc7ed80e26e;#16;#DA|5d49c027-8956-412b-aa16-e85a0f96ad0e;#14;#FR|d2afafd3-4c81-4f60-8f52-ee33f2f54ff3;#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29" name="Rapporteur">
    <vt:lpwstr>DANDEA</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1201</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132;#AS|c7a748eb-f6f2-4d9d-8b5a-af0cafebc224</vt:lpwstr>
  </property>
  <property fmtid="{D5CDD505-2E9C-101B-9397-08002B2CF9AE}" pid="38" name="DocumentLanguage">
    <vt:lpwstr>18;#GA|762d2456-c427-4ecb-b312-af3dad8e258c</vt:lpwstr>
  </property>
  <property name="OP_sanitized" fmtid="{D5CDD505-2E9C-101B-9397-08002B2CF9AE}" pid="38">
    <vt:lpwstr>True</vt:lpwstr>
  </property>
</Properties>
</file>