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001E2AAA">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2C6CE6" w:rsidP="00315ECF">
            <w:pPr>
              <w:spacing w:before="60" w:after="60"/>
              <w:jc w:val="center"/>
              <w:rPr>
                <w:rFonts w:ascii="Arial" w:hAnsi="Arial" w:cs="Arial"/>
                <w:b/>
                <w:sz w:val="22"/>
                <w:szCs w:val="22"/>
              </w:rPr>
            </w:pPr>
            <w:r>
              <w:rPr>
                <w:rFonts w:ascii="Arial" w:hAnsi="Arial"/>
                <w:b/>
                <w:sz w:val="22"/>
              </w:rPr>
              <w:t>GLAO AR FHIANAISE</w:t>
            </w:r>
            <w:r>
              <w:rPr>
                <w:rFonts w:ascii="Arial" w:hAnsi="Arial"/>
                <w:b/>
                <w:sz w:val="22"/>
              </w:rPr>
              <w:t xml:space="preserve"> </w:t>
            </w:r>
          </w:p>
          <w:p w:rsidR="001E0806" w:rsidRPr="002C6CE6" w:rsidP="00315ECF">
            <w:pPr>
              <w:spacing w:before="60" w:after="60"/>
              <w:jc w:val="center"/>
              <w:rPr>
                <w:rFonts w:ascii="Arial" w:hAnsi="Arial" w:cs="Arial"/>
                <w:b/>
                <w:i/>
                <w:sz w:val="22"/>
                <w:szCs w:val="22"/>
              </w:rPr>
            </w:pPr>
            <w:r>
              <w:rPr>
                <w:rFonts w:ascii="Arial" w:hAnsi="Arial"/>
                <w:b/>
                <w:sz w:val="22"/>
              </w:rPr>
              <w:t>LE hAGHAIDH MEASTÓIREACHTA / SEICEÁIL OIRIÚNACHTA</w:t>
            </w:r>
            <w:r>
              <w:rPr>
                <w:rFonts w:ascii="Arial" w:hAnsi="Arial"/>
                <w:b/>
                <w:sz w:val="22"/>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2C6CE6" w:rsidP="00A97435">
            <w:pPr>
              <w:spacing w:before="60" w:after="60"/>
              <w:rPr>
                <w:rFonts w:ascii="Arial" w:hAnsi="Arial" w:cs="Arial"/>
                <w:sz w:val="18"/>
                <w:szCs w:val="18"/>
                <w:lang w:eastAsia="en-GB"/>
              </w:rPr>
            </w:pPr>
          </w:p>
        </w:tc>
      </w:tr>
      <w:tr w:rsidTr="001E2AAA">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Teideal na meastóireachta</w:t>
            </w:r>
          </w:p>
        </w:tc>
        <w:tc>
          <w:tcPr>
            <w:tcW w:w="7476" w:type="dxa"/>
            <w:shd w:val="clear" w:color="auto" w:fill="auto"/>
            <w:vAlign w:val="center"/>
          </w:tcPr>
          <w:p w:rsidR="001E0806" w:rsidRPr="00317489" w:rsidP="006773D4">
            <w:pPr>
              <w:spacing w:after="0"/>
              <w:jc w:val="left"/>
              <w:rPr>
                <w:rFonts w:ascii="Arial" w:hAnsi="Arial" w:cs="Arial"/>
                <w:color w:val="000080"/>
                <w:sz w:val="20"/>
                <w:szCs w:val="24"/>
              </w:rPr>
            </w:pPr>
            <w:r>
              <w:rPr>
                <w:rFonts w:ascii="Arial" w:hAnsi="Arial"/>
                <w:color w:val="000080"/>
                <w:sz w:val="20"/>
              </w:rPr>
              <w:t>An Ionstraim um Thacaíocht Theicniúil – meastóireacht mheántéarma</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244EDC" w:rsidRPr="002C6CE6" w:rsidP="00B7441B">
            <w:pPr>
              <w:spacing w:before="60" w:after="60"/>
              <w:jc w:val="left"/>
              <w:rPr>
                <w:rFonts w:ascii="Arial" w:hAnsi="Arial" w:cs="Arial"/>
                <w:b/>
                <w:bCs/>
                <w:smallCaps/>
                <w:sz w:val="20"/>
              </w:rPr>
            </w:pPr>
            <w:r>
              <w:rPr>
                <w:rFonts w:ascii="Arial" w:hAnsi="Arial"/>
                <w:b/>
                <w:smallCaps/>
                <w:sz w:val="20"/>
              </w:rPr>
              <w:t>Príomh-AS – an t-aonad atá freagrach</w:t>
            </w:r>
            <w:r>
              <w:rPr>
                <w:rFonts w:ascii="Arial" w:hAnsi="Arial"/>
                <w:b/>
                <w:smallCaps/>
                <w:sz w:val="20"/>
              </w:rPr>
              <w:t xml:space="preserv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2C6CE6" w:rsidP="00B7441B">
            <w:pPr>
              <w:spacing w:before="60" w:after="60"/>
              <w:jc w:val="left"/>
              <w:rPr>
                <w:rFonts w:ascii="Arial" w:hAnsi="Arial" w:cs="Arial"/>
                <w:color w:val="000080"/>
                <w:sz w:val="20"/>
              </w:rPr>
            </w:pPr>
            <w:r>
              <w:rPr>
                <w:rFonts w:ascii="Arial" w:hAnsi="Arial"/>
                <w:color w:val="000080"/>
                <w:sz w:val="20"/>
              </w:rPr>
              <w:t>AS REFORM – Aonad A2 – Comhordú Tacaíochta Teicniúla, Gnóthaí Idirinstitiúideacha agus Dlí</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Amchlár táscach</w:t>
            </w:r>
            <w:r>
              <w:rPr>
                <w:rFonts w:ascii="Arial" w:hAnsi="Arial"/>
                <w:b/>
                <w:smallCaps/>
                <w:sz w:val="20"/>
              </w:rPr>
              <w:t xml:space="preserve"> </w:t>
            </w:r>
          </w:p>
          <w:p w:rsidR="001E0806" w:rsidRPr="002C6CE6" w:rsidP="00B7441B">
            <w:pPr>
              <w:spacing w:before="60" w:after="60"/>
              <w:jc w:val="left"/>
              <w:rPr>
                <w:rFonts w:ascii="Arial" w:hAnsi="Arial" w:cs="Arial"/>
                <w:b/>
                <w:bCs/>
                <w:smallCaps/>
                <w:sz w:val="20"/>
              </w:rPr>
            </w:pPr>
            <w:r>
              <w:rPr>
                <w:rFonts w:ascii="Arial" w:hAnsi="Arial"/>
                <w:b/>
                <w:smallCaps/>
                <w:sz w:val="20"/>
              </w:rPr>
              <w:t>(an dáta tosaigh atá beartaithe agus an dáta críochnaithe atá beartaithe)</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2C6CE6" w:rsidP="00A97435">
            <w:pPr>
              <w:spacing w:before="60" w:after="60"/>
              <w:jc w:val="left"/>
              <w:rPr>
                <w:rFonts w:ascii="Arial" w:hAnsi="Arial" w:cs="Arial"/>
                <w:color w:val="000080"/>
                <w:sz w:val="20"/>
                <w:highlight w:val="green"/>
              </w:rPr>
            </w:pPr>
            <w:r>
              <w:rPr>
                <w:rFonts w:ascii="Arial" w:hAnsi="Arial"/>
                <w:color w:val="000080"/>
                <w:sz w:val="20"/>
              </w:rPr>
              <w:t>R1 2024 – R1 2025</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B015DD" w:rsidRPr="002C6CE6" w:rsidP="00B015DD">
            <w:pPr>
              <w:spacing w:before="60" w:after="60"/>
              <w:jc w:val="left"/>
              <w:rPr>
                <w:rFonts w:ascii="Arial" w:hAnsi="Arial" w:cs="Arial"/>
                <w:b/>
                <w:bCs/>
                <w:smallCaps/>
                <w:sz w:val="20"/>
              </w:rPr>
            </w:pPr>
            <w:r>
              <w:rPr>
                <w:rFonts w:ascii="Arial" w:hAnsi="Arial"/>
                <w:b/>
                <w:smallCaps/>
                <w:sz w:val="20"/>
              </w:rPr>
              <w:t>Eolas breise</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B015DD" w:rsidRPr="002C6CE6" w:rsidP="00B015DD">
            <w:pPr>
              <w:spacing w:before="60" w:after="60"/>
              <w:jc w:val="left"/>
              <w:rPr>
                <w:rFonts w:ascii="Arial" w:hAnsi="Arial" w:cs="Arial"/>
                <w:color w:val="000080"/>
                <w:sz w:val="20"/>
              </w:rPr>
            </w:pPr>
            <w:r>
              <w:rPr>
                <w:rFonts w:ascii="Arial" w:hAnsi="Arial"/>
                <w:color w:val="000080"/>
                <w:sz w:val="20"/>
              </w:rPr>
              <w:t>https://commission.europa.eu/funding-tenders/find-funding/eu-funding-programmes/technical-support-instrument_ga</w:t>
            </w:r>
          </w:p>
        </w:tc>
      </w:tr>
      <w:tr w:rsidTr="001E2AAA">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B015DD" w:rsidRPr="002C6CE6" w:rsidP="00AA2517">
            <w:pPr>
              <w:spacing w:before="60" w:after="60"/>
              <w:rPr>
                <w:rFonts w:ascii="Arial" w:hAnsi="Arial" w:cs="Arial"/>
                <w:b/>
                <w:i/>
                <w:color w:val="00B050"/>
                <w:sz w:val="20"/>
              </w:rPr>
            </w:pPr>
            <w:r>
              <w:rPr>
                <w:rFonts w:ascii="Arial" w:hAnsi="Arial"/>
                <w:i/>
                <w:color w:val="FF0000"/>
                <w:sz w:val="18"/>
              </w:rPr>
              <w:t>Is ar mhaithe le heolas a thabhairt atá an doiciméad seo ann, agus ar mhaithe leis sin amháin.</w:t>
            </w:r>
            <w:r>
              <w:rPr>
                <w:rFonts w:ascii="Arial" w:hAnsi="Arial"/>
                <w:i/>
                <w:color w:val="FF0000"/>
                <w:sz w:val="18"/>
              </w:rPr>
              <w:t xml:space="preserve"> </w:t>
            </w:r>
            <w:r>
              <w:rPr>
                <w:rFonts w:ascii="Arial" w:hAnsi="Arial"/>
                <w:i/>
                <w:color w:val="FF0000"/>
                <w:sz w:val="18"/>
              </w:rPr>
              <w:t>Tá sé gan dochar do chinneadh críochnaitheach an Choimisiúin faoi leanúint ar aghaidh leis an tionscnamh seo nó faoin ábhar a bheidh ann ar deireadh.</w:t>
            </w:r>
            <w:r>
              <w:rPr>
                <w:rFonts w:ascii="Arial" w:hAnsi="Arial"/>
                <w:i/>
                <w:color w:val="FF0000"/>
                <w:sz w:val="18"/>
              </w:rPr>
              <w:t xml:space="preserve"> </w:t>
            </w:r>
            <w:r>
              <w:rPr>
                <w:rFonts w:ascii="Arial" w:hAnsi="Arial"/>
                <w:i/>
                <w:color w:val="FF0000"/>
                <w:sz w:val="18"/>
              </w:rPr>
              <w:t>D’fhéadfadh athrú teacht ar aon ghné den tionscnamh a bhfuil tuairisc air sa doiciméad, an t-amchlár san áireamh.</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B015DD" w:rsidRPr="002C6CE6" w:rsidP="00B015DD">
            <w:pPr>
              <w:keepNext/>
              <w:keepLines/>
              <w:widowControl w:val="0"/>
              <w:spacing w:before="60" w:after="60"/>
              <w:jc w:val="center"/>
              <w:rPr>
                <w:rFonts w:ascii="Arial" w:hAnsi="Arial" w:cs="Arial"/>
                <w:b/>
                <w:sz w:val="22"/>
                <w:szCs w:val="22"/>
              </w:rPr>
            </w:pPr>
            <w:r>
              <w:rPr>
                <w:rFonts w:ascii="Arial" w:hAnsi="Arial"/>
                <w:b/>
                <w:sz w:val="22"/>
              </w:rPr>
              <w:t>A. Comhthéacs polaitiúil, cuspóir agus raon feidhme na meastóireachta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015DD" w:rsidRPr="002C6CE6" w:rsidP="00B015DD">
            <w:pPr>
              <w:keepNext/>
              <w:keepLines/>
              <w:widowControl w:val="0"/>
              <w:spacing w:before="60" w:after="60"/>
              <w:rPr>
                <w:rFonts w:ascii="Arial" w:hAnsi="Arial" w:cs="Arial"/>
                <w:sz w:val="20"/>
              </w:rPr>
            </w:pPr>
            <w:r>
              <w:rPr>
                <w:rFonts w:ascii="Arial" w:hAnsi="Arial"/>
                <w:b/>
                <w:sz w:val="20"/>
              </w:rPr>
              <w:t>An comhthéacs polaitiúil</w:t>
            </w:r>
            <w:r>
              <w:rPr>
                <w:rFonts w:ascii="Arial" w:hAnsi="Arial"/>
                <w:b/>
                <w:sz w:val="20"/>
              </w:rPr>
              <w:t xml:space="preserve"> </w:t>
            </w:r>
          </w:p>
        </w:tc>
      </w:tr>
      <w:tr w:rsidTr="00AA2517">
        <w:tblPrEx>
          <w:tblW w:w="10283" w:type="dxa"/>
          <w:jc w:val="center"/>
          <w:tblLayout w:type="fixed"/>
          <w:tblLook w:val="01E0"/>
        </w:tblPrEx>
        <w:trPr>
          <w:trHeight w:val="3914"/>
          <w:jc w:val="center"/>
        </w:trPr>
        <w:tc>
          <w:tcPr>
            <w:tcW w:w="10283" w:type="dxa"/>
            <w:gridSpan w:val="2"/>
            <w:tcBorders>
              <w:bottom w:val="single" w:sz="4" w:space="0" w:color="auto"/>
            </w:tcBorders>
            <w:shd w:val="clear" w:color="auto" w:fill="auto"/>
          </w:tcPr>
          <w:p w:rsidR="00AA2517" w:rsidP="00AA2517">
            <w:pPr>
              <w:keepNext/>
              <w:keepLines/>
              <w:widowControl w:val="0"/>
              <w:spacing w:before="60" w:after="60"/>
              <w:rPr>
                <w:rFonts w:ascii="Arial" w:hAnsi="Arial" w:cs="Arial"/>
                <w:iCs/>
                <w:color w:val="1036A0"/>
                <w:sz w:val="20"/>
              </w:rPr>
            </w:pPr>
            <w:r>
              <w:rPr>
                <w:rFonts w:ascii="Arial" w:hAnsi="Arial"/>
                <w:color w:val="1036A0"/>
                <w:sz w:val="20"/>
              </w:rPr>
              <w:t xml:space="preserve">Tháinig an Ionstraim um Thacaíocht Theicniúil (‘an Ionstraim’ anseo feasta), a bunaíodh faoi </w:t>
            </w:r>
            <w:r>
              <w:fldChar w:fldCharType="begin"/>
            </w:r>
            <w:r>
              <w:instrText xml:space="preserve"> HYPERLINK "https://eur-lex.europa.eu/eli/reg/2021/240" </w:instrText>
            </w:r>
            <w:r>
              <w:fldChar w:fldCharType="separate"/>
            </w:r>
            <w:r>
              <w:rPr>
                <w:rStyle w:val="Hyperlink"/>
                <w:rFonts w:ascii="Arial" w:hAnsi="Arial"/>
                <w:sz w:val="20"/>
              </w:rPr>
              <w:t>Rialachán (AE) 2021/240</w:t>
            </w:r>
            <w:r>
              <w:fldChar w:fldCharType="end"/>
            </w:r>
            <w:r>
              <w:rPr>
                <w:rFonts w:ascii="Arial" w:hAnsi="Arial"/>
                <w:color w:val="1036A0"/>
                <w:sz w:val="20"/>
              </w:rPr>
              <w:t>, i bhfeidhm an 19 Feabhra 2021.</w:t>
            </w:r>
            <w:r>
              <w:rPr>
                <w:rFonts w:ascii="Arial" w:hAnsi="Arial"/>
                <w:color w:val="1036A0"/>
                <w:sz w:val="20"/>
              </w:rPr>
              <w:t xml:space="preserve"> </w:t>
            </w:r>
            <w:r>
              <w:rPr>
                <w:rFonts w:ascii="Arial" w:hAnsi="Arial"/>
                <w:color w:val="1036A0"/>
                <w:sz w:val="20"/>
              </w:rPr>
              <w:t>Is í comharba an Chláir Tacaíochta um Athchóiriú Struchtúrach í.</w:t>
            </w:r>
            <w:r>
              <w:rPr>
                <w:rFonts w:ascii="Arial" w:hAnsi="Arial"/>
                <w:color w:val="1036A0"/>
                <w:sz w:val="20"/>
              </w:rPr>
              <w:t xml:space="preserve"> </w:t>
            </w:r>
            <w:r>
              <w:rPr>
                <w:rFonts w:ascii="Arial" w:hAnsi="Arial"/>
                <w:color w:val="1036A0"/>
                <w:sz w:val="20"/>
              </w:rPr>
              <w:t>Is é is aidhm di cúnamh a thabhairt do Bhallstáit an Aontais a n-acmhainneacht institiúideach agus riaracháin a neartú, ar an leibhéal réigiúnach agus an leibhéal áitiúil, chun aistriú glas agus aistriú digiteach atá ionchuimsitheach go sóisialta a éascú, chun aghaidh a thabhairt go héifeachtach ar na dúshláin a sainaithníodh sna moltaí tírshonracha a rinneadh i gcomhthéacs an tSeimeastair Eorpaigh, agus chun dlí an Aontais a chur chun feidhme (Airteagal 3 de Rialachán (AE) 2021/240).</w:t>
            </w:r>
            <w:r>
              <w:rPr>
                <w:rFonts w:ascii="Arial" w:hAnsi="Arial"/>
                <w:color w:val="1036A0"/>
                <w:sz w:val="20"/>
              </w:rPr>
              <w:t xml:space="preserve"> </w:t>
            </w:r>
            <w:r>
              <w:rPr>
                <w:rFonts w:ascii="Arial" w:hAnsi="Arial"/>
                <w:color w:val="1036A0"/>
                <w:sz w:val="20"/>
              </w:rPr>
              <w:t xml:space="preserve">Tá </w:t>
            </w:r>
            <w:r>
              <w:rPr>
                <w:rFonts w:ascii="Arial" w:hAnsi="Arial"/>
                <w:b/>
                <w:color w:val="1036A0"/>
                <w:sz w:val="20"/>
              </w:rPr>
              <w:t>buiséad</w:t>
            </w:r>
            <w:r>
              <w:rPr>
                <w:rFonts w:ascii="Arial" w:hAnsi="Arial"/>
                <w:color w:val="1036A0"/>
                <w:sz w:val="20"/>
              </w:rPr>
              <w:t xml:space="preserve"> EUR 864 mhilliún ag an Ionstraim le haghaidh 2021-2027, agus tá sí á bainistiú ag Ard-Stiúrthóireacht na Tacaíochta um Athchóiriú Struchtúrach sa Choimisiún Eorpach (AS REFORM).</w:t>
            </w:r>
            <w:r>
              <w:rPr>
                <w:rFonts w:ascii="Arial" w:hAnsi="Arial"/>
                <w:color w:val="1036A0"/>
                <w:sz w:val="20"/>
              </w:rPr>
              <w:t xml:space="preserve"> </w:t>
            </w:r>
          </w:p>
          <w:p w:rsidR="00AA2517" w:rsidP="00AA2517">
            <w:pPr>
              <w:keepNext/>
              <w:keepLines/>
              <w:widowControl w:val="0"/>
              <w:spacing w:before="60" w:after="60"/>
              <w:rPr>
                <w:rFonts w:ascii="Arial" w:hAnsi="Arial" w:cs="Arial"/>
                <w:iCs/>
                <w:color w:val="1036A0"/>
                <w:sz w:val="20"/>
              </w:rPr>
            </w:pPr>
            <w:r>
              <w:rPr>
                <w:rFonts w:ascii="Arial" w:hAnsi="Arial"/>
                <w:color w:val="1036A0"/>
                <w:sz w:val="20"/>
              </w:rPr>
              <w:t>Is cuid thábhachtach í an Ionstraim de thionscnamh an Aontais cuidiú le Ballstáit an Aontais tionchair eacnamaíocha agus shóisialta COVID-19 a mhaolú.</w:t>
            </w:r>
            <w:r>
              <w:rPr>
                <w:rFonts w:ascii="Arial" w:hAnsi="Arial"/>
                <w:color w:val="1036A0"/>
                <w:sz w:val="20"/>
              </w:rPr>
              <w:t xml:space="preserve"> </w:t>
            </w:r>
            <w:r>
              <w:rPr>
                <w:rFonts w:ascii="Arial" w:hAnsi="Arial"/>
                <w:color w:val="1036A0"/>
                <w:sz w:val="20"/>
              </w:rPr>
              <w:t>Cuidíonn sí le Ballstáit an Aontais athchóirithe a cheapadh agus a chur chun feidhme chun an athléimneacht a fheabhsú, trí shaineolas a thabhairt do na húdaráis.</w:t>
            </w:r>
            <w:r>
              <w:rPr>
                <w:rFonts w:ascii="Arial" w:hAnsi="Arial"/>
                <w:color w:val="1036A0"/>
                <w:sz w:val="20"/>
              </w:rPr>
              <w:t xml:space="preserve"> </w:t>
            </w:r>
            <w:r>
              <w:rPr>
                <w:rFonts w:ascii="Arial" w:hAnsi="Arial"/>
                <w:color w:val="1036A0"/>
                <w:sz w:val="20"/>
              </w:rPr>
              <w:t xml:space="preserve">Cuirtear tacaíocht theicniúil ar fáil i raon leathan </w:t>
            </w:r>
            <w:r>
              <w:rPr>
                <w:rFonts w:ascii="Arial" w:hAnsi="Arial"/>
                <w:b/>
                <w:color w:val="1036A0"/>
                <w:sz w:val="20"/>
              </w:rPr>
              <w:t>réimsí beartais</w:t>
            </w:r>
            <w:r>
              <w:rPr>
                <w:rFonts w:ascii="Arial" w:hAnsi="Arial"/>
                <w:color w:val="1036A0"/>
                <w:sz w:val="20"/>
              </w:rPr>
              <w:t>, lena n-áirítear,</w:t>
            </w:r>
            <w:r>
              <w:t xml:space="preserve"> </w:t>
            </w:r>
            <w:r>
              <w:rPr>
                <w:rFonts w:ascii="Arial" w:hAnsi="Arial"/>
                <w:color w:val="1036A0"/>
                <w:sz w:val="20"/>
              </w:rPr>
              <w:t>i measc nithe eile, an t-aistriú glas agus an t-aistriú digiteach; cúram sláinte agus cúram fadtéarmach; scileanna, oideachas agus oiliúint; rialachas agus riarachán poiblí; iomaíocht; an earnáil airgeadais agus rochtain ar airgeadas; riarachán ioncaim agus bainistiú airgeadais poiblí; an margadh saothair, cosaint shóisialta agus imirce.</w:t>
            </w:r>
            <w:r>
              <w:rPr>
                <w:rFonts w:ascii="Arial" w:hAnsi="Arial"/>
                <w:color w:val="1036A0"/>
                <w:sz w:val="20"/>
              </w:rPr>
              <w:t xml:space="preserve"> </w:t>
            </w:r>
            <w:r>
              <w:rPr>
                <w:rFonts w:ascii="Arial" w:hAnsi="Arial"/>
                <w:color w:val="1036A0"/>
                <w:sz w:val="20"/>
              </w:rPr>
              <w:t xml:space="preserve">Tá samplaí de na gníomhaíochtaí tacaíochta faoin Ionstraim le fáil ar </w:t>
            </w:r>
            <w:r>
              <w:fldChar w:fldCharType="begin"/>
            </w:r>
            <w:r>
              <w:instrText xml:space="preserve"> HYPERLINK "https://ec.europa.eu/info/examples-reform-support_ga" </w:instrText>
            </w:r>
            <w:r>
              <w:fldChar w:fldCharType="separate"/>
            </w:r>
            <w:r>
              <w:rPr>
                <w:rStyle w:val="Hyperlink"/>
                <w:rFonts w:ascii="Arial" w:hAnsi="Arial"/>
                <w:sz w:val="20"/>
              </w:rPr>
              <w:t>an suíomh gréasáin seo</w:t>
            </w:r>
            <w:r>
              <w:fldChar w:fldCharType="end"/>
            </w:r>
            <w:r>
              <w:rPr>
                <w:rFonts w:ascii="Arial" w:hAnsi="Arial"/>
                <w:color w:val="1036A0"/>
                <w:sz w:val="20"/>
              </w:rPr>
              <w:t>.</w:t>
            </w:r>
          </w:p>
          <w:p w:rsidR="00B015DD" w:rsidRPr="00AA2517" w:rsidP="00AA2517">
            <w:pPr>
              <w:keepNext/>
              <w:keepLines/>
              <w:widowControl w:val="0"/>
              <w:spacing w:before="60" w:after="120"/>
              <w:rPr>
                <w:rFonts w:ascii="Arial" w:hAnsi="Arial" w:cs="Arial"/>
                <w:i/>
                <w:color w:val="1036A0"/>
                <w:sz w:val="20"/>
                <w:highlight w:val="yellow"/>
              </w:rPr>
            </w:pPr>
            <w:r>
              <w:rPr>
                <w:rFonts w:ascii="Arial" w:hAnsi="Arial"/>
                <w:color w:val="1036A0"/>
                <w:sz w:val="20"/>
              </w:rPr>
              <w:t xml:space="preserve">Mar a luaitear in Airteagal 16 de Rialachán (AE) 2021/240, beidh an Ionstraim faoi réir </w:t>
            </w:r>
            <w:r>
              <w:rPr>
                <w:rFonts w:ascii="Arial" w:hAnsi="Arial"/>
                <w:b/>
                <w:color w:val="1036A0"/>
                <w:sz w:val="20"/>
              </w:rPr>
              <w:t>meastóireacht mheántéarma</w:t>
            </w:r>
            <w:r>
              <w:rPr>
                <w:rFonts w:ascii="Arial" w:hAnsi="Arial"/>
                <w:color w:val="1036A0"/>
                <w:sz w:val="20"/>
              </w:rPr>
              <w:t xml:space="preserve"> neamhspleách faoin 20 Feabhra 2025.</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015DD" w:rsidRPr="002C6CE6" w:rsidP="00B015DD">
            <w:pPr>
              <w:keepNext/>
              <w:keepLines/>
              <w:widowControl w:val="0"/>
              <w:spacing w:before="60" w:after="60"/>
              <w:rPr>
                <w:rFonts w:ascii="Arial" w:hAnsi="Arial" w:cs="Arial"/>
                <w:sz w:val="20"/>
              </w:rPr>
            </w:pPr>
            <w:r>
              <w:rPr>
                <w:rFonts w:ascii="Arial" w:hAnsi="Arial"/>
                <w:b/>
                <w:sz w:val="20"/>
              </w:rPr>
              <w:t>An cuspóir agus an raon feidhme</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AA2517" w:rsidRPr="00B811EE" w:rsidP="00AA2517">
            <w:pPr>
              <w:keepNext/>
              <w:keepLines/>
              <w:widowControl w:val="0"/>
              <w:spacing w:before="60" w:after="60"/>
              <w:rPr>
                <w:rFonts w:ascii="Arial" w:hAnsi="Arial" w:cs="Arial"/>
                <w:color w:val="1036A0"/>
                <w:sz w:val="20"/>
              </w:rPr>
            </w:pPr>
            <w:r>
              <w:rPr>
                <w:rFonts w:ascii="Arial" w:hAnsi="Arial"/>
                <w:color w:val="1036A0"/>
                <w:sz w:val="20"/>
              </w:rPr>
              <w:t xml:space="preserve">Is é is </w:t>
            </w:r>
            <w:r>
              <w:rPr>
                <w:rFonts w:ascii="Arial" w:hAnsi="Arial"/>
                <w:b/>
                <w:color w:val="1036A0"/>
                <w:sz w:val="20"/>
              </w:rPr>
              <w:t>cuspóir</w:t>
            </w:r>
            <w:r>
              <w:rPr>
                <w:rFonts w:ascii="Arial" w:hAnsi="Arial"/>
                <w:color w:val="1036A0"/>
                <w:sz w:val="20"/>
              </w:rPr>
              <w:t xml:space="preserve"> don mheastóireacht mheántéarma fianaise a bhailiú maidir le cur chun feidhme luath na hIonstraime i gcomhréir lena bunús dlí, agus eolas a chur ar fáil do Pharlaimint na hEorpa agus don Chomhairle maidir le baint amach chuspóirí na hIonstraime go dtí seo, a éifeachtaí a bhí an úsáid a baineadh as na hacmhainní, breisluach AE na hIonstraime, agus ábharthacht chuspóirí agus ghníomhaíochtaí na hIonstraime.</w:t>
            </w:r>
            <w:r>
              <w:rPr>
                <w:rFonts w:ascii="Arial" w:hAnsi="Arial"/>
                <w:color w:val="1036A0"/>
                <w:sz w:val="20"/>
              </w:rPr>
              <w:t xml:space="preserve"> </w:t>
            </w:r>
            <w:r>
              <w:rPr>
                <w:rFonts w:ascii="Arial" w:hAnsi="Arial"/>
                <w:b/>
                <w:color w:val="1036A0"/>
                <w:sz w:val="20"/>
              </w:rPr>
              <w:t>Úsáidfear</w:t>
            </w:r>
            <w:r>
              <w:rPr>
                <w:rFonts w:ascii="Arial" w:hAnsi="Arial"/>
                <w:color w:val="1036A0"/>
                <w:sz w:val="20"/>
              </w:rPr>
              <w:t xml:space="preserve"> an mheastóireacht seo freisin le haghaidh na nithe seo a leanas:</w:t>
            </w:r>
            <w:r>
              <w:rPr>
                <w:rFonts w:ascii="Arial" w:hAnsi="Arial"/>
                <w:color w:val="1036A0"/>
                <w:sz w:val="20"/>
              </w:rPr>
              <w:t xml:space="preserve"> </w:t>
            </w:r>
          </w:p>
          <w:p w:rsidR="00AA2517" w:rsidRPr="00AA2517" w:rsidP="00AA2517">
            <w:pPr>
              <w:pStyle w:val="ListParagraph"/>
              <w:keepNext/>
              <w:keepLines/>
              <w:widowControl w:val="0"/>
              <w:numPr>
                <w:ilvl w:val="0"/>
                <w:numId w:val="43"/>
              </w:numPr>
              <w:spacing w:before="60" w:after="60"/>
              <w:rPr>
                <w:rFonts w:ascii="Arial" w:hAnsi="Arial" w:cs="Arial"/>
                <w:color w:val="1036A0"/>
                <w:sz w:val="20"/>
              </w:rPr>
            </w:pPr>
            <w:r>
              <w:rPr>
                <w:rFonts w:ascii="Arial" w:hAnsi="Arial"/>
                <w:color w:val="1036A0"/>
                <w:sz w:val="20"/>
              </w:rPr>
              <w:t>príomhghníomhaíochtaí a thugann aghaidh ar éifeachtacht, éifeachtúlacht, ábharthacht, comhleanúnachas agus breisluach AE na hIonstraime a shainaithint;</w:t>
            </w:r>
            <w:r>
              <w:rPr>
                <w:rFonts w:ascii="Arial" w:hAnsi="Arial"/>
                <w:color w:val="1036A0"/>
                <w:sz w:val="20"/>
              </w:rPr>
              <w:t xml:space="preserve"> </w:t>
            </w:r>
          </w:p>
          <w:p w:rsidR="00AA2517" w:rsidRPr="00AA2517" w:rsidP="00AA2517">
            <w:pPr>
              <w:pStyle w:val="ListParagraph"/>
              <w:keepNext/>
              <w:keepLines/>
              <w:widowControl w:val="0"/>
              <w:numPr>
                <w:ilvl w:val="0"/>
                <w:numId w:val="43"/>
              </w:numPr>
              <w:spacing w:before="60" w:after="60"/>
              <w:rPr>
                <w:rFonts w:ascii="Arial" w:hAnsi="Arial" w:cs="Arial"/>
                <w:color w:val="1036A0"/>
                <w:sz w:val="20"/>
              </w:rPr>
            </w:pPr>
            <w:r>
              <w:rPr>
                <w:rFonts w:ascii="Arial" w:hAnsi="Arial"/>
                <w:color w:val="1036A0"/>
                <w:sz w:val="20"/>
              </w:rPr>
              <w:t>ceachtanna foghlamtha a shainaithint agus rannchuidiú le hullmhú na chéad chlárthréimhse eile;</w:t>
            </w:r>
          </w:p>
          <w:p w:rsidR="00B015DD" w:rsidRPr="00AA2517" w:rsidP="00AA2517">
            <w:pPr>
              <w:pStyle w:val="ListParagraph"/>
              <w:keepNext/>
              <w:keepLines/>
              <w:widowControl w:val="0"/>
              <w:numPr>
                <w:ilvl w:val="0"/>
                <w:numId w:val="43"/>
              </w:numPr>
              <w:spacing w:before="60" w:after="60"/>
              <w:rPr>
                <w:rFonts w:ascii="Arial" w:hAnsi="Arial" w:cs="Arial"/>
                <w:color w:val="1036A0"/>
                <w:sz w:val="20"/>
              </w:rPr>
            </w:pPr>
            <w:r>
              <w:rPr>
                <w:rFonts w:ascii="Arial" w:hAnsi="Arial"/>
                <w:color w:val="1036A0"/>
                <w:sz w:val="20"/>
              </w:rPr>
              <w:t xml:space="preserve">ionchur le haghaidh na meastóireachta </w:t>
            </w:r>
            <w:r>
              <w:rPr>
                <w:rFonts w:ascii="Arial" w:hAnsi="Arial"/>
                <w:i/>
                <w:color w:val="1036A0"/>
                <w:sz w:val="20"/>
              </w:rPr>
              <w:t>ex post</w:t>
            </w:r>
            <w:r>
              <w:rPr>
                <w:rFonts w:ascii="Arial" w:hAnsi="Arial"/>
                <w:color w:val="1036A0"/>
                <w:sz w:val="20"/>
              </w:rPr>
              <w:t xml:space="preserve"> ar an Ionstraim.</w:t>
            </w:r>
          </w:p>
          <w:p w:rsidR="00AA2517" w:rsidRPr="00BF6288" w:rsidP="00AA2517">
            <w:pPr>
              <w:keepNext/>
              <w:keepLines/>
              <w:widowControl w:val="0"/>
              <w:spacing w:before="60" w:after="60"/>
              <w:rPr>
                <w:rFonts w:ascii="Arial" w:hAnsi="Arial" w:cs="Arial"/>
                <w:color w:val="1036A0"/>
                <w:sz w:val="20"/>
              </w:rPr>
            </w:pPr>
            <w:r>
              <w:rPr>
                <w:rFonts w:ascii="Arial" w:hAnsi="Arial"/>
                <w:color w:val="1036A0"/>
                <w:sz w:val="20"/>
              </w:rPr>
              <w:t>Cumhdóidh an mheastóireacht na tionscadail ar fad a mhaoinítear faoin Ionstraim ar glacadh lena n-iarrataí idir an 1 Eanáir 2021 agus an 31 Nollaig 2023 sna 27 mBallstát den Aontas.</w:t>
            </w:r>
            <w:r>
              <w:rPr>
                <w:rFonts w:ascii="Arial" w:hAnsi="Arial"/>
                <w:color w:val="1036A0"/>
                <w:sz w:val="20"/>
              </w:rPr>
              <w:t xml:space="preserve"> </w:t>
            </w:r>
            <w:r>
              <w:rPr>
                <w:rFonts w:ascii="Arial" w:hAnsi="Arial"/>
                <w:color w:val="1036A0"/>
                <w:sz w:val="20"/>
              </w:rPr>
              <w:t>Cumhdóidh sí timthriall iomlán na hIonstraime, ón uair a chuir Ballstáit an Aontais iarrataí ar thacaíocht isteach go dtí cur chun feidhme na dtionscadal um thacaíocht theicniúil.</w:t>
            </w:r>
          </w:p>
          <w:p w:rsidR="00B015DD" w:rsidRPr="00AA2517" w:rsidP="00AA2517">
            <w:pPr>
              <w:keepNext/>
              <w:keepLines/>
              <w:widowControl w:val="0"/>
              <w:spacing w:before="60" w:after="60"/>
              <w:rPr>
                <w:rFonts w:ascii="Arial" w:hAnsi="Arial" w:cs="Arial"/>
                <w:color w:val="1036A0"/>
                <w:sz w:val="20"/>
              </w:rPr>
            </w:pPr>
            <w:r>
              <w:rPr>
                <w:rFonts w:ascii="Arial" w:hAnsi="Arial"/>
                <w:color w:val="1036A0"/>
                <w:sz w:val="20"/>
              </w:rPr>
              <w:t xml:space="preserve">Tá </w:t>
            </w:r>
            <w:r>
              <w:rPr>
                <w:rFonts w:ascii="Arial" w:hAnsi="Arial"/>
                <w:b/>
                <w:color w:val="1036A0"/>
                <w:sz w:val="20"/>
              </w:rPr>
              <w:t>teorainneacha</w:t>
            </w:r>
            <w:r>
              <w:rPr>
                <w:rFonts w:ascii="Arial" w:hAnsi="Arial"/>
                <w:color w:val="1036A0"/>
                <w:sz w:val="20"/>
              </w:rPr>
              <w:t xml:space="preserve"> ag baint leis an meastóireacht mheántéarma toisc nár cuireadh tús le cur chun feidhme na hIonstraime go dtí le déanaí (in 2021).</w:t>
            </w:r>
            <w:r>
              <w:rPr>
                <w:rFonts w:ascii="Arial" w:hAnsi="Arial"/>
                <w:color w:val="1036A0"/>
                <w:sz w:val="20"/>
              </w:rPr>
              <w:t xml:space="preserve"> </w:t>
            </w:r>
            <w:r>
              <w:rPr>
                <w:rFonts w:ascii="Arial" w:hAnsi="Arial"/>
                <w:color w:val="1036A0"/>
                <w:sz w:val="20"/>
              </w:rPr>
              <w:t>Ní bheifear in ann measúnú a dhéanamh ar a tionchair fhadtéarmacha i mBallstáit an Aontais ach go ceann roinnt mhaith blianta, measúnú a bheadh bunaithe ar conas atá athchóirithe sonracha á gcur chun feidhme.</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B015DD" w:rsidRPr="002C6CE6" w:rsidP="00B015DD">
            <w:pPr>
              <w:keepNext/>
              <w:keepLines/>
              <w:widowControl w:val="0"/>
              <w:spacing w:before="60" w:after="60"/>
              <w:jc w:val="center"/>
              <w:rPr>
                <w:rFonts w:ascii="Arial" w:hAnsi="Arial" w:cs="Arial"/>
                <w:b/>
                <w:sz w:val="22"/>
                <w:szCs w:val="22"/>
              </w:rPr>
            </w:pPr>
            <w:r>
              <w:rPr>
                <w:rFonts w:ascii="Arial" w:hAnsi="Arial"/>
                <w:b/>
                <w:sz w:val="22"/>
                <w:highlight w:val="blue"/>
              </w:rPr>
              <w:t>B. Rialáil níos fearr</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B015DD" w:rsidRPr="002C6CE6" w:rsidP="00B015DD">
            <w:pPr>
              <w:keepNext/>
              <w:keepLines/>
              <w:widowControl w:val="0"/>
              <w:spacing w:before="60" w:after="60"/>
              <w:rPr>
                <w:rFonts w:ascii="Arial" w:hAnsi="Arial" w:cs="Arial"/>
                <w:sz w:val="20"/>
              </w:rPr>
            </w:pPr>
            <w:r>
              <w:rPr>
                <w:rFonts w:ascii="Arial" w:hAnsi="Arial"/>
                <w:b/>
                <w:sz w:val="20"/>
              </w:rPr>
              <w:t>An straitéis chomhairliúcháin</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AA2517" w:rsidP="00AA2517">
            <w:pPr>
              <w:keepNext/>
              <w:keepLines/>
              <w:widowControl w:val="0"/>
              <w:spacing w:before="60" w:after="60"/>
              <w:rPr>
                <w:rFonts w:ascii="Arial" w:hAnsi="Arial" w:cs="Arial"/>
                <w:color w:val="1036A0"/>
                <w:sz w:val="20"/>
              </w:rPr>
            </w:pPr>
            <w:r>
              <w:rPr>
                <w:rFonts w:ascii="Arial" w:hAnsi="Arial"/>
                <w:color w:val="1036A0"/>
                <w:sz w:val="20"/>
              </w:rPr>
              <w:t>Chun aiseolas maidir leis an Ionstraim a fháil ó na páirtithe leasmhara lena mbaineann agus ón bpobal, tá na comhairliúcháin seo a leanas leis na páirtithe leasmhara beartaithe ón dara ráithe de 2024 ar aghaidh:</w:t>
            </w:r>
            <w:r>
              <w:rPr>
                <w:rFonts w:ascii="Arial" w:hAnsi="Arial"/>
                <w:color w:val="1036A0"/>
                <w:sz w:val="20"/>
              </w:rPr>
              <w:t xml:space="preserve"> </w:t>
            </w:r>
          </w:p>
          <w:p w:rsidR="00AA2517" w:rsidRPr="002C67BA" w:rsidP="006773D4">
            <w:pPr>
              <w:pStyle w:val="ListParagraph"/>
              <w:keepNext/>
              <w:keepLines/>
              <w:widowControl w:val="0"/>
              <w:numPr>
                <w:ilvl w:val="0"/>
                <w:numId w:val="42"/>
              </w:numPr>
              <w:spacing w:before="60" w:after="60"/>
              <w:jc w:val="both"/>
              <w:rPr>
                <w:rFonts w:ascii="Arial" w:hAnsi="Arial" w:cs="Arial"/>
                <w:color w:val="1036A0"/>
                <w:sz w:val="20"/>
              </w:rPr>
            </w:pPr>
            <w:r>
              <w:rPr>
                <w:rFonts w:ascii="Arial" w:hAnsi="Arial"/>
                <w:b/>
                <w:color w:val="1036A0"/>
                <w:sz w:val="20"/>
              </w:rPr>
              <w:t>Comhairliúchán poiblí oscailte</w:t>
            </w:r>
            <w:r>
              <w:rPr>
                <w:rFonts w:ascii="Arial" w:hAnsi="Arial"/>
                <w:color w:val="1036A0"/>
                <w:sz w:val="20"/>
              </w:rPr>
              <w:t xml:space="preserve"> a mhairfidh dhá sheachtain déag ar an tairseach gréasáin</w:t>
            </w:r>
            <w:r>
              <w:fldChar w:fldCharType="begin"/>
            </w:r>
            <w:r>
              <w:instrText xml:space="preserve"> HYPERLINK "https://ec.europa.eu/info/law/better-regulation/have-your-say_ga" </w:instrText>
            </w:r>
            <w:r>
              <w:fldChar w:fldCharType="separate"/>
            </w:r>
            <w:r>
              <w:rPr>
                <w:rStyle w:val="Hyperlink"/>
                <w:rFonts w:ascii="Arial" w:hAnsi="Arial"/>
                <w:sz w:val="20"/>
              </w:rPr>
              <w:t xml:space="preserve"> ‘Cloisimis uait!’</w:t>
            </w:r>
            <w:r>
              <w:fldChar w:fldCharType="end"/>
            </w:r>
            <w:r>
              <w:rPr>
                <w:rFonts w:ascii="Arial" w:hAnsi="Arial"/>
                <w:color w:val="1036A0"/>
                <w:sz w:val="20"/>
              </w:rPr>
              <w:t>.</w:t>
            </w:r>
            <w:r>
              <w:rPr>
                <w:rFonts w:ascii="Arial" w:hAnsi="Arial"/>
                <w:color w:val="1036A0"/>
                <w:sz w:val="20"/>
              </w:rPr>
              <w:t xml:space="preserve"> </w:t>
            </w:r>
            <w:r>
              <w:rPr>
                <w:rFonts w:ascii="Arial" w:hAnsi="Arial"/>
                <w:color w:val="1036A0"/>
                <w:sz w:val="20"/>
              </w:rPr>
              <w:t xml:space="preserve">Beidh an ceistneoir </w:t>
            </w:r>
            <w:bookmarkStart w:id="0" w:name="_Hlk145680446"/>
            <w:r>
              <w:rPr>
                <w:rFonts w:ascii="Arial" w:hAnsi="Arial"/>
                <w:color w:val="1036A0"/>
                <w:sz w:val="20"/>
              </w:rPr>
              <w:t xml:space="preserve">le haghaidh an chomhairliúcháin </w:t>
            </w:r>
            <w:bookmarkEnd w:id="0"/>
            <w:r>
              <w:rPr>
                <w:rFonts w:ascii="Arial" w:hAnsi="Arial"/>
                <w:color w:val="1036A0"/>
                <w:sz w:val="20"/>
              </w:rPr>
              <w:t>ar fáil sna teangacha oifigiúla ar fad den Aontas agus féadfar freagraí a thabhairt sna teangacha sin freisin.</w:t>
            </w:r>
            <w:r>
              <w:rPr>
                <w:rFonts w:ascii="Arial" w:hAnsi="Arial"/>
                <w:color w:val="1036A0"/>
                <w:sz w:val="20"/>
              </w:rPr>
              <w:t xml:space="preserve"> </w:t>
            </w:r>
            <w:r>
              <w:rPr>
                <w:rFonts w:ascii="Arial" w:hAnsi="Arial"/>
                <w:color w:val="1036A0"/>
                <w:sz w:val="20"/>
              </w:rPr>
              <w:t>Tar éis an comhairliúchán poiblí a dhúnadh, foilseofar tuarascáil achomair fhíorasach ar an tairseach ‘Cloisimis uait!’, in éineacht leis na freagraí ar an gcomhairliúchán.</w:t>
            </w:r>
            <w:r>
              <w:rPr>
                <w:rFonts w:ascii="Arial" w:hAnsi="Arial"/>
                <w:color w:val="1036A0"/>
                <w:sz w:val="20"/>
              </w:rPr>
              <w:t xml:space="preserve"> </w:t>
            </w:r>
          </w:p>
          <w:p w:rsidR="00AA2517" w:rsidRPr="00516632" w:rsidP="006773D4">
            <w:pPr>
              <w:pStyle w:val="ListParagraph"/>
              <w:keepNext/>
              <w:keepLines/>
              <w:widowControl w:val="0"/>
              <w:numPr>
                <w:ilvl w:val="0"/>
                <w:numId w:val="42"/>
              </w:numPr>
              <w:spacing w:before="60" w:after="60"/>
              <w:jc w:val="both"/>
              <w:rPr>
                <w:rFonts w:ascii="Arial" w:hAnsi="Arial" w:cs="Arial"/>
                <w:color w:val="1036A0"/>
                <w:sz w:val="20"/>
              </w:rPr>
            </w:pPr>
            <w:r>
              <w:rPr>
                <w:rFonts w:ascii="Arial" w:hAnsi="Arial"/>
                <w:b/>
                <w:color w:val="1036A0"/>
                <w:sz w:val="20"/>
              </w:rPr>
              <w:t>Comhairliúcháin spriocdhírithe</w:t>
            </w:r>
            <w:r>
              <w:rPr>
                <w:rFonts w:ascii="Arial" w:hAnsi="Arial"/>
                <w:color w:val="1036A0"/>
                <w:sz w:val="20"/>
              </w:rPr>
              <w:t xml:space="preserve"> atá dírithe ar</w:t>
            </w:r>
            <w:bookmarkStart w:id="1" w:name="_Hlk146528528"/>
            <w:r>
              <w:rPr>
                <w:rFonts w:ascii="Arial" w:hAnsi="Arial"/>
                <w:color w:val="1036A0"/>
                <w:sz w:val="20"/>
              </w:rPr>
              <w:t xml:space="preserve"> Bhallstáit an Aontais, ar sholáthraithe tacaíochta teicniúla agus ar fhoireann an Choimisiúin</w:t>
            </w:r>
            <w:bookmarkEnd w:id="1"/>
            <w:r>
              <w:rPr>
                <w:rFonts w:ascii="Arial" w:hAnsi="Arial"/>
                <w:color w:val="1036A0"/>
                <w:sz w:val="20"/>
              </w:rPr>
              <w:t>.</w:t>
            </w:r>
            <w:r>
              <w:rPr>
                <w:rFonts w:ascii="Arial" w:hAnsi="Arial"/>
                <w:color w:val="1036A0"/>
                <w:sz w:val="20"/>
              </w:rPr>
              <w:t xml:space="preserve"> </w:t>
            </w:r>
            <w:r>
              <w:rPr>
                <w:rFonts w:ascii="Arial" w:hAnsi="Arial"/>
                <w:color w:val="1036A0"/>
                <w:sz w:val="20"/>
              </w:rPr>
              <w:t>Ar na huirlisí bailithe sonraí a d’fhéadfadh a úsáid, tá suirbhéanna ar líne, agallaimh, ceardlanna agus grúpaí fócais.</w:t>
            </w:r>
            <w:r>
              <w:rPr>
                <w:rFonts w:ascii="Arial" w:hAnsi="Arial"/>
                <w:color w:val="1036A0"/>
                <w:sz w:val="20"/>
              </w:rPr>
              <w:t xml:space="preserve"> </w:t>
            </w:r>
          </w:p>
          <w:p w:rsidR="00B015DD" w:rsidRPr="00AA2517" w:rsidP="00AA2517">
            <w:pPr>
              <w:keepNext/>
              <w:keepLines/>
              <w:widowControl w:val="0"/>
              <w:spacing w:before="60" w:after="60"/>
              <w:rPr>
                <w:rFonts w:ascii="Arial" w:hAnsi="Arial" w:cs="Arial"/>
                <w:b/>
                <w:color w:val="1036A0"/>
              </w:rPr>
            </w:pPr>
            <w:r>
              <w:rPr>
                <w:rFonts w:ascii="Arial" w:hAnsi="Arial"/>
                <w:color w:val="1036A0"/>
                <w:sz w:val="20"/>
              </w:rPr>
              <w:t>Ullmhófar tuarascáil achoimre ina mbeidh achoimre ar na freagraí ar fad agus ceanglófar í leis an Doiciméad Inmheánach Oibre maidir leis an meastóireacht mheántéarma, agus tá coinne leis go bhfoilseoidh an Coimisiún Eorpach é go luath in 2025.</w:t>
            </w:r>
          </w:p>
        </w:tc>
      </w:tr>
      <w:tr w:rsidTr="0069534B">
        <w:tblPrEx>
          <w:tblW w:w="10283" w:type="dxa"/>
          <w:jc w:val="center"/>
          <w:tblLayout w:type="fixed"/>
          <w:tblLook w:val="01E0"/>
        </w:tblPrEx>
        <w:trPr>
          <w:jc w:val="center"/>
        </w:trPr>
        <w:tc>
          <w:tcPr>
            <w:tcW w:w="10283" w:type="dxa"/>
            <w:gridSpan w:val="2"/>
            <w:shd w:val="clear" w:color="auto" w:fill="F2F2F2" w:themeFill="background1" w:themeFillShade="F2"/>
          </w:tcPr>
          <w:p w:rsidR="00B015DD" w:rsidRPr="002C6CE6" w:rsidP="00B015DD">
            <w:pPr>
              <w:keepNext/>
              <w:keepLines/>
              <w:widowControl w:val="0"/>
              <w:rPr>
                <w:b/>
              </w:rPr>
            </w:pPr>
            <w:r>
              <w:rPr>
                <w:rFonts w:ascii="Arial" w:hAnsi="Arial"/>
                <w:b/>
                <w:sz w:val="20"/>
              </w:rPr>
              <w:t>Cén fáth a bhfuil comhairliúchán ar bun againn?</w:t>
            </w:r>
            <w:r>
              <w:rPr>
                <w:rFonts w:ascii="Arial" w:hAnsi="Arial"/>
                <w:i/>
                <w:color w:val="1036A0"/>
                <w:sz w:val="20"/>
              </w:rPr>
              <w:t xml:space="preserve"> </w:t>
            </w:r>
          </w:p>
        </w:tc>
      </w:tr>
      <w:tr w:rsidTr="0069534B">
        <w:tblPrEx>
          <w:tblW w:w="10283" w:type="dxa"/>
          <w:jc w:val="center"/>
          <w:tblLayout w:type="fixed"/>
          <w:tblLook w:val="01E0"/>
        </w:tblPrEx>
        <w:trPr>
          <w:jc w:val="center"/>
        </w:trPr>
        <w:tc>
          <w:tcPr>
            <w:tcW w:w="10283" w:type="dxa"/>
            <w:gridSpan w:val="2"/>
            <w:shd w:val="clear" w:color="auto" w:fill="FFFFFF" w:themeFill="background1"/>
          </w:tcPr>
          <w:p w:rsidR="00B015DD" w:rsidRPr="002C6CE6" w:rsidP="00B015DD">
            <w:pPr>
              <w:keepNext/>
              <w:keepLines/>
              <w:widowControl w:val="0"/>
              <w:spacing w:before="60" w:after="60"/>
              <w:rPr>
                <w:rFonts w:ascii="Arial" w:hAnsi="Arial" w:cs="Arial"/>
                <w:b/>
                <w:sz w:val="20"/>
              </w:rPr>
            </w:pPr>
            <w:r>
              <w:rPr>
                <w:rFonts w:ascii="Arial" w:hAnsi="Arial"/>
                <w:color w:val="1036A0"/>
                <w:sz w:val="20"/>
              </w:rPr>
              <w:t>Is é is aidhm don chomhairliúchán</w:t>
            </w:r>
            <w:r>
              <w:t xml:space="preserve"> </w:t>
            </w:r>
            <w:r>
              <w:rPr>
                <w:rFonts w:ascii="Arial" w:hAnsi="Arial"/>
                <w:color w:val="1036A0"/>
                <w:sz w:val="20"/>
              </w:rPr>
              <w:t>ionchur a bhailiú chun freagra a thabhairt ar na ceisteanna meastóireachta, agus ar an gcaoi sin aghaidh a thabhairt ar na bearnaí eolais ábhartha agus na réamhthorthaí a bhailíochtú.</w:t>
            </w:r>
            <w:r>
              <w:rPr>
                <w:rFonts w:ascii="Arial" w:hAnsi="Arial"/>
                <w:color w:val="1036A0"/>
                <w:sz w:val="20"/>
              </w:rPr>
              <w:t xml:space="preserve"> </w:t>
            </w:r>
            <w:r>
              <w:rPr>
                <w:rFonts w:ascii="Arial" w:hAnsi="Arial"/>
                <w:color w:val="1036A0"/>
                <w:sz w:val="20"/>
              </w:rPr>
              <w:t>Ar a laghad, ní mór na cúig chritéar meastóireachta éigeantacha (éifeachtacht, éifeachtúlacht, ábharthacht, comhleanúnachas agus breisluach AE) a chumhdach trí na comhairliúcháin leis na páirtithe leasmhara.</w:t>
            </w:r>
          </w:p>
        </w:tc>
      </w:tr>
      <w:tr w:rsidTr="0069534B">
        <w:tblPrEx>
          <w:tblW w:w="10283" w:type="dxa"/>
          <w:jc w:val="center"/>
          <w:tblLayout w:type="fixed"/>
          <w:tblLook w:val="01E0"/>
        </w:tblPrEx>
        <w:trPr>
          <w:jc w:val="center"/>
        </w:trPr>
        <w:tc>
          <w:tcPr>
            <w:tcW w:w="10283" w:type="dxa"/>
            <w:gridSpan w:val="2"/>
            <w:shd w:val="clear" w:color="auto" w:fill="F2F2F2" w:themeFill="background1" w:themeFillShade="F2"/>
          </w:tcPr>
          <w:p w:rsidR="00B015DD" w:rsidRPr="002C6CE6" w:rsidP="00B015DD">
            <w:pPr>
              <w:keepNext/>
              <w:keepLines/>
              <w:widowControl w:val="0"/>
              <w:spacing w:before="60"/>
              <w:rPr>
                <w:rFonts w:ascii="Arial" w:hAnsi="Arial" w:cs="Arial"/>
                <w:b/>
                <w:sz w:val="20"/>
              </w:rPr>
            </w:pPr>
            <w:r>
              <w:rPr>
                <w:rFonts w:ascii="Arial" w:hAnsi="Arial"/>
                <w:b/>
                <w:sz w:val="20"/>
              </w:rPr>
              <w:t>An spriocphobal</w:t>
            </w:r>
          </w:p>
        </w:tc>
      </w:tr>
      <w:tr w:rsidTr="0069534B">
        <w:tblPrEx>
          <w:tblW w:w="10283" w:type="dxa"/>
          <w:jc w:val="center"/>
          <w:tblLayout w:type="fixed"/>
          <w:tblLook w:val="01E0"/>
        </w:tblPrEx>
        <w:trPr>
          <w:jc w:val="center"/>
        </w:trPr>
        <w:tc>
          <w:tcPr>
            <w:tcW w:w="10283" w:type="dxa"/>
            <w:gridSpan w:val="2"/>
            <w:shd w:val="clear" w:color="auto" w:fill="FFFFFF" w:themeFill="background1"/>
          </w:tcPr>
          <w:p w:rsidR="00AA2517" w:rsidP="00B015DD">
            <w:pPr>
              <w:keepNext/>
              <w:keepLines/>
              <w:widowControl w:val="0"/>
              <w:spacing w:before="60" w:after="60"/>
              <w:rPr>
                <w:rFonts w:ascii="Arial" w:hAnsi="Arial" w:cs="Arial"/>
                <w:color w:val="1036A0"/>
                <w:sz w:val="20"/>
              </w:rPr>
            </w:pPr>
            <w:r>
              <w:rPr>
                <w:rFonts w:ascii="Arial" w:hAnsi="Arial"/>
                <w:color w:val="1036A0"/>
                <w:sz w:val="20"/>
              </w:rPr>
              <w:t xml:space="preserve">Is </w:t>
            </w:r>
            <w:r>
              <w:rPr>
                <w:rFonts w:ascii="Arial" w:hAnsi="Arial"/>
                <w:b/>
                <w:color w:val="1036A0"/>
                <w:sz w:val="20"/>
              </w:rPr>
              <w:t>comhairliúchán poiblí oscailte</w:t>
            </w:r>
            <w:r>
              <w:rPr>
                <w:rFonts w:ascii="Arial" w:hAnsi="Arial"/>
                <w:color w:val="1036A0"/>
                <w:sz w:val="20"/>
              </w:rPr>
              <w:t xml:space="preserve"> é seo atá oscailte d’aon duine ar spéis leis ionchur a chur ar fáil, chun go sroichfidh sé raon leathan páirtithe leasmhara agus líon mór díobh.</w:t>
            </w:r>
            <w:r>
              <w:rPr>
                <w:rFonts w:ascii="Arial" w:hAnsi="Arial"/>
                <w:color w:val="1036A0"/>
                <w:sz w:val="20"/>
              </w:rPr>
              <w:t xml:space="preserve"> </w:t>
            </w:r>
          </w:p>
          <w:p w:rsidR="00B015DD" w:rsidRPr="00AA2517" w:rsidP="00B015DD">
            <w:pPr>
              <w:keepNext/>
              <w:keepLines/>
              <w:widowControl w:val="0"/>
              <w:spacing w:before="60" w:after="60"/>
              <w:rPr>
                <w:rFonts w:ascii="Arial" w:hAnsi="Arial" w:cs="Arial"/>
                <w:color w:val="1036A0"/>
                <w:sz w:val="20"/>
              </w:rPr>
            </w:pPr>
            <w:r>
              <w:rPr>
                <w:rFonts w:ascii="Arial" w:hAnsi="Arial"/>
                <w:color w:val="1036A0"/>
                <w:sz w:val="20"/>
              </w:rPr>
              <w:t xml:space="preserve">Baileoidh na </w:t>
            </w:r>
            <w:r>
              <w:rPr>
                <w:rFonts w:ascii="Arial" w:hAnsi="Arial"/>
                <w:b/>
                <w:color w:val="1036A0"/>
                <w:sz w:val="20"/>
              </w:rPr>
              <w:t>comhairliúcháin spriocdhírithe</w:t>
            </w:r>
            <w:r>
              <w:rPr>
                <w:rFonts w:ascii="Arial" w:hAnsi="Arial"/>
                <w:color w:val="1036A0"/>
                <w:sz w:val="20"/>
              </w:rPr>
              <w:t xml:space="preserve"> saintuairimí ó na catagóirí páirtithe leasmhara éagsúla a bhfuil baint acu le gníomhaíochtaí na hIonstraime a cheapadh agus a chur chun feidhme, mar shampla údaráis is tairbhí na mBallstát, údaráis chomhordúcháin na mBallstát, soláthraithe tacaíochta teicniúla, foireann AS REFORM agus ionadaithe sheirbhísí eile an Choimisiúin.</w:t>
            </w:r>
          </w:p>
        </w:tc>
      </w:tr>
      <w:tr w:rsidTr="001E2AAA">
        <w:tblPrEx>
          <w:tblW w:w="10283" w:type="dxa"/>
          <w:jc w:val="center"/>
          <w:tblLayout w:type="fixed"/>
          <w:tblLook w:val="01E0"/>
        </w:tblPrEx>
        <w:trPr>
          <w:jc w:val="center"/>
        </w:trPr>
        <w:tc>
          <w:tcPr>
            <w:tcW w:w="10283" w:type="dxa"/>
            <w:gridSpan w:val="2"/>
            <w:shd w:val="clear" w:color="auto" w:fill="F2F2F2" w:themeFill="background1" w:themeFillShade="F2"/>
          </w:tcPr>
          <w:p w:rsidR="00B015DD" w:rsidRPr="002C6CE6" w:rsidP="00B015DD">
            <w:pPr>
              <w:keepNext/>
              <w:keepLines/>
              <w:widowControl w:val="0"/>
              <w:spacing w:before="60" w:after="60"/>
              <w:rPr>
                <w:rFonts w:ascii="Arial" w:hAnsi="Arial" w:cs="Arial"/>
                <w:sz w:val="20"/>
              </w:rPr>
            </w:pPr>
            <w:r>
              <w:rPr>
                <w:rFonts w:ascii="Arial" w:hAnsi="Arial"/>
                <w:b/>
                <w:sz w:val="20"/>
              </w:rPr>
              <w:t>Bailiú sonraí agus modheolaíocht</w:t>
            </w:r>
            <w:r>
              <w:rPr>
                <w:rFonts w:ascii="Arial" w:hAnsi="Arial"/>
                <w:b/>
                <w:sz w:val="20"/>
              </w:rPr>
              <w:t xml:space="preserve"> </w:t>
            </w:r>
          </w:p>
        </w:tc>
      </w:tr>
      <w:tr w:rsidTr="001E2AAA">
        <w:tblPrEx>
          <w:tblW w:w="10283" w:type="dxa"/>
          <w:jc w:val="center"/>
          <w:tblLayout w:type="fixed"/>
          <w:tblLook w:val="01E0"/>
        </w:tblPrEx>
        <w:trPr>
          <w:jc w:val="center"/>
        </w:trPr>
        <w:tc>
          <w:tcPr>
            <w:tcW w:w="10283" w:type="dxa"/>
            <w:gridSpan w:val="2"/>
            <w:shd w:val="clear" w:color="auto" w:fill="auto"/>
          </w:tcPr>
          <w:p w:rsidR="00AA2517" w:rsidP="00AA2517">
            <w:pPr>
              <w:keepNext/>
              <w:keepLines/>
              <w:widowControl w:val="0"/>
              <w:spacing w:before="60" w:after="60"/>
              <w:rPr>
                <w:rFonts w:ascii="Arial" w:hAnsi="Arial" w:cs="Arial"/>
                <w:color w:val="1036A0"/>
                <w:sz w:val="20"/>
              </w:rPr>
            </w:pPr>
            <w:r>
              <w:rPr>
                <w:rFonts w:ascii="Arial" w:hAnsi="Arial"/>
                <w:color w:val="1036A0"/>
                <w:sz w:val="20"/>
              </w:rPr>
              <w:t>Leis an meastóireacht mheántéarma, agus í tacaithe le staidéar seachtrach, déanfar measúnú ar a laghad ar na cúig chritéar meastóireachta a leagtar amach sna</w:t>
            </w:r>
            <w:r>
              <w:fldChar w:fldCharType="begin"/>
            </w:r>
            <w:r>
              <w:instrText xml:space="preserve"> HYPERLINK "https://commission.europa.eu/law/law-making-process/planning-and-proposing-law/better-regulation/better-regulation-guidelines-and-toolbox_ga" </w:instrText>
            </w:r>
            <w:r>
              <w:fldChar w:fldCharType="separate"/>
            </w:r>
            <w:r>
              <w:rPr>
                <w:rStyle w:val="Hyperlink"/>
                <w:rFonts w:ascii="Arial" w:hAnsi="Arial"/>
                <w:sz w:val="20"/>
              </w:rPr>
              <w:t>Treoirlínte maidir le Rialáil Níos Fearr</w:t>
            </w:r>
            <w:r>
              <w:fldChar w:fldCharType="end"/>
            </w:r>
            <w:r>
              <w:rPr>
                <w:rFonts w:ascii="Arial" w:hAnsi="Arial"/>
                <w:color w:val="1036A0"/>
                <w:sz w:val="20"/>
              </w:rPr>
              <w:t>: ábharthacht, éifeachtacht, éifeachtúlacht, comhleanúnachas, agus breisluach AE na hIonstraime (lena n-áirítear tionscadail na hIonstraime).</w:t>
            </w:r>
            <w:r>
              <w:rPr>
                <w:rFonts w:ascii="Arial" w:hAnsi="Arial"/>
                <w:color w:val="1036A0"/>
                <w:sz w:val="20"/>
              </w:rPr>
              <w:t xml:space="preserve"> </w:t>
            </w:r>
            <w:r>
              <w:rPr>
                <w:rFonts w:ascii="Arial" w:hAnsi="Arial"/>
                <w:color w:val="1036A0"/>
                <w:sz w:val="20"/>
              </w:rPr>
              <w:t>Déanfar measúnú ar bhaint amach fhoriomlán chuspóirí na hIonstraime agus na tionchair fhadtéarmacha is dócha a bheidh aige sin, a mhéad is féidir de réir na sonraí atá ar fáil.</w:t>
            </w:r>
            <w:r>
              <w:rPr>
                <w:rFonts w:ascii="Arial" w:hAnsi="Arial"/>
                <w:color w:val="1036A0"/>
                <w:sz w:val="20"/>
              </w:rPr>
              <w:t xml:space="preserve"> </w:t>
            </w:r>
            <w:r>
              <w:rPr>
                <w:rFonts w:ascii="Arial" w:hAnsi="Arial"/>
                <w:color w:val="1036A0"/>
                <w:sz w:val="20"/>
              </w:rPr>
              <w:t xml:space="preserve">An mhodheolaíocht chun measúnú a dhéanamh ar thionchair fhadtéarmacha agus torthaí na hIonstraime, beidh sí bunaithe ar na </w:t>
            </w:r>
            <w:r>
              <w:rPr>
                <w:rFonts w:ascii="Arial" w:hAnsi="Arial"/>
                <w:b/>
                <w:color w:val="1036A0"/>
                <w:sz w:val="20"/>
              </w:rPr>
              <w:t>ceisteanna meastóireachta</w:t>
            </w:r>
            <w:r>
              <w:rPr>
                <w:rFonts w:ascii="Arial" w:hAnsi="Arial"/>
                <w:color w:val="1036A0"/>
                <w:sz w:val="20"/>
              </w:rPr>
              <w:t xml:space="preserve"> agus ar na </w:t>
            </w:r>
            <w:r>
              <w:rPr>
                <w:rFonts w:ascii="Arial" w:hAnsi="Arial"/>
                <w:b/>
                <w:color w:val="1036A0"/>
                <w:sz w:val="20"/>
              </w:rPr>
              <w:t>sonraí</w:t>
            </w:r>
            <w:r>
              <w:rPr>
                <w:rFonts w:ascii="Arial" w:hAnsi="Arial"/>
                <w:color w:val="1036A0"/>
                <w:sz w:val="20"/>
              </w:rPr>
              <w:t xml:space="preserve"> a bhailítear trí fhoinsí éagsúla (na daoine a ndeachthas i gcomhairle leo san áireamh):</w:t>
            </w:r>
            <w:r>
              <w:rPr>
                <w:rFonts w:ascii="Arial" w:hAnsi="Arial"/>
                <w:color w:val="1036A0"/>
                <w:sz w:val="20"/>
              </w:rPr>
              <w:t xml:space="preserve"> </w:t>
            </w:r>
          </w:p>
          <w:p w:rsidR="00AA2517" w:rsidRPr="007572B6" w:rsidP="006773D4">
            <w:pPr>
              <w:pStyle w:val="ListParagraph"/>
              <w:keepNext/>
              <w:keepLines/>
              <w:widowControl w:val="0"/>
              <w:numPr>
                <w:ilvl w:val="0"/>
                <w:numId w:val="42"/>
              </w:numPr>
              <w:spacing w:before="60" w:after="60"/>
              <w:jc w:val="both"/>
              <w:rPr>
                <w:rFonts w:ascii="Arial" w:hAnsi="Arial" w:cs="Arial"/>
                <w:color w:val="1036A0"/>
                <w:sz w:val="20"/>
              </w:rPr>
            </w:pPr>
            <w:r>
              <w:rPr>
                <w:rFonts w:ascii="Arial" w:hAnsi="Arial"/>
                <w:color w:val="1036A0"/>
                <w:sz w:val="20"/>
              </w:rPr>
              <w:t>Sonraí atá ann cheana ó chóras faireacháin inmheánach AS REFORM, agus eolas agus fianaise a bhailítear tríd an sásra aiseolais maidir leis na tionscadail chríochnaithe a chuirtear chun feidhme faoin Ionstraim san áireamh.</w:t>
            </w:r>
          </w:p>
          <w:p w:rsidR="00AA2517" w:rsidRPr="00B8228F" w:rsidP="006773D4">
            <w:pPr>
              <w:pStyle w:val="ListParagraph"/>
              <w:keepNext/>
              <w:keepLines/>
              <w:widowControl w:val="0"/>
              <w:numPr>
                <w:ilvl w:val="0"/>
                <w:numId w:val="42"/>
              </w:numPr>
              <w:spacing w:before="60" w:after="60"/>
              <w:jc w:val="both"/>
              <w:rPr>
                <w:rFonts w:ascii="Arial" w:hAnsi="Arial" w:cs="Arial"/>
                <w:color w:val="1036A0"/>
                <w:sz w:val="20"/>
              </w:rPr>
            </w:pPr>
            <w:r>
              <w:rPr>
                <w:rFonts w:ascii="Arial" w:hAnsi="Arial"/>
                <w:color w:val="1036A0"/>
                <w:sz w:val="20"/>
              </w:rPr>
              <w:t>Fianaise chomhlántach chainníochtúil agus cháilíochtúil a bhailítear, de réir mar is iomchuí, trí thaighde deisce, cás-staidéir agus comhairliúcháin leis na páirtithe leasmhara ábhartha;</w:t>
            </w:r>
            <w:r>
              <w:rPr>
                <w:rFonts w:ascii="Arial" w:hAnsi="Arial"/>
                <w:color w:val="1036A0"/>
                <w:sz w:val="20"/>
              </w:rPr>
              <w:t xml:space="preserve"> </w:t>
            </w:r>
          </w:p>
          <w:p w:rsidR="00AA2517" w:rsidP="006773D4">
            <w:pPr>
              <w:pStyle w:val="ListParagraph"/>
              <w:keepNext/>
              <w:keepLines/>
              <w:widowControl w:val="0"/>
              <w:numPr>
                <w:ilvl w:val="0"/>
                <w:numId w:val="42"/>
              </w:numPr>
              <w:spacing w:before="60" w:after="60"/>
              <w:jc w:val="both"/>
              <w:rPr>
                <w:rFonts w:ascii="Arial" w:hAnsi="Arial" w:cs="Arial"/>
                <w:color w:val="1036A0"/>
                <w:sz w:val="20"/>
              </w:rPr>
            </w:pPr>
            <w:r>
              <w:rPr>
                <w:rFonts w:ascii="Arial" w:hAnsi="Arial"/>
                <w:color w:val="1036A0"/>
                <w:sz w:val="20"/>
              </w:rPr>
              <w:t>Sonraí maidir leis na meastóireachtaí ar an gclár a bhí ann roimh an Ionstraim, is é sin an Clár Tacaíochta um Athchóiriú Struchtúrach, agus torthaí na meastóireachtaí sin.</w:t>
            </w:r>
            <w:r>
              <w:rPr>
                <w:rFonts w:ascii="Arial" w:hAnsi="Arial"/>
                <w:color w:val="1036A0"/>
                <w:sz w:val="20"/>
              </w:rPr>
              <w:t xml:space="preserve"> </w:t>
            </w:r>
          </w:p>
          <w:p w:rsidR="00B015DD" w:rsidRPr="00AA2517" w:rsidP="00AA2517">
            <w:pPr>
              <w:pStyle w:val="ListParagraph"/>
              <w:keepNext/>
              <w:keepLines/>
              <w:widowControl w:val="0"/>
              <w:numPr>
                <w:ilvl w:val="0"/>
                <w:numId w:val="42"/>
              </w:numPr>
              <w:spacing w:before="60" w:after="60"/>
              <w:rPr>
                <w:rFonts w:ascii="Arial" w:hAnsi="Arial" w:cs="Arial"/>
                <w:color w:val="1036A0"/>
                <w:sz w:val="20"/>
              </w:rPr>
            </w:pPr>
            <w:r>
              <w:rPr>
                <w:rFonts w:ascii="Arial" w:hAnsi="Arial"/>
                <w:color w:val="1036A0"/>
                <w:sz w:val="20"/>
              </w:rPr>
              <w:t>Foinsí ábhartha eile, mar shampla páipéir thaighde, tuarascálacha ó institiúid eile an Aontais, etc.</w:t>
            </w:r>
            <w:r>
              <w:rPr>
                <w:rFonts w:ascii="Arial" w:hAnsi="Arial"/>
                <w:color w:val="00B050"/>
                <w:sz w:val="20"/>
              </w:rPr>
              <w:t xml:space="preserve"> </w:t>
            </w:r>
          </w:p>
        </w:tc>
      </w:tr>
    </w:tbl>
    <w:p w:rsidR="001E0806" w:rsidRPr="002C6CE6" w:rsidP="001E0806">
      <w:pPr>
        <w:spacing w:after="0"/>
        <w:jc w:val="left"/>
        <w:rPr>
          <w:rFonts w:ascii="Arial" w:hAnsi="Arial" w:cs="Arial"/>
          <w:szCs w:val="24"/>
          <w:lang w:eastAsia="en-GB"/>
        </w:rPr>
      </w:pPr>
    </w:p>
    <w:p w:rsidR="001E0806" w:rsidRPr="002C6CE6" w:rsidP="004B1D74"/>
    <w:sectPr w:rsidSect="003F369F">
      <w:footerReference w:type="default" r:id="rId10"/>
      <w:headerReference w:type="first" r:id="rId11"/>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rsidR="00A34D2D">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rPr>
      <w:drawing>
        <wp:inline distT="0" distB="0" distL="0" distR="0">
          <wp:extent cx="1908175" cy="508635"/>
          <wp:effectExtent l="0" t="0" r="0" b="5715"/>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5.6pt;height:15.6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3D7B4DE1"/>
    <w:multiLevelType w:val="hybridMultilevel"/>
    <w:tmpl w:val="D79C2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C26A98"/>
    <w:multiLevelType w:val="hybridMultilevel"/>
    <w:tmpl w:val="44166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35">
    <w:nsid w:val="7CFD3944"/>
    <w:multiLevelType w:val="hybridMultilevel"/>
    <w:tmpl w:val="9A541808"/>
    <w:lvl w:ilvl="0">
      <w:start w:val="0"/>
      <w:numFmt w:val="bullet"/>
      <w:lvlText w:val="-"/>
      <w:lvlJc w:val="left"/>
      <w:pPr>
        <w:ind w:left="420" w:hanging="360"/>
      </w:pPr>
      <w:rPr>
        <w:rFonts w:ascii="Arial" w:eastAsia="Times New Roman" w:hAnsi="Aria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5"/>
  </w:num>
  <w:num w:numId="4">
    <w:abstractNumId w:val="16"/>
  </w:num>
  <w:num w:numId="5">
    <w:abstractNumId w:val="8"/>
  </w:num>
  <w:num w:numId="6">
    <w:abstractNumId w:val="15"/>
  </w:num>
  <w:num w:numId="7">
    <w:abstractNumId w:val="26"/>
  </w:num>
  <w:num w:numId="8">
    <w:abstractNumId w:val="30"/>
  </w:num>
  <w:num w:numId="9">
    <w:abstractNumId w:val="12"/>
  </w:num>
  <w:num w:numId="10">
    <w:abstractNumId w:val="25"/>
  </w:num>
  <w:num w:numId="11">
    <w:abstractNumId w:val="24"/>
  </w:num>
  <w:num w:numId="12">
    <w:abstractNumId w:val="18"/>
  </w:num>
  <w:num w:numId="13">
    <w:abstractNumId w:val="23"/>
  </w:num>
  <w:num w:numId="14">
    <w:abstractNumId w:val="6"/>
  </w:num>
  <w:num w:numId="15">
    <w:abstractNumId w:val="13"/>
  </w:num>
  <w:num w:numId="16">
    <w:abstractNumId w:val="4"/>
  </w:num>
  <w:num w:numId="17">
    <w:abstractNumId w:val="9"/>
  </w:num>
  <w:num w:numId="18">
    <w:abstractNumId w:val="31"/>
  </w:num>
  <w:num w:numId="19">
    <w:abstractNumId w:val="10"/>
  </w:num>
  <w:num w:numId="20">
    <w:abstractNumId w:val="34"/>
  </w:num>
  <w:num w:numId="21">
    <w:abstractNumId w:val="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9"/>
  </w:num>
  <w:num w:numId="29">
    <w:abstractNumId w:val="5"/>
  </w:num>
  <w:num w:numId="30">
    <w:abstractNumId w:val="14"/>
  </w:num>
  <w:num w:numId="31">
    <w:abstractNumId w:val="11"/>
  </w:num>
  <w:num w:numId="32">
    <w:abstractNumId w:val="3"/>
  </w:num>
  <w:num w:numId="33">
    <w:abstractNumId w:val="33"/>
  </w:num>
  <w:num w:numId="34">
    <w:abstractNumId w:val="11"/>
  </w:num>
  <w:num w:numId="35">
    <w:abstractNumId w:val="7"/>
  </w:num>
  <w:num w:numId="36">
    <w:abstractNumId w:val="29"/>
  </w:num>
  <w:num w:numId="37">
    <w:abstractNumId w:val="27"/>
  </w:num>
  <w:num w:numId="38">
    <w:abstractNumId w:val="28"/>
  </w:num>
  <w:num w:numId="39">
    <w:abstractNumId w:val="22"/>
  </w:num>
  <w:num w:numId="40">
    <w:abstractNumId w:val="32"/>
  </w:num>
  <w:num w:numId="41">
    <w:abstractNumId w:val="21"/>
  </w:num>
  <w:num w:numId="42">
    <w:abstractNumId w:val="17"/>
  </w:num>
  <w:num w:numId="43">
    <w:abstractNumId w:val="2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ga-IE"/>
    </w:rPr>
  </w:style>
  <w:style w:type="paragraph" w:customStyle="1" w:styleId="RUE">
    <w:name w:val="RUE"/>
    <w:basedOn w:val="Normal"/>
    <w:pPr>
      <w:spacing w:after="0"/>
      <w:jc w:val="center"/>
    </w:pPr>
    <w:rPr>
      <w:b/>
      <w:caps/>
      <w:sz w:val="32"/>
      <w:bdr w:val="single" w:sz="18" w:space="0" w:color="auto"/>
      <w:lang w:val="ga-I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styleId="FollowedHyperlink">
    <w:name w:val="FollowedHyperlink"/>
    <w:basedOn w:val="DefaultParagraphFont"/>
    <w:uiPriority w:val="99"/>
    <w:semiHidden/>
    <w:unhideWhenUsed/>
    <w:rsid w:val="00B96024"/>
    <w:rPr>
      <w:color w:val="800080" w:themeColor="followedHyperlink"/>
      <w:u w:val="single"/>
    </w:rPr>
  </w:style>
  <w:style w:type="character" w:customStyle="1" w:styleId="UnresolvedMention">
    <w:name w:val="Unresolved Mention"/>
    <w:basedOn w:val="DefaultParagraphFont"/>
    <w:uiPriority w:val="99"/>
    <w:semiHidden/>
    <w:unhideWhenUsed/>
    <w:rsid w:val="00677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348720-65ca-4d9d-a954-f64b3d9cc46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ba0941e-b5c2-4031-bcd1-7e0f9f0f36e7" xsi:nil="true"/>
  </documentManagement>
</p:properties>
</file>

<file path=customXml/item2.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3.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4.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455FD0F7B257CC4BACBC6B75308D865C" ma:contentTypeVersion="14" ma:contentTypeDescription="Create a new document." ma:contentTypeScope="" ma:versionID="c9158e61de0d38cb581f25bab0c40cea">
  <xsd:schema xmlns:xsd="http://www.w3.org/2001/XMLSchema" xmlns:xs="http://www.w3.org/2001/XMLSchema" xmlns:p="http://schemas.microsoft.com/office/2006/metadata/properties" xmlns:ns2="8d82ef2e-2665-4d75-ad12-ca052c5613cd" xmlns:ns3="49348720-65ca-4d9d-a954-f64b3d9cc462" xmlns:ns4="0ba0941e-b5c2-4031-bcd1-7e0f9f0f36e7" targetNamespace="http://schemas.microsoft.com/office/2006/metadata/properties" ma:root="true" ma:fieldsID="d82c974154d71bde74b44b959fb965b8" ns2:_="" ns3:_="" ns4:_="">
    <xsd:import namespace="8d82ef2e-2665-4d75-ad12-ca052c5613cd"/>
    <xsd:import namespace="49348720-65ca-4d9d-a954-f64b3d9cc462"/>
    <xsd:import namespace="0ba0941e-b5c2-4031-bcd1-7e0f9f0f36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48720-65ca-4d9d-a954-f64b3d9cc4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0941e-b5c2-4031-bcd1-7e0f9f0f36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f730ef-0004-4d10-92bb-fbb726e1be6b}" ma:internalName="TaxCatchAll" ma:showField="CatchAllData" ma:web="0ba0941e-b5c2-4031-bcd1-7e0f9f0f3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52C55-C3B5-4FC1-B037-33CCB35DA02F}">
  <ds:schemaRefs>
    <ds:schemaRef ds:uri="http://schemas.microsoft.com/office/2006/metadata/properties"/>
    <ds:schemaRef ds:uri="http://schemas.microsoft.com/office/infopath/2007/PartnerControls"/>
    <ds:schemaRef ds:uri="49348720-65ca-4d9d-a954-f64b3d9cc462"/>
    <ds:schemaRef ds:uri="0ba0941e-b5c2-4031-bcd1-7e0f9f0f36e7"/>
  </ds:schemaRefs>
</ds:datastoreItem>
</file>

<file path=customXml/itemProps2.xml><?xml version="1.0" encoding="utf-8"?>
<ds:datastoreItem xmlns:ds="http://schemas.openxmlformats.org/officeDocument/2006/customXml" ds:itemID="{69ED0C79-D88A-4206-B956-F350406CB40A}">
  <ds:schemaRefs/>
</ds:datastoreItem>
</file>

<file path=customXml/itemProps3.xml><?xml version="1.0" encoding="utf-8"?>
<ds:datastoreItem xmlns:ds="http://schemas.openxmlformats.org/officeDocument/2006/customXml" ds:itemID="{93236D38-6E39-4620-8982-A44FCB0D78BC}">
  <ds:schemaRefs/>
</ds:datastoreItem>
</file>

<file path=customXml/itemProps4.xml><?xml version="1.0" encoding="utf-8"?>
<ds:datastoreItem xmlns:ds="http://schemas.openxmlformats.org/officeDocument/2006/customXml" ds:itemID="{92931C26-4BB6-4C23-AC93-3863D42726BD}">
  <ds:schemaRefs/>
</ds:datastoreItem>
</file>

<file path=customXml/itemProps5.xml><?xml version="1.0" encoding="utf-8"?>
<ds:datastoreItem xmlns:ds="http://schemas.openxmlformats.org/officeDocument/2006/customXml" ds:itemID="{1017489F-DC90-4199-886B-4262ADE1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2ef2e-2665-4d75-ad12-ca052c5613cd"/>
    <ds:schemaRef ds:uri="49348720-65ca-4d9d-a954-f64b3d9cc462"/>
    <ds:schemaRef ds:uri="0ba0941e-b5c2-4031-bcd1-7e0f9f0f3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5A2BA7-2CAB-4C91-B3A5-D8764D4A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