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483A" w:rsidRPr="00E525EA" w:rsidRDefault="00EF6E75" w:rsidP="00EF6E75">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186F1B74-0807-46E8-8EE6-85B7EA481695" style="width:455.25pt;height:369.75pt">
            <v:imagedata r:id="rId11" o:title=""/>
          </v:shape>
        </w:pict>
      </w:r>
    </w:p>
    <w:p w:rsidR="0032483A" w:rsidRPr="00E525EA" w:rsidRDefault="0032483A" w:rsidP="0032483A">
      <w:pPr>
        <w:rPr>
          <w:noProof/>
        </w:rPr>
        <w:sectPr w:rsidR="0032483A" w:rsidRPr="00E525EA" w:rsidSect="00EF6E75">
          <w:footerReference w:type="even" r:id="rId12"/>
          <w:footerReference w:type="default" r:id="rId13"/>
          <w:pgSz w:w="11907" w:h="16839"/>
          <w:pgMar w:top="1134" w:right="1417" w:bottom="1134" w:left="1417" w:header="709" w:footer="709" w:gutter="0"/>
          <w:pgNumType w:start="0"/>
          <w:cols w:space="720"/>
          <w:docGrid w:linePitch="360"/>
        </w:sectPr>
      </w:pPr>
    </w:p>
    <w:p w:rsidR="0032483A" w:rsidRPr="00E525EA" w:rsidRDefault="0032483A" w:rsidP="0028059E">
      <w:pPr>
        <w:pStyle w:val="Exposdesmotifstitre"/>
        <w:rPr>
          <w:noProof/>
        </w:rPr>
      </w:pPr>
      <w:bookmarkStart w:id="0" w:name="_GoBack"/>
      <w:bookmarkEnd w:id="0"/>
      <w:r w:rsidRPr="00E525EA">
        <w:rPr>
          <w:noProof/>
        </w:rPr>
        <w:lastRenderedPageBreak/>
        <w:t>MEABHRÁN MÍNIÚCHÁIN</w:t>
      </w:r>
    </w:p>
    <w:p w:rsidR="0032483A" w:rsidRPr="00E525EA" w:rsidRDefault="0032483A" w:rsidP="0028059E">
      <w:pPr>
        <w:pStyle w:val="ManualHeading1"/>
        <w:rPr>
          <w:noProof/>
        </w:rPr>
      </w:pPr>
      <w:r w:rsidRPr="00E525EA">
        <w:rPr>
          <w:noProof/>
        </w:rPr>
        <w:t>1.</w:t>
      </w:r>
      <w:r w:rsidRPr="00E525EA">
        <w:rPr>
          <w:noProof/>
        </w:rPr>
        <w:tab/>
        <w:t>COMHTHÉACS AN TOGRA</w:t>
      </w:r>
    </w:p>
    <w:p w:rsidR="0032483A" w:rsidRPr="00E525EA" w:rsidRDefault="0032483A" w:rsidP="0028059E">
      <w:pPr>
        <w:pStyle w:val="ManualHeading2"/>
        <w:rPr>
          <w:rFonts w:eastAsia="Arial Unicode MS"/>
          <w:noProof/>
        </w:rPr>
      </w:pPr>
      <w:r w:rsidRPr="00E525EA">
        <w:rPr>
          <w:noProof/>
          <w:color w:val="000000"/>
          <w:u w:color="000000"/>
          <w:bdr w:val="nil"/>
        </w:rPr>
        <w:t>•</w:t>
      </w:r>
      <w:r w:rsidRPr="00E525EA">
        <w:rPr>
          <w:noProof/>
        </w:rPr>
        <w:tab/>
        <w:t>Forais agus cuspóirí an togra</w:t>
      </w:r>
    </w:p>
    <w:p w:rsidR="0032483A" w:rsidRPr="00E525EA" w:rsidRDefault="0032483A" w:rsidP="0032483A">
      <w:pPr>
        <w:rPr>
          <w:noProof/>
        </w:rPr>
      </w:pPr>
      <w:r w:rsidRPr="00E525EA">
        <w:rPr>
          <w:noProof/>
        </w:rPr>
        <w:t xml:space="preserve">Rialaítear cánachas ar tháirgí fuinnimh agus ar leictreachas san Aontas le Treoir 2003/96/CE ón gComhairle (dá ngairtear an ‘Treoir’ anseo feasta). Sonraítear sa Treoir cé na táirgí atá inchánach, na húsáidí a fhágann go bhfuil siad inchánach agus na híosrátaí don cháin nach mór a ghearradh orthu ag brath ar cé acu a úsáidtear nó nach </w:t>
      </w:r>
      <w:r w:rsidR="00827ABC">
        <w:rPr>
          <w:noProof/>
        </w:rPr>
        <w:t>n</w:t>
      </w:r>
      <w:r w:rsidR="00827ABC">
        <w:rPr>
          <w:noProof/>
        </w:rPr>
        <w:noBreakHyphen/>
      </w:r>
      <w:r w:rsidRPr="00E525EA">
        <w:rPr>
          <w:noProof/>
        </w:rPr>
        <w:t>úsáidtear iad mar bhreosla mótair, chun críoch áirithe tionsclaíoch nó tráchtála nó le haghaidh téimh.</w:t>
      </w:r>
    </w:p>
    <w:p w:rsidR="0032483A" w:rsidRPr="00E525EA" w:rsidRDefault="0032483A" w:rsidP="0032483A">
      <w:pPr>
        <w:rPr>
          <w:noProof/>
        </w:rPr>
      </w:pPr>
      <w:r w:rsidRPr="00E525EA">
        <w:rPr>
          <w:noProof/>
        </w:rPr>
        <w:t>De bhun Airteagal 19(1) den Treoir, féadfaidh an Chomhairle, ag gníomhú di d’aon toil ar thogra ón gCoimisiún, aon Bhallstát a údarú chun díolúintí breise ó dhleachtanna máil nó laghduithe breise ar rátaí dleachtanna máil a thabhairt isteach i gcomhair breithnithe sonracha beartais.</w:t>
      </w:r>
    </w:p>
    <w:p w:rsidR="0032483A" w:rsidRPr="00E525EA" w:rsidRDefault="0032483A" w:rsidP="0032483A">
      <w:pPr>
        <w:rPr>
          <w:noProof/>
        </w:rPr>
      </w:pPr>
      <w:r w:rsidRPr="00E525EA">
        <w:rPr>
          <w:noProof/>
        </w:rPr>
        <w:t>Is é is cuspóir don togra seo cead a thabhairt don Fhrainc leanúint de laghdú a chur i bhfeidhm ar an ráta cánachais ar pheitreal gan luaidhe a úsáidtear mar bhreosla mótair agus a ídítear i ranna na Corsaice d’fhonn na costais bhreise a eascraíonn as iargúltacht gheografach agus deacrachtaí soláthair a fhritháireamh i bpáirt.</w:t>
      </w:r>
    </w:p>
    <w:p w:rsidR="0032483A" w:rsidRPr="00E525EA" w:rsidRDefault="0032483A" w:rsidP="0032483A">
      <w:pPr>
        <w:keepNext/>
        <w:rPr>
          <w:b/>
          <w:noProof/>
        </w:rPr>
      </w:pPr>
      <w:r w:rsidRPr="00E525EA">
        <w:rPr>
          <w:b/>
          <w:noProof/>
        </w:rPr>
        <w:t>An iarraidh agus a comhthéacs ginearálta</w:t>
      </w:r>
    </w:p>
    <w:p w:rsidR="0032483A" w:rsidRPr="00E525EA" w:rsidRDefault="0032483A" w:rsidP="0032483A">
      <w:pPr>
        <w:rPr>
          <w:noProof/>
        </w:rPr>
      </w:pPr>
      <w:r w:rsidRPr="00E525EA">
        <w:rPr>
          <w:noProof/>
        </w:rPr>
        <w:t xml:space="preserve">Le Cinneadh 2007/880/CE ón gComhairle an 20 Nollaig 2007 údaraíodh don Fhrainc ráta laghdaithe dleachta máil a chur i bhfeidhm maidir le peitreal gan luaidhe a úsáidtear mar bhreosla mótair agus a ídítear i ranna na Corsaice ar choinníoll nach dtéann an laghdú thar an gcostas breise iompair, stórála agus dáilte i gcomparáid le mórthír na Fraince. Le Cinneadh Cur Chun Feidhme 2013/192/AE ón gComhairle an 22 Aibreán 2013 agus le Cinneadh Cur Chun Feidhme (AE) 2019/372 ón gComhairle an 5 Márta 2019 údaraíodh don Fhrainc leanúint de ráta laghdaithe cánachais a chur i bhfeidhm maidir le peitreal gan luaidhe a úsáidtear mar bhreosla mótair agus a ídítear i ranna na Corsaice i gcomhréir le hAirteagal 19 de Threoir 2003/96/CE. </w:t>
      </w:r>
    </w:p>
    <w:p w:rsidR="0032483A" w:rsidRPr="00E525EA" w:rsidRDefault="0032483A" w:rsidP="0032483A">
      <w:pPr>
        <w:rPr>
          <w:noProof/>
        </w:rPr>
      </w:pPr>
      <w:r w:rsidRPr="00E525EA">
        <w:rPr>
          <w:noProof/>
        </w:rPr>
        <w:t>Is é is cuspóir do na Cinntí sin cead a thabhairt don Fhrainc na costais bhreise a eascraíonn as iargúltacht gheografach agus deacrachtaí soláthair a fhritháireamh i bpáirt. Agus na Cinntí sin á gcur i bhfeidhm, cuireann an Fhrainc laghdú EUR 1 in aghaidh an heictilítir de pheitreal gan luaidhe i bhfeidhm.</w:t>
      </w:r>
    </w:p>
    <w:p w:rsidR="0032483A" w:rsidRPr="00E525EA" w:rsidRDefault="0032483A" w:rsidP="0032483A">
      <w:pPr>
        <w:pBdr>
          <w:top w:val="nil"/>
          <w:left w:val="nil"/>
          <w:bottom w:val="nil"/>
          <w:right w:val="nil"/>
          <w:between w:val="nil"/>
          <w:bar w:val="nil"/>
        </w:pBdr>
        <w:spacing w:before="0" w:after="240"/>
        <w:rPr>
          <w:rFonts w:eastAsia="Arial Unicode MS"/>
          <w:noProof/>
        </w:rPr>
      </w:pPr>
      <w:bookmarkStart w:id="1" w:name="_Hlk183687526"/>
      <w:r w:rsidRPr="00E525EA">
        <w:rPr>
          <w:noProof/>
        </w:rPr>
        <w:t>Le litir dar dáta an 31 Deireadh Fómhair 2024, d’iarr údaráis na Fraince údarú chun leanúint de laghdú EUR 1 in aghaidh an heictilítir a chur i bhfeidhm ar feadh tréimhse 6 bliana, ón 1 Eanáir 2025 go dtí an 31 Nollaig 2030. Chuir údaráis na Fraince faisnéis bhreise ar fáil le litir dar dáta an 27 Samhain 2024.</w:t>
      </w:r>
    </w:p>
    <w:bookmarkEnd w:id="1"/>
    <w:p w:rsidR="0032483A" w:rsidRPr="00E525EA" w:rsidRDefault="0032483A" w:rsidP="0032483A">
      <w:pPr>
        <w:rPr>
          <w:noProof/>
        </w:rPr>
      </w:pPr>
      <w:r w:rsidRPr="00E525EA">
        <w:rPr>
          <w:noProof/>
        </w:rPr>
        <w:t>Mar a rinneadh sna hiarrataí roimhe seo, áitíonn údaráis na Fraince go bhfuil gá leis an laghdú ar ráta na dleachta máil chun cuid den phraghas níos airde ar pheitreal gan luaidhe a fhritháireamh. Fanann praghas caidéil an pheitril gan luaidhe sa Chorsaic níos mó ná 10 % níos airde ná an praghas ar an meán i mórthír na Fraince. Dar le húdaráis na Fraince, is ann don chostas breise sin mar gheall ar roinnt cúiseanna éagsúla. Is ar muir amháin a sholáthraítear breosla chuig an gCorsaic, rud a mhéadaíonn praghas deiridh an bhreosla. Tá iompar breoslaí de bhóthar chuig stáisiúin seirbhíse níos costasaí freisin, toisc go gcuireann an tír-raon sléibhtiúil le hagaí iompair. Mar thoradh ar shéasúracht an éilimh, atá nasctha le séasúr turasóireachta an tsamhraidh, bainistítear stoic díreach in am agus tá an baol ann go mbeidh cuótaí ina gcúis le costais shuntasacha bhreise, toisc go bhfuil toilleadh stórais íseal ag iostaí ola na Corsaice.</w:t>
      </w:r>
    </w:p>
    <w:p w:rsidR="0032483A" w:rsidRPr="00E525EA" w:rsidRDefault="0032483A" w:rsidP="0032483A">
      <w:pPr>
        <w:rPr>
          <w:noProof/>
        </w:rPr>
      </w:pPr>
      <w:r w:rsidRPr="00E525EA">
        <w:rPr>
          <w:noProof/>
        </w:rPr>
        <w:t>Chuir an Fhrainc in iúl freisin go dtagann an beart faoi bheartas sonrach an rialtais i bhfabhar na forbartha sa Chorsaic, a bhfuil údar leis mar gheall ar na míbhuntáistí a bhíonn ag oileáin. De réir údaráis na Fraince, tá sé d’aidhm ag an maolú sin freisin na heasnaimh struchtúracha i soláthar an iompair phoiblí sa Chorsaic a cheartú arb é tír-raon sléibhtiúil an oileáin is cúis leo, mar atá gréasán iarnróid a</w:t>
      </w:r>
      <w:r w:rsidR="00827ABC">
        <w:rPr>
          <w:noProof/>
        </w:rPr>
        <w:t>n</w:t>
      </w:r>
      <w:r w:rsidR="00827ABC">
        <w:rPr>
          <w:noProof/>
        </w:rPr>
        <w:noBreakHyphen/>
      </w:r>
      <w:r w:rsidRPr="00E525EA">
        <w:rPr>
          <w:noProof/>
        </w:rPr>
        <w:t>teoranta agus gréasán bóithre aimhréidh.</w:t>
      </w:r>
    </w:p>
    <w:p w:rsidR="0032483A" w:rsidRPr="00E525EA" w:rsidRDefault="0032483A" w:rsidP="0032483A">
      <w:pPr>
        <w:rPr>
          <w:b/>
          <w:noProof/>
        </w:rPr>
      </w:pPr>
      <w:r w:rsidRPr="00E525EA">
        <w:rPr>
          <w:b/>
          <w:noProof/>
        </w:rPr>
        <w:t>Forálacha sa réimse a chumhdaítear leis an togra</w:t>
      </w:r>
    </w:p>
    <w:p w:rsidR="0032483A" w:rsidRPr="00E525EA" w:rsidRDefault="0032483A" w:rsidP="0032483A">
      <w:pPr>
        <w:rPr>
          <w:noProof/>
        </w:rPr>
      </w:pPr>
      <w:r w:rsidRPr="00E525EA">
        <w:rPr>
          <w:noProof/>
        </w:rPr>
        <w:t xml:space="preserve">Treoir 2003/96/CE ón gComhairle an 27 Deireadh Fómhair 2003 lena ndéantar athstruchtúrú ar an gcreat Comhphobail le haghaidh cáin a ghearradh ar tháirgí fuinnimh agus ar leictreachas. </w:t>
      </w:r>
    </w:p>
    <w:p w:rsidR="0032483A" w:rsidRPr="00E525EA" w:rsidRDefault="0032483A" w:rsidP="0032483A">
      <w:pPr>
        <w:keepNext/>
        <w:rPr>
          <w:b/>
          <w:noProof/>
        </w:rPr>
      </w:pPr>
      <w:r w:rsidRPr="00E525EA">
        <w:rPr>
          <w:b/>
          <w:noProof/>
        </w:rPr>
        <w:t>Measúnú ar an mbeart faoi Airteagal 19 de Threoir 2003/96/CE</w:t>
      </w:r>
    </w:p>
    <w:p w:rsidR="0032483A" w:rsidRPr="00E525EA" w:rsidRDefault="0032483A" w:rsidP="0032483A">
      <w:pPr>
        <w:keepNext/>
        <w:rPr>
          <w:i/>
          <w:noProof/>
        </w:rPr>
      </w:pPr>
      <w:r w:rsidRPr="00E525EA">
        <w:rPr>
          <w:i/>
          <w:noProof/>
        </w:rPr>
        <w:t>Breithnithe sonracha beartais</w:t>
      </w:r>
    </w:p>
    <w:p w:rsidR="0032483A" w:rsidRPr="00E525EA" w:rsidRDefault="0032483A" w:rsidP="0032483A">
      <w:pPr>
        <w:rPr>
          <w:noProof/>
        </w:rPr>
      </w:pPr>
      <w:r w:rsidRPr="00E525EA">
        <w:rPr>
          <w:noProof/>
        </w:rPr>
        <w:t xml:space="preserve">Léitear Airteagal 19(1), an chéad fhomhír, den Treoir mar a leanas: </w:t>
      </w:r>
    </w:p>
    <w:p w:rsidR="0032483A" w:rsidRPr="00E525EA" w:rsidRDefault="0032483A" w:rsidP="0032483A">
      <w:pPr>
        <w:rPr>
          <w:noProof/>
        </w:rPr>
      </w:pPr>
      <w:r w:rsidRPr="00E525EA">
        <w:rPr>
          <w:noProof/>
        </w:rPr>
        <w:t>‘Sa bhreis ar na forálacha a leagtar amach sna hAirteagail roimhe seo, go háirithe in Airteagail 5, 15 agus 17, féadfaidh an Chomhairle, ag gníomhú di d’aon toil ar thogra ón gCoimisiún, aon Bhallstát a údarú chun díolúintí nó laghduithe sa bhreis a thabhairt isteach i gcomhair breithnithe sonracha beartais.’</w:t>
      </w:r>
    </w:p>
    <w:p w:rsidR="0032483A" w:rsidRPr="00E525EA" w:rsidRDefault="0032483A" w:rsidP="0032483A">
      <w:pPr>
        <w:rPr>
          <w:noProof/>
        </w:rPr>
      </w:pPr>
      <w:r w:rsidRPr="00E525EA">
        <w:rPr>
          <w:noProof/>
        </w:rPr>
        <w:t xml:space="preserve">Cuireann an </w:t>
      </w:r>
      <w:r w:rsidR="00827ABC">
        <w:rPr>
          <w:noProof/>
        </w:rPr>
        <w:t>t</w:t>
      </w:r>
      <w:r w:rsidR="00827ABC">
        <w:rPr>
          <w:noProof/>
        </w:rPr>
        <w:noBreakHyphen/>
      </w:r>
      <w:r w:rsidRPr="00E525EA">
        <w:rPr>
          <w:noProof/>
        </w:rPr>
        <w:t xml:space="preserve">idirdhealú cánach tomhaltóirí peitril gan luaidhe sa Chorsaic ar bhonn níos cothroime le tomhaltóirí comhchosúla ar an mórthír tríd an gcostas breise a íocann tomhaltóirí sa Chorsaic a fhritháireamh i bpáirt. Dá bhrí sin, comhlíonann an beart atá beartaithe cuspóirí áirithe de chuid an bheartais réigiúnaigh agus comhtháthaithe. </w:t>
      </w:r>
    </w:p>
    <w:p w:rsidR="0032483A" w:rsidRPr="00E525EA" w:rsidRDefault="0032483A" w:rsidP="0032483A">
      <w:pPr>
        <w:rPr>
          <w:noProof/>
        </w:rPr>
      </w:pPr>
      <w:r w:rsidRPr="00E525EA">
        <w:rPr>
          <w:noProof/>
        </w:rPr>
        <w:t xml:space="preserve">Ní théann an laghdú cánach thar na costais bhreise a bhaineann le hiompar agus dáileadh a íocann tomhaltóirí sa Chorsaic. Tá an laghdú EUR 1 in aghaidh an heictilítir ar chostas peitril gan luaidhe i bhfad níos lú ná an difríocht idir na praghsanna deiridh faoi seach. </w:t>
      </w:r>
    </w:p>
    <w:p w:rsidR="0032483A" w:rsidRPr="00E525EA" w:rsidRDefault="0032483A" w:rsidP="0032483A">
      <w:pPr>
        <w:keepNext/>
        <w:rPr>
          <w:noProof/>
        </w:rPr>
      </w:pPr>
      <w:r w:rsidRPr="00E525EA">
        <w:rPr>
          <w:noProof/>
        </w:rPr>
        <w:t xml:space="preserve">Tá an ráta laghdaithe cánachais ar thomhaltas peitril gan luaidhe a chuirtear i bhfeidhm sa Chorsaic faoi láthair (EUR 67,29/hl) fós i bhfad níos airde ná íosleibhéal an Aontais a leagtar síos le Treoir 2003/96/CE (EUR 35,90/hl). </w:t>
      </w:r>
    </w:p>
    <w:p w:rsidR="0032483A" w:rsidRPr="00E525EA" w:rsidRDefault="0032483A" w:rsidP="0032483A">
      <w:pPr>
        <w:keepNext/>
        <w:rPr>
          <w:i/>
          <w:noProof/>
        </w:rPr>
      </w:pPr>
      <w:r w:rsidRPr="00E525EA">
        <w:rPr>
          <w:i/>
          <w:noProof/>
        </w:rPr>
        <w:t>Comhsheasmhacht le beartais agus le cuspóirí eile de chuid an Aontais</w:t>
      </w:r>
    </w:p>
    <w:p w:rsidR="0032483A" w:rsidRPr="00E525EA" w:rsidRDefault="0032483A" w:rsidP="0032483A">
      <w:pPr>
        <w:rPr>
          <w:noProof/>
        </w:rPr>
      </w:pPr>
      <w:r w:rsidRPr="00E525EA">
        <w:rPr>
          <w:noProof/>
        </w:rPr>
        <w:t xml:space="preserve">Nuair a scrúdaíonn an Coimisiún iarraidh, cuireann sé san áireamh feidhmiú cuí an mhargaidh inmheánaigh, an gá atá le hiomaíocht chóir a áirithiú agus cur chun feidhme bheartais sláinte, chomhshaoil, fuinnimh agus iompair an Aontais. </w:t>
      </w:r>
    </w:p>
    <w:p w:rsidR="0032483A" w:rsidRPr="00E525EA" w:rsidRDefault="0032483A" w:rsidP="0032483A">
      <w:pPr>
        <w:rPr>
          <w:noProof/>
        </w:rPr>
      </w:pPr>
      <w:r w:rsidRPr="00E525EA">
        <w:rPr>
          <w:noProof/>
        </w:rPr>
        <w:t>Tá an beart inghlactha maidir le feidhmiú cuí an mhargaidh inmheánaigh agus maidir leis an ngá atá le hiomaíocht chóir a áirithiú. Níl ann ach féachaint leis na costais bhreise a bhaineann leis an stádas oileáin atá ag an gCorsaic a fhritháireamh i bpáirt. I bhfianaise chineál iargúlta agus oileánach na ranna lena mbaineann sé agus mheasarthacht an laghdaithe ar an ráta - atá, thairis sin, a</w:t>
      </w:r>
      <w:r w:rsidR="00827ABC">
        <w:rPr>
          <w:noProof/>
        </w:rPr>
        <w:t>n</w:t>
      </w:r>
      <w:r w:rsidR="00827ABC">
        <w:rPr>
          <w:noProof/>
        </w:rPr>
        <w:noBreakHyphen/>
      </w:r>
      <w:r w:rsidRPr="00E525EA">
        <w:rPr>
          <w:noProof/>
        </w:rPr>
        <w:t>ard i gcomparáid le híosleibhéal an Aontais - ní mheastar go dtiocfaidh athruithe ar ídiú breosla de thairbhe an bhirt, trí thomhaltóirí ó lasmuigh de na limistéir sin a mhealladh.</w:t>
      </w:r>
    </w:p>
    <w:p w:rsidR="0032483A" w:rsidRPr="00E525EA" w:rsidRDefault="0032483A" w:rsidP="0032483A">
      <w:pPr>
        <w:rPr>
          <w:noProof/>
        </w:rPr>
      </w:pPr>
      <w:r w:rsidRPr="00E525EA">
        <w:rPr>
          <w:noProof/>
        </w:rPr>
        <w:t>Ós rud é go meastar go mbeidh éifeacht an fhaoisimh cánach ar an iompar neamhshuntasach, agus go bhféadfaí beartais chúiteacha a aimsiú le haghaidh aon éifeacht imeallach a d’fhéadfadh a bheith ann, níl an beart ar neamhréir le beartais sláinte, chomhshaoil, fuinnimh ná iompair an Aontais.</w:t>
      </w:r>
    </w:p>
    <w:p w:rsidR="0032483A" w:rsidRPr="00E525EA" w:rsidRDefault="0032483A" w:rsidP="0032483A">
      <w:pPr>
        <w:rPr>
          <w:i/>
          <w:noProof/>
        </w:rPr>
      </w:pPr>
      <w:r w:rsidRPr="00E525EA">
        <w:rPr>
          <w:i/>
          <w:noProof/>
        </w:rPr>
        <w:t>Tréimhse chur i bhfeidhm an bhirt agus forbairt chreat an Aontais maidir le Cánachas Fuinnimh</w:t>
      </w:r>
    </w:p>
    <w:p w:rsidR="0032483A" w:rsidRPr="00E525EA" w:rsidRDefault="0032483A" w:rsidP="0032483A">
      <w:pPr>
        <w:rPr>
          <w:noProof/>
        </w:rPr>
      </w:pPr>
      <w:r w:rsidRPr="00E525EA">
        <w:rPr>
          <w:noProof/>
        </w:rPr>
        <w:t>Leagtar síos in Airteagal 19(2) de Threoir 2003/96/CE, don chineál seo birt, uastréimhse 6 bliana, agus an fhéidearthacht ann é a athnuachan. Is ón 1 Eanáir 2025 go dtí an 31 Nollaig 2030 a mhairfidh an tréimhse bhailíochta a iarradh i dtosach báire, ar tréimhse í atá laistigh den tréimhse uasta a cheadaítear le hAirteagal 19 den Treoir maidir le Cánachas Fuinnimh.</w:t>
      </w:r>
      <w:r w:rsidRPr="00E525EA">
        <w:rPr>
          <w:noProof/>
          <w:bdr w:val="none" w:sz="0" w:space="0" w:color="auto" w:frame="1"/>
          <w:shd w:val="clear" w:color="auto" w:fill="FFFFFF"/>
        </w:rPr>
        <w:t> Tar éis plé idir údaráis na Fraince agus an Coimisiún, go háirithe i bhfianaise an athbhreithnithe atá beartaithe ar Threoir 2003/96/CE</w:t>
      </w:r>
      <w:r w:rsidRPr="00E525EA">
        <w:rPr>
          <w:rStyle w:val="FootnoteReference"/>
          <w:noProof/>
          <w:bdr w:val="none" w:sz="0" w:space="0" w:color="auto" w:frame="1"/>
        </w:rPr>
        <w:footnoteReference w:id="2"/>
      </w:r>
      <w:r w:rsidRPr="00E525EA">
        <w:rPr>
          <w:noProof/>
          <w:bdr w:val="none" w:sz="0" w:space="0" w:color="auto" w:frame="1"/>
          <w:shd w:val="clear" w:color="auto" w:fill="FFFFFF"/>
        </w:rPr>
        <w:t xml:space="preserve">, comhaontaíodh dáta foirceanta níos luaithe, mar atá, an 31 Nollaig 2028. </w:t>
      </w:r>
      <w:r w:rsidRPr="00E525EA">
        <w:rPr>
          <w:noProof/>
        </w:rPr>
        <w:t xml:space="preserve">Agus é á chur san áireamh nach bhfuil aon tionchar diúltach ag an socrú atá ann faoi láthair ar thrádáil laistigh den Aontas agus ar an leibhéal ginearálta cánachais ar bhreoslaí sa Fhrainc, chun deimhneacht dhlíthiúil a áirithiú don réigiún, molann an Coimisiún an </w:t>
      </w:r>
      <w:r w:rsidR="00827ABC">
        <w:rPr>
          <w:noProof/>
        </w:rPr>
        <w:t>t</w:t>
      </w:r>
      <w:r w:rsidR="00827ABC">
        <w:rPr>
          <w:noProof/>
        </w:rPr>
        <w:noBreakHyphen/>
      </w:r>
      <w:r w:rsidRPr="00E525EA">
        <w:rPr>
          <w:noProof/>
        </w:rPr>
        <w:t xml:space="preserve">údarú a iarradh a dheonú ar feadh 4 bliana, i.e. ón 1 Eanáir 2025 go dtí an 31 Nollaig 2028. Ina theannta sin, chun nach ndéanfar dochar d’fhorbairtí ginearálta a dhéanfar amach anseo ar an gcreat dlíthiúil atá ann cheana, is iomchuí a fhoráil, i gcás ina ndéanfadh an Chomhairle, ag gníomhú di ar bhonn Airteagal 113 den Chonradh, córas modhnaithe ginearálta a thabhairt isteach chun cáin a ghearradh ar tháirgí fuinnimh nach ndéanfaí an </w:t>
      </w:r>
      <w:r w:rsidR="00827ABC">
        <w:rPr>
          <w:noProof/>
        </w:rPr>
        <w:t>t</w:t>
      </w:r>
      <w:r w:rsidR="00827ABC">
        <w:rPr>
          <w:noProof/>
        </w:rPr>
        <w:noBreakHyphen/>
      </w:r>
      <w:r w:rsidRPr="00E525EA">
        <w:rPr>
          <w:noProof/>
        </w:rPr>
        <w:t>údarú a oiriúnú ina leith, go rachadh an Cinneadh seo in éag an lá a thiocfaidh na rialacha ginearálta sin chun bheith infheidhme.</w:t>
      </w:r>
    </w:p>
    <w:p w:rsidR="0032483A" w:rsidRPr="00E525EA" w:rsidRDefault="0032483A" w:rsidP="0032483A">
      <w:pPr>
        <w:rPr>
          <w:noProof/>
        </w:rPr>
      </w:pPr>
      <w:r w:rsidRPr="00E525EA">
        <w:rPr>
          <w:noProof/>
        </w:rPr>
        <w:t>Dá nglacfadh an Chomhairle córas nua den sórt sin agus dá measfadh an Coimisiún go bhfuil údar maith fós leis an údarú atá beartaithe leis seo, dhéanfadh sé imscrúdú, go dearfach agus go tráthúil, ar aon iarraidh ón bhFrainc ar údarú comhchosúil arna oiriúnú don chóras nua sin, chun foráil a dhéanamh maidir le leanúnachas an togra seo.</w:t>
      </w:r>
    </w:p>
    <w:p w:rsidR="0032483A" w:rsidRPr="00E525EA" w:rsidRDefault="0032483A" w:rsidP="0032483A">
      <w:pPr>
        <w:keepNext/>
        <w:rPr>
          <w:b/>
          <w:noProof/>
        </w:rPr>
      </w:pPr>
      <w:r w:rsidRPr="00E525EA">
        <w:rPr>
          <w:b/>
          <w:noProof/>
        </w:rPr>
        <w:t>Rialacha maidir leis an státchabhair</w:t>
      </w:r>
    </w:p>
    <w:p w:rsidR="0032483A" w:rsidRPr="00E525EA" w:rsidRDefault="0032483A" w:rsidP="0032483A">
      <w:pPr>
        <w:pBdr>
          <w:top w:val="nil"/>
          <w:left w:val="nil"/>
          <w:bottom w:val="nil"/>
          <w:right w:val="nil"/>
          <w:between w:val="nil"/>
          <w:bar w:val="nil"/>
        </w:pBdr>
        <w:spacing w:before="0" w:after="240"/>
        <w:rPr>
          <w:noProof/>
        </w:rPr>
      </w:pPr>
      <w:r w:rsidRPr="00E525EA">
        <w:rPr>
          <w:noProof/>
        </w:rPr>
        <w:t>Áitíonn údaráis na Fraince nach Státchabhair é an beart toisc go bhfuil sé dírithe ar thomhaltóirí deiridh agus go bhfuil feidhm aige gan idirdhealú bunaithe ar náisiúntacht ná ar thionscnamh na dtáirgí. Mar sin féin, d’fhéadfadh sé gur Státchabhair é an beart i gcomhréir le hAirteagal 107(1) de CFAE. Ós rud é go bhfuil na rátaí laghdaithe os cionn íosleibhéil an Aontais, is cosúil go dtagann an beart faoi Airteagal 44 de Rialachán (AE) 651/2014 ón gCoimisiún, lena sonraítear na coinníollacha faoinar féidir cabhair i bhfoirm laghduithe ar chánacha faoi Threoir 2003/96/CE a dhíolmhú ó na ceanglais maidir le fógra a thabhairt faoi Státchabhair. Mar sin féin, ní féidir a shuí ag an gcéim seo cé acu atá nó nach bhfuil na coinníollacha uile a leagtar síos sa Rialachán seo comhlíonta. Leis an togra le haghaidh Cinneadh Cur Chun Feidhme ón gComhairle ní dhéantar réamhbhreith ar oibleagáid an Bhallstáit a áirithiú go bhfuil na rialacha maidir leis an státchabhair á gcomhlíonadh, go háirithe, i gcás cabhair dhíolmhaithe, Rialachán (AE) 651/2014 ón gCoimisiún. Tá an togra le haghaidh Cinneadh Cur chun Feidhme ón gComhairle gan dochar freisin d’oibleagáid an Bhallstáit fógra a thabhairt don Choimisiún faoin gcabhair sula gcuirfear i bhfeidhm í, de bhun Airteagal 108(3) CFAE, i gcás nach gcumhdaítear an chabhair nua le blocdhíolúine.</w:t>
      </w:r>
    </w:p>
    <w:p w:rsidR="0032483A" w:rsidRPr="00E525EA" w:rsidRDefault="0032483A" w:rsidP="0028059E">
      <w:pPr>
        <w:pStyle w:val="ManualHeading1"/>
        <w:rPr>
          <w:noProof/>
        </w:rPr>
      </w:pPr>
      <w:r w:rsidRPr="00E525EA">
        <w:rPr>
          <w:noProof/>
        </w:rPr>
        <w:t>2.</w:t>
      </w:r>
      <w:r w:rsidRPr="00E525EA">
        <w:rPr>
          <w:noProof/>
        </w:rPr>
        <w:tab/>
        <w:t>BUNÚS DLÍ, COIMHDEACHT AGUS COMHRÉIREACHT</w:t>
      </w:r>
    </w:p>
    <w:p w:rsidR="0032483A" w:rsidRPr="00E525EA" w:rsidRDefault="0032483A" w:rsidP="0028059E">
      <w:pPr>
        <w:pStyle w:val="ManualHeading2"/>
        <w:rPr>
          <w:rFonts w:eastAsia="Arial Unicode MS"/>
          <w:noProof/>
          <w:u w:color="000000"/>
          <w:bdr w:val="nil"/>
        </w:rPr>
      </w:pPr>
      <w:r w:rsidRPr="00E525EA">
        <w:rPr>
          <w:noProof/>
          <w:u w:color="000000"/>
          <w:bdr w:val="nil"/>
        </w:rPr>
        <w:t>•</w:t>
      </w:r>
      <w:r w:rsidRPr="00E525EA">
        <w:rPr>
          <w:noProof/>
        </w:rPr>
        <w:tab/>
      </w:r>
      <w:r w:rsidRPr="00E525EA">
        <w:rPr>
          <w:noProof/>
          <w:u w:color="000000"/>
          <w:bdr w:val="nil"/>
        </w:rPr>
        <w:t>Bunús dlí</w:t>
      </w:r>
    </w:p>
    <w:p w:rsidR="0032483A" w:rsidRPr="00E525EA" w:rsidRDefault="0032483A" w:rsidP="0032483A">
      <w:pPr>
        <w:rPr>
          <w:noProof/>
        </w:rPr>
      </w:pPr>
      <w:r w:rsidRPr="00E525EA">
        <w:rPr>
          <w:noProof/>
        </w:rPr>
        <w:t>Airteagal 19 de Threoir 2003/96/CE ón gComhairle.</w:t>
      </w:r>
    </w:p>
    <w:p w:rsidR="0032483A" w:rsidRPr="00E525EA" w:rsidRDefault="0032483A" w:rsidP="0032483A">
      <w:pPr>
        <w:pStyle w:val="ManualHeading2"/>
        <w:rPr>
          <w:rFonts w:eastAsia="Arial Unicode MS"/>
          <w:noProof/>
          <w:u w:color="000000"/>
          <w:bdr w:val="nil"/>
        </w:rPr>
      </w:pPr>
      <w:r w:rsidRPr="00E525EA">
        <w:rPr>
          <w:noProof/>
          <w:u w:color="000000"/>
          <w:bdr w:val="nil"/>
        </w:rPr>
        <w:t>•</w:t>
      </w:r>
      <w:r w:rsidRPr="00E525EA">
        <w:rPr>
          <w:noProof/>
        </w:rPr>
        <w:tab/>
      </w:r>
      <w:r w:rsidRPr="00E525EA">
        <w:rPr>
          <w:noProof/>
          <w:u w:color="000000"/>
          <w:bdr w:val="nil"/>
        </w:rPr>
        <w:t xml:space="preserve">Coimhdeacht (i gcás inniúlacht neamheisiach) </w:t>
      </w:r>
    </w:p>
    <w:p w:rsidR="0032483A" w:rsidRPr="00E525EA" w:rsidRDefault="0032483A" w:rsidP="0032483A">
      <w:pPr>
        <w:pBdr>
          <w:top w:val="nil"/>
          <w:left w:val="nil"/>
          <w:bottom w:val="nil"/>
          <w:right w:val="nil"/>
          <w:between w:val="nil"/>
          <w:bar w:val="nil"/>
        </w:pBdr>
        <w:spacing w:before="0" w:after="240"/>
        <w:rPr>
          <w:rFonts w:eastAsia="Arial Unicode MS"/>
          <w:noProof/>
        </w:rPr>
      </w:pPr>
      <w:r w:rsidRPr="00E525EA">
        <w:rPr>
          <w:noProof/>
        </w:rPr>
        <w:t>Níl an réimse cánach indírí a chumhdaítear le hAirteagal 113 CFAE ann féin faoi inniúlacht eisiach an Aontais Eorpaigh de réir bhrí Airteagal 3 den Chonradh.</w:t>
      </w:r>
    </w:p>
    <w:p w:rsidR="0032483A" w:rsidRPr="00E525EA" w:rsidRDefault="0032483A" w:rsidP="0032483A">
      <w:pPr>
        <w:rPr>
          <w:noProof/>
        </w:rPr>
      </w:pPr>
      <w:r w:rsidRPr="00E525EA">
        <w:rPr>
          <w:noProof/>
        </w:rPr>
        <w:t>Os a choinne sin, de bhun Airteagal 19 de Threoir 2003/96/CE, tugadh inniúlacht eisiach don Chomhairle, mar ábhar dlí thánaistigh, chun Ballstát a údarú le díolúintí nó laghduithe sa bhreis a thabhairt isteach de réir bhrí na forála sin. Dá bhrí sin, ní féidir leis na Ballstáit iad féin a chur in ionad na Comhairle. Mar thoradh air sin, níl prionsabal na coimhdeachta infheidhme maidir leis an togra le haghaidh Cinneadh Cur Chun Feidhme ón gComhairle. In aon chás, ó tharla nach dréachtghníomh reachtach an gníomh seo, níor cheart é a tharchur chuig Parlaimintí náisiúnta de bhun Phrótacal Uimh. 2 a ghabhann leis na Conarthaí lena athbhreithniú maidir lena chomhlíontacht le prionsabal na coimhdeachta.</w:t>
      </w:r>
    </w:p>
    <w:p w:rsidR="0032483A" w:rsidRPr="00E525EA" w:rsidRDefault="0032483A" w:rsidP="0032483A">
      <w:pPr>
        <w:rPr>
          <w:b/>
          <w:noProof/>
        </w:rPr>
      </w:pPr>
      <w:r w:rsidRPr="00E525EA">
        <w:rPr>
          <w:b/>
          <w:noProof/>
        </w:rPr>
        <w:t>Prionsabal na comhréireachta</w:t>
      </w:r>
    </w:p>
    <w:p w:rsidR="0032483A" w:rsidRPr="00E525EA" w:rsidRDefault="0032483A" w:rsidP="0032483A">
      <w:pPr>
        <w:rPr>
          <w:noProof/>
        </w:rPr>
      </w:pPr>
      <w:r w:rsidRPr="00E525EA">
        <w:rPr>
          <w:noProof/>
        </w:rPr>
        <w:t>Leis an togra seo urramaítear prionsabal na comhréireachta. Ní théann an laghdú cánach seo thar a bhfuil riachtanach chun an cuspóir atá i gceist a bhaint amach.</w:t>
      </w:r>
    </w:p>
    <w:p w:rsidR="0032483A" w:rsidRPr="00E525EA" w:rsidRDefault="0032483A" w:rsidP="0032483A">
      <w:pPr>
        <w:rPr>
          <w:noProof/>
        </w:rPr>
      </w:pPr>
      <w:r w:rsidRPr="00E525EA">
        <w:rPr>
          <w:b/>
          <w:noProof/>
        </w:rPr>
        <w:t>An rogha ionstraimí</w:t>
      </w:r>
    </w:p>
    <w:p w:rsidR="0032483A" w:rsidRPr="00E525EA" w:rsidRDefault="0032483A" w:rsidP="0032483A">
      <w:pPr>
        <w:rPr>
          <w:noProof/>
        </w:rPr>
      </w:pPr>
      <w:r w:rsidRPr="00E525EA">
        <w:rPr>
          <w:noProof/>
        </w:rPr>
        <w:t>An ionstraim atá beartaithe: Cinneadh cur chun feidhme ón gComhairle.</w:t>
      </w:r>
    </w:p>
    <w:p w:rsidR="0032483A" w:rsidRPr="00E525EA" w:rsidRDefault="0032483A" w:rsidP="0032483A">
      <w:pPr>
        <w:rPr>
          <w:noProof/>
        </w:rPr>
      </w:pPr>
      <w:r w:rsidRPr="00E525EA">
        <w:rPr>
          <w:noProof/>
        </w:rPr>
        <w:t>Déantar foráil in Airteagal 19 de Threoir 2003/96 maidir leis an gcineál sin birt, agus maidir leis sin amháin.</w:t>
      </w:r>
    </w:p>
    <w:p w:rsidR="0032483A" w:rsidRPr="00E525EA" w:rsidRDefault="0032483A" w:rsidP="0028059E">
      <w:pPr>
        <w:pStyle w:val="ManualHeading1"/>
        <w:rPr>
          <w:noProof/>
        </w:rPr>
      </w:pPr>
      <w:r w:rsidRPr="00E525EA">
        <w:rPr>
          <w:noProof/>
        </w:rPr>
        <w:t>3.</w:t>
      </w:r>
      <w:r w:rsidRPr="00E525EA">
        <w:rPr>
          <w:noProof/>
        </w:rPr>
        <w:tab/>
        <w:t>TORTHAÍ AR MHEASTÓIREACHTAÍ EX POST, AR CHOMHAIRLIÚCHÁIN LEIS NA PÁIRTITHE LEASMHARA AGUS AR MHEASÚNUITHE TIONCHAIR</w:t>
      </w:r>
    </w:p>
    <w:p w:rsidR="0032483A" w:rsidRPr="00E525EA" w:rsidRDefault="0032483A" w:rsidP="0028059E">
      <w:pPr>
        <w:pStyle w:val="ManualHeading2"/>
        <w:rPr>
          <w:rFonts w:eastAsia="Arial Unicode MS"/>
          <w:noProof/>
          <w:u w:color="000000"/>
          <w:bdr w:val="nil"/>
        </w:rPr>
      </w:pPr>
      <w:r w:rsidRPr="00E525EA">
        <w:rPr>
          <w:noProof/>
          <w:u w:color="000000"/>
          <w:bdr w:val="nil"/>
        </w:rPr>
        <w:t>•</w:t>
      </w:r>
      <w:r w:rsidRPr="00E525EA">
        <w:rPr>
          <w:noProof/>
        </w:rPr>
        <w:tab/>
      </w:r>
      <w:r w:rsidRPr="00E525EA">
        <w:rPr>
          <w:noProof/>
          <w:u w:color="000000"/>
          <w:bdr w:val="nil"/>
        </w:rPr>
        <w:t xml:space="preserve">Meastóireachtaí </w:t>
      </w:r>
      <w:r w:rsidRPr="00E525EA">
        <w:rPr>
          <w:i/>
          <w:iCs/>
          <w:noProof/>
          <w:u w:color="000000"/>
          <w:bdr w:val="nil"/>
        </w:rPr>
        <w:t>ex post</w:t>
      </w:r>
      <w:r w:rsidRPr="00E525EA">
        <w:rPr>
          <w:noProof/>
          <w:u w:color="000000"/>
          <w:bdr w:val="nil"/>
        </w:rPr>
        <w:t>/seiceálacha oiriúnachta ar an reachtaíocht atá ann cheana</w:t>
      </w:r>
    </w:p>
    <w:p w:rsidR="0032483A" w:rsidRPr="00E525EA" w:rsidRDefault="0032483A" w:rsidP="0032483A">
      <w:pPr>
        <w:rPr>
          <w:noProof/>
        </w:rPr>
      </w:pPr>
      <w:r w:rsidRPr="00E525EA">
        <w:rPr>
          <w:noProof/>
        </w:rPr>
        <w:t>Ní cheanglaítear leis an mbeart aon mheastóireacht a dhéanamh ar an reachtaíocht atá ann faoi láthair.</w:t>
      </w:r>
    </w:p>
    <w:p w:rsidR="0032483A" w:rsidRPr="00E525EA" w:rsidRDefault="0032483A" w:rsidP="0032483A">
      <w:pPr>
        <w:pStyle w:val="ManualHeading2"/>
        <w:rPr>
          <w:rFonts w:eastAsia="Arial Unicode MS"/>
          <w:noProof/>
          <w:u w:color="000000"/>
          <w:bdr w:val="nil"/>
        </w:rPr>
      </w:pPr>
      <w:r w:rsidRPr="00E525EA">
        <w:rPr>
          <w:noProof/>
          <w:u w:color="000000"/>
          <w:bdr w:val="nil"/>
        </w:rPr>
        <w:t>•</w:t>
      </w:r>
      <w:r w:rsidRPr="00E525EA">
        <w:rPr>
          <w:noProof/>
        </w:rPr>
        <w:tab/>
      </w:r>
      <w:r w:rsidRPr="00E525EA">
        <w:rPr>
          <w:noProof/>
          <w:u w:color="000000"/>
          <w:bdr w:val="nil"/>
        </w:rPr>
        <w:t>Comhairliúcháin leis na páirtithe leasmhara</w:t>
      </w:r>
    </w:p>
    <w:p w:rsidR="0032483A" w:rsidRPr="00E525EA" w:rsidRDefault="0032483A" w:rsidP="0032483A">
      <w:pPr>
        <w:pBdr>
          <w:top w:val="nil"/>
          <w:left w:val="nil"/>
          <w:bottom w:val="nil"/>
          <w:right w:val="nil"/>
          <w:between w:val="nil"/>
          <w:bar w:val="nil"/>
        </w:pBdr>
        <w:spacing w:before="0" w:after="240"/>
        <w:rPr>
          <w:rFonts w:eastAsia="Arial Unicode MS"/>
          <w:noProof/>
        </w:rPr>
      </w:pPr>
      <w:r w:rsidRPr="00E525EA">
        <w:rPr>
          <w:noProof/>
        </w:rPr>
        <w:t>Is éard atá sa togra laghdú cánach a bhaineann leis an bhFrainc amháin.</w:t>
      </w:r>
    </w:p>
    <w:p w:rsidR="0032483A" w:rsidRPr="00E525EA" w:rsidRDefault="0032483A" w:rsidP="0032483A">
      <w:pPr>
        <w:pStyle w:val="ManualHeading2"/>
        <w:rPr>
          <w:rFonts w:eastAsia="Arial Unicode MS"/>
          <w:noProof/>
          <w:u w:color="000000"/>
          <w:bdr w:val="nil"/>
        </w:rPr>
      </w:pPr>
      <w:r w:rsidRPr="00E525EA">
        <w:rPr>
          <w:noProof/>
          <w:u w:color="000000"/>
          <w:bdr w:val="nil"/>
        </w:rPr>
        <w:t>•</w:t>
      </w:r>
      <w:r w:rsidRPr="00E525EA">
        <w:rPr>
          <w:noProof/>
        </w:rPr>
        <w:tab/>
      </w:r>
      <w:r w:rsidRPr="00E525EA">
        <w:rPr>
          <w:noProof/>
          <w:u w:color="000000"/>
          <w:bdr w:val="nil"/>
        </w:rPr>
        <w:t>Bailiú agus úsáid saineolais</w:t>
      </w:r>
    </w:p>
    <w:p w:rsidR="0032483A" w:rsidRPr="00E525EA" w:rsidRDefault="0032483A" w:rsidP="0032483A">
      <w:pPr>
        <w:rPr>
          <w:noProof/>
        </w:rPr>
      </w:pPr>
      <w:r w:rsidRPr="00E525EA">
        <w:rPr>
          <w:noProof/>
        </w:rPr>
        <w:t>Níor úsáideadh aon saineolas seachtrach.</w:t>
      </w:r>
    </w:p>
    <w:p w:rsidR="0032483A" w:rsidRPr="00E525EA" w:rsidRDefault="0032483A" w:rsidP="0032483A">
      <w:pPr>
        <w:pStyle w:val="ManualHeading2"/>
        <w:rPr>
          <w:rFonts w:eastAsia="Arial Unicode MS"/>
          <w:noProof/>
          <w:u w:color="000000"/>
          <w:bdr w:val="nil"/>
        </w:rPr>
      </w:pPr>
      <w:r w:rsidRPr="00E525EA">
        <w:rPr>
          <w:noProof/>
          <w:u w:color="000000"/>
          <w:bdr w:val="nil"/>
        </w:rPr>
        <w:t>•</w:t>
      </w:r>
      <w:r w:rsidRPr="00E525EA">
        <w:rPr>
          <w:noProof/>
        </w:rPr>
        <w:tab/>
      </w:r>
      <w:r w:rsidRPr="00E525EA">
        <w:rPr>
          <w:noProof/>
          <w:u w:color="000000"/>
          <w:bdr w:val="nil"/>
        </w:rPr>
        <w:t>Measúnú tionchair</w:t>
      </w:r>
    </w:p>
    <w:p w:rsidR="0032483A" w:rsidRPr="00E525EA" w:rsidRDefault="0032483A" w:rsidP="0032483A">
      <w:pPr>
        <w:rPr>
          <w:noProof/>
        </w:rPr>
      </w:pPr>
      <w:r w:rsidRPr="00E525EA">
        <w:rPr>
          <w:noProof/>
        </w:rPr>
        <w:t>Ní dhearnadh aon mheasúnú tionchair.</w:t>
      </w:r>
    </w:p>
    <w:p w:rsidR="0032483A" w:rsidRPr="00E525EA" w:rsidRDefault="0032483A" w:rsidP="0032483A">
      <w:pPr>
        <w:pStyle w:val="ManualHeading2"/>
        <w:rPr>
          <w:rFonts w:eastAsia="Arial Unicode MS"/>
          <w:noProof/>
          <w:u w:color="000000"/>
          <w:bdr w:val="nil"/>
        </w:rPr>
      </w:pPr>
      <w:r w:rsidRPr="00E525EA">
        <w:rPr>
          <w:noProof/>
          <w:u w:color="000000"/>
          <w:bdr w:val="nil"/>
        </w:rPr>
        <w:t>•</w:t>
      </w:r>
      <w:r w:rsidRPr="00E525EA">
        <w:rPr>
          <w:noProof/>
        </w:rPr>
        <w:tab/>
      </w:r>
      <w:r w:rsidRPr="00E525EA">
        <w:rPr>
          <w:noProof/>
          <w:u w:color="000000"/>
          <w:bdr w:val="nil"/>
        </w:rPr>
        <w:t>Oiriúnacht rialála agus simpliú</w:t>
      </w:r>
    </w:p>
    <w:p w:rsidR="0032483A" w:rsidRPr="00E525EA" w:rsidRDefault="0032483A" w:rsidP="0032483A">
      <w:pPr>
        <w:pBdr>
          <w:top w:val="nil"/>
          <w:left w:val="nil"/>
          <w:bottom w:val="nil"/>
          <w:right w:val="nil"/>
          <w:between w:val="nil"/>
          <w:bar w:val="nil"/>
        </w:pBdr>
        <w:spacing w:before="0" w:after="240"/>
        <w:rPr>
          <w:rFonts w:eastAsia="Arial Unicode MS"/>
          <w:noProof/>
          <w:u w:color="000000"/>
          <w:bdr w:val="nil"/>
        </w:rPr>
      </w:pPr>
      <w:r w:rsidRPr="00E525EA">
        <w:rPr>
          <w:noProof/>
        </w:rPr>
        <w:t>Ní dhéantar foráil leis an mbeart maidir le simpliú. Is toradh é ar an iarraidh a rinne an Fhrainc agus baineann sé leis an mBallstát sin amháin.</w:t>
      </w:r>
    </w:p>
    <w:p w:rsidR="0032483A" w:rsidRPr="00E525EA" w:rsidRDefault="0032483A" w:rsidP="0032483A">
      <w:pPr>
        <w:pStyle w:val="ManualHeading2"/>
        <w:rPr>
          <w:rFonts w:eastAsia="Arial Unicode MS"/>
          <w:noProof/>
          <w:u w:color="000000"/>
          <w:bdr w:val="nil"/>
        </w:rPr>
      </w:pPr>
      <w:r w:rsidRPr="00E525EA">
        <w:rPr>
          <w:noProof/>
          <w:u w:color="000000"/>
          <w:bdr w:val="nil"/>
        </w:rPr>
        <w:t>•</w:t>
      </w:r>
      <w:r w:rsidRPr="00E525EA">
        <w:rPr>
          <w:noProof/>
        </w:rPr>
        <w:tab/>
      </w:r>
      <w:r w:rsidRPr="00E525EA">
        <w:rPr>
          <w:noProof/>
          <w:u w:color="000000"/>
          <w:bdr w:val="nil"/>
        </w:rPr>
        <w:t>Cearta bunúsacha</w:t>
      </w:r>
    </w:p>
    <w:p w:rsidR="0032483A" w:rsidRPr="00E525EA" w:rsidRDefault="0032483A" w:rsidP="0032483A">
      <w:pPr>
        <w:pBdr>
          <w:top w:val="nil"/>
          <w:left w:val="nil"/>
          <w:bottom w:val="nil"/>
          <w:right w:val="nil"/>
          <w:between w:val="nil"/>
          <w:bar w:val="nil"/>
        </w:pBdr>
        <w:spacing w:before="0" w:after="240"/>
        <w:rPr>
          <w:rFonts w:eastAsia="Arial Unicode MS"/>
          <w:noProof/>
        </w:rPr>
      </w:pPr>
      <w:r w:rsidRPr="00E525EA">
        <w:rPr>
          <w:noProof/>
        </w:rPr>
        <w:t>Ní dhéanann an beart difear do chearta bunúsacha.</w:t>
      </w:r>
    </w:p>
    <w:p w:rsidR="0032483A" w:rsidRPr="00E525EA" w:rsidRDefault="0032483A" w:rsidP="0028059E">
      <w:pPr>
        <w:pStyle w:val="ManualHeading1"/>
        <w:rPr>
          <w:noProof/>
        </w:rPr>
      </w:pPr>
      <w:r w:rsidRPr="00E525EA">
        <w:rPr>
          <w:noProof/>
        </w:rPr>
        <w:t>4.</w:t>
      </w:r>
      <w:r w:rsidRPr="00E525EA">
        <w:rPr>
          <w:noProof/>
        </w:rPr>
        <w:tab/>
        <w:t>IMPLEACHTAÍ BUISÉADACHA</w:t>
      </w:r>
    </w:p>
    <w:p w:rsidR="0032483A" w:rsidRPr="00E525EA" w:rsidRDefault="0032483A" w:rsidP="0032483A">
      <w:pPr>
        <w:pBdr>
          <w:top w:val="nil"/>
          <w:left w:val="nil"/>
          <w:bottom w:val="nil"/>
          <w:right w:val="nil"/>
          <w:between w:val="nil"/>
          <w:bar w:val="nil"/>
        </w:pBdr>
        <w:spacing w:before="0" w:after="240"/>
        <w:rPr>
          <w:rFonts w:eastAsia="Arial Unicode MS"/>
          <w:noProof/>
        </w:rPr>
      </w:pPr>
      <w:r w:rsidRPr="00E525EA">
        <w:rPr>
          <w:noProof/>
        </w:rPr>
        <w:t>Ní chuireann an beart aon ualach airgeadais ná riaracháin ar an Aontas. Dá bhrí sin, níl aon tionchar ag an togra ar bhuiséad an Aontais.</w:t>
      </w:r>
    </w:p>
    <w:p w:rsidR="0032483A" w:rsidRPr="00E525EA" w:rsidRDefault="0032483A" w:rsidP="0028059E">
      <w:pPr>
        <w:pStyle w:val="ManualHeading1"/>
        <w:rPr>
          <w:noProof/>
        </w:rPr>
      </w:pPr>
      <w:r w:rsidRPr="00E525EA">
        <w:rPr>
          <w:noProof/>
        </w:rPr>
        <w:t>5.</w:t>
      </w:r>
      <w:r w:rsidRPr="00E525EA">
        <w:rPr>
          <w:noProof/>
        </w:rPr>
        <w:tab/>
        <w:t>EILIMINTÍ EILE</w:t>
      </w:r>
    </w:p>
    <w:p w:rsidR="0032483A" w:rsidRPr="00E525EA" w:rsidRDefault="0032483A" w:rsidP="0028059E">
      <w:pPr>
        <w:pStyle w:val="ManualHeading2"/>
        <w:rPr>
          <w:rFonts w:eastAsia="Arial Unicode MS"/>
          <w:noProof/>
          <w:u w:color="000000"/>
          <w:bdr w:val="nil"/>
        </w:rPr>
      </w:pPr>
      <w:r w:rsidRPr="00E525EA">
        <w:rPr>
          <w:noProof/>
          <w:u w:color="000000"/>
          <w:bdr w:val="nil"/>
        </w:rPr>
        <w:t>•</w:t>
      </w:r>
      <w:r w:rsidRPr="00E525EA">
        <w:rPr>
          <w:noProof/>
        </w:rPr>
        <w:tab/>
      </w:r>
      <w:r w:rsidRPr="00E525EA">
        <w:rPr>
          <w:noProof/>
          <w:u w:color="000000"/>
          <w:bdr w:val="nil"/>
        </w:rPr>
        <w:t>Pleananna cur chun feidhme, agus socruithe faireacháin, meastóireachta agus tuairiscithe</w:t>
      </w:r>
    </w:p>
    <w:p w:rsidR="0032483A" w:rsidRPr="00E525EA" w:rsidRDefault="0032483A" w:rsidP="0032483A">
      <w:pPr>
        <w:pBdr>
          <w:top w:val="nil"/>
          <w:left w:val="nil"/>
          <w:bottom w:val="nil"/>
          <w:right w:val="nil"/>
          <w:between w:val="nil"/>
          <w:bar w:val="nil"/>
        </w:pBdr>
        <w:spacing w:before="0" w:after="240"/>
        <w:rPr>
          <w:rFonts w:eastAsia="Arial Unicode MS"/>
          <w:noProof/>
        </w:rPr>
      </w:pPr>
      <w:r w:rsidRPr="00E525EA">
        <w:rPr>
          <w:noProof/>
        </w:rPr>
        <w:t xml:space="preserve">Níl aon ghá le plean cur chun feidhme. Baineann an togra seo le húdarú maidir le laghdú cánach le haghaidh Ballstát aonair ar a iarraidh féin. Soláthraítear é le haghaidh tréimhse theoranta 4 bliana. Beidh an ráta cánach a mbeidh feidhm aige níos airde ná an </w:t>
      </w:r>
      <w:r w:rsidR="00827ABC">
        <w:rPr>
          <w:noProof/>
        </w:rPr>
        <w:t>t</w:t>
      </w:r>
      <w:r w:rsidR="00827ABC">
        <w:rPr>
          <w:noProof/>
        </w:rPr>
        <w:noBreakHyphen/>
      </w:r>
      <w:r w:rsidRPr="00E525EA">
        <w:rPr>
          <w:noProof/>
        </w:rPr>
        <w:t>íosleibhéal cánachais a leagtar amach leis an Treoir maidir le Cánachas Fuinnimh. Is féidir meastóireacht a dhéanamh ar an mbeart i gcás iarraidh ar athnuachan tar éis dhul in éag na tréimhse 4 bliana.</w:t>
      </w:r>
    </w:p>
    <w:p w:rsidR="0032483A" w:rsidRPr="00E525EA" w:rsidRDefault="0032483A" w:rsidP="0032483A">
      <w:pPr>
        <w:pStyle w:val="ManualHeading2"/>
        <w:rPr>
          <w:rFonts w:eastAsia="Arial Unicode MS"/>
          <w:noProof/>
          <w:u w:color="000000"/>
          <w:bdr w:val="nil"/>
        </w:rPr>
      </w:pPr>
      <w:r w:rsidRPr="00E525EA">
        <w:rPr>
          <w:noProof/>
          <w:u w:color="000000"/>
          <w:bdr w:val="nil"/>
        </w:rPr>
        <w:t>Achoimre ar na bearta atá molta</w:t>
      </w:r>
    </w:p>
    <w:p w:rsidR="0032483A" w:rsidRPr="00E525EA" w:rsidRDefault="0032483A" w:rsidP="0032483A">
      <w:pPr>
        <w:rPr>
          <w:noProof/>
        </w:rPr>
      </w:pPr>
      <w:r w:rsidRPr="00E525EA">
        <w:rPr>
          <w:noProof/>
        </w:rPr>
        <w:t>Tá sé beartaithe ag an gCoimisiún laghdú cánach EUR 10 in aghaidh gach 1 000 l a údarú go dtí an 31 Nollaig 2028, rud a ligfidh don Fhrainc ráta laghdaithe cánachais a chur i bhfeidhm maidir le peitreal gan luaidhe a úsáidtear mar bhreosla mótair agus a ídítear i ranna na Corsaice.</w:t>
      </w:r>
    </w:p>
    <w:p w:rsidR="0032483A" w:rsidRPr="00E525EA" w:rsidRDefault="0032483A" w:rsidP="0028059E">
      <w:pPr>
        <w:rPr>
          <w:noProof/>
        </w:rPr>
        <w:sectPr w:rsidR="0032483A" w:rsidRPr="00E525EA" w:rsidSect="00EF6E75">
          <w:headerReference w:type="even" r:id="rId14"/>
          <w:footerReference w:type="even" r:id="rId15"/>
          <w:footerReference w:type="default" r:id="rId16"/>
          <w:headerReference w:type="first" r:id="rId17"/>
          <w:footerReference w:type="first" r:id="rId18"/>
          <w:pgSz w:w="11907" w:h="16839"/>
          <w:pgMar w:top="1134" w:right="1417" w:bottom="1134" w:left="1417" w:header="709" w:footer="709" w:gutter="0"/>
          <w:cols w:space="708"/>
          <w:docGrid w:linePitch="360"/>
        </w:sectPr>
      </w:pPr>
    </w:p>
    <w:p w:rsidR="00E41861" w:rsidRDefault="00556859">
      <w:pPr>
        <w:pStyle w:val="Rfrenceinterinstitutionnelle"/>
        <w:rPr>
          <w:noProof/>
        </w:rPr>
      </w:pPr>
      <w:r>
        <w:rPr>
          <w:noProof/>
        </w:rPr>
        <w:t>2025/0029 (NLE)</w:t>
      </w:r>
    </w:p>
    <w:p w:rsidR="0032483A" w:rsidRPr="00E525EA" w:rsidRDefault="00827ABC" w:rsidP="00827ABC">
      <w:pPr>
        <w:pStyle w:val="Statut"/>
        <w:rPr>
          <w:noProof/>
        </w:rPr>
      </w:pPr>
      <w:r w:rsidRPr="00827ABC">
        <w:rPr>
          <w:noProof/>
        </w:rPr>
        <w:t>Togra le haghaidh</w:t>
      </w:r>
    </w:p>
    <w:p w:rsidR="0032483A" w:rsidRPr="00E525EA" w:rsidRDefault="00827ABC" w:rsidP="00827ABC">
      <w:pPr>
        <w:pStyle w:val="Typedudocument"/>
        <w:rPr>
          <w:noProof/>
        </w:rPr>
      </w:pPr>
      <w:r w:rsidRPr="00827ABC">
        <w:rPr>
          <w:noProof/>
        </w:rPr>
        <w:t>CINNEADH CUR CHUN FEIDHME ÓN gCOMHAIRLE</w:t>
      </w:r>
    </w:p>
    <w:p w:rsidR="0032483A" w:rsidRPr="00E525EA" w:rsidRDefault="00827ABC" w:rsidP="00827ABC">
      <w:pPr>
        <w:pStyle w:val="Titreobjet"/>
        <w:rPr>
          <w:noProof/>
        </w:rPr>
      </w:pPr>
      <w:r w:rsidRPr="00827ABC">
        <w:rPr>
          <w:noProof/>
        </w:rPr>
        <w:t xml:space="preserve">lena </w:t>
      </w:r>
      <w:r>
        <w:rPr>
          <w:noProof/>
        </w:rPr>
        <w:t>n</w:t>
      </w:r>
      <w:r>
        <w:rPr>
          <w:noProof/>
        </w:rPr>
        <w:noBreakHyphen/>
      </w:r>
      <w:r w:rsidRPr="00827ABC">
        <w:rPr>
          <w:noProof/>
        </w:rPr>
        <w:t>údaraítear don Fhrainc ráta laghdaithe cánachais a chur i bhfeidhm maidir le peitreal gan luaidhe a úsáidtear mar bhreosla mótair agus a ídítear i ranna na Corsaice i gcomhréir le hAirteagal 19 de Threoir 2003/96/CE</w:t>
      </w:r>
    </w:p>
    <w:p w:rsidR="0032483A" w:rsidRPr="00E525EA" w:rsidRDefault="0032483A" w:rsidP="007F0409">
      <w:pPr>
        <w:pStyle w:val="Institutionquiagit"/>
        <w:rPr>
          <w:noProof/>
        </w:rPr>
      </w:pPr>
      <w:r w:rsidRPr="00E525EA">
        <w:rPr>
          <w:noProof/>
        </w:rPr>
        <w:t>TÁ COMHAIRLE AN AONTAIS EORPAIGH,</w:t>
      </w:r>
    </w:p>
    <w:p w:rsidR="0032483A" w:rsidRPr="00E525EA" w:rsidRDefault="0032483A" w:rsidP="0032483A">
      <w:pPr>
        <w:rPr>
          <w:noProof/>
        </w:rPr>
      </w:pPr>
      <w:r w:rsidRPr="00E525EA">
        <w:rPr>
          <w:noProof/>
        </w:rPr>
        <w:t>Ag féachaint don Chonradh ar Fheidhmiú an Aontais Eorpaigh,</w:t>
      </w:r>
    </w:p>
    <w:p w:rsidR="0032483A" w:rsidRPr="00E525EA" w:rsidRDefault="0032483A" w:rsidP="0032483A">
      <w:pPr>
        <w:rPr>
          <w:noProof/>
        </w:rPr>
      </w:pPr>
      <w:r w:rsidRPr="00E525EA">
        <w:rPr>
          <w:noProof/>
        </w:rPr>
        <w:t>Ag féachaint do Threoir 2003/96/CE ón gComhairle an 27 Deireadh Fómhair 2003 lena ndéantar athstruchtúrú ar chreat an Comhphobail maidir le cánachas ar tháirgí fuinnimh agus ar leictreachas</w:t>
      </w:r>
      <w:r w:rsidRPr="00E525EA">
        <w:rPr>
          <w:rStyle w:val="FootnoteReference"/>
          <w:noProof/>
        </w:rPr>
        <w:footnoteReference w:id="3"/>
      </w:r>
      <w:r w:rsidRPr="00E525EA">
        <w:rPr>
          <w:noProof/>
        </w:rPr>
        <w:t>, agus go háirithe Airteagal 19(1) de,</w:t>
      </w:r>
    </w:p>
    <w:p w:rsidR="0032483A" w:rsidRPr="00E525EA" w:rsidRDefault="0032483A" w:rsidP="0032483A">
      <w:pPr>
        <w:rPr>
          <w:noProof/>
        </w:rPr>
      </w:pPr>
      <w:r w:rsidRPr="00E525EA">
        <w:rPr>
          <w:noProof/>
        </w:rPr>
        <w:t>Ag féachaint don togra ón gCoimisiún Eorpach,</w:t>
      </w:r>
    </w:p>
    <w:p w:rsidR="0032483A" w:rsidRPr="00E525EA" w:rsidRDefault="0032483A" w:rsidP="0032483A">
      <w:pPr>
        <w:rPr>
          <w:noProof/>
        </w:rPr>
      </w:pPr>
      <w:r w:rsidRPr="00E525EA">
        <w:rPr>
          <w:noProof/>
        </w:rPr>
        <w:t>De bharr an mhéid seo a leanas:</w:t>
      </w:r>
    </w:p>
    <w:p w:rsidR="0031397F" w:rsidRPr="00E525EA" w:rsidRDefault="00053C14" w:rsidP="00053C14">
      <w:pPr>
        <w:pStyle w:val="ManualConsidrant"/>
        <w:rPr>
          <w:noProof/>
        </w:rPr>
      </w:pPr>
      <w:r w:rsidRPr="00053C14">
        <w:rPr>
          <w:noProof/>
        </w:rPr>
        <w:t>(1)</w:t>
      </w:r>
      <w:r w:rsidRPr="00053C14">
        <w:rPr>
          <w:noProof/>
        </w:rPr>
        <w:tab/>
      </w:r>
      <w:r w:rsidR="0032483A" w:rsidRPr="00E525EA">
        <w:rPr>
          <w:noProof/>
        </w:rPr>
        <w:t>Le Cinneadh 2007/880/CE</w:t>
      </w:r>
      <w:r w:rsidR="0032483A" w:rsidRPr="00E525EA">
        <w:rPr>
          <w:rStyle w:val="FootnoteReference"/>
          <w:noProof/>
        </w:rPr>
        <w:footnoteReference w:id="4"/>
      </w:r>
      <w:r w:rsidR="0032483A" w:rsidRPr="00E525EA">
        <w:rPr>
          <w:noProof/>
        </w:rPr>
        <w:t xml:space="preserve"> agus Cinntí Cur Chun Feidhme 2013/192/AE</w:t>
      </w:r>
      <w:r w:rsidR="0032483A" w:rsidRPr="00E525EA">
        <w:rPr>
          <w:rStyle w:val="FootnoteReference"/>
          <w:noProof/>
        </w:rPr>
        <w:footnoteReference w:id="5"/>
      </w:r>
      <w:r w:rsidR="0032483A" w:rsidRPr="00E525EA">
        <w:rPr>
          <w:noProof/>
        </w:rPr>
        <w:t xml:space="preserve"> agus 2019/372/AE</w:t>
      </w:r>
      <w:r w:rsidR="0032483A" w:rsidRPr="00E525EA">
        <w:rPr>
          <w:rStyle w:val="FootnoteReference"/>
          <w:noProof/>
        </w:rPr>
        <w:footnoteReference w:id="6"/>
      </w:r>
      <w:r w:rsidR="0032483A" w:rsidRPr="00E525EA">
        <w:rPr>
          <w:noProof/>
        </w:rPr>
        <w:t xml:space="preserve"> ón gComhairle, údaraíodh don Fhrainc ráta laghdaithe cánachais a chur i bhfeidhm maidir le peitreal gan luaidhe a úsáidtear mar bhreosla mótair agus a ídítear i ranna na Corsaice i gcomhréir le hAirteagal 19 de Threoir 2003/96/CE.</w:t>
      </w:r>
    </w:p>
    <w:p w:rsidR="0031397F" w:rsidRPr="00E525EA" w:rsidRDefault="00053C14" w:rsidP="00053C14">
      <w:pPr>
        <w:pStyle w:val="ManualConsidrant"/>
        <w:rPr>
          <w:noProof/>
        </w:rPr>
      </w:pPr>
      <w:r w:rsidRPr="00053C14">
        <w:rPr>
          <w:noProof/>
        </w:rPr>
        <w:t>(2)</w:t>
      </w:r>
      <w:r w:rsidRPr="00053C14">
        <w:rPr>
          <w:noProof/>
        </w:rPr>
        <w:tab/>
      </w:r>
      <w:r w:rsidR="0032483A" w:rsidRPr="00E525EA">
        <w:rPr>
          <w:noProof/>
        </w:rPr>
        <w:t xml:space="preserve">Le litir dar dáta an 31 Deireadh Fómhair 2024, d’iarr an Fhrainc údarú chun ráta laghdaithe cánach fuinnimh a chur i bhfeidhm maidir le peitreal gan luaidhe a úsáidtear mar bhreosla mótair trí shíneadh a chur le cleachtas a leantar faoi Chinneadh 2007/880/CE agus faoi Chinntí Cur Chun Feidhme 2013/192/AE agus 2019/372/AE. Is é EUR 1 in aghaidh an heictilítir an laghdú. Iarradh an </w:t>
      </w:r>
      <w:r w:rsidR="00827ABC">
        <w:rPr>
          <w:noProof/>
        </w:rPr>
        <w:t>t</w:t>
      </w:r>
      <w:r w:rsidR="00827ABC">
        <w:rPr>
          <w:noProof/>
        </w:rPr>
        <w:noBreakHyphen/>
      </w:r>
      <w:r w:rsidR="0032483A" w:rsidRPr="00E525EA">
        <w:rPr>
          <w:noProof/>
        </w:rPr>
        <w:t>údarú ar feadh tréimhse ón 1 Eanáir 2025 go dtí an 31 Nollaig 2028. Sa Chorsaic, tá an costas a bhaineann le peitreal gan luaidhe a sholáthar don réamhchúirt i bhfad níos airde ná mar atá i mórthír na Fraince, agus tá na praghsanna deiridh os cionn EUR 0,10 in aghaidh an lítir níos airde ná na praghsanna deiridh ar an mórthír.</w:t>
      </w:r>
    </w:p>
    <w:p w:rsidR="0031397F" w:rsidRPr="00E525EA" w:rsidRDefault="00053C14" w:rsidP="00053C14">
      <w:pPr>
        <w:pStyle w:val="ManualConsidrant"/>
        <w:rPr>
          <w:noProof/>
        </w:rPr>
      </w:pPr>
      <w:r w:rsidRPr="00053C14">
        <w:rPr>
          <w:noProof/>
        </w:rPr>
        <w:t>(3)</w:t>
      </w:r>
      <w:r w:rsidRPr="00053C14">
        <w:rPr>
          <w:noProof/>
        </w:rPr>
        <w:tab/>
      </w:r>
      <w:r w:rsidR="0032483A" w:rsidRPr="00E525EA">
        <w:rPr>
          <w:noProof/>
        </w:rPr>
        <w:t>Tríd an gcáin ar pheitreal gan luaidhe a iompraíonn tomhaltóirí sa Chorsaic a laghdú, cuirfear na tomhaltóirí lena mbaineann ar bhonn níos cothroime leo siúd ar an mórthír. Dá bhrí sin, comhlíontar leis an mbeart cuspóirí de chuid an bheartais réigiúnaigh agus comhtháthaithe.</w:t>
      </w:r>
    </w:p>
    <w:p w:rsidR="0031397F" w:rsidRPr="00E525EA" w:rsidRDefault="00053C14" w:rsidP="00053C14">
      <w:pPr>
        <w:pStyle w:val="ManualConsidrant"/>
        <w:rPr>
          <w:noProof/>
        </w:rPr>
      </w:pPr>
      <w:r w:rsidRPr="00053C14">
        <w:rPr>
          <w:noProof/>
        </w:rPr>
        <w:t>(4)</w:t>
      </w:r>
      <w:r w:rsidRPr="00053C14">
        <w:rPr>
          <w:noProof/>
        </w:rPr>
        <w:tab/>
      </w:r>
      <w:r w:rsidR="0032483A" w:rsidRPr="00E525EA">
        <w:rPr>
          <w:noProof/>
        </w:rPr>
        <w:t>Níl an laghdú cánach níos mó ná an méid is gá chun foráil a dhéanamh maidir leis na costais bhreise iompair agus dáileacháin a íocann tomhaltóirí sa Chorsaic.</w:t>
      </w:r>
    </w:p>
    <w:p w:rsidR="0031397F" w:rsidRPr="00E525EA" w:rsidRDefault="00053C14" w:rsidP="00053C14">
      <w:pPr>
        <w:pStyle w:val="ManualConsidrant"/>
        <w:rPr>
          <w:noProof/>
        </w:rPr>
      </w:pPr>
      <w:r w:rsidRPr="00053C14">
        <w:rPr>
          <w:noProof/>
        </w:rPr>
        <w:t>(5)</w:t>
      </w:r>
      <w:r w:rsidRPr="00053C14">
        <w:rPr>
          <w:noProof/>
        </w:rPr>
        <w:tab/>
      </w:r>
      <w:r w:rsidR="0032483A" w:rsidRPr="00E525EA">
        <w:rPr>
          <w:noProof/>
        </w:rPr>
        <w:t>Comhlíonann an leibhéal deiridh cánachais na híosrátaí a leagtar síos i dTreoir 2003/96/CE, arb é atá ann faoi láthair EUR 359 in aghaidh gach 1 000 lítear (nó EUR 35,90 in aghaidh an heictilítir).</w:t>
      </w:r>
    </w:p>
    <w:p w:rsidR="0031397F" w:rsidRPr="00E525EA" w:rsidRDefault="00053C14" w:rsidP="00053C14">
      <w:pPr>
        <w:pStyle w:val="ManualConsidrant"/>
        <w:rPr>
          <w:noProof/>
        </w:rPr>
      </w:pPr>
      <w:r w:rsidRPr="00053C14">
        <w:rPr>
          <w:noProof/>
        </w:rPr>
        <w:t>(6)</w:t>
      </w:r>
      <w:r w:rsidRPr="00053C14">
        <w:rPr>
          <w:noProof/>
        </w:rPr>
        <w:tab/>
      </w:r>
      <w:r w:rsidR="0032483A" w:rsidRPr="00E525EA">
        <w:rPr>
          <w:noProof/>
        </w:rPr>
        <w:t>I bhfianaise chineál iargúlta agus oileánach na ranna a bhfuil feidhm ag an leibhéal deiridh cánachais maidir leo agus an laghdaithe mheasartha ar an ráta — atá, thairis sin, a</w:t>
      </w:r>
      <w:r w:rsidR="00827ABC">
        <w:rPr>
          <w:noProof/>
        </w:rPr>
        <w:t>n</w:t>
      </w:r>
      <w:r w:rsidR="00827ABC">
        <w:rPr>
          <w:noProof/>
        </w:rPr>
        <w:noBreakHyphen/>
      </w:r>
      <w:r w:rsidR="0032483A" w:rsidRPr="00E525EA">
        <w:rPr>
          <w:noProof/>
        </w:rPr>
        <w:t>ard i gcomparáid leis an íosleibhéal a leagtar amach i dTreoir 2003/96/CE — ní bheidh aon ghluaiseacht a bhaineann go sonrach le soláthar breosla mar thoradh ar an mbeart a iarrtar.</w:t>
      </w:r>
    </w:p>
    <w:p w:rsidR="0031397F" w:rsidRPr="00E525EA" w:rsidRDefault="00053C14" w:rsidP="00053C14">
      <w:pPr>
        <w:pStyle w:val="ManualConsidrant"/>
        <w:rPr>
          <w:noProof/>
        </w:rPr>
      </w:pPr>
      <w:r w:rsidRPr="00053C14">
        <w:rPr>
          <w:noProof/>
        </w:rPr>
        <w:t>(7)</w:t>
      </w:r>
      <w:r w:rsidRPr="00053C14">
        <w:rPr>
          <w:noProof/>
        </w:rPr>
        <w:tab/>
      </w:r>
      <w:r w:rsidR="0032483A" w:rsidRPr="00E525EA">
        <w:rPr>
          <w:noProof/>
        </w:rPr>
        <w:t>Dá bhrí sin, tá an beart inghlactha ó thaobh fheidhmiú cuí an mhargaidh inmheánaigh de agus ó thaobh an ghá iomaíocht chóir a áirithiú agus níl sé ar neamhréir le beartais sláinte, chomhshaoil, fuinnimh ná iompair an Aontais.</w:t>
      </w:r>
    </w:p>
    <w:p w:rsidR="0031397F" w:rsidRPr="00E525EA" w:rsidRDefault="00053C14" w:rsidP="00053C14">
      <w:pPr>
        <w:pStyle w:val="ManualConsidrant"/>
        <w:rPr>
          <w:noProof/>
        </w:rPr>
      </w:pPr>
      <w:r w:rsidRPr="00053C14">
        <w:rPr>
          <w:noProof/>
        </w:rPr>
        <w:t>(8)</w:t>
      </w:r>
      <w:r w:rsidRPr="00053C14">
        <w:rPr>
          <w:noProof/>
        </w:rPr>
        <w:tab/>
      </w:r>
      <w:r w:rsidR="0032483A" w:rsidRPr="00E525EA">
        <w:rPr>
          <w:noProof/>
        </w:rPr>
        <w:t xml:space="preserve">Ba cheart, dá bhrí sin, an Fhrainc a údarú, de bhun Airteagal 19(2) de Threoir 2003/96/CE, ráta laghdaithe cánachais a chur i bhfeidhm maidir le peitreal gan luaidhe a úsáidtear mar bhreosla mótair agus a ídítear sa Chorsaic. </w:t>
      </w:r>
    </w:p>
    <w:p w:rsidR="000D4531" w:rsidRPr="00E525EA" w:rsidRDefault="00053C14" w:rsidP="00053C14">
      <w:pPr>
        <w:pStyle w:val="ManualConsidrant"/>
        <w:rPr>
          <w:noProof/>
        </w:rPr>
      </w:pPr>
      <w:r w:rsidRPr="00053C14">
        <w:rPr>
          <w:noProof/>
        </w:rPr>
        <w:t>(9)</w:t>
      </w:r>
      <w:r w:rsidRPr="00053C14">
        <w:rPr>
          <w:noProof/>
        </w:rPr>
        <w:tab/>
      </w:r>
      <w:r w:rsidR="009F20B0" w:rsidRPr="00E525EA">
        <w:rPr>
          <w:noProof/>
        </w:rPr>
        <w:t xml:space="preserve">Ba cheart a áirithiú gur féidir leis an bhFrainc an laghdú sonrach lena mbaineann an Cinneadh seo a chur i bhfeidhm ón 1 Eanáir 2025, á leanúint gan uaim ó na réamhshocruithe faoi Chinneadh Cur Chun Feidhme (AE) 2019/372/AE. Ba cheart, dá bhrí sin, an </w:t>
      </w:r>
      <w:r w:rsidR="00827ABC">
        <w:rPr>
          <w:noProof/>
        </w:rPr>
        <w:t>t</w:t>
      </w:r>
      <w:r w:rsidR="00827ABC">
        <w:rPr>
          <w:noProof/>
        </w:rPr>
        <w:noBreakHyphen/>
      </w:r>
      <w:r w:rsidR="009F20B0" w:rsidRPr="00E525EA">
        <w:rPr>
          <w:noProof/>
        </w:rPr>
        <w:t>údarú a iarradh a dheonú le héifeacht ón 1 Eanáir 2025.</w:t>
      </w:r>
    </w:p>
    <w:p w:rsidR="0031397F" w:rsidRPr="00E525EA" w:rsidRDefault="00053C14" w:rsidP="00053C14">
      <w:pPr>
        <w:pStyle w:val="ManualConsidrant"/>
        <w:rPr>
          <w:noProof/>
        </w:rPr>
      </w:pPr>
      <w:r w:rsidRPr="00053C14">
        <w:rPr>
          <w:noProof/>
        </w:rPr>
        <w:t>(10)</w:t>
      </w:r>
      <w:r w:rsidRPr="00053C14">
        <w:rPr>
          <w:noProof/>
        </w:rPr>
        <w:tab/>
      </w:r>
      <w:r w:rsidR="0032483A" w:rsidRPr="00E525EA">
        <w:rPr>
          <w:noProof/>
        </w:rPr>
        <w:t>I gcomhréir le hAirteagal 19(2) de Threoir 2003/96/CE, tá gach údarú a dheonaítear faoin bhforáil sin le bheith teoranta go docht ó thaobh ama de.</w:t>
      </w:r>
    </w:p>
    <w:p w:rsidR="0031397F" w:rsidRPr="00E525EA" w:rsidRDefault="00053C14" w:rsidP="00053C14">
      <w:pPr>
        <w:pStyle w:val="ManualConsidrant"/>
        <w:rPr>
          <w:noProof/>
        </w:rPr>
      </w:pPr>
      <w:r w:rsidRPr="00053C14">
        <w:rPr>
          <w:noProof/>
        </w:rPr>
        <w:t>(11)</w:t>
      </w:r>
      <w:r w:rsidRPr="00053C14">
        <w:rPr>
          <w:noProof/>
        </w:rPr>
        <w:tab/>
      </w:r>
      <w:r w:rsidR="0032483A" w:rsidRPr="00E525EA">
        <w:rPr>
          <w:noProof/>
        </w:rPr>
        <w:t xml:space="preserve">Chun leibhéal leordhóthanach cinnteachta a áirithiú do na ranna lena mbaineann, ba cheart an </w:t>
      </w:r>
      <w:r w:rsidR="00827ABC">
        <w:rPr>
          <w:noProof/>
        </w:rPr>
        <w:t>t</w:t>
      </w:r>
      <w:r w:rsidR="00827ABC">
        <w:rPr>
          <w:noProof/>
        </w:rPr>
        <w:noBreakHyphen/>
      </w:r>
      <w:r w:rsidR="0032483A" w:rsidRPr="00E525EA">
        <w:rPr>
          <w:noProof/>
        </w:rPr>
        <w:t xml:space="preserve">údarú a dheonú ar feadh tréimhse 4 bliana. Mar sin féin, chun nach ndéanfar dochar d’fhorbairtí ginearálta a dhéanfar amach anseo ar an gcreat dlíthiúil atá ann cheana, is iomchuí a fhoráil, i gcás ina ndéanfadh an Chomhairle, ag gníomhú di ar bhonn Airteagal 113 den Chonradh ar Fheidhmiú an Aontais Eorpaigh, córas ginearálta a thabhairt isteach chun cáin a ghearradh ar tháirgí fuinnimh nach ndéanfaí an </w:t>
      </w:r>
      <w:r w:rsidR="00827ABC">
        <w:rPr>
          <w:noProof/>
        </w:rPr>
        <w:t>t</w:t>
      </w:r>
      <w:r w:rsidR="00827ABC">
        <w:rPr>
          <w:noProof/>
        </w:rPr>
        <w:noBreakHyphen/>
      </w:r>
      <w:r w:rsidR="0032483A" w:rsidRPr="00E525EA">
        <w:rPr>
          <w:noProof/>
        </w:rPr>
        <w:t>údarú a oiriúnú ina leith, gur cheart an Cinneadh sin a dhul in éag an lá a thiocfaidh an córas sin chun bheith infheidhme.</w:t>
      </w:r>
    </w:p>
    <w:p w:rsidR="00E11A99" w:rsidRPr="00E525EA" w:rsidRDefault="00053C14" w:rsidP="00053C14">
      <w:pPr>
        <w:pStyle w:val="ManualConsidrant"/>
        <w:rPr>
          <w:noProof/>
        </w:rPr>
      </w:pPr>
      <w:r w:rsidRPr="00053C14">
        <w:rPr>
          <w:noProof/>
        </w:rPr>
        <w:t>(12)</w:t>
      </w:r>
      <w:r w:rsidRPr="00053C14">
        <w:rPr>
          <w:noProof/>
        </w:rPr>
        <w:tab/>
      </w:r>
      <w:r w:rsidR="0032483A" w:rsidRPr="00E525EA">
        <w:rPr>
          <w:noProof/>
        </w:rPr>
        <w:t>Tá an Cinneadh seo gan dochar do chur i bhfeidhm rialacha an Aontais maidir leis an Státchabhair,</w:t>
      </w:r>
    </w:p>
    <w:p w:rsidR="0032483A" w:rsidRPr="00E525EA" w:rsidRDefault="00E11A99" w:rsidP="00E11A99">
      <w:pPr>
        <w:pStyle w:val="Formuledadoption"/>
        <w:rPr>
          <w:noProof/>
        </w:rPr>
      </w:pPr>
      <w:r w:rsidRPr="00E525EA">
        <w:rPr>
          <w:noProof/>
        </w:rPr>
        <w:t>TAR ÉIS AN CINNEADH SEO A GHLACADH:</w:t>
      </w:r>
    </w:p>
    <w:p w:rsidR="0032483A" w:rsidRPr="00E525EA" w:rsidRDefault="0032483A" w:rsidP="00E11A99">
      <w:pPr>
        <w:pStyle w:val="Titrearticle"/>
        <w:rPr>
          <w:noProof/>
        </w:rPr>
      </w:pPr>
      <w:r w:rsidRPr="00E525EA">
        <w:rPr>
          <w:noProof/>
        </w:rPr>
        <w:t>Airteagal 1</w:t>
      </w:r>
    </w:p>
    <w:p w:rsidR="0032483A" w:rsidRPr="00E525EA" w:rsidRDefault="0032483A" w:rsidP="0032483A">
      <w:pPr>
        <w:keepNext/>
        <w:keepLines/>
        <w:rPr>
          <w:noProof/>
          <w:color w:val="000000"/>
        </w:rPr>
      </w:pPr>
      <w:r w:rsidRPr="00E525EA">
        <w:rPr>
          <w:noProof/>
          <w:color w:val="000000"/>
        </w:rPr>
        <w:t>Údaraítear leis seo don Fhrainc laghdú ar an ráta cánachais nach mó ná EUR 1 in aghaidh an heictilítir a chur i bhfeidhm maidir le peitreal gan luaidhe a úsáidtear mar bhreosla mótair agus a ídítear i ranna na Corsaice.</w:t>
      </w:r>
    </w:p>
    <w:p w:rsidR="0032483A" w:rsidRPr="00E525EA" w:rsidRDefault="0032483A" w:rsidP="0032483A">
      <w:pPr>
        <w:keepNext/>
        <w:keepLines/>
        <w:rPr>
          <w:noProof/>
          <w:color w:val="000000"/>
        </w:rPr>
      </w:pPr>
      <w:r w:rsidRPr="00E525EA">
        <w:rPr>
          <w:noProof/>
          <w:color w:val="000000"/>
        </w:rPr>
        <w:t>Chun aon róchúiteamh a sheachaint, ní rachaidh an laghdú thar na costais bhreise a bhaineann le hiompar, stóráil agus dáileadh a iompraítear i ranna na Corsaice i gcomparáid le mórthír na Fraince.</w:t>
      </w:r>
    </w:p>
    <w:p w:rsidR="0032483A" w:rsidRPr="00E525EA" w:rsidRDefault="0032483A" w:rsidP="0032483A">
      <w:pPr>
        <w:keepNext/>
        <w:keepLines/>
        <w:rPr>
          <w:noProof/>
          <w:color w:val="000000"/>
        </w:rPr>
      </w:pPr>
      <w:r w:rsidRPr="00E525EA">
        <w:rPr>
          <w:noProof/>
          <w:color w:val="000000"/>
        </w:rPr>
        <w:t>Comhlíonfaidh an ráta laghdaithe na hoibleagáidí a leagtar amach i dTreoir 2003/96/CE, go háirithe na híosrátaí dá dtagraítear in Airteagal 7 di.</w:t>
      </w:r>
    </w:p>
    <w:p w:rsidR="0032483A" w:rsidRPr="00E525EA" w:rsidRDefault="0032483A" w:rsidP="001B5C02">
      <w:pPr>
        <w:pStyle w:val="Titrearticle"/>
        <w:rPr>
          <w:noProof/>
        </w:rPr>
      </w:pPr>
      <w:r w:rsidRPr="00E525EA">
        <w:rPr>
          <w:noProof/>
        </w:rPr>
        <w:t xml:space="preserve">Airteagal </w:t>
      </w:r>
      <w:bookmarkStart w:id="2" w:name="_Hlk126129799"/>
      <w:r w:rsidRPr="00E525EA">
        <w:rPr>
          <w:noProof/>
        </w:rPr>
        <w:t>2</w:t>
      </w:r>
    </w:p>
    <w:p w:rsidR="0032483A" w:rsidRPr="00E525EA" w:rsidRDefault="0032483A" w:rsidP="0032483A">
      <w:pPr>
        <w:keepNext/>
        <w:keepLines/>
        <w:rPr>
          <w:noProof/>
          <w:color w:val="000000"/>
        </w:rPr>
      </w:pPr>
      <w:r w:rsidRPr="00E525EA">
        <w:rPr>
          <w:noProof/>
          <w:color w:val="000000"/>
        </w:rPr>
        <w:t>Tiocfaidh an Cinneadh seo i bhfeidhm an dáta a thabharfar fógra faoi.</w:t>
      </w:r>
    </w:p>
    <w:p w:rsidR="0032483A" w:rsidRPr="00E525EA" w:rsidRDefault="0032483A" w:rsidP="0032483A">
      <w:pPr>
        <w:keepNext/>
        <w:keepLines/>
        <w:rPr>
          <w:noProof/>
          <w:color w:val="000000"/>
        </w:rPr>
      </w:pPr>
      <w:r w:rsidRPr="00E525EA">
        <w:rPr>
          <w:noProof/>
          <w:color w:val="000000"/>
        </w:rPr>
        <w:t>Beidh feidhm aige ón 1 Eanáir 2025.</w:t>
      </w:r>
    </w:p>
    <w:p w:rsidR="0032483A" w:rsidRPr="00E525EA" w:rsidRDefault="0032483A" w:rsidP="0032483A">
      <w:pPr>
        <w:keepNext/>
        <w:keepLines/>
        <w:rPr>
          <w:noProof/>
        </w:rPr>
      </w:pPr>
      <w:r w:rsidRPr="00E525EA">
        <w:rPr>
          <w:noProof/>
        </w:rPr>
        <w:t>Rachaidh an Cinneadh seo in éag an 31 Nollaig 2028.</w:t>
      </w:r>
    </w:p>
    <w:p w:rsidR="0032483A" w:rsidRPr="00E525EA" w:rsidRDefault="0032483A" w:rsidP="0032483A">
      <w:pPr>
        <w:keepNext/>
        <w:keepLines/>
        <w:rPr>
          <w:noProof/>
          <w:color w:val="000000"/>
        </w:rPr>
      </w:pPr>
      <w:r w:rsidRPr="00E525EA">
        <w:rPr>
          <w:noProof/>
          <w:color w:val="000000"/>
        </w:rPr>
        <w:t xml:space="preserve">Mar sin féin, dá ndéanfadh an Chomhairle, ag gníomhú di ar bhonn Airteagal 113 den Chonradh ar Fheidhmiú an Aontais Eorpaigh, córas ginearálta a thabhairt isteach lena ngearrfaí cáin ar tháirgí fuinnimh nach ndéanfaí an </w:t>
      </w:r>
      <w:r w:rsidR="00827ABC">
        <w:rPr>
          <w:noProof/>
          <w:color w:val="000000"/>
        </w:rPr>
        <w:t>t</w:t>
      </w:r>
      <w:r w:rsidR="00827ABC">
        <w:rPr>
          <w:noProof/>
          <w:color w:val="000000"/>
        </w:rPr>
        <w:noBreakHyphen/>
      </w:r>
      <w:r w:rsidRPr="00E525EA">
        <w:rPr>
          <w:noProof/>
          <w:color w:val="000000"/>
        </w:rPr>
        <w:t>údarú a deonaíodh in Airteagal 1 den Chinneadh seo a oiriúnú ina leith, rachadh an Cinneadh seo in éag an lá a thiocfaidh an córas sin chun bheith infheidhme.</w:t>
      </w:r>
    </w:p>
    <w:bookmarkEnd w:id="2"/>
    <w:p w:rsidR="0032483A" w:rsidRPr="00E525EA" w:rsidRDefault="0032483A" w:rsidP="00AE7C20">
      <w:pPr>
        <w:pStyle w:val="Titrearticle"/>
        <w:rPr>
          <w:noProof/>
        </w:rPr>
      </w:pPr>
      <w:r w:rsidRPr="00E525EA">
        <w:rPr>
          <w:noProof/>
        </w:rPr>
        <w:t>Airteagal 3</w:t>
      </w:r>
    </w:p>
    <w:p w:rsidR="0032483A" w:rsidRPr="00E525EA" w:rsidRDefault="0032483A" w:rsidP="0032483A">
      <w:pPr>
        <w:keepNext/>
        <w:keepLines/>
        <w:rPr>
          <w:noProof/>
        </w:rPr>
      </w:pPr>
      <w:r w:rsidRPr="00E525EA">
        <w:rPr>
          <w:noProof/>
          <w:color w:val="000000"/>
        </w:rPr>
        <w:t>Is chuig Poblacht na Fraince a dhírítear an Cinneadh seo.</w:t>
      </w:r>
    </w:p>
    <w:p w:rsidR="00780D1F" w:rsidRPr="00E525EA" w:rsidRDefault="00827ABC" w:rsidP="00AE7C20">
      <w:pPr>
        <w:pStyle w:val="Fait"/>
        <w:rPr>
          <w:noProof/>
        </w:rPr>
      </w:pPr>
      <w:r>
        <w:rPr>
          <w:noProof/>
        </w:rPr>
        <w:t>Arna dhéanamh sa Bhruiséil,</w:t>
      </w:r>
    </w:p>
    <w:p w:rsidR="0032483A" w:rsidRPr="00E525EA" w:rsidRDefault="0032483A" w:rsidP="00AE7C20">
      <w:pPr>
        <w:pStyle w:val="Institutionquisigne"/>
        <w:rPr>
          <w:noProof/>
        </w:rPr>
      </w:pPr>
      <w:r w:rsidRPr="00E525EA">
        <w:rPr>
          <w:noProof/>
        </w:rPr>
        <w:tab/>
        <w:t>Thar ceann na Comhairle</w:t>
      </w:r>
    </w:p>
    <w:p w:rsidR="0032483A" w:rsidRPr="00E525EA" w:rsidRDefault="0032483A" w:rsidP="001B5C02">
      <w:pPr>
        <w:pStyle w:val="Personnequisigne"/>
        <w:rPr>
          <w:noProof/>
        </w:rPr>
      </w:pPr>
      <w:r w:rsidRPr="00E525EA">
        <w:rPr>
          <w:noProof/>
        </w:rPr>
        <w:tab/>
        <w:t>An tUachtarán</w:t>
      </w:r>
    </w:p>
    <w:sectPr w:rsidR="0032483A" w:rsidRPr="00E525EA" w:rsidSect="00EF6E75">
      <w:footnotePr>
        <w:numRestart w:val="eachSect"/>
      </w:footnotePr>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64A6" w:rsidRDefault="003364A6" w:rsidP="0032483A">
      <w:pPr>
        <w:spacing w:before="0" w:after="0"/>
      </w:pPr>
      <w:r>
        <w:separator/>
      </w:r>
    </w:p>
  </w:endnote>
  <w:endnote w:type="continuationSeparator" w:id="0">
    <w:p w:rsidR="003364A6" w:rsidRDefault="003364A6" w:rsidP="0032483A">
      <w:pPr>
        <w:spacing w:before="0" w:after="0"/>
      </w:pPr>
      <w:r>
        <w:continuationSeparator/>
      </w:r>
    </w:p>
  </w:endnote>
  <w:endnote w:type="continuationNotice" w:id="1">
    <w:p w:rsidR="003364A6" w:rsidRDefault="003364A6">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E75" w:rsidRPr="00EF6E75" w:rsidRDefault="00EF6E75" w:rsidP="00EF6E75">
    <w:pPr>
      <w:pStyle w:val="Footer"/>
      <w:rPr>
        <w:rFonts w:ascii="Arial" w:hAnsi="Arial" w:cs="Arial"/>
        <w:b/>
        <w:sz w:val="48"/>
      </w:rPr>
    </w:pPr>
    <w:r w:rsidRPr="00EF6E75">
      <w:rPr>
        <w:rFonts w:ascii="Arial" w:hAnsi="Arial" w:cs="Arial"/>
        <w:b/>
        <w:sz w:val="48"/>
      </w:rPr>
      <w:t>GA</w:t>
    </w:r>
    <w:r w:rsidRPr="00EF6E75">
      <w:rPr>
        <w:rFonts w:ascii="Arial" w:hAnsi="Arial" w:cs="Arial"/>
        <w:b/>
        <w:sz w:val="48"/>
      </w:rPr>
      <w:tab/>
    </w:r>
    <w:r w:rsidRPr="00EF6E75">
      <w:rPr>
        <w:rFonts w:ascii="Arial" w:hAnsi="Arial" w:cs="Arial"/>
        <w:b/>
        <w:sz w:val="48"/>
      </w:rPr>
      <w:tab/>
    </w:r>
    <w:r w:rsidRPr="00EF6E75">
      <w:tab/>
    </w:r>
    <w:r w:rsidRPr="00EF6E75">
      <w:rPr>
        <w:rFonts w:ascii="Arial" w:hAnsi="Arial" w:cs="Arial"/>
        <w:b/>
        <w:sz w:val="48"/>
      </w:rPr>
      <w:t>GA</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E75" w:rsidRPr="00EF6E75" w:rsidRDefault="00EF6E75" w:rsidP="00EF6E75">
    <w:pPr>
      <w:pStyle w:val="Footer"/>
      <w:rPr>
        <w:rFonts w:ascii="Arial" w:hAnsi="Arial" w:cs="Arial"/>
        <w:b/>
        <w:sz w:val="48"/>
      </w:rPr>
    </w:pPr>
    <w:r w:rsidRPr="00EF6E75">
      <w:rPr>
        <w:rFonts w:ascii="Arial" w:hAnsi="Arial" w:cs="Arial"/>
        <w:b/>
        <w:sz w:val="48"/>
      </w:rPr>
      <w:t>GA</w:t>
    </w:r>
    <w:r w:rsidRPr="00EF6E75">
      <w:rPr>
        <w:rFonts w:ascii="Arial" w:hAnsi="Arial" w:cs="Arial"/>
        <w:b/>
        <w:sz w:val="48"/>
      </w:rPr>
      <w:tab/>
    </w:r>
    <w:r w:rsidRPr="00EF6E75">
      <w:rPr>
        <w:rFonts w:ascii="Arial" w:hAnsi="Arial" w:cs="Arial"/>
        <w:b/>
        <w:sz w:val="48"/>
      </w:rPr>
      <w:tab/>
    </w:r>
    <w:r w:rsidRPr="00EF6E75">
      <w:tab/>
    </w:r>
    <w:r w:rsidRPr="00EF6E75">
      <w:rPr>
        <w:rFonts w:ascii="Arial" w:hAnsi="Arial" w:cs="Arial"/>
        <w:b/>
        <w:sz w:val="48"/>
      </w:rPr>
      <w:t>GA</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E75" w:rsidRDefault="00EF6E7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E75" w:rsidRPr="00EF6E75" w:rsidRDefault="00EF6E75" w:rsidP="00EF6E75">
    <w:pPr>
      <w:pStyle w:val="Footer"/>
      <w:rPr>
        <w:rFonts w:ascii="Arial" w:hAnsi="Arial" w:cs="Arial"/>
        <w:b/>
        <w:sz w:val="48"/>
      </w:rPr>
    </w:pPr>
    <w:r w:rsidRPr="00EF6E75">
      <w:rPr>
        <w:rFonts w:ascii="Arial" w:hAnsi="Arial" w:cs="Arial"/>
        <w:b/>
        <w:sz w:val="48"/>
      </w:rPr>
      <w:t>GA</w:t>
    </w:r>
    <w:r w:rsidRPr="00EF6E75">
      <w:rPr>
        <w:rFonts w:ascii="Arial" w:hAnsi="Arial" w:cs="Arial"/>
        <w:b/>
        <w:sz w:val="48"/>
      </w:rPr>
      <w:tab/>
    </w:r>
    <w:r>
      <w:fldChar w:fldCharType="begin"/>
    </w:r>
    <w:r>
      <w:instrText xml:space="preserve"> PAGE  \* MERGEFORMAT </w:instrText>
    </w:r>
    <w:r>
      <w:fldChar w:fldCharType="separate"/>
    </w:r>
    <w:r w:rsidR="00AE7C20">
      <w:rPr>
        <w:noProof/>
      </w:rPr>
      <w:t>8</w:t>
    </w:r>
    <w:r>
      <w:fldChar w:fldCharType="end"/>
    </w:r>
    <w:r>
      <w:tab/>
    </w:r>
    <w:r w:rsidRPr="00EF6E75">
      <w:tab/>
    </w:r>
    <w:r w:rsidRPr="00EF6E75">
      <w:rPr>
        <w:rFonts w:ascii="Arial" w:hAnsi="Arial" w:cs="Arial"/>
        <w:b/>
        <w:sz w:val="48"/>
      </w:rPr>
      <w:t>GA</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E75" w:rsidRDefault="00EF6E75" w:rsidP="00EF6E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64A6" w:rsidRDefault="003364A6" w:rsidP="0032483A">
      <w:pPr>
        <w:spacing w:before="0" w:after="0"/>
      </w:pPr>
      <w:r>
        <w:separator/>
      </w:r>
    </w:p>
  </w:footnote>
  <w:footnote w:type="continuationSeparator" w:id="0">
    <w:p w:rsidR="003364A6" w:rsidRDefault="003364A6" w:rsidP="0032483A">
      <w:pPr>
        <w:spacing w:before="0" w:after="0"/>
      </w:pPr>
      <w:r>
        <w:continuationSeparator/>
      </w:r>
    </w:p>
  </w:footnote>
  <w:footnote w:type="continuationNotice" w:id="1">
    <w:p w:rsidR="003364A6" w:rsidRDefault="003364A6">
      <w:pPr>
        <w:spacing w:before="0" w:after="0"/>
      </w:pPr>
    </w:p>
  </w:footnote>
  <w:footnote w:id="2">
    <w:p w:rsidR="0032483A" w:rsidRPr="00B7024D" w:rsidRDefault="0032483A" w:rsidP="00316C95">
      <w:pPr>
        <w:shd w:val="clear" w:color="auto" w:fill="FFFFFF"/>
        <w:spacing w:before="0" w:after="0"/>
        <w:textAlignment w:val="baseline"/>
      </w:pPr>
      <w:r>
        <w:rPr>
          <w:rStyle w:val="FootnoteReference"/>
        </w:rPr>
        <w:footnoteRef/>
      </w:r>
      <w:r>
        <w:tab/>
      </w:r>
      <w:r>
        <w:rPr>
          <w:sz w:val="20"/>
        </w:rPr>
        <w:t>COM/2021/563 final: Togra le haghaidh TREOIR ÓN gCOMHAIRLE lena ndéantar athstruchtúrú ar chreat an Aontais le haghaidh cáin a ghearradh ar tháirgí fuinnimh agus ar leictreachas (athmhúnlú).</w:t>
      </w:r>
    </w:p>
  </w:footnote>
  <w:footnote w:id="3">
    <w:p w:rsidR="0032483A" w:rsidRPr="00780D1F" w:rsidRDefault="0032483A" w:rsidP="0032483A">
      <w:pPr>
        <w:pStyle w:val="FootnoteText"/>
      </w:pPr>
      <w:r>
        <w:rPr>
          <w:rStyle w:val="FootnoteReference"/>
        </w:rPr>
        <w:footnoteRef/>
      </w:r>
      <w:r>
        <w:tab/>
        <w:t xml:space="preserve">IO L 283, 31.10.2003, lch. 51, ELI: http://data.europa.eu/eli/dir/2003/96/oj. </w:t>
      </w:r>
    </w:p>
  </w:footnote>
  <w:footnote w:id="4">
    <w:p w:rsidR="0032483A" w:rsidRPr="004F74CE" w:rsidRDefault="0032483A" w:rsidP="0032483A">
      <w:pPr>
        <w:pStyle w:val="FootnoteText"/>
      </w:pPr>
      <w:r>
        <w:rPr>
          <w:rStyle w:val="FootnoteReference"/>
        </w:rPr>
        <w:footnoteRef/>
      </w:r>
      <w:r>
        <w:tab/>
        <w:t xml:space="preserve">Cinneadh 2007/880/CE ón gComhairle an 20 Nollaig 2007 lena </w:t>
      </w:r>
      <w:r w:rsidR="00827ABC">
        <w:t>n</w:t>
      </w:r>
      <w:r w:rsidR="00827ABC">
        <w:noBreakHyphen/>
      </w:r>
      <w:r>
        <w:t>údaraítear don Fhrainc ráta laghdaithe cánachais a chur i bhfeidhm maidir le peitreal gan luaidhe a úsáidtear mar bhreosla mótair agus a ídítear i ranna na Corsaice i gcomhréir le hAirteagal 19 de Threoir 2003/96/CE (IO L 346, 29.12.2007, lch. 15, ELI: http://data.europa.eu/eli/dec/2007/880/oj).</w:t>
      </w:r>
    </w:p>
  </w:footnote>
  <w:footnote w:id="5">
    <w:p w:rsidR="0032483A" w:rsidRPr="004F74CE" w:rsidRDefault="0032483A" w:rsidP="0032483A">
      <w:pPr>
        <w:pStyle w:val="FootnoteText"/>
      </w:pPr>
      <w:r>
        <w:rPr>
          <w:rStyle w:val="FootnoteReference"/>
        </w:rPr>
        <w:footnoteRef/>
      </w:r>
      <w:r>
        <w:tab/>
        <w:t xml:space="preserve">Cinneadh Cur Chun Feidhme 2013/192/AE ón gComhairle an 22 Aibreán 2013 lena </w:t>
      </w:r>
      <w:r w:rsidR="00827ABC">
        <w:t>n</w:t>
      </w:r>
      <w:r w:rsidR="00827ABC">
        <w:noBreakHyphen/>
      </w:r>
      <w:r>
        <w:t>údaraítear do Phoblacht na Fraince ráta laghdaithe cánachais a chur i bhfeidhm maidir le peitreal gan luaidhe a úsáidtear mar bhreosla mótair agus a ídítear i ranna na Corsaice i gcomhréir le hAirteagal 19 de Threoir 2003/96/CE (IO L 113, 25.4.2013, lch. 15, ELI: http://data.europa.eu/eli/dec/2007/880/oj).</w:t>
      </w:r>
    </w:p>
  </w:footnote>
  <w:footnote w:id="6">
    <w:p w:rsidR="0032483A" w:rsidRPr="001C637D" w:rsidRDefault="0032483A" w:rsidP="0032483A">
      <w:pPr>
        <w:pStyle w:val="FootnoteText"/>
      </w:pPr>
      <w:r>
        <w:rPr>
          <w:rStyle w:val="FootnoteReference"/>
        </w:rPr>
        <w:footnoteRef/>
      </w:r>
      <w:r>
        <w:tab/>
        <w:t xml:space="preserve">Cinneadh Cur Chun Feidhme (AE) 2019/372 ón gComhairle an 5 Márta 2019 lena </w:t>
      </w:r>
      <w:r w:rsidR="00827ABC">
        <w:t>n</w:t>
      </w:r>
      <w:r w:rsidR="00827ABC">
        <w:noBreakHyphen/>
      </w:r>
      <w:r>
        <w:t>údaraítear don Fhrainc ráta laghdaithe cánachais a chur i bhfeidhm maidir le peitreal gan luaidhe a úsáidtear mar bhreosla mótair agus a ídítear i ranna na Corsaice i gcomhréir le hAirteagal 19 de Threoir 2003/96/CE (IO L 68, 8.3.2019, lch. 5, ELI: http://data.europa.eu/eli/dec_impl/2019/372/oj).</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E75" w:rsidRDefault="00EF6E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E75" w:rsidRDefault="00EF6E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71EAA71A"/>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B426AA1A"/>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0BD406DE"/>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538C9B00"/>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7"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8"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9"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0"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1"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2"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3"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4"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5"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6"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18"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3"/>
  </w:num>
  <w:num w:numId="2">
    <w:abstractNumId w:val="2"/>
  </w:num>
  <w:num w:numId="3">
    <w:abstractNumId w:val="1"/>
  </w:num>
  <w:num w:numId="4">
    <w:abstractNumId w:val="0"/>
  </w:num>
  <w:num w:numId="5">
    <w:abstractNumId w:val="18"/>
    <w:lvlOverride w:ilvl="0">
      <w:startOverride w:val="1"/>
    </w:lvlOverride>
  </w:num>
  <w:num w:numId="6">
    <w:abstractNumId w:val="15"/>
  </w:num>
  <w:num w:numId="7">
    <w:abstractNumId w:val="8"/>
  </w:num>
  <w:num w:numId="8">
    <w:abstractNumId w:val="17"/>
  </w:num>
  <w:num w:numId="9">
    <w:abstractNumId w:val="7"/>
  </w:num>
  <w:num w:numId="10">
    <w:abstractNumId w:val="9"/>
  </w:num>
  <w:num w:numId="11">
    <w:abstractNumId w:val="10"/>
  </w:num>
  <w:num w:numId="12">
    <w:abstractNumId w:val="5"/>
  </w:num>
  <w:num w:numId="13">
    <w:abstractNumId w:val="16"/>
  </w:num>
  <w:num w:numId="14">
    <w:abstractNumId w:val="4"/>
  </w:num>
  <w:num w:numId="15">
    <w:abstractNumId w:val="11"/>
  </w:num>
  <w:num w:numId="16">
    <w:abstractNumId w:val="13"/>
  </w:num>
  <w:num w:numId="17">
    <w:abstractNumId w:val="14"/>
  </w:num>
  <w:num w:numId="18">
    <w:abstractNumId w:val="6"/>
  </w:num>
  <w:num w:numId="19">
    <w:abstractNumId w:val="12"/>
  </w:num>
  <w:num w:numId="20">
    <w:abstractNumId w:val="18"/>
  </w:num>
  <w:num w:numId="21">
    <w:abstractNumId w:val="15"/>
  </w:num>
  <w:num w:numId="22">
    <w:abstractNumId w:val="8"/>
  </w:num>
  <w:num w:numId="23">
    <w:abstractNumId w:val="17"/>
  </w:num>
  <w:num w:numId="24">
    <w:abstractNumId w:val="7"/>
  </w:num>
  <w:num w:numId="25">
    <w:abstractNumId w:val="9"/>
  </w:num>
  <w:num w:numId="26">
    <w:abstractNumId w:val="10"/>
  </w:num>
  <w:num w:numId="27">
    <w:abstractNumId w:val="5"/>
  </w:num>
  <w:num w:numId="28">
    <w:abstractNumId w:val="16"/>
  </w:num>
  <w:num w:numId="29">
    <w:abstractNumId w:val="4"/>
  </w:num>
  <w:num w:numId="30">
    <w:abstractNumId w:val="11"/>
  </w:num>
  <w:num w:numId="31">
    <w:abstractNumId w:val="13"/>
  </w:num>
  <w:num w:numId="32">
    <w:abstractNumId w:val="14"/>
  </w:num>
  <w:num w:numId="33">
    <w:abstractNumId w:val="6"/>
  </w:num>
  <w:num w:numId="34">
    <w:abstractNumId w:val="12"/>
  </w:num>
  <w:num w:numId="35">
    <w:abstractNumId w:val="18"/>
  </w:num>
  <w:num w:numId="36">
    <w:abstractNumId w:val="15"/>
  </w:num>
  <w:num w:numId="37">
    <w:abstractNumId w:val="8"/>
  </w:num>
  <w:num w:numId="38">
    <w:abstractNumId w:val="17"/>
  </w:num>
  <w:num w:numId="39">
    <w:abstractNumId w:val="7"/>
  </w:num>
  <w:num w:numId="40">
    <w:abstractNumId w:val="9"/>
  </w:num>
  <w:num w:numId="41">
    <w:abstractNumId w:val="10"/>
  </w:num>
  <w:num w:numId="42">
    <w:abstractNumId w:val="5"/>
  </w:num>
  <w:num w:numId="43">
    <w:abstractNumId w:val="16"/>
  </w:num>
  <w:num w:numId="44">
    <w:abstractNumId w:val="4"/>
  </w:num>
  <w:num w:numId="45">
    <w:abstractNumId w:val="11"/>
  </w:num>
  <w:num w:numId="46">
    <w:abstractNumId w:val="13"/>
  </w:num>
  <w:num w:numId="47">
    <w:abstractNumId w:val="14"/>
  </w:num>
  <w:num w:numId="48">
    <w:abstractNumId w:val="6"/>
  </w:num>
  <w:num w:numId="49">
    <w:abstractNumId w:val="12"/>
  </w:num>
  <w:num w:numId="50">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attachedTemplate r:id="rId1"/>
  <w:revisionView w:markup="0"/>
  <w:defaultTabStop w:val="720"/>
  <w:hyphenationZone w:val="425"/>
  <w:characterSpacingControl w:val="doNotCompress"/>
  <w:hdrShapeDefaults>
    <o:shapedefaults v:ext="edit" spidmax="3686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25-02-14 07:58:43"/>
    <w:docVar w:name="DQCResult_Distribution" w:val="0;0"/>
    <w:docVar w:name="DQCResult_DocumentContent" w:val="0;0"/>
    <w:docVar w:name="DQCResult_DocumentSize" w:val="0;0"/>
    <w:docVar w:name="DQCResult_InvalidFootnotes" w:val="0;0"/>
    <w:docVar w:name="DQCResult_ModifiedMarkers" w:val="0;0"/>
    <w:docVar w:name="DQCResult_ModifiedNumbering" w:val="0;0"/>
    <w:docVar w:name="DQCResult_Objects" w:val="0;0"/>
    <w:docVar w:name="DQCResult_StructureCheck" w:val="0;0"/>
    <w:docVar w:name="DQCStatus" w:val="Green"/>
    <w:docVar w:name="DQCVersion" w:val="3"/>
    <w:docVar w:name="DQCWithWarnings" w:val="0"/>
    <w:docVar w:name="LW_CORRIGENDUM" w:val="&lt;UNUSED&gt;"/>
    <w:docVar w:name="LW_COVERPAGE_EXISTS" w:val="True"/>
    <w:docVar w:name="LW_COVERPAGE_GUID" w:val="186F1B74-0807-46E8-8EE6-85B7EA481695"/>
    <w:docVar w:name="LW_COVERPAGE_TYPE" w:val="1"/>
    <w:docVar w:name="LW_CROSSREFERENCE" w:val="&lt;UNUSED&gt;"/>
    <w:docVar w:name="LW_DocType" w:val="COM"/>
    <w:docVar w:name="LW_EMISSION" w:val="21.2.2025"/>
    <w:docVar w:name="LW_EMISSION_ISODATE" w:val="2025-02-21"/>
    <w:docVar w:name="LW_EMISSION_LOCATION" w:val="BRX"/>
    <w:docVar w:name="LW_EMISSION_PREFIX" w:val="An Bhruiséil,"/>
    <w:docVar w:name="LW_EMISSION_SUFFIX" w:val=" "/>
    <w:docVar w:name="LW_ID_DOCMODEL" w:val="SJ-020"/>
    <w:docVar w:name="LW_ID_DOCSIGNATURE" w:val="SJ-020"/>
    <w:docVar w:name="LW_ID_DOCSTRUCTURE" w:val="COM/PL/ORG"/>
    <w:docVar w:name="LW_ID_DOCTYPE" w:val="SJ-020"/>
    <w:docVar w:name="LW_ID_STATUT" w:val="SJ-020"/>
    <w:docVar w:name="LW_INSERT_EXP.MOTIFS.NEW" w:val="1"/>
    <w:docVar w:name="LW_INTERETEEE.CP" w:val="&lt;UNUSED&gt;"/>
    <w:docVar w:name="LW_LANGUE" w:val="GA"/>
    <w:docVar w:name="LW_LEVEL_OF_SENSITIVITY" w:val="Standard treatment"/>
    <w:docVar w:name="LW_NOM.INST" w:val="AN COIMISIÚN EORPACH"/>
    <w:docVar w:name="LW_NOM.INST_JOINTDOC" w:val="&lt;EMPTY&gt;"/>
    <w:docVar w:name="LW_PART_NBR" w:val="1"/>
    <w:docVar w:name="LW_PART_NBR_TOTAL" w:val="1"/>
    <w:docVar w:name="LW_REF.II.NEW.CP" w:val="NLE"/>
    <w:docVar w:name="LW_REF.II.NEW.CP_NUMBER" w:val="0029"/>
    <w:docVar w:name="LW_REF.II.NEW.CP_YEAR" w:val="2025"/>
    <w:docVar w:name="LW_REF.INST.NEW" w:val="COM"/>
    <w:docVar w:name="LW_REF.INST.NEW_ADOPTED" w:val="final"/>
    <w:docVar w:name="LW_REF.INST.NEW_TEXT" w:val="(2025) 55"/>
    <w:docVar w:name="LW_REF.INTERNE" w:val="&lt;UNUSED&gt;"/>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Togra le haghaidh"/>
    <w:docVar w:name="LW_SUPERTITRE" w:val="&lt;UNUSED&gt;"/>
    <w:docVar w:name="LW_TITRE.OBJ.CP" w:val="lena n_x001e_údaraítear don Fhrainc ráta laghdaithe cánachais a chur i bhfeidhm maidir le peitreal gan luaidhe a úsáidtear mar bhreosla mótair agus a ídítear i ranna na Corsaice i gcomhréir le hAirteagal 19 de Threoir 2003/96/CE"/>
    <w:docVar w:name="LW_TYPE.DOC.CP" w:val="CINNEADH CUR CHUN FEIDHME ÓN gCOMHAIRLE"/>
    <w:docVar w:name="LwApiVersions" w:val="LW4CoDe 1.24.5.0; LW 9.0, Build 20240221"/>
  </w:docVars>
  <w:rsids>
    <w:rsidRoot w:val="0032483A"/>
    <w:rsid w:val="00007DE2"/>
    <w:rsid w:val="0001102C"/>
    <w:rsid w:val="000153E3"/>
    <w:rsid w:val="000163E5"/>
    <w:rsid w:val="000165EE"/>
    <w:rsid w:val="00031354"/>
    <w:rsid w:val="00053C14"/>
    <w:rsid w:val="00091B33"/>
    <w:rsid w:val="000A1C06"/>
    <w:rsid w:val="000B38FF"/>
    <w:rsid w:val="000D06C7"/>
    <w:rsid w:val="000D4531"/>
    <w:rsid w:val="000E13BA"/>
    <w:rsid w:val="001065F5"/>
    <w:rsid w:val="001238EF"/>
    <w:rsid w:val="0017656C"/>
    <w:rsid w:val="001858EF"/>
    <w:rsid w:val="00197613"/>
    <w:rsid w:val="001A1C21"/>
    <w:rsid w:val="001B28C7"/>
    <w:rsid w:val="001B5C02"/>
    <w:rsid w:val="00216DC2"/>
    <w:rsid w:val="00233157"/>
    <w:rsid w:val="00233DC7"/>
    <w:rsid w:val="00247779"/>
    <w:rsid w:val="00247D18"/>
    <w:rsid w:val="002556AD"/>
    <w:rsid w:val="0026470B"/>
    <w:rsid w:val="002707DF"/>
    <w:rsid w:val="0028059E"/>
    <w:rsid w:val="00285BEE"/>
    <w:rsid w:val="00286CAC"/>
    <w:rsid w:val="0029533F"/>
    <w:rsid w:val="002A73D4"/>
    <w:rsid w:val="002B30AF"/>
    <w:rsid w:val="002D77B2"/>
    <w:rsid w:val="0031397F"/>
    <w:rsid w:val="00316C95"/>
    <w:rsid w:val="0032483A"/>
    <w:rsid w:val="003254DB"/>
    <w:rsid w:val="0033344A"/>
    <w:rsid w:val="003364A6"/>
    <w:rsid w:val="0033701E"/>
    <w:rsid w:val="00345CB1"/>
    <w:rsid w:val="00364B5F"/>
    <w:rsid w:val="00386D83"/>
    <w:rsid w:val="003A5FE6"/>
    <w:rsid w:val="003C55BE"/>
    <w:rsid w:val="003D3D5F"/>
    <w:rsid w:val="003E0E3B"/>
    <w:rsid w:val="003F77AE"/>
    <w:rsid w:val="0040387D"/>
    <w:rsid w:val="0042648E"/>
    <w:rsid w:val="0043392C"/>
    <w:rsid w:val="00440CE8"/>
    <w:rsid w:val="00451727"/>
    <w:rsid w:val="004575E4"/>
    <w:rsid w:val="00485784"/>
    <w:rsid w:val="00485FAA"/>
    <w:rsid w:val="00490C0D"/>
    <w:rsid w:val="004936D2"/>
    <w:rsid w:val="004A4AC9"/>
    <w:rsid w:val="004C2780"/>
    <w:rsid w:val="004D7021"/>
    <w:rsid w:val="004D73EF"/>
    <w:rsid w:val="00500157"/>
    <w:rsid w:val="00512762"/>
    <w:rsid w:val="00512E12"/>
    <w:rsid w:val="0052023E"/>
    <w:rsid w:val="00533E75"/>
    <w:rsid w:val="0055667F"/>
    <w:rsid w:val="00556859"/>
    <w:rsid w:val="00564A2E"/>
    <w:rsid w:val="005A3B7D"/>
    <w:rsid w:val="005B1EB6"/>
    <w:rsid w:val="005D7ABE"/>
    <w:rsid w:val="005E6ECE"/>
    <w:rsid w:val="005E75DD"/>
    <w:rsid w:val="006167D6"/>
    <w:rsid w:val="00623798"/>
    <w:rsid w:val="00690F55"/>
    <w:rsid w:val="006C0DC1"/>
    <w:rsid w:val="006C3DCC"/>
    <w:rsid w:val="006E542C"/>
    <w:rsid w:val="006E74DB"/>
    <w:rsid w:val="00735E0C"/>
    <w:rsid w:val="00740D71"/>
    <w:rsid w:val="00750970"/>
    <w:rsid w:val="00773331"/>
    <w:rsid w:val="00780D1F"/>
    <w:rsid w:val="00784A7A"/>
    <w:rsid w:val="007932EF"/>
    <w:rsid w:val="007B5AB2"/>
    <w:rsid w:val="007D600A"/>
    <w:rsid w:val="007E05B0"/>
    <w:rsid w:val="007F0409"/>
    <w:rsid w:val="00827ABC"/>
    <w:rsid w:val="00856DFB"/>
    <w:rsid w:val="00871BF6"/>
    <w:rsid w:val="00874D22"/>
    <w:rsid w:val="008A2914"/>
    <w:rsid w:val="008B04B5"/>
    <w:rsid w:val="008B0973"/>
    <w:rsid w:val="008B35FD"/>
    <w:rsid w:val="008B54B3"/>
    <w:rsid w:val="008E491D"/>
    <w:rsid w:val="008E4D8E"/>
    <w:rsid w:val="008F68B8"/>
    <w:rsid w:val="00907D04"/>
    <w:rsid w:val="0091154F"/>
    <w:rsid w:val="00932754"/>
    <w:rsid w:val="009329D2"/>
    <w:rsid w:val="00933DA8"/>
    <w:rsid w:val="00960FA1"/>
    <w:rsid w:val="00965B0B"/>
    <w:rsid w:val="009B4B78"/>
    <w:rsid w:val="009D0FBB"/>
    <w:rsid w:val="009F20B0"/>
    <w:rsid w:val="009F7680"/>
    <w:rsid w:val="00A11DE5"/>
    <w:rsid w:val="00A37819"/>
    <w:rsid w:val="00A544E2"/>
    <w:rsid w:val="00A56EE9"/>
    <w:rsid w:val="00A86051"/>
    <w:rsid w:val="00A96145"/>
    <w:rsid w:val="00AB61C9"/>
    <w:rsid w:val="00AE2235"/>
    <w:rsid w:val="00AE7C20"/>
    <w:rsid w:val="00B74FFF"/>
    <w:rsid w:val="00BB5594"/>
    <w:rsid w:val="00BF0224"/>
    <w:rsid w:val="00BF57A2"/>
    <w:rsid w:val="00C016E3"/>
    <w:rsid w:val="00C05DC4"/>
    <w:rsid w:val="00C12301"/>
    <w:rsid w:val="00C21777"/>
    <w:rsid w:val="00C40407"/>
    <w:rsid w:val="00C42056"/>
    <w:rsid w:val="00C43AE5"/>
    <w:rsid w:val="00C7640C"/>
    <w:rsid w:val="00C8608F"/>
    <w:rsid w:val="00C94FEA"/>
    <w:rsid w:val="00CD330D"/>
    <w:rsid w:val="00D02B2F"/>
    <w:rsid w:val="00D11252"/>
    <w:rsid w:val="00D20381"/>
    <w:rsid w:val="00D2670D"/>
    <w:rsid w:val="00D532B2"/>
    <w:rsid w:val="00D858D7"/>
    <w:rsid w:val="00DC0889"/>
    <w:rsid w:val="00DC6E16"/>
    <w:rsid w:val="00DC7A55"/>
    <w:rsid w:val="00DD22B6"/>
    <w:rsid w:val="00DD542B"/>
    <w:rsid w:val="00DF3733"/>
    <w:rsid w:val="00E01F1E"/>
    <w:rsid w:val="00E04631"/>
    <w:rsid w:val="00E074C6"/>
    <w:rsid w:val="00E11A99"/>
    <w:rsid w:val="00E15D11"/>
    <w:rsid w:val="00E24219"/>
    <w:rsid w:val="00E37DD9"/>
    <w:rsid w:val="00E41861"/>
    <w:rsid w:val="00E44F36"/>
    <w:rsid w:val="00E45DF7"/>
    <w:rsid w:val="00E513B8"/>
    <w:rsid w:val="00E525EA"/>
    <w:rsid w:val="00E600C1"/>
    <w:rsid w:val="00E6440F"/>
    <w:rsid w:val="00E8160C"/>
    <w:rsid w:val="00E921C1"/>
    <w:rsid w:val="00EA4DB1"/>
    <w:rsid w:val="00EA7152"/>
    <w:rsid w:val="00ED124A"/>
    <w:rsid w:val="00EE27E8"/>
    <w:rsid w:val="00EF6E75"/>
    <w:rsid w:val="00F252D1"/>
    <w:rsid w:val="00F63AEC"/>
    <w:rsid w:val="00F67175"/>
    <w:rsid w:val="00F70B33"/>
    <w:rsid w:val="00F93149"/>
    <w:rsid w:val="00FA481A"/>
    <w:rsid w:val="00FB6B8F"/>
    <w:rsid w:val="00FB7709"/>
    <w:rsid w:val="00FC38F8"/>
    <w:rsid w:val="00FC66DC"/>
    <w:rsid w:val="00FD3F33"/>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5:docId w15:val="{ABF31347-C00D-4909-B2C1-C839CC304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ga-IE"/>
    </w:rPr>
  </w:style>
  <w:style w:type="paragraph" w:styleId="Heading1">
    <w:name w:val="heading 1"/>
    <w:basedOn w:val="Normal"/>
    <w:next w:val="Text1"/>
    <w:link w:val="Heading1Char"/>
    <w:uiPriority w:val="9"/>
    <w:qFormat/>
    <w:pPr>
      <w:keepNext/>
      <w:numPr>
        <w:numId w:val="43"/>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43"/>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43"/>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43"/>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43"/>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43"/>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43"/>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rsid w:val="0032483A"/>
    <w:pPr>
      <w:numPr>
        <w:numId w:val="1"/>
      </w:numPr>
    </w:pPr>
    <w:rPr>
      <w:rFonts w:eastAsia="Times New Roman"/>
      <w:lang w:eastAsia="en-GB"/>
    </w:rPr>
  </w:style>
  <w:style w:type="paragraph" w:styleId="ListBullet2">
    <w:name w:val="List Bullet 2"/>
    <w:basedOn w:val="Normal"/>
    <w:uiPriority w:val="99"/>
    <w:semiHidden/>
    <w:unhideWhenUsed/>
    <w:rsid w:val="0031397F"/>
    <w:pPr>
      <w:numPr>
        <w:numId w:val="2"/>
      </w:numPr>
      <w:contextualSpacing/>
    </w:pPr>
  </w:style>
  <w:style w:type="paragraph" w:styleId="ListBullet3">
    <w:name w:val="List Bullet 3"/>
    <w:basedOn w:val="Normal"/>
    <w:uiPriority w:val="99"/>
    <w:semiHidden/>
    <w:unhideWhenUsed/>
    <w:rsid w:val="0031397F"/>
    <w:pPr>
      <w:numPr>
        <w:numId w:val="3"/>
      </w:numPr>
      <w:contextualSpacing/>
    </w:pPr>
  </w:style>
  <w:style w:type="paragraph" w:styleId="ListBullet4">
    <w:name w:val="List Bullet 4"/>
    <w:basedOn w:val="Normal"/>
    <w:uiPriority w:val="99"/>
    <w:semiHidden/>
    <w:unhideWhenUsed/>
    <w:rsid w:val="0031397F"/>
    <w:pPr>
      <w:numPr>
        <w:numId w:val="4"/>
      </w:numPr>
      <w:contextualSpacing/>
    </w:pPr>
  </w:style>
  <w:style w:type="character" w:styleId="Hyperlink">
    <w:name w:val="Hyperlink"/>
    <w:basedOn w:val="DefaultParagraphFont"/>
    <w:uiPriority w:val="99"/>
    <w:unhideWhenUsed/>
    <w:rsid w:val="00FC66DC"/>
    <w:rPr>
      <w:color w:val="0000FF" w:themeColor="hyperlink"/>
      <w:u w:val="single"/>
    </w:rPr>
  </w:style>
  <w:style w:type="character" w:styleId="CommentReference">
    <w:name w:val="annotation reference"/>
    <w:basedOn w:val="DefaultParagraphFont"/>
    <w:uiPriority w:val="99"/>
    <w:semiHidden/>
    <w:unhideWhenUsed/>
    <w:rsid w:val="00FC66DC"/>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hAnsi="Times New Roman" w:cs="Times New Roman"/>
      <w:sz w:val="20"/>
      <w:szCs w:val="20"/>
      <w:lang w:val="ga-IE"/>
    </w:rPr>
  </w:style>
  <w:style w:type="paragraph" w:styleId="CommentSubject">
    <w:name w:val="annotation subject"/>
    <w:basedOn w:val="CommentText"/>
    <w:next w:val="CommentText"/>
    <w:link w:val="CommentSubjectChar"/>
    <w:uiPriority w:val="99"/>
    <w:semiHidden/>
    <w:unhideWhenUsed/>
    <w:rsid w:val="007F0409"/>
    <w:rPr>
      <w:b/>
      <w:bCs/>
    </w:rPr>
  </w:style>
  <w:style w:type="character" w:customStyle="1" w:styleId="CommentSubjectChar">
    <w:name w:val="Comment Subject Char"/>
    <w:basedOn w:val="CommentTextChar"/>
    <w:link w:val="CommentSubject"/>
    <w:uiPriority w:val="99"/>
    <w:semiHidden/>
    <w:rsid w:val="007F0409"/>
    <w:rPr>
      <w:rFonts w:ascii="Times New Roman" w:hAnsi="Times New Roman" w:cs="Times New Roman"/>
      <w:b/>
      <w:bCs/>
      <w:sz w:val="20"/>
      <w:szCs w:val="20"/>
      <w:lang w:val="ga-IE"/>
    </w:rPr>
  </w:style>
  <w:style w:type="character" w:customStyle="1" w:styleId="UnresolvedMention">
    <w:name w:val="Unresolved Mention"/>
    <w:basedOn w:val="DefaultParagraphFont"/>
    <w:uiPriority w:val="99"/>
    <w:semiHidden/>
    <w:unhideWhenUsed/>
    <w:rsid w:val="007F0409"/>
    <w:rPr>
      <w:color w:val="605E5C"/>
      <w:shd w:val="clear" w:color="auto" w:fill="E1DFDD"/>
    </w:rPr>
  </w:style>
  <w:style w:type="paragraph" w:styleId="Revision">
    <w:name w:val="Revision"/>
    <w:hidden/>
    <w:uiPriority w:val="99"/>
    <w:semiHidden/>
    <w:rsid w:val="00345CB1"/>
    <w:pPr>
      <w:spacing w:after="0" w:line="240" w:lineRule="auto"/>
    </w:pPr>
    <w:rPr>
      <w:rFonts w:ascii="Times New Roman" w:hAnsi="Times New Roman" w:cs="Times New Roman"/>
      <w:sz w:val="24"/>
    </w:rPr>
  </w:style>
  <w:style w:type="character" w:customStyle="1" w:styleId="HeaderChar">
    <w:name w:val="Header Char"/>
    <w:basedOn w:val="DefaultParagraphFont"/>
    <w:link w:val="Header"/>
    <w:uiPriority w:val="99"/>
    <w:rsid w:val="00EF6E75"/>
    <w:rPr>
      <w:rFonts w:ascii="Times New Roman" w:hAnsi="Times New Roman" w:cs="Times New Roman"/>
      <w:sz w:val="24"/>
      <w:lang w:val="ga-IE"/>
    </w:rPr>
  </w:style>
  <w:style w:type="character" w:customStyle="1" w:styleId="FooterChar">
    <w:name w:val="Footer Char"/>
    <w:basedOn w:val="DefaultParagraphFont"/>
    <w:link w:val="Footer"/>
    <w:uiPriority w:val="99"/>
    <w:rsid w:val="00EF6E75"/>
    <w:rPr>
      <w:rFonts w:ascii="Times New Roman" w:hAnsi="Times New Roman" w:cs="Times New Roman"/>
      <w:sz w:val="24"/>
      <w:lang w:val="ga-IE"/>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shd w:val="clear" w:color="auto" w:fill="auto"/>
      <w:lang w:val="en-GB"/>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shd w:val="clear" w:color="auto" w:fill="auto"/>
      <w:lang w:val="en-GB"/>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ind w:left="1417" w:hanging="141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rsid w:val="00EF6E75"/>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EF6E75"/>
    <w:pPr>
      <w:spacing w:before="0"/>
      <w:jc w:val="right"/>
    </w:pPr>
    <w:rPr>
      <w:sz w:val="28"/>
    </w:rPr>
  </w:style>
  <w:style w:type="paragraph" w:customStyle="1" w:styleId="FooterSensitivity">
    <w:name w:val="Footer Sensitivity"/>
    <w:basedOn w:val="Normal"/>
    <w:rsid w:val="00EF6E75"/>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36"/>
      </w:numPr>
    </w:pPr>
  </w:style>
  <w:style w:type="paragraph" w:customStyle="1" w:styleId="Tiret1">
    <w:name w:val="Tiret 1"/>
    <w:basedOn w:val="Point1"/>
    <w:pPr>
      <w:numPr>
        <w:numId w:val="37"/>
      </w:numPr>
    </w:pPr>
  </w:style>
  <w:style w:type="paragraph" w:customStyle="1" w:styleId="Tiret2">
    <w:name w:val="Tiret 2"/>
    <w:basedOn w:val="Point2"/>
    <w:pPr>
      <w:numPr>
        <w:numId w:val="38"/>
      </w:numPr>
    </w:pPr>
  </w:style>
  <w:style w:type="paragraph" w:customStyle="1" w:styleId="Tiret3">
    <w:name w:val="Tiret 3"/>
    <w:basedOn w:val="Point3"/>
    <w:pPr>
      <w:numPr>
        <w:numId w:val="39"/>
      </w:numPr>
    </w:pPr>
  </w:style>
  <w:style w:type="paragraph" w:customStyle="1" w:styleId="Tiret4">
    <w:name w:val="Tiret 4"/>
    <w:basedOn w:val="Point4"/>
    <w:pPr>
      <w:numPr>
        <w:numId w:val="40"/>
      </w:numPr>
    </w:pPr>
  </w:style>
  <w:style w:type="paragraph" w:customStyle="1" w:styleId="Tiret5">
    <w:name w:val="Tiret 5"/>
    <w:basedOn w:val="Point5"/>
    <w:pPr>
      <w:numPr>
        <w:numId w:val="41"/>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42"/>
      </w:numPr>
    </w:pPr>
  </w:style>
  <w:style w:type="paragraph" w:customStyle="1" w:styleId="NumPar2">
    <w:name w:val="NumPar 2"/>
    <w:basedOn w:val="Normal"/>
    <w:next w:val="Text1"/>
    <w:pPr>
      <w:numPr>
        <w:ilvl w:val="1"/>
        <w:numId w:val="42"/>
      </w:numPr>
    </w:pPr>
  </w:style>
  <w:style w:type="paragraph" w:customStyle="1" w:styleId="NumPar3">
    <w:name w:val="NumPar 3"/>
    <w:basedOn w:val="Normal"/>
    <w:next w:val="Text1"/>
    <w:pPr>
      <w:numPr>
        <w:ilvl w:val="2"/>
        <w:numId w:val="42"/>
      </w:numPr>
    </w:pPr>
  </w:style>
  <w:style w:type="paragraph" w:customStyle="1" w:styleId="NumPar4">
    <w:name w:val="NumPar 4"/>
    <w:basedOn w:val="Normal"/>
    <w:next w:val="Text1"/>
    <w:pPr>
      <w:numPr>
        <w:ilvl w:val="3"/>
        <w:numId w:val="42"/>
      </w:numPr>
    </w:pPr>
  </w:style>
  <w:style w:type="paragraph" w:customStyle="1" w:styleId="NumPar5">
    <w:name w:val="NumPar 5"/>
    <w:basedOn w:val="Normal"/>
    <w:next w:val="Text2"/>
    <w:pPr>
      <w:numPr>
        <w:ilvl w:val="4"/>
        <w:numId w:val="42"/>
      </w:numPr>
    </w:pPr>
  </w:style>
  <w:style w:type="paragraph" w:customStyle="1" w:styleId="NumPar6">
    <w:name w:val="NumPar 6"/>
    <w:basedOn w:val="Normal"/>
    <w:next w:val="Text2"/>
    <w:pPr>
      <w:numPr>
        <w:ilvl w:val="5"/>
        <w:numId w:val="42"/>
      </w:numPr>
    </w:pPr>
  </w:style>
  <w:style w:type="paragraph" w:customStyle="1" w:styleId="NumPar7">
    <w:name w:val="NumPar 7"/>
    <w:basedOn w:val="Normal"/>
    <w:next w:val="Text2"/>
    <w:pPr>
      <w:numPr>
        <w:ilvl w:val="6"/>
        <w:numId w:val="42"/>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44"/>
      </w:numPr>
    </w:pPr>
  </w:style>
  <w:style w:type="paragraph" w:customStyle="1" w:styleId="Point1number">
    <w:name w:val="Point 1 (number)"/>
    <w:basedOn w:val="Normal"/>
    <w:pPr>
      <w:numPr>
        <w:ilvl w:val="2"/>
        <w:numId w:val="44"/>
      </w:numPr>
    </w:pPr>
  </w:style>
  <w:style w:type="paragraph" w:customStyle="1" w:styleId="Point2number">
    <w:name w:val="Point 2 (number)"/>
    <w:basedOn w:val="Normal"/>
    <w:pPr>
      <w:numPr>
        <w:ilvl w:val="4"/>
        <w:numId w:val="44"/>
      </w:numPr>
    </w:pPr>
  </w:style>
  <w:style w:type="paragraph" w:customStyle="1" w:styleId="Point3number">
    <w:name w:val="Point 3 (number)"/>
    <w:basedOn w:val="Normal"/>
    <w:pPr>
      <w:numPr>
        <w:ilvl w:val="6"/>
        <w:numId w:val="44"/>
      </w:numPr>
    </w:pPr>
  </w:style>
  <w:style w:type="paragraph" w:customStyle="1" w:styleId="Point0letter">
    <w:name w:val="Point 0 (letter)"/>
    <w:basedOn w:val="Normal"/>
    <w:pPr>
      <w:numPr>
        <w:ilvl w:val="1"/>
        <w:numId w:val="44"/>
      </w:numPr>
    </w:pPr>
  </w:style>
  <w:style w:type="paragraph" w:customStyle="1" w:styleId="Point1letter">
    <w:name w:val="Point 1 (letter)"/>
    <w:basedOn w:val="Normal"/>
    <w:pPr>
      <w:numPr>
        <w:ilvl w:val="3"/>
        <w:numId w:val="44"/>
      </w:numPr>
    </w:pPr>
  </w:style>
  <w:style w:type="paragraph" w:customStyle="1" w:styleId="Point2letter">
    <w:name w:val="Point 2 (letter)"/>
    <w:basedOn w:val="Normal"/>
    <w:pPr>
      <w:numPr>
        <w:ilvl w:val="5"/>
        <w:numId w:val="44"/>
      </w:numPr>
    </w:pPr>
  </w:style>
  <w:style w:type="paragraph" w:customStyle="1" w:styleId="Point3letter">
    <w:name w:val="Point 3 (letter)"/>
    <w:basedOn w:val="Normal"/>
    <w:pPr>
      <w:numPr>
        <w:ilvl w:val="7"/>
        <w:numId w:val="44"/>
      </w:numPr>
    </w:pPr>
  </w:style>
  <w:style w:type="paragraph" w:customStyle="1" w:styleId="Point4letter">
    <w:name w:val="Point 4 (letter)"/>
    <w:basedOn w:val="Normal"/>
    <w:pPr>
      <w:numPr>
        <w:ilvl w:val="8"/>
        <w:numId w:val="44"/>
      </w:numPr>
    </w:pPr>
  </w:style>
  <w:style w:type="paragraph" w:customStyle="1" w:styleId="Bullet0">
    <w:name w:val="Bullet 0"/>
    <w:basedOn w:val="Normal"/>
    <w:pPr>
      <w:numPr>
        <w:numId w:val="45"/>
      </w:numPr>
    </w:pPr>
  </w:style>
  <w:style w:type="paragraph" w:customStyle="1" w:styleId="Bullet1">
    <w:name w:val="Bullet 1"/>
    <w:basedOn w:val="Normal"/>
    <w:pPr>
      <w:numPr>
        <w:numId w:val="46"/>
      </w:numPr>
    </w:pPr>
  </w:style>
  <w:style w:type="paragraph" w:customStyle="1" w:styleId="Bullet2">
    <w:name w:val="Bullet 2"/>
    <w:basedOn w:val="Normal"/>
    <w:pPr>
      <w:numPr>
        <w:numId w:val="47"/>
      </w:numPr>
    </w:pPr>
  </w:style>
  <w:style w:type="paragraph" w:customStyle="1" w:styleId="Bullet3">
    <w:name w:val="Bullet 3"/>
    <w:basedOn w:val="Normal"/>
    <w:pPr>
      <w:numPr>
        <w:numId w:val="48"/>
      </w:numPr>
    </w:pPr>
  </w:style>
  <w:style w:type="paragraph" w:customStyle="1" w:styleId="Bullet4">
    <w:name w:val="Bullet 4"/>
    <w:basedOn w:val="Normal"/>
    <w:pPr>
      <w:numPr>
        <w:numId w:val="49"/>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50"/>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 w:type="paragraph" w:styleId="Header">
    <w:name w:val="header"/>
    <w:basedOn w:val="Normal"/>
    <w:link w:val="HeaderChar"/>
    <w:uiPriority w:val="99"/>
    <w:unhideWhenUsed/>
    <w:rsid w:val="00EF6E75"/>
    <w:pPr>
      <w:tabs>
        <w:tab w:val="center" w:pos="4535"/>
        <w:tab w:val="right" w:pos="9071"/>
      </w:tabs>
      <w:spacing w:before="0"/>
    </w:pPr>
  </w:style>
  <w:style w:type="paragraph" w:customStyle="1" w:styleId="HeaderLandscape">
    <w:name w:val="HeaderLandscape"/>
    <w:basedOn w:val="Normal"/>
    <w:rsid w:val="00EF6E75"/>
    <w:pPr>
      <w:tabs>
        <w:tab w:val="center" w:pos="7285"/>
        <w:tab w:val="right" w:pos="14003"/>
      </w:tabs>
      <w:spacing w:before="0"/>
    </w:pPr>
  </w:style>
  <w:style w:type="paragraph" w:styleId="Footer">
    <w:name w:val="footer"/>
    <w:basedOn w:val="Normal"/>
    <w:link w:val="FooterChar"/>
    <w:uiPriority w:val="99"/>
    <w:unhideWhenUsed/>
    <w:rsid w:val="00EF6E75"/>
    <w:pPr>
      <w:tabs>
        <w:tab w:val="center" w:pos="4535"/>
        <w:tab w:val="right" w:pos="9071"/>
        <w:tab w:val="right" w:pos="9921"/>
      </w:tabs>
      <w:spacing w:before="360" w:after="0"/>
      <w:ind w:left="-850" w:right="-850"/>
      <w:jc w:val="left"/>
    </w:pPr>
  </w:style>
  <w:style w:type="paragraph" w:customStyle="1" w:styleId="FooterLandscape">
    <w:name w:val="FooterLandscape"/>
    <w:basedOn w:val="Normal"/>
    <w:rsid w:val="00EF6E75"/>
    <w:pPr>
      <w:tabs>
        <w:tab w:val="center" w:pos="7285"/>
        <w:tab w:val="center" w:pos="10913"/>
        <w:tab w:val="right" w:pos="15137"/>
      </w:tabs>
      <w:spacing w:before="360" w:after="0"/>
      <w:ind w:left="-567" w:right="-567"/>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C_Collab_Reference xmlns="144c03d0-0f03-451f-9d46-5279004462a4" xsi:nil="true"/>
    <EC_Collab_Status xmlns="144c03d0-0f03-451f-9d46-5279004462a4">Not Started</EC_Collab_Status>
    <_Status xmlns="http://schemas.microsoft.com/sharepoint/v3/fields">Not Started</_Status>
    <EC_Collab_DocumentLanguage xmlns="144c03d0-0f03-451f-9d46-5279004462a4">EN</EC_Collab_DocumentLanguage>
    <lcf76f155ced4ddcb4097134ff3c332f xmlns="f7bb8512-91eb-4bfd-be42-d6f021407e9a">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cf76f155ced4ddcb4097134ff3c332f>
    <TaxCatchAll xmlns="144c03d0-0f03-451f-9d46-5279004462a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EC Document" ma:contentTypeID="0x010100BAD999D84E12C74482EA5120F5227F6F00217DECAAC21D6B43958DFE68658C192E" ma:contentTypeVersion="27" ma:contentTypeDescription="Create a new document in this library." ma:contentTypeScope="" ma:versionID="e7e27166b6ddd379314dbc4ffb647a9d">
  <xsd:schema xmlns:xsd="http://www.w3.org/2001/XMLSchema" xmlns:xs="http://www.w3.org/2001/XMLSchema" xmlns:p="http://schemas.microsoft.com/office/2006/metadata/properties" xmlns:ns2="http://schemas.microsoft.com/sharepoint/v3/fields" xmlns:ns3="144c03d0-0f03-451f-9d46-5279004462a4" xmlns:ns4="f7bb8512-91eb-4bfd-be42-d6f021407e9a" targetNamespace="http://schemas.microsoft.com/office/2006/metadata/properties" ma:root="true" ma:fieldsID="6ba0d890b3d934a84d947fa41105d8de" ns2:_="" ns3:_="" ns4:_="">
    <xsd:import namespace="http://schemas.microsoft.com/sharepoint/v3/fields"/>
    <xsd:import namespace="144c03d0-0f03-451f-9d46-5279004462a4"/>
    <xsd:import namespace="f7bb8512-91eb-4bfd-be42-d6f021407e9a"/>
    <xsd:element name="properties">
      <xsd:complexType>
        <xsd:sequence>
          <xsd:element name="documentManagement">
            <xsd:complexType>
              <xsd:all>
                <xsd:element ref="ns3:EC_Collab_Reference" minOccurs="0"/>
                <xsd:element ref="ns2:_Status" minOccurs="0"/>
                <xsd:element ref="ns3:EC_Collab_DocumentLanguage"/>
                <xsd:element ref="ns3:SharedWithUsers" minOccurs="0"/>
                <xsd:element ref="ns3:SharedWithDetails" minOccurs="0"/>
                <xsd:element ref="ns3:EC_Collab_Status" minOccurs="0"/>
                <xsd:element ref="ns4:MediaServiceSearchProperties" minOccurs="0"/>
                <xsd:element ref="ns4:lcf76f155ced4ddcb4097134ff3c332f" minOccurs="0"/>
                <xsd:element ref="ns3:TaxCatchAll" minOccurs="0"/>
                <xsd:element ref="ns4:MediaServiceDateTake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3" nillable="true" ma:displayName="Status" ma:default="Not Started" ma:hidden="true" ma:internalName="_Status" ma:readOnly="false">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144c03d0-0f03-451f-9d46-5279004462a4" elementFormDefault="qualified">
    <xsd:import namespace="http://schemas.microsoft.com/office/2006/documentManagement/types"/>
    <xsd:import namespace="http://schemas.microsoft.com/office/infopath/2007/PartnerControls"/>
    <xsd:element name="EC_Collab_Reference" ma:index="12" nillable="true" ma:displayName="Reference" ma:internalName="EC_Collab_Reference" ma:readOnly="false">
      <xsd:simpleType>
        <xsd:restriction base="dms:Text"/>
      </xsd:simpleType>
    </xsd:element>
    <xsd:element name="EC_Collab_DocumentLanguage" ma:index="14" ma:displayName="Language" ma:default="EN" ma:format="Dropdown" ma:internalName="EC_Collab_DocumentLanguage" ma:readOnly="fals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EC_Collab_Status" ma:index="17" nillable="true" ma:displayName="EC Status" ma:default="Not Started" ma:format="Dropdown" ma:internalName="EC_Collab_Status" ma:readOnly="false">
      <xsd:simpleType>
        <xsd:restriction base="dms:Choice">
          <xsd:enumeration value="Not Started"/>
          <xsd:enumeration value="Draft"/>
          <xsd:enumeration value="Reviewed"/>
          <xsd:enumeration value="Scheduled"/>
          <xsd:enumeration value="Published"/>
          <xsd:enumeration value="Final"/>
          <xsd:enumeration value="Expired"/>
        </xsd:restriction>
      </xsd:simpleType>
    </xsd:element>
    <xsd:element name="TaxCatchAll" ma:index="21" nillable="true" ma:displayName="Taxonomy Catch All Column" ma:hidden="true" ma:list="{51513471-611d-4aba-ae12-e8d0e877eea6}" ma:internalName="TaxCatchAll" ma:showField="CatchAllData" ma:web="144c03d0-0f03-451f-9d46-5279004462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7bb8512-91eb-4bfd-be42-d6f021407e9a" elementFormDefault="qualified">
    <xsd:import namespace="http://schemas.microsoft.com/office/2006/documentManagement/types"/>
    <xsd:import namespace="http://schemas.microsoft.com/office/infopath/2007/PartnerControls"/>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ma:index="8" ma:displayName="Subject"/>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FD41AB-4734-477D-818F-63D2A8FA4E66}">
  <ds:schemaRefs>
    <ds:schemaRef ds:uri="http://schemas.microsoft.com/sharepoint/v3/contenttype/forms"/>
  </ds:schemaRefs>
</ds:datastoreItem>
</file>

<file path=customXml/itemProps2.xml><?xml version="1.0" encoding="utf-8"?>
<ds:datastoreItem xmlns:ds="http://schemas.openxmlformats.org/officeDocument/2006/customXml" ds:itemID="{7DBA27FA-AC3A-4660-B968-E32205D8C374}">
  <ds:schemaRefs>
    <ds:schemaRef ds:uri="http://schemas.microsoft.com/office/2006/metadata/properties"/>
    <ds:schemaRef ds:uri="http://schemas.microsoft.com/office/infopath/2007/PartnerControls"/>
    <ds:schemaRef ds:uri="144c03d0-0f03-451f-9d46-5279004462a4"/>
    <ds:schemaRef ds:uri="http://schemas.microsoft.com/sharepoint/v3/fields"/>
    <ds:schemaRef ds:uri="f7bb8512-91eb-4bfd-be42-d6f021407e9a"/>
  </ds:schemaRefs>
</ds:datastoreItem>
</file>

<file path=customXml/itemProps3.xml><?xml version="1.0" encoding="utf-8"?>
<ds:datastoreItem xmlns:ds="http://schemas.openxmlformats.org/officeDocument/2006/customXml" ds:itemID="{F094B420-1BE8-45F4-94CD-F1FE103FE3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144c03d0-0f03-451f-9d46-5279004462a4"/>
    <ds:schemaRef ds:uri="f7bb8512-91eb-4bfd-be42-d6f021407e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81B29FF-EA32-4050-839B-F03688AC2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19</TotalTime>
  <Pages>9</Pages>
  <Words>2815</Words>
  <Characters>16046</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33</cp:revision>
  <dcterms:created xsi:type="dcterms:W3CDTF">2025-01-15T12:55:00Z</dcterms:created>
  <dcterms:modified xsi:type="dcterms:W3CDTF">2025-02-14T06:58:00Z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8.0.25.0</vt:lpwstr>
  </property>
  <property fmtid="{D5CDD505-2E9C-101B-9397-08002B2CF9AE}" pid="4" name="Last edited using">
    <vt:lpwstr>LW 9.1, Build 20240808</vt:lpwstr>
  </property>
  <property fmtid="{D5CDD505-2E9C-101B-9397-08002B2CF9AE}" pid="5" name="Created using">
    <vt:lpwstr>LW 9.0, Build 20230317</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SJ-020</vt:lpwstr>
  </property>
  <property fmtid="{D5CDD505-2E9C-101B-9397-08002B2CF9AE}" pid="10" name="MSIP_Label_6bd9ddd1-4d20-43f6-abfa-fc3c07406f94_Enabled">
    <vt:lpwstr>true</vt:lpwstr>
  </property>
  <property fmtid="{D5CDD505-2E9C-101B-9397-08002B2CF9AE}" pid="11" name="MSIP_Label_6bd9ddd1-4d20-43f6-abfa-fc3c07406f94_SetDate">
    <vt:lpwstr>2024-11-28T11:15:50Z</vt:lpwstr>
  </property>
  <property fmtid="{D5CDD505-2E9C-101B-9397-08002B2CF9AE}" pid="12" name="MSIP_Label_6bd9ddd1-4d20-43f6-abfa-fc3c07406f94_Method">
    <vt:lpwstr>Standard</vt:lpwstr>
  </property>
  <property fmtid="{D5CDD505-2E9C-101B-9397-08002B2CF9AE}" pid="13" name="MSIP_Label_6bd9ddd1-4d20-43f6-abfa-fc3c07406f94_Name">
    <vt:lpwstr>Commission Use</vt:lpwstr>
  </property>
  <property fmtid="{D5CDD505-2E9C-101B-9397-08002B2CF9AE}" pid="14" name="MSIP_Label_6bd9ddd1-4d20-43f6-abfa-fc3c07406f94_SiteId">
    <vt:lpwstr>b24c8b06-522c-46fe-9080-70926f8dddb1</vt:lpwstr>
  </property>
  <property fmtid="{D5CDD505-2E9C-101B-9397-08002B2CF9AE}" pid="15" name="MSIP_Label_6bd9ddd1-4d20-43f6-abfa-fc3c07406f94_ActionId">
    <vt:lpwstr>e7cad901-5c70-434b-869a-56f54d921df1</vt:lpwstr>
  </property>
  <property fmtid="{D5CDD505-2E9C-101B-9397-08002B2CF9AE}" pid="16" name="MSIP_Label_6bd9ddd1-4d20-43f6-abfa-fc3c07406f94_ContentBits">
    <vt:lpwstr>0</vt:lpwstr>
  </property>
  <property fmtid="{D5CDD505-2E9C-101B-9397-08002B2CF9AE}" pid="17" name="ContentTypeId">
    <vt:lpwstr>0x010100BAD999D84E12C74482EA5120F5227F6F00217DECAAC21D6B43958DFE68658C192E</vt:lpwstr>
  </property>
  <property fmtid="{D5CDD505-2E9C-101B-9397-08002B2CF9AE}" pid="18" name="MediaServiceImageTags">
    <vt:lpwstr/>
  </property>
  <property fmtid="{D5CDD505-2E9C-101B-9397-08002B2CF9AE}" pid="19" name="DQCStatus">
    <vt:lpwstr>Green (DQC version 03)</vt:lpwstr>
  </property>
  <property name="OP_sanitized" fmtid="{D5CDD505-2E9C-101B-9397-08002B2CF9AE}" pid="20">
    <vt:lpwstr>True</vt:lpwstr>
  </property>
</Properties>
</file>