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C3B35" w14:textId="3D1D8938" w:rsidR="00035637" w:rsidRDefault="009421A6" w:rsidP="009421A6">
      <w:pPr>
        <w:pStyle w:val="Pagedecouverture"/>
        <w:rPr>
          <w:noProof/>
        </w:rPr>
      </w:pPr>
      <w:bookmarkStart w:id="0" w:name="LW_BM_COVERPAGE"/>
      <w:r>
        <w:rPr>
          <w:noProof/>
        </w:rPr>
        <w:pict w14:anchorId="56098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0AA810F-AF93-48CA-A00F-43EF340FAFB6" style="width:455.25pt;height:336.75pt">
            <v:imagedata r:id="rId11" o:title=""/>
          </v:shape>
        </w:pict>
      </w:r>
    </w:p>
    <w:bookmarkEnd w:id="0"/>
    <w:p w14:paraId="75801FBB" w14:textId="77777777" w:rsidR="00035637" w:rsidRDefault="00035637" w:rsidP="00035637">
      <w:pPr>
        <w:rPr>
          <w:noProof/>
          <w:lang w:val="en-IE"/>
        </w:rPr>
        <w:sectPr w:rsidR="00035637" w:rsidSect="009421A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3C928F7" w14:textId="77777777" w:rsidR="00470393" w:rsidRPr="004E1DD0" w:rsidRDefault="00470393" w:rsidP="00470393">
      <w:pPr>
        <w:rPr>
          <w:noProof/>
        </w:rPr>
      </w:pPr>
      <w:bookmarkStart w:id="1" w:name="_Hlk516480556"/>
      <w:bookmarkStart w:id="2" w:name="_GoBack"/>
      <w:bookmarkEnd w:id="1"/>
      <w:bookmarkEnd w:id="2"/>
    </w:p>
    <w:p w14:paraId="777BFE8E" w14:textId="431CD941" w:rsidR="00470393" w:rsidRPr="004E1DD0" w:rsidRDefault="00470393" w:rsidP="00E13694">
      <w:pPr>
        <w:pStyle w:val="TOCHeading"/>
        <w:spacing w:before="0" w:after="120" w:line="240" w:lineRule="auto"/>
        <w:jc w:val="center"/>
        <w:rPr>
          <w:rFonts w:ascii="Times New Roman" w:eastAsia="Times New Roman" w:hAnsi="Times New Roman" w:cs="Times New Roman"/>
          <w:noProof/>
          <w:color w:val="auto"/>
          <w:sz w:val="24"/>
          <w:szCs w:val="24"/>
          <w:lang w:val="en-IE"/>
        </w:rPr>
      </w:pPr>
    </w:p>
    <w:sdt>
      <w:sdtPr>
        <w:rPr>
          <w:rFonts w:ascii="Times New Roman" w:eastAsia="Times New Roman" w:hAnsi="Times New Roman" w:cs="Times New Roman"/>
          <w:noProof/>
          <w:color w:val="auto"/>
          <w:sz w:val="24"/>
          <w:szCs w:val="24"/>
        </w:rPr>
        <w:id w:val="-46372658"/>
        <w:docPartObj>
          <w:docPartGallery w:val="Table of Contents"/>
          <w:docPartUnique/>
        </w:docPartObj>
      </w:sdtPr>
      <w:sdtEndPr/>
      <w:sdtContent>
        <w:p w14:paraId="17F9EF3B" w14:textId="6C1EDFC8" w:rsidR="00282B17" w:rsidRPr="004E1DD0" w:rsidRDefault="00A33633" w:rsidP="00E13694">
          <w:pPr>
            <w:pStyle w:val="TOCHeading"/>
            <w:spacing w:before="0" w:after="120" w:line="240" w:lineRule="auto"/>
            <w:jc w:val="center"/>
            <w:rPr>
              <w:rFonts w:ascii="Times New Roman" w:hAnsi="Times New Roman" w:cs="Times New Roman"/>
              <w:b/>
              <w:noProof/>
              <w:color w:val="auto"/>
            </w:rPr>
          </w:pPr>
          <w:r>
            <w:rPr>
              <w:rFonts w:ascii="Times New Roman" w:hAnsi="Times New Roman"/>
              <w:b/>
              <w:noProof/>
              <w:color w:val="auto"/>
            </w:rPr>
            <w:t>Clár Ábhar</w:t>
          </w:r>
        </w:p>
        <w:p w14:paraId="6A5B63E7" w14:textId="77777777" w:rsidR="00282B17" w:rsidRDefault="00282B17">
          <w:pPr>
            <w:rPr>
              <w:noProof/>
              <w:sz w:val="24"/>
              <w:szCs w:val="24"/>
              <w:lang w:val="en-IE"/>
            </w:rPr>
          </w:pPr>
        </w:p>
        <w:p w14:paraId="772E7304" w14:textId="77777777" w:rsidR="00942413" w:rsidRPr="004E1DD0" w:rsidRDefault="00942413">
          <w:pPr>
            <w:rPr>
              <w:noProof/>
              <w:sz w:val="24"/>
              <w:szCs w:val="24"/>
              <w:lang w:val="en-IE"/>
            </w:rPr>
          </w:pPr>
        </w:p>
        <w:p w14:paraId="5BA1855C" w14:textId="60175BAB" w:rsidR="00C27127" w:rsidRDefault="00A33633">
          <w:pPr>
            <w:pStyle w:val="TOC1"/>
            <w:rPr>
              <w:rFonts w:asciiTheme="minorHAnsi" w:eastAsiaTheme="minorEastAsia" w:hAnsiTheme="minorHAnsi" w:cstheme="minorBidi"/>
              <w:noProof/>
              <w:kern w:val="2"/>
              <w:sz w:val="24"/>
              <w:szCs w:val="24"/>
              <w:lang w:val="en-IE" w:eastAsia="en-IE"/>
              <w14:ligatures w14:val="standardContextual"/>
            </w:rPr>
          </w:pPr>
          <w:r>
            <w:rPr>
              <w:rStyle w:val="SubtleReference"/>
              <w:noProof/>
            </w:rPr>
            <w:fldChar w:fldCharType="begin"/>
          </w:r>
          <w:r>
            <w:rPr>
              <w:rStyle w:val="SubtleReference"/>
              <w:noProof/>
            </w:rPr>
            <w:instrText xml:space="preserve"> TOC \o "1-3" \h \z \u </w:instrText>
          </w:r>
          <w:r>
            <w:rPr>
              <w:rStyle w:val="SubtleReference"/>
              <w:noProof/>
            </w:rPr>
            <w:fldChar w:fldCharType="separate"/>
          </w:r>
          <w:hyperlink w:anchor="_Toc209611067" w:history="1">
            <w:r w:rsidR="00C27127" w:rsidRPr="0090767E">
              <w:rPr>
                <w:rStyle w:val="Hyperlink"/>
                <w:bCs/>
                <w:noProof/>
              </w:rPr>
              <w:t>1</w:t>
            </w:r>
            <w:r w:rsidR="00C27127" w:rsidRPr="003B6E23">
              <w:rPr>
                <w:rStyle w:val="Hyperlink"/>
                <w:bCs/>
                <w:noProof/>
              </w:rPr>
              <w:t>.</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noProof/>
              </w:rPr>
              <w:t>Réamhrá</w:t>
            </w:r>
            <w:r w:rsidR="00C27127">
              <w:rPr>
                <w:noProof/>
                <w:webHidden/>
              </w:rPr>
              <w:tab/>
            </w:r>
            <w:r w:rsidR="00C27127">
              <w:rPr>
                <w:noProof/>
                <w:webHidden/>
              </w:rPr>
              <w:fldChar w:fldCharType="begin"/>
            </w:r>
            <w:r w:rsidR="00C27127">
              <w:rPr>
                <w:noProof/>
                <w:webHidden/>
              </w:rPr>
              <w:instrText xml:space="preserve"> PAGEREF _Toc209611067 \h </w:instrText>
            </w:r>
            <w:r w:rsidR="00C27127">
              <w:rPr>
                <w:noProof/>
                <w:webHidden/>
              </w:rPr>
            </w:r>
            <w:r w:rsidR="00C27127">
              <w:rPr>
                <w:noProof/>
                <w:webHidden/>
              </w:rPr>
              <w:fldChar w:fldCharType="separate"/>
            </w:r>
            <w:r w:rsidR="00C27127" w:rsidRPr="0090767E">
              <w:rPr>
                <w:noProof/>
                <w:webHidden/>
              </w:rPr>
              <w:t>2</w:t>
            </w:r>
            <w:r w:rsidR="00C27127">
              <w:rPr>
                <w:noProof/>
                <w:webHidden/>
              </w:rPr>
              <w:fldChar w:fldCharType="end"/>
            </w:r>
          </w:hyperlink>
        </w:p>
        <w:p w14:paraId="5E85F096" w14:textId="1F9EE03E" w:rsidR="00C27127" w:rsidRDefault="009421A6">
          <w:pPr>
            <w:pStyle w:val="TOC1"/>
            <w:rPr>
              <w:rFonts w:asciiTheme="minorHAnsi" w:eastAsiaTheme="minorEastAsia" w:hAnsiTheme="minorHAnsi" w:cstheme="minorBidi"/>
              <w:noProof/>
              <w:kern w:val="2"/>
              <w:sz w:val="24"/>
              <w:szCs w:val="24"/>
              <w:lang w:val="en-IE" w:eastAsia="en-IE"/>
              <w14:ligatures w14:val="standardContextual"/>
            </w:rPr>
          </w:pPr>
          <w:hyperlink w:anchor="_Toc209611068" w:history="1">
            <w:r w:rsidR="00C27127" w:rsidRPr="0090767E">
              <w:rPr>
                <w:rStyle w:val="Hyperlink"/>
                <w:bCs/>
                <w:noProof/>
              </w:rPr>
              <w:t>2</w:t>
            </w:r>
            <w:r w:rsidR="00C27127" w:rsidRPr="003B6E23">
              <w:rPr>
                <w:rStyle w:val="Hyperlink"/>
                <w:bCs/>
                <w:noProof/>
              </w:rPr>
              <w:t>.</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noProof/>
              </w:rPr>
              <w:t>Inneachar na Tuarascála</w:t>
            </w:r>
            <w:r w:rsidR="00C27127">
              <w:rPr>
                <w:noProof/>
                <w:webHidden/>
              </w:rPr>
              <w:tab/>
            </w:r>
            <w:r w:rsidR="00C27127">
              <w:rPr>
                <w:noProof/>
                <w:webHidden/>
              </w:rPr>
              <w:fldChar w:fldCharType="begin"/>
            </w:r>
            <w:r w:rsidR="00C27127">
              <w:rPr>
                <w:noProof/>
                <w:webHidden/>
              </w:rPr>
              <w:instrText xml:space="preserve"> PAGEREF _Toc209611068 \h </w:instrText>
            </w:r>
            <w:r w:rsidR="00C27127">
              <w:rPr>
                <w:noProof/>
                <w:webHidden/>
              </w:rPr>
            </w:r>
            <w:r w:rsidR="00C27127">
              <w:rPr>
                <w:noProof/>
                <w:webHidden/>
              </w:rPr>
              <w:fldChar w:fldCharType="separate"/>
            </w:r>
            <w:r w:rsidR="00C27127" w:rsidRPr="0090767E">
              <w:rPr>
                <w:noProof/>
                <w:webHidden/>
              </w:rPr>
              <w:t>3</w:t>
            </w:r>
            <w:r w:rsidR="00C27127">
              <w:rPr>
                <w:noProof/>
                <w:webHidden/>
              </w:rPr>
              <w:fldChar w:fldCharType="end"/>
            </w:r>
          </w:hyperlink>
        </w:p>
        <w:p w14:paraId="536BA659" w14:textId="2F2AE2EF" w:rsidR="00C27127" w:rsidRDefault="009421A6">
          <w:pPr>
            <w:pStyle w:val="TOC1"/>
            <w:rPr>
              <w:rFonts w:asciiTheme="minorHAnsi" w:eastAsiaTheme="minorEastAsia" w:hAnsiTheme="minorHAnsi" w:cstheme="minorBidi"/>
              <w:noProof/>
              <w:kern w:val="2"/>
              <w:sz w:val="24"/>
              <w:szCs w:val="24"/>
              <w:lang w:val="en-IE" w:eastAsia="en-IE"/>
              <w14:ligatures w14:val="standardContextual"/>
            </w:rPr>
          </w:pPr>
          <w:hyperlink w:anchor="_Toc209611069" w:history="1">
            <w:r w:rsidR="00C27127" w:rsidRPr="0090767E">
              <w:rPr>
                <w:rStyle w:val="Hyperlink"/>
                <w:bCs/>
                <w:noProof/>
              </w:rPr>
              <w:t>3</w:t>
            </w:r>
            <w:r w:rsidR="00C27127" w:rsidRPr="003B6E23">
              <w:rPr>
                <w:rStyle w:val="Hyperlink"/>
                <w:bCs/>
                <w:noProof/>
              </w:rPr>
              <w:t>.</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noProof/>
              </w:rPr>
              <w:t>Freagrachtaí le haghaidh chórais leictreonacha Chód Custaim an Aontais</w:t>
            </w:r>
            <w:r w:rsidR="00C27127">
              <w:rPr>
                <w:noProof/>
                <w:webHidden/>
              </w:rPr>
              <w:tab/>
            </w:r>
            <w:r w:rsidR="00C27127">
              <w:rPr>
                <w:noProof/>
                <w:webHidden/>
              </w:rPr>
              <w:fldChar w:fldCharType="begin"/>
            </w:r>
            <w:r w:rsidR="00C27127">
              <w:rPr>
                <w:noProof/>
                <w:webHidden/>
              </w:rPr>
              <w:instrText xml:space="preserve"> PAGEREF _Toc209611069 \h </w:instrText>
            </w:r>
            <w:r w:rsidR="00C27127">
              <w:rPr>
                <w:noProof/>
                <w:webHidden/>
              </w:rPr>
            </w:r>
            <w:r w:rsidR="00C27127">
              <w:rPr>
                <w:noProof/>
                <w:webHidden/>
              </w:rPr>
              <w:fldChar w:fldCharType="separate"/>
            </w:r>
            <w:r w:rsidR="00C27127" w:rsidRPr="0090767E">
              <w:rPr>
                <w:noProof/>
                <w:webHidden/>
              </w:rPr>
              <w:t>4</w:t>
            </w:r>
            <w:r w:rsidR="00C27127">
              <w:rPr>
                <w:noProof/>
                <w:webHidden/>
              </w:rPr>
              <w:fldChar w:fldCharType="end"/>
            </w:r>
          </w:hyperlink>
        </w:p>
        <w:p w14:paraId="63D987D6" w14:textId="6A60AB8A" w:rsidR="00C27127" w:rsidRDefault="009421A6">
          <w:pPr>
            <w:pStyle w:val="TOC1"/>
            <w:rPr>
              <w:rFonts w:asciiTheme="minorHAnsi" w:eastAsiaTheme="minorEastAsia" w:hAnsiTheme="minorHAnsi" w:cstheme="minorBidi"/>
              <w:noProof/>
              <w:kern w:val="2"/>
              <w:sz w:val="24"/>
              <w:szCs w:val="24"/>
              <w:lang w:val="en-IE" w:eastAsia="en-IE"/>
              <w14:ligatures w14:val="standardContextual"/>
            </w:rPr>
          </w:pPr>
          <w:hyperlink w:anchor="_Toc209611070" w:history="1">
            <w:r w:rsidR="00C27127" w:rsidRPr="0090767E">
              <w:rPr>
                <w:rStyle w:val="Hyperlink"/>
                <w:bCs/>
                <w:noProof/>
              </w:rPr>
              <w:t>4</w:t>
            </w:r>
            <w:r w:rsidR="00C27127" w:rsidRPr="003B6E23">
              <w:rPr>
                <w:rStyle w:val="Hyperlink"/>
                <w:bCs/>
                <w:noProof/>
              </w:rPr>
              <w:t>.</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noProof/>
              </w:rPr>
              <w:t>Forbhreathnú domhanda ar dhul chun cinn le córais leictreonacha Chód Custaim an Aontais</w:t>
            </w:r>
            <w:r w:rsidR="00C27127">
              <w:rPr>
                <w:noProof/>
                <w:webHidden/>
              </w:rPr>
              <w:tab/>
            </w:r>
            <w:r w:rsidR="00C27127">
              <w:rPr>
                <w:noProof/>
                <w:webHidden/>
              </w:rPr>
              <w:fldChar w:fldCharType="begin"/>
            </w:r>
            <w:r w:rsidR="00C27127">
              <w:rPr>
                <w:noProof/>
                <w:webHidden/>
              </w:rPr>
              <w:instrText xml:space="preserve"> PAGEREF _Toc209611070 \h </w:instrText>
            </w:r>
            <w:r w:rsidR="00C27127">
              <w:rPr>
                <w:noProof/>
                <w:webHidden/>
              </w:rPr>
            </w:r>
            <w:r w:rsidR="00C27127">
              <w:rPr>
                <w:noProof/>
                <w:webHidden/>
              </w:rPr>
              <w:fldChar w:fldCharType="separate"/>
            </w:r>
            <w:r w:rsidR="00C27127" w:rsidRPr="0090767E">
              <w:rPr>
                <w:noProof/>
                <w:webHidden/>
              </w:rPr>
              <w:t>5</w:t>
            </w:r>
            <w:r w:rsidR="00C27127">
              <w:rPr>
                <w:noProof/>
                <w:webHidden/>
              </w:rPr>
              <w:fldChar w:fldCharType="end"/>
            </w:r>
          </w:hyperlink>
        </w:p>
        <w:p w14:paraId="2B3CFEFA" w14:textId="3EAE5E45" w:rsidR="00C27127" w:rsidRDefault="009421A6">
          <w:pPr>
            <w:pStyle w:val="TOC3"/>
            <w:tabs>
              <w:tab w:val="left" w:pos="960"/>
              <w:tab w:val="right" w:leader="dot" w:pos="9060"/>
            </w:tabs>
            <w:rPr>
              <w:rFonts w:asciiTheme="minorHAnsi" w:eastAsiaTheme="minorEastAsia" w:hAnsiTheme="minorHAnsi" w:cstheme="minorBidi"/>
              <w:noProof/>
              <w:kern w:val="2"/>
              <w:sz w:val="24"/>
              <w:szCs w:val="24"/>
              <w:lang w:val="en-IE" w:eastAsia="en-IE"/>
              <w14:ligatures w14:val="standardContextual"/>
            </w:rPr>
          </w:pPr>
          <w:hyperlink w:anchor="_Toc209611071" w:history="1">
            <w:r w:rsidR="00C27127" w:rsidRPr="0090767E">
              <w:rPr>
                <w:rStyle w:val="Hyperlink"/>
                <w:rFonts w:eastAsia="PMingLiU"/>
                <w:caps/>
                <w:noProof/>
              </w:rPr>
              <w:t>4</w:t>
            </w:r>
            <w:r w:rsidR="00C27127" w:rsidRPr="003B6E23">
              <w:rPr>
                <w:rStyle w:val="Hyperlink"/>
                <w:rFonts w:eastAsia="PMingLiU"/>
                <w:caps/>
                <w:noProof/>
              </w:rPr>
              <w:t>.</w:t>
            </w:r>
            <w:r w:rsidR="00C27127" w:rsidRPr="0090767E">
              <w:rPr>
                <w:rStyle w:val="Hyperlink"/>
                <w:rFonts w:eastAsia="PMingLiU"/>
                <w:caps/>
                <w:noProof/>
              </w:rPr>
              <w:t>1</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caps/>
                <w:noProof/>
              </w:rPr>
              <w:t xml:space="preserve">Tionscadail a cuireadh i </w:t>
            </w:r>
            <w:r w:rsidR="00C27127" w:rsidRPr="003B6E23">
              <w:rPr>
                <w:rStyle w:val="Hyperlink"/>
                <w:rFonts w:ascii="Times New Roman Bold" w:hAnsi="Times New Roman Bold"/>
                <w:noProof/>
              </w:rPr>
              <w:t>g</w:t>
            </w:r>
            <w:r w:rsidR="00C27127" w:rsidRPr="003B6E23">
              <w:rPr>
                <w:rStyle w:val="Hyperlink"/>
                <w:caps/>
                <w:noProof/>
              </w:rPr>
              <w:t xml:space="preserve">crích roimh </w:t>
            </w:r>
            <w:r w:rsidR="00C27127" w:rsidRPr="0090767E">
              <w:rPr>
                <w:rStyle w:val="Hyperlink"/>
                <w:caps/>
                <w:noProof/>
              </w:rPr>
              <w:t>2024</w:t>
            </w:r>
            <w:r w:rsidR="00C27127">
              <w:rPr>
                <w:noProof/>
                <w:webHidden/>
              </w:rPr>
              <w:tab/>
            </w:r>
            <w:r w:rsidR="00C27127">
              <w:rPr>
                <w:noProof/>
                <w:webHidden/>
              </w:rPr>
              <w:fldChar w:fldCharType="begin"/>
            </w:r>
            <w:r w:rsidR="00C27127">
              <w:rPr>
                <w:noProof/>
                <w:webHidden/>
              </w:rPr>
              <w:instrText xml:space="preserve"> PAGEREF _Toc209611071 \h </w:instrText>
            </w:r>
            <w:r w:rsidR="00C27127">
              <w:rPr>
                <w:noProof/>
                <w:webHidden/>
              </w:rPr>
            </w:r>
            <w:r w:rsidR="00C27127">
              <w:rPr>
                <w:noProof/>
                <w:webHidden/>
              </w:rPr>
              <w:fldChar w:fldCharType="separate"/>
            </w:r>
            <w:r w:rsidR="00C27127" w:rsidRPr="0090767E">
              <w:rPr>
                <w:noProof/>
                <w:webHidden/>
              </w:rPr>
              <w:t>5</w:t>
            </w:r>
            <w:r w:rsidR="00C27127">
              <w:rPr>
                <w:noProof/>
                <w:webHidden/>
              </w:rPr>
              <w:fldChar w:fldCharType="end"/>
            </w:r>
          </w:hyperlink>
        </w:p>
        <w:p w14:paraId="5E0E7551" w14:textId="66D76271" w:rsidR="00C27127" w:rsidRDefault="009421A6">
          <w:pPr>
            <w:pStyle w:val="TOC3"/>
            <w:tabs>
              <w:tab w:val="left" w:pos="960"/>
              <w:tab w:val="right" w:leader="dot" w:pos="9060"/>
            </w:tabs>
            <w:rPr>
              <w:rFonts w:asciiTheme="minorHAnsi" w:eastAsiaTheme="minorEastAsia" w:hAnsiTheme="minorHAnsi" w:cstheme="minorBidi"/>
              <w:noProof/>
              <w:kern w:val="2"/>
              <w:sz w:val="24"/>
              <w:szCs w:val="24"/>
              <w:lang w:val="en-IE" w:eastAsia="en-IE"/>
              <w14:ligatures w14:val="standardContextual"/>
            </w:rPr>
          </w:pPr>
          <w:hyperlink w:anchor="_Toc209611072" w:history="1">
            <w:r w:rsidR="00C27127" w:rsidRPr="0090767E">
              <w:rPr>
                <w:rStyle w:val="Hyperlink"/>
                <w:rFonts w:eastAsia="PMingLiU"/>
                <w:caps/>
                <w:noProof/>
              </w:rPr>
              <w:t>4</w:t>
            </w:r>
            <w:r w:rsidR="00C27127" w:rsidRPr="003B6E23">
              <w:rPr>
                <w:rStyle w:val="Hyperlink"/>
                <w:rFonts w:eastAsia="PMingLiU"/>
                <w:caps/>
                <w:noProof/>
              </w:rPr>
              <w:t>.</w:t>
            </w:r>
            <w:r w:rsidR="00C27127" w:rsidRPr="0090767E">
              <w:rPr>
                <w:rStyle w:val="Hyperlink"/>
                <w:rFonts w:eastAsia="PMingLiU"/>
                <w:caps/>
                <w:noProof/>
              </w:rPr>
              <w:t>2</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caps/>
                <w:noProof/>
              </w:rPr>
              <w:t xml:space="preserve">Tionscadail atá leanúnach agus a tugadh i </w:t>
            </w:r>
            <w:r w:rsidR="00C27127" w:rsidRPr="003B6E23">
              <w:rPr>
                <w:rStyle w:val="Hyperlink"/>
                <w:rFonts w:ascii="Times New Roman Bold" w:hAnsi="Times New Roman Bold"/>
                <w:noProof/>
              </w:rPr>
              <w:t>g</w:t>
            </w:r>
            <w:r w:rsidR="00C27127" w:rsidRPr="003B6E23">
              <w:rPr>
                <w:rStyle w:val="Hyperlink"/>
                <w:caps/>
                <w:noProof/>
              </w:rPr>
              <w:t xml:space="preserve">crích in </w:t>
            </w:r>
            <w:r w:rsidR="00C27127" w:rsidRPr="0090767E">
              <w:rPr>
                <w:rStyle w:val="Hyperlink"/>
                <w:caps/>
                <w:noProof/>
              </w:rPr>
              <w:t>2024</w:t>
            </w:r>
            <w:r w:rsidR="00C27127">
              <w:rPr>
                <w:noProof/>
                <w:webHidden/>
              </w:rPr>
              <w:tab/>
            </w:r>
            <w:r w:rsidR="00C27127">
              <w:rPr>
                <w:noProof/>
                <w:webHidden/>
              </w:rPr>
              <w:fldChar w:fldCharType="begin"/>
            </w:r>
            <w:r w:rsidR="00C27127">
              <w:rPr>
                <w:noProof/>
                <w:webHidden/>
              </w:rPr>
              <w:instrText xml:space="preserve"> PAGEREF _Toc209611072 \h </w:instrText>
            </w:r>
            <w:r w:rsidR="00C27127">
              <w:rPr>
                <w:noProof/>
                <w:webHidden/>
              </w:rPr>
            </w:r>
            <w:r w:rsidR="00C27127">
              <w:rPr>
                <w:noProof/>
                <w:webHidden/>
              </w:rPr>
              <w:fldChar w:fldCharType="separate"/>
            </w:r>
            <w:r w:rsidR="00C27127" w:rsidRPr="0090767E">
              <w:rPr>
                <w:noProof/>
                <w:webHidden/>
              </w:rPr>
              <w:t>5</w:t>
            </w:r>
            <w:r w:rsidR="00C27127">
              <w:rPr>
                <w:noProof/>
                <w:webHidden/>
              </w:rPr>
              <w:fldChar w:fldCharType="end"/>
            </w:r>
          </w:hyperlink>
        </w:p>
        <w:p w14:paraId="6BB77C9D" w14:textId="4304A1EC" w:rsidR="00C27127" w:rsidRDefault="009421A6">
          <w:pPr>
            <w:pStyle w:val="TOC3"/>
            <w:tabs>
              <w:tab w:val="left" w:pos="960"/>
              <w:tab w:val="right" w:leader="dot" w:pos="9060"/>
            </w:tabs>
            <w:rPr>
              <w:rFonts w:asciiTheme="minorHAnsi" w:eastAsiaTheme="minorEastAsia" w:hAnsiTheme="minorHAnsi" w:cstheme="minorBidi"/>
              <w:noProof/>
              <w:kern w:val="2"/>
              <w:sz w:val="24"/>
              <w:szCs w:val="24"/>
              <w:lang w:val="en-IE" w:eastAsia="en-IE"/>
              <w14:ligatures w14:val="standardContextual"/>
            </w:rPr>
          </w:pPr>
          <w:hyperlink w:anchor="_Toc209611073" w:history="1">
            <w:r w:rsidR="00C27127" w:rsidRPr="0090767E">
              <w:rPr>
                <w:rStyle w:val="Hyperlink"/>
                <w:rFonts w:eastAsia="PMingLiU"/>
                <w:caps/>
                <w:noProof/>
              </w:rPr>
              <w:t>4</w:t>
            </w:r>
            <w:r w:rsidR="00C27127" w:rsidRPr="003B6E23">
              <w:rPr>
                <w:rStyle w:val="Hyperlink"/>
                <w:rFonts w:eastAsia="PMingLiU"/>
                <w:caps/>
                <w:noProof/>
              </w:rPr>
              <w:t>.</w:t>
            </w:r>
            <w:r w:rsidR="00C27127" w:rsidRPr="0090767E">
              <w:rPr>
                <w:rStyle w:val="Hyperlink"/>
                <w:rFonts w:eastAsia="PMingLiU"/>
                <w:caps/>
                <w:noProof/>
              </w:rPr>
              <w:t>3</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caps/>
                <w:noProof/>
              </w:rPr>
              <w:t>Rioscaí maidir le moilleanna ar chur chun feidhme TF Chód Custaim an Aontais</w:t>
            </w:r>
            <w:r w:rsidR="00C27127">
              <w:rPr>
                <w:noProof/>
                <w:webHidden/>
              </w:rPr>
              <w:tab/>
            </w:r>
            <w:r w:rsidR="00C27127">
              <w:rPr>
                <w:noProof/>
                <w:webHidden/>
              </w:rPr>
              <w:fldChar w:fldCharType="begin"/>
            </w:r>
            <w:r w:rsidR="00C27127">
              <w:rPr>
                <w:noProof/>
                <w:webHidden/>
              </w:rPr>
              <w:instrText xml:space="preserve"> PAGEREF _Toc209611073 \h </w:instrText>
            </w:r>
            <w:r w:rsidR="00C27127">
              <w:rPr>
                <w:noProof/>
                <w:webHidden/>
              </w:rPr>
            </w:r>
            <w:r w:rsidR="00C27127">
              <w:rPr>
                <w:noProof/>
                <w:webHidden/>
              </w:rPr>
              <w:fldChar w:fldCharType="separate"/>
            </w:r>
            <w:r w:rsidR="00C27127" w:rsidRPr="0090767E">
              <w:rPr>
                <w:noProof/>
                <w:webHidden/>
              </w:rPr>
              <w:t>15</w:t>
            </w:r>
            <w:r w:rsidR="00C27127">
              <w:rPr>
                <w:noProof/>
                <w:webHidden/>
              </w:rPr>
              <w:fldChar w:fldCharType="end"/>
            </w:r>
          </w:hyperlink>
        </w:p>
        <w:p w14:paraId="79348B38" w14:textId="4B2FA946" w:rsidR="00C27127" w:rsidRDefault="009421A6">
          <w:pPr>
            <w:pStyle w:val="TOC3"/>
            <w:tabs>
              <w:tab w:val="left" w:pos="960"/>
              <w:tab w:val="right" w:leader="dot" w:pos="9060"/>
            </w:tabs>
            <w:rPr>
              <w:rFonts w:asciiTheme="minorHAnsi" w:eastAsiaTheme="minorEastAsia" w:hAnsiTheme="minorHAnsi" w:cstheme="minorBidi"/>
              <w:noProof/>
              <w:kern w:val="2"/>
              <w:sz w:val="24"/>
              <w:szCs w:val="24"/>
              <w:lang w:val="en-IE" w:eastAsia="en-IE"/>
              <w14:ligatures w14:val="standardContextual"/>
            </w:rPr>
          </w:pPr>
          <w:hyperlink w:anchor="_Toc209611074" w:history="1">
            <w:r w:rsidR="00C27127" w:rsidRPr="0090767E">
              <w:rPr>
                <w:rStyle w:val="Hyperlink"/>
                <w:rFonts w:eastAsia="PMingLiU"/>
                <w:caps/>
                <w:noProof/>
              </w:rPr>
              <w:t>4</w:t>
            </w:r>
            <w:r w:rsidR="00C27127" w:rsidRPr="003B6E23">
              <w:rPr>
                <w:rStyle w:val="Hyperlink"/>
                <w:rFonts w:eastAsia="PMingLiU"/>
                <w:caps/>
                <w:noProof/>
              </w:rPr>
              <w:t>.</w:t>
            </w:r>
            <w:r w:rsidR="00C27127" w:rsidRPr="0090767E">
              <w:rPr>
                <w:rStyle w:val="Hyperlink"/>
                <w:rFonts w:eastAsia="PMingLiU"/>
                <w:caps/>
                <w:noProof/>
              </w:rPr>
              <w:t>4</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caps/>
                <w:noProof/>
              </w:rPr>
              <w:t>Bearta maolaithe</w:t>
            </w:r>
            <w:r w:rsidR="00C27127">
              <w:rPr>
                <w:noProof/>
                <w:webHidden/>
              </w:rPr>
              <w:tab/>
            </w:r>
            <w:r w:rsidR="00C27127">
              <w:rPr>
                <w:noProof/>
                <w:webHidden/>
              </w:rPr>
              <w:fldChar w:fldCharType="begin"/>
            </w:r>
            <w:r w:rsidR="00C27127">
              <w:rPr>
                <w:noProof/>
                <w:webHidden/>
              </w:rPr>
              <w:instrText xml:space="preserve"> PAGEREF _Toc209611074 \h </w:instrText>
            </w:r>
            <w:r w:rsidR="00C27127">
              <w:rPr>
                <w:noProof/>
                <w:webHidden/>
              </w:rPr>
            </w:r>
            <w:r w:rsidR="00C27127">
              <w:rPr>
                <w:noProof/>
                <w:webHidden/>
              </w:rPr>
              <w:fldChar w:fldCharType="separate"/>
            </w:r>
            <w:r w:rsidR="00C27127" w:rsidRPr="0090767E">
              <w:rPr>
                <w:noProof/>
                <w:webHidden/>
              </w:rPr>
              <w:t>17</w:t>
            </w:r>
            <w:r w:rsidR="00C27127">
              <w:rPr>
                <w:noProof/>
                <w:webHidden/>
              </w:rPr>
              <w:fldChar w:fldCharType="end"/>
            </w:r>
          </w:hyperlink>
        </w:p>
        <w:p w14:paraId="6FCDCAAB" w14:textId="58D40113" w:rsidR="00C27127" w:rsidRDefault="009421A6">
          <w:pPr>
            <w:pStyle w:val="TOC3"/>
            <w:tabs>
              <w:tab w:val="left" w:pos="960"/>
              <w:tab w:val="right" w:leader="dot" w:pos="9060"/>
            </w:tabs>
            <w:rPr>
              <w:rFonts w:asciiTheme="minorHAnsi" w:eastAsiaTheme="minorEastAsia" w:hAnsiTheme="minorHAnsi" w:cstheme="minorBidi"/>
              <w:noProof/>
              <w:kern w:val="2"/>
              <w:sz w:val="24"/>
              <w:szCs w:val="24"/>
              <w:lang w:val="en-IE" w:eastAsia="en-IE"/>
              <w14:ligatures w14:val="standardContextual"/>
            </w:rPr>
          </w:pPr>
          <w:hyperlink w:anchor="_Toc209611075" w:history="1">
            <w:r w:rsidR="00C27127" w:rsidRPr="0090767E">
              <w:rPr>
                <w:rStyle w:val="Hyperlink"/>
                <w:rFonts w:eastAsia="PMingLiU"/>
                <w:caps/>
                <w:noProof/>
              </w:rPr>
              <w:t>4</w:t>
            </w:r>
            <w:r w:rsidR="00C27127" w:rsidRPr="003B6E23">
              <w:rPr>
                <w:rStyle w:val="Hyperlink"/>
                <w:rFonts w:eastAsia="PMingLiU"/>
                <w:caps/>
                <w:noProof/>
              </w:rPr>
              <w:t>.</w:t>
            </w:r>
            <w:r w:rsidR="00C27127" w:rsidRPr="0090767E">
              <w:rPr>
                <w:rStyle w:val="Hyperlink"/>
                <w:rFonts w:eastAsia="PMingLiU"/>
                <w:caps/>
                <w:noProof/>
              </w:rPr>
              <w:t>5</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caps/>
                <w:noProof/>
              </w:rPr>
              <w:t xml:space="preserve">Staid na </w:t>
            </w:r>
            <w:r w:rsidR="00C27127" w:rsidRPr="003B6E23">
              <w:rPr>
                <w:rStyle w:val="Hyperlink"/>
                <w:rFonts w:ascii="Times New Roman Bold" w:hAnsi="Times New Roman Bold"/>
                <w:noProof/>
              </w:rPr>
              <w:t>h</w:t>
            </w:r>
            <w:r w:rsidR="00C27127" w:rsidRPr="003B6E23">
              <w:rPr>
                <w:rStyle w:val="Hyperlink"/>
                <w:caps/>
                <w:noProof/>
              </w:rPr>
              <w:t>imeartha maidir le tíortha is iarrthóirí nó tíortha is iarrthóirí ionchasacha</w:t>
            </w:r>
            <w:r w:rsidR="00C27127">
              <w:rPr>
                <w:noProof/>
                <w:webHidden/>
              </w:rPr>
              <w:tab/>
            </w:r>
            <w:r w:rsidR="00C27127">
              <w:rPr>
                <w:noProof/>
                <w:webHidden/>
              </w:rPr>
              <w:fldChar w:fldCharType="begin"/>
            </w:r>
            <w:r w:rsidR="00C27127">
              <w:rPr>
                <w:noProof/>
                <w:webHidden/>
              </w:rPr>
              <w:instrText xml:space="preserve"> PAGEREF _Toc209611075 \h </w:instrText>
            </w:r>
            <w:r w:rsidR="00C27127">
              <w:rPr>
                <w:noProof/>
                <w:webHidden/>
              </w:rPr>
            </w:r>
            <w:r w:rsidR="00C27127">
              <w:rPr>
                <w:noProof/>
                <w:webHidden/>
              </w:rPr>
              <w:fldChar w:fldCharType="separate"/>
            </w:r>
            <w:r w:rsidR="00C27127" w:rsidRPr="0090767E">
              <w:rPr>
                <w:noProof/>
                <w:webHidden/>
              </w:rPr>
              <w:t>19</w:t>
            </w:r>
            <w:r w:rsidR="00C27127">
              <w:rPr>
                <w:noProof/>
                <w:webHidden/>
              </w:rPr>
              <w:fldChar w:fldCharType="end"/>
            </w:r>
          </w:hyperlink>
        </w:p>
        <w:p w14:paraId="44E4EE8B" w14:textId="0D52760A" w:rsidR="00C27127" w:rsidRDefault="009421A6">
          <w:pPr>
            <w:pStyle w:val="TOC1"/>
            <w:rPr>
              <w:rFonts w:asciiTheme="minorHAnsi" w:eastAsiaTheme="minorEastAsia" w:hAnsiTheme="minorHAnsi" w:cstheme="minorBidi"/>
              <w:noProof/>
              <w:kern w:val="2"/>
              <w:sz w:val="24"/>
              <w:szCs w:val="24"/>
              <w:lang w:val="en-IE" w:eastAsia="en-IE"/>
              <w14:ligatures w14:val="standardContextual"/>
            </w:rPr>
          </w:pPr>
          <w:hyperlink w:anchor="_Toc209611076" w:history="1">
            <w:r w:rsidR="00C27127" w:rsidRPr="0090767E">
              <w:rPr>
                <w:rStyle w:val="Hyperlink"/>
                <w:bCs/>
                <w:noProof/>
              </w:rPr>
              <w:t>5</w:t>
            </w:r>
            <w:r w:rsidR="00C27127" w:rsidRPr="003B6E23">
              <w:rPr>
                <w:rStyle w:val="Hyperlink"/>
                <w:bCs/>
                <w:noProof/>
              </w:rPr>
              <w:t>.</w:t>
            </w:r>
            <w:r w:rsidR="00C27127">
              <w:rPr>
                <w:rFonts w:asciiTheme="minorHAnsi" w:eastAsiaTheme="minorEastAsia" w:hAnsiTheme="minorHAnsi" w:cstheme="minorBidi"/>
                <w:noProof/>
                <w:kern w:val="2"/>
                <w:sz w:val="24"/>
                <w:szCs w:val="24"/>
                <w:lang w:val="en-IE" w:eastAsia="en-IE"/>
                <w14:ligatures w14:val="standardContextual"/>
              </w:rPr>
              <w:tab/>
            </w:r>
            <w:r w:rsidR="00C27127" w:rsidRPr="003B6E23">
              <w:rPr>
                <w:rStyle w:val="Hyperlink"/>
                <w:noProof/>
              </w:rPr>
              <w:t>Achoimre ar bhainistíocht agus conclúidí</w:t>
            </w:r>
            <w:r w:rsidR="00C27127">
              <w:rPr>
                <w:noProof/>
                <w:webHidden/>
              </w:rPr>
              <w:tab/>
            </w:r>
            <w:r w:rsidR="00C27127">
              <w:rPr>
                <w:noProof/>
                <w:webHidden/>
              </w:rPr>
              <w:fldChar w:fldCharType="begin"/>
            </w:r>
            <w:r w:rsidR="00C27127">
              <w:rPr>
                <w:noProof/>
                <w:webHidden/>
              </w:rPr>
              <w:instrText xml:space="preserve"> PAGEREF _Toc209611076 \h </w:instrText>
            </w:r>
            <w:r w:rsidR="00C27127">
              <w:rPr>
                <w:noProof/>
                <w:webHidden/>
              </w:rPr>
            </w:r>
            <w:r w:rsidR="00C27127">
              <w:rPr>
                <w:noProof/>
                <w:webHidden/>
              </w:rPr>
              <w:fldChar w:fldCharType="separate"/>
            </w:r>
            <w:r w:rsidR="00C27127" w:rsidRPr="0090767E">
              <w:rPr>
                <w:noProof/>
                <w:webHidden/>
              </w:rPr>
              <w:t>20</w:t>
            </w:r>
            <w:r w:rsidR="00C27127">
              <w:rPr>
                <w:noProof/>
                <w:webHidden/>
              </w:rPr>
              <w:fldChar w:fldCharType="end"/>
            </w:r>
          </w:hyperlink>
        </w:p>
        <w:p w14:paraId="3795905B" w14:textId="1DA01E0B" w:rsidR="00282B17" w:rsidRPr="004E1DD0" w:rsidRDefault="00A33633">
          <w:pPr>
            <w:rPr>
              <w:noProof/>
              <w:sz w:val="24"/>
            </w:rPr>
          </w:pPr>
          <w:r>
            <w:rPr>
              <w:rStyle w:val="SubtleReference"/>
              <w:noProof/>
            </w:rPr>
            <w:fldChar w:fldCharType="end"/>
          </w:r>
        </w:p>
      </w:sdtContent>
    </w:sdt>
    <w:p w14:paraId="7FCFD25D" w14:textId="771F34D2" w:rsidR="00282B17" w:rsidRPr="004E1DD0" w:rsidRDefault="00A33633">
      <w:pPr>
        <w:jc w:val="left"/>
        <w:rPr>
          <w:rFonts w:eastAsiaTheme="majorEastAsia"/>
          <w:noProof/>
          <w:sz w:val="24"/>
          <w:szCs w:val="24"/>
        </w:rPr>
      </w:pPr>
      <w:r>
        <w:rPr>
          <w:noProof/>
        </w:rPr>
        <w:br w:type="page"/>
      </w:r>
    </w:p>
    <w:p w14:paraId="62C63BC9" w14:textId="1BA23767" w:rsidR="00282B17" w:rsidRPr="004E1DD0" w:rsidRDefault="00A33633" w:rsidP="00625C8F">
      <w:pPr>
        <w:pStyle w:val="Heading1"/>
        <w:keepLines w:val="0"/>
        <w:numPr>
          <w:ilvl w:val="0"/>
          <w:numId w:val="4"/>
        </w:numPr>
        <w:spacing w:after="240"/>
        <w:ind w:left="567" w:hanging="567"/>
        <w:jc w:val="left"/>
        <w:rPr>
          <w:rFonts w:hint="eastAsia"/>
          <w:noProof/>
        </w:rPr>
      </w:pPr>
      <w:bookmarkStart w:id="3" w:name="_Toc52475146"/>
      <w:bookmarkStart w:id="4" w:name="_Toc209611067"/>
      <w:r>
        <w:rPr>
          <w:noProof/>
        </w:rPr>
        <w:t>Réamhrá</w:t>
      </w:r>
      <w:bookmarkEnd w:id="3"/>
      <w:bookmarkEnd w:id="4"/>
    </w:p>
    <w:p w14:paraId="3ADB7018" w14:textId="080AA65E" w:rsidR="005C295F" w:rsidRPr="004E1DD0" w:rsidRDefault="00EF4F29" w:rsidP="005C295F">
      <w:pPr>
        <w:rPr>
          <w:rFonts w:eastAsiaTheme="minorEastAsia"/>
          <w:noProof/>
          <w:color w:val="000000" w:themeColor="text1"/>
        </w:rPr>
      </w:pPr>
      <w:r>
        <w:rPr>
          <w:noProof/>
          <w:color w:val="000000" w:themeColor="text1"/>
        </w:rPr>
        <w:t xml:space="preserve">Is í seo </w:t>
      </w:r>
      <w:r>
        <w:rPr>
          <w:b/>
          <w:noProof/>
          <w:color w:val="000000" w:themeColor="text1"/>
        </w:rPr>
        <w:t xml:space="preserve">tuarascáil bhliantúil </w:t>
      </w:r>
      <w:r w:rsidRPr="0090767E">
        <w:rPr>
          <w:b/>
          <w:noProof/>
          <w:color w:val="000000" w:themeColor="text1"/>
        </w:rPr>
        <w:t>2024</w:t>
      </w:r>
      <w:r>
        <w:rPr>
          <w:b/>
          <w:noProof/>
          <w:color w:val="000000" w:themeColor="text1"/>
        </w:rPr>
        <w:t xml:space="preserve"> ar an dul chun cinn maidir le cur chun feidhme digiteach Chód Custaim an Aontais</w:t>
      </w:r>
      <w:r>
        <w:rPr>
          <w:rStyle w:val="FootnoteReference"/>
          <w:rFonts w:eastAsiaTheme="minorEastAsia"/>
          <w:noProof/>
          <w:color w:val="000000"/>
          <w:lang w:val="en-IE"/>
        </w:rPr>
        <w:footnoteReference w:id="2"/>
      </w:r>
      <w:r>
        <w:rPr>
          <w:b/>
          <w:noProof/>
          <w:color w:val="000000" w:themeColor="text1"/>
        </w:rPr>
        <w:t xml:space="preserve">, </w:t>
      </w:r>
      <w:r>
        <w:rPr>
          <w:noProof/>
          <w:color w:val="000000" w:themeColor="text1"/>
        </w:rPr>
        <w:t>an séú ceann a dhréachtaigh an Coimisiún i gcomhréir le hAirteagal </w:t>
      </w:r>
      <w:r w:rsidRPr="0090767E">
        <w:rPr>
          <w:noProof/>
          <w:color w:val="000000" w:themeColor="text1"/>
        </w:rPr>
        <w:t>278</w:t>
      </w:r>
      <w:r>
        <w:rPr>
          <w:noProof/>
          <w:color w:val="000000" w:themeColor="text1"/>
        </w:rPr>
        <w:t>(a) ó Chód Custaim an Aontais maidir leis an dul chun cinn i dtaobh na córais leictreonacha a fhorbairt</w:t>
      </w:r>
      <w:r>
        <w:rPr>
          <w:rFonts w:eastAsiaTheme="minorEastAsia"/>
          <w:noProof/>
          <w:color w:val="000000"/>
          <w:vertAlign w:val="superscript"/>
          <w:lang w:val="en-IE"/>
        </w:rPr>
        <w:footnoteReference w:id="3"/>
      </w:r>
      <w:r>
        <w:rPr>
          <w:noProof/>
          <w:color w:val="000000" w:themeColor="text1"/>
        </w:rPr>
        <w:t xml:space="preserve">. </w:t>
      </w:r>
      <w:r>
        <w:rPr>
          <w:noProof/>
        </w:rPr>
        <w:t xml:space="preserve">Cumhdaítear léi </w:t>
      </w:r>
      <w:r>
        <w:rPr>
          <w:b/>
          <w:noProof/>
        </w:rPr>
        <w:t xml:space="preserve">stádas an dul chun cinn a baineadh amach in </w:t>
      </w:r>
      <w:r w:rsidRPr="0090767E">
        <w:rPr>
          <w:b/>
          <w:noProof/>
        </w:rPr>
        <w:t>2024</w:t>
      </w:r>
      <w:r>
        <w:rPr>
          <w:noProof/>
        </w:rPr>
        <w:t xml:space="preserve">, lena n‑áirítear dearcadh ar an </w:t>
      </w:r>
      <w:r>
        <w:rPr>
          <w:b/>
          <w:noProof/>
        </w:rPr>
        <w:t>dul chun cinn a bhfuil coinne leis amach anseo</w:t>
      </w:r>
      <w:r>
        <w:rPr>
          <w:noProof/>
          <w:color w:val="000000" w:themeColor="text1"/>
        </w:rPr>
        <w:t xml:space="preserve">. </w:t>
      </w:r>
    </w:p>
    <w:p w14:paraId="69B0CB5B" w14:textId="3009BA26" w:rsidR="005C295F" w:rsidRPr="003C103F" w:rsidRDefault="005C295F" w:rsidP="005C295F">
      <w:pPr>
        <w:rPr>
          <w:rFonts w:eastAsiaTheme="minorEastAsia"/>
          <w:noProof/>
          <w:color w:val="000000" w:themeColor="text1"/>
        </w:rPr>
      </w:pPr>
      <w:r>
        <w:rPr>
          <w:noProof/>
          <w:color w:val="000000"/>
        </w:rPr>
        <w:t xml:space="preserve">Tháinig Cód Custaim an Aontais i bhfeidhm an </w:t>
      </w:r>
      <w:r w:rsidRPr="0090767E">
        <w:rPr>
          <w:noProof/>
          <w:color w:val="000000"/>
        </w:rPr>
        <w:t>1</w:t>
      </w:r>
      <w:r>
        <w:rPr>
          <w:noProof/>
          <w:color w:val="000000"/>
        </w:rPr>
        <w:t> Bealtaine </w:t>
      </w:r>
      <w:r w:rsidRPr="0090767E">
        <w:rPr>
          <w:noProof/>
          <w:color w:val="000000"/>
        </w:rPr>
        <w:t>2016</w:t>
      </w:r>
      <w:r>
        <w:rPr>
          <w:noProof/>
          <w:color w:val="000000"/>
        </w:rPr>
        <w:t xml:space="preserve"> agus i ndiaidh é a leasú in </w:t>
      </w:r>
      <w:r w:rsidRPr="0090767E">
        <w:rPr>
          <w:noProof/>
          <w:color w:val="000000"/>
        </w:rPr>
        <w:t>2019</w:t>
      </w:r>
      <w:r>
        <w:rPr>
          <w:rFonts w:eastAsiaTheme="minorEastAsia"/>
          <w:noProof/>
          <w:vertAlign w:val="superscript"/>
          <w:lang w:val="en-IE"/>
        </w:rPr>
        <w:footnoteReference w:id="4"/>
      </w:r>
      <w:r>
        <w:rPr>
          <w:noProof/>
          <w:color w:val="000000"/>
        </w:rPr>
        <w:t xml:space="preserve">, bunaítear leis na sprioc‑amanna </w:t>
      </w:r>
      <w:r w:rsidRPr="0090767E">
        <w:rPr>
          <w:noProof/>
          <w:color w:val="000000"/>
        </w:rPr>
        <w:t>2020</w:t>
      </w:r>
      <w:r>
        <w:rPr>
          <w:noProof/>
          <w:color w:val="000000"/>
        </w:rPr>
        <w:t xml:space="preserve">, </w:t>
      </w:r>
      <w:r w:rsidRPr="0090767E">
        <w:rPr>
          <w:noProof/>
          <w:color w:val="000000"/>
        </w:rPr>
        <w:t>2022</w:t>
      </w:r>
      <w:r>
        <w:rPr>
          <w:noProof/>
          <w:color w:val="000000"/>
        </w:rPr>
        <w:t xml:space="preserve"> agus </w:t>
      </w:r>
      <w:r w:rsidRPr="0090767E">
        <w:rPr>
          <w:noProof/>
          <w:color w:val="000000"/>
        </w:rPr>
        <w:t>2025</w:t>
      </w:r>
      <w:r>
        <w:rPr>
          <w:noProof/>
          <w:color w:val="000000"/>
        </w:rPr>
        <w:t xml:space="preserve"> chun na tionscadail a thabhairt i gcrích de réir a chéile i dtéarmaí aistriú agus cur chun feidhme digiteach. Is féidir leanúint leis na córais leictreonacha agus córais pháipéir atá ann cheana a úsáid chun foirmiúlachtaí custaim a thabhairt chun críche (na ‘bearta idirthréimhseacha’ mar a thugtar orthu) go dtí go mbeidh na córais leictreonacha nua nó uasghrádaithe atá beartaithe faoi Chód Custaim an Aontais ag feidhmiú. Sa chomhthéacs sin, tá Clár Oibre Chód Custaim an Aontais</w:t>
      </w:r>
      <w:r>
        <w:rPr>
          <w:rFonts w:eastAsiaTheme="minorEastAsia"/>
          <w:noProof/>
          <w:color w:val="000000"/>
          <w:vertAlign w:val="superscript"/>
          <w:lang w:val="en-IE"/>
        </w:rPr>
        <w:footnoteReference w:id="5"/>
      </w:r>
      <w:r>
        <w:rPr>
          <w:noProof/>
          <w:color w:val="000000"/>
        </w:rPr>
        <w:t xml:space="preserve"> agus an Rialachán Cur Chun Feidhme maidir leis na Socruithe Teicniúla le haghaidh na gcóras leictreonach</w:t>
      </w:r>
      <w:r>
        <w:rPr>
          <w:rStyle w:val="FootnoteReference"/>
          <w:rFonts w:eastAsiaTheme="minorEastAsia"/>
          <w:noProof/>
          <w:color w:val="000000"/>
          <w:lang w:val="en-IE"/>
        </w:rPr>
        <w:footnoteReference w:id="6"/>
      </w:r>
      <w:r>
        <w:rPr>
          <w:noProof/>
          <w:color w:val="000000"/>
        </w:rPr>
        <w:t xml:space="preserve"> le léamh i gcomhar le Cód Custaim an Aontais agus lena ghníomhartha tarmligthe agus cur chun feidhme.</w:t>
      </w:r>
    </w:p>
    <w:p w14:paraId="24876772" w14:textId="003702AC" w:rsidR="005C295F" w:rsidRPr="004E1DD0" w:rsidRDefault="005C295F" w:rsidP="005C295F">
      <w:pPr>
        <w:rPr>
          <w:rFonts w:eastAsiaTheme="minorEastAsia"/>
          <w:noProof/>
          <w:color w:val="000000"/>
        </w:rPr>
      </w:pPr>
      <w:r>
        <w:rPr>
          <w:noProof/>
          <w:color w:val="000000" w:themeColor="text1"/>
        </w:rPr>
        <w:t xml:space="preserve">Tá Clár Oibre Chód Custaim an Aontais </w:t>
      </w:r>
      <w:r>
        <w:rPr>
          <w:noProof/>
          <w:color w:val="000000"/>
        </w:rPr>
        <w:t xml:space="preserve">ar an ionstraim dlí chun an próiseas aistrithe tríthoiseach céimseach agus casta i dtreo timpeallacht chustaim atá go hiomlán digiteach a stiúradh, agus idirspleáchais idir na córais agus staid na forbartha iarbhír á gcur san áireamh. Is éard atá ann </w:t>
      </w:r>
      <w:r>
        <w:rPr>
          <w:noProof/>
          <w:color w:val="000000" w:themeColor="text1"/>
        </w:rPr>
        <w:t xml:space="preserve">an ionstraim a úsáidtear chun na páirtithe leasmhara sna tionscadail (na Ballstáit, an Coimisiún, oibreoirí eacnamaíocha) a stiúradh i dtreo na tionscadail a chur chun feidhme ar bhealach coiteann agus indéanta faoin </w:t>
      </w:r>
      <w:r w:rsidRPr="0090767E">
        <w:rPr>
          <w:noProof/>
          <w:color w:val="000000" w:themeColor="text1"/>
        </w:rPr>
        <w:t>31</w:t>
      </w:r>
      <w:r>
        <w:rPr>
          <w:noProof/>
          <w:color w:val="000000" w:themeColor="text1"/>
        </w:rPr>
        <w:t> Nollaig </w:t>
      </w:r>
      <w:r w:rsidRPr="0090767E">
        <w:rPr>
          <w:noProof/>
          <w:color w:val="000000" w:themeColor="text1"/>
        </w:rPr>
        <w:t>2025</w:t>
      </w:r>
      <w:r>
        <w:rPr>
          <w:noProof/>
          <w:color w:val="000000" w:themeColor="text1"/>
        </w:rPr>
        <w:t xml:space="preserve"> mar dháta deiridh críochnaitheach an aistrithe dhigitigh.</w:t>
      </w:r>
      <w:r>
        <w:rPr>
          <w:noProof/>
          <w:color w:val="000000"/>
        </w:rPr>
        <w:t xml:space="preserve"> </w:t>
      </w:r>
    </w:p>
    <w:p w14:paraId="472E995F" w14:textId="596E432B" w:rsidR="00BF03A2" w:rsidRPr="003C103F" w:rsidRDefault="005C295F" w:rsidP="703B235F">
      <w:pPr>
        <w:autoSpaceDE w:val="0"/>
        <w:autoSpaceDN w:val="0"/>
        <w:adjustRightInd w:val="0"/>
        <w:rPr>
          <w:rFonts w:eastAsiaTheme="minorEastAsia"/>
          <w:noProof/>
          <w:color w:val="000000" w:themeColor="text1"/>
        </w:rPr>
      </w:pPr>
      <w:r>
        <w:rPr>
          <w:b/>
          <w:noProof/>
          <w:color w:val="000000" w:themeColor="text1"/>
        </w:rPr>
        <w:t xml:space="preserve">Leis an tuarascáil seo tarraingítear ar Chlár Oibre Chód Custaim an Aontais, </w:t>
      </w:r>
      <w:r>
        <w:rPr>
          <w:b/>
          <w:noProof/>
          <w:color w:val="000000"/>
        </w:rPr>
        <w:t xml:space="preserve">rud a ghlac an Coimisiún an </w:t>
      </w:r>
      <w:r w:rsidRPr="0090767E">
        <w:rPr>
          <w:b/>
          <w:noProof/>
          <w:color w:val="000000"/>
        </w:rPr>
        <w:t>15</w:t>
      </w:r>
      <w:r>
        <w:rPr>
          <w:b/>
          <w:noProof/>
          <w:color w:val="000000"/>
        </w:rPr>
        <w:t> Nollaig </w:t>
      </w:r>
      <w:r w:rsidRPr="0090767E">
        <w:rPr>
          <w:b/>
          <w:noProof/>
          <w:color w:val="000000"/>
        </w:rPr>
        <w:t>2023</w:t>
      </w:r>
      <w:r>
        <w:rPr>
          <w:b/>
          <w:noProof/>
          <w:color w:val="000000" w:themeColor="text1"/>
        </w:rPr>
        <w:t>, mar an bhunlíne chun an dul chun cinn a thuairisciú</w:t>
      </w:r>
      <w:r>
        <w:rPr>
          <w:noProof/>
          <w:color w:val="000000" w:themeColor="text1"/>
        </w:rPr>
        <w:t xml:space="preserve">. Sainítear gnéithe rialachais an chláir agus an tionscadail sa </w:t>
      </w:r>
      <w:r>
        <w:rPr>
          <w:noProof/>
          <w:color w:val="000000"/>
        </w:rPr>
        <w:t xml:space="preserve">Phlean Straitéiseach Ilbhliantúil maidir le Custam (MASP-C).  </w:t>
      </w:r>
    </w:p>
    <w:p w14:paraId="73E4DB47" w14:textId="3322033D" w:rsidR="00122C76" w:rsidRPr="00723D0F" w:rsidRDefault="00122C76" w:rsidP="00122C76">
      <w:pPr>
        <w:autoSpaceDE w:val="0"/>
        <w:autoSpaceDN w:val="0"/>
        <w:adjustRightInd w:val="0"/>
        <w:rPr>
          <w:rFonts w:eastAsiaTheme="minorEastAsia"/>
          <w:noProof/>
          <w:color w:val="000000"/>
        </w:rPr>
      </w:pPr>
      <w:r>
        <w:rPr>
          <w:noProof/>
          <w:color w:val="000000"/>
        </w:rPr>
        <w:t xml:space="preserve">I gcomhthreo le cur chun feidhme leanúnach Chód Custaim an Aontais, an </w:t>
      </w:r>
      <w:r w:rsidRPr="0090767E">
        <w:rPr>
          <w:noProof/>
          <w:color w:val="000000"/>
        </w:rPr>
        <w:t>17</w:t>
      </w:r>
      <w:r>
        <w:rPr>
          <w:noProof/>
          <w:color w:val="000000"/>
        </w:rPr>
        <w:t> Bealtaine </w:t>
      </w:r>
      <w:r w:rsidRPr="0090767E">
        <w:rPr>
          <w:noProof/>
          <w:color w:val="000000"/>
        </w:rPr>
        <w:t>2023</w:t>
      </w:r>
      <w:r>
        <w:rPr>
          <w:noProof/>
          <w:color w:val="000000"/>
        </w:rPr>
        <w:t xml:space="preserve"> ghlac an Coimisiún togra chun athchóiriú cuimsitheach a dhéanamh ar an Aontas Custaim, lena n‑áirítear Cód Custaim nua de chuid an Aontais, ar claochlú suntasach é sin ar chreat custaim an Aontais.</w:t>
      </w:r>
      <w:r>
        <w:rPr>
          <w:rStyle w:val="FootnoteReference"/>
          <w:rFonts w:eastAsiaTheme="minorEastAsia"/>
          <w:noProof/>
          <w:color w:val="000000"/>
          <w:lang w:val="en-IE"/>
        </w:rPr>
        <w:footnoteReference w:id="7"/>
      </w:r>
      <w:r>
        <w:rPr>
          <w:noProof/>
        </w:rPr>
        <w:t>.</w:t>
      </w:r>
      <w:r>
        <w:rPr>
          <w:noProof/>
          <w:color w:val="000000"/>
        </w:rPr>
        <w:t xml:space="preserve"> Tá Parlaimint na hEorpa agus an Chomhairle i mbun scrúdú ar an togra sin faoi láthair de réir an ghnáthnós imeachta reachtaigh.</w:t>
      </w:r>
    </w:p>
    <w:p w14:paraId="2DBD3791" w14:textId="77777777" w:rsidR="00122C76" w:rsidRPr="00723D0F" w:rsidRDefault="00122C76" w:rsidP="00122C76">
      <w:pPr>
        <w:autoSpaceDE w:val="0"/>
        <w:autoSpaceDN w:val="0"/>
        <w:adjustRightInd w:val="0"/>
        <w:rPr>
          <w:rFonts w:eastAsiaTheme="minorEastAsia"/>
          <w:noProof/>
          <w:color w:val="000000"/>
        </w:rPr>
      </w:pPr>
      <w:r>
        <w:rPr>
          <w:noProof/>
          <w:color w:val="000000"/>
        </w:rPr>
        <w:t xml:space="preserve">Tá an t‑athchóiriú sin struchtúraithe timpeall trí phríomhcholún: </w:t>
      </w:r>
    </w:p>
    <w:p w14:paraId="4F098A6B" w14:textId="77777777" w:rsidR="00122C76" w:rsidRPr="00723D0F" w:rsidRDefault="00122C76" w:rsidP="00122C76">
      <w:pPr>
        <w:pStyle w:val="ListParagraph"/>
        <w:numPr>
          <w:ilvl w:val="0"/>
          <w:numId w:val="32"/>
        </w:numPr>
        <w:autoSpaceDE w:val="0"/>
        <w:autoSpaceDN w:val="0"/>
        <w:adjustRightInd w:val="0"/>
        <w:ind w:left="714" w:hanging="357"/>
        <w:contextualSpacing w:val="0"/>
        <w:rPr>
          <w:rFonts w:eastAsiaTheme="minorEastAsia"/>
          <w:noProof/>
          <w:color w:val="000000"/>
        </w:rPr>
      </w:pPr>
      <w:r>
        <w:rPr>
          <w:noProof/>
          <w:color w:val="000000"/>
        </w:rPr>
        <w:t xml:space="preserve">Údarás Custaim an Aontais Eorpaigh a chruthú a fhorbróidh agus a dhéanfaidh maoirseacht ar Mhol Sonraí Custaim an Aontais: is éard a bheidh ann sin inneall an chórais nua a chuirfidh timpeallacht láraithe sonraíbhunaithe in ionad an struchtúir TF dhíláraithe atá ann faoi láthair agus atá bunaithe ar dhearbhuithe custaim; </w:t>
      </w:r>
    </w:p>
    <w:p w14:paraId="3C10156B" w14:textId="6F89E971" w:rsidR="00122C76" w:rsidRPr="00723D0F" w:rsidRDefault="00122C76" w:rsidP="00122C76">
      <w:pPr>
        <w:pStyle w:val="ListParagraph"/>
        <w:numPr>
          <w:ilvl w:val="0"/>
          <w:numId w:val="32"/>
        </w:numPr>
        <w:autoSpaceDE w:val="0"/>
        <w:autoSpaceDN w:val="0"/>
        <w:adjustRightInd w:val="0"/>
        <w:ind w:left="714" w:hanging="357"/>
        <w:contextualSpacing w:val="0"/>
        <w:rPr>
          <w:rFonts w:eastAsiaTheme="minorEastAsia"/>
          <w:noProof/>
          <w:color w:val="000000"/>
        </w:rPr>
      </w:pPr>
      <w:r>
        <w:rPr>
          <w:noProof/>
          <w:color w:val="000000"/>
        </w:rPr>
        <w:t xml:space="preserve">comhpháirtíocht nua le hoibreoirí trádála bunaithe ar phróisis thrédhearcacha, rud a fhágfaidh go mbeidh sreabha trádála comhlíontacha in ann oibriú gan idirghníomhaíocht chustaim fhoirmiúil agus rud a laghdóidh an t‑ualach riaracháin gaolmhar; </w:t>
      </w:r>
    </w:p>
    <w:p w14:paraId="50128EF3" w14:textId="77777777" w:rsidR="00122C76" w:rsidRPr="00723D0F" w:rsidRDefault="00122C76" w:rsidP="00122C76">
      <w:pPr>
        <w:pStyle w:val="ListParagraph"/>
        <w:numPr>
          <w:ilvl w:val="0"/>
          <w:numId w:val="32"/>
        </w:numPr>
        <w:autoSpaceDE w:val="0"/>
        <w:autoSpaceDN w:val="0"/>
        <w:adjustRightInd w:val="0"/>
        <w:ind w:left="714" w:hanging="357"/>
        <w:contextualSpacing w:val="0"/>
        <w:rPr>
          <w:rFonts w:eastAsiaTheme="minorEastAsia"/>
          <w:noProof/>
          <w:color w:val="000000"/>
        </w:rPr>
      </w:pPr>
      <w:r>
        <w:rPr>
          <w:noProof/>
          <w:color w:val="000000"/>
        </w:rPr>
        <w:t>córas custaim ríomhthráchtála saincheaptha, rud a fhágfaidh go mbeidh ardáin ar líne ina bpríomhghníomhaithe chun a áirithiú gurb amhlaidh leis an hearraí a dhíoltar ar líne go díreach le tomhaltóirí san Aontas a chomhlíonfar na hoibleagáidí custaim uile.</w:t>
      </w:r>
    </w:p>
    <w:p w14:paraId="7302DB63" w14:textId="61BEEAA6" w:rsidR="00122C76" w:rsidRDefault="00122C76" w:rsidP="00122C76">
      <w:pPr>
        <w:autoSpaceDE w:val="0"/>
        <w:autoSpaceDN w:val="0"/>
        <w:adjustRightInd w:val="0"/>
        <w:rPr>
          <w:rFonts w:eastAsiaTheme="minorEastAsia"/>
          <w:noProof/>
          <w:color w:val="000000"/>
        </w:rPr>
      </w:pPr>
      <w:r>
        <w:rPr>
          <w:noProof/>
          <w:color w:val="000000"/>
        </w:rPr>
        <w:t xml:space="preserve">Is tosaíocht láidir é córais leictreonacha Chód Custaim an Aontais a chur i gcrích go tráthúil chun na tairbhí a tugadh isteach le haghaidh trádálaithe i gCód Custaim an Aontais a chur i gcrích. Tá an méid sin ríthábhachtach chun tacú leis an Athchóiriú Custaim agus le forbairt Mhol Sonraí Custaim an Aontais a bheidh ann amach anseo agus chun cur leo, seachas sin, ní bheadh na simplithe suntasacha a gealladh leis an athchóiriú custaim bunaithe ar bhonn láidir. </w:t>
      </w:r>
    </w:p>
    <w:p w14:paraId="77B80F71" w14:textId="77777777" w:rsidR="005B7D2B" w:rsidRPr="00C97C4B" w:rsidRDefault="005B7D2B" w:rsidP="00122C76">
      <w:pPr>
        <w:autoSpaceDE w:val="0"/>
        <w:autoSpaceDN w:val="0"/>
        <w:adjustRightInd w:val="0"/>
        <w:rPr>
          <w:rFonts w:eastAsiaTheme="minorEastAsia"/>
          <w:noProof/>
          <w:color w:val="000000"/>
          <w:lang w:val="en-IE"/>
        </w:rPr>
      </w:pPr>
    </w:p>
    <w:p w14:paraId="23FA2C9F" w14:textId="13F22D1F" w:rsidR="0084206A" w:rsidRPr="004E1DD0" w:rsidRDefault="00625C8F" w:rsidP="00C75815">
      <w:pPr>
        <w:pStyle w:val="Heading1"/>
        <w:keepLines w:val="0"/>
        <w:numPr>
          <w:ilvl w:val="0"/>
          <w:numId w:val="4"/>
        </w:numPr>
        <w:spacing w:after="240"/>
        <w:ind w:left="567" w:hanging="567"/>
        <w:jc w:val="left"/>
        <w:rPr>
          <w:rFonts w:hint="eastAsia"/>
          <w:noProof/>
        </w:rPr>
      </w:pPr>
      <w:bookmarkStart w:id="5" w:name="_Toc168222736"/>
      <w:bookmarkStart w:id="6" w:name="_Toc209611068"/>
      <w:bookmarkEnd w:id="5"/>
      <w:r>
        <w:rPr>
          <w:noProof/>
        </w:rPr>
        <w:t>Inneachar na Tuarascála</w:t>
      </w:r>
      <w:bookmarkEnd w:id="6"/>
    </w:p>
    <w:p w14:paraId="0E847D65" w14:textId="4FC3F8E6" w:rsidR="00A940DE" w:rsidRPr="004E1DD0" w:rsidRDefault="00A940DE" w:rsidP="703B235F">
      <w:pPr>
        <w:widowControl w:val="0"/>
        <w:autoSpaceDE w:val="0"/>
        <w:autoSpaceDN w:val="0"/>
        <w:adjustRightInd w:val="0"/>
        <w:rPr>
          <w:noProof/>
        </w:rPr>
      </w:pPr>
      <w:r>
        <w:rPr>
          <w:noProof/>
        </w:rPr>
        <w:t>Is féidir na tionscadail atá liostaithe i gClár Oibre Chód Custaim an Aontais a roinnt i dtrí chatagóir de chórais bunaithe ar na sainmhínithe dá ndéantar foráil sa Rialachán Cur Chun Feidhme maidir leis na Socruithe Teicniúla</w:t>
      </w:r>
      <w:r>
        <w:rPr>
          <w:rStyle w:val="FootnoteReference"/>
          <w:noProof/>
          <w:lang w:val="en-IE" w:eastAsia="en-GB"/>
        </w:rPr>
        <w:footnoteReference w:id="8"/>
      </w:r>
      <w:r>
        <w:rPr>
          <w:noProof/>
        </w:rPr>
        <w:t xml:space="preserve">: </w:t>
      </w:r>
    </w:p>
    <w:p w14:paraId="0BCB3EA5" w14:textId="5E22710C" w:rsidR="00A940DE" w:rsidRPr="004E1DD0" w:rsidRDefault="00DD5B30" w:rsidP="703B235F">
      <w:pPr>
        <w:widowControl w:val="0"/>
        <w:numPr>
          <w:ilvl w:val="0"/>
          <w:numId w:val="9"/>
        </w:numPr>
        <w:autoSpaceDE w:val="0"/>
        <w:autoSpaceDN w:val="0"/>
        <w:adjustRightInd w:val="0"/>
        <w:ind w:left="851" w:hanging="491"/>
        <w:contextualSpacing/>
        <w:rPr>
          <w:noProof/>
        </w:rPr>
      </w:pPr>
      <w:r>
        <w:rPr>
          <w:b/>
          <w:noProof/>
        </w:rPr>
        <w:t>Córais lárnacha thras‑Eorpacha</w:t>
      </w:r>
      <w:r>
        <w:rPr>
          <w:noProof/>
        </w:rPr>
        <w:t xml:space="preserve"> atá le forbairt nó le huasghrádú ag an gCoimisiún (dá n‑éilítear go minic go ndéanfaidh na Ballstáit forbairtí nó uasghrádú ar na córais náisiúnta freisin);</w:t>
      </w:r>
    </w:p>
    <w:p w14:paraId="0F2F0734" w14:textId="115E1E62" w:rsidR="00A940DE" w:rsidRPr="004E1DD0" w:rsidRDefault="00DD5B30" w:rsidP="703B235F">
      <w:pPr>
        <w:widowControl w:val="0"/>
        <w:numPr>
          <w:ilvl w:val="0"/>
          <w:numId w:val="9"/>
        </w:numPr>
        <w:autoSpaceDE w:val="0"/>
        <w:autoSpaceDN w:val="0"/>
        <w:adjustRightInd w:val="0"/>
        <w:ind w:left="851" w:hanging="491"/>
        <w:contextualSpacing/>
        <w:rPr>
          <w:noProof/>
        </w:rPr>
      </w:pPr>
      <w:r>
        <w:rPr>
          <w:b/>
          <w:noProof/>
        </w:rPr>
        <w:t>Córais dhíláraithe thras‑Eorpacha</w:t>
      </w:r>
      <w:r>
        <w:rPr>
          <w:noProof/>
        </w:rPr>
        <w:t xml:space="preserve"> nach mór don Choimisiún a fhorbairt nó a uasghrádú ach a bhfuil comhpháirt náisiúnta acu le cur chun feidhme ag na Ballstáit;</w:t>
      </w:r>
    </w:p>
    <w:p w14:paraId="0B7BC8CD" w14:textId="087CF5B1" w:rsidR="00C41DF5" w:rsidRPr="004E1DD0" w:rsidRDefault="00DD5B30" w:rsidP="703B235F">
      <w:pPr>
        <w:widowControl w:val="0"/>
        <w:numPr>
          <w:ilvl w:val="0"/>
          <w:numId w:val="9"/>
        </w:numPr>
        <w:autoSpaceDE w:val="0"/>
        <w:autoSpaceDN w:val="0"/>
        <w:adjustRightInd w:val="0"/>
        <w:ind w:left="851" w:hanging="491"/>
        <w:rPr>
          <w:noProof/>
        </w:rPr>
      </w:pPr>
      <w:r>
        <w:rPr>
          <w:b/>
          <w:noProof/>
        </w:rPr>
        <w:t>Córais náisiúnta</w:t>
      </w:r>
      <w:r>
        <w:rPr>
          <w:noProof/>
        </w:rPr>
        <w:t xml:space="preserve"> nach mór do na Ballstáit iad féin iad a fhorbairt nó a uasghrádú. </w:t>
      </w:r>
    </w:p>
    <w:p w14:paraId="0E8C44BA" w14:textId="31128209" w:rsidR="009B4BC8" w:rsidRPr="004E1DD0" w:rsidRDefault="0061782F" w:rsidP="003029EE">
      <w:pPr>
        <w:widowControl w:val="0"/>
        <w:autoSpaceDE w:val="0"/>
        <w:autoSpaceDN w:val="0"/>
        <w:adjustRightInd w:val="0"/>
        <w:rPr>
          <w:noProof/>
        </w:rPr>
      </w:pPr>
      <w:r>
        <w:rPr>
          <w:noProof/>
        </w:rPr>
        <w:t>Tosaítear an tuarascáil seo trí mhíniú a thabhairt ar an modh chun an tuarascáil a chruthú agus na foinsí a úsáidtear (roinn </w:t>
      </w:r>
      <w:r w:rsidRPr="0090767E">
        <w:rPr>
          <w:noProof/>
        </w:rPr>
        <w:t>2</w:t>
      </w:r>
      <w:r>
        <w:rPr>
          <w:noProof/>
        </w:rPr>
        <w:t>) agus ansin cumhdaítear gan mhoill na freagrachtaí le haghaidh chórais leictreonacha Chód Custaim an Aontais (roinn </w:t>
      </w:r>
      <w:r w:rsidRPr="0090767E">
        <w:rPr>
          <w:noProof/>
        </w:rPr>
        <w:t>3</w:t>
      </w:r>
      <w:r>
        <w:rPr>
          <w:noProof/>
        </w:rPr>
        <w:t>). Thairis sin, tugtar an forléargas domhanda inti ar na tionscadail éagsúla agus ar a ndul chun cinn agus cuirtear i dtábhacht léi freisin moilleanna féideartha, i gcás ina sainaithnítear iad, chomh maith le bearta maolaitheacha beartaithe (roinn </w:t>
      </w:r>
      <w:r w:rsidRPr="0090767E">
        <w:rPr>
          <w:noProof/>
        </w:rPr>
        <w:t>4</w:t>
      </w:r>
      <w:r>
        <w:rPr>
          <w:noProof/>
        </w:rPr>
        <w:t>). Déantar achoimre ar an measúnú foriomlán ar an dul chun cinn maidir le cur chun feidhme Chlár Oibre Chód Custaim an Aontais i gconclúid na tuarascála seo (roinn </w:t>
      </w:r>
      <w:r>
        <w:rPr>
          <w:noProof/>
        </w:rPr>
        <w:fldChar w:fldCharType="begin"/>
      </w:r>
      <w:r>
        <w:rPr>
          <w:noProof/>
        </w:rPr>
        <w:instrText xml:space="preserve"> REF _Ref137491449 \r \h  \* MERGEFORMAT </w:instrText>
      </w:r>
      <w:r>
        <w:rPr>
          <w:noProof/>
        </w:rPr>
      </w:r>
      <w:r>
        <w:rPr>
          <w:noProof/>
        </w:rPr>
        <w:fldChar w:fldCharType="separate"/>
      </w:r>
      <w:r w:rsidRPr="0090767E">
        <w:rPr>
          <w:noProof/>
        </w:rPr>
        <w:t>5</w:t>
      </w:r>
      <w:r>
        <w:rPr>
          <w:noProof/>
        </w:rPr>
        <w:fldChar w:fldCharType="end"/>
      </w:r>
      <w:r>
        <w:rPr>
          <w:noProof/>
        </w:rPr>
        <w:t xml:space="preserve">). </w:t>
      </w:r>
    </w:p>
    <w:p w14:paraId="158D9469" w14:textId="2875456F" w:rsidR="007F6AB0" w:rsidRPr="004E1DD0" w:rsidRDefault="007F6AB0" w:rsidP="703B235F">
      <w:pPr>
        <w:autoSpaceDE w:val="0"/>
        <w:autoSpaceDN w:val="0"/>
        <w:adjustRightInd w:val="0"/>
        <w:rPr>
          <w:noProof/>
        </w:rPr>
      </w:pPr>
      <w:r>
        <w:rPr>
          <w:noProof/>
        </w:rPr>
        <w:t xml:space="preserve">Tá </w:t>
      </w:r>
      <w:r>
        <w:rPr>
          <w:b/>
          <w:noProof/>
        </w:rPr>
        <w:t>Doiciméad Inmheánach Oibre de chuid an Choimisiúin ag gabháil leis an tuarascáil seo</w:t>
      </w:r>
      <w:r>
        <w:rPr>
          <w:rStyle w:val="FootnoteReference"/>
          <w:noProof/>
          <w:lang w:val="en-IE"/>
        </w:rPr>
        <w:footnoteReference w:id="9"/>
      </w:r>
      <w:r>
        <w:rPr>
          <w:noProof/>
        </w:rPr>
        <w:t>, doiciméad a foilsíodh in éineacht leis an tuarascáil seo, ina bhfuil faisnéis mhionsonraithe maidir le pleanáil agus dul chun cinn na dtionscadal éagsúil mar a thuairiscigh na Ballstáit. Thacaigh conraitheoir seachtrach leis an obair sin.</w:t>
      </w:r>
    </w:p>
    <w:p w14:paraId="7782C7EE" w14:textId="3DEFD585" w:rsidR="00203651" w:rsidRPr="004E1DD0" w:rsidRDefault="005B6A3C" w:rsidP="703B235F">
      <w:pPr>
        <w:autoSpaceDE w:val="0"/>
        <w:autoSpaceDN w:val="0"/>
        <w:adjustRightInd w:val="0"/>
        <w:rPr>
          <w:rFonts w:eastAsiaTheme="minorEastAsia"/>
          <w:b/>
          <w:bCs/>
          <w:noProof/>
          <w:color w:val="000000"/>
        </w:rPr>
      </w:pPr>
      <w:r>
        <w:rPr>
          <w:noProof/>
        </w:rPr>
        <w:t>Déantar an tuarascáil agus an Doiciméad Inmheánach Oibre a tharraingt suas ar bhonn faisnéis a bailíodh ó na</w:t>
      </w:r>
      <w:r>
        <w:rPr>
          <w:b/>
          <w:noProof/>
        </w:rPr>
        <w:t xml:space="preserve"> foinsí</w:t>
      </w:r>
      <w:r>
        <w:rPr>
          <w:noProof/>
        </w:rPr>
        <w:t xml:space="preserve"> seo a leanas</w:t>
      </w:r>
      <w:r>
        <w:rPr>
          <w:noProof/>
          <w:color w:val="000000"/>
        </w:rPr>
        <w:t>:</w:t>
      </w:r>
      <w:r>
        <w:rPr>
          <w:b/>
          <w:noProof/>
          <w:color w:val="000000"/>
        </w:rPr>
        <w:t xml:space="preserve"> </w:t>
      </w:r>
    </w:p>
    <w:p w14:paraId="6BE5BA38" w14:textId="77777777" w:rsidR="001649B6" w:rsidRPr="004E1DD0" w:rsidRDefault="00A33633" w:rsidP="009B4BC8">
      <w:pPr>
        <w:autoSpaceDE w:val="0"/>
        <w:autoSpaceDN w:val="0"/>
        <w:adjustRightInd w:val="0"/>
        <w:ind w:firstLine="709"/>
        <w:rPr>
          <w:rFonts w:eastAsiaTheme="minorEastAsia"/>
          <w:noProof/>
          <w:color w:val="000000"/>
        </w:rPr>
      </w:pPr>
      <w:r>
        <w:rPr>
          <w:b/>
          <w:noProof/>
          <w:color w:val="000000" w:themeColor="text1"/>
        </w:rPr>
        <w:t>(</w:t>
      </w:r>
      <w:r w:rsidRPr="0090767E">
        <w:rPr>
          <w:b/>
          <w:noProof/>
          <w:color w:val="000000" w:themeColor="text1"/>
        </w:rPr>
        <w:t>1</w:t>
      </w:r>
      <w:r>
        <w:rPr>
          <w:noProof/>
          <w:color w:val="000000" w:themeColor="text1"/>
        </w:rPr>
        <w:t xml:space="preserve">) </w:t>
      </w:r>
      <w:r>
        <w:rPr>
          <w:b/>
          <w:noProof/>
          <w:color w:val="000000" w:themeColor="text1"/>
        </w:rPr>
        <w:t>pleananna tionscadail náisiúnta</w:t>
      </w:r>
      <w:r>
        <w:rPr>
          <w:noProof/>
          <w:color w:val="000000" w:themeColor="text1"/>
        </w:rPr>
        <w:t xml:space="preserve"> a gceanglaítear ar na Ballstáit iad a sholáthar faoi dhó sa bhliain (i mí Eanáir agus mí an Mheithimh).</w:t>
      </w:r>
    </w:p>
    <w:p w14:paraId="12672D57" w14:textId="4F5D4400" w:rsidR="000A5E61" w:rsidRPr="004E1DD0" w:rsidRDefault="00741B50" w:rsidP="703B235F">
      <w:pPr>
        <w:autoSpaceDE w:val="0"/>
        <w:autoSpaceDN w:val="0"/>
        <w:adjustRightInd w:val="0"/>
        <w:rPr>
          <w:rFonts w:eastAsiaTheme="minorEastAsia"/>
          <w:b/>
          <w:bCs/>
          <w:noProof/>
          <w:color w:val="000000"/>
        </w:rPr>
      </w:pPr>
      <w:r>
        <w:rPr>
          <w:noProof/>
        </w:rPr>
        <w:t>San fhaisnéis a bailíodh le haghaidh gach tionscadail áirítear dátaí sonracha, an stádas agus an dul chun cinn le haghaidh gach ceann de na garspriocanna a leagtar síos i gClár Oibre Chód Custaim an Aontais</w:t>
      </w:r>
      <w:r>
        <w:rPr>
          <w:noProof/>
          <w:color w:val="000000" w:themeColor="text1"/>
        </w:rPr>
        <w:t>;</w:t>
      </w:r>
      <w:r>
        <w:rPr>
          <w:b/>
          <w:noProof/>
          <w:color w:val="000000" w:themeColor="text1"/>
        </w:rPr>
        <w:t xml:space="preserve"> </w:t>
      </w:r>
    </w:p>
    <w:p w14:paraId="3B36091C" w14:textId="046210E5" w:rsidR="002F1887" w:rsidRPr="004E1DD0" w:rsidRDefault="00A33633" w:rsidP="009B4BC8">
      <w:pPr>
        <w:autoSpaceDE w:val="0"/>
        <w:autoSpaceDN w:val="0"/>
        <w:adjustRightInd w:val="0"/>
        <w:ind w:firstLine="709"/>
        <w:rPr>
          <w:rFonts w:eastAsiaTheme="minorEastAsia"/>
          <w:noProof/>
          <w:color w:val="000000" w:themeColor="text1"/>
        </w:rPr>
      </w:pPr>
      <w:r>
        <w:rPr>
          <w:b/>
          <w:noProof/>
          <w:color w:val="000000" w:themeColor="text1"/>
        </w:rPr>
        <w:t>(</w:t>
      </w:r>
      <w:r w:rsidRPr="0090767E">
        <w:rPr>
          <w:b/>
          <w:noProof/>
          <w:color w:val="000000" w:themeColor="text1"/>
        </w:rPr>
        <w:t>2</w:t>
      </w:r>
      <w:r>
        <w:rPr>
          <w:noProof/>
          <w:color w:val="000000" w:themeColor="text1"/>
        </w:rPr>
        <w:t xml:space="preserve">) </w:t>
      </w:r>
      <w:r>
        <w:rPr>
          <w:b/>
          <w:noProof/>
          <w:color w:val="000000" w:themeColor="text1"/>
        </w:rPr>
        <w:t>suirbhé</w:t>
      </w:r>
      <w:r>
        <w:rPr>
          <w:noProof/>
          <w:color w:val="000000" w:themeColor="text1"/>
        </w:rPr>
        <w:t xml:space="preserve"> a scaipeadh ar na Ballstáit.</w:t>
      </w:r>
    </w:p>
    <w:p w14:paraId="3C8ACBA2" w14:textId="6D539009" w:rsidR="0084206A" w:rsidRDefault="006F2B66" w:rsidP="703B235F">
      <w:pPr>
        <w:autoSpaceDE w:val="0"/>
        <w:autoSpaceDN w:val="0"/>
        <w:adjustRightInd w:val="0"/>
        <w:rPr>
          <w:rFonts w:eastAsiaTheme="minorEastAsia"/>
          <w:noProof/>
          <w:color w:val="000000" w:themeColor="text1"/>
        </w:rPr>
      </w:pPr>
      <w:r>
        <w:rPr>
          <w:noProof/>
          <w:color w:val="000000" w:themeColor="text1"/>
        </w:rPr>
        <w:t xml:space="preserve">Leis an bhfaisnéis, gabhadh an measúnú ar riosca, moilleanna agus cúiseanna le haon mhoilleanna den sórt sin, chomh maith leis na bearta maolaitheacha a beartaíodh agus/nó a rinneadh i ndáil leis na tionscadail. Thairis sin, ag leanúint den chur chuige a glacadh in </w:t>
      </w:r>
      <w:r w:rsidRPr="0090767E">
        <w:rPr>
          <w:noProof/>
          <w:color w:val="000000" w:themeColor="text1"/>
        </w:rPr>
        <w:t>2023</w:t>
      </w:r>
      <w:r>
        <w:rPr>
          <w:noProof/>
          <w:color w:val="000000" w:themeColor="text1"/>
        </w:rPr>
        <w:t xml:space="preserve">, sholáthair na Ballstáit faisnéis freisin maidir leis na ceachtanna a foghlaimíodh le linn na tionscadail a fhorbairt agus maidir leis an tacaíocht bhreise fhéideartha is gá; </w:t>
      </w:r>
    </w:p>
    <w:p w14:paraId="19746653" w14:textId="77777777" w:rsidR="005B7D2B" w:rsidRPr="004E1DD0" w:rsidRDefault="005B7D2B" w:rsidP="703B235F">
      <w:pPr>
        <w:autoSpaceDE w:val="0"/>
        <w:autoSpaceDN w:val="0"/>
        <w:adjustRightInd w:val="0"/>
        <w:rPr>
          <w:rFonts w:eastAsiaTheme="minorEastAsia"/>
          <w:noProof/>
          <w:color w:val="000000"/>
          <w:lang w:val="en-IE"/>
        </w:rPr>
      </w:pPr>
    </w:p>
    <w:p w14:paraId="17FE74BE" w14:textId="516812C5" w:rsidR="00282B17" w:rsidRPr="004E1DD0" w:rsidRDefault="00E0026F" w:rsidP="009B4BC8">
      <w:pPr>
        <w:autoSpaceDE w:val="0"/>
        <w:autoSpaceDN w:val="0"/>
        <w:adjustRightInd w:val="0"/>
        <w:ind w:firstLine="709"/>
        <w:rPr>
          <w:rFonts w:eastAsiaTheme="minorEastAsia"/>
          <w:noProof/>
          <w:color w:val="000000"/>
        </w:rPr>
      </w:pPr>
      <w:r>
        <w:rPr>
          <w:b/>
          <w:noProof/>
          <w:color w:val="000000" w:themeColor="text1"/>
        </w:rPr>
        <w:t>(</w:t>
      </w:r>
      <w:r w:rsidRPr="0090767E">
        <w:rPr>
          <w:b/>
          <w:noProof/>
          <w:color w:val="000000" w:themeColor="text1"/>
        </w:rPr>
        <w:t>3</w:t>
      </w:r>
      <w:r>
        <w:rPr>
          <w:b/>
          <w:noProof/>
          <w:color w:val="000000" w:themeColor="text1"/>
        </w:rPr>
        <w:t>) cruinnithe ardleibhéil déthaobhacha</w:t>
      </w:r>
      <w:r>
        <w:rPr>
          <w:noProof/>
          <w:color w:val="000000" w:themeColor="text1"/>
        </w:rPr>
        <w:t xml:space="preserve"> le Stiúrthóireachtaí TF Custaim na mBallstát.</w:t>
      </w:r>
    </w:p>
    <w:p w14:paraId="0030A75D" w14:textId="4C742AF9" w:rsidR="009E25AF" w:rsidRPr="004E1DD0" w:rsidRDefault="005F3B79" w:rsidP="703B235F">
      <w:pPr>
        <w:autoSpaceDE w:val="0"/>
        <w:autoSpaceDN w:val="0"/>
        <w:adjustRightInd w:val="0"/>
        <w:rPr>
          <w:rFonts w:eastAsiaTheme="minorEastAsia"/>
          <w:noProof/>
          <w:color w:val="000000"/>
        </w:rPr>
      </w:pPr>
      <w:r>
        <w:rPr>
          <w:noProof/>
          <w:color w:val="000000" w:themeColor="text1"/>
        </w:rPr>
        <w:t xml:space="preserve">Le linn na gcruinnithe déthaobhacha, faightear tuiscint iomlán agus chruinn ó na Ballstáit ar stádas gach tionscadail de chuid Chód Custaim an Aontais, lena n‑áirítear na saincheisteanna a bhí rompu, agus gintear smaointe chun feabhas a chur ar staideanna achrannacha. </w:t>
      </w:r>
    </w:p>
    <w:p w14:paraId="1630AD3F" w14:textId="299C754C" w:rsidR="00737D37" w:rsidRPr="004E1DD0" w:rsidRDefault="00737D37" w:rsidP="009B4BC8">
      <w:pPr>
        <w:autoSpaceDE w:val="0"/>
        <w:autoSpaceDN w:val="0"/>
        <w:adjustRightInd w:val="0"/>
        <w:ind w:firstLine="709"/>
        <w:rPr>
          <w:rFonts w:eastAsiaTheme="minorEastAsia"/>
          <w:noProof/>
          <w:color w:val="000000"/>
        </w:rPr>
      </w:pPr>
      <w:r>
        <w:rPr>
          <w:b/>
          <w:noProof/>
          <w:color w:val="000000" w:themeColor="text1"/>
        </w:rPr>
        <w:t>(</w:t>
      </w:r>
      <w:r w:rsidRPr="0090767E">
        <w:rPr>
          <w:b/>
          <w:noProof/>
          <w:color w:val="000000" w:themeColor="text1"/>
        </w:rPr>
        <w:t>4</w:t>
      </w:r>
      <w:r>
        <w:rPr>
          <w:b/>
          <w:noProof/>
          <w:color w:val="000000" w:themeColor="text1"/>
        </w:rPr>
        <w:t>) aschuir ó na cláir thras‑Eorpacha um chomhordú agus um fhaireachán</w:t>
      </w:r>
      <w:r>
        <w:rPr>
          <w:noProof/>
          <w:color w:val="000000" w:themeColor="text1"/>
        </w:rPr>
        <w:t>.</w:t>
      </w:r>
    </w:p>
    <w:p w14:paraId="13DB0DFC" w14:textId="46F16B36" w:rsidR="00737D37" w:rsidRPr="004E1DD0" w:rsidRDefault="00737D37" w:rsidP="703B235F">
      <w:pPr>
        <w:autoSpaceDE w:val="0"/>
        <w:autoSpaceDN w:val="0"/>
        <w:adjustRightInd w:val="0"/>
        <w:rPr>
          <w:rFonts w:eastAsiaTheme="minorEastAsia"/>
          <w:noProof/>
          <w:color w:val="000000" w:themeColor="text1"/>
        </w:rPr>
      </w:pPr>
      <w:r>
        <w:rPr>
          <w:noProof/>
          <w:color w:val="000000" w:themeColor="text1"/>
        </w:rPr>
        <w:t xml:space="preserve">Sa tuarascáil seo áirítear anailís freisin bunaithe ar fhaisnéis níos mionsonraithe </w:t>
      </w:r>
      <w:r>
        <w:rPr>
          <w:noProof/>
        </w:rPr>
        <w:t xml:space="preserve">arna soláthar ag na Bainisteoirí Tionscadail in </w:t>
      </w:r>
      <w:r>
        <w:rPr>
          <w:noProof/>
          <w:color w:val="000000" w:themeColor="text1"/>
        </w:rPr>
        <w:t xml:space="preserve">Ard‑Stiúrthóireacht an Chánachais agus an Aontais Chustaim (AS TAXUD) de chuid an Choimisiúin agus arna tuairisciú ag na Ballstáit faoi chuimsiú na gClár Comhordúcháin atá i bhfeidhm ó bhí </w:t>
      </w:r>
      <w:r w:rsidRPr="0090767E">
        <w:rPr>
          <w:noProof/>
          <w:color w:val="000000" w:themeColor="text1"/>
        </w:rPr>
        <w:t>2020</w:t>
      </w:r>
      <w:r>
        <w:rPr>
          <w:noProof/>
          <w:color w:val="000000" w:themeColor="text1"/>
        </w:rPr>
        <w:t xml:space="preserve"> ann le haghaidh na gcóras tras‑Eorpach. </w:t>
      </w:r>
    </w:p>
    <w:p w14:paraId="07D5E00A" w14:textId="77777777" w:rsidR="009B4BC8" w:rsidRPr="004E1DD0" w:rsidRDefault="009B4BC8" w:rsidP="703B235F">
      <w:pPr>
        <w:autoSpaceDE w:val="0"/>
        <w:autoSpaceDN w:val="0"/>
        <w:adjustRightInd w:val="0"/>
        <w:rPr>
          <w:rFonts w:eastAsiaTheme="minorEastAsia"/>
          <w:noProof/>
          <w:color w:val="000000"/>
          <w:lang w:val="en-IE"/>
        </w:rPr>
      </w:pPr>
    </w:p>
    <w:p w14:paraId="4FB82748" w14:textId="7BB374B1" w:rsidR="00282B17" w:rsidRPr="00AA45E7" w:rsidRDefault="009B4BC8" w:rsidP="02BB932C">
      <w:pPr>
        <w:pStyle w:val="Heading1"/>
        <w:keepLines w:val="0"/>
        <w:numPr>
          <w:ilvl w:val="0"/>
          <w:numId w:val="4"/>
        </w:numPr>
        <w:spacing w:after="240"/>
        <w:ind w:left="567" w:hanging="567"/>
        <w:jc w:val="left"/>
        <w:rPr>
          <w:rFonts w:hint="eastAsia"/>
          <w:noProof/>
        </w:rPr>
      </w:pPr>
      <w:bookmarkStart w:id="7" w:name="_Toc168222738"/>
      <w:bookmarkStart w:id="8" w:name="_Toc117261080"/>
      <w:bookmarkStart w:id="9" w:name="_Toc52475148"/>
      <w:bookmarkStart w:id="10" w:name="_Toc209611069"/>
      <w:bookmarkEnd w:id="7"/>
      <w:bookmarkEnd w:id="8"/>
      <w:r>
        <w:rPr>
          <w:noProof/>
        </w:rPr>
        <w:t xml:space="preserve">Freagrachtaí le </w:t>
      </w:r>
      <w:r w:rsidRPr="00815640">
        <w:rPr>
          <w:caps w:val="0"/>
          <w:noProof/>
        </w:rPr>
        <w:t>h</w:t>
      </w:r>
      <w:r>
        <w:rPr>
          <w:noProof/>
        </w:rPr>
        <w:t>aghaidh chórais leictreonacha Chód Custaim an Aontais</w:t>
      </w:r>
      <w:bookmarkEnd w:id="9"/>
      <w:bookmarkEnd w:id="10"/>
    </w:p>
    <w:p w14:paraId="66AF8E8E" w14:textId="4ABBF9A3" w:rsidR="001520CC" w:rsidRPr="004E1DD0" w:rsidRDefault="0061782F" w:rsidP="001520CC">
      <w:pPr>
        <w:widowControl w:val="0"/>
        <w:autoSpaceDE w:val="0"/>
        <w:autoSpaceDN w:val="0"/>
        <w:adjustRightInd w:val="0"/>
        <w:rPr>
          <w:rFonts w:eastAsiaTheme="minorEastAsia"/>
          <w:noProof/>
          <w:color w:val="000000"/>
        </w:rPr>
      </w:pPr>
      <w:r>
        <w:rPr>
          <w:noProof/>
          <w:color w:val="000000" w:themeColor="text1"/>
        </w:rPr>
        <w:t xml:space="preserve">De réir struchtúr an chórais arna chomhaontú ag na Ballstáit agus ag an gCoimisiún le haghaidh gach ceann de na córais (de chineál láraithe, díláraithe nó náisiúnta), sainítear </w:t>
      </w:r>
      <w:r>
        <w:rPr>
          <w:b/>
          <w:noProof/>
          <w:color w:val="000000" w:themeColor="text1"/>
        </w:rPr>
        <w:t>comhroinnt róil</w:t>
      </w:r>
      <w:r>
        <w:rPr>
          <w:noProof/>
          <w:color w:val="000000" w:themeColor="text1"/>
        </w:rPr>
        <w:t xml:space="preserve"> a mhéid a bhaineann leis na </w:t>
      </w:r>
      <w:r>
        <w:rPr>
          <w:b/>
          <w:noProof/>
          <w:color w:val="000000" w:themeColor="text1"/>
        </w:rPr>
        <w:t>freagrachtaí</w:t>
      </w:r>
      <w:r>
        <w:rPr>
          <w:noProof/>
          <w:color w:val="000000" w:themeColor="text1"/>
        </w:rPr>
        <w:t xml:space="preserve"> as forbairt, imscaradh, oibriú agus coinneáil ar bun. Leagtar an méid sin síos sa Rialachán Cur Chun Feidhme maidir leis na Socruithe Teicniúla ina dtugtar tuairisc ar a bhfuil i gceist le comhpháirteanna na gcóras sin, agus ar a gcineál – náisiúnta (arna fhorbairt ar an leibhéal náisiúnta) nó coiteann (arna fhorbairt ar leibhéal an Aontais). Ó thaobh struchtúir de, tá na córais láraithe agus dhíláraithe de chineál tras‑Eorpach agus tá comhpháirteanna coiteanna iontu mar réamhshocrú, in éineacht le comhpháirteanna náisiúnta, uaireanta, cé nach bhfuil sna córais náisiúnta ach comhpháirteanna náisiúnta. </w:t>
      </w:r>
    </w:p>
    <w:p w14:paraId="4ADA5CD6" w14:textId="77777777" w:rsidR="009B4BC8" w:rsidRDefault="0061782F" w:rsidP="703B235F">
      <w:pPr>
        <w:widowControl w:val="0"/>
        <w:autoSpaceDE w:val="0"/>
        <w:autoSpaceDN w:val="0"/>
        <w:adjustRightInd w:val="0"/>
        <w:rPr>
          <w:rFonts w:eastAsiaTheme="minorEastAsia"/>
          <w:noProof/>
          <w:color w:val="000000" w:themeColor="text1"/>
        </w:rPr>
      </w:pPr>
      <w:r>
        <w:rPr>
          <w:noProof/>
          <w:color w:val="000000" w:themeColor="text1"/>
        </w:rPr>
        <w:t>I gcomhréir le hAirteagal </w:t>
      </w:r>
      <w:r w:rsidRPr="0090767E">
        <w:rPr>
          <w:noProof/>
          <w:color w:val="000000" w:themeColor="text1"/>
        </w:rPr>
        <w:t>103</w:t>
      </w:r>
      <w:r>
        <w:rPr>
          <w:noProof/>
          <w:color w:val="000000" w:themeColor="text1"/>
        </w:rPr>
        <w:t xml:space="preserve"> de Rialachán Cur Chun Feidhme maidir leis na Socruithe Teicniúla, déanfaidh an Coimisiún na </w:t>
      </w:r>
      <w:r>
        <w:rPr>
          <w:b/>
          <w:noProof/>
          <w:color w:val="000000" w:themeColor="text1"/>
        </w:rPr>
        <w:t>comhpháirteanna coiteanna</w:t>
      </w:r>
      <w:r>
        <w:rPr>
          <w:noProof/>
          <w:color w:val="000000" w:themeColor="text1"/>
        </w:rPr>
        <w:t xml:space="preserve"> a fhorbairt, a thástáil, a imscaradh agus a bhainistiú, agus féadfaidh na Ballstáit iad a thástáil. Déanfaidh na Ballstáit na </w:t>
      </w:r>
      <w:r>
        <w:rPr>
          <w:b/>
          <w:noProof/>
          <w:color w:val="000000" w:themeColor="text1"/>
        </w:rPr>
        <w:t xml:space="preserve">comhpháirteanna náisiúnta </w:t>
      </w:r>
      <w:r>
        <w:rPr>
          <w:noProof/>
          <w:color w:val="000000" w:themeColor="text1"/>
        </w:rPr>
        <w:t xml:space="preserve">a fhorbairt, a thástáil, a imscaradh agus a bhainistiú. </w:t>
      </w:r>
    </w:p>
    <w:p w14:paraId="2E1E7CB2" w14:textId="54E394BF" w:rsidR="005D3F20" w:rsidRDefault="005D3F20" w:rsidP="703B235F">
      <w:pPr>
        <w:widowControl w:val="0"/>
        <w:autoSpaceDE w:val="0"/>
        <w:autoSpaceDN w:val="0"/>
        <w:adjustRightInd w:val="0"/>
        <w:rPr>
          <w:rFonts w:eastAsiaTheme="minorEastAsia"/>
          <w:noProof/>
          <w:color w:val="000000" w:themeColor="text1"/>
        </w:rPr>
      </w:pPr>
      <w:r>
        <w:rPr>
          <w:noProof/>
          <w:color w:val="000000" w:themeColor="text1"/>
        </w:rPr>
        <w:t>Áiritheoidh na Ballstáit go mbeidh na comhpháirteanna náisiúnta idir‑inoibritheach leis na comhpháirteanna coiteanna. Déanfaidh an Coimisiún na sonraíochtaí coiteanna le haghaidh na gcóras díláraithe a dhearadh agus a chothabháil i ndlúthchomhar leis na Ballstáit. Déanfaidh na Ballstáit comhéadain a fhorbairt, a oibriú agus a chothabháil chun an fheidhmiúlacht a sholáthar le haghaidh na gcóras díláraithe is gá le haghaidh malartú faisnéise le hOibreoirí Eacnamaíocha agus le daoine eile trí chomhpháirteanna náisiúnta agus comhéadain náisiúnta, mar aon le Ballstáit eile trí chomhpháirteanna coiteanna.</w:t>
      </w:r>
    </w:p>
    <w:p w14:paraId="48264E25" w14:textId="77777777" w:rsidR="00AA45E7" w:rsidRPr="004E1DD0" w:rsidRDefault="00AA45E7" w:rsidP="703B235F">
      <w:pPr>
        <w:widowControl w:val="0"/>
        <w:autoSpaceDE w:val="0"/>
        <w:autoSpaceDN w:val="0"/>
        <w:adjustRightInd w:val="0"/>
        <w:rPr>
          <w:rFonts w:eastAsiaTheme="minorEastAsia"/>
          <w:noProof/>
          <w:color w:val="000000" w:themeColor="text1"/>
          <w:lang w:val="en-IE"/>
        </w:rPr>
      </w:pPr>
    </w:p>
    <w:p w14:paraId="2E19F7B0" w14:textId="6522FF7E" w:rsidR="00282B17" w:rsidRPr="004E1DD0" w:rsidRDefault="0071310A" w:rsidP="00B42353">
      <w:pPr>
        <w:pStyle w:val="Heading1"/>
        <w:keepLines w:val="0"/>
        <w:numPr>
          <w:ilvl w:val="0"/>
          <w:numId w:val="4"/>
        </w:numPr>
        <w:spacing w:after="240"/>
        <w:ind w:left="567" w:hanging="567"/>
        <w:jc w:val="left"/>
        <w:rPr>
          <w:rFonts w:hint="eastAsia"/>
          <w:noProof/>
        </w:rPr>
      </w:pPr>
      <w:bookmarkStart w:id="11" w:name="_Toc52475149"/>
      <w:bookmarkStart w:id="12" w:name="_Toc209611070"/>
      <w:r>
        <w:rPr>
          <w:noProof/>
        </w:rPr>
        <w:t>Forbhreathnú domhanda ar dhul chun cinn le córais leictreonacha Chód Custaim an Aontais</w:t>
      </w:r>
      <w:bookmarkEnd w:id="11"/>
      <w:bookmarkEnd w:id="12"/>
    </w:p>
    <w:p w14:paraId="353FE917" w14:textId="1927C588" w:rsidR="00282B17" w:rsidRPr="004E1DD0" w:rsidRDefault="00A33633">
      <w:pPr>
        <w:rPr>
          <w:noProof/>
        </w:rPr>
      </w:pPr>
      <w:r>
        <w:rPr>
          <w:noProof/>
        </w:rPr>
        <w:t xml:space="preserve">Tá </w:t>
      </w:r>
      <w:r w:rsidRPr="0090767E">
        <w:rPr>
          <w:noProof/>
        </w:rPr>
        <w:t>17</w:t>
      </w:r>
      <w:r>
        <w:rPr>
          <w:noProof/>
        </w:rPr>
        <w:t xml:space="preserve"> dtionscadal i gClár Oibre Chód Custaim an Aontais as a dtagann imscaradh na gcóras leictreonach a éilítear lena n‑áirítear </w:t>
      </w:r>
      <w:r w:rsidRPr="0090767E">
        <w:rPr>
          <w:noProof/>
        </w:rPr>
        <w:t>14</w:t>
      </w:r>
      <w:r>
        <w:rPr>
          <w:noProof/>
        </w:rPr>
        <w:t xml:space="preserve"> </w:t>
      </w:r>
      <w:r>
        <w:rPr>
          <w:b/>
          <w:noProof/>
        </w:rPr>
        <w:t>thionscadal thras‑Eorpacha</w:t>
      </w:r>
      <w:r>
        <w:rPr>
          <w:noProof/>
        </w:rPr>
        <w:t xml:space="preserve"> as a bhfuil an Coimisiún agus na Ballstáit freagrach (as a dtagann córais láraithe agus dhíláraithe) agus </w:t>
      </w:r>
      <w:r w:rsidRPr="0090767E">
        <w:rPr>
          <w:noProof/>
        </w:rPr>
        <w:t>3</w:t>
      </w:r>
      <w:r>
        <w:rPr>
          <w:noProof/>
        </w:rPr>
        <w:t xml:space="preserve"> </w:t>
      </w:r>
      <w:r>
        <w:rPr>
          <w:b/>
          <w:noProof/>
        </w:rPr>
        <w:t>thionscadal náisiúnta</w:t>
      </w:r>
      <w:r>
        <w:rPr>
          <w:noProof/>
        </w:rPr>
        <w:t xml:space="preserve"> a thagann faoi fhreagracht na mBallstát amháin (as a dtagann córais náisiúnta).</w:t>
      </w:r>
    </w:p>
    <w:p w14:paraId="2EE0C316" w14:textId="304F5774" w:rsidR="00DA0232" w:rsidRPr="004E1DD0" w:rsidRDefault="00FC6F60" w:rsidP="007711B8">
      <w:pPr>
        <w:pStyle w:val="Heading3"/>
        <w:numPr>
          <w:ilvl w:val="1"/>
          <w:numId w:val="4"/>
        </w:numPr>
        <w:spacing w:before="240" w:after="240"/>
        <w:ind w:left="567" w:hanging="567"/>
        <w:jc w:val="left"/>
        <w:rPr>
          <w:rFonts w:eastAsia="PMingLiU" w:cs="Times New Roman"/>
          <w:caps/>
          <w:noProof/>
          <w:szCs w:val="32"/>
        </w:rPr>
      </w:pPr>
      <w:bookmarkStart w:id="13" w:name="_Toc209611071"/>
      <w:r>
        <w:rPr>
          <w:caps/>
          <w:noProof/>
        </w:rPr>
        <w:t xml:space="preserve">Tionscadail a cuireadh i </w:t>
      </w:r>
      <w:r w:rsidRPr="006B525D">
        <w:rPr>
          <w:rFonts w:ascii="Times New Roman Bold" w:hAnsi="Times New Roman Bold"/>
          <w:noProof/>
        </w:rPr>
        <w:t>g</w:t>
      </w:r>
      <w:r>
        <w:rPr>
          <w:caps/>
          <w:noProof/>
        </w:rPr>
        <w:t xml:space="preserve">crích roimh </w:t>
      </w:r>
      <w:r w:rsidRPr="0090767E">
        <w:rPr>
          <w:caps/>
          <w:noProof/>
        </w:rPr>
        <w:t>2024</w:t>
      </w:r>
      <w:bookmarkEnd w:id="13"/>
    </w:p>
    <w:p w14:paraId="692C9BEE" w14:textId="1735901D" w:rsidR="00282B17" w:rsidRPr="004E1DD0" w:rsidRDefault="00C51F75" w:rsidP="703B235F">
      <w:pPr>
        <w:rPr>
          <w:rFonts w:eastAsiaTheme="minorEastAsia"/>
          <w:noProof/>
        </w:rPr>
      </w:pPr>
      <w:r>
        <w:rPr>
          <w:noProof/>
        </w:rPr>
        <w:t xml:space="preserve">Tuairiscíonn an Coimisiún imscaradh rathúil na </w:t>
      </w:r>
      <w:r>
        <w:rPr>
          <w:b/>
          <w:noProof/>
        </w:rPr>
        <w:t>naoi gcóras nua nó uasghráduithe seo a leanas</w:t>
      </w:r>
      <w:r>
        <w:rPr>
          <w:noProof/>
        </w:rPr>
        <w:t xml:space="preserve">: </w:t>
      </w:r>
    </w:p>
    <w:p w14:paraId="6F66D878" w14:textId="6DE0A11F" w:rsidR="00282B17" w:rsidRPr="004E1DD0" w:rsidRDefault="00A33633" w:rsidP="703B235F">
      <w:pPr>
        <w:numPr>
          <w:ilvl w:val="0"/>
          <w:numId w:val="7"/>
        </w:numPr>
        <w:ind w:left="992" w:hanging="567"/>
        <w:jc w:val="left"/>
        <w:rPr>
          <w:noProof/>
        </w:rPr>
      </w:pPr>
      <w:r>
        <w:rPr>
          <w:noProof/>
        </w:rPr>
        <w:t xml:space="preserve">Córas Onnmhaireoirí Cláraithe Chód Custaim an Aontais – </w:t>
      </w:r>
      <w:r>
        <w:rPr>
          <w:i/>
          <w:noProof/>
        </w:rPr>
        <w:t>REX</w:t>
      </w:r>
      <w:r>
        <w:rPr>
          <w:noProof/>
        </w:rPr>
        <w:t xml:space="preserve"> (nua): Arna imscaradh in </w:t>
      </w:r>
      <w:r w:rsidRPr="0090767E">
        <w:rPr>
          <w:noProof/>
        </w:rPr>
        <w:t>2017</w:t>
      </w:r>
      <w:r>
        <w:rPr>
          <w:noProof/>
        </w:rPr>
        <w:t xml:space="preserve">; </w:t>
      </w:r>
    </w:p>
    <w:p w14:paraId="578B59B8" w14:textId="49160E6D" w:rsidR="00282B17" w:rsidRPr="004E1DD0" w:rsidRDefault="00A33633" w:rsidP="703B235F">
      <w:pPr>
        <w:numPr>
          <w:ilvl w:val="0"/>
          <w:numId w:val="7"/>
        </w:numPr>
        <w:ind w:left="992" w:hanging="567"/>
        <w:jc w:val="left"/>
        <w:rPr>
          <w:noProof/>
        </w:rPr>
      </w:pPr>
      <w:r>
        <w:rPr>
          <w:noProof/>
        </w:rPr>
        <w:t xml:space="preserve">Cinntí Custaim Chód Custaim an Aontais – </w:t>
      </w:r>
      <w:r>
        <w:rPr>
          <w:i/>
          <w:noProof/>
        </w:rPr>
        <w:t>CDS</w:t>
      </w:r>
      <w:r>
        <w:rPr>
          <w:noProof/>
        </w:rPr>
        <w:t xml:space="preserve"> (nua): Arna imscaradh in </w:t>
      </w:r>
      <w:r w:rsidRPr="0090767E">
        <w:rPr>
          <w:noProof/>
        </w:rPr>
        <w:t>2017</w:t>
      </w:r>
      <w:r>
        <w:rPr>
          <w:noProof/>
        </w:rPr>
        <w:t>;</w:t>
      </w:r>
    </w:p>
    <w:p w14:paraId="17FDD7DD" w14:textId="684FB4BA" w:rsidR="00282B17" w:rsidRPr="004E1DD0" w:rsidRDefault="00A33633" w:rsidP="703B235F">
      <w:pPr>
        <w:numPr>
          <w:ilvl w:val="0"/>
          <w:numId w:val="7"/>
        </w:numPr>
        <w:ind w:left="992" w:hanging="567"/>
        <w:jc w:val="left"/>
        <w:rPr>
          <w:noProof/>
        </w:rPr>
      </w:pPr>
      <w:r>
        <w:rPr>
          <w:noProof/>
        </w:rPr>
        <w:t xml:space="preserve">Rochtain Dhíreach Trádálaí Chód Custaim an Aontais ar na Córais Eorpacha Faisnéise – </w:t>
      </w:r>
      <w:r>
        <w:rPr>
          <w:i/>
          <w:noProof/>
        </w:rPr>
        <w:t xml:space="preserve">UUM&amp;DS </w:t>
      </w:r>
      <w:r>
        <w:rPr>
          <w:noProof/>
        </w:rPr>
        <w:t xml:space="preserve">(Bainistíocht Úsáideora Aonfhoirmeach &amp; Síniú Digiteach) (nua): Arna imscaradh in </w:t>
      </w:r>
      <w:r w:rsidRPr="0090767E">
        <w:rPr>
          <w:noProof/>
        </w:rPr>
        <w:t>2017</w:t>
      </w:r>
      <w:r>
        <w:rPr>
          <w:noProof/>
        </w:rPr>
        <w:t>;</w:t>
      </w:r>
    </w:p>
    <w:p w14:paraId="004F01F8" w14:textId="0FEFCA25" w:rsidR="00282B17" w:rsidRPr="004E1DD0" w:rsidRDefault="00A33633" w:rsidP="703B235F">
      <w:pPr>
        <w:numPr>
          <w:ilvl w:val="0"/>
          <w:numId w:val="7"/>
        </w:numPr>
        <w:ind w:left="992" w:hanging="567"/>
        <w:jc w:val="left"/>
        <w:rPr>
          <w:noProof/>
        </w:rPr>
      </w:pPr>
      <w:r>
        <w:rPr>
          <w:noProof/>
        </w:rPr>
        <w:t xml:space="preserve">Córas Clárúcháin agus Aitheantais Oibreoirí Eacnamaíocha Chód Custaim an Aontais </w:t>
      </w:r>
      <w:r w:rsidRPr="0090767E">
        <w:rPr>
          <w:noProof/>
        </w:rPr>
        <w:t>2</w:t>
      </w:r>
      <w:r>
        <w:rPr>
          <w:noProof/>
        </w:rPr>
        <w:t xml:space="preserve"> – </w:t>
      </w:r>
      <w:r>
        <w:rPr>
          <w:i/>
          <w:noProof/>
        </w:rPr>
        <w:t>EORI</w:t>
      </w:r>
      <w:r w:rsidRPr="0090767E">
        <w:rPr>
          <w:i/>
          <w:noProof/>
        </w:rPr>
        <w:t>2</w:t>
      </w:r>
      <w:r>
        <w:rPr>
          <w:noProof/>
        </w:rPr>
        <w:t xml:space="preserve"> (uasghrádú): Arna imscaradh in </w:t>
      </w:r>
      <w:r w:rsidRPr="0090767E">
        <w:rPr>
          <w:noProof/>
        </w:rPr>
        <w:t>2018</w:t>
      </w:r>
      <w:r>
        <w:rPr>
          <w:noProof/>
        </w:rPr>
        <w:t>;</w:t>
      </w:r>
    </w:p>
    <w:p w14:paraId="720B41E9" w14:textId="645902BB" w:rsidR="00282B17" w:rsidRPr="004E1DD0" w:rsidRDefault="00A33633" w:rsidP="703B235F">
      <w:pPr>
        <w:numPr>
          <w:ilvl w:val="0"/>
          <w:numId w:val="7"/>
        </w:numPr>
        <w:ind w:left="992" w:hanging="567"/>
        <w:jc w:val="left"/>
        <w:rPr>
          <w:noProof/>
        </w:rPr>
      </w:pPr>
      <w:r>
        <w:rPr>
          <w:noProof/>
        </w:rPr>
        <w:t xml:space="preserve">Faireachas </w:t>
      </w:r>
      <w:r w:rsidRPr="0090767E">
        <w:rPr>
          <w:noProof/>
        </w:rPr>
        <w:t>3</w:t>
      </w:r>
      <w:r>
        <w:rPr>
          <w:noProof/>
        </w:rPr>
        <w:t xml:space="preserve"> Chód Custaim an Aontais – </w:t>
      </w:r>
      <w:r>
        <w:rPr>
          <w:i/>
          <w:noProof/>
        </w:rPr>
        <w:t>SURV</w:t>
      </w:r>
      <w:r w:rsidRPr="0090767E">
        <w:rPr>
          <w:i/>
          <w:noProof/>
        </w:rPr>
        <w:t>3</w:t>
      </w:r>
      <w:r>
        <w:rPr>
          <w:noProof/>
        </w:rPr>
        <w:t xml:space="preserve"> (uasghrádú): Arna imscaradh in </w:t>
      </w:r>
      <w:r w:rsidRPr="0090767E">
        <w:rPr>
          <w:noProof/>
        </w:rPr>
        <w:t>2018</w:t>
      </w:r>
      <w:r>
        <w:rPr>
          <w:noProof/>
        </w:rPr>
        <w:t>;</w:t>
      </w:r>
    </w:p>
    <w:p w14:paraId="34EC780A" w14:textId="5B97D0E3" w:rsidR="00282B17" w:rsidRPr="004E1DD0" w:rsidRDefault="00A33633" w:rsidP="703B235F">
      <w:pPr>
        <w:numPr>
          <w:ilvl w:val="0"/>
          <w:numId w:val="7"/>
        </w:numPr>
        <w:ind w:left="992" w:hanging="567"/>
        <w:jc w:val="left"/>
        <w:rPr>
          <w:noProof/>
        </w:rPr>
      </w:pPr>
      <w:r>
        <w:rPr>
          <w:noProof/>
        </w:rPr>
        <w:t xml:space="preserve">Faisnéis Taraife Cheangailteach Chód Custaim an Aontais – </w:t>
      </w:r>
      <w:r>
        <w:rPr>
          <w:i/>
          <w:noProof/>
        </w:rPr>
        <w:t>BTI</w:t>
      </w:r>
      <w:r>
        <w:rPr>
          <w:noProof/>
        </w:rPr>
        <w:t xml:space="preserve"> (uasghrádú): Arna imscaradh in </w:t>
      </w:r>
      <w:r w:rsidRPr="0090767E">
        <w:rPr>
          <w:noProof/>
        </w:rPr>
        <w:t>2019</w:t>
      </w:r>
      <w:r>
        <w:rPr>
          <w:noProof/>
        </w:rPr>
        <w:t>;</w:t>
      </w:r>
    </w:p>
    <w:p w14:paraId="6EC5EB2D" w14:textId="70F231D6" w:rsidR="00282B17" w:rsidRPr="004E1DD0" w:rsidRDefault="00A33633" w:rsidP="703B235F">
      <w:pPr>
        <w:numPr>
          <w:ilvl w:val="0"/>
          <w:numId w:val="7"/>
        </w:numPr>
        <w:ind w:left="992" w:hanging="567"/>
        <w:jc w:val="left"/>
        <w:rPr>
          <w:noProof/>
        </w:rPr>
      </w:pPr>
      <w:r>
        <w:rPr>
          <w:noProof/>
        </w:rPr>
        <w:t xml:space="preserve">Oibreoirí Eacnamaíocha Údaraithe Chód Custaim an Aontais – </w:t>
      </w:r>
      <w:r>
        <w:rPr>
          <w:i/>
          <w:noProof/>
        </w:rPr>
        <w:t>AEO</w:t>
      </w:r>
      <w:r>
        <w:rPr>
          <w:noProof/>
        </w:rPr>
        <w:t xml:space="preserve"> (uasghrádú): Arna imscaradh in </w:t>
      </w:r>
      <w:r w:rsidRPr="0090767E">
        <w:rPr>
          <w:noProof/>
        </w:rPr>
        <w:t>2019</w:t>
      </w:r>
      <w:r>
        <w:rPr>
          <w:noProof/>
        </w:rPr>
        <w:t>;</w:t>
      </w:r>
    </w:p>
    <w:p w14:paraId="39DC0B7E" w14:textId="40A49C3E" w:rsidR="00282B17" w:rsidRPr="004E1DD0" w:rsidRDefault="00A33633" w:rsidP="703B235F">
      <w:pPr>
        <w:numPr>
          <w:ilvl w:val="0"/>
          <w:numId w:val="7"/>
        </w:numPr>
        <w:ind w:left="992" w:hanging="567"/>
        <w:jc w:val="left"/>
        <w:rPr>
          <w:noProof/>
        </w:rPr>
      </w:pPr>
      <w:r>
        <w:rPr>
          <w:noProof/>
        </w:rPr>
        <w:t xml:space="preserve">Bileoga Faisnéise Chód Custaim an Aontais le haghaidh Nósanna Imeachta Speisialta – </w:t>
      </w:r>
      <w:r>
        <w:rPr>
          <w:i/>
          <w:noProof/>
        </w:rPr>
        <w:t>INF</w:t>
      </w:r>
      <w:r>
        <w:rPr>
          <w:noProof/>
        </w:rPr>
        <w:t xml:space="preserve"> (nua): Arna imscaradh in </w:t>
      </w:r>
      <w:r w:rsidRPr="0090767E">
        <w:rPr>
          <w:noProof/>
        </w:rPr>
        <w:t>2020</w:t>
      </w:r>
      <w:r>
        <w:rPr>
          <w:noProof/>
        </w:rPr>
        <w:t>;</w:t>
      </w:r>
    </w:p>
    <w:p w14:paraId="75593CF5" w14:textId="5D23347A" w:rsidR="00B90964" w:rsidRPr="004E1DD0" w:rsidRDefault="00B90964" w:rsidP="703B235F">
      <w:pPr>
        <w:numPr>
          <w:ilvl w:val="0"/>
          <w:numId w:val="7"/>
        </w:numPr>
        <w:ind w:left="992" w:hanging="567"/>
        <w:jc w:val="left"/>
        <w:rPr>
          <w:noProof/>
        </w:rPr>
      </w:pPr>
      <w:r>
        <w:rPr>
          <w:noProof/>
        </w:rPr>
        <w:t xml:space="preserve">Córas Rialaithe Allmhairí Chód Custaim an Aontais </w:t>
      </w:r>
      <w:r w:rsidRPr="0090767E">
        <w:rPr>
          <w:noProof/>
        </w:rPr>
        <w:t>2</w:t>
      </w:r>
      <w:r>
        <w:rPr>
          <w:noProof/>
        </w:rPr>
        <w:t xml:space="preserve"> – Eisiúint </w:t>
      </w:r>
      <w:r w:rsidRPr="0090767E">
        <w:rPr>
          <w:noProof/>
        </w:rPr>
        <w:t>1</w:t>
      </w:r>
      <w:r>
        <w:rPr>
          <w:noProof/>
        </w:rPr>
        <w:t xml:space="preserve"> agus </w:t>
      </w:r>
      <w:r w:rsidRPr="0090767E">
        <w:rPr>
          <w:noProof/>
        </w:rPr>
        <w:t>2</w:t>
      </w:r>
      <w:r>
        <w:rPr>
          <w:noProof/>
        </w:rPr>
        <w:t xml:space="preserve"> – </w:t>
      </w:r>
      <w:r>
        <w:rPr>
          <w:i/>
          <w:noProof/>
        </w:rPr>
        <w:t>ICS</w:t>
      </w:r>
      <w:r w:rsidRPr="0090767E">
        <w:rPr>
          <w:i/>
          <w:noProof/>
        </w:rPr>
        <w:t>2</w:t>
      </w:r>
      <w:r>
        <w:rPr>
          <w:i/>
          <w:noProof/>
        </w:rPr>
        <w:t xml:space="preserve"> – Eisiúint </w:t>
      </w:r>
      <w:r w:rsidRPr="0090767E">
        <w:rPr>
          <w:i/>
          <w:noProof/>
        </w:rPr>
        <w:t>1</w:t>
      </w:r>
      <w:r>
        <w:rPr>
          <w:i/>
          <w:noProof/>
        </w:rPr>
        <w:t xml:space="preserve"> agus </w:t>
      </w:r>
      <w:r w:rsidRPr="0090767E">
        <w:rPr>
          <w:i/>
          <w:noProof/>
        </w:rPr>
        <w:t>2</w:t>
      </w:r>
      <w:r>
        <w:rPr>
          <w:noProof/>
        </w:rPr>
        <w:t xml:space="preserve"> (uasghrádú): Imscaradh iad in </w:t>
      </w:r>
      <w:r w:rsidRPr="0090767E">
        <w:rPr>
          <w:noProof/>
        </w:rPr>
        <w:t>2021</w:t>
      </w:r>
      <w:r>
        <w:rPr>
          <w:noProof/>
        </w:rPr>
        <w:t xml:space="preserve"> agus </w:t>
      </w:r>
      <w:r w:rsidRPr="0090767E">
        <w:rPr>
          <w:noProof/>
        </w:rPr>
        <w:t>2023</w:t>
      </w:r>
      <w:r>
        <w:rPr>
          <w:noProof/>
        </w:rPr>
        <w:t xml:space="preserve"> faoi seach.</w:t>
      </w:r>
    </w:p>
    <w:p w14:paraId="5AC29F02" w14:textId="22429EA6" w:rsidR="00B548E7" w:rsidRPr="004E1DD0" w:rsidRDefault="0071310A" w:rsidP="00724D2C">
      <w:pPr>
        <w:pStyle w:val="Heading3"/>
        <w:numPr>
          <w:ilvl w:val="1"/>
          <w:numId w:val="4"/>
        </w:numPr>
        <w:spacing w:before="240" w:after="240"/>
        <w:ind w:left="567" w:hanging="567"/>
        <w:jc w:val="left"/>
        <w:rPr>
          <w:rFonts w:eastAsia="PMingLiU" w:cs="Times New Roman"/>
          <w:caps/>
          <w:noProof/>
          <w:szCs w:val="32"/>
        </w:rPr>
      </w:pPr>
      <w:bookmarkStart w:id="14" w:name="_Ref201910728"/>
      <w:bookmarkStart w:id="15" w:name="_Toc209611072"/>
      <w:r>
        <w:rPr>
          <w:caps/>
          <w:noProof/>
        </w:rPr>
        <w:t xml:space="preserve">Tionscadail atá leanúnach agus a tugadh i </w:t>
      </w:r>
      <w:r w:rsidRPr="00815640">
        <w:rPr>
          <w:rFonts w:ascii="Times New Roman Bold" w:hAnsi="Times New Roman Bold"/>
          <w:noProof/>
        </w:rPr>
        <w:t>g</w:t>
      </w:r>
      <w:r>
        <w:rPr>
          <w:caps/>
          <w:noProof/>
        </w:rPr>
        <w:t xml:space="preserve">crích in </w:t>
      </w:r>
      <w:r w:rsidRPr="0090767E">
        <w:rPr>
          <w:caps/>
          <w:noProof/>
        </w:rPr>
        <w:t>2024</w:t>
      </w:r>
      <w:bookmarkEnd w:id="14"/>
      <w:bookmarkEnd w:id="15"/>
    </w:p>
    <w:p w14:paraId="6838848D" w14:textId="77777777" w:rsidR="008568D2" w:rsidRDefault="00682143">
      <w:pPr>
        <w:rPr>
          <w:noProof/>
        </w:rPr>
      </w:pPr>
      <w:r>
        <w:rPr>
          <w:noProof/>
        </w:rPr>
        <w:t xml:space="preserve">Is é is aidhm don tuarascáil seo na héachtaí agus na dúshláin a tháinig chun cinn agus na tionscadail leanúnacha á gcur chun feidhme in </w:t>
      </w:r>
      <w:r w:rsidRPr="0090767E">
        <w:rPr>
          <w:noProof/>
        </w:rPr>
        <w:t>2024</w:t>
      </w:r>
      <w:r>
        <w:rPr>
          <w:noProof/>
        </w:rPr>
        <w:t xml:space="preserve"> ag an gCoimisiún agus ag na Ballstáit a chur i dtábhacht. </w:t>
      </w:r>
    </w:p>
    <w:p w14:paraId="02072ABE" w14:textId="0EFF0391" w:rsidR="00000264" w:rsidRPr="004E1DD0" w:rsidRDefault="00AE7191">
      <w:pPr>
        <w:rPr>
          <w:noProof/>
        </w:rPr>
      </w:pPr>
      <w:r>
        <w:rPr>
          <w:noProof/>
        </w:rPr>
        <w:t>I Roinn </w:t>
      </w:r>
      <w:r w:rsidRPr="0090767E">
        <w:rPr>
          <w:noProof/>
        </w:rPr>
        <w:t>4</w:t>
      </w:r>
      <w:r>
        <w:rPr>
          <w:noProof/>
        </w:rPr>
        <w:t>.</w:t>
      </w:r>
      <w:r w:rsidRPr="0090767E">
        <w:rPr>
          <w:noProof/>
        </w:rPr>
        <w:t>2</w:t>
      </w:r>
      <w:r>
        <w:rPr>
          <w:noProof/>
        </w:rPr>
        <w:t>.</w:t>
      </w:r>
      <w:r w:rsidRPr="0090767E">
        <w:rPr>
          <w:noProof/>
        </w:rPr>
        <w:t>1</w:t>
      </w:r>
      <w:r>
        <w:rPr>
          <w:noProof/>
        </w:rPr>
        <w:t xml:space="preserve"> tugtar forbhreathnú ar na </w:t>
      </w:r>
      <w:r>
        <w:rPr>
          <w:b/>
          <w:noProof/>
        </w:rPr>
        <w:t>sé thionscadal thras-Eorpacha</w:t>
      </w:r>
      <w:r>
        <w:rPr>
          <w:noProof/>
        </w:rPr>
        <w:t xml:space="preserve"> atá beartaithe lena n‑imscaradh idir </w:t>
      </w:r>
      <w:r w:rsidRPr="0090767E">
        <w:rPr>
          <w:noProof/>
        </w:rPr>
        <w:t>2024</w:t>
      </w:r>
      <w:r>
        <w:rPr>
          <w:noProof/>
        </w:rPr>
        <w:t xml:space="preserve"> agus </w:t>
      </w:r>
      <w:r w:rsidRPr="0090767E">
        <w:rPr>
          <w:noProof/>
        </w:rPr>
        <w:t>2025</w:t>
      </w:r>
      <w:r>
        <w:rPr>
          <w:noProof/>
        </w:rPr>
        <w:t xml:space="preserve">. I gcás </w:t>
      </w:r>
      <w:r w:rsidRPr="0090767E">
        <w:rPr>
          <w:noProof/>
        </w:rPr>
        <w:t>5</w:t>
      </w:r>
      <w:r>
        <w:rPr>
          <w:noProof/>
        </w:rPr>
        <w:t xml:space="preserve"> cinn de na tionscadail sin, is in </w:t>
      </w:r>
      <w:r w:rsidRPr="0090767E">
        <w:rPr>
          <w:noProof/>
        </w:rPr>
        <w:t>2024</w:t>
      </w:r>
      <w:r>
        <w:rPr>
          <w:noProof/>
        </w:rPr>
        <w:t xml:space="preserve"> a thiocfaidh deireadh lena dtréimhsí imscartha mar a leagtar síos i gcreat dlíthiúil Chlár Oibre Chód Custaim an Aontais. </w:t>
      </w:r>
    </w:p>
    <w:p w14:paraId="6C8A92C3" w14:textId="32A16FC9" w:rsidR="00282B17" w:rsidRPr="004E1DD0" w:rsidRDefault="61E4BCF8" w:rsidP="703B235F">
      <w:pPr>
        <w:rPr>
          <w:noProof/>
        </w:rPr>
      </w:pPr>
      <w:r>
        <w:rPr>
          <w:noProof/>
        </w:rPr>
        <w:t>Le roinn </w:t>
      </w:r>
      <w:r w:rsidRPr="0090767E">
        <w:rPr>
          <w:noProof/>
        </w:rPr>
        <w:t>4</w:t>
      </w:r>
      <w:r>
        <w:rPr>
          <w:noProof/>
        </w:rPr>
        <w:t>.</w:t>
      </w:r>
      <w:r w:rsidRPr="0090767E">
        <w:rPr>
          <w:noProof/>
        </w:rPr>
        <w:t>2</w:t>
      </w:r>
      <w:r>
        <w:rPr>
          <w:noProof/>
        </w:rPr>
        <w:t>.</w:t>
      </w:r>
      <w:r w:rsidRPr="0090767E">
        <w:rPr>
          <w:noProof/>
        </w:rPr>
        <w:t>2</w:t>
      </w:r>
      <w:r>
        <w:rPr>
          <w:noProof/>
        </w:rPr>
        <w:t xml:space="preserve"> leagtar amach cur chun feidhme na </w:t>
      </w:r>
      <w:r w:rsidRPr="0090767E">
        <w:rPr>
          <w:b/>
          <w:noProof/>
        </w:rPr>
        <w:t>3</w:t>
      </w:r>
      <w:r>
        <w:rPr>
          <w:b/>
          <w:noProof/>
        </w:rPr>
        <w:t xml:space="preserve"> thionscadal náisiúnta</w:t>
      </w:r>
      <w:r>
        <w:rPr>
          <w:noProof/>
        </w:rPr>
        <w:t xml:space="preserve">, is é sin </w:t>
      </w:r>
      <w:r>
        <w:rPr>
          <w:i/>
          <w:noProof/>
        </w:rPr>
        <w:t>Fógra Teachta</w:t>
      </w:r>
      <w:r>
        <w:rPr>
          <w:noProof/>
        </w:rPr>
        <w:t>/</w:t>
      </w:r>
      <w:r>
        <w:rPr>
          <w:i/>
          <w:noProof/>
        </w:rPr>
        <w:t>Fógra Cur i Láthair</w:t>
      </w:r>
      <w:r>
        <w:rPr>
          <w:noProof/>
        </w:rPr>
        <w:t>/</w:t>
      </w:r>
      <w:r>
        <w:rPr>
          <w:i/>
          <w:noProof/>
        </w:rPr>
        <w:t xml:space="preserve">Stóráil Shealadach </w:t>
      </w:r>
      <w:r>
        <w:rPr>
          <w:noProof/>
        </w:rPr>
        <w:t xml:space="preserve">(na córais iontrála náisiúnta mar a ghairtear díobh), </w:t>
      </w:r>
      <w:r>
        <w:rPr>
          <w:i/>
          <w:noProof/>
        </w:rPr>
        <w:t xml:space="preserve">Córais Allmhairiúcháin Náisiúnta, </w:t>
      </w:r>
      <w:r>
        <w:rPr>
          <w:noProof/>
        </w:rPr>
        <w:t>agus</w:t>
      </w:r>
      <w:r>
        <w:rPr>
          <w:i/>
          <w:noProof/>
        </w:rPr>
        <w:t xml:space="preserve"> Nósanna Imeachta Speisialta</w:t>
      </w:r>
      <w:r>
        <w:rPr>
          <w:noProof/>
        </w:rPr>
        <w:t xml:space="preserve">. Beartaíodh ar dtús go mbeadh na tionscadail sin oibríochtúil faoin </w:t>
      </w:r>
      <w:r w:rsidRPr="0090767E">
        <w:rPr>
          <w:noProof/>
        </w:rPr>
        <w:t>31</w:t>
      </w:r>
      <w:r>
        <w:rPr>
          <w:noProof/>
        </w:rPr>
        <w:t> Nollaig </w:t>
      </w:r>
      <w:r w:rsidRPr="0090767E">
        <w:rPr>
          <w:noProof/>
        </w:rPr>
        <w:t>2022</w:t>
      </w:r>
      <w:r>
        <w:rPr>
          <w:noProof/>
        </w:rPr>
        <w:t>, mar a shainítear i gCód Custaim an Aontais. Mar sin féin, toisc nach rabhthas in ann an sprioc‑am sin a chomhlíonadh agus mar a sainaithníodh cheana i dTuarascálacha Bliantúla Chód Custaim an Aontais ar Dhul Chun Cinn, d’iarr roinnt Ballstát maolú faoi Airteagal </w:t>
      </w:r>
      <w:r w:rsidRPr="0090767E">
        <w:rPr>
          <w:noProof/>
        </w:rPr>
        <w:t>6</w:t>
      </w:r>
      <w:r>
        <w:rPr>
          <w:noProof/>
        </w:rPr>
        <w:t>(</w:t>
      </w:r>
      <w:r w:rsidRPr="0090767E">
        <w:rPr>
          <w:noProof/>
        </w:rPr>
        <w:t>4</w:t>
      </w:r>
      <w:r>
        <w:rPr>
          <w:noProof/>
        </w:rPr>
        <w:t xml:space="preserve">) de Chód Custaim an Aontais. Dá thoradh sin, an </w:t>
      </w:r>
      <w:r w:rsidRPr="0090767E">
        <w:rPr>
          <w:noProof/>
        </w:rPr>
        <w:t>1</w:t>
      </w:r>
      <w:r>
        <w:rPr>
          <w:noProof/>
        </w:rPr>
        <w:t> Feabhra </w:t>
      </w:r>
      <w:r w:rsidRPr="0090767E">
        <w:rPr>
          <w:noProof/>
        </w:rPr>
        <w:t>2023</w:t>
      </w:r>
      <w:r>
        <w:rPr>
          <w:noProof/>
        </w:rPr>
        <w:t xml:space="preserve">, ghlac an Coimisiún Cinntí Cur Chun Feidhme lena ndeonaítear maoluithe do Bhallstáit áirithe, lenar leathnaíodh an sprioc‑am chuig an </w:t>
      </w:r>
      <w:r w:rsidRPr="0090767E">
        <w:rPr>
          <w:noProof/>
        </w:rPr>
        <w:t>31</w:t>
      </w:r>
      <w:r>
        <w:rPr>
          <w:noProof/>
        </w:rPr>
        <w:t> Nollaig </w:t>
      </w:r>
      <w:r w:rsidRPr="0090767E">
        <w:rPr>
          <w:noProof/>
        </w:rPr>
        <w:t>2023</w:t>
      </w:r>
      <w:r>
        <w:rPr>
          <w:noProof/>
        </w:rPr>
        <w:t xml:space="preserve"> le haghaidh na gCóras Allmhairiúcháin Náisiúnta agus réimse allmhairiúcháin na Nósanna Imeachta Speisialta, agus le haghaidh na gcóras iontrála náisiúnta le haghaidh aeriompair, agus léiríodh ailíniú breise an tráth chéanna leis na heisiúintí éagsúla de ICS</w:t>
      </w:r>
      <w:r w:rsidRPr="0090767E">
        <w:rPr>
          <w:noProof/>
        </w:rPr>
        <w:t>2</w:t>
      </w:r>
      <w:r>
        <w:rPr>
          <w:noProof/>
        </w:rPr>
        <w:t xml:space="preserve"> le haghaidh modhanna iompair eile. </w:t>
      </w:r>
    </w:p>
    <w:p w14:paraId="7E8993D6" w14:textId="25D19EEA" w:rsidR="00B548E7" w:rsidRPr="004E1DD0" w:rsidRDefault="00E85CC2" w:rsidP="703B235F">
      <w:pPr>
        <w:pStyle w:val="Heading4"/>
        <w:keepLines w:val="0"/>
        <w:spacing w:before="240" w:after="240"/>
        <w:ind w:left="567" w:hanging="567"/>
        <w:rPr>
          <w:rFonts w:ascii="Times New Roman" w:eastAsia="Times New Roman" w:hAnsi="Times New Roman" w:cs="Times New Roman"/>
          <w:b/>
          <w:bCs/>
          <w:i w:val="0"/>
          <w:iCs w:val="0"/>
          <w:noProof/>
          <w:color w:val="auto"/>
          <w:sz w:val="24"/>
          <w:szCs w:val="24"/>
        </w:rPr>
      </w:pPr>
      <w:bookmarkStart w:id="16" w:name="_Ref106895189"/>
      <w:r w:rsidRPr="0090767E">
        <w:rPr>
          <w:rFonts w:ascii="Times New Roman" w:hAnsi="Times New Roman"/>
          <w:b/>
          <w:i w:val="0"/>
          <w:noProof/>
          <w:color w:val="auto"/>
          <w:sz w:val="24"/>
        </w:rPr>
        <w:t>4</w:t>
      </w:r>
      <w:r>
        <w:rPr>
          <w:rFonts w:ascii="Times New Roman" w:hAnsi="Times New Roman"/>
          <w:b/>
          <w:i w:val="0"/>
          <w:noProof/>
          <w:color w:val="auto"/>
          <w:sz w:val="24"/>
        </w:rPr>
        <w:t>.</w:t>
      </w:r>
      <w:r w:rsidRPr="0090767E">
        <w:rPr>
          <w:rFonts w:ascii="Times New Roman" w:hAnsi="Times New Roman"/>
          <w:b/>
          <w:i w:val="0"/>
          <w:noProof/>
          <w:color w:val="auto"/>
          <w:sz w:val="24"/>
        </w:rPr>
        <w:t>2</w:t>
      </w:r>
      <w:r>
        <w:rPr>
          <w:rFonts w:ascii="Times New Roman" w:hAnsi="Times New Roman"/>
          <w:b/>
          <w:i w:val="0"/>
          <w:noProof/>
          <w:color w:val="auto"/>
          <w:sz w:val="24"/>
        </w:rPr>
        <w:t>.</w:t>
      </w:r>
      <w:r w:rsidRPr="0090767E">
        <w:rPr>
          <w:rFonts w:ascii="Times New Roman" w:hAnsi="Times New Roman"/>
          <w:b/>
          <w:i w:val="0"/>
          <w:noProof/>
          <w:color w:val="auto"/>
          <w:sz w:val="24"/>
        </w:rPr>
        <w:t>1</w:t>
      </w:r>
      <w:r>
        <w:rPr>
          <w:rFonts w:ascii="Times New Roman" w:hAnsi="Times New Roman"/>
          <w:b/>
          <w:i w:val="0"/>
          <w:noProof/>
          <w:color w:val="auto"/>
          <w:sz w:val="24"/>
        </w:rPr>
        <w:t xml:space="preserve"> Tionscadail thras‑Eorpacha</w:t>
      </w:r>
      <w:bookmarkEnd w:id="16"/>
    </w:p>
    <w:p w14:paraId="663A0A49" w14:textId="59044DCD" w:rsidR="00282B17" w:rsidRPr="004E1DD0" w:rsidRDefault="00263768" w:rsidP="007270C7">
      <w:pPr>
        <w:rPr>
          <w:noProof/>
        </w:rPr>
      </w:pPr>
      <w:r>
        <w:rPr>
          <w:noProof/>
        </w:rPr>
        <w:t>Leanann na tionscadail thras‑Eorpacha struchtúr ar leith, a bhféadfadh meascán de ghnéithe lárnacha agus náisiúnta a bheith i gceist leis chomh maith le céimeanna nó comhpháirteanna iomadúla. Mar a luaitear in Airteagal </w:t>
      </w:r>
      <w:r w:rsidRPr="0090767E">
        <w:rPr>
          <w:noProof/>
        </w:rPr>
        <w:t>278</w:t>
      </w:r>
      <w:r>
        <w:rPr>
          <w:noProof/>
        </w:rPr>
        <w:t>(</w:t>
      </w:r>
      <w:r w:rsidRPr="0090767E">
        <w:rPr>
          <w:noProof/>
        </w:rPr>
        <w:t>3</w:t>
      </w:r>
      <w:r>
        <w:rPr>
          <w:noProof/>
        </w:rPr>
        <w:t xml:space="preserve">) de Chód Custaim an Aontais, ní mór na tionscadail a chur i gcrích tráth nach déanaí ná an </w:t>
      </w:r>
      <w:r w:rsidRPr="0090767E">
        <w:rPr>
          <w:noProof/>
        </w:rPr>
        <w:t>31</w:t>
      </w:r>
      <w:r>
        <w:rPr>
          <w:noProof/>
        </w:rPr>
        <w:t> Nollaig </w:t>
      </w:r>
      <w:r w:rsidRPr="0090767E">
        <w:rPr>
          <w:noProof/>
        </w:rPr>
        <w:t>2025</w:t>
      </w:r>
      <w:r>
        <w:rPr>
          <w:noProof/>
        </w:rPr>
        <w:t>. Cuirtear tuairisc agus dul chun cinn maidir le gach tionscadal i láthair thíos:</w:t>
      </w:r>
    </w:p>
    <w:p w14:paraId="3E07CCE2" w14:textId="77777777" w:rsidR="006C7EE0" w:rsidRPr="004E1DD0" w:rsidRDefault="006C7EE0" w:rsidP="007270C7">
      <w:pPr>
        <w:rPr>
          <w:noProof/>
          <w:lang w:val="en-IE"/>
        </w:rPr>
      </w:pPr>
    </w:p>
    <w:p w14:paraId="52376E00" w14:textId="54D0665E" w:rsidR="00DD5B30" w:rsidRPr="004E1DD0" w:rsidRDefault="00A33633" w:rsidP="703B235F">
      <w:pPr>
        <w:numPr>
          <w:ilvl w:val="0"/>
          <w:numId w:val="8"/>
        </w:numPr>
        <w:ind w:left="992" w:hanging="567"/>
        <w:rPr>
          <w:noProof/>
        </w:rPr>
      </w:pPr>
      <w:r>
        <w:rPr>
          <w:b/>
          <w:noProof/>
        </w:rPr>
        <w:t xml:space="preserve">Bainistíocht Ráthaíochta Chód Custaim an Aontais </w:t>
      </w:r>
      <w:r>
        <w:rPr>
          <w:noProof/>
        </w:rPr>
        <w:t>– GUM (nua): tá sé d’aidhm aige bainistíocht éifeachtach agus éifeachtúil ar chineálacha éagsúla ráthaíochtaí ar fud an Aontais a áirithiú, ag díriú ar fheabhas a chur ar an luas próiseála, inrianaitheacht, agus faireachán a dhéanamh ar ráthaíochtaí idir oifigí custaim.</w:t>
      </w:r>
    </w:p>
    <w:p w14:paraId="05B52996" w14:textId="52710611" w:rsidR="008D17FD" w:rsidRPr="004E1DD0" w:rsidRDefault="00A33633" w:rsidP="703B235F">
      <w:pPr>
        <w:ind w:left="992"/>
        <w:rPr>
          <w:noProof/>
        </w:rPr>
      </w:pPr>
      <w:r>
        <w:rPr>
          <w:b/>
          <w:noProof/>
        </w:rPr>
        <w:t>Dul chun cinn</w:t>
      </w:r>
      <w:r>
        <w:rPr>
          <w:noProof/>
        </w:rPr>
        <w:t xml:space="preserve">: </w:t>
      </w:r>
      <w:r>
        <w:rPr>
          <w:i/>
          <w:noProof/>
        </w:rPr>
        <w:t>GUM – Comhpháirt </w:t>
      </w:r>
      <w:r w:rsidRPr="0090767E">
        <w:rPr>
          <w:i/>
          <w:noProof/>
        </w:rPr>
        <w:t>1</w:t>
      </w:r>
      <w:r>
        <w:rPr>
          <w:noProof/>
        </w:rPr>
        <w:t xml:space="preserve"> lena ndéantar ráthaíochtaí is féidir a úsáid ar fud na mBallstát a bhainistiú go lárnach, tháinig sí chun bheith </w:t>
      </w:r>
      <w:r>
        <w:rPr>
          <w:b/>
          <w:noProof/>
        </w:rPr>
        <w:t xml:space="preserve">oibríochtúil an </w:t>
      </w:r>
      <w:r w:rsidRPr="0090767E">
        <w:rPr>
          <w:b/>
          <w:noProof/>
        </w:rPr>
        <w:t>11</w:t>
      </w:r>
      <w:r>
        <w:rPr>
          <w:b/>
          <w:noProof/>
        </w:rPr>
        <w:t> Márta </w:t>
      </w:r>
      <w:r w:rsidRPr="0090767E">
        <w:rPr>
          <w:b/>
          <w:noProof/>
        </w:rPr>
        <w:t>2024</w:t>
      </w:r>
      <w:r>
        <w:rPr>
          <w:noProof/>
        </w:rPr>
        <w:t xml:space="preserve"> laistigh den Chóras Cinnteoireachta Custaim. I bhfianaise an idirnaisc idir an dá chomhpháirt, leanann gníomhaíochtaí tástála comhréireachta de bheith ar fáil go gcuirfidh na Ballstáit a gcórais </w:t>
      </w:r>
      <w:r>
        <w:rPr>
          <w:i/>
          <w:noProof/>
        </w:rPr>
        <w:t>GUM – Comhpháirt </w:t>
      </w:r>
      <w:r w:rsidRPr="0090767E">
        <w:rPr>
          <w:i/>
          <w:noProof/>
        </w:rPr>
        <w:t>2</w:t>
      </w:r>
      <w:r>
        <w:rPr>
          <w:noProof/>
        </w:rPr>
        <w:t xml:space="preserve"> chun feidhme. </w:t>
      </w:r>
    </w:p>
    <w:p w14:paraId="12D91B9B" w14:textId="47F3740D" w:rsidR="00282B17" w:rsidRPr="004E1DD0" w:rsidRDefault="1C157B21" w:rsidP="003808AB">
      <w:pPr>
        <w:ind w:left="992"/>
        <w:rPr>
          <w:noProof/>
        </w:rPr>
      </w:pPr>
      <w:r>
        <w:rPr>
          <w:noProof/>
        </w:rPr>
        <w:t xml:space="preserve">Maidir leis an gcomhpháirt náisiúnta, </w:t>
      </w:r>
      <w:r>
        <w:rPr>
          <w:i/>
          <w:noProof/>
        </w:rPr>
        <w:t xml:space="preserve">GUM — Comhpháirt </w:t>
      </w:r>
      <w:r w:rsidRPr="0090767E">
        <w:rPr>
          <w:i/>
          <w:noProof/>
        </w:rPr>
        <w:t>2</w:t>
      </w:r>
      <w:r>
        <w:rPr>
          <w:noProof/>
        </w:rPr>
        <w:t xml:space="preserve">, táthar ag súil go mbunóidh na Ballstáit naisc oibríochtúla leis an gcomhpháirt lárnach idir mí an Mhárta </w:t>
      </w:r>
      <w:r w:rsidRPr="0090767E">
        <w:rPr>
          <w:noProof/>
        </w:rPr>
        <w:t>2024</w:t>
      </w:r>
      <w:r>
        <w:rPr>
          <w:noProof/>
        </w:rPr>
        <w:t xml:space="preserve"> agus mí an Mheithimh </w:t>
      </w:r>
      <w:r w:rsidRPr="0090767E">
        <w:rPr>
          <w:noProof/>
        </w:rPr>
        <w:t>2025</w:t>
      </w:r>
      <w:r>
        <w:rPr>
          <w:noProof/>
        </w:rPr>
        <w:t>. Thuairiscigh cúpla Ballstát gur cuireadh imscaradh a gcomhpháirte náisiúnta i gcrích; mar sin féin, thuairiscigh formhór na mBallstát go bhfuil riosca ar leibhéal íseal go meánleibhéal ann go ndéanfar an tionscadal a chur i gcrích go tráthúil faoi R</w:t>
      </w:r>
      <w:r w:rsidRPr="0090767E">
        <w:rPr>
          <w:noProof/>
        </w:rPr>
        <w:t>2</w:t>
      </w:r>
      <w:r>
        <w:rPr>
          <w:noProof/>
        </w:rPr>
        <w:t> </w:t>
      </w:r>
      <w:r w:rsidRPr="0090767E">
        <w:rPr>
          <w:noProof/>
        </w:rPr>
        <w:t>2025</w:t>
      </w:r>
      <w:r>
        <w:rPr>
          <w:noProof/>
        </w:rPr>
        <w:t>.</w:t>
      </w:r>
    </w:p>
    <w:p w14:paraId="04507100" w14:textId="12DDA739" w:rsidR="14B1BDE3" w:rsidRPr="004E1DD0" w:rsidRDefault="14B1BDE3" w:rsidP="0D619399">
      <w:pPr>
        <w:ind w:left="992"/>
        <w:rPr>
          <w:noProof/>
        </w:rPr>
      </w:pPr>
      <w:r>
        <w:rPr>
          <w:noProof/>
        </w:rPr>
        <w:t>Chun tuilleadh sonraí a fháil, féach roinn </w:t>
      </w:r>
      <w:r w:rsidRPr="0090767E">
        <w:rPr>
          <w:noProof/>
        </w:rPr>
        <w:t>3</w:t>
      </w:r>
      <w:r>
        <w:rPr>
          <w:noProof/>
        </w:rPr>
        <w:t>.</w:t>
      </w:r>
      <w:r w:rsidRPr="0090767E">
        <w:rPr>
          <w:noProof/>
        </w:rPr>
        <w:t>6</w:t>
      </w:r>
      <w:r>
        <w:rPr>
          <w:noProof/>
        </w:rPr>
        <w:t>.</w:t>
      </w:r>
      <w:r w:rsidRPr="0090767E">
        <w:rPr>
          <w:noProof/>
        </w:rPr>
        <w:t>2</w:t>
      </w:r>
      <w:r>
        <w:rPr>
          <w:noProof/>
        </w:rPr>
        <w:t xml:space="preserve"> agus roinn </w:t>
      </w:r>
      <w:r w:rsidRPr="0090767E">
        <w:rPr>
          <w:noProof/>
        </w:rPr>
        <w:t>4</w:t>
      </w:r>
      <w:r>
        <w:rPr>
          <w:noProof/>
        </w:rPr>
        <w:t>.</w:t>
      </w:r>
      <w:r w:rsidRPr="0090767E">
        <w:rPr>
          <w:noProof/>
        </w:rPr>
        <w:t>1</w:t>
      </w:r>
      <w:r>
        <w:rPr>
          <w:noProof/>
        </w:rPr>
        <w:t>.</w:t>
      </w:r>
      <w:r w:rsidRPr="0090767E">
        <w:rPr>
          <w:noProof/>
        </w:rPr>
        <w:t>2</w:t>
      </w:r>
      <w:r>
        <w:rPr>
          <w:noProof/>
        </w:rPr>
        <w:t xml:space="preserve"> den Doiciméad Inmheánach Oibre de chuid an Choimisiúin a ghabhann leis an tuarascáil seo.</w:t>
      </w:r>
    </w:p>
    <w:p w14:paraId="5BCFC902" w14:textId="7ADFA1FD" w:rsidR="00DD5B30" w:rsidRPr="004E1DD0" w:rsidRDefault="00A33633" w:rsidP="54AD8F9A">
      <w:pPr>
        <w:numPr>
          <w:ilvl w:val="0"/>
          <w:numId w:val="8"/>
        </w:numPr>
        <w:ind w:left="992" w:hanging="567"/>
        <w:rPr>
          <w:noProof/>
        </w:rPr>
      </w:pPr>
      <w:r>
        <w:rPr>
          <w:b/>
          <w:noProof/>
        </w:rPr>
        <w:t xml:space="preserve">Córas Rialaithe Allmhairí </w:t>
      </w:r>
      <w:r w:rsidRPr="0090767E">
        <w:rPr>
          <w:b/>
          <w:noProof/>
        </w:rPr>
        <w:t>2</w:t>
      </w:r>
      <w:r>
        <w:rPr>
          <w:b/>
          <w:noProof/>
        </w:rPr>
        <w:t xml:space="preserve"> de chuid Chód Custaim an Aontais </w:t>
      </w:r>
      <w:r>
        <w:rPr>
          <w:noProof/>
        </w:rPr>
        <w:t xml:space="preserve">– </w:t>
      </w:r>
      <w:r>
        <w:rPr>
          <w:i/>
          <w:noProof/>
        </w:rPr>
        <w:t>ICS</w:t>
      </w:r>
      <w:r w:rsidRPr="0090767E">
        <w:rPr>
          <w:i/>
          <w:noProof/>
        </w:rPr>
        <w:t>2</w:t>
      </w:r>
      <w:r>
        <w:rPr>
          <w:noProof/>
        </w:rPr>
        <w:t xml:space="preserve"> (uasghrádú): is é is aidhm dó Sábháilteacht agus Slándáil an tslabhra soláthair a neartú trí fheabhas a chur ar cháilíocht sonraí, ar chomhdú, ar infhaighteacht agus ar chomhroinnt ardfhaisnéise lastais.</w:t>
      </w:r>
    </w:p>
    <w:p w14:paraId="5C5686B0" w14:textId="5A5024B4" w:rsidR="00CA4811" w:rsidRPr="004E1DD0" w:rsidRDefault="00A33633" w:rsidP="54AD8F9A">
      <w:pPr>
        <w:ind w:left="992"/>
        <w:rPr>
          <w:noProof/>
        </w:rPr>
      </w:pPr>
      <w:r>
        <w:rPr>
          <w:b/>
          <w:noProof/>
        </w:rPr>
        <w:t>Dul chun cinn</w:t>
      </w:r>
      <w:r>
        <w:rPr>
          <w:noProof/>
        </w:rPr>
        <w:t xml:space="preserve">: Le </w:t>
      </w:r>
      <w:r>
        <w:rPr>
          <w:i/>
          <w:noProof/>
        </w:rPr>
        <w:t>ICS</w:t>
      </w:r>
      <w:r w:rsidRPr="0090767E">
        <w:rPr>
          <w:i/>
          <w:noProof/>
        </w:rPr>
        <w:t>2</w:t>
      </w:r>
      <w:r>
        <w:rPr>
          <w:i/>
          <w:noProof/>
        </w:rPr>
        <w:t xml:space="preserve"> – Eisiúint </w:t>
      </w:r>
      <w:r w:rsidRPr="0090767E">
        <w:rPr>
          <w:i/>
          <w:noProof/>
        </w:rPr>
        <w:t>3</w:t>
      </w:r>
      <w:r>
        <w:rPr>
          <w:noProof/>
        </w:rPr>
        <w:t>, leathnaítear an raon feidhme ó aeriompar chuig trácht muirí agus uiscebhealaí intíre, trácht ar bhóithre agus iarnróid. Ós rud é go mbaineann sé le lárchóras, is oibreoirí eacnamaíocha amháin a dhéanann gníomhaíochtaí tástála comhréireachta le haghaidh na heisiúna sin.</w:t>
      </w:r>
    </w:p>
    <w:p w14:paraId="0B69826B" w14:textId="78145FA0" w:rsidR="000E7313" w:rsidRPr="004E1DD0" w:rsidRDefault="4D43AA78" w:rsidP="54AD8F9A">
      <w:pPr>
        <w:ind w:left="992"/>
        <w:rPr>
          <w:noProof/>
        </w:rPr>
      </w:pPr>
      <w:r>
        <w:rPr>
          <w:noProof/>
        </w:rPr>
        <w:t xml:space="preserve">Ar an iomlán, tosóidh na hoibreoirí eacnamaíocha ag úsáid </w:t>
      </w:r>
      <w:r>
        <w:rPr>
          <w:i/>
          <w:noProof/>
        </w:rPr>
        <w:t>ICS</w:t>
      </w:r>
      <w:r w:rsidRPr="0090767E">
        <w:rPr>
          <w:i/>
          <w:noProof/>
        </w:rPr>
        <w:t>2</w:t>
      </w:r>
      <w:r>
        <w:rPr>
          <w:i/>
          <w:noProof/>
        </w:rPr>
        <w:t xml:space="preserve"> – Eisiúint </w:t>
      </w:r>
      <w:r w:rsidRPr="0090767E">
        <w:rPr>
          <w:i/>
          <w:noProof/>
        </w:rPr>
        <w:t>3</w:t>
      </w:r>
      <w:r>
        <w:rPr>
          <w:noProof/>
        </w:rPr>
        <w:t xml:space="preserve"> i dtrí chéim: iompróirí muirí agus uiscebhealaí intíre faoin </w:t>
      </w:r>
      <w:r w:rsidRPr="0090767E">
        <w:rPr>
          <w:noProof/>
        </w:rPr>
        <w:t>4</w:t>
      </w:r>
      <w:r>
        <w:rPr>
          <w:noProof/>
        </w:rPr>
        <w:t> Nollaig </w:t>
      </w:r>
      <w:r w:rsidRPr="0090767E">
        <w:rPr>
          <w:noProof/>
        </w:rPr>
        <w:t>2024</w:t>
      </w:r>
      <w:r>
        <w:rPr>
          <w:noProof/>
        </w:rPr>
        <w:t xml:space="preserve">, trácht muirí agus uiscebhealaí intíre faoin </w:t>
      </w:r>
      <w:r w:rsidRPr="0090767E">
        <w:rPr>
          <w:noProof/>
        </w:rPr>
        <w:t>1</w:t>
      </w:r>
      <w:r>
        <w:rPr>
          <w:noProof/>
        </w:rPr>
        <w:t> Aibreán </w:t>
      </w:r>
      <w:r w:rsidRPr="0090767E">
        <w:rPr>
          <w:noProof/>
        </w:rPr>
        <w:t>2025</w:t>
      </w:r>
      <w:r>
        <w:rPr>
          <w:noProof/>
        </w:rPr>
        <w:t xml:space="preserve"> agus iompróirí bóthair agus iarnróid faoin </w:t>
      </w:r>
      <w:r w:rsidRPr="0090767E">
        <w:rPr>
          <w:noProof/>
        </w:rPr>
        <w:t>1</w:t>
      </w:r>
      <w:r>
        <w:rPr>
          <w:noProof/>
        </w:rPr>
        <w:t> Meán Fómhair </w:t>
      </w:r>
      <w:r w:rsidRPr="0090767E">
        <w:rPr>
          <w:noProof/>
        </w:rPr>
        <w:t>2025</w:t>
      </w:r>
      <w:r>
        <w:rPr>
          <w:noProof/>
        </w:rPr>
        <w:t>. Léirigh formhór na mBallstát go raibh an tionscadal ar sprioc le haghaidh an iompair mhuirí agus go raibh riosca íseal ann go gcomhlíonfar sprioc‑am Chlár Oibre Chód Custaim an Aontais le haghaidh na mód iompair eile.</w:t>
      </w:r>
    </w:p>
    <w:p w14:paraId="6538667F" w14:textId="77777777" w:rsidR="00807A18" w:rsidRPr="004E1DD0" w:rsidRDefault="2B0F61C5" w:rsidP="00807A18">
      <w:pPr>
        <w:ind w:left="992"/>
        <w:rPr>
          <w:noProof/>
        </w:rPr>
      </w:pPr>
      <w:r>
        <w:rPr>
          <w:noProof/>
        </w:rPr>
        <w:t>Chun tuilleadh sonraí a fháil, féach roinn </w:t>
      </w:r>
      <w:r w:rsidRPr="0090767E">
        <w:rPr>
          <w:noProof/>
        </w:rPr>
        <w:t>4</w:t>
      </w:r>
      <w:r>
        <w:rPr>
          <w:noProof/>
        </w:rPr>
        <w:t>.</w:t>
      </w:r>
      <w:r w:rsidRPr="0090767E">
        <w:rPr>
          <w:noProof/>
        </w:rPr>
        <w:t>2</w:t>
      </w:r>
      <w:r>
        <w:rPr>
          <w:noProof/>
        </w:rPr>
        <w:t>.</w:t>
      </w:r>
      <w:r w:rsidRPr="0090767E">
        <w:rPr>
          <w:noProof/>
        </w:rPr>
        <w:t>2</w:t>
      </w:r>
      <w:r>
        <w:rPr>
          <w:noProof/>
        </w:rPr>
        <w:t xml:space="preserve"> den Doiciméad Inmheánach Oibre de chuid an Choimisiúin a ghabhann leis an tuarascáil seo.</w:t>
      </w:r>
    </w:p>
    <w:p w14:paraId="62C1C78B" w14:textId="0DD5211A" w:rsidR="00282B17" w:rsidRPr="004E1DD0" w:rsidRDefault="00807A18" w:rsidP="54AD8F9A">
      <w:pPr>
        <w:pStyle w:val="ListParagraph"/>
        <w:numPr>
          <w:ilvl w:val="0"/>
          <w:numId w:val="8"/>
        </w:numPr>
        <w:ind w:left="1012"/>
        <w:rPr>
          <w:noProof/>
        </w:rPr>
      </w:pPr>
      <w:r>
        <w:rPr>
          <w:b/>
          <w:noProof/>
        </w:rPr>
        <w:t xml:space="preserve">Cruthúnas Chód Custaim an Aontais ar Stádas Aontais </w:t>
      </w:r>
      <w:r>
        <w:rPr>
          <w:noProof/>
        </w:rPr>
        <w:t xml:space="preserve">– </w:t>
      </w:r>
      <w:r>
        <w:rPr>
          <w:i/>
          <w:noProof/>
        </w:rPr>
        <w:t xml:space="preserve">PoUS </w:t>
      </w:r>
      <w:r>
        <w:rPr>
          <w:noProof/>
        </w:rPr>
        <w:t>(nua): is é is aidhm dó cruthúnas go léir a stóráil, a bhainistiú agus a aisghabháil chun a léiriú go soláthraíonn trádálaithe stádas Aontais dá n‑earraí. Mar gheall ar spleáchais le Lastliosta Earraí Custaim Chód Custaim an Aontais agus leis an timpeallacht Eorpach Ionaid Ilfhreastail Mhuirí, cuirfear an tionscadal i gcrích in dhá chéim éagsúla chun rioscaí agus neamhréireachtaí a íoslaghdú.</w:t>
      </w:r>
    </w:p>
    <w:p w14:paraId="3F110F24" w14:textId="2BFA346B" w:rsidR="00282B17" w:rsidRPr="004E1DD0" w:rsidRDefault="00A33633" w:rsidP="54AD8F9A">
      <w:pPr>
        <w:ind w:left="992"/>
        <w:rPr>
          <w:noProof/>
        </w:rPr>
      </w:pPr>
      <w:r>
        <w:rPr>
          <w:b/>
          <w:noProof/>
        </w:rPr>
        <w:t>Dul chun cinn</w:t>
      </w:r>
      <w:r>
        <w:rPr>
          <w:noProof/>
        </w:rPr>
        <w:t xml:space="preserve">: </w:t>
      </w:r>
      <w:r>
        <w:rPr>
          <w:rStyle w:val="normaltextrun"/>
          <w:i/>
          <w:noProof/>
          <w:color w:val="000000" w:themeColor="text1"/>
        </w:rPr>
        <w:t xml:space="preserve">PoUS </w:t>
      </w:r>
      <w:r>
        <w:rPr>
          <w:i/>
          <w:noProof/>
        </w:rPr>
        <w:t>–</w:t>
      </w:r>
      <w:r>
        <w:rPr>
          <w:rStyle w:val="normaltextrun"/>
          <w:i/>
          <w:noProof/>
          <w:color w:val="000000" w:themeColor="text1"/>
        </w:rPr>
        <w:t xml:space="preserve"> Céim </w:t>
      </w:r>
      <w:r w:rsidRPr="0090767E">
        <w:rPr>
          <w:rStyle w:val="normaltextrun"/>
          <w:i/>
          <w:noProof/>
          <w:color w:val="000000" w:themeColor="text1"/>
        </w:rPr>
        <w:t>1</w:t>
      </w:r>
      <w:r>
        <w:rPr>
          <w:rStyle w:val="normaltextrun"/>
          <w:noProof/>
          <w:color w:val="000000" w:themeColor="text1"/>
        </w:rPr>
        <w:t xml:space="preserve"> tosaíodh </w:t>
      </w:r>
      <w:r>
        <w:rPr>
          <w:rStyle w:val="normaltextrun"/>
          <w:b/>
          <w:noProof/>
          <w:color w:val="000000" w:themeColor="text1"/>
        </w:rPr>
        <w:t xml:space="preserve">na hoibríochtaí an </w:t>
      </w:r>
      <w:r w:rsidRPr="0090767E">
        <w:rPr>
          <w:rStyle w:val="normaltextrun"/>
          <w:b/>
          <w:noProof/>
          <w:color w:val="000000" w:themeColor="text1"/>
        </w:rPr>
        <w:t>1</w:t>
      </w:r>
      <w:r>
        <w:rPr>
          <w:rStyle w:val="normaltextrun"/>
          <w:b/>
          <w:noProof/>
          <w:color w:val="000000" w:themeColor="text1"/>
        </w:rPr>
        <w:t> Márta </w:t>
      </w:r>
      <w:r w:rsidRPr="0090767E">
        <w:rPr>
          <w:rStyle w:val="normaltextrun"/>
          <w:b/>
          <w:noProof/>
          <w:color w:val="000000" w:themeColor="text1"/>
        </w:rPr>
        <w:t>2024</w:t>
      </w:r>
      <w:r>
        <w:rPr>
          <w:rStyle w:val="normaltextrun"/>
          <w:noProof/>
          <w:color w:val="000000" w:themeColor="text1"/>
        </w:rPr>
        <w:t xml:space="preserve"> mar a beartaíodh.</w:t>
      </w:r>
    </w:p>
    <w:p w14:paraId="30B2D4F2" w14:textId="16D52601" w:rsidR="00AD14D9" w:rsidRPr="004E1DD0" w:rsidRDefault="00613293" w:rsidP="54AD8F9A">
      <w:pPr>
        <w:ind w:left="992"/>
        <w:rPr>
          <w:noProof/>
        </w:rPr>
      </w:pPr>
      <w:r>
        <w:rPr>
          <w:noProof/>
        </w:rPr>
        <w:t xml:space="preserve">Maidir le </w:t>
      </w:r>
      <w:bookmarkStart w:id="17" w:name="_Hlk159412628"/>
      <w:r>
        <w:rPr>
          <w:i/>
          <w:noProof/>
        </w:rPr>
        <w:t xml:space="preserve">PoUS </w:t>
      </w:r>
      <w:bookmarkEnd w:id="17"/>
      <w:r>
        <w:rPr>
          <w:i/>
          <w:noProof/>
        </w:rPr>
        <w:t xml:space="preserve">— Céim </w:t>
      </w:r>
      <w:r w:rsidRPr="0090767E">
        <w:rPr>
          <w:i/>
          <w:noProof/>
        </w:rPr>
        <w:t>2</w:t>
      </w:r>
      <w:r>
        <w:rPr>
          <w:noProof/>
        </w:rPr>
        <w:t>, chuir an Coimisiún sonraíochtaí teicniúla i gcrích in R</w:t>
      </w:r>
      <w:r w:rsidRPr="0090767E">
        <w:rPr>
          <w:noProof/>
        </w:rPr>
        <w:t>2</w:t>
      </w:r>
      <w:r>
        <w:rPr>
          <w:noProof/>
        </w:rPr>
        <w:t xml:space="preserve"> </w:t>
      </w:r>
      <w:r w:rsidRPr="0090767E">
        <w:rPr>
          <w:noProof/>
        </w:rPr>
        <w:t>2023</w:t>
      </w:r>
      <w:r>
        <w:rPr>
          <w:noProof/>
        </w:rPr>
        <w:t>, agus tá gníomhaíochtaí tástála comhréireachta le tabhairt i gcrích in R</w:t>
      </w:r>
      <w:r w:rsidRPr="0090767E">
        <w:rPr>
          <w:noProof/>
        </w:rPr>
        <w:t>3</w:t>
      </w:r>
      <w:r>
        <w:rPr>
          <w:noProof/>
        </w:rPr>
        <w:t xml:space="preserve"> </w:t>
      </w:r>
      <w:r w:rsidRPr="0090767E">
        <w:rPr>
          <w:noProof/>
        </w:rPr>
        <w:t>2025</w:t>
      </w:r>
      <w:r>
        <w:rPr>
          <w:noProof/>
        </w:rPr>
        <w:t xml:space="preserve">. </w:t>
      </w:r>
    </w:p>
    <w:p w14:paraId="48E9D158" w14:textId="053EC0CE" w:rsidR="005321C5" w:rsidRPr="004E1DD0" w:rsidRDefault="5C1A468D" w:rsidP="54AD8F9A">
      <w:pPr>
        <w:ind w:left="992"/>
        <w:rPr>
          <w:noProof/>
        </w:rPr>
      </w:pPr>
      <w:r>
        <w:rPr>
          <w:noProof/>
        </w:rPr>
        <w:t>Tá na Ballstáit agus an Coimisiún ar an sprioc chun an tionscadal a chur i gcrích go tráthúil faoin spriocdháta dlíthiúil an</w:t>
      </w:r>
      <w:r>
        <w:rPr>
          <w:rStyle w:val="normaltextrun"/>
          <w:noProof/>
          <w:color w:val="000000"/>
          <w:shd w:val="clear" w:color="auto" w:fill="FFFFFF"/>
        </w:rPr>
        <w:t xml:space="preserve"> </w:t>
      </w:r>
      <w:r w:rsidRPr="0090767E">
        <w:rPr>
          <w:rStyle w:val="normaltextrun"/>
          <w:noProof/>
          <w:color w:val="000000"/>
          <w:shd w:val="clear" w:color="auto" w:fill="FFFFFF"/>
        </w:rPr>
        <w:t>15</w:t>
      </w:r>
      <w:r>
        <w:rPr>
          <w:rStyle w:val="normaltextrun"/>
          <w:noProof/>
          <w:color w:val="000000"/>
          <w:shd w:val="clear" w:color="auto" w:fill="FFFFFF"/>
        </w:rPr>
        <w:t xml:space="preserve"> Lúnasa </w:t>
      </w:r>
      <w:r w:rsidRPr="0090767E">
        <w:rPr>
          <w:rStyle w:val="normaltextrun"/>
          <w:noProof/>
          <w:color w:val="000000"/>
          <w:shd w:val="clear" w:color="auto" w:fill="FFFFFF"/>
        </w:rPr>
        <w:t>2025</w:t>
      </w:r>
      <w:r>
        <w:rPr>
          <w:noProof/>
        </w:rPr>
        <w:t>. Sainaithníodh meánriosca go hardriosca le haghaidh an tionscadail i bhfianaise an spleáchais ar EMSWe.</w:t>
      </w:r>
    </w:p>
    <w:p w14:paraId="2C9BB5A2" w14:textId="4274AA1D" w:rsidR="54DF22ED" w:rsidRPr="004E1DD0" w:rsidRDefault="54DF22ED" w:rsidP="0D619399">
      <w:pPr>
        <w:ind w:left="992"/>
        <w:rPr>
          <w:noProof/>
        </w:rPr>
      </w:pPr>
      <w:r>
        <w:rPr>
          <w:noProof/>
        </w:rPr>
        <w:t>Chun tuilleadh sonraí a fháil, féach roinn </w:t>
      </w:r>
      <w:r w:rsidRPr="0090767E">
        <w:rPr>
          <w:noProof/>
        </w:rPr>
        <w:t>3</w:t>
      </w:r>
      <w:r>
        <w:rPr>
          <w:noProof/>
        </w:rPr>
        <w:t>.</w:t>
      </w:r>
      <w:r w:rsidRPr="0090767E">
        <w:rPr>
          <w:noProof/>
        </w:rPr>
        <w:t>9</w:t>
      </w:r>
      <w:r>
        <w:rPr>
          <w:noProof/>
        </w:rPr>
        <w:t>.</w:t>
      </w:r>
      <w:r w:rsidRPr="0090767E">
        <w:rPr>
          <w:noProof/>
        </w:rPr>
        <w:t>2</w:t>
      </w:r>
      <w:r>
        <w:rPr>
          <w:noProof/>
        </w:rPr>
        <w:t xml:space="preserve"> agus roinn </w:t>
      </w:r>
      <w:r w:rsidRPr="0090767E">
        <w:rPr>
          <w:noProof/>
        </w:rPr>
        <w:t>4</w:t>
      </w:r>
      <w:r>
        <w:rPr>
          <w:noProof/>
        </w:rPr>
        <w:t>.</w:t>
      </w:r>
      <w:r w:rsidRPr="0090767E">
        <w:rPr>
          <w:noProof/>
        </w:rPr>
        <w:t>3</w:t>
      </w:r>
      <w:r>
        <w:rPr>
          <w:noProof/>
        </w:rPr>
        <w:t>.</w:t>
      </w:r>
      <w:r w:rsidRPr="0090767E">
        <w:rPr>
          <w:noProof/>
        </w:rPr>
        <w:t>2</w:t>
      </w:r>
      <w:r>
        <w:rPr>
          <w:noProof/>
        </w:rPr>
        <w:t xml:space="preserve"> den Doiciméad Inmheánach Oibre de chuid an Choimisiúin a ghabhann leis an tuarascáil seo.</w:t>
      </w:r>
    </w:p>
    <w:p w14:paraId="68219B6A" w14:textId="0F7E3300" w:rsidR="002B4B98" w:rsidRDefault="00A33633" w:rsidP="00007EC6">
      <w:pPr>
        <w:numPr>
          <w:ilvl w:val="0"/>
          <w:numId w:val="8"/>
        </w:numPr>
        <w:ind w:left="992" w:hanging="567"/>
        <w:rPr>
          <w:noProof/>
        </w:rPr>
      </w:pPr>
      <w:bookmarkStart w:id="18" w:name="_Hlk161392667"/>
      <w:bookmarkStart w:id="19" w:name="_Hlk116289904"/>
      <w:r>
        <w:rPr>
          <w:b/>
          <w:noProof/>
        </w:rPr>
        <w:t xml:space="preserve">Imréiteach Láraithe Allmhairiúcháin Chód Custaim an Aontais </w:t>
      </w:r>
      <w:r>
        <w:rPr>
          <w:noProof/>
        </w:rPr>
        <w:t>– Le córas Tras-Eorpach CCI nua áirithítear digitiú an phróisis láraithe imréitigh ar an leibhéal Eorpach mar a shainítear i gCód Custaim an Aontais. Leis sin cuirtear é ar a gcumas do thrádálaithe iontaofa dearbhú custaim a chur isteach ag an oifig custaim maoirseachta i mBallstát a mbunraíochta, le haghaidh earraí a chuirtear i láthair oifig custaim go fisiceach in aon Bhallstát eile, rud a chumasaíonn próiseáil dearbhuithe custaim agus scaoileadh fisiciúil earraí ar bhealach digiteach, éifeachtúil, intuartha agus comhordaithe i measc na</w:t>
      </w:r>
      <w:r w:rsidR="00815640">
        <w:rPr>
          <w:noProof/>
        </w:rPr>
        <w:t xml:space="preserve"> n</w:t>
      </w:r>
      <w:r w:rsidR="00815640">
        <w:rPr>
          <w:noProof/>
        </w:rPr>
        <w:noBreakHyphen/>
      </w:r>
      <w:r>
        <w:rPr>
          <w:noProof/>
        </w:rPr>
        <w:t>oifigí custaim atá lonnaithe i mBallstáit éagsúla.</w:t>
      </w:r>
    </w:p>
    <w:p w14:paraId="380AB447" w14:textId="1D08DFC4" w:rsidR="00007EC6" w:rsidRDefault="00007EC6" w:rsidP="002B4B98">
      <w:pPr>
        <w:ind w:left="992"/>
        <w:rPr>
          <w:noProof/>
        </w:rPr>
      </w:pPr>
      <w:r>
        <w:rPr>
          <w:noProof/>
        </w:rPr>
        <w:t xml:space="preserve">Tá córas CCI á chur chun feidhme in dhá chéim: </w:t>
      </w:r>
    </w:p>
    <w:p w14:paraId="18B01E87" w14:textId="2F3B1599" w:rsidR="002B4B98" w:rsidRDefault="00E80D63" w:rsidP="003C103F">
      <w:pPr>
        <w:ind w:left="992"/>
        <w:rPr>
          <w:noProof/>
        </w:rPr>
      </w:pPr>
      <w:r>
        <w:rPr>
          <w:noProof/>
        </w:rPr>
        <w:t xml:space="preserve">Le </w:t>
      </w:r>
      <w:r>
        <w:rPr>
          <w:b/>
          <w:i/>
          <w:noProof/>
        </w:rPr>
        <w:t>CCI – Céim </w:t>
      </w:r>
      <w:r w:rsidRPr="0090767E">
        <w:rPr>
          <w:b/>
          <w:i/>
          <w:noProof/>
        </w:rPr>
        <w:t>1</w:t>
      </w:r>
      <w:r>
        <w:rPr>
          <w:b/>
          <w:noProof/>
        </w:rPr>
        <w:t>,</w:t>
      </w:r>
      <w:r>
        <w:rPr>
          <w:noProof/>
        </w:rPr>
        <w:t xml:space="preserve"> cumasaítear uathphróiseáil dearbhaithe chaighdeánaigh agus shimplithe lena n‑áirítear dearbhú custaim réamhthaiscthe, chomh maith le dearbhú forlíontach de chineál tréimhsiúil nó ginearálta chun earraí a scaoileadh i saorchúrsaíocht, nós imeachta stórasaithe custaim, próiseáil isteach agus úsáid deiridh. Le </w:t>
      </w:r>
      <w:r>
        <w:rPr>
          <w:b/>
          <w:i/>
          <w:noProof/>
        </w:rPr>
        <w:t>CCI – Céim </w:t>
      </w:r>
      <w:r w:rsidRPr="0090767E">
        <w:rPr>
          <w:b/>
          <w:i/>
          <w:noProof/>
        </w:rPr>
        <w:t>2</w:t>
      </w:r>
      <w:r>
        <w:rPr>
          <w:b/>
          <w:noProof/>
        </w:rPr>
        <w:t>,</w:t>
      </w:r>
      <w:r>
        <w:rPr>
          <w:noProof/>
        </w:rPr>
        <w:t xml:space="preserve"> cuirtear le Céim </w:t>
      </w:r>
      <w:r w:rsidRPr="0090767E">
        <w:rPr>
          <w:noProof/>
        </w:rPr>
        <w:t>1</w:t>
      </w:r>
      <w:r>
        <w:rPr>
          <w:noProof/>
        </w:rPr>
        <w:t xml:space="preserve"> tríd an raon feidhme a leathnú chuig na </w:t>
      </w:r>
      <w:r>
        <w:rPr>
          <w:b/>
          <w:noProof/>
        </w:rPr>
        <w:t>cásanna CCI uile atá fágtha</w:t>
      </w:r>
      <w:r>
        <w:rPr>
          <w:noProof/>
        </w:rPr>
        <w:t xml:space="preserve">, lena n‑áirítear </w:t>
      </w:r>
      <w:r>
        <w:rPr>
          <w:b/>
          <w:noProof/>
        </w:rPr>
        <w:t>cineálacha dearbhaithe agus sreabh próisis níos casta</w:t>
      </w:r>
      <w:r>
        <w:rPr>
          <w:noProof/>
        </w:rPr>
        <w:t>. Is é is aidhm dó comhtháthú digiteach agus feidhmiúlacht an imréitigh láraithe le haghaidh allmhairí ar fud an Aontais a chur i gcrích.</w:t>
      </w:r>
    </w:p>
    <w:p w14:paraId="723A15B9" w14:textId="4D28EBA8" w:rsidR="007D0C59" w:rsidRPr="006B5B50" w:rsidRDefault="006B5B50" w:rsidP="003C103F">
      <w:pPr>
        <w:ind w:left="992"/>
        <w:rPr>
          <w:noProof/>
        </w:rPr>
      </w:pPr>
      <w:r>
        <w:rPr>
          <w:noProof/>
        </w:rPr>
        <w:t xml:space="preserve">Tá dlúthbhaint idir an dá chéim: </w:t>
      </w:r>
      <w:r>
        <w:rPr>
          <w:b/>
          <w:noProof/>
        </w:rPr>
        <w:t xml:space="preserve">Réamhriachtanas le haghaidh Chéim </w:t>
      </w:r>
      <w:r w:rsidRPr="0090767E">
        <w:rPr>
          <w:b/>
          <w:noProof/>
        </w:rPr>
        <w:t>2</w:t>
      </w:r>
      <w:r>
        <w:rPr>
          <w:b/>
          <w:noProof/>
        </w:rPr>
        <w:t xml:space="preserve"> is ea Céim </w:t>
      </w:r>
      <w:r w:rsidRPr="0090767E">
        <w:rPr>
          <w:b/>
          <w:noProof/>
        </w:rPr>
        <w:t>1</w:t>
      </w:r>
      <w:r>
        <w:rPr>
          <w:noProof/>
        </w:rPr>
        <w:t>, agus roghnaigh Ballstáit áirithe an dá chéim a chur chun feidhme go comhuaineach chun iarrachtaí náisiúnta a chuíchóiriú.</w:t>
      </w:r>
    </w:p>
    <w:bookmarkEnd w:id="18"/>
    <w:p w14:paraId="73358A42" w14:textId="50374272" w:rsidR="001C6F13" w:rsidRPr="004E1DD0" w:rsidRDefault="4F872DF3" w:rsidP="0D619399">
      <w:pPr>
        <w:ind w:left="992"/>
        <w:rPr>
          <w:noProof/>
        </w:rPr>
      </w:pPr>
      <w:r>
        <w:rPr>
          <w:b/>
          <w:noProof/>
        </w:rPr>
        <w:t>Dul chun cinn</w:t>
      </w:r>
      <w:r>
        <w:rPr>
          <w:noProof/>
        </w:rPr>
        <w:t xml:space="preserve">: Le haghaidh </w:t>
      </w:r>
      <w:r>
        <w:rPr>
          <w:i/>
          <w:noProof/>
        </w:rPr>
        <w:t>CCI – Céim </w:t>
      </w:r>
      <w:r w:rsidRPr="0090767E">
        <w:rPr>
          <w:i/>
          <w:noProof/>
        </w:rPr>
        <w:t>1</w:t>
      </w:r>
      <w:r>
        <w:rPr>
          <w:noProof/>
        </w:rPr>
        <w:t>, tá dul chun cinn á dhéanamh ag an gCoimisiún de réir an sceidil agus tá tástáil comhréireachta leis na Ballstáit ar bun faoi láthair. Sannadh riosca meánleibhéil go riosca ardleibhéil don tionscadal mar gheall ar spleáchais ar ullmhacht na mBallstát le huasghrádú na g</w:t>
      </w:r>
      <w:r>
        <w:rPr>
          <w:i/>
          <w:noProof/>
        </w:rPr>
        <w:t>Córas Allmhairiúcháin Náisiúnta</w:t>
      </w:r>
      <w:r>
        <w:rPr>
          <w:noProof/>
        </w:rPr>
        <w:t xml:space="preserve">, réamhriachtanas chun </w:t>
      </w:r>
      <w:r>
        <w:rPr>
          <w:i/>
          <w:noProof/>
        </w:rPr>
        <w:t>CCI</w:t>
      </w:r>
      <w:r>
        <w:rPr>
          <w:noProof/>
        </w:rPr>
        <w:t xml:space="preserve"> a imscaradh.</w:t>
      </w:r>
    </w:p>
    <w:p w14:paraId="4D19C674" w14:textId="7F2DC8D1" w:rsidR="00CF5964" w:rsidRPr="004E1DD0" w:rsidRDefault="008A02D2" w:rsidP="00DB0AB2">
      <w:pPr>
        <w:ind w:left="992"/>
        <w:rPr>
          <w:noProof/>
        </w:rPr>
      </w:pPr>
      <w:r>
        <w:rPr>
          <w:noProof/>
        </w:rPr>
        <w:t xml:space="preserve">Cuireadh tús leis an gcéad chéim de chur chun feidhme chóras CCI </w:t>
      </w:r>
      <w:r>
        <w:rPr>
          <w:b/>
          <w:noProof/>
        </w:rPr>
        <w:t xml:space="preserve">an </w:t>
      </w:r>
      <w:r w:rsidRPr="0090767E">
        <w:rPr>
          <w:b/>
          <w:noProof/>
        </w:rPr>
        <w:t>1</w:t>
      </w:r>
      <w:r>
        <w:rPr>
          <w:b/>
          <w:noProof/>
        </w:rPr>
        <w:t> Iúil </w:t>
      </w:r>
      <w:r w:rsidRPr="0090767E">
        <w:rPr>
          <w:b/>
          <w:noProof/>
        </w:rPr>
        <w:t>2024</w:t>
      </w:r>
      <w:r>
        <w:rPr>
          <w:b/>
          <w:noProof/>
        </w:rPr>
        <w:t xml:space="preserve"> tráth a ullmhaíodh na comhpháirteanna coiteanna agus cuid de na comhpháirteanna náisiúnta.</w:t>
      </w:r>
      <w:r>
        <w:rPr>
          <w:noProof/>
        </w:rPr>
        <w:t xml:space="preserve"> Mar a léirítear i bhFíor </w:t>
      </w:r>
      <w:r w:rsidRPr="0090767E">
        <w:rPr>
          <w:noProof/>
        </w:rPr>
        <w:t>1</w:t>
      </w:r>
      <w:r>
        <w:rPr>
          <w:noProof/>
        </w:rPr>
        <w:t xml:space="preserve"> thíos, tá céim </w:t>
      </w:r>
      <w:r w:rsidRPr="0090767E">
        <w:rPr>
          <w:noProof/>
        </w:rPr>
        <w:t>1</w:t>
      </w:r>
      <w:r>
        <w:rPr>
          <w:noProof/>
        </w:rPr>
        <w:t xml:space="preserve"> de CCI ar fáil lena húsáid ag gnólachtaí Eorpacha in </w:t>
      </w:r>
      <w:r w:rsidRPr="0090767E">
        <w:rPr>
          <w:noProof/>
        </w:rPr>
        <w:t>9</w:t>
      </w:r>
      <w:r>
        <w:rPr>
          <w:noProof/>
        </w:rPr>
        <w:t xml:space="preserve"> mBallstát (BG, EE, ES, LU, LT, LV, PL, RO, HR) i mí Mheán Fómhair </w:t>
      </w:r>
      <w:r w:rsidRPr="0090767E">
        <w:rPr>
          <w:noProof/>
        </w:rPr>
        <w:t>2024</w:t>
      </w:r>
      <w:r>
        <w:rPr>
          <w:noProof/>
        </w:rPr>
        <w:t>. Faoin </w:t>
      </w:r>
      <w:r w:rsidRPr="0090767E">
        <w:rPr>
          <w:noProof/>
        </w:rPr>
        <w:t>2</w:t>
      </w:r>
      <w:r>
        <w:rPr>
          <w:noProof/>
        </w:rPr>
        <w:t xml:space="preserve"> Meitheamh </w:t>
      </w:r>
      <w:r w:rsidRPr="0090767E">
        <w:rPr>
          <w:noProof/>
        </w:rPr>
        <w:t>2025</w:t>
      </w:r>
      <w:r>
        <w:rPr>
          <w:noProof/>
        </w:rPr>
        <w:t xml:space="preserve"> tá sé beartaithe ag BE, CZ, DK, EL, CY, IT, MT, AT, HU, PT, FI, SE dul isteach ann de réir a chéile. Faoin </w:t>
      </w:r>
      <w:r w:rsidRPr="0090767E">
        <w:rPr>
          <w:noProof/>
        </w:rPr>
        <w:t>31</w:t>
      </w:r>
      <w:r>
        <w:rPr>
          <w:noProof/>
        </w:rPr>
        <w:t> Nollaig </w:t>
      </w:r>
      <w:r w:rsidRPr="0090767E">
        <w:rPr>
          <w:noProof/>
        </w:rPr>
        <w:t>2025</w:t>
      </w:r>
      <w:r>
        <w:rPr>
          <w:noProof/>
        </w:rPr>
        <w:t xml:space="preserve"> tá sé beartaithe ag DE, SK, NL, agus IE dul isteach ann de réir a chéile. Tá sé beartaithe ag FR dul isteach ann tar éis </w:t>
      </w:r>
      <w:r w:rsidRPr="0090767E">
        <w:rPr>
          <w:noProof/>
        </w:rPr>
        <w:t>2025</w:t>
      </w:r>
      <w:r>
        <w:rPr>
          <w:noProof/>
        </w:rPr>
        <w:t>.</w:t>
      </w:r>
    </w:p>
    <w:p w14:paraId="64BB1275" w14:textId="3177D399" w:rsidR="02BB932C" w:rsidRPr="004E1DD0" w:rsidRDefault="329BB97F" w:rsidP="007651CB">
      <w:pPr>
        <w:ind w:left="992"/>
        <w:rPr>
          <w:noProof/>
        </w:rPr>
      </w:pPr>
      <w:r>
        <w:rPr>
          <w:noProof/>
        </w:rPr>
        <w:t xml:space="preserve">Áirítear i ngach barra cruaiche gorm an líon Ballstát a d’imscar córas CCI, agus léirítear leis an líne ghlas an líon iomlán Ballstát (a bhfuil coinne leis go mbeidh siad) in oibríochtaí agus léirítear leis an líne dhearg garsprioc dhlíthiúil an </w:t>
      </w:r>
      <w:r w:rsidRPr="0090767E">
        <w:rPr>
          <w:noProof/>
        </w:rPr>
        <w:t>1</w:t>
      </w:r>
      <w:r>
        <w:rPr>
          <w:noProof/>
        </w:rPr>
        <w:t> Iúil </w:t>
      </w:r>
      <w:r w:rsidRPr="0090767E">
        <w:rPr>
          <w:noProof/>
        </w:rPr>
        <w:t>2024</w:t>
      </w:r>
      <w:r>
        <w:rPr>
          <w:noProof/>
        </w:rPr>
        <w:t>.</w:t>
      </w:r>
    </w:p>
    <w:p w14:paraId="43F1F66D" w14:textId="0DFF1596" w:rsidR="02BB932C" w:rsidRPr="004E1DD0" w:rsidRDefault="02BB932C" w:rsidP="02BB932C">
      <w:pPr>
        <w:ind w:left="992"/>
        <w:rPr>
          <w:noProof/>
          <w:lang w:val="en-IE"/>
        </w:rPr>
      </w:pPr>
    </w:p>
    <w:p w14:paraId="4A81B0B9" w14:textId="77777777" w:rsidR="004A6826" w:rsidRPr="004E1DD0" w:rsidRDefault="329BB97F" w:rsidP="006C7EE0">
      <w:pPr>
        <w:ind w:left="992"/>
        <w:jc w:val="center"/>
        <w:rPr>
          <w:noProof/>
        </w:rPr>
      </w:pPr>
      <w:r>
        <w:rPr>
          <w:noProof/>
          <w:lang w:val="en-GB" w:eastAsia="en-GB"/>
        </w:rPr>
        <w:drawing>
          <wp:inline distT="0" distB="0" distL="0" distR="0" wp14:anchorId="59B766F0" wp14:editId="1E884DA6">
            <wp:extent cx="3930317" cy="2086660"/>
            <wp:effectExtent l="0" t="0" r="0" b="8890"/>
            <wp:docPr id="68185936" name="Picture 6818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5936" name="Picture 68185936"/>
                    <pic:cNvPicPr/>
                  </pic:nvPicPr>
                  <pic:blipFill>
                    <a:blip r:embed="rId18">
                      <a:extLst>
                        <a:ext uri="{28A0092B-C50C-407E-A947-70E740481C1C}">
                          <a14:useLocalDpi xmlns:a14="http://schemas.microsoft.com/office/drawing/2010/main" val="0"/>
                        </a:ext>
                      </a:extLst>
                    </a:blip>
                    <a:stretch>
                      <a:fillRect/>
                    </a:stretch>
                  </pic:blipFill>
                  <pic:spPr>
                    <a:xfrm>
                      <a:off x="0" y="0"/>
                      <a:ext cx="3930317" cy="2086660"/>
                    </a:xfrm>
                    <a:prstGeom prst="rect">
                      <a:avLst/>
                    </a:prstGeom>
                  </pic:spPr>
                </pic:pic>
              </a:graphicData>
            </a:graphic>
          </wp:inline>
        </w:drawing>
      </w:r>
    </w:p>
    <w:p w14:paraId="71B2E2DF" w14:textId="4A1BCEFD" w:rsidR="329BB97F" w:rsidRPr="004E1DD0" w:rsidRDefault="77D07A83" w:rsidP="006C7EE0">
      <w:pPr>
        <w:ind w:left="992"/>
        <w:jc w:val="center"/>
        <w:rPr>
          <w:noProof/>
        </w:rPr>
      </w:pPr>
      <w:r>
        <w:rPr>
          <w:noProof/>
        </w:rPr>
        <w:t xml:space="preserve">Fíor </w:t>
      </w:r>
      <w:r>
        <w:rPr>
          <w:noProof/>
        </w:rPr>
        <w:fldChar w:fldCharType="begin"/>
      </w:r>
      <w:r>
        <w:rPr>
          <w:noProof/>
        </w:rPr>
        <w:instrText xml:space="preserve"> SEQ Figure \* ARABIC </w:instrText>
      </w:r>
      <w:r>
        <w:rPr>
          <w:noProof/>
        </w:rPr>
        <w:fldChar w:fldCharType="separate"/>
      </w:r>
      <w:r w:rsidRPr="0090767E">
        <w:rPr>
          <w:noProof/>
        </w:rPr>
        <w:t>1</w:t>
      </w:r>
      <w:r>
        <w:rPr>
          <w:noProof/>
        </w:rPr>
        <w:fldChar w:fldCharType="end"/>
      </w:r>
      <w:r>
        <w:rPr>
          <w:noProof/>
        </w:rPr>
        <w:t>: Ballstáit CCI C</w:t>
      </w:r>
      <w:r w:rsidRPr="0090767E">
        <w:rPr>
          <w:noProof/>
        </w:rPr>
        <w:t>1</w:t>
      </w:r>
      <w:r>
        <w:rPr>
          <w:noProof/>
        </w:rPr>
        <w:t xml:space="preserve"> ag dul i mbun oibríochtaí</w:t>
      </w:r>
    </w:p>
    <w:p w14:paraId="5780816C" w14:textId="74E5804E" w:rsidR="02BB932C" w:rsidRPr="004E1DD0" w:rsidRDefault="02BB932C" w:rsidP="02BB932C">
      <w:pPr>
        <w:ind w:left="992"/>
        <w:rPr>
          <w:noProof/>
          <w:lang w:val="en-IE"/>
        </w:rPr>
      </w:pPr>
    </w:p>
    <w:p w14:paraId="02D88BBB" w14:textId="4261938C" w:rsidR="00442F68" w:rsidRPr="004E1DD0" w:rsidRDefault="0D8BC875" w:rsidP="703B235F">
      <w:pPr>
        <w:ind w:left="992"/>
        <w:rPr>
          <w:noProof/>
        </w:rPr>
      </w:pPr>
      <w:r>
        <w:rPr>
          <w:noProof/>
        </w:rPr>
        <w:t xml:space="preserve">A mhéid a bhaineann le </w:t>
      </w:r>
      <w:r>
        <w:rPr>
          <w:i/>
          <w:noProof/>
        </w:rPr>
        <w:t>CCI</w:t>
      </w:r>
      <w:r>
        <w:rPr>
          <w:noProof/>
        </w:rPr>
        <w:t xml:space="preserve"> – </w:t>
      </w:r>
      <w:r>
        <w:rPr>
          <w:i/>
          <w:noProof/>
        </w:rPr>
        <w:t>Céim </w:t>
      </w:r>
      <w:r w:rsidRPr="0090767E">
        <w:rPr>
          <w:i/>
          <w:noProof/>
        </w:rPr>
        <w:t>2</w:t>
      </w:r>
      <w:r>
        <w:rPr>
          <w:noProof/>
        </w:rPr>
        <w:t xml:space="preserve">, thug an Coimisiún na sonraíochtaí teicniúla chun críche in </w:t>
      </w:r>
      <w:r w:rsidRPr="0090767E">
        <w:rPr>
          <w:noProof/>
        </w:rPr>
        <w:t>2022</w:t>
      </w:r>
      <w:r>
        <w:rPr>
          <w:noProof/>
        </w:rPr>
        <w:t xml:space="preserve"> agus cuireadh tástáil comhréireachta ar fáil. </w:t>
      </w:r>
    </w:p>
    <w:p w14:paraId="1DEE754A" w14:textId="02EB85C3" w:rsidR="00282B17" w:rsidRPr="004E1DD0" w:rsidRDefault="00692B81" w:rsidP="703B235F">
      <w:pPr>
        <w:ind w:left="992"/>
        <w:rPr>
          <w:noProof/>
        </w:rPr>
      </w:pPr>
      <w:r>
        <w:rPr>
          <w:noProof/>
        </w:rPr>
        <w:t xml:space="preserve">Chun cúnamh a thabhairt do na Ballstáit agus do na trádálaithe gach cás agus próiseas </w:t>
      </w:r>
      <w:r>
        <w:rPr>
          <w:i/>
          <w:noProof/>
        </w:rPr>
        <w:t>CCI</w:t>
      </w:r>
      <w:r>
        <w:rPr>
          <w:noProof/>
        </w:rPr>
        <w:t xml:space="preserve"> a chur chun feidhme, d’fhorbair an Coimisiún pacáiste sonraíochtaí teicniúla raoin feidhme iomlán </w:t>
      </w:r>
      <w:r>
        <w:rPr>
          <w:i/>
          <w:noProof/>
        </w:rPr>
        <w:t xml:space="preserve">CCI – Céim </w:t>
      </w:r>
      <w:bookmarkEnd w:id="19"/>
      <w:r w:rsidRPr="0090767E">
        <w:rPr>
          <w:i/>
          <w:noProof/>
        </w:rPr>
        <w:t>2</w:t>
      </w:r>
      <w:r>
        <w:rPr>
          <w:noProof/>
        </w:rPr>
        <w:t xml:space="preserve"> lena gcomhdhlúthaítear na sonraíochtaí le haghaidh an dá chéim, i dteannta treorach.</w:t>
      </w:r>
    </w:p>
    <w:p w14:paraId="41D59950" w14:textId="0CCB00FD" w:rsidR="008109FE" w:rsidRPr="004E1DD0" w:rsidRDefault="00F575DB">
      <w:pPr>
        <w:ind w:left="992"/>
        <w:rPr>
          <w:noProof/>
        </w:rPr>
      </w:pPr>
      <w:r>
        <w:rPr>
          <w:noProof/>
        </w:rPr>
        <w:t xml:space="preserve">Ó thaobh measúnú a dhéanamh ar leibhéal iomláine chóras </w:t>
      </w:r>
      <w:r>
        <w:rPr>
          <w:i/>
          <w:noProof/>
        </w:rPr>
        <w:t>CCI</w:t>
      </w:r>
      <w:r>
        <w:rPr>
          <w:noProof/>
        </w:rPr>
        <w:t xml:space="preserve"> iomlán, thuairiscigh formhór na mBallstát go bhfuil dul chun cinn á dhéanamh ar fhorbairtí, agus tá athdhearbhú áirithe ann go gcomhlíonfaidh siad an gharsprioc imscartha dheiridh an </w:t>
      </w:r>
      <w:r w:rsidRPr="0090767E">
        <w:rPr>
          <w:noProof/>
        </w:rPr>
        <w:t>2</w:t>
      </w:r>
      <w:r>
        <w:rPr>
          <w:noProof/>
        </w:rPr>
        <w:t> Iúil </w:t>
      </w:r>
      <w:r w:rsidRPr="0090767E">
        <w:rPr>
          <w:noProof/>
        </w:rPr>
        <w:t>2025</w:t>
      </w:r>
      <w:r>
        <w:rPr>
          <w:noProof/>
        </w:rPr>
        <w:t xml:space="preserve">. </w:t>
      </w:r>
    </w:p>
    <w:p w14:paraId="13DE7211" w14:textId="3CA6EE7D" w:rsidR="431701EC" w:rsidRPr="004E1DD0" w:rsidRDefault="431701EC" w:rsidP="0D619399">
      <w:pPr>
        <w:ind w:left="992"/>
        <w:rPr>
          <w:noProof/>
        </w:rPr>
      </w:pPr>
      <w:r>
        <w:rPr>
          <w:noProof/>
        </w:rPr>
        <w:t>Chun tuilleadh sonraí a fháil, féach roinn </w:t>
      </w:r>
      <w:r w:rsidRPr="0090767E">
        <w:rPr>
          <w:noProof/>
        </w:rPr>
        <w:t>3</w:t>
      </w:r>
      <w:r>
        <w:rPr>
          <w:noProof/>
        </w:rPr>
        <w:t>.</w:t>
      </w:r>
      <w:r w:rsidRPr="0090767E">
        <w:rPr>
          <w:noProof/>
        </w:rPr>
        <w:t>5</w:t>
      </w:r>
      <w:r>
        <w:rPr>
          <w:noProof/>
        </w:rPr>
        <w:t>.</w:t>
      </w:r>
      <w:r w:rsidRPr="0090767E">
        <w:rPr>
          <w:noProof/>
        </w:rPr>
        <w:t>2</w:t>
      </w:r>
      <w:r>
        <w:rPr>
          <w:noProof/>
        </w:rPr>
        <w:t xml:space="preserve"> agus roinn </w:t>
      </w:r>
      <w:r w:rsidRPr="0090767E">
        <w:rPr>
          <w:noProof/>
        </w:rPr>
        <w:t>4</w:t>
      </w:r>
      <w:r>
        <w:rPr>
          <w:noProof/>
        </w:rPr>
        <w:t>.</w:t>
      </w:r>
      <w:r w:rsidRPr="0090767E">
        <w:rPr>
          <w:noProof/>
        </w:rPr>
        <w:t>4</w:t>
      </w:r>
      <w:r>
        <w:rPr>
          <w:noProof/>
        </w:rPr>
        <w:t>.</w:t>
      </w:r>
      <w:r w:rsidRPr="0090767E">
        <w:rPr>
          <w:noProof/>
        </w:rPr>
        <w:t>2</w:t>
      </w:r>
      <w:r>
        <w:rPr>
          <w:noProof/>
        </w:rPr>
        <w:t xml:space="preserve"> den Doiciméad Inmheánach Oibre de chuid an Choimisiúin a ghabhann leis an tuarascáil seo.</w:t>
      </w:r>
    </w:p>
    <w:p w14:paraId="042F11B4" w14:textId="36661B15" w:rsidR="0D619399" w:rsidRPr="004E1DD0" w:rsidRDefault="0D619399" w:rsidP="0D619399">
      <w:pPr>
        <w:ind w:left="992"/>
        <w:rPr>
          <w:noProof/>
          <w:lang w:val="en-IE"/>
        </w:rPr>
      </w:pPr>
    </w:p>
    <w:p w14:paraId="0EB73D9D" w14:textId="134AB6DB" w:rsidR="005050DB" w:rsidRPr="004E1DD0" w:rsidRDefault="12140BA4" w:rsidP="007651CB">
      <w:pPr>
        <w:numPr>
          <w:ilvl w:val="0"/>
          <w:numId w:val="8"/>
        </w:numPr>
        <w:ind w:left="992" w:hanging="567"/>
        <w:rPr>
          <w:noProof/>
        </w:rPr>
      </w:pPr>
      <w:r>
        <w:rPr>
          <w:b/>
          <w:noProof/>
        </w:rPr>
        <w:t>Córas Nua Ríomhchuidithe Idirthurais Chód Custaim an Aontais</w:t>
      </w:r>
      <w:r>
        <w:rPr>
          <w:noProof/>
        </w:rPr>
        <w:t xml:space="preserve"> – </w:t>
      </w:r>
      <w:r>
        <w:rPr>
          <w:i/>
          <w:noProof/>
        </w:rPr>
        <w:t>NCTS</w:t>
      </w:r>
      <w:r>
        <w:rPr>
          <w:noProof/>
        </w:rPr>
        <w:t xml:space="preserve"> (uasghrádú): is é is aidhm dó córas idirthurais an Aontais agus an córas coiteann idirthurais atá ann cheana a ailíniú le forálacha dlí Chód Custaim an Aontais, lena n‑áirítear ceanglais sonraí nua Chód Custaim an Aontais agus comhéadain le córais eile.</w:t>
      </w:r>
    </w:p>
    <w:p w14:paraId="19A1014A" w14:textId="36E8E058" w:rsidR="0D619399" w:rsidRPr="004E1DD0" w:rsidRDefault="4F872DF3" w:rsidP="007651CB">
      <w:pPr>
        <w:ind w:left="992"/>
        <w:rPr>
          <w:noProof/>
        </w:rPr>
      </w:pPr>
      <w:r>
        <w:rPr>
          <w:b/>
          <w:noProof/>
        </w:rPr>
        <w:t>Dul chun cinn</w:t>
      </w:r>
      <w:r>
        <w:rPr>
          <w:noProof/>
        </w:rPr>
        <w:t xml:space="preserve">:  De réir Chlár Oibre Chód Custaim an Aontais </w:t>
      </w:r>
      <w:r w:rsidRPr="0090767E">
        <w:rPr>
          <w:noProof/>
        </w:rPr>
        <w:t>2023</w:t>
      </w:r>
      <w:r>
        <w:rPr>
          <w:noProof/>
        </w:rPr>
        <w:t xml:space="preserve">, is féidir an </w:t>
      </w:r>
      <w:r>
        <w:rPr>
          <w:i/>
          <w:noProof/>
        </w:rPr>
        <w:t>Córas Nua Ríomhchuidithe Idirthurais – Céim </w:t>
      </w:r>
      <w:r w:rsidRPr="0090767E">
        <w:rPr>
          <w:i/>
          <w:noProof/>
        </w:rPr>
        <w:t>5</w:t>
      </w:r>
      <w:r>
        <w:rPr>
          <w:noProof/>
        </w:rPr>
        <w:t xml:space="preserve"> a chur chun feidhme in dhá chéim: príomhfheidhmiúlachtaí faoin </w:t>
      </w:r>
      <w:r w:rsidRPr="0090767E">
        <w:rPr>
          <w:noProof/>
        </w:rPr>
        <w:t>1</w:t>
      </w:r>
      <w:r>
        <w:rPr>
          <w:noProof/>
        </w:rPr>
        <w:t> Nollaig </w:t>
      </w:r>
      <w:r w:rsidRPr="0090767E">
        <w:rPr>
          <w:noProof/>
        </w:rPr>
        <w:t>2023</w:t>
      </w:r>
      <w:r>
        <w:rPr>
          <w:noProof/>
        </w:rPr>
        <w:t xml:space="preserve"> agus leanúnachas gnó ailínithe le Cód Custaim an Aontais, agus feidhmiúlachtaí nach príomhfheidhmiúlachtaí iad faoin </w:t>
      </w:r>
      <w:r w:rsidRPr="0090767E">
        <w:rPr>
          <w:noProof/>
        </w:rPr>
        <w:t>2</w:t>
      </w:r>
      <w:r>
        <w:rPr>
          <w:noProof/>
        </w:rPr>
        <w:t> Nollaig </w:t>
      </w:r>
      <w:r w:rsidRPr="0090767E">
        <w:rPr>
          <w:noProof/>
        </w:rPr>
        <w:t>2024</w:t>
      </w:r>
      <w:r>
        <w:rPr>
          <w:noProof/>
        </w:rPr>
        <w:t xml:space="preserve">. Cuireadh oibreoirí eacnamaíocha ar an eolas gur féidir leis na Ballstáit idirthréimhse a sholáthar go dtí an </w:t>
      </w:r>
      <w:r w:rsidRPr="0090767E">
        <w:rPr>
          <w:noProof/>
        </w:rPr>
        <w:t>2</w:t>
      </w:r>
      <w:r>
        <w:rPr>
          <w:noProof/>
        </w:rPr>
        <w:t> Nollaig </w:t>
      </w:r>
      <w:r w:rsidRPr="0090767E">
        <w:rPr>
          <w:noProof/>
        </w:rPr>
        <w:t>2024</w:t>
      </w:r>
      <w:r>
        <w:rPr>
          <w:noProof/>
        </w:rPr>
        <w:t xml:space="preserve"> le haghaidh an chur chun feidhme iomláin. </w:t>
      </w:r>
    </w:p>
    <w:p w14:paraId="36960C6E" w14:textId="77777777" w:rsidR="007651CB" w:rsidRPr="004E1DD0" w:rsidRDefault="007651CB" w:rsidP="007651CB">
      <w:pPr>
        <w:ind w:left="992"/>
        <w:rPr>
          <w:noProof/>
          <w:lang w:val="en-IE"/>
        </w:rPr>
      </w:pPr>
    </w:p>
    <w:p w14:paraId="386DF72F" w14:textId="130ADA31" w:rsidR="004A6826" w:rsidRPr="004E1DD0" w:rsidRDefault="003C103F" w:rsidP="007651CB">
      <w:pPr>
        <w:jc w:val="center"/>
        <w:rPr>
          <w:noProof/>
        </w:rPr>
      </w:pPr>
      <w:bookmarkStart w:id="20" w:name="_Ref137116000"/>
      <w:r>
        <w:rPr>
          <w:noProof/>
        </w:rPr>
        <w:t xml:space="preserve"> </w:t>
      </w:r>
      <w:r>
        <w:rPr>
          <w:noProof/>
          <w:lang w:val="en-GB" w:eastAsia="en-GB"/>
        </w:rPr>
        <w:drawing>
          <wp:inline distT="0" distB="0" distL="0" distR="0" wp14:anchorId="298D321D" wp14:editId="497E84E3">
            <wp:extent cx="5119219" cy="2707363"/>
            <wp:effectExtent l="0" t="0" r="5715" b="0"/>
            <wp:docPr id="35931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3497"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5119219" cy="2707363"/>
                    </a:xfrm>
                    <a:prstGeom prst="rect">
                      <a:avLst/>
                    </a:prstGeom>
                  </pic:spPr>
                </pic:pic>
              </a:graphicData>
            </a:graphic>
          </wp:inline>
        </w:drawing>
      </w:r>
    </w:p>
    <w:p w14:paraId="5C719CD3" w14:textId="198BAF9E" w:rsidR="368CE9C8" w:rsidRPr="004E1DD0" w:rsidRDefault="368CE9C8" w:rsidP="007651CB">
      <w:pPr>
        <w:jc w:val="center"/>
        <w:rPr>
          <w:noProof/>
        </w:rPr>
      </w:pPr>
      <w:r>
        <w:rPr>
          <w:noProof/>
        </w:rPr>
        <w:t>Fíor </w:t>
      </w:r>
      <w:r w:rsidRPr="0090767E">
        <w:rPr>
          <w:noProof/>
        </w:rPr>
        <w:t>2</w:t>
      </w:r>
      <w:bookmarkEnd w:id="20"/>
      <w:r>
        <w:rPr>
          <w:noProof/>
        </w:rPr>
        <w:t>: An Córas Nua Ríomhchuidithe Idirthurais – Céim </w:t>
      </w:r>
      <w:r w:rsidRPr="0090767E">
        <w:rPr>
          <w:noProof/>
        </w:rPr>
        <w:t>5</w:t>
      </w:r>
      <w:r>
        <w:rPr>
          <w:noProof/>
        </w:rPr>
        <w:t>, na Ballstáit ag dul i mbun oibríochtaí</w:t>
      </w:r>
    </w:p>
    <w:p w14:paraId="194489FC" w14:textId="3BCBED90" w:rsidR="0D619399" w:rsidRPr="004E1DD0" w:rsidRDefault="0D619399" w:rsidP="007651CB">
      <w:pPr>
        <w:rPr>
          <w:noProof/>
          <w:lang w:val="en-IE"/>
        </w:rPr>
      </w:pPr>
    </w:p>
    <w:p w14:paraId="362D985E" w14:textId="61A7B0F0" w:rsidR="6D9C2D36" w:rsidRPr="004E1DD0" w:rsidRDefault="6D9C2D36" w:rsidP="007651CB">
      <w:pPr>
        <w:ind w:left="992"/>
        <w:rPr>
          <w:noProof/>
          <w:highlight w:val="yellow"/>
        </w:rPr>
      </w:pPr>
      <w:r>
        <w:rPr>
          <w:noProof/>
        </w:rPr>
        <w:t xml:space="preserve">Ar an iomlán, le haghaidh </w:t>
      </w:r>
      <w:r>
        <w:rPr>
          <w:i/>
          <w:noProof/>
        </w:rPr>
        <w:t xml:space="preserve">Córas Nua Ríomhchuidithe Idirthurais — Céim </w:t>
      </w:r>
      <w:r w:rsidRPr="0090767E">
        <w:rPr>
          <w:noProof/>
        </w:rPr>
        <w:t>5</w:t>
      </w:r>
      <w:r>
        <w:rPr>
          <w:noProof/>
        </w:rPr>
        <w:t>, tá dul chun cinn suntasach bainte amach. Mar a léirítear i bhFíor </w:t>
      </w:r>
      <w:r w:rsidRPr="0090767E">
        <w:rPr>
          <w:noProof/>
        </w:rPr>
        <w:t>2</w:t>
      </w:r>
      <w:r>
        <w:rPr>
          <w:noProof/>
        </w:rPr>
        <w:t xml:space="preserve">, chuir </w:t>
      </w:r>
      <w:r w:rsidRPr="0090767E">
        <w:rPr>
          <w:noProof/>
        </w:rPr>
        <w:t>14</w:t>
      </w:r>
      <w:r>
        <w:rPr>
          <w:noProof/>
        </w:rPr>
        <w:t xml:space="preserve"> Bhallstáit tús le hoibríochtaí agus príomhfheidhmiúlachtaí acu faoin </w:t>
      </w:r>
      <w:r w:rsidRPr="0090767E">
        <w:rPr>
          <w:noProof/>
        </w:rPr>
        <w:t>1</w:t>
      </w:r>
      <w:r>
        <w:rPr>
          <w:noProof/>
        </w:rPr>
        <w:t> Nollaig </w:t>
      </w:r>
      <w:r w:rsidRPr="0090767E">
        <w:rPr>
          <w:noProof/>
        </w:rPr>
        <w:t>2023</w:t>
      </w:r>
      <w:r>
        <w:rPr>
          <w:noProof/>
        </w:rPr>
        <w:t xml:space="preserve"> agus faoi mhí Dheireadh Fómhair </w:t>
      </w:r>
      <w:r w:rsidRPr="0090767E">
        <w:rPr>
          <w:noProof/>
        </w:rPr>
        <w:t>2024</w:t>
      </w:r>
      <w:r>
        <w:rPr>
          <w:noProof/>
        </w:rPr>
        <w:t xml:space="preserve"> chuaigh </w:t>
      </w:r>
      <w:r w:rsidRPr="0090767E">
        <w:rPr>
          <w:noProof/>
        </w:rPr>
        <w:t>11</w:t>
      </w:r>
      <w:r>
        <w:rPr>
          <w:noProof/>
        </w:rPr>
        <w:t xml:space="preserve"> Ballstát bhreise isteach. D’athdheimhnigh na Ballstáit uile go bhfuil siad ullamh, go tráthúil, le dul i mbun oibríochtaí agus na príomhfheidhmiúlachtaí acu, agus na feidhmiúlachtaí nach príomhfheidhmiúlachtaí iad, faoin </w:t>
      </w:r>
      <w:r w:rsidRPr="0090767E">
        <w:rPr>
          <w:noProof/>
        </w:rPr>
        <w:t>2</w:t>
      </w:r>
      <w:r>
        <w:rPr>
          <w:noProof/>
        </w:rPr>
        <w:t> Nollaig </w:t>
      </w:r>
      <w:r w:rsidRPr="0090767E">
        <w:rPr>
          <w:noProof/>
        </w:rPr>
        <w:t>2024</w:t>
      </w:r>
      <w:r>
        <w:rPr>
          <w:noProof/>
        </w:rPr>
        <w:t xml:space="preserve">, cé is moite de chúpla Ballstát a rachadh isteach ann gan mhoill ina dhiaidh sin, ach tráth nach déanaí ná an </w:t>
      </w:r>
      <w:r w:rsidRPr="0090767E">
        <w:rPr>
          <w:noProof/>
        </w:rPr>
        <w:t>21</w:t>
      </w:r>
      <w:r>
        <w:rPr>
          <w:noProof/>
        </w:rPr>
        <w:t> Eanáir </w:t>
      </w:r>
      <w:r w:rsidRPr="0090767E">
        <w:rPr>
          <w:noProof/>
        </w:rPr>
        <w:t>2025</w:t>
      </w:r>
      <w:r>
        <w:rPr>
          <w:noProof/>
        </w:rPr>
        <w:t>, arb é sin scoithdháta an tseanChórais Nua Ríomhchuidithe Idirthurais – Céim </w:t>
      </w:r>
      <w:r w:rsidRPr="0090767E">
        <w:rPr>
          <w:noProof/>
        </w:rPr>
        <w:t>4</w:t>
      </w:r>
      <w:r>
        <w:rPr>
          <w:noProof/>
        </w:rPr>
        <w:t xml:space="preserve">. </w:t>
      </w:r>
    </w:p>
    <w:p w14:paraId="63E2B33A" w14:textId="3EAAAC9B" w:rsidR="4F872DF3" w:rsidRPr="004E1DD0" w:rsidRDefault="00391766" w:rsidP="0D619399">
      <w:pPr>
        <w:ind w:left="992"/>
        <w:rPr>
          <w:noProof/>
        </w:rPr>
      </w:pPr>
      <w:r>
        <w:rPr>
          <w:i/>
          <w:noProof/>
        </w:rPr>
        <w:t>Le haghaidh an Chórais Nua Ríomhchuidithe Idirthurais – Céim </w:t>
      </w:r>
      <w:r w:rsidRPr="0090767E">
        <w:rPr>
          <w:i/>
          <w:noProof/>
        </w:rPr>
        <w:t>6</w:t>
      </w:r>
      <w:r>
        <w:rPr>
          <w:i/>
          <w:noProof/>
        </w:rPr>
        <w:t xml:space="preserve">, </w:t>
      </w:r>
      <w:r>
        <w:rPr>
          <w:noProof/>
        </w:rPr>
        <w:t xml:space="preserve">bhí an amlíne sioncronaithe le hamlíne </w:t>
      </w:r>
      <w:r>
        <w:rPr>
          <w:i/>
          <w:noProof/>
        </w:rPr>
        <w:t>ICS</w:t>
      </w:r>
      <w:r w:rsidRPr="0090767E">
        <w:rPr>
          <w:i/>
          <w:noProof/>
        </w:rPr>
        <w:t>2</w:t>
      </w:r>
      <w:r>
        <w:rPr>
          <w:i/>
          <w:noProof/>
        </w:rPr>
        <w:t xml:space="preserve"> – Eisiúint </w:t>
      </w:r>
      <w:r w:rsidRPr="0090767E">
        <w:rPr>
          <w:i/>
          <w:noProof/>
        </w:rPr>
        <w:t>3</w:t>
      </w:r>
      <w:r>
        <w:rPr>
          <w:rStyle w:val="FootnoteReference"/>
          <w:noProof/>
          <w:lang w:val="en-IE"/>
        </w:rPr>
        <w:footnoteReference w:id="10"/>
      </w:r>
      <w:r>
        <w:rPr>
          <w:noProof/>
        </w:rPr>
        <w:t xml:space="preserve">. Thuairiscigh formhór na mBallstát go raibh riosca íseal ag baint le soláthar an chórais faoin </w:t>
      </w:r>
      <w:r w:rsidRPr="0090767E">
        <w:rPr>
          <w:noProof/>
        </w:rPr>
        <w:t>1</w:t>
      </w:r>
      <w:r>
        <w:rPr>
          <w:noProof/>
        </w:rPr>
        <w:t> Meán Fómhair </w:t>
      </w:r>
      <w:r w:rsidRPr="0090767E">
        <w:rPr>
          <w:noProof/>
        </w:rPr>
        <w:t>2025</w:t>
      </w:r>
      <w:r>
        <w:rPr>
          <w:noProof/>
        </w:rPr>
        <w:t>, agus tá dul chun cinn á dhéanamh ag cuid acu cheana leis na sonraíochtaí teicniúla. Mar sin féin, chuir trí Bhallstát (FR, PL agus RO) in iúl go bhfuil sé beartaithe acu dul isteach in oibríochtaí tar éis an sprioc‑ama.</w:t>
      </w:r>
    </w:p>
    <w:p w14:paraId="713042C9" w14:textId="1BFECB98" w:rsidR="2A22F471" w:rsidRPr="004E1DD0" w:rsidRDefault="2A22F471" w:rsidP="0D619399">
      <w:pPr>
        <w:ind w:left="992"/>
        <w:rPr>
          <w:noProof/>
        </w:rPr>
      </w:pPr>
      <w:r>
        <w:rPr>
          <w:noProof/>
        </w:rPr>
        <w:t>Chun tuilleadh sonraí a fháil, féach roinn </w:t>
      </w:r>
      <w:r w:rsidRPr="0090767E">
        <w:rPr>
          <w:noProof/>
        </w:rPr>
        <w:t>3</w:t>
      </w:r>
      <w:r>
        <w:rPr>
          <w:noProof/>
        </w:rPr>
        <w:t>.</w:t>
      </w:r>
      <w:r w:rsidRPr="0090767E">
        <w:rPr>
          <w:noProof/>
        </w:rPr>
        <w:t>7</w:t>
      </w:r>
      <w:r>
        <w:rPr>
          <w:noProof/>
        </w:rPr>
        <w:t>.</w:t>
      </w:r>
      <w:r w:rsidRPr="0090767E">
        <w:rPr>
          <w:noProof/>
        </w:rPr>
        <w:t>2</w:t>
      </w:r>
      <w:r>
        <w:rPr>
          <w:noProof/>
        </w:rPr>
        <w:t xml:space="preserve"> agus roinn </w:t>
      </w:r>
      <w:r w:rsidRPr="0090767E">
        <w:rPr>
          <w:noProof/>
        </w:rPr>
        <w:t>4</w:t>
      </w:r>
      <w:r>
        <w:rPr>
          <w:noProof/>
        </w:rPr>
        <w:t>.</w:t>
      </w:r>
      <w:r w:rsidRPr="0090767E">
        <w:rPr>
          <w:noProof/>
        </w:rPr>
        <w:t>5</w:t>
      </w:r>
      <w:r>
        <w:rPr>
          <w:noProof/>
        </w:rPr>
        <w:t>.</w:t>
      </w:r>
      <w:r w:rsidRPr="0090767E">
        <w:rPr>
          <w:noProof/>
        </w:rPr>
        <w:t>2</w:t>
      </w:r>
      <w:r>
        <w:rPr>
          <w:noProof/>
        </w:rPr>
        <w:t xml:space="preserve"> den Doiciméad Inmheánach Oibre de chuid an Choimisiúin a ghabhann leis an tuarascáil seo.</w:t>
      </w:r>
    </w:p>
    <w:p w14:paraId="5AC890B4" w14:textId="71ED2C95" w:rsidR="00EA7F7D" w:rsidRPr="004E1DD0" w:rsidRDefault="12140BA4" w:rsidP="703B235F">
      <w:pPr>
        <w:numPr>
          <w:ilvl w:val="0"/>
          <w:numId w:val="8"/>
        </w:numPr>
        <w:ind w:left="992" w:hanging="567"/>
        <w:rPr>
          <w:noProof/>
        </w:rPr>
      </w:pPr>
      <w:r>
        <w:rPr>
          <w:b/>
          <w:noProof/>
        </w:rPr>
        <w:t xml:space="preserve">Uathchóras Onnmhairiúcháin Chód Custaim an Aontais </w:t>
      </w:r>
      <w:r>
        <w:rPr>
          <w:noProof/>
        </w:rPr>
        <w:t xml:space="preserve">– </w:t>
      </w:r>
      <w:r>
        <w:rPr>
          <w:i/>
          <w:noProof/>
        </w:rPr>
        <w:t>AES</w:t>
      </w:r>
      <w:r>
        <w:rPr>
          <w:noProof/>
        </w:rPr>
        <w:t xml:space="preserve"> (uasghrádú): tá sé d’aidhm aige ceanglais Chód Custaim an Aontais a chur chun feidhme maidir le hearraí a onnmhairiú agus a thabhairt amach, chomh maith le Simplithe Chód Custaim an Aontais a thairgtear le haghaidh na trádála.</w:t>
      </w:r>
    </w:p>
    <w:p w14:paraId="668D1E7B" w14:textId="637325EA" w:rsidR="00365BE8" w:rsidRPr="004E1DD0" w:rsidRDefault="00A33633" w:rsidP="00EA7F7D">
      <w:pPr>
        <w:ind w:left="992"/>
        <w:rPr>
          <w:noProof/>
        </w:rPr>
      </w:pPr>
      <w:r>
        <w:rPr>
          <w:b/>
          <w:noProof/>
        </w:rPr>
        <w:t>Dul chun cinn</w:t>
      </w:r>
      <w:r>
        <w:rPr>
          <w:noProof/>
        </w:rPr>
        <w:t xml:space="preserve">: De réir Chlár Oibre Chód Custaim an Aontais </w:t>
      </w:r>
      <w:r w:rsidRPr="0090767E">
        <w:rPr>
          <w:noProof/>
        </w:rPr>
        <w:t>2023</w:t>
      </w:r>
      <w:r>
        <w:rPr>
          <w:noProof/>
        </w:rPr>
        <w:t xml:space="preserve">, is féidir leis na Ballstáit </w:t>
      </w:r>
      <w:r>
        <w:rPr>
          <w:i/>
          <w:noProof/>
        </w:rPr>
        <w:t xml:space="preserve">AES </w:t>
      </w:r>
      <w:r>
        <w:rPr>
          <w:noProof/>
        </w:rPr>
        <w:t xml:space="preserve">a imscaradh i dtrí chéim: príomhfheidhmiúlachtaí faoin </w:t>
      </w:r>
      <w:r w:rsidRPr="0090767E">
        <w:rPr>
          <w:noProof/>
        </w:rPr>
        <w:t>1</w:t>
      </w:r>
      <w:r>
        <w:rPr>
          <w:noProof/>
        </w:rPr>
        <w:t> Nollaig </w:t>
      </w:r>
      <w:r w:rsidRPr="0090767E">
        <w:rPr>
          <w:noProof/>
        </w:rPr>
        <w:t>2023</w:t>
      </w:r>
      <w:r>
        <w:rPr>
          <w:noProof/>
        </w:rPr>
        <w:t xml:space="preserve">, comhéadan a dhéanamh le Mál faoin </w:t>
      </w:r>
      <w:r w:rsidRPr="0090767E">
        <w:rPr>
          <w:noProof/>
        </w:rPr>
        <w:t>13</w:t>
      </w:r>
      <w:r>
        <w:rPr>
          <w:noProof/>
        </w:rPr>
        <w:t> Feabhra </w:t>
      </w:r>
      <w:r w:rsidRPr="0090767E">
        <w:rPr>
          <w:noProof/>
        </w:rPr>
        <w:t>2024</w:t>
      </w:r>
      <w:r>
        <w:rPr>
          <w:noProof/>
        </w:rPr>
        <w:t xml:space="preserve"> agus feidhmiúlachtaí nach príomhfheidhmiúlachtaí iad faoin </w:t>
      </w:r>
      <w:r w:rsidRPr="0090767E">
        <w:rPr>
          <w:noProof/>
        </w:rPr>
        <w:t>2</w:t>
      </w:r>
      <w:r>
        <w:rPr>
          <w:noProof/>
        </w:rPr>
        <w:t> Nollaig </w:t>
      </w:r>
      <w:r w:rsidRPr="0090767E">
        <w:rPr>
          <w:noProof/>
        </w:rPr>
        <w:t>2024</w:t>
      </w:r>
      <w:r>
        <w:rPr>
          <w:noProof/>
        </w:rPr>
        <w:t>.</w:t>
      </w:r>
    </w:p>
    <w:p w14:paraId="6D7C127F" w14:textId="08F79B58" w:rsidR="009F710C" w:rsidRPr="004E1DD0" w:rsidDel="00512DAB" w:rsidRDefault="5B5A1AF3" w:rsidP="0D619399">
      <w:pPr>
        <w:ind w:left="992"/>
        <w:rPr>
          <w:noProof/>
          <w:color w:val="000000" w:themeColor="text1"/>
        </w:rPr>
      </w:pPr>
      <w:r>
        <w:rPr>
          <w:noProof/>
          <w:color w:val="000000" w:themeColor="text1"/>
        </w:rPr>
        <w:t xml:space="preserve">Thuairiscigh na Ballstáit dul chun cinn nach beag.  Mar a léirítear i </w:t>
      </w:r>
      <w:r>
        <w:rPr>
          <w:noProof/>
        </w:rPr>
        <w:t>bhFíor </w:t>
      </w:r>
      <w:r w:rsidRPr="0090767E">
        <w:rPr>
          <w:noProof/>
        </w:rPr>
        <w:t>3</w:t>
      </w:r>
      <w:r>
        <w:rPr>
          <w:noProof/>
        </w:rPr>
        <w:t xml:space="preserve">, faoin </w:t>
      </w:r>
      <w:r w:rsidRPr="0090767E">
        <w:rPr>
          <w:noProof/>
        </w:rPr>
        <w:t>1</w:t>
      </w:r>
      <w:r>
        <w:rPr>
          <w:noProof/>
        </w:rPr>
        <w:t> Nollaig </w:t>
      </w:r>
      <w:r w:rsidRPr="0090767E">
        <w:rPr>
          <w:noProof/>
        </w:rPr>
        <w:t>2023</w:t>
      </w:r>
      <w:r>
        <w:rPr>
          <w:noProof/>
        </w:rPr>
        <w:t xml:space="preserve"> chuir </w:t>
      </w:r>
      <w:r w:rsidRPr="0090767E">
        <w:rPr>
          <w:noProof/>
        </w:rPr>
        <w:t>12</w:t>
      </w:r>
      <w:r>
        <w:rPr>
          <w:noProof/>
        </w:rPr>
        <w:t xml:space="preserve"> Bhallstát tús le hoibríochtaí agus príomhfheidhmiúlachtaí acu, agus faoi lár mhí Dheireadh Fómhair </w:t>
      </w:r>
      <w:r w:rsidRPr="0090767E">
        <w:rPr>
          <w:noProof/>
        </w:rPr>
        <w:t>2024</w:t>
      </w:r>
      <w:r>
        <w:rPr>
          <w:noProof/>
        </w:rPr>
        <w:t xml:space="preserve"> chuaigh </w:t>
      </w:r>
      <w:r w:rsidRPr="0090767E">
        <w:rPr>
          <w:noProof/>
        </w:rPr>
        <w:t>7</w:t>
      </w:r>
      <w:r>
        <w:rPr>
          <w:noProof/>
        </w:rPr>
        <w:t xml:space="preserve"> gcinn eile isteach. Rachaidh na Ballstáit uile atá fágtha, seachas FR agus GR, i mbun oibríochta agus príomhfheidhmiúlachtaí agus an comhéadan Máil acu, ar a laghad, roimh an </w:t>
      </w:r>
      <w:r w:rsidRPr="0090767E">
        <w:rPr>
          <w:noProof/>
        </w:rPr>
        <w:t>11</w:t>
      </w:r>
      <w:r>
        <w:rPr>
          <w:noProof/>
        </w:rPr>
        <w:t> Feabhra </w:t>
      </w:r>
      <w:r w:rsidRPr="0090767E">
        <w:rPr>
          <w:noProof/>
        </w:rPr>
        <w:t>2025</w:t>
      </w:r>
      <w:r>
        <w:rPr>
          <w:noProof/>
        </w:rPr>
        <w:t xml:space="preserve">, agus chuaigh an chuid is mó acu isteach roimh dheireadh </w:t>
      </w:r>
      <w:r w:rsidRPr="0090767E">
        <w:rPr>
          <w:noProof/>
        </w:rPr>
        <w:t>2024</w:t>
      </w:r>
      <w:r>
        <w:rPr>
          <w:noProof/>
          <w:color w:val="000000" w:themeColor="text1"/>
        </w:rPr>
        <w:t>.</w:t>
      </w:r>
    </w:p>
    <w:p w14:paraId="45C71E2E" w14:textId="3E488216" w:rsidR="009F710C" w:rsidRPr="004E1DD0" w:rsidDel="00512DAB" w:rsidRDefault="63F6138F" w:rsidP="0D619399">
      <w:pPr>
        <w:ind w:left="992"/>
        <w:rPr>
          <w:noProof/>
          <w:color w:val="000000" w:themeColor="text1"/>
        </w:rPr>
      </w:pPr>
      <w:r>
        <w:rPr>
          <w:noProof/>
          <w:color w:val="000000" w:themeColor="text1"/>
        </w:rPr>
        <w:t xml:space="preserve">Maidir leis an gcóras náisiúnta, </w:t>
      </w:r>
      <w:r>
        <w:rPr>
          <w:i/>
          <w:noProof/>
          <w:color w:val="000000" w:themeColor="text1"/>
        </w:rPr>
        <w:t xml:space="preserve">AES – Comhpháirt </w:t>
      </w:r>
      <w:r w:rsidRPr="0090767E">
        <w:rPr>
          <w:i/>
          <w:noProof/>
          <w:color w:val="000000" w:themeColor="text1"/>
        </w:rPr>
        <w:t>2</w:t>
      </w:r>
      <w:r>
        <w:rPr>
          <w:noProof/>
          <w:color w:val="000000" w:themeColor="text1"/>
        </w:rPr>
        <w:t xml:space="preserve">, tá nó beidh an córas imscartha ag an gcuid is mó de na Ballstáit roimh sprioc‑am an </w:t>
      </w:r>
      <w:r w:rsidRPr="0090767E">
        <w:rPr>
          <w:noProof/>
          <w:color w:val="000000" w:themeColor="text1"/>
        </w:rPr>
        <w:t>2</w:t>
      </w:r>
      <w:r>
        <w:rPr>
          <w:noProof/>
          <w:color w:val="000000" w:themeColor="text1"/>
        </w:rPr>
        <w:t> Nollaig </w:t>
      </w:r>
      <w:r w:rsidRPr="0090767E">
        <w:rPr>
          <w:noProof/>
          <w:color w:val="000000" w:themeColor="text1"/>
        </w:rPr>
        <w:t>2024</w:t>
      </w:r>
      <w:r>
        <w:rPr>
          <w:noProof/>
          <w:color w:val="000000" w:themeColor="text1"/>
        </w:rPr>
        <w:t xml:space="preserve">. </w:t>
      </w:r>
    </w:p>
    <w:p w14:paraId="29B81B47" w14:textId="40DC7378" w:rsidR="009F710C" w:rsidRPr="004E1DD0" w:rsidDel="00512DAB" w:rsidRDefault="63F6138F" w:rsidP="007651CB">
      <w:pPr>
        <w:ind w:left="992"/>
        <w:rPr>
          <w:noProof/>
        </w:rPr>
      </w:pPr>
      <w:r>
        <w:rPr>
          <w:noProof/>
        </w:rPr>
        <w:t xml:space="preserve">Chun tuilleadh sonraí a fháil, féach roinn </w:t>
      </w:r>
      <w:r w:rsidRPr="0090767E">
        <w:rPr>
          <w:noProof/>
        </w:rPr>
        <w:t>3</w:t>
      </w:r>
      <w:r>
        <w:rPr>
          <w:noProof/>
        </w:rPr>
        <w:t>.</w:t>
      </w:r>
      <w:r w:rsidRPr="0090767E">
        <w:rPr>
          <w:noProof/>
        </w:rPr>
        <w:t>8</w:t>
      </w:r>
      <w:r>
        <w:rPr>
          <w:noProof/>
        </w:rPr>
        <w:t>.</w:t>
      </w:r>
      <w:r w:rsidRPr="0090767E">
        <w:rPr>
          <w:noProof/>
        </w:rPr>
        <w:t>2</w:t>
      </w:r>
      <w:r>
        <w:rPr>
          <w:noProof/>
        </w:rPr>
        <w:t xml:space="preserve"> den Doiciméad Inmheánach Oibre de chuid an Choimisiúin a ghabhann leis an tuarascáil seo.</w:t>
      </w:r>
    </w:p>
    <w:p w14:paraId="7E93AF24" w14:textId="56D7C1C2" w:rsidR="000378E7" w:rsidRPr="004E1DD0" w:rsidRDefault="2A6D3101" w:rsidP="00946A61">
      <w:pPr>
        <w:jc w:val="center"/>
        <w:rPr>
          <w:noProof/>
        </w:rPr>
      </w:pPr>
      <w:r>
        <w:rPr>
          <w:noProof/>
        </w:rPr>
        <w:t xml:space="preserve"> </w:t>
      </w:r>
    </w:p>
    <w:p w14:paraId="244698F6" w14:textId="1E701277" w:rsidR="02BB932C" w:rsidRPr="004E1DD0" w:rsidRDefault="003C103F" w:rsidP="007651CB">
      <w:pPr>
        <w:jc w:val="center"/>
        <w:rPr>
          <w:noProof/>
        </w:rPr>
      </w:pPr>
      <w:r>
        <w:rPr>
          <w:noProof/>
        </w:rPr>
        <w:t xml:space="preserve"> </w:t>
      </w:r>
      <w:r>
        <w:rPr>
          <w:noProof/>
          <w:lang w:val="en-GB" w:eastAsia="en-GB"/>
        </w:rPr>
        <w:drawing>
          <wp:inline distT="0" distB="0" distL="0" distR="0" wp14:anchorId="7AE511B4" wp14:editId="7C2DE33B">
            <wp:extent cx="5082999" cy="2525270"/>
            <wp:effectExtent l="0" t="0" r="3810" b="88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082999" cy="2525270"/>
                    </a:xfrm>
                    <a:prstGeom prst="rect">
                      <a:avLst/>
                    </a:prstGeom>
                  </pic:spPr>
                </pic:pic>
              </a:graphicData>
            </a:graphic>
          </wp:inline>
        </w:drawing>
      </w:r>
    </w:p>
    <w:p w14:paraId="06F682C5" w14:textId="28493450" w:rsidR="00D54F6A" w:rsidRPr="004E1DD0" w:rsidRDefault="00CA53F1" w:rsidP="0062240B">
      <w:pPr>
        <w:pStyle w:val="Caption"/>
        <w:rPr>
          <w:noProof/>
        </w:rPr>
      </w:pPr>
      <w:bookmarkStart w:id="21" w:name="_Ref137115985"/>
      <w:r>
        <w:rPr>
          <w:noProof/>
        </w:rPr>
        <w:t xml:space="preserve">Fíor </w:t>
      </w:r>
      <w:bookmarkEnd w:id="21"/>
      <w:r w:rsidRPr="0090767E">
        <w:rPr>
          <w:noProof/>
        </w:rPr>
        <w:t>3</w:t>
      </w:r>
      <w:r>
        <w:rPr>
          <w:noProof/>
        </w:rPr>
        <w:t xml:space="preserve">: Ballstáit AES ag teacht i mbun oibríochtaí </w:t>
      </w:r>
    </w:p>
    <w:p w14:paraId="41B3848F" w14:textId="77777777" w:rsidR="007651CB" w:rsidRPr="004E1DD0" w:rsidRDefault="007651CB" w:rsidP="007651CB">
      <w:pPr>
        <w:rPr>
          <w:noProof/>
          <w:lang w:val="en-IE"/>
        </w:rPr>
      </w:pPr>
    </w:p>
    <w:p w14:paraId="0EA54FFB" w14:textId="4AA8C793" w:rsidR="00D52C6C" w:rsidRPr="004E1DD0" w:rsidRDefault="65B4C09E" w:rsidP="007651CB">
      <w:pPr>
        <w:rPr>
          <w:noProof/>
        </w:rPr>
      </w:pPr>
      <w:r>
        <w:rPr>
          <w:b/>
          <w:noProof/>
        </w:rPr>
        <w:t>Chun achoimre a dhéanamh</w:t>
      </w:r>
      <w:r>
        <w:rPr>
          <w:noProof/>
        </w:rPr>
        <w:t xml:space="preserve"> ar stádas na dtionscadal tras-Eorpach eile, tá an Coimisiún ar an mbóthar ceart chun na spriocdhátaí dlíthiúla a bhaint amach, spriocdhátaí a comhaontaíodh i gcomhthéacs Chód Custaim an Aontais agus Chlár Oibre Chód Custaim an Aontais. A mhéid a bhaineann le himscaradh chomhpháirteanna náisiúnta na gcóras tras‑Eorpach sin arna dhéanamh ag na Ballstáit, sainaithníodh rioscaí tromchúiseacha maidir le moilleanna, go háirithe le haghaidh </w:t>
      </w:r>
      <w:r>
        <w:rPr>
          <w:i/>
          <w:noProof/>
        </w:rPr>
        <w:t>CCI agus</w:t>
      </w:r>
      <w:r>
        <w:rPr>
          <w:noProof/>
        </w:rPr>
        <w:t xml:space="preserve"> </w:t>
      </w:r>
      <w:r>
        <w:rPr>
          <w:i/>
          <w:noProof/>
        </w:rPr>
        <w:t>AES</w:t>
      </w:r>
      <w:r>
        <w:rPr>
          <w:noProof/>
        </w:rPr>
        <w:t xml:space="preserve"> (féach roinn </w:t>
      </w:r>
      <w:r>
        <w:rPr>
          <w:noProof/>
        </w:rPr>
        <w:fldChar w:fldCharType="begin"/>
      </w:r>
      <w:r>
        <w:rPr>
          <w:noProof/>
        </w:rPr>
        <w:instrText xml:space="preserve"> REF _Ref137491743 \r \h  \* MERGEFORMAT </w:instrText>
      </w:r>
      <w:r>
        <w:rPr>
          <w:noProof/>
        </w:rPr>
      </w:r>
      <w:r>
        <w:rPr>
          <w:noProof/>
        </w:rPr>
        <w:fldChar w:fldCharType="separate"/>
      </w:r>
      <w:r w:rsidRPr="0090767E">
        <w:rPr>
          <w:noProof/>
        </w:rPr>
        <w:t>4</w:t>
      </w:r>
      <w:r>
        <w:rPr>
          <w:noProof/>
        </w:rPr>
        <w:t>.</w:t>
      </w:r>
      <w:r w:rsidRPr="0090767E">
        <w:rPr>
          <w:noProof/>
        </w:rPr>
        <w:t>3</w:t>
      </w:r>
      <w:r>
        <w:rPr>
          <w:noProof/>
        </w:rPr>
        <w:fldChar w:fldCharType="end"/>
      </w:r>
      <w:r>
        <w:rPr>
          <w:noProof/>
        </w:rPr>
        <w:t xml:space="preserve">). </w:t>
      </w:r>
    </w:p>
    <w:p w14:paraId="55A905F9" w14:textId="5F8B7BA1" w:rsidR="00B548E7" w:rsidRPr="004E1DD0" w:rsidRDefault="00E85CC2" w:rsidP="001C12AA">
      <w:pPr>
        <w:pStyle w:val="Heading4"/>
        <w:keepLines w:val="0"/>
        <w:spacing w:before="240" w:after="240"/>
        <w:ind w:left="567" w:hanging="567"/>
        <w:rPr>
          <w:rFonts w:ascii="Times New Roman" w:eastAsia="Times New Roman" w:hAnsi="Times New Roman" w:cs="Times New Roman"/>
          <w:b/>
          <w:i w:val="0"/>
          <w:noProof/>
          <w:color w:val="auto"/>
          <w:sz w:val="24"/>
          <w:szCs w:val="24"/>
        </w:rPr>
      </w:pPr>
      <w:bookmarkStart w:id="22" w:name="_Ref75940933"/>
      <w:bookmarkStart w:id="23" w:name="_Ref75940953"/>
      <w:r w:rsidRPr="0090767E">
        <w:rPr>
          <w:rFonts w:ascii="Times New Roman" w:hAnsi="Times New Roman"/>
          <w:b/>
          <w:i w:val="0"/>
          <w:noProof/>
          <w:color w:val="auto"/>
          <w:sz w:val="24"/>
        </w:rPr>
        <w:t>4</w:t>
      </w:r>
      <w:r>
        <w:rPr>
          <w:rFonts w:ascii="Times New Roman" w:hAnsi="Times New Roman"/>
          <w:b/>
          <w:i w:val="0"/>
          <w:noProof/>
          <w:color w:val="auto"/>
          <w:sz w:val="24"/>
        </w:rPr>
        <w:t>.</w:t>
      </w:r>
      <w:r w:rsidRPr="0090767E">
        <w:rPr>
          <w:rFonts w:ascii="Times New Roman" w:hAnsi="Times New Roman"/>
          <w:b/>
          <w:i w:val="0"/>
          <w:noProof/>
          <w:color w:val="auto"/>
          <w:sz w:val="24"/>
        </w:rPr>
        <w:t>2</w:t>
      </w:r>
      <w:r>
        <w:rPr>
          <w:rFonts w:ascii="Times New Roman" w:hAnsi="Times New Roman"/>
          <w:b/>
          <w:i w:val="0"/>
          <w:noProof/>
          <w:color w:val="auto"/>
          <w:sz w:val="24"/>
        </w:rPr>
        <w:t>.</w:t>
      </w:r>
      <w:r w:rsidRPr="0090767E">
        <w:rPr>
          <w:rFonts w:ascii="Times New Roman" w:hAnsi="Times New Roman"/>
          <w:b/>
          <w:i w:val="0"/>
          <w:noProof/>
          <w:color w:val="auto"/>
          <w:sz w:val="24"/>
        </w:rPr>
        <w:t>2</w:t>
      </w:r>
      <w:r>
        <w:rPr>
          <w:rFonts w:ascii="Times New Roman" w:hAnsi="Times New Roman"/>
          <w:b/>
          <w:i w:val="0"/>
          <w:noProof/>
          <w:color w:val="auto"/>
          <w:sz w:val="24"/>
        </w:rPr>
        <w:t xml:space="preserve"> Tionscadail náisiúnta</w:t>
      </w:r>
      <w:bookmarkEnd w:id="22"/>
      <w:bookmarkEnd w:id="23"/>
    </w:p>
    <w:p w14:paraId="1E3DC0F9" w14:textId="67D3D52F" w:rsidR="007D55BC" w:rsidRPr="004E1DD0" w:rsidRDefault="3C329334" w:rsidP="3C329334">
      <w:pPr>
        <w:rPr>
          <w:noProof/>
        </w:rPr>
      </w:pPr>
      <w:r>
        <w:rPr>
          <w:noProof/>
        </w:rPr>
        <w:t xml:space="preserve">Bhí na Ballstáit le huasghrádú a gcóras a chur i gcrích le haghaidh na </w:t>
      </w:r>
      <w:r w:rsidRPr="0090767E">
        <w:rPr>
          <w:b/>
          <w:noProof/>
        </w:rPr>
        <w:t>3</w:t>
      </w:r>
      <w:r>
        <w:rPr>
          <w:noProof/>
        </w:rPr>
        <w:t xml:space="preserve"> </w:t>
      </w:r>
      <w:r>
        <w:rPr>
          <w:b/>
          <w:noProof/>
        </w:rPr>
        <w:t>thionscadal lán‑náisiúnta</w:t>
      </w:r>
      <w:r>
        <w:rPr>
          <w:rStyle w:val="FootnoteReference"/>
          <w:noProof/>
          <w:lang w:val="en-IE"/>
        </w:rPr>
        <w:footnoteReference w:id="11"/>
      </w:r>
      <w:r>
        <w:rPr>
          <w:rStyle w:val="FootnoteReference"/>
          <w:noProof/>
          <w:lang w:val="en-IE"/>
        </w:rPr>
        <w:t xml:space="preserve"> </w:t>
      </w:r>
      <w:r>
        <w:rPr>
          <w:rStyle w:val="FootnoteReference"/>
          <w:noProof/>
        </w:rPr>
        <w:t xml:space="preserve"> </w:t>
      </w:r>
      <w:r>
        <w:rPr>
          <w:noProof/>
        </w:rPr>
        <w:t xml:space="preserve">faoin </w:t>
      </w:r>
      <w:r w:rsidRPr="0090767E">
        <w:rPr>
          <w:noProof/>
        </w:rPr>
        <w:t>31</w:t>
      </w:r>
      <w:r>
        <w:rPr>
          <w:noProof/>
        </w:rPr>
        <w:t> Nollaig </w:t>
      </w:r>
      <w:r w:rsidRPr="0090767E">
        <w:rPr>
          <w:noProof/>
        </w:rPr>
        <w:t>2022</w:t>
      </w:r>
      <w:r>
        <w:rPr>
          <w:noProof/>
        </w:rPr>
        <w:t>, i gcomhréir le hAirteagal </w:t>
      </w:r>
      <w:r w:rsidRPr="0090767E">
        <w:rPr>
          <w:noProof/>
        </w:rPr>
        <w:t>278</w:t>
      </w:r>
      <w:r>
        <w:rPr>
          <w:noProof/>
        </w:rPr>
        <w:t>(</w:t>
      </w:r>
      <w:r w:rsidRPr="0090767E">
        <w:rPr>
          <w:noProof/>
        </w:rPr>
        <w:t>2</w:t>
      </w:r>
      <w:r>
        <w:rPr>
          <w:noProof/>
        </w:rPr>
        <w:t xml:space="preserve">) de Chód Custaim an Aontais. Mar sin féin, ní raibh </w:t>
      </w:r>
      <w:r w:rsidRPr="0090767E">
        <w:rPr>
          <w:noProof/>
        </w:rPr>
        <w:t>22</w:t>
      </w:r>
      <w:r>
        <w:rPr>
          <w:noProof/>
        </w:rPr>
        <w:t xml:space="preserve"> Bhallstát in ann an sprioc‑am sin a chomhlíonadh agus, tar éis a n‑iarrata, deonaíodh maolú dóibh, lenar leathnaíodh an sprioc‑am imscartha go dtí an </w:t>
      </w:r>
      <w:r w:rsidRPr="0090767E">
        <w:rPr>
          <w:noProof/>
        </w:rPr>
        <w:t>31</w:t>
      </w:r>
      <w:r>
        <w:rPr>
          <w:noProof/>
        </w:rPr>
        <w:t> Nollaig </w:t>
      </w:r>
      <w:r w:rsidRPr="0090767E">
        <w:rPr>
          <w:noProof/>
        </w:rPr>
        <w:t>2023</w:t>
      </w:r>
      <w:r>
        <w:rPr>
          <w:rStyle w:val="FootnoteReference"/>
          <w:noProof/>
          <w:lang w:val="en-IE"/>
        </w:rPr>
        <w:footnoteReference w:id="12"/>
      </w:r>
      <w:r>
        <w:rPr>
          <w:noProof/>
        </w:rPr>
        <w:t xml:space="preserve">. I dtuarascáil na bliana seo caite léiríodh roinnt moilleanna breise go príomha ar an gCóras Allmhairiúcháin Náisiúnta agus ar an gcóras um Stóráil Shealadach. Faoi dheireadh </w:t>
      </w:r>
      <w:r w:rsidRPr="0090767E">
        <w:rPr>
          <w:noProof/>
        </w:rPr>
        <w:t>2024</w:t>
      </w:r>
      <w:r>
        <w:rPr>
          <w:noProof/>
        </w:rPr>
        <w:t>, d’imscar formhór na Ballstát na córais iontrála agus allmhairiúcháin éagsúla sin, cé nach mór a thabhairt faoi deara go bhfuil cuid acu ag obair in atriall agus go ndéanfar roinnt feidhmiúlachtaí nó uasghráduithe ar a samhail sonraí a imscaradh nuair a eiseofar a gcórais níos déanaí. Maidir leis sin, tá cur chun feidhme iomlán na dtionscadal sin fós idir lámha le haghaidh líon substaintiúil Ballstát.</w:t>
      </w:r>
    </w:p>
    <w:p w14:paraId="084A279D" w14:textId="77777777" w:rsidR="009501CB" w:rsidRDefault="74571B85" w:rsidP="009501CB">
      <w:pPr>
        <w:rPr>
          <w:noProof/>
        </w:rPr>
      </w:pPr>
      <w:r>
        <w:rPr>
          <w:noProof/>
        </w:rPr>
        <w:t xml:space="preserve">Cuirtear an dul chun cinn maidir le gach tionscadal náisiúnta i láthair thíos agus léirítear é i Fíor </w:t>
      </w:r>
      <w:r w:rsidRPr="0090767E">
        <w:rPr>
          <w:noProof/>
        </w:rPr>
        <w:t>4</w:t>
      </w:r>
      <w:r>
        <w:rPr>
          <w:noProof/>
        </w:rPr>
        <w:t>:</w:t>
      </w:r>
    </w:p>
    <w:p w14:paraId="2C8417B5" w14:textId="5E0F33FC" w:rsidR="00282B17" w:rsidRPr="009501CB" w:rsidRDefault="00A33633" w:rsidP="009501CB">
      <w:pPr>
        <w:pStyle w:val="ListParagraph"/>
        <w:numPr>
          <w:ilvl w:val="0"/>
          <w:numId w:val="35"/>
        </w:numPr>
        <w:rPr>
          <w:noProof/>
        </w:rPr>
      </w:pPr>
      <w:r>
        <w:rPr>
          <w:b/>
          <w:noProof/>
        </w:rPr>
        <w:t>Fógra Teachta, Fógra Cur i Láthair agus Stóráil Shealadach Chód Custaim an Aontais</w:t>
      </w:r>
      <w:r>
        <w:rPr>
          <w:noProof/>
        </w:rPr>
        <w:t xml:space="preserve"> (</w:t>
      </w:r>
      <w:r>
        <w:rPr>
          <w:i/>
          <w:noProof/>
        </w:rPr>
        <w:t>AN, PN agus TS</w:t>
      </w:r>
      <w:r>
        <w:rPr>
          <w:noProof/>
        </w:rPr>
        <w:t>) – (uasghrádú): tá sé d’aidhm aige sin na próisis iontrála náisiúnta a uathoibriú agus malartú sonraí idir cúrsaí trádála agus custaim a chomhchuibhiú ó Bhallstát go chéile.</w:t>
      </w:r>
    </w:p>
    <w:p w14:paraId="3AC388F2" w14:textId="3D23DA60" w:rsidR="00391766" w:rsidRPr="004E1DD0" w:rsidRDefault="00A33633" w:rsidP="00F07E6D">
      <w:pPr>
        <w:ind w:left="567"/>
        <w:rPr>
          <w:noProof/>
        </w:rPr>
      </w:pPr>
      <w:r>
        <w:rPr>
          <w:b/>
          <w:noProof/>
        </w:rPr>
        <w:t>Dul chun cinn</w:t>
      </w:r>
      <w:r>
        <w:rPr>
          <w:noProof/>
        </w:rPr>
        <w:t>: Aithníodh go raibh seachadadh tráthúil na gcóras náisiúnta i mbaol i dTuarascálacha Bliantúla Chód Custaim an Aontais roimhe seo ar Dhul Chun Cinn. Mar a léirítear i bhFíor </w:t>
      </w:r>
      <w:r w:rsidRPr="0090767E">
        <w:rPr>
          <w:noProof/>
        </w:rPr>
        <w:t>4</w:t>
      </w:r>
      <w:r>
        <w:rPr>
          <w:noProof/>
        </w:rPr>
        <w:t xml:space="preserve">, is é is aidhm d’fhormhór na mBallstát an cur chun feidhme a chur i gcrích faoi dheireadh </w:t>
      </w:r>
      <w:r w:rsidRPr="0090767E">
        <w:rPr>
          <w:noProof/>
        </w:rPr>
        <w:t>2024</w:t>
      </w:r>
      <w:r>
        <w:rPr>
          <w:noProof/>
        </w:rPr>
        <w:t xml:space="preserve"> i bhfianaise an naisc le </w:t>
      </w:r>
      <w:r>
        <w:rPr>
          <w:i/>
          <w:noProof/>
        </w:rPr>
        <w:t>ICS</w:t>
      </w:r>
      <w:r w:rsidRPr="0090767E">
        <w:rPr>
          <w:i/>
          <w:noProof/>
        </w:rPr>
        <w:t>2</w:t>
      </w:r>
      <w:r>
        <w:rPr>
          <w:i/>
          <w:noProof/>
        </w:rPr>
        <w:t xml:space="preserve"> – Eisiúint </w:t>
      </w:r>
      <w:r w:rsidRPr="0090767E">
        <w:rPr>
          <w:i/>
          <w:noProof/>
        </w:rPr>
        <w:t>3</w:t>
      </w:r>
      <w:r>
        <w:rPr>
          <w:noProof/>
        </w:rPr>
        <w:t xml:space="preserve">. </w:t>
      </w:r>
    </w:p>
    <w:p w14:paraId="0F155588" w14:textId="77777777" w:rsidR="009501CB" w:rsidRDefault="00B47593" w:rsidP="009501CB">
      <w:pPr>
        <w:ind w:left="567"/>
        <w:rPr>
          <w:noProof/>
        </w:rPr>
      </w:pPr>
      <w:r>
        <w:rPr>
          <w:noProof/>
        </w:rPr>
        <w:t>Chun tuilleadh sonraí a fháil, féach roinn </w:t>
      </w:r>
      <w:r w:rsidRPr="0090767E">
        <w:rPr>
          <w:noProof/>
        </w:rPr>
        <w:t>3</w:t>
      </w:r>
      <w:r>
        <w:rPr>
          <w:noProof/>
        </w:rPr>
        <w:t>.</w:t>
      </w:r>
      <w:r w:rsidRPr="0090767E">
        <w:rPr>
          <w:noProof/>
        </w:rPr>
        <w:t>1</w:t>
      </w:r>
      <w:r>
        <w:rPr>
          <w:noProof/>
        </w:rPr>
        <w:t>.</w:t>
      </w:r>
      <w:r w:rsidRPr="0090767E">
        <w:rPr>
          <w:noProof/>
        </w:rPr>
        <w:t>2</w:t>
      </w:r>
      <w:r>
        <w:rPr>
          <w:noProof/>
        </w:rPr>
        <w:t xml:space="preserve"> den Doiciméad Inmheánach Oibre de chuid an Choimisiúin a ghabhann leis an tuarascáil seo.</w:t>
      </w:r>
    </w:p>
    <w:p w14:paraId="13284FBF" w14:textId="4AF7230D" w:rsidR="00D02703" w:rsidRPr="009501CB" w:rsidRDefault="00A33633" w:rsidP="009501CB">
      <w:pPr>
        <w:pStyle w:val="ListParagraph"/>
        <w:numPr>
          <w:ilvl w:val="0"/>
          <w:numId w:val="35"/>
        </w:numPr>
        <w:rPr>
          <w:noProof/>
        </w:rPr>
      </w:pPr>
      <w:r>
        <w:rPr>
          <w:b/>
          <w:noProof/>
        </w:rPr>
        <w:t xml:space="preserve">Córais Allmhairiúcháin Náisiúnta Chód Custaim an Aontais – </w:t>
      </w:r>
      <w:r>
        <w:rPr>
          <w:i/>
          <w:noProof/>
        </w:rPr>
        <w:t>NIS</w:t>
      </w:r>
      <w:r>
        <w:rPr>
          <w:noProof/>
        </w:rPr>
        <w:t xml:space="preserve"> (uasghrádú): is é is aidhm dó sin na ceanglais phróisis agus sonraí uile a bhaineann le hallmhairí earraí a chur chun feidhme mar a leagtar amach i gCód Custaim an Aontais.</w:t>
      </w:r>
    </w:p>
    <w:p w14:paraId="3DA76A00" w14:textId="6B43A438" w:rsidR="00391766" w:rsidRPr="004E1DD0" w:rsidRDefault="4F872DF3" w:rsidP="004A0909">
      <w:pPr>
        <w:ind w:left="567"/>
        <w:rPr>
          <w:noProof/>
        </w:rPr>
      </w:pPr>
      <w:r>
        <w:rPr>
          <w:b/>
          <w:noProof/>
        </w:rPr>
        <w:t>Dul chun cinn</w:t>
      </w:r>
      <w:r>
        <w:rPr>
          <w:noProof/>
        </w:rPr>
        <w:t xml:space="preserve">: Thuairiscigh roinnt Ballstát rioscaí maidir le seachadadh tráthúil an tionscadail ó </w:t>
      </w:r>
      <w:r w:rsidRPr="0090767E">
        <w:rPr>
          <w:noProof/>
        </w:rPr>
        <w:t>2022</w:t>
      </w:r>
      <w:r>
        <w:rPr>
          <w:noProof/>
        </w:rPr>
        <w:t>, rud a d’fhág gur deonaíodh maoluithe.  Mar a léirítear i bhFíor </w:t>
      </w:r>
      <w:r w:rsidRPr="0090767E">
        <w:rPr>
          <w:noProof/>
        </w:rPr>
        <w:t>4</w:t>
      </w:r>
      <w:r>
        <w:rPr>
          <w:noProof/>
        </w:rPr>
        <w:t xml:space="preserve">, d’imscar </w:t>
      </w:r>
      <w:r w:rsidRPr="0090767E">
        <w:rPr>
          <w:noProof/>
        </w:rPr>
        <w:t>15</w:t>
      </w:r>
      <w:r>
        <w:rPr>
          <w:noProof/>
        </w:rPr>
        <w:t xml:space="preserve"> Bhallstát an </w:t>
      </w:r>
      <w:r>
        <w:rPr>
          <w:i/>
          <w:noProof/>
        </w:rPr>
        <w:t>t‑uasghrádú ar Chód Custaim an Aontais</w:t>
      </w:r>
      <w:r>
        <w:rPr>
          <w:noProof/>
        </w:rPr>
        <w:t xml:space="preserve">. Mar sin féin, tá an t‑imscaradh déanta ag cúpla Ballstát ach ceanglaíonn siad tuilleadh nuashonraithe (IE, PL agus SK) agus ní mheasann </w:t>
      </w:r>
      <w:r w:rsidRPr="0090767E">
        <w:rPr>
          <w:noProof/>
        </w:rPr>
        <w:t>4</w:t>
      </w:r>
      <w:r>
        <w:rPr>
          <w:noProof/>
        </w:rPr>
        <w:t xml:space="preserve"> cinn eile go mbainfidh siad an cur chun feidhme amach faoi dheireadh </w:t>
      </w:r>
      <w:r w:rsidRPr="0090767E">
        <w:rPr>
          <w:noProof/>
        </w:rPr>
        <w:t>2024</w:t>
      </w:r>
      <w:r>
        <w:rPr>
          <w:noProof/>
        </w:rPr>
        <w:t xml:space="preserve">. </w:t>
      </w:r>
    </w:p>
    <w:p w14:paraId="2DBC8E01" w14:textId="7A698886" w:rsidR="0D619399" w:rsidRPr="004E1DD0" w:rsidRDefault="78039089" w:rsidP="004A0909">
      <w:pPr>
        <w:ind w:left="567"/>
        <w:rPr>
          <w:noProof/>
        </w:rPr>
      </w:pPr>
      <w:r>
        <w:rPr>
          <w:noProof/>
        </w:rPr>
        <w:t>Chun tuilleadh sonraí a fháil, féach roinn </w:t>
      </w:r>
      <w:r w:rsidRPr="0090767E">
        <w:rPr>
          <w:noProof/>
        </w:rPr>
        <w:t>3</w:t>
      </w:r>
      <w:r>
        <w:rPr>
          <w:noProof/>
        </w:rPr>
        <w:t>.</w:t>
      </w:r>
      <w:r w:rsidRPr="0090767E">
        <w:rPr>
          <w:noProof/>
        </w:rPr>
        <w:t>2</w:t>
      </w:r>
      <w:r>
        <w:rPr>
          <w:noProof/>
        </w:rPr>
        <w:t>.</w:t>
      </w:r>
      <w:r w:rsidRPr="0090767E">
        <w:rPr>
          <w:noProof/>
        </w:rPr>
        <w:t>2</w:t>
      </w:r>
      <w:r>
        <w:rPr>
          <w:noProof/>
        </w:rPr>
        <w:t xml:space="preserve"> den Doiciméad Inmheánach Oibre de chuid an Choimisiúin a ghabhann leis an tuarascáil seo.</w:t>
      </w:r>
    </w:p>
    <w:p w14:paraId="1D062831" w14:textId="66872495" w:rsidR="00282B17" w:rsidRPr="009501CB" w:rsidRDefault="00A33633" w:rsidP="009501CB">
      <w:pPr>
        <w:pStyle w:val="ListParagraph"/>
        <w:numPr>
          <w:ilvl w:val="0"/>
          <w:numId w:val="35"/>
        </w:numPr>
        <w:rPr>
          <w:noProof/>
          <w:color w:val="ED7D31" w:themeColor="accent2"/>
        </w:rPr>
      </w:pPr>
      <w:r>
        <w:rPr>
          <w:b/>
          <w:noProof/>
        </w:rPr>
        <w:t xml:space="preserve">Nósanna Imeachta Speisialta Chód Custaim an Aontais </w:t>
      </w:r>
      <w:r>
        <w:rPr>
          <w:noProof/>
        </w:rPr>
        <w:t xml:space="preserve">– </w:t>
      </w:r>
      <w:r>
        <w:rPr>
          <w:i/>
          <w:noProof/>
        </w:rPr>
        <w:t xml:space="preserve">SP </w:t>
      </w:r>
      <w:r>
        <w:rPr>
          <w:noProof/>
        </w:rPr>
        <w:t>(uasghrádú): is é is aidhm dó Nósanna Imeachta Speisialta a chomhchuibhiú (i.e., stórasú custaim, úsáid deiridh, cead isteach sealadach agus próiseáil isteach/amach).</w:t>
      </w:r>
    </w:p>
    <w:p w14:paraId="1D2C4F35" w14:textId="1CFFEC1C" w:rsidR="009C2254" w:rsidRPr="004E1DD0" w:rsidRDefault="4F872DF3" w:rsidP="0D619399">
      <w:pPr>
        <w:ind w:left="567"/>
        <w:rPr>
          <w:noProof/>
        </w:rPr>
      </w:pPr>
      <w:r>
        <w:rPr>
          <w:b/>
          <w:noProof/>
        </w:rPr>
        <w:t xml:space="preserve">Dul chun cinn: </w:t>
      </w:r>
      <w:r>
        <w:rPr>
          <w:noProof/>
        </w:rPr>
        <w:t xml:space="preserve"> Mar a léirítear i bhFíor </w:t>
      </w:r>
      <w:r w:rsidRPr="0090767E">
        <w:rPr>
          <w:noProof/>
        </w:rPr>
        <w:t>4</w:t>
      </w:r>
      <w:r>
        <w:rPr>
          <w:noProof/>
        </w:rPr>
        <w:t xml:space="preserve">, chuir </w:t>
      </w:r>
      <w:r w:rsidRPr="0090767E">
        <w:rPr>
          <w:noProof/>
        </w:rPr>
        <w:t>18</w:t>
      </w:r>
      <w:r>
        <w:rPr>
          <w:noProof/>
        </w:rPr>
        <w:t xml:space="preserve"> mBallstát i gcrích </w:t>
      </w:r>
      <w:r>
        <w:rPr>
          <w:i/>
          <w:noProof/>
        </w:rPr>
        <w:t>Nósanna Imeachta – Comhpháirt </w:t>
      </w:r>
      <w:r w:rsidRPr="0090767E">
        <w:rPr>
          <w:i/>
          <w:noProof/>
        </w:rPr>
        <w:t>2</w:t>
      </w:r>
      <w:r>
        <w:rPr>
          <w:noProof/>
        </w:rPr>
        <w:t xml:space="preserve">. Cuireadh moill ar na Ballstáit eile tar éis an sprioc‑ama, agus níl sé beartaithe ag </w:t>
      </w:r>
      <w:r w:rsidRPr="0090767E">
        <w:rPr>
          <w:noProof/>
        </w:rPr>
        <w:t>4</w:t>
      </w:r>
      <w:r>
        <w:rPr>
          <w:noProof/>
        </w:rPr>
        <w:t xml:space="preserve"> cinn acu an córas a imscaradh faoi dheireadh </w:t>
      </w:r>
      <w:r w:rsidRPr="0090767E">
        <w:rPr>
          <w:noProof/>
        </w:rPr>
        <w:t>2024</w:t>
      </w:r>
      <w:r>
        <w:rPr>
          <w:noProof/>
        </w:rPr>
        <w:t xml:space="preserve">.  </w:t>
      </w:r>
    </w:p>
    <w:p w14:paraId="1E9CCE2B" w14:textId="366CA8FB" w:rsidR="009C2254" w:rsidRPr="004E1DD0" w:rsidRDefault="4F8E3D1A" w:rsidP="0D619399">
      <w:pPr>
        <w:ind w:left="567"/>
        <w:rPr>
          <w:noProof/>
        </w:rPr>
      </w:pPr>
      <w:r>
        <w:rPr>
          <w:noProof/>
        </w:rPr>
        <w:t xml:space="preserve">Maidir le </w:t>
      </w:r>
      <w:r>
        <w:rPr>
          <w:i/>
          <w:noProof/>
        </w:rPr>
        <w:t>Nósanna Imeachta – Comhpháirt </w:t>
      </w:r>
      <w:r w:rsidRPr="0090767E">
        <w:rPr>
          <w:i/>
          <w:noProof/>
        </w:rPr>
        <w:t>1</w:t>
      </w:r>
      <w:r>
        <w:rPr>
          <w:noProof/>
        </w:rPr>
        <w:t xml:space="preserve">, faoin </w:t>
      </w:r>
      <w:r w:rsidRPr="0090767E">
        <w:rPr>
          <w:noProof/>
        </w:rPr>
        <w:t>2</w:t>
      </w:r>
      <w:r>
        <w:rPr>
          <w:noProof/>
        </w:rPr>
        <w:t> Nollaig </w:t>
      </w:r>
      <w:r w:rsidRPr="0090767E">
        <w:rPr>
          <w:noProof/>
        </w:rPr>
        <w:t>2024</w:t>
      </w:r>
      <w:r>
        <w:rPr>
          <w:noProof/>
        </w:rPr>
        <w:t xml:space="preserve"> tá nó beidh an córas imscartha ag formhór na mBallstát, d’ainneoin na n‑idirspleáchas le </w:t>
      </w:r>
      <w:r>
        <w:rPr>
          <w:i/>
          <w:noProof/>
        </w:rPr>
        <w:t>córas AES</w:t>
      </w:r>
      <w:r>
        <w:rPr>
          <w:noProof/>
        </w:rPr>
        <w:t xml:space="preserve">. </w:t>
      </w:r>
    </w:p>
    <w:p w14:paraId="10D92C13" w14:textId="767C90FE" w:rsidR="00E775AC" w:rsidRPr="004E1DD0" w:rsidRDefault="4F8E3D1A" w:rsidP="00E775AC">
      <w:pPr>
        <w:ind w:left="567"/>
        <w:rPr>
          <w:noProof/>
        </w:rPr>
      </w:pPr>
      <w:r>
        <w:rPr>
          <w:noProof/>
        </w:rPr>
        <w:t>Chun tuilleadh sonraí a fháil, féach roinn </w:t>
      </w:r>
      <w:r w:rsidRPr="0090767E">
        <w:rPr>
          <w:noProof/>
        </w:rPr>
        <w:t>3</w:t>
      </w:r>
      <w:r>
        <w:rPr>
          <w:noProof/>
        </w:rPr>
        <w:t>.</w:t>
      </w:r>
      <w:r w:rsidRPr="0090767E">
        <w:rPr>
          <w:noProof/>
        </w:rPr>
        <w:t>3</w:t>
      </w:r>
      <w:r>
        <w:rPr>
          <w:noProof/>
        </w:rPr>
        <w:t>.</w:t>
      </w:r>
      <w:r w:rsidRPr="0090767E">
        <w:rPr>
          <w:noProof/>
        </w:rPr>
        <w:t>2</w:t>
      </w:r>
      <w:r>
        <w:rPr>
          <w:noProof/>
        </w:rPr>
        <w:t xml:space="preserve"> agus roinn </w:t>
      </w:r>
      <w:r w:rsidRPr="0090767E">
        <w:rPr>
          <w:noProof/>
        </w:rPr>
        <w:t>3</w:t>
      </w:r>
      <w:r>
        <w:rPr>
          <w:noProof/>
        </w:rPr>
        <w:t>.</w:t>
      </w:r>
      <w:r w:rsidRPr="0090767E">
        <w:rPr>
          <w:noProof/>
        </w:rPr>
        <w:t>4</w:t>
      </w:r>
      <w:r>
        <w:rPr>
          <w:noProof/>
        </w:rPr>
        <w:t>.</w:t>
      </w:r>
      <w:r w:rsidRPr="0090767E">
        <w:rPr>
          <w:noProof/>
        </w:rPr>
        <w:t>2</w:t>
      </w:r>
      <w:r>
        <w:rPr>
          <w:noProof/>
        </w:rPr>
        <w:t xml:space="preserve"> den Doiciméad Inmheánach Oibre de chuid an Choimisiúin a ghabhann leis an tuarascáil seo.</w:t>
      </w:r>
    </w:p>
    <w:p w14:paraId="31D40219" w14:textId="77777777" w:rsidR="006C7EE0" w:rsidRPr="004E1DD0" w:rsidRDefault="006C7EE0" w:rsidP="00E775AC">
      <w:pPr>
        <w:ind w:left="567"/>
        <w:rPr>
          <w:noProof/>
          <w:lang w:val="en-IE"/>
        </w:rPr>
      </w:pPr>
    </w:p>
    <w:p w14:paraId="364BF5F0" w14:textId="77777777" w:rsidR="006C7EE0" w:rsidRPr="004E1DD0" w:rsidRDefault="006C7EE0" w:rsidP="009613C7">
      <w:pPr>
        <w:rPr>
          <w:noProof/>
          <w:lang w:val="en-IE"/>
        </w:rPr>
      </w:pPr>
    </w:p>
    <w:p w14:paraId="37D070B2" w14:textId="77777777" w:rsidR="006C7EE0" w:rsidRPr="004E1DD0" w:rsidRDefault="006C7EE0" w:rsidP="00E775AC">
      <w:pPr>
        <w:ind w:left="567"/>
        <w:rPr>
          <w:noProof/>
          <w:lang w:val="en-IE"/>
        </w:rPr>
      </w:pPr>
    </w:p>
    <w:p w14:paraId="197BBE46" w14:textId="4C810E83" w:rsidR="003C103F" w:rsidRDefault="003C103F">
      <w:pPr>
        <w:spacing w:after="160" w:line="259" w:lineRule="auto"/>
        <w:jc w:val="left"/>
        <w:rPr>
          <w:noProof/>
        </w:rPr>
      </w:pPr>
      <w:r>
        <w:rPr>
          <w:noProof/>
        </w:rPr>
        <w:br w:type="page"/>
      </w:r>
    </w:p>
    <w:tbl>
      <w:tblPr>
        <w:tblW w:w="0" w:type="auto"/>
        <w:tblLayout w:type="fixed"/>
        <w:tblLook w:val="04A0" w:firstRow="1" w:lastRow="0" w:firstColumn="1" w:lastColumn="0" w:noHBand="0" w:noVBand="1"/>
      </w:tblPr>
      <w:tblGrid>
        <w:gridCol w:w="1285"/>
        <w:gridCol w:w="1554"/>
        <w:gridCol w:w="1554"/>
        <w:gridCol w:w="1556"/>
        <w:gridCol w:w="1554"/>
        <w:gridCol w:w="1556"/>
      </w:tblGrid>
      <w:tr w:rsidR="0D619399" w:rsidRPr="004E1DD0" w14:paraId="58B63777" w14:textId="77777777" w:rsidTr="00F32997">
        <w:trPr>
          <w:trHeight w:val="264"/>
        </w:trPr>
        <w:tc>
          <w:tcPr>
            <w:tcW w:w="1285" w:type="dxa"/>
            <w:tcBorders>
              <w:top w:val="nil"/>
              <w:left w:val="nil"/>
              <w:bottom w:val="single" w:sz="8" w:space="0" w:color="auto"/>
              <w:right w:val="nil"/>
            </w:tcBorders>
            <w:tcMar>
              <w:left w:w="70" w:type="dxa"/>
              <w:right w:w="70" w:type="dxa"/>
            </w:tcMar>
            <w:vAlign w:val="center"/>
          </w:tcPr>
          <w:p w14:paraId="1A131089" w14:textId="26C71E55" w:rsidR="0D619399" w:rsidRPr="004E1DD0" w:rsidRDefault="0D619399">
            <w:pPr>
              <w:rPr>
                <w:noProof/>
                <w:lang w:val="en-IE"/>
              </w:rPr>
            </w:pPr>
          </w:p>
        </w:tc>
        <w:tc>
          <w:tcPr>
            <w:tcW w:w="1554" w:type="dxa"/>
            <w:tcBorders>
              <w:top w:val="single" w:sz="8" w:space="0" w:color="auto"/>
              <w:left w:val="single" w:sz="8" w:space="0" w:color="auto"/>
              <w:bottom w:val="single" w:sz="8" w:space="0" w:color="FFFFFF" w:themeColor="background1"/>
              <w:right w:val="nil"/>
            </w:tcBorders>
            <w:shd w:val="clear" w:color="auto" w:fill="034EA2"/>
            <w:tcMar>
              <w:left w:w="70" w:type="dxa"/>
              <w:right w:w="70" w:type="dxa"/>
            </w:tcMar>
            <w:vAlign w:val="bottom"/>
          </w:tcPr>
          <w:p w14:paraId="5EA80E34" w14:textId="121FD9D1" w:rsidR="0D619399" w:rsidRPr="004E1DD0" w:rsidRDefault="0D619399" w:rsidP="0D619399">
            <w:pPr>
              <w:spacing w:after="0"/>
              <w:jc w:val="center"/>
              <w:rPr>
                <w:noProof/>
              </w:rPr>
            </w:pPr>
            <w:r>
              <w:rPr>
                <w:b/>
                <w:noProof/>
                <w:color w:val="FFFFFF" w:themeColor="background1"/>
                <w:sz w:val="20"/>
              </w:rPr>
              <w:t>AN</w:t>
            </w:r>
          </w:p>
        </w:tc>
        <w:tc>
          <w:tcPr>
            <w:tcW w:w="1554" w:type="dxa"/>
            <w:tcBorders>
              <w:top w:val="single" w:sz="8" w:space="0" w:color="auto"/>
              <w:left w:val="single" w:sz="8" w:space="0" w:color="FFFFFF" w:themeColor="background1"/>
              <w:bottom w:val="single" w:sz="8" w:space="0" w:color="FFFFFF" w:themeColor="background1"/>
              <w:right w:val="nil"/>
            </w:tcBorders>
            <w:shd w:val="clear" w:color="auto" w:fill="034EA2"/>
            <w:tcMar>
              <w:left w:w="70" w:type="dxa"/>
              <w:right w:w="70" w:type="dxa"/>
            </w:tcMar>
            <w:vAlign w:val="bottom"/>
          </w:tcPr>
          <w:p w14:paraId="2A562A60" w14:textId="43999C59" w:rsidR="0D619399" w:rsidRPr="004E1DD0" w:rsidRDefault="0D619399" w:rsidP="0D619399">
            <w:pPr>
              <w:spacing w:after="0"/>
              <w:jc w:val="center"/>
              <w:rPr>
                <w:noProof/>
              </w:rPr>
            </w:pPr>
            <w:r>
              <w:rPr>
                <w:b/>
                <w:noProof/>
                <w:color w:val="FFFFFF" w:themeColor="background1"/>
                <w:sz w:val="20"/>
              </w:rPr>
              <w:t>PN</w:t>
            </w:r>
          </w:p>
        </w:tc>
        <w:tc>
          <w:tcPr>
            <w:tcW w:w="1556"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34EA2"/>
            <w:tcMar>
              <w:left w:w="70" w:type="dxa"/>
              <w:right w:w="70" w:type="dxa"/>
            </w:tcMar>
            <w:vAlign w:val="bottom"/>
          </w:tcPr>
          <w:p w14:paraId="487CF4B2" w14:textId="1D339970" w:rsidR="0D619399" w:rsidRPr="004E1DD0" w:rsidRDefault="0D619399" w:rsidP="0D619399">
            <w:pPr>
              <w:spacing w:after="0"/>
              <w:jc w:val="center"/>
              <w:rPr>
                <w:noProof/>
              </w:rPr>
            </w:pPr>
            <w:r>
              <w:rPr>
                <w:b/>
                <w:noProof/>
                <w:color w:val="FFFFFF" w:themeColor="background1"/>
                <w:sz w:val="20"/>
              </w:rPr>
              <w:t>TS</w:t>
            </w:r>
          </w:p>
        </w:tc>
        <w:tc>
          <w:tcPr>
            <w:tcW w:w="1554"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34EA2"/>
            <w:tcMar>
              <w:left w:w="70" w:type="dxa"/>
              <w:right w:w="70" w:type="dxa"/>
            </w:tcMar>
            <w:vAlign w:val="bottom"/>
          </w:tcPr>
          <w:p w14:paraId="3BEA76F5" w14:textId="36839E39" w:rsidR="0D619399" w:rsidRPr="004E1DD0" w:rsidRDefault="0D619399" w:rsidP="0D619399">
            <w:pPr>
              <w:spacing w:after="0"/>
              <w:jc w:val="center"/>
              <w:rPr>
                <w:noProof/>
              </w:rPr>
            </w:pPr>
            <w:r>
              <w:rPr>
                <w:b/>
                <w:noProof/>
                <w:color w:val="FFFFFF" w:themeColor="background1"/>
                <w:sz w:val="20"/>
              </w:rPr>
              <w:t>Córas Allmhairiúcháin Náisiúnta</w:t>
            </w:r>
          </w:p>
        </w:tc>
        <w:tc>
          <w:tcPr>
            <w:tcW w:w="1556"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34EA2"/>
            <w:tcMar>
              <w:left w:w="70" w:type="dxa"/>
              <w:right w:w="70" w:type="dxa"/>
            </w:tcMar>
            <w:vAlign w:val="bottom"/>
          </w:tcPr>
          <w:p w14:paraId="59544613" w14:textId="24C45E22" w:rsidR="0D619399" w:rsidRPr="004E1DD0" w:rsidRDefault="0D619399" w:rsidP="0D619399">
            <w:pPr>
              <w:spacing w:after="0"/>
              <w:jc w:val="center"/>
              <w:rPr>
                <w:noProof/>
              </w:rPr>
            </w:pPr>
            <w:r>
              <w:rPr>
                <w:b/>
                <w:noProof/>
                <w:color w:val="FFFFFF" w:themeColor="background1"/>
                <w:sz w:val="20"/>
              </w:rPr>
              <w:t>IMP Nósanna Imeachta Speisialta</w:t>
            </w:r>
          </w:p>
        </w:tc>
      </w:tr>
      <w:tr w:rsidR="0D619399" w:rsidRPr="004E1DD0" w14:paraId="22823667" w14:textId="77777777" w:rsidTr="54AD8F9A">
        <w:trPr>
          <w:trHeight w:val="570"/>
        </w:trPr>
        <w:tc>
          <w:tcPr>
            <w:tcW w:w="1285" w:type="dxa"/>
            <w:tcBorders>
              <w:top w:val="single" w:sz="8" w:space="0" w:color="auto"/>
              <w:left w:val="single" w:sz="8" w:space="0" w:color="auto"/>
              <w:bottom w:val="single" w:sz="8" w:space="0" w:color="auto"/>
              <w:right w:val="single" w:sz="8" w:space="0" w:color="FFFFFF" w:themeColor="background1"/>
            </w:tcBorders>
            <w:shd w:val="clear" w:color="auto" w:fill="F2F2F2" w:themeFill="background1" w:themeFillShade="F2"/>
            <w:tcMar>
              <w:left w:w="70" w:type="dxa"/>
              <w:right w:w="70" w:type="dxa"/>
            </w:tcMar>
            <w:vAlign w:val="center"/>
          </w:tcPr>
          <w:p w14:paraId="7565DF50" w14:textId="11898D59" w:rsidR="0D619399" w:rsidRPr="004E1DD0" w:rsidRDefault="0D619399" w:rsidP="0D619399">
            <w:pPr>
              <w:spacing w:after="0"/>
              <w:jc w:val="center"/>
              <w:rPr>
                <w:noProof/>
              </w:rPr>
            </w:pPr>
            <w:r>
              <w:rPr>
                <w:b/>
                <w:noProof/>
                <w:color w:val="000000" w:themeColor="text1"/>
                <w:sz w:val="20"/>
              </w:rPr>
              <w:t>Sprioc‑am Chlár Oibre Chód Custaim an Aontais</w:t>
            </w:r>
          </w:p>
        </w:tc>
        <w:tc>
          <w:tcPr>
            <w:tcW w:w="4664" w:type="dxa"/>
            <w:gridSpan w:val="3"/>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2F2F2" w:themeFill="background1" w:themeFillShade="F2"/>
            <w:tcMar>
              <w:left w:w="70" w:type="dxa"/>
              <w:right w:w="70" w:type="dxa"/>
            </w:tcMar>
            <w:vAlign w:val="center"/>
          </w:tcPr>
          <w:p w14:paraId="3A9F5667" w14:textId="2111BA14" w:rsidR="0D619399" w:rsidRPr="004E1DD0" w:rsidRDefault="495213EA" w:rsidP="54AD8F9A">
            <w:pPr>
              <w:spacing w:after="0"/>
              <w:jc w:val="center"/>
              <w:rPr>
                <w:rStyle w:val="Hyperlink"/>
                <w:noProof/>
                <w:color w:val="000000" w:themeColor="text1"/>
                <w:sz w:val="20"/>
                <w:szCs w:val="20"/>
                <w:vertAlign w:val="superscript"/>
              </w:rPr>
            </w:pPr>
            <w:r w:rsidRPr="0090767E">
              <w:rPr>
                <w:noProof/>
                <w:color w:val="000000" w:themeColor="text1"/>
                <w:sz w:val="18"/>
              </w:rPr>
              <w:t>31</w:t>
            </w:r>
            <w:r>
              <w:rPr>
                <w:noProof/>
                <w:color w:val="000000" w:themeColor="text1"/>
                <w:sz w:val="18"/>
              </w:rPr>
              <w:t>/</w:t>
            </w:r>
            <w:r w:rsidRPr="0090767E">
              <w:rPr>
                <w:noProof/>
                <w:color w:val="000000" w:themeColor="text1"/>
                <w:sz w:val="18"/>
              </w:rPr>
              <w:t>12</w:t>
            </w:r>
            <w:r>
              <w:rPr>
                <w:noProof/>
                <w:color w:val="000000" w:themeColor="text1"/>
                <w:sz w:val="18"/>
              </w:rPr>
              <w:t>/</w:t>
            </w:r>
            <w:r w:rsidRPr="0090767E">
              <w:rPr>
                <w:noProof/>
                <w:color w:val="000000" w:themeColor="text1"/>
                <w:sz w:val="18"/>
              </w:rPr>
              <w:t>2022</w:t>
            </w:r>
            <w:r>
              <w:rPr>
                <w:noProof/>
              </w:rPr>
              <w:t xml:space="preserve"> </w:t>
            </w:r>
            <w:r>
              <w:rPr>
                <w:noProof/>
              </w:rPr>
              <w:br/>
            </w:r>
            <w:r>
              <w:rPr>
                <w:noProof/>
                <w:color w:val="000000" w:themeColor="text1"/>
                <w:sz w:val="18"/>
              </w:rPr>
              <w:t xml:space="preserve"> le síneadh go dtí </w:t>
            </w:r>
            <w:r w:rsidRPr="0090767E">
              <w:rPr>
                <w:noProof/>
                <w:color w:val="000000" w:themeColor="text1"/>
                <w:sz w:val="18"/>
              </w:rPr>
              <w:t>31</w:t>
            </w:r>
            <w:r>
              <w:rPr>
                <w:noProof/>
                <w:color w:val="000000" w:themeColor="text1"/>
                <w:sz w:val="18"/>
              </w:rPr>
              <w:t>/</w:t>
            </w:r>
            <w:r w:rsidRPr="0090767E">
              <w:rPr>
                <w:noProof/>
                <w:color w:val="000000" w:themeColor="text1"/>
                <w:sz w:val="18"/>
              </w:rPr>
              <w:t>12</w:t>
            </w:r>
            <w:r>
              <w:rPr>
                <w:noProof/>
                <w:color w:val="000000" w:themeColor="text1"/>
                <w:sz w:val="18"/>
              </w:rPr>
              <w:t>/</w:t>
            </w:r>
            <w:r w:rsidRPr="0090767E">
              <w:rPr>
                <w:noProof/>
                <w:color w:val="000000" w:themeColor="text1"/>
                <w:sz w:val="18"/>
              </w:rPr>
              <w:t>2023</w:t>
            </w:r>
            <w:hyperlink r:id="rId21" w:anchor="_ftn1">
              <w:r>
                <w:rPr>
                  <w:rStyle w:val="Hyperlink"/>
                  <w:noProof/>
                  <w:color w:val="000000" w:themeColor="text1"/>
                  <w:sz w:val="20"/>
                  <w:vertAlign w:val="superscript"/>
                </w:rPr>
                <w:t>[</w:t>
              </w:r>
              <w:r w:rsidRPr="0090767E">
                <w:rPr>
                  <w:rStyle w:val="Hyperlink"/>
                  <w:noProof/>
                  <w:color w:val="000000" w:themeColor="text1"/>
                  <w:sz w:val="20"/>
                  <w:vertAlign w:val="superscript"/>
                </w:rPr>
                <w:t>1</w:t>
              </w:r>
              <w:r>
                <w:rPr>
                  <w:rStyle w:val="Hyperlink"/>
                  <w:noProof/>
                  <w:color w:val="000000" w:themeColor="text1"/>
                  <w:sz w:val="20"/>
                  <w:vertAlign w:val="superscript"/>
                </w:rPr>
                <w:t>]</w:t>
              </w:r>
            </w:hyperlink>
          </w:p>
        </w:tc>
        <w:tc>
          <w:tcPr>
            <w:tcW w:w="3110" w:type="dxa"/>
            <w:gridSpan w:val="2"/>
            <w:tcBorders>
              <w:top w:val="single" w:sz="8" w:space="0" w:color="FFFFFF" w:themeColor="background1"/>
              <w:left w:val="nil"/>
              <w:bottom w:val="single" w:sz="8" w:space="0" w:color="auto"/>
              <w:right w:val="single" w:sz="8" w:space="0" w:color="000000" w:themeColor="text1"/>
            </w:tcBorders>
            <w:shd w:val="clear" w:color="auto" w:fill="F2F2F2" w:themeFill="background1" w:themeFillShade="F2"/>
            <w:tcMar>
              <w:left w:w="70" w:type="dxa"/>
              <w:right w:w="70" w:type="dxa"/>
            </w:tcMar>
            <w:vAlign w:val="center"/>
          </w:tcPr>
          <w:p w14:paraId="31DB4614" w14:textId="152B3F42" w:rsidR="0D619399" w:rsidRPr="004E1DD0" w:rsidRDefault="0D619399" w:rsidP="0D619399">
            <w:pPr>
              <w:spacing w:after="0"/>
              <w:jc w:val="center"/>
              <w:rPr>
                <w:noProof/>
              </w:rPr>
            </w:pPr>
            <w:r w:rsidRPr="0090767E">
              <w:rPr>
                <w:noProof/>
                <w:color w:val="000000" w:themeColor="text1"/>
                <w:sz w:val="18"/>
              </w:rPr>
              <w:t>31</w:t>
            </w:r>
            <w:r>
              <w:rPr>
                <w:noProof/>
                <w:color w:val="000000" w:themeColor="text1"/>
                <w:sz w:val="18"/>
              </w:rPr>
              <w:t>/</w:t>
            </w:r>
            <w:r w:rsidRPr="0090767E">
              <w:rPr>
                <w:noProof/>
                <w:color w:val="000000" w:themeColor="text1"/>
                <w:sz w:val="18"/>
              </w:rPr>
              <w:t>12</w:t>
            </w:r>
            <w:r>
              <w:rPr>
                <w:noProof/>
                <w:color w:val="000000" w:themeColor="text1"/>
                <w:sz w:val="18"/>
              </w:rPr>
              <w:t>/</w:t>
            </w:r>
            <w:r w:rsidRPr="0090767E">
              <w:rPr>
                <w:noProof/>
                <w:color w:val="000000" w:themeColor="text1"/>
                <w:sz w:val="18"/>
              </w:rPr>
              <w:t>2022</w:t>
            </w:r>
            <w:r>
              <w:rPr>
                <w:noProof/>
                <w:color w:val="000000" w:themeColor="text1"/>
                <w:sz w:val="18"/>
              </w:rPr>
              <w:t xml:space="preserve"> </w:t>
            </w:r>
            <w:r>
              <w:rPr>
                <w:noProof/>
              </w:rPr>
              <w:br/>
            </w:r>
            <w:r>
              <w:rPr>
                <w:noProof/>
                <w:color w:val="000000" w:themeColor="text1"/>
                <w:sz w:val="18"/>
              </w:rPr>
              <w:t xml:space="preserve">le síneadh go dtí </w:t>
            </w:r>
            <w:r w:rsidRPr="0090767E">
              <w:rPr>
                <w:noProof/>
                <w:color w:val="000000" w:themeColor="text1"/>
                <w:sz w:val="18"/>
              </w:rPr>
              <w:t>31</w:t>
            </w:r>
            <w:r>
              <w:rPr>
                <w:noProof/>
                <w:color w:val="000000" w:themeColor="text1"/>
                <w:sz w:val="18"/>
              </w:rPr>
              <w:t>/</w:t>
            </w:r>
            <w:r w:rsidRPr="0090767E">
              <w:rPr>
                <w:noProof/>
                <w:color w:val="000000" w:themeColor="text1"/>
                <w:sz w:val="18"/>
              </w:rPr>
              <w:t>12</w:t>
            </w:r>
            <w:r>
              <w:rPr>
                <w:noProof/>
                <w:color w:val="000000" w:themeColor="text1"/>
                <w:sz w:val="18"/>
              </w:rPr>
              <w:t>/</w:t>
            </w:r>
            <w:r w:rsidRPr="0090767E">
              <w:rPr>
                <w:noProof/>
                <w:color w:val="000000" w:themeColor="text1"/>
                <w:sz w:val="18"/>
              </w:rPr>
              <w:t>2023</w:t>
            </w:r>
            <w:hyperlink r:id="rId22" w:anchor="_ftn2">
              <w:r>
                <w:rPr>
                  <w:rStyle w:val="Hyperlink"/>
                  <w:noProof/>
                  <w:color w:val="000000" w:themeColor="text1"/>
                  <w:sz w:val="20"/>
                  <w:vertAlign w:val="superscript"/>
                </w:rPr>
                <w:t>[</w:t>
              </w:r>
              <w:r w:rsidRPr="0090767E">
                <w:rPr>
                  <w:rStyle w:val="Hyperlink"/>
                  <w:noProof/>
                  <w:color w:val="000000" w:themeColor="text1"/>
                  <w:sz w:val="20"/>
                  <w:vertAlign w:val="superscript"/>
                </w:rPr>
                <w:t>2</w:t>
              </w:r>
              <w:r>
                <w:rPr>
                  <w:rStyle w:val="Hyperlink"/>
                  <w:noProof/>
                  <w:color w:val="000000" w:themeColor="text1"/>
                  <w:sz w:val="20"/>
                  <w:vertAlign w:val="superscript"/>
                </w:rPr>
                <w:t>]</w:t>
              </w:r>
            </w:hyperlink>
          </w:p>
        </w:tc>
      </w:tr>
      <w:tr w:rsidR="0D619399" w:rsidRPr="004E1DD0" w14:paraId="4D07AB6E" w14:textId="77777777" w:rsidTr="00F32997">
        <w:trPr>
          <w:trHeight w:val="272"/>
        </w:trPr>
        <w:tc>
          <w:tcPr>
            <w:tcW w:w="1285" w:type="dxa"/>
            <w:tcBorders>
              <w:top w:val="single" w:sz="8" w:space="0" w:color="auto"/>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062BE172" w14:textId="45DC4273" w:rsidR="0D619399" w:rsidRPr="004E1DD0" w:rsidRDefault="0D619399" w:rsidP="0D619399">
            <w:pPr>
              <w:spacing w:after="0"/>
              <w:jc w:val="center"/>
              <w:rPr>
                <w:noProof/>
              </w:rPr>
            </w:pPr>
            <w:r>
              <w:rPr>
                <w:b/>
                <w:noProof/>
                <w:color w:val="000000" w:themeColor="text1"/>
                <w:sz w:val="20"/>
              </w:rPr>
              <w:t>AT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70" w:type="dxa"/>
              <w:right w:w="70" w:type="dxa"/>
            </w:tcMar>
            <w:vAlign w:val="center"/>
          </w:tcPr>
          <w:p w14:paraId="112D60E7" w14:textId="0EBCCCE4" w:rsidR="0D619399" w:rsidRPr="004E1DD0" w:rsidRDefault="37B7B20B" w:rsidP="00F32997">
            <w:pPr>
              <w:spacing w:after="0"/>
              <w:jc w:val="center"/>
              <w:rPr>
                <w:noProof/>
                <w:color w:val="000000" w:themeColor="text1"/>
                <w:sz w:val="20"/>
                <w:szCs w:val="20"/>
              </w:rPr>
            </w:pPr>
            <w:r w:rsidRPr="0090767E">
              <w:rPr>
                <w:noProof/>
                <w:color w:val="000000" w:themeColor="text1"/>
                <w:sz w:val="20"/>
              </w:rPr>
              <w:t>01</w:t>
            </w:r>
            <w:r>
              <w:rPr>
                <w:noProof/>
                <w:color w:val="000000" w:themeColor="text1"/>
                <w:sz w:val="20"/>
              </w:rPr>
              <w:t>/</w:t>
            </w:r>
            <w:r w:rsidRPr="0090767E">
              <w:rPr>
                <w:noProof/>
                <w:color w:val="000000" w:themeColor="text1"/>
                <w:sz w:val="20"/>
              </w:rPr>
              <w:t>07</w:t>
            </w:r>
            <w:r>
              <w:rPr>
                <w:noProof/>
                <w:color w:val="000000" w:themeColor="text1"/>
                <w:sz w:val="20"/>
              </w:rPr>
              <w:t>/</w:t>
            </w:r>
            <w:r w:rsidRPr="0090767E">
              <w:rPr>
                <w:noProof/>
                <w:color w:val="000000" w:themeColor="text1"/>
                <w:sz w:val="20"/>
              </w:rPr>
              <w:t>2023</w:t>
            </w:r>
          </w:p>
        </w:tc>
        <w:tc>
          <w:tcPr>
            <w:tcW w:w="1554" w:type="dxa"/>
            <w:tcBorders>
              <w:top w:val="nil"/>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9AD831E" w14:textId="585BA9A5"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06</w:t>
            </w:r>
            <w:r>
              <w:rPr>
                <w:noProof/>
                <w:color w:val="375623"/>
                <w:sz w:val="20"/>
              </w:rPr>
              <w:t>/</w:t>
            </w:r>
            <w:r w:rsidRPr="0090767E">
              <w:rPr>
                <w:noProof/>
                <w:color w:val="375623"/>
                <w:sz w:val="20"/>
              </w:rPr>
              <w:t>2023</w:t>
            </w:r>
          </w:p>
        </w:tc>
        <w:tc>
          <w:tcPr>
            <w:tcW w:w="1556" w:type="dxa"/>
            <w:tcBorders>
              <w:top w:val="nil"/>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0AE0F61A" w14:textId="12C7DBB8" w:rsidR="0D619399" w:rsidRPr="004E1DD0" w:rsidRDefault="0D5E1D11" w:rsidP="54AD8F9A">
            <w:pPr>
              <w:spacing w:after="0"/>
              <w:jc w:val="center"/>
              <w:rPr>
                <w:b/>
                <w:bCs/>
                <w:noProof/>
                <w:color w:val="C00000"/>
                <w:sz w:val="20"/>
                <w:szCs w:val="20"/>
              </w:rPr>
            </w:pPr>
            <w:r w:rsidRPr="0090767E">
              <w:rPr>
                <w:b/>
                <w:noProof/>
                <w:color w:val="C00000"/>
                <w:sz w:val="20"/>
              </w:rPr>
              <w:t>02</w:t>
            </w:r>
            <w:r>
              <w:rPr>
                <w:b/>
                <w:noProof/>
                <w:color w:val="C00000"/>
                <w:sz w:val="20"/>
              </w:rPr>
              <w:t>/</w:t>
            </w:r>
            <w:r w:rsidRPr="0090767E">
              <w:rPr>
                <w:b/>
                <w:noProof/>
                <w:color w:val="C00000"/>
                <w:sz w:val="20"/>
              </w:rPr>
              <w:t>06</w:t>
            </w:r>
            <w:r>
              <w:rPr>
                <w:b/>
                <w:noProof/>
                <w:color w:val="C00000"/>
                <w:sz w:val="20"/>
              </w:rPr>
              <w:t>/</w:t>
            </w:r>
            <w:r w:rsidRPr="0090767E">
              <w:rPr>
                <w:b/>
                <w:noProof/>
                <w:color w:val="C00000"/>
                <w:sz w:val="20"/>
              </w:rPr>
              <w:t>2025</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0B069802" w14:textId="20E1CBF5" w:rsidR="0D619399" w:rsidRPr="004E1DD0" w:rsidRDefault="0D619399" w:rsidP="02BB932C">
            <w:pPr>
              <w:spacing w:after="0"/>
              <w:jc w:val="center"/>
              <w:rPr>
                <w:b/>
                <w:bCs/>
                <w:noProof/>
                <w:color w:val="C00000"/>
                <w:sz w:val="20"/>
                <w:szCs w:val="20"/>
              </w:rPr>
            </w:pPr>
            <w:r w:rsidRPr="0090767E">
              <w:rPr>
                <w:b/>
                <w:noProof/>
                <w:color w:val="C00000"/>
                <w:sz w:val="20"/>
              </w:rPr>
              <w:t>01</w:t>
            </w:r>
            <w:r>
              <w:rPr>
                <w:b/>
                <w:noProof/>
                <w:color w:val="C00000"/>
                <w:sz w:val="20"/>
              </w:rPr>
              <w:t>/</w:t>
            </w:r>
            <w:r w:rsidRPr="0090767E">
              <w:rPr>
                <w:b/>
                <w:noProof/>
                <w:color w:val="C00000"/>
                <w:sz w:val="20"/>
              </w:rPr>
              <w:t>04</w:t>
            </w:r>
            <w:r>
              <w:rPr>
                <w:b/>
                <w:noProof/>
                <w:color w:val="C00000"/>
                <w:sz w:val="20"/>
              </w:rPr>
              <w:t>/</w:t>
            </w:r>
            <w:r w:rsidRPr="0090767E">
              <w:rPr>
                <w:b/>
                <w:noProof/>
                <w:color w:val="C00000"/>
                <w:sz w:val="20"/>
              </w:rPr>
              <w:t>2025</w:t>
            </w:r>
          </w:p>
        </w:tc>
        <w:tc>
          <w:tcPr>
            <w:tcW w:w="1556" w:type="dxa"/>
            <w:tcBorders>
              <w:top w:val="nil"/>
              <w:left w:val="single" w:sz="8" w:space="0" w:color="FFFFFF" w:themeColor="background1"/>
              <w:bottom w:val="single" w:sz="8" w:space="0" w:color="FFFFFF" w:themeColor="background1"/>
              <w:right w:val="single" w:sz="8" w:space="0" w:color="000000" w:themeColor="text1"/>
            </w:tcBorders>
            <w:shd w:val="clear" w:color="auto" w:fill="FFCCCC"/>
            <w:tcMar>
              <w:left w:w="70" w:type="dxa"/>
              <w:right w:w="70" w:type="dxa"/>
            </w:tcMar>
            <w:vAlign w:val="center"/>
          </w:tcPr>
          <w:p w14:paraId="3A0C850B" w14:textId="11B606AD" w:rsidR="0D619399" w:rsidRPr="004E1DD0" w:rsidRDefault="0D619399" w:rsidP="02BB932C">
            <w:pPr>
              <w:spacing w:after="0"/>
              <w:jc w:val="center"/>
              <w:rPr>
                <w:b/>
                <w:bCs/>
                <w:noProof/>
                <w:color w:val="C00000"/>
                <w:sz w:val="20"/>
                <w:szCs w:val="20"/>
              </w:rPr>
            </w:pPr>
            <w:r w:rsidRPr="0090767E">
              <w:rPr>
                <w:b/>
                <w:noProof/>
                <w:color w:val="C00000"/>
                <w:sz w:val="20"/>
              </w:rPr>
              <w:t>01</w:t>
            </w:r>
            <w:r>
              <w:rPr>
                <w:b/>
                <w:noProof/>
                <w:color w:val="C00000"/>
                <w:sz w:val="20"/>
              </w:rPr>
              <w:t>/</w:t>
            </w:r>
            <w:r w:rsidRPr="0090767E">
              <w:rPr>
                <w:b/>
                <w:noProof/>
                <w:color w:val="C00000"/>
                <w:sz w:val="20"/>
              </w:rPr>
              <w:t>04</w:t>
            </w:r>
            <w:r>
              <w:rPr>
                <w:b/>
                <w:noProof/>
                <w:color w:val="C00000"/>
                <w:sz w:val="20"/>
              </w:rPr>
              <w:t>/</w:t>
            </w:r>
            <w:r w:rsidRPr="0090767E">
              <w:rPr>
                <w:b/>
                <w:noProof/>
                <w:color w:val="C00000"/>
                <w:sz w:val="20"/>
              </w:rPr>
              <w:t>2025</w:t>
            </w:r>
          </w:p>
        </w:tc>
      </w:tr>
      <w:tr w:rsidR="0D619399" w:rsidRPr="004E1DD0" w14:paraId="09C1A2CD"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7A087225" w14:textId="67A92EB4" w:rsidR="0D619399" w:rsidRPr="004E1DD0" w:rsidRDefault="0D619399" w:rsidP="0D619399">
            <w:pPr>
              <w:spacing w:after="0"/>
              <w:jc w:val="center"/>
              <w:rPr>
                <w:noProof/>
              </w:rPr>
            </w:pPr>
            <w:r>
              <w:rPr>
                <w:b/>
                <w:noProof/>
                <w:color w:val="000000" w:themeColor="text1"/>
                <w:sz w:val="20"/>
              </w:rPr>
              <w:t>BE</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7FF6F40" w14:textId="627543E7" w:rsidR="0D619399" w:rsidRPr="004E1DD0" w:rsidRDefault="0D619399" w:rsidP="0D619399">
            <w:pPr>
              <w:spacing w:after="0"/>
              <w:jc w:val="center"/>
              <w:rPr>
                <w:noProof/>
              </w:rPr>
            </w:pPr>
            <w:r w:rsidRPr="0090767E">
              <w:rPr>
                <w:noProof/>
                <w:color w:val="375623"/>
                <w:sz w:val="20"/>
              </w:rPr>
              <w:t>30</w:t>
            </w:r>
            <w:r>
              <w:rPr>
                <w:noProof/>
                <w:color w:val="375623"/>
                <w:sz w:val="20"/>
              </w:rPr>
              <w:t>/</w:t>
            </w:r>
            <w:r w:rsidRPr="0090767E">
              <w:rPr>
                <w:noProof/>
                <w:color w:val="375623"/>
                <w:sz w:val="20"/>
              </w:rPr>
              <w:t>06</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4EE05C2" w14:textId="31957D4C"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07</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4C2B801" w14:textId="4F1D20CF" w:rsidR="0D619399" w:rsidRPr="004E1DD0" w:rsidRDefault="0D619399" w:rsidP="0D619399">
            <w:pPr>
              <w:spacing w:after="0"/>
              <w:jc w:val="center"/>
              <w:rPr>
                <w:noProof/>
              </w:rPr>
            </w:pPr>
            <w:r w:rsidRPr="0090767E">
              <w:rPr>
                <w:noProof/>
                <w:color w:val="375623"/>
                <w:sz w:val="20"/>
              </w:rPr>
              <w:t>29</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4F126DA" w14:textId="752A1771" w:rsidR="0D619399" w:rsidRPr="004E1DD0" w:rsidRDefault="0D619399" w:rsidP="0D619399">
            <w:pPr>
              <w:spacing w:after="0"/>
              <w:jc w:val="center"/>
              <w:rPr>
                <w:noProof/>
              </w:rPr>
            </w:pPr>
            <w:r w:rsidRPr="0090767E">
              <w:rPr>
                <w:noProof/>
                <w:color w:val="375623"/>
                <w:sz w:val="20"/>
              </w:rPr>
              <w:t>28</w:t>
            </w:r>
            <w:r>
              <w:rPr>
                <w:noProof/>
                <w:color w:val="375623"/>
                <w:sz w:val="20"/>
              </w:rPr>
              <w:t>/</w:t>
            </w:r>
            <w:r w:rsidRPr="0090767E">
              <w:rPr>
                <w:noProof/>
                <w:color w:val="375623"/>
                <w:sz w:val="20"/>
              </w:rPr>
              <w:t>08</w:t>
            </w:r>
            <w:r>
              <w:rPr>
                <w:noProof/>
                <w:color w:val="375623"/>
                <w:sz w:val="20"/>
              </w:rPr>
              <w:t>/</w:t>
            </w:r>
            <w:r w:rsidRPr="0090767E">
              <w:rPr>
                <w:noProof/>
                <w:color w:val="375623"/>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7590715D" w14:textId="3B9E9CB2" w:rsidR="0D619399" w:rsidRPr="004E1DD0" w:rsidRDefault="0D619399" w:rsidP="0D619399">
            <w:pPr>
              <w:spacing w:after="0"/>
              <w:jc w:val="center"/>
              <w:rPr>
                <w:noProof/>
              </w:rPr>
            </w:pPr>
            <w:r w:rsidRPr="0090767E">
              <w:rPr>
                <w:noProof/>
                <w:color w:val="375623"/>
                <w:sz w:val="20"/>
              </w:rPr>
              <w:t>28</w:t>
            </w:r>
            <w:r>
              <w:rPr>
                <w:noProof/>
                <w:color w:val="375623"/>
                <w:sz w:val="20"/>
              </w:rPr>
              <w:t>/</w:t>
            </w:r>
            <w:r w:rsidRPr="0090767E">
              <w:rPr>
                <w:noProof/>
                <w:color w:val="375623"/>
                <w:sz w:val="20"/>
              </w:rPr>
              <w:t>08</w:t>
            </w:r>
            <w:r>
              <w:rPr>
                <w:noProof/>
                <w:color w:val="375623"/>
                <w:sz w:val="20"/>
              </w:rPr>
              <w:t>/</w:t>
            </w:r>
            <w:r w:rsidRPr="0090767E">
              <w:rPr>
                <w:noProof/>
                <w:color w:val="375623"/>
                <w:sz w:val="20"/>
              </w:rPr>
              <w:t>2024</w:t>
            </w:r>
          </w:p>
        </w:tc>
      </w:tr>
      <w:tr w:rsidR="0D619399" w:rsidRPr="004E1DD0" w14:paraId="44119002"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7536F96D" w14:textId="584BC3E8" w:rsidR="0D619399" w:rsidRPr="004E1DD0" w:rsidRDefault="0D619399" w:rsidP="0D619399">
            <w:pPr>
              <w:spacing w:after="0"/>
              <w:jc w:val="center"/>
              <w:rPr>
                <w:noProof/>
              </w:rPr>
            </w:pPr>
            <w:r>
              <w:rPr>
                <w:b/>
                <w:noProof/>
                <w:color w:val="000000" w:themeColor="text1"/>
                <w:sz w:val="20"/>
              </w:rPr>
              <w:t>BG</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23E75CD" w14:textId="5FB9FEA9"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F2276A5" w14:textId="23B1A3B5"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1B33659" w14:textId="4E9BC1E5"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06F2F33" w14:textId="4E0B5309"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57EEDE72" w14:textId="6BCA83D7"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r>
      <w:tr w:rsidR="0D619399" w:rsidRPr="004E1DD0" w14:paraId="39D558E8"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5D064B31" w14:textId="0D83E2E2" w:rsidR="0D619399" w:rsidRPr="004E1DD0" w:rsidRDefault="0D619399" w:rsidP="0D619399">
            <w:pPr>
              <w:spacing w:after="0"/>
              <w:jc w:val="center"/>
              <w:rPr>
                <w:noProof/>
              </w:rPr>
            </w:pPr>
            <w:r>
              <w:rPr>
                <w:b/>
                <w:noProof/>
                <w:color w:val="000000" w:themeColor="text1"/>
                <w:sz w:val="20"/>
              </w:rPr>
              <w:t>CY</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75C22D1" w14:textId="6F6FC9E8"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0AED1AA" w14:textId="1955171A"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1836C27" w14:textId="4DB12CE4"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2B35BCEF" w14:textId="78ADC88F"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30F1FCCD" w14:textId="55F1D194"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r>
      <w:tr w:rsidR="0D619399" w:rsidRPr="004E1DD0" w14:paraId="4BE5EB6C"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7B4B629F" w14:textId="2186D193" w:rsidR="0D619399" w:rsidRPr="004E1DD0" w:rsidRDefault="0D619399" w:rsidP="0D619399">
            <w:pPr>
              <w:spacing w:after="0"/>
              <w:jc w:val="center"/>
              <w:rPr>
                <w:noProof/>
              </w:rPr>
            </w:pPr>
            <w:r>
              <w:rPr>
                <w:b/>
                <w:noProof/>
                <w:color w:val="000000" w:themeColor="text1"/>
                <w:sz w:val="20"/>
              </w:rPr>
              <w:t>CZ</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9952F65" w14:textId="19064EC1"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6858355" w14:textId="07BB6289"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34BBCCE" w14:textId="3DCD83B9"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46510A82" w14:textId="2147CA42" w:rsidR="0D619399" w:rsidRPr="004E1DD0" w:rsidRDefault="0D619399" w:rsidP="02BB932C">
            <w:pPr>
              <w:spacing w:after="0"/>
              <w:jc w:val="center"/>
              <w:rPr>
                <w:b/>
                <w:bCs/>
                <w:noProof/>
                <w:color w:val="C00000"/>
                <w:sz w:val="20"/>
                <w:szCs w:val="20"/>
              </w:rPr>
            </w:pPr>
            <w:r w:rsidRPr="0090767E">
              <w:rPr>
                <w:b/>
                <w:noProof/>
                <w:color w:val="C00000"/>
                <w:sz w:val="20"/>
              </w:rPr>
              <w:t>15</w:t>
            </w:r>
            <w:r>
              <w:rPr>
                <w:b/>
                <w:noProof/>
                <w:color w:val="C00000"/>
                <w:sz w:val="20"/>
              </w:rPr>
              <w:t>/</w:t>
            </w:r>
            <w:r w:rsidRPr="0090767E">
              <w:rPr>
                <w:b/>
                <w:noProof/>
                <w:color w:val="C00000"/>
                <w:sz w:val="20"/>
              </w:rPr>
              <w:t>12</w:t>
            </w:r>
            <w:r>
              <w:rPr>
                <w:b/>
                <w:noProof/>
                <w:color w:val="C00000"/>
                <w:sz w:val="20"/>
              </w:rPr>
              <w:t>/</w:t>
            </w:r>
            <w:r w:rsidRPr="0090767E">
              <w:rPr>
                <w:b/>
                <w:noProof/>
                <w:color w:val="C00000"/>
                <w:sz w:val="20"/>
              </w:rPr>
              <w:t>2025</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FFCCCC"/>
            <w:tcMar>
              <w:left w:w="70" w:type="dxa"/>
              <w:right w:w="70" w:type="dxa"/>
            </w:tcMar>
            <w:vAlign w:val="center"/>
          </w:tcPr>
          <w:p w14:paraId="4CF6327C" w14:textId="43E2E7A3" w:rsidR="0D619399" w:rsidRPr="004E1DD0" w:rsidRDefault="0D619399" w:rsidP="02BB932C">
            <w:pPr>
              <w:spacing w:after="0"/>
              <w:jc w:val="center"/>
              <w:rPr>
                <w:b/>
                <w:bCs/>
                <w:noProof/>
                <w:color w:val="C00000"/>
                <w:sz w:val="20"/>
                <w:szCs w:val="20"/>
              </w:rPr>
            </w:pPr>
            <w:r w:rsidRPr="0090767E">
              <w:rPr>
                <w:b/>
                <w:noProof/>
                <w:color w:val="C00000"/>
                <w:sz w:val="20"/>
              </w:rPr>
              <w:t>15</w:t>
            </w:r>
            <w:r>
              <w:rPr>
                <w:b/>
                <w:noProof/>
                <w:color w:val="C00000"/>
                <w:sz w:val="20"/>
              </w:rPr>
              <w:t>/</w:t>
            </w:r>
            <w:r w:rsidRPr="0090767E">
              <w:rPr>
                <w:b/>
                <w:noProof/>
                <w:color w:val="C00000"/>
                <w:sz w:val="20"/>
              </w:rPr>
              <w:t>12</w:t>
            </w:r>
            <w:r>
              <w:rPr>
                <w:b/>
                <w:noProof/>
                <w:color w:val="C00000"/>
                <w:sz w:val="20"/>
              </w:rPr>
              <w:t>/</w:t>
            </w:r>
            <w:r w:rsidRPr="0090767E">
              <w:rPr>
                <w:b/>
                <w:noProof/>
                <w:color w:val="C00000"/>
                <w:sz w:val="20"/>
              </w:rPr>
              <w:t>2025</w:t>
            </w:r>
          </w:p>
        </w:tc>
      </w:tr>
      <w:tr w:rsidR="0D619399" w:rsidRPr="004E1DD0" w14:paraId="07F825EC"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2C5E0583" w14:textId="4CCA46BB" w:rsidR="0D619399" w:rsidRPr="004E1DD0" w:rsidRDefault="0D619399" w:rsidP="0D619399">
            <w:pPr>
              <w:spacing w:after="0"/>
              <w:jc w:val="center"/>
              <w:rPr>
                <w:noProof/>
              </w:rPr>
            </w:pPr>
            <w:r>
              <w:rPr>
                <w:b/>
                <w:noProof/>
                <w:color w:val="000000" w:themeColor="text1"/>
                <w:sz w:val="20"/>
              </w:rPr>
              <w:t>DE</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70" w:type="dxa"/>
              <w:right w:w="70" w:type="dxa"/>
            </w:tcMar>
            <w:vAlign w:val="center"/>
          </w:tcPr>
          <w:p w14:paraId="5CBDCB23" w14:textId="27A966A4" w:rsidR="0D619399" w:rsidRPr="004E1DD0" w:rsidRDefault="0D619399" w:rsidP="0D619399">
            <w:pPr>
              <w:spacing w:after="0"/>
              <w:jc w:val="center"/>
              <w:rPr>
                <w:noProof/>
              </w:rPr>
            </w:pPr>
            <w:r>
              <w:rPr>
                <w:noProof/>
                <w:sz w:val="20"/>
              </w:rPr>
              <w:t xml:space="preserve"> </w:t>
            </w:r>
            <w:r>
              <w:rPr>
                <w:noProof/>
                <w:color w:val="000000" w:themeColor="text1"/>
                <w:sz w:val="20"/>
              </w:rPr>
              <w:t>Ní bhaineann le hábhar</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53F2A3A" w14:textId="0C2ADEDF" w:rsidR="0D619399" w:rsidRPr="004E1DD0" w:rsidRDefault="0D619399" w:rsidP="0D619399">
            <w:pPr>
              <w:spacing w:after="0"/>
              <w:jc w:val="center"/>
              <w:rPr>
                <w:noProof/>
              </w:rPr>
            </w:pPr>
            <w:r w:rsidRPr="0090767E">
              <w:rPr>
                <w:noProof/>
                <w:color w:val="375623"/>
                <w:sz w:val="20"/>
              </w:rPr>
              <w:t>06</w:t>
            </w:r>
            <w:r>
              <w:rPr>
                <w:noProof/>
                <w:color w:val="375623"/>
                <w:sz w:val="20"/>
              </w:rPr>
              <w:t>/</w:t>
            </w:r>
            <w:r w:rsidRPr="0090767E">
              <w:rPr>
                <w:noProof/>
                <w:color w:val="375623"/>
                <w:sz w:val="20"/>
              </w:rPr>
              <w:t>03</w:t>
            </w:r>
            <w:r>
              <w:rPr>
                <w:noProof/>
                <w:color w:val="375623"/>
                <w:sz w:val="20"/>
              </w:rPr>
              <w:t>/</w:t>
            </w:r>
            <w:r w:rsidRPr="0090767E">
              <w:rPr>
                <w:noProof/>
                <w:color w:val="375623"/>
                <w:sz w:val="20"/>
              </w:rPr>
              <w:t>2021</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D8967F1" w14:textId="0A1EFE21" w:rsidR="0D619399" w:rsidRPr="004E1DD0" w:rsidRDefault="0D619399" w:rsidP="0D619399">
            <w:pPr>
              <w:spacing w:after="0"/>
              <w:jc w:val="center"/>
              <w:rPr>
                <w:noProof/>
              </w:rPr>
            </w:pPr>
            <w:r w:rsidRPr="0090767E">
              <w:rPr>
                <w:noProof/>
                <w:color w:val="375623"/>
                <w:sz w:val="20"/>
              </w:rPr>
              <w:t>06</w:t>
            </w:r>
            <w:r>
              <w:rPr>
                <w:noProof/>
                <w:color w:val="375623"/>
                <w:sz w:val="20"/>
              </w:rPr>
              <w:t>/</w:t>
            </w:r>
            <w:r w:rsidRPr="0090767E">
              <w:rPr>
                <w:noProof/>
                <w:color w:val="375623"/>
                <w:sz w:val="20"/>
              </w:rPr>
              <w:t>03</w:t>
            </w:r>
            <w:r>
              <w:rPr>
                <w:noProof/>
                <w:color w:val="375623"/>
                <w:sz w:val="20"/>
              </w:rPr>
              <w:t>/</w:t>
            </w:r>
            <w:r w:rsidRPr="0090767E">
              <w:rPr>
                <w:noProof/>
                <w:color w:val="375623"/>
                <w:sz w:val="20"/>
              </w:rPr>
              <w:t>2021</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52E644BC" w14:textId="1778C29D" w:rsidR="0D619399" w:rsidRPr="004E1DD0" w:rsidRDefault="56A0B0ED" w:rsidP="54AD8F9A">
            <w:pPr>
              <w:spacing w:after="0"/>
              <w:jc w:val="center"/>
              <w:rPr>
                <w:noProof/>
                <w:color w:val="375623"/>
                <w:sz w:val="20"/>
                <w:szCs w:val="20"/>
              </w:rPr>
            </w:pPr>
            <w:r w:rsidRPr="0090767E">
              <w:rPr>
                <w:noProof/>
                <w:color w:val="375623"/>
                <w:sz w:val="20"/>
              </w:rPr>
              <w:t>31</w:t>
            </w:r>
            <w:r>
              <w:rPr>
                <w:noProof/>
                <w:color w:val="375623"/>
                <w:sz w:val="20"/>
              </w:rPr>
              <w:t>/</w:t>
            </w:r>
            <w:r w:rsidRPr="0090767E">
              <w:rPr>
                <w:noProof/>
                <w:color w:val="375623"/>
                <w:sz w:val="20"/>
              </w:rPr>
              <w:t>10</w:t>
            </w:r>
            <w:r>
              <w:rPr>
                <w:noProof/>
                <w:color w:val="375623"/>
                <w:sz w:val="20"/>
              </w:rPr>
              <w:t>/</w:t>
            </w:r>
            <w:r w:rsidRPr="0090767E">
              <w:rPr>
                <w:noProof/>
                <w:color w:val="375623"/>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57F8E08F" w14:textId="5398C5C7" w:rsidR="0D619399" w:rsidRPr="004E1DD0" w:rsidRDefault="0D619399" w:rsidP="0D619399">
            <w:pPr>
              <w:spacing w:after="0"/>
              <w:jc w:val="center"/>
              <w:rPr>
                <w:noProof/>
              </w:rPr>
            </w:pPr>
            <w:r w:rsidRPr="0090767E">
              <w:rPr>
                <w:noProof/>
                <w:color w:val="375623"/>
                <w:sz w:val="20"/>
              </w:rPr>
              <w:t>06</w:t>
            </w:r>
            <w:r>
              <w:rPr>
                <w:noProof/>
                <w:color w:val="375623"/>
                <w:sz w:val="20"/>
              </w:rPr>
              <w:t>/</w:t>
            </w:r>
            <w:r w:rsidRPr="0090767E">
              <w:rPr>
                <w:noProof/>
                <w:color w:val="375623"/>
                <w:sz w:val="20"/>
              </w:rPr>
              <w:t>03</w:t>
            </w:r>
            <w:r>
              <w:rPr>
                <w:noProof/>
                <w:color w:val="375623"/>
                <w:sz w:val="20"/>
              </w:rPr>
              <w:t>/</w:t>
            </w:r>
            <w:r w:rsidRPr="0090767E">
              <w:rPr>
                <w:noProof/>
                <w:color w:val="375623"/>
                <w:sz w:val="20"/>
              </w:rPr>
              <w:t>2021</w:t>
            </w:r>
          </w:p>
        </w:tc>
      </w:tr>
      <w:tr w:rsidR="0D619399" w:rsidRPr="004E1DD0" w14:paraId="4BAB7C0F"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5D8BB34F" w14:textId="0AA9B59A" w:rsidR="0D619399" w:rsidRPr="004E1DD0" w:rsidRDefault="0D619399" w:rsidP="0D619399">
            <w:pPr>
              <w:spacing w:after="0"/>
              <w:jc w:val="center"/>
              <w:rPr>
                <w:noProof/>
              </w:rPr>
            </w:pPr>
            <w:r>
              <w:rPr>
                <w:b/>
                <w:noProof/>
                <w:color w:val="000000" w:themeColor="text1"/>
                <w:sz w:val="20"/>
              </w:rPr>
              <w:t>DK</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4D14F9E" w14:textId="009F8DBE" w:rsidR="0D619399" w:rsidRPr="004E1DD0" w:rsidRDefault="0D619399" w:rsidP="0D619399">
            <w:pPr>
              <w:spacing w:after="0"/>
              <w:jc w:val="center"/>
              <w:rPr>
                <w:noProof/>
              </w:rPr>
            </w:pPr>
            <w:r w:rsidRPr="0090767E">
              <w:rPr>
                <w:noProof/>
                <w:color w:val="375623"/>
                <w:sz w:val="20"/>
              </w:rPr>
              <w:t>06</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38B97DC" w14:textId="1C29886F" w:rsidR="0D619399" w:rsidRPr="004E1DD0" w:rsidRDefault="0D619399" w:rsidP="0D619399">
            <w:pPr>
              <w:spacing w:after="0"/>
              <w:jc w:val="center"/>
              <w:rPr>
                <w:noProof/>
              </w:rPr>
            </w:pPr>
            <w:r w:rsidRPr="0090767E">
              <w:rPr>
                <w:noProof/>
                <w:color w:val="375623"/>
                <w:sz w:val="20"/>
              </w:rPr>
              <w:t>06</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7B5CE786" w14:textId="5F94C671" w:rsidR="0D619399" w:rsidRPr="004E1DD0" w:rsidRDefault="0D619399" w:rsidP="02BB932C">
            <w:pPr>
              <w:spacing w:after="0"/>
              <w:jc w:val="center"/>
              <w:rPr>
                <w:b/>
                <w:bCs/>
                <w:noProof/>
                <w:color w:val="C00000"/>
                <w:sz w:val="20"/>
                <w:szCs w:val="20"/>
              </w:rPr>
            </w:pPr>
            <w:r w:rsidRPr="0090767E">
              <w:rPr>
                <w:b/>
                <w:noProof/>
                <w:color w:val="C00000"/>
                <w:sz w:val="20"/>
              </w:rPr>
              <w:t>08</w:t>
            </w:r>
            <w:r>
              <w:rPr>
                <w:b/>
                <w:noProof/>
                <w:color w:val="C00000"/>
                <w:sz w:val="20"/>
              </w:rPr>
              <w:t>/</w:t>
            </w:r>
            <w:r w:rsidRPr="0090767E">
              <w:rPr>
                <w:b/>
                <w:noProof/>
                <w:color w:val="C00000"/>
                <w:sz w:val="20"/>
              </w:rPr>
              <w:t>03</w:t>
            </w:r>
            <w:r>
              <w:rPr>
                <w:b/>
                <w:noProof/>
                <w:color w:val="C00000"/>
                <w:sz w:val="20"/>
              </w:rPr>
              <w:t>/</w:t>
            </w:r>
            <w:r w:rsidRPr="0090767E">
              <w:rPr>
                <w:b/>
                <w:noProof/>
                <w:color w:val="C00000"/>
                <w:sz w:val="20"/>
              </w:rPr>
              <w:t>2025</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6DF187AC" w14:textId="00A54C7E" w:rsidR="0D619399" w:rsidRPr="004E1DD0" w:rsidRDefault="0D619399" w:rsidP="02BB932C">
            <w:pPr>
              <w:spacing w:after="0"/>
              <w:jc w:val="center"/>
              <w:rPr>
                <w:b/>
                <w:bCs/>
                <w:noProof/>
                <w:color w:val="C00000"/>
                <w:sz w:val="20"/>
                <w:szCs w:val="20"/>
              </w:rPr>
            </w:pPr>
            <w:r w:rsidRPr="0090767E">
              <w:rPr>
                <w:b/>
                <w:noProof/>
                <w:color w:val="C00000"/>
                <w:sz w:val="20"/>
              </w:rPr>
              <w:t>08</w:t>
            </w:r>
            <w:r>
              <w:rPr>
                <w:b/>
                <w:noProof/>
                <w:color w:val="C00000"/>
                <w:sz w:val="20"/>
              </w:rPr>
              <w:t>/</w:t>
            </w:r>
            <w:r w:rsidRPr="0090767E">
              <w:rPr>
                <w:b/>
                <w:noProof/>
                <w:color w:val="C00000"/>
                <w:sz w:val="20"/>
              </w:rPr>
              <w:t>03</w:t>
            </w:r>
            <w:r>
              <w:rPr>
                <w:b/>
                <w:noProof/>
                <w:color w:val="C00000"/>
                <w:sz w:val="20"/>
              </w:rPr>
              <w:t>/</w:t>
            </w:r>
            <w:r w:rsidRPr="0090767E">
              <w:rPr>
                <w:b/>
                <w:noProof/>
                <w:color w:val="C00000"/>
                <w:sz w:val="20"/>
              </w:rPr>
              <w:t>2025</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FFCCCC"/>
            <w:tcMar>
              <w:left w:w="70" w:type="dxa"/>
              <w:right w:w="70" w:type="dxa"/>
            </w:tcMar>
            <w:vAlign w:val="center"/>
          </w:tcPr>
          <w:p w14:paraId="5C56EB8C" w14:textId="54D507FC" w:rsidR="0D619399" w:rsidRPr="004E1DD0" w:rsidRDefault="0D619399" w:rsidP="02BB932C">
            <w:pPr>
              <w:spacing w:after="0"/>
              <w:jc w:val="center"/>
              <w:rPr>
                <w:b/>
                <w:bCs/>
                <w:noProof/>
                <w:color w:val="C00000"/>
                <w:sz w:val="20"/>
                <w:szCs w:val="20"/>
              </w:rPr>
            </w:pPr>
            <w:r w:rsidRPr="0090767E">
              <w:rPr>
                <w:b/>
                <w:noProof/>
                <w:color w:val="C00000"/>
                <w:sz w:val="20"/>
              </w:rPr>
              <w:t>08</w:t>
            </w:r>
            <w:r>
              <w:rPr>
                <w:b/>
                <w:noProof/>
                <w:color w:val="C00000"/>
                <w:sz w:val="20"/>
              </w:rPr>
              <w:t>/</w:t>
            </w:r>
            <w:r w:rsidRPr="0090767E">
              <w:rPr>
                <w:b/>
                <w:noProof/>
                <w:color w:val="C00000"/>
                <w:sz w:val="20"/>
              </w:rPr>
              <w:t>03</w:t>
            </w:r>
            <w:r>
              <w:rPr>
                <w:b/>
                <w:noProof/>
                <w:color w:val="C00000"/>
                <w:sz w:val="20"/>
              </w:rPr>
              <w:t>/</w:t>
            </w:r>
            <w:r w:rsidRPr="0090767E">
              <w:rPr>
                <w:b/>
                <w:noProof/>
                <w:color w:val="C00000"/>
                <w:sz w:val="20"/>
              </w:rPr>
              <w:t>2025</w:t>
            </w:r>
          </w:p>
        </w:tc>
      </w:tr>
      <w:tr w:rsidR="0D619399" w:rsidRPr="004E1DD0" w14:paraId="67311C56"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7F85B13E" w14:textId="1408AEC1" w:rsidR="0D619399" w:rsidRPr="004E1DD0" w:rsidRDefault="0D619399" w:rsidP="0D619399">
            <w:pPr>
              <w:spacing w:after="0"/>
              <w:jc w:val="center"/>
              <w:rPr>
                <w:noProof/>
              </w:rPr>
            </w:pPr>
            <w:r>
              <w:rPr>
                <w:b/>
                <w:noProof/>
                <w:color w:val="000000" w:themeColor="text1"/>
                <w:sz w:val="20"/>
              </w:rPr>
              <w:t>EE</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306CE25" w14:textId="1A6C4223"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10</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F60A97C" w14:textId="2683AC88" w:rsidR="0D619399" w:rsidRPr="004E1DD0" w:rsidRDefault="0D619399" w:rsidP="0D619399">
            <w:pPr>
              <w:spacing w:after="0"/>
              <w:jc w:val="center"/>
              <w:rPr>
                <w:noProof/>
              </w:rPr>
            </w:pPr>
            <w:r w:rsidRPr="0090767E">
              <w:rPr>
                <w:noProof/>
                <w:color w:val="375623"/>
                <w:sz w:val="20"/>
              </w:rPr>
              <w:t>15</w:t>
            </w:r>
            <w:r>
              <w:rPr>
                <w:noProof/>
                <w:color w:val="375623"/>
                <w:sz w:val="20"/>
              </w:rPr>
              <w:t>/</w:t>
            </w:r>
            <w:r w:rsidRPr="0090767E">
              <w:rPr>
                <w:noProof/>
                <w:color w:val="375623"/>
                <w:sz w:val="20"/>
              </w:rPr>
              <w:t>03</w:t>
            </w:r>
            <w:r>
              <w:rPr>
                <w:noProof/>
                <w:color w:val="375623"/>
                <w:sz w:val="20"/>
              </w:rPr>
              <w:t>/</w:t>
            </w:r>
            <w:r w:rsidRPr="0090767E">
              <w:rPr>
                <w:noProof/>
                <w:color w:val="375623"/>
                <w:sz w:val="20"/>
              </w:rPr>
              <w:t>2021</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DA0B4D9" w14:textId="3E4D8589"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2021</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522F4B8A" w14:textId="70CAD078"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2021</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18EC3C9B" w14:textId="201AE348"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2021</w:t>
            </w:r>
          </w:p>
        </w:tc>
      </w:tr>
      <w:tr w:rsidR="0D619399" w:rsidRPr="004E1DD0" w14:paraId="43E041DF"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B3DD707" w14:textId="413A9FBB" w:rsidR="0D619399" w:rsidRPr="004E1DD0" w:rsidRDefault="0D619399" w:rsidP="0D619399">
            <w:pPr>
              <w:spacing w:after="0"/>
              <w:jc w:val="center"/>
              <w:rPr>
                <w:noProof/>
              </w:rPr>
            </w:pPr>
            <w:r>
              <w:rPr>
                <w:b/>
                <w:noProof/>
                <w:color w:val="000000" w:themeColor="text1"/>
                <w:sz w:val="20"/>
              </w:rPr>
              <w:t>ES</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9F4FF49" w14:textId="384F99CC"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9BD2135" w14:textId="084C3643"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80FE62F" w14:textId="11A0B43A"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7EEED87" w14:textId="6EC113C8"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09</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4F10219F" w14:textId="26E7D718" w:rsidR="0D619399" w:rsidRPr="004E1DD0" w:rsidRDefault="0D619399" w:rsidP="0D619399">
            <w:pPr>
              <w:spacing w:after="0"/>
              <w:jc w:val="center"/>
              <w:rPr>
                <w:noProof/>
              </w:rPr>
            </w:pPr>
            <w:r w:rsidRPr="0090767E">
              <w:rPr>
                <w:noProof/>
                <w:color w:val="375623"/>
                <w:sz w:val="20"/>
              </w:rPr>
              <w:t>05</w:t>
            </w:r>
            <w:r>
              <w:rPr>
                <w:noProof/>
                <w:color w:val="375623"/>
                <w:sz w:val="20"/>
              </w:rPr>
              <w:t>/</w:t>
            </w:r>
            <w:r w:rsidRPr="0090767E">
              <w:rPr>
                <w:noProof/>
                <w:color w:val="375623"/>
                <w:sz w:val="20"/>
              </w:rPr>
              <w:t>09</w:t>
            </w:r>
            <w:r>
              <w:rPr>
                <w:noProof/>
                <w:color w:val="375623"/>
                <w:sz w:val="20"/>
              </w:rPr>
              <w:t>/</w:t>
            </w:r>
            <w:r w:rsidRPr="0090767E">
              <w:rPr>
                <w:noProof/>
                <w:color w:val="375623"/>
                <w:sz w:val="20"/>
              </w:rPr>
              <w:t>2023</w:t>
            </w:r>
          </w:p>
        </w:tc>
      </w:tr>
      <w:tr w:rsidR="0D619399" w:rsidRPr="004E1DD0" w14:paraId="61820F8A" w14:textId="77777777" w:rsidTr="54AD8F9A">
        <w:trPr>
          <w:trHeight w:val="300"/>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4EE852C" w14:textId="4981AEAE" w:rsidR="0D619399" w:rsidRPr="004E1DD0" w:rsidRDefault="0D619399" w:rsidP="0D619399">
            <w:pPr>
              <w:spacing w:after="0"/>
              <w:jc w:val="center"/>
              <w:rPr>
                <w:noProof/>
              </w:rPr>
            </w:pPr>
            <w:r>
              <w:rPr>
                <w:b/>
                <w:noProof/>
                <w:color w:val="000000" w:themeColor="text1"/>
                <w:sz w:val="20"/>
              </w:rPr>
              <w:t>FI</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329288B" w14:textId="1258D7D0"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03</w:t>
            </w:r>
            <w:r>
              <w:rPr>
                <w:noProof/>
                <w:color w:val="385623" w:themeColor="accent6" w:themeShade="80"/>
                <w:sz w:val="20"/>
              </w:rPr>
              <w:t>/</w:t>
            </w:r>
            <w:r w:rsidRPr="0090767E">
              <w:rPr>
                <w:noProof/>
                <w:color w:val="385623" w:themeColor="accent6" w:themeShade="80"/>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BD78E7A" w14:textId="7E79FABA"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03</w:t>
            </w:r>
            <w:r>
              <w:rPr>
                <w:noProof/>
                <w:color w:val="385623" w:themeColor="accent6" w:themeShade="80"/>
                <w:sz w:val="20"/>
              </w:rPr>
              <w:t>/</w:t>
            </w:r>
            <w:r w:rsidRPr="0090767E">
              <w:rPr>
                <w:noProof/>
                <w:color w:val="385623" w:themeColor="accent6" w:themeShade="80"/>
                <w:sz w:val="20"/>
              </w:rPr>
              <w:t>2021</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6F399EC" w14:textId="337F1161"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r w:rsidRPr="0090767E">
              <w:rPr>
                <w:noProof/>
                <w:color w:val="385623" w:themeColor="accent6" w:themeShade="80"/>
                <w:sz w:val="20"/>
              </w:rPr>
              <w:t>2022</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45FD56D" w14:textId="582A6F11" w:rsidR="0D619399" w:rsidRPr="004E1DD0" w:rsidRDefault="495213EA" w:rsidP="54AD8F9A">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p>
          <w:p w14:paraId="238D15E7" w14:textId="43B9C0D4" w:rsidR="0D619399" w:rsidRPr="004E1DD0" w:rsidRDefault="553F4BE9" w:rsidP="02BB932C">
            <w:pPr>
              <w:spacing w:after="0"/>
              <w:jc w:val="center"/>
              <w:rPr>
                <w:noProof/>
                <w:color w:val="385623" w:themeColor="accent6" w:themeShade="80"/>
                <w:sz w:val="20"/>
                <w:szCs w:val="20"/>
              </w:rPr>
            </w:pPr>
            <w:r w:rsidRPr="0090767E">
              <w:rPr>
                <w:noProof/>
                <w:color w:val="385623" w:themeColor="accent6" w:themeShade="80"/>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11C70F81" w14:textId="49C3C50D"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r w:rsidRPr="0090767E">
              <w:rPr>
                <w:noProof/>
                <w:color w:val="385623" w:themeColor="accent6" w:themeShade="80"/>
                <w:sz w:val="20"/>
              </w:rPr>
              <w:t>2022</w:t>
            </w:r>
          </w:p>
        </w:tc>
      </w:tr>
      <w:tr w:rsidR="0D619399" w:rsidRPr="004E1DD0" w14:paraId="134D1663"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FB65858" w14:textId="03C5016E" w:rsidR="0D619399" w:rsidRPr="004E1DD0" w:rsidRDefault="0D619399" w:rsidP="0D619399">
            <w:pPr>
              <w:spacing w:after="0"/>
              <w:jc w:val="center"/>
              <w:rPr>
                <w:noProof/>
              </w:rPr>
            </w:pPr>
            <w:r>
              <w:rPr>
                <w:b/>
                <w:noProof/>
                <w:color w:val="000000" w:themeColor="text1"/>
                <w:sz w:val="20"/>
              </w:rPr>
              <w:t>FR</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DF1D43A" w14:textId="28FC1C94"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06</w:t>
            </w:r>
            <w:r>
              <w:rPr>
                <w:noProof/>
                <w:color w:val="385623" w:themeColor="accent6" w:themeShade="80"/>
                <w:sz w:val="20"/>
              </w:rPr>
              <w:t>/</w:t>
            </w:r>
            <w:r w:rsidRPr="0090767E">
              <w:rPr>
                <w:noProof/>
                <w:color w:val="385623" w:themeColor="accent6" w:themeShade="80"/>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519FF867" w14:textId="71BCAA90"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06</w:t>
            </w:r>
            <w:r>
              <w:rPr>
                <w:noProof/>
                <w:color w:val="385623" w:themeColor="accent6" w:themeShade="80"/>
                <w:sz w:val="20"/>
              </w:rPr>
              <w:t>/</w:t>
            </w:r>
            <w:r w:rsidRPr="0090767E">
              <w:rPr>
                <w:noProof/>
                <w:color w:val="385623" w:themeColor="accent6" w:themeShade="80"/>
                <w:sz w:val="20"/>
              </w:rPr>
              <w:t>03</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7AC1752D" w14:textId="741AB774"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06</w:t>
            </w:r>
            <w:r>
              <w:rPr>
                <w:noProof/>
                <w:color w:val="385623" w:themeColor="accent6" w:themeShade="80"/>
                <w:sz w:val="20"/>
              </w:rPr>
              <w:t>/</w:t>
            </w:r>
            <w:r w:rsidRPr="0090767E">
              <w:rPr>
                <w:noProof/>
                <w:color w:val="385623" w:themeColor="accent6" w:themeShade="80"/>
                <w:sz w:val="20"/>
              </w:rPr>
              <w:t>03</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1598F6D5" w14:textId="36D5D0F6"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11</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34E1D563" w14:textId="103797AA"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11</w:t>
            </w:r>
            <w:r>
              <w:rPr>
                <w:noProof/>
                <w:color w:val="385623" w:themeColor="accent6" w:themeShade="80"/>
                <w:sz w:val="20"/>
              </w:rPr>
              <w:t>/</w:t>
            </w:r>
            <w:r w:rsidRPr="0090767E">
              <w:rPr>
                <w:noProof/>
                <w:color w:val="385623" w:themeColor="accent6" w:themeShade="80"/>
                <w:sz w:val="20"/>
              </w:rPr>
              <w:t>2024</w:t>
            </w:r>
          </w:p>
        </w:tc>
      </w:tr>
      <w:tr w:rsidR="0D619399" w:rsidRPr="004E1DD0" w14:paraId="149049CD"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2323E64D" w14:textId="25D95BAD" w:rsidR="0D619399" w:rsidRPr="004E1DD0" w:rsidRDefault="0D619399" w:rsidP="0D619399">
            <w:pPr>
              <w:spacing w:after="0"/>
              <w:jc w:val="center"/>
              <w:rPr>
                <w:noProof/>
              </w:rPr>
            </w:pPr>
            <w:r>
              <w:rPr>
                <w:b/>
                <w:noProof/>
                <w:color w:val="000000" w:themeColor="text1"/>
                <w:sz w:val="20"/>
              </w:rPr>
              <w:t>GR</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DBF5A41" w14:textId="6AA29686" w:rsidR="0D619399" w:rsidRPr="004E1DD0" w:rsidRDefault="0D619399" w:rsidP="0D619399">
            <w:pPr>
              <w:spacing w:after="0"/>
              <w:jc w:val="center"/>
              <w:rPr>
                <w:noProof/>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AF1E3DB" w14:textId="448F4210" w:rsidR="0D619399" w:rsidRPr="004E1DD0" w:rsidRDefault="0D619399" w:rsidP="0D619399">
            <w:pPr>
              <w:spacing w:after="0"/>
              <w:jc w:val="center"/>
              <w:rPr>
                <w:noProof/>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7B811F77" w14:textId="58F74D23" w:rsidR="0D619399" w:rsidRPr="004E1DD0" w:rsidRDefault="0D619399" w:rsidP="02BB932C">
            <w:pPr>
              <w:spacing w:after="0"/>
              <w:jc w:val="center"/>
              <w:rPr>
                <w:b/>
                <w:bCs/>
                <w:noProof/>
                <w:color w:val="C00000"/>
                <w:sz w:val="20"/>
                <w:szCs w:val="20"/>
              </w:rPr>
            </w:pPr>
            <w:r w:rsidRPr="0090767E">
              <w:rPr>
                <w:b/>
                <w:noProof/>
                <w:color w:val="C00000"/>
                <w:sz w:val="20"/>
              </w:rPr>
              <w:t>30</w:t>
            </w:r>
            <w:r>
              <w:rPr>
                <w:b/>
                <w:noProof/>
                <w:color w:val="C00000"/>
                <w:sz w:val="20"/>
              </w:rPr>
              <w:t>/</w:t>
            </w:r>
            <w:r w:rsidRPr="0090767E">
              <w:rPr>
                <w:b/>
                <w:noProof/>
                <w:color w:val="C00000"/>
                <w:sz w:val="20"/>
              </w:rPr>
              <w:t>06</w:t>
            </w:r>
            <w:r>
              <w:rPr>
                <w:b/>
                <w:noProof/>
                <w:color w:val="C00000"/>
                <w:sz w:val="20"/>
              </w:rPr>
              <w:t>/</w:t>
            </w:r>
            <w:r w:rsidRPr="0090767E">
              <w:rPr>
                <w:b/>
                <w:noProof/>
                <w:color w:val="C00000"/>
                <w:sz w:val="20"/>
              </w:rPr>
              <w:t>2025</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6B7F473B" w14:textId="628BAA43" w:rsidR="0D619399" w:rsidRPr="004E1DD0" w:rsidRDefault="0D619399" w:rsidP="02BB932C">
            <w:pPr>
              <w:spacing w:after="0"/>
              <w:jc w:val="center"/>
              <w:rPr>
                <w:b/>
                <w:bCs/>
                <w:noProof/>
                <w:color w:val="C00000"/>
                <w:sz w:val="20"/>
                <w:szCs w:val="20"/>
              </w:rPr>
            </w:pPr>
            <w:r w:rsidRPr="0090767E">
              <w:rPr>
                <w:b/>
                <w:noProof/>
                <w:color w:val="C00000"/>
                <w:sz w:val="20"/>
              </w:rPr>
              <w:t>30</w:t>
            </w:r>
            <w:r>
              <w:rPr>
                <w:b/>
                <w:noProof/>
                <w:color w:val="C00000"/>
                <w:sz w:val="20"/>
              </w:rPr>
              <w:t>/</w:t>
            </w:r>
            <w:r w:rsidRPr="0090767E">
              <w:rPr>
                <w:b/>
                <w:noProof/>
                <w:color w:val="C00000"/>
                <w:sz w:val="20"/>
              </w:rPr>
              <w:t>06</w:t>
            </w:r>
            <w:r>
              <w:rPr>
                <w:b/>
                <w:noProof/>
                <w:color w:val="C00000"/>
                <w:sz w:val="20"/>
              </w:rPr>
              <w:t>/</w:t>
            </w:r>
            <w:r w:rsidRPr="0090767E">
              <w:rPr>
                <w:b/>
                <w:noProof/>
                <w:color w:val="C00000"/>
                <w:sz w:val="20"/>
              </w:rPr>
              <w:t>2025</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FFCCCC"/>
            <w:tcMar>
              <w:left w:w="70" w:type="dxa"/>
              <w:right w:w="70" w:type="dxa"/>
            </w:tcMar>
            <w:vAlign w:val="center"/>
          </w:tcPr>
          <w:p w14:paraId="5205E047" w14:textId="305A2D7F" w:rsidR="0D619399" w:rsidRPr="004E1DD0" w:rsidRDefault="0D619399" w:rsidP="02BB932C">
            <w:pPr>
              <w:spacing w:after="0"/>
              <w:jc w:val="center"/>
              <w:rPr>
                <w:b/>
                <w:bCs/>
                <w:noProof/>
                <w:color w:val="C00000"/>
                <w:sz w:val="20"/>
                <w:szCs w:val="20"/>
              </w:rPr>
            </w:pPr>
            <w:r w:rsidRPr="0090767E">
              <w:rPr>
                <w:b/>
                <w:noProof/>
                <w:color w:val="C00000"/>
                <w:sz w:val="20"/>
              </w:rPr>
              <w:t>30</w:t>
            </w:r>
            <w:r>
              <w:rPr>
                <w:b/>
                <w:noProof/>
                <w:color w:val="C00000"/>
                <w:sz w:val="20"/>
              </w:rPr>
              <w:t>/</w:t>
            </w:r>
            <w:r w:rsidRPr="0090767E">
              <w:rPr>
                <w:b/>
                <w:noProof/>
                <w:color w:val="C00000"/>
                <w:sz w:val="20"/>
              </w:rPr>
              <w:t>06</w:t>
            </w:r>
            <w:r>
              <w:rPr>
                <w:b/>
                <w:noProof/>
                <w:color w:val="C00000"/>
                <w:sz w:val="20"/>
              </w:rPr>
              <w:t>/</w:t>
            </w:r>
            <w:r w:rsidRPr="0090767E">
              <w:rPr>
                <w:b/>
                <w:noProof/>
                <w:color w:val="C00000"/>
                <w:sz w:val="20"/>
              </w:rPr>
              <w:t>2025</w:t>
            </w:r>
          </w:p>
        </w:tc>
      </w:tr>
      <w:tr w:rsidR="0D619399" w:rsidRPr="004E1DD0" w14:paraId="38CEC47E"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2CEB162A" w14:textId="21F16C18" w:rsidR="0D619399" w:rsidRPr="004E1DD0" w:rsidRDefault="0D619399" w:rsidP="0D619399">
            <w:pPr>
              <w:spacing w:after="0"/>
              <w:jc w:val="center"/>
              <w:rPr>
                <w:noProof/>
              </w:rPr>
            </w:pPr>
            <w:r>
              <w:rPr>
                <w:b/>
                <w:noProof/>
                <w:color w:val="000000" w:themeColor="text1"/>
                <w:sz w:val="20"/>
              </w:rPr>
              <w:t>HR</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82FD068" w14:textId="12F5B190"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C2CBA92" w14:textId="05FD85FA"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0D20320" w14:textId="6EFF23D3" w:rsidR="0D619399" w:rsidRPr="004E1DD0" w:rsidRDefault="0D619399" w:rsidP="0D619399">
            <w:pPr>
              <w:spacing w:after="0"/>
              <w:jc w:val="center"/>
              <w:rPr>
                <w:noProof/>
              </w:rPr>
            </w:pPr>
            <w:r w:rsidRPr="0090767E">
              <w:rPr>
                <w:noProof/>
                <w:color w:val="375623"/>
                <w:sz w:val="20"/>
              </w:rPr>
              <w:t>17</w:t>
            </w:r>
            <w:r>
              <w:rPr>
                <w:noProof/>
                <w:color w:val="375623"/>
                <w:sz w:val="20"/>
              </w:rPr>
              <w:t>/</w:t>
            </w:r>
            <w:r w:rsidRPr="0090767E">
              <w:rPr>
                <w:noProof/>
                <w:color w:val="375623"/>
                <w:sz w:val="20"/>
              </w:rPr>
              <w:t>04</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00E4222" w14:textId="411CDF4A"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53F3CBB2" w14:textId="125F7647"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2023</w:t>
            </w:r>
          </w:p>
        </w:tc>
      </w:tr>
      <w:tr w:rsidR="0D619399" w:rsidRPr="004E1DD0" w14:paraId="60983699"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6600E3D9" w14:textId="217953C0" w:rsidR="0D619399" w:rsidRPr="004E1DD0" w:rsidRDefault="0D619399" w:rsidP="0D619399">
            <w:pPr>
              <w:spacing w:after="0"/>
              <w:jc w:val="center"/>
              <w:rPr>
                <w:noProof/>
              </w:rPr>
            </w:pPr>
            <w:r>
              <w:rPr>
                <w:b/>
                <w:noProof/>
                <w:color w:val="000000" w:themeColor="text1"/>
                <w:sz w:val="20"/>
              </w:rPr>
              <w:t>HU</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2BB9258" w14:textId="0626C3D2" w:rsidR="0D619399" w:rsidRPr="004E1DD0" w:rsidRDefault="0D619399" w:rsidP="0D619399">
            <w:pPr>
              <w:spacing w:after="0"/>
              <w:jc w:val="center"/>
              <w:rPr>
                <w:noProof/>
              </w:rPr>
            </w:pPr>
            <w:r w:rsidRPr="0090767E">
              <w:rPr>
                <w:noProof/>
                <w:color w:val="375623"/>
                <w:sz w:val="20"/>
              </w:rPr>
              <w:t>02</w:t>
            </w:r>
            <w:r>
              <w:rPr>
                <w:noProof/>
                <w:color w:val="375623"/>
                <w:sz w:val="20"/>
              </w:rPr>
              <w:t>/</w:t>
            </w:r>
            <w:r w:rsidRPr="0090767E">
              <w:rPr>
                <w:noProof/>
                <w:color w:val="375623"/>
                <w:sz w:val="20"/>
              </w:rPr>
              <w:t>04</w:t>
            </w:r>
            <w:r>
              <w:rPr>
                <w:noProof/>
                <w:color w:val="375623"/>
                <w:sz w:val="20"/>
              </w:rPr>
              <w:t>/</w:t>
            </w:r>
            <w:r w:rsidRPr="0090767E">
              <w:rPr>
                <w:noProof/>
                <w:color w:val="375623"/>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5EADA11" w14:textId="6449661F" w:rsidR="0D619399" w:rsidRPr="004E1DD0" w:rsidRDefault="0D619399" w:rsidP="0D619399">
            <w:pPr>
              <w:spacing w:after="0"/>
              <w:jc w:val="center"/>
              <w:rPr>
                <w:noProof/>
              </w:rPr>
            </w:pPr>
            <w:r w:rsidRPr="0090767E">
              <w:rPr>
                <w:noProof/>
                <w:color w:val="375623"/>
                <w:sz w:val="20"/>
              </w:rPr>
              <w:t>02</w:t>
            </w:r>
            <w:r>
              <w:rPr>
                <w:noProof/>
                <w:color w:val="375623"/>
                <w:sz w:val="20"/>
              </w:rPr>
              <w:t>/</w:t>
            </w:r>
            <w:r w:rsidRPr="0090767E">
              <w:rPr>
                <w:noProof/>
                <w:color w:val="375623"/>
                <w:sz w:val="20"/>
              </w:rPr>
              <w:t>04</w:t>
            </w:r>
            <w:r>
              <w:rPr>
                <w:noProof/>
                <w:color w:val="375623"/>
                <w:sz w:val="20"/>
              </w:rPr>
              <w:t>/</w:t>
            </w:r>
            <w:r w:rsidRPr="0090767E">
              <w:rPr>
                <w:noProof/>
                <w:color w:val="375623"/>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1C37D1B" w14:textId="17582BBE" w:rsidR="0D619399" w:rsidRPr="004E1DD0" w:rsidRDefault="0D619399" w:rsidP="0D619399">
            <w:pPr>
              <w:spacing w:after="0"/>
              <w:jc w:val="center"/>
              <w:rPr>
                <w:noProof/>
              </w:rPr>
            </w:pPr>
            <w:r w:rsidRPr="0090767E">
              <w:rPr>
                <w:noProof/>
                <w:color w:val="375623"/>
                <w:sz w:val="20"/>
              </w:rPr>
              <w:t>02</w:t>
            </w:r>
            <w:r>
              <w:rPr>
                <w:noProof/>
                <w:color w:val="375623"/>
                <w:sz w:val="20"/>
              </w:rPr>
              <w:t>/</w:t>
            </w:r>
            <w:r w:rsidRPr="0090767E">
              <w:rPr>
                <w:noProof/>
                <w:color w:val="375623"/>
                <w:sz w:val="20"/>
              </w:rPr>
              <w:t>04</w:t>
            </w:r>
            <w:r>
              <w:rPr>
                <w:noProof/>
                <w:color w:val="375623"/>
                <w:sz w:val="20"/>
              </w:rPr>
              <w:t>/</w:t>
            </w:r>
            <w:r w:rsidRPr="0090767E">
              <w:rPr>
                <w:noProof/>
                <w:color w:val="375623"/>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50A059C" w14:textId="2D75B967" w:rsidR="0D619399" w:rsidRPr="004E1DD0" w:rsidRDefault="1D9E9A98" w:rsidP="54AD8F9A">
            <w:pPr>
              <w:spacing w:after="0"/>
              <w:jc w:val="center"/>
              <w:rPr>
                <w:noProof/>
                <w:color w:val="375623"/>
                <w:sz w:val="20"/>
                <w:szCs w:val="20"/>
              </w:rPr>
            </w:pPr>
            <w:r w:rsidRPr="0090767E">
              <w:rPr>
                <w:noProof/>
                <w:color w:val="375623"/>
                <w:sz w:val="20"/>
              </w:rPr>
              <w:t>01</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2568AD72" w14:textId="7BD66473" w:rsidR="0D619399" w:rsidRPr="004E1DD0" w:rsidRDefault="156A5CDA" w:rsidP="54AD8F9A">
            <w:pPr>
              <w:spacing w:after="0"/>
              <w:jc w:val="center"/>
              <w:rPr>
                <w:noProof/>
                <w:color w:val="375623"/>
                <w:sz w:val="20"/>
                <w:szCs w:val="20"/>
              </w:rPr>
            </w:pPr>
            <w:r w:rsidRPr="0090767E">
              <w:rPr>
                <w:noProof/>
                <w:color w:val="375623"/>
                <w:sz w:val="20"/>
              </w:rPr>
              <w:t>01</w:t>
            </w:r>
            <w:r>
              <w:rPr>
                <w:noProof/>
                <w:color w:val="375623"/>
                <w:sz w:val="20"/>
              </w:rPr>
              <w:t>/</w:t>
            </w:r>
            <w:r w:rsidRPr="0090767E">
              <w:rPr>
                <w:noProof/>
                <w:color w:val="375623"/>
                <w:sz w:val="20"/>
              </w:rPr>
              <w:t>11</w:t>
            </w:r>
            <w:r>
              <w:rPr>
                <w:noProof/>
                <w:color w:val="375623"/>
                <w:sz w:val="20"/>
              </w:rPr>
              <w:t>/</w:t>
            </w:r>
            <w:r w:rsidRPr="0090767E">
              <w:rPr>
                <w:noProof/>
                <w:color w:val="375623"/>
                <w:sz w:val="20"/>
              </w:rPr>
              <w:t>2023</w:t>
            </w:r>
          </w:p>
        </w:tc>
      </w:tr>
      <w:tr w:rsidR="0D619399" w:rsidRPr="004E1DD0" w14:paraId="5F4DF80E"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F7DCFF1" w14:textId="43C897B9" w:rsidR="0D619399" w:rsidRPr="004E1DD0" w:rsidRDefault="0D619399" w:rsidP="0D619399">
            <w:pPr>
              <w:spacing w:after="0"/>
              <w:jc w:val="center"/>
              <w:rPr>
                <w:noProof/>
              </w:rPr>
            </w:pPr>
            <w:r>
              <w:rPr>
                <w:b/>
                <w:noProof/>
                <w:color w:val="000000" w:themeColor="text1"/>
                <w:sz w:val="20"/>
              </w:rPr>
              <w:t>IE</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5DF2F8B" w14:textId="0D770762"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F18E768" w14:textId="10EC331F" w:rsidR="0D619399" w:rsidRPr="004E1DD0" w:rsidRDefault="0D619399" w:rsidP="0D619399">
            <w:pPr>
              <w:spacing w:after="0"/>
              <w:jc w:val="center"/>
              <w:rPr>
                <w:noProof/>
              </w:rPr>
            </w:pPr>
            <w:r w:rsidRPr="0090767E">
              <w:rPr>
                <w:noProof/>
                <w:color w:val="375623"/>
                <w:sz w:val="20"/>
              </w:rPr>
              <w:t>23</w:t>
            </w:r>
            <w:r>
              <w:rPr>
                <w:noProof/>
                <w:color w:val="375623"/>
                <w:sz w:val="20"/>
              </w:rPr>
              <w:t>/</w:t>
            </w:r>
            <w:r w:rsidRPr="0090767E">
              <w:rPr>
                <w:noProof/>
                <w:color w:val="375623"/>
                <w:sz w:val="20"/>
              </w:rPr>
              <w:t>11</w:t>
            </w:r>
            <w:r>
              <w:rPr>
                <w:noProof/>
                <w:color w:val="375623"/>
                <w:sz w:val="20"/>
              </w:rPr>
              <w:t>/</w:t>
            </w:r>
            <w:r w:rsidRPr="0090767E">
              <w:rPr>
                <w:noProof/>
                <w:color w:val="375623"/>
                <w:sz w:val="20"/>
              </w:rPr>
              <w:t>2020</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E5F44D7" w14:textId="7FB7F5A2" w:rsidR="0D619399" w:rsidRPr="004E1DD0" w:rsidRDefault="0D619399" w:rsidP="0D619399">
            <w:pPr>
              <w:spacing w:after="0"/>
              <w:jc w:val="center"/>
              <w:rPr>
                <w:noProof/>
              </w:rPr>
            </w:pPr>
            <w:r w:rsidRPr="0090767E">
              <w:rPr>
                <w:noProof/>
                <w:color w:val="375623"/>
                <w:sz w:val="20"/>
              </w:rPr>
              <w:t>23</w:t>
            </w:r>
            <w:r>
              <w:rPr>
                <w:noProof/>
                <w:color w:val="375623"/>
                <w:sz w:val="20"/>
              </w:rPr>
              <w:t>/</w:t>
            </w:r>
            <w:r w:rsidRPr="0090767E">
              <w:rPr>
                <w:noProof/>
                <w:color w:val="375623"/>
                <w:sz w:val="20"/>
              </w:rPr>
              <w:t>11</w:t>
            </w:r>
            <w:r>
              <w:rPr>
                <w:noProof/>
                <w:color w:val="375623"/>
                <w:sz w:val="20"/>
              </w:rPr>
              <w:t>/</w:t>
            </w:r>
            <w:r w:rsidRPr="0090767E">
              <w:rPr>
                <w:noProof/>
                <w:color w:val="375623"/>
                <w:sz w:val="20"/>
              </w:rPr>
              <w:t>2020</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CCC"/>
            <w:tcMar>
              <w:left w:w="70" w:type="dxa"/>
              <w:right w:w="70" w:type="dxa"/>
            </w:tcMar>
            <w:vAlign w:val="center"/>
          </w:tcPr>
          <w:p w14:paraId="52D20E3A" w14:textId="1FA5568A" w:rsidR="0D619399" w:rsidRPr="004E1DD0" w:rsidRDefault="0D619399" w:rsidP="02BB932C">
            <w:pPr>
              <w:spacing w:after="0"/>
              <w:jc w:val="center"/>
              <w:rPr>
                <w:b/>
                <w:bCs/>
                <w:noProof/>
                <w:color w:val="C00000"/>
                <w:sz w:val="20"/>
                <w:szCs w:val="20"/>
              </w:rPr>
            </w:pPr>
            <w:r w:rsidRPr="0090767E">
              <w:rPr>
                <w:b/>
                <w:noProof/>
                <w:color w:val="C00000"/>
                <w:sz w:val="20"/>
              </w:rPr>
              <w:t>20</w:t>
            </w:r>
            <w:r>
              <w:rPr>
                <w:b/>
                <w:noProof/>
                <w:color w:val="C00000"/>
                <w:sz w:val="20"/>
              </w:rPr>
              <w:t>/</w:t>
            </w:r>
            <w:r w:rsidRPr="0090767E">
              <w:rPr>
                <w:b/>
                <w:noProof/>
                <w:color w:val="C00000"/>
                <w:sz w:val="20"/>
              </w:rPr>
              <w:t>01</w:t>
            </w:r>
            <w:r>
              <w:rPr>
                <w:b/>
                <w:noProof/>
                <w:color w:val="C00000"/>
                <w:sz w:val="20"/>
              </w:rPr>
              <w:t>/</w:t>
            </w:r>
            <w:r w:rsidRPr="0090767E">
              <w:rPr>
                <w:b/>
                <w:noProof/>
                <w:color w:val="C00000"/>
                <w:sz w:val="20"/>
              </w:rPr>
              <w:t>2026</w:t>
            </w:r>
            <w:r>
              <w:rPr>
                <w:b/>
                <w:noProof/>
                <w:color w:val="C00000"/>
                <w:sz w:val="20"/>
              </w:rPr>
              <w:t>*</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7D7953E7" w14:textId="0117BB30" w:rsidR="0D619399" w:rsidRPr="004E1DD0" w:rsidRDefault="0D619399" w:rsidP="0D619399">
            <w:pPr>
              <w:spacing w:after="0"/>
              <w:jc w:val="center"/>
              <w:rPr>
                <w:noProof/>
              </w:rPr>
            </w:pPr>
            <w:r w:rsidRPr="0090767E">
              <w:rPr>
                <w:noProof/>
                <w:color w:val="375623"/>
                <w:sz w:val="20"/>
              </w:rPr>
              <w:t>23</w:t>
            </w:r>
            <w:r>
              <w:rPr>
                <w:noProof/>
                <w:color w:val="375623"/>
                <w:sz w:val="20"/>
              </w:rPr>
              <w:t>/</w:t>
            </w:r>
            <w:r w:rsidRPr="0090767E">
              <w:rPr>
                <w:noProof/>
                <w:color w:val="375623"/>
                <w:sz w:val="20"/>
              </w:rPr>
              <w:t>11</w:t>
            </w:r>
            <w:r>
              <w:rPr>
                <w:noProof/>
                <w:color w:val="375623"/>
                <w:sz w:val="20"/>
              </w:rPr>
              <w:t>/</w:t>
            </w:r>
            <w:r w:rsidRPr="0090767E">
              <w:rPr>
                <w:noProof/>
                <w:color w:val="375623"/>
                <w:sz w:val="20"/>
              </w:rPr>
              <w:t>2020</w:t>
            </w:r>
          </w:p>
        </w:tc>
      </w:tr>
      <w:tr w:rsidR="0D619399" w:rsidRPr="004E1DD0" w14:paraId="32329F1C"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4E9D9454" w14:textId="1094C747" w:rsidR="0D619399" w:rsidRPr="004E1DD0" w:rsidRDefault="0D619399" w:rsidP="0D619399">
            <w:pPr>
              <w:spacing w:after="0"/>
              <w:jc w:val="center"/>
              <w:rPr>
                <w:noProof/>
              </w:rPr>
            </w:pPr>
            <w:r>
              <w:rPr>
                <w:b/>
                <w:noProof/>
                <w:color w:val="000000" w:themeColor="text1"/>
                <w:sz w:val="20"/>
              </w:rPr>
              <w:t>IT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C8BB6CA" w14:textId="5F9F0924" w:rsidR="0D619399" w:rsidRPr="004E1DD0" w:rsidRDefault="0D619399" w:rsidP="0D619399">
            <w:pPr>
              <w:spacing w:after="0"/>
              <w:jc w:val="center"/>
              <w:rPr>
                <w:noProof/>
              </w:rPr>
            </w:pPr>
            <w:r w:rsidRPr="0090767E">
              <w:rPr>
                <w:noProof/>
                <w:color w:val="375623"/>
                <w:sz w:val="20"/>
              </w:rPr>
              <w:t>13</w:t>
            </w:r>
            <w:r>
              <w:rPr>
                <w:noProof/>
                <w:color w:val="375623"/>
                <w:sz w:val="20"/>
              </w:rPr>
              <w:t>/</w:t>
            </w:r>
            <w:r w:rsidRPr="0090767E">
              <w:rPr>
                <w:noProof/>
                <w:color w:val="375623"/>
                <w:sz w:val="20"/>
              </w:rPr>
              <w:t>12</w:t>
            </w:r>
            <w:r>
              <w:rPr>
                <w:noProof/>
                <w:color w:val="375623"/>
                <w:sz w:val="20"/>
              </w:rPr>
              <w:t>/</w:t>
            </w:r>
            <w:r w:rsidRPr="0090767E">
              <w:rPr>
                <w:noProof/>
                <w:color w:val="375623"/>
                <w:sz w:val="20"/>
              </w:rPr>
              <w:t>2022</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AAE32E4" w14:textId="626264B2" w:rsidR="0D619399" w:rsidRPr="004E1DD0" w:rsidRDefault="0D619399" w:rsidP="0D619399">
            <w:pPr>
              <w:spacing w:after="0"/>
              <w:jc w:val="center"/>
              <w:rPr>
                <w:noProof/>
              </w:rPr>
            </w:pPr>
            <w:r w:rsidRPr="0090767E">
              <w:rPr>
                <w:noProof/>
                <w:color w:val="375623"/>
                <w:sz w:val="20"/>
              </w:rPr>
              <w:t>13</w:t>
            </w:r>
            <w:r>
              <w:rPr>
                <w:noProof/>
                <w:color w:val="375623"/>
                <w:sz w:val="20"/>
              </w:rPr>
              <w:t>/</w:t>
            </w:r>
            <w:r w:rsidRPr="0090767E">
              <w:rPr>
                <w:noProof/>
                <w:color w:val="375623"/>
                <w:sz w:val="20"/>
              </w:rPr>
              <w:t>12</w:t>
            </w:r>
            <w:r>
              <w:rPr>
                <w:noProof/>
                <w:color w:val="375623"/>
                <w:sz w:val="20"/>
              </w:rPr>
              <w:t>/</w:t>
            </w:r>
            <w:r w:rsidRPr="0090767E">
              <w:rPr>
                <w:noProof/>
                <w:color w:val="375623"/>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98841CF" w14:textId="7B9E85CB" w:rsidR="0D619399" w:rsidRPr="004E1DD0" w:rsidRDefault="0D619399" w:rsidP="0D619399">
            <w:pPr>
              <w:spacing w:after="0"/>
              <w:jc w:val="center"/>
              <w:rPr>
                <w:noProof/>
              </w:rPr>
            </w:pPr>
            <w:r w:rsidRPr="0090767E">
              <w:rPr>
                <w:noProof/>
                <w:color w:val="375623"/>
                <w:sz w:val="20"/>
              </w:rPr>
              <w:t>13</w:t>
            </w:r>
            <w:r>
              <w:rPr>
                <w:noProof/>
                <w:color w:val="375623"/>
                <w:sz w:val="20"/>
              </w:rPr>
              <w:t>/</w:t>
            </w:r>
            <w:r w:rsidRPr="0090767E">
              <w:rPr>
                <w:noProof/>
                <w:color w:val="375623"/>
                <w:sz w:val="20"/>
              </w:rPr>
              <w:t>12</w:t>
            </w:r>
            <w:r>
              <w:rPr>
                <w:noProof/>
                <w:color w:val="375623"/>
                <w:sz w:val="20"/>
              </w:rPr>
              <w:t>/</w:t>
            </w:r>
            <w:r w:rsidRPr="0090767E">
              <w:rPr>
                <w:noProof/>
                <w:color w:val="375623"/>
                <w:sz w:val="20"/>
              </w:rPr>
              <w:t>2022</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126B736" w14:textId="5CB1E112" w:rsidR="0D619399" w:rsidRPr="004E1DD0" w:rsidRDefault="5500EE01" w:rsidP="54AD8F9A">
            <w:pPr>
              <w:spacing w:after="0"/>
              <w:jc w:val="center"/>
              <w:rPr>
                <w:noProof/>
                <w:color w:val="375623"/>
                <w:sz w:val="20"/>
                <w:szCs w:val="20"/>
              </w:rPr>
            </w:pPr>
            <w:r w:rsidRPr="0090767E">
              <w:rPr>
                <w:noProof/>
                <w:color w:val="375623"/>
                <w:sz w:val="20"/>
              </w:rPr>
              <w:t>30</w:t>
            </w:r>
            <w:r>
              <w:rPr>
                <w:noProof/>
                <w:color w:val="375623"/>
                <w:sz w:val="20"/>
              </w:rPr>
              <w:t>/</w:t>
            </w:r>
            <w:r w:rsidRPr="0090767E">
              <w:rPr>
                <w:noProof/>
                <w:color w:val="375623"/>
                <w:sz w:val="20"/>
              </w:rPr>
              <w:t>11</w:t>
            </w:r>
            <w:r>
              <w:rPr>
                <w:noProof/>
                <w:color w:val="375623"/>
                <w:sz w:val="20"/>
              </w:rPr>
              <w:t>/</w:t>
            </w:r>
            <w:r w:rsidRPr="0090767E">
              <w:rPr>
                <w:noProof/>
                <w:color w:val="375623"/>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1476C59F" w14:textId="75CC52A6" w:rsidR="0D619399" w:rsidRPr="004E1DD0" w:rsidRDefault="0AEDE901" w:rsidP="54AD8F9A">
            <w:pPr>
              <w:spacing w:after="0"/>
              <w:jc w:val="center"/>
              <w:rPr>
                <w:noProof/>
                <w:color w:val="375623"/>
                <w:sz w:val="20"/>
                <w:szCs w:val="20"/>
              </w:rPr>
            </w:pPr>
            <w:r w:rsidRPr="0090767E">
              <w:rPr>
                <w:noProof/>
                <w:color w:val="375623"/>
                <w:sz w:val="20"/>
              </w:rPr>
              <w:t>30</w:t>
            </w:r>
            <w:r>
              <w:rPr>
                <w:noProof/>
                <w:color w:val="375623"/>
                <w:sz w:val="20"/>
              </w:rPr>
              <w:t>/</w:t>
            </w:r>
            <w:r w:rsidRPr="0090767E">
              <w:rPr>
                <w:noProof/>
                <w:color w:val="375623"/>
                <w:sz w:val="20"/>
              </w:rPr>
              <w:t>11</w:t>
            </w:r>
            <w:r>
              <w:rPr>
                <w:noProof/>
                <w:color w:val="375623"/>
                <w:sz w:val="20"/>
              </w:rPr>
              <w:t>/</w:t>
            </w:r>
            <w:r w:rsidRPr="0090767E">
              <w:rPr>
                <w:noProof/>
                <w:color w:val="375623"/>
                <w:sz w:val="20"/>
              </w:rPr>
              <w:t>2022</w:t>
            </w:r>
          </w:p>
        </w:tc>
      </w:tr>
      <w:tr w:rsidR="0D619399" w:rsidRPr="004E1DD0" w14:paraId="41F4C359"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6053EB2A" w14:textId="2D3DC35E" w:rsidR="0D619399" w:rsidRPr="004E1DD0" w:rsidRDefault="0D619399" w:rsidP="0D619399">
            <w:pPr>
              <w:spacing w:after="0"/>
              <w:jc w:val="center"/>
              <w:rPr>
                <w:noProof/>
              </w:rPr>
            </w:pPr>
            <w:r>
              <w:rPr>
                <w:b/>
                <w:noProof/>
                <w:color w:val="000000" w:themeColor="text1"/>
                <w:sz w:val="20"/>
              </w:rPr>
              <w:t>LT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34914D0" w14:textId="5F1A7746"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E143EC5" w14:textId="741A3D46" w:rsidR="0D619399" w:rsidRPr="004E1DD0" w:rsidRDefault="0D619399" w:rsidP="0D619399">
            <w:pPr>
              <w:spacing w:after="0"/>
              <w:jc w:val="center"/>
              <w:rPr>
                <w:noProof/>
              </w:rPr>
            </w:pPr>
            <w:r w:rsidRPr="0090767E">
              <w:rPr>
                <w:noProof/>
                <w:color w:val="375623"/>
                <w:sz w:val="20"/>
              </w:rPr>
              <w:t>28</w:t>
            </w:r>
            <w:r>
              <w:rPr>
                <w:noProof/>
                <w:color w:val="375623"/>
                <w:sz w:val="20"/>
              </w:rPr>
              <w:t>/</w:t>
            </w:r>
            <w:r w:rsidRPr="0090767E">
              <w:rPr>
                <w:noProof/>
                <w:color w:val="375623"/>
                <w:sz w:val="20"/>
              </w:rPr>
              <w:t>02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66592704" w14:textId="524118B4" w:rsidR="0D619399" w:rsidRPr="004E1DD0" w:rsidRDefault="0D619399" w:rsidP="0D619399">
            <w:pPr>
              <w:spacing w:after="0"/>
              <w:jc w:val="center"/>
              <w:rPr>
                <w:noProof/>
              </w:rPr>
            </w:pPr>
            <w:r w:rsidRPr="0090767E">
              <w:rPr>
                <w:noProof/>
                <w:color w:val="375623"/>
                <w:sz w:val="20"/>
              </w:rPr>
              <w:t>31</w:t>
            </w:r>
            <w:r>
              <w:rPr>
                <w:noProof/>
                <w:color w:val="375623"/>
                <w:sz w:val="20"/>
              </w:rPr>
              <w:t>/</w:t>
            </w:r>
            <w:r w:rsidRPr="0090767E">
              <w:rPr>
                <w:noProof/>
                <w:color w:val="375623"/>
                <w:sz w:val="20"/>
              </w:rPr>
              <w:t>10</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7E9FD59" w14:textId="28ABB8BF" w:rsidR="0D619399" w:rsidRPr="004E1DD0" w:rsidRDefault="0D619399" w:rsidP="0D619399">
            <w:pPr>
              <w:spacing w:after="0"/>
              <w:jc w:val="center"/>
              <w:rPr>
                <w:noProof/>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0CF285D8" w14:textId="75BC7CE8" w:rsidR="0D619399" w:rsidRPr="004E1DD0" w:rsidRDefault="0D619399" w:rsidP="0D619399">
            <w:pPr>
              <w:spacing w:after="0"/>
              <w:jc w:val="center"/>
              <w:rPr>
                <w:noProof/>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r>
      <w:tr w:rsidR="0D619399" w:rsidRPr="004E1DD0" w14:paraId="6B14ED31"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7541DF65" w14:textId="345D4FF4" w:rsidR="0D619399" w:rsidRPr="004E1DD0" w:rsidRDefault="0D619399" w:rsidP="0D619399">
            <w:pPr>
              <w:spacing w:after="0"/>
              <w:jc w:val="center"/>
              <w:rPr>
                <w:noProof/>
              </w:rPr>
            </w:pPr>
            <w:r>
              <w:rPr>
                <w:b/>
                <w:noProof/>
                <w:color w:val="000000" w:themeColor="text1"/>
                <w:sz w:val="20"/>
              </w:rPr>
              <w:t>LU</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F6C130C" w14:textId="1780C8F8"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B23241C" w14:textId="7ED3ED30"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01</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92B6A49" w14:textId="79B1E9A1" w:rsidR="0D619399" w:rsidRPr="004E1DD0" w:rsidRDefault="0D619399" w:rsidP="0D619399">
            <w:pPr>
              <w:spacing w:after="0"/>
              <w:jc w:val="center"/>
              <w:rPr>
                <w:noProof/>
              </w:rPr>
            </w:pPr>
            <w:r w:rsidRPr="0090767E">
              <w:rPr>
                <w:noProof/>
                <w:color w:val="375623"/>
                <w:sz w:val="20"/>
              </w:rPr>
              <w:t>10</w:t>
            </w:r>
            <w:r>
              <w:rPr>
                <w:noProof/>
                <w:color w:val="375623"/>
                <w:sz w:val="20"/>
              </w:rPr>
              <w:t>/</w:t>
            </w:r>
            <w:r w:rsidRPr="0090767E">
              <w:rPr>
                <w:noProof/>
                <w:color w:val="375623"/>
                <w:sz w:val="20"/>
              </w:rPr>
              <w:t>01</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F209B34" w14:textId="2327C601" w:rsidR="0D619399" w:rsidRPr="004E1DD0" w:rsidRDefault="0D619399" w:rsidP="0D619399">
            <w:pPr>
              <w:spacing w:after="0"/>
              <w:jc w:val="center"/>
              <w:rPr>
                <w:noProof/>
              </w:rPr>
            </w:pPr>
            <w:r w:rsidRPr="0090767E">
              <w:rPr>
                <w:noProof/>
                <w:color w:val="375623"/>
                <w:sz w:val="20"/>
              </w:rPr>
              <w:t>02</w:t>
            </w:r>
            <w:r>
              <w:rPr>
                <w:noProof/>
                <w:color w:val="375623"/>
                <w:sz w:val="20"/>
              </w:rPr>
              <w:t>/</w:t>
            </w:r>
            <w:r w:rsidRPr="0090767E">
              <w:rPr>
                <w:noProof/>
                <w:color w:val="375623"/>
                <w:sz w:val="20"/>
              </w:rPr>
              <w:t>05</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106FE4F5" w14:textId="06D44CCB" w:rsidR="0D619399" w:rsidRPr="004E1DD0" w:rsidRDefault="0D619399" w:rsidP="0D619399">
            <w:pPr>
              <w:spacing w:after="0"/>
              <w:jc w:val="center"/>
              <w:rPr>
                <w:noProof/>
              </w:rPr>
            </w:pPr>
            <w:r w:rsidRPr="0090767E">
              <w:rPr>
                <w:noProof/>
                <w:color w:val="375623"/>
                <w:sz w:val="20"/>
              </w:rPr>
              <w:t>02</w:t>
            </w:r>
            <w:r>
              <w:rPr>
                <w:noProof/>
                <w:color w:val="375623"/>
                <w:sz w:val="20"/>
              </w:rPr>
              <w:t>/</w:t>
            </w:r>
            <w:r w:rsidRPr="0090767E">
              <w:rPr>
                <w:noProof/>
                <w:color w:val="375623"/>
                <w:sz w:val="20"/>
              </w:rPr>
              <w:t>05</w:t>
            </w:r>
            <w:r>
              <w:rPr>
                <w:noProof/>
                <w:color w:val="375623"/>
                <w:sz w:val="20"/>
              </w:rPr>
              <w:t>/</w:t>
            </w:r>
            <w:r w:rsidRPr="0090767E">
              <w:rPr>
                <w:noProof/>
                <w:color w:val="375623"/>
                <w:sz w:val="20"/>
              </w:rPr>
              <w:t>2023</w:t>
            </w:r>
          </w:p>
        </w:tc>
      </w:tr>
      <w:tr w:rsidR="0D619399" w:rsidRPr="004E1DD0" w14:paraId="0A629C41"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5CDE454D" w14:textId="4A190842" w:rsidR="0D619399" w:rsidRPr="004E1DD0" w:rsidRDefault="0D619399" w:rsidP="0D619399">
            <w:pPr>
              <w:spacing w:after="0"/>
              <w:jc w:val="center"/>
              <w:rPr>
                <w:noProof/>
              </w:rPr>
            </w:pPr>
            <w:r>
              <w:rPr>
                <w:b/>
                <w:noProof/>
                <w:color w:val="000000" w:themeColor="text1"/>
                <w:sz w:val="20"/>
              </w:rPr>
              <w:t>LV</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2F4CFF11" w14:textId="4595AA55"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24</w:t>
            </w:r>
            <w:r>
              <w:rPr>
                <w:noProof/>
                <w:color w:val="385623" w:themeColor="accent6" w:themeShade="80"/>
                <w:sz w:val="20"/>
              </w:rPr>
              <w:t>/</w:t>
            </w:r>
            <w:r w:rsidRPr="0090767E">
              <w:rPr>
                <w:noProof/>
                <w:color w:val="385623" w:themeColor="accent6" w:themeShade="80"/>
                <w:sz w:val="20"/>
              </w:rPr>
              <w:t>09</w:t>
            </w:r>
            <w:r>
              <w:rPr>
                <w:noProof/>
                <w:color w:val="385623" w:themeColor="accent6" w:themeShade="80"/>
                <w:sz w:val="20"/>
              </w:rPr>
              <w:t>/</w:t>
            </w:r>
            <w:r w:rsidRPr="0090767E">
              <w:rPr>
                <w:noProof/>
                <w:color w:val="385623" w:themeColor="accent6" w:themeShade="80"/>
                <w:sz w:val="20"/>
              </w:rPr>
              <w:t>2017</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01F432CB" w14:textId="51F139A6"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24</w:t>
            </w:r>
            <w:r>
              <w:rPr>
                <w:noProof/>
                <w:color w:val="385623" w:themeColor="accent6" w:themeShade="80"/>
                <w:sz w:val="20"/>
              </w:rPr>
              <w:t>/</w:t>
            </w:r>
            <w:r w:rsidRPr="0090767E">
              <w:rPr>
                <w:noProof/>
                <w:color w:val="385623" w:themeColor="accent6" w:themeShade="80"/>
                <w:sz w:val="20"/>
              </w:rPr>
              <w:t>09</w:t>
            </w:r>
            <w:r>
              <w:rPr>
                <w:noProof/>
                <w:color w:val="385623" w:themeColor="accent6" w:themeShade="80"/>
                <w:sz w:val="20"/>
              </w:rPr>
              <w:t>/</w:t>
            </w:r>
            <w:r w:rsidRPr="0090767E">
              <w:rPr>
                <w:noProof/>
                <w:color w:val="385623" w:themeColor="accent6" w:themeShade="80"/>
                <w:sz w:val="20"/>
              </w:rPr>
              <w:t>2017</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7BF936B1" w14:textId="02AED7E8"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24</w:t>
            </w:r>
            <w:r>
              <w:rPr>
                <w:noProof/>
                <w:color w:val="385623" w:themeColor="accent6" w:themeShade="80"/>
                <w:sz w:val="20"/>
              </w:rPr>
              <w:t>/</w:t>
            </w:r>
            <w:r w:rsidRPr="0090767E">
              <w:rPr>
                <w:noProof/>
                <w:color w:val="385623" w:themeColor="accent6" w:themeShade="80"/>
                <w:sz w:val="20"/>
              </w:rPr>
              <w:t>09</w:t>
            </w:r>
            <w:r>
              <w:rPr>
                <w:noProof/>
                <w:color w:val="385623" w:themeColor="accent6" w:themeShade="80"/>
                <w:sz w:val="20"/>
              </w:rPr>
              <w:t>/</w:t>
            </w:r>
            <w:r w:rsidRPr="0090767E">
              <w:rPr>
                <w:noProof/>
                <w:color w:val="385623" w:themeColor="accent6" w:themeShade="80"/>
                <w:sz w:val="20"/>
              </w:rPr>
              <w:t>2017</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1B772638" w14:textId="17BBA007" w:rsidR="0D619399" w:rsidRPr="004E1DD0" w:rsidRDefault="00F32997" w:rsidP="00F32997">
            <w:pPr>
              <w:spacing w:after="0"/>
              <w:jc w:val="center"/>
              <w:rPr>
                <w:noProof/>
                <w:color w:val="385623" w:themeColor="accent6" w:themeShade="80"/>
                <w:sz w:val="20"/>
                <w:szCs w:val="20"/>
              </w:rPr>
            </w:pPr>
            <w:r w:rsidRPr="0090767E">
              <w:rPr>
                <w:noProof/>
                <w:color w:val="385623" w:themeColor="accent6" w:themeShade="80"/>
                <w:sz w:val="20"/>
              </w:rPr>
              <w:t>04</w:t>
            </w:r>
            <w:r>
              <w:rPr>
                <w:noProof/>
                <w:color w:val="385623" w:themeColor="accent6" w:themeShade="80"/>
                <w:sz w:val="20"/>
              </w:rPr>
              <w:t>/</w:t>
            </w:r>
            <w:r w:rsidRPr="0090767E">
              <w:rPr>
                <w:noProof/>
                <w:color w:val="385623" w:themeColor="accent6" w:themeShade="80"/>
                <w:sz w:val="20"/>
              </w:rPr>
              <w:t>06</w:t>
            </w:r>
            <w:r>
              <w:rPr>
                <w:noProof/>
                <w:color w:val="385623" w:themeColor="accent6" w:themeShade="80"/>
                <w:sz w:val="20"/>
              </w:rPr>
              <w:t>/</w:t>
            </w:r>
            <w:r w:rsidRPr="0090767E">
              <w:rPr>
                <w:noProof/>
                <w:color w:val="385623" w:themeColor="accent6" w:themeShade="80"/>
                <w:sz w:val="20"/>
              </w:rPr>
              <w:t>2018</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05C556C0" w14:textId="6C807955" w:rsidR="0D619399" w:rsidRPr="004E1DD0" w:rsidRDefault="00F32997" w:rsidP="00F32997">
            <w:pPr>
              <w:spacing w:after="0"/>
              <w:jc w:val="center"/>
              <w:rPr>
                <w:noProof/>
                <w:color w:val="385623" w:themeColor="accent6" w:themeShade="80"/>
                <w:sz w:val="20"/>
                <w:szCs w:val="20"/>
              </w:rPr>
            </w:pPr>
            <w:r w:rsidRPr="0090767E">
              <w:rPr>
                <w:noProof/>
                <w:color w:val="385623" w:themeColor="accent6" w:themeShade="80"/>
                <w:sz w:val="20"/>
              </w:rPr>
              <w:t>04</w:t>
            </w:r>
            <w:r>
              <w:rPr>
                <w:noProof/>
                <w:color w:val="385623" w:themeColor="accent6" w:themeShade="80"/>
                <w:sz w:val="20"/>
              </w:rPr>
              <w:t>/</w:t>
            </w:r>
            <w:r w:rsidRPr="0090767E">
              <w:rPr>
                <w:noProof/>
                <w:color w:val="385623" w:themeColor="accent6" w:themeShade="80"/>
                <w:sz w:val="20"/>
              </w:rPr>
              <w:t>06</w:t>
            </w:r>
            <w:r>
              <w:rPr>
                <w:noProof/>
                <w:color w:val="385623" w:themeColor="accent6" w:themeShade="80"/>
                <w:sz w:val="20"/>
              </w:rPr>
              <w:t>/</w:t>
            </w:r>
            <w:r w:rsidRPr="0090767E">
              <w:rPr>
                <w:noProof/>
                <w:color w:val="385623" w:themeColor="accent6" w:themeShade="80"/>
                <w:sz w:val="20"/>
              </w:rPr>
              <w:t>2018</w:t>
            </w:r>
          </w:p>
        </w:tc>
      </w:tr>
      <w:tr w:rsidR="0D619399" w:rsidRPr="004E1DD0" w14:paraId="0347CFC5"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298510AA" w14:textId="48FD5245" w:rsidR="0D619399" w:rsidRPr="004E1DD0" w:rsidRDefault="0D619399" w:rsidP="0D619399">
            <w:pPr>
              <w:spacing w:after="0"/>
              <w:jc w:val="center"/>
              <w:rPr>
                <w:noProof/>
              </w:rPr>
            </w:pPr>
            <w:r>
              <w:rPr>
                <w:b/>
                <w:noProof/>
                <w:color w:val="000000" w:themeColor="text1"/>
                <w:sz w:val="20"/>
              </w:rPr>
              <w:t>MT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49182B31" w14:textId="4B16440B"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04</w:t>
            </w:r>
            <w:r>
              <w:rPr>
                <w:noProof/>
                <w:color w:val="385623" w:themeColor="accent6" w:themeShade="80"/>
                <w:sz w:val="20"/>
              </w:rPr>
              <w:t>/</w:t>
            </w:r>
            <w:r w:rsidRPr="0090767E">
              <w:rPr>
                <w:noProof/>
                <w:color w:val="385623" w:themeColor="accent6" w:themeShade="80"/>
                <w:sz w:val="20"/>
              </w:rPr>
              <w:t>11</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78DD36B4" w14:textId="7A9E82FC"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04</w:t>
            </w:r>
            <w:r>
              <w:rPr>
                <w:noProof/>
                <w:color w:val="385623" w:themeColor="accent6" w:themeShade="80"/>
                <w:sz w:val="20"/>
              </w:rPr>
              <w:t>/</w:t>
            </w:r>
            <w:r w:rsidRPr="0090767E">
              <w:rPr>
                <w:noProof/>
                <w:color w:val="385623" w:themeColor="accent6" w:themeShade="80"/>
                <w:sz w:val="20"/>
              </w:rPr>
              <w:t>11</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9D2F8E0" w14:textId="675DEFE0"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04</w:t>
            </w:r>
            <w:r>
              <w:rPr>
                <w:noProof/>
                <w:color w:val="385623" w:themeColor="accent6" w:themeShade="80"/>
                <w:sz w:val="20"/>
              </w:rPr>
              <w:t>/</w:t>
            </w:r>
            <w:r w:rsidRPr="0090767E">
              <w:rPr>
                <w:noProof/>
                <w:color w:val="385623" w:themeColor="accent6" w:themeShade="80"/>
                <w:sz w:val="20"/>
              </w:rPr>
              <w:t>11</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109435A1" w14:textId="7BD2BF81" w:rsidR="0D619399" w:rsidRPr="004E1DD0" w:rsidRDefault="1066F81C" w:rsidP="54AD8F9A">
            <w:pPr>
              <w:spacing w:after="0"/>
              <w:jc w:val="center"/>
              <w:rPr>
                <w:b/>
                <w:bCs/>
                <w:noProof/>
                <w:color w:val="385623" w:themeColor="accent6" w:themeShade="80"/>
                <w:sz w:val="20"/>
                <w:szCs w:val="20"/>
              </w:rPr>
            </w:pPr>
            <w:r w:rsidRPr="0090767E">
              <w:rPr>
                <w:b/>
                <w:noProof/>
                <w:color w:val="385623" w:themeColor="accent6" w:themeShade="80"/>
                <w:sz w:val="20"/>
              </w:rPr>
              <w:t>31</w:t>
            </w:r>
            <w:r>
              <w:rPr>
                <w:b/>
                <w:noProof/>
                <w:color w:val="385623" w:themeColor="accent6" w:themeShade="80"/>
                <w:sz w:val="20"/>
              </w:rPr>
              <w:t>/</w:t>
            </w:r>
            <w:r w:rsidRPr="0090767E">
              <w:rPr>
                <w:b/>
                <w:noProof/>
                <w:color w:val="385623" w:themeColor="accent6" w:themeShade="80"/>
                <w:sz w:val="20"/>
              </w:rPr>
              <w:t>01</w:t>
            </w:r>
            <w:r>
              <w:rPr>
                <w:b/>
                <w:noProof/>
                <w:color w:val="385623" w:themeColor="accent6" w:themeShade="80"/>
                <w:sz w:val="20"/>
              </w:rPr>
              <w:t>/</w:t>
            </w:r>
            <w:r w:rsidRPr="0090767E">
              <w:rPr>
                <w:b/>
                <w:noProof/>
                <w:color w:val="385623" w:themeColor="accent6" w:themeShade="80"/>
                <w:sz w:val="20"/>
              </w:rPr>
              <w:t>2025</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1ED389DB" w14:textId="4A280AC9" w:rsidR="0D619399" w:rsidRPr="004E1DD0" w:rsidRDefault="6595D97F" w:rsidP="54AD8F9A">
            <w:pPr>
              <w:spacing w:after="0"/>
              <w:jc w:val="center"/>
              <w:rPr>
                <w:b/>
                <w:bCs/>
                <w:noProof/>
                <w:color w:val="385623" w:themeColor="accent6" w:themeShade="80"/>
                <w:sz w:val="20"/>
                <w:szCs w:val="20"/>
              </w:rPr>
            </w:pPr>
            <w:r w:rsidRPr="0090767E">
              <w:rPr>
                <w:b/>
                <w:noProof/>
                <w:color w:val="385623" w:themeColor="accent6" w:themeShade="80"/>
                <w:sz w:val="20"/>
              </w:rPr>
              <w:t>31</w:t>
            </w:r>
            <w:r>
              <w:rPr>
                <w:b/>
                <w:noProof/>
                <w:color w:val="385623" w:themeColor="accent6" w:themeShade="80"/>
                <w:sz w:val="20"/>
              </w:rPr>
              <w:t>/</w:t>
            </w:r>
            <w:r w:rsidRPr="0090767E">
              <w:rPr>
                <w:b/>
                <w:noProof/>
                <w:color w:val="385623" w:themeColor="accent6" w:themeShade="80"/>
                <w:sz w:val="20"/>
              </w:rPr>
              <w:t>01</w:t>
            </w:r>
            <w:r>
              <w:rPr>
                <w:b/>
                <w:noProof/>
                <w:color w:val="385623" w:themeColor="accent6" w:themeShade="80"/>
                <w:sz w:val="20"/>
              </w:rPr>
              <w:t>/</w:t>
            </w:r>
            <w:r w:rsidRPr="0090767E">
              <w:rPr>
                <w:b/>
                <w:noProof/>
                <w:color w:val="385623" w:themeColor="accent6" w:themeShade="80"/>
                <w:sz w:val="20"/>
              </w:rPr>
              <w:t>2025</w:t>
            </w:r>
          </w:p>
        </w:tc>
      </w:tr>
      <w:tr w:rsidR="0D619399" w:rsidRPr="004E1DD0" w14:paraId="3A624267"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07E714D7" w14:textId="0CFAD987" w:rsidR="0D619399" w:rsidRPr="004E1DD0" w:rsidRDefault="0D619399" w:rsidP="0D619399">
            <w:pPr>
              <w:spacing w:after="0"/>
              <w:jc w:val="center"/>
              <w:rPr>
                <w:noProof/>
              </w:rPr>
            </w:pPr>
            <w:r>
              <w:rPr>
                <w:b/>
                <w:noProof/>
                <w:color w:val="000000" w:themeColor="text1"/>
                <w:sz w:val="20"/>
              </w:rPr>
              <w:t>NL</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CD615D1" w14:textId="5F981A2B" w:rsidR="0D619399" w:rsidRPr="004E1DD0" w:rsidRDefault="0D619399" w:rsidP="0D619399">
            <w:pPr>
              <w:spacing w:after="0"/>
              <w:jc w:val="center"/>
              <w:rPr>
                <w:noProof/>
              </w:rPr>
            </w:pPr>
            <w:r w:rsidRPr="0090767E">
              <w:rPr>
                <w:noProof/>
                <w:color w:val="375623"/>
                <w:sz w:val="20"/>
              </w:rPr>
              <w:t>30</w:t>
            </w:r>
            <w:r>
              <w:rPr>
                <w:noProof/>
                <w:color w:val="375623"/>
                <w:sz w:val="20"/>
              </w:rPr>
              <w:t>/</w:t>
            </w:r>
            <w:r w:rsidRPr="0090767E">
              <w:rPr>
                <w:noProof/>
                <w:color w:val="375623"/>
                <w:sz w:val="20"/>
              </w:rPr>
              <w:t>06</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45EEA0AD" w14:textId="709411BC"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226DD743" w14:textId="03907AE0"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2C11896" w14:textId="65BD5C3F"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04</w:t>
            </w:r>
            <w:r>
              <w:rPr>
                <w:noProof/>
                <w:color w:val="375623"/>
                <w:sz w:val="20"/>
              </w:rPr>
              <w:t>/</w:t>
            </w:r>
            <w:r w:rsidRPr="0090767E">
              <w:rPr>
                <w:noProof/>
                <w:color w:val="375623"/>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6BEE09DD" w14:textId="37AF3527"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04</w:t>
            </w:r>
            <w:r>
              <w:rPr>
                <w:noProof/>
                <w:color w:val="375623"/>
                <w:sz w:val="20"/>
              </w:rPr>
              <w:t>/</w:t>
            </w:r>
            <w:r w:rsidRPr="0090767E">
              <w:rPr>
                <w:noProof/>
                <w:color w:val="375623"/>
                <w:sz w:val="20"/>
              </w:rPr>
              <w:t>2022</w:t>
            </w:r>
          </w:p>
        </w:tc>
      </w:tr>
      <w:tr w:rsidR="0D619399" w:rsidRPr="004E1DD0" w14:paraId="69C04DA1"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242188B0" w14:textId="057EDDE7" w:rsidR="0D619399" w:rsidRPr="004E1DD0" w:rsidRDefault="0D619399" w:rsidP="0D619399">
            <w:pPr>
              <w:spacing w:after="0"/>
              <w:jc w:val="center"/>
              <w:rPr>
                <w:noProof/>
              </w:rPr>
            </w:pPr>
            <w:r>
              <w:rPr>
                <w:b/>
                <w:noProof/>
                <w:color w:val="000000" w:themeColor="text1"/>
                <w:sz w:val="20"/>
              </w:rPr>
              <w:t>PL</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3A94EC9" w14:textId="34024AA3"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07</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3D63DB37" w14:textId="46BC94DD"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3A910A20" w14:textId="50684F25"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r>
              <w:rPr>
                <w:noProof/>
                <w:color w:val="385623" w:themeColor="accent6" w:themeShade="80"/>
                <w:sz w:val="20"/>
              </w:rPr>
              <w: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58EDB9DA" w14:textId="231AA63E"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20</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r>
              <w:rPr>
                <w:noProof/>
                <w:color w:val="385623" w:themeColor="accent6" w:themeShade="80"/>
                <w:sz w:val="20"/>
              </w:rPr>
              <w:t>*</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47BD70D0" w14:textId="274C5E74" w:rsidR="0D619399" w:rsidRPr="004E1DD0" w:rsidRDefault="7F713A12" w:rsidP="54AD8F9A">
            <w:pPr>
              <w:spacing w:after="0"/>
              <w:jc w:val="center"/>
              <w:rPr>
                <w:noProof/>
                <w:color w:val="375623"/>
                <w:sz w:val="20"/>
                <w:szCs w:val="20"/>
              </w:rPr>
            </w:pPr>
            <w:r w:rsidRPr="0090767E">
              <w:rPr>
                <w:noProof/>
                <w:color w:val="375623"/>
                <w:sz w:val="20"/>
              </w:rPr>
              <w:t>28</w:t>
            </w:r>
            <w:r>
              <w:rPr>
                <w:noProof/>
                <w:color w:val="375623"/>
                <w:sz w:val="20"/>
              </w:rPr>
              <w:t>/</w:t>
            </w:r>
            <w:r w:rsidRPr="0090767E">
              <w:rPr>
                <w:noProof/>
                <w:color w:val="375623"/>
                <w:sz w:val="20"/>
              </w:rPr>
              <w:t>03</w:t>
            </w:r>
            <w:r>
              <w:rPr>
                <w:noProof/>
                <w:color w:val="375623"/>
                <w:sz w:val="20"/>
              </w:rPr>
              <w:t>/</w:t>
            </w:r>
            <w:r w:rsidRPr="0090767E">
              <w:rPr>
                <w:noProof/>
                <w:color w:val="375623"/>
                <w:sz w:val="20"/>
              </w:rPr>
              <w:t>2022</w:t>
            </w:r>
          </w:p>
        </w:tc>
      </w:tr>
      <w:tr w:rsidR="0D619399" w:rsidRPr="004E1DD0" w14:paraId="7C0F455F"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97BE2A4" w14:textId="72162E9A" w:rsidR="0D619399" w:rsidRPr="004E1DD0" w:rsidRDefault="0D619399" w:rsidP="0D619399">
            <w:pPr>
              <w:spacing w:after="0"/>
              <w:jc w:val="center"/>
              <w:rPr>
                <w:noProof/>
              </w:rPr>
            </w:pPr>
            <w:r>
              <w:rPr>
                <w:b/>
                <w:noProof/>
                <w:color w:val="000000" w:themeColor="text1"/>
                <w:sz w:val="20"/>
              </w:rPr>
              <w:t>PT</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0D1DC81C" w14:textId="331F4345"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28</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18ACE5F3" w14:textId="7B217D73"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28</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1992F86" w14:textId="2B3F1DC2"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28</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606A83D7" w14:textId="629B17F0"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28</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78969565" w14:textId="49D03A16"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28</w:t>
            </w:r>
            <w:r>
              <w:rPr>
                <w:noProof/>
                <w:color w:val="385623" w:themeColor="accent6" w:themeShade="80"/>
                <w:sz w:val="20"/>
              </w:rPr>
              <w:t>/</w:t>
            </w:r>
            <w:r w:rsidRPr="0090767E">
              <w:rPr>
                <w:noProof/>
                <w:color w:val="385623" w:themeColor="accent6" w:themeShade="80"/>
                <w:sz w:val="20"/>
              </w:rPr>
              <w:t>10</w:t>
            </w:r>
            <w:r>
              <w:rPr>
                <w:noProof/>
                <w:color w:val="385623" w:themeColor="accent6" w:themeShade="80"/>
                <w:sz w:val="20"/>
              </w:rPr>
              <w:t>/</w:t>
            </w:r>
            <w:r w:rsidRPr="0090767E">
              <w:rPr>
                <w:noProof/>
                <w:color w:val="385623" w:themeColor="accent6" w:themeShade="80"/>
                <w:sz w:val="20"/>
              </w:rPr>
              <w:t>2024</w:t>
            </w:r>
          </w:p>
        </w:tc>
      </w:tr>
      <w:tr w:rsidR="0D619399" w:rsidRPr="004E1DD0" w14:paraId="6743B4E5"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1A8CB58D" w14:textId="5F849042" w:rsidR="0D619399" w:rsidRPr="004E1DD0" w:rsidRDefault="0D619399" w:rsidP="0D619399">
            <w:pPr>
              <w:spacing w:after="0"/>
              <w:jc w:val="center"/>
              <w:rPr>
                <w:noProof/>
              </w:rPr>
            </w:pPr>
            <w:r>
              <w:rPr>
                <w:b/>
                <w:noProof/>
                <w:color w:val="000000" w:themeColor="text1"/>
                <w:sz w:val="20"/>
              </w:rPr>
              <w:t>RO</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2B1E04A4" w14:textId="475E2C06"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01</w:t>
            </w:r>
            <w:r>
              <w:rPr>
                <w:noProof/>
                <w:color w:val="385623" w:themeColor="accent6" w:themeShade="80"/>
                <w:sz w:val="20"/>
              </w:rPr>
              <w:t>/</w:t>
            </w:r>
            <w:r w:rsidRPr="0090767E">
              <w:rPr>
                <w:noProof/>
                <w:color w:val="385623" w:themeColor="accent6" w:themeShade="80"/>
                <w:sz w:val="20"/>
              </w:rPr>
              <w:t>05</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386F51A8" w14:textId="24C0EC8F"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30</w:t>
            </w:r>
            <w:r>
              <w:rPr>
                <w:noProof/>
                <w:color w:val="385623" w:themeColor="accent6" w:themeShade="80"/>
                <w:sz w:val="20"/>
              </w:rPr>
              <w:t>/</w:t>
            </w:r>
            <w:r w:rsidRPr="0090767E">
              <w:rPr>
                <w:noProof/>
                <w:color w:val="385623" w:themeColor="accent6" w:themeShade="80"/>
                <w:sz w:val="20"/>
              </w:rPr>
              <w:t>09</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32BB82AB" w14:textId="5F10BA08"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r w:rsidRPr="0090767E">
              <w:rPr>
                <w:noProof/>
                <w:color w:val="385623" w:themeColor="accent6" w:themeShade="80"/>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tcMar>
              <w:left w:w="70" w:type="dxa"/>
              <w:right w:w="70" w:type="dxa"/>
            </w:tcMar>
            <w:vAlign w:val="center"/>
          </w:tcPr>
          <w:p w14:paraId="38679762" w14:textId="0297DC0B"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r w:rsidRPr="0090767E">
              <w:rPr>
                <w:noProof/>
                <w:color w:val="385623" w:themeColor="accent6" w:themeShade="80"/>
                <w:sz w:val="20"/>
              </w:rPr>
              <w:t>2024</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5E0B3" w:themeFill="accent6" w:themeFillTint="66"/>
            <w:tcMar>
              <w:left w:w="70" w:type="dxa"/>
              <w:right w:w="70" w:type="dxa"/>
            </w:tcMar>
            <w:vAlign w:val="center"/>
          </w:tcPr>
          <w:p w14:paraId="74D72096" w14:textId="406E45A1" w:rsidR="0D619399" w:rsidRPr="004E1DD0" w:rsidRDefault="0D619399" w:rsidP="02BB932C">
            <w:pPr>
              <w:spacing w:after="0"/>
              <w:jc w:val="center"/>
              <w:rPr>
                <w:noProof/>
                <w:color w:val="385623" w:themeColor="accent6" w:themeShade="80"/>
                <w:sz w:val="20"/>
                <w:szCs w:val="20"/>
              </w:rPr>
            </w:pPr>
            <w:r w:rsidRPr="0090767E">
              <w:rPr>
                <w:noProof/>
                <w:color w:val="385623" w:themeColor="accent6" w:themeShade="80"/>
                <w:sz w:val="20"/>
              </w:rPr>
              <w:t>31</w:t>
            </w:r>
            <w:r>
              <w:rPr>
                <w:noProof/>
                <w:color w:val="385623" w:themeColor="accent6" w:themeShade="80"/>
                <w:sz w:val="20"/>
              </w:rPr>
              <w:t>/</w:t>
            </w:r>
            <w:r w:rsidRPr="0090767E">
              <w:rPr>
                <w:noProof/>
                <w:color w:val="385623" w:themeColor="accent6" w:themeShade="80"/>
                <w:sz w:val="20"/>
              </w:rPr>
              <w:t>12</w:t>
            </w:r>
            <w:r>
              <w:rPr>
                <w:noProof/>
                <w:color w:val="385623" w:themeColor="accent6" w:themeShade="80"/>
                <w:sz w:val="20"/>
              </w:rPr>
              <w:t>/</w:t>
            </w:r>
            <w:r w:rsidRPr="0090767E">
              <w:rPr>
                <w:noProof/>
                <w:color w:val="385623" w:themeColor="accent6" w:themeShade="80"/>
                <w:sz w:val="20"/>
              </w:rPr>
              <w:t>2024</w:t>
            </w:r>
          </w:p>
        </w:tc>
      </w:tr>
      <w:tr w:rsidR="0D619399" w:rsidRPr="004E1DD0" w14:paraId="32781E53"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48A80A39" w14:textId="40F9D75B" w:rsidR="0D619399" w:rsidRPr="004E1DD0" w:rsidRDefault="0D619399" w:rsidP="0D619399">
            <w:pPr>
              <w:spacing w:after="0"/>
              <w:jc w:val="center"/>
              <w:rPr>
                <w:noProof/>
              </w:rPr>
            </w:pPr>
            <w:r>
              <w:rPr>
                <w:b/>
                <w:noProof/>
                <w:color w:val="000000" w:themeColor="text1"/>
                <w:sz w:val="20"/>
              </w:rPr>
              <w:t>SE</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5C9B3AB4" w14:textId="6B9138DA"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12DFD30E" w14:textId="3C7B6BE0" w:rsidR="0D619399" w:rsidRPr="004E1DD0" w:rsidRDefault="0D619399" w:rsidP="0D619399">
            <w:pPr>
              <w:spacing w:after="0"/>
              <w:jc w:val="center"/>
              <w:rPr>
                <w:noProof/>
              </w:rPr>
            </w:pPr>
            <w:r w:rsidRPr="0090767E">
              <w:rPr>
                <w:noProof/>
                <w:color w:val="375623"/>
                <w:sz w:val="20"/>
              </w:rPr>
              <w:t>27</w:t>
            </w:r>
            <w:r>
              <w:rPr>
                <w:noProof/>
                <w:color w:val="375623"/>
                <w:sz w:val="20"/>
              </w:rPr>
              <w:t>/</w:t>
            </w:r>
            <w:r w:rsidRPr="0090767E">
              <w:rPr>
                <w:noProof/>
                <w:color w:val="375623"/>
                <w:sz w:val="20"/>
              </w:rPr>
              <w:t>09</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5ACEEE1F" w14:textId="2ACED74E"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10</w:t>
            </w:r>
            <w:r>
              <w:rPr>
                <w:noProof/>
                <w:color w:val="375623"/>
                <w:sz w:val="20"/>
              </w:rPr>
              <w:t>/</w:t>
            </w:r>
            <w:r w:rsidRPr="0090767E">
              <w:rPr>
                <w:noProof/>
                <w:color w:val="375623"/>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306B783B" w14:textId="676A107B" w:rsidR="0D619399" w:rsidRPr="004E1DD0" w:rsidRDefault="6D90D6EA" w:rsidP="54AD8F9A">
            <w:pPr>
              <w:spacing w:after="0"/>
              <w:jc w:val="center"/>
              <w:rPr>
                <w:noProof/>
                <w:color w:val="375623"/>
                <w:sz w:val="20"/>
                <w:szCs w:val="20"/>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7A1A34ED" w14:textId="0DF10A47" w:rsidR="0D619399" w:rsidRPr="004E1DD0" w:rsidRDefault="3CED1D08" w:rsidP="54AD8F9A">
            <w:pPr>
              <w:spacing w:after="0"/>
              <w:jc w:val="center"/>
              <w:rPr>
                <w:noProof/>
                <w:color w:val="375623"/>
                <w:sz w:val="20"/>
                <w:szCs w:val="20"/>
              </w:rPr>
            </w:pPr>
            <w:r w:rsidRPr="0090767E">
              <w:rPr>
                <w:noProof/>
                <w:color w:val="375623"/>
                <w:sz w:val="20"/>
              </w:rPr>
              <w:t>31</w:t>
            </w:r>
            <w:r>
              <w:rPr>
                <w:noProof/>
                <w:color w:val="375623"/>
                <w:sz w:val="20"/>
              </w:rPr>
              <w:t>/</w:t>
            </w:r>
            <w:r w:rsidRPr="0090767E">
              <w:rPr>
                <w:noProof/>
                <w:color w:val="375623"/>
                <w:sz w:val="20"/>
              </w:rPr>
              <w:t>12</w:t>
            </w:r>
            <w:r>
              <w:rPr>
                <w:noProof/>
                <w:color w:val="375623"/>
                <w:sz w:val="20"/>
              </w:rPr>
              <w:t>/</w:t>
            </w:r>
            <w:r w:rsidRPr="0090767E">
              <w:rPr>
                <w:noProof/>
                <w:color w:val="375623"/>
                <w:sz w:val="20"/>
              </w:rPr>
              <w:t>2023</w:t>
            </w:r>
          </w:p>
        </w:tc>
      </w:tr>
      <w:tr w:rsidR="0D619399" w:rsidRPr="004E1DD0" w14:paraId="3C9ADED3" w14:textId="77777777" w:rsidTr="54AD8F9A">
        <w:trPr>
          <w:trHeight w:val="285"/>
        </w:trPr>
        <w:tc>
          <w:tcPr>
            <w:tcW w:w="1285" w:type="dxa"/>
            <w:tcBorders>
              <w:top w:val="single" w:sz="8" w:space="0" w:color="A5A5A5" w:themeColor="accent3"/>
              <w:left w:val="single" w:sz="8" w:space="0" w:color="auto"/>
              <w:bottom w:val="single" w:sz="8" w:space="0" w:color="A5A5A5" w:themeColor="accent3"/>
              <w:right w:val="nil"/>
            </w:tcBorders>
            <w:shd w:val="clear" w:color="auto" w:fill="F2F2F2" w:themeFill="background1" w:themeFillShade="F2"/>
            <w:tcMar>
              <w:left w:w="70" w:type="dxa"/>
              <w:right w:w="70" w:type="dxa"/>
            </w:tcMar>
            <w:vAlign w:val="center"/>
          </w:tcPr>
          <w:p w14:paraId="077A7851" w14:textId="1E9DC3F4" w:rsidR="0D619399" w:rsidRPr="004E1DD0" w:rsidRDefault="0D619399" w:rsidP="0D619399">
            <w:pPr>
              <w:spacing w:after="0"/>
              <w:jc w:val="center"/>
              <w:rPr>
                <w:noProof/>
              </w:rPr>
            </w:pPr>
            <w:r>
              <w:rPr>
                <w:b/>
                <w:noProof/>
                <w:color w:val="000000" w:themeColor="text1"/>
                <w:sz w:val="20"/>
              </w:rPr>
              <w:t>SI</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left w:w="70" w:type="dxa"/>
              <w:right w:w="70" w:type="dxa"/>
            </w:tcMar>
            <w:vAlign w:val="center"/>
          </w:tcPr>
          <w:p w14:paraId="5B7582C1" w14:textId="6BEF53F0" w:rsidR="0D619399" w:rsidRPr="004E1DD0" w:rsidRDefault="0C68EA99" w:rsidP="54AD8F9A">
            <w:pPr>
              <w:spacing w:after="0"/>
              <w:jc w:val="center"/>
              <w:rPr>
                <w:noProof/>
                <w:color w:val="000000" w:themeColor="text1"/>
                <w:sz w:val="20"/>
                <w:szCs w:val="20"/>
              </w:rPr>
            </w:pPr>
            <w:r w:rsidRPr="0090767E">
              <w:rPr>
                <w:noProof/>
                <w:color w:val="000000" w:themeColor="text1"/>
                <w:sz w:val="20"/>
              </w:rPr>
              <w:t>01</w:t>
            </w:r>
            <w:r>
              <w:rPr>
                <w:noProof/>
                <w:color w:val="000000" w:themeColor="text1"/>
                <w:sz w:val="20"/>
              </w:rPr>
              <w:t>/</w:t>
            </w:r>
            <w:r w:rsidRPr="0090767E">
              <w:rPr>
                <w:noProof/>
                <w:color w:val="000000" w:themeColor="text1"/>
                <w:sz w:val="20"/>
              </w:rPr>
              <w:t>03</w:t>
            </w:r>
            <w:r>
              <w:rPr>
                <w:noProof/>
                <w:color w:val="000000" w:themeColor="text1"/>
                <w:sz w:val="20"/>
              </w:rPr>
              <w:t>/</w:t>
            </w:r>
            <w:r w:rsidRPr="0090767E">
              <w:rPr>
                <w:noProof/>
                <w:color w:val="000000" w:themeColor="text1"/>
                <w:sz w:val="20"/>
              </w:rPr>
              <w:t>2023</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5B890A11" w14:textId="64819848"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0876E82E" w14:textId="743126D0"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2024</w:t>
            </w:r>
          </w:p>
        </w:tc>
        <w:tc>
          <w:tcPr>
            <w:tcW w:w="15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0B4"/>
            <w:tcMar>
              <w:left w:w="70" w:type="dxa"/>
              <w:right w:w="70" w:type="dxa"/>
            </w:tcMar>
            <w:vAlign w:val="center"/>
          </w:tcPr>
          <w:p w14:paraId="7F6F05AF" w14:textId="684C215D"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2022</w:t>
            </w:r>
          </w:p>
        </w:tc>
        <w:tc>
          <w:tcPr>
            <w:tcW w:w="1556" w:type="dxa"/>
            <w:tcBorders>
              <w:top w:val="single" w:sz="8" w:space="0" w:color="FFFFFF" w:themeColor="background1"/>
              <w:left w:val="single" w:sz="8" w:space="0" w:color="FFFFFF" w:themeColor="background1"/>
              <w:bottom w:val="single" w:sz="8" w:space="0" w:color="FFFFFF" w:themeColor="background1"/>
              <w:right w:val="single" w:sz="8" w:space="0" w:color="auto"/>
            </w:tcBorders>
            <w:shd w:val="clear" w:color="auto" w:fill="C6E0B4"/>
            <w:tcMar>
              <w:left w:w="70" w:type="dxa"/>
              <w:right w:w="70" w:type="dxa"/>
            </w:tcMar>
            <w:vAlign w:val="center"/>
          </w:tcPr>
          <w:p w14:paraId="71F336B2" w14:textId="360D8AA8"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01</w:t>
            </w:r>
            <w:r>
              <w:rPr>
                <w:noProof/>
                <w:color w:val="375623"/>
                <w:sz w:val="20"/>
              </w:rPr>
              <w:t>/</w:t>
            </w:r>
            <w:r w:rsidRPr="0090767E">
              <w:rPr>
                <w:noProof/>
                <w:color w:val="375623"/>
                <w:sz w:val="20"/>
              </w:rPr>
              <w:t>2022</w:t>
            </w:r>
          </w:p>
        </w:tc>
      </w:tr>
      <w:tr w:rsidR="0D619399" w:rsidRPr="004E1DD0" w14:paraId="20D39F5D" w14:textId="77777777" w:rsidTr="54AD8F9A">
        <w:trPr>
          <w:trHeight w:val="285"/>
        </w:trPr>
        <w:tc>
          <w:tcPr>
            <w:tcW w:w="1285" w:type="dxa"/>
            <w:tcBorders>
              <w:top w:val="single" w:sz="8" w:space="0" w:color="A5A5A5" w:themeColor="accent3"/>
              <w:left w:val="single" w:sz="8" w:space="0" w:color="auto"/>
              <w:bottom w:val="single" w:sz="8" w:space="0" w:color="auto"/>
              <w:right w:val="nil"/>
            </w:tcBorders>
            <w:shd w:val="clear" w:color="auto" w:fill="F2F2F2" w:themeFill="background1" w:themeFillShade="F2"/>
            <w:tcMar>
              <w:left w:w="70" w:type="dxa"/>
              <w:right w:w="70" w:type="dxa"/>
            </w:tcMar>
            <w:vAlign w:val="center"/>
          </w:tcPr>
          <w:p w14:paraId="57AC8E50" w14:textId="75AF0CCA" w:rsidR="0D619399" w:rsidRPr="004E1DD0" w:rsidRDefault="0D619399" w:rsidP="0D619399">
            <w:pPr>
              <w:spacing w:after="0"/>
              <w:jc w:val="center"/>
              <w:rPr>
                <w:noProof/>
              </w:rPr>
            </w:pPr>
            <w:r>
              <w:rPr>
                <w:b/>
                <w:noProof/>
                <w:color w:val="000000" w:themeColor="text1"/>
                <w:sz w:val="20"/>
              </w:rPr>
              <w:t>SK</w:t>
            </w:r>
          </w:p>
        </w:tc>
        <w:tc>
          <w:tcPr>
            <w:tcW w:w="155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6E0B4"/>
            <w:tcMar>
              <w:left w:w="70" w:type="dxa"/>
              <w:right w:w="70" w:type="dxa"/>
            </w:tcMar>
            <w:vAlign w:val="center"/>
          </w:tcPr>
          <w:p w14:paraId="651B2D8C" w14:textId="6D3404E3"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03</w:t>
            </w:r>
            <w:r>
              <w:rPr>
                <w:noProof/>
                <w:color w:val="375623"/>
                <w:sz w:val="20"/>
              </w:rPr>
              <w:t>/</w:t>
            </w:r>
            <w:r w:rsidRPr="0090767E">
              <w:rPr>
                <w:noProof/>
                <w:color w:val="375623"/>
                <w:sz w:val="20"/>
              </w:rPr>
              <w:t>2023</w:t>
            </w:r>
          </w:p>
        </w:tc>
        <w:tc>
          <w:tcPr>
            <w:tcW w:w="155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C6E0B4"/>
            <w:tcMar>
              <w:left w:w="70" w:type="dxa"/>
              <w:right w:w="70" w:type="dxa"/>
            </w:tcMar>
            <w:vAlign w:val="center"/>
          </w:tcPr>
          <w:p w14:paraId="6E04EAEF" w14:textId="6D34C40A" w:rsidR="0D619399" w:rsidRPr="004E1DD0" w:rsidRDefault="0D619399" w:rsidP="0D619399">
            <w:pPr>
              <w:spacing w:after="0"/>
              <w:jc w:val="center"/>
              <w:rPr>
                <w:noProof/>
              </w:rPr>
            </w:pPr>
            <w:r w:rsidRPr="0090767E">
              <w:rPr>
                <w:noProof/>
                <w:color w:val="375623"/>
                <w:sz w:val="20"/>
              </w:rPr>
              <w:t>01</w:t>
            </w:r>
            <w:r>
              <w:rPr>
                <w:noProof/>
                <w:color w:val="375623"/>
                <w:sz w:val="20"/>
              </w:rPr>
              <w:t>/</w:t>
            </w:r>
            <w:r w:rsidRPr="0090767E">
              <w:rPr>
                <w:noProof/>
                <w:color w:val="375623"/>
                <w:sz w:val="20"/>
              </w:rPr>
              <w:t>10</w:t>
            </w:r>
            <w:r>
              <w:rPr>
                <w:noProof/>
                <w:color w:val="375623"/>
                <w:sz w:val="20"/>
              </w:rPr>
              <w:t>/</w:t>
            </w:r>
            <w:r w:rsidRPr="0090767E">
              <w:rPr>
                <w:noProof/>
                <w:color w:val="375623"/>
                <w:sz w:val="20"/>
              </w:rPr>
              <w:t>2023</w:t>
            </w:r>
          </w:p>
        </w:tc>
        <w:tc>
          <w:tcPr>
            <w:tcW w:w="1556"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CCCC"/>
            <w:tcMar>
              <w:left w:w="70" w:type="dxa"/>
              <w:right w:w="70" w:type="dxa"/>
            </w:tcMar>
            <w:vAlign w:val="center"/>
          </w:tcPr>
          <w:p w14:paraId="114D2C82" w14:textId="5223EABA" w:rsidR="0D619399" w:rsidRPr="004E1DD0" w:rsidRDefault="0D619399" w:rsidP="02BB932C">
            <w:pPr>
              <w:spacing w:after="0"/>
              <w:jc w:val="center"/>
              <w:rPr>
                <w:b/>
                <w:bCs/>
                <w:noProof/>
                <w:color w:val="C00000"/>
                <w:sz w:val="20"/>
                <w:szCs w:val="20"/>
              </w:rPr>
            </w:pPr>
            <w:r w:rsidRPr="0090767E">
              <w:rPr>
                <w:b/>
                <w:noProof/>
                <w:color w:val="C00000"/>
                <w:sz w:val="20"/>
              </w:rPr>
              <w:t>02</w:t>
            </w:r>
            <w:r>
              <w:rPr>
                <w:b/>
                <w:noProof/>
                <w:color w:val="C00000"/>
                <w:sz w:val="20"/>
              </w:rPr>
              <w:t>/</w:t>
            </w:r>
            <w:r w:rsidRPr="0090767E">
              <w:rPr>
                <w:b/>
                <w:noProof/>
                <w:color w:val="C00000"/>
                <w:sz w:val="20"/>
              </w:rPr>
              <w:t>06</w:t>
            </w:r>
            <w:r>
              <w:rPr>
                <w:b/>
                <w:noProof/>
                <w:color w:val="C00000"/>
                <w:sz w:val="20"/>
              </w:rPr>
              <w:t>/</w:t>
            </w:r>
            <w:r w:rsidRPr="0090767E">
              <w:rPr>
                <w:b/>
                <w:noProof/>
                <w:color w:val="C00000"/>
                <w:sz w:val="20"/>
              </w:rPr>
              <w:t>2025</w:t>
            </w:r>
            <w:r>
              <w:rPr>
                <w:b/>
                <w:noProof/>
                <w:color w:val="C00000"/>
                <w:sz w:val="20"/>
              </w:rPr>
              <w:t>*</w:t>
            </w:r>
          </w:p>
        </w:tc>
        <w:tc>
          <w:tcPr>
            <w:tcW w:w="1554" w:type="dxa"/>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FFCCCC"/>
            <w:tcMar>
              <w:left w:w="70" w:type="dxa"/>
              <w:right w:w="70" w:type="dxa"/>
            </w:tcMar>
            <w:vAlign w:val="center"/>
          </w:tcPr>
          <w:p w14:paraId="69D18B0F" w14:textId="46F0D197" w:rsidR="0D619399" w:rsidRPr="004E1DD0" w:rsidRDefault="0D619399" w:rsidP="02BB932C">
            <w:pPr>
              <w:spacing w:after="0"/>
              <w:jc w:val="center"/>
              <w:rPr>
                <w:b/>
                <w:bCs/>
                <w:noProof/>
                <w:color w:val="C00000"/>
                <w:sz w:val="20"/>
                <w:szCs w:val="20"/>
              </w:rPr>
            </w:pPr>
            <w:r w:rsidRPr="0090767E">
              <w:rPr>
                <w:b/>
                <w:noProof/>
                <w:color w:val="C00000"/>
                <w:sz w:val="20"/>
              </w:rPr>
              <w:t>01</w:t>
            </w:r>
            <w:r>
              <w:rPr>
                <w:b/>
                <w:noProof/>
                <w:color w:val="C00000"/>
                <w:sz w:val="20"/>
              </w:rPr>
              <w:t>/</w:t>
            </w:r>
            <w:r w:rsidRPr="0090767E">
              <w:rPr>
                <w:b/>
                <w:noProof/>
                <w:color w:val="C00000"/>
                <w:sz w:val="20"/>
              </w:rPr>
              <w:t>07</w:t>
            </w:r>
            <w:r>
              <w:rPr>
                <w:b/>
                <w:noProof/>
                <w:color w:val="C00000"/>
                <w:sz w:val="20"/>
              </w:rPr>
              <w:t>/</w:t>
            </w:r>
            <w:r w:rsidRPr="0090767E">
              <w:rPr>
                <w:b/>
                <w:noProof/>
                <w:color w:val="C00000"/>
                <w:sz w:val="20"/>
              </w:rPr>
              <w:t>2025</w:t>
            </w:r>
            <w:r>
              <w:rPr>
                <w:b/>
                <w:noProof/>
                <w:color w:val="C00000"/>
                <w:sz w:val="20"/>
              </w:rPr>
              <w:t>*</w:t>
            </w:r>
          </w:p>
        </w:tc>
        <w:tc>
          <w:tcPr>
            <w:tcW w:w="1556" w:type="dxa"/>
            <w:tcBorders>
              <w:top w:val="single" w:sz="8" w:space="0" w:color="FFFFFF" w:themeColor="background1"/>
              <w:left w:val="single" w:sz="8" w:space="0" w:color="FFFFFF" w:themeColor="background1"/>
              <w:bottom w:val="single" w:sz="8" w:space="0" w:color="auto"/>
              <w:right w:val="single" w:sz="8" w:space="0" w:color="auto"/>
            </w:tcBorders>
            <w:shd w:val="clear" w:color="auto" w:fill="C6E0B4"/>
            <w:tcMar>
              <w:left w:w="70" w:type="dxa"/>
              <w:right w:w="70" w:type="dxa"/>
            </w:tcMar>
            <w:vAlign w:val="center"/>
          </w:tcPr>
          <w:p w14:paraId="458C180D" w14:textId="6FE8A595" w:rsidR="0D619399" w:rsidRPr="004E1DD0" w:rsidRDefault="0D619399" w:rsidP="0D619399">
            <w:pPr>
              <w:spacing w:after="0"/>
              <w:jc w:val="center"/>
              <w:rPr>
                <w:noProof/>
              </w:rPr>
            </w:pPr>
            <w:r w:rsidRPr="0090767E">
              <w:rPr>
                <w:noProof/>
                <w:color w:val="375623"/>
                <w:sz w:val="20"/>
              </w:rPr>
              <w:t>11</w:t>
            </w:r>
            <w:r>
              <w:rPr>
                <w:noProof/>
                <w:color w:val="375623"/>
                <w:sz w:val="20"/>
              </w:rPr>
              <w:t>/</w:t>
            </w:r>
            <w:r w:rsidRPr="0090767E">
              <w:rPr>
                <w:noProof/>
                <w:color w:val="375623"/>
                <w:sz w:val="20"/>
              </w:rPr>
              <w:t>06</w:t>
            </w:r>
            <w:r>
              <w:rPr>
                <w:noProof/>
                <w:color w:val="375623"/>
                <w:sz w:val="20"/>
              </w:rPr>
              <w:t>/</w:t>
            </w:r>
            <w:r w:rsidRPr="0090767E">
              <w:rPr>
                <w:noProof/>
                <w:color w:val="375623"/>
                <w:sz w:val="20"/>
              </w:rPr>
              <w:t>2016</w:t>
            </w:r>
          </w:p>
        </w:tc>
      </w:tr>
      <w:tr w:rsidR="0D619399" w:rsidRPr="004E1DD0" w14:paraId="6501F2F2" w14:textId="77777777" w:rsidTr="00F32997">
        <w:trPr>
          <w:trHeight w:hRule="exact" w:val="57"/>
        </w:trPr>
        <w:tc>
          <w:tcPr>
            <w:tcW w:w="1285" w:type="dxa"/>
            <w:tcMar>
              <w:left w:w="70" w:type="dxa"/>
              <w:right w:w="70" w:type="dxa"/>
            </w:tcMar>
            <w:vAlign w:val="center"/>
          </w:tcPr>
          <w:p w14:paraId="702497EE" w14:textId="53791A87" w:rsidR="0D619399" w:rsidRPr="004E1DD0" w:rsidRDefault="0D619399">
            <w:pPr>
              <w:rPr>
                <w:noProof/>
                <w:lang w:val="en-IE"/>
              </w:rPr>
            </w:pPr>
          </w:p>
        </w:tc>
        <w:tc>
          <w:tcPr>
            <w:tcW w:w="1554" w:type="dxa"/>
            <w:tcMar>
              <w:left w:w="70" w:type="dxa"/>
              <w:right w:w="70" w:type="dxa"/>
            </w:tcMar>
            <w:vAlign w:val="bottom"/>
          </w:tcPr>
          <w:p w14:paraId="391603CC" w14:textId="7B55BA9B" w:rsidR="0D619399" w:rsidRPr="004E1DD0" w:rsidRDefault="0D619399">
            <w:pPr>
              <w:rPr>
                <w:noProof/>
                <w:lang w:val="en-IE"/>
              </w:rPr>
            </w:pPr>
          </w:p>
        </w:tc>
        <w:tc>
          <w:tcPr>
            <w:tcW w:w="1554" w:type="dxa"/>
            <w:tcMar>
              <w:left w:w="70" w:type="dxa"/>
              <w:right w:w="70" w:type="dxa"/>
            </w:tcMar>
            <w:vAlign w:val="bottom"/>
          </w:tcPr>
          <w:p w14:paraId="69A0106A" w14:textId="203E86DD" w:rsidR="0D619399" w:rsidRPr="004E1DD0" w:rsidRDefault="0D619399">
            <w:pPr>
              <w:rPr>
                <w:noProof/>
                <w:lang w:val="en-IE"/>
              </w:rPr>
            </w:pPr>
          </w:p>
        </w:tc>
        <w:tc>
          <w:tcPr>
            <w:tcW w:w="1556" w:type="dxa"/>
            <w:tcMar>
              <w:left w:w="70" w:type="dxa"/>
              <w:right w:w="70" w:type="dxa"/>
            </w:tcMar>
            <w:vAlign w:val="bottom"/>
          </w:tcPr>
          <w:p w14:paraId="126D7E14" w14:textId="4DDAC8C8" w:rsidR="0D619399" w:rsidRPr="004E1DD0" w:rsidRDefault="0D619399">
            <w:pPr>
              <w:rPr>
                <w:noProof/>
                <w:lang w:val="en-IE"/>
              </w:rPr>
            </w:pPr>
          </w:p>
        </w:tc>
        <w:tc>
          <w:tcPr>
            <w:tcW w:w="1554" w:type="dxa"/>
            <w:tcMar>
              <w:left w:w="70" w:type="dxa"/>
              <w:right w:w="70" w:type="dxa"/>
            </w:tcMar>
            <w:vAlign w:val="bottom"/>
          </w:tcPr>
          <w:p w14:paraId="50EE5E64" w14:textId="44D1BC76" w:rsidR="0D619399" w:rsidRPr="004E1DD0" w:rsidRDefault="0D619399">
            <w:pPr>
              <w:rPr>
                <w:noProof/>
                <w:lang w:val="en-IE"/>
              </w:rPr>
            </w:pPr>
          </w:p>
        </w:tc>
        <w:tc>
          <w:tcPr>
            <w:tcW w:w="1556" w:type="dxa"/>
            <w:tcMar>
              <w:left w:w="70" w:type="dxa"/>
              <w:right w:w="70" w:type="dxa"/>
            </w:tcMar>
            <w:vAlign w:val="bottom"/>
          </w:tcPr>
          <w:p w14:paraId="28F092A3" w14:textId="5EE2BD49" w:rsidR="0D619399" w:rsidRPr="004E1DD0" w:rsidRDefault="0D619399">
            <w:pPr>
              <w:rPr>
                <w:noProof/>
                <w:lang w:val="en-IE"/>
              </w:rPr>
            </w:pPr>
          </w:p>
        </w:tc>
      </w:tr>
      <w:tr w:rsidR="0D619399" w:rsidRPr="004E1DD0" w14:paraId="6E252358" w14:textId="77777777" w:rsidTr="54AD8F9A">
        <w:trPr>
          <w:trHeight w:val="285"/>
        </w:trPr>
        <w:tc>
          <w:tcPr>
            <w:tcW w:w="9059" w:type="dxa"/>
            <w:gridSpan w:val="6"/>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5C6A5D" w14:textId="6C2E3DA6" w:rsidR="0D619399" w:rsidRPr="004E1DD0" w:rsidRDefault="0D619399" w:rsidP="0D619399">
            <w:pPr>
              <w:spacing w:after="0"/>
              <w:jc w:val="left"/>
              <w:rPr>
                <w:noProof/>
              </w:rPr>
            </w:pPr>
            <w:r>
              <w:rPr>
                <w:b/>
                <w:noProof/>
                <w:sz w:val="20"/>
              </w:rPr>
              <w:t>Eochair eolais</w:t>
            </w:r>
          </w:p>
        </w:tc>
      </w:tr>
      <w:tr w:rsidR="0D619399" w:rsidRPr="004E1DD0" w14:paraId="17A78A39" w14:textId="77777777" w:rsidTr="54AD8F9A">
        <w:trPr>
          <w:trHeight w:val="285"/>
        </w:trPr>
        <w:tc>
          <w:tcPr>
            <w:tcW w:w="1285" w:type="dxa"/>
            <w:tcBorders>
              <w:top w:val="single" w:sz="8" w:space="0" w:color="auto"/>
              <w:left w:val="single" w:sz="8" w:space="0" w:color="auto"/>
              <w:bottom w:val="single" w:sz="8" w:space="0" w:color="auto"/>
              <w:right w:val="single" w:sz="8" w:space="0" w:color="auto"/>
            </w:tcBorders>
            <w:shd w:val="clear" w:color="auto" w:fill="C6E0B4"/>
            <w:tcMar>
              <w:left w:w="70" w:type="dxa"/>
              <w:right w:w="70" w:type="dxa"/>
            </w:tcMar>
            <w:vAlign w:val="center"/>
          </w:tcPr>
          <w:p w14:paraId="120356CB" w14:textId="4F9FFD7C" w:rsidR="0D619399" w:rsidRPr="004E1DD0" w:rsidRDefault="0D619399" w:rsidP="0D619399">
            <w:pPr>
              <w:spacing w:after="0"/>
              <w:jc w:val="left"/>
              <w:rPr>
                <w:noProof/>
              </w:rPr>
            </w:pPr>
            <w:r>
              <w:rPr>
                <w:b/>
                <w:i/>
                <w:noProof/>
                <w:color w:val="757171"/>
                <w:sz w:val="20"/>
              </w:rPr>
              <w:t xml:space="preserve"> </w:t>
            </w:r>
          </w:p>
        </w:tc>
        <w:tc>
          <w:tcPr>
            <w:tcW w:w="7774" w:type="dxa"/>
            <w:gridSpan w:val="5"/>
            <w:tcBorders>
              <w:top w:val="nil"/>
              <w:left w:val="single" w:sz="8" w:space="0" w:color="auto"/>
              <w:bottom w:val="single" w:sz="8" w:space="0" w:color="auto"/>
              <w:right w:val="single" w:sz="8" w:space="0" w:color="auto"/>
            </w:tcBorders>
            <w:tcMar>
              <w:left w:w="70" w:type="dxa"/>
              <w:right w:w="70" w:type="dxa"/>
            </w:tcMar>
            <w:vAlign w:val="bottom"/>
          </w:tcPr>
          <w:p w14:paraId="0960F6F3" w14:textId="3FA41286" w:rsidR="0D619399" w:rsidRPr="004E1DD0" w:rsidRDefault="495213EA" w:rsidP="02BB932C">
            <w:pPr>
              <w:spacing w:after="0"/>
              <w:jc w:val="left"/>
              <w:rPr>
                <w:noProof/>
                <w:color w:val="000000" w:themeColor="text1"/>
                <w:sz w:val="20"/>
                <w:szCs w:val="20"/>
              </w:rPr>
            </w:pPr>
            <w:r>
              <w:rPr>
                <w:noProof/>
                <w:color w:val="000000" w:themeColor="text1"/>
                <w:sz w:val="20"/>
              </w:rPr>
              <w:t xml:space="preserve">Cuireadh an t‑imscaradh i gcrích faoin </w:t>
            </w:r>
            <w:r w:rsidRPr="0090767E">
              <w:rPr>
                <w:noProof/>
                <w:color w:val="000000" w:themeColor="text1"/>
                <w:sz w:val="20"/>
              </w:rPr>
              <w:t>31</w:t>
            </w:r>
            <w:r>
              <w:rPr>
                <w:noProof/>
                <w:color w:val="000000" w:themeColor="text1"/>
                <w:sz w:val="20"/>
              </w:rPr>
              <w:t>/</w:t>
            </w:r>
            <w:r w:rsidRPr="0090767E">
              <w:rPr>
                <w:noProof/>
                <w:color w:val="000000" w:themeColor="text1"/>
                <w:sz w:val="20"/>
              </w:rPr>
              <w:t>12</w:t>
            </w:r>
            <w:r>
              <w:rPr>
                <w:noProof/>
                <w:color w:val="000000" w:themeColor="text1"/>
                <w:sz w:val="20"/>
              </w:rPr>
              <w:t>/</w:t>
            </w:r>
            <w:r w:rsidRPr="0090767E">
              <w:rPr>
                <w:noProof/>
                <w:color w:val="000000" w:themeColor="text1"/>
                <w:sz w:val="20"/>
              </w:rPr>
              <w:t>2024</w:t>
            </w:r>
          </w:p>
        </w:tc>
      </w:tr>
      <w:tr w:rsidR="0D619399" w:rsidRPr="004E1DD0" w14:paraId="482D7C63" w14:textId="77777777" w:rsidTr="00F32997">
        <w:trPr>
          <w:trHeight w:val="285"/>
        </w:trPr>
        <w:tc>
          <w:tcPr>
            <w:tcW w:w="1285" w:type="dxa"/>
            <w:tcBorders>
              <w:top w:val="single" w:sz="8" w:space="0" w:color="auto"/>
              <w:left w:val="single" w:sz="8" w:space="0" w:color="auto"/>
              <w:bottom w:val="single" w:sz="8" w:space="0" w:color="auto"/>
              <w:right w:val="single" w:sz="8" w:space="0" w:color="auto"/>
            </w:tcBorders>
            <w:shd w:val="clear" w:color="auto" w:fill="FFCCCC"/>
            <w:tcMar>
              <w:left w:w="70" w:type="dxa"/>
              <w:right w:w="70" w:type="dxa"/>
            </w:tcMar>
            <w:vAlign w:val="center"/>
          </w:tcPr>
          <w:p w14:paraId="22D4A831" w14:textId="24D67F93" w:rsidR="0D619399" w:rsidRPr="004E1DD0" w:rsidRDefault="0D619399" w:rsidP="0D619399">
            <w:pPr>
              <w:spacing w:after="0"/>
              <w:jc w:val="left"/>
              <w:rPr>
                <w:noProof/>
              </w:rPr>
            </w:pPr>
            <w:r>
              <w:rPr>
                <w:noProof/>
                <w:color w:val="9C0006"/>
              </w:rPr>
              <w:t xml:space="preserve"> </w:t>
            </w:r>
          </w:p>
        </w:tc>
        <w:tc>
          <w:tcPr>
            <w:tcW w:w="7774" w:type="dxa"/>
            <w:gridSpan w:val="5"/>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BE20141" w14:textId="6A4A186E" w:rsidR="0D619399" w:rsidRPr="004E1DD0" w:rsidRDefault="0D619399" w:rsidP="02BB932C">
            <w:pPr>
              <w:spacing w:after="0"/>
              <w:jc w:val="left"/>
              <w:rPr>
                <w:noProof/>
                <w:color w:val="000000" w:themeColor="text1"/>
                <w:sz w:val="20"/>
                <w:szCs w:val="20"/>
              </w:rPr>
            </w:pPr>
            <w:r>
              <w:rPr>
                <w:noProof/>
                <w:color w:val="000000" w:themeColor="text1"/>
                <w:sz w:val="20"/>
              </w:rPr>
              <w:t xml:space="preserve">Níor cuireadh an t‑imscaradh i gcrích faoin </w:t>
            </w:r>
            <w:r w:rsidRPr="0090767E">
              <w:rPr>
                <w:noProof/>
                <w:color w:val="000000" w:themeColor="text1"/>
                <w:sz w:val="20"/>
              </w:rPr>
              <w:t>31</w:t>
            </w:r>
            <w:r>
              <w:rPr>
                <w:noProof/>
                <w:color w:val="000000" w:themeColor="text1"/>
                <w:sz w:val="20"/>
              </w:rPr>
              <w:t>/</w:t>
            </w:r>
            <w:r w:rsidRPr="0090767E">
              <w:rPr>
                <w:noProof/>
                <w:color w:val="000000" w:themeColor="text1"/>
                <w:sz w:val="20"/>
              </w:rPr>
              <w:t>12</w:t>
            </w:r>
            <w:r>
              <w:rPr>
                <w:noProof/>
                <w:color w:val="000000" w:themeColor="text1"/>
                <w:sz w:val="20"/>
              </w:rPr>
              <w:t>/</w:t>
            </w:r>
            <w:r w:rsidRPr="0090767E">
              <w:rPr>
                <w:noProof/>
                <w:color w:val="000000" w:themeColor="text1"/>
                <w:sz w:val="20"/>
              </w:rPr>
              <w:t>2024</w:t>
            </w:r>
            <w:r>
              <w:rPr>
                <w:noProof/>
                <w:color w:val="000000" w:themeColor="text1"/>
                <w:sz w:val="20"/>
              </w:rPr>
              <w:t xml:space="preserve"> </w:t>
            </w:r>
          </w:p>
        </w:tc>
      </w:tr>
      <w:tr w:rsidR="0D619399" w:rsidRPr="004E1DD0" w14:paraId="16B9E293" w14:textId="77777777" w:rsidTr="00F32997">
        <w:trPr>
          <w:trHeight w:val="285"/>
        </w:trPr>
        <w:tc>
          <w:tcPr>
            <w:tcW w:w="1285" w:type="dxa"/>
            <w:tcBorders>
              <w:top w:val="single" w:sz="8" w:space="0" w:color="auto"/>
              <w:left w:val="single" w:sz="8" w:space="0" w:color="auto"/>
              <w:bottom w:val="single" w:sz="12" w:space="0" w:color="auto"/>
              <w:right w:val="single" w:sz="8" w:space="0" w:color="auto"/>
            </w:tcBorders>
            <w:shd w:val="clear" w:color="auto" w:fill="D9D9D9" w:themeFill="background1" w:themeFillShade="D9"/>
            <w:tcMar>
              <w:left w:w="70" w:type="dxa"/>
              <w:right w:w="70" w:type="dxa"/>
            </w:tcMar>
            <w:vAlign w:val="bottom"/>
          </w:tcPr>
          <w:p w14:paraId="4F6E1881" w14:textId="1A36168F" w:rsidR="0D619399" w:rsidRPr="004E1DD0" w:rsidRDefault="0D619399" w:rsidP="0D619399">
            <w:pPr>
              <w:spacing w:after="0"/>
              <w:jc w:val="left"/>
              <w:rPr>
                <w:noProof/>
              </w:rPr>
            </w:pPr>
            <w:r>
              <w:rPr>
                <w:noProof/>
                <w:color w:val="000000" w:themeColor="text1"/>
                <w:sz w:val="20"/>
              </w:rPr>
              <w:t xml:space="preserve"> </w:t>
            </w:r>
          </w:p>
        </w:tc>
        <w:tc>
          <w:tcPr>
            <w:tcW w:w="7774" w:type="dxa"/>
            <w:gridSpan w:val="5"/>
            <w:tcBorders>
              <w:top w:val="single" w:sz="8" w:space="0" w:color="auto"/>
              <w:left w:val="single" w:sz="8" w:space="0" w:color="auto"/>
              <w:bottom w:val="single" w:sz="12" w:space="0" w:color="auto"/>
              <w:right w:val="single" w:sz="8" w:space="0" w:color="auto"/>
            </w:tcBorders>
            <w:tcMar>
              <w:left w:w="70" w:type="dxa"/>
              <w:right w:w="70" w:type="dxa"/>
            </w:tcMar>
            <w:vAlign w:val="bottom"/>
          </w:tcPr>
          <w:p w14:paraId="0DB33A44" w14:textId="47B08B66" w:rsidR="0D619399" w:rsidRPr="004E1DD0" w:rsidRDefault="0D619399" w:rsidP="0D619399">
            <w:pPr>
              <w:spacing w:after="0"/>
              <w:jc w:val="left"/>
              <w:rPr>
                <w:noProof/>
              </w:rPr>
            </w:pPr>
            <w:r>
              <w:rPr>
                <w:noProof/>
                <w:color w:val="000000" w:themeColor="text1"/>
                <w:sz w:val="20"/>
              </w:rPr>
              <w:t>Níor soláthraíodh aon dáta i bPleananna Tionscadail Náisiúnta nó níl an t‑imscaradh infheidhme</w:t>
            </w:r>
          </w:p>
        </w:tc>
      </w:tr>
    </w:tbl>
    <w:p w14:paraId="5926A280" w14:textId="379826C0" w:rsidR="0062240B" w:rsidRPr="004E1DD0" w:rsidRDefault="24D98012" w:rsidP="0062240B">
      <w:pPr>
        <w:pStyle w:val="Caption"/>
        <w:rPr>
          <w:noProof/>
        </w:rPr>
      </w:pPr>
      <w:r>
        <w:rPr>
          <w:noProof/>
        </w:rPr>
        <w:t>Fíor </w:t>
      </w:r>
      <w:r w:rsidRPr="0090767E">
        <w:rPr>
          <w:noProof/>
        </w:rPr>
        <w:t>4</w:t>
      </w:r>
      <w:r>
        <w:rPr>
          <w:noProof/>
        </w:rPr>
        <w:t>: Pleanáil maidir le córais iontrála nó allmhairiúcháin náisiúnta a imscaradh</w:t>
      </w:r>
    </w:p>
    <w:p w14:paraId="13850553" w14:textId="77777777" w:rsidR="00F32997" w:rsidRPr="004E1DD0" w:rsidRDefault="00F32997" w:rsidP="00F32997">
      <w:pPr>
        <w:rPr>
          <w:noProof/>
          <w:lang w:val="en-IE"/>
        </w:rPr>
      </w:pPr>
    </w:p>
    <w:p w14:paraId="0C7BBFB5" w14:textId="77777777" w:rsidR="006C7EE0" w:rsidRPr="004E1DD0" w:rsidRDefault="009421A6" w:rsidP="006C7EE0">
      <w:pPr>
        <w:spacing w:after="0"/>
        <w:rPr>
          <w:noProof/>
        </w:rPr>
      </w:pPr>
      <w:hyperlink r:id="rId23" w:anchor="_ftnref1">
        <w:r w:rsidR="006C7EE0">
          <w:rPr>
            <w:rStyle w:val="Hyperlink"/>
            <w:noProof/>
            <w:sz w:val="18"/>
            <w:vertAlign w:val="superscript"/>
          </w:rPr>
          <w:t>[</w:t>
        </w:r>
        <w:r w:rsidR="006C7EE0" w:rsidRPr="0090767E">
          <w:rPr>
            <w:rStyle w:val="Hyperlink"/>
            <w:noProof/>
            <w:sz w:val="18"/>
            <w:vertAlign w:val="superscript"/>
          </w:rPr>
          <w:t>1</w:t>
        </w:r>
        <w:r w:rsidR="006C7EE0">
          <w:rPr>
            <w:rStyle w:val="Hyperlink"/>
            <w:noProof/>
            <w:sz w:val="18"/>
            <w:vertAlign w:val="superscript"/>
          </w:rPr>
          <w:t>]</w:t>
        </w:r>
      </w:hyperlink>
      <w:r w:rsidR="006C7EE0">
        <w:rPr>
          <w:noProof/>
          <w:sz w:val="18"/>
        </w:rPr>
        <w:t xml:space="preserve"> Go dtí an </w:t>
      </w:r>
      <w:r w:rsidR="006C7EE0" w:rsidRPr="0090767E">
        <w:rPr>
          <w:noProof/>
          <w:sz w:val="18"/>
        </w:rPr>
        <w:t>31</w:t>
      </w:r>
      <w:r w:rsidR="006C7EE0">
        <w:rPr>
          <w:noProof/>
          <w:sz w:val="18"/>
        </w:rPr>
        <w:t>/</w:t>
      </w:r>
      <w:r w:rsidR="006C7EE0" w:rsidRPr="0090767E">
        <w:rPr>
          <w:noProof/>
          <w:sz w:val="18"/>
        </w:rPr>
        <w:t>12</w:t>
      </w:r>
      <w:r w:rsidR="006C7EE0">
        <w:rPr>
          <w:noProof/>
          <w:sz w:val="18"/>
        </w:rPr>
        <w:t>/</w:t>
      </w:r>
      <w:r w:rsidR="006C7EE0" w:rsidRPr="0090767E">
        <w:rPr>
          <w:noProof/>
          <w:sz w:val="18"/>
        </w:rPr>
        <w:t>2023</w:t>
      </w:r>
      <w:r w:rsidR="006C7EE0">
        <w:rPr>
          <w:noProof/>
          <w:sz w:val="18"/>
        </w:rPr>
        <w:t xml:space="preserve"> i gcás na mBallstát ar deonaíodh maolú dóibh. Ina theannta sin, sholáthair FI agus GR dátaí i ráithí, dá bhrí sin, má thagann an ráithe laistigh de sprioc‑am Chlár Oibre Chód Custaim an Aontais measadh go bhfuil sí comhréireach.</w:t>
      </w:r>
    </w:p>
    <w:p w14:paraId="02762AD8" w14:textId="0113F075" w:rsidR="006C7EE0" w:rsidRPr="004E1DD0" w:rsidRDefault="009421A6" w:rsidP="006C7EE0">
      <w:pPr>
        <w:spacing w:after="0"/>
        <w:rPr>
          <w:noProof/>
          <w:sz w:val="18"/>
          <w:szCs w:val="18"/>
        </w:rPr>
      </w:pPr>
      <w:hyperlink r:id="rId24" w:anchor="_ftnref2">
        <w:r w:rsidR="006C7EE0">
          <w:rPr>
            <w:rStyle w:val="Hyperlink"/>
            <w:noProof/>
            <w:sz w:val="18"/>
            <w:vertAlign w:val="superscript"/>
          </w:rPr>
          <w:t>[</w:t>
        </w:r>
        <w:r w:rsidR="006C7EE0" w:rsidRPr="0090767E">
          <w:rPr>
            <w:rStyle w:val="Hyperlink"/>
            <w:noProof/>
            <w:sz w:val="18"/>
            <w:vertAlign w:val="superscript"/>
          </w:rPr>
          <w:t>2</w:t>
        </w:r>
        <w:r w:rsidR="006C7EE0">
          <w:rPr>
            <w:rStyle w:val="Hyperlink"/>
            <w:noProof/>
            <w:sz w:val="18"/>
            <w:vertAlign w:val="superscript"/>
          </w:rPr>
          <w:t>]</w:t>
        </w:r>
      </w:hyperlink>
      <w:r w:rsidR="006C7EE0">
        <w:rPr>
          <w:noProof/>
          <w:sz w:val="18"/>
        </w:rPr>
        <w:t xml:space="preserve"> Go dtí an </w:t>
      </w:r>
      <w:r w:rsidR="006C7EE0" w:rsidRPr="0090767E">
        <w:rPr>
          <w:noProof/>
          <w:sz w:val="18"/>
        </w:rPr>
        <w:t>31</w:t>
      </w:r>
      <w:r w:rsidR="006C7EE0">
        <w:rPr>
          <w:noProof/>
          <w:sz w:val="18"/>
        </w:rPr>
        <w:t>/</w:t>
      </w:r>
      <w:r w:rsidR="006C7EE0" w:rsidRPr="0090767E">
        <w:rPr>
          <w:noProof/>
          <w:sz w:val="18"/>
        </w:rPr>
        <w:t>12</w:t>
      </w:r>
      <w:r w:rsidR="006C7EE0">
        <w:rPr>
          <w:noProof/>
          <w:sz w:val="18"/>
        </w:rPr>
        <w:t>/</w:t>
      </w:r>
      <w:r w:rsidR="006C7EE0" w:rsidRPr="0090767E">
        <w:rPr>
          <w:noProof/>
          <w:sz w:val="18"/>
        </w:rPr>
        <w:t>2023</w:t>
      </w:r>
      <w:r w:rsidR="006C7EE0">
        <w:rPr>
          <w:noProof/>
          <w:sz w:val="18"/>
        </w:rPr>
        <w:t xml:space="preserve"> le haghaidh na mBallstát ar deonaíodh maolú dóibh nó go dtí an </w:t>
      </w:r>
      <w:r w:rsidR="006C7EE0" w:rsidRPr="0090767E">
        <w:rPr>
          <w:noProof/>
          <w:sz w:val="18"/>
        </w:rPr>
        <w:t>1</w:t>
      </w:r>
      <w:r w:rsidR="006C7EE0">
        <w:rPr>
          <w:noProof/>
          <w:sz w:val="18"/>
        </w:rPr>
        <w:t>/</w:t>
      </w:r>
      <w:r w:rsidR="006C7EE0" w:rsidRPr="0090767E">
        <w:rPr>
          <w:noProof/>
          <w:sz w:val="18"/>
        </w:rPr>
        <w:t>7</w:t>
      </w:r>
      <w:r w:rsidR="006C7EE0">
        <w:rPr>
          <w:noProof/>
          <w:sz w:val="18"/>
        </w:rPr>
        <w:t>/</w:t>
      </w:r>
      <w:r w:rsidR="006C7EE0" w:rsidRPr="0090767E">
        <w:rPr>
          <w:noProof/>
          <w:sz w:val="18"/>
        </w:rPr>
        <w:t>2024</w:t>
      </w:r>
      <w:r w:rsidR="006C7EE0">
        <w:rPr>
          <w:noProof/>
          <w:sz w:val="18"/>
        </w:rPr>
        <w:t>, i gcás ina bhfuil feidhm ag Airteagal </w:t>
      </w:r>
      <w:r w:rsidR="006C7EE0" w:rsidRPr="0090767E">
        <w:rPr>
          <w:noProof/>
          <w:sz w:val="18"/>
        </w:rPr>
        <w:t>2</w:t>
      </w:r>
      <w:r w:rsidR="006C7EE0">
        <w:rPr>
          <w:noProof/>
          <w:sz w:val="18"/>
        </w:rPr>
        <w:t>(</w:t>
      </w:r>
      <w:r w:rsidR="006C7EE0" w:rsidRPr="0090767E">
        <w:rPr>
          <w:noProof/>
          <w:sz w:val="18"/>
        </w:rPr>
        <w:t>4</w:t>
      </w:r>
      <w:r w:rsidR="006C7EE0">
        <w:rPr>
          <w:noProof/>
          <w:sz w:val="18"/>
        </w:rPr>
        <w:t>a) de Rialachán Tarmligthe (AE) </w:t>
      </w:r>
      <w:r w:rsidR="006C7EE0" w:rsidRPr="0090767E">
        <w:rPr>
          <w:noProof/>
          <w:sz w:val="18"/>
        </w:rPr>
        <w:t>2015</w:t>
      </w:r>
      <w:r w:rsidR="006C7EE0">
        <w:rPr>
          <w:noProof/>
          <w:sz w:val="18"/>
        </w:rPr>
        <w:t>/</w:t>
      </w:r>
      <w:r w:rsidR="006C7EE0" w:rsidRPr="0090767E">
        <w:rPr>
          <w:noProof/>
          <w:sz w:val="18"/>
        </w:rPr>
        <w:t>2446</w:t>
      </w:r>
      <w:r w:rsidR="006C7EE0">
        <w:rPr>
          <w:noProof/>
          <w:sz w:val="18"/>
        </w:rPr>
        <w:t xml:space="preserve"> ón gCoimisiún.</w:t>
      </w:r>
    </w:p>
    <w:p w14:paraId="7F12A8AB" w14:textId="70E1D7A4" w:rsidR="00A55DD5" w:rsidRPr="004E1DD0" w:rsidRDefault="00A55DD5" w:rsidP="006C7EE0">
      <w:pPr>
        <w:spacing w:after="0"/>
        <w:rPr>
          <w:noProof/>
        </w:rPr>
      </w:pPr>
      <w:r>
        <w:rPr>
          <w:noProof/>
          <w:sz w:val="18"/>
        </w:rPr>
        <w:t>* Uasghrádaíodh an córas náisiúnta in am ach ceanglaítear é a ailíniú a thuilleadh le Cód Custaim an Aontais agus Samhail Sonraí Custaim an Aontais.</w:t>
      </w:r>
    </w:p>
    <w:p w14:paraId="10665F5A" w14:textId="77777777" w:rsidR="006C7EE0" w:rsidRPr="004E1DD0" w:rsidRDefault="006C7EE0" w:rsidP="006C7EE0">
      <w:pPr>
        <w:rPr>
          <w:noProof/>
          <w:lang w:val="en-IE"/>
        </w:rPr>
      </w:pPr>
    </w:p>
    <w:p w14:paraId="6829851E" w14:textId="566B5392" w:rsidR="006C7EE0" w:rsidRPr="004E1DD0" w:rsidRDefault="006C7EE0" w:rsidP="006C7EE0">
      <w:pPr>
        <w:rPr>
          <w:noProof/>
        </w:rPr>
        <w:sectPr w:rsidR="006C7EE0" w:rsidRPr="004E1DD0" w:rsidSect="00C67353">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418" w:left="1418" w:header="709" w:footer="709" w:gutter="0"/>
          <w:cols w:space="720"/>
          <w:docGrid w:linePitch="360"/>
        </w:sectPr>
      </w:pPr>
      <w:r>
        <w:rPr>
          <w:b/>
          <w:noProof/>
        </w:rPr>
        <w:t>Mar achoimre</w:t>
      </w:r>
      <w:r>
        <w:rPr>
          <w:noProof/>
        </w:rPr>
        <w:t>, tá na Ballstáit i mbun uasghrádú ar a dtrí thionscadal lán‑náisiúnta a thabhairt chun críche. Thuairiscigh líon nach beag Ballstát moilleanna, le haghaidh Stóráil Shealadach den chuid is mó, uasghrádú an Chórais Allmhairiúcháin Náisiúnta, agus Nósanna Imeachta Speisialta – Comhpháirt </w:t>
      </w:r>
      <w:r w:rsidRPr="0090767E">
        <w:rPr>
          <w:noProof/>
        </w:rPr>
        <w:t>2</w:t>
      </w:r>
      <w:r>
        <w:rPr>
          <w:noProof/>
        </w:rPr>
        <w:t xml:space="preserve">, rud a d’fhág go raibh imscaradh ann a théann níos faide ná sprioc‑amanna </w:t>
      </w:r>
      <w:r w:rsidRPr="0090767E">
        <w:rPr>
          <w:noProof/>
        </w:rPr>
        <w:t>2023</w:t>
      </w:r>
      <w:r>
        <w:rPr>
          <w:noProof/>
        </w:rPr>
        <w:t xml:space="preserve">. Dá réir sin, déantar difear d’fhearainn eile, amhail córas CCI ós rud é go bhfuil uasghrádú an Chórais Allmhairiúcháin Náisiúnta ina réamhriachtanas tábhachtach chun an córas leictreonach a imscaradh. </w:t>
      </w:r>
    </w:p>
    <w:p w14:paraId="37EBD8F2" w14:textId="53E2152A" w:rsidR="00282B17" w:rsidRPr="004E1DD0" w:rsidRDefault="00476090" w:rsidP="00866FC3">
      <w:pPr>
        <w:pStyle w:val="Heading3"/>
        <w:numPr>
          <w:ilvl w:val="1"/>
          <w:numId w:val="4"/>
        </w:numPr>
        <w:spacing w:before="240" w:after="240"/>
        <w:ind w:left="567" w:hanging="567"/>
        <w:jc w:val="left"/>
        <w:rPr>
          <w:rFonts w:eastAsia="PMingLiU" w:cs="Times New Roman"/>
          <w:caps/>
          <w:noProof/>
          <w:szCs w:val="32"/>
        </w:rPr>
      </w:pPr>
      <w:bookmarkStart w:id="24" w:name="_Ref137453230"/>
      <w:bookmarkStart w:id="25" w:name="_Ref137453236"/>
      <w:bookmarkStart w:id="26" w:name="_Ref137463351"/>
      <w:bookmarkStart w:id="27" w:name="_Ref137463828"/>
      <w:bookmarkStart w:id="28" w:name="_Ref137491743"/>
      <w:bookmarkStart w:id="29" w:name="_Toc209611073"/>
      <w:r>
        <w:rPr>
          <w:caps/>
          <w:noProof/>
        </w:rPr>
        <w:t>Rioscaí maidir le moilleanna ar chur chun feidhme TF Chód Custaim an Aontais</w:t>
      </w:r>
      <w:bookmarkEnd w:id="24"/>
      <w:bookmarkEnd w:id="25"/>
      <w:bookmarkEnd w:id="26"/>
      <w:bookmarkEnd w:id="27"/>
      <w:bookmarkEnd w:id="28"/>
      <w:bookmarkEnd w:id="29"/>
    </w:p>
    <w:p w14:paraId="40D8CCAC" w14:textId="401C44D1" w:rsidR="006F0146" w:rsidRPr="004E1DD0" w:rsidRDefault="684D1524" w:rsidP="00FB3EC8">
      <w:pPr>
        <w:rPr>
          <w:noProof/>
        </w:rPr>
      </w:pPr>
      <w:r>
        <w:rPr>
          <w:noProof/>
        </w:rPr>
        <w:t xml:space="preserve">Tá dul chun cinn á dhéanamh ag an </w:t>
      </w:r>
      <w:r>
        <w:rPr>
          <w:b/>
          <w:noProof/>
        </w:rPr>
        <w:t>gCoimisiún</w:t>
      </w:r>
      <w:r>
        <w:rPr>
          <w:noProof/>
        </w:rPr>
        <w:t xml:space="preserve"> mar </w:t>
      </w:r>
      <w:r>
        <w:rPr>
          <w:b/>
          <w:noProof/>
        </w:rPr>
        <w:t>a bhí beartaithe</w:t>
      </w:r>
      <w:r>
        <w:rPr>
          <w:noProof/>
        </w:rPr>
        <w:t xml:space="preserve"> agus níor sainaithníodh aon mhoill tar éis an spriocdháta dhlíthiúil agus níor sainaithníodh aon riosca a d’fhéadfadh moill a chur ar imscaradh. Bíonn tionchar ag moilleanna a bhíonn ag na Ballstáit ar dhul chun cinn na gcóras tras-Eorpach amhail </w:t>
      </w:r>
      <w:r>
        <w:rPr>
          <w:i/>
          <w:noProof/>
        </w:rPr>
        <w:t>ICS</w:t>
      </w:r>
      <w:r w:rsidRPr="0090767E">
        <w:rPr>
          <w:i/>
          <w:noProof/>
        </w:rPr>
        <w:t>2</w:t>
      </w:r>
      <w:r>
        <w:rPr>
          <w:noProof/>
        </w:rPr>
        <w:t xml:space="preserve">, </w:t>
      </w:r>
      <w:r>
        <w:rPr>
          <w:i/>
          <w:noProof/>
        </w:rPr>
        <w:t>CCI</w:t>
      </w:r>
      <w:r>
        <w:rPr>
          <w:noProof/>
        </w:rPr>
        <w:t xml:space="preserve">, </w:t>
      </w:r>
      <w:r>
        <w:rPr>
          <w:i/>
          <w:noProof/>
        </w:rPr>
        <w:t>Córas Nua Ríomhchuidithe Idirthurais,</w:t>
      </w:r>
      <w:r>
        <w:rPr>
          <w:noProof/>
        </w:rPr>
        <w:t xml:space="preserve"> agus </w:t>
      </w:r>
      <w:r>
        <w:rPr>
          <w:i/>
          <w:noProof/>
        </w:rPr>
        <w:t>AES</w:t>
      </w:r>
      <w:r>
        <w:rPr>
          <w:noProof/>
        </w:rPr>
        <w:t xml:space="preserve"> ina n‑iomláine, rud a imríonn tionchar ar na gníomhaíochtaí faoi raon feidhme gníomhaíochta an Choimisiúin. Is é a thagann as sin níos mó acmhainní infheistíochta atá dírithe ar thástáil comhréireachta, comhordú agus gníomhaíochtaí tacaíochta le haghaidh na dtionscadal tras‑Eorpach. Ina theannta sin, chuige sin éilítear tuilleadh cúnaimh, agus forbairt náisiúnta mhalartach, scéimeanna imscartha agus faireachán ann, chomh maith le cothabháil leathnaithe ar chomhpháirteanna lárnacha le linn idirthréimhsí.</w:t>
      </w:r>
    </w:p>
    <w:p w14:paraId="40C99826" w14:textId="7F1FF45E" w:rsidR="00CD510E" w:rsidRDefault="00F767E8" w:rsidP="00D23631">
      <w:pPr>
        <w:rPr>
          <w:noProof/>
        </w:rPr>
      </w:pPr>
      <w:r>
        <w:rPr>
          <w:noProof/>
        </w:rPr>
        <w:t xml:space="preserve">Tá </w:t>
      </w:r>
      <w:r>
        <w:rPr>
          <w:b/>
          <w:noProof/>
        </w:rPr>
        <w:t xml:space="preserve">dul chun cinn á dhéanamh go daingean agus de réir a chéile </w:t>
      </w:r>
      <w:r>
        <w:rPr>
          <w:noProof/>
        </w:rPr>
        <w:t xml:space="preserve">ag formhór na mBallstát maidir leis na forbairtí atá faoina bhfreagracht, cé go bhfuil </w:t>
      </w:r>
      <w:r>
        <w:rPr>
          <w:b/>
          <w:noProof/>
        </w:rPr>
        <w:t>dul chun cinn á dhéanamh ag cuid acu ar luas níos moille</w:t>
      </w:r>
      <w:r>
        <w:rPr>
          <w:noProof/>
        </w:rPr>
        <w:t xml:space="preserve"> ná mar a bhí beartaithe i dtús agus níor bhain cuid acu úsáid leordhóthanach as na tréimhsí leathnaithe a sholáthraítear le Clár Oibre Chód Custaim an Aontais </w:t>
      </w:r>
      <w:r w:rsidRPr="0090767E">
        <w:rPr>
          <w:noProof/>
        </w:rPr>
        <w:t>2023</w:t>
      </w:r>
      <w:r>
        <w:rPr>
          <w:noProof/>
        </w:rPr>
        <w:t xml:space="preserve">. Mar thoradh air sin, </w:t>
      </w:r>
      <w:r>
        <w:rPr>
          <w:b/>
          <w:noProof/>
        </w:rPr>
        <w:t>tuairiscíodh moilleanna tar éis na sprioc‑amanna dlíthiúla nó maolaithe</w:t>
      </w:r>
      <w:r>
        <w:rPr>
          <w:noProof/>
        </w:rPr>
        <w:t xml:space="preserve"> i roinnt tionscadal náisiúnta agus tras‑Eorpach</w:t>
      </w:r>
      <w:r>
        <w:rPr>
          <w:rFonts w:ascii="Source Sans Pro" w:hAnsi="Source Sans Pro"/>
          <w:noProof/>
          <w:color w:val="1F2937"/>
          <w:shd w:val="clear" w:color="auto" w:fill="F9FAFB"/>
        </w:rPr>
        <w:t>.</w:t>
      </w:r>
      <w:r>
        <w:rPr>
          <w:noProof/>
        </w:rPr>
        <w:t xml:space="preserve"> </w:t>
      </w:r>
    </w:p>
    <w:p w14:paraId="2ACFD106" w14:textId="1788DE92" w:rsidR="0028644C" w:rsidRPr="004E1DD0" w:rsidRDefault="001F69EF" w:rsidP="0028644C">
      <w:pPr>
        <w:rPr>
          <w:noProof/>
        </w:rPr>
      </w:pPr>
      <w:r>
        <w:rPr>
          <w:noProof/>
        </w:rPr>
        <w:t xml:space="preserve">Tá dul chun cinn suntasach déanta ag formhór na mBallstát i bhforbairt na gcóras tras‑Eorpach agus bhí roinnt acu ag iarraidh a gcórais a imscaradh faoi dheireadh </w:t>
      </w:r>
      <w:r w:rsidRPr="0090767E">
        <w:rPr>
          <w:noProof/>
        </w:rPr>
        <w:t>2023</w:t>
      </w:r>
      <w:r>
        <w:rPr>
          <w:noProof/>
        </w:rPr>
        <w:t xml:space="preserve"> i gcomhréir leis na sprioc‑amanna tosaigh agus na maoluithe a cuireadh ar fáil. Mar sin féin, tá moilleanna fós ar chuid acu in </w:t>
      </w:r>
      <w:r w:rsidRPr="0090767E">
        <w:rPr>
          <w:noProof/>
        </w:rPr>
        <w:t>2024</w:t>
      </w:r>
      <w:r>
        <w:rPr>
          <w:noProof/>
        </w:rPr>
        <w:t xml:space="preserve">, agus is é a thagann as sin go bhfuil a gcuid pleananna imscartha á mbrú chuig deireadh na tréimhse imscartha nó ina dhiaidh sin. D’áitigh an Coimisiún go gcloífí go docht lena bPleananna Tionscadail Náisiúnta le haghaidh imscaradh tráthúil. </w:t>
      </w:r>
    </w:p>
    <w:p w14:paraId="555AADAF" w14:textId="603CB714" w:rsidR="00003A29" w:rsidRPr="004E1DD0" w:rsidRDefault="7CA51D6D" w:rsidP="00CD510E">
      <w:pPr>
        <w:rPr>
          <w:noProof/>
        </w:rPr>
      </w:pPr>
      <w:r>
        <w:rPr>
          <w:noProof/>
        </w:rPr>
        <w:t xml:space="preserve">Sholáthair na Ballstáit roinnt foras chun bonn cirt a thabhairt leis na moilleanna, ar moilleanna athfhillteacha an chuid is mó acu. Orthu sin áirítear easpa acmhainní airgeadais agus daonna, tosaíochtaí iomaíocha agus idirspleáchais idir córais. Ina theannta sin, thuairiscigh na Ballstáit nach raibh bonneagair TF náisiúnta in ann déileáil le riachtanais theicniúla na dtionscadal, saincheisteanna acmhainneachta conraitheoirí agus spleáchais ar pháirtithe leasmhara eile. Thairis sin, ar na tosca eile a bhí ina rannchuidiú áirítear tréimhsí tástála comhréireachta leathnaithe, ullmhacht trádálaithe, glaonna ar thairiscintí ar ar cuireadh moill nó nach raibh rathúil, nósanna imeachta soláthair phoiblí troma, saincheisteanna rialachais agus comhtháthú córas casta. </w:t>
      </w:r>
    </w:p>
    <w:p w14:paraId="04189F51" w14:textId="45D2EE52" w:rsidR="00343A5B" w:rsidRPr="004E1DD0" w:rsidRDefault="005970A3" w:rsidP="000A690D">
      <w:pPr>
        <w:rPr>
          <w:noProof/>
        </w:rPr>
      </w:pPr>
      <w:r>
        <w:rPr>
          <w:b/>
          <w:noProof/>
        </w:rPr>
        <w:t xml:space="preserve">A mhéid a bhaineann leis na tionscadail iontrála agus allmhairiúcháin náisiúnta, </w:t>
      </w:r>
      <w:r>
        <w:rPr>
          <w:noProof/>
        </w:rPr>
        <w:t>leagadh amach sna tuarascálacha roimhe sin agus i Roinn </w:t>
      </w:r>
      <w:r w:rsidRPr="0090767E">
        <w:rPr>
          <w:noProof/>
        </w:rPr>
        <w:t>4</w:t>
      </w:r>
      <w:r>
        <w:rPr>
          <w:noProof/>
        </w:rPr>
        <w:t>.</w:t>
      </w:r>
      <w:r w:rsidRPr="0090767E">
        <w:rPr>
          <w:noProof/>
        </w:rPr>
        <w:t>2</w:t>
      </w:r>
      <w:r>
        <w:rPr>
          <w:noProof/>
        </w:rPr>
        <w:t xml:space="preserve"> gur</w:t>
      </w:r>
      <w:r>
        <w:rPr>
          <w:b/>
          <w:noProof/>
        </w:rPr>
        <w:t xml:space="preserve"> </w:t>
      </w:r>
      <w:r>
        <w:rPr>
          <w:noProof/>
        </w:rPr>
        <w:t xml:space="preserve">chuir na Ballstáit iarrataí foirmiúla isteach ar mhaoluithe maidir le moilleanna lastall de sprioc‑amanna dlíthiúla ina dtionscadail náisiúnta, lenar leathnaíodh an sprioc‑am go dtí an </w:t>
      </w:r>
      <w:r w:rsidRPr="0090767E">
        <w:rPr>
          <w:noProof/>
        </w:rPr>
        <w:t>31</w:t>
      </w:r>
      <w:r>
        <w:rPr>
          <w:noProof/>
        </w:rPr>
        <w:t> Nollaig </w:t>
      </w:r>
      <w:r w:rsidRPr="0090767E">
        <w:rPr>
          <w:noProof/>
        </w:rPr>
        <w:t>2023</w:t>
      </w:r>
      <w:r>
        <w:rPr>
          <w:rStyle w:val="FootnoteReference"/>
          <w:noProof/>
          <w:lang w:val="en-IE"/>
        </w:rPr>
        <w:footnoteReference w:id="13"/>
      </w:r>
      <w:r>
        <w:rPr>
          <w:noProof/>
        </w:rPr>
        <w:t xml:space="preserve">.  </w:t>
      </w:r>
    </w:p>
    <w:p w14:paraId="4FCF4296" w14:textId="201EB421" w:rsidR="005970A3" w:rsidRPr="004E1DD0" w:rsidRDefault="00A55DD5" w:rsidP="003029EE">
      <w:pPr>
        <w:rPr>
          <w:noProof/>
        </w:rPr>
      </w:pPr>
      <w:r>
        <w:rPr>
          <w:noProof/>
        </w:rPr>
        <w:t>Leis an bhfaisnéis a sholáthraítear i bhFíor </w:t>
      </w:r>
      <w:r w:rsidRPr="0090767E">
        <w:rPr>
          <w:noProof/>
        </w:rPr>
        <w:t>4</w:t>
      </w:r>
      <w:r>
        <w:rPr>
          <w:noProof/>
        </w:rPr>
        <w:t xml:space="preserve"> taispeántar go bhfuil na Ballstáit seo a leanas déanach le haghaidh tionscadal amháin nó níos mó: AT, CZ, DK, GR, agus d’éiligh Ballstáit áirithe tuilleadh uasghrádaithe ar a gcóras chun bheith go hiomlán ailínithe le Cód Custaim an Aontais.</w:t>
      </w:r>
    </w:p>
    <w:p w14:paraId="6B96D02F" w14:textId="0F321296" w:rsidR="004772B4" w:rsidRPr="004E1DD0" w:rsidRDefault="003B02C3" w:rsidP="004772B4">
      <w:pPr>
        <w:rPr>
          <w:b/>
          <w:bCs/>
          <w:noProof/>
          <w:color w:val="000000" w:themeColor="text1"/>
        </w:rPr>
      </w:pPr>
      <w:r>
        <w:rPr>
          <w:b/>
          <w:noProof/>
          <w:color w:val="000000" w:themeColor="text1"/>
        </w:rPr>
        <w:t xml:space="preserve">A mhéid a bhaineann leis na tionscadail thras‑Eorpacha </w:t>
      </w:r>
      <w:r>
        <w:rPr>
          <w:noProof/>
          <w:color w:val="000000" w:themeColor="text1"/>
        </w:rPr>
        <w:t xml:space="preserve">a mhionsonraítear i Roinn </w:t>
      </w:r>
      <w:r>
        <w:rPr>
          <w:noProof/>
          <w:color w:val="000000" w:themeColor="text1"/>
        </w:rPr>
        <w:fldChar w:fldCharType="begin"/>
      </w:r>
      <w:r>
        <w:rPr>
          <w:noProof/>
          <w:color w:val="000000" w:themeColor="text1"/>
        </w:rPr>
        <w:instrText xml:space="preserve"> REF _Ref201910728 \r \h  \* MERGEFORMAT </w:instrText>
      </w:r>
      <w:r>
        <w:rPr>
          <w:noProof/>
          <w:color w:val="000000" w:themeColor="text1"/>
        </w:rPr>
      </w:r>
      <w:r>
        <w:rPr>
          <w:noProof/>
          <w:color w:val="000000" w:themeColor="text1"/>
        </w:rPr>
        <w:fldChar w:fldCharType="separate"/>
      </w:r>
      <w:r w:rsidRPr="0090767E">
        <w:rPr>
          <w:noProof/>
          <w:color w:val="000000" w:themeColor="text1"/>
        </w:rPr>
        <w:t>4</w:t>
      </w:r>
      <w:r>
        <w:rPr>
          <w:noProof/>
          <w:color w:val="000000" w:themeColor="text1"/>
        </w:rPr>
        <w:t>.</w:t>
      </w:r>
      <w:r w:rsidRPr="0090767E">
        <w:rPr>
          <w:noProof/>
          <w:color w:val="000000" w:themeColor="text1"/>
        </w:rPr>
        <w:t>2</w:t>
      </w:r>
      <w:r>
        <w:rPr>
          <w:noProof/>
          <w:color w:val="000000" w:themeColor="text1"/>
        </w:rPr>
        <w:fldChar w:fldCharType="end"/>
      </w:r>
      <w:r>
        <w:rPr>
          <w:b/>
          <w:noProof/>
          <w:color w:val="000000" w:themeColor="text1"/>
        </w:rPr>
        <w:t>,</w:t>
      </w:r>
      <w:r>
        <w:rPr>
          <w:noProof/>
          <w:color w:val="000000" w:themeColor="text1"/>
        </w:rPr>
        <w:t xml:space="preserve"> agus a léirítear sa </w:t>
      </w:r>
      <w:r>
        <w:rPr>
          <w:noProof/>
        </w:rPr>
        <w:t xml:space="preserve">Doiciméad Inmheánach Oibre </w:t>
      </w:r>
      <w:r>
        <w:rPr>
          <w:noProof/>
          <w:color w:val="000000" w:themeColor="text1"/>
        </w:rPr>
        <w:t xml:space="preserve">de chuid an Choimisiúin, </w:t>
      </w:r>
      <w:r>
        <w:rPr>
          <w:b/>
          <w:noProof/>
          <w:color w:val="000000" w:themeColor="text1"/>
        </w:rPr>
        <w:t>chuir Ballstáit éagsúla an Coimisiún ar an eolas faoi na moilleanna seo a leanas:</w:t>
      </w:r>
    </w:p>
    <w:p w14:paraId="169BAA1A" w14:textId="78CF35F1" w:rsidR="00062139" w:rsidRPr="004E1DD0" w:rsidRDefault="00062139" w:rsidP="703B235F">
      <w:pPr>
        <w:numPr>
          <w:ilvl w:val="0"/>
          <w:numId w:val="15"/>
        </w:numPr>
        <w:rPr>
          <w:noProof/>
        </w:rPr>
      </w:pPr>
      <w:r>
        <w:rPr>
          <w:noProof/>
        </w:rPr>
        <w:t xml:space="preserve">Le haghaidh chur chun feidhme </w:t>
      </w:r>
      <w:r>
        <w:rPr>
          <w:b/>
          <w:i/>
          <w:noProof/>
        </w:rPr>
        <w:t>Nósanna Imeachta Speisialta – Comhpháirt </w:t>
      </w:r>
      <w:r w:rsidRPr="0090767E">
        <w:rPr>
          <w:b/>
          <w:i/>
          <w:noProof/>
        </w:rPr>
        <w:t>1</w:t>
      </w:r>
      <w:r>
        <w:rPr>
          <w:noProof/>
        </w:rPr>
        <w:t>, tá dáta oibríochta beartaithe nó iarbhír ag na Ballstáit seo a leanas atá níos déanaí ná an sprioc‑am i gClár Oibre Chód Custaim an Aontais: AT, CY, DK, FI, FR, GR, HU, IT, LT, LU, MT, PT, RO, SE agus SK. Chun níos mó mionsonraí a fháil, tagair do roinn </w:t>
      </w:r>
      <w:r w:rsidRPr="0090767E">
        <w:rPr>
          <w:noProof/>
        </w:rPr>
        <w:t>3</w:t>
      </w:r>
      <w:r>
        <w:rPr>
          <w:noProof/>
        </w:rPr>
        <w:t>.</w:t>
      </w:r>
      <w:r w:rsidRPr="0090767E">
        <w:rPr>
          <w:noProof/>
        </w:rPr>
        <w:t>3</w:t>
      </w:r>
      <w:r>
        <w:rPr>
          <w:noProof/>
        </w:rPr>
        <w:t xml:space="preserve"> den </w:t>
      </w:r>
      <w:r>
        <w:rPr>
          <w:noProof/>
          <w:color w:val="000000" w:themeColor="text1"/>
        </w:rPr>
        <w:t>Doiciméad Inmheánach Oibre</w:t>
      </w:r>
      <w:r>
        <w:rPr>
          <w:noProof/>
        </w:rPr>
        <w:t xml:space="preserve"> de chuid an Choimisiúin a ghabhann leis an tuarascáil seo.</w:t>
      </w:r>
    </w:p>
    <w:p w14:paraId="5660BDDE" w14:textId="62412C93" w:rsidR="004772B4" w:rsidRPr="004E1DD0" w:rsidRDefault="29E3AACA" w:rsidP="703B235F">
      <w:pPr>
        <w:numPr>
          <w:ilvl w:val="0"/>
          <w:numId w:val="15"/>
        </w:numPr>
        <w:rPr>
          <w:noProof/>
        </w:rPr>
      </w:pPr>
      <w:r>
        <w:rPr>
          <w:noProof/>
        </w:rPr>
        <w:t xml:space="preserve">Maidir le cur chun feidhme </w:t>
      </w:r>
      <w:r>
        <w:rPr>
          <w:b/>
          <w:i/>
          <w:noProof/>
        </w:rPr>
        <w:t>ICS</w:t>
      </w:r>
      <w:r w:rsidRPr="0090767E">
        <w:rPr>
          <w:b/>
          <w:i/>
          <w:noProof/>
        </w:rPr>
        <w:t>2</w:t>
      </w:r>
      <w:r>
        <w:rPr>
          <w:b/>
          <w:i/>
          <w:noProof/>
        </w:rPr>
        <w:t xml:space="preserve"> – Eisiúint </w:t>
      </w:r>
      <w:r w:rsidRPr="0090767E">
        <w:rPr>
          <w:b/>
          <w:i/>
          <w:noProof/>
        </w:rPr>
        <w:t>3</w:t>
      </w:r>
      <w:r>
        <w:rPr>
          <w:noProof/>
        </w:rPr>
        <w:t>, tá dáta oibríochtaí beartaithe nó iarbhír ag na Ballstáit seo a leanas atá níos déanaí ná an sprioc‑am i gClár Oibre Chód Custaim an Aontais</w:t>
      </w:r>
      <w:r>
        <w:rPr>
          <w:rStyle w:val="FootnoteReference"/>
          <w:noProof/>
          <w:lang w:val="en-IE"/>
        </w:rPr>
        <w:footnoteReference w:id="14"/>
      </w:r>
      <w:r>
        <w:rPr>
          <w:noProof/>
        </w:rPr>
        <w:t>: DK, FI, LU, MT agus RO. Chun tuilleadh sonraí a fháil, féach roinn </w:t>
      </w:r>
      <w:r w:rsidRPr="0090767E">
        <w:rPr>
          <w:noProof/>
        </w:rPr>
        <w:t>4</w:t>
      </w:r>
      <w:r>
        <w:rPr>
          <w:noProof/>
        </w:rPr>
        <w:t>.</w:t>
      </w:r>
      <w:r w:rsidRPr="0090767E">
        <w:rPr>
          <w:noProof/>
        </w:rPr>
        <w:t>2</w:t>
      </w:r>
      <w:r>
        <w:rPr>
          <w:noProof/>
        </w:rPr>
        <w:t xml:space="preserve"> den </w:t>
      </w:r>
      <w:r>
        <w:rPr>
          <w:noProof/>
          <w:color w:val="000000" w:themeColor="text1"/>
        </w:rPr>
        <w:t>Doiciméad Inmheánach Oibre</w:t>
      </w:r>
      <w:r>
        <w:rPr>
          <w:noProof/>
        </w:rPr>
        <w:t xml:space="preserve"> a ghabhann leis an tuarascáil seo. </w:t>
      </w:r>
    </w:p>
    <w:p w14:paraId="169D97E2" w14:textId="084573FF" w:rsidR="004772B4" w:rsidRPr="004E1DD0" w:rsidRDefault="29E3AACA" w:rsidP="703B235F">
      <w:pPr>
        <w:numPr>
          <w:ilvl w:val="0"/>
          <w:numId w:val="15"/>
        </w:numPr>
        <w:rPr>
          <w:noProof/>
        </w:rPr>
      </w:pPr>
      <w:r>
        <w:rPr>
          <w:noProof/>
        </w:rPr>
        <w:t xml:space="preserve">Maidir le cur chun feidhme </w:t>
      </w:r>
      <w:r>
        <w:rPr>
          <w:b/>
          <w:i/>
          <w:noProof/>
        </w:rPr>
        <w:t xml:space="preserve">CCI – Céim </w:t>
      </w:r>
      <w:r w:rsidRPr="0090767E">
        <w:rPr>
          <w:b/>
          <w:i/>
          <w:noProof/>
        </w:rPr>
        <w:t>1</w:t>
      </w:r>
      <w:r>
        <w:rPr>
          <w:noProof/>
        </w:rPr>
        <w:t>, chuir na Ballstáit seo a leanas dáta oibríochtaí pleanáilte in iúl, dáta atá níos déanaí ná an sprioc‑am atá leagtha amach i gClár Oibre Chód Custaim an Aontais</w:t>
      </w:r>
      <w:r>
        <w:rPr>
          <w:rStyle w:val="FootnoteReference"/>
          <w:noProof/>
          <w:lang w:val="en-IE"/>
        </w:rPr>
        <w:footnoteReference w:id="15"/>
      </w:r>
      <w:r>
        <w:rPr>
          <w:noProof/>
        </w:rPr>
        <w:t xml:space="preserve">: AT, CY, CZ, DK, GR, FI, HU, IE, MT, NL, PT, SE, SI agus SK. Ina theannta sin, d’iarr FI, PT, agus SK maolú. Le haghaidh </w:t>
      </w:r>
      <w:r>
        <w:rPr>
          <w:b/>
          <w:i/>
          <w:noProof/>
        </w:rPr>
        <w:t>CCI – Céim </w:t>
      </w:r>
      <w:r w:rsidRPr="0090767E">
        <w:rPr>
          <w:b/>
          <w:i/>
          <w:noProof/>
        </w:rPr>
        <w:t>2</w:t>
      </w:r>
      <w:r>
        <w:rPr>
          <w:noProof/>
        </w:rPr>
        <w:t>, léirigh BE, CZ, DE, FI, GR, NL agus PL dáta oibríochtaí beartaithe nó iarbhír atá níos déanaí ná an sprioc‑am i gClár Oibre Chód Custaim an Aontais. Ina theannta sin, d’iarr PT agus SK maolú. Chun tuilleadh sonraí a fháil, féach roinn </w:t>
      </w:r>
      <w:r w:rsidRPr="0090767E">
        <w:rPr>
          <w:noProof/>
        </w:rPr>
        <w:t>3</w:t>
      </w:r>
      <w:r>
        <w:rPr>
          <w:noProof/>
        </w:rPr>
        <w:t>.</w:t>
      </w:r>
      <w:r w:rsidRPr="0090767E">
        <w:rPr>
          <w:noProof/>
        </w:rPr>
        <w:t>5</w:t>
      </w:r>
      <w:r>
        <w:rPr>
          <w:noProof/>
        </w:rPr>
        <w:t xml:space="preserve"> agus roinn </w:t>
      </w:r>
      <w:r w:rsidRPr="0090767E">
        <w:rPr>
          <w:noProof/>
        </w:rPr>
        <w:t>4</w:t>
      </w:r>
      <w:r>
        <w:rPr>
          <w:noProof/>
        </w:rPr>
        <w:t>.</w:t>
      </w:r>
      <w:r w:rsidRPr="0090767E">
        <w:rPr>
          <w:noProof/>
        </w:rPr>
        <w:t>4</w:t>
      </w:r>
      <w:r>
        <w:rPr>
          <w:noProof/>
        </w:rPr>
        <w:t xml:space="preserve"> den </w:t>
      </w:r>
      <w:r>
        <w:rPr>
          <w:noProof/>
          <w:color w:val="000000" w:themeColor="text1"/>
        </w:rPr>
        <w:t>Doiciméad Inmheánach Oibre</w:t>
      </w:r>
      <w:r>
        <w:rPr>
          <w:noProof/>
        </w:rPr>
        <w:t xml:space="preserve"> a ghabhann leis an tuarascáil seo.</w:t>
      </w:r>
    </w:p>
    <w:p w14:paraId="5A2C6834" w14:textId="20DE0D3C" w:rsidR="00723CD7" w:rsidRPr="004E1DD0" w:rsidRDefault="29E3AACA" w:rsidP="006877FC">
      <w:pPr>
        <w:numPr>
          <w:ilvl w:val="0"/>
          <w:numId w:val="15"/>
        </w:numPr>
        <w:rPr>
          <w:noProof/>
        </w:rPr>
      </w:pPr>
      <w:r>
        <w:rPr>
          <w:noProof/>
        </w:rPr>
        <w:t xml:space="preserve">Chun an </w:t>
      </w:r>
      <w:r>
        <w:rPr>
          <w:b/>
          <w:i/>
          <w:noProof/>
        </w:rPr>
        <w:t>Córas Nua Ríomhchuidithe Idirthurais – Céim </w:t>
      </w:r>
      <w:r w:rsidRPr="0090767E">
        <w:rPr>
          <w:b/>
          <w:i/>
          <w:noProof/>
        </w:rPr>
        <w:t>5</w:t>
      </w:r>
      <w:r>
        <w:rPr>
          <w:noProof/>
        </w:rPr>
        <w:t xml:space="preserve"> a chur chun feidhme, tá dáta oibríochtaí beartaithe nó iarbhír ag AT, BE, CY, DK, ES, FI, FR, GR, HU, LT, MT, NL, PL, PT, RO, SE agus SK le haghaidh na bpríomhfheidhmiúlachtaí atá níos déanaí ná an sprioc‑am a shainítear le haghaidh chéim </w:t>
      </w:r>
      <w:r w:rsidRPr="0090767E">
        <w:rPr>
          <w:noProof/>
        </w:rPr>
        <w:t>1</w:t>
      </w:r>
      <w:r>
        <w:rPr>
          <w:noProof/>
        </w:rPr>
        <w:t xml:space="preserve"> seo i gClár Oibre Chód Custaim an Aontais</w:t>
      </w:r>
      <w:r>
        <w:rPr>
          <w:rStyle w:val="FootnoteReference"/>
          <w:noProof/>
          <w:lang w:val="en-IE"/>
        </w:rPr>
        <w:footnoteReference w:id="16"/>
      </w:r>
      <w:r>
        <w:rPr>
          <w:noProof/>
        </w:rPr>
        <w:t xml:space="preserve">. Mar sin féin, d’imscar na Ballstáit uile an córas faoin </w:t>
      </w:r>
      <w:r w:rsidRPr="0090767E">
        <w:rPr>
          <w:noProof/>
        </w:rPr>
        <w:t>21</w:t>
      </w:r>
      <w:r>
        <w:rPr>
          <w:noProof/>
        </w:rPr>
        <w:t> Eanáir </w:t>
      </w:r>
      <w:r w:rsidRPr="0090767E">
        <w:rPr>
          <w:noProof/>
        </w:rPr>
        <w:t>2025</w:t>
      </w:r>
      <w:r>
        <w:rPr>
          <w:noProof/>
        </w:rPr>
        <w:t>, rud a chuir deireadh leis an idirthréimhse. . Is éacht an‑tábhachtach é sin i gcur chun feidhme Chlár Oibre Chód Custaim an Aontais.  Maidir leis na feidhmiúlachtaí nach príomhfheidhmiúlachtaí iad, tá moill ar chúpla Ballstát, cé nach bhfuil tionchar aige sin ar fheidhmiú an Chórais Nua Ríomhchuidithe Idirthurais — Céim </w:t>
      </w:r>
      <w:r w:rsidRPr="0090767E">
        <w:rPr>
          <w:noProof/>
        </w:rPr>
        <w:t>5</w:t>
      </w:r>
      <w:r>
        <w:rPr>
          <w:noProof/>
        </w:rPr>
        <w:t xml:space="preserve"> toisc nach bhfuil aon idirnasc díreach ann le córais Ballstát eile. </w:t>
      </w:r>
    </w:p>
    <w:p w14:paraId="0E3A9E78" w14:textId="3EF0C126" w:rsidR="000B6376" w:rsidRPr="004E1DD0" w:rsidRDefault="6566A441" w:rsidP="703B235F">
      <w:pPr>
        <w:numPr>
          <w:ilvl w:val="0"/>
          <w:numId w:val="15"/>
        </w:numPr>
        <w:ind w:left="714" w:hanging="357"/>
        <w:rPr>
          <w:noProof/>
        </w:rPr>
      </w:pPr>
      <w:r>
        <w:rPr>
          <w:noProof/>
        </w:rPr>
        <w:t xml:space="preserve">Le haghaidh an </w:t>
      </w:r>
      <w:r>
        <w:rPr>
          <w:b/>
          <w:i/>
          <w:noProof/>
        </w:rPr>
        <w:t>Chórais Nua Ríomhchuidithe Idirthurais – Céim </w:t>
      </w:r>
      <w:r w:rsidRPr="0090767E">
        <w:rPr>
          <w:b/>
          <w:i/>
          <w:noProof/>
        </w:rPr>
        <w:t>6</w:t>
      </w:r>
      <w:r>
        <w:rPr>
          <w:noProof/>
        </w:rPr>
        <w:t>, thuairiscigh GR, PL agus RO dáta oibríochtaí beartaithe nó iarbhír atá níos déanaí ná an sprioc‑am i gClár Oibre Chód Custaim an Aontais. Tá an tionscadal seo le meas i dtaca le ICS</w:t>
      </w:r>
      <w:r w:rsidRPr="0090767E">
        <w:rPr>
          <w:noProof/>
        </w:rPr>
        <w:t>2</w:t>
      </w:r>
      <w:r>
        <w:rPr>
          <w:noProof/>
        </w:rPr>
        <w:t xml:space="preserve"> Eisiúint </w:t>
      </w:r>
      <w:r w:rsidRPr="0090767E">
        <w:rPr>
          <w:noProof/>
        </w:rPr>
        <w:t>3</w:t>
      </w:r>
      <w:r>
        <w:rPr>
          <w:noProof/>
        </w:rPr>
        <w:t>. Chun tuilleadh sonraí a fháil, féach roinn </w:t>
      </w:r>
      <w:r w:rsidRPr="0090767E">
        <w:rPr>
          <w:noProof/>
        </w:rPr>
        <w:t>3</w:t>
      </w:r>
      <w:r>
        <w:rPr>
          <w:noProof/>
        </w:rPr>
        <w:t>.</w:t>
      </w:r>
      <w:r w:rsidRPr="0090767E">
        <w:rPr>
          <w:noProof/>
        </w:rPr>
        <w:t>7</w:t>
      </w:r>
      <w:r>
        <w:rPr>
          <w:noProof/>
        </w:rPr>
        <w:t xml:space="preserve"> agus roinn </w:t>
      </w:r>
      <w:r w:rsidRPr="0090767E">
        <w:rPr>
          <w:noProof/>
        </w:rPr>
        <w:t>4</w:t>
      </w:r>
      <w:r>
        <w:rPr>
          <w:noProof/>
        </w:rPr>
        <w:t>.</w:t>
      </w:r>
      <w:r w:rsidRPr="0090767E">
        <w:rPr>
          <w:noProof/>
        </w:rPr>
        <w:t>5</w:t>
      </w:r>
      <w:r>
        <w:rPr>
          <w:noProof/>
        </w:rPr>
        <w:t xml:space="preserve"> den Doiciméad Inmheánach Oibre a ghabhann leis an tuarascáil seo. </w:t>
      </w:r>
    </w:p>
    <w:p w14:paraId="7BF25866" w14:textId="77777777" w:rsidR="0028644C" w:rsidRDefault="29E3AACA" w:rsidP="006877FC">
      <w:pPr>
        <w:pStyle w:val="ListParagraph"/>
        <w:numPr>
          <w:ilvl w:val="0"/>
          <w:numId w:val="15"/>
        </w:numPr>
        <w:ind w:left="714" w:hanging="357"/>
        <w:rPr>
          <w:noProof/>
        </w:rPr>
      </w:pPr>
      <w:r>
        <w:rPr>
          <w:noProof/>
        </w:rPr>
        <w:t xml:space="preserve">Le haghaidh chur chun feidhme </w:t>
      </w:r>
      <w:r>
        <w:rPr>
          <w:b/>
          <w:i/>
          <w:noProof/>
        </w:rPr>
        <w:t>AES – Comhpháirt </w:t>
      </w:r>
      <w:r w:rsidRPr="0090767E">
        <w:rPr>
          <w:b/>
          <w:i/>
          <w:noProof/>
        </w:rPr>
        <w:t>1</w:t>
      </w:r>
      <w:r>
        <w:rPr>
          <w:noProof/>
        </w:rPr>
        <w:t>, tá dáta oibríochtaí beartaithe nó iarbhír ag na Ballstáit seo a leanas le haghaidh na bpríomhfheidhmiúlachtaí atá níos déanaí ná an sprioc‑am le haghaidh chéim </w:t>
      </w:r>
      <w:r w:rsidRPr="0090767E">
        <w:rPr>
          <w:noProof/>
        </w:rPr>
        <w:t>1</w:t>
      </w:r>
      <w:r>
        <w:rPr>
          <w:noProof/>
        </w:rPr>
        <w:t xml:space="preserve"> seo i gClár Oibre Chód Custaim an Aontais</w:t>
      </w:r>
      <w:r>
        <w:rPr>
          <w:rStyle w:val="FootnoteReference"/>
          <w:noProof/>
          <w:lang w:val="en-IE"/>
        </w:rPr>
        <w:footnoteReference w:id="17"/>
      </w:r>
      <w:r>
        <w:rPr>
          <w:noProof/>
        </w:rPr>
        <w:t xml:space="preserve">: AT, BE, CY, GR, HU, LU, MT, PL, PT, RO, SE, FR agus SK. </w:t>
      </w:r>
    </w:p>
    <w:p w14:paraId="4C436EBF" w14:textId="77777777" w:rsidR="0028644C" w:rsidRDefault="0028644C" w:rsidP="0028644C">
      <w:pPr>
        <w:pStyle w:val="ListParagraph"/>
        <w:ind w:left="714"/>
        <w:rPr>
          <w:noProof/>
          <w:lang w:val="en-IE"/>
        </w:rPr>
      </w:pPr>
    </w:p>
    <w:p w14:paraId="07C236E0" w14:textId="00DD7E50" w:rsidR="008A5594" w:rsidRPr="0028644C" w:rsidRDefault="00EA5006" w:rsidP="0028644C">
      <w:pPr>
        <w:pStyle w:val="ListParagraph"/>
        <w:ind w:left="714"/>
        <w:rPr>
          <w:noProof/>
        </w:rPr>
      </w:pPr>
      <w:r>
        <w:rPr>
          <w:noProof/>
        </w:rPr>
        <w:t xml:space="preserve">Mar sin féin, is tábhachtaí fós an dáta imscartha deiridh le haghaidh AES an </w:t>
      </w:r>
      <w:r w:rsidRPr="0090767E">
        <w:rPr>
          <w:noProof/>
        </w:rPr>
        <w:t>2</w:t>
      </w:r>
      <w:r>
        <w:rPr>
          <w:noProof/>
        </w:rPr>
        <w:t> Nollaig </w:t>
      </w:r>
      <w:r w:rsidRPr="0090767E">
        <w:rPr>
          <w:noProof/>
        </w:rPr>
        <w:t>2024</w:t>
      </w:r>
      <w:r>
        <w:rPr>
          <w:noProof/>
        </w:rPr>
        <w:t xml:space="preserve"> mar a shainítear i gClár Oibre Chód Custaim an Aontais, agus rialacha idirthréimhseacha i bhfeidhm go dtí an </w:t>
      </w:r>
      <w:r w:rsidRPr="0090767E">
        <w:rPr>
          <w:noProof/>
        </w:rPr>
        <w:t>11</w:t>
      </w:r>
      <w:r>
        <w:rPr>
          <w:noProof/>
        </w:rPr>
        <w:t> Feabhra </w:t>
      </w:r>
      <w:r w:rsidRPr="0090767E">
        <w:rPr>
          <w:noProof/>
        </w:rPr>
        <w:t>2025</w:t>
      </w:r>
      <w:r>
        <w:rPr>
          <w:noProof/>
        </w:rPr>
        <w:t xml:space="preserve">. Thuairiscigh cúpla Ballstát saincheisteanna a bhféadfadh moill an‑ghearr a bheith mar thoradh orthu (PT, MT, HU agus AT). Mar sin féin, thuairiscigh dhá Bhallstát (FR agus GR) go raibh fadhb níos substaintiúla acu, Ballstáit nach raibh in ann a gcomhpháirt a imscaradh in am, d’ainneoin na mbeart uile a rinneadh, agus a raibh moilleanna tromchúiseacha os a gcomhair. Dá réir sin, tá bac ar imscaradh an chórais AES nua agus cuirtear iallach ar na Ballstáit eile agus ar ghnólachtaí Eorpacha fanacht i dtréimhse aistrithe níos faide. </w:t>
      </w:r>
    </w:p>
    <w:p w14:paraId="7E52734A" w14:textId="77777777" w:rsidR="006877FC" w:rsidRPr="004E1DD0" w:rsidRDefault="006877FC" w:rsidP="006877FC">
      <w:pPr>
        <w:pStyle w:val="ListParagraph"/>
        <w:ind w:left="714"/>
        <w:rPr>
          <w:noProof/>
          <w:lang w:val="en-IE"/>
        </w:rPr>
      </w:pPr>
    </w:p>
    <w:p w14:paraId="73AF0F33" w14:textId="7B6CF601" w:rsidR="00723CD7" w:rsidRPr="004E1DD0" w:rsidRDefault="00723CD7" w:rsidP="006877FC">
      <w:pPr>
        <w:pStyle w:val="ListParagraph"/>
        <w:ind w:left="714"/>
        <w:rPr>
          <w:noProof/>
        </w:rPr>
      </w:pPr>
      <w:r>
        <w:rPr>
          <w:noProof/>
        </w:rPr>
        <w:t xml:space="preserve">I bhfianaise na moilleanna ar AES a chur chun feidhme, iarradh ar an gCoimisiún an tiontaire teachtaireachtaí lárnach a choinneáil ar bun go deireadh </w:t>
      </w:r>
      <w:r w:rsidRPr="0090767E">
        <w:rPr>
          <w:noProof/>
        </w:rPr>
        <w:t>2025</w:t>
      </w:r>
      <w:r>
        <w:rPr>
          <w:noProof/>
        </w:rPr>
        <w:t xml:space="preserve"> chun leanúnachas gnó a dheimhniú agus chun cur isteach ar shreabha trádála a sheachaint. D’fhág sé sin gur cuireadh síneadh </w:t>
      </w:r>
      <w:r>
        <w:rPr>
          <w:i/>
          <w:noProof/>
        </w:rPr>
        <w:t>de facto</w:t>
      </w:r>
      <w:r>
        <w:rPr>
          <w:noProof/>
        </w:rPr>
        <w:t xml:space="preserve"> leis an idirthréimhse. Chun cumhdach dlíthiúil a bheith aige maidir leis an síneadh sin, mhol an Coimisiún leasú dlíthiúil ar Rialachán Cur Chun Feidhme Chód Custaim an Aontais maidir le Socruithe Teicniúla maidir leis na córais leictreonacha. Vótáladh an leasú sin an </w:t>
      </w:r>
      <w:r w:rsidRPr="0090767E">
        <w:rPr>
          <w:noProof/>
        </w:rPr>
        <w:t>7</w:t>
      </w:r>
      <w:r>
        <w:rPr>
          <w:noProof/>
        </w:rPr>
        <w:t> Feabhra </w:t>
      </w:r>
      <w:r w:rsidRPr="0090767E">
        <w:rPr>
          <w:noProof/>
        </w:rPr>
        <w:t>2025</w:t>
      </w:r>
      <w:r>
        <w:rPr>
          <w:noProof/>
        </w:rPr>
        <w:t xml:space="preserve"> agus glacadh é i mí an Mhárta </w:t>
      </w:r>
      <w:r w:rsidRPr="0090767E">
        <w:rPr>
          <w:noProof/>
        </w:rPr>
        <w:t>2025</w:t>
      </w:r>
      <w:r>
        <w:rPr>
          <w:noProof/>
        </w:rPr>
        <w:t xml:space="preserve"> agus ceadaítear leis leanúint de na bearta idirthréimhseacha maidir le honnmhairiú agus imeacht ar feadh tréimhse shínte go dtí an </w:t>
      </w:r>
      <w:r w:rsidRPr="0090767E">
        <w:rPr>
          <w:noProof/>
        </w:rPr>
        <w:t>14</w:t>
      </w:r>
      <w:r>
        <w:rPr>
          <w:noProof/>
        </w:rPr>
        <w:t> Nollaig </w:t>
      </w:r>
      <w:r w:rsidRPr="0090767E">
        <w:rPr>
          <w:noProof/>
        </w:rPr>
        <w:t>2025</w:t>
      </w:r>
      <w:r>
        <w:rPr>
          <w:noProof/>
        </w:rPr>
        <w:t>, agus fanfaidh an sprioc-am le haghaidh na mBallstát mar a shainítear i gClár Oibre Chód Custaim an Aontais</w:t>
      </w:r>
    </w:p>
    <w:p w14:paraId="7C7D0F18" w14:textId="77777777" w:rsidR="008A5594" w:rsidRPr="004E1DD0" w:rsidRDefault="008A5594" w:rsidP="008A5594">
      <w:pPr>
        <w:pStyle w:val="ListParagraph"/>
        <w:ind w:left="714"/>
        <w:rPr>
          <w:noProof/>
          <w:lang w:val="en-IE"/>
        </w:rPr>
      </w:pPr>
    </w:p>
    <w:p w14:paraId="36D875CB" w14:textId="6C45F722" w:rsidR="004772B4" w:rsidRPr="004E1DD0" w:rsidRDefault="1FAB5987" w:rsidP="00776AD0">
      <w:pPr>
        <w:pStyle w:val="ListParagraph"/>
        <w:ind w:left="714"/>
        <w:rPr>
          <w:noProof/>
        </w:rPr>
      </w:pPr>
      <w:r>
        <w:rPr>
          <w:noProof/>
        </w:rPr>
        <w:t xml:space="preserve"> Le haghaidh </w:t>
      </w:r>
      <w:r>
        <w:rPr>
          <w:b/>
          <w:i/>
          <w:noProof/>
        </w:rPr>
        <w:t>AES – Comhpháirt </w:t>
      </w:r>
      <w:r w:rsidRPr="0090767E">
        <w:rPr>
          <w:b/>
          <w:i/>
          <w:noProof/>
        </w:rPr>
        <w:t>2</w:t>
      </w:r>
      <w:r>
        <w:rPr>
          <w:noProof/>
        </w:rPr>
        <w:t>, léirigh GR, FI, MT agus FR dáta oibríochtaí beartaithe nó iarbhír atá níos déanaí ná an sprioc‑am i gClár Oibre Chód Custaim an Aontais. Chun tuilleadh sonraí a fháil, féach roinn </w:t>
      </w:r>
      <w:r w:rsidRPr="0090767E">
        <w:rPr>
          <w:noProof/>
        </w:rPr>
        <w:t>3</w:t>
      </w:r>
      <w:r>
        <w:rPr>
          <w:noProof/>
        </w:rPr>
        <w:t>.</w:t>
      </w:r>
      <w:r w:rsidRPr="0090767E">
        <w:rPr>
          <w:noProof/>
        </w:rPr>
        <w:t>8</w:t>
      </w:r>
      <w:r>
        <w:rPr>
          <w:noProof/>
        </w:rPr>
        <w:t xml:space="preserve"> den Doiciméad Inmheánach Oibre de chuid an Choimisiúin a ghabhann leis an tuarascáil seo.</w:t>
      </w:r>
    </w:p>
    <w:p w14:paraId="10058365" w14:textId="2E39A75A" w:rsidR="00F8447F" w:rsidRDefault="43EA4D49" w:rsidP="00F7283D">
      <w:pPr>
        <w:numPr>
          <w:ilvl w:val="0"/>
          <w:numId w:val="15"/>
        </w:numPr>
        <w:rPr>
          <w:noProof/>
        </w:rPr>
      </w:pPr>
      <w:r>
        <w:rPr>
          <w:noProof/>
        </w:rPr>
        <w:t xml:space="preserve">Maidir le cur chun feidhme </w:t>
      </w:r>
      <w:r>
        <w:rPr>
          <w:b/>
          <w:i/>
          <w:noProof/>
        </w:rPr>
        <w:t xml:space="preserve">GUM – Comhpháirt </w:t>
      </w:r>
      <w:r w:rsidRPr="0090767E">
        <w:rPr>
          <w:b/>
          <w:i/>
          <w:noProof/>
        </w:rPr>
        <w:t>2</w:t>
      </w:r>
      <w:r>
        <w:rPr>
          <w:noProof/>
        </w:rPr>
        <w:t>, chuir na Ballstáit seo a leanas dáta oibríochtaí pleanáilte in iúl, dáta atá níos déanaí ná an sprioc‑am atá leagtha amach i gClár Oibre Chód Custaim an Aontais</w:t>
      </w:r>
      <w:r>
        <w:rPr>
          <w:rStyle w:val="FootnoteReference"/>
          <w:noProof/>
          <w:lang w:val="en-IE"/>
        </w:rPr>
        <w:footnoteReference w:id="18"/>
      </w:r>
      <w:r>
        <w:rPr>
          <w:noProof/>
        </w:rPr>
        <w:t>: GR, FI, DE agus FR. Chun níos mó mionsonraí a fháil, féach roinn </w:t>
      </w:r>
      <w:r w:rsidRPr="0090767E">
        <w:rPr>
          <w:noProof/>
        </w:rPr>
        <w:t>4</w:t>
      </w:r>
      <w:r>
        <w:rPr>
          <w:noProof/>
        </w:rPr>
        <w:t>.</w:t>
      </w:r>
      <w:r w:rsidRPr="0090767E">
        <w:rPr>
          <w:noProof/>
        </w:rPr>
        <w:t>1</w:t>
      </w:r>
      <w:r>
        <w:rPr>
          <w:noProof/>
        </w:rPr>
        <w:t xml:space="preserve"> den </w:t>
      </w:r>
      <w:r>
        <w:rPr>
          <w:noProof/>
          <w:color w:val="000000" w:themeColor="text1"/>
        </w:rPr>
        <w:t>Doiciméad Inmheánach Oibre</w:t>
      </w:r>
      <w:r>
        <w:rPr>
          <w:noProof/>
        </w:rPr>
        <w:t xml:space="preserve"> de chuid an Choimisiúin a ghabhann leis an tuarascáil seo.</w:t>
      </w:r>
    </w:p>
    <w:p w14:paraId="0F7FAA37" w14:textId="3B247CB5" w:rsidR="009B1CEF" w:rsidRPr="004E1DD0" w:rsidRDefault="009B1CEF" w:rsidP="00F7283D">
      <w:pPr>
        <w:numPr>
          <w:ilvl w:val="0"/>
          <w:numId w:val="15"/>
        </w:numPr>
        <w:rPr>
          <w:noProof/>
        </w:rPr>
      </w:pPr>
      <w:r>
        <w:rPr>
          <w:noProof/>
        </w:rPr>
        <w:t xml:space="preserve">Le haghaidh chur chun feidhme </w:t>
      </w:r>
      <w:r>
        <w:rPr>
          <w:b/>
          <w:i/>
          <w:noProof/>
        </w:rPr>
        <w:t>PoUS – Céim </w:t>
      </w:r>
      <w:r w:rsidRPr="0090767E">
        <w:rPr>
          <w:b/>
          <w:i/>
          <w:noProof/>
        </w:rPr>
        <w:t>2</w:t>
      </w:r>
      <w:r>
        <w:rPr>
          <w:noProof/>
        </w:rPr>
        <w:t xml:space="preserve">, rud atá idirnasctha le EMSWe, tá an tionscadal ar sceideal ó thaobh cúrsaí custaim de, mar sin féin, tá moilleanna féideartha ann maidir leis na hIonaid Ilfhreastail Mhuirí Náisiúnta a bheith á gcur ar fáil ag údaráis mhuirí na mBallstát.  </w:t>
      </w:r>
    </w:p>
    <w:p w14:paraId="68548EA5" w14:textId="01A94922" w:rsidR="004772B4" w:rsidRPr="004E1DD0" w:rsidRDefault="004772B4" w:rsidP="004772B4">
      <w:pPr>
        <w:rPr>
          <w:noProof/>
        </w:rPr>
      </w:pPr>
      <w:r>
        <w:rPr>
          <w:noProof/>
        </w:rPr>
        <w:t xml:space="preserve">Tá an Coimisiún ag déanamh dlúth-anailíse agus dlúthfhaireacháin ar an gcás maidir leis na tionscadail thuas agus tá bearta á nglacadh aige chun a thacaíocht a mhéadú – féach Roinn </w:t>
      </w:r>
      <w:r>
        <w:rPr>
          <w:noProof/>
        </w:rPr>
        <w:fldChar w:fldCharType="begin"/>
      </w:r>
      <w:r>
        <w:rPr>
          <w:noProof/>
        </w:rPr>
        <w:instrText xml:space="preserve"> REF _Ref73621876 \r \h  \* MERGEFORMAT </w:instrText>
      </w:r>
      <w:r>
        <w:rPr>
          <w:noProof/>
        </w:rPr>
      </w:r>
      <w:r>
        <w:rPr>
          <w:noProof/>
        </w:rPr>
        <w:fldChar w:fldCharType="separate"/>
      </w:r>
      <w:r w:rsidRPr="0090767E">
        <w:rPr>
          <w:noProof/>
        </w:rPr>
        <w:t>4</w:t>
      </w:r>
      <w:r>
        <w:rPr>
          <w:noProof/>
        </w:rPr>
        <w:t>.</w:t>
      </w:r>
      <w:r w:rsidRPr="0090767E">
        <w:rPr>
          <w:noProof/>
        </w:rPr>
        <w:t>4</w:t>
      </w:r>
      <w:r>
        <w:rPr>
          <w:noProof/>
        </w:rPr>
        <w:fldChar w:fldCharType="end"/>
      </w:r>
      <w:r>
        <w:rPr>
          <w:noProof/>
        </w:rPr>
        <w:t xml:space="preserve"> thíos. </w:t>
      </w:r>
    </w:p>
    <w:p w14:paraId="096E9A54" w14:textId="5B65744C" w:rsidR="00282B17" w:rsidRPr="004E1DD0" w:rsidRDefault="00A33633" w:rsidP="00DC3A52">
      <w:pPr>
        <w:pStyle w:val="Heading3"/>
        <w:numPr>
          <w:ilvl w:val="1"/>
          <w:numId w:val="4"/>
        </w:numPr>
        <w:spacing w:before="240" w:after="240"/>
        <w:ind w:left="567" w:hanging="567"/>
        <w:jc w:val="left"/>
        <w:rPr>
          <w:rFonts w:eastAsia="PMingLiU" w:cs="Times New Roman"/>
          <w:caps/>
          <w:noProof/>
          <w:szCs w:val="32"/>
        </w:rPr>
      </w:pPr>
      <w:bookmarkStart w:id="30" w:name="_Toc117261088"/>
      <w:bookmarkStart w:id="31" w:name="_Ref73621876"/>
      <w:bookmarkStart w:id="32" w:name="_Toc209611074"/>
      <w:bookmarkEnd w:id="30"/>
      <w:r>
        <w:rPr>
          <w:caps/>
          <w:noProof/>
        </w:rPr>
        <w:t>Bearta maolaithe</w:t>
      </w:r>
      <w:bookmarkEnd w:id="31"/>
      <w:bookmarkEnd w:id="32"/>
    </w:p>
    <w:p w14:paraId="6CCDED0F" w14:textId="15618A7D" w:rsidR="0077637E" w:rsidRPr="004E1DD0" w:rsidRDefault="0077637E" w:rsidP="0077637E">
      <w:pPr>
        <w:rPr>
          <w:noProof/>
        </w:rPr>
      </w:pPr>
      <w:r>
        <w:rPr>
          <w:noProof/>
        </w:rPr>
        <w:t xml:space="preserve">Leag na </w:t>
      </w:r>
      <w:r>
        <w:rPr>
          <w:b/>
          <w:noProof/>
        </w:rPr>
        <w:t>Ballstáit</w:t>
      </w:r>
      <w:r>
        <w:rPr>
          <w:noProof/>
        </w:rPr>
        <w:t xml:space="preserve"> amach na gníomhaíochtaí maolaitheacha éagsúla arb é is aidhm dóibh aghaidh a thabhairt ar mhoilleanna (féideartha) agus comhlíonadh na spriocdhátaí dlíthiúla a áirithiú. Ar na gníomhaíochtaí sin áirítear leithdháileadh acmhainní a bharrfheabhsú, modheolaíochtaí sofhreagrúla a ghlacadh, réitigh córas comhtháite a chur chun feidhme agus comhordú le conraitheoirí a neartú chun feabhas a chur ar éifeachtúlacht agus comhar a fheabhsú. Tá sé beartaithe ag Ballstáit eile struchtúir eagraíochtúla a fheabhsú, próisis a chuíchóiriú agus pleanáil a bheachtú chun bainistíocht tionscadal agus cinnteoireacht a fheabhsú. Rinneadh tagairt do na bearta sin maidir le tionscadail náisiúnta agus thras‑Eorpacha araon.</w:t>
      </w:r>
    </w:p>
    <w:p w14:paraId="3AEF7974" w14:textId="66198EDA" w:rsidR="0077637E" w:rsidRPr="004E1DD0" w:rsidRDefault="001C6589" w:rsidP="00B12B59">
      <w:pPr>
        <w:pStyle w:val="Revision"/>
        <w:spacing w:after="120" w:line="259" w:lineRule="auto"/>
        <w:jc w:val="both"/>
        <w:rPr>
          <w:noProof/>
        </w:rPr>
      </w:pPr>
      <w:r>
        <w:rPr>
          <w:noProof/>
        </w:rPr>
        <w:t xml:space="preserve">I bhfianaise na moilleanna ar thaobh na mBallstát, </w:t>
      </w:r>
      <w:r>
        <w:rPr>
          <w:b/>
          <w:noProof/>
        </w:rPr>
        <w:t>tá an Coimisiún ag cur leis an tacaíocht a thugann sé do na Ballstáit trí roinnt gníomhaíochtaí a dhéanamh</w:t>
      </w:r>
      <w:r>
        <w:rPr>
          <w:noProof/>
        </w:rPr>
        <w:t xml:space="preserve">. </w:t>
      </w:r>
    </w:p>
    <w:p w14:paraId="0BBEBA80" w14:textId="50AEA52A" w:rsidR="001C6589" w:rsidRPr="004E1DD0" w:rsidRDefault="001A061E" w:rsidP="703B235F">
      <w:pPr>
        <w:rPr>
          <w:noProof/>
        </w:rPr>
      </w:pPr>
      <w:r>
        <w:rPr>
          <w:i/>
          <w:noProof/>
        </w:rPr>
        <w:t>Ar an gcéad dul síos, d’fheabhsaigh</w:t>
      </w:r>
      <w:r>
        <w:rPr>
          <w:noProof/>
        </w:rPr>
        <w:t xml:space="preserve"> an Coimisiún an </w:t>
      </w:r>
      <w:r>
        <w:rPr>
          <w:b/>
          <w:noProof/>
        </w:rPr>
        <w:t>mhaoirseacht agus an faireachán ar chlár IF Chód Custaim an Aontais</w:t>
      </w:r>
      <w:r>
        <w:rPr>
          <w:noProof/>
        </w:rPr>
        <w:t xml:space="preserve"> trí mhinicíocht na dtuarascálacha ar dhul chun cinn a mhéadú agus cruinnithe agus misin dhéthaobhacha a eagrú ar leibhéal an Stiúrthóra le gach ceann de na Ballstáit. Ar bhealach comhsheasmhach, rinneadh cur chun feidhme Chlár Oibre Chód Custaim an Aontais a chur freisin ar chlár oibre na gcruinnithe agus na misean arna seoladh ag an Ard‑Stiúrthóir agus i gcruinnithe iomlánacha le hArd‑Stiúrthóirí na mBallstát mar atá sa Ghrúpa um Beartas Custaim. Moladh do na Ballstáit bearta maolaitheacha a dhéanamh.</w:t>
      </w:r>
    </w:p>
    <w:p w14:paraId="11F66409" w14:textId="543A68AE" w:rsidR="0077637E" w:rsidRPr="004E1DD0" w:rsidRDefault="0077637E" w:rsidP="703B235F">
      <w:pPr>
        <w:rPr>
          <w:noProof/>
        </w:rPr>
      </w:pPr>
      <w:r>
        <w:rPr>
          <w:noProof/>
        </w:rPr>
        <w:t xml:space="preserve">Lean an Coimisiún d’úsáid a bhaint as deais an Phlean Straitéisigh Ilbhliantúil – Custaim (MASP‑C) bunaithe ar Athbhreithniú MASP‑C </w:t>
      </w:r>
      <w:r w:rsidRPr="0090767E">
        <w:rPr>
          <w:noProof/>
        </w:rPr>
        <w:t>2023</w:t>
      </w:r>
      <w:r>
        <w:rPr>
          <w:noProof/>
        </w:rPr>
        <w:t xml:space="preserve"> agus ar Chlár Oibre Chód Custaim an Aontais </w:t>
      </w:r>
      <w:r w:rsidRPr="0090767E">
        <w:rPr>
          <w:noProof/>
        </w:rPr>
        <w:t>2023</w:t>
      </w:r>
      <w:r>
        <w:rPr>
          <w:noProof/>
        </w:rPr>
        <w:t xml:space="preserve"> chun faireachán a dhéanamh ar an dul chun cinn agus ar phríomh‑gharspriocanna an tionscadail agus chun moilleanna a shainaithint ag an tús. Cuirtear an deais i láthair ar bhonn ráithiúil do na Ballstáit in ECCG a thagann le chéile i gcomhpháirt leis an bpobal trádála.</w:t>
      </w:r>
    </w:p>
    <w:p w14:paraId="34687653" w14:textId="161DD1E9" w:rsidR="0077637E" w:rsidRPr="004E1DD0" w:rsidRDefault="001A061E" w:rsidP="703B235F">
      <w:pPr>
        <w:rPr>
          <w:noProof/>
        </w:rPr>
      </w:pPr>
      <w:r>
        <w:rPr>
          <w:noProof/>
        </w:rPr>
        <w:t xml:space="preserve">Ina theannta sin, mar a léirítear in Athbhreithniú </w:t>
      </w:r>
      <w:r w:rsidRPr="0090767E">
        <w:rPr>
          <w:noProof/>
        </w:rPr>
        <w:t>2023</w:t>
      </w:r>
      <w:r>
        <w:rPr>
          <w:noProof/>
        </w:rPr>
        <w:t xml:space="preserve"> ar Chlár Oibre Chód Custaim an Aontais agus ar MASP‑C, leagann an Coimisiún garspriocanna eatramhacha sonracha síos chun imscaradh rianúil na gcóras tras‑Eorpach díláraithe a áirithiú agus chun costais bhreise a sheachaint. </w:t>
      </w:r>
    </w:p>
    <w:p w14:paraId="057BA1A8" w14:textId="7DE272D7" w:rsidR="00D30682" w:rsidRPr="004E1DD0" w:rsidRDefault="00252A75" w:rsidP="703B235F">
      <w:pPr>
        <w:rPr>
          <w:noProof/>
        </w:rPr>
      </w:pPr>
      <w:r>
        <w:rPr>
          <w:i/>
          <w:noProof/>
        </w:rPr>
        <w:t>Ar an dara dul síos</w:t>
      </w:r>
      <w:r>
        <w:rPr>
          <w:noProof/>
        </w:rPr>
        <w:t xml:space="preserve">, </w:t>
      </w:r>
      <w:r>
        <w:rPr>
          <w:b/>
          <w:noProof/>
        </w:rPr>
        <w:t>threisigh an Coimisiún an cúnamh a thugann sé do na Ballstáit maidir le</w:t>
      </w:r>
      <w:r>
        <w:rPr>
          <w:noProof/>
        </w:rPr>
        <w:t xml:space="preserve"> </w:t>
      </w:r>
      <w:r>
        <w:rPr>
          <w:b/>
          <w:noProof/>
        </w:rPr>
        <w:t xml:space="preserve">córais thras‑Eorpacha </w:t>
      </w:r>
      <w:r>
        <w:rPr>
          <w:noProof/>
        </w:rPr>
        <w:t xml:space="preserve">trí chur chuige sofhreagrúil agus atriallach a ghlacadh chun córais leictreonacha Chód Custaim an Aontais a fhorbairt agus a imscaradh. Leis an modh sin, lena n‑áirítear fréamhshamhaltú, réiteach tapa ar shaincheisteanna agus ualach oibre cothrom don Choimisiún agus do na Ballstáit araon, cuirtear le cáilíocht an chórais agus éascaítear dul chun cinn inbhraite.  Chuir na Ballstáit agus na trádálaithe fáilte roimh an gcur chuige sin. </w:t>
      </w:r>
    </w:p>
    <w:p w14:paraId="581D74D6" w14:textId="5BA0D714" w:rsidR="00D30682" w:rsidRPr="004E1DD0" w:rsidRDefault="00D30682" w:rsidP="703B235F">
      <w:pPr>
        <w:rPr>
          <w:noProof/>
        </w:rPr>
      </w:pPr>
      <w:r>
        <w:rPr>
          <w:noProof/>
        </w:rPr>
        <w:t xml:space="preserve">Thairis sin, bhunaigh an Coimisiún sásra comhoibríoch i measc páirtithe leasmhara ó thús na dtionscadal chun cur le gníomhaíochtaí ullmhúcháin, deacrachtaí cinnteoireachta a chosc agus trédhearcacht a áirithiú tríd an eolas is déanaí a thabhairt ar thionscadail. </w:t>
      </w:r>
    </w:p>
    <w:p w14:paraId="4BAC2368" w14:textId="35EB1C4A" w:rsidR="00D30682" w:rsidRPr="004E1DD0" w:rsidRDefault="00D30682" w:rsidP="00D30682">
      <w:pPr>
        <w:rPr>
          <w:noProof/>
        </w:rPr>
      </w:pPr>
      <w:r>
        <w:rPr>
          <w:noProof/>
        </w:rPr>
        <w:t>Lean an Coimisiún de chláir chomhordúcháin agus faireacháin a dhéanamh freisin le haghaidh gach ceann de na córais thras‑Eorpacha lena gceanglaítear go ndéanfar obair shubstaintiúil ar thaobh na mBallstát chun na comhpháirteanna náisiúnta a fhorbairt.</w:t>
      </w:r>
    </w:p>
    <w:p w14:paraId="2C61F2AF" w14:textId="4DFEF408" w:rsidR="00282B17" w:rsidRPr="004E1DD0" w:rsidRDefault="00D96BB4" w:rsidP="142D53D2">
      <w:pPr>
        <w:rPr>
          <w:noProof/>
        </w:rPr>
      </w:pPr>
      <w:r>
        <w:rPr>
          <w:noProof/>
        </w:rPr>
        <w:t>Tuilleadh mionsonraí maidir leis na gníomhaíochtaí a dhéantar le haghaidh ICS</w:t>
      </w:r>
      <w:r w:rsidRPr="0090767E">
        <w:rPr>
          <w:noProof/>
        </w:rPr>
        <w:t>2</w:t>
      </w:r>
      <w:r>
        <w:rPr>
          <w:noProof/>
        </w:rPr>
        <w:t>, an Córas Nua Ríomhchuidithe Idirthurais – Céim </w:t>
      </w:r>
      <w:r w:rsidRPr="0090767E">
        <w:rPr>
          <w:noProof/>
        </w:rPr>
        <w:t>5</w:t>
      </w:r>
      <w:r>
        <w:rPr>
          <w:noProof/>
        </w:rPr>
        <w:t xml:space="preserve"> agus AES:   </w:t>
      </w:r>
    </w:p>
    <w:p w14:paraId="0F706FA0" w14:textId="734F80B4" w:rsidR="009337CD" w:rsidRPr="004E1DD0" w:rsidRDefault="00A071C4" w:rsidP="00852BCD">
      <w:pPr>
        <w:pStyle w:val="ListParagraph"/>
        <w:numPr>
          <w:ilvl w:val="0"/>
          <w:numId w:val="28"/>
        </w:numPr>
        <w:rPr>
          <w:noProof/>
        </w:rPr>
      </w:pPr>
      <w:r>
        <w:rPr>
          <w:b/>
          <w:noProof/>
        </w:rPr>
        <w:t xml:space="preserve">Le haghaidh an chórais thras‑Eorpaigh </w:t>
      </w:r>
      <w:r>
        <w:rPr>
          <w:b/>
          <w:i/>
          <w:noProof/>
        </w:rPr>
        <w:t>ICS</w:t>
      </w:r>
      <w:r w:rsidRPr="0090767E">
        <w:rPr>
          <w:b/>
          <w:i/>
          <w:noProof/>
        </w:rPr>
        <w:t>2</w:t>
      </w:r>
      <w:r>
        <w:rPr>
          <w:noProof/>
        </w:rPr>
        <w:t xml:space="preserve">, lean an Coimisiún de thacaíocht a sholáthar do na Ballstáit agus do na hOibreoirí Eacnamaíocha ina ngníomhaíochtaí forbartha le haghaidh </w:t>
      </w:r>
      <w:r>
        <w:rPr>
          <w:i/>
          <w:noProof/>
        </w:rPr>
        <w:t>ICS</w:t>
      </w:r>
      <w:r w:rsidRPr="0090767E">
        <w:rPr>
          <w:i/>
          <w:noProof/>
        </w:rPr>
        <w:t>2</w:t>
      </w:r>
      <w:r>
        <w:rPr>
          <w:i/>
          <w:noProof/>
        </w:rPr>
        <w:t xml:space="preserve"> – Eisiúint </w:t>
      </w:r>
      <w:r w:rsidRPr="0090767E">
        <w:rPr>
          <w:i/>
          <w:noProof/>
        </w:rPr>
        <w:t>3</w:t>
      </w:r>
      <w:r>
        <w:rPr>
          <w:i/>
          <w:noProof/>
        </w:rPr>
        <w:t xml:space="preserve"> </w:t>
      </w:r>
      <w:r>
        <w:rPr>
          <w:noProof/>
        </w:rPr>
        <w:t xml:space="preserve">ar bhealaí éagsúla. Leis sin áiríodh seimineáir ghréasáin thiomnaithe a eagrú, </w:t>
      </w:r>
      <w:bookmarkStart w:id="33" w:name="_Int_NRrZzRDw"/>
      <w:r>
        <w:rPr>
          <w:noProof/>
        </w:rPr>
        <w:t>cúnamh a thairiscint</w:t>
      </w:r>
      <w:bookmarkEnd w:id="33"/>
      <w:r>
        <w:rPr>
          <w:noProof/>
        </w:rPr>
        <w:t xml:space="preserve"> trí Cheisteanna Coitianta agus cruinnithe iomlánacha a chomhordú chun a áirithiú go n‑ailíneofar pleananna tionscadail le garspriocanna an Choimisiúin maidir le TF a sholáthar. Ar deireadh, cuireadh feachtais chumarsáide, seisiúin oiliúna ar líne, agus doiciméadacht ar fáil i leabharlann phoiblí CIRCABC. </w:t>
      </w:r>
    </w:p>
    <w:p w14:paraId="1EE47D86" w14:textId="7A35A8F5" w:rsidR="00FE2777" w:rsidRPr="004E1DD0" w:rsidRDefault="004147D4">
      <w:pPr>
        <w:pStyle w:val="ListParagraph"/>
        <w:numPr>
          <w:ilvl w:val="0"/>
          <w:numId w:val="19"/>
        </w:numPr>
        <w:rPr>
          <w:noProof/>
          <w:color w:val="000000" w:themeColor="text1"/>
        </w:rPr>
      </w:pPr>
      <w:r>
        <w:rPr>
          <w:b/>
          <w:noProof/>
        </w:rPr>
        <w:t xml:space="preserve">Maidir leis na córais thras-Eorpacha i ndáil le </w:t>
      </w:r>
      <w:r>
        <w:rPr>
          <w:b/>
          <w:i/>
          <w:noProof/>
        </w:rPr>
        <w:t xml:space="preserve">Córas Nua Ríomhchuidithe Idirthurais — Céim </w:t>
      </w:r>
      <w:r w:rsidRPr="0090767E">
        <w:rPr>
          <w:b/>
          <w:i/>
          <w:noProof/>
        </w:rPr>
        <w:t>5</w:t>
      </w:r>
      <w:r>
        <w:rPr>
          <w:b/>
          <w:noProof/>
        </w:rPr>
        <w:t xml:space="preserve"> agus </w:t>
      </w:r>
      <w:r>
        <w:rPr>
          <w:b/>
          <w:i/>
          <w:noProof/>
        </w:rPr>
        <w:t>AES</w:t>
      </w:r>
      <w:r>
        <w:rPr>
          <w:noProof/>
        </w:rPr>
        <w:t>, lean an Coimisiún leis an ‘gClár Náisiúnta Comhordúcháin Riaracháin’ chun tacú leis na Ballstáit a gcomhpháirteanna náisiúnta a fhorbairt agus a imscaradh. L</w:t>
      </w:r>
      <w:r>
        <w:rPr>
          <w:noProof/>
          <w:color w:val="000000" w:themeColor="text1"/>
        </w:rPr>
        <w:t xml:space="preserve">eathnaíodh an clár chun maoirseacht a dhéanamh ar aistriú na mBallstát agus na dtrádálaithe chuig an </w:t>
      </w:r>
      <w:r>
        <w:rPr>
          <w:i/>
          <w:noProof/>
        </w:rPr>
        <w:t>gCóras Nua Ríomhchuidithe Idirthurais – Céim </w:t>
      </w:r>
      <w:r w:rsidRPr="0090767E">
        <w:rPr>
          <w:i/>
          <w:noProof/>
        </w:rPr>
        <w:t>5</w:t>
      </w:r>
      <w:r>
        <w:rPr>
          <w:noProof/>
        </w:rPr>
        <w:t xml:space="preserve"> agus córas </w:t>
      </w:r>
      <w:r>
        <w:rPr>
          <w:i/>
          <w:noProof/>
        </w:rPr>
        <w:t>AES</w:t>
      </w:r>
      <w:r>
        <w:rPr>
          <w:noProof/>
        </w:rPr>
        <w:t xml:space="preserve">, faireachán a dhéanamh ar an leanúnachas oibríochtúil le linn an aistrithe agus comhar níos dlúithe a chothú leis na Ballstáit. Áirítear leis na gníomhaíochtaí </w:t>
      </w:r>
      <w:r>
        <w:rPr>
          <w:noProof/>
          <w:color w:val="000000" w:themeColor="text1"/>
        </w:rPr>
        <w:t>deasc chabhrach thiomnaithe, cruinnithe fíorúla chun maolú a dhéanamh ar mhoilleanna forbartha na mBallstát, faisnéis atá cothrom le dáta a scaipeadh chuig an bpobal trádála agus tuairisciú tráthrialta chuig ECCG agus CPG. Ina theannta sin, eisíonn an Coimisiún tuarascálacha comhdhlúite ráithiúla ar dhul chun cinn maidir leis an aistriú chuig na córais nua ó bhí R</w:t>
      </w:r>
      <w:r w:rsidRPr="0090767E">
        <w:rPr>
          <w:noProof/>
          <w:color w:val="000000" w:themeColor="text1"/>
        </w:rPr>
        <w:t>1</w:t>
      </w:r>
      <w:r>
        <w:rPr>
          <w:noProof/>
          <w:color w:val="000000" w:themeColor="text1"/>
        </w:rPr>
        <w:t> </w:t>
      </w:r>
      <w:r w:rsidRPr="0090767E">
        <w:rPr>
          <w:noProof/>
          <w:color w:val="000000" w:themeColor="text1"/>
        </w:rPr>
        <w:t>2021</w:t>
      </w:r>
      <w:r>
        <w:rPr>
          <w:noProof/>
          <w:color w:val="000000" w:themeColor="text1"/>
        </w:rPr>
        <w:t xml:space="preserve"> ann, agus KPInna á soláthar chun foláireamh a bhrath go luath. </w:t>
      </w:r>
    </w:p>
    <w:p w14:paraId="4692CB78" w14:textId="620A5615" w:rsidR="004E1B03" w:rsidRPr="004E1DD0" w:rsidRDefault="004E1B03" w:rsidP="004E1B03">
      <w:pPr>
        <w:rPr>
          <w:noProof/>
        </w:rPr>
      </w:pPr>
      <w:r>
        <w:rPr>
          <w:noProof/>
        </w:rPr>
        <w:t xml:space="preserve">Faoi spreagadh na gclár faireacháin agus comhordúcháin le haghaidh na dtionscadal tras‑Eorpach eile, mhéadaigh an Coimisiún a ghníomhaíochtaí chun dlúthfhaireachán a dhéanamh ar dhul chun cinn na mBallstát maidir le forbairt na gcomhpháirteanna náisiúnta </w:t>
      </w:r>
      <w:r>
        <w:rPr>
          <w:b/>
          <w:noProof/>
        </w:rPr>
        <w:t>le haghaidh an tionscadail CCI</w:t>
      </w:r>
      <w:r>
        <w:rPr>
          <w:noProof/>
        </w:rPr>
        <w:t xml:space="preserve"> agus bhunaigh sé tuarascáil chomhdhlúite ráithiúil ar dhul chun cinn ó R</w:t>
      </w:r>
      <w:r w:rsidRPr="0090767E">
        <w:rPr>
          <w:noProof/>
        </w:rPr>
        <w:t>1</w:t>
      </w:r>
      <w:r>
        <w:rPr>
          <w:noProof/>
        </w:rPr>
        <w:t> </w:t>
      </w:r>
      <w:r w:rsidRPr="0090767E">
        <w:rPr>
          <w:noProof/>
        </w:rPr>
        <w:t>2024</w:t>
      </w:r>
      <w:r>
        <w:rPr>
          <w:noProof/>
        </w:rPr>
        <w:t xml:space="preserve"> ar aghaidh. Thairis sin, lean foireann gnó thiomnaithe CCI an Choimisiúin dá cuid iarrachtaí aghaidh a thabhairt ar cheisteanna na mBallstát maidir le hallmhairiú agus na simplithe tráth an allmhairithe amhail imréiteach láraithe. Ina theannta sin, tionóladh cruinnithe teicniúla tráthrialta ar bhonn seachtainiúil agus désheachtainiúil chomh maith le seisiúin aiseolais maidir le tástáil comhréireachta.</w:t>
      </w:r>
    </w:p>
    <w:p w14:paraId="29B99556" w14:textId="77D36EDA" w:rsidR="001D24CE" w:rsidRPr="004E1DD0" w:rsidRDefault="003F30AA" w:rsidP="703B235F">
      <w:pPr>
        <w:spacing w:line="259" w:lineRule="auto"/>
        <w:rPr>
          <w:noProof/>
        </w:rPr>
      </w:pPr>
      <w:r>
        <w:rPr>
          <w:i/>
          <w:noProof/>
        </w:rPr>
        <w:t>Ar an tríú dul síos,</w:t>
      </w:r>
      <w:r>
        <w:rPr>
          <w:noProof/>
        </w:rPr>
        <w:t xml:space="preserve"> lorg an Coimisiún ionchur ó na Ballstáit maidir lena srianta agus maidir leis an tacaíocht is gá chun na rioscaí a mhaolú. Chuir na Ballstáit in iúl tríd an </w:t>
      </w:r>
      <w:r>
        <w:rPr>
          <w:b/>
          <w:noProof/>
        </w:rPr>
        <w:t>suirbhé</w:t>
      </w:r>
      <w:r>
        <w:rPr>
          <w:noProof/>
        </w:rPr>
        <w:t xml:space="preserve"> go raibh na cruinnithe déthaobhacha ar leibhéal Stiúrthóra agus an t‑idirphlé teicniúil le AS TAXUD an‑tairbheach. Rinne siad measúnú ar sheimineáir ghréasáin theicniúla agus ar ghníomhaíochtaí comhroinnte faisnéise a chuir an Coimisiún ar fáil mar ghníomhaíochtaí úsáideacha. Mhol roinnt acu treoirlínte agus oiliúint oibríochtúil bhreise, treoraíocht d’oibreoirí eacnamaíocha, agus cúnamh lena ngabhann tacaíocht agus saineolas gnó, agus thug an Coimisiún an méid sin ar aghaidh ansin le linn </w:t>
      </w:r>
      <w:r w:rsidRPr="0090767E">
        <w:rPr>
          <w:noProof/>
        </w:rPr>
        <w:t>2024</w:t>
      </w:r>
      <w:r>
        <w:rPr>
          <w:noProof/>
        </w:rPr>
        <w:t>.</w:t>
      </w:r>
    </w:p>
    <w:p w14:paraId="4084879D" w14:textId="4BEE9FF6" w:rsidR="003B707C" w:rsidRPr="004E1DD0" w:rsidRDefault="0CD7BB41" w:rsidP="0D619399">
      <w:pPr>
        <w:spacing w:line="259" w:lineRule="auto"/>
        <w:rPr>
          <w:noProof/>
        </w:rPr>
      </w:pPr>
      <w:r>
        <w:rPr>
          <w:i/>
          <w:noProof/>
        </w:rPr>
        <w:t>Ar an gceathrú dul síos</w:t>
      </w:r>
      <w:r>
        <w:rPr>
          <w:noProof/>
        </w:rPr>
        <w:t>, bunaithe ar thoradh an tsuirbhé agus ar phlé déthaobhach leis na Ballstáit, is minic a léiríodh an easpa maoinithe iomchuí mar chúis le moilleanna. Is é is aidhm don teachtaireacht ón gCoimisiún maidir leis an nglao nua ar chistiú faoin Ionstraim um Thacaíocht Theicniúil (</w:t>
      </w:r>
      <w:r>
        <w:rPr>
          <w:b/>
          <w:noProof/>
        </w:rPr>
        <w:t xml:space="preserve">ITT) </w:t>
      </w:r>
      <w:r w:rsidRPr="0090767E">
        <w:rPr>
          <w:b/>
          <w:noProof/>
        </w:rPr>
        <w:t>2025</w:t>
      </w:r>
      <w:r>
        <w:rPr>
          <w:b/>
          <w:noProof/>
        </w:rPr>
        <w:t xml:space="preserve"> </w:t>
      </w:r>
      <w:r>
        <w:rPr>
          <w:noProof/>
        </w:rPr>
        <w:t xml:space="preserve">feasacht a chur chun cinn i measc na mBallstát ar an bhféidearthacht chun tacaíocht a fháil le haghaidh chlaochlú digiteach Chód Custaim an Aontais.  </w:t>
      </w:r>
    </w:p>
    <w:p w14:paraId="689541C3" w14:textId="632EC68A" w:rsidR="003B707C" w:rsidRPr="004E1DD0" w:rsidRDefault="0CD7BB41" w:rsidP="006C7EE0">
      <w:pPr>
        <w:spacing w:line="257" w:lineRule="auto"/>
        <w:rPr>
          <w:noProof/>
        </w:rPr>
      </w:pPr>
      <w:r>
        <w:rPr>
          <w:i/>
          <w:noProof/>
        </w:rPr>
        <w:t>Ar an gcúigiú dul síos</w:t>
      </w:r>
      <w:r>
        <w:rPr>
          <w:noProof/>
        </w:rPr>
        <w:t xml:space="preserve">, chun aghaidh a thabhairt ar riachtanais shonracha na mBallstát sa bhainistíocht laethúil a dhéanann siad ar chlár digiteach Chód Custaim an Aontais, ghlac </w:t>
      </w:r>
      <w:r w:rsidRPr="0090767E">
        <w:rPr>
          <w:noProof/>
        </w:rPr>
        <w:t>3</w:t>
      </w:r>
      <w:r>
        <w:rPr>
          <w:noProof/>
        </w:rPr>
        <w:t xml:space="preserve"> Bhallstát (FR, MT agus GR) páirt i gclár píolótach a chuir an Coimisiún i bhfeidhm </w:t>
      </w:r>
      <w:r>
        <w:rPr>
          <w:b/>
          <w:noProof/>
        </w:rPr>
        <w:t xml:space="preserve">le cuideachta chomhairliúcháin </w:t>
      </w:r>
      <w:r>
        <w:rPr>
          <w:noProof/>
        </w:rPr>
        <w:t xml:space="preserve">i ndeireadh </w:t>
      </w:r>
      <w:r w:rsidRPr="0090767E">
        <w:rPr>
          <w:noProof/>
        </w:rPr>
        <w:t>2023</w:t>
      </w:r>
      <w:r>
        <w:rPr>
          <w:b/>
          <w:noProof/>
        </w:rPr>
        <w:t xml:space="preserve">. </w:t>
      </w:r>
      <w:r>
        <w:rPr>
          <w:noProof/>
        </w:rPr>
        <w:t xml:space="preserve">Thuairiscigh na Ballstáit le linn </w:t>
      </w:r>
      <w:r w:rsidRPr="0090767E">
        <w:rPr>
          <w:noProof/>
        </w:rPr>
        <w:t>2024</w:t>
      </w:r>
      <w:r>
        <w:rPr>
          <w:noProof/>
        </w:rPr>
        <w:t xml:space="preserve"> go raibh an léargas agus na moltaí a soláthraíodh an‑úsáideadh chun tuiscint níos fearr a fháil ar na saincheisteanna agus ar conas aghaidh a thabhairt orthu agus, dá réir sin, tuilleadh moilleanna a sheachaint. </w:t>
      </w:r>
    </w:p>
    <w:p w14:paraId="346F06C5" w14:textId="626C16F7" w:rsidR="003B707C" w:rsidRPr="004E1DD0" w:rsidRDefault="51215514" w:rsidP="006C7EE0">
      <w:pPr>
        <w:spacing w:line="259" w:lineRule="auto"/>
        <w:rPr>
          <w:noProof/>
        </w:rPr>
      </w:pPr>
      <w:r>
        <w:rPr>
          <w:i/>
          <w:noProof/>
        </w:rPr>
        <w:t>Ar deireadh</w:t>
      </w:r>
      <w:r>
        <w:rPr>
          <w:noProof/>
        </w:rPr>
        <w:t xml:space="preserve">, lean an Coimisiún den chleachtadh chun na </w:t>
      </w:r>
      <w:r>
        <w:rPr>
          <w:b/>
          <w:noProof/>
        </w:rPr>
        <w:t>ceachtanna a foghlaimíodh</w:t>
      </w:r>
      <w:r>
        <w:rPr>
          <w:noProof/>
        </w:rPr>
        <w:t xml:space="preserve"> agus na </w:t>
      </w:r>
      <w:r>
        <w:rPr>
          <w:b/>
          <w:noProof/>
        </w:rPr>
        <w:t>dea‑chleachtais</w:t>
      </w:r>
      <w:r>
        <w:rPr>
          <w:noProof/>
        </w:rPr>
        <w:t xml:space="preserve"> a bhailiú chun na tionscadail dhigiteacha a fhorbairt. Chuige sin, leis an suirbhé a seoladh in </w:t>
      </w:r>
      <w:r w:rsidRPr="0090767E">
        <w:rPr>
          <w:noProof/>
        </w:rPr>
        <w:t>2024</w:t>
      </w:r>
      <w:r>
        <w:rPr>
          <w:noProof/>
        </w:rPr>
        <w:t xml:space="preserve"> </w:t>
      </w:r>
      <w:r>
        <w:rPr>
          <w:noProof/>
          <w:color w:val="000000" w:themeColor="text1"/>
        </w:rPr>
        <w:t xml:space="preserve">soláthraíodh an fhaisnéis sin </w:t>
      </w:r>
      <w:r>
        <w:rPr>
          <w:noProof/>
        </w:rPr>
        <w:t>agus cuireadh na torthaí le roinn </w:t>
      </w:r>
      <w:r w:rsidRPr="0090767E">
        <w:rPr>
          <w:noProof/>
        </w:rPr>
        <w:t>1</w:t>
      </w:r>
      <w:r>
        <w:rPr>
          <w:noProof/>
        </w:rPr>
        <w:t>.</w:t>
      </w:r>
      <w:r w:rsidRPr="0090767E">
        <w:rPr>
          <w:noProof/>
        </w:rPr>
        <w:t>2</w:t>
      </w:r>
      <w:r>
        <w:rPr>
          <w:noProof/>
        </w:rPr>
        <w:t xml:space="preserve"> den Doiciméad Inmheánach Oibre de chuid an Choimisiúin a ghabhann leis an tuarascáil seo.</w:t>
      </w:r>
    </w:p>
    <w:p w14:paraId="0D42D4A0" w14:textId="0ED924E0" w:rsidR="003F30AA" w:rsidRPr="004E1DD0" w:rsidRDefault="0087778E" w:rsidP="02BB932C">
      <w:pPr>
        <w:rPr>
          <w:noProof/>
        </w:rPr>
      </w:pPr>
      <w:r>
        <w:rPr>
          <w:noProof/>
        </w:rPr>
        <w:t xml:space="preserve">Ós rud é go bhfuilimid ag díriú i dtreo dheireadh </w:t>
      </w:r>
      <w:r w:rsidRPr="0090767E">
        <w:rPr>
          <w:noProof/>
        </w:rPr>
        <w:t>2025</w:t>
      </w:r>
      <w:r>
        <w:rPr>
          <w:noProof/>
        </w:rPr>
        <w:t xml:space="preserve">, iarradh ar na Ballstáit na sprioc‑amanna i gClár Oibre nua Chód Custaim an Aontais a choimirciú. Níl ach bliain amháin fágtha chun Cód Custaim an Aontais maidir le TF a chur chun feidhme. </w:t>
      </w:r>
      <w:r>
        <w:rPr>
          <w:b/>
          <w:noProof/>
        </w:rPr>
        <w:t>Tá gá le hiarrachtaí eisceachtúla agus gníomhaíocht láithreach</w:t>
      </w:r>
      <w:r>
        <w:rPr>
          <w:noProof/>
        </w:rPr>
        <w:t xml:space="preserve"> chun moilleanna a sheachaint agus chun a leanúnachas gnó a áirithiú le haghaidh na gcóras tras‑Eorpach. I gcomhréir le dlí an Aontais, chuaigh an Coimisiún i mbun comhfhreagras foirmiúil leis na Ballstáit ar a bhfuil moill maidir le córais TF a chur chun feidhme.</w:t>
      </w:r>
    </w:p>
    <w:p w14:paraId="1083A18E" w14:textId="5A49ECF8" w:rsidR="000802E9" w:rsidRPr="004E1DD0" w:rsidRDefault="000D2968" w:rsidP="007270C7">
      <w:pPr>
        <w:rPr>
          <w:noProof/>
        </w:rPr>
      </w:pPr>
      <w:r>
        <w:rPr>
          <w:noProof/>
        </w:rPr>
        <w:t>Cé go dtugann an Coimisiún tacaíocht ar roinnt mhaith bealaí mar a léirítear thuas, is iad na Ballstáit atá freagrach as na comhpháirteanna agus na córais náisiúnta a fhorbairt agus a imscaradh. Rinneadh comhroinnt róil a shainiú agus a chomhaontú leis na páirtithe leasmhara uile ón tús agus ba cheart urraim a thabhairt don chomhroinnt sin ar feadh shaolré an tionscadail.</w:t>
      </w:r>
    </w:p>
    <w:p w14:paraId="19CF76BB" w14:textId="3188F7F0" w:rsidR="007105D6" w:rsidRPr="004E1DD0" w:rsidRDefault="003973FB" w:rsidP="00B07976">
      <w:pPr>
        <w:pStyle w:val="Heading3"/>
        <w:numPr>
          <w:ilvl w:val="1"/>
          <w:numId w:val="4"/>
        </w:numPr>
        <w:spacing w:before="240" w:after="240"/>
        <w:ind w:left="567" w:hanging="567"/>
        <w:jc w:val="left"/>
        <w:rPr>
          <w:rFonts w:eastAsia="PMingLiU" w:cs="Times New Roman"/>
          <w:caps/>
          <w:noProof/>
          <w:szCs w:val="32"/>
        </w:rPr>
      </w:pPr>
      <w:bookmarkStart w:id="34" w:name="_Toc164064191"/>
      <w:bookmarkStart w:id="35" w:name="_Toc209611075"/>
      <w:bookmarkStart w:id="36" w:name="_Hlk202953993"/>
      <w:bookmarkEnd w:id="34"/>
      <w:r>
        <w:rPr>
          <w:caps/>
          <w:noProof/>
        </w:rPr>
        <w:t xml:space="preserve">Staid na </w:t>
      </w:r>
      <w:r w:rsidRPr="00D95A71">
        <w:rPr>
          <w:rFonts w:ascii="Times New Roman Bold" w:hAnsi="Times New Roman Bold"/>
          <w:noProof/>
        </w:rPr>
        <w:t>h</w:t>
      </w:r>
      <w:r>
        <w:rPr>
          <w:caps/>
          <w:noProof/>
        </w:rPr>
        <w:t>imeartha maidir le tíortha is iarrthóirí nó tíortha is iarrthóirí ionchasacha</w:t>
      </w:r>
      <w:bookmarkEnd w:id="35"/>
    </w:p>
    <w:bookmarkEnd w:id="36"/>
    <w:p w14:paraId="0D38F5FF" w14:textId="1F23A395" w:rsidR="1A220C7F" w:rsidRPr="004E1DD0" w:rsidRDefault="00F1290A" w:rsidP="0D619399">
      <w:pPr>
        <w:rPr>
          <w:noProof/>
        </w:rPr>
      </w:pPr>
      <w:r>
        <w:rPr>
          <w:noProof/>
        </w:rPr>
        <w:t xml:space="preserve">Is gá do na tíortha um méadú an Aontais amach anseo agus do pháirtithe conarthacha eile sa Choinbhinsiún maidir le Nós Imeachta Comhchoiteann um Earraí faoi Bhealach an t‑aistriú i dtreo na gcóras leictreonach uasghrádaithe atá beartaithe ag Cód Custaim an Aontais a chur san áireamh, chomh maith leis na cuir chuige TF nua a cuireadh ar bun leis an togra le haghaidh athchóiriú. </w:t>
      </w:r>
    </w:p>
    <w:p w14:paraId="1E62E07D" w14:textId="559EA917" w:rsidR="1A220C7F" w:rsidRPr="004E1DD0" w:rsidRDefault="00224B55">
      <w:pPr>
        <w:rPr>
          <w:noProof/>
        </w:rPr>
      </w:pPr>
      <w:bookmarkStart w:id="37" w:name="_Hlk202953981"/>
      <w:r>
        <w:rPr>
          <w:noProof/>
        </w:rPr>
        <w:t>Ní dhéanann an Coimisiún faireachán córasach ar an dul chun cinn i dtreo córais leictreonacha iomlána tíortha is iarrthóirí mar chuid den oibleagáid tuairiscithe faoi Airteagal </w:t>
      </w:r>
      <w:r w:rsidRPr="0090767E">
        <w:rPr>
          <w:noProof/>
        </w:rPr>
        <w:t>278</w:t>
      </w:r>
      <w:r>
        <w:rPr>
          <w:noProof/>
        </w:rPr>
        <w:t xml:space="preserve">a de Chód Custaim an Aontais. Mar sin féin, mar chuid den straitéis um an méadú lena n‑áirítear na Comhaontuithe Comhlachais leis an Aontas, tá forbairt a gcóras TF lena dtacaítear lena n‑ailíniú le reachtaíocht chustaim an Aontais ina príomhghné de na measúnuithe tráthrialta a dhéanann an tAontas. </w:t>
      </w:r>
    </w:p>
    <w:bookmarkEnd w:id="37"/>
    <w:p w14:paraId="1425E6CF" w14:textId="3D2255DB" w:rsidR="1A220C7F" w:rsidRPr="004E1DD0" w:rsidRDefault="1A220C7F" w:rsidP="006C7EE0">
      <w:pPr>
        <w:rPr>
          <w:noProof/>
        </w:rPr>
      </w:pPr>
      <w:r>
        <w:rPr>
          <w:noProof/>
        </w:rPr>
        <w:t xml:space="preserve">Is gá do na tíortha is iarrthóirí nascadh de réir a chéile le córais Chód Custaim an Aontais nó iad a chur i bhfeidhm ar an gconair i dtreo dul isteach i gcríoch chustaim an Aontais. De réir dháta beartaithe an aontachais, is féidir go gceanglófar orthu freisin feidhmiúlachtaí Mhol Sonraí Custaim an Aontais a bheidh ann amach anseo a chomhlíonadh mar a mholtar sa phacáiste um Athchóiriú Custaim. </w:t>
      </w:r>
    </w:p>
    <w:p w14:paraId="342E21C6" w14:textId="4DD26F56" w:rsidR="1A220C7F" w:rsidRDefault="1A220C7F">
      <w:pPr>
        <w:rPr>
          <w:noProof/>
        </w:rPr>
      </w:pPr>
      <w:r>
        <w:rPr>
          <w:noProof/>
        </w:rPr>
        <w:t xml:space="preserve">Amach anseo, mar ullmhúchán don Mhéadú a bhaineann le tíortha is iarrthóirí, is gá príomhghníomhaíochtaí éagsúla a dhéanamh go tráthrialta. Orthu sin áirítear tuairisciú ar an gcur chun feidhme digiteach agus páirt a ghlacadh i dtástáil comhréireachta chun idir‑inoibritheacht idir a gcórais náisiúnta agus córais náisiúnta na mBallstát agus an Aontais a áirithiú. Ina theannta sin, is gá don Aontas measúnú tráthrialta a dhéanamh ar fheidhmíocht na gcóras. </w:t>
      </w:r>
    </w:p>
    <w:p w14:paraId="4CEEB97F" w14:textId="77777777" w:rsidR="00AA45E7" w:rsidRPr="004E1DD0" w:rsidRDefault="00AA45E7">
      <w:pPr>
        <w:rPr>
          <w:noProof/>
          <w:lang w:val="en-IE"/>
        </w:rPr>
      </w:pPr>
    </w:p>
    <w:p w14:paraId="357B690C" w14:textId="52675F4D" w:rsidR="00D23239" w:rsidRPr="004E1DD0" w:rsidRDefault="54132DAD" w:rsidP="00406CC2">
      <w:pPr>
        <w:pStyle w:val="Heading1"/>
        <w:keepLines w:val="0"/>
        <w:numPr>
          <w:ilvl w:val="0"/>
          <w:numId w:val="4"/>
        </w:numPr>
        <w:spacing w:after="240"/>
        <w:ind w:left="567" w:hanging="567"/>
        <w:jc w:val="left"/>
        <w:rPr>
          <w:rFonts w:hint="eastAsia"/>
          <w:noProof/>
        </w:rPr>
      </w:pPr>
      <w:bookmarkStart w:id="38" w:name="_Toc117261090"/>
      <w:bookmarkStart w:id="39" w:name="_Toc51832874"/>
      <w:bookmarkStart w:id="40" w:name="_Toc51832875"/>
      <w:bookmarkStart w:id="41" w:name="_Toc52475150"/>
      <w:bookmarkStart w:id="42" w:name="_Ref73536869"/>
      <w:bookmarkStart w:id="43" w:name="_Ref73536875"/>
      <w:bookmarkStart w:id="44" w:name="_Ref73621895"/>
      <w:bookmarkStart w:id="45" w:name="_Ref73621922"/>
      <w:bookmarkStart w:id="46" w:name="_Ref73621936"/>
      <w:bookmarkStart w:id="47" w:name="_Ref137491449"/>
      <w:bookmarkStart w:id="48" w:name="_Toc209611076"/>
      <w:bookmarkEnd w:id="38"/>
      <w:bookmarkEnd w:id="39"/>
      <w:bookmarkEnd w:id="40"/>
      <w:r>
        <w:rPr>
          <w:noProof/>
        </w:rPr>
        <w:t>Achoimre ar bhainistíocht agus conclúidí</w:t>
      </w:r>
      <w:bookmarkEnd w:id="41"/>
      <w:bookmarkEnd w:id="42"/>
      <w:bookmarkEnd w:id="43"/>
      <w:bookmarkEnd w:id="44"/>
      <w:bookmarkEnd w:id="45"/>
      <w:bookmarkEnd w:id="46"/>
      <w:bookmarkEnd w:id="47"/>
      <w:bookmarkEnd w:id="48"/>
    </w:p>
    <w:p w14:paraId="6D5A6DEE" w14:textId="77777777" w:rsidR="00F93DE7" w:rsidRPr="004E1DD0" w:rsidRDefault="22422EE0" w:rsidP="0D619399">
      <w:pPr>
        <w:rPr>
          <w:noProof/>
        </w:rPr>
      </w:pPr>
      <w:r>
        <w:rPr>
          <w:noProof/>
        </w:rPr>
        <w:t xml:space="preserve">Ón tráth a glacadh Clár Oibre Chód Custaim an Aontais den chéad uair in </w:t>
      </w:r>
      <w:r w:rsidRPr="0090767E">
        <w:rPr>
          <w:noProof/>
        </w:rPr>
        <w:t>2014</w:t>
      </w:r>
      <w:r>
        <w:rPr>
          <w:noProof/>
        </w:rPr>
        <w:t xml:space="preserve">, is tionscadal comhoibríoch é cur chun feidhme Chód Custaim an Aontais ina dtugann na páirtithe leasmhara uile gealltanas láidir. </w:t>
      </w:r>
    </w:p>
    <w:p w14:paraId="5D31BDCE" w14:textId="5A7AD126" w:rsidR="00E774E9" w:rsidRPr="00841007" w:rsidRDefault="00F93DE7" w:rsidP="0D619399">
      <w:pPr>
        <w:rPr>
          <w:noProof/>
        </w:rPr>
      </w:pPr>
      <w:r>
        <w:rPr>
          <w:noProof/>
        </w:rPr>
        <w:t xml:space="preserve">Agus an tuarascáil seo á dréachtú aige, rinne an Coimisiún grinnanailís ar na sonraí dul chun cinn a bailíodh in </w:t>
      </w:r>
      <w:r w:rsidRPr="0090767E">
        <w:rPr>
          <w:noProof/>
        </w:rPr>
        <w:t>2024</w:t>
      </w:r>
      <w:r>
        <w:rPr>
          <w:noProof/>
        </w:rPr>
        <w:t xml:space="preserve"> agus chonaic sé go ndearna na Ballstáit dul chun cinn suntasach i dtreo sprioc </w:t>
      </w:r>
      <w:r w:rsidRPr="0090767E">
        <w:rPr>
          <w:noProof/>
        </w:rPr>
        <w:t>2025</w:t>
      </w:r>
      <w:r>
        <w:rPr>
          <w:noProof/>
        </w:rPr>
        <w:t xml:space="preserve">. Is éard a tháinig as an tiomantas comhroinnte sin, dul chun cinn suntasach i gclár cur chun feidhme digiteach Chód Custaim an Aontais in </w:t>
      </w:r>
      <w:r w:rsidRPr="0090767E">
        <w:rPr>
          <w:noProof/>
        </w:rPr>
        <w:t>2024</w:t>
      </w:r>
      <w:r>
        <w:rPr>
          <w:noProof/>
        </w:rPr>
        <w:t>, agus rolladh amach rathúil ar an gCóras Bainistíochta Ráthaíochta (GUM), ICS</w:t>
      </w:r>
      <w:r w:rsidRPr="0090767E">
        <w:rPr>
          <w:noProof/>
        </w:rPr>
        <w:t>2</w:t>
      </w:r>
      <w:r>
        <w:rPr>
          <w:noProof/>
        </w:rPr>
        <w:t xml:space="preserve"> Eisiúint </w:t>
      </w:r>
      <w:r w:rsidRPr="0090767E">
        <w:rPr>
          <w:noProof/>
        </w:rPr>
        <w:t>3</w:t>
      </w:r>
      <w:r>
        <w:rPr>
          <w:noProof/>
        </w:rPr>
        <w:t>, PoUS Céim </w:t>
      </w:r>
      <w:r w:rsidRPr="0090767E">
        <w:rPr>
          <w:noProof/>
        </w:rPr>
        <w:t>1</w:t>
      </w:r>
      <w:r>
        <w:rPr>
          <w:noProof/>
        </w:rPr>
        <w:t xml:space="preserve"> agus an Córas Nua Ríomhchuidithe Idirthurais – Céim </w:t>
      </w:r>
      <w:r w:rsidRPr="0090767E">
        <w:rPr>
          <w:noProof/>
        </w:rPr>
        <w:t>5</w:t>
      </w:r>
      <w:r>
        <w:rPr>
          <w:noProof/>
        </w:rPr>
        <w:t xml:space="preserve"> ag gabháil leis sin. </w:t>
      </w:r>
    </w:p>
    <w:p w14:paraId="7C619B42" w14:textId="77777777" w:rsidR="003978EC" w:rsidRPr="004E1DD0" w:rsidRDefault="003978EC" w:rsidP="003978EC">
      <w:pPr>
        <w:rPr>
          <w:noProof/>
        </w:rPr>
      </w:pPr>
      <w:r>
        <w:rPr>
          <w:noProof/>
        </w:rPr>
        <w:t xml:space="preserve">Mar sin féin, d’ainneoin na n‑éachtaí sin, leanann Ballstáit áirithe de bheith ag streachailt le sprioc‑amanna tionscadal áirithe, go háirithe iad sin a bhaineann leis an bhfearann allmhairiúcháin (an Córas Allmhairiúcháin Náisiúnta, TS, CCI) agus leis an bhfearann onnmhairiúcháin (AES). Maidir leis na moilleanna a chuirtear ar Bhallstáit áirithe bíonn tionchar diúltach acu ar na páirtithe leasmhara eile, rud a chuireann teorainn leis na tairbhí agus a chuireann costais bhreise ar an gCoimisiún, ar na Ballstáit eile agus ar na gnólachtaí Eorpacha. Le haghaidh na mBallstát nach n‑imscarann an Córas Allmhairiúcháin Náisiúnta uasghrádaithe go fóill, ní fhaigheann an Coimisiún na sonraí uile is gá go fóill chun a chúraimí faireachais a dhéanamh. Le haghaidh CCI, tá tionchar ar ghnó Eorpach toisc nach mbeidh an rolladh amach ná na tairbhí le haghaidh cuideachtaí ar fáil ach amháin má d’imscar an dá Bhallstát lena mbaineann (i gcás ina bhfuil an chuideachta bunaithe agus ina bhfuil na hearraí á gcur i láthair ag an gcuideachta) a gcomhpháirt CCI náisiúnta. Le haghaidh AES, tá tionchar ar Bhallstáit eile toisc gurb amhlaidh a cheanglaítear le honnmhairiú indíreach a thosaítear i mBallstát amháin deimhniú an imeachta i mBallstát eile ionas gur féidir leis na cuideachtaí cruthúnas a fháil ar an imeacht agus CBL a aisghabháil. Dá bhrí sin, is gá don dá Bhallstát a bheith in ann cumarsáid a dhéanamh sa chóras céanna. </w:t>
      </w:r>
    </w:p>
    <w:p w14:paraId="57DD3C80" w14:textId="66265871" w:rsidR="00FB03EE" w:rsidRPr="004E1DD0" w:rsidRDefault="00FB03EE" w:rsidP="00FB03EE">
      <w:pPr>
        <w:spacing w:before="240" w:after="240"/>
        <w:rPr>
          <w:noProof/>
        </w:rPr>
      </w:pPr>
      <w:r>
        <w:rPr>
          <w:noProof/>
        </w:rPr>
        <w:t xml:space="preserve">Leanann sé de bheith fíor‑riachtanach go gcothaíonn na páirtithe leasmhara uile iarrachtaí agus go soláthraíonn siad na hacmhainní is gá chun sprioc‑am deiridh </w:t>
      </w:r>
      <w:r w:rsidRPr="0090767E">
        <w:rPr>
          <w:noProof/>
        </w:rPr>
        <w:t>2025</w:t>
      </w:r>
      <w:r>
        <w:rPr>
          <w:noProof/>
        </w:rPr>
        <w:t xml:space="preserve"> a chomhlíonadh, ós rud é go leanfaidh éifeachtaí seach‑iarmharta de bheith ag moilleanna breise ar Bhallstáit eile agus de bheith ag cur isteach ar an gcreat oibríochtúil comhsheasmhach atá beartaithe chun dul chun tairbhe do na hoibreoirí eacnamaíocha uile go haonfhoirmeach. Tugtar le tuiscint leis sin éilimh fhadaithe agus threisithe ar acmhainní le haghaidh tástáil comhréireachta bhreise, comhordú agus cothabháil leathnaithe córais ar thaobh an Choimisiúin, na mBallstát agus na n‑oibreoirí eacnamaíocha. Thairis sin, tá príomhról ag cur chun feidhme digiteach Chód Custaim an Aontais maidir le cosaint ioncaim agus maidir le trádáil éagórach nó aindleathach a chomhrac. </w:t>
      </w:r>
    </w:p>
    <w:p w14:paraId="2D642B7C" w14:textId="2B1B2046" w:rsidR="003978EC" w:rsidRPr="004E1DD0" w:rsidRDefault="003978EC" w:rsidP="00FB03EE">
      <w:pPr>
        <w:spacing w:before="240" w:after="240"/>
        <w:rPr>
          <w:noProof/>
        </w:rPr>
      </w:pPr>
      <w:r>
        <w:rPr>
          <w:noProof/>
        </w:rPr>
        <w:t xml:space="preserve">I gcomparáid le </w:t>
      </w:r>
      <w:r w:rsidRPr="0090767E">
        <w:rPr>
          <w:noProof/>
        </w:rPr>
        <w:t>2023</w:t>
      </w:r>
      <w:r>
        <w:rPr>
          <w:noProof/>
        </w:rPr>
        <w:t xml:space="preserve"> tá iarrachtaí agus torthaí na mBallstát níos suntasaí anois, rud a léiríonn raon dul chun cinn atá ag éirí níos éagsúla agus muid ag druidim leis an mbliain deiridh maidir le cur chun feidhme Chód Custaim an Aontais. Leis an éagsúlacht sin leagtar béim ar an ngéarghá le gníomhaíocht aontaithe agus phras chun aistriú digiteach iomlán a áirithiú ar fud na mBallstát uile. Tá sé fíor‑riachtanach móiminteam a choinneáil ar bun, aghaidh a thabhairt ar chéimeanna ar gcúl agus sprioc‑amanna a chomhlíonadh chun leanúnachas gnó a chaomhnú agus tacú le hoibreoirí eacnamaíocha de réir mar a aistríonn an tAontas i dtreo timpeallacht chustaim atá iomlán digiteach. Mar a léirítear ó amharc sa ghraf thíos, tá cuid mhór oibre déanta againn agus tá bliain deiridh an imscartha amach os ár gcomhair.</w:t>
      </w:r>
    </w:p>
    <w:p w14:paraId="174F55AB" w14:textId="7804473A" w:rsidR="00E42B11" w:rsidRPr="004E1DD0" w:rsidRDefault="00E42B11" w:rsidP="0D619399">
      <w:pPr>
        <w:rPr>
          <w:noProof/>
          <w:lang w:val="en-IE"/>
        </w:rPr>
      </w:pPr>
    </w:p>
    <w:p w14:paraId="737A768E" w14:textId="77777777" w:rsidR="003978EC" w:rsidRPr="004E1DD0" w:rsidRDefault="2D891F31" w:rsidP="0D619399">
      <w:pPr>
        <w:jc w:val="center"/>
        <w:rPr>
          <w:noProof/>
        </w:rPr>
      </w:pPr>
      <w:r w:rsidRPr="0090767E">
        <w:rPr>
          <w:noProof/>
          <w:lang w:val="en-GB" w:eastAsia="en-GB"/>
        </w:rPr>
        <w:drawing>
          <wp:inline distT="0" distB="0" distL="0" distR="0" wp14:anchorId="0877DFA5" wp14:editId="275FB694">
            <wp:extent cx="5403227" cy="3742860"/>
            <wp:effectExtent l="0" t="0" r="6985" b="0"/>
            <wp:docPr id="1320846312" name="Picture 132084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46312" name="Picture 1320846312"/>
                    <pic:cNvPicPr/>
                  </pic:nvPicPr>
                  <pic:blipFill>
                    <a:blip r:embed="rId31">
                      <a:extLst>
                        <a:ext uri="{28A0092B-C50C-407E-A947-70E740481C1C}">
                          <a14:useLocalDpi xmlns:a14="http://schemas.microsoft.com/office/drawing/2010/main" val="0"/>
                        </a:ext>
                      </a:extLst>
                    </a:blip>
                    <a:stretch>
                      <a:fillRect/>
                    </a:stretch>
                  </pic:blipFill>
                  <pic:spPr>
                    <a:xfrm>
                      <a:off x="0" y="0"/>
                      <a:ext cx="5403227" cy="3742860"/>
                    </a:xfrm>
                    <a:prstGeom prst="rect">
                      <a:avLst/>
                    </a:prstGeom>
                  </pic:spPr>
                </pic:pic>
              </a:graphicData>
            </a:graphic>
          </wp:inline>
        </w:drawing>
      </w:r>
    </w:p>
    <w:p w14:paraId="2B090ABD" w14:textId="7C9B78E9" w:rsidR="2D891F31" w:rsidRPr="004E1DD0" w:rsidRDefault="37A9E374" w:rsidP="0D619399">
      <w:pPr>
        <w:jc w:val="center"/>
        <w:rPr>
          <w:noProof/>
        </w:rPr>
      </w:pPr>
      <w:r>
        <w:rPr>
          <w:noProof/>
        </w:rPr>
        <w:t xml:space="preserve"> Fíor </w:t>
      </w:r>
      <w:r w:rsidRPr="0090767E">
        <w:rPr>
          <w:noProof/>
        </w:rPr>
        <w:t>5</w:t>
      </w:r>
      <w:r>
        <w:rPr>
          <w:noProof/>
        </w:rPr>
        <w:t xml:space="preserve"> – Forbhreathnú ar Phleanáil </w:t>
      </w:r>
    </w:p>
    <w:p w14:paraId="65240C38" w14:textId="77777777" w:rsidR="00FB03EE" w:rsidRPr="004E1DD0" w:rsidRDefault="00FB03EE" w:rsidP="00FB03EE">
      <w:pPr>
        <w:rPr>
          <w:noProof/>
          <w:lang w:val="en-IE"/>
        </w:rPr>
      </w:pPr>
    </w:p>
    <w:p w14:paraId="554CF4E4" w14:textId="5BA076FF" w:rsidR="672A7872" w:rsidRPr="004E1DD0" w:rsidRDefault="672A7872" w:rsidP="00365BE1">
      <w:pPr>
        <w:rPr>
          <w:noProof/>
        </w:rPr>
      </w:pPr>
      <w:r>
        <w:rPr>
          <w:noProof/>
        </w:rPr>
        <w:t xml:space="preserve">Ó </w:t>
      </w:r>
      <w:r w:rsidRPr="0090767E">
        <w:rPr>
          <w:noProof/>
        </w:rPr>
        <w:t>2024</w:t>
      </w:r>
      <w:r>
        <w:rPr>
          <w:noProof/>
        </w:rPr>
        <w:t xml:space="preserve"> ar aghaidh, beidh moilleanna ar thart ar </w:t>
      </w:r>
      <w:r w:rsidRPr="0090767E">
        <w:rPr>
          <w:noProof/>
        </w:rPr>
        <w:t>63</w:t>
      </w:r>
      <w:r>
        <w:rPr>
          <w:noProof/>
        </w:rPr>
        <w:t> % de na Ballstáit in CCI Céim </w:t>
      </w:r>
      <w:r w:rsidRPr="0090767E">
        <w:rPr>
          <w:noProof/>
        </w:rPr>
        <w:t>1</w:t>
      </w:r>
      <w:r>
        <w:rPr>
          <w:noProof/>
        </w:rPr>
        <w:t>, cé gur tuairiscíodh níos lú moilleanna i gcomhpháirteanna eile, amhail ICS</w:t>
      </w:r>
      <w:r w:rsidRPr="0090767E">
        <w:rPr>
          <w:noProof/>
        </w:rPr>
        <w:t>2</w:t>
      </w:r>
      <w:r>
        <w:rPr>
          <w:noProof/>
        </w:rPr>
        <w:t xml:space="preserve"> Eisiúint </w:t>
      </w:r>
      <w:r w:rsidRPr="0090767E">
        <w:rPr>
          <w:noProof/>
        </w:rPr>
        <w:t>3</w:t>
      </w:r>
      <w:r>
        <w:rPr>
          <w:noProof/>
        </w:rPr>
        <w:t xml:space="preserve"> agus AES, a bhfuil tionchar ag gach ceann acu ar </w:t>
      </w:r>
      <w:r w:rsidRPr="0090767E">
        <w:rPr>
          <w:noProof/>
        </w:rPr>
        <w:t>11</w:t>
      </w:r>
      <w:r>
        <w:rPr>
          <w:noProof/>
        </w:rPr>
        <w:t xml:space="preserve"> % ar a mhéad de na Ballstáit. Leis na difríochtaí sin léirítear leibhéal éagsúla ullmhachta agus cuirtear in iúl gurb amhlaidh, gan iarracht mharthanach, go bhféadfaí difear a dhéanamh de deasca moilleanna don amlíne chomhchoiteanna le haghaidh chur chun feidhme iomlán Chód Custaim an Aontais faoi </w:t>
      </w:r>
      <w:r w:rsidRPr="0090767E">
        <w:rPr>
          <w:noProof/>
        </w:rPr>
        <w:t>2025</w:t>
      </w:r>
      <w:r>
        <w:rPr>
          <w:noProof/>
        </w:rPr>
        <w:t>.</w:t>
      </w:r>
    </w:p>
    <w:p w14:paraId="3AC70749" w14:textId="7132E36F" w:rsidR="00E42B11" w:rsidRPr="004E1DD0" w:rsidRDefault="672A7872" w:rsidP="0D619399">
      <w:pPr>
        <w:rPr>
          <w:noProof/>
        </w:rPr>
      </w:pPr>
      <w:r>
        <w:rPr>
          <w:noProof/>
        </w:rPr>
        <w:t xml:space="preserve">Chun an gharsprioc chriticiúil sin a bhaint amach, ní mór do na páirtithe leasmhara uile an bhéim a leagann siad ar Chlár Oibre Chód Custaim an Aontais, agus an gealltanas a thugann siad ina leith, a mhéadú go mór. I gcomhthráth leis sin, chuaigh an Coimisiún i dteagmháil go foirmiúil leis na Ballstáit ar a bhfuil moilleanna, i gcomhréir le dlí an Aontais. Leanfaidh an Coimisiún d’fhaireachán agus tacaíocht dhlúth a thabhairt trí rannpháirtíocht ar leibhéal an chláir agus ar leibhéal an tionscadail, arna bhforlíonadh le malartuithe déthaobhacha agus cruinnithe iomlánacha leis na Ballstáit. </w:t>
      </w:r>
    </w:p>
    <w:sectPr w:rsidR="00E42B11" w:rsidRPr="004E1DD0" w:rsidSect="00E775AC">
      <w:headerReference w:type="default" r:id="rId32"/>
      <w:footerReference w:type="default" r:id="rId3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12921" w14:textId="77777777" w:rsidR="00A85EAD" w:rsidRDefault="00A85EAD">
      <w:pPr>
        <w:spacing w:after="0"/>
      </w:pPr>
      <w:r>
        <w:separator/>
      </w:r>
    </w:p>
  </w:endnote>
  <w:endnote w:type="continuationSeparator" w:id="0">
    <w:p w14:paraId="4582A2BC" w14:textId="77777777" w:rsidR="00A85EAD" w:rsidRDefault="00A85EAD">
      <w:pPr>
        <w:spacing w:after="0"/>
      </w:pPr>
      <w:r>
        <w:continuationSeparator/>
      </w:r>
    </w:p>
  </w:endnote>
  <w:endnote w:type="continuationNotice" w:id="1">
    <w:p w14:paraId="73C0681B" w14:textId="77777777" w:rsidR="00A85EAD" w:rsidRDefault="00A85E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0359" w14:textId="3BBF23EE" w:rsidR="009421A6" w:rsidRPr="009421A6" w:rsidRDefault="009421A6" w:rsidP="009421A6">
    <w:pPr>
      <w:pStyle w:val="FooterCoverPage"/>
      <w:rPr>
        <w:rFonts w:ascii="Arial" w:hAnsi="Arial" w:cs="Arial"/>
        <w:b/>
        <w:sz w:val="48"/>
      </w:rPr>
    </w:pPr>
    <w:r w:rsidRPr="009421A6">
      <w:rPr>
        <w:rFonts w:ascii="Arial" w:hAnsi="Arial" w:cs="Arial"/>
        <w:b/>
        <w:sz w:val="48"/>
      </w:rPr>
      <w:t>GA</w:t>
    </w:r>
    <w:r w:rsidRPr="009421A6">
      <w:rPr>
        <w:rFonts w:ascii="Arial" w:hAnsi="Arial" w:cs="Arial"/>
        <w:b/>
        <w:sz w:val="48"/>
      </w:rPr>
      <w:tab/>
    </w:r>
    <w:r w:rsidRPr="009421A6">
      <w:rPr>
        <w:rFonts w:ascii="Arial" w:hAnsi="Arial" w:cs="Arial"/>
        <w:b/>
        <w:sz w:val="48"/>
      </w:rPr>
      <w:tab/>
    </w:r>
    <w:r w:rsidRPr="009421A6">
      <w:tab/>
    </w:r>
    <w:r w:rsidRPr="009421A6">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47D62" w14:textId="07D9D08B" w:rsidR="009421A6" w:rsidRPr="009421A6" w:rsidRDefault="009421A6" w:rsidP="009421A6">
    <w:pPr>
      <w:pStyle w:val="FooterCoverPage"/>
      <w:rPr>
        <w:rFonts w:ascii="Arial" w:hAnsi="Arial" w:cs="Arial"/>
        <w:b/>
        <w:sz w:val="48"/>
      </w:rPr>
    </w:pPr>
    <w:r w:rsidRPr="009421A6">
      <w:rPr>
        <w:rFonts w:ascii="Arial" w:hAnsi="Arial" w:cs="Arial"/>
        <w:b/>
        <w:sz w:val="48"/>
      </w:rPr>
      <w:t>GA</w:t>
    </w:r>
    <w:r w:rsidRPr="009421A6">
      <w:rPr>
        <w:rFonts w:ascii="Arial" w:hAnsi="Arial" w:cs="Arial"/>
        <w:b/>
        <w:sz w:val="48"/>
      </w:rPr>
      <w:tab/>
    </w:r>
    <w:r w:rsidRPr="009421A6">
      <w:rPr>
        <w:rFonts w:ascii="Arial" w:hAnsi="Arial" w:cs="Arial"/>
        <w:b/>
        <w:sz w:val="48"/>
      </w:rPr>
      <w:tab/>
    </w:r>
    <w:r w:rsidRPr="009421A6">
      <w:tab/>
    </w:r>
    <w:r w:rsidRPr="009421A6">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DC11" w14:textId="77777777" w:rsidR="009421A6" w:rsidRPr="009421A6" w:rsidRDefault="009421A6" w:rsidP="009421A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47E8" w14:textId="77777777" w:rsidR="008411A2" w:rsidRDefault="008411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724893"/>
      <w:docPartObj>
        <w:docPartGallery w:val="Page Numbers (Bottom of Page)"/>
        <w:docPartUnique/>
      </w:docPartObj>
    </w:sdtPr>
    <w:sdtEndPr/>
    <w:sdtContent>
      <w:p w14:paraId="131870FC" w14:textId="64AD7342" w:rsidR="00C67353" w:rsidRDefault="00C67353" w:rsidP="002B4B98">
        <w:pPr>
          <w:pStyle w:val="Footer"/>
          <w:jc w:val="center"/>
        </w:pPr>
        <w:r>
          <w:fldChar w:fldCharType="begin"/>
        </w:r>
        <w:r>
          <w:instrText>PAGE   \* MERGEFORMAT</w:instrText>
        </w:r>
        <w:r>
          <w:fldChar w:fldCharType="separate"/>
        </w:r>
        <w:r w:rsidR="009421A6">
          <w:rPr>
            <w:noProof/>
          </w:rPr>
          <w:t>1</w:t>
        </w:r>
        <w:r>
          <w:fldChar w:fldCharType="end"/>
        </w:r>
      </w:p>
    </w:sdtContent>
  </w:sdt>
  <w:p w14:paraId="3E498868" w14:textId="5A379FA8" w:rsidR="008411A2" w:rsidRDefault="008411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1309" w14:textId="77777777" w:rsidR="008411A2" w:rsidRDefault="008411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910324"/>
      <w:docPartObj>
        <w:docPartGallery w:val="Page Numbers (Bottom of Page)"/>
        <w:docPartUnique/>
      </w:docPartObj>
    </w:sdtPr>
    <w:sdtEndPr/>
    <w:sdtContent>
      <w:p w14:paraId="1E501D2D" w14:textId="2E6F5590" w:rsidR="00035637" w:rsidRDefault="00035637" w:rsidP="002B4B98">
        <w:pPr>
          <w:pStyle w:val="Footer"/>
          <w:jc w:val="center"/>
        </w:pPr>
        <w:r>
          <w:fldChar w:fldCharType="begin"/>
        </w:r>
        <w:r>
          <w:instrText>PAGE   \* MERGEFORMAT</w:instrText>
        </w:r>
        <w:r>
          <w:fldChar w:fldCharType="separate"/>
        </w:r>
        <w:r w:rsidR="009421A6">
          <w:rPr>
            <w:noProof/>
          </w:rPr>
          <w:t>16</w:t>
        </w:r>
        <w:r>
          <w:fldChar w:fldCharType="end"/>
        </w:r>
      </w:p>
    </w:sdtContent>
  </w:sdt>
  <w:p w14:paraId="027C1667" w14:textId="77777777" w:rsidR="00035637" w:rsidRDefault="00035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C6413" w14:textId="77777777" w:rsidR="00A85EAD" w:rsidRDefault="00A85EAD">
      <w:pPr>
        <w:spacing w:after="0"/>
      </w:pPr>
      <w:r>
        <w:separator/>
      </w:r>
    </w:p>
  </w:footnote>
  <w:footnote w:type="continuationSeparator" w:id="0">
    <w:p w14:paraId="3E738F83" w14:textId="77777777" w:rsidR="00A85EAD" w:rsidRDefault="00A85EAD">
      <w:pPr>
        <w:spacing w:after="0"/>
      </w:pPr>
      <w:r>
        <w:continuationSeparator/>
      </w:r>
    </w:p>
  </w:footnote>
  <w:footnote w:type="continuationNotice" w:id="1">
    <w:p w14:paraId="548E0BB5" w14:textId="77777777" w:rsidR="00A85EAD" w:rsidRDefault="00A85EAD">
      <w:pPr>
        <w:spacing w:after="0"/>
      </w:pPr>
    </w:p>
  </w:footnote>
  <w:footnote w:id="2">
    <w:p w14:paraId="40579783" w14:textId="35333EAC" w:rsidR="0077620D" w:rsidRPr="00037710" w:rsidRDefault="0077620D" w:rsidP="0077620D">
      <w:pPr>
        <w:pStyle w:val="FootnoteText"/>
        <w:rPr>
          <w:sz w:val="18"/>
          <w:szCs w:val="18"/>
        </w:rPr>
      </w:pPr>
      <w:r>
        <w:rPr>
          <w:rStyle w:val="FootnoteReference"/>
        </w:rPr>
        <w:footnoteRef/>
      </w:r>
      <w:r>
        <w:tab/>
      </w:r>
      <w:r>
        <w:rPr>
          <w:sz w:val="18"/>
        </w:rPr>
        <w:t>Rialachán (AE) Uimh. </w:t>
      </w:r>
      <w:r w:rsidRPr="0090767E">
        <w:rPr>
          <w:sz w:val="18"/>
        </w:rPr>
        <w:t>952</w:t>
      </w:r>
      <w:r>
        <w:rPr>
          <w:sz w:val="18"/>
        </w:rPr>
        <w:t>/</w:t>
      </w:r>
      <w:r w:rsidRPr="0090767E">
        <w:rPr>
          <w:sz w:val="18"/>
        </w:rPr>
        <w:t>2013</w:t>
      </w:r>
      <w:r>
        <w:rPr>
          <w:sz w:val="18"/>
        </w:rPr>
        <w:t xml:space="preserve"> ó Pharlaimint na hEorpa agus ón gComhairle an </w:t>
      </w:r>
      <w:r w:rsidRPr="0090767E">
        <w:rPr>
          <w:sz w:val="18"/>
        </w:rPr>
        <w:t>9</w:t>
      </w:r>
      <w:r>
        <w:rPr>
          <w:sz w:val="18"/>
        </w:rPr>
        <w:t> Deireadh Fómhair </w:t>
      </w:r>
      <w:r w:rsidRPr="0090767E">
        <w:rPr>
          <w:sz w:val="18"/>
        </w:rPr>
        <w:t>2013</w:t>
      </w:r>
      <w:r>
        <w:rPr>
          <w:sz w:val="18"/>
        </w:rPr>
        <w:t xml:space="preserve"> lena leagtar síos Cód Custaim an Aontais, IO L </w:t>
      </w:r>
      <w:r w:rsidRPr="0090767E">
        <w:rPr>
          <w:sz w:val="18"/>
        </w:rPr>
        <w:t>269</w:t>
      </w:r>
      <w:r>
        <w:rPr>
          <w:sz w:val="18"/>
        </w:rPr>
        <w:t xml:space="preserve">, </w:t>
      </w:r>
      <w:r w:rsidRPr="0090767E">
        <w:rPr>
          <w:sz w:val="18"/>
        </w:rPr>
        <w:t>10</w:t>
      </w:r>
      <w:r>
        <w:rPr>
          <w:sz w:val="18"/>
        </w:rPr>
        <w:t>.</w:t>
      </w:r>
      <w:r w:rsidRPr="0090767E">
        <w:rPr>
          <w:sz w:val="18"/>
        </w:rPr>
        <w:t>10</w:t>
      </w:r>
      <w:r>
        <w:rPr>
          <w:sz w:val="18"/>
        </w:rPr>
        <w:t>.</w:t>
      </w:r>
      <w:r w:rsidRPr="0090767E">
        <w:rPr>
          <w:sz w:val="18"/>
        </w:rPr>
        <w:t>2013</w:t>
      </w:r>
      <w:r>
        <w:rPr>
          <w:sz w:val="18"/>
        </w:rPr>
        <w:t>, lch.</w:t>
      </w:r>
      <w:r w:rsidR="00815640">
        <w:rPr>
          <w:sz w:val="18"/>
        </w:rPr>
        <w:t> </w:t>
      </w:r>
      <w:r w:rsidRPr="0090767E">
        <w:rPr>
          <w:sz w:val="18"/>
        </w:rPr>
        <w:t>1</w:t>
      </w:r>
      <w:r>
        <w:rPr>
          <w:sz w:val="18"/>
        </w:rPr>
        <w:t>–</w:t>
      </w:r>
      <w:r w:rsidRPr="0090767E">
        <w:rPr>
          <w:sz w:val="18"/>
        </w:rPr>
        <w:t>101</w:t>
      </w:r>
      <w:r>
        <w:rPr>
          <w:sz w:val="18"/>
        </w:rPr>
        <w:t>.</w:t>
      </w:r>
    </w:p>
  </w:footnote>
  <w:footnote w:id="3">
    <w:p w14:paraId="6A0C84C2" w14:textId="2646B061" w:rsidR="00EF4F29" w:rsidRPr="002A43BD" w:rsidRDefault="00EF4F29" w:rsidP="00EF4F29">
      <w:pPr>
        <w:pStyle w:val="FootnoteText"/>
        <w:rPr>
          <w:sz w:val="18"/>
          <w:szCs w:val="18"/>
        </w:rPr>
      </w:pPr>
      <w:r>
        <w:rPr>
          <w:rStyle w:val="FootnoteReference"/>
        </w:rPr>
        <w:footnoteRef/>
      </w:r>
      <w:r>
        <w:tab/>
      </w:r>
      <w:r>
        <w:rPr>
          <w:sz w:val="18"/>
        </w:rPr>
        <w:t xml:space="preserve">Tuarascáil ón gCoimisiún chuig Parlaimint na hEorpa agus chuig an gComhairle: </w:t>
      </w:r>
    </w:p>
    <w:p w14:paraId="7D4DE76E" w14:textId="77777777" w:rsidR="00EF4F29" w:rsidRPr="007368F5" w:rsidRDefault="00EF4F29" w:rsidP="00EF4F29">
      <w:pPr>
        <w:pStyle w:val="FootnoteText"/>
        <w:rPr>
          <w:sz w:val="18"/>
          <w:szCs w:val="18"/>
        </w:rPr>
      </w:pPr>
      <w:r w:rsidRPr="0090767E">
        <w:rPr>
          <w:sz w:val="18"/>
        </w:rPr>
        <w:t>2019</w:t>
      </w:r>
      <w:r>
        <w:rPr>
          <w:sz w:val="18"/>
        </w:rPr>
        <w:t xml:space="preserve">: </w:t>
      </w:r>
      <w:hyperlink r:id="rId1" w:history="1">
        <w:r>
          <w:rPr>
            <w:rStyle w:val="Hyperlink"/>
            <w:sz w:val="18"/>
          </w:rPr>
          <w:t>https://eur-lex.europa.eu/legal-content/GA/ALL/?uri=CELEX%</w:t>
        </w:r>
        <w:r w:rsidRPr="0090767E">
          <w:rPr>
            <w:rStyle w:val="Hyperlink"/>
            <w:sz w:val="18"/>
          </w:rPr>
          <w:t>3</w:t>
        </w:r>
        <w:r>
          <w:rPr>
            <w:rStyle w:val="Hyperlink"/>
            <w:sz w:val="18"/>
          </w:rPr>
          <w:t>A</w:t>
        </w:r>
        <w:r w:rsidRPr="0090767E">
          <w:rPr>
            <w:rStyle w:val="Hyperlink"/>
            <w:sz w:val="18"/>
          </w:rPr>
          <w:t>52019</w:t>
        </w:r>
        <w:r>
          <w:rPr>
            <w:rStyle w:val="Hyperlink"/>
            <w:sz w:val="18"/>
          </w:rPr>
          <w:t>SC</w:t>
        </w:r>
        <w:r w:rsidRPr="0090767E">
          <w:rPr>
            <w:rStyle w:val="Hyperlink"/>
            <w:sz w:val="18"/>
          </w:rPr>
          <w:t>0434</w:t>
        </w:r>
      </w:hyperlink>
      <w:r>
        <w:rPr>
          <w:sz w:val="18"/>
        </w:rPr>
        <w:t>;</w:t>
      </w:r>
    </w:p>
    <w:p w14:paraId="30B468D0" w14:textId="77777777" w:rsidR="00EF4F29" w:rsidRPr="002A43BD" w:rsidRDefault="00EF4F29" w:rsidP="00EF4F29">
      <w:pPr>
        <w:pStyle w:val="FootnoteText"/>
        <w:rPr>
          <w:sz w:val="18"/>
          <w:szCs w:val="18"/>
        </w:rPr>
      </w:pPr>
      <w:r w:rsidRPr="0090767E">
        <w:rPr>
          <w:sz w:val="18"/>
        </w:rPr>
        <w:t>2020</w:t>
      </w:r>
      <w:r>
        <w:rPr>
          <w:sz w:val="18"/>
        </w:rPr>
        <w:t xml:space="preserve">: </w:t>
      </w:r>
      <w:hyperlink r:id="rId2" w:history="1">
        <w:r>
          <w:rPr>
            <w:rStyle w:val="Hyperlink"/>
            <w:sz w:val="18"/>
          </w:rPr>
          <w:t>https://eur-lex.europa.eu/legal-content/GA/TXT/?uri=CELEX%</w:t>
        </w:r>
        <w:r w:rsidRPr="0090767E">
          <w:rPr>
            <w:rStyle w:val="Hyperlink"/>
            <w:sz w:val="18"/>
          </w:rPr>
          <w:t>3</w:t>
        </w:r>
        <w:r>
          <w:rPr>
            <w:rStyle w:val="Hyperlink"/>
            <w:sz w:val="18"/>
          </w:rPr>
          <w:t>A</w:t>
        </w:r>
        <w:r w:rsidRPr="0090767E">
          <w:rPr>
            <w:rStyle w:val="Hyperlink"/>
            <w:sz w:val="18"/>
          </w:rPr>
          <w:t>52020</w:t>
        </w:r>
        <w:r>
          <w:rPr>
            <w:rStyle w:val="Hyperlink"/>
            <w:sz w:val="18"/>
          </w:rPr>
          <w:t>SC</w:t>
        </w:r>
        <w:r w:rsidRPr="0090767E">
          <w:rPr>
            <w:rStyle w:val="Hyperlink"/>
            <w:sz w:val="18"/>
          </w:rPr>
          <w:t>0339</w:t>
        </w:r>
      </w:hyperlink>
      <w:r>
        <w:rPr>
          <w:sz w:val="18"/>
        </w:rPr>
        <w:t>;</w:t>
      </w:r>
    </w:p>
    <w:p w14:paraId="1425C52A" w14:textId="77777777" w:rsidR="00EF4F29" w:rsidRPr="00C0030F" w:rsidRDefault="00EF4F29" w:rsidP="00EF4F29">
      <w:pPr>
        <w:pStyle w:val="FootnoteText"/>
        <w:rPr>
          <w:rStyle w:val="Hyperlink"/>
          <w:sz w:val="18"/>
          <w:szCs w:val="18"/>
        </w:rPr>
      </w:pPr>
      <w:r w:rsidRPr="0090767E">
        <w:rPr>
          <w:sz w:val="18"/>
        </w:rPr>
        <w:t>2021</w:t>
      </w:r>
      <w:r>
        <w:rPr>
          <w:sz w:val="18"/>
        </w:rPr>
        <w:t>:</w:t>
      </w:r>
      <w:r>
        <w:rPr>
          <w:rStyle w:val="Hyperlink"/>
          <w:sz w:val="18"/>
          <w:u w:val="none"/>
        </w:rPr>
        <w:t xml:space="preserve"> </w:t>
      </w:r>
      <w:hyperlink r:id="rId3" w:history="1">
        <w:r>
          <w:rPr>
            <w:rStyle w:val="Hyperlink"/>
            <w:sz w:val="18"/>
          </w:rPr>
          <w:t>https://eur-lex.europa.eu/legal-content/GA/TXT/?uri=CELEX%</w:t>
        </w:r>
        <w:r w:rsidRPr="0090767E">
          <w:rPr>
            <w:rStyle w:val="Hyperlink"/>
            <w:sz w:val="18"/>
          </w:rPr>
          <w:t>3</w:t>
        </w:r>
        <w:r>
          <w:rPr>
            <w:rStyle w:val="Hyperlink"/>
            <w:sz w:val="18"/>
          </w:rPr>
          <w:t>A</w:t>
        </w:r>
        <w:r w:rsidRPr="0090767E">
          <w:rPr>
            <w:rStyle w:val="Hyperlink"/>
            <w:sz w:val="18"/>
          </w:rPr>
          <w:t>52021</w:t>
        </w:r>
        <w:r>
          <w:rPr>
            <w:rStyle w:val="Hyperlink"/>
            <w:sz w:val="18"/>
          </w:rPr>
          <w:t>SC</w:t>
        </w:r>
        <w:r w:rsidRPr="0090767E">
          <w:rPr>
            <w:rStyle w:val="Hyperlink"/>
            <w:sz w:val="18"/>
          </w:rPr>
          <w:t>0382</w:t>
        </w:r>
      </w:hyperlink>
      <w:r>
        <w:rPr>
          <w:rStyle w:val="Hyperlink"/>
          <w:color w:val="auto"/>
          <w:sz w:val="18"/>
          <w:u w:val="none"/>
        </w:rPr>
        <w:t>;</w:t>
      </w:r>
    </w:p>
    <w:p w14:paraId="08098852" w14:textId="2B3EB2EF" w:rsidR="00EF4F29" w:rsidRDefault="00EF4F29" w:rsidP="00EF4F29">
      <w:pPr>
        <w:pStyle w:val="FootnoteText"/>
        <w:rPr>
          <w:rStyle w:val="Hyperlink"/>
          <w:color w:val="auto"/>
          <w:sz w:val="18"/>
          <w:szCs w:val="18"/>
          <w:u w:val="none"/>
        </w:rPr>
      </w:pPr>
      <w:r w:rsidRPr="0090767E">
        <w:rPr>
          <w:sz w:val="18"/>
        </w:rPr>
        <w:t>2022</w:t>
      </w:r>
      <w:r>
        <w:rPr>
          <w:sz w:val="18"/>
        </w:rPr>
        <w:t>:</w:t>
      </w:r>
      <w:r>
        <w:t xml:space="preserve"> </w:t>
      </w:r>
      <w:hyperlink r:id="rId4" w:history="1">
        <w:r>
          <w:rPr>
            <w:rStyle w:val="Hyperlink"/>
            <w:sz w:val="18"/>
          </w:rPr>
          <w:t>https://eur-lex.europa.eu/legal-content/GA/TXT/?uri=CELEX%</w:t>
        </w:r>
        <w:r w:rsidRPr="0090767E">
          <w:rPr>
            <w:rStyle w:val="Hyperlink"/>
            <w:sz w:val="18"/>
          </w:rPr>
          <w:t>3</w:t>
        </w:r>
        <w:r>
          <w:rPr>
            <w:rStyle w:val="Hyperlink"/>
            <w:sz w:val="18"/>
          </w:rPr>
          <w:t>A</w:t>
        </w:r>
        <w:r w:rsidRPr="0090767E">
          <w:rPr>
            <w:rStyle w:val="Hyperlink"/>
            <w:sz w:val="18"/>
          </w:rPr>
          <w:t>52023</w:t>
        </w:r>
        <w:r>
          <w:rPr>
            <w:rStyle w:val="Hyperlink"/>
            <w:sz w:val="18"/>
          </w:rPr>
          <w:t>SC</w:t>
        </w:r>
        <w:r w:rsidRPr="0090767E">
          <w:rPr>
            <w:rStyle w:val="Hyperlink"/>
            <w:sz w:val="18"/>
          </w:rPr>
          <w:t>0029</w:t>
        </w:r>
      </w:hyperlink>
      <w:r>
        <w:rPr>
          <w:rStyle w:val="Hyperlink"/>
          <w:color w:val="auto"/>
          <w:sz w:val="18"/>
          <w:u w:val="none"/>
        </w:rPr>
        <w:t>;</w:t>
      </w:r>
    </w:p>
    <w:p w14:paraId="7D2183EB" w14:textId="7D86BA7F" w:rsidR="005F3B79" w:rsidRPr="006F7AEF" w:rsidRDefault="00AC701F" w:rsidP="00EF4F29">
      <w:pPr>
        <w:pStyle w:val="FootnoteText"/>
        <w:rPr>
          <w:sz w:val="18"/>
          <w:szCs w:val="18"/>
        </w:rPr>
      </w:pPr>
      <w:r w:rsidRPr="0090767E">
        <w:rPr>
          <w:rStyle w:val="Hyperlink"/>
          <w:color w:val="auto"/>
          <w:sz w:val="18"/>
          <w:u w:val="none"/>
        </w:rPr>
        <w:t>2023</w:t>
      </w:r>
      <w:r>
        <w:rPr>
          <w:rStyle w:val="Hyperlink"/>
          <w:color w:val="auto"/>
          <w:sz w:val="18"/>
          <w:u w:val="none"/>
        </w:rPr>
        <w:t xml:space="preserve">: </w:t>
      </w:r>
      <w:hyperlink r:id="rId5" w:history="1">
        <w:r>
          <w:rPr>
            <w:rStyle w:val="Hyperlink"/>
            <w:sz w:val="18"/>
          </w:rPr>
          <w:t>https://eur-lex.europa.eu/legal-content/GA/TXT/?uri=COM%</w:t>
        </w:r>
        <w:r w:rsidRPr="0090767E">
          <w:rPr>
            <w:rStyle w:val="Hyperlink"/>
            <w:sz w:val="18"/>
          </w:rPr>
          <w:t>3</w:t>
        </w:r>
        <w:r>
          <w:rPr>
            <w:rStyle w:val="Hyperlink"/>
            <w:sz w:val="18"/>
          </w:rPr>
          <w:t>A</w:t>
        </w:r>
        <w:r w:rsidRPr="0090767E">
          <w:rPr>
            <w:rStyle w:val="Hyperlink"/>
            <w:sz w:val="18"/>
          </w:rPr>
          <w:t>2024</w:t>
        </w:r>
        <w:r>
          <w:rPr>
            <w:rStyle w:val="Hyperlink"/>
            <w:sz w:val="18"/>
          </w:rPr>
          <w:t>%</w:t>
        </w:r>
        <w:r w:rsidRPr="0090767E">
          <w:rPr>
            <w:rStyle w:val="Hyperlink"/>
            <w:sz w:val="18"/>
          </w:rPr>
          <w:t>3</w:t>
        </w:r>
        <w:r>
          <w:rPr>
            <w:rStyle w:val="Hyperlink"/>
            <w:sz w:val="18"/>
          </w:rPr>
          <w:t>A</w:t>
        </w:r>
        <w:r w:rsidRPr="0090767E">
          <w:rPr>
            <w:rStyle w:val="Hyperlink"/>
            <w:sz w:val="18"/>
          </w:rPr>
          <w:t>395</w:t>
        </w:r>
        <w:r>
          <w:rPr>
            <w:rStyle w:val="Hyperlink"/>
            <w:sz w:val="18"/>
          </w:rPr>
          <w:t>%</w:t>
        </w:r>
        <w:r w:rsidRPr="0090767E">
          <w:rPr>
            <w:rStyle w:val="Hyperlink"/>
            <w:sz w:val="18"/>
          </w:rPr>
          <w:t>3</w:t>
        </w:r>
        <w:r>
          <w:rPr>
            <w:rStyle w:val="Hyperlink"/>
            <w:sz w:val="18"/>
          </w:rPr>
          <w:t>AFIN</w:t>
        </w:r>
      </w:hyperlink>
      <w:r>
        <w:rPr>
          <w:rStyle w:val="Hyperlink"/>
          <w:color w:val="4472C4" w:themeColor="accent5"/>
          <w:sz w:val="18"/>
          <w:u w:val="none"/>
        </w:rPr>
        <w:t>.</w:t>
      </w:r>
    </w:p>
  </w:footnote>
  <w:footnote w:id="4">
    <w:p w14:paraId="2CF5B1FE" w14:textId="0FF2CDE8" w:rsidR="005C295F" w:rsidRDefault="005C295F" w:rsidP="005C295F">
      <w:pPr>
        <w:pStyle w:val="FootnoteText"/>
        <w:rPr>
          <w:sz w:val="18"/>
          <w:szCs w:val="18"/>
        </w:rPr>
      </w:pPr>
      <w:r>
        <w:rPr>
          <w:rStyle w:val="FootnoteReference"/>
        </w:rPr>
        <w:footnoteRef/>
      </w:r>
      <w:r>
        <w:tab/>
      </w:r>
      <w:r>
        <w:rPr>
          <w:sz w:val="18"/>
        </w:rPr>
        <w:t>Rialachán (AE) </w:t>
      </w:r>
      <w:r w:rsidRPr="0090767E">
        <w:rPr>
          <w:sz w:val="18"/>
        </w:rPr>
        <w:t>2019</w:t>
      </w:r>
      <w:r>
        <w:rPr>
          <w:sz w:val="18"/>
        </w:rPr>
        <w:t>/</w:t>
      </w:r>
      <w:r w:rsidRPr="0090767E">
        <w:rPr>
          <w:sz w:val="18"/>
        </w:rPr>
        <w:t>632</w:t>
      </w:r>
      <w:r>
        <w:rPr>
          <w:sz w:val="18"/>
        </w:rPr>
        <w:t xml:space="preserve"> ó Pharlaimint na hEorpa agus ón gComhairle an </w:t>
      </w:r>
      <w:r w:rsidRPr="0090767E">
        <w:rPr>
          <w:sz w:val="18"/>
        </w:rPr>
        <w:t>17</w:t>
      </w:r>
      <w:r>
        <w:rPr>
          <w:sz w:val="18"/>
        </w:rPr>
        <w:t> Aibreán </w:t>
      </w:r>
      <w:r w:rsidRPr="0090767E">
        <w:rPr>
          <w:sz w:val="18"/>
        </w:rPr>
        <w:t>2019</w:t>
      </w:r>
      <w:r>
        <w:rPr>
          <w:sz w:val="18"/>
        </w:rPr>
        <w:t xml:space="preserve"> lena leasaítear Rialachán (AE) Uimh. </w:t>
      </w:r>
      <w:r w:rsidRPr="0090767E">
        <w:rPr>
          <w:sz w:val="18"/>
        </w:rPr>
        <w:t>952</w:t>
      </w:r>
      <w:r>
        <w:rPr>
          <w:sz w:val="18"/>
        </w:rPr>
        <w:t>/</w:t>
      </w:r>
      <w:r w:rsidRPr="0090767E">
        <w:rPr>
          <w:sz w:val="18"/>
        </w:rPr>
        <w:t>2013</w:t>
      </w:r>
      <w:r>
        <w:rPr>
          <w:sz w:val="18"/>
        </w:rPr>
        <w:t xml:space="preserve"> a mhéid a bhaineann le síneadh ama a chur le húsáid idirthréimhseach a bhaint as bealaí eile seachas na teicnící próiseála sonraí leictreonacha dá bhforáiltear i gCód Custaim an Aontais, IO L </w:t>
      </w:r>
      <w:r w:rsidRPr="0090767E">
        <w:rPr>
          <w:sz w:val="18"/>
        </w:rPr>
        <w:t>111</w:t>
      </w:r>
      <w:r>
        <w:rPr>
          <w:sz w:val="18"/>
        </w:rPr>
        <w:t xml:space="preserve">, </w:t>
      </w:r>
      <w:r w:rsidRPr="0090767E">
        <w:rPr>
          <w:sz w:val="18"/>
        </w:rPr>
        <w:t>25</w:t>
      </w:r>
      <w:r>
        <w:rPr>
          <w:sz w:val="18"/>
        </w:rPr>
        <w:t>.</w:t>
      </w:r>
      <w:r w:rsidRPr="0090767E">
        <w:rPr>
          <w:sz w:val="18"/>
        </w:rPr>
        <w:t>4</w:t>
      </w:r>
      <w:r>
        <w:rPr>
          <w:sz w:val="18"/>
        </w:rPr>
        <w:t>.</w:t>
      </w:r>
      <w:r w:rsidRPr="0090767E">
        <w:rPr>
          <w:sz w:val="18"/>
        </w:rPr>
        <w:t>2019</w:t>
      </w:r>
      <w:r>
        <w:rPr>
          <w:sz w:val="18"/>
        </w:rPr>
        <w:t>, lgh. </w:t>
      </w:r>
      <w:r w:rsidRPr="0090767E">
        <w:rPr>
          <w:sz w:val="18"/>
        </w:rPr>
        <w:t>54</w:t>
      </w:r>
      <w:r>
        <w:rPr>
          <w:sz w:val="18"/>
        </w:rPr>
        <w:t>–</w:t>
      </w:r>
      <w:r w:rsidRPr="0090767E">
        <w:rPr>
          <w:sz w:val="18"/>
        </w:rPr>
        <w:t>58</w:t>
      </w:r>
      <w:r>
        <w:rPr>
          <w:sz w:val="18"/>
        </w:rPr>
        <w:t>.</w:t>
      </w:r>
    </w:p>
  </w:footnote>
  <w:footnote w:id="5">
    <w:p w14:paraId="7FA19446" w14:textId="2D462A12" w:rsidR="00FC3EBC" w:rsidRDefault="00FC3EBC" w:rsidP="00FC3EBC">
      <w:pPr>
        <w:pStyle w:val="FootnoteText"/>
        <w:rPr>
          <w:sz w:val="18"/>
          <w:szCs w:val="18"/>
        </w:rPr>
      </w:pPr>
      <w:r>
        <w:rPr>
          <w:rStyle w:val="FootnoteReference"/>
        </w:rPr>
        <w:footnoteRef/>
      </w:r>
      <w:r>
        <w:tab/>
      </w:r>
      <w:r>
        <w:rPr>
          <w:sz w:val="18"/>
        </w:rPr>
        <w:t>Cinneadh Cur Chun Feidhme (AE) </w:t>
      </w:r>
      <w:r w:rsidRPr="0090767E">
        <w:rPr>
          <w:sz w:val="18"/>
        </w:rPr>
        <w:t>2023</w:t>
      </w:r>
      <w:r>
        <w:rPr>
          <w:sz w:val="18"/>
        </w:rPr>
        <w:t>/</w:t>
      </w:r>
      <w:r w:rsidRPr="0090767E">
        <w:rPr>
          <w:sz w:val="18"/>
        </w:rPr>
        <w:t>2879</w:t>
      </w:r>
      <w:r>
        <w:rPr>
          <w:sz w:val="18"/>
        </w:rPr>
        <w:t xml:space="preserve"> ón gCoimisiún an </w:t>
      </w:r>
      <w:r w:rsidRPr="0090767E">
        <w:rPr>
          <w:sz w:val="18"/>
        </w:rPr>
        <w:t>15</w:t>
      </w:r>
      <w:r>
        <w:rPr>
          <w:sz w:val="18"/>
        </w:rPr>
        <w:t> Nollaig </w:t>
      </w:r>
      <w:r w:rsidRPr="0090767E">
        <w:rPr>
          <w:sz w:val="18"/>
        </w:rPr>
        <w:t>2023</w:t>
      </w:r>
      <w:r>
        <w:rPr>
          <w:sz w:val="18"/>
        </w:rPr>
        <w:t xml:space="preserve"> lena mbunaítear an clár oibre maidir leis na córais leictreonacha dá bhforáiltear i gCód Custaim an Aontais a fhorbairt agus a imscaradh, IO L </w:t>
      </w:r>
      <w:r w:rsidRPr="0090767E">
        <w:rPr>
          <w:sz w:val="18"/>
        </w:rPr>
        <w:t>202302879</w:t>
      </w:r>
      <w:r>
        <w:rPr>
          <w:sz w:val="18"/>
        </w:rPr>
        <w:t xml:space="preserve">, </w:t>
      </w:r>
      <w:r w:rsidRPr="0090767E">
        <w:rPr>
          <w:sz w:val="18"/>
        </w:rPr>
        <w:t>22</w:t>
      </w:r>
      <w:r>
        <w:rPr>
          <w:sz w:val="18"/>
        </w:rPr>
        <w:t>.</w:t>
      </w:r>
      <w:r w:rsidRPr="0090767E">
        <w:rPr>
          <w:sz w:val="18"/>
        </w:rPr>
        <w:t>12</w:t>
      </w:r>
      <w:r>
        <w:rPr>
          <w:sz w:val="18"/>
        </w:rPr>
        <w:t>.</w:t>
      </w:r>
      <w:r w:rsidRPr="0090767E">
        <w:rPr>
          <w:sz w:val="18"/>
        </w:rPr>
        <w:t>2023</w:t>
      </w:r>
      <w:r>
        <w:rPr>
          <w:sz w:val="18"/>
        </w:rPr>
        <w:t>, lgh. </w:t>
      </w:r>
      <w:r w:rsidRPr="0090767E">
        <w:rPr>
          <w:sz w:val="18"/>
        </w:rPr>
        <w:t>1</w:t>
      </w:r>
      <w:r>
        <w:rPr>
          <w:sz w:val="18"/>
        </w:rPr>
        <w:t>–</w:t>
      </w:r>
      <w:r w:rsidRPr="0090767E">
        <w:rPr>
          <w:sz w:val="18"/>
        </w:rPr>
        <w:t>17</w:t>
      </w:r>
      <w:r>
        <w:rPr>
          <w:sz w:val="18"/>
        </w:rPr>
        <w:t xml:space="preserve">, </w:t>
      </w:r>
      <w:hyperlink r:id="rId6" w:history="1">
        <w:r>
          <w:rPr>
            <w:rStyle w:val="Hyperlink"/>
            <w:sz w:val="18"/>
          </w:rPr>
          <w:t>https://eur-lex.europa.eu/legal-content/GA/TXT/PDF/?uri=OJ:L_</w:t>
        </w:r>
        <w:r w:rsidRPr="0090767E">
          <w:rPr>
            <w:rStyle w:val="Hyperlink"/>
            <w:sz w:val="18"/>
          </w:rPr>
          <w:t>202302879</w:t>
        </w:r>
      </w:hyperlink>
      <w:r>
        <w:rPr>
          <w:rStyle w:val="Hyperlink"/>
        </w:rPr>
        <w:t>.</w:t>
      </w:r>
    </w:p>
  </w:footnote>
  <w:footnote w:id="6">
    <w:p w14:paraId="629A7E9B" w14:textId="541156F6" w:rsidR="005F3B79" w:rsidRPr="00A33A10" w:rsidRDefault="00FC3EBC" w:rsidP="00A33A10">
      <w:pPr>
        <w:pStyle w:val="FootnoteText"/>
        <w:rPr>
          <w:sz w:val="18"/>
          <w:szCs w:val="18"/>
        </w:rPr>
      </w:pPr>
      <w:r>
        <w:rPr>
          <w:rStyle w:val="FootnoteReference"/>
        </w:rPr>
        <w:footnoteRef/>
      </w:r>
      <w:r>
        <w:tab/>
      </w:r>
      <w:r>
        <w:rPr>
          <w:sz w:val="18"/>
        </w:rPr>
        <w:t>Rialachán Cur Chun Feidhme (AE) </w:t>
      </w:r>
      <w:r w:rsidRPr="0090767E">
        <w:rPr>
          <w:sz w:val="18"/>
        </w:rPr>
        <w:t>2025</w:t>
      </w:r>
      <w:r>
        <w:rPr>
          <w:sz w:val="18"/>
        </w:rPr>
        <w:t>/</w:t>
      </w:r>
      <w:r w:rsidRPr="0090767E">
        <w:rPr>
          <w:sz w:val="18"/>
        </w:rPr>
        <w:t>512</w:t>
      </w:r>
      <w:r>
        <w:rPr>
          <w:sz w:val="18"/>
        </w:rPr>
        <w:t xml:space="preserve"> ón gCoimisiún an </w:t>
      </w:r>
      <w:r w:rsidRPr="0090767E">
        <w:rPr>
          <w:sz w:val="18"/>
        </w:rPr>
        <w:t>13</w:t>
      </w:r>
      <w:r>
        <w:rPr>
          <w:sz w:val="18"/>
        </w:rPr>
        <w:t> Márta </w:t>
      </w:r>
      <w:r w:rsidRPr="0090767E">
        <w:rPr>
          <w:sz w:val="18"/>
        </w:rPr>
        <w:t>2025</w:t>
      </w:r>
      <w:r>
        <w:rPr>
          <w:sz w:val="18"/>
        </w:rPr>
        <w:t xml:space="preserve"> maidir le socruithe teicniúla chun córais leictreonacha a fhorbairt, a chothabháil agus a úsáid chun faisnéis a mhalartú agus a stóráil faoi Rialachán (AE) Uimh. </w:t>
      </w:r>
      <w:r w:rsidRPr="0090767E">
        <w:rPr>
          <w:sz w:val="18"/>
        </w:rPr>
        <w:t>952</w:t>
      </w:r>
      <w:r>
        <w:rPr>
          <w:sz w:val="18"/>
        </w:rPr>
        <w:t>/</w:t>
      </w:r>
      <w:r w:rsidRPr="0090767E">
        <w:rPr>
          <w:sz w:val="18"/>
        </w:rPr>
        <w:t>2013</w:t>
      </w:r>
      <w:r>
        <w:rPr>
          <w:sz w:val="18"/>
        </w:rPr>
        <w:t xml:space="preserve"> ó Pharlaimint na hEorpa agus ón gComhairle, IO L </w:t>
      </w:r>
      <w:r w:rsidRPr="0090767E">
        <w:rPr>
          <w:sz w:val="18"/>
        </w:rPr>
        <w:t>2025</w:t>
      </w:r>
      <w:r>
        <w:rPr>
          <w:sz w:val="18"/>
        </w:rPr>
        <w:t>/</w:t>
      </w:r>
      <w:r w:rsidRPr="0090767E">
        <w:rPr>
          <w:sz w:val="18"/>
        </w:rPr>
        <w:t>512</w:t>
      </w:r>
      <w:r>
        <w:rPr>
          <w:sz w:val="18"/>
        </w:rPr>
        <w:t xml:space="preserve">, </w:t>
      </w:r>
      <w:r w:rsidRPr="0090767E">
        <w:rPr>
          <w:sz w:val="18"/>
        </w:rPr>
        <w:t>20</w:t>
      </w:r>
      <w:r>
        <w:rPr>
          <w:sz w:val="18"/>
        </w:rPr>
        <w:t>.</w:t>
      </w:r>
      <w:r w:rsidRPr="0090767E">
        <w:rPr>
          <w:sz w:val="18"/>
        </w:rPr>
        <w:t>3</w:t>
      </w:r>
      <w:r>
        <w:rPr>
          <w:sz w:val="18"/>
        </w:rPr>
        <w:t>.</w:t>
      </w:r>
      <w:r w:rsidRPr="0090767E">
        <w:rPr>
          <w:sz w:val="18"/>
        </w:rPr>
        <w:t>2025</w:t>
      </w:r>
      <w:r>
        <w:rPr>
          <w:sz w:val="18"/>
        </w:rPr>
        <w:t>, lgh. </w:t>
      </w:r>
      <w:r w:rsidRPr="0090767E">
        <w:rPr>
          <w:sz w:val="18"/>
        </w:rPr>
        <w:t>1</w:t>
      </w:r>
      <w:r>
        <w:rPr>
          <w:sz w:val="18"/>
        </w:rPr>
        <w:t>–</w:t>
      </w:r>
      <w:r w:rsidRPr="0090767E">
        <w:rPr>
          <w:sz w:val="18"/>
        </w:rPr>
        <w:t>45</w:t>
      </w:r>
      <w:r>
        <w:rPr>
          <w:sz w:val="18"/>
        </w:rPr>
        <w:t xml:space="preserve">, </w:t>
      </w:r>
      <w:hyperlink r:id="rId7" w:history="1">
        <w:r>
          <w:rPr>
            <w:rStyle w:val="Hyperlink"/>
            <w:sz w:val="18"/>
          </w:rPr>
          <w:t>https://eur-lex.europa.eu/eli/reg_impl/</w:t>
        </w:r>
        <w:r w:rsidRPr="0090767E">
          <w:rPr>
            <w:rStyle w:val="Hyperlink"/>
            <w:sz w:val="18"/>
          </w:rPr>
          <w:t>2025</w:t>
        </w:r>
        <w:r>
          <w:rPr>
            <w:rStyle w:val="Hyperlink"/>
            <w:sz w:val="18"/>
          </w:rPr>
          <w:t>/</w:t>
        </w:r>
        <w:r w:rsidRPr="0090767E">
          <w:rPr>
            <w:rStyle w:val="Hyperlink"/>
            <w:sz w:val="18"/>
          </w:rPr>
          <w:t>512</w:t>
        </w:r>
        <w:r>
          <w:rPr>
            <w:rStyle w:val="Hyperlink"/>
            <w:sz w:val="18"/>
          </w:rPr>
          <w:t>/oj/eng?eliuri=eli%</w:t>
        </w:r>
        <w:r w:rsidRPr="0090767E">
          <w:rPr>
            <w:rStyle w:val="Hyperlink"/>
            <w:sz w:val="18"/>
          </w:rPr>
          <w:t>3</w:t>
        </w:r>
        <w:r>
          <w:rPr>
            <w:rStyle w:val="Hyperlink"/>
            <w:sz w:val="18"/>
          </w:rPr>
          <w:t>Areg_impl%</w:t>
        </w:r>
        <w:r w:rsidRPr="0090767E">
          <w:rPr>
            <w:rStyle w:val="Hyperlink"/>
            <w:sz w:val="18"/>
          </w:rPr>
          <w:t>3</w:t>
        </w:r>
        <w:r>
          <w:rPr>
            <w:rStyle w:val="Hyperlink"/>
            <w:sz w:val="18"/>
          </w:rPr>
          <w:t>A</w:t>
        </w:r>
        <w:r w:rsidRPr="0090767E">
          <w:rPr>
            <w:rStyle w:val="Hyperlink"/>
            <w:sz w:val="18"/>
          </w:rPr>
          <w:t>2025</w:t>
        </w:r>
        <w:r>
          <w:rPr>
            <w:rStyle w:val="Hyperlink"/>
            <w:sz w:val="18"/>
          </w:rPr>
          <w:t>%</w:t>
        </w:r>
        <w:r w:rsidRPr="0090767E">
          <w:rPr>
            <w:rStyle w:val="Hyperlink"/>
            <w:sz w:val="18"/>
          </w:rPr>
          <w:t>3</w:t>
        </w:r>
        <w:r>
          <w:rPr>
            <w:rStyle w:val="Hyperlink"/>
            <w:sz w:val="18"/>
          </w:rPr>
          <w:t>A</w:t>
        </w:r>
        <w:r w:rsidRPr="0090767E">
          <w:rPr>
            <w:rStyle w:val="Hyperlink"/>
            <w:sz w:val="18"/>
          </w:rPr>
          <w:t>512</w:t>
        </w:r>
        <w:r>
          <w:rPr>
            <w:rStyle w:val="Hyperlink"/>
            <w:sz w:val="18"/>
          </w:rPr>
          <w:t>%</w:t>
        </w:r>
        <w:r w:rsidRPr="0090767E">
          <w:rPr>
            <w:rStyle w:val="Hyperlink"/>
            <w:sz w:val="18"/>
          </w:rPr>
          <w:t>3</w:t>
        </w:r>
        <w:r>
          <w:rPr>
            <w:rStyle w:val="Hyperlink"/>
            <w:sz w:val="18"/>
          </w:rPr>
          <w:t>Aoj&amp;locale=ga</w:t>
        </w:r>
      </w:hyperlink>
      <w:r>
        <w:rPr>
          <w:sz w:val="18"/>
        </w:rPr>
        <w:t>.</w:t>
      </w:r>
    </w:p>
  </w:footnote>
  <w:footnote w:id="7">
    <w:p w14:paraId="4FA7605F" w14:textId="54E489E0" w:rsidR="00122C76" w:rsidRPr="00C97C4B" w:rsidRDefault="00122C76" w:rsidP="00122C76">
      <w:pPr>
        <w:pStyle w:val="FootnoteText"/>
      </w:pPr>
      <w:r>
        <w:rPr>
          <w:rStyle w:val="FootnoteReference"/>
        </w:rPr>
        <w:footnoteRef/>
      </w:r>
      <w:r>
        <w:tab/>
        <w:t>Togra le haghaidh RIALACHÁN Ó PHARLAIMINT NA hEORPA AGUS ÓN gCOMHAIRLE lena mbunaítear Cód Custaim an Aontais agus Údarás Custaim an Aontais Eorpaigh, agus lena n‑aisghairtear Rialachán (AE) Uimh. </w:t>
      </w:r>
      <w:r w:rsidRPr="0090767E">
        <w:t>952</w:t>
      </w:r>
      <w:r>
        <w:t>/</w:t>
      </w:r>
      <w:r w:rsidRPr="0090767E">
        <w:t>2013</w:t>
      </w:r>
      <w:r>
        <w:t xml:space="preserve"> (COM/</w:t>
      </w:r>
      <w:r w:rsidRPr="0090767E">
        <w:t>2023</w:t>
      </w:r>
      <w:r>
        <w:t>/</w:t>
      </w:r>
      <w:r w:rsidRPr="0090767E">
        <w:t>258</w:t>
      </w:r>
      <w:r>
        <w:t xml:space="preserve"> final).</w:t>
      </w:r>
    </w:p>
  </w:footnote>
  <w:footnote w:id="8">
    <w:p w14:paraId="3D74A933" w14:textId="4F018692" w:rsidR="00C9300A" w:rsidRPr="00C9300A" w:rsidRDefault="00C9300A">
      <w:pPr>
        <w:pStyle w:val="FootnoteText"/>
      </w:pPr>
      <w:r>
        <w:rPr>
          <w:rStyle w:val="FootnoteReference"/>
        </w:rPr>
        <w:footnoteRef/>
      </w:r>
      <w:r>
        <w:tab/>
      </w:r>
      <w:r>
        <w:rPr>
          <w:sz w:val="18"/>
        </w:rPr>
        <w:t>Rialachán Cur Chun Feidhme (AE) </w:t>
      </w:r>
      <w:r w:rsidRPr="0090767E">
        <w:rPr>
          <w:sz w:val="18"/>
        </w:rPr>
        <w:t>2025</w:t>
      </w:r>
      <w:r>
        <w:rPr>
          <w:sz w:val="18"/>
        </w:rPr>
        <w:t>/</w:t>
      </w:r>
      <w:r w:rsidRPr="0090767E">
        <w:rPr>
          <w:sz w:val="18"/>
        </w:rPr>
        <w:t>512</w:t>
      </w:r>
      <w:r>
        <w:rPr>
          <w:sz w:val="18"/>
        </w:rPr>
        <w:t xml:space="preserve"> ón gCoimisiún an </w:t>
      </w:r>
      <w:r w:rsidRPr="0090767E">
        <w:rPr>
          <w:sz w:val="18"/>
        </w:rPr>
        <w:t>13</w:t>
      </w:r>
      <w:r>
        <w:rPr>
          <w:sz w:val="18"/>
        </w:rPr>
        <w:t> Márta </w:t>
      </w:r>
      <w:r w:rsidRPr="0090767E">
        <w:rPr>
          <w:sz w:val="18"/>
        </w:rPr>
        <w:t>2025</w:t>
      </w:r>
      <w:r>
        <w:rPr>
          <w:sz w:val="18"/>
        </w:rPr>
        <w:t xml:space="preserve"> maidir le socruithe teicniúla chun córais leictreonacha a fhorbairt, a chothabháil agus a úsáid chun faisnéis a mhalartú agus a stóráil faoi Rialachán (AE) Uimh. </w:t>
      </w:r>
      <w:r w:rsidRPr="0090767E">
        <w:rPr>
          <w:sz w:val="18"/>
        </w:rPr>
        <w:t>952</w:t>
      </w:r>
      <w:r>
        <w:rPr>
          <w:sz w:val="18"/>
        </w:rPr>
        <w:t>/</w:t>
      </w:r>
      <w:r w:rsidRPr="0090767E">
        <w:rPr>
          <w:sz w:val="18"/>
        </w:rPr>
        <w:t>2013</w:t>
      </w:r>
      <w:r>
        <w:rPr>
          <w:sz w:val="18"/>
        </w:rPr>
        <w:t xml:space="preserve"> ó Pharlaimint na hEorpa agus ón gComhairle, IO L </w:t>
      </w:r>
      <w:r w:rsidRPr="0090767E">
        <w:rPr>
          <w:sz w:val="18"/>
        </w:rPr>
        <w:t>2025</w:t>
      </w:r>
      <w:r>
        <w:rPr>
          <w:sz w:val="18"/>
        </w:rPr>
        <w:t>/</w:t>
      </w:r>
      <w:r w:rsidRPr="0090767E">
        <w:rPr>
          <w:sz w:val="18"/>
        </w:rPr>
        <w:t>512</w:t>
      </w:r>
      <w:r>
        <w:rPr>
          <w:sz w:val="18"/>
        </w:rPr>
        <w:t xml:space="preserve">, </w:t>
      </w:r>
      <w:r w:rsidRPr="0090767E">
        <w:rPr>
          <w:sz w:val="18"/>
        </w:rPr>
        <w:t>20</w:t>
      </w:r>
      <w:r>
        <w:rPr>
          <w:sz w:val="18"/>
        </w:rPr>
        <w:t>.</w:t>
      </w:r>
      <w:r w:rsidRPr="0090767E">
        <w:rPr>
          <w:sz w:val="18"/>
        </w:rPr>
        <w:t>3</w:t>
      </w:r>
      <w:r>
        <w:rPr>
          <w:sz w:val="18"/>
        </w:rPr>
        <w:t>.</w:t>
      </w:r>
      <w:r w:rsidRPr="0090767E">
        <w:rPr>
          <w:sz w:val="18"/>
        </w:rPr>
        <w:t>2025</w:t>
      </w:r>
      <w:r>
        <w:rPr>
          <w:sz w:val="18"/>
        </w:rPr>
        <w:t>, lgh. </w:t>
      </w:r>
      <w:r w:rsidRPr="0090767E">
        <w:rPr>
          <w:sz w:val="18"/>
        </w:rPr>
        <w:t>1</w:t>
      </w:r>
      <w:r>
        <w:rPr>
          <w:sz w:val="18"/>
        </w:rPr>
        <w:t>–</w:t>
      </w:r>
      <w:r w:rsidRPr="0090767E">
        <w:rPr>
          <w:sz w:val="18"/>
        </w:rPr>
        <w:t>45</w:t>
      </w:r>
      <w:r>
        <w:rPr>
          <w:sz w:val="18"/>
        </w:rPr>
        <w:t xml:space="preserve">, </w:t>
      </w:r>
      <w:hyperlink r:id="rId8" w:history="1">
        <w:r>
          <w:rPr>
            <w:rStyle w:val="Hyperlink"/>
            <w:sz w:val="18"/>
          </w:rPr>
          <w:t>https://eur-lex.europa.eu/eli/reg_impl/</w:t>
        </w:r>
        <w:r w:rsidRPr="0090767E">
          <w:rPr>
            <w:rStyle w:val="Hyperlink"/>
            <w:sz w:val="18"/>
          </w:rPr>
          <w:t>2025</w:t>
        </w:r>
        <w:r>
          <w:rPr>
            <w:rStyle w:val="Hyperlink"/>
            <w:sz w:val="18"/>
          </w:rPr>
          <w:t>/</w:t>
        </w:r>
        <w:r w:rsidRPr="0090767E">
          <w:rPr>
            <w:rStyle w:val="Hyperlink"/>
            <w:sz w:val="18"/>
          </w:rPr>
          <w:t>512</w:t>
        </w:r>
        <w:r>
          <w:rPr>
            <w:rStyle w:val="Hyperlink"/>
            <w:sz w:val="18"/>
          </w:rPr>
          <w:t>/oj/eng?eliuri=eli%</w:t>
        </w:r>
        <w:r w:rsidRPr="0090767E">
          <w:rPr>
            <w:rStyle w:val="Hyperlink"/>
            <w:sz w:val="18"/>
          </w:rPr>
          <w:t>3</w:t>
        </w:r>
        <w:r>
          <w:rPr>
            <w:rStyle w:val="Hyperlink"/>
            <w:sz w:val="18"/>
          </w:rPr>
          <w:t>Areg_impl%</w:t>
        </w:r>
        <w:r w:rsidRPr="0090767E">
          <w:rPr>
            <w:rStyle w:val="Hyperlink"/>
            <w:sz w:val="18"/>
          </w:rPr>
          <w:t>3</w:t>
        </w:r>
        <w:r>
          <w:rPr>
            <w:rStyle w:val="Hyperlink"/>
            <w:sz w:val="18"/>
          </w:rPr>
          <w:t>A</w:t>
        </w:r>
        <w:r w:rsidRPr="0090767E">
          <w:rPr>
            <w:rStyle w:val="Hyperlink"/>
            <w:sz w:val="18"/>
          </w:rPr>
          <w:t>2025</w:t>
        </w:r>
        <w:r>
          <w:rPr>
            <w:rStyle w:val="Hyperlink"/>
            <w:sz w:val="18"/>
          </w:rPr>
          <w:t>%</w:t>
        </w:r>
        <w:r w:rsidRPr="0090767E">
          <w:rPr>
            <w:rStyle w:val="Hyperlink"/>
            <w:sz w:val="18"/>
          </w:rPr>
          <w:t>3</w:t>
        </w:r>
        <w:r>
          <w:rPr>
            <w:rStyle w:val="Hyperlink"/>
            <w:sz w:val="18"/>
          </w:rPr>
          <w:t>A</w:t>
        </w:r>
        <w:r w:rsidRPr="0090767E">
          <w:rPr>
            <w:rStyle w:val="Hyperlink"/>
            <w:sz w:val="18"/>
          </w:rPr>
          <w:t>512</w:t>
        </w:r>
        <w:r>
          <w:rPr>
            <w:rStyle w:val="Hyperlink"/>
            <w:sz w:val="18"/>
          </w:rPr>
          <w:t>%</w:t>
        </w:r>
        <w:r w:rsidRPr="0090767E">
          <w:rPr>
            <w:rStyle w:val="Hyperlink"/>
            <w:sz w:val="18"/>
          </w:rPr>
          <w:t>3</w:t>
        </w:r>
        <w:r>
          <w:rPr>
            <w:rStyle w:val="Hyperlink"/>
            <w:sz w:val="18"/>
          </w:rPr>
          <w:t>Aoj&amp;locale=ga</w:t>
        </w:r>
      </w:hyperlink>
    </w:p>
  </w:footnote>
  <w:footnote w:id="9">
    <w:p w14:paraId="51F72CBF" w14:textId="4176E6AD" w:rsidR="00123E71" w:rsidRPr="00272859" w:rsidRDefault="00123E71" w:rsidP="00123E71">
      <w:pPr>
        <w:pStyle w:val="FootnoteText"/>
        <w:rPr>
          <w:sz w:val="18"/>
          <w:szCs w:val="18"/>
        </w:rPr>
      </w:pPr>
      <w:r>
        <w:rPr>
          <w:rStyle w:val="FootnoteReference"/>
        </w:rPr>
        <w:footnoteRef/>
      </w:r>
      <w:r>
        <w:tab/>
      </w:r>
      <w:r>
        <w:rPr>
          <w:sz w:val="18"/>
        </w:rPr>
        <w:t xml:space="preserve">Doiciméad Inmheánach Oibre de chuid an Choimisiúin a ghabhann leis an Tuarascáil ón gCoimisiún chuig Parlaimint na hEorpa agus chuig an gComhairle de bhun Airteagal </w:t>
      </w:r>
      <w:r w:rsidRPr="0090767E">
        <w:rPr>
          <w:sz w:val="18"/>
        </w:rPr>
        <w:t>278</w:t>
      </w:r>
      <w:r>
        <w:rPr>
          <w:sz w:val="18"/>
        </w:rPr>
        <w:t>a de Chód Custaim an Aontais, maidir le dul chun cinn i bhforbairt na gcóras leictreonach dá bhforáiltear faoin gCód,</w:t>
      </w:r>
      <w:r>
        <w:t xml:space="preserve"> </w:t>
      </w:r>
      <w:r>
        <w:rPr>
          <w:sz w:val="18"/>
        </w:rPr>
        <w:t>Doiciméad Inmheánach Oibre (</w:t>
      </w:r>
      <w:r w:rsidRPr="0090767E">
        <w:rPr>
          <w:sz w:val="18"/>
        </w:rPr>
        <w:t>2024</w:t>
      </w:r>
      <w:r>
        <w:rPr>
          <w:sz w:val="18"/>
        </w:rPr>
        <w:t xml:space="preserve">) </w:t>
      </w:r>
      <w:r>
        <w:rPr>
          <w:color w:val="FF0000"/>
          <w:sz w:val="18"/>
        </w:rPr>
        <w:t xml:space="preserve">XX </w:t>
      </w:r>
      <w:r>
        <w:rPr>
          <w:sz w:val="18"/>
        </w:rPr>
        <w:t>final.</w:t>
      </w:r>
    </w:p>
  </w:footnote>
  <w:footnote w:id="10">
    <w:p w14:paraId="7A3B1A89" w14:textId="023410D4" w:rsidR="002C7D2A" w:rsidRPr="00AF6487" w:rsidRDefault="002C7D2A" w:rsidP="002C7D2A">
      <w:pPr>
        <w:pStyle w:val="FootnoteText"/>
        <w:rPr>
          <w:sz w:val="18"/>
          <w:szCs w:val="18"/>
        </w:rPr>
      </w:pPr>
      <w:r>
        <w:rPr>
          <w:rStyle w:val="FootnoteReference"/>
          <w:sz w:val="18"/>
          <w:szCs w:val="18"/>
        </w:rPr>
        <w:footnoteRef/>
      </w:r>
      <w:r>
        <w:tab/>
      </w:r>
      <w:r>
        <w:rPr>
          <w:sz w:val="18"/>
        </w:rPr>
        <w:t xml:space="preserve">Mar a bheartaítear i gClár Oibre </w:t>
      </w:r>
      <w:r w:rsidRPr="0090767E">
        <w:rPr>
          <w:sz w:val="18"/>
        </w:rPr>
        <w:t>2023</w:t>
      </w:r>
      <w:r>
        <w:rPr>
          <w:sz w:val="18"/>
        </w:rPr>
        <w:t xml:space="preserve"> Chód Custaim an Aontais, déanfar </w:t>
      </w:r>
      <w:r>
        <w:rPr>
          <w:i/>
          <w:sz w:val="18"/>
        </w:rPr>
        <w:t xml:space="preserve">Córas Nua Ríomhchuidithe Idirthurais — Céim </w:t>
      </w:r>
      <w:r w:rsidRPr="0090767E">
        <w:rPr>
          <w:i/>
          <w:sz w:val="18"/>
        </w:rPr>
        <w:t>5</w:t>
      </w:r>
      <w:r>
        <w:rPr>
          <w:i/>
          <w:sz w:val="18"/>
        </w:rPr>
        <w:t xml:space="preserve"> </w:t>
      </w:r>
      <w:r>
        <w:rPr>
          <w:sz w:val="18"/>
        </w:rPr>
        <w:t xml:space="preserve">a imscaradh go hiomlán faoin </w:t>
      </w:r>
      <w:r w:rsidRPr="0090767E">
        <w:rPr>
          <w:sz w:val="18"/>
        </w:rPr>
        <w:t>21</w:t>
      </w:r>
      <w:r>
        <w:rPr>
          <w:sz w:val="18"/>
        </w:rPr>
        <w:t> Feabhra </w:t>
      </w:r>
      <w:r w:rsidRPr="0090767E">
        <w:rPr>
          <w:sz w:val="18"/>
        </w:rPr>
        <w:t>2025</w:t>
      </w:r>
      <w:r>
        <w:rPr>
          <w:sz w:val="18"/>
        </w:rPr>
        <w:t>. Tá an idirthréimhse ón g</w:t>
      </w:r>
      <w:r>
        <w:rPr>
          <w:i/>
          <w:sz w:val="18"/>
        </w:rPr>
        <w:t>Córas Nua Ríomhchuidithe Idirthurais – Céim </w:t>
      </w:r>
      <w:r w:rsidRPr="0090767E">
        <w:rPr>
          <w:i/>
          <w:sz w:val="18"/>
        </w:rPr>
        <w:t>5</w:t>
      </w:r>
      <w:r>
        <w:rPr>
          <w:sz w:val="18"/>
        </w:rPr>
        <w:t xml:space="preserve"> go dtí an </w:t>
      </w:r>
      <w:r>
        <w:rPr>
          <w:i/>
          <w:sz w:val="18"/>
        </w:rPr>
        <w:t>Córas Nua Ríomhchuidithe Idirthurais – Céim </w:t>
      </w:r>
      <w:r w:rsidRPr="0090767E">
        <w:rPr>
          <w:i/>
          <w:sz w:val="18"/>
        </w:rPr>
        <w:t>6</w:t>
      </w:r>
      <w:r>
        <w:rPr>
          <w:i/>
          <w:sz w:val="18"/>
        </w:rPr>
        <w:t xml:space="preserve"> </w:t>
      </w:r>
      <w:r>
        <w:rPr>
          <w:sz w:val="18"/>
        </w:rPr>
        <w:t xml:space="preserve">beartaithe idir an </w:t>
      </w:r>
      <w:r w:rsidRPr="0090767E">
        <w:rPr>
          <w:sz w:val="18"/>
        </w:rPr>
        <w:t>1</w:t>
      </w:r>
      <w:r>
        <w:rPr>
          <w:sz w:val="18"/>
        </w:rPr>
        <w:t> Márta </w:t>
      </w:r>
      <w:r w:rsidRPr="0090767E">
        <w:rPr>
          <w:sz w:val="18"/>
        </w:rPr>
        <w:t>2025</w:t>
      </w:r>
      <w:r>
        <w:rPr>
          <w:sz w:val="18"/>
        </w:rPr>
        <w:t xml:space="preserve"> agus </w:t>
      </w:r>
      <w:r w:rsidRPr="0090767E">
        <w:rPr>
          <w:sz w:val="18"/>
        </w:rPr>
        <w:t>1</w:t>
      </w:r>
      <w:r>
        <w:rPr>
          <w:sz w:val="18"/>
        </w:rPr>
        <w:t> Meán Fómhair </w:t>
      </w:r>
      <w:r w:rsidRPr="0090767E">
        <w:rPr>
          <w:sz w:val="18"/>
        </w:rPr>
        <w:t>2025</w:t>
      </w:r>
      <w:r>
        <w:rPr>
          <w:sz w:val="18"/>
        </w:rPr>
        <w:t xml:space="preserve">, le linn na tréimhse céanna a aistreofar </w:t>
      </w:r>
      <w:r>
        <w:rPr>
          <w:i/>
          <w:sz w:val="18"/>
        </w:rPr>
        <w:t>ICS</w:t>
      </w:r>
      <w:r w:rsidRPr="0090767E">
        <w:rPr>
          <w:i/>
          <w:sz w:val="18"/>
        </w:rPr>
        <w:t>2</w:t>
      </w:r>
      <w:r>
        <w:rPr>
          <w:i/>
          <w:sz w:val="18"/>
        </w:rPr>
        <w:t xml:space="preserve"> – Eisiúint </w:t>
      </w:r>
      <w:r w:rsidRPr="0090767E">
        <w:rPr>
          <w:i/>
          <w:sz w:val="18"/>
        </w:rPr>
        <w:t>2</w:t>
      </w:r>
      <w:r>
        <w:rPr>
          <w:i/>
          <w:sz w:val="18"/>
        </w:rPr>
        <w:t xml:space="preserve"> </w:t>
      </w:r>
      <w:r>
        <w:rPr>
          <w:sz w:val="18"/>
        </w:rPr>
        <w:t xml:space="preserve">chuig </w:t>
      </w:r>
      <w:r>
        <w:rPr>
          <w:i/>
          <w:sz w:val="18"/>
        </w:rPr>
        <w:t>ICS</w:t>
      </w:r>
      <w:r w:rsidRPr="0090767E">
        <w:rPr>
          <w:i/>
          <w:sz w:val="18"/>
        </w:rPr>
        <w:t>2</w:t>
      </w:r>
      <w:r>
        <w:rPr>
          <w:i/>
          <w:sz w:val="18"/>
        </w:rPr>
        <w:t xml:space="preserve"> – Eisiúint </w:t>
      </w:r>
      <w:r w:rsidRPr="0090767E">
        <w:rPr>
          <w:i/>
          <w:sz w:val="18"/>
        </w:rPr>
        <w:t>3</w:t>
      </w:r>
      <w:r>
        <w:rPr>
          <w:sz w:val="18"/>
        </w:rPr>
        <w:t>, rud a fhágann gur mbeifear in ann an dá chóras a shioncronú.</w:t>
      </w:r>
    </w:p>
  </w:footnote>
  <w:footnote w:id="11">
    <w:p w14:paraId="32975455" w14:textId="2EDBFA8B" w:rsidR="3C329334" w:rsidRDefault="3C329334" w:rsidP="00177586">
      <w:pPr>
        <w:spacing w:after="0"/>
        <w:rPr>
          <w:sz w:val="18"/>
          <w:szCs w:val="18"/>
        </w:rPr>
      </w:pPr>
      <w:r>
        <w:rPr>
          <w:rStyle w:val="FootnoteReference"/>
          <w:sz w:val="20"/>
          <w:szCs w:val="20"/>
        </w:rPr>
        <w:footnoteRef/>
      </w:r>
      <w:r>
        <w:tab/>
      </w:r>
      <w:r>
        <w:rPr>
          <w:sz w:val="18"/>
        </w:rPr>
        <w:t xml:space="preserve">Ní áirítear leis an amlíne sin an Chomhpháirt Onnmhairiúcháin den chóras náisiúnta Nósanna Imeachta Speisialta, dá bhfuil an ghníomhaíocht agus an phleanáil idirnasctha le </w:t>
      </w:r>
      <w:r>
        <w:rPr>
          <w:i/>
          <w:sz w:val="18"/>
        </w:rPr>
        <w:t>AES.</w:t>
      </w:r>
    </w:p>
  </w:footnote>
  <w:footnote w:id="12">
    <w:p w14:paraId="61D20B3B" w14:textId="2D81BFC7" w:rsidR="00EC3F3E" w:rsidRDefault="00C753C4" w:rsidP="00EC3F3E">
      <w:pPr>
        <w:pStyle w:val="FootnoteText"/>
        <w:rPr>
          <w:sz w:val="18"/>
          <w:szCs w:val="18"/>
        </w:rPr>
      </w:pPr>
      <w:r>
        <w:rPr>
          <w:rStyle w:val="FootnoteReference"/>
        </w:rPr>
        <w:footnoteRef/>
      </w:r>
      <w:r>
        <w:tab/>
        <w:t>Cinneadh Cur Chun Feidhme (AE) </w:t>
      </w:r>
      <w:r w:rsidRPr="0090767E">
        <w:t>2023</w:t>
      </w:r>
      <w:r>
        <w:t>/</w:t>
      </w:r>
      <w:r w:rsidRPr="0090767E">
        <w:t>235</w:t>
      </w:r>
      <w:r>
        <w:t xml:space="preserve"> ón gCoimisiún an </w:t>
      </w:r>
      <w:r w:rsidRPr="0090767E">
        <w:t>1</w:t>
      </w:r>
      <w:r>
        <w:t> Feabhra </w:t>
      </w:r>
      <w:r w:rsidRPr="0090767E">
        <w:t>2023</w:t>
      </w:r>
      <w:r>
        <w:t xml:space="preserve"> lena ndeonaítear maolú arna iarraidh ag Ballstáit áirithe de bhun Rialachán (AE) Uimh. </w:t>
      </w:r>
      <w:r w:rsidRPr="0090767E">
        <w:t>952</w:t>
      </w:r>
      <w:r>
        <w:t>/</w:t>
      </w:r>
      <w:r w:rsidRPr="0090767E">
        <w:t>2013</w:t>
      </w:r>
      <w:r>
        <w:t xml:space="preserve"> ó Pharlaimint na hEorpa agus ón gComhairle úsáid a bhaint as bealaí eile seachas teicnící próiseála sonraí leictreonacha chun faisnéis a mhalartú agus a stóráil chun fógra a thabhairt faoi theacht soithigh farraige móire nó aerárthaigh (IO L </w:t>
      </w:r>
      <w:r w:rsidRPr="0090767E">
        <w:t>32</w:t>
      </w:r>
      <w:r>
        <w:t xml:space="preserve">, </w:t>
      </w:r>
      <w:r w:rsidRPr="0090767E">
        <w:t>3</w:t>
      </w:r>
      <w:r>
        <w:t>.</w:t>
      </w:r>
      <w:r w:rsidRPr="0090767E">
        <w:t>2</w:t>
      </w:r>
      <w:r>
        <w:t>.</w:t>
      </w:r>
      <w:r w:rsidRPr="0090767E">
        <w:t>2023</w:t>
      </w:r>
      <w:r>
        <w:t>, lgh. </w:t>
      </w:r>
      <w:r w:rsidRPr="0090767E">
        <w:t>220</w:t>
      </w:r>
      <w:r>
        <w:t>-</w:t>
      </w:r>
      <w:r w:rsidRPr="0090767E">
        <w:t>222</w:t>
      </w:r>
      <w:r>
        <w:t>).</w:t>
      </w:r>
    </w:p>
    <w:p w14:paraId="43607C88" w14:textId="14B5457F" w:rsidR="00EC3F3E" w:rsidRDefault="00EC3F3E" w:rsidP="00EC3F3E">
      <w:pPr>
        <w:pStyle w:val="FootnoteText"/>
        <w:rPr>
          <w:sz w:val="18"/>
          <w:szCs w:val="18"/>
        </w:rPr>
      </w:pPr>
      <w:r>
        <w:rPr>
          <w:sz w:val="18"/>
        </w:rPr>
        <w:t>Cinneadh Cur Chun Feidhme (AE) </w:t>
      </w:r>
      <w:r w:rsidRPr="0090767E">
        <w:rPr>
          <w:sz w:val="18"/>
        </w:rPr>
        <w:t>2023</w:t>
      </w:r>
      <w:r>
        <w:rPr>
          <w:sz w:val="18"/>
        </w:rPr>
        <w:t>/</w:t>
      </w:r>
      <w:r w:rsidRPr="0090767E">
        <w:rPr>
          <w:sz w:val="18"/>
        </w:rPr>
        <w:t>234</w:t>
      </w:r>
      <w:r>
        <w:rPr>
          <w:sz w:val="18"/>
        </w:rPr>
        <w:t xml:space="preserve"> ón gCoimisiún an </w:t>
      </w:r>
      <w:r w:rsidRPr="0090767E">
        <w:rPr>
          <w:sz w:val="18"/>
        </w:rPr>
        <w:t>1</w:t>
      </w:r>
      <w:r>
        <w:rPr>
          <w:sz w:val="18"/>
        </w:rPr>
        <w:t> Feabhra </w:t>
      </w:r>
      <w:r w:rsidRPr="0090767E">
        <w:rPr>
          <w:sz w:val="18"/>
        </w:rPr>
        <w:t>2023</w:t>
      </w:r>
      <w:r>
        <w:rPr>
          <w:sz w:val="18"/>
        </w:rPr>
        <w:t xml:space="preserve"> lena ndeonaítear maolú arna iarraidh ag Ballstáit áirithe de bhun Rialachán (AE) Uimh. </w:t>
      </w:r>
      <w:r w:rsidRPr="0090767E">
        <w:rPr>
          <w:sz w:val="18"/>
        </w:rPr>
        <w:t>952</w:t>
      </w:r>
      <w:r>
        <w:rPr>
          <w:sz w:val="18"/>
        </w:rPr>
        <w:t>/</w:t>
      </w:r>
      <w:r w:rsidRPr="0090767E">
        <w:rPr>
          <w:sz w:val="18"/>
        </w:rPr>
        <w:t>2013</w:t>
      </w:r>
      <w:r>
        <w:rPr>
          <w:sz w:val="18"/>
        </w:rPr>
        <w:t xml:space="preserve"> ó Pharlaimint na hEorpa agus ón gComhairle maidir le leas a bhaint as bealaí eile seachas teicnící próiseála sonraí leictreonacha chun faisnéis a mhalartú agus a stóráil i ndáil leis an bhFógra Cur i Láthair a bhaineann le hearraí a thugtar isteach i gcríoch chustaim an Aontais (IO L </w:t>
      </w:r>
      <w:r w:rsidRPr="0090767E">
        <w:rPr>
          <w:sz w:val="18"/>
        </w:rPr>
        <w:t>32</w:t>
      </w:r>
      <w:r>
        <w:rPr>
          <w:sz w:val="18"/>
        </w:rPr>
        <w:t xml:space="preserve">, </w:t>
      </w:r>
      <w:r w:rsidRPr="0090767E">
        <w:rPr>
          <w:sz w:val="18"/>
        </w:rPr>
        <w:t>3</w:t>
      </w:r>
      <w:r>
        <w:rPr>
          <w:sz w:val="18"/>
        </w:rPr>
        <w:t>.</w:t>
      </w:r>
      <w:r w:rsidRPr="0090767E">
        <w:rPr>
          <w:sz w:val="18"/>
        </w:rPr>
        <w:t>2</w:t>
      </w:r>
      <w:r>
        <w:rPr>
          <w:sz w:val="18"/>
        </w:rPr>
        <w:t>.</w:t>
      </w:r>
      <w:r w:rsidRPr="0090767E">
        <w:rPr>
          <w:sz w:val="18"/>
        </w:rPr>
        <w:t>2023</w:t>
      </w:r>
      <w:r>
        <w:rPr>
          <w:sz w:val="18"/>
        </w:rPr>
        <w:t>, lch. </w:t>
      </w:r>
      <w:r w:rsidRPr="0090767E">
        <w:rPr>
          <w:sz w:val="18"/>
        </w:rPr>
        <w:t>217</w:t>
      </w:r>
      <w:r>
        <w:rPr>
          <w:sz w:val="18"/>
        </w:rPr>
        <w:t>-</w:t>
      </w:r>
      <w:r w:rsidRPr="0090767E">
        <w:rPr>
          <w:sz w:val="18"/>
        </w:rPr>
        <w:t>219</w:t>
      </w:r>
      <w:r>
        <w:rPr>
          <w:sz w:val="18"/>
        </w:rPr>
        <w:t>).</w:t>
      </w:r>
    </w:p>
    <w:p w14:paraId="03B1487B" w14:textId="5516EB5E" w:rsidR="00EC3F3E" w:rsidRDefault="00EC3F3E" w:rsidP="00EC3F3E">
      <w:pPr>
        <w:pStyle w:val="FootnoteText"/>
        <w:rPr>
          <w:sz w:val="18"/>
          <w:szCs w:val="18"/>
        </w:rPr>
      </w:pPr>
      <w:r>
        <w:rPr>
          <w:sz w:val="18"/>
        </w:rPr>
        <w:t>Cinneadh Cur Chun Feidhme (AE) </w:t>
      </w:r>
      <w:r w:rsidRPr="0090767E">
        <w:rPr>
          <w:sz w:val="18"/>
        </w:rPr>
        <w:t>2023</w:t>
      </w:r>
      <w:r>
        <w:rPr>
          <w:sz w:val="18"/>
        </w:rPr>
        <w:t>/</w:t>
      </w:r>
      <w:r w:rsidRPr="0090767E">
        <w:rPr>
          <w:sz w:val="18"/>
        </w:rPr>
        <w:t>236</w:t>
      </w:r>
      <w:r>
        <w:rPr>
          <w:sz w:val="18"/>
        </w:rPr>
        <w:t xml:space="preserve"> ón gCoimisiún an </w:t>
      </w:r>
      <w:r w:rsidRPr="0090767E">
        <w:rPr>
          <w:sz w:val="18"/>
        </w:rPr>
        <w:t>1</w:t>
      </w:r>
      <w:r>
        <w:rPr>
          <w:sz w:val="18"/>
        </w:rPr>
        <w:t> Feabhra </w:t>
      </w:r>
      <w:r w:rsidRPr="0090767E">
        <w:rPr>
          <w:sz w:val="18"/>
        </w:rPr>
        <w:t>2023</w:t>
      </w:r>
      <w:r>
        <w:rPr>
          <w:sz w:val="18"/>
        </w:rPr>
        <w:t xml:space="preserve"> lena ndeonaítear maolú arna iarraidh ag Ballstáit áirithe de bhun Rialachán (AE) Uimh. </w:t>
      </w:r>
      <w:r w:rsidRPr="0090767E">
        <w:rPr>
          <w:sz w:val="18"/>
        </w:rPr>
        <w:t>952</w:t>
      </w:r>
      <w:r>
        <w:rPr>
          <w:sz w:val="18"/>
        </w:rPr>
        <w:t>/</w:t>
      </w:r>
      <w:r w:rsidRPr="0090767E">
        <w:rPr>
          <w:sz w:val="18"/>
        </w:rPr>
        <w:t>2013</w:t>
      </w:r>
      <w:r>
        <w:rPr>
          <w:sz w:val="18"/>
        </w:rPr>
        <w:t xml:space="preserve"> ó Pharlaimint na hEorpa agus ón gComhairle úsáid a bhaint as bealaí eile seachas teicnící próiseála sonraí leictreonacha chun faisnéis a mhalartú agus a stóráil le haghaidh an dearbhaithe stórála sealadaí a bhaineann le hearraí nach earraí ón Aontas iad a thíolactar do lucht custaim (IO L </w:t>
      </w:r>
      <w:r w:rsidRPr="0090767E">
        <w:rPr>
          <w:sz w:val="18"/>
        </w:rPr>
        <w:t>32</w:t>
      </w:r>
      <w:r>
        <w:rPr>
          <w:sz w:val="18"/>
        </w:rPr>
        <w:t xml:space="preserve">, </w:t>
      </w:r>
      <w:r w:rsidRPr="0090767E">
        <w:rPr>
          <w:sz w:val="18"/>
        </w:rPr>
        <w:t>3</w:t>
      </w:r>
      <w:r>
        <w:rPr>
          <w:sz w:val="18"/>
        </w:rPr>
        <w:t>.</w:t>
      </w:r>
      <w:r w:rsidRPr="0090767E">
        <w:rPr>
          <w:sz w:val="18"/>
        </w:rPr>
        <w:t>2</w:t>
      </w:r>
      <w:r>
        <w:rPr>
          <w:sz w:val="18"/>
        </w:rPr>
        <w:t>.</w:t>
      </w:r>
      <w:r w:rsidRPr="0090767E">
        <w:rPr>
          <w:sz w:val="18"/>
        </w:rPr>
        <w:t>2023</w:t>
      </w:r>
      <w:r>
        <w:rPr>
          <w:sz w:val="18"/>
        </w:rPr>
        <w:t>, lch. </w:t>
      </w:r>
      <w:r w:rsidRPr="0090767E">
        <w:rPr>
          <w:sz w:val="18"/>
        </w:rPr>
        <w:t>223</w:t>
      </w:r>
      <w:r>
        <w:rPr>
          <w:sz w:val="18"/>
        </w:rPr>
        <w:t>-</w:t>
      </w:r>
      <w:r w:rsidRPr="0090767E">
        <w:rPr>
          <w:sz w:val="18"/>
        </w:rPr>
        <w:t>225</w:t>
      </w:r>
      <w:r>
        <w:rPr>
          <w:sz w:val="18"/>
        </w:rPr>
        <w:t>).</w:t>
      </w:r>
    </w:p>
    <w:p w14:paraId="054BC491" w14:textId="4A410F79" w:rsidR="009C1904" w:rsidRPr="00055057" w:rsidRDefault="00EC3F3E" w:rsidP="00EC3F3E">
      <w:pPr>
        <w:pStyle w:val="FootnoteText"/>
      </w:pPr>
      <w:r>
        <w:rPr>
          <w:sz w:val="18"/>
        </w:rPr>
        <w:t>Cinneadh Cur Chun Feidhme (AE) </w:t>
      </w:r>
      <w:r w:rsidRPr="0090767E">
        <w:rPr>
          <w:sz w:val="18"/>
        </w:rPr>
        <w:t>2023</w:t>
      </w:r>
      <w:r>
        <w:rPr>
          <w:sz w:val="18"/>
        </w:rPr>
        <w:t>/</w:t>
      </w:r>
      <w:r w:rsidRPr="0090767E">
        <w:rPr>
          <w:sz w:val="18"/>
        </w:rPr>
        <w:t>237</w:t>
      </w:r>
      <w:r>
        <w:rPr>
          <w:sz w:val="18"/>
        </w:rPr>
        <w:t xml:space="preserve"> ón gCoimisiún an </w:t>
      </w:r>
      <w:r w:rsidRPr="0090767E">
        <w:rPr>
          <w:sz w:val="18"/>
        </w:rPr>
        <w:t>1</w:t>
      </w:r>
      <w:r>
        <w:rPr>
          <w:sz w:val="18"/>
        </w:rPr>
        <w:t> Feabhra </w:t>
      </w:r>
      <w:r w:rsidRPr="0090767E">
        <w:rPr>
          <w:sz w:val="18"/>
        </w:rPr>
        <w:t>2023</w:t>
      </w:r>
      <w:r>
        <w:rPr>
          <w:sz w:val="18"/>
        </w:rPr>
        <w:t xml:space="preserve"> lena ndeonaítear maolú arna iarraidh ag Ballstáit áirithe chun leas a bhaint as bealaí eile seachas teicnící próiseála sonraí leictreonacha le faisnéis a mhalartú agus a stóráil a bhaineann leis an dearbhú custaim le haghaidh earraí a thugtar isteach i gcríoch chustaim an Aontais a leagtar síos in Airteagail </w:t>
      </w:r>
      <w:r w:rsidRPr="0090767E">
        <w:rPr>
          <w:sz w:val="18"/>
        </w:rPr>
        <w:t>158</w:t>
      </w:r>
      <w:r>
        <w:rPr>
          <w:sz w:val="18"/>
        </w:rPr>
        <w:t xml:space="preserve">, </w:t>
      </w:r>
      <w:r w:rsidRPr="0090767E">
        <w:rPr>
          <w:sz w:val="18"/>
        </w:rPr>
        <w:t>162</w:t>
      </w:r>
      <w:r>
        <w:rPr>
          <w:sz w:val="18"/>
        </w:rPr>
        <w:t xml:space="preserve">, </w:t>
      </w:r>
      <w:r w:rsidRPr="0090767E">
        <w:rPr>
          <w:sz w:val="18"/>
        </w:rPr>
        <w:t>163</w:t>
      </w:r>
      <w:r>
        <w:rPr>
          <w:sz w:val="18"/>
        </w:rPr>
        <w:t xml:space="preserve">, </w:t>
      </w:r>
      <w:r w:rsidRPr="0090767E">
        <w:rPr>
          <w:sz w:val="18"/>
        </w:rPr>
        <w:t>166</w:t>
      </w:r>
      <w:r>
        <w:rPr>
          <w:sz w:val="18"/>
        </w:rPr>
        <w:t xml:space="preserve">, </w:t>
      </w:r>
      <w:r w:rsidRPr="0090767E">
        <w:rPr>
          <w:sz w:val="18"/>
        </w:rPr>
        <w:t>167</w:t>
      </w:r>
      <w:r>
        <w:rPr>
          <w:sz w:val="18"/>
        </w:rPr>
        <w:t xml:space="preserve">, </w:t>
      </w:r>
      <w:r w:rsidRPr="0090767E">
        <w:rPr>
          <w:sz w:val="18"/>
        </w:rPr>
        <w:t>170</w:t>
      </w:r>
      <w:r>
        <w:rPr>
          <w:sz w:val="18"/>
        </w:rPr>
        <w:t xml:space="preserve"> go </w:t>
      </w:r>
      <w:r w:rsidRPr="0090767E">
        <w:rPr>
          <w:sz w:val="18"/>
        </w:rPr>
        <w:t>174</w:t>
      </w:r>
      <w:r>
        <w:rPr>
          <w:sz w:val="18"/>
        </w:rPr>
        <w:t xml:space="preserve">, </w:t>
      </w:r>
      <w:r w:rsidRPr="0090767E">
        <w:rPr>
          <w:sz w:val="18"/>
        </w:rPr>
        <w:t>201</w:t>
      </w:r>
      <w:r>
        <w:rPr>
          <w:sz w:val="18"/>
        </w:rPr>
        <w:t xml:space="preserve">, </w:t>
      </w:r>
      <w:r w:rsidRPr="0090767E">
        <w:rPr>
          <w:sz w:val="18"/>
        </w:rPr>
        <w:t>240</w:t>
      </w:r>
      <w:r>
        <w:rPr>
          <w:sz w:val="18"/>
        </w:rPr>
        <w:t xml:space="preserve">, </w:t>
      </w:r>
      <w:r w:rsidRPr="0090767E">
        <w:rPr>
          <w:sz w:val="18"/>
        </w:rPr>
        <w:t>250</w:t>
      </w:r>
      <w:r>
        <w:rPr>
          <w:sz w:val="18"/>
        </w:rPr>
        <w:t xml:space="preserve">, </w:t>
      </w:r>
      <w:r w:rsidRPr="0090767E">
        <w:rPr>
          <w:sz w:val="18"/>
        </w:rPr>
        <w:t>254</w:t>
      </w:r>
      <w:r>
        <w:rPr>
          <w:sz w:val="18"/>
        </w:rPr>
        <w:t xml:space="preserve"> agus </w:t>
      </w:r>
      <w:r w:rsidRPr="0090767E">
        <w:rPr>
          <w:sz w:val="18"/>
        </w:rPr>
        <w:t>256</w:t>
      </w:r>
      <w:r>
        <w:rPr>
          <w:sz w:val="18"/>
        </w:rPr>
        <w:t xml:space="preserve"> de Rialachán (AE) Uimh. </w:t>
      </w:r>
      <w:r w:rsidRPr="0090767E">
        <w:rPr>
          <w:sz w:val="18"/>
        </w:rPr>
        <w:t>952</w:t>
      </w:r>
      <w:r>
        <w:rPr>
          <w:sz w:val="18"/>
        </w:rPr>
        <w:t>/</w:t>
      </w:r>
      <w:r w:rsidRPr="0090767E">
        <w:rPr>
          <w:sz w:val="18"/>
        </w:rPr>
        <w:t>2013</w:t>
      </w:r>
      <w:r>
        <w:rPr>
          <w:sz w:val="18"/>
        </w:rPr>
        <w:t xml:space="preserve"> ó Pharlaimint na hEorpa agus ón gComhairle lena leagtar síos Cód Custaim an Aontais (IO L </w:t>
      </w:r>
      <w:r w:rsidRPr="0090767E">
        <w:rPr>
          <w:sz w:val="18"/>
        </w:rPr>
        <w:t>32</w:t>
      </w:r>
      <w:r>
        <w:rPr>
          <w:sz w:val="18"/>
        </w:rPr>
        <w:t xml:space="preserve">, </w:t>
      </w:r>
      <w:r w:rsidRPr="0090767E">
        <w:rPr>
          <w:sz w:val="18"/>
        </w:rPr>
        <w:t>3</w:t>
      </w:r>
      <w:r>
        <w:rPr>
          <w:sz w:val="18"/>
        </w:rPr>
        <w:t>.</w:t>
      </w:r>
      <w:r w:rsidRPr="0090767E">
        <w:rPr>
          <w:sz w:val="18"/>
        </w:rPr>
        <w:t>2</w:t>
      </w:r>
      <w:r>
        <w:rPr>
          <w:sz w:val="18"/>
        </w:rPr>
        <w:t>.</w:t>
      </w:r>
      <w:r w:rsidRPr="0090767E">
        <w:rPr>
          <w:sz w:val="18"/>
        </w:rPr>
        <w:t>2023</w:t>
      </w:r>
      <w:r>
        <w:rPr>
          <w:sz w:val="18"/>
        </w:rPr>
        <w:t>, lch. </w:t>
      </w:r>
      <w:r w:rsidRPr="0090767E">
        <w:rPr>
          <w:sz w:val="18"/>
        </w:rPr>
        <w:t>226</w:t>
      </w:r>
      <w:r>
        <w:rPr>
          <w:sz w:val="18"/>
        </w:rPr>
        <w:t>-</w:t>
      </w:r>
      <w:r w:rsidRPr="0090767E">
        <w:rPr>
          <w:sz w:val="18"/>
        </w:rPr>
        <w:t>228</w:t>
      </w:r>
      <w:r>
        <w:rPr>
          <w:sz w:val="18"/>
        </w:rPr>
        <w:t xml:space="preserve">).  </w:t>
      </w:r>
    </w:p>
  </w:footnote>
  <w:footnote w:id="13">
    <w:p w14:paraId="067CD41B" w14:textId="550D9C3F" w:rsidR="003F48B2" w:rsidRPr="003029EE" w:rsidRDefault="003F48B2">
      <w:pPr>
        <w:pStyle w:val="FootnoteText"/>
      </w:pPr>
      <w:r>
        <w:rPr>
          <w:rStyle w:val="FootnoteReference"/>
        </w:rPr>
        <w:footnoteRef/>
      </w:r>
      <w:r>
        <w:tab/>
      </w:r>
      <w:r>
        <w:rPr>
          <w:sz w:val="18"/>
        </w:rPr>
        <w:t xml:space="preserve">I gcás modhanna iompair seachas aer, maireann na maoluithe le haghaidh </w:t>
      </w:r>
      <w:r>
        <w:rPr>
          <w:i/>
          <w:sz w:val="18"/>
        </w:rPr>
        <w:t>Fógra Teachta, Fógra Cur i Láthair,</w:t>
      </w:r>
      <w:r>
        <w:rPr>
          <w:sz w:val="18"/>
        </w:rPr>
        <w:t xml:space="preserve"> </w:t>
      </w:r>
      <w:r>
        <w:rPr>
          <w:i/>
          <w:sz w:val="18"/>
        </w:rPr>
        <w:t>agus Stóráil Shealadach</w:t>
      </w:r>
      <w:r>
        <w:rPr>
          <w:sz w:val="18"/>
        </w:rPr>
        <w:t xml:space="preserve"> go dtí an </w:t>
      </w:r>
      <w:r w:rsidRPr="0090767E">
        <w:rPr>
          <w:sz w:val="18"/>
        </w:rPr>
        <w:t>29</w:t>
      </w:r>
      <w:r>
        <w:rPr>
          <w:sz w:val="18"/>
        </w:rPr>
        <w:t>/</w:t>
      </w:r>
      <w:r w:rsidRPr="0090767E">
        <w:rPr>
          <w:sz w:val="18"/>
        </w:rPr>
        <w:t>02</w:t>
      </w:r>
      <w:r>
        <w:rPr>
          <w:sz w:val="18"/>
        </w:rPr>
        <w:t>/</w:t>
      </w:r>
      <w:r w:rsidRPr="0090767E">
        <w:rPr>
          <w:sz w:val="18"/>
        </w:rPr>
        <w:t>2024</w:t>
      </w:r>
      <w:r>
        <w:rPr>
          <w:sz w:val="18"/>
        </w:rPr>
        <w:t>.</w:t>
      </w:r>
    </w:p>
  </w:footnote>
  <w:footnote w:id="14">
    <w:p w14:paraId="2BE65D43" w14:textId="7B12F87A" w:rsidR="00144FCD" w:rsidRPr="008027CC" w:rsidRDefault="00144FCD" w:rsidP="00144FCD">
      <w:pPr>
        <w:pStyle w:val="FootnoteText"/>
        <w:rPr>
          <w:sz w:val="18"/>
          <w:szCs w:val="18"/>
        </w:rPr>
      </w:pPr>
      <w:r>
        <w:rPr>
          <w:rStyle w:val="FootnoteReference"/>
          <w:sz w:val="18"/>
          <w:szCs w:val="18"/>
        </w:rPr>
        <w:footnoteRef/>
      </w:r>
      <w:r>
        <w:tab/>
      </w:r>
      <w:r>
        <w:rPr>
          <w:sz w:val="18"/>
        </w:rPr>
        <w:t xml:space="preserve">In Athbhreithniú Chlár Oibre Chód Custaim an Aontais </w:t>
      </w:r>
      <w:r w:rsidRPr="0090767E">
        <w:rPr>
          <w:sz w:val="18"/>
        </w:rPr>
        <w:t>2023</w:t>
      </w:r>
      <w:r>
        <w:rPr>
          <w:sz w:val="18"/>
        </w:rPr>
        <w:t xml:space="preserve">, tá sé beartaithe go n‑imscarfaidh na Ballstáit uile </w:t>
      </w:r>
      <w:r>
        <w:rPr>
          <w:i/>
          <w:sz w:val="18"/>
        </w:rPr>
        <w:t>ICS</w:t>
      </w:r>
      <w:r w:rsidRPr="0090767E">
        <w:rPr>
          <w:i/>
          <w:sz w:val="18"/>
        </w:rPr>
        <w:t>2</w:t>
      </w:r>
      <w:r>
        <w:rPr>
          <w:i/>
          <w:sz w:val="18"/>
        </w:rPr>
        <w:t xml:space="preserve"> — Eisiúint </w:t>
      </w:r>
      <w:r w:rsidRPr="0090767E">
        <w:rPr>
          <w:i/>
          <w:sz w:val="18"/>
        </w:rPr>
        <w:t>3</w:t>
      </w:r>
      <w:r>
        <w:rPr>
          <w:b/>
          <w:i/>
          <w:sz w:val="18"/>
        </w:rPr>
        <w:t xml:space="preserve"> </w:t>
      </w:r>
      <w:r>
        <w:rPr>
          <w:sz w:val="18"/>
        </w:rPr>
        <w:t xml:space="preserve">ina iomláine don </w:t>
      </w:r>
      <w:r w:rsidRPr="0090767E">
        <w:rPr>
          <w:sz w:val="18"/>
        </w:rPr>
        <w:t>03</w:t>
      </w:r>
      <w:r>
        <w:rPr>
          <w:sz w:val="18"/>
        </w:rPr>
        <w:t>/</w:t>
      </w:r>
      <w:r w:rsidRPr="0090767E">
        <w:rPr>
          <w:sz w:val="18"/>
        </w:rPr>
        <w:t>06</w:t>
      </w:r>
      <w:r>
        <w:rPr>
          <w:sz w:val="18"/>
        </w:rPr>
        <w:t>/</w:t>
      </w:r>
      <w:r w:rsidRPr="0090767E">
        <w:rPr>
          <w:sz w:val="18"/>
        </w:rPr>
        <w:t>2024</w:t>
      </w:r>
      <w:r>
        <w:rPr>
          <w:sz w:val="18"/>
        </w:rPr>
        <w:t xml:space="preserve">. Tá rolladh amach chóras </w:t>
      </w:r>
      <w:r>
        <w:rPr>
          <w:i/>
          <w:sz w:val="18"/>
        </w:rPr>
        <w:t>ICS</w:t>
      </w:r>
      <w:r w:rsidRPr="0090767E">
        <w:rPr>
          <w:i/>
          <w:sz w:val="18"/>
        </w:rPr>
        <w:t>2</w:t>
      </w:r>
      <w:r>
        <w:rPr>
          <w:i/>
          <w:sz w:val="18"/>
        </w:rPr>
        <w:t xml:space="preserve"> — Eisiúint </w:t>
      </w:r>
      <w:r w:rsidRPr="0090767E">
        <w:rPr>
          <w:i/>
          <w:sz w:val="18"/>
        </w:rPr>
        <w:t>3</w:t>
      </w:r>
      <w:r>
        <w:rPr>
          <w:b/>
          <w:i/>
          <w:sz w:val="18"/>
        </w:rPr>
        <w:t xml:space="preserve"> </w:t>
      </w:r>
      <w:r>
        <w:rPr>
          <w:sz w:val="18"/>
        </w:rPr>
        <w:t xml:space="preserve">beartaithe i dtrí chéim: Céim </w:t>
      </w:r>
      <w:r w:rsidRPr="0090767E">
        <w:rPr>
          <w:sz w:val="18"/>
        </w:rPr>
        <w:t>1</w:t>
      </w:r>
      <w:r>
        <w:rPr>
          <w:sz w:val="18"/>
        </w:rPr>
        <w:t xml:space="preserve"> maidir le hiompróirí uiscebhealaí idir mhuirí agus intíre (lena mbaineann tréimhse imscartha dar thús an </w:t>
      </w:r>
      <w:r w:rsidRPr="0090767E">
        <w:rPr>
          <w:sz w:val="18"/>
        </w:rPr>
        <w:t>03</w:t>
      </w:r>
      <w:r>
        <w:rPr>
          <w:sz w:val="18"/>
        </w:rPr>
        <w:t>/</w:t>
      </w:r>
      <w:r w:rsidRPr="0090767E">
        <w:rPr>
          <w:sz w:val="18"/>
        </w:rPr>
        <w:t>06</w:t>
      </w:r>
      <w:r>
        <w:rPr>
          <w:sz w:val="18"/>
        </w:rPr>
        <w:t>/</w:t>
      </w:r>
      <w:r w:rsidRPr="0090767E">
        <w:rPr>
          <w:sz w:val="18"/>
        </w:rPr>
        <w:t>2024</w:t>
      </w:r>
      <w:r>
        <w:rPr>
          <w:sz w:val="18"/>
        </w:rPr>
        <w:t xml:space="preserve"> agus dar críoch an </w:t>
      </w:r>
      <w:r w:rsidRPr="0090767E">
        <w:rPr>
          <w:sz w:val="18"/>
        </w:rPr>
        <w:t>04</w:t>
      </w:r>
      <w:r>
        <w:rPr>
          <w:sz w:val="18"/>
        </w:rPr>
        <w:t>/</w:t>
      </w:r>
      <w:r w:rsidRPr="0090767E">
        <w:rPr>
          <w:sz w:val="18"/>
        </w:rPr>
        <w:t>12</w:t>
      </w:r>
      <w:r>
        <w:rPr>
          <w:sz w:val="18"/>
        </w:rPr>
        <w:t>/</w:t>
      </w:r>
      <w:r w:rsidRPr="0090767E">
        <w:rPr>
          <w:sz w:val="18"/>
        </w:rPr>
        <w:t>2024</w:t>
      </w:r>
      <w:r>
        <w:rPr>
          <w:sz w:val="18"/>
        </w:rPr>
        <w:t xml:space="preserve">); Bhain Céim </w:t>
      </w:r>
      <w:r w:rsidRPr="0090767E">
        <w:rPr>
          <w:sz w:val="18"/>
        </w:rPr>
        <w:t>2</w:t>
      </w:r>
      <w:r>
        <w:rPr>
          <w:sz w:val="18"/>
        </w:rPr>
        <w:t xml:space="preserve"> le comhdaitheoirí bille ládála muirí i dtrácht na n‑uiscebhealaí idir mhuirí agus intíre (lena mbaineann tréimhse imscartha dar tús an </w:t>
      </w:r>
      <w:r w:rsidRPr="0090767E">
        <w:rPr>
          <w:sz w:val="18"/>
        </w:rPr>
        <w:t>04</w:t>
      </w:r>
      <w:r>
        <w:rPr>
          <w:sz w:val="18"/>
        </w:rPr>
        <w:t>/</w:t>
      </w:r>
      <w:r w:rsidRPr="0090767E">
        <w:rPr>
          <w:sz w:val="18"/>
        </w:rPr>
        <w:t>12</w:t>
      </w:r>
      <w:r>
        <w:rPr>
          <w:sz w:val="18"/>
        </w:rPr>
        <w:t>/</w:t>
      </w:r>
      <w:r w:rsidRPr="0090767E">
        <w:rPr>
          <w:sz w:val="18"/>
        </w:rPr>
        <w:t>2024</w:t>
      </w:r>
      <w:r>
        <w:rPr>
          <w:sz w:val="18"/>
        </w:rPr>
        <w:t xml:space="preserve"> agus dar críoch an </w:t>
      </w:r>
      <w:r w:rsidRPr="0090767E">
        <w:rPr>
          <w:sz w:val="18"/>
        </w:rPr>
        <w:t>01</w:t>
      </w:r>
      <w:r>
        <w:rPr>
          <w:sz w:val="18"/>
        </w:rPr>
        <w:t>/</w:t>
      </w:r>
      <w:r w:rsidRPr="0090767E">
        <w:rPr>
          <w:sz w:val="18"/>
        </w:rPr>
        <w:t>04</w:t>
      </w:r>
      <w:r>
        <w:rPr>
          <w:sz w:val="18"/>
        </w:rPr>
        <w:t>/</w:t>
      </w:r>
      <w:r w:rsidRPr="0090767E">
        <w:rPr>
          <w:sz w:val="18"/>
        </w:rPr>
        <w:t>2025</w:t>
      </w:r>
      <w:r>
        <w:rPr>
          <w:sz w:val="18"/>
        </w:rPr>
        <w:t xml:space="preserve">); agus Céim </w:t>
      </w:r>
      <w:r w:rsidRPr="0090767E">
        <w:rPr>
          <w:sz w:val="18"/>
        </w:rPr>
        <w:t>3</w:t>
      </w:r>
      <w:r>
        <w:rPr>
          <w:sz w:val="18"/>
        </w:rPr>
        <w:t xml:space="preserve"> maidir le hiompróirí bóthair agus iarnróid (ina bhfuil tréimhse imscartha dar tús an </w:t>
      </w:r>
      <w:r w:rsidRPr="0090767E">
        <w:rPr>
          <w:sz w:val="18"/>
        </w:rPr>
        <w:t>01</w:t>
      </w:r>
      <w:r>
        <w:rPr>
          <w:sz w:val="18"/>
        </w:rPr>
        <w:t>/</w:t>
      </w:r>
      <w:r w:rsidRPr="0090767E">
        <w:rPr>
          <w:sz w:val="18"/>
        </w:rPr>
        <w:t>04</w:t>
      </w:r>
      <w:r>
        <w:rPr>
          <w:sz w:val="18"/>
        </w:rPr>
        <w:t>/</w:t>
      </w:r>
      <w:r w:rsidRPr="0090767E">
        <w:rPr>
          <w:sz w:val="18"/>
        </w:rPr>
        <w:t>2025</w:t>
      </w:r>
      <w:r>
        <w:rPr>
          <w:sz w:val="18"/>
        </w:rPr>
        <w:t xml:space="preserve"> agus dar críoch an </w:t>
      </w:r>
      <w:r w:rsidRPr="0090767E">
        <w:rPr>
          <w:sz w:val="18"/>
        </w:rPr>
        <w:t>01</w:t>
      </w:r>
      <w:r>
        <w:rPr>
          <w:sz w:val="18"/>
        </w:rPr>
        <w:t>/</w:t>
      </w:r>
      <w:r w:rsidRPr="0090767E">
        <w:rPr>
          <w:sz w:val="18"/>
        </w:rPr>
        <w:t>09</w:t>
      </w:r>
      <w:r>
        <w:rPr>
          <w:sz w:val="18"/>
        </w:rPr>
        <w:t>/</w:t>
      </w:r>
      <w:r w:rsidRPr="0090767E">
        <w:rPr>
          <w:sz w:val="18"/>
        </w:rPr>
        <w:t>2025</w:t>
      </w:r>
      <w:r>
        <w:rPr>
          <w:sz w:val="18"/>
        </w:rPr>
        <w:t>).</w:t>
      </w:r>
    </w:p>
  </w:footnote>
  <w:footnote w:id="15">
    <w:p w14:paraId="31B6EF8A" w14:textId="45A380FF" w:rsidR="00613293" w:rsidRPr="00613293" w:rsidRDefault="00613293" w:rsidP="00613293">
      <w:pPr>
        <w:pStyle w:val="FootnoteText"/>
      </w:pPr>
      <w:r>
        <w:rPr>
          <w:rStyle w:val="FootnoteReference"/>
          <w:sz w:val="18"/>
          <w:szCs w:val="18"/>
        </w:rPr>
        <w:footnoteRef/>
      </w:r>
      <w:r>
        <w:tab/>
      </w:r>
      <w:r>
        <w:rPr>
          <w:sz w:val="18"/>
        </w:rPr>
        <w:t xml:space="preserve">San Athbhreithniú ar Chlár Oibre Chód Custaim an Aontais </w:t>
      </w:r>
      <w:r w:rsidRPr="0090767E">
        <w:rPr>
          <w:sz w:val="18"/>
        </w:rPr>
        <w:t>2023</w:t>
      </w:r>
      <w:r>
        <w:rPr>
          <w:sz w:val="18"/>
        </w:rPr>
        <w:t xml:space="preserve">, tá sé beartaithe deireadh a chur leis an tréimhse imscartha an </w:t>
      </w:r>
      <w:r w:rsidRPr="0090767E">
        <w:rPr>
          <w:sz w:val="18"/>
        </w:rPr>
        <w:t>01</w:t>
      </w:r>
      <w:r>
        <w:rPr>
          <w:sz w:val="18"/>
        </w:rPr>
        <w:t>/</w:t>
      </w:r>
      <w:r w:rsidRPr="0090767E">
        <w:rPr>
          <w:sz w:val="18"/>
        </w:rPr>
        <w:t>07</w:t>
      </w:r>
      <w:r>
        <w:rPr>
          <w:sz w:val="18"/>
        </w:rPr>
        <w:t>/</w:t>
      </w:r>
      <w:r w:rsidRPr="0090767E">
        <w:rPr>
          <w:sz w:val="18"/>
        </w:rPr>
        <w:t>2024</w:t>
      </w:r>
      <w:r>
        <w:rPr>
          <w:sz w:val="18"/>
        </w:rPr>
        <w:t>.</w:t>
      </w:r>
    </w:p>
  </w:footnote>
  <w:footnote w:id="16">
    <w:p w14:paraId="34FDB7B3" w14:textId="71F4609F" w:rsidR="00EF579B" w:rsidRPr="00EF579B" w:rsidRDefault="00EF579B" w:rsidP="00EF579B">
      <w:pPr>
        <w:pStyle w:val="FootnoteText"/>
        <w:rPr>
          <w:sz w:val="18"/>
          <w:szCs w:val="18"/>
        </w:rPr>
      </w:pPr>
      <w:r>
        <w:rPr>
          <w:rStyle w:val="FootnoteReference"/>
          <w:sz w:val="18"/>
          <w:szCs w:val="18"/>
        </w:rPr>
        <w:footnoteRef/>
      </w:r>
      <w:r>
        <w:tab/>
      </w:r>
      <w:r>
        <w:rPr>
          <w:sz w:val="18"/>
        </w:rPr>
        <w:t xml:space="preserve">San Athbhreithniú ar Chlár Oibre Chód Custaim an Aontais </w:t>
      </w:r>
      <w:r w:rsidRPr="0090767E">
        <w:rPr>
          <w:sz w:val="18"/>
        </w:rPr>
        <w:t>2023</w:t>
      </w:r>
      <w:r>
        <w:rPr>
          <w:sz w:val="18"/>
        </w:rPr>
        <w:t xml:space="preserve">, tá sé beartaithe deireadh a chur leis an tréimhse imscartha le haghaidh phríomhfheidhmiúlachtaí an chórais an </w:t>
      </w:r>
      <w:r w:rsidRPr="0090767E">
        <w:rPr>
          <w:sz w:val="18"/>
        </w:rPr>
        <w:t>01</w:t>
      </w:r>
      <w:r>
        <w:rPr>
          <w:sz w:val="18"/>
        </w:rPr>
        <w:t>/</w:t>
      </w:r>
      <w:r w:rsidRPr="0090767E">
        <w:rPr>
          <w:sz w:val="18"/>
        </w:rPr>
        <w:t>12</w:t>
      </w:r>
      <w:r>
        <w:rPr>
          <w:sz w:val="18"/>
        </w:rPr>
        <w:t>/</w:t>
      </w:r>
      <w:r w:rsidRPr="0090767E">
        <w:rPr>
          <w:sz w:val="18"/>
        </w:rPr>
        <w:t>2023</w:t>
      </w:r>
      <w:r>
        <w:rPr>
          <w:sz w:val="18"/>
        </w:rPr>
        <w:t xml:space="preserve"> agus le haghaidh na bhfeidhmiúlachtaí atá fanta an </w:t>
      </w:r>
      <w:r w:rsidRPr="0090767E">
        <w:rPr>
          <w:sz w:val="18"/>
        </w:rPr>
        <w:t>02</w:t>
      </w:r>
      <w:r>
        <w:rPr>
          <w:sz w:val="18"/>
        </w:rPr>
        <w:t>/</w:t>
      </w:r>
      <w:r w:rsidRPr="0090767E">
        <w:rPr>
          <w:sz w:val="18"/>
        </w:rPr>
        <w:t>12</w:t>
      </w:r>
      <w:r>
        <w:rPr>
          <w:sz w:val="18"/>
        </w:rPr>
        <w:t>/</w:t>
      </w:r>
      <w:r w:rsidRPr="0090767E">
        <w:rPr>
          <w:sz w:val="18"/>
        </w:rPr>
        <w:t>2024</w:t>
      </w:r>
      <w:r>
        <w:rPr>
          <w:sz w:val="18"/>
        </w:rPr>
        <w:t xml:space="preserve">.  Faoin </w:t>
      </w:r>
      <w:r w:rsidRPr="0090767E">
        <w:rPr>
          <w:sz w:val="18"/>
        </w:rPr>
        <w:t>02</w:t>
      </w:r>
      <w:r>
        <w:rPr>
          <w:sz w:val="18"/>
        </w:rPr>
        <w:t>/</w:t>
      </w:r>
      <w:r w:rsidRPr="0090767E">
        <w:rPr>
          <w:sz w:val="18"/>
        </w:rPr>
        <w:t>12</w:t>
      </w:r>
      <w:r>
        <w:rPr>
          <w:sz w:val="18"/>
        </w:rPr>
        <w:t>/</w:t>
      </w:r>
      <w:r w:rsidRPr="0090767E">
        <w:rPr>
          <w:sz w:val="18"/>
        </w:rPr>
        <w:t>2024</w:t>
      </w:r>
      <w:r>
        <w:rPr>
          <w:sz w:val="18"/>
        </w:rPr>
        <w:t xml:space="preserve">, ba cheart do na Ballstáit agus do na trádálaithe uile </w:t>
      </w:r>
      <w:r>
        <w:rPr>
          <w:i/>
          <w:sz w:val="18"/>
        </w:rPr>
        <w:t xml:space="preserve">Córas Nua Ríomhchuidithe Idirthurais – Céim </w:t>
      </w:r>
      <w:r w:rsidRPr="0090767E">
        <w:rPr>
          <w:i/>
          <w:sz w:val="18"/>
        </w:rPr>
        <w:t>5</w:t>
      </w:r>
      <w:r>
        <w:rPr>
          <w:sz w:val="18"/>
        </w:rPr>
        <w:t xml:space="preserve"> a úsáid. Tá sé beartaithe deireadh a chur leis an aistriú an </w:t>
      </w:r>
      <w:r w:rsidRPr="0090767E">
        <w:rPr>
          <w:sz w:val="18"/>
        </w:rPr>
        <w:t>21</w:t>
      </w:r>
      <w:r>
        <w:rPr>
          <w:sz w:val="18"/>
        </w:rPr>
        <w:t>/</w:t>
      </w:r>
      <w:r w:rsidRPr="0090767E">
        <w:rPr>
          <w:sz w:val="18"/>
        </w:rPr>
        <w:t>01</w:t>
      </w:r>
      <w:r>
        <w:rPr>
          <w:sz w:val="18"/>
        </w:rPr>
        <w:t>/</w:t>
      </w:r>
      <w:r w:rsidRPr="0090767E">
        <w:rPr>
          <w:sz w:val="18"/>
        </w:rPr>
        <w:t>2025</w:t>
      </w:r>
      <w:r>
        <w:rPr>
          <w:sz w:val="18"/>
        </w:rPr>
        <w:t>.</w:t>
      </w:r>
    </w:p>
  </w:footnote>
  <w:footnote w:id="17">
    <w:p w14:paraId="1AE0A113" w14:textId="716A8AA5" w:rsidR="002271FD" w:rsidRPr="00F7283D" w:rsidRDefault="002271FD" w:rsidP="002271FD">
      <w:pPr>
        <w:pStyle w:val="FootnoteText"/>
        <w:rPr>
          <w:sz w:val="18"/>
          <w:szCs w:val="18"/>
        </w:rPr>
      </w:pPr>
      <w:r>
        <w:rPr>
          <w:rStyle w:val="FootnoteReference"/>
          <w:sz w:val="18"/>
          <w:szCs w:val="18"/>
        </w:rPr>
        <w:footnoteRef/>
      </w:r>
      <w:r>
        <w:tab/>
      </w:r>
      <w:r>
        <w:rPr>
          <w:sz w:val="18"/>
        </w:rPr>
        <w:t xml:space="preserve">San Athbhreithniú ar Chlár Oibre Chód Custaim an Aontais </w:t>
      </w:r>
      <w:r w:rsidRPr="0090767E">
        <w:rPr>
          <w:sz w:val="18"/>
        </w:rPr>
        <w:t>2023</w:t>
      </w:r>
      <w:r>
        <w:rPr>
          <w:sz w:val="18"/>
        </w:rPr>
        <w:t xml:space="preserve">, tá sé beartaithe deireadh a chur leis an tréimhse imscartha le haghaidh phríomhfheidhmiúlachtaí an chórais an </w:t>
      </w:r>
      <w:r w:rsidRPr="0090767E">
        <w:rPr>
          <w:sz w:val="18"/>
        </w:rPr>
        <w:t>01</w:t>
      </w:r>
      <w:r>
        <w:rPr>
          <w:sz w:val="18"/>
        </w:rPr>
        <w:t>/</w:t>
      </w:r>
      <w:r w:rsidRPr="0090767E">
        <w:rPr>
          <w:sz w:val="18"/>
        </w:rPr>
        <w:t>12</w:t>
      </w:r>
      <w:r>
        <w:rPr>
          <w:sz w:val="18"/>
        </w:rPr>
        <w:t>/</w:t>
      </w:r>
      <w:r w:rsidRPr="0090767E">
        <w:rPr>
          <w:sz w:val="18"/>
        </w:rPr>
        <w:t>2023</w:t>
      </w:r>
      <w:r>
        <w:rPr>
          <w:sz w:val="18"/>
        </w:rPr>
        <w:t xml:space="preserve">, comhéadan comhchuibhithe a fhorbairt le EMCS don </w:t>
      </w:r>
      <w:r w:rsidRPr="0090767E">
        <w:rPr>
          <w:sz w:val="18"/>
        </w:rPr>
        <w:t>13</w:t>
      </w:r>
      <w:r>
        <w:rPr>
          <w:sz w:val="18"/>
        </w:rPr>
        <w:t>/</w:t>
      </w:r>
      <w:r w:rsidRPr="0090767E">
        <w:rPr>
          <w:sz w:val="18"/>
        </w:rPr>
        <w:t>02</w:t>
      </w:r>
      <w:r>
        <w:rPr>
          <w:sz w:val="18"/>
        </w:rPr>
        <w:t>/</w:t>
      </w:r>
      <w:r w:rsidRPr="0090767E">
        <w:rPr>
          <w:sz w:val="18"/>
        </w:rPr>
        <w:t>2024</w:t>
      </w:r>
      <w:r>
        <w:rPr>
          <w:sz w:val="18"/>
        </w:rPr>
        <w:t xml:space="preserve">, agus na feidhmiúlachtaí atá fanta don </w:t>
      </w:r>
      <w:r w:rsidRPr="0090767E">
        <w:rPr>
          <w:sz w:val="18"/>
        </w:rPr>
        <w:t>02</w:t>
      </w:r>
      <w:r>
        <w:rPr>
          <w:sz w:val="18"/>
        </w:rPr>
        <w:t>/</w:t>
      </w:r>
      <w:r w:rsidRPr="0090767E">
        <w:rPr>
          <w:sz w:val="18"/>
        </w:rPr>
        <w:t>12</w:t>
      </w:r>
      <w:r>
        <w:rPr>
          <w:sz w:val="18"/>
        </w:rPr>
        <w:t>/</w:t>
      </w:r>
      <w:r w:rsidRPr="0090767E">
        <w:rPr>
          <w:sz w:val="18"/>
        </w:rPr>
        <w:t>2024</w:t>
      </w:r>
      <w:r>
        <w:rPr>
          <w:sz w:val="18"/>
        </w:rPr>
        <w:t xml:space="preserve">.  Faoin </w:t>
      </w:r>
      <w:r w:rsidRPr="0090767E">
        <w:rPr>
          <w:sz w:val="18"/>
        </w:rPr>
        <w:t>02</w:t>
      </w:r>
      <w:r>
        <w:rPr>
          <w:sz w:val="18"/>
        </w:rPr>
        <w:t>/</w:t>
      </w:r>
      <w:r w:rsidRPr="0090767E">
        <w:rPr>
          <w:sz w:val="18"/>
        </w:rPr>
        <w:t>12</w:t>
      </w:r>
      <w:r>
        <w:rPr>
          <w:sz w:val="18"/>
        </w:rPr>
        <w:t>/</w:t>
      </w:r>
      <w:r w:rsidRPr="0090767E">
        <w:rPr>
          <w:sz w:val="18"/>
        </w:rPr>
        <w:t>2024</w:t>
      </w:r>
      <w:r>
        <w:rPr>
          <w:sz w:val="18"/>
        </w:rPr>
        <w:t xml:space="preserve">, ba cheart do na Ballstáit agus do na trádálaithe uile córas </w:t>
      </w:r>
      <w:r>
        <w:rPr>
          <w:i/>
          <w:sz w:val="18"/>
        </w:rPr>
        <w:t>AES</w:t>
      </w:r>
      <w:r>
        <w:rPr>
          <w:sz w:val="18"/>
        </w:rPr>
        <w:t xml:space="preserve"> a úsáid. Tá sé beartaithe deireadh a chur leis an aistriú an </w:t>
      </w:r>
      <w:r w:rsidRPr="0090767E">
        <w:rPr>
          <w:sz w:val="18"/>
        </w:rPr>
        <w:t>11</w:t>
      </w:r>
      <w:r>
        <w:rPr>
          <w:sz w:val="18"/>
        </w:rPr>
        <w:t>/</w:t>
      </w:r>
      <w:r w:rsidRPr="0090767E">
        <w:rPr>
          <w:sz w:val="18"/>
        </w:rPr>
        <w:t>02</w:t>
      </w:r>
      <w:r>
        <w:rPr>
          <w:sz w:val="18"/>
        </w:rPr>
        <w:t>/</w:t>
      </w:r>
      <w:r w:rsidRPr="0090767E">
        <w:rPr>
          <w:sz w:val="18"/>
        </w:rPr>
        <w:t>2025</w:t>
      </w:r>
      <w:r>
        <w:rPr>
          <w:sz w:val="18"/>
        </w:rPr>
        <w:t>.</w:t>
      </w:r>
    </w:p>
  </w:footnote>
  <w:footnote w:id="18">
    <w:p w14:paraId="7014C780" w14:textId="3C446541" w:rsidR="00F7283D" w:rsidRPr="00F7283D" w:rsidRDefault="00F7283D">
      <w:pPr>
        <w:pStyle w:val="FootnoteText"/>
      </w:pPr>
      <w:r>
        <w:rPr>
          <w:rStyle w:val="FootnoteReference"/>
          <w:sz w:val="18"/>
          <w:szCs w:val="18"/>
        </w:rPr>
        <w:footnoteRef/>
      </w:r>
      <w:r>
        <w:tab/>
      </w:r>
      <w:r>
        <w:rPr>
          <w:sz w:val="18"/>
        </w:rPr>
        <w:t xml:space="preserve">San Athbhreithniú ar Chlár Oibre Chód Custaim an Aontais </w:t>
      </w:r>
      <w:r w:rsidRPr="0090767E">
        <w:rPr>
          <w:sz w:val="18"/>
        </w:rPr>
        <w:t>2023</w:t>
      </w:r>
      <w:r>
        <w:rPr>
          <w:sz w:val="18"/>
        </w:rPr>
        <w:t xml:space="preserve">, i gcás </w:t>
      </w:r>
      <w:r>
        <w:rPr>
          <w:i/>
          <w:sz w:val="18"/>
        </w:rPr>
        <w:t xml:space="preserve">GUM — Comhpháirt </w:t>
      </w:r>
      <w:r w:rsidRPr="0090767E">
        <w:rPr>
          <w:i/>
          <w:sz w:val="18"/>
        </w:rPr>
        <w:t>1</w:t>
      </w:r>
      <w:r>
        <w:rPr>
          <w:sz w:val="18"/>
        </w:rPr>
        <w:t xml:space="preserve">, tá sé beartaithe go mbeidh an dáta imscartha an </w:t>
      </w:r>
      <w:r w:rsidRPr="0090767E">
        <w:rPr>
          <w:sz w:val="18"/>
        </w:rPr>
        <w:t>11</w:t>
      </w:r>
      <w:r>
        <w:rPr>
          <w:sz w:val="18"/>
        </w:rPr>
        <w:t>/</w:t>
      </w:r>
      <w:r w:rsidRPr="0090767E">
        <w:rPr>
          <w:sz w:val="18"/>
        </w:rPr>
        <w:t>03</w:t>
      </w:r>
      <w:r>
        <w:rPr>
          <w:sz w:val="18"/>
        </w:rPr>
        <w:t>/</w:t>
      </w:r>
      <w:r w:rsidRPr="0090767E">
        <w:rPr>
          <w:sz w:val="18"/>
        </w:rPr>
        <w:t>2024</w:t>
      </w:r>
      <w:r>
        <w:rPr>
          <w:sz w:val="18"/>
        </w:rPr>
        <w:t xml:space="preserve"> agus, i gcás GUM — </w:t>
      </w:r>
      <w:r>
        <w:rPr>
          <w:i/>
          <w:sz w:val="18"/>
        </w:rPr>
        <w:t xml:space="preserve">Comhpháirt </w:t>
      </w:r>
      <w:r w:rsidRPr="0090767E">
        <w:rPr>
          <w:i/>
          <w:sz w:val="18"/>
        </w:rPr>
        <w:t>2</w:t>
      </w:r>
      <w:r>
        <w:rPr>
          <w:sz w:val="18"/>
        </w:rPr>
        <w:t xml:space="preserve">, tá tús na tréimhse imscartha le sainiú ag na Ballstáit, agus is é an </w:t>
      </w:r>
      <w:r w:rsidRPr="0090767E">
        <w:rPr>
          <w:sz w:val="18"/>
        </w:rPr>
        <w:t>11</w:t>
      </w:r>
      <w:r>
        <w:rPr>
          <w:sz w:val="18"/>
        </w:rPr>
        <w:t>/</w:t>
      </w:r>
      <w:r w:rsidRPr="0090767E">
        <w:rPr>
          <w:sz w:val="18"/>
        </w:rPr>
        <w:t>03</w:t>
      </w:r>
      <w:r>
        <w:rPr>
          <w:sz w:val="18"/>
        </w:rPr>
        <w:t>/</w:t>
      </w:r>
      <w:r w:rsidRPr="0090767E">
        <w:rPr>
          <w:sz w:val="18"/>
        </w:rPr>
        <w:t>2024</w:t>
      </w:r>
      <w:r>
        <w:rPr>
          <w:sz w:val="18"/>
        </w:rPr>
        <w:t xml:space="preserve"> an dáta imscartha is luaithe is féidir.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8F2A" w14:textId="77777777" w:rsidR="009421A6" w:rsidRPr="009421A6" w:rsidRDefault="009421A6" w:rsidP="009421A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9889" w14:textId="77777777" w:rsidR="009421A6" w:rsidRPr="009421A6" w:rsidRDefault="009421A6" w:rsidP="009421A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8021" w14:textId="77777777" w:rsidR="009421A6" w:rsidRPr="009421A6" w:rsidRDefault="009421A6" w:rsidP="009421A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3982" w14:textId="77777777" w:rsidR="008411A2" w:rsidRDefault="008411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16C98" w14:textId="77777777" w:rsidR="008411A2" w:rsidRDefault="008411A2">
    <w:pPr>
      <w:pStyle w:val="Header"/>
      <w:jc w:val="right"/>
    </w:pPr>
  </w:p>
  <w:p w14:paraId="17CFE30E" w14:textId="77777777" w:rsidR="008411A2" w:rsidRDefault="008411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A7C" w14:textId="77777777" w:rsidR="008411A2" w:rsidRDefault="008411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39A5" w14:textId="77777777" w:rsidR="00035637" w:rsidRDefault="00035637">
    <w:pPr>
      <w:pStyle w:val="Header"/>
      <w:jc w:val="right"/>
    </w:pPr>
  </w:p>
  <w:p w14:paraId="06B51EAD" w14:textId="77777777" w:rsidR="00035637" w:rsidRDefault="00035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E2D"/>
    <w:multiLevelType w:val="hybridMultilevel"/>
    <w:tmpl w:val="5B96233E"/>
    <w:lvl w:ilvl="0" w:tplc="C632196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573AA6"/>
    <w:multiLevelType w:val="hybridMultilevel"/>
    <w:tmpl w:val="645A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827D5"/>
    <w:multiLevelType w:val="hybridMultilevel"/>
    <w:tmpl w:val="A5F050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97518"/>
    <w:multiLevelType w:val="hybridMultilevel"/>
    <w:tmpl w:val="0CC2B526"/>
    <w:lvl w:ilvl="0" w:tplc="9AF8BE3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D34622"/>
    <w:multiLevelType w:val="hybridMultilevel"/>
    <w:tmpl w:val="81AAC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69402D"/>
    <w:multiLevelType w:val="multilevel"/>
    <w:tmpl w:val="F0EC1FEA"/>
    <w:lvl w:ilvl="0">
      <w:start w:val="1"/>
      <w:numFmt w:val="decimal"/>
      <w:lvlText w:val="%1)"/>
      <w:lvlJc w:val="left"/>
      <w:pPr>
        <w:ind w:left="1353" w:hanging="588"/>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7B3E2D"/>
    <w:multiLevelType w:val="hybridMultilevel"/>
    <w:tmpl w:val="2C66AA9C"/>
    <w:lvl w:ilvl="0" w:tplc="9CA4E6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F0420C2"/>
    <w:multiLevelType w:val="multilevel"/>
    <w:tmpl w:val="F1B6937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9766B2"/>
    <w:multiLevelType w:val="hybridMultilevel"/>
    <w:tmpl w:val="ADD8BE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7BB5E43"/>
    <w:multiLevelType w:val="hybridMultilevel"/>
    <w:tmpl w:val="E67CC3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9A4D80E"/>
    <w:multiLevelType w:val="hybridMultilevel"/>
    <w:tmpl w:val="FFFFFFFF"/>
    <w:lvl w:ilvl="0" w:tplc="19344AAE">
      <w:start w:val="1"/>
      <w:numFmt w:val="bullet"/>
      <w:lvlText w:val=""/>
      <w:lvlJc w:val="left"/>
      <w:pPr>
        <w:ind w:left="1712" w:hanging="360"/>
      </w:pPr>
      <w:rPr>
        <w:rFonts w:ascii="Symbol" w:hAnsi="Symbol" w:hint="default"/>
      </w:rPr>
    </w:lvl>
    <w:lvl w:ilvl="1" w:tplc="4414053C">
      <w:start w:val="1"/>
      <w:numFmt w:val="bullet"/>
      <w:lvlText w:val=""/>
      <w:lvlJc w:val="left"/>
      <w:pPr>
        <w:ind w:left="2432" w:hanging="360"/>
      </w:pPr>
      <w:rPr>
        <w:rFonts w:ascii="Symbol" w:hAnsi="Symbol" w:hint="default"/>
      </w:rPr>
    </w:lvl>
    <w:lvl w:ilvl="2" w:tplc="2312C5B6">
      <w:start w:val="1"/>
      <w:numFmt w:val="bullet"/>
      <w:lvlText w:val=""/>
      <w:lvlJc w:val="left"/>
      <w:pPr>
        <w:ind w:left="3152" w:hanging="360"/>
      </w:pPr>
      <w:rPr>
        <w:rFonts w:ascii="Wingdings" w:hAnsi="Wingdings" w:hint="default"/>
      </w:rPr>
    </w:lvl>
    <w:lvl w:ilvl="3" w:tplc="5BDA1E08">
      <w:start w:val="1"/>
      <w:numFmt w:val="bullet"/>
      <w:lvlText w:val=""/>
      <w:lvlJc w:val="left"/>
      <w:pPr>
        <w:ind w:left="3872" w:hanging="360"/>
      </w:pPr>
      <w:rPr>
        <w:rFonts w:ascii="Symbol" w:hAnsi="Symbol" w:hint="default"/>
      </w:rPr>
    </w:lvl>
    <w:lvl w:ilvl="4" w:tplc="6C0A59EC">
      <w:start w:val="1"/>
      <w:numFmt w:val="bullet"/>
      <w:lvlText w:val="o"/>
      <w:lvlJc w:val="left"/>
      <w:pPr>
        <w:ind w:left="4592" w:hanging="360"/>
      </w:pPr>
      <w:rPr>
        <w:rFonts w:ascii="Courier New" w:hAnsi="Courier New" w:hint="default"/>
      </w:rPr>
    </w:lvl>
    <w:lvl w:ilvl="5" w:tplc="3348E282">
      <w:start w:val="1"/>
      <w:numFmt w:val="bullet"/>
      <w:lvlText w:val=""/>
      <w:lvlJc w:val="left"/>
      <w:pPr>
        <w:ind w:left="5312" w:hanging="360"/>
      </w:pPr>
      <w:rPr>
        <w:rFonts w:ascii="Wingdings" w:hAnsi="Wingdings" w:hint="default"/>
      </w:rPr>
    </w:lvl>
    <w:lvl w:ilvl="6" w:tplc="55784C9C">
      <w:start w:val="1"/>
      <w:numFmt w:val="bullet"/>
      <w:lvlText w:val=""/>
      <w:lvlJc w:val="left"/>
      <w:pPr>
        <w:ind w:left="6032" w:hanging="360"/>
      </w:pPr>
      <w:rPr>
        <w:rFonts w:ascii="Symbol" w:hAnsi="Symbol" w:hint="default"/>
      </w:rPr>
    </w:lvl>
    <w:lvl w:ilvl="7" w:tplc="9384BBFE">
      <w:start w:val="1"/>
      <w:numFmt w:val="bullet"/>
      <w:lvlText w:val="o"/>
      <w:lvlJc w:val="left"/>
      <w:pPr>
        <w:ind w:left="6752" w:hanging="360"/>
      </w:pPr>
      <w:rPr>
        <w:rFonts w:ascii="Courier New" w:hAnsi="Courier New" w:hint="default"/>
      </w:rPr>
    </w:lvl>
    <w:lvl w:ilvl="8" w:tplc="7160D6DA">
      <w:start w:val="1"/>
      <w:numFmt w:val="bullet"/>
      <w:lvlText w:val=""/>
      <w:lvlJc w:val="left"/>
      <w:pPr>
        <w:ind w:left="7472" w:hanging="360"/>
      </w:pPr>
      <w:rPr>
        <w:rFonts w:ascii="Wingdings" w:hAnsi="Wingdings" w:hint="default"/>
      </w:rPr>
    </w:lvl>
  </w:abstractNum>
  <w:abstractNum w:abstractNumId="12" w15:restartNumberingAfterBreak="0">
    <w:nsid w:val="2A58276B"/>
    <w:multiLevelType w:val="hybridMultilevel"/>
    <w:tmpl w:val="DB389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3BB26A"/>
    <w:multiLevelType w:val="hybridMultilevel"/>
    <w:tmpl w:val="AF4EBE0C"/>
    <w:lvl w:ilvl="0" w:tplc="6FF20DC4">
      <w:start w:val="1"/>
      <w:numFmt w:val="decimal"/>
      <w:lvlText w:val="%1."/>
      <w:lvlJc w:val="left"/>
      <w:pPr>
        <w:ind w:left="720" w:hanging="360"/>
      </w:pPr>
    </w:lvl>
    <w:lvl w:ilvl="1" w:tplc="7474F25C">
      <w:start w:val="1"/>
      <w:numFmt w:val="lowerLetter"/>
      <w:lvlText w:val="%2."/>
      <w:lvlJc w:val="left"/>
      <w:pPr>
        <w:ind w:left="1440" w:hanging="360"/>
      </w:pPr>
    </w:lvl>
    <w:lvl w:ilvl="2" w:tplc="351CDE6C">
      <w:start w:val="1"/>
      <w:numFmt w:val="lowerRoman"/>
      <w:lvlText w:val="%3."/>
      <w:lvlJc w:val="right"/>
      <w:pPr>
        <w:ind w:left="2160" w:hanging="180"/>
      </w:pPr>
    </w:lvl>
    <w:lvl w:ilvl="3" w:tplc="9476FBF8">
      <w:start w:val="1"/>
      <w:numFmt w:val="decimal"/>
      <w:lvlText w:val="%4."/>
      <w:lvlJc w:val="left"/>
      <w:pPr>
        <w:ind w:left="2880" w:hanging="360"/>
      </w:pPr>
    </w:lvl>
    <w:lvl w:ilvl="4" w:tplc="EB5CD69A">
      <w:start w:val="1"/>
      <w:numFmt w:val="lowerLetter"/>
      <w:lvlText w:val="%5."/>
      <w:lvlJc w:val="left"/>
      <w:pPr>
        <w:ind w:left="3600" w:hanging="360"/>
      </w:pPr>
    </w:lvl>
    <w:lvl w:ilvl="5" w:tplc="527E262E">
      <w:start w:val="1"/>
      <w:numFmt w:val="lowerRoman"/>
      <w:lvlText w:val="%6."/>
      <w:lvlJc w:val="right"/>
      <w:pPr>
        <w:ind w:left="4320" w:hanging="180"/>
      </w:pPr>
    </w:lvl>
    <w:lvl w:ilvl="6" w:tplc="3AAE9FE6">
      <w:start w:val="1"/>
      <w:numFmt w:val="decimal"/>
      <w:lvlText w:val="%7."/>
      <w:lvlJc w:val="left"/>
      <w:pPr>
        <w:ind w:left="5040" w:hanging="360"/>
      </w:pPr>
    </w:lvl>
    <w:lvl w:ilvl="7" w:tplc="E2F46932">
      <w:start w:val="1"/>
      <w:numFmt w:val="lowerLetter"/>
      <w:lvlText w:val="%8."/>
      <w:lvlJc w:val="left"/>
      <w:pPr>
        <w:ind w:left="5760" w:hanging="360"/>
      </w:pPr>
    </w:lvl>
    <w:lvl w:ilvl="8" w:tplc="2E2CA80E">
      <w:start w:val="1"/>
      <w:numFmt w:val="lowerRoman"/>
      <w:lvlText w:val="%9."/>
      <w:lvlJc w:val="right"/>
      <w:pPr>
        <w:ind w:left="6480" w:hanging="180"/>
      </w:pPr>
    </w:lvl>
  </w:abstractNum>
  <w:abstractNum w:abstractNumId="14" w15:restartNumberingAfterBreak="0">
    <w:nsid w:val="2FF50F05"/>
    <w:multiLevelType w:val="multilevel"/>
    <w:tmpl w:val="F1E6A550"/>
    <w:lvl w:ilvl="0">
      <w:start w:val="1"/>
      <w:numFmt w:val="decimal"/>
      <w:lvlText w:val="%1."/>
      <w:lvlJc w:val="left"/>
      <w:pPr>
        <w:ind w:left="720" w:hanging="360"/>
      </w:pPr>
      <w:rPr>
        <w:rFonts w:hint="default"/>
        <w:b/>
        <w:bCs/>
      </w:rPr>
    </w:lvl>
    <w:lvl w:ilvl="1">
      <w:start w:val="1"/>
      <w:numFmt w:val="decimal"/>
      <w:isLgl/>
      <w:lvlText w:val="%1.%2"/>
      <w:lvlJc w:val="left"/>
      <w:pPr>
        <w:ind w:left="43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lang w:val="en-G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0C33545"/>
    <w:multiLevelType w:val="hybridMultilevel"/>
    <w:tmpl w:val="989E59D6"/>
    <w:lvl w:ilvl="0" w:tplc="D2F214E2">
      <w:start w:val="1"/>
      <w:numFmt w:val="bullet"/>
      <w:lvlText w:val=""/>
      <w:lvlJc w:val="left"/>
      <w:pPr>
        <w:ind w:left="720" w:hanging="360"/>
      </w:pPr>
      <w:rPr>
        <w:rFonts w:ascii="Wingdings" w:hAnsi="Wingdings" w:hint="default"/>
      </w:rPr>
    </w:lvl>
    <w:lvl w:ilvl="1" w:tplc="93BE45C2">
      <w:start w:val="1"/>
      <w:numFmt w:val="bullet"/>
      <w:lvlText w:val=""/>
      <w:lvlJc w:val="left"/>
      <w:pPr>
        <w:ind w:left="1440" w:hanging="360"/>
      </w:pPr>
      <w:rPr>
        <w:rFonts w:ascii="Wingdings" w:hAnsi="Wingdings" w:hint="default"/>
      </w:rPr>
    </w:lvl>
    <w:lvl w:ilvl="2" w:tplc="A4D4FAA2">
      <w:start w:val="1"/>
      <w:numFmt w:val="bullet"/>
      <w:lvlText w:val=""/>
      <w:lvlJc w:val="left"/>
      <w:pPr>
        <w:ind w:left="2160" w:hanging="360"/>
      </w:pPr>
      <w:rPr>
        <w:rFonts w:ascii="Wingdings" w:hAnsi="Wingdings" w:hint="default"/>
      </w:rPr>
    </w:lvl>
    <w:lvl w:ilvl="3" w:tplc="BAE80BDE">
      <w:start w:val="1"/>
      <w:numFmt w:val="bullet"/>
      <w:lvlText w:val=""/>
      <w:lvlJc w:val="left"/>
      <w:pPr>
        <w:ind w:left="2880" w:hanging="360"/>
      </w:pPr>
      <w:rPr>
        <w:rFonts w:ascii="Wingdings" w:hAnsi="Wingdings" w:hint="default"/>
      </w:rPr>
    </w:lvl>
    <w:lvl w:ilvl="4" w:tplc="AED6C120">
      <w:start w:val="1"/>
      <w:numFmt w:val="bullet"/>
      <w:lvlText w:val=""/>
      <w:lvlJc w:val="left"/>
      <w:pPr>
        <w:ind w:left="3600" w:hanging="360"/>
      </w:pPr>
      <w:rPr>
        <w:rFonts w:ascii="Wingdings" w:hAnsi="Wingdings" w:hint="default"/>
      </w:rPr>
    </w:lvl>
    <w:lvl w:ilvl="5" w:tplc="5EDEE5A8">
      <w:start w:val="1"/>
      <w:numFmt w:val="bullet"/>
      <w:lvlText w:val=""/>
      <w:lvlJc w:val="left"/>
      <w:pPr>
        <w:ind w:left="4320" w:hanging="360"/>
      </w:pPr>
      <w:rPr>
        <w:rFonts w:ascii="Wingdings" w:hAnsi="Wingdings" w:hint="default"/>
      </w:rPr>
    </w:lvl>
    <w:lvl w:ilvl="6" w:tplc="F542ACC6">
      <w:start w:val="1"/>
      <w:numFmt w:val="bullet"/>
      <w:lvlText w:val=""/>
      <w:lvlJc w:val="left"/>
      <w:pPr>
        <w:ind w:left="5040" w:hanging="360"/>
      </w:pPr>
      <w:rPr>
        <w:rFonts w:ascii="Wingdings" w:hAnsi="Wingdings" w:hint="default"/>
      </w:rPr>
    </w:lvl>
    <w:lvl w:ilvl="7" w:tplc="B538AD26">
      <w:start w:val="1"/>
      <w:numFmt w:val="bullet"/>
      <w:lvlText w:val=""/>
      <w:lvlJc w:val="left"/>
      <w:pPr>
        <w:ind w:left="5760" w:hanging="360"/>
      </w:pPr>
      <w:rPr>
        <w:rFonts w:ascii="Wingdings" w:hAnsi="Wingdings" w:hint="default"/>
      </w:rPr>
    </w:lvl>
    <w:lvl w:ilvl="8" w:tplc="40CC4D64">
      <w:start w:val="1"/>
      <w:numFmt w:val="bullet"/>
      <w:lvlText w:val=""/>
      <w:lvlJc w:val="left"/>
      <w:pPr>
        <w:ind w:left="6480" w:hanging="360"/>
      </w:pPr>
      <w:rPr>
        <w:rFonts w:ascii="Wingdings" w:hAnsi="Wingdings" w:hint="default"/>
      </w:rPr>
    </w:lvl>
  </w:abstractNum>
  <w:abstractNum w:abstractNumId="16"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7" w15:restartNumberingAfterBreak="0">
    <w:nsid w:val="45B57C14"/>
    <w:multiLevelType w:val="hybridMultilevel"/>
    <w:tmpl w:val="A0C8B7D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8" w15:restartNumberingAfterBreak="0">
    <w:nsid w:val="4E833D53"/>
    <w:multiLevelType w:val="multilevel"/>
    <w:tmpl w:val="9BC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970F9"/>
    <w:multiLevelType w:val="hybridMultilevel"/>
    <w:tmpl w:val="C1BAB6DC"/>
    <w:lvl w:ilvl="0" w:tplc="831ADB70">
      <w:start w:val="1"/>
      <w:numFmt w:val="bullet"/>
      <w:lvlText w:val="•"/>
      <w:lvlJc w:val="left"/>
      <w:pPr>
        <w:tabs>
          <w:tab w:val="num" w:pos="720"/>
        </w:tabs>
        <w:ind w:left="720" w:hanging="360"/>
      </w:pPr>
      <w:rPr>
        <w:rFonts w:ascii="Arial" w:hAnsi="Arial" w:hint="default"/>
      </w:rPr>
    </w:lvl>
    <w:lvl w:ilvl="1" w:tplc="DE68F382">
      <w:numFmt w:val="bullet"/>
      <w:lvlText w:val="•"/>
      <w:lvlJc w:val="left"/>
      <w:pPr>
        <w:tabs>
          <w:tab w:val="num" w:pos="1440"/>
        </w:tabs>
        <w:ind w:left="1440" w:hanging="360"/>
      </w:pPr>
      <w:rPr>
        <w:rFonts w:ascii="Arial" w:hAnsi="Arial" w:hint="default"/>
      </w:rPr>
    </w:lvl>
    <w:lvl w:ilvl="2" w:tplc="6D689F92" w:tentative="1">
      <w:start w:val="1"/>
      <w:numFmt w:val="bullet"/>
      <w:lvlText w:val="•"/>
      <w:lvlJc w:val="left"/>
      <w:pPr>
        <w:tabs>
          <w:tab w:val="num" w:pos="2160"/>
        </w:tabs>
        <w:ind w:left="2160" w:hanging="360"/>
      </w:pPr>
      <w:rPr>
        <w:rFonts w:ascii="Arial" w:hAnsi="Arial" w:hint="default"/>
      </w:rPr>
    </w:lvl>
    <w:lvl w:ilvl="3" w:tplc="4F4A3D68" w:tentative="1">
      <w:start w:val="1"/>
      <w:numFmt w:val="bullet"/>
      <w:lvlText w:val="•"/>
      <w:lvlJc w:val="left"/>
      <w:pPr>
        <w:tabs>
          <w:tab w:val="num" w:pos="2880"/>
        </w:tabs>
        <w:ind w:left="2880" w:hanging="360"/>
      </w:pPr>
      <w:rPr>
        <w:rFonts w:ascii="Arial" w:hAnsi="Arial" w:hint="default"/>
      </w:rPr>
    </w:lvl>
    <w:lvl w:ilvl="4" w:tplc="45EAB922" w:tentative="1">
      <w:start w:val="1"/>
      <w:numFmt w:val="bullet"/>
      <w:lvlText w:val="•"/>
      <w:lvlJc w:val="left"/>
      <w:pPr>
        <w:tabs>
          <w:tab w:val="num" w:pos="3600"/>
        </w:tabs>
        <w:ind w:left="3600" w:hanging="360"/>
      </w:pPr>
      <w:rPr>
        <w:rFonts w:ascii="Arial" w:hAnsi="Arial" w:hint="default"/>
      </w:rPr>
    </w:lvl>
    <w:lvl w:ilvl="5" w:tplc="E5C8C0CC" w:tentative="1">
      <w:start w:val="1"/>
      <w:numFmt w:val="bullet"/>
      <w:lvlText w:val="•"/>
      <w:lvlJc w:val="left"/>
      <w:pPr>
        <w:tabs>
          <w:tab w:val="num" w:pos="4320"/>
        </w:tabs>
        <w:ind w:left="4320" w:hanging="360"/>
      </w:pPr>
      <w:rPr>
        <w:rFonts w:ascii="Arial" w:hAnsi="Arial" w:hint="default"/>
      </w:rPr>
    </w:lvl>
    <w:lvl w:ilvl="6" w:tplc="08ECBF54" w:tentative="1">
      <w:start w:val="1"/>
      <w:numFmt w:val="bullet"/>
      <w:lvlText w:val="•"/>
      <w:lvlJc w:val="left"/>
      <w:pPr>
        <w:tabs>
          <w:tab w:val="num" w:pos="5040"/>
        </w:tabs>
        <w:ind w:left="5040" w:hanging="360"/>
      </w:pPr>
      <w:rPr>
        <w:rFonts w:ascii="Arial" w:hAnsi="Arial" w:hint="default"/>
      </w:rPr>
    </w:lvl>
    <w:lvl w:ilvl="7" w:tplc="A830B4BC" w:tentative="1">
      <w:start w:val="1"/>
      <w:numFmt w:val="bullet"/>
      <w:lvlText w:val="•"/>
      <w:lvlJc w:val="left"/>
      <w:pPr>
        <w:tabs>
          <w:tab w:val="num" w:pos="5760"/>
        </w:tabs>
        <w:ind w:left="5760" w:hanging="360"/>
      </w:pPr>
      <w:rPr>
        <w:rFonts w:ascii="Arial" w:hAnsi="Arial" w:hint="default"/>
      </w:rPr>
    </w:lvl>
    <w:lvl w:ilvl="8" w:tplc="018249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FF5A0C"/>
    <w:multiLevelType w:val="hybridMultilevel"/>
    <w:tmpl w:val="DF16F34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59CF22B3"/>
    <w:multiLevelType w:val="hybridMultilevel"/>
    <w:tmpl w:val="CAC0C4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88" w:hanging="708"/>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F2CA7"/>
    <w:multiLevelType w:val="hybridMultilevel"/>
    <w:tmpl w:val="7E38A4B4"/>
    <w:lvl w:ilvl="0" w:tplc="1B48FE94">
      <w:start w:val="1"/>
      <w:numFmt w:val="bullet"/>
      <w:lvlText w:val=""/>
      <w:lvlJc w:val="left"/>
      <w:pPr>
        <w:tabs>
          <w:tab w:val="num" w:pos="720"/>
        </w:tabs>
        <w:ind w:left="720" w:hanging="360"/>
      </w:pPr>
      <w:rPr>
        <w:rFonts w:ascii="Wingdings" w:hAnsi="Wingdings" w:hint="default"/>
      </w:rPr>
    </w:lvl>
    <w:lvl w:ilvl="1" w:tplc="03289864">
      <w:numFmt w:val="bullet"/>
      <w:lvlText w:val=""/>
      <w:lvlJc w:val="left"/>
      <w:pPr>
        <w:tabs>
          <w:tab w:val="num" w:pos="1440"/>
        </w:tabs>
        <w:ind w:left="1440" w:hanging="360"/>
      </w:pPr>
      <w:rPr>
        <w:rFonts w:ascii="Wingdings" w:hAnsi="Wingdings" w:hint="default"/>
      </w:rPr>
    </w:lvl>
    <w:lvl w:ilvl="2" w:tplc="AC744BC0">
      <w:start w:val="1"/>
      <w:numFmt w:val="bullet"/>
      <w:lvlText w:val=""/>
      <w:lvlJc w:val="left"/>
      <w:pPr>
        <w:tabs>
          <w:tab w:val="num" w:pos="2160"/>
        </w:tabs>
        <w:ind w:left="2160" w:hanging="360"/>
      </w:pPr>
      <w:rPr>
        <w:rFonts w:ascii="Wingdings" w:hAnsi="Wingdings" w:hint="default"/>
      </w:rPr>
    </w:lvl>
    <w:lvl w:ilvl="3" w:tplc="92E0493A" w:tentative="1">
      <w:start w:val="1"/>
      <w:numFmt w:val="bullet"/>
      <w:lvlText w:val=""/>
      <w:lvlJc w:val="left"/>
      <w:pPr>
        <w:tabs>
          <w:tab w:val="num" w:pos="2880"/>
        </w:tabs>
        <w:ind w:left="2880" w:hanging="360"/>
      </w:pPr>
      <w:rPr>
        <w:rFonts w:ascii="Wingdings" w:hAnsi="Wingdings" w:hint="default"/>
      </w:rPr>
    </w:lvl>
    <w:lvl w:ilvl="4" w:tplc="894EE6FC" w:tentative="1">
      <w:start w:val="1"/>
      <w:numFmt w:val="bullet"/>
      <w:lvlText w:val=""/>
      <w:lvlJc w:val="left"/>
      <w:pPr>
        <w:tabs>
          <w:tab w:val="num" w:pos="3600"/>
        </w:tabs>
        <w:ind w:left="3600" w:hanging="360"/>
      </w:pPr>
      <w:rPr>
        <w:rFonts w:ascii="Wingdings" w:hAnsi="Wingdings" w:hint="default"/>
      </w:rPr>
    </w:lvl>
    <w:lvl w:ilvl="5" w:tplc="D72E7BCE" w:tentative="1">
      <w:start w:val="1"/>
      <w:numFmt w:val="bullet"/>
      <w:lvlText w:val=""/>
      <w:lvlJc w:val="left"/>
      <w:pPr>
        <w:tabs>
          <w:tab w:val="num" w:pos="4320"/>
        </w:tabs>
        <w:ind w:left="4320" w:hanging="360"/>
      </w:pPr>
      <w:rPr>
        <w:rFonts w:ascii="Wingdings" w:hAnsi="Wingdings" w:hint="default"/>
      </w:rPr>
    </w:lvl>
    <w:lvl w:ilvl="6" w:tplc="1CA42984" w:tentative="1">
      <w:start w:val="1"/>
      <w:numFmt w:val="bullet"/>
      <w:lvlText w:val=""/>
      <w:lvlJc w:val="left"/>
      <w:pPr>
        <w:tabs>
          <w:tab w:val="num" w:pos="5040"/>
        </w:tabs>
        <w:ind w:left="5040" w:hanging="360"/>
      </w:pPr>
      <w:rPr>
        <w:rFonts w:ascii="Wingdings" w:hAnsi="Wingdings" w:hint="default"/>
      </w:rPr>
    </w:lvl>
    <w:lvl w:ilvl="7" w:tplc="F5EAC1AC" w:tentative="1">
      <w:start w:val="1"/>
      <w:numFmt w:val="bullet"/>
      <w:lvlText w:val=""/>
      <w:lvlJc w:val="left"/>
      <w:pPr>
        <w:tabs>
          <w:tab w:val="num" w:pos="5760"/>
        </w:tabs>
        <w:ind w:left="5760" w:hanging="360"/>
      </w:pPr>
      <w:rPr>
        <w:rFonts w:ascii="Wingdings" w:hAnsi="Wingdings" w:hint="default"/>
      </w:rPr>
    </w:lvl>
    <w:lvl w:ilvl="8" w:tplc="58EA7E8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E3227"/>
    <w:multiLevelType w:val="hybridMultilevel"/>
    <w:tmpl w:val="71985946"/>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AAA58B2"/>
    <w:multiLevelType w:val="hybridMultilevel"/>
    <w:tmpl w:val="38D247EE"/>
    <w:lvl w:ilvl="0" w:tplc="DC3A21C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5EC3D0D"/>
    <w:multiLevelType w:val="hybridMultilevel"/>
    <w:tmpl w:val="C128D570"/>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6004026"/>
    <w:multiLevelType w:val="hybridMultilevel"/>
    <w:tmpl w:val="483690B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7" w15:restartNumberingAfterBreak="0">
    <w:nsid w:val="76B01AF3"/>
    <w:multiLevelType w:val="hybridMultilevel"/>
    <w:tmpl w:val="D4766C1A"/>
    <w:lvl w:ilvl="0" w:tplc="ABC63B78">
      <w:start w:val="1"/>
      <w:numFmt w:val="decimal"/>
      <w:lvlText w:val="%1."/>
      <w:lvlJc w:val="left"/>
      <w:pPr>
        <w:ind w:left="720" w:hanging="360"/>
      </w:pPr>
    </w:lvl>
    <w:lvl w:ilvl="1" w:tplc="BAFCE7D0">
      <w:start w:val="1"/>
      <w:numFmt w:val="lowerLetter"/>
      <w:lvlText w:val="%2."/>
      <w:lvlJc w:val="left"/>
      <w:pPr>
        <w:ind w:left="1440" w:hanging="360"/>
      </w:pPr>
    </w:lvl>
    <w:lvl w:ilvl="2" w:tplc="B1906FBC">
      <w:start w:val="1"/>
      <w:numFmt w:val="lowerRoman"/>
      <w:lvlText w:val="%3."/>
      <w:lvlJc w:val="right"/>
      <w:pPr>
        <w:ind w:left="2160" w:hanging="180"/>
      </w:pPr>
    </w:lvl>
    <w:lvl w:ilvl="3" w:tplc="FA30BB0E">
      <w:start w:val="1"/>
      <w:numFmt w:val="decimal"/>
      <w:lvlText w:val="%4."/>
      <w:lvlJc w:val="left"/>
      <w:pPr>
        <w:ind w:left="2880" w:hanging="360"/>
      </w:pPr>
    </w:lvl>
    <w:lvl w:ilvl="4" w:tplc="85F473AC">
      <w:start w:val="1"/>
      <w:numFmt w:val="lowerLetter"/>
      <w:lvlText w:val="%5."/>
      <w:lvlJc w:val="left"/>
      <w:pPr>
        <w:ind w:left="3600" w:hanging="360"/>
      </w:pPr>
    </w:lvl>
    <w:lvl w:ilvl="5" w:tplc="011A90E0">
      <w:start w:val="1"/>
      <w:numFmt w:val="lowerRoman"/>
      <w:lvlText w:val="%6."/>
      <w:lvlJc w:val="right"/>
      <w:pPr>
        <w:ind w:left="4320" w:hanging="180"/>
      </w:pPr>
    </w:lvl>
    <w:lvl w:ilvl="6" w:tplc="43DA5DE6">
      <w:start w:val="1"/>
      <w:numFmt w:val="decimal"/>
      <w:lvlText w:val="%7."/>
      <w:lvlJc w:val="left"/>
      <w:pPr>
        <w:ind w:left="5040" w:hanging="360"/>
      </w:pPr>
    </w:lvl>
    <w:lvl w:ilvl="7" w:tplc="BC56B82E">
      <w:start w:val="1"/>
      <w:numFmt w:val="lowerLetter"/>
      <w:lvlText w:val="%8."/>
      <w:lvlJc w:val="left"/>
      <w:pPr>
        <w:ind w:left="5760" w:hanging="360"/>
      </w:pPr>
    </w:lvl>
    <w:lvl w:ilvl="8" w:tplc="63BE0D3C">
      <w:start w:val="1"/>
      <w:numFmt w:val="lowerRoman"/>
      <w:lvlText w:val="%9."/>
      <w:lvlJc w:val="right"/>
      <w:pPr>
        <w:ind w:left="6480" w:hanging="180"/>
      </w:pPr>
    </w:lvl>
  </w:abstractNum>
  <w:abstractNum w:abstractNumId="28" w15:restartNumberingAfterBreak="0">
    <w:nsid w:val="7911437D"/>
    <w:multiLevelType w:val="hybridMultilevel"/>
    <w:tmpl w:val="D826B1EC"/>
    <w:lvl w:ilvl="0" w:tplc="A5369328">
      <w:start w:val="1"/>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A26DD5"/>
    <w:multiLevelType w:val="hybridMultilevel"/>
    <w:tmpl w:val="BC38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21124"/>
    <w:multiLevelType w:val="hybridMultilevel"/>
    <w:tmpl w:val="AEE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220A4B"/>
    <w:multiLevelType w:val="hybridMultilevel"/>
    <w:tmpl w:val="0B0AFDB4"/>
    <w:lvl w:ilvl="0" w:tplc="99E44500">
      <w:start w:val="1"/>
      <w:numFmt w:val="bullet"/>
      <w:lvlText w:val="•"/>
      <w:lvlJc w:val="left"/>
      <w:pPr>
        <w:tabs>
          <w:tab w:val="num" w:pos="720"/>
        </w:tabs>
        <w:ind w:left="720" w:hanging="360"/>
      </w:pPr>
      <w:rPr>
        <w:rFonts w:ascii="Arial" w:hAnsi="Arial" w:hint="default"/>
      </w:rPr>
    </w:lvl>
    <w:lvl w:ilvl="1" w:tplc="67A0DB18">
      <w:start w:val="1"/>
      <w:numFmt w:val="bullet"/>
      <w:lvlText w:val="•"/>
      <w:lvlJc w:val="left"/>
      <w:pPr>
        <w:tabs>
          <w:tab w:val="num" w:pos="1440"/>
        </w:tabs>
        <w:ind w:left="1440" w:hanging="360"/>
      </w:pPr>
      <w:rPr>
        <w:rFonts w:ascii="Arial" w:hAnsi="Arial" w:hint="default"/>
      </w:rPr>
    </w:lvl>
    <w:lvl w:ilvl="2" w:tplc="BC602FB4" w:tentative="1">
      <w:start w:val="1"/>
      <w:numFmt w:val="bullet"/>
      <w:lvlText w:val="•"/>
      <w:lvlJc w:val="left"/>
      <w:pPr>
        <w:tabs>
          <w:tab w:val="num" w:pos="2160"/>
        </w:tabs>
        <w:ind w:left="2160" w:hanging="360"/>
      </w:pPr>
      <w:rPr>
        <w:rFonts w:ascii="Arial" w:hAnsi="Arial" w:hint="default"/>
      </w:rPr>
    </w:lvl>
    <w:lvl w:ilvl="3" w:tplc="5C4663A0" w:tentative="1">
      <w:start w:val="1"/>
      <w:numFmt w:val="bullet"/>
      <w:lvlText w:val="•"/>
      <w:lvlJc w:val="left"/>
      <w:pPr>
        <w:tabs>
          <w:tab w:val="num" w:pos="2880"/>
        </w:tabs>
        <w:ind w:left="2880" w:hanging="360"/>
      </w:pPr>
      <w:rPr>
        <w:rFonts w:ascii="Arial" w:hAnsi="Arial" w:hint="default"/>
      </w:rPr>
    </w:lvl>
    <w:lvl w:ilvl="4" w:tplc="6DEA2CA2" w:tentative="1">
      <w:start w:val="1"/>
      <w:numFmt w:val="bullet"/>
      <w:lvlText w:val="•"/>
      <w:lvlJc w:val="left"/>
      <w:pPr>
        <w:tabs>
          <w:tab w:val="num" w:pos="3600"/>
        </w:tabs>
        <w:ind w:left="3600" w:hanging="360"/>
      </w:pPr>
      <w:rPr>
        <w:rFonts w:ascii="Arial" w:hAnsi="Arial" w:hint="default"/>
      </w:rPr>
    </w:lvl>
    <w:lvl w:ilvl="5" w:tplc="9C4CA146" w:tentative="1">
      <w:start w:val="1"/>
      <w:numFmt w:val="bullet"/>
      <w:lvlText w:val="•"/>
      <w:lvlJc w:val="left"/>
      <w:pPr>
        <w:tabs>
          <w:tab w:val="num" w:pos="4320"/>
        </w:tabs>
        <w:ind w:left="4320" w:hanging="360"/>
      </w:pPr>
      <w:rPr>
        <w:rFonts w:ascii="Arial" w:hAnsi="Arial" w:hint="default"/>
      </w:rPr>
    </w:lvl>
    <w:lvl w:ilvl="6" w:tplc="925C5602" w:tentative="1">
      <w:start w:val="1"/>
      <w:numFmt w:val="bullet"/>
      <w:lvlText w:val="•"/>
      <w:lvlJc w:val="left"/>
      <w:pPr>
        <w:tabs>
          <w:tab w:val="num" w:pos="5040"/>
        </w:tabs>
        <w:ind w:left="5040" w:hanging="360"/>
      </w:pPr>
      <w:rPr>
        <w:rFonts w:ascii="Arial" w:hAnsi="Arial" w:hint="default"/>
      </w:rPr>
    </w:lvl>
    <w:lvl w:ilvl="7" w:tplc="025604D4" w:tentative="1">
      <w:start w:val="1"/>
      <w:numFmt w:val="bullet"/>
      <w:lvlText w:val="•"/>
      <w:lvlJc w:val="left"/>
      <w:pPr>
        <w:tabs>
          <w:tab w:val="num" w:pos="5760"/>
        </w:tabs>
        <w:ind w:left="5760" w:hanging="360"/>
      </w:pPr>
      <w:rPr>
        <w:rFonts w:ascii="Arial" w:hAnsi="Arial" w:hint="default"/>
      </w:rPr>
    </w:lvl>
    <w:lvl w:ilvl="8" w:tplc="A148B9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EA378EB"/>
    <w:multiLevelType w:val="multilevel"/>
    <w:tmpl w:val="064025FA"/>
    <w:lvl w:ilvl="0">
      <w:start w:val="1"/>
      <w:numFmt w:val="decimal"/>
      <w:lvlText w:val="%1)"/>
      <w:lvlJc w:val="left"/>
      <w:pPr>
        <w:ind w:left="360" w:hanging="360"/>
      </w:pPr>
      <w:rPr>
        <w:rFonts w:hint="default"/>
        <w:color w:val="auto"/>
      </w:rPr>
    </w:lvl>
    <w:lvl w:ilvl="1">
      <w:start w:val="1"/>
      <w:numFmt w:val="lowerLetter"/>
      <w:lvlText w:val="%2)"/>
      <w:lvlJc w:val="left"/>
      <w:pPr>
        <w:ind w:left="-130" w:hanging="360"/>
      </w:pPr>
    </w:lvl>
    <w:lvl w:ilvl="2">
      <w:start w:val="1"/>
      <w:numFmt w:val="lowerRoman"/>
      <w:lvlText w:val="%3)"/>
      <w:lvlJc w:val="left"/>
      <w:pPr>
        <w:ind w:left="230" w:hanging="360"/>
      </w:pPr>
    </w:lvl>
    <w:lvl w:ilvl="3">
      <w:start w:val="1"/>
      <w:numFmt w:val="decimal"/>
      <w:lvlText w:val="(%4)"/>
      <w:lvlJc w:val="left"/>
      <w:pPr>
        <w:ind w:left="590" w:hanging="360"/>
      </w:pPr>
    </w:lvl>
    <w:lvl w:ilvl="4">
      <w:start w:val="1"/>
      <w:numFmt w:val="lowerLetter"/>
      <w:lvlText w:val="(%5)"/>
      <w:lvlJc w:val="left"/>
      <w:pPr>
        <w:ind w:left="950" w:hanging="360"/>
      </w:pPr>
    </w:lvl>
    <w:lvl w:ilvl="5">
      <w:start w:val="1"/>
      <w:numFmt w:val="lowerRoman"/>
      <w:lvlText w:val="(%6)"/>
      <w:lvlJc w:val="left"/>
      <w:pPr>
        <w:ind w:left="1310" w:hanging="360"/>
      </w:pPr>
    </w:lvl>
    <w:lvl w:ilvl="6">
      <w:start w:val="1"/>
      <w:numFmt w:val="decimal"/>
      <w:lvlText w:val="%7."/>
      <w:lvlJc w:val="left"/>
      <w:pPr>
        <w:ind w:left="1670" w:hanging="360"/>
      </w:pPr>
    </w:lvl>
    <w:lvl w:ilvl="7">
      <w:start w:val="1"/>
      <w:numFmt w:val="lowerLetter"/>
      <w:lvlText w:val="%8."/>
      <w:lvlJc w:val="left"/>
      <w:pPr>
        <w:ind w:left="2030" w:hanging="360"/>
      </w:pPr>
    </w:lvl>
    <w:lvl w:ilvl="8">
      <w:start w:val="1"/>
      <w:numFmt w:val="lowerRoman"/>
      <w:lvlText w:val="%9."/>
      <w:lvlJc w:val="left"/>
      <w:pPr>
        <w:ind w:left="2390" w:hanging="360"/>
      </w:pPr>
    </w:lvl>
  </w:abstractNum>
  <w:abstractNum w:abstractNumId="34" w15:restartNumberingAfterBreak="0">
    <w:nsid w:val="7FD86548"/>
    <w:multiLevelType w:val="hybridMultilevel"/>
    <w:tmpl w:val="883000A2"/>
    <w:lvl w:ilvl="0" w:tplc="9AF8BE34">
      <w:start w:val="1"/>
      <w:numFmt w:val="decimal"/>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5"/>
  </w:num>
  <w:num w:numId="2">
    <w:abstractNumId w:val="27"/>
  </w:num>
  <w:num w:numId="3">
    <w:abstractNumId w:val="13"/>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0"/>
  </w:num>
  <w:num w:numId="8">
    <w:abstractNumId w:val="5"/>
  </w:num>
  <w:num w:numId="9">
    <w:abstractNumId w:val="24"/>
  </w:num>
  <w:num w:numId="10">
    <w:abstractNumId w:val="1"/>
  </w:num>
  <w:num w:numId="11">
    <w:abstractNumId w:val="29"/>
  </w:num>
  <w:num w:numId="12">
    <w:abstractNumId w:val="17"/>
  </w:num>
  <w:num w:numId="13">
    <w:abstractNumId w:val="6"/>
  </w:num>
  <w:num w:numId="14">
    <w:abstractNumId w:val="8"/>
  </w:num>
  <w:num w:numId="15">
    <w:abstractNumId w:val="9"/>
  </w:num>
  <w:num w:numId="16">
    <w:abstractNumId w:val="30"/>
  </w:num>
  <w:num w:numId="17">
    <w:abstractNumId w:val="33"/>
  </w:num>
  <w:num w:numId="18">
    <w:abstractNumId w:val="10"/>
  </w:num>
  <w:num w:numId="19">
    <w:abstractNumId w:val="21"/>
  </w:num>
  <w:num w:numId="20">
    <w:abstractNumId w:val="32"/>
  </w:num>
  <w:num w:numId="21">
    <w:abstractNumId w:val="2"/>
  </w:num>
  <w:num w:numId="22">
    <w:abstractNumId w:val="19"/>
  </w:num>
  <w:num w:numId="23">
    <w:abstractNumId w:val="23"/>
  </w:num>
  <w:num w:numId="24">
    <w:abstractNumId w:val="28"/>
  </w:num>
  <w:num w:numId="25">
    <w:abstractNumId w:val="31"/>
  </w:num>
  <w:num w:numId="26">
    <w:abstractNumId w:val="4"/>
  </w:num>
  <w:num w:numId="27">
    <w:abstractNumId w:val="11"/>
  </w:num>
  <w:num w:numId="28">
    <w:abstractNumId w:val="12"/>
  </w:num>
  <w:num w:numId="29">
    <w:abstractNumId w:val="26"/>
  </w:num>
  <w:num w:numId="30">
    <w:abstractNumId w:val="22"/>
  </w:num>
  <w:num w:numId="31">
    <w:abstractNumId w:val="18"/>
  </w:num>
  <w:num w:numId="32">
    <w:abstractNumId w:val="25"/>
  </w:num>
  <w:num w:numId="33">
    <w:abstractNumId w:val="0"/>
  </w:num>
  <w:num w:numId="34">
    <w:abstractNumId w:val="34"/>
  </w:num>
  <w:num w:numId="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revisionView w:markup="0"/>
  <w:defaultTabStop w:val="709"/>
  <w:hyphenationZone w:val="425"/>
  <w:drawingGridHorizontalSpacing w:val="181"/>
  <w:drawingGridVerticalSpacing w:val="181"/>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0AA810F-AF93-48CA-A00F-43EF340FAFB6"/>
    <w:docVar w:name="LW_COVERPAGE_TYPE" w:val="1"/>
    <w:docVar w:name="LW_CROSSREFERENCE" w:val="{SWD(2025) 281 final}"/>
    <w:docVar w:name="LW_DocType" w:val="NORMAL"/>
    <w:docVar w:name="LW_EMISSION" w:val="2.10.2025"/>
    <w:docVar w:name="LW_EMISSION_ISODATE" w:val="2025-10-02"/>
    <w:docVar w:name="LW_EMISSION_LOCATION" w:val="BRX"/>
    <w:docVar w:name="LW_EMISSION_PREFIX" w:val="An Bhruiséil,"/>
    <w:docVar w:name="LW_EMISSION_SUFFIX" w:val=" "/>
    <w:docVar w:name="LW_ID_DOCTYPE_NONLW" w:val="CP-006"/>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5) 5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bhun Airteagal 278a de Chód Custaim an Aontais, maidir le dul chun cinn i bhforbairt na gcóras leictreonach dá bhforáiltear faoin gCód"/>
    <w:docVar w:name="LW_TYPE.DOC.CP" w:val="TUARASCÁIL ÓN gCOIMISIÚN CHUIG PARLAIMINT NA hEORPA AGUS CHUIG AN gCOMHAIRLE"/>
    <w:docVar w:name="LwApiVersions" w:val="LW4CoDe 1.24.5.0; LW 9.0, Build 20240221"/>
  </w:docVars>
  <w:rsids>
    <w:rsidRoot w:val="00282B17"/>
    <w:rsid w:val="00000237"/>
    <w:rsid w:val="00000264"/>
    <w:rsid w:val="000002EE"/>
    <w:rsid w:val="00000A95"/>
    <w:rsid w:val="00000DAA"/>
    <w:rsid w:val="00000F00"/>
    <w:rsid w:val="00001081"/>
    <w:rsid w:val="00001474"/>
    <w:rsid w:val="00001793"/>
    <w:rsid w:val="00001A69"/>
    <w:rsid w:val="00001AB0"/>
    <w:rsid w:val="00001D18"/>
    <w:rsid w:val="0000204A"/>
    <w:rsid w:val="0000220A"/>
    <w:rsid w:val="00002358"/>
    <w:rsid w:val="00002C18"/>
    <w:rsid w:val="0000393F"/>
    <w:rsid w:val="00003A29"/>
    <w:rsid w:val="00003AB9"/>
    <w:rsid w:val="00003BEB"/>
    <w:rsid w:val="00003FB3"/>
    <w:rsid w:val="00003FB4"/>
    <w:rsid w:val="00004510"/>
    <w:rsid w:val="00004575"/>
    <w:rsid w:val="00004F8B"/>
    <w:rsid w:val="000054F8"/>
    <w:rsid w:val="000055E4"/>
    <w:rsid w:val="000056AF"/>
    <w:rsid w:val="0000596C"/>
    <w:rsid w:val="00005998"/>
    <w:rsid w:val="00005A8E"/>
    <w:rsid w:val="00005E07"/>
    <w:rsid w:val="0000612E"/>
    <w:rsid w:val="00006245"/>
    <w:rsid w:val="0000640C"/>
    <w:rsid w:val="0000640F"/>
    <w:rsid w:val="00006A51"/>
    <w:rsid w:val="00006A67"/>
    <w:rsid w:val="00006FF9"/>
    <w:rsid w:val="000071AE"/>
    <w:rsid w:val="00007220"/>
    <w:rsid w:val="0000728A"/>
    <w:rsid w:val="0000793A"/>
    <w:rsid w:val="0000799C"/>
    <w:rsid w:val="000079B2"/>
    <w:rsid w:val="000079C1"/>
    <w:rsid w:val="00007EC6"/>
    <w:rsid w:val="00010786"/>
    <w:rsid w:val="00010960"/>
    <w:rsid w:val="00010EE6"/>
    <w:rsid w:val="00011181"/>
    <w:rsid w:val="0001183A"/>
    <w:rsid w:val="000120A1"/>
    <w:rsid w:val="000121E3"/>
    <w:rsid w:val="000121F1"/>
    <w:rsid w:val="000129DF"/>
    <w:rsid w:val="00013583"/>
    <w:rsid w:val="000137BB"/>
    <w:rsid w:val="00013B61"/>
    <w:rsid w:val="00013B85"/>
    <w:rsid w:val="0001459C"/>
    <w:rsid w:val="00014C1B"/>
    <w:rsid w:val="00014E1B"/>
    <w:rsid w:val="00014E3F"/>
    <w:rsid w:val="00015109"/>
    <w:rsid w:val="000159F0"/>
    <w:rsid w:val="00015A86"/>
    <w:rsid w:val="00015B2E"/>
    <w:rsid w:val="00015DF0"/>
    <w:rsid w:val="00015E06"/>
    <w:rsid w:val="00016429"/>
    <w:rsid w:val="00016584"/>
    <w:rsid w:val="00017236"/>
    <w:rsid w:val="000172C9"/>
    <w:rsid w:val="00017763"/>
    <w:rsid w:val="000203AC"/>
    <w:rsid w:val="00020640"/>
    <w:rsid w:val="000207CE"/>
    <w:rsid w:val="00020A9F"/>
    <w:rsid w:val="00020B4D"/>
    <w:rsid w:val="00020CDA"/>
    <w:rsid w:val="000212BC"/>
    <w:rsid w:val="00021404"/>
    <w:rsid w:val="0002180A"/>
    <w:rsid w:val="00021A0D"/>
    <w:rsid w:val="000229D2"/>
    <w:rsid w:val="00022CC1"/>
    <w:rsid w:val="00022EEB"/>
    <w:rsid w:val="0002303E"/>
    <w:rsid w:val="00023229"/>
    <w:rsid w:val="00023503"/>
    <w:rsid w:val="00023BED"/>
    <w:rsid w:val="00023D55"/>
    <w:rsid w:val="00023E38"/>
    <w:rsid w:val="00023E5E"/>
    <w:rsid w:val="000242FC"/>
    <w:rsid w:val="00024580"/>
    <w:rsid w:val="0002464C"/>
    <w:rsid w:val="000250A2"/>
    <w:rsid w:val="000253BA"/>
    <w:rsid w:val="00025653"/>
    <w:rsid w:val="000257CD"/>
    <w:rsid w:val="000257EB"/>
    <w:rsid w:val="000259AB"/>
    <w:rsid w:val="00025ADB"/>
    <w:rsid w:val="00026577"/>
    <w:rsid w:val="000267A6"/>
    <w:rsid w:val="000268C5"/>
    <w:rsid w:val="00026BA3"/>
    <w:rsid w:val="00026DB7"/>
    <w:rsid w:val="00026DBC"/>
    <w:rsid w:val="00026DF4"/>
    <w:rsid w:val="00026EB7"/>
    <w:rsid w:val="000273D1"/>
    <w:rsid w:val="00027493"/>
    <w:rsid w:val="000275C3"/>
    <w:rsid w:val="00027CBE"/>
    <w:rsid w:val="00027D35"/>
    <w:rsid w:val="00027E89"/>
    <w:rsid w:val="0003034E"/>
    <w:rsid w:val="000304E3"/>
    <w:rsid w:val="00030A88"/>
    <w:rsid w:val="00030BB7"/>
    <w:rsid w:val="00030E76"/>
    <w:rsid w:val="00031219"/>
    <w:rsid w:val="00031967"/>
    <w:rsid w:val="00031AC8"/>
    <w:rsid w:val="00031C2D"/>
    <w:rsid w:val="00031C7B"/>
    <w:rsid w:val="00031E3E"/>
    <w:rsid w:val="00032477"/>
    <w:rsid w:val="000325AF"/>
    <w:rsid w:val="000328A1"/>
    <w:rsid w:val="00032BFE"/>
    <w:rsid w:val="00033015"/>
    <w:rsid w:val="00033033"/>
    <w:rsid w:val="000332EF"/>
    <w:rsid w:val="000332F8"/>
    <w:rsid w:val="0003361F"/>
    <w:rsid w:val="0003368E"/>
    <w:rsid w:val="00033819"/>
    <w:rsid w:val="000339A5"/>
    <w:rsid w:val="00033B6F"/>
    <w:rsid w:val="000341EA"/>
    <w:rsid w:val="00034D74"/>
    <w:rsid w:val="00034E79"/>
    <w:rsid w:val="00035059"/>
    <w:rsid w:val="00035395"/>
    <w:rsid w:val="00035637"/>
    <w:rsid w:val="00035DA4"/>
    <w:rsid w:val="00036857"/>
    <w:rsid w:val="00036A6E"/>
    <w:rsid w:val="0003703F"/>
    <w:rsid w:val="000371A6"/>
    <w:rsid w:val="00037421"/>
    <w:rsid w:val="00037616"/>
    <w:rsid w:val="00037710"/>
    <w:rsid w:val="0003788D"/>
    <w:rsid w:val="000378BC"/>
    <w:rsid w:val="000378E7"/>
    <w:rsid w:val="000379F0"/>
    <w:rsid w:val="00040152"/>
    <w:rsid w:val="000402E7"/>
    <w:rsid w:val="0004050E"/>
    <w:rsid w:val="0004054D"/>
    <w:rsid w:val="00040626"/>
    <w:rsid w:val="000406CC"/>
    <w:rsid w:val="00040A72"/>
    <w:rsid w:val="00041498"/>
    <w:rsid w:val="00041DA5"/>
    <w:rsid w:val="00042611"/>
    <w:rsid w:val="000428B3"/>
    <w:rsid w:val="00042EF9"/>
    <w:rsid w:val="00043180"/>
    <w:rsid w:val="00043461"/>
    <w:rsid w:val="000434F6"/>
    <w:rsid w:val="0004358B"/>
    <w:rsid w:val="00043697"/>
    <w:rsid w:val="00043866"/>
    <w:rsid w:val="00043B0E"/>
    <w:rsid w:val="0004433A"/>
    <w:rsid w:val="00044DBA"/>
    <w:rsid w:val="00045270"/>
    <w:rsid w:val="00046C5B"/>
    <w:rsid w:val="00046E43"/>
    <w:rsid w:val="00046ECE"/>
    <w:rsid w:val="00047040"/>
    <w:rsid w:val="00047E2A"/>
    <w:rsid w:val="00047F3E"/>
    <w:rsid w:val="000502BD"/>
    <w:rsid w:val="00050307"/>
    <w:rsid w:val="00051A8F"/>
    <w:rsid w:val="000520F8"/>
    <w:rsid w:val="0005236B"/>
    <w:rsid w:val="0005261E"/>
    <w:rsid w:val="00052BB6"/>
    <w:rsid w:val="00052C4D"/>
    <w:rsid w:val="00052E03"/>
    <w:rsid w:val="00053147"/>
    <w:rsid w:val="00053437"/>
    <w:rsid w:val="0005389A"/>
    <w:rsid w:val="000545C6"/>
    <w:rsid w:val="00054E7E"/>
    <w:rsid w:val="00055057"/>
    <w:rsid w:val="00055140"/>
    <w:rsid w:val="0005525D"/>
    <w:rsid w:val="000552DF"/>
    <w:rsid w:val="0005573F"/>
    <w:rsid w:val="00055BC4"/>
    <w:rsid w:val="00055CAE"/>
    <w:rsid w:val="00056CC7"/>
    <w:rsid w:val="00056DDA"/>
    <w:rsid w:val="00057479"/>
    <w:rsid w:val="0005769B"/>
    <w:rsid w:val="00057808"/>
    <w:rsid w:val="00057941"/>
    <w:rsid w:val="00057997"/>
    <w:rsid w:val="00057ADD"/>
    <w:rsid w:val="00057F63"/>
    <w:rsid w:val="00060352"/>
    <w:rsid w:val="00060CA1"/>
    <w:rsid w:val="00060FF1"/>
    <w:rsid w:val="0006106F"/>
    <w:rsid w:val="0006119E"/>
    <w:rsid w:val="00061D78"/>
    <w:rsid w:val="00061E1C"/>
    <w:rsid w:val="00062137"/>
    <w:rsid w:val="00062139"/>
    <w:rsid w:val="0006261A"/>
    <w:rsid w:val="00062DE0"/>
    <w:rsid w:val="0006318F"/>
    <w:rsid w:val="00063211"/>
    <w:rsid w:val="000633A2"/>
    <w:rsid w:val="00063A13"/>
    <w:rsid w:val="00063D55"/>
    <w:rsid w:val="000640FF"/>
    <w:rsid w:val="0006457B"/>
    <w:rsid w:val="0006461C"/>
    <w:rsid w:val="00064DD7"/>
    <w:rsid w:val="00064F81"/>
    <w:rsid w:val="00065247"/>
    <w:rsid w:val="000653DC"/>
    <w:rsid w:val="000657E8"/>
    <w:rsid w:val="00065C49"/>
    <w:rsid w:val="00065E4A"/>
    <w:rsid w:val="0006630C"/>
    <w:rsid w:val="00066593"/>
    <w:rsid w:val="000667D9"/>
    <w:rsid w:val="00066869"/>
    <w:rsid w:val="00066B22"/>
    <w:rsid w:val="00066D28"/>
    <w:rsid w:val="0006746F"/>
    <w:rsid w:val="000674FE"/>
    <w:rsid w:val="00067563"/>
    <w:rsid w:val="00067900"/>
    <w:rsid w:val="000679C8"/>
    <w:rsid w:val="00067B05"/>
    <w:rsid w:val="00067D61"/>
    <w:rsid w:val="000701A4"/>
    <w:rsid w:val="000708C5"/>
    <w:rsid w:val="00070B3F"/>
    <w:rsid w:val="0007141F"/>
    <w:rsid w:val="00071E3D"/>
    <w:rsid w:val="000720C5"/>
    <w:rsid w:val="000728F1"/>
    <w:rsid w:val="00072948"/>
    <w:rsid w:val="00072A56"/>
    <w:rsid w:val="00072B2E"/>
    <w:rsid w:val="000730E0"/>
    <w:rsid w:val="00073421"/>
    <w:rsid w:val="0007410F"/>
    <w:rsid w:val="000746BD"/>
    <w:rsid w:val="0007474E"/>
    <w:rsid w:val="000747A1"/>
    <w:rsid w:val="00074E38"/>
    <w:rsid w:val="000753FE"/>
    <w:rsid w:val="00075A0B"/>
    <w:rsid w:val="00075F9D"/>
    <w:rsid w:val="000760CF"/>
    <w:rsid w:val="000763A5"/>
    <w:rsid w:val="000765E6"/>
    <w:rsid w:val="00076708"/>
    <w:rsid w:val="000768C1"/>
    <w:rsid w:val="00076944"/>
    <w:rsid w:val="00076D5D"/>
    <w:rsid w:val="000776DA"/>
    <w:rsid w:val="000777EE"/>
    <w:rsid w:val="000778C7"/>
    <w:rsid w:val="000779BE"/>
    <w:rsid w:val="00077EAB"/>
    <w:rsid w:val="000802E9"/>
    <w:rsid w:val="00080404"/>
    <w:rsid w:val="00080890"/>
    <w:rsid w:val="0008110A"/>
    <w:rsid w:val="00081192"/>
    <w:rsid w:val="000812F3"/>
    <w:rsid w:val="000813FC"/>
    <w:rsid w:val="000814D3"/>
    <w:rsid w:val="000815A3"/>
    <w:rsid w:val="0008178B"/>
    <w:rsid w:val="00081A9D"/>
    <w:rsid w:val="000828B0"/>
    <w:rsid w:val="00082B7C"/>
    <w:rsid w:val="00082E23"/>
    <w:rsid w:val="000830DC"/>
    <w:rsid w:val="00083311"/>
    <w:rsid w:val="000837EC"/>
    <w:rsid w:val="00084D89"/>
    <w:rsid w:val="00085654"/>
    <w:rsid w:val="0008578F"/>
    <w:rsid w:val="00085AA4"/>
    <w:rsid w:val="00085C8C"/>
    <w:rsid w:val="00085D36"/>
    <w:rsid w:val="00085D97"/>
    <w:rsid w:val="000861D5"/>
    <w:rsid w:val="00086A18"/>
    <w:rsid w:val="00086A3C"/>
    <w:rsid w:val="0008728F"/>
    <w:rsid w:val="000872DA"/>
    <w:rsid w:val="00087449"/>
    <w:rsid w:val="00087B52"/>
    <w:rsid w:val="00087F49"/>
    <w:rsid w:val="0009022C"/>
    <w:rsid w:val="00090242"/>
    <w:rsid w:val="000908E0"/>
    <w:rsid w:val="00090929"/>
    <w:rsid w:val="00090CC3"/>
    <w:rsid w:val="00090F98"/>
    <w:rsid w:val="00091375"/>
    <w:rsid w:val="00091402"/>
    <w:rsid w:val="00091BF5"/>
    <w:rsid w:val="00091CFE"/>
    <w:rsid w:val="00092163"/>
    <w:rsid w:val="0009227C"/>
    <w:rsid w:val="000926B4"/>
    <w:rsid w:val="00092D5F"/>
    <w:rsid w:val="000933BF"/>
    <w:rsid w:val="00093456"/>
    <w:rsid w:val="000934A8"/>
    <w:rsid w:val="00093C34"/>
    <w:rsid w:val="0009475F"/>
    <w:rsid w:val="00094BE7"/>
    <w:rsid w:val="00094D66"/>
    <w:rsid w:val="00095097"/>
    <w:rsid w:val="00095140"/>
    <w:rsid w:val="00095164"/>
    <w:rsid w:val="00095175"/>
    <w:rsid w:val="00095EE1"/>
    <w:rsid w:val="0009616E"/>
    <w:rsid w:val="00096B0B"/>
    <w:rsid w:val="00096BC5"/>
    <w:rsid w:val="00096BCA"/>
    <w:rsid w:val="00096D18"/>
    <w:rsid w:val="00096EBA"/>
    <w:rsid w:val="000974F0"/>
    <w:rsid w:val="00097B06"/>
    <w:rsid w:val="00097BFC"/>
    <w:rsid w:val="00097C37"/>
    <w:rsid w:val="000A00EF"/>
    <w:rsid w:val="000A0363"/>
    <w:rsid w:val="000A0AA9"/>
    <w:rsid w:val="000A0B3F"/>
    <w:rsid w:val="000A1A23"/>
    <w:rsid w:val="000A1B8C"/>
    <w:rsid w:val="000A1BA8"/>
    <w:rsid w:val="000A2049"/>
    <w:rsid w:val="000A23A2"/>
    <w:rsid w:val="000A29E9"/>
    <w:rsid w:val="000A2DFF"/>
    <w:rsid w:val="000A2FEA"/>
    <w:rsid w:val="000A3646"/>
    <w:rsid w:val="000A37A1"/>
    <w:rsid w:val="000A3F22"/>
    <w:rsid w:val="000A3F8B"/>
    <w:rsid w:val="000A44F4"/>
    <w:rsid w:val="000A4798"/>
    <w:rsid w:val="000A4D48"/>
    <w:rsid w:val="000A4DDD"/>
    <w:rsid w:val="000A505A"/>
    <w:rsid w:val="000A5282"/>
    <w:rsid w:val="000A5C1C"/>
    <w:rsid w:val="000A5E61"/>
    <w:rsid w:val="000A6629"/>
    <w:rsid w:val="000A690D"/>
    <w:rsid w:val="000A6BC7"/>
    <w:rsid w:val="000A739D"/>
    <w:rsid w:val="000A75B2"/>
    <w:rsid w:val="000A779C"/>
    <w:rsid w:val="000A7816"/>
    <w:rsid w:val="000A7929"/>
    <w:rsid w:val="000A79A2"/>
    <w:rsid w:val="000A7A6D"/>
    <w:rsid w:val="000A7CFD"/>
    <w:rsid w:val="000B0213"/>
    <w:rsid w:val="000B101F"/>
    <w:rsid w:val="000B1343"/>
    <w:rsid w:val="000B138A"/>
    <w:rsid w:val="000B1841"/>
    <w:rsid w:val="000B1A3E"/>
    <w:rsid w:val="000B1EA7"/>
    <w:rsid w:val="000B2000"/>
    <w:rsid w:val="000B2065"/>
    <w:rsid w:val="000B2119"/>
    <w:rsid w:val="000B2B08"/>
    <w:rsid w:val="000B2BA7"/>
    <w:rsid w:val="000B31F8"/>
    <w:rsid w:val="000B324C"/>
    <w:rsid w:val="000B3454"/>
    <w:rsid w:val="000B3521"/>
    <w:rsid w:val="000B385C"/>
    <w:rsid w:val="000B3A8D"/>
    <w:rsid w:val="000B416C"/>
    <w:rsid w:val="000B4583"/>
    <w:rsid w:val="000B45A9"/>
    <w:rsid w:val="000B48F5"/>
    <w:rsid w:val="000B4AFB"/>
    <w:rsid w:val="000B4EC6"/>
    <w:rsid w:val="000B4FB2"/>
    <w:rsid w:val="000B52CF"/>
    <w:rsid w:val="000B5F1F"/>
    <w:rsid w:val="000B5F69"/>
    <w:rsid w:val="000B5FCF"/>
    <w:rsid w:val="000B6376"/>
    <w:rsid w:val="000B6E23"/>
    <w:rsid w:val="000B76E3"/>
    <w:rsid w:val="000B7E8A"/>
    <w:rsid w:val="000C00F1"/>
    <w:rsid w:val="000C06E2"/>
    <w:rsid w:val="000C08D0"/>
    <w:rsid w:val="000C0FE2"/>
    <w:rsid w:val="000C10B0"/>
    <w:rsid w:val="000C1111"/>
    <w:rsid w:val="000C125D"/>
    <w:rsid w:val="000C14D3"/>
    <w:rsid w:val="000C15A5"/>
    <w:rsid w:val="000C1989"/>
    <w:rsid w:val="000C23CE"/>
    <w:rsid w:val="000C2822"/>
    <w:rsid w:val="000C2855"/>
    <w:rsid w:val="000C2E0A"/>
    <w:rsid w:val="000C3317"/>
    <w:rsid w:val="000C3470"/>
    <w:rsid w:val="000C34E2"/>
    <w:rsid w:val="000C3982"/>
    <w:rsid w:val="000C3D4F"/>
    <w:rsid w:val="000C3D8C"/>
    <w:rsid w:val="000C45C8"/>
    <w:rsid w:val="000C4773"/>
    <w:rsid w:val="000C4E3A"/>
    <w:rsid w:val="000C4F0F"/>
    <w:rsid w:val="000C502E"/>
    <w:rsid w:val="000C51AB"/>
    <w:rsid w:val="000C528F"/>
    <w:rsid w:val="000C5462"/>
    <w:rsid w:val="000C595C"/>
    <w:rsid w:val="000C5AFD"/>
    <w:rsid w:val="000C61E1"/>
    <w:rsid w:val="000C629D"/>
    <w:rsid w:val="000C6321"/>
    <w:rsid w:val="000C6844"/>
    <w:rsid w:val="000C6AA3"/>
    <w:rsid w:val="000C73E4"/>
    <w:rsid w:val="000C73EE"/>
    <w:rsid w:val="000C7A69"/>
    <w:rsid w:val="000C7F93"/>
    <w:rsid w:val="000D0B3A"/>
    <w:rsid w:val="000D0CB0"/>
    <w:rsid w:val="000D12ED"/>
    <w:rsid w:val="000D136C"/>
    <w:rsid w:val="000D2968"/>
    <w:rsid w:val="000D29BF"/>
    <w:rsid w:val="000D3059"/>
    <w:rsid w:val="000D3291"/>
    <w:rsid w:val="000D3337"/>
    <w:rsid w:val="000D35D2"/>
    <w:rsid w:val="000D383E"/>
    <w:rsid w:val="000D3BC4"/>
    <w:rsid w:val="000D3BEF"/>
    <w:rsid w:val="000D40FA"/>
    <w:rsid w:val="000D41FD"/>
    <w:rsid w:val="000D44E7"/>
    <w:rsid w:val="000D4517"/>
    <w:rsid w:val="000D4A51"/>
    <w:rsid w:val="000D4A68"/>
    <w:rsid w:val="000D528A"/>
    <w:rsid w:val="000D5CC5"/>
    <w:rsid w:val="000D63FB"/>
    <w:rsid w:val="000D6A9A"/>
    <w:rsid w:val="000D6D74"/>
    <w:rsid w:val="000D6ED3"/>
    <w:rsid w:val="000D724A"/>
    <w:rsid w:val="000D73EC"/>
    <w:rsid w:val="000D755F"/>
    <w:rsid w:val="000D767F"/>
    <w:rsid w:val="000D7B31"/>
    <w:rsid w:val="000E053D"/>
    <w:rsid w:val="000E055A"/>
    <w:rsid w:val="000E0CE8"/>
    <w:rsid w:val="000E0EAF"/>
    <w:rsid w:val="000E11DB"/>
    <w:rsid w:val="000E1644"/>
    <w:rsid w:val="000E1833"/>
    <w:rsid w:val="000E20E0"/>
    <w:rsid w:val="000E2264"/>
    <w:rsid w:val="000E281B"/>
    <w:rsid w:val="000E2B5B"/>
    <w:rsid w:val="000E33C7"/>
    <w:rsid w:val="000E34D7"/>
    <w:rsid w:val="000E359D"/>
    <w:rsid w:val="000E3B92"/>
    <w:rsid w:val="000E47DC"/>
    <w:rsid w:val="000E50DB"/>
    <w:rsid w:val="000E5396"/>
    <w:rsid w:val="000E55B3"/>
    <w:rsid w:val="000E60A7"/>
    <w:rsid w:val="000E640C"/>
    <w:rsid w:val="000E6502"/>
    <w:rsid w:val="000E7313"/>
    <w:rsid w:val="000E7374"/>
    <w:rsid w:val="000E76BE"/>
    <w:rsid w:val="000E7CC5"/>
    <w:rsid w:val="000E7E3C"/>
    <w:rsid w:val="000F015B"/>
    <w:rsid w:val="000F0BD7"/>
    <w:rsid w:val="000F0CED"/>
    <w:rsid w:val="000F0DDA"/>
    <w:rsid w:val="000F15D7"/>
    <w:rsid w:val="000F1AC1"/>
    <w:rsid w:val="000F1F6B"/>
    <w:rsid w:val="000F2CD3"/>
    <w:rsid w:val="000F36A9"/>
    <w:rsid w:val="000F4073"/>
    <w:rsid w:val="000F439A"/>
    <w:rsid w:val="000F491B"/>
    <w:rsid w:val="000F4CB7"/>
    <w:rsid w:val="000F52E2"/>
    <w:rsid w:val="000F5C10"/>
    <w:rsid w:val="000F5EC6"/>
    <w:rsid w:val="000F634C"/>
    <w:rsid w:val="000F642C"/>
    <w:rsid w:val="000F657C"/>
    <w:rsid w:val="000F66B3"/>
    <w:rsid w:val="000F6822"/>
    <w:rsid w:val="000F736C"/>
    <w:rsid w:val="000F76CB"/>
    <w:rsid w:val="00100482"/>
    <w:rsid w:val="00100858"/>
    <w:rsid w:val="00101A25"/>
    <w:rsid w:val="00101EB4"/>
    <w:rsid w:val="0010281E"/>
    <w:rsid w:val="0010287A"/>
    <w:rsid w:val="00102B71"/>
    <w:rsid w:val="00102E7F"/>
    <w:rsid w:val="0010303E"/>
    <w:rsid w:val="001033BB"/>
    <w:rsid w:val="00103D65"/>
    <w:rsid w:val="0010409F"/>
    <w:rsid w:val="00104319"/>
    <w:rsid w:val="001045F0"/>
    <w:rsid w:val="001050F9"/>
    <w:rsid w:val="00105477"/>
    <w:rsid w:val="00105670"/>
    <w:rsid w:val="00105933"/>
    <w:rsid w:val="00105A28"/>
    <w:rsid w:val="00105ACF"/>
    <w:rsid w:val="00106026"/>
    <w:rsid w:val="001060F7"/>
    <w:rsid w:val="00106D9B"/>
    <w:rsid w:val="00107347"/>
    <w:rsid w:val="0010738B"/>
    <w:rsid w:val="001073B1"/>
    <w:rsid w:val="00107A2D"/>
    <w:rsid w:val="00107B39"/>
    <w:rsid w:val="001104BC"/>
    <w:rsid w:val="0011067F"/>
    <w:rsid w:val="00110AFA"/>
    <w:rsid w:val="00110BD3"/>
    <w:rsid w:val="00110C5B"/>
    <w:rsid w:val="00111274"/>
    <w:rsid w:val="00111C79"/>
    <w:rsid w:val="00111D3B"/>
    <w:rsid w:val="00111D46"/>
    <w:rsid w:val="00111F26"/>
    <w:rsid w:val="00112C7C"/>
    <w:rsid w:val="00112FDD"/>
    <w:rsid w:val="00113049"/>
    <w:rsid w:val="00113517"/>
    <w:rsid w:val="00113573"/>
    <w:rsid w:val="00113EF9"/>
    <w:rsid w:val="0011424C"/>
    <w:rsid w:val="001142AE"/>
    <w:rsid w:val="00114929"/>
    <w:rsid w:val="001149A9"/>
    <w:rsid w:val="00114A95"/>
    <w:rsid w:val="00114FBB"/>
    <w:rsid w:val="00115086"/>
    <w:rsid w:val="001159C5"/>
    <w:rsid w:val="00115BC3"/>
    <w:rsid w:val="00115EFC"/>
    <w:rsid w:val="00115F9B"/>
    <w:rsid w:val="00116216"/>
    <w:rsid w:val="001163EA"/>
    <w:rsid w:val="001163F5"/>
    <w:rsid w:val="00116449"/>
    <w:rsid w:val="001168A0"/>
    <w:rsid w:val="00116EF0"/>
    <w:rsid w:val="001177F4"/>
    <w:rsid w:val="001201CC"/>
    <w:rsid w:val="001206D9"/>
    <w:rsid w:val="0012085D"/>
    <w:rsid w:val="00120883"/>
    <w:rsid w:val="001211C1"/>
    <w:rsid w:val="001211F6"/>
    <w:rsid w:val="0012130C"/>
    <w:rsid w:val="00121CA7"/>
    <w:rsid w:val="00121F5B"/>
    <w:rsid w:val="00121F5F"/>
    <w:rsid w:val="00122558"/>
    <w:rsid w:val="001226E6"/>
    <w:rsid w:val="0012284A"/>
    <w:rsid w:val="00122A83"/>
    <w:rsid w:val="00122C76"/>
    <w:rsid w:val="00122DCF"/>
    <w:rsid w:val="00122FB0"/>
    <w:rsid w:val="0012316F"/>
    <w:rsid w:val="001235C2"/>
    <w:rsid w:val="00123660"/>
    <w:rsid w:val="00123930"/>
    <w:rsid w:val="00123E71"/>
    <w:rsid w:val="00124215"/>
    <w:rsid w:val="001245EE"/>
    <w:rsid w:val="001246DE"/>
    <w:rsid w:val="00124C68"/>
    <w:rsid w:val="00125295"/>
    <w:rsid w:val="0012590C"/>
    <w:rsid w:val="00125F00"/>
    <w:rsid w:val="00125F30"/>
    <w:rsid w:val="00126814"/>
    <w:rsid w:val="001268F3"/>
    <w:rsid w:val="00126A26"/>
    <w:rsid w:val="00126A3F"/>
    <w:rsid w:val="00127064"/>
    <w:rsid w:val="00127197"/>
    <w:rsid w:val="00127F1C"/>
    <w:rsid w:val="00130463"/>
    <w:rsid w:val="00130772"/>
    <w:rsid w:val="00130CD8"/>
    <w:rsid w:val="00130FC0"/>
    <w:rsid w:val="001314AC"/>
    <w:rsid w:val="0013175C"/>
    <w:rsid w:val="00131C67"/>
    <w:rsid w:val="0013267C"/>
    <w:rsid w:val="001326AD"/>
    <w:rsid w:val="00132B45"/>
    <w:rsid w:val="001332FF"/>
    <w:rsid w:val="00133434"/>
    <w:rsid w:val="001337CB"/>
    <w:rsid w:val="00133BB3"/>
    <w:rsid w:val="00133E69"/>
    <w:rsid w:val="0013402E"/>
    <w:rsid w:val="00134225"/>
    <w:rsid w:val="00134543"/>
    <w:rsid w:val="00134C83"/>
    <w:rsid w:val="00134F74"/>
    <w:rsid w:val="0013539A"/>
    <w:rsid w:val="0013541C"/>
    <w:rsid w:val="0013562E"/>
    <w:rsid w:val="00135A86"/>
    <w:rsid w:val="00135ACC"/>
    <w:rsid w:val="00135D6D"/>
    <w:rsid w:val="001367E1"/>
    <w:rsid w:val="00136926"/>
    <w:rsid w:val="001369BE"/>
    <w:rsid w:val="00136D0A"/>
    <w:rsid w:val="00136F12"/>
    <w:rsid w:val="00136FB0"/>
    <w:rsid w:val="001370AE"/>
    <w:rsid w:val="0014010E"/>
    <w:rsid w:val="00140496"/>
    <w:rsid w:val="00140593"/>
    <w:rsid w:val="00140985"/>
    <w:rsid w:val="00140A3C"/>
    <w:rsid w:val="00140C80"/>
    <w:rsid w:val="00140F94"/>
    <w:rsid w:val="001410A4"/>
    <w:rsid w:val="00141387"/>
    <w:rsid w:val="00141B90"/>
    <w:rsid w:val="00141EAE"/>
    <w:rsid w:val="0014207A"/>
    <w:rsid w:val="00142B48"/>
    <w:rsid w:val="00142E7A"/>
    <w:rsid w:val="001431AA"/>
    <w:rsid w:val="00143B04"/>
    <w:rsid w:val="00143D25"/>
    <w:rsid w:val="00143D84"/>
    <w:rsid w:val="00144983"/>
    <w:rsid w:val="00144A2F"/>
    <w:rsid w:val="00144A5A"/>
    <w:rsid w:val="00144FCD"/>
    <w:rsid w:val="00144FD2"/>
    <w:rsid w:val="001454F5"/>
    <w:rsid w:val="00145F38"/>
    <w:rsid w:val="001468CC"/>
    <w:rsid w:val="0014729E"/>
    <w:rsid w:val="00147355"/>
    <w:rsid w:val="001473B7"/>
    <w:rsid w:val="0014780B"/>
    <w:rsid w:val="00147844"/>
    <w:rsid w:val="001478E5"/>
    <w:rsid w:val="00147FF6"/>
    <w:rsid w:val="0015000E"/>
    <w:rsid w:val="001504B6"/>
    <w:rsid w:val="0015073E"/>
    <w:rsid w:val="001507B5"/>
    <w:rsid w:val="00150AA4"/>
    <w:rsid w:val="00150BA7"/>
    <w:rsid w:val="00150C5A"/>
    <w:rsid w:val="00150C7C"/>
    <w:rsid w:val="001512BE"/>
    <w:rsid w:val="001519B6"/>
    <w:rsid w:val="00151DE6"/>
    <w:rsid w:val="00151F1D"/>
    <w:rsid w:val="001520CC"/>
    <w:rsid w:val="001521FE"/>
    <w:rsid w:val="00152C51"/>
    <w:rsid w:val="00152DCE"/>
    <w:rsid w:val="00153801"/>
    <w:rsid w:val="00153B54"/>
    <w:rsid w:val="00153F05"/>
    <w:rsid w:val="001541C1"/>
    <w:rsid w:val="001541D6"/>
    <w:rsid w:val="00154304"/>
    <w:rsid w:val="0015439F"/>
    <w:rsid w:val="00154671"/>
    <w:rsid w:val="001546FF"/>
    <w:rsid w:val="00154823"/>
    <w:rsid w:val="001548B5"/>
    <w:rsid w:val="00154A8E"/>
    <w:rsid w:val="001555E8"/>
    <w:rsid w:val="00155C7B"/>
    <w:rsid w:val="00156680"/>
    <w:rsid w:val="0015679C"/>
    <w:rsid w:val="00156958"/>
    <w:rsid w:val="00156BFD"/>
    <w:rsid w:val="00156DE8"/>
    <w:rsid w:val="00156F79"/>
    <w:rsid w:val="001578E3"/>
    <w:rsid w:val="00157AA8"/>
    <w:rsid w:val="00157C2B"/>
    <w:rsid w:val="00157CAB"/>
    <w:rsid w:val="0016024E"/>
    <w:rsid w:val="001602FC"/>
    <w:rsid w:val="001605A8"/>
    <w:rsid w:val="00160AE3"/>
    <w:rsid w:val="00160D6E"/>
    <w:rsid w:val="00160F42"/>
    <w:rsid w:val="001613BB"/>
    <w:rsid w:val="001623E1"/>
    <w:rsid w:val="001623E9"/>
    <w:rsid w:val="00162888"/>
    <w:rsid w:val="00162F3F"/>
    <w:rsid w:val="001631AF"/>
    <w:rsid w:val="001634DC"/>
    <w:rsid w:val="00163C6E"/>
    <w:rsid w:val="00163D4F"/>
    <w:rsid w:val="00163E03"/>
    <w:rsid w:val="00163F3D"/>
    <w:rsid w:val="0016436D"/>
    <w:rsid w:val="00164546"/>
    <w:rsid w:val="00164628"/>
    <w:rsid w:val="0016468D"/>
    <w:rsid w:val="001649B6"/>
    <w:rsid w:val="001649D1"/>
    <w:rsid w:val="00164C05"/>
    <w:rsid w:val="001657D6"/>
    <w:rsid w:val="001658CF"/>
    <w:rsid w:val="00165A9F"/>
    <w:rsid w:val="00165D47"/>
    <w:rsid w:val="0016686D"/>
    <w:rsid w:val="00167020"/>
    <w:rsid w:val="00167255"/>
    <w:rsid w:val="00167A22"/>
    <w:rsid w:val="00167ADE"/>
    <w:rsid w:val="0017070C"/>
    <w:rsid w:val="001708B9"/>
    <w:rsid w:val="00170983"/>
    <w:rsid w:val="00170C7D"/>
    <w:rsid w:val="00170EAE"/>
    <w:rsid w:val="001711D3"/>
    <w:rsid w:val="00171479"/>
    <w:rsid w:val="00172FBF"/>
    <w:rsid w:val="001731AF"/>
    <w:rsid w:val="001734DA"/>
    <w:rsid w:val="00173826"/>
    <w:rsid w:val="00173D3B"/>
    <w:rsid w:val="00174140"/>
    <w:rsid w:val="0017420D"/>
    <w:rsid w:val="00174518"/>
    <w:rsid w:val="0017466F"/>
    <w:rsid w:val="001746BD"/>
    <w:rsid w:val="00174731"/>
    <w:rsid w:val="001754A3"/>
    <w:rsid w:val="0017552E"/>
    <w:rsid w:val="00175C89"/>
    <w:rsid w:val="00175FA3"/>
    <w:rsid w:val="001763F9"/>
    <w:rsid w:val="001767E3"/>
    <w:rsid w:val="001772DA"/>
    <w:rsid w:val="00177540"/>
    <w:rsid w:val="00177576"/>
    <w:rsid w:val="00177586"/>
    <w:rsid w:val="00177A2D"/>
    <w:rsid w:val="00177C27"/>
    <w:rsid w:val="0017C36B"/>
    <w:rsid w:val="00180122"/>
    <w:rsid w:val="001804C1"/>
    <w:rsid w:val="00180738"/>
    <w:rsid w:val="00180EC8"/>
    <w:rsid w:val="00180FD9"/>
    <w:rsid w:val="001813BA"/>
    <w:rsid w:val="001816D8"/>
    <w:rsid w:val="00181BC0"/>
    <w:rsid w:val="00182711"/>
    <w:rsid w:val="0018290B"/>
    <w:rsid w:val="00182C09"/>
    <w:rsid w:val="00182D1F"/>
    <w:rsid w:val="001831E9"/>
    <w:rsid w:val="001832E9"/>
    <w:rsid w:val="001836B6"/>
    <w:rsid w:val="00183740"/>
    <w:rsid w:val="00183BA2"/>
    <w:rsid w:val="0018483F"/>
    <w:rsid w:val="00184A6B"/>
    <w:rsid w:val="00184EF4"/>
    <w:rsid w:val="00185217"/>
    <w:rsid w:val="001859F4"/>
    <w:rsid w:val="00185C52"/>
    <w:rsid w:val="001861CB"/>
    <w:rsid w:val="0018698B"/>
    <w:rsid w:val="00186C6F"/>
    <w:rsid w:val="00186C8C"/>
    <w:rsid w:val="00187461"/>
    <w:rsid w:val="00187DC1"/>
    <w:rsid w:val="0019041C"/>
    <w:rsid w:val="00191081"/>
    <w:rsid w:val="001911A0"/>
    <w:rsid w:val="00191F7E"/>
    <w:rsid w:val="0019234F"/>
    <w:rsid w:val="00192CCF"/>
    <w:rsid w:val="001930A1"/>
    <w:rsid w:val="00193284"/>
    <w:rsid w:val="001933AC"/>
    <w:rsid w:val="001933D2"/>
    <w:rsid w:val="001933EF"/>
    <w:rsid w:val="0019386E"/>
    <w:rsid w:val="001940F3"/>
    <w:rsid w:val="001944E8"/>
    <w:rsid w:val="00194B0D"/>
    <w:rsid w:val="00195198"/>
    <w:rsid w:val="001957C1"/>
    <w:rsid w:val="00195B5E"/>
    <w:rsid w:val="00195CFE"/>
    <w:rsid w:val="001967E4"/>
    <w:rsid w:val="00196C11"/>
    <w:rsid w:val="00197199"/>
    <w:rsid w:val="0019767C"/>
    <w:rsid w:val="00197B69"/>
    <w:rsid w:val="00197C08"/>
    <w:rsid w:val="00197C0B"/>
    <w:rsid w:val="001A02BB"/>
    <w:rsid w:val="001A061E"/>
    <w:rsid w:val="001A078B"/>
    <w:rsid w:val="001A0A1C"/>
    <w:rsid w:val="001A0D72"/>
    <w:rsid w:val="001A0DA3"/>
    <w:rsid w:val="001A1491"/>
    <w:rsid w:val="001A185F"/>
    <w:rsid w:val="001A18F0"/>
    <w:rsid w:val="001A1EEF"/>
    <w:rsid w:val="001A25BF"/>
    <w:rsid w:val="001A2F2D"/>
    <w:rsid w:val="001A330F"/>
    <w:rsid w:val="001A3353"/>
    <w:rsid w:val="001A34F7"/>
    <w:rsid w:val="001A350A"/>
    <w:rsid w:val="001A3512"/>
    <w:rsid w:val="001A3DB7"/>
    <w:rsid w:val="001A44CE"/>
    <w:rsid w:val="001A4696"/>
    <w:rsid w:val="001A4B1A"/>
    <w:rsid w:val="001A4EA0"/>
    <w:rsid w:val="001A5044"/>
    <w:rsid w:val="001A5370"/>
    <w:rsid w:val="001A59BE"/>
    <w:rsid w:val="001A5E00"/>
    <w:rsid w:val="001A6039"/>
    <w:rsid w:val="001A6499"/>
    <w:rsid w:val="001A6926"/>
    <w:rsid w:val="001A6A40"/>
    <w:rsid w:val="001A6FA8"/>
    <w:rsid w:val="001A7BC7"/>
    <w:rsid w:val="001A7EDF"/>
    <w:rsid w:val="001B0AC9"/>
    <w:rsid w:val="001B0B9F"/>
    <w:rsid w:val="001B0C91"/>
    <w:rsid w:val="001B0CA9"/>
    <w:rsid w:val="001B0FFD"/>
    <w:rsid w:val="001B10A0"/>
    <w:rsid w:val="001B1249"/>
    <w:rsid w:val="001B2644"/>
    <w:rsid w:val="001B2E1C"/>
    <w:rsid w:val="001B3181"/>
    <w:rsid w:val="001B33A7"/>
    <w:rsid w:val="001B33B7"/>
    <w:rsid w:val="001B34D8"/>
    <w:rsid w:val="001B37F6"/>
    <w:rsid w:val="001B3C8F"/>
    <w:rsid w:val="001B3DB8"/>
    <w:rsid w:val="001B3EF3"/>
    <w:rsid w:val="001B402A"/>
    <w:rsid w:val="001B4C44"/>
    <w:rsid w:val="001B58E5"/>
    <w:rsid w:val="001B5BA1"/>
    <w:rsid w:val="001B5DB9"/>
    <w:rsid w:val="001B670B"/>
    <w:rsid w:val="001B6B66"/>
    <w:rsid w:val="001B6C9B"/>
    <w:rsid w:val="001B6EBA"/>
    <w:rsid w:val="001B6F61"/>
    <w:rsid w:val="001B7603"/>
    <w:rsid w:val="001B7796"/>
    <w:rsid w:val="001B7BEA"/>
    <w:rsid w:val="001B7F07"/>
    <w:rsid w:val="001C02F2"/>
    <w:rsid w:val="001C04E2"/>
    <w:rsid w:val="001C08D3"/>
    <w:rsid w:val="001C0950"/>
    <w:rsid w:val="001C0F13"/>
    <w:rsid w:val="001C12AA"/>
    <w:rsid w:val="001C16E1"/>
    <w:rsid w:val="001C1FF9"/>
    <w:rsid w:val="001C2054"/>
    <w:rsid w:val="001C21F5"/>
    <w:rsid w:val="001C25E3"/>
    <w:rsid w:val="001C26E8"/>
    <w:rsid w:val="001C29E2"/>
    <w:rsid w:val="001C2BA4"/>
    <w:rsid w:val="001C2C7C"/>
    <w:rsid w:val="001C2FAE"/>
    <w:rsid w:val="001C375D"/>
    <w:rsid w:val="001C39A4"/>
    <w:rsid w:val="001C3F3A"/>
    <w:rsid w:val="001C4560"/>
    <w:rsid w:val="001C4C9D"/>
    <w:rsid w:val="001C5594"/>
    <w:rsid w:val="001C58BA"/>
    <w:rsid w:val="001C58F4"/>
    <w:rsid w:val="001C5D02"/>
    <w:rsid w:val="001C5DED"/>
    <w:rsid w:val="001C6589"/>
    <w:rsid w:val="001C66FE"/>
    <w:rsid w:val="001C6786"/>
    <w:rsid w:val="001C6B58"/>
    <w:rsid w:val="001C6BC4"/>
    <w:rsid w:val="001C6CEA"/>
    <w:rsid w:val="001C6F13"/>
    <w:rsid w:val="001C7EC5"/>
    <w:rsid w:val="001D0303"/>
    <w:rsid w:val="001D052F"/>
    <w:rsid w:val="001D07B3"/>
    <w:rsid w:val="001D10D9"/>
    <w:rsid w:val="001D1379"/>
    <w:rsid w:val="001D19DE"/>
    <w:rsid w:val="001D1BBC"/>
    <w:rsid w:val="001D1D02"/>
    <w:rsid w:val="001D22DC"/>
    <w:rsid w:val="001D2381"/>
    <w:rsid w:val="001D24CE"/>
    <w:rsid w:val="001D2AC0"/>
    <w:rsid w:val="001D2BD7"/>
    <w:rsid w:val="001D3476"/>
    <w:rsid w:val="001D3609"/>
    <w:rsid w:val="001D36BD"/>
    <w:rsid w:val="001D3A86"/>
    <w:rsid w:val="001D3C84"/>
    <w:rsid w:val="001D4241"/>
    <w:rsid w:val="001D45D7"/>
    <w:rsid w:val="001D4761"/>
    <w:rsid w:val="001D47F9"/>
    <w:rsid w:val="001D4BAB"/>
    <w:rsid w:val="001D5307"/>
    <w:rsid w:val="001D575F"/>
    <w:rsid w:val="001D5A00"/>
    <w:rsid w:val="001D5A2B"/>
    <w:rsid w:val="001D5BBF"/>
    <w:rsid w:val="001D6891"/>
    <w:rsid w:val="001D6C64"/>
    <w:rsid w:val="001D7190"/>
    <w:rsid w:val="001D724E"/>
    <w:rsid w:val="001D7329"/>
    <w:rsid w:val="001D75F3"/>
    <w:rsid w:val="001D789E"/>
    <w:rsid w:val="001D78E9"/>
    <w:rsid w:val="001E0415"/>
    <w:rsid w:val="001E0D87"/>
    <w:rsid w:val="001E0ECE"/>
    <w:rsid w:val="001E120A"/>
    <w:rsid w:val="001E160F"/>
    <w:rsid w:val="001E16D2"/>
    <w:rsid w:val="001E20AE"/>
    <w:rsid w:val="001E263F"/>
    <w:rsid w:val="001E2826"/>
    <w:rsid w:val="001E2CB1"/>
    <w:rsid w:val="001E2CEB"/>
    <w:rsid w:val="001E375D"/>
    <w:rsid w:val="001E3825"/>
    <w:rsid w:val="001E3828"/>
    <w:rsid w:val="001E3DB9"/>
    <w:rsid w:val="001E3E25"/>
    <w:rsid w:val="001E4C5E"/>
    <w:rsid w:val="001E4C65"/>
    <w:rsid w:val="001E4C6A"/>
    <w:rsid w:val="001E4C86"/>
    <w:rsid w:val="001E4E74"/>
    <w:rsid w:val="001E566F"/>
    <w:rsid w:val="001E5BBD"/>
    <w:rsid w:val="001E5FE0"/>
    <w:rsid w:val="001E60E4"/>
    <w:rsid w:val="001E698B"/>
    <w:rsid w:val="001E6B84"/>
    <w:rsid w:val="001E6C41"/>
    <w:rsid w:val="001E6E8B"/>
    <w:rsid w:val="001E722F"/>
    <w:rsid w:val="001E7C23"/>
    <w:rsid w:val="001E7EDB"/>
    <w:rsid w:val="001F0886"/>
    <w:rsid w:val="001F12F2"/>
    <w:rsid w:val="001F1425"/>
    <w:rsid w:val="001F176B"/>
    <w:rsid w:val="001F1999"/>
    <w:rsid w:val="001F1A63"/>
    <w:rsid w:val="001F1B8C"/>
    <w:rsid w:val="001F1D0E"/>
    <w:rsid w:val="001F2919"/>
    <w:rsid w:val="001F2975"/>
    <w:rsid w:val="001F29C4"/>
    <w:rsid w:val="001F2C5C"/>
    <w:rsid w:val="001F3581"/>
    <w:rsid w:val="001F3777"/>
    <w:rsid w:val="001F3825"/>
    <w:rsid w:val="001F402C"/>
    <w:rsid w:val="001F41C7"/>
    <w:rsid w:val="001F4514"/>
    <w:rsid w:val="001F46F9"/>
    <w:rsid w:val="001F47D4"/>
    <w:rsid w:val="001F4CD1"/>
    <w:rsid w:val="001F5213"/>
    <w:rsid w:val="001F599E"/>
    <w:rsid w:val="001F5C00"/>
    <w:rsid w:val="001F5F56"/>
    <w:rsid w:val="001F5FAA"/>
    <w:rsid w:val="001F619A"/>
    <w:rsid w:val="001F69EF"/>
    <w:rsid w:val="001F69FA"/>
    <w:rsid w:val="001F6BD8"/>
    <w:rsid w:val="001F7166"/>
    <w:rsid w:val="001F7474"/>
    <w:rsid w:val="001F7542"/>
    <w:rsid w:val="001F7C1F"/>
    <w:rsid w:val="00200020"/>
    <w:rsid w:val="002005BD"/>
    <w:rsid w:val="00200BB2"/>
    <w:rsid w:val="00201403"/>
    <w:rsid w:val="002015E8"/>
    <w:rsid w:val="0020174D"/>
    <w:rsid w:val="002019CE"/>
    <w:rsid w:val="002020F0"/>
    <w:rsid w:val="002021B4"/>
    <w:rsid w:val="002021E7"/>
    <w:rsid w:val="0020226C"/>
    <w:rsid w:val="002023CB"/>
    <w:rsid w:val="0020241C"/>
    <w:rsid w:val="002027F4"/>
    <w:rsid w:val="002029AC"/>
    <w:rsid w:val="00202E87"/>
    <w:rsid w:val="00203026"/>
    <w:rsid w:val="00203651"/>
    <w:rsid w:val="00203719"/>
    <w:rsid w:val="00203B6C"/>
    <w:rsid w:val="00203B75"/>
    <w:rsid w:val="00203DDA"/>
    <w:rsid w:val="00204148"/>
    <w:rsid w:val="00204BD4"/>
    <w:rsid w:val="002050E1"/>
    <w:rsid w:val="002056E5"/>
    <w:rsid w:val="00205FB8"/>
    <w:rsid w:val="00206057"/>
    <w:rsid w:val="00206DAB"/>
    <w:rsid w:val="00206F77"/>
    <w:rsid w:val="002071C6"/>
    <w:rsid w:val="00207488"/>
    <w:rsid w:val="002076D9"/>
    <w:rsid w:val="0020793F"/>
    <w:rsid w:val="00207A2D"/>
    <w:rsid w:val="00207C06"/>
    <w:rsid w:val="00207C20"/>
    <w:rsid w:val="00207CAF"/>
    <w:rsid w:val="00207EC0"/>
    <w:rsid w:val="0021081E"/>
    <w:rsid w:val="00210AF5"/>
    <w:rsid w:val="00210E2C"/>
    <w:rsid w:val="00210E9B"/>
    <w:rsid w:val="00210EA8"/>
    <w:rsid w:val="00210FEE"/>
    <w:rsid w:val="002111EB"/>
    <w:rsid w:val="002116F0"/>
    <w:rsid w:val="00211DB6"/>
    <w:rsid w:val="00212013"/>
    <w:rsid w:val="0021215D"/>
    <w:rsid w:val="0021216C"/>
    <w:rsid w:val="00212B99"/>
    <w:rsid w:val="00212BC6"/>
    <w:rsid w:val="00212CF7"/>
    <w:rsid w:val="00212DC4"/>
    <w:rsid w:val="00212EED"/>
    <w:rsid w:val="00212FC1"/>
    <w:rsid w:val="0021329E"/>
    <w:rsid w:val="00213671"/>
    <w:rsid w:val="002136A7"/>
    <w:rsid w:val="0021458E"/>
    <w:rsid w:val="002146EE"/>
    <w:rsid w:val="002147BB"/>
    <w:rsid w:val="00214BEA"/>
    <w:rsid w:val="00214DF1"/>
    <w:rsid w:val="00214EBD"/>
    <w:rsid w:val="00215C22"/>
    <w:rsid w:val="00215CA2"/>
    <w:rsid w:val="00215D18"/>
    <w:rsid w:val="00215D9C"/>
    <w:rsid w:val="00216154"/>
    <w:rsid w:val="002162F3"/>
    <w:rsid w:val="00216CC6"/>
    <w:rsid w:val="00217175"/>
    <w:rsid w:val="00217641"/>
    <w:rsid w:val="00217B93"/>
    <w:rsid w:val="00217F1D"/>
    <w:rsid w:val="00217F8F"/>
    <w:rsid w:val="00220241"/>
    <w:rsid w:val="0022079D"/>
    <w:rsid w:val="00220DB8"/>
    <w:rsid w:val="0022280E"/>
    <w:rsid w:val="00222CBA"/>
    <w:rsid w:val="00223B13"/>
    <w:rsid w:val="00223C09"/>
    <w:rsid w:val="00223CEB"/>
    <w:rsid w:val="00224607"/>
    <w:rsid w:val="00224A11"/>
    <w:rsid w:val="00224B55"/>
    <w:rsid w:val="00224B8D"/>
    <w:rsid w:val="00224CF1"/>
    <w:rsid w:val="002257AD"/>
    <w:rsid w:val="00225B09"/>
    <w:rsid w:val="002260C0"/>
    <w:rsid w:val="002263B6"/>
    <w:rsid w:val="002264AC"/>
    <w:rsid w:val="00226AFF"/>
    <w:rsid w:val="00226DB1"/>
    <w:rsid w:val="002271FD"/>
    <w:rsid w:val="0022733D"/>
    <w:rsid w:val="00227642"/>
    <w:rsid w:val="002277DA"/>
    <w:rsid w:val="00227944"/>
    <w:rsid w:val="0022795F"/>
    <w:rsid w:val="00227ACD"/>
    <w:rsid w:val="00227C7C"/>
    <w:rsid w:val="00227CD2"/>
    <w:rsid w:val="00230148"/>
    <w:rsid w:val="002303BF"/>
    <w:rsid w:val="00230444"/>
    <w:rsid w:val="002309E9"/>
    <w:rsid w:val="00230B05"/>
    <w:rsid w:val="00230BBC"/>
    <w:rsid w:val="00231354"/>
    <w:rsid w:val="002313F2"/>
    <w:rsid w:val="0023146F"/>
    <w:rsid w:val="00231731"/>
    <w:rsid w:val="00231F31"/>
    <w:rsid w:val="00231F33"/>
    <w:rsid w:val="002323F0"/>
    <w:rsid w:val="002324C0"/>
    <w:rsid w:val="00232FF5"/>
    <w:rsid w:val="002336AF"/>
    <w:rsid w:val="002339FA"/>
    <w:rsid w:val="00233CBD"/>
    <w:rsid w:val="00233F10"/>
    <w:rsid w:val="00234257"/>
    <w:rsid w:val="002347F8"/>
    <w:rsid w:val="00234E26"/>
    <w:rsid w:val="00234F2A"/>
    <w:rsid w:val="00234F31"/>
    <w:rsid w:val="00235691"/>
    <w:rsid w:val="00235D2A"/>
    <w:rsid w:val="0023654E"/>
    <w:rsid w:val="002368DC"/>
    <w:rsid w:val="00236F60"/>
    <w:rsid w:val="0023712F"/>
    <w:rsid w:val="002374E6"/>
    <w:rsid w:val="00237950"/>
    <w:rsid w:val="00237FA7"/>
    <w:rsid w:val="0024027B"/>
    <w:rsid w:val="00240406"/>
    <w:rsid w:val="002407B6"/>
    <w:rsid w:val="00240848"/>
    <w:rsid w:val="0024091F"/>
    <w:rsid w:val="00241C95"/>
    <w:rsid w:val="00241FFF"/>
    <w:rsid w:val="002420B7"/>
    <w:rsid w:val="00242501"/>
    <w:rsid w:val="00242677"/>
    <w:rsid w:val="00242DC2"/>
    <w:rsid w:val="00242E6A"/>
    <w:rsid w:val="002433D5"/>
    <w:rsid w:val="00243B9E"/>
    <w:rsid w:val="002445C2"/>
    <w:rsid w:val="0024472D"/>
    <w:rsid w:val="0024481F"/>
    <w:rsid w:val="00244F6B"/>
    <w:rsid w:val="00245458"/>
    <w:rsid w:val="00245D3A"/>
    <w:rsid w:val="002466C3"/>
    <w:rsid w:val="002470E8"/>
    <w:rsid w:val="002479D0"/>
    <w:rsid w:val="00247AC6"/>
    <w:rsid w:val="0025062D"/>
    <w:rsid w:val="00251651"/>
    <w:rsid w:val="002519D4"/>
    <w:rsid w:val="00251B6E"/>
    <w:rsid w:val="00252123"/>
    <w:rsid w:val="002526D4"/>
    <w:rsid w:val="0025271F"/>
    <w:rsid w:val="002527E0"/>
    <w:rsid w:val="0025281D"/>
    <w:rsid w:val="00252A75"/>
    <w:rsid w:val="00252D83"/>
    <w:rsid w:val="00252EBB"/>
    <w:rsid w:val="002532F0"/>
    <w:rsid w:val="002536B5"/>
    <w:rsid w:val="002538FA"/>
    <w:rsid w:val="0025486C"/>
    <w:rsid w:val="00254BFD"/>
    <w:rsid w:val="0025501E"/>
    <w:rsid w:val="002551D9"/>
    <w:rsid w:val="00255298"/>
    <w:rsid w:val="002557E4"/>
    <w:rsid w:val="002559A7"/>
    <w:rsid w:val="00255C0C"/>
    <w:rsid w:val="00255D32"/>
    <w:rsid w:val="00255E7F"/>
    <w:rsid w:val="0025630A"/>
    <w:rsid w:val="002565CC"/>
    <w:rsid w:val="0025735D"/>
    <w:rsid w:val="00257599"/>
    <w:rsid w:val="00257898"/>
    <w:rsid w:val="00257984"/>
    <w:rsid w:val="00257C05"/>
    <w:rsid w:val="00257C85"/>
    <w:rsid w:val="00257DA3"/>
    <w:rsid w:val="00257E65"/>
    <w:rsid w:val="0026017E"/>
    <w:rsid w:val="0026023E"/>
    <w:rsid w:val="002607E5"/>
    <w:rsid w:val="00260A3E"/>
    <w:rsid w:val="00260C33"/>
    <w:rsid w:val="00260F90"/>
    <w:rsid w:val="002612C9"/>
    <w:rsid w:val="00261A29"/>
    <w:rsid w:val="00261AB0"/>
    <w:rsid w:val="00261CAB"/>
    <w:rsid w:val="002621A9"/>
    <w:rsid w:val="00262C72"/>
    <w:rsid w:val="00262F14"/>
    <w:rsid w:val="00262FF4"/>
    <w:rsid w:val="0026359A"/>
    <w:rsid w:val="00263768"/>
    <w:rsid w:val="002639C4"/>
    <w:rsid w:val="00263A89"/>
    <w:rsid w:val="002648D4"/>
    <w:rsid w:val="002648F9"/>
    <w:rsid w:val="002654EB"/>
    <w:rsid w:val="0026571F"/>
    <w:rsid w:val="00265B5D"/>
    <w:rsid w:val="00265E3D"/>
    <w:rsid w:val="00266017"/>
    <w:rsid w:val="00266298"/>
    <w:rsid w:val="002662A4"/>
    <w:rsid w:val="002664A4"/>
    <w:rsid w:val="00266E30"/>
    <w:rsid w:val="002672C1"/>
    <w:rsid w:val="00267D68"/>
    <w:rsid w:val="00267F69"/>
    <w:rsid w:val="00270BBA"/>
    <w:rsid w:val="00270BDD"/>
    <w:rsid w:val="00270F5F"/>
    <w:rsid w:val="00271C68"/>
    <w:rsid w:val="00272008"/>
    <w:rsid w:val="002720E9"/>
    <w:rsid w:val="00272859"/>
    <w:rsid w:val="00272912"/>
    <w:rsid w:val="00272C52"/>
    <w:rsid w:val="00272E56"/>
    <w:rsid w:val="00273291"/>
    <w:rsid w:val="0027367E"/>
    <w:rsid w:val="00273C75"/>
    <w:rsid w:val="00273C99"/>
    <w:rsid w:val="00273D1C"/>
    <w:rsid w:val="00273F42"/>
    <w:rsid w:val="0027402A"/>
    <w:rsid w:val="002757A7"/>
    <w:rsid w:val="00275D29"/>
    <w:rsid w:val="0027604B"/>
    <w:rsid w:val="002760DF"/>
    <w:rsid w:val="00276957"/>
    <w:rsid w:val="002769C7"/>
    <w:rsid w:val="00276AFD"/>
    <w:rsid w:val="00276D46"/>
    <w:rsid w:val="00276DF4"/>
    <w:rsid w:val="002774A6"/>
    <w:rsid w:val="002774BC"/>
    <w:rsid w:val="00277C2C"/>
    <w:rsid w:val="002801B9"/>
    <w:rsid w:val="0028052B"/>
    <w:rsid w:val="00281A24"/>
    <w:rsid w:val="00281C60"/>
    <w:rsid w:val="00281F58"/>
    <w:rsid w:val="00281FA3"/>
    <w:rsid w:val="00282039"/>
    <w:rsid w:val="0028205D"/>
    <w:rsid w:val="00282140"/>
    <w:rsid w:val="002821A1"/>
    <w:rsid w:val="002826A3"/>
    <w:rsid w:val="002826D2"/>
    <w:rsid w:val="002826EE"/>
    <w:rsid w:val="00282B17"/>
    <w:rsid w:val="00282C27"/>
    <w:rsid w:val="00283A77"/>
    <w:rsid w:val="002840E2"/>
    <w:rsid w:val="002845B0"/>
    <w:rsid w:val="002856AF"/>
    <w:rsid w:val="00285E1F"/>
    <w:rsid w:val="00286332"/>
    <w:rsid w:val="00286357"/>
    <w:rsid w:val="0028644C"/>
    <w:rsid w:val="002865B6"/>
    <w:rsid w:val="00286843"/>
    <w:rsid w:val="00286B1C"/>
    <w:rsid w:val="00286C17"/>
    <w:rsid w:val="00286DDF"/>
    <w:rsid w:val="00286F6A"/>
    <w:rsid w:val="00286FBB"/>
    <w:rsid w:val="00286FF6"/>
    <w:rsid w:val="00287050"/>
    <w:rsid w:val="00287444"/>
    <w:rsid w:val="00287524"/>
    <w:rsid w:val="0028774B"/>
    <w:rsid w:val="0028777F"/>
    <w:rsid w:val="0028779B"/>
    <w:rsid w:val="00287B05"/>
    <w:rsid w:val="002901DE"/>
    <w:rsid w:val="00290855"/>
    <w:rsid w:val="002909DC"/>
    <w:rsid w:val="00290AAC"/>
    <w:rsid w:val="00291041"/>
    <w:rsid w:val="00291076"/>
    <w:rsid w:val="00291300"/>
    <w:rsid w:val="002917C8"/>
    <w:rsid w:val="00291F04"/>
    <w:rsid w:val="0029207E"/>
    <w:rsid w:val="00292224"/>
    <w:rsid w:val="00292487"/>
    <w:rsid w:val="00292727"/>
    <w:rsid w:val="00292968"/>
    <w:rsid w:val="00292D68"/>
    <w:rsid w:val="00293738"/>
    <w:rsid w:val="00293A72"/>
    <w:rsid w:val="00293EEF"/>
    <w:rsid w:val="0029464E"/>
    <w:rsid w:val="0029479B"/>
    <w:rsid w:val="0029498B"/>
    <w:rsid w:val="00295149"/>
    <w:rsid w:val="00295234"/>
    <w:rsid w:val="002952BE"/>
    <w:rsid w:val="002957EA"/>
    <w:rsid w:val="00295858"/>
    <w:rsid w:val="00295B12"/>
    <w:rsid w:val="00295FE8"/>
    <w:rsid w:val="00296303"/>
    <w:rsid w:val="00296379"/>
    <w:rsid w:val="00296CC5"/>
    <w:rsid w:val="00296E80"/>
    <w:rsid w:val="00297747"/>
    <w:rsid w:val="002A03BF"/>
    <w:rsid w:val="002A088B"/>
    <w:rsid w:val="002A0D1E"/>
    <w:rsid w:val="002A10C4"/>
    <w:rsid w:val="002A1388"/>
    <w:rsid w:val="002A1A27"/>
    <w:rsid w:val="002A2029"/>
    <w:rsid w:val="002A2138"/>
    <w:rsid w:val="002A214A"/>
    <w:rsid w:val="002A2549"/>
    <w:rsid w:val="002A2915"/>
    <w:rsid w:val="002A2AF8"/>
    <w:rsid w:val="002A2E43"/>
    <w:rsid w:val="002A2F7D"/>
    <w:rsid w:val="002A3239"/>
    <w:rsid w:val="002A39A7"/>
    <w:rsid w:val="002A4ED4"/>
    <w:rsid w:val="002A5090"/>
    <w:rsid w:val="002A5801"/>
    <w:rsid w:val="002A6E56"/>
    <w:rsid w:val="002A72C7"/>
    <w:rsid w:val="002A7578"/>
    <w:rsid w:val="002A764A"/>
    <w:rsid w:val="002A7AC2"/>
    <w:rsid w:val="002A7DD6"/>
    <w:rsid w:val="002A7EE5"/>
    <w:rsid w:val="002B009D"/>
    <w:rsid w:val="002B0162"/>
    <w:rsid w:val="002B0491"/>
    <w:rsid w:val="002B0589"/>
    <w:rsid w:val="002B092D"/>
    <w:rsid w:val="002B0D07"/>
    <w:rsid w:val="002B0D9A"/>
    <w:rsid w:val="002B0FB3"/>
    <w:rsid w:val="002B12C0"/>
    <w:rsid w:val="002B14A0"/>
    <w:rsid w:val="002B1755"/>
    <w:rsid w:val="002B1BF8"/>
    <w:rsid w:val="002B1E98"/>
    <w:rsid w:val="002B1EEC"/>
    <w:rsid w:val="002B20B3"/>
    <w:rsid w:val="002B2357"/>
    <w:rsid w:val="002B252A"/>
    <w:rsid w:val="002B28AB"/>
    <w:rsid w:val="002B2B6B"/>
    <w:rsid w:val="002B33CF"/>
    <w:rsid w:val="002B33E3"/>
    <w:rsid w:val="002B35E6"/>
    <w:rsid w:val="002B3806"/>
    <w:rsid w:val="002B3DC3"/>
    <w:rsid w:val="002B3E12"/>
    <w:rsid w:val="002B3FB5"/>
    <w:rsid w:val="002B4537"/>
    <w:rsid w:val="002B4538"/>
    <w:rsid w:val="002B4B98"/>
    <w:rsid w:val="002B4CC0"/>
    <w:rsid w:val="002B50A4"/>
    <w:rsid w:val="002B59C0"/>
    <w:rsid w:val="002B5E79"/>
    <w:rsid w:val="002B66AF"/>
    <w:rsid w:val="002B7131"/>
    <w:rsid w:val="002B76D5"/>
    <w:rsid w:val="002B7768"/>
    <w:rsid w:val="002B7AF3"/>
    <w:rsid w:val="002C01BF"/>
    <w:rsid w:val="002C03CC"/>
    <w:rsid w:val="002C04CD"/>
    <w:rsid w:val="002C106E"/>
    <w:rsid w:val="002C1249"/>
    <w:rsid w:val="002C1B44"/>
    <w:rsid w:val="002C2685"/>
    <w:rsid w:val="002C269C"/>
    <w:rsid w:val="002C2BBE"/>
    <w:rsid w:val="002C31D5"/>
    <w:rsid w:val="002C3455"/>
    <w:rsid w:val="002C3CBB"/>
    <w:rsid w:val="002C433B"/>
    <w:rsid w:val="002C4380"/>
    <w:rsid w:val="002C44E3"/>
    <w:rsid w:val="002C4A0D"/>
    <w:rsid w:val="002C5046"/>
    <w:rsid w:val="002C5828"/>
    <w:rsid w:val="002C5A15"/>
    <w:rsid w:val="002C5D82"/>
    <w:rsid w:val="002C6127"/>
    <w:rsid w:val="002C646C"/>
    <w:rsid w:val="002C65F5"/>
    <w:rsid w:val="002C72DB"/>
    <w:rsid w:val="002C7A1B"/>
    <w:rsid w:val="002C7C0D"/>
    <w:rsid w:val="002C7D2A"/>
    <w:rsid w:val="002D032F"/>
    <w:rsid w:val="002D0A69"/>
    <w:rsid w:val="002D0C29"/>
    <w:rsid w:val="002D0DD4"/>
    <w:rsid w:val="002D15B8"/>
    <w:rsid w:val="002D16F8"/>
    <w:rsid w:val="002D1868"/>
    <w:rsid w:val="002D19BB"/>
    <w:rsid w:val="002D2DF7"/>
    <w:rsid w:val="002D307B"/>
    <w:rsid w:val="002D3201"/>
    <w:rsid w:val="002D3230"/>
    <w:rsid w:val="002D328B"/>
    <w:rsid w:val="002D396E"/>
    <w:rsid w:val="002D39BC"/>
    <w:rsid w:val="002D3BC8"/>
    <w:rsid w:val="002D4359"/>
    <w:rsid w:val="002D4931"/>
    <w:rsid w:val="002D4960"/>
    <w:rsid w:val="002D4F06"/>
    <w:rsid w:val="002D5861"/>
    <w:rsid w:val="002D5B5F"/>
    <w:rsid w:val="002D5FA4"/>
    <w:rsid w:val="002D6205"/>
    <w:rsid w:val="002D673B"/>
    <w:rsid w:val="002D71A2"/>
    <w:rsid w:val="002D71F4"/>
    <w:rsid w:val="002D786B"/>
    <w:rsid w:val="002E0515"/>
    <w:rsid w:val="002E06A7"/>
    <w:rsid w:val="002E0833"/>
    <w:rsid w:val="002E0EA9"/>
    <w:rsid w:val="002E1B2A"/>
    <w:rsid w:val="002E1ECE"/>
    <w:rsid w:val="002E25E0"/>
    <w:rsid w:val="002E26E9"/>
    <w:rsid w:val="002E2B01"/>
    <w:rsid w:val="002E2F00"/>
    <w:rsid w:val="002E31F9"/>
    <w:rsid w:val="002E3763"/>
    <w:rsid w:val="002E37AC"/>
    <w:rsid w:val="002E3829"/>
    <w:rsid w:val="002E38C6"/>
    <w:rsid w:val="002E3CF2"/>
    <w:rsid w:val="002E3E0A"/>
    <w:rsid w:val="002E3E32"/>
    <w:rsid w:val="002E413B"/>
    <w:rsid w:val="002E428C"/>
    <w:rsid w:val="002E43E3"/>
    <w:rsid w:val="002E4D10"/>
    <w:rsid w:val="002E4D7A"/>
    <w:rsid w:val="002E500E"/>
    <w:rsid w:val="002E50E2"/>
    <w:rsid w:val="002E54DA"/>
    <w:rsid w:val="002E587E"/>
    <w:rsid w:val="002E5A5C"/>
    <w:rsid w:val="002E5EC9"/>
    <w:rsid w:val="002E5F2D"/>
    <w:rsid w:val="002E60A5"/>
    <w:rsid w:val="002E60E1"/>
    <w:rsid w:val="002E684A"/>
    <w:rsid w:val="002E68E3"/>
    <w:rsid w:val="002E6905"/>
    <w:rsid w:val="002E762A"/>
    <w:rsid w:val="002E7B8D"/>
    <w:rsid w:val="002F0097"/>
    <w:rsid w:val="002F0597"/>
    <w:rsid w:val="002F07F9"/>
    <w:rsid w:val="002F0974"/>
    <w:rsid w:val="002F0C7A"/>
    <w:rsid w:val="002F1231"/>
    <w:rsid w:val="002F13DA"/>
    <w:rsid w:val="002F1550"/>
    <w:rsid w:val="002F1583"/>
    <w:rsid w:val="002F1887"/>
    <w:rsid w:val="002F19DC"/>
    <w:rsid w:val="002F21A8"/>
    <w:rsid w:val="002F2386"/>
    <w:rsid w:val="002F28F7"/>
    <w:rsid w:val="002F2933"/>
    <w:rsid w:val="002F2A01"/>
    <w:rsid w:val="002F3B10"/>
    <w:rsid w:val="002F3B2B"/>
    <w:rsid w:val="002F3B99"/>
    <w:rsid w:val="002F3DA5"/>
    <w:rsid w:val="002F4150"/>
    <w:rsid w:val="002F4ACF"/>
    <w:rsid w:val="002F4D31"/>
    <w:rsid w:val="002F5187"/>
    <w:rsid w:val="002F556E"/>
    <w:rsid w:val="002F57A1"/>
    <w:rsid w:val="002F5AC9"/>
    <w:rsid w:val="002F61D1"/>
    <w:rsid w:val="002F6923"/>
    <w:rsid w:val="002F70F2"/>
    <w:rsid w:val="002F718C"/>
    <w:rsid w:val="002F796E"/>
    <w:rsid w:val="0030038E"/>
    <w:rsid w:val="003003AD"/>
    <w:rsid w:val="00300423"/>
    <w:rsid w:val="00300C1C"/>
    <w:rsid w:val="00300DA7"/>
    <w:rsid w:val="00300EED"/>
    <w:rsid w:val="003013F7"/>
    <w:rsid w:val="003019EC"/>
    <w:rsid w:val="00301AAB"/>
    <w:rsid w:val="00301E2A"/>
    <w:rsid w:val="003020BF"/>
    <w:rsid w:val="003024B1"/>
    <w:rsid w:val="0030253C"/>
    <w:rsid w:val="003025FD"/>
    <w:rsid w:val="00302681"/>
    <w:rsid w:val="003029EE"/>
    <w:rsid w:val="00302C6F"/>
    <w:rsid w:val="00303556"/>
    <w:rsid w:val="0030359E"/>
    <w:rsid w:val="00303993"/>
    <w:rsid w:val="00303A3C"/>
    <w:rsid w:val="00303EF8"/>
    <w:rsid w:val="003043D0"/>
    <w:rsid w:val="0030472F"/>
    <w:rsid w:val="00304A87"/>
    <w:rsid w:val="00304FBB"/>
    <w:rsid w:val="00305493"/>
    <w:rsid w:val="003057E8"/>
    <w:rsid w:val="0030583B"/>
    <w:rsid w:val="00305D08"/>
    <w:rsid w:val="00306441"/>
    <w:rsid w:val="00306741"/>
    <w:rsid w:val="00306C92"/>
    <w:rsid w:val="003070F6"/>
    <w:rsid w:val="003070FE"/>
    <w:rsid w:val="003075F0"/>
    <w:rsid w:val="0030784A"/>
    <w:rsid w:val="0030790D"/>
    <w:rsid w:val="00307B2C"/>
    <w:rsid w:val="00310447"/>
    <w:rsid w:val="0031050F"/>
    <w:rsid w:val="0031078C"/>
    <w:rsid w:val="003107D2"/>
    <w:rsid w:val="0031087A"/>
    <w:rsid w:val="00310F32"/>
    <w:rsid w:val="0031123B"/>
    <w:rsid w:val="00311536"/>
    <w:rsid w:val="00311B73"/>
    <w:rsid w:val="00311FCF"/>
    <w:rsid w:val="00312920"/>
    <w:rsid w:val="003138C9"/>
    <w:rsid w:val="00313A1C"/>
    <w:rsid w:val="00313AB6"/>
    <w:rsid w:val="003142FD"/>
    <w:rsid w:val="00315472"/>
    <w:rsid w:val="0031576F"/>
    <w:rsid w:val="00315ABC"/>
    <w:rsid w:val="00315B43"/>
    <w:rsid w:val="00315F88"/>
    <w:rsid w:val="00316699"/>
    <w:rsid w:val="00316F4D"/>
    <w:rsid w:val="00317C03"/>
    <w:rsid w:val="003208C2"/>
    <w:rsid w:val="00320963"/>
    <w:rsid w:val="00320DAB"/>
    <w:rsid w:val="00320F2D"/>
    <w:rsid w:val="00321240"/>
    <w:rsid w:val="003215D5"/>
    <w:rsid w:val="0032166B"/>
    <w:rsid w:val="00321CE8"/>
    <w:rsid w:val="00321D7C"/>
    <w:rsid w:val="00322110"/>
    <w:rsid w:val="00322D43"/>
    <w:rsid w:val="00322D7B"/>
    <w:rsid w:val="00322FC0"/>
    <w:rsid w:val="0032303A"/>
    <w:rsid w:val="003230DC"/>
    <w:rsid w:val="00324004"/>
    <w:rsid w:val="0032448F"/>
    <w:rsid w:val="00324A8A"/>
    <w:rsid w:val="00324FA2"/>
    <w:rsid w:val="003254E7"/>
    <w:rsid w:val="00325E86"/>
    <w:rsid w:val="00326045"/>
    <w:rsid w:val="00326396"/>
    <w:rsid w:val="00326957"/>
    <w:rsid w:val="0032744F"/>
    <w:rsid w:val="003275C8"/>
    <w:rsid w:val="003276DF"/>
    <w:rsid w:val="003279EE"/>
    <w:rsid w:val="00327F41"/>
    <w:rsid w:val="003305BA"/>
    <w:rsid w:val="00330E23"/>
    <w:rsid w:val="00330F7D"/>
    <w:rsid w:val="0033106F"/>
    <w:rsid w:val="00331514"/>
    <w:rsid w:val="00331665"/>
    <w:rsid w:val="00331DF5"/>
    <w:rsid w:val="00331E79"/>
    <w:rsid w:val="00331EA0"/>
    <w:rsid w:val="0033245B"/>
    <w:rsid w:val="003324EE"/>
    <w:rsid w:val="00332E83"/>
    <w:rsid w:val="003330A1"/>
    <w:rsid w:val="003331F3"/>
    <w:rsid w:val="00333506"/>
    <w:rsid w:val="00333C67"/>
    <w:rsid w:val="00333D71"/>
    <w:rsid w:val="00334087"/>
    <w:rsid w:val="00334134"/>
    <w:rsid w:val="0033492F"/>
    <w:rsid w:val="003350AB"/>
    <w:rsid w:val="003351AB"/>
    <w:rsid w:val="00335608"/>
    <w:rsid w:val="00335CE4"/>
    <w:rsid w:val="00335F1A"/>
    <w:rsid w:val="00336165"/>
    <w:rsid w:val="003361EA"/>
    <w:rsid w:val="00336712"/>
    <w:rsid w:val="003367B9"/>
    <w:rsid w:val="00336A2F"/>
    <w:rsid w:val="003370AD"/>
    <w:rsid w:val="00337B38"/>
    <w:rsid w:val="00337D6A"/>
    <w:rsid w:val="00340604"/>
    <w:rsid w:val="00340BE7"/>
    <w:rsid w:val="00340CC6"/>
    <w:rsid w:val="00340CCD"/>
    <w:rsid w:val="00340D1A"/>
    <w:rsid w:val="0034107A"/>
    <w:rsid w:val="0034147D"/>
    <w:rsid w:val="0034176D"/>
    <w:rsid w:val="003422BF"/>
    <w:rsid w:val="00342973"/>
    <w:rsid w:val="00343098"/>
    <w:rsid w:val="00343297"/>
    <w:rsid w:val="003433E9"/>
    <w:rsid w:val="003434D8"/>
    <w:rsid w:val="00343622"/>
    <w:rsid w:val="00343759"/>
    <w:rsid w:val="003437BE"/>
    <w:rsid w:val="00343820"/>
    <w:rsid w:val="00343A1D"/>
    <w:rsid w:val="00343A5B"/>
    <w:rsid w:val="00343D1D"/>
    <w:rsid w:val="00343EC3"/>
    <w:rsid w:val="0034407D"/>
    <w:rsid w:val="003442A4"/>
    <w:rsid w:val="003449F0"/>
    <w:rsid w:val="00344B2A"/>
    <w:rsid w:val="003454D4"/>
    <w:rsid w:val="003458DF"/>
    <w:rsid w:val="00345E3B"/>
    <w:rsid w:val="003462D4"/>
    <w:rsid w:val="0034656D"/>
    <w:rsid w:val="00346C5F"/>
    <w:rsid w:val="00347144"/>
    <w:rsid w:val="00347661"/>
    <w:rsid w:val="00347CC3"/>
    <w:rsid w:val="00350140"/>
    <w:rsid w:val="00350162"/>
    <w:rsid w:val="003508F2"/>
    <w:rsid w:val="00350C73"/>
    <w:rsid w:val="0035105F"/>
    <w:rsid w:val="00351AD3"/>
    <w:rsid w:val="003523C6"/>
    <w:rsid w:val="003523D1"/>
    <w:rsid w:val="003525C5"/>
    <w:rsid w:val="003526B6"/>
    <w:rsid w:val="00352792"/>
    <w:rsid w:val="00352F2A"/>
    <w:rsid w:val="003535CC"/>
    <w:rsid w:val="003537E7"/>
    <w:rsid w:val="00353C0A"/>
    <w:rsid w:val="00353FC7"/>
    <w:rsid w:val="0035412C"/>
    <w:rsid w:val="00354351"/>
    <w:rsid w:val="00354483"/>
    <w:rsid w:val="003546C6"/>
    <w:rsid w:val="00354A15"/>
    <w:rsid w:val="00354C35"/>
    <w:rsid w:val="00354ECD"/>
    <w:rsid w:val="003550D2"/>
    <w:rsid w:val="0035513B"/>
    <w:rsid w:val="00355561"/>
    <w:rsid w:val="00355818"/>
    <w:rsid w:val="00355D19"/>
    <w:rsid w:val="003571B1"/>
    <w:rsid w:val="00357336"/>
    <w:rsid w:val="003577C2"/>
    <w:rsid w:val="0035798D"/>
    <w:rsid w:val="00357A14"/>
    <w:rsid w:val="00357AEC"/>
    <w:rsid w:val="00357C40"/>
    <w:rsid w:val="00357D00"/>
    <w:rsid w:val="00360806"/>
    <w:rsid w:val="00360AB4"/>
    <w:rsid w:val="00360E0A"/>
    <w:rsid w:val="00361441"/>
    <w:rsid w:val="00361603"/>
    <w:rsid w:val="00361828"/>
    <w:rsid w:val="00361964"/>
    <w:rsid w:val="003622EF"/>
    <w:rsid w:val="003630AC"/>
    <w:rsid w:val="003636F2"/>
    <w:rsid w:val="0036422C"/>
    <w:rsid w:val="003642D0"/>
    <w:rsid w:val="00364821"/>
    <w:rsid w:val="003648B2"/>
    <w:rsid w:val="00364908"/>
    <w:rsid w:val="00364D26"/>
    <w:rsid w:val="00365383"/>
    <w:rsid w:val="0036557A"/>
    <w:rsid w:val="0036587E"/>
    <w:rsid w:val="003659E1"/>
    <w:rsid w:val="00365BE1"/>
    <w:rsid w:val="00365BE8"/>
    <w:rsid w:val="00365DB4"/>
    <w:rsid w:val="00365F83"/>
    <w:rsid w:val="0036609D"/>
    <w:rsid w:val="003660C4"/>
    <w:rsid w:val="0036611F"/>
    <w:rsid w:val="00366194"/>
    <w:rsid w:val="003662E5"/>
    <w:rsid w:val="0036635D"/>
    <w:rsid w:val="003667A4"/>
    <w:rsid w:val="00366888"/>
    <w:rsid w:val="00367930"/>
    <w:rsid w:val="00367B76"/>
    <w:rsid w:val="00367DC6"/>
    <w:rsid w:val="00367E46"/>
    <w:rsid w:val="003704ED"/>
    <w:rsid w:val="003709BA"/>
    <w:rsid w:val="003714ED"/>
    <w:rsid w:val="003715A2"/>
    <w:rsid w:val="00371C86"/>
    <w:rsid w:val="00372164"/>
    <w:rsid w:val="00372C96"/>
    <w:rsid w:val="00372CE7"/>
    <w:rsid w:val="00372D16"/>
    <w:rsid w:val="00372EE0"/>
    <w:rsid w:val="00373105"/>
    <w:rsid w:val="003735AD"/>
    <w:rsid w:val="00373726"/>
    <w:rsid w:val="0037396C"/>
    <w:rsid w:val="00373C2D"/>
    <w:rsid w:val="00373D23"/>
    <w:rsid w:val="00373F3E"/>
    <w:rsid w:val="003744A3"/>
    <w:rsid w:val="00374667"/>
    <w:rsid w:val="0037488C"/>
    <w:rsid w:val="00374F96"/>
    <w:rsid w:val="003755E4"/>
    <w:rsid w:val="0037595D"/>
    <w:rsid w:val="00375CF8"/>
    <w:rsid w:val="0037626A"/>
    <w:rsid w:val="00376288"/>
    <w:rsid w:val="003765D9"/>
    <w:rsid w:val="00376821"/>
    <w:rsid w:val="003768EB"/>
    <w:rsid w:val="00376C23"/>
    <w:rsid w:val="003773F0"/>
    <w:rsid w:val="00377416"/>
    <w:rsid w:val="0037753B"/>
    <w:rsid w:val="003779C5"/>
    <w:rsid w:val="00377C65"/>
    <w:rsid w:val="003800D4"/>
    <w:rsid w:val="0038023A"/>
    <w:rsid w:val="00380482"/>
    <w:rsid w:val="003807FC"/>
    <w:rsid w:val="003808AB"/>
    <w:rsid w:val="00380CC0"/>
    <w:rsid w:val="00381418"/>
    <w:rsid w:val="003819D7"/>
    <w:rsid w:val="00381AD7"/>
    <w:rsid w:val="00382AB9"/>
    <w:rsid w:val="00382DA6"/>
    <w:rsid w:val="0038416C"/>
    <w:rsid w:val="003848AD"/>
    <w:rsid w:val="0038501C"/>
    <w:rsid w:val="003850F5"/>
    <w:rsid w:val="00385142"/>
    <w:rsid w:val="003855B8"/>
    <w:rsid w:val="003866A3"/>
    <w:rsid w:val="00386A62"/>
    <w:rsid w:val="00386BCB"/>
    <w:rsid w:val="00386E87"/>
    <w:rsid w:val="00386F05"/>
    <w:rsid w:val="003873D8"/>
    <w:rsid w:val="003877E1"/>
    <w:rsid w:val="00387818"/>
    <w:rsid w:val="0038786A"/>
    <w:rsid w:val="00390202"/>
    <w:rsid w:val="00390353"/>
    <w:rsid w:val="00390941"/>
    <w:rsid w:val="00390C3E"/>
    <w:rsid w:val="0039106D"/>
    <w:rsid w:val="0039110C"/>
    <w:rsid w:val="0039115F"/>
    <w:rsid w:val="003916AD"/>
    <w:rsid w:val="00391766"/>
    <w:rsid w:val="003917F4"/>
    <w:rsid w:val="00391893"/>
    <w:rsid w:val="00391A87"/>
    <w:rsid w:val="00392430"/>
    <w:rsid w:val="00392747"/>
    <w:rsid w:val="00392881"/>
    <w:rsid w:val="00392DC6"/>
    <w:rsid w:val="00393093"/>
    <w:rsid w:val="00393102"/>
    <w:rsid w:val="0039385C"/>
    <w:rsid w:val="00393B0D"/>
    <w:rsid w:val="00393D1B"/>
    <w:rsid w:val="00393D66"/>
    <w:rsid w:val="00393DA9"/>
    <w:rsid w:val="00393E42"/>
    <w:rsid w:val="00393E48"/>
    <w:rsid w:val="0039464A"/>
    <w:rsid w:val="003947D0"/>
    <w:rsid w:val="00394C12"/>
    <w:rsid w:val="003952D2"/>
    <w:rsid w:val="0039566A"/>
    <w:rsid w:val="00395816"/>
    <w:rsid w:val="00395C5E"/>
    <w:rsid w:val="00395F2F"/>
    <w:rsid w:val="00395FE6"/>
    <w:rsid w:val="003962C3"/>
    <w:rsid w:val="0039663B"/>
    <w:rsid w:val="00396858"/>
    <w:rsid w:val="00396983"/>
    <w:rsid w:val="003969D3"/>
    <w:rsid w:val="00396A8C"/>
    <w:rsid w:val="00396C6B"/>
    <w:rsid w:val="003973ED"/>
    <w:rsid w:val="003973FB"/>
    <w:rsid w:val="0039775D"/>
    <w:rsid w:val="003978EC"/>
    <w:rsid w:val="00397CFA"/>
    <w:rsid w:val="003A030E"/>
    <w:rsid w:val="003A064E"/>
    <w:rsid w:val="003A06EC"/>
    <w:rsid w:val="003A09D9"/>
    <w:rsid w:val="003A0BD7"/>
    <w:rsid w:val="003A10BF"/>
    <w:rsid w:val="003A1580"/>
    <w:rsid w:val="003A17FB"/>
    <w:rsid w:val="003A1B70"/>
    <w:rsid w:val="003A214E"/>
    <w:rsid w:val="003A22A4"/>
    <w:rsid w:val="003A2667"/>
    <w:rsid w:val="003A291F"/>
    <w:rsid w:val="003A3036"/>
    <w:rsid w:val="003A3452"/>
    <w:rsid w:val="003A3877"/>
    <w:rsid w:val="003A3A30"/>
    <w:rsid w:val="003A3E6B"/>
    <w:rsid w:val="003A3E6D"/>
    <w:rsid w:val="003A3EF4"/>
    <w:rsid w:val="003A4078"/>
    <w:rsid w:val="003A4A5D"/>
    <w:rsid w:val="003A4ADF"/>
    <w:rsid w:val="003A4B71"/>
    <w:rsid w:val="003A4C4D"/>
    <w:rsid w:val="003A4CFD"/>
    <w:rsid w:val="003A654D"/>
    <w:rsid w:val="003A669F"/>
    <w:rsid w:val="003A66DB"/>
    <w:rsid w:val="003A6DCA"/>
    <w:rsid w:val="003A6EA2"/>
    <w:rsid w:val="003A6F58"/>
    <w:rsid w:val="003A7185"/>
    <w:rsid w:val="003A731C"/>
    <w:rsid w:val="003A7412"/>
    <w:rsid w:val="003A7596"/>
    <w:rsid w:val="003A7AEF"/>
    <w:rsid w:val="003B02C3"/>
    <w:rsid w:val="003B043B"/>
    <w:rsid w:val="003B04D9"/>
    <w:rsid w:val="003B07E0"/>
    <w:rsid w:val="003B1605"/>
    <w:rsid w:val="003B1781"/>
    <w:rsid w:val="003B1917"/>
    <w:rsid w:val="003B23A5"/>
    <w:rsid w:val="003B2792"/>
    <w:rsid w:val="003B3595"/>
    <w:rsid w:val="003B3AAE"/>
    <w:rsid w:val="003B4A66"/>
    <w:rsid w:val="003B5029"/>
    <w:rsid w:val="003B577A"/>
    <w:rsid w:val="003B5B42"/>
    <w:rsid w:val="003B5F56"/>
    <w:rsid w:val="003B65E2"/>
    <w:rsid w:val="003B6BAE"/>
    <w:rsid w:val="003B6D1A"/>
    <w:rsid w:val="003B707C"/>
    <w:rsid w:val="003B7565"/>
    <w:rsid w:val="003B756F"/>
    <w:rsid w:val="003B7820"/>
    <w:rsid w:val="003B79F6"/>
    <w:rsid w:val="003B7AC2"/>
    <w:rsid w:val="003B7E87"/>
    <w:rsid w:val="003C09EB"/>
    <w:rsid w:val="003C0D28"/>
    <w:rsid w:val="003C0FE4"/>
    <w:rsid w:val="003C103F"/>
    <w:rsid w:val="003C1124"/>
    <w:rsid w:val="003C1300"/>
    <w:rsid w:val="003C152C"/>
    <w:rsid w:val="003C1B2A"/>
    <w:rsid w:val="003C20C0"/>
    <w:rsid w:val="003C2193"/>
    <w:rsid w:val="003C2B46"/>
    <w:rsid w:val="003C2DF0"/>
    <w:rsid w:val="003C2F35"/>
    <w:rsid w:val="003C2FBD"/>
    <w:rsid w:val="003C30AC"/>
    <w:rsid w:val="003C39DD"/>
    <w:rsid w:val="003C39F6"/>
    <w:rsid w:val="003C4115"/>
    <w:rsid w:val="003C44D7"/>
    <w:rsid w:val="003C44ED"/>
    <w:rsid w:val="003C4604"/>
    <w:rsid w:val="003C495F"/>
    <w:rsid w:val="003C4981"/>
    <w:rsid w:val="003C5831"/>
    <w:rsid w:val="003C6230"/>
    <w:rsid w:val="003C62F0"/>
    <w:rsid w:val="003C6679"/>
    <w:rsid w:val="003C67DD"/>
    <w:rsid w:val="003C6962"/>
    <w:rsid w:val="003C6B18"/>
    <w:rsid w:val="003C6B9A"/>
    <w:rsid w:val="003C6DF1"/>
    <w:rsid w:val="003C773A"/>
    <w:rsid w:val="003C7ED4"/>
    <w:rsid w:val="003D01A6"/>
    <w:rsid w:val="003D072A"/>
    <w:rsid w:val="003D09C9"/>
    <w:rsid w:val="003D0B03"/>
    <w:rsid w:val="003D0D95"/>
    <w:rsid w:val="003D10AC"/>
    <w:rsid w:val="003D1B18"/>
    <w:rsid w:val="003D1F1B"/>
    <w:rsid w:val="003D2355"/>
    <w:rsid w:val="003D23C8"/>
    <w:rsid w:val="003D23ED"/>
    <w:rsid w:val="003D296A"/>
    <w:rsid w:val="003D2D57"/>
    <w:rsid w:val="003D2D80"/>
    <w:rsid w:val="003D2E1C"/>
    <w:rsid w:val="003D2E3D"/>
    <w:rsid w:val="003D3589"/>
    <w:rsid w:val="003D385A"/>
    <w:rsid w:val="003D4AD4"/>
    <w:rsid w:val="003D5004"/>
    <w:rsid w:val="003D526C"/>
    <w:rsid w:val="003D52B8"/>
    <w:rsid w:val="003D53FA"/>
    <w:rsid w:val="003D5476"/>
    <w:rsid w:val="003D613A"/>
    <w:rsid w:val="003D6834"/>
    <w:rsid w:val="003D6DD9"/>
    <w:rsid w:val="003D75DD"/>
    <w:rsid w:val="003D7862"/>
    <w:rsid w:val="003D7911"/>
    <w:rsid w:val="003DD62B"/>
    <w:rsid w:val="003E011A"/>
    <w:rsid w:val="003E0355"/>
    <w:rsid w:val="003E131D"/>
    <w:rsid w:val="003E14DC"/>
    <w:rsid w:val="003E1915"/>
    <w:rsid w:val="003E1A4B"/>
    <w:rsid w:val="003E1B04"/>
    <w:rsid w:val="003E1E50"/>
    <w:rsid w:val="003E2468"/>
    <w:rsid w:val="003E248E"/>
    <w:rsid w:val="003E258C"/>
    <w:rsid w:val="003E2895"/>
    <w:rsid w:val="003E2B58"/>
    <w:rsid w:val="003E2F4E"/>
    <w:rsid w:val="003E31B7"/>
    <w:rsid w:val="003E3812"/>
    <w:rsid w:val="003E398C"/>
    <w:rsid w:val="003E3F21"/>
    <w:rsid w:val="003E447F"/>
    <w:rsid w:val="003E4504"/>
    <w:rsid w:val="003E4637"/>
    <w:rsid w:val="003E474A"/>
    <w:rsid w:val="003E4D2D"/>
    <w:rsid w:val="003E4DFE"/>
    <w:rsid w:val="003E4E41"/>
    <w:rsid w:val="003E51C7"/>
    <w:rsid w:val="003E52A3"/>
    <w:rsid w:val="003E53A4"/>
    <w:rsid w:val="003E590A"/>
    <w:rsid w:val="003E5BD7"/>
    <w:rsid w:val="003E5D1D"/>
    <w:rsid w:val="003E637B"/>
    <w:rsid w:val="003E6758"/>
    <w:rsid w:val="003E67DF"/>
    <w:rsid w:val="003E681D"/>
    <w:rsid w:val="003E6959"/>
    <w:rsid w:val="003E6BB5"/>
    <w:rsid w:val="003E7394"/>
    <w:rsid w:val="003E74B4"/>
    <w:rsid w:val="003E7B6A"/>
    <w:rsid w:val="003E7DA4"/>
    <w:rsid w:val="003F01DB"/>
    <w:rsid w:val="003F05D8"/>
    <w:rsid w:val="003F0645"/>
    <w:rsid w:val="003F06F2"/>
    <w:rsid w:val="003F0B17"/>
    <w:rsid w:val="003F0CFA"/>
    <w:rsid w:val="003F0E19"/>
    <w:rsid w:val="003F10CE"/>
    <w:rsid w:val="003F1618"/>
    <w:rsid w:val="003F165F"/>
    <w:rsid w:val="003F1885"/>
    <w:rsid w:val="003F1981"/>
    <w:rsid w:val="003F22E2"/>
    <w:rsid w:val="003F26C7"/>
    <w:rsid w:val="003F30AA"/>
    <w:rsid w:val="003F3109"/>
    <w:rsid w:val="003F31AF"/>
    <w:rsid w:val="003F32CB"/>
    <w:rsid w:val="003F336D"/>
    <w:rsid w:val="003F37D9"/>
    <w:rsid w:val="003F3805"/>
    <w:rsid w:val="003F3C81"/>
    <w:rsid w:val="003F48B2"/>
    <w:rsid w:val="003F4900"/>
    <w:rsid w:val="003F533A"/>
    <w:rsid w:val="003F568D"/>
    <w:rsid w:val="003F6312"/>
    <w:rsid w:val="003F6AFC"/>
    <w:rsid w:val="003F6CDA"/>
    <w:rsid w:val="003F7A31"/>
    <w:rsid w:val="003F7F46"/>
    <w:rsid w:val="00400003"/>
    <w:rsid w:val="004002C7"/>
    <w:rsid w:val="00400459"/>
    <w:rsid w:val="00400735"/>
    <w:rsid w:val="00400998"/>
    <w:rsid w:val="004009F2"/>
    <w:rsid w:val="00400D79"/>
    <w:rsid w:val="00401073"/>
    <w:rsid w:val="00401117"/>
    <w:rsid w:val="00401995"/>
    <w:rsid w:val="00401BA2"/>
    <w:rsid w:val="00401C7F"/>
    <w:rsid w:val="00401D80"/>
    <w:rsid w:val="0040274D"/>
    <w:rsid w:val="0040285B"/>
    <w:rsid w:val="00402BDE"/>
    <w:rsid w:val="00402BF0"/>
    <w:rsid w:val="00402D3A"/>
    <w:rsid w:val="00402E68"/>
    <w:rsid w:val="00403B7E"/>
    <w:rsid w:val="00403F01"/>
    <w:rsid w:val="004043AC"/>
    <w:rsid w:val="00404576"/>
    <w:rsid w:val="0040486F"/>
    <w:rsid w:val="00404899"/>
    <w:rsid w:val="00404BE4"/>
    <w:rsid w:val="004050C2"/>
    <w:rsid w:val="00405B5B"/>
    <w:rsid w:val="00405E5F"/>
    <w:rsid w:val="004062DF"/>
    <w:rsid w:val="004066F5"/>
    <w:rsid w:val="0040676E"/>
    <w:rsid w:val="00406CC2"/>
    <w:rsid w:val="00406D9F"/>
    <w:rsid w:val="004074E5"/>
    <w:rsid w:val="004103DA"/>
    <w:rsid w:val="00410563"/>
    <w:rsid w:val="00410602"/>
    <w:rsid w:val="004106A1"/>
    <w:rsid w:val="00410864"/>
    <w:rsid w:val="004108D1"/>
    <w:rsid w:val="004108F0"/>
    <w:rsid w:val="00410A2D"/>
    <w:rsid w:val="00410BD1"/>
    <w:rsid w:val="00410D35"/>
    <w:rsid w:val="00411656"/>
    <w:rsid w:val="00411EB6"/>
    <w:rsid w:val="00411F40"/>
    <w:rsid w:val="0041229C"/>
    <w:rsid w:val="0041336E"/>
    <w:rsid w:val="004137B3"/>
    <w:rsid w:val="00413DC6"/>
    <w:rsid w:val="004146B1"/>
    <w:rsid w:val="004147D4"/>
    <w:rsid w:val="00414A09"/>
    <w:rsid w:val="00414A81"/>
    <w:rsid w:val="00414E4F"/>
    <w:rsid w:val="00414FFD"/>
    <w:rsid w:val="004152DB"/>
    <w:rsid w:val="00415595"/>
    <w:rsid w:val="004158D3"/>
    <w:rsid w:val="00415E1C"/>
    <w:rsid w:val="004161C3"/>
    <w:rsid w:val="00417419"/>
    <w:rsid w:val="0041751B"/>
    <w:rsid w:val="004175F9"/>
    <w:rsid w:val="00417BB1"/>
    <w:rsid w:val="00417D7E"/>
    <w:rsid w:val="00420026"/>
    <w:rsid w:val="004202DD"/>
    <w:rsid w:val="00420329"/>
    <w:rsid w:val="00420D77"/>
    <w:rsid w:val="00421EC9"/>
    <w:rsid w:val="00422434"/>
    <w:rsid w:val="00422629"/>
    <w:rsid w:val="004229A6"/>
    <w:rsid w:val="00422EE1"/>
    <w:rsid w:val="00423E05"/>
    <w:rsid w:val="00423E93"/>
    <w:rsid w:val="00424974"/>
    <w:rsid w:val="004251A1"/>
    <w:rsid w:val="0042534D"/>
    <w:rsid w:val="00425B63"/>
    <w:rsid w:val="00425D79"/>
    <w:rsid w:val="00425E2B"/>
    <w:rsid w:val="00425E6E"/>
    <w:rsid w:val="004264D2"/>
    <w:rsid w:val="0042674A"/>
    <w:rsid w:val="00426902"/>
    <w:rsid w:val="00426981"/>
    <w:rsid w:val="00426C6D"/>
    <w:rsid w:val="00426FFF"/>
    <w:rsid w:val="00427074"/>
    <w:rsid w:val="0042726D"/>
    <w:rsid w:val="0042747A"/>
    <w:rsid w:val="00427743"/>
    <w:rsid w:val="004278F8"/>
    <w:rsid w:val="00427C23"/>
    <w:rsid w:val="00427C54"/>
    <w:rsid w:val="004300F4"/>
    <w:rsid w:val="004305AF"/>
    <w:rsid w:val="00430941"/>
    <w:rsid w:val="0043102E"/>
    <w:rsid w:val="0043135B"/>
    <w:rsid w:val="004320AA"/>
    <w:rsid w:val="00432785"/>
    <w:rsid w:val="004329DA"/>
    <w:rsid w:val="00432D6C"/>
    <w:rsid w:val="00433074"/>
    <w:rsid w:val="004333B8"/>
    <w:rsid w:val="00433592"/>
    <w:rsid w:val="004346AE"/>
    <w:rsid w:val="00434AC8"/>
    <w:rsid w:val="00434EA5"/>
    <w:rsid w:val="004350D4"/>
    <w:rsid w:val="00435823"/>
    <w:rsid w:val="0043599B"/>
    <w:rsid w:val="00435C6C"/>
    <w:rsid w:val="004361F4"/>
    <w:rsid w:val="00436A20"/>
    <w:rsid w:val="00436DE3"/>
    <w:rsid w:val="00437471"/>
    <w:rsid w:val="00437A8F"/>
    <w:rsid w:val="00437B48"/>
    <w:rsid w:val="00437C9B"/>
    <w:rsid w:val="0044008F"/>
    <w:rsid w:val="00440400"/>
    <w:rsid w:val="00440461"/>
    <w:rsid w:val="00441263"/>
    <w:rsid w:val="00441480"/>
    <w:rsid w:val="0044149D"/>
    <w:rsid w:val="00441A59"/>
    <w:rsid w:val="00441AB7"/>
    <w:rsid w:val="00441D03"/>
    <w:rsid w:val="00441F4D"/>
    <w:rsid w:val="0044201B"/>
    <w:rsid w:val="0044291A"/>
    <w:rsid w:val="00442F68"/>
    <w:rsid w:val="00443A62"/>
    <w:rsid w:val="00443A85"/>
    <w:rsid w:val="00443C20"/>
    <w:rsid w:val="004442FE"/>
    <w:rsid w:val="00444437"/>
    <w:rsid w:val="00444AA5"/>
    <w:rsid w:val="00444F3C"/>
    <w:rsid w:val="00445042"/>
    <w:rsid w:val="00445152"/>
    <w:rsid w:val="0044531E"/>
    <w:rsid w:val="004453D7"/>
    <w:rsid w:val="00445819"/>
    <w:rsid w:val="00445B75"/>
    <w:rsid w:val="00446437"/>
    <w:rsid w:val="0044670A"/>
    <w:rsid w:val="00446E7E"/>
    <w:rsid w:val="00446FCE"/>
    <w:rsid w:val="004470B7"/>
    <w:rsid w:val="00447CFE"/>
    <w:rsid w:val="00447D3B"/>
    <w:rsid w:val="00447F66"/>
    <w:rsid w:val="004501E6"/>
    <w:rsid w:val="00450442"/>
    <w:rsid w:val="0045061F"/>
    <w:rsid w:val="00451110"/>
    <w:rsid w:val="004511CA"/>
    <w:rsid w:val="00451631"/>
    <w:rsid w:val="00451B7C"/>
    <w:rsid w:val="00451F01"/>
    <w:rsid w:val="00451F0C"/>
    <w:rsid w:val="004524DF"/>
    <w:rsid w:val="0045272F"/>
    <w:rsid w:val="00452CA4"/>
    <w:rsid w:val="004533B0"/>
    <w:rsid w:val="00453689"/>
    <w:rsid w:val="004538AD"/>
    <w:rsid w:val="00453C1B"/>
    <w:rsid w:val="0045407D"/>
    <w:rsid w:val="0045445F"/>
    <w:rsid w:val="00454BD7"/>
    <w:rsid w:val="00454E4A"/>
    <w:rsid w:val="00455310"/>
    <w:rsid w:val="004557F4"/>
    <w:rsid w:val="00456365"/>
    <w:rsid w:val="00456DF7"/>
    <w:rsid w:val="00456E47"/>
    <w:rsid w:val="00456F0D"/>
    <w:rsid w:val="00457326"/>
    <w:rsid w:val="0045745F"/>
    <w:rsid w:val="00457B30"/>
    <w:rsid w:val="00457BEA"/>
    <w:rsid w:val="00460033"/>
    <w:rsid w:val="00460405"/>
    <w:rsid w:val="0046085A"/>
    <w:rsid w:val="00460DC4"/>
    <w:rsid w:val="00460F89"/>
    <w:rsid w:val="00461327"/>
    <w:rsid w:val="00461469"/>
    <w:rsid w:val="0046158F"/>
    <w:rsid w:val="0046183A"/>
    <w:rsid w:val="004619EE"/>
    <w:rsid w:val="00461AE0"/>
    <w:rsid w:val="00461CB7"/>
    <w:rsid w:val="00461FCF"/>
    <w:rsid w:val="00462013"/>
    <w:rsid w:val="0046331C"/>
    <w:rsid w:val="00463327"/>
    <w:rsid w:val="00463AB1"/>
    <w:rsid w:val="00463D91"/>
    <w:rsid w:val="00464054"/>
    <w:rsid w:val="004649EB"/>
    <w:rsid w:val="00465305"/>
    <w:rsid w:val="00465AEB"/>
    <w:rsid w:val="00465B9E"/>
    <w:rsid w:val="00465DBD"/>
    <w:rsid w:val="00466008"/>
    <w:rsid w:val="00466147"/>
    <w:rsid w:val="004663E8"/>
    <w:rsid w:val="004663FF"/>
    <w:rsid w:val="00466F06"/>
    <w:rsid w:val="00467ADD"/>
    <w:rsid w:val="00467B65"/>
    <w:rsid w:val="0047011B"/>
    <w:rsid w:val="00470393"/>
    <w:rsid w:val="004708E0"/>
    <w:rsid w:val="004709D0"/>
    <w:rsid w:val="00471250"/>
    <w:rsid w:val="00471548"/>
    <w:rsid w:val="0047189E"/>
    <w:rsid w:val="00472698"/>
    <w:rsid w:val="00472A61"/>
    <w:rsid w:val="00472B22"/>
    <w:rsid w:val="00473097"/>
    <w:rsid w:val="00473233"/>
    <w:rsid w:val="0047339D"/>
    <w:rsid w:val="00473CC8"/>
    <w:rsid w:val="00473CF9"/>
    <w:rsid w:val="00474C0C"/>
    <w:rsid w:val="0047523B"/>
    <w:rsid w:val="00475269"/>
    <w:rsid w:val="00475310"/>
    <w:rsid w:val="00475831"/>
    <w:rsid w:val="00475B7D"/>
    <w:rsid w:val="00475C5E"/>
    <w:rsid w:val="00475CA8"/>
    <w:rsid w:val="00476090"/>
    <w:rsid w:val="004760FF"/>
    <w:rsid w:val="004764F3"/>
    <w:rsid w:val="0047694E"/>
    <w:rsid w:val="00476CA4"/>
    <w:rsid w:val="00476E09"/>
    <w:rsid w:val="00477064"/>
    <w:rsid w:val="004770A2"/>
    <w:rsid w:val="0047715A"/>
    <w:rsid w:val="004772B4"/>
    <w:rsid w:val="0047778C"/>
    <w:rsid w:val="00477851"/>
    <w:rsid w:val="004778B7"/>
    <w:rsid w:val="00477A03"/>
    <w:rsid w:val="00477DFD"/>
    <w:rsid w:val="00477E9F"/>
    <w:rsid w:val="004804E6"/>
    <w:rsid w:val="00480545"/>
    <w:rsid w:val="00480669"/>
    <w:rsid w:val="004811C8"/>
    <w:rsid w:val="00481381"/>
    <w:rsid w:val="004814E1"/>
    <w:rsid w:val="00481AF0"/>
    <w:rsid w:val="00481C12"/>
    <w:rsid w:val="00482053"/>
    <w:rsid w:val="00482369"/>
    <w:rsid w:val="00482375"/>
    <w:rsid w:val="004824F9"/>
    <w:rsid w:val="004827E9"/>
    <w:rsid w:val="004829FA"/>
    <w:rsid w:val="00482A39"/>
    <w:rsid w:val="00483888"/>
    <w:rsid w:val="00483A4D"/>
    <w:rsid w:val="00483CD6"/>
    <w:rsid w:val="00483D94"/>
    <w:rsid w:val="00483FC3"/>
    <w:rsid w:val="0048439F"/>
    <w:rsid w:val="004844BA"/>
    <w:rsid w:val="00484642"/>
    <w:rsid w:val="0048475D"/>
    <w:rsid w:val="00484BF0"/>
    <w:rsid w:val="0048515A"/>
    <w:rsid w:val="00485237"/>
    <w:rsid w:val="00486215"/>
    <w:rsid w:val="00486AE1"/>
    <w:rsid w:val="00486B70"/>
    <w:rsid w:val="00486BE4"/>
    <w:rsid w:val="00486EE6"/>
    <w:rsid w:val="004874C8"/>
    <w:rsid w:val="00487654"/>
    <w:rsid w:val="004879C8"/>
    <w:rsid w:val="004906C9"/>
    <w:rsid w:val="00490C50"/>
    <w:rsid w:val="004910B5"/>
    <w:rsid w:val="00491C20"/>
    <w:rsid w:val="00491C48"/>
    <w:rsid w:val="00492384"/>
    <w:rsid w:val="00492A9F"/>
    <w:rsid w:val="004932F1"/>
    <w:rsid w:val="00493A6A"/>
    <w:rsid w:val="00493B3D"/>
    <w:rsid w:val="00493B8F"/>
    <w:rsid w:val="00493D07"/>
    <w:rsid w:val="00493F6F"/>
    <w:rsid w:val="0049412A"/>
    <w:rsid w:val="00494382"/>
    <w:rsid w:val="00494781"/>
    <w:rsid w:val="00494892"/>
    <w:rsid w:val="00494B3D"/>
    <w:rsid w:val="00494CF8"/>
    <w:rsid w:val="00494DC6"/>
    <w:rsid w:val="00494E29"/>
    <w:rsid w:val="00494E55"/>
    <w:rsid w:val="0049560A"/>
    <w:rsid w:val="00495A4C"/>
    <w:rsid w:val="00495B9F"/>
    <w:rsid w:val="00495F2C"/>
    <w:rsid w:val="004963F8"/>
    <w:rsid w:val="00496626"/>
    <w:rsid w:val="00496785"/>
    <w:rsid w:val="004969C3"/>
    <w:rsid w:val="00496CB6"/>
    <w:rsid w:val="00496D7C"/>
    <w:rsid w:val="00496FDD"/>
    <w:rsid w:val="0049748E"/>
    <w:rsid w:val="00497730"/>
    <w:rsid w:val="00497904"/>
    <w:rsid w:val="00497AF3"/>
    <w:rsid w:val="00497AF5"/>
    <w:rsid w:val="00497F6E"/>
    <w:rsid w:val="004A0306"/>
    <w:rsid w:val="004A0909"/>
    <w:rsid w:val="004A0B84"/>
    <w:rsid w:val="004A1430"/>
    <w:rsid w:val="004A16F4"/>
    <w:rsid w:val="004A18F1"/>
    <w:rsid w:val="004A191E"/>
    <w:rsid w:val="004A1C73"/>
    <w:rsid w:val="004A1E3E"/>
    <w:rsid w:val="004A220B"/>
    <w:rsid w:val="004A2737"/>
    <w:rsid w:val="004A2A3C"/>
    <w:rsid w:val="004A2D38"/>
    <w:rsid w:val="004A33FF"/>
    <w:rsid w:val="004A3955"/>
    <w:rsid w:val="004A3C23"/>
    <w:rsid w:val="004A44ED"/>
    <w:rsid w:val="004A454B"/>
    <w:rsid w:val="004A4884"/>
    <w:rsid w:val="004A49E2"/>
    <w:rsid w:val="004A54B7"/>
    <w:rsid w:val="004A550B"/>
    <w:rsid w:val="004A5684"/>
    <w:rsid w:val="004A587C"/>
    <w:rsid w:val="004A60D4"/>
    <w:rsid w:val="004A61C6"/>
    <w:rsid w:val="004A651C"/>
    <w:rsid w:val="004A655A"/>
    <w:rsid w:val="004A6826"/>
    <w:rsid w:val="004A6A14"/>
    <w:rsid w:val="004A6A5F"/>
    <w:rsid w:val="004A7381"/>
    <w:rsid w:val="004A7448"/>
    <w:rsid w:val="004A74C4"/>
    <w:rsid w:val="004A7765"/>
    <w:rsid w:val="004A798B"/>
    <w:rsid w:val="004B014A"/>
    <w:rsid w:val="004B027B"/>
    <w:rsid w:val="004B032E"/>
    <w:rsid w:val="004B0345"/>
    <w:rsid w:val="004B0486"/>
    <w:rsid w:val="004B0934"/>
    <w:rsid w:val="004B0970"/>
    <w:rsid w:val="004B17BE"/>
    <w:rsid w:val="004B193C"/>
    <w:rsid w:val="004B1F91"/>
    <w:rsid w:val="004B2B5D"/>
    <w:rsid w:val="004B2B80"/>
    <w:rsid w:val="004B2C2C"/>
    <w:rsid w:val="004B315D"/>
    <w:rsid w:val="004B342A"/>
    <w:rsid w:val="004B3A3A"/>
    <w:rsid w:val="004B4651"/>
    <w:rsid w:val="004B49A3"/>
    <w:rsid w:val="004B4CDD"/>
    <w:rsid w:val="004B55D3"/>
    <w:rsid w:val="004B5803"/>
    <w:rsid w:val="004B5835"/>
    <w:rsid w:val="004B5A55"/>
    <w:rsid w:val="004B5B45"/>
    <w:rsid w:val="004B630D"/>
    <w:rsid w:val="004B64AD"/>
    <w:rsid w:val="004B6655"/>
    <w:rsid w:val="004B66D5"/>
    <w:rsid w:val="004B6A64"/>
    <w:rsid w:val="004B6BF3"/>
    <w:rsid w:val="004B6C1B"/>
    <w:rsid w:val="004B76EC"/>
    <w:rsid w:val="004B7B97"/>
    <w:rsid w:val="004B7E28"/>
    <w:rsid w:val="004B7E79"/>
    <w:rsid w:val="004B7E99"/>
    <w:rsid w:val="004C0D95"/>
    <w:rsid w:val="004C10D0"/>
    <w:rsid w:val="004C16E1"/>
    <w:rsid w:val="004C1728"/>
    <w:rsid w:val="004C189B"/>
    <w:rsid w:val="004C192E"/>
    <w:rsid w:val="004C219B"/>
    <w:rsid w:val="004C266E"/>
    <w:rsid w:val="004C2709"/>
    <w:rsid w:val="004C2735"/>
    <w:rsid w:val="004C2C77"/>
    <w:rsid w:val="004C3044"/>
    <w:rsid w:val="004C33C5"/>
    <w:rsid w:val="004C3D79"/>
    <w:rsid w:val="004C44DC"/>
    <w:rsid w:val="004C47C0"/>
    <w:rsid w:val="004C4CC8"/>
    <w:rsid w:val="004C4D45"/>
    <w:rsid w:val="004C55F1"/>
    <w:rsid w:val="004C5A62"/>
    <w:rsid w:val="004C5B7E"/>
    <w:rsid w:val="004C69E4"/>
    <w:rsid w:val="004C76B5"/>
    <w:rsid w:val="004C7702"/>
    <w:rsid w:val="004C7CCA"/>
    <w:rsid w:val="004C7E71"/>
    <w:rsid w:val="004C7F7F"/>
    <w:rsid w:val="004D05CC"/>
    <w:rsid w:val="004D0FAE"/>
    <w:rsid w:val="004D1313"/>
    <w:rsid w:val="004D14B0"/>
    <w:rsid w:val="004D174C"/>
    <w:rsid w:val="004D1868"/>
    <w:rsid w:val="004D18B8"/>
    <w:rsid w:val="004D1BAA"/>
    <w:rsid w:val="004D1E88"/>
    <w:rsid w:val="004D1F07"/>
    <w:rsid w:val="004D229A"/>
    <w:rsid w:val="004D2522"/>
    <w:rsid w:val="004D26E9"/>
    <w:rsid w:val="004D2716"/>
    <w:rsid w:val="004D27F4"/>
    <w:rsid w:val="004D2A74"/>
    <w:rsid w:val="004D326D"/>
    <w:rsid w:val="004D38B4"/>
    <w:rsid w:val="004D3D56"/>
    <w:rsid w:val="004D40CE"/>
    <w:rsid w:val="004D4121"/>
    <w:rsid w:val="004D4249"/>
    <w:rsid w:val="004D432A"/>
    <w:rsid w:val="004D4508"/>
    <w:rsid w:val="004D5A6D"/>
    <w:rsid w:val="004D5D39"/>
    <w:rsid w:val="004D60FB"/>
    <w:rsid w:val="004D6738"/>
    <w:rsid w:val="004D6967"/>
    <w:rsid w:val="004D6F2C"/>
    <w:rsid w:val="004D6F7A"/>
    <w:rsid w:val="004D6FE0"/>
    <w:rsid w:val="004D735E"/>
    <w:rsid w:val="004D764B"/>
    <w:rsid w:val="004D7A5D"/>
    <w:rsid w:val="004D7D49"/>
    <w:rsid w:val="004E0CB2"/>
    <w:rsid w:val="004E0DC7"/>
    <w:rsid w:val="004E1196"/>
    <w:rsid w:val="004E163C"/>
    <w:rsid w:val="004E16B5"/>
    <w:rsid w:val="004E18AD"/>
    <w:rsid w:val="004E195C"/>
    <w:rsid w:val="004E1B03"/>
    <w:rsid w:val="004E1DD0"/>
    <w:rsid w:val="004E1F85"/>
    <w:rsid w:val="004E225E"/>
    <w:rsid w:val="004E31F0"/>
    <w:rsid w:val="004E32B3"/>
    <w:rsid w:val="004E42B6"/>
    <w:rsid w:val="004E4914"/>
    <w:rsid w:val="004E4D99"/>
    <w:rsid w:val="004E51D2"/>
    <w:rsid w:val="004E595E"/>
    <w:rsid w:val="004E59CF"/>
    <w:rsid w:val="004E5C4D"/>
    <w:rsid w:val="004E620D"/>
    <w:rsid w:val="004E6211"/>
    <w:rsid w:val="004E6288"/>
    <w:rsid w:val="004E65A6"/>
    <w:rsid w:val="004E65CC"/>
    <w:rsid w:val="004E666A"/>
    <w:rsid w:val="004E67B7"/>
    <w:rsid w:val="004E751B"/>
    <w:rsid w:val="004E770F"/>
    <w:rsid w:val="004E7ADB"/>
    <w:rsid w:val="004E7E73"/>
    <w:rsid w:val="004E7FB8"/>
    <w:rsid w:val="004F01AB"/>
    <w:rsid w:val="004F03A6"/>
    <w:rsid w:val="004F048F"/>
    <w:rsid w:val="004F0561"/>
    <w:rsid w:val="004F09A8"/>
    <w:rsid w:val="004F0B5C"/>
    <w:rsid w:val="004F0B6E"/>
    <w:rsid w:val="004F10C9"/>
    <w:rsid w:val="004F124F"/>
    <w:rsid w:val="004F166D"/>
    <w:rsid w:val="004F212F"/>
    <w:rsid w:val="004F2BBA"/>
    <w:rsid w:val="004F2E39"/>
    <w:rsid w:val="004F2E3D"/>
    <w:rsid w:val="004F33B3"/>
    <w:rsid w:val="004F3E55"/>
    <w:rsid w:val="004F3E9E"/>
    <w:rsid w:val="004F4259"/>
    <w:rsid w:val="004F4296"/>
    <w:rsid w:val="004F4329"/>
    <w:rsid w:val="004F492B"/>
    <w:rsid w:val="004F4C3D"/>
    <w:rsid w:val="004F50AD"/>
    <w:rsid w:val="004F5623"/>
    <w:rsid w:val="004F5B00"/>
    <w:rsid w:val="004F5BF2"/>
    <w:rsid w:val="004F62E7"/>
    <w:rsid w:val="004F690C"/>
    <w:rsid w:val="004F6EEF"/>
    <w:rsid w:val="004F7377"/>
    <w:rsid w:val="004F78EC"/>
    <w:rsid w:val="005004C3"/>
    <w:rsid w:val="00500DC9"/>
    <w:rsid w:val="00500E1B"/>
    <w:rsid w:val="00501045"/>
    <w:rsid w:val="005010EF"/>
    <w:rsid w:val="005013EE"/>
    <w:rsid w:val="005018DE"/>
    <w:rsid w:val="0050217A"/>
    <w:rsid w:val="0050275D"/>
    <w:rsid w:val="005027E1"/>
    <w:rsid w:val="005027EE"/>
    <w:rsid w:val="00502FD9"/>
    <w:rsid w:val="00503329"/>
    <w:rsid w:val="005035C6"/>
    <w:rsid w:val="00503C97"/>
    <w:rsid w:val="00503D0D"/>
    <w:rsid w:val="00504357"/>
    <w:rsid w:val="005044DB"/>
    <w:rsid w:val="00504539"/>
    <w:rsid w:val="0050495F"/>
    <w:rsid w:val="00504E0B"/>
    <w:rsid w:val="005050DB"/>
    <w:rsid w:val="00505272"/>
    <w:rsid w:val="00505FC5"/>
    <w:rsid w:val="005061B6"/>
    <w:rsid w:val="00506275"/>
    <w:rsid w:val="005068EC"/>
    <w:rsid w:val="005069A7"/>
    <w:rsid w:val="00507395"/>
    <w:rsid w:val="005076BB"/>
    <w:rsid w:val="00507703"/>
    <w:rsid w:val="005079DB"/>
    <w:rsid w:val="00507B3E"/>
    <w:rsid w:val="00507C24"/>
    <w:rsid w:val="005101DA"/>
    <w:rsid w:val="005110D4"/>
    <w:rsid w:val="005112A0"/>
    <w:rsid w:val="0051134A"/>
    <w:rsid w:val="00511FE2"/>
    <w:rsid w:val="00512520"/>
    <w:rsid w:val="00512688"/>
    <w:rsid w:val="005126D3"/>
    <w:rsid w:val="005128F7"/>
    <w:rsid w:val="00512BF9"/>
    <w:rsid w:val="00512D48"/>
    <w:rsid w:val="00512DAB"/>
    <w:rsid w:val="00512F2F"/>
    <w:rsid w:val="005131C9"/>
    <w:rsid w:val="005132E5"/>
    <w:rsid w:val="00513528"/>
    <w:rsid w:val="005143D4"/>
    <w:rsid w:val="0051468E"/>
    <w:rsid w:val="00514760"/>
    <w:rsid w:val="00514CBC"/>
    <w:rsid w:val="00514F65"/>
    <w:rsid w:val="0051599B"/>
    <w:rsid w:val="005159A9"/>
    <w:rsid w:val="00515AC0"/>
    <w:rsid w:val="0051610A"/>
    <w:rsid w:val="00516D2D"/>
    <w:rsid w:val="0051730A"/>
    <w:rsid w:val="005178BA"/>
    <w:rsid w:val="00517B17"/>
    <w:rsid w:val="00517C03"/>
    <w:rsid w:val="00517CF2"/>
    <w:rsid w:val="00520395"/>
    <w:rsid w:val="005205B7"/>
    <w:rsid w:val="005208A4"/>
    <w:rsid w:val="00520C94"/>
    <w:rsid w:val="00521B91"/>
    <w:rsid w:val="00522356"/>
    <w:rsid w:val="0052282F"/>
    <w:rsid w:val="00522913"/>
    <w:rsid w:val="0052301A"/>
    <w:rsid w:val="005233EA"/>
    <w:rsid w:val="00523C22"/>
    <w:rsid w:val="00523EC4"/>
    <w:rsid w:val="00524404"/>
    <w:rsid w:val="005244EB"/>
    <w:rsid w:val="00524C39"/>
    <w:rsid w:val="00524CB1"/>
    <w:rsid w:val="00524EC1"/>
    <w:rsid w:val="00524FE2"/>
    <w:rsid w:val="00525048"/>
    <w:rsid w:val="005251DC"/>
    <w:rsid w:val="00525240"/>
    <w:rsid w:val="005252C5"/>
    <w:rsid w:val="00525372"/>
    <w:rsid w:val="005253A6"/>
    <w:rsid w:val="005258E3"/>
    <w:rsid w:val="005259FF"/>
    <w:rsid w:val="00525BE5"/>
    <w:rsid w:val="00525E50"/>
    <w:rsid w:val="00526103"/>
    <w:rsid w:val="0052616E"/>
    <w:rsid w:val="00526197"/>
    <w:rsid w:val="0052633A"/>
    <w:rsid w:val="00526533"/>
    <w:rsid w:val="00526A0F"/>
    <w:rsid w:val="00526B71"/>
    <w:rsid w:val="00526B87"/>
    <w:rsid w:val="005274E3"/>
    <w:rsid w:val="0052761E"/>
    <w:rsid w:val="0053046D"/>
    <w:rsid w:val="00530755"/>
    <w:rsid w:val="005316A6"/>
    <w:rsid w:val="00531838"/>
    <w:rsid w:val="00531F44"/>
    <w:rsid w:val="005321C5"/>
    <w:rsid w:val="005323CD"/>
    <w:rsid w:val="00533354"/>
    <w:rsid w:val="0053383C"/>
    <w:rsid w:val="00533B05"/>
    <w:rsid w:val="005346B5"/>
    <w:rsid w:val="0053537E"/>
    <w:rsid w:val="00535462"/>
    <w:rsid w:val="00535491"/>
    <w:rsid w:val="00535588"/>
    <w:rsid w:val="00536F5E"/>
    <w:rsid w:val="005378AF"/>
    <w:rsid w:val="00537C50"/>
    <w:rsid w:val="00537D8A"/>
    <w:rsid w:val="00537E03"/>
    <w:rsid w:val="00540075"/>
    <w:rsid w:val="005401E1"/>
    <w:rsid w:val="00540290"/>
    <w:rsid w:val="0054047E"/>
    <w:rsid w:val="005404CA"/>
    <w:rsid w:val="00540944"/>
    <w:rsid w:val="00541471"/>
    <w:rsid w:val="00541718"/>
    <w:rsid w:val="005418E5"/>
    <w:rsid w:val="00541996"/>
    <w:rsid w:val="00541B56"/>
    <w:rsid w:val="00541CF6"/>
    <w:rsid w:val="00541E4D"/>
    <w:rsid w:val="00541F24"/>
    <w:rsid w:val="005421AD"/>
    <w:rsid w:val="00542236"/>
    <w:rsid w:val="005424AA"/>
    <w:rsid w:val="005429A1"/>
    <w:rsid w:val="00542D89"/>
    <w:rsid w:val="005432B7"/>
    <w:rsid w:val="005435FF"/>
    <w:rsid w:val="00543A07"/>
    <w:rsid w:val="00543C09"/>
    <w:rsid w:val="00544214"/>
    <w:rsid w:val="00544590"/>
    <w:rsid w:val="005450B5"/>
    <w:rsid w:val="00545369"/>
    <w:rsid w:val="005458AA"/>
    <w:rsid w:val="00545FE9"/>
    <w:rsid w:val="00546046"/>
    <w:rsid w:val="0054672D"/>
    <w:rsid w:val="00547228"/>
    <w:rsid w:val="005474D4"/>
    <w:rsid w:val="00547580"/>
    <w:rsid w:val="005476FC"/>
    <w:rsid w:val="005477B4"/>
    <w:rsid w:val="00550EA2"/>
    <w:rsid w:val="00551299"/>
    <w:rsid w:val="00551BA6"/>
    <w:rsid w:val="00551C80"/>
    <w:rsid w:val="00551CE6"/>
    <w:rsid w:val="00551F1E"/>
    <w:rsid w:val="00552430"/>
    <w:rsid w:val="00552ACC"/>
    <w:rsid w:val="00552F07"/>
    <w:rsid w:val="00552FA9"/>
    <w:rsid w:val="0055319E"/>
    <w:rsid w:val="005534D3"/>
    <w:rsid w:val="00553550"/>
    <w:rsid w:val="0055371B"/>
    <w:rsid w:val="00553FDA"/>
    <w:rsid w:val="005540A6"/>
    <w:rsid w:val="0055489F"/>
    <w:rsid w:val="00554934"/>
    <w:rsid w:val="0055493F"/>
    <w:rsid w:val="0055558C"/>
    <w:rsid w:val="00555809"/>
    <w:rsid w:val="00555A59"/>
    <w:rsid w:val="00555F44"/>
    <w:rsid w:val="005560C7"/>
    <w:rsid w:val="0055657E"/>
    <w:rsid w:val="00556885"/>
    <w:rsid w:val="00556D22"/>
    <w:rsid w:val="00556F38"/>
    <w:rsid w:val="00557282"/>
    <w:rsid w:val="00557313"/>
    <w:rsid w:val="00557378"/>
    <w:rsid w:val="00557882"/>
    <w:rsid w:val="005578AC"/>
    <w:rsid w:val="00557B17"/>
    <w:rsid w:val="00557B25"/>
    <w:rsid w:val="00557D97"/>
    <w:rsid w:val="00557E4D"/>
    <w:rsid w:val="00557E4E"/>
    <w:rsid w:val="0056045B"/>
    <w:rsid w:val="0056072D"/>
    <w:rsid w:val="00560737"/>
    <w:rsid w:val="00561754"/>
    <w:rsid w:val="00561A10"/>
    <w:rsid w:val="00562319"/>
    <w:rsid w:val="005629BA"/>
    <w:rsid w:val="00562ABB"/>
    <w:rsid w:val="00562E46"/>
    <w:rsid w:val="0056333D"/>
    <w:rsid w:val="005635D2"/>
    <w:rsid w:val="00563686"/>
    <w:rsid w:val="00563804"/>
    <w:rsid w:val="00563963"/>
    <w:rsid w:val="0056405C"/>
    <w:rsid w:val="00564065"/>
    <w:rsid w:val="00564B46"/>
    <w:rsid w:val="00564CB1"/>
    <w:rsid w:val="00564D6F"/>
    <w:rsid w:val="00564E4F"/>
    <w:rsid w:val="005655A6"/>
    <w:rsid w:val="0056561D"/>
    <w:rsid w:val="0056565B"/>
    <w:rsid w:val="005658BB"/>
    <w:rsid w:val="005659D7"/>
    <w:rsid w:val="00565C44"/>
    <w:rsid w:val="00565CB1"/>
    <w:rsid w:val="00565CD2"/>
    <w:rsid w:val="00565D61"/>
    <w:rsid w:val="00565E1E"/>
    <w:rsid w:val="005661C0"/>
    <w:rsid w:val="0056630A"/>
    <w:rsid w:val="00566384"/>
    <w:rsid w:val="0056652D"/>
    <w:rsid w:val="00566851"/>
    <w:rsid w:val="00566ECB"/>
    <w:rsid w:val="00567C5A"/>
    <w:rsid w:val="00567D7C"/>
    <w:rsid w:val="00570499"/>
    <w:rsid w:val="00570C47"/>
    <w:rsid w:val="00570D73"/>
    <w:rsid w:val="00570F48"/>
    <w:rsid w:val="00570F50"/>
    <w:rsid w:val="0057114C"/>
    <w:rsid w:val="0057294F"/>
    <w:rsid w:val="00572C26"/>
    <w:rsid w:val="0057330A"/>
    <w:rsid w:val="005734E1"/>
    <w:rsid w:val="00573700"/>
    <w:rsid w:val="005744A4"/>
    <w:rsid w:val="005748CE"/>
    <w:rsid w:val="00574C57"/>
    <w:rsid w:val="00574F3E"/>
    <w:rsid w:val="00574F9D"/>
    <w:rsid w:val="00575406"/>
    <w:rsid w:val="005756BE"/>
    <w:rsid w:val="005757A5"/>
    <w:rsid w:val="00575A45"/>
    <w:rsid w:val="00575D7D"/>
    <w:rsid w:val="005764F3"/>
    <w:rsid w:val="00576A2B"/>
    <w:rsid w:val="0057706E"/>
    <w:rsid w:val="005770D2"/>
    <w:rsid w:val="00577319"/>
    <w:rsid w:val="005776B1"/>
    <w:rsid w:val="0057789A"/>
    <w:rsid w:val="00577C50"/>
    <w:rsid w:val="00577F0C"/>
    <w:rsid w:val="00580346"/>
    <w:rsid w:val="005808D0"/>
    <w:rsid w:val="00580939"/>
    <w:rsid w:val="00580A73"/>
    <w:rsid w:val="00581386"/>
    <w:rsid w:val="0058140A"/>
    <w:rsid w:val="00581567"/>
    <w:rsid w:val="00581770"/>
    <w:rsid w:val="00581A71"/>
    <w:rsid w:val="00581DB3"/>
    <w:rsid w:val="00581FCB"/>
    <w:rsid w:val="005820E3"/>
    <w:rsid w:val="00582883"/>
    <w:rsid w:val="0058290A"/>
    <w:rsid w:val="0058303E"/>
    <w:rsid w:val="005834E1"/>
    <w:rsid w:val="005836F0"/>
    <w:rsid w:val="0058382B"/>
    <w:rsid w:val="00584067"/>
    <w:rsid w:val="00584092"/>
    <w:rsid w:val="00584920"/>
    <w:rsid w:val="00584B06"/>
    <w:rsid w:val="00584B39"/>
    <w:rsid w:val="00584BA9"/>
    <w:rsid w:val="00584C78"/>
    <w:rsid w:val="00584DDB"/>
    <w:rsid w:val="00584EB6"/>
    <w:rsid w:val="00584ECA"/>
    <w:rsid w:val="0058589E"/>
    <w:rsid w:val="0058594B"/>
    <w:rsid w:val="00585CB8"/>
    <w:rsid w:val="00585DFD"/>
    <w:rsid w:val="005873F1"/>
    <w:rsid w:val="00587771"/>
    <w:rsid w:val="00587C2C"/>
    <w:rsid w:val="00587C9F"/>
    <w:rsid w:val="005902AA"/>
    <w:rsid w:val="0059056F"/>
    <w:rsid w:val="00590E28"/>
    <w:rsid w:val="005922C4"/>
    <w:rsid w:val="005923E5"/>
    <w:rsid w:val="0059273A"/>
    <w:rsid w:val="0059301D"/>
    <w:rsid w:val="00593FAE"/>
    <w:rsid w:val="005940DA"/>
    <w:rsid w:val="0059469F"/>
    <w:rsid w:val="00594782"/>
    <w:rsid w:val="00594FBA"/>
    <w:rsid w:val="0059504E"/>
    <w:rsid w:val="005950EA"/>
    <w:rsid w:val="0059539A"/>
    <w:rsid w:val="005962DD"/>
    <w:rsid w:val="00596388"/>
    <w:rsid w:val="005963F6"/>
    <w:rsid w:val="005964FF"/>
    <w:rsid w:val="00596525"/>
    <w:rsid w:val="005970A3"/>
    <w:rsid w:val="0059744A"/>
    <w:rsid w:val="005A0317"/>
    <w:rsid w:val="005A0414"/>
    <w:rsid w:val="005A0619"/>
    <w:rsid w:val="005A0EBB"/>
    <w:rsid w:val="005A0F2B"/>
    <w:rsid w:val="005A1CAD"/>
    <w:rsid w:val="005A256C"/>
    <w:rsid w:val="005A2957"/>
    <w:rsid w:val="005A2C66"/>
    <w:rsid w:val="005A3269"/>
    <w:rsid w:val="005A35F8"/>
    <w:rsid w:val="005A3DFF"/>
    <w:rsid w:val="005A415E"/>
    <w:rsid w:val="005A4AE3"/>
    <w:rsid w:val="005A50B4"/>
    <w:rsid w:val="005A5340"/>
    <w:rsid w:val="005A55C6"/>
    <w:rsid w:val="005A5F08"/>
    <w:rsid w:val="005A60FB"/>
    <w:rsid w:val="005A61C2"/>
    <w:rsid w:val="005A633D"/>
    <w:rsid w:val="005A673E"/>
    <w:rsid w:val="005A6F58"/>
    <w:rsid w:val="005A707E"/>
    <w:rsid w:val="005A724F"/>
    <w:rsid w:val="005A768A"/>
    <w:rsid w:val="005A78D0"/>
    <w:rsid w:val="005B09C6"/>
    <w:rsid w:val="005B0E2E"/>
    <w:rsid w:val="005B0F57"/>
    <w:rsid w:val="005B12F4"/>
    <w:rsid w:val="005B131B"/>
    <w:rsid w:val="005B194A"/>
    <w:rsid w:val="005B205D"/>
    <w:rsid w:val="005B20F5"/>
    <w:rsid w:val="005B21B8"/>
    <w:rsid w:val="005B2483"/>
    <w:rsid w:val="005B2522"/>
    <w:rsid w:val="005B2B18"/>
    <w:rsid w:val="005B2C8C"/>
    <w:rsid w:val="005B3196"/>
    <w:rsid w:val="005B3E5C"/>
    <w:rsid w:val="005B3E88"/>
    <w:rsid w:val="005B4696"/>
    <w:rsid w:val="005B46AD"/>
    <w:rsid w:val="005B4792"/>
    <w:rsid w:val="005B48AA"/>
    <w:rsid w:val="005B49B9"/>
    <w:rsid w:val="005B4B10"/>
    <w:rsid w:val="005B4F07"/>
    <w:rsid w:val="005B4F9F"/>
    <w:rsid w:val="005B5450"/>
    <w:rsid w:val="005B5502"/>
    <w:rsid w:val="005B6185"/>
    <w:rsid w:val="005B61EB"/>
    <w:rsid w:val="005B6431"/>
    <w:rsid w:val="005B652F"/>
    <w:rsid w:val="005B6A3C"/>
    <w:rsid w:val="005B6D5A"/>
    <w:rsid w:val="005B71AA"/>
    <w:rsid w:val="005B732B"/>
    <w:rsid w:val="005B742F"/>
    <w:rsid w:val="005B780D"/>
    <w:rsid w:val="005B7906"/>
    <w:rsid w:val="005B792F"/>
    <w:rsid w:val="005B7D2B"/>
    <w:rsid w:val="005C00FD"/>
    <w:rsid w:val="005C01EB"/>
    <w:rsid w:val="005C03E8"/>
    <w:rsid w:val="005C04FC"/>
    <w:rsid w:val="005C0648"/>
    <w:rsid w:val="005C06CC"/>
    <w:rsid w:val="005C0D39"/>
    <w:rsid w:val="005C1DBC"/>
    <w:rsid w:val="005C1FE7"/>
    <w:rsid w:val="005C2386"/>
    <w:rsid w:val="005C2637"/>
    <w:rsid w:val="005C295F"/>
    <w:rsid w:val="005C3047"/>
    <w:rsid w:val="005C33C0"/>
    <w:rsid w:val="005C3B86"/>
    <w:rsid w:val="005C3F34"/>
    <w:rsid w:val="005C401A"/>
    <w:rsid w:val="005C4C32"/>
    <w:rsid w:val="005C4D56"/>
    <w:rsid w:val="005C4D96"/>
    <w:rsid w:val="005C505C"/>
    <w:rsid w:val="005C5367"/>
    <w:rsid w:val="005C54BB"/>
    <w:rsid w:val="005C5634"/>
    <w:rsid w:val="005C5AFE"/>
    <w:rsid w:val="005C62F5"/>
    <w:rsid w:val="005C670B"/>
    <w:rsid w:val="005C6A35"/>
    <w:rsid w:val="005C6AAC"/>
    <w:rsid w:val="005C6B65"/>
    <w:rsid w:val="005C6C7C"/>
    <w:rsid w:val="005C7400"/>
    <w:rsid w:val="005C745E"/>
    <w:rsid w:val="005C74BC"/>
    <w:rsid w:val="005C773E"/>
    <w:rsid w:val="005C7D5F"/>
    <w:rsid w:val="005C7F6E"/>
    <w:rsid w:val="005D0381"/>
    <w:rsid w:val="005D080B"/>
    <w:rsid w:val="005D0B1B"/>
    <w:rsid w:val="005D0BDB"/>
    <w:rsid w:val="005D0C08"/>
    <w:rsid w:val="005D0F56"/>
    <w:rsid w:val="005D20E0"/>
    <w:rsid w:val="005D22D2"/>
    <w:rsid w:val="005D284E"/>
    <w:rsid w:val="005D2987"/>
    <w:rsid w:val="005D29B1"/>
    <w:rsid w:val="005D368B"/>
    <w:rsid w:val="005D3898"/>
    <w:rsid w:val="005D3F20"/>
    <w:rsid w:val="005D4C90"/>
    <w:rsid w:val="005D50C4"/>
    <w:rsid w:val="005D517B"/>
    <w:rsid w:val="005D53BB"/>
    <w:rsid w:val="005D570D"/>
    <w:rsid w:val="005D5812"/>
    <w:rsid w:val="005D5F25"/>
    <w:rsid w:val="005D5FEA"/>
    <w:rsid w:val="005D6232"/>
    <w:rsid w:val="005D6707"/>
    <w:rsid w:val="005D67CB"/>
    <w:rsid w:val="005D6AFE"/>
    <w:rsid w:val="005D6F11"/>
    <w:rsid w:val="005D7911"/>
    <w:rsid w:val="005D7997"/>
    <w:rsid w:val="005E0298"/>
    <w:rsid w:val="005E02AA"/>
    <w:rsid w:val="005E04C2"/>
    <w:rsid w:val="005E05B9"/>
    <w:rsid w:val="005E067E"/>
    <w:rsid w:val="005E074B"/>
    <w:rsid w:val="005E08C5"/>
    <w:rsid w:val="005E0985"/>
    <w:rsid w:val="005E09B6"/>
    <w:rsid w:val="005E0A21"/>
    <w:rsid w:val="005E0BE5"/>
    <w:rsid w:val="005E0E04"/>
    <w:rsid w:val="005E0F95"/>
    <w:rsid w:val="005E1328"/>
    <w:rsid w:val="005E142F"/>
    <w:rsid w:val="005E1951"/>
    <w:rsid w:val="005E1AFC"/>
    <w:rsid w:val="005E1C47"/>
    <w:rsid w:val="005E2982"/>
    <w:rsid w:val="005E2BD6"/>
    <w:rsid w:val="005E2CEE"/>
    <w:rsid w:val="005E3C1E"/>
    <w:rsid w:val="005E3D19"/>
    <w:rsid w:val="005E4366"/>
    <w:rsid w:val="005E4990"/>
    <w:rsid w:val="005E4AF3"/>
    <w:rsid w:val="005E4FA7"/>
    <w:rsid w:val="005E547C"/>
    <w:rsid w:val="005E5D5E"/>
    <w:rsid w:val="005E6180"/>
    <w:rsid w:val="005E658F"/>
    <w:rsid w:val="005E670B"/>
    <w:rsid w:val="005E67AE"/>
    <w:rsid w:val="005E69A0"/>
    <w:rsid w:val="005E6C0A"/>
    <w:rsid w:val="005E6C14"/>
    <w:rsid w:val="005E6DAD"/>
    <w:rsid w:val="005E79C1"/>
    <w:rsid w:val="005E7AF2"/>
    <w:rsid w:val="005E7DC5"/>
    <w:rsid w:val="005E7EE0"/>
    <w:rsid w:val="005F05DF"/>
    <w:rsid w:val="005F0BA2"/>
    <w:rsid w:val="005F0CDC"/>
    <w:rsid w:val="005F0FB5"/>
    <w:rsid w:val="005F10CB"/>
    <w:rsid w:val="005F11E3"/>
    <w:rsid w:val="005F191A"/>
    <w:rsid w:val="005F1988"/>
    <w:rsid w:val="005F1FCD"/>
    <w:rsid w:val="005F2249"/>
    <w:rsid w:val="005F2506"/>
    <w:rsid w:val="005F2613"/>
    <w:rsid w:val="005F26A7"/>
    <w:rsid w:val="005F2BA1"/>
    <w:rsid w:val="005F2F3A"/>
    <w:rsid w:val="005F3477"/>
    <w:rsid w:val="005F3544"/>
    <w:rsid w:val="005F356E"/>
    <w:rsid w:val="005F3826"/>
    <w:rsid w:val="005F3B70"/>
    <w:rsid w:val="005F3B79"/>
    <w:rsid w:val="005F3F55"/>
    <w:rsid w:val="005F411C"/>
    <w:rsid w:val="005F45E8"/>
    <w:rsid w:val="005F4840"/>
    <w:rsid w:val="005F48BE"/>
    <w:rsid w:val="005F4C94"/>
    <w:rsid w:val="005F4CEB"/>
    <w:rsid w:val="005F5378"/>
    <w:rsid w:val="005F58EB"/>
    <w:rsid w:val="005F59A1"/>
    <w:rsid w:val="005F5AFD"/>
    <w:rsid w:val="005F61C7"/>
    <w:rsid w:val="005F6308"/>
    <w:rsid w:val="005F670F"/>
    <w:rsid w:val="005F68A4"/>
    <w:rsid w:val="005F6F7A"/>
    <w:rsid w:val="005F70FA"/>
    <w:rsid w:val="005F7E70"/>
    <w:rsid w:val="005F7EF6"/>
    <w:rsid w:val="00600350"/>
    <w:rsid w:val="006009CC"/>
    <w:rsid w:val="006009E1"/>
    <w:rsid w:val="00600FC4"/>
    <w:rsid w:val="00601A8C"/>
    <w:rsid w:val="00601C46"/>
    <w:rsid w:val="0060271C"/>
    <w:rsid w:val="00602AB5"/>
    <w:rsid w:val="00602DAE"/>
    <w:rsid w:val="0060338F"/>
    <w:rsid w:val="00603976"/>
    <w:rsid w:val="00603AFA"/>
    <w:rsid w:val="00603B91"/>
    <w:rsid w:val="00603D72"/>
    <w:rsid w:val="00603EE4"/>
    <w:rsid w:val="0060404A"/>
    <w:rsid w:val="006040A3"/>
    <w:rsid w:val="00604133"/>
    <w:rsid w:val="006045C7"/>
    <w:rsid w:val="006046F7"/>
    <w:rsid w:val="00604C7A"/>
    <w:rsid w:val="00604E81"/>
    <w:rsid w:val="00605407"/>
    <w:rsid w:val="006059D0"/>
    <w:rsid w:val="00605A50"/>
    <w:rsid w:val="00605A8A"/>
    <w:rsid w:val="00605B70"/>
    <w:rsid w:val="00605F51"/>
    <w:rsid w:val="00605F77"/>
    <w:rsid w:val="0060649C"/>
    <w:rsid w:val="006065A4"/>
    <w:rsid w:val="00606862"/>
    <w:rsid w:val="006068C0"/>
    <w:rsid w:val="00606AAD"/>
    <w:rsid w:val="00606B49"/>
    <w:rsid w:val="00606B6F"/>
    <w:rsid w:val="00606E63"/>
    <w:rsid w:val="00607098"/>
    <w:rsid w:val="00607353"/>
    <w:rsid w:val="00607388"/>
    <w:rsid w:val="0060779B"/>
    <w:rsid w:val="006108DD"/>
    <w:rsid w:val="00610A38"/>
    <w:rsid w:val="00610F1B"/>
    <w:rsid w:val="00611475"/>
    <w:rsid w:val="006115F0"/>
    <w:rsid w:val="00611912"/>
    <w:rsid w:val="006119E1"/>
    <w:rsid w:val="00612448"/>
    <w:rsid w:val="006124E1"/>
    <w:rsid w:val="0061262C"/>
    <w:rsid w:val="0061318D"/>
    <w:rsid w:val="00613293"/>
    <w:rsid w:val="00613601"/>
    <w:rsid w:val="006136A8"/>
    <w:rsid w:val="00614CEF"/>
    <w:rsid w:val="00615775"/>
    <w:rsid w:val="006157D1"/>
    <w:rsid w:val="00615B39"/>
    <w:rsid w:val="00615C86"/>
    <w:rsid w:val="00615F75"/>
    <w:rsid w:val="006160DE"/>
    <w:rsid w:val="006164F7"/>
    <w:rsid w:val="00616697"/>
    <w:rsid w:val="0061673A"/>
    <w:rsid w:val="00616930"/>
    <w:rsid w:val="00616F05"/>
    <w:rsid w:val="00616F99"/>
    <w:rsid w:val="0061709C"/>
    <w:rsid w:val="0061782F"/>
    <w:rsid w:val="00620279"/>
    <w:rsid w:val="006206F9"/>
    <w:rsid w:val="00620D93"/>
    <w:rsid w:val="00620E20"/>
    <w:rsid w:val="00620FFE"/>
    <w:rsid w:val="00621248"/>
    <w:rsid w:val="006212FB"/>
    <w:rsid w:val="00621B8D"/>
    <w:rsid w:val="00621F82"/>
    <w:rsid w:val="00622307"/>
    <w:rsid w:val="0062240B"/>
    <w:rsid w:val="0062269F"/>
    <w:rsid w:val="006228A9"/>
    <w:rsid w:val="00622A76"/>
    <w:rsid w:val="00622DE3"/>
    <w:rsid w:val="006231C9"/>
    <w:rsid w:val="0062372D"/>
    <w:rsid w:val="0062419E"/>
    <w:rsid w:val="006244D1"/>
    <w:rsid w:val="00624731"/>
    <w:rsid w:val="00625399"/>
    <w:rsid w:val="00625B1E"/>
    <w:rsid w:val="00625C8F"/>
    <w:rsid w:val="00625CB8"/>
    <w:rsid w:val="0062647D"/>
    <w:rsid w:val="006267FF"/>
    <w:rsid w:val="00627041"/>
    <w:rsid w:val="0062714D"/>
    <w:rsid w:val="00627E40"/>
    <w:rsid w:val="0063006E"/>
    <w:rsid w:val="006302C6"/>
    <w:rsid w:val="0063042F"/>
    <w:rsid w:val="00630E36"/>
    <w:rsid w:val="00630EC9"/>
    <w:rsid w:val="00631116"/>
    <w:rsid w:val="0063137D"/>
    <w:rsid w:val="006316D8"/>
    <w:rsid w:val="00631827"/>
    <w:rsid w:val="006319AC"/>
    <w:rsid w:val="00631A26"/>
    <w:rsid w:val="00631CEF"/>
    <w:rsid w:val="00631DDF"/>
    <w:rsid w:val="00631FFF"/>
    <w:rsid w:val="0063213F"/>
    <w:rsid w:val="00632234"/>
    <w:rsid w:val="006322A7"/>
    <w:rsid w:val="00632735"/>
    <w:rsid w:val="006330BD"/>
    <w:rsid w:val="00633926"/>
    <w:rsid w:val="00633B7D"/>
    <w:rsid w:val="00633BDF"/>
    <w:rsid w:val="00633EAD"/>
    <w:rsid w:val="006341AE"/>
    <w:rsid w:val="006344F4"/>
    <w:rsid w:val="0063466C"/>
    <w:rsid w:val="00634837"/>
    <w:rsid w:val="00634C8F"/>
    <w:rsid w:val="00634E41"/>
    <w:rsid w:val="0063506E"/>
    <w:rsid w:val="006357F1"/>
    <w:rsid w:val="006364A4"/>
    <w:rsid w:val="00636734"/>
    <w:rsid w:val="0063673B"/>
    <w:rsid w:val="00636EF9"/>
    <w:rsid w:val="006372DD"/>
    <w:rsid w:val="006375E2"/>
    <w:rsid w:val="0064027C"/>
    <w:rsid w:val="006404AF"/>
    <w:rsid w:val="00640A49"/>
    <w:rsid w:val="00640BC0"/>
    <w:rsid w:val="00640FB6"/>
    <w:rsid w:val="00641688"/>
    <w:rsid w:val="006418CC"/>
    <w:rsid w:val="00641ACC"/>
    <w:rsid w:val="00641B89"/>
    <w:rsid w:val="006422E0"/>
    <w:rsid w:val="006428EA"/>
    <w:rsid w:val="00642D99"/>
    <w:rsid w:val="00642E8C"/>
    <w:rsid w:val="00642F03"/>
    <w:rsid w:val="00642F98"/>
    <w:rsid w:val="00643162"/>
    <w:rsid w:val="006434FD"/>
    <w:rsid w:val="006439DB"/>
    <w:rsid w:val="00643BD9"/>
    <w:rsid w:val="006446F4"/>
    <w:rsid w:val="0064565E"/>
    <w:rsid w:val="006467D2"/>
    <w:rsid w:val="00646FA8"/>
    <w:rsid w:val="006472B3"/>
    <w:rsid w:val="00647317"/>
    <w:rsid w:val="006473BF"/>
    <w:rsid w:val="00647600"/>
    <w:rsid w:val="00647AFB"/>
    <w:rsid w:val="006500A7"/>
    <w:rsid w:val="006509F9"/>
    <w:rsid w:val="006513BE"/>
    <w:rsid w:val="006514BF"/>
    <w:rsid w:val="006515C2"/>
    <w:rsid w:val="0065165F"/>
    <w:rsid w:val="00651B4F"/>
    <w:rsid w:val="00651C11"/>
    <w:rsid w:val="0065200D"/>
    <w:rsid w:val="0065251B"/>
    <w:rsid w:val="006528AA"/>
    <w:rsid w:val="00652B12"/>
    <w:rsid w:val="00652BF6"/>
    <w:rsid w:val="0065358F"/>
    <w:rsid w:val="006541B0"/>
    <w:rsid w:val="00654334"/>
    <w:rsid w:val="0065484D"/>
    <w:rsid w:val="00654AF0"/>
    <w:rsid w:val="00654EAD"/>
    <w:rsid w:val="0065685D"/>
    <w:rsid w:val="00656A2C"/>
    <w:rsid w:val="00656A41"/>
    <w:rsid w:val="00656C52"/>
    <w:rsid w:val="00656E8B"/>
    <w:rsid w:val="00656ED1"/>
    <w:rsid w:val="006573AB"/>
    <w:rsid w:val="00657919"/>
    <w:rsid w:val="00657996"/>
    <w:rsid w:val="00657BCC"/>
    <w:rsid w:val="00660649"/>
    <w:rsid w:val="006608D4"/>
    <w:rsid w:val="00660BC6"/>
    <w:rsid w:val="0066121B"/>
    <w:rsid w:val="006618F9"/>
    <w:rsid w:val="00661B93"/>
    <w:rsid w:val="00661CE5"/>
    <w:rsid w:val="00661D8B"/>
    <w:rsid w:val="00662124"/>
    <w:rsid w:val="006621FA"/>
    <w:rsid w:val="00662391"/>
    <w:rsid w:val="006624F0"/>
    <w:rsid w:val="006625D1"/>
    <w:rsid w:val="00662CD6"/>
    <w:rsid w:val="0066327B"/>
    <w:rsid w:val="006632CC"/>
    <w:rsid w:val="00663308"/>
    <w:rsid w:val="006634F2"/>
    <w:rsid w:val="006638BB"/>
    <w:rsid w:val="00663A0D"/>
    <w:rsid w:val="00663BEE"/>
    <w:rsid w:val="00663CC7"/>
    <w:rsid w:val="00664B3E"/>
    <w:rsid w:val="00664D15"/>
    <w:rsid w:val="00664DB2"/>
    <w:rsid w:val="0066537A"/>
    <w:rsid w:val="006653D5"/>
    <w:rsid w:val="00665A84"/>
    <w:rsid w:val="00665D29"/>
    <w:rsid w:val="00666DBE"/>
    <w:rsid w:val="0066710D"/>
    <w:rsid w:val="00667384"/>
    <w:rsid w:val="006677B9"/>
    <w:rsid w:val="00667880"/>
    <w:rsid w:val="00667AED"/>
    <w:rsid w:val="00667B73"/>
    <w:rsid w:val="00667C3C"/>
    <w:rsid w:val="00667F9E"/>
    <w:rsid w:val="0067005C"/>
    <w:rsid w:val="00670440"/>
    <w:rsid w:val="006706CB"/>
    <w:rsid w:val="00670863"/>
    <w:rsid w:val="00670CEC"/>
    <w:rsid w:val="006712E7"/>
    <w:rsid w:val="00671789"/>
    <w:rsid w:val="00671D57"/>
    <w:rsid w:val="0067211B"/>
    <w:rsid w:val="00672246"/>
    <w:rsid w:val="006724B5"/>
    <w:rsid w:val="0067258C"/>
    <w:rsid w:val="00672FF5"/>
    <w:rsid w:val="00673865"/>
    <w:rsid w:val="00673CFA"/>
    <w:rsid w:val="00674298"/>
    <w:rsid w:val="006746C8"/>
    <w:rsid w:val="006748B5"/>
    <w:rsid w:val="00675023"/>
    <w:rsid w:val="0067529C"/>
    <w:rsid w:val="006753F7"/>
    <w:rsid w:val="00675DF5"/>
    <w:rsid w:val="006760C8"/>
    <w:rsid w:val="00676448"/>
    <w:rsid w:val="006765A0"/>
    <w:rsid w:val="00676EFE"/>
    <w:rsid w:val="006771C2"/>
    <w:rsid w:val="00677284"/>
    <w:rsid w:val="006772BA"/>
    <w:rsid w:val="006772D4"/>
    <w:rsid w:val="00677937"/>
    <w:rsid w:val="00677B8C"/>
    <w:rsid w:val="00677C81"/>
    <w:rsid w:val="00680920"/>
    <w:rsid w:val="006809EE"/>
    <w:rsid w:val="006815B8"/>
    <w:rsid w:val="00682143"/>
    <w:rsid w:val="00682D10"/>
    <w:rsid w:val="00683510"/>
    <w:rsid w:val="006840FC"/>
    <w:rsid w:val="006844BD"/>
    <w:rsid w:val="006848DB"/>
    <w:rsid w:val="00684B43"/>
    <w:rsid w:val="00684F4F"/>
    <w:rsid w:val="006855BA"/>
    <w:rsid w:val="00685606"/>
    <w:rsid w:val="0068572B"/>
    <w:rsid w:val="00685B74"/>
    <w:rsid w:val="00685C7B"/>
    <w:rsid w:val="0068623F"/>
    <w:rsid w:val="00686374"/>
    <w:rsid w:val="006864C4"/>
    <w:rsid w:val="0068677B"/>
    <w:rsid w:val="00686B71"/>
    <w:rsid w:val="00686F7A"/>
    <w:rsid w:val="00687082"/>
    <w:rsid w:val="006870D0"/>
    <w:rsid w:val="0068714C"/>
    <w:rsid w:val="006871C6"/>
    <w:rsid w:val="006877FC"/>
    <w:rsid w:val="00690997"/>
    <w:rsid w:val="00690A29"/>
    <w:rsid w:val="00690F8B"/>
    <w:rsid w:val="006910DB"/>
    <w:rsid w:val="006915AE"/>
    <w:rsid w:val="006915D3"/>
    <w:rsid w:val="006919B6"/>
    <w:rsid w:val="00691B33"/>
    <w:rsid w:val="00691E15"/>
    <w:rsid w:val="006922C9"/>
    <w:rsid w:val="00692448"/>
    <w:rsid w:val="0069274B"/>
    <w:rsid w:val="00692B81"/>
    <w:rsid w:val="00692D8F"/>
    <w:rsid w:val="00693030"/>
    <w:rsid w:val="006933BC"/>
    <w:rsid w:val="00693B13"/>
    <w:rsid w:val="00693EAA"/>
    <w:rsid w:val="00693EAB"/>
    <w:rsid w:val="006942DE"/>
    <w:rsid w:val="00694373"/>
    <w:rsid w:val="006944A1"/>
    <w:rsid w:val="00694964"/>
    <w:rsid w:val="006949E2"/>
    <w:rsid w:val="00694A21"/>
    <w:rsid w:val="00694D70"/>
    <w:rsid w:val="00695014"/>
    <w:rsid w:val="006955A7"/>
    <w:rsid w:val="00695AC5"/>
    <w:rsid w:val="00695FE4"/>
    <w:rsid w:val="0069600C"/>
    <w:rsid w:val="006961FF"/>
    <w:rsid w:val="006963BF"/>
    <w:rsid w:val="006964C6"/>
    <w:rsid w:val="006966E7"/>
    <w:rsid w:val="00696BCB"/>
    <w:rsid w:val="006973FB"/>
    <w:rsid w:val="00697BA3"/>
    <w:rsid w:val="00697D6F"/>
    <w:rsid w:val="006A0064"/>
    <w:rsid w:val="006A02A5"/>
    <w:rsid w:val="006A1448"/>
    <w:rsid w:val="006A14F7"/>
    <w:rsid w:val="006A1637"/>
    <w:rsid w:val="006A1734"/>
    <w:rsid w:val="006A1BF5"/>
    <w:rsid w:val="006A1CFB"/>
    <w:rsid w:val="006A1FA5"/>
    <w:rsid w:val="006A27A1"/>
    <w:rsid w:val="006A36B0"/>
    <w:rsid w:val="006A3FDF"/>
    <w:rsid w:val="006A409A"/>
    <w:rsid w:val="006A42B0"/>
    <w:rsid w:val="006A4396"/>
    <w:rsid w:val="006A44A4"/>
    <w:rsid w:val="006A48FB"/>
    <w:rsid w:val="006A4AC8"/>
    <w:rsid w:val="006A4C4A"/>
    <w:rsid w:val="006A4D3F"/>
    <w:rsid w:val="006A5133"/>
    <w:rsid w:val="006A51EB"/>
    <w:rsid w:val="006A5425"/>
    <w:rsid w:val="006A55CC"/>
    <w:rsid w:val="006A565C"/>
    <w:rsid w:val="006A58DC"/>
    <w:rsid w:val="006A5C49"/>
    <w:rsid w:val="006A6339"/>
    <w:rsid w:val="006A65CC"/>
    <w:rsid w:val="006A6B3F"/>
    <w:rsid w:val="006A6EF8"/>
    <w:rsid w:val="006A7CDF"/>
    <w:rsid w:val="006B0224"/>
    <w:rsid w:val="006B04A4"/>
    <w:rsid w:val="006B06C4"/>
    <w:rsid w:val="006B06EE"/>
    <w:rsid w:val="006B0934"/>
    <w:rsid w:val="006B135F"/>
    <w:rsid w:val="006B1464"/>
    <w:rsid w:val="006B18F7"/>
    <w:rsid w:val="006B1C30"/>
    <w:rsid w:val="006B1D6D"/>
    <w:rsid w:val="006B1D6E"/>
    <w:rsid w:val="006B21C7"/>
    <w:rsid w:val="006B29CD"/>
    <w:rsid w:val="006B2C36"/>
    <w:rsid w:val="006B2F37"/>
    <w:rsid w:val="006B3413"/>
    <w:rsid w:val="006B3683"/>
    <w:rsid w:val="006B3872"/>
    <w:rsid w:val="006B3E70"/>
    <w:rsid w:val="006B42E1"/>
    <w:rsid w:val="006B4472"/>
    <w:rsid w:val="006B45C4"/>
    <w:rsid w:val="006B46DA"/>
    <w:rsid w:val="006B4C4A"/>
    <w:rsid w:val="006B525D"/>
    <w:rsid w:val="006B58B4"/>
    <w:rsid w:val="006B591A"/>
    <w:rsid w:val="006B5A75"/>
    <w:rsid w:val="006B5A7C"/>
    <w:rsid w:val="006B5B50"/>
    <w:rsid w:val="006B5C68"/>
    <w:rsid w:val="006B63F0"/>
    <w:rsid w:val="006B6C96"/>
    <w:rsid w:val="006B7040"/>
    <w:rsid w:val="006B7185"/>
    <w:rsid w:val="006B74BB"/>
    <w:rsid w:val="006B767B"/>
    <w:rsid w:val="006B76AF"/>
    <w:rsid w:val="006B77C5"/>
    <w:rsid w:val="006B7AE6"/>
    <w:rsid w:val="006B7E38"/>
    <w:rsid w:val="006B7EC4"/>
    <w:rsid w:val="006C03F0"/>
    <w:rsid w:val="006C0494"/>
    <w:rsid w:val="006C0670"/>
    <w:rsid w:val="006C07E2"/>
    <w:rsid w:val="006C0903"/>
    <w:rsid w:val="006C09BB"/>
    <w:rsid w:val="006C0E5B"/>
    <w:rsid w:val="006C135D"/>
    <w:rsid w:val="006C1628"/>
    <w:rsid w:val="006C19BA"/>
    <w:rsid w:val="006C1ED8"/>
    <w:rsid w:val="006C20C4"/>
    <w:rsid w:val="006C2261"/>
    <w:rsid w:val="006C22DA"/>
    <w:rsid w:val="006C2426"/>
    <w:rsid w:val="006C24E7"/>
    <w:rsid w:val="006C29D9"/>
    <w:rsid w:val="006C2B70"/>
    <w:rsid w:val="006C313C"/>
    <w:rsid w:val="006C34F1"/>
    <w:rsid w:val="006C372F"/>
    <w:rsid w:val="006C3812"/>
    <w:rsid w:val="006C39A8"/>
    <w:rsid w:val="006C3C5D"/>
    <w:rsid w:val="006C3D43"/>
    <w:rsid w:val="006C434F"/>
    <w:rsid w:val="006C442D"/>
    <w:rsid w:val="006C447F"/>
    <w:rsid w:val="006C472B"/>
    <w:rsid w:val="006C4A8E"/>
    <w:rsid w:val="006C4EA5"/>
    <w:rsid w:val="006C500C"/>
    <w:rsid w:val="006C5A42"/>
    <w:rsid w:val="006C5BB8"/>
    <w:rsid w:val="006C5C00"/>
    <w:rsid w:val="006C61B1"/>
    <w:rsid w:val="006C63B7"/>
    <w:rsid w:val="006C6664"/>
    <w:rsid w:val="006C6AAE"/>
    <w:rsid w:val="006C6BE3"/>
    <w:rsid w:val="006C7296"/>
    <w:rsid w:val="006C72A4"/>
    <w:rsid w:val="006C72F3"/>
    <w:rsid w:val="006C7C35"/>
    <w:rsid w:val="006C7EE0"/>
    <w:rsid w:val="006C7F6A"/>
    <w:rsid w:val="006D0A58"/>
    <w:rsid w:val="006D0AA9"/>
    <w:rsid w:val="006D10BC"/>
    <w:rsid w:val="006D15F5"/>
    <w:rsid w:val="006D167C"/>
    <w:rsid w:val="006D333F"/>
    <w:rsid w:val="006D398C"/>
    <w:rsid w:val="006D3C6F"/>
    <w:rsid w:val="006D40F4"/>
    <w:rsid w:val="006D4120"/>
    <w:rsid w:val="006D42EA"/>
    <w:rsid w:val="006D48F2"/>
    <w:rsid w:val="006D4D11"/>
    <w:rsid w:val="006D4EA0"/>
    <w:rsid w:val="006D4FA4"/>
    <w:rsid w:val="006D5394"/>
    <w:rsid w:val="006D5B05"/>
    <w:rsid w:val="006D649A"/>
    <w:rsid w:val="006D680C"/>
    <w:rsid w:val="006D6D6F"/>
    <w:rsid w:val="006D6E18"/>
    <w:rsid w:val="006D6E5F"/>
    <w:rsid w:val="006D70C1"/>
    <w:rsid w:val="006D70E1"/>
    <w:rsid w:val="006D726D"/>
    <w:rsid w:val="006D729F"/>
    <w:rsid w:val="006D7601"/>
    <w:rsid w:val="006D77A6"/>
    <w:rsid w:val="006D7928"/>
    <w:rsid w:val="006D7D6C"/>
    <w:rsid w:val="006D7DA5"/>
    <w:rsid w:val="006E099F"/>
    <w:rsid w:val="006E09A0"/>
    <w:rsid w:val="006E0BAF"/>
    <w:rsid w:val="006E0E1A"/>
    <w:rsid w:val="006E11D3"/>
    <w:rsid w:val="006E15B7"/>
    <w:rsid w:val="006E1654"/>
    <w:rsid w:val="006E16CB"/>
    <w:rsid w:val="006E176C"/>
    <w:rsid w:val="006E1A35"/>
    <w:rsid w:val="006E1B58"/>
    <w:rsid w:val="006E1F37"/>
    <w:rsid w:val="006E2023"/>
    <w:rsid w:val="006E2383"/>
    <w:rsid w:val="006E24F6"/>
    <w:rsid w:val="006E363A"/>
    <w:rsid w:val="006E38D3"/>
    <w:rsid w:val="006E4160"/>
    <w:rsid w:val="006E437C"/>
    <w:rsid w:val="006E4D51"/>
    <w:rsid w:val="006E50C3"/>
    <w:rsid w:val="006E5765"/>
    <w:rsid w:val="006E5A87"/>
    <w:rsid w:val="006E5D45"/>
    <w:rsid w:val="006E61B7"/>
    <w:rsid w:val="006E6803"/>
    <w:rsid w:val="006E6F93"/>
    <w:rsid w:val="006E79D6"/>
    <w:rsid w:val="006E7B31"/>
    <w:rsid w:val="006E7CE3"/>
    <w:rsid w:val="006E7D64"/>
    <w:rsid w:val="006F0146"/>
    <w:rsid w:val="006F0451"/>
    <w:rsid w:val="006F0660"/>
    <w:rsid w:val="006F0DE1"/>
    <w:rsid w:val="006F15D0"/>
    <w:rsid w:val="006F15E7"/>
    <w:rsid w:val="006F2250"/>
    <w:rsid w:val="006F2514"/>
    <w:rsid w:val="006F2717"/>
    <w:rsid w:val="006F28C5"/>
    <w:rsid w:val="006F2B0A"/>
    <w:rsid w:val="006F2B66"/>
    <w:rsid w:val="006F2C6D"/>
    <w:rsid w:val="006F341F"/>
    <w:rsid w:val="006F3DC3"/>
    <w:rsid w:val="006F435B"/>
    <w:rsid w:val="006F463A"/>
    <w:rsid w:val="006F49FC"/>
    <w:rsid w:val="006F4AB7"/>
    <w:rsid w:val="006F4D75"/>
    <w:rsid w:val="006F4D7F"/>
    <w:rsid w:val="006F504D"/>
    <w:rsid w:val="006F521D"/>
    <w:rsid w:val="006F52EB"/>
    <w:rsid w:val="006F5337"/>
    <w:rsid w:val="006F5637"/>
    <w:rsid w:val="006F576F"/>
    <w:rsid w:val="006F59F2"/>
    <w:rsid w:val="006F5DE2"/>
    <w:rsid w:val="006F62DB"/>
    <w:rsid w:val="006F685F"/>
    <w:rsid w:val="006F6FA8"/>
    <w:rsid w:val="006F75E2"/>
    <w:rsid w:val="006F7639"/>
    <w:rsid w:val="006F7849"/>
    <w:rsid w:val="006F7A65"/>
    <w:rsid w:val="006F7AD0"/>
    <w:rsid w:val="006F7ADC"/>
    <w:rsid w:val="006F7AEF"/>
    <w:rsid w:val="006F7CFD"/>
    <w:rsid w:val="00700442"/>
    <w:rsid w:val="007004E9"/>
    <w:rsid w:val="007008AB"/>
    <w:rsid w:val="00701661"/>
    <w:rsid w:val="00703620"/>
    <w:rsid w:val="00703B43"/>
    <w:rsid w:val="00703BBC"/>
    <w:rsid w:val="00703E74"/>
    <w:rsid w:val="00703ECC"/>
    <w:rsid w:val="007040EA"/>
    <w:rsid w:val="007041B1"/>
    <w:rsid w:val="00704585"/>
    <w:rsid w:val="00704771"/>
    <w:rsid w:val="00704A84"/>
    <w:rsid w:val="0070501D"/>
    <w:rsid w:val="00705109"/>
    <w:rsid w:val="00705154"/>
    <w:rsid w:val="00705206"/>
    <w:rsid w:val="007052BE"/>
    <w:rsid w:val="00706612"/>
    <w:rsid w:val="007068F6"/>
    <w:rsid w:val="0070713F"/>
    <w:rsid w:val="00707373"/>
    <w:rsid w:val="00707453"/>
    <w:rsid w:val="00707A08"/>
    <w:rsid w:val="00707A13"/>
    <w:rsid w:val="00707F8C"/>
    <w:rsid w:val="007102F6"/>
    <w:rsid w:val="007105D6"/>
    <w:rsid w:val="00710749"/>
    <w:rsid w:val="007109A0"/>
    <w:rsid w:val="00710A5F"/>
    <w:rsid w:val="00711172"/>
    <w:rsid w:val="007112D0"/>
    <w:rsid w:val="007113CA"/>
    <w:rsid w:val="00711866"/>
    <w:rsid w:val="00711C95"/>
    <w:rsid w:val="00711F6F"/>
    <w:rsid w:val="00712889"/>
    <w:rsid w:val="0071310A"/>
    <w:rsid w:val="00713142"/>
    <w:rsid w:val="00713342"/>
    <w:rsid w:val="007136B8"/>
    <w:rsid w:val="0071370A"/>
    <w:rsid w:val="0071387D"/>
    <w:rsid w:val="007138E4"/>
    <w:rsid w:val="00713D2E"/>
    <w:rsid w:val="007146B0"/>
    <w:rsid w:val="00714BB2"/>
    <w:rsid w:val="00714CDA"/>
    <w:rsid w:val="00715A9E"/>
    <w:rsid w:val="00715CA5"/>
    <w:rsid w:val="007167A4"/>
    <w:rsid w:val="00716A41"/>
    <w:rsid w:val="0071727B"/>
    <w:rsid w:val="00717460"/>
    <w:rsid w:val="00717461"/>
    <w:rsid w:val="00717719"/>
    <w:rsid w:val="00717998"/>
    <w:rsid w:val="007202CF"/>
    <w:rsid w:val="00720372"/>
    <w:rsid w:val="0072054C"/>
    <w:rsid w:val="00720894"/>
    <w:rsid w:val="00720C1C"/>
    <w:rsid w:val="00720C3E"/>
    <w:rsid w:val="00720F95"/>
    <w:rsid w:val="00721487"/>
    <w:rsid w:val="007214B2"/>
    <w:rsid w:val="00721930"/>
    <w:rsid w:val="00721B86"/>
    <w:rsid w:val="007220C4"/>
    <w:rsid w:val="00722353"/>
    <w:rsid w:val="00722B4B"/>
    <w:rsid w:val="00722C7D"/>
    <w:rsid w:val="00722D8C"/>
    <w:rsid w:val="007233CA"/>
    <w:rsid w:val="007235DE"/>
    <w:rsid w:val="00723AE8"/>
    <w:rsid w:val="00723CD7"/>
    <w:rsid w:val="00723D9A"/>
    <w:rsid w:val="007244DA"/>
    <w:rsid w:val="00724D2C"/>
    <w:rsid w:val="00725445"/>
    <w:rsid w:val="00725BAE"/>
    <w:rsid w:val="00725C6A"/>
    <w:rsid w:val="00725DE2"/>
    <w:rsid w:val="00725E04"/>
    <w:rsid w:val="00726446"/>
    <w:rsid w:val="0072646E"/>
    <w:rsid w:val="007270C7"/>
    <w:rsid w:val="00727400"/>
    <w:rsid w:val="007275E9"/>
    <w:rsid w:val="00727A4D"/>
    <w:rsid w:val="00727EB1"/>
    <w:rsid w:val="00730086"/>
    <w:rsid w:val="00730353"/>
    <w:rsid w:val="0073049A"/>
    <w:rsid w:val="00730945"/>
    <w:rsid w:val="00730BD4"/>
    <w:rsid w:val="00730F7E"/>
    <w:rsid w:val="0073100C"/>
    <w:rsid w:val="007312A9"/>
    <w:rsid w:val="007315B8"/>
    <w:rsid w:val="007318E6"/>
    <w:rsid w:val="00732BAC"/>
    <w:rsid w:val="00732E15"/>
    <w:rsid w:val="0073306B"/>
    <w:rsid w:val="00733315"/>
    <w:rsid w:val="00733402"/>
    <w:rsid w:val="007337AC"/>
    <w:rsid w:val="007337CD"/>
    <w:rsid w:val="00733D27"/>
    <w:rsid w:val="007340F8"/>
    <w:rsid w:val="00734567"/>
    <w:rsid w:val="00734C5C"/>
    <w:rsid w:val="0073503C"/>
    <w:rsid w:val="007355B8"/>
    <w:rsid w:val="0073563F"/>
    <w:rsid w:val="0073599C"/>
    <w:rsid w:val="007359FE"/>
    <w:rsid w:val="00735D44"/>
    <w:rsid w:val="00735D86"/>
    <w:rsid w:val="007368F5"/>
    <w:rsid w:val="00736D49"/>
    <w:rsid w:val="007376C7"/>
    <w:rsid w:val="00737C13"/>
    <w:rsid w:val="00737CBB"/>
    <w:rsid w:val="00737D05"/>
    <w:rsid w:val="00737D37"/>
    <w:rsid w:val="007402C1"/>
    <w:rsid w:val="007402C5"/>
    <w:rsid w:val="007406D4"/>
    <w:rsid w:val="00740FB9"/>
    <w:rsid w:val="0074184A"/>
    <w:rsid w:val="00741A78"/>
    <w:rsid w:val="00741B50"/>
    <w:rsid w:val="00741B91"/>
    <w:rsid w:val="00741F41"/>
    <w:rsid w:val="0074210A"/>
    <w:rsid w:val="00742879"/>
    <w:rsid w:val="00742DA4"/>
    <w:rsid w:val="00742F59"/>
    <w:rsid w:val="007430B0"/>
    <w:rsid w:val="00743228"/>
    <w:rsid w:val="007435DA"/>
    <w:rsid w:val="00743971"/>
    <w:rsid w:val="00743F6E"/>
    <w:rsid w:val="0074409A"/>
    <w:rsid w:val="0074471F"/>
    <w:rsid w:val="007448C0"/>
    <w:rsid w:val="00745074"/>
    <w:rsid w:val="0074517C"/>
    <w:rsid w:val="007458EF"/>
    <w:rsid w:val="00745AFE"/>
    <w:rsid w:val="00745EF0"/>
    <w:rsid w:val="00746686"/>
    <w:rsid w:val="00746917"/>
    <w:rsid w:val="007469B8"/>
    <w:rsid w:val="00746CD8"/>
    <w:rsid w:val="00746E5D"/>
    <w:rsid w:val="00747028"/>
    <w:rsid w:val="007473DB"/>
    <w:rsid w:val="00747464"/>
    <w:rsid w:val="00747906"/>
    <w:rsid w:val="00747BD0"/>
    <w:rsid w:val="007502B5"/>
    <w:rsid w:val="00750ADC"/>
    <w:rsid w:val="00750C2D"/>
    <w:rsid w:val="00751523"/>
    <w:rsid w:val="00751646"/>
    <w:rsid w:val="00751A1F"/>
    <w:rsid w:val="00751F71"/>
    <w:rsid w:val="00752A87"/>
    <w:rsid w:val="00752DF1"/>
    <w:rsid w:val="00753FE7"/>
    <w:rsid w:val="007545E2"/>
    <w:rsid w:val="007546C9"/>
    <w:rsid w:val="0075470E"/>
    <w:rsid w:val="00754A3B"/>
    <w:rsid w:val="00754AB4"/>
    <w:rsid w:val="00754AD1"/>
    <w:rsid w:val="00754E43"/>
    <w:rsid w:val="0075533B"/>
    <w:rsid w:val="007555DB"/>
    <w:rsid w:val="00755744"/>
    <w:rsid w:val="007559A8"/>
    <w:rsid w:val="00756157"/>
    <w:rsid w:val="00756936"/>
    <w:rsid w:val="00756B8B"/>
    <w:rsid w:val="007571C5"/>
    <w:rsid w:val="00757226"/>
    <w:rsid w:val="007576A2"/>
    <w:rsid w:val="00757A09"/>
    <w:rsid w:val="00757F3A"/>
    <w:rsid w:val="007601F0"/>
    <w:rsid w:val="00760315"/>
    <w:rsid w:val="007604D6"/>
    <w:rsid w:val="007605E7"/>
    <w:rsid w:val="007608C6"/>
    <w:rsid w:val="007608DA"/>
    <w:rsid w:val="0076113D"/>
    <w:rsid w:val="007615ED"/>
    <w:rsid w:val="00761AF7"/>
    <w:rsid w:val="00761C62"/>
    <w:rsid w:val="00761F43"/>
    <w:rsid w:val="00761F90"/>
    <w:rsid w:val="00761F9D"/>
    <w:rsid w:val="00762465"/>
    <w:rsid w:val="007628DE"/>
    <w:rsid w:val="00762F9B"/>
    <w:rsid w:val="00762FD9"/>
    <w:rsid w:val="00763018"/>
    <w:rsid w:val="00763215"/>
    <w:rsid w:val="007632EE"/>
    <w:rsid w:val="007634EE"/>
    <w:rsid w:val="00763508"/>
    <w:rsid w:val="007638BF"/>
    <w:rsid w:val="00763926"/>
    <w:rsid w:val="00763C39"/>
    <w:rsid w:val="00763C5B"/>
    <w:rsid w:val="00764154"/>
    <w:rsid w:val="00764296"/>
    <w:rsid w:val="0076436A"/>
    <w:rsid w:val="00764EF9"/>
    <w:rsid w:val="007651CB"/>
    <w:rsid w:val="00765D74"/>
    <w:rsid w:val="00765EFE"/>
    <w:rsid w:val="00766802"/>
    <w:rsid w:val="00766CD6"/>
    <w:rsid w:val="0076726F"/>
    <w:rsid w:val="007672FC"/>
    <w:rsid w:val="00767F67"/>
    <w:rsid w:val="0077006B"/>
    <w:rsid w:val="007700F0"/>
    <w:rsid w:val="007705DB"/>
    <w:rsid w:val="007706AA"/>
    <w:rsid w:val="00770BA7"/>
    <w:rsid w:val="00770E05"/>
    <w:rsid w:val="0077105A"/>
    <w:rsid w:val="00771130"/>
    <w:rsid w:val="0077116B"/>
    <w:rsid w:val="007711B8"/>
    <w:rsid w:val="0077125D"/>
    <w:rsid w:val="0077163C"/>
    <w:rsid w:val="007716BA"/>
    <w:rsid w:val="007717C1"/>
    <w:rsid w:val="00771D57"/>
    <w:rsid w:val="00771DD6"/>
    <w:rsid w:val="00772141"/>
    <w:rsid w:val="0077246C"/>
    <w:rsid w:val="00772810"/>
    <w:rsid w:val="00772974"/>
    <w:rsid w:val="00772C1C"/>
    <w:rsid w:val="00772C70"/>
    <w:rsid w:val="00772D34"/>
    <w:rsid w:val="00772DD9"/>
    <w:rsid w:val="00773300"/>
    <w:rsid w:val="00773C18"/>
    <w:rsid w:val="00773F6D"/>
    <w:rsid w:val="00773FCF"/>
    <w:rsid w:val="00774648"/>
    <w:rsid w:val="0077479D"/>
    <w:rsid w:val="0077481D"/>
    <w:rsid w:val="00774900"/>
    <w:rsid w:val="00774AA5"/>
    <w:rsid w:val="00774B67"/>
    <w:rsid w:val="00774D50"/>
    <w:rsid w:val="00774FF5"/>
    <w:rsid w:val="00775903"/>
    <w:rsid w:val="00775ADB"/>
    <w:rsid w:val="0077620D"/>
    <w:rsid w:val="00776298"/>
    <w:rsid w:val="0077637E"/>
    <w:rsid w:val="00776927"/>
    <w:rsid w:val="00776AD0"/>
    <w:rsid w:val="00776AE4"/>
    <w:rsid w:val="00776FCE"/>
    <w:rsid w:val="0077780B"/>
    <w:rsid w:val="00777BFD"/>
    <w:rsid w:val="00777D21"/>
    <w:rsid w:val="00777D50"/>
    <w:rsid w:val="00777DC4"/>
    <w:rsid w:val="007803E1"/>
    <w:rsid w:val="00780413"/>
    <w:rsid w:val="00780675"/>
    <w:rsid w:val="0078069E"/>
    <w:rsid w:val="007808D1"/>
    <w:rsid w:val="00780949"/>
    <w:rsid w:val="00780B95"/>
    <w:rsid w:val="00780DC8"/>
    <w:rsid w:val="00782581"/>
    <w:rsid w:val="00782898"/>
    <w:rsid w:val="00782FB7"/>
    <w:rsid w:val="007831DE"/>
    <w:rsid w:val="0078348A"/>
    <w:rsid w:val="007834D2"/>
    <w:rsid w:val="0078364A"/>
    <w:rsid w:val="00783FF3"/>
    <w:rsid w:val="007844F5"/>
    <w:rsid w:val="00785261"/>
    <w:rsid w:val="007852A8"/>
    <w:rsid w:val="00785402"/>
    <w:rsid w:val="00785767"/>
    <w:rsid w:val="00785E29"/>
    <w:rsid w:val="0078606D"/>
    <w:rsid w:val="00786133"/>
    <w:rsid w:val="00786187"/>
    <w:rsid w:val="007863C9"/>
    <w:rsid w:val="007869D8"/>
    <w:rsid w:val="00786A37"/>
    <w:rsid w:val="00786A5F"/>
    <w:rsid w:val="00787003"/>
    <w:rsid w:val="007873CF"/>
    <w:rsid w:val="00787EA8"/>
    <w:rsid w:val="00787FFB"/>
    <w:rsid w:val="00790366"/>
    <w:rsid w:val="00791180"/>
    <w:rsid w:val="007917AA"/>
    <w:rsid w:val="00791970"/>
    <w:rsid w:val="00791D41"/>
    <w:rsid w:val="00791D54"/>
    <w:rsid w:val="00792157"/>
    <w:rsid w:val="00792158"/>
    <w:rsid w:val="00792637"/>
    <w:rsid w:val="007927D0"/>
    <w:rsid w:val="007927DD"/>
    <w:rsid w:val="007931FB"/>
    <w:rsid w:val="00793290"/>
    <w:rsid w:val="007936D0"/>
    <w:rsid w:val="007938C9"/>
    <w:rsid w:val="007947A1"/>
    <w:rsid w:val="00794D1D"/>
    <w:rsid w:val="007952DB"/>
    <w:rsid w:val="00795915"/>
    <w:rsid w:val="00795BC1"/>
    <w:rsid w:val="00795E12"/>
    <w:rsid w:val="0079628C"/>
    <w:rsid w:val="00796816"/>
    <w:rsid w:val="00796CA8"/>
    <w:rsid w:val="00796CE8"/>
    <w:rsid w:val="00796EE1"/>
    <w:rsid w:val="00796F2A"/>
    <w:rsid w:val="007978EB"/>
    <w:rsid w:val="00797AD8"/>
    <w:rsid w:val="007A035A"/>
    <w:rsid w:val="007A1013"/>
    <w:rsid w:val="007A1039"/>
    <w:rsid w:val="007A126B"/>
    <w:rsid w:val="007A165E"/>
    <w:rsid w:val="007A41A9"/>
    <w:rsid w:val="007A4ACB"/>
    <w:rsid w:val="007A4C01"/>
    <w:rsid w:val="007A4D46"/>
    <w:rsid w:val="007A58A8"/>
    <w:rsid w:val="007A59AF"/>
    <w:rsid w:val="007A5B6C"/>
    <w:rsid w:val="007A5C62"/>
    <w:rsid w:val="007A5CAC"/>
    <w:rsid w:val="007A66ED"/>
    <w:rsid w:val="007A6C79"/>
    <w:rsid w:val="007A6DE8"/>
    <w:rsid w:val="007A6F2C"/>
    <w:rsid w:val="007A7188"/>
    <w:rsid w:val="007A73B2"/>
    <w:rsid w:val="007A7B4B"/>
    <w:rsid w:val="007A7E1C"/>
    <w:rsid w:val="007A7ED6"/>
    <w:rsid w:val="007A7FE4"/>
    <w:rsid w:val="007B0043"/>
    <w:rsid w:val="007B0195"/>
    <w:rsid w:val="007B09E2"/>
    <w:rsid w:val="007B0D45"/>
    <w:rsid w:val="007B0F37"/>
    <w:rsid w:val="007B10B7"/>
    <w:rsid w:val="007B1358"/>
    <w:rsid w:val="007B1813"/>
    <w:rsid w:val="007B1861"/>
    <w:rsid w:val="007B19AC"/>
    <w:rsid w:val="007B19BA"/>
    <w:rsid w:val="007B2231"/>
    <w:rsid w:val="007B2E97"/>
    <w:rsid w:val="007B32D0"/>
    <w:rsid w:val="007B37D8"/>
    <w:rsid w:val="007B3CB8"/>
    <w:rsid w:val="007B418A"/>
    <w:rsid w:val="007B4B2D"/>
    <w:rsid w:val="007B4CBD"/>
    <w:rsid w:val="007B4F38"/>
    <w:rsid w:val="007B5397"/>
    <w:rsid w:val="007B5823"/>
    <w:rsid w:val="007B5DB7"/>
    <w:rsid w:val="007B5EB7"/>
    <w:rsid w:val="007B61E6"/>
    <w:rsid w:val="007B62EF"/>
    <w:rsid w:val="007B65B0"/>
    <w:rsid w:val="007B6686"/>
    <w:rsid w:val="007B6C72"/>
    <w:rsid w:val="007B6E99"/>
    <w:rsid w:val="007B7ACB"/>
    <w:rsid w:val="007C0150"/>
    <w:rsid w:val="007C01A5"/>
    <w:rsid w:val="007C0288"/>
    <w:rsid w:val="007C04B5"/>
    <w:rsid w:val="007C0538"/>
    <w:rsid w:val="007C0B58"/>
    <w:rsid w:val="007C0D69"/>
    <w:rsid w:val="007C10EE"/>
    <w:rsid w:val="007C12E9"/>
    <w:rsid w:val="007C15DB"/>
    <w:rsid w:val="007C1EB7"/>
    <w:rsid w:val="007C1F0D"/>
    <w:rsid w:val="007C21DB"/>
    <w:rsid w:val="007C23B1"/>
    <w:rsid w:val="007C2D5B"/>
    <w:rsid w:val="007C3269"/>
    <w:rsid w:val="007C3634"/>
    <w:rsid w:val="007C38AB"/>
    <w:rsid w:val="007C4662"/>
    <w:rsid w:val="007C4A12"/>
    <w:rsid w:val="007C4C32"/>
    <w:rsid w:val="007C508C"/>
    <w:rsid w:val="007C54E7"/>
    <w:rsid w:val="007C5964"/>
    <w:rsid w:val="007C5E90"/>
    <w:rsid w:val="007C6897"/>
    <w:rsid w:val="007C68B2"/>
    <w:rsid w:val="007C6AE5"/>
    <w:rsid w:val="007C70FD"/>
    <w:rsid w:val="007C7124"/>
    <w:rsid w:val="007C7317"/>
    <w:rsid w:val="007C7CE3"/>
    <w:rsid w:val="007C7E50"/>
    <w:rsid w:val="007D0013"/>
    <w:rsid w:val="007D0283"/>
    <w:rsid w:val="007D03B4"/>
    <w:rsid w:val="007D05BA"/>
    <w:rsid w:val="007D0AB7"/>
    <w:rsid w:val="007D0C59"/>
    <w:rsid w:val="007D1C40"/>
    <w:rsid w:val="007D24C4"/>
    <w:rsid w:val="007D28A7"/>
    <w:rsid w:val="007D2B88"/>
    <w:rsid w:val="007D2C28"/>
    <w:rsid w:val="007D2DFC"/>
    <w:rsid w:val="007D3208"/>
    <w:rsid w:val="007D3381"/>
    <w:rsid w:val="007D3390"/>
    <w:rsid w:val="007D3598"/>
    <w:rsid w:val="007D3B12"/>
    <w:rsid w:val="007D41A4"/>
    <w:rsid w:val="007D4309"/>
    <w:rsid w:val="007D4462"/>
    <w:rsid w:val="007D456A"/>
    <w:rsid w:val="007D46E9"/>
    <w:rsid w:val="007D4709"/>
    <w:rsid w:val="007D475B"/>
    <w:rsid w:val="007D4DA4"/>
    <w:rsid w:val="007D4FEC"/>
    <w:rsid w:val="007D5444"/>
    <w:rsid w:val="007D55BC"/>
    <w:rsid w:val="007D572F"/>
    <w:rsid w:val="007D5F5F"/>
    <w:rsid w:val="007D6390"/>
    <w:rsid w:val="007D6705"/>
    <w:rsid w:val="007D688A"/>
    <w:rsid w:val="007D68BC"/>
    <w:rsid w:val="007D6FD1"/>
    <w:rsid w:val="007D70E8"/>
    <w:rsid w:val="007D7721"/>
    <w:rsid w:val="007D77E2"/>
    <w:rsid w:val="007E009F"/>
    <w:rsid w:val="007E03DF"/>
    <w:rsid w:val="007E0AD5"/>
    <w:rsid w:val="007E0CF6"/>
    <w:rsid w:val="007E13B5"/>
    <w:rsid w:val="007E13F4"/>
    <w:rsid w:val="007E1443"/>
    <w:rsid w:val="007E18D7"/>
    <w:rsid w:val="007E1944"/>
    <w:rsid w:val="007E1F59"/>
    <w:rsid w:val="007E2296"/>
    <w:rsid w:val="007E2975"/>
    <w:rsid w:val="007E3794"/>
    <w:rsid w:val="007E3EA5"/>
    <w:rsid w:val="007E422C"/>
    <w:rsid w:val="007E43EE"/>
    <w:rsid w:val="007E44FE"/>
    <w:rsid w:val="007E48C9"/>
    <w:rsid w:val="007E4DF5"/>
    <w:rsid w:val="007E500B"/>
    <w:rsid w:val="007E514F"/>
    <w:rsid w:val="007E581A"/>
    <w:rsid w:val="007E58E9"/>
    <w:rsid w:val="007E61C7"/>
    <w:rsid w:val="007E6B92"/>
    <w:rsid w:val="007E705B"/>
    <w:rsid w:val="007E712C"/>
    <w:rsid w:val="007E73D2"/>
    <w:rsid w:val="007E7477"/>
    <w:rsid w:val="007E7ED5"/>
    <w:rsid w:val="007F020F"/>
    <w:rsid w:val="007F03C9"/>
    <w:rsid w:val="007F05D8"/>
    <w:rsid w:val="007F06CD"/>
    <w:rsid w:val="007F16A6"/>
    <w:rsid w:val="007F1FAA"/>
    <w:rsid w:val="007F25EE"/>
    <w:rsid w:val="007F28B0"/>
    <w:rsid w:val="007F2D41"/>
    <w:rsid w:val="007F2E0B"/>
    <w:rsid w:val="007F47A6"/>
    <w:rsid w:val="007F4A60"/>
    <w:rsid w:val="007F5306"/>
    <w:rsid w:val="007F56F3"/>
    <w:rsid w:val="007F5B18"/>
    <w:rsid w:val="007F6032"/>
    <w:rsid w:val="007F61E1"/>
    <w:rsid w:val="007F6253"/>
    <w:rsid w:val="007F668D"/>
    <w:rsid w:val="007F6AB0"/>
    <w:rsid w:val="007F7DB0"/>
    <w:rsid w:val="00800049"/>
    <w:rsid w:val="00800170"/>
    <w:rsid w:val="00800333"/>
    <w:rsid w:val="00800B4D"/>
    <w:rsid w:val="0080131A"/>
    <w:rsid w:val="00801477"/>
    <w:rsid w:val="0080175C"/>
    <w:rsid w:val="008017B0"/>
    <w:rsid w:val="00801909"/>
    <w:rsid w:val="00801D02"/>
    <w:rsid w:val="00801E48"/>
    <w:rsid w:val="0080210D"/>
    <w:rsid w:val="008027CC"/>
    <w:rsid w:val="00802873"/>
    <w:rsid w:val="00802A14"/>
    <w:rsid w:val="0080323F"/>
    <w:rsid w:val="00803761"/>
    <w:rsid w:val="0080378E"/>
    <w:rsid w:val="00803876"/>
    <w:rsid w:val="0080512B"/>
    <w:rsid w:val="008057F8"/>
    <w:rsid w:val="00806995"/>
    <w:rsid w:val="00806E02"/>
    <w:rsid w:val="00807A18"/>
    <w:rsid w:val="00807E42"/>
    <w:rsid w:val="008100F1"/>
    <w:rsid w:val="00810249"/>
    <w:rsid w:val="008106FA"/>
    <w:rsid w:val="00810874"/>
    <w:rsid w:val="008109FE"/>
    <w:rsid w:val="00810C10"/>
    <w:rsid w:val="00810D67"/>
    <w:rsid w:val="00811769"/>
    <w:rsid w:val="00811998"/>
    <w:rsid w:val="00811A1A"/>
    <w:rsid w:val="00812011"/>
    <w:rsid w:val="008128EB"/>
    <w:rsid w:val="00812E8E"/>
    <w:rsid w:val="00813723"/>
    <w:rsid w:val="0081387A"/>
    <w:rsid w:val="00813B2E"/>
    <w:rsid w:val="008148CB"/>
    <w:rsid w:val="00814B5B"/>
    <w:rsid w:val="00814CEF"/>
    <w:rsid w:val="00814E70"/>
    <w:rsid w:val="00815002"/>
    <w:rsid w:val="008152AA"/>
    <w:rsid w:val="00815640"/>
    <w:rsid w:val="00815D54"/>
    <w:rsid w:val="0081622D"/>
    <w:rsid w:val="0081651D"/>
    <w:rsid w:val="008167E9"/>
    <w:rsid w:val="00816D4C"/>
    <w:rsid w:val="00817343"/>
    <w:rsid w:val="0081792C"/>
    <w:rsid w:val="00817AA7"/>
    <w:rsid w:val="0082085B"/>
    <w:rsid w:val="00820957"/>
    <w:rsid w:val="008209FC"/>
    <w:rsid w:val="00821B9F"/>
    <w:rsid w:val="00821BCD"/>
    <w:rsid w:val="00821BE2"/>
    <w:rsid w:val="00821CD6"/>
    <w:rsid w:val="00822363"/>
    <w:rsid w:val="00822F60"/>
    <w:rsid w:val="00823183"/>
    <w:rsid w:val="008232CD"/>
    <w:rsid w:val="008233B4"/>
    <w:rsid w:val="00823B2C"/>
    <w:rsid w:val="00823B5E"/>
    <w:rsid w:val="00823E61"/>
    <w:rsid w:val="008240E0"/>
    <w:rsid w:val="00824101"/>
    <w:rsid w:val="00824222"/>
    <w:rsid w:val="008243C3"/>
    <w:rsid w:val="00824E09"/>
    <w:rsid w:val="00824EC9"/>
    <w:rsid w:val="008250E0"/>
    <w:rsid w:val="00825D9B"/>
    <w:rsid w:val="00826027"/>
    <w:rsid w:val="008265E5"/>
    <w:rsid w:val="00826740"/>
    <w:rsid w:val="0082680D"/>
    <w:rsid w:val="00826DD9"/>
    <w:rsid w:val="00826DE2"/>
    <w:rsid w:val="00827170"/>
    <w:rsid w:val="00827434"/>
    <w:rsid w:val="00827745"/>
    <w:rsid w:val="00827B18"/>
    <w:rsid w:val="00830692"/>
    <w:rsid w:val="00830798"/>
    <w:rsid w:val="0083092A"/>
    <w:rsid w:val="00830A80"/>
    <w:rsid w:val="00830DF8"/>
    <w:rsid w:val="00831011"/>
    <w:rsid w:val="008312ED"/>
    <w:rsid w:val="00831510"/>
    <w:rsid w:val="00831BC9"/>
    <w:rsid w:val="0083227C"/>
    <w:rsid w:val="00832626"/>
    <w:rsid w:val="00832A27"/>
    <w:rsid w:val="00832A6F"/>
    <w:rsid w:val="00832C3C"/>
    <w:rsid w:val="00832FF4"/>
    <w:rsid w:val="00833073"/>
    <w:rsid w:val="008331BF"/>
    <w:rsid w:val="008331DD"/>
    <w:rsid w:val="00833942"/>
    <w:rsid w:val="00833AEF"/>
    <w:rsid w:val="00833E0A"/>
    <w:rsid w:val="0083411F"/>
    <w:rsid w:val="0083459A"/>
    <w:rsid w:val="00834625"/>
    <w:rsid w:val="00834A4F"/>
    <w:rsid w:val="008356DD"/>
    <w:rsid w:val="00835C44"/>
    <w:rsid w:val="00835F9A"/>
    <w:rsid w:val="008360DB"/>
    <w:rsid w:val="008362A7"/>
    <w:rsid w:val="008363CE"/>
    <w:rsid w:val="008371A3"/>
    <w:rsid w:val="00837217"/>
    <w:rsid w:val="00837603"/>
    <w:rsid w:val="00837709"/>
    <w:rsid w:val="00837A59"/>
    <w:rsid w:val="00837B2E"/>
    <w:rsid w:val="00840274"/>
    <w:rsid w:val="00840F71"/>
    <w:rsid w:val="00841007"/>
    <w:rsid w:val="008410CE"/>
    <w:rsid w:val="008411A2"/>
    <w:rsid w:val="00841216"/>
    <w:rsid w:val="008418DF"/>
    <w:rsid w:val="00841BC4"/>
    <w:rsid w:val="0084206A"/>
    <w:rsid w:val="00842B07"/>
    <w:rsid w:val="00842F95"/>
    <w:rsid w:val="00843A36"/>
    <w:rsid w:val="008448E9"/>
    <w:rsid w:val="00844D01"/>
    <w:rsid w:val="008451A1"/>
    <w:rsid w:val="008452E5"/>
    <w:rsid w:val="008455AF"/>
    <w:rsid w:val="00846081"/>
    <w:rsid w:val="00846128"/>
    <w:rsid w:val="00846305"/>
    <w:rsid w:val="008468EC"/>
    <w:rsid w:val="00846DED"/>
    <w:rsid w:val="00846E1A"/>
    <w:rsid w:val="00846E41"/>
    <w:rsid w:val="00847305"/>
    <w:rsid w:val="00847941"/>
    <w:rsid w:val="0085012F"/>
    <w:rsid w:val="008505D8"/>
    <w:rsid w:val="00850AD7"/>
    <w:rsid w:val="0085111B"/>
    <w:rsid w:val="00851374"/>
    <w:rsid w:val="0085151B"/>
    <w:rsid w:val="00851925"/>
    <w:rsid w:val="00851AE8"/>
    <w:rsid w:val="00852124"/>
    <w:rsid w:val="008522C3"/>
    <w:rsid w:val="008525CA"/>
    <w:rsid w:val="00852BCD"/>
    <w:rsid w:val="00852FB5"/>
    <w:rsid w:val="00853855"/>
    <w:rsid w:val="00853E1F"/>
    <w:rsid w:val="00853F8B"/>
    <w:rsid w:val="00854312"/>
    <w:rsid w:val="00854AB4"/>
    <w:rsid w:val="00854E85"/>
    <w:rsid w:val="0085502C"/>
    <w:rsid w:val="008559CE"/>
    <w:rsid w:val="00855B43"/>
    <w:rsid w:val="00856120"/>
    <w:rsid w:val="00856546"/>
    <w:rsid w:val="008567B2"/>
    <w:rsid w:val="008568D2"/>
    <w:rsid w:val="00856AA4"/>
    <w:rsid w:val="00856AB7"/>
    <w:rsid w:val="00857141"/>
    <w:rsid w:val="008572C2"/>
    <w:rsid w:val="00857647"/>
    <w:rsid w:val="008601DB"/>
    <w:rsid w:val="00860C8A"/>
    <w:rsid w:val="00861343"/>
    <w:rsid w:val="008619B2"/>
    <w:rsid w:val="00861AF8"/>
    <w:rsid w:val="008624B5"/>
    <w:rsid w:val="0086259C"/>
    <w:rsid w:val="00863170"/>
    <w:rsid w:val="00863199"/>
    <w:rsid w:val="008632DA"/>
    <w:rsid w:val="00863648"/>
    <w:rsid w:val="00863966"/>
    <w:rsid w:val="00863A56"/>
    <w:rsid w:val="00863A6B"/>
    <w:rsid w:val="00863DCB"/>
    <w:rsid w:val="00864379"/>
    <w:rsid w:val="00864B18"/>
    <w:rsid w:val="00865550"/>
    <w:rsid w:val="008659C4"/>
    <w:rsid w:val="00865D9C"/>
    <w:rsid w:val="00866107"/>
    <w:rsid w:val="008663AF"/>
    <w:rsid w:val="00866CD9"/>
    <w:rsid w:val="00866D0D"/>
    <w:rsid w:val="00866F4F"/>
    <w:rsid w:val="00866FC3"/>
    <w:rsid w:val="00867044"/>
    <w:rsid w:val="008672E2"/>
    <w:rsid w:val="008674C4"/>
    <w:rsid w:val="008677A7"/>
    <w:rsid w:val="008703D6"/>
    <w:rsid w:val="00870590"/>
    <w:rsid w:val="008707EE"/>
    <w:rsid w:val="0087084B"/>
    <w:rsid w:val="00870D2D"/>
    <w:rsid w:val="00870E0A"/>
    <w:rsid w:val="00870EA5"/>
    <w:rsid w:val="00870FA4"/>
    <w:rsid w:val="00871126"/>
    <w:rsid w:val="008715DF"/>
    <w:rsid w:val="008718D7"/>
    <w:rsid w:val="008719E7"/>
    <w:rsid w:val="00871E75"/>
    <w:rsid w:val="0087282D"/>
    <w:rsid w:val="00872C18"/>
    <w:rsid w:val="00872EAC"/>
    <w:rsid w:val="008733FC"/>
    <w:rsid w:val="00874418"/>
    <w:rsid w:val="00874756"/>
    <w:rsid w:val="00874C3A"/>
    <w:rsid w:val="00875022"/>
    <w:rsid w:val="0087534B"/>
    <w:rsid w:val="008754AA"/>
    <w:rsid w:val="008754D0"/>
    <w:rsid w:val="008758A5"/>
    <w:rsid w:val="00875BF6"/>
    <w:rsid w:val="00875CCD"/>
    <w:rsid w:val="00876AD2"/>
    <w:rsid w:val="00876E08"/>
    <w:rsid w:val="00876EA8"/>
    <w:rsid w:val="00876ECC"/>
    <w:rsid w:val="00876F11"/>
    <w:rsid w:val="00876F21"/>
    <w:rsid w:val="00877709"/>
    <w:rsid w:val="0087778E"/>
    <w:rsid w:val="00877D10"/>
    <w:rsid w:val="00880077"/>
    <w:rsid w:val="00880192"/>
    <w:rsid w:val="008805BB"/>
    <w:rsid w:val="00880615"/>
    <w:rsid w:val="008806E3"/>
    <w:rsid w:val="00880ABE"/>
    <w:rsid w:val="00880B4B"/>
    <w:rsid w:val="00880BFE"/>
    <w:rsid w:val="008815F7"/>
    <w:rsid w:val="00881D1A"/>
    <w:rsid w:val="00881D2B"/>
    <w:rsid w:val="00882015"/>
    <w:rsid w:val="008820B1"/>
    <w:rsid w:val="00882199"/>
    <w:rsid w:val="00882349"/>
    <w:rsid w:val="00882678"/>
    <w:rsid w:val="008828C2"/>
    <w:rsid w:val="00882CD7"/>
    <w:rsid w:val="00882EA6"/>
    <w:rsid w:val="0088372A"/>
    <w:rsid w:val="00883ABA"/>
    <w:rsid w:val="00883AF8"/>
    <w:rsid w:val="00883F72"/>
    <w:rsid w:val="00884125"/>
    <w:rsid w:val="008844C0"/>
    <w:rsid w:val="00884690"/>
    <w:rsid w:val="00884CD1"/>
    <w:rsid w:val="0088554F"/>
    <w:rsid w:val="0088565D"/>
    <w:rsid w:val="008856D1"/>
    <w:rsid w:val="00885BA8"/>
    <w:rsid w:val="00885C38"/>
    <w:rsid w:val="00885C43"/>
    <w:rsid w:val="00886891"/>
    <w:rsid w:val="00887161"/>
    <w:rsid w:val="0088792D"/>
    <w:rsid w:val="00887C0B"/>
    <w:rsid w:val="00890212"/>
    <w:rsid w:val="00890539"/>
    <w:rsid w:val="0089120E"/>
    <w:rsid w:val="00891490"/>
    <w:rsid w:val="00891991"/>
    <w:rsid w:val="00891B65"/>
    <w:rsid w:val="0089223B"/>
    <w:rsid w:val="00892333"/>
    <w:rsid w:val="0089233A"/>
    <w:rsid w:val="008923A7"/>
    <w:rsid w:val="00892630"/>
    <w:rsid w:val="00892678"/>
    <w:rsid w:val="008936D3"/>
    <w:rsid w:val="008942C5"/>
    <w:rsid w:val="008948AF"/>
    <w:rsid w:val="00894AF6"/>
    <w:rsid w:val="00895901"/>
    <w:rsid w:val="00895B29"/>
    <w:rsid w:val="00895F9F"/>
    <w:rsid w:val="0089614B"/>
    <w:rsid w:val="00896659"/>
    <w:rsid w:val="00896886"/>
    <w:rsid w:val="00896895"/>
    <w:rsid w:val="00896C67"/>
    <w:rsid w:val="00896D89"/>
    <w:rsid w:val="00896D8E"/>
    <w:rsid w:val="00896F85"/>
    <w:rsid w:val="0089740A"/>
    <w:rsid w:val="008974FD"/>
    <w:rsid w:val="00897788"/>
    <w:rsid w:val="008978CE"/>
    <w:rsid w:val="00897936"/>
    <w:rsid w:val="0089795F"/>
    <w:rsid w:val="00897B3E"/>
    <w:rsid w:val="00897F43"/>
    <w:rsid w:val="008A0212"/>
    <w:rsid w:val="008A02D2"/>
    <w:rsid w:val="008A08B2"/>
    <w:rsid w:val="008A08E5"/>
    <w:rsid w:val="008A0A47"/>
    <w:rsid w:val="008A0F1D"/>
    <w:rsid w:val="008A141D"/>
    <w:rsid w:val="008A14DC"/>
    <w:rsid w:val="008A167B"/>
    <w:rsid w:val="008A21D1"/>
    <w:rsid w:val="008A21D6"/>
    <w:rsid w:val="008A29BD"/>
    <w:rsid w:val="008A2D00"/>
    <w:rsid w:val="008A2F40"/>
    <w:rsid w:val="008A3035"/>
    <w:rsid w:val="008A4ED8"/>
    <w:rsid w:val="008A503C"/>
    <w:rsid w:val="008A5594"/>
    <w:rsid w:val="008A56D7"/>
    <w:rsid w:val="008A5C59"/>
    <w:rsid w:val="008A617B"/>
    <w:rsid w:val="008A6465"/>
    <w:rsid w:val="008A6626"/>
    <w:rsid w:val="008A6777"/>
    <w:rsid w:val="008A67E6"/>
    <w:rsid w:val="008A6827"/>
    <w:rsid w:val="008A6A41"/>
    <w:rsid w:val="008A6C21"/>
    <w:rsid w:val="008A6C24"/>
    <w:rsid w:val="008A7107"/>
    <w:rsid w:val="008A7549"/>
    <w:rsid w:val="008B009D"/>
    <w:rsid w:val="008B0167"/>
    <w:rsid w:val="008B0212"/>
    <w:rsid w:val="008B0269"/>
    <w:rsid w:val="008B03B3"/>
    <w:rsid w:val="008B0933"/>
    <w:rsid w:val="008B0E27"/>
    <w:rsid w:val="008B1382"/>
    <w:rsid w:val="008B16D3"/>
    <w:rsid w:val="008B185D"/>
    <w:rsid w:val="008B19A6"/>
    <w:rsid w:val="008B2115"/>
    <w:rsid w:val="008B27EA"/>
    <w:rsid w:val="008B2A22"/>
    <w:rsid w:val="008B2E95"/>
    <w:rsid w:val="008B38B4"/>
    <w:rsid w:val="008B3D2B"/>
    <w:rsid w:val="008B41CB"/>
    <w:rsid w:val="008B41EA"/>
    <w:rsid w:val="008B4854"/>
    <w:rsid w:val="008B4FAC"/>
    <w:rsid w:val="008B518B"/>
    <w:rsid w:val="008B533B"/>
    <w:rsid w:val="008B565D"/>
    <w:rsid w:val="008B592E"/>
    <w:rsid w:val="008B5CBB"/>
    <w:rsid w:val="008B5EB3"/>
    <w:rsid w:val="008B678F"/>
    <w:rsid w:val="008B67B5"/>
    <w:rsid w:val="008B6AC5"/>
    <w:rsid w:val="008B6D75"/>
    <w:rsid w:val="008B705B"/>
    <w:rsid w:val="008B74D1"/>
    <w:rsid w:val="008B74D6"/>
    <w:rsid w:val="008C04FC"/>
    <w:rsid w:val="008C0AD0"/>
    <w:rsid w:val="008C0B1D"/>
    <w:rsid w:val="008C0E06"/>
    <w:rsid w:val="008C133F"/>
    <w:rsid w:val="008C1BCB"/>
    <w:rsid w:val="008C1CE5"/>
    <w:rsid w:val="008C1D2B"/>
    <w:rsid w:val="008C2292"/>
    <w:rsid w:val="008C2302"/>
    <w:rsid w:val="008C27BB"/>
    <w:rsid w:val="008C288F"/>
    <w:rsid w:val="008C295C"/>
    <w:rsid w:val="008C2DC0"/>
    <w:rsid w:val="008C2FBE"/>
    <w:rsid w:val="008C33F5"/>
    <w:rsid w:val="008C3D9F"/>
    <w:rsid w:val="008C46E6"/>
    <w:rsid w:val="008C4979"/>
    <w:rsid w:val="008C49AA"/>
    <w:rsid w:val="008C4CD8"/>
    <w:rsid w:val="008C53C0"/>
    <w:rsid w:val="008C5439"/>
    <w:rsid w:val="008C5D0C"/>
    <w:rsid w:val="008C6979"/>
    <w:rsid w:val="008C6E49"/>
    <w:rsid w:val="008D090A"/>
    <w:rsid w:val="008D090B"/>
    <w:rsid w:val="008D0947"/>
    <w:rsid w:val="008D0A64"/>
    <w:rsid w:val="008D0B12"/>
    <w:rsid w:val="008D0FA5"/>
    <w:rsid w:val="008D135C"/>
    <w:rsid w:val="008D1633"/>
    <w:rsid w:val="008D17FD"/>
    <w:rsid w:val="008D1A52"/>
    <w:rsid w:val="008D1AA9"/>
    <w:rsid w:val="008D2274"/>
    <w:rsid w:val="008D2423"/>
    <w:rsid w:val="008D2EED"/>
    <w:rsid w:val="008D3420"/>
    <w:rsid w:val="008D35C0"/>
    <w:rsid w:val="008D38C0"/>
    <w:rsid w:val="008D3EA5"/>
    <w:rsid w:val="008D4398"/>
    <w:rsid w:val="008D4473"/>
    <w:rsid w:val="008D48CF"/>
    <w:rsid w:val="008D4DFD"/>
    <w:rsid w:val="008D5059"/>
    <w:rsid w:val="008D51F4"/>
    <w:rsid w:val="008D5B90"/>
    <w:rsid w:val="008D5BC1"/>
    <w:rsid w:val="008D5DB4"/>
    <w:rsid w:val="008D6005"/>
    <w:rsid w:val="008D6149"/>
    <w:rsid w:val="008D6822"/>
    <w:rsid w:val="008D6C50"/>
    <w:rsid w:val="008D6EBA"/>
    <w:rsid w:val="008D6F49"/>
    <w:rsid w:val="008D6FF0"/>
    <w:rsid w:val="008D7000"/>
    <w:rsid w:val="008D707C"/>
    <w:rsid w:val="008D787B"/>
    <w:rsid w:val="008D7978"/>
    <w:rsid w:val="008D7C74"/>
    <w:rsid w:val="008D7FAB"/>
    <w:rsid w:val="008E01C3"/>
    <w:rsid w:val="008E0775"/>
    <w:rsid w:val="008E07EE"/>
    <w:rsid w:val="008E0FD7"/>
    <w:rsid w:val="008E1660"/>
    <w:rsid w:val="008E1D20"/>
    <w:rsid w:val="008E1DB5"/>
    <w:rsid w:val="008E29EE"/>
    <w:rsid w:val="008E2AA2"/>
    <w:rsid w:val="008E2D32"/>
    <w:rsid w:val="008E3288"/>
    <w:rsid w:val="008E3A05"/>
    <w:rsid w:val="008E3E50"/>
    <w:rsid w:val="008E405A"/>
    <w:rsid w:val="008E42CC"/>
    <w:rsid w:val="008E42F3"/>
    <w:rsid w:val="008E436A"/>
    <w:rsid w:val="008E51B8"/>
    <w:rsid w:val="008E5488"/>
    <w:rsid w:val="008E5522"/>
    <w:rsid w:val="008E5A83"/>
    <w:rsid w:val="008E5EDA"/>
    <w:rsid w:val="008E648C"/>
    <w:rsid w:val="008E682C"/>
    <w:rsid w:val="008E6AB0"/>
    <w:rsid w:val="008E6DF4"/>
    <w:rsid w:val="008E7022"/>
    <w:rsid w:val="008E75F5"/>
    <w:rsid w:val="008E7760"/>
    <w:rsid w:val="008F0528"/>
    <w:rsid w:val="008F06E4"/>
    <w:rsid w:val="008F09AA"/>
    <w:rsid w:val="008F1B10"/>
    <w:rsid w:val="008F2154"/>
    <w:rsid w:val="008F2377"/>
    <w:rsid w:val="008F24FC"/>
    <w:rsid w:val="008F2AC2"/>
    <w:rsid w:val="008F303D"/>
    <w:rsid w:val="008F368F"/>
    <w:rsid w:val="008F382B"/>
    <w:rsid w:val="008F3EEC"/>
    <w:rsid w:val="008F3EF1"/>
    <w:rsid w:val="008F45DB"/>
    <w:rsid w:val="008F4655"/>
    <w:rsid w:val="008F4939"/>
    <w:rsid w:val="008F4E37"/>
    <w:rsid w:val="008F5179"/>
    <w:rsid w:val="008F5483"/>
    <w:rsid w:val="008F55F3"/>
    <w:rsid w:val="008F56AA"/>
    <w:rsid w:val="008F5CD6"/>
    <w:rsid w:val="008F5D74"/>
    <w:rsid w:val="008F6053"/>
    <w:rsid w:val="008F691B"/>
    <w:rsid w:val="008F707C"/>
    <w:rsid w:val="008F74BC"/>
    <w:rsid w:val="008F7562"/>
    <w:rsid w:val="008F7A8D"/>
    <w:rsid w:val="008F7E10"/>
    <w:rsid w:val="00900055"/>
    <w:rsid w:val="009000B4"/>
    <w:rsid w:val="009001EF"/>
    <w:rsid w:val="009004FC"/>
    <w:rsid w:val="00900504"/>
    <w:rsid w:val="009010B1"/>
    <w:rsid w:val="00901246"/>
    <w:rsid w:val="00901399"/>
    <w:rsid w:val="009016F7"/>
    <w:rsid w:val="00901A6F"/>
    <w:rsid w:val="00901D78"/>
    <w:rsid w:val="00901FB1"/>
    <w:rsid w:val="00902E31"/>
    <w:rsid w:val="0090320D"/>
    <w:rsid w:val="009034B6"/>
    <w:rsid w:val="009038EC"/>
    <w:rsid w:val="00903AB1"/>
    <w:rsid w:val="00903D45"/>
    <w:rsid w:val="00904C09"/>
    <w:rsid w:val="00904D3A"/>
    <w:rsid w:val="00905902"/>
    <w:rsid w:val="009059C3"/>
    <w:rsid w:val="00905A78"/>
    <w:rsid w:val="00905D94"/>
    <w:rsid w:val="00906ACB"/>
    <w:rsid w:val="00907186"/>
    <w:rsid w:val="009072D9"/>
    <w:rsid w:val="0090767E"/>
    <w:rsid w:val="00907D34"/>
    <w:rsid w:val="00907EC3"/>
    <w:rsid w:val="00907ED7"/>
    <w:rsid w:val="00907F71"/>
    <w:rsid w:val="00910050"/>
    <w:rsid w:val="00910856"/>
    <w:rsid w:val="009112BF"/>
    <w:rsid w:val="0091162F"/>
    <w:rsid w:val="00911835"/>
    <w:rsid w:val="00911854"/>
    <w:rsid w:val="00911B0C"/>
    <w:rsid w:val="00911B2A"/>
    <w:rsid w:val="00911DA6"/>
    <w:rsid w:val="00911E5F"/>
    <w:rsid w:val="0091253C"/>
    <w:rsid w:val="0091253D"/>
    <w:rsid w:val="00912F96"/>
    <w:rsid w:val="00913774"/>
    <w:rsid w:val="009137F9"/>
    <w:rsid w:val="0091385A"/>
    <w:rsid w:val="00913E3F"/>
    <w:rsid w:val="009145E3"/>
    <w:rsid w:val="00914865"/>
    <w:rsid w:val="009154A0"/>
    <w:rsid w:val="00915AEC"/>
    <w:rsid w:val="009160E7"/>
    <w:rsid w:val="009161EE"/>
    <w:rsid w:val="00916508"/>
    <w:rsid w:val="00916613"/>
    <w:rsid w:val="00916668"/>
    <w:rsid w:val="009168A5"/>
    <w:rsid w:val="00916A36"/>
    <w:rsid w:val="00916A9C"/>
    <w:rsid w:val="009172AC"/>
    <w:rsid w:val="0091743D"/>
    <w:rsid w:val="00917628"/>
    <w:rsid w:val="009177D0"/>
    <w:rsid w:val="00920D02"/>
    <w:rsid w:val="00920D60"/>
    <w:rsid w:val="0092138F"/>
    <w:rsid w:val="0092177C"/>
    <w:rsid w:val="009219E3"/>
    <w:rsid w:val="009223DB"/>
    <w:rsid w:val="0092359C"/>
    <w:rsid w:val="00923C9F"/>
    <w:rsid w:val="00923F50"/>
    <w:rsid w:val="00925E36"/>
    <w:rsid w:val="00925EE8"/>
    <w:rsid w:val="0092730B"/>
    <w:rsid w:val="00927346"/>
    <w:rsid w:val="00927845"/>
    <w:rsid w:val="00927EB0"/>
    <w:rsid w:val="009305D2"/>
    <w:rsid w:val="009307B3"/>
    <w:rsid w:val="00930C34"/>
    <w:rsid w:val="009314EB"/>
    <w:rsid w:val="009314FD"/>
    <w:rsid w:val="0093151C"/>
    <w:rsid w:val="00931AD4"/>
    <w:rsid w:val="00931B4A"/>
    <w:rsid w:val="00932404"/>
    <w:rsid w:val="00932875"/>
    <w:rsid w:val="00932C2F"/>
    <w:rsid w:val="00932DCE"/>
    <w:rsid w:val="00933366"/>
    <w:rsid w:val="0093355D"/>
    <w:rsid w:val="009337CD"/>
    <w:rsid w:val="0093398C"/>
    <w:rsid w:val="00933AC1"/>
    <w:rsid w:val="00933B2C"/>
    <w:rsid w:val="00933CC4"/>
    <w:rsid w:val="00934A22"/>
    <w:rsid w:val="00934A82"/>
    <w:rsid w:val="00934BE0"/>
    <w:rsid w:val="00934BEF"/>
    <w:rsid w:val="00934E5E"/>
    <w:rsid w:val="00934E89"/>
    <w:rsid w:val="00934EFC"/>
    <w:rsid w:val="00934F8A"/>
    <w:rsid w:val="009353B5"/>
    <w:rsid w:val="0093547A"/>
    <w:rsid w:val="0093599A"/>
    <w:rsid w:val="00935A0F"/>
    <w:rsid w:val="00935C72"/>
    <w:rsid w:val="00935ECA"/>
    <w:rsid w:val="00936173"/>
    <w:rsid w:val="00936305"/>
    <w:rsid w:val="00936DDA"/>
    <w:rsid w:val="009370B3"/>
    <w:rsid w:val="009372B0"/>
    <w:rsid w:val="0094018A"/>
    <w:rsid w:val="0094138E"/>
    <w:rsid w:val="00941E92"/>
    <w:rsid w:val="00942104"/>
    <w:rsid w:val="009421A6"/>
    <w:rsid w:val="00942239"/>
    <w:rsid w:val="0094235C"/>
    <w:rsid w:val="00942413"/>
    <w:rsid w:val="009425F7"/>
    <w:rsid w:val="00942700"/>
    <w:rsid w:val="009427BB"/>
    <w:rsid w:val="00942872"/>
    <w:rsid w:val="009429C2"/>
    <w:rsid w:val="00942E6C"/>
    <w:rsid w:val="009430C0"/>
    <w:rsid w:val="00943321"/>
    <w:rsid w:val="00943550"/>
    <w:rsid w:val="0094383F"/>
    <w:rsid w:val="00943C05"/>
    <w:rsid w:val="00943D2B"/>
    <w:rsid w:val="009441F1"/>
    <w:rsid w:val="009442F8"/>
    <w:rsid w:val="00944337"/>
    <w:rsid w:val="009444BA"/>
    <w:rsid w:val="00944954"/>
    <w:rsid w:val="00944B21"/>
    <w:rsid w:val="00945419"/>
    <w:rsid w:val="00945752"/>
    <w:rsid w:val="00945ABA"/>
    <w:rsid w:val="00945EC4"/>
    <w:rsid w:val="00945FF9"/>
    <w:rsid w:val="0094617F"/>
    <w:rsid w:val="0094640F"/>
    <w:rsid w:val="00946A61"/>
    <w:rsid w:val="00946E32"/>
    <w:rsid w:val="0094702C"/>
    <w:rsid w:val="009478FB"/>
    <w:rsid w:val="00947936"/>
    <w:rsid w:val="00947CBD"/>
    <w:rsid w:val="009501CB"/>
    <w:rsid w:val="009502EE"/>
    <w:rsid w:val="0095032A"/>
    <w:rsid w:val="00950B69"/>
    <w:rsid w:val="00950C1D"/>
    <w:rsid w:val="00950DC2"/>
    <w:rsid w:val="009514C4"/>
    <w:rsid w:val="00952655"/>
    <w:rsid w:val="009529E3"/>
    <w:rsid w:val="00952A17"/>
    <w:rsid w:val="00952D54"/>
    <w:rsid w:val="00952E3B"/>
    <w:rsid w:val="00953578"/>
    <w:rsid w:val="00953787"/>
    <w:rsid w:val="009537DF"/>
    <w:rsid w:val="00953845"/>
    <w:rsid w:val="00953996"/>
    <w:rsid w:val="00953F70"/>
    <w:rsid w:val="0095403F"/>
    <w:rsid w:val="00954636"/>
    <w:rsid w:val="00954E2A"/>
    <w:rsid w:val="009552B7"/>
    <w:rsid w:val="00955331"/>
    <w:rsid w:val="0095579E"/>
    <w:rsid w:val="00955B9C"/>
    <w:rsid w:val="00955DC7"/>
    <w:rsid w:val="00955FCC"/>
    <w:rsid w:val="0095673C"/>
    <w:rsid w:val="00956A12"/>
    <w:rsid w:val="00956E2F"/>
    <w:rsid w:val="00957B1B"/>
    <w:rsid w:val="00957BC7"/>
    <w:rsid w:val="00957C60"/>
    <w:rsid w:val="00957D9F"/>
    <w:rsid w:val="00957DEA"/>
    <w:rsid w:val="00960078"/>
    <w:rsid w:val="0096028B"/>
    <w:rsid w:val="0096079E"/>
    <w:rsid w:val="00960E0A"/>
    <w:rsid w:val="009613C7"/>
    <w:rsid w:val="0096172D"/>
    <w:rsid w:val="00961D31"/>
    <w:rsid w:val="00962A99"/>
    <w:rsid w:val="00962CCA"/>
    <w:rsid w:val="00963690"/>
    <w:rsid w:val="00963FA9"/>
    <w:rsid w:val="009640EC"/>
    <w:rsid w:val="009643A9"/>
    <w:rsid w:val="009645D0"/>
    <w:rsid w:val="0096501F"/>
    <w:rsid w:val="009651D7"/>
    <w:rsid w:val="009659D7"/>
    <w:rsid w:val="00965B86"/>
    <w:rsid w:val="00965CC3"/>
    <w:rsid w:val="00965F93"/>
    <w:rsid w:val="00966153"/>
    <w:rsid w:val="009664D8"/>
    <w:rsid w:val="009665C7"/>
    <w:rsid w:val="0096664D"/>
    <w:rsid w:val="00966E56"/>
    <w:rsid w:val="00967548"/>
    <w:rsid w:val="00967798"/>
    <w:rsid w:val="00967A31"/>
    <w:rsid w:val="00967B4D"/>
    <w:rsid w:val="00967C28"/>
    <w:rsid w:val="0096B0AF"/>
    <w:rsid w:val="00970576"/>
    <w:rsid w:val="00970C6C"/>
    <w:rsid w:val="0097124D"/>
    <w:rsid w:val="009713CF"/>
    <w:rsid w:val="009717CC"/>
    <w:rsid w:val="00971872"/>
    <w:rsid w:val="00971E76"/>
    <w:rsid w:val="009721BA"/>
    <w:rsid w:val="00972550"/>
    <w:rsid w:val="009725D3"/>
    <w:rsid w:val="00972646"/>
    <w:rsid w:val="00972659"/>
    <w:rsid w:val="00972B26"/>
    <w:rsid w:val="00972C04"/>
    <w:rsid w:val="00972C11"/>
    <w:rsid w:val="00972D2B"/>
    <w:rsid w:val="00973091"/>
    <w:rsid w:val="009735F3"/>
    <w:rsid w:val="009737A1"/>
    <w:rsid w:val="009737B9"/>
    <w:rsid w:val="00973949"/>
    <w:rsid w:val="00973C79"/>
    <w:rsid w:val="00974306"/>
    <w:rsid w:val="0097432D"/>
    <w:rsid w:val="00974452"/>
    <w:rsid w:val="009744A7"/>
    <w:rsid w:val="009753E8"/>
    <w:rsid w:val="0097550F"/>
    <w:rsid w:val="00975960"/>
    <w:rsid w:val="00975BC8"/>
    <w:rsid w:val="00975E5A"/>
    <w:rsid w:val="0097601B"/>
    <w:rsid w:val="00976521"/>
    <w:rsid w:val="0097664C"/>
    <w:rsid w:val="00976829"/>
    <w:rsid w:val="00976A7F"/>
    <w:rsid w:val="00976C35"/>
    <w:rsid w:val="00976F60"/>
    <w:rsid w:val="00976FA7"/>
    <w:rsid w:val="00977818"/>
    <w:rsid w:val="00980B00"/>
    <w:rsid w:val="00980CE1"/>
    <w:rsid w:val="0098111D"/>
    <w:rsid w:val="009811CC"/>
    <w:rsid w:val="0098124D"/>
    <w:rsid w:val="0098130F"/>
    <w:rsid w:val="00981401"/>
    <w:rsid w:val="0098161C"/>
    <w:rsid w:val="009818F0"/>
    <w:rsid w:val="0098206E"/>
    <w:rsid w:val="009821BD"/>
    <w:rsid w:val="009828D8"/>
    <w:rsid w:val="00983390"/>
    <w:rsid w:val="00983782"/>
    <w:rsid w:val="0098397C"/>
    <w:rsid w:val="00983988"/>
    <w:rsid w:val="00983FF1"/>
    <w:rsid w:val="00984291"/>
    <w:rsid w:val="00984615"/>
    <w:rsid w:val="00984866"/>
    <w:rsid w:val="00984A1E"/>
    <w:rsid w:val="00984DA7"/>
    <w:rsid w:val="00985040"/>
    <w:rsid w:val="00985059"/>
    <w:rsid w:val="00985142"/>
    <w:rsid w:val="00986421"/>
    <w:rsid w:val="00986422"/>
    <w:rsid w:val="00986492"/>
    <w:rsid w:val="009868A3"/>
    <w:rsid w:val="00986A94"/>
    <w:rsid w:val="00986D2C"/>
    <w:rsid w:val="009873B2"/>
    <w:rsid w:val="00987CCB"/>
    <w:rsid w:val="00987E56"/>
    <w:rsid w:val="00987E8A"/>
    <w:rsid w:val="00990034"/>
    <w:rsid w:val="00990746"/>
    <w:rsid w:val="009908CA"/>
    <w:rsid w:val="00990AC0"/>
    <w:rsid w:val="00991406"/>
    <w:rsid w:val="00991A13"/>
    <w:rsid w:val="00991C6B"/>
    <w:rsid w:val="0099264F"/>
    <w:rsid w:val="00992696"/>
    <w:rsid w:val="0099269A"/>
    <w:rsid w:val="00992AF8"/>
    <w:rsid w:val="00993785"/>
    <w:rsid w:val="0099434B"/>
    <w:rsid w:val="009946EF"/>
    <w:rsid w:val="009948A7"/>
    <w:rsid w:val="0099494A"/>
    <w:rsid w:val="009949B8"/>
    <w:rsid w:val="00995050"/>
    <w:rsid w:val="0099581F"/>
    <w:rsid w:val="00995A71"/>
    <w:rsid w:val="00995C54"/>
    <w:rsid w:val="009961E6"/>
    <w:rsid w:val="0099635A"/>
    <w:rsid w:val="00996D3B"/>
    <w:rsid w:val="00996EC4"/>
    <w:rsid w:val="009973BC"/>
    <w:rsid w:val="00997869"/>
    <w:rsid w:val="00997B51"/>
    <w:rsid w:val="00997E94"/>
    <w:rsid w:val="009A02E8"/>
    <w:rsid w:val="009A063D"/>
    <w:rsid w:val="009A06AF"/>
    <w:rsid w:val="009A07AF"/>
    <w:rsid w:val="009A0978"/>
    <w:rsid w:val="009A1342"/>
    <w:rsid w:val="009A13D4"/>
    <w:rsid w:val="009A1471"/>
    <w:rsid w:val="009A1A81"/>
    <w:rsid w:val="009A1F21"/>
    <w:rsid w:val="009A1F74"/>
    <w:rsid w:val="009A20DB"/>
    <w:rsid w:val="009A2C74"/>
    <w:rsid w:val="009A2E4F"/>
    <w:rsid w:val="009A3179"/>
    <w:rsid w:val="009A37C6"/>
    <w:rsid w:val="009A39A3"/>
    <w:rsid w:val="009A3ABC"/>
    <w:rsid w:val="009A3D27"/>
    <w:rsid w:val="009A4193"/>
    <w:rsid w:val="009A487E"/>
    <w:rsid w:val="009A4A47"/>
    <w:rsid w:val="009A4D1D"/>
    <w:rsid w:val="009A51B4"/>
    <w:rsid w:val="009A528F"/>
    <w:rsid w:val="009A5540"/>
    <w:rsid w:val="009A57AD"/>
    <w:rsid w:val="009A5813"/>
    <w:rsid w:val="009A5CDD"/>
    <w:rsid w:val="009A5E5E"/>
    <w:rsid w:val="009A620A"/>
    <w:rsid w:val="009A641E"/>
    <w:rsid w:val="009A6744"/>
    <w:rsid w:val="009A67B9"/>
    <w:rsid w:val="009A69F3"/>
    <w:rsid w:val="009A6A62"/>
    <w:rsid w:val="009A6C3D"/>
    <w:rsid w:val="009A6F1E"/>
    <w:rsid w:val="009A74F9"/>
    <w:rsid w:val="009A7B80"/>
    <w:rsid w:val="009B0ABA"/>
    <w:rsid w:val="009B0B91"/>
    <w:rsid w:val="009B0D9F"/>
    <w:rsid w:val="009B0EB8"/>
    <w:rsid w:val="009B0F62"/>
    <w:rsid w:val="009B1096"/>
    <w:rsid w:val="009B15D2"/>
    <w:rsid w:val="009B16F5"/>
    <w:rsid w:val="009B18F9"/>
    <w:rsid w:val="009B1B96"/>
    <w:rsid w:val="009B1BA3"/>
    <w:rsid w:val="009B1C88"/>
    <w:rsid w:val="009B1CEF"/>
    <w:rsid w:val="009B1CF4"/>
    <w:rsid w:val="009B248F"/>
    <w:rsid w:val="009B2DD3"/>
    <w:rsid w:val="009B33FE"/>
    <w:rsid w:val="009B38D1"/>
    <w:rsid w:val="009B3A21"/>
    <w:rsid w:val="009B3E33"/>
    <w:rsid w:val="009B3E84"/>
    <w:rsid w:val="009B4739"/>
    <w:rsid w:val="009B4797"/>
    <w:rsid w:val="009B4BC8"/>
    <w:rsid w:val="009B504A"/>
    <w:rsid w:val="009B5C67"/>
    <w:rsid w:val="009B606D"/>
    <w:rsid w:val="009B6B0A"/>
    <w:rsid w:val="009B6D5C"/>
    <w:rsid w:val="009B7C40"/>
    <w:rsid w:val="009C057E"/>
    <w:rsid w:val="009C0D4D"/>
    <w:rsid w:val="009C0FDA"/>
    <w:rsid w:val="009C13FF"/>
    <w:rsid w:val="009C1514"/>
    <w:rsid w:val="009C1904"/>
    <w:rsid w:val="009C2060"/>
    <w:rsid w:val="009C2254"/>
    <w:rsid w:val="009C2391"/>
    <w:rsid w:val="009C2ACF"/>
    <w:rsid w:val="009C2CAD"/>
    <w:rsid w:val="009C2D21"/>
    <w:rsid w:val="009C38F4"/>
    <w:rsid w:val="009C3C12"/>
    <w:rsid w:val="009C3D56"/>
    <w:rsid w:val="009C4350"/>
    <w:rsid w:val="009C4E6D"/>
    <w:rsid w:val="009C5012"/>
    <w:rsid w:val="009C501D"/>
    <w:rsid w:val="009C5349"/>
    <w:rsid w:val="009C552C"/>
    <w:rsid w:val="009C56F2"/>
    <w:rsid w:val="009C5906"/>
    <w:rsid w:val="009C5B69"/>
    <w:rsid w:val="009C5B99"/>
    <w:rsid w:val="009C5BD8"/>
    <w:rsid w:val="009C5D9B"/>
    <w:rsid w:val="009C5FC3"/>
    <w:rsid w:val="009C6300"/>
    <w:rsid w:val="009C64F4"/>
    <w:rsid w:val="009C6826"/>
    <w:rsid w:val="009C6F32"/>
    <w:rsid w:val="009C71A3"/>
    <w:rsid w:val="009C7408"/>
    <w:rsid w:val="009C774C"/>
    <w:rsid w:val="009C7C32"/>
    <w:rsid w:val="009D026B"/>
    <w:rsid w:val="009D044A"/>
    <w:rsid w:val="009D05C8"/>
    <w:rsid w:val="009D07C5"/>
    <w:rsid w:val="009D09AF"/>
    <w:rsid w:val="009D0B90"/>
    <w:rsid w:val="009D1021"/>
    <w:rsid w:val="009D168A"/>
    <w:rsid w:val="009D1BE3"/>
    <w:rsid w:val="009D1E4C"/>
    <w:rsid w:val="009D21C2"/>
    <w:rsid w:val="009D2670"/>
    <w:rsid w:val="009D2F10"/>
    <w:rsid w:val="009D32D1"/>
    <w:rsid w:val="009D39DA"/>
    <w:rsid w:val="009D3A0D"/>
    <w:rsid w:val="009D3DC5"/>
    <w:rsid w:val="009D3F69"/>
    <w:rsid w:val="009D476C"/>
    <w:rsid w:val="009D480E"/>
    <w:rsid w:val="009D4974"/>
    <w:rsid w:val="009D4B00"/>
    <w:rsid w:val="009D5497"/>
    <w:rsid w:val="009D5F5D"/>
    <w:rsid w:val="009D621D"/>
    <w:rsid w:val="009D630A"/>
    <w:rsid w:val="009D66B8"/>
    <w:rsid w:val="009D6776"/>
    <w:rsid w:val="009D68E6"/>
    <w:rsid w:val="009D69A7"/>
    <w:rsid w:val="009D6A38"/>
    <w:rsid w:val="009D73CF"/>
    <w:rsid w:val="009D7BC5"/>
    <w:rsid w:val="009D7C69"/>
    <w:rsid w:val="009D7FFB"/>
    <w:rsid w:val="009E01CD"/>
    <w:rsid w:val="009E0255"/>
    <w:rsid w:val="009E0777"/>
    <w:rsid w:val="009E1A8E"/>
    <w:rsid w:val="009E1ADE"/>
    <w:rsid w:val="009E1F34"/>
    <w:rsid w:val="009E25AF"/>
    <w:rsid w:val="009E2EB1"/>
    <w:rsid w:val="009E324E"/>
    <w:rsid w:val="009E338E"/>
    <w:rsid w:val="009E361B"/>
    <w:rsid w:val="009E3A15"/>
    <w:rsid w:val="009E3B22"/>
    <w:rsid w:val="009E3BE2"/>
    <w:rsid w:val="009E3D83"/>
    <w:rsid w:val="009E3F03"/>
    <w:rsid w:val="009E41D3"/>
    <w:rsid w:val="009E457F"/>
    <w:rsid w:val="009E4CFD"/>
    <w:rsid w:val="009E4EB0"/>
    <w:rsid w:val="009E4F21"/>
    <w:rsid w:val="009E5281"/>
    <w:rsid w:val="009E53B0"/>
    <w:rsid w:val="009E555F"/>
    <w:rsid w:val="009E5789"/>
    <w:rsid w:val="009E5898"/>
    <w:rsid w:val="009E5C1D"/>
    <w:rsid w:val="009E6350"/>
    <w:rsid w:val="009E6B57"/>
    <w:rsid w:val="009E6C17"/>
    <w:rsid w:val="009E7188"/>
    <w:rsid w:val="009E7342"/>
    <w:rsid w:val="009E7961"/>
    <w:rsid w:val="009E796B"/>
    <w:rsid w:val="009E7B70"/>
    <w:rsid w:val="009E7C09"/>
    <w:rsid w:val="009EC385"/>
    <w:rsid w:val="009F02A0"/>
    <w:rsid w:val="009F0541"/>
    <w:rsid w:val="009F0910"/>
    <w:rsid w:val="009F0B90"/>
    <w:rsid w:val="009F0C01"/>
    <w:rsid w:val="009F100D"/>
    <w:rsid w:val="009F1341"/>
    <w:rsid w:val="009F148B"/>
    <w:rsid w:val="009F15C6"/>
    <w:rsid w:val="009F19E3"/>
    <w:rsid w:val="009F1C5B"/>
    <w:rsid w:val="009F1E6A"/>
    <w:rsid w:val="009F231C"/>
    <w:rsid w:val="009F28C0"/>
    <w:rsid w:val="009F2AB4"/>
    <w:rsid w:val="009F2B36"/>
    <w:rsid w:val="009F32D3"/>
    <w:rsid w:val="009F3A8C"/>
    <w:rsid w:val="009F3B65"/>
    <w:rsid w:val="009F3F7E"/>
    <w:rsid w:val="009F40A2"/>
    <w:rsid w:val="009F516C"/>
    <w:rsid w:val="009F5668"/>
    <w:rsid w:val="009F587A"/>
    <w:rsid w:val="009F5ADA"/>
    <w:rsid w:val="009F5B19"/>
    <w:rsid w:val="009F5BED"/>
    <w:rsid w:val="009F5C29"/>
    <w:rsid w:val="009F5CFD"/>
    <w:rsid w:val="009F5DA3"/>
    <w:rsid w:val="009F6185"/>
    <w:rsid w:val="009F62D1"/>
    <w:rsid w:val="009F6544"/>
    <w:rsid w:val="009F6A25"/>
    <w:rsid w:val="009F6FFF"/>
    <w:rsid w:val="009F703E"/>
    <w:rsid w:val="009F710C"/>
    <w:rsid w:val="009F71E9"/>
    <w:rsid w:val="009F7622"/>
    <w:rsid w:val="009F77DB"/>
    <w:rsid w:val="00A00667"/>
    <w:rsid w:val="00A00AB9"/>
    <w:rsid w:val="00A01305"/>
    <w:rsid w:val="00A014FA"/>
    <w:rsid w:val="00A01B9A"/>
    <w:rsid w:val="00A01E34"/>
    <w:rsid w:val="00A02876"/>
    <w:rsid w:val="00A02E1C"/>
    <w:rsid w:val="00A02FA6"/>
    <w:rsid w:val="00A03259"/>
    <w:rsid w:val="00A036E5"/>
    <w:rsid w:val="00A03D5A"/>
    <w:rsid w:val="00A03FB7"/>
    <w:rsid w:val="00A04312"/>
    <w:rsid w:val="00A051C3"/>
    <w:rsid w:val="00A052F9"/>
    <w:rsid w:val="00A0604B"/>
    <w:rsid w:val="00A060EF"/>
    <w:rsid w:val="00A067D2"/>
    <w:rsid w:val="00A06CF1"/>
    <w:rsid w:val="00A071C4"/>
    <w:rsid w:val="00A0724A"/>
    <w:rsid w:val="00A07689"/>
    <w:rsid w:val="00A078F8"/>
    <w:rsid w:val="00A07E3F"/>
    <w:rsid w:val="00A10555"/>
    <w:rsid w:val="00A108F3"/>
    <w:rsid w:val="00A10C32"/>
    <w:rsid w:val="00A10F5F"/>
    <w:rsid w:val="00A11972"/>
    <w:rsid w:val="00A11A6D"/>
    <w:rsid w:val="00A11C14"/>
    <w:rsid w:val="00A11E33"/>
    <w:rsid w:val="00A11E81"/>
    <w:rsid w:val="00A11ED7"/>
    <w:rsid w:val="00A12465"/>
    <w:rsid w:val="00A12850"/>
    <w:rsid w:val="00A12B1E"/>
    <w:rsid w:val="00A133B9"/>
    <w:rsid w:val="00A133E5"/>
    <w:rsid w:val="00A13CDD"/>
    <w:rsid w:val="00A13D0B"/>
    <w:rsid w:val="00A14208"/>
    <w:rsid w:val="00A142A1"/>
    <w:rsid w:val="00A1494D"/>
    <w:rsid w:val="00A14A2B"/>
    <w:rsid w:val="00A14ABA"/>
    <w:rsid w:val="00A15109"/>
    <w:rsid w:val="00A15889"/>
    <w:rsid w:val="00A15B56"/>
    <w:rsid w:val="00A15E37"/>
    <w:rsid w:val="00A1629E"/>
    <w:rsid w:val="00A162E2"/>
    <w:rsid w:val="00A1706A"/>
    <w:rsid w:val="00A1753B"/>
    <w:rsid w:val="00A205BC"/>
    <w:rsid w:val="00A20D10"/>
    <w:rsid w:val="00A21055"/>
    <w:rsid w:val="00A211BC"/>
    <w:rsid w:val="00A2132E"/>
    <w:rsid w:val="00A22049"/>
    <w:rsid w:val="00A22744"/>
    <w:rsid w:val="00A23506"/>
    <w:rsid w:val="00A236F5"/>
    <w:rsid w:val="00A24121"/>
    <w:rsid w:val="00A24765"/>
    <w:rsid w:val="00A24AC6"/>
    <w:rsid w:val="00A24DFE"/>
    <w:rsid w:val="00A253E6"/>
    <w:rsid w:val="00A253E7"/>
    <w:rsid w:val="00A2590F"/>
    <w:rsid w:val="00A259FF"/>
    <w:rsid w:val="00A25B6E"/>
    <w:rsid w:val="00A25FD4"/>
    <w:rsid w:val="00A2609E"/>
    <w:rsid w:val="00A267DA"/>
    <w:rsid w:val="00A2685F"/>
    <w:rsid w:val="00A270B8"/>
    <w:rsid w:val="00A2731C"/>
    <w:rsid w:val="00A27530"/>
    <w:rsid w:val="00A27A7F"/>
    <w:rsid w:val="00A27B08"/>
    <w:rsid w:val="00A3050E"/>
    <w:rsid w:val="00A3067A"/>
    <w:rsid w:val="00A30896"/>
    <w:rsid w:val="00A314C2"/>
    <w:rsid w:val="00A31912"/>
    <w:rsid w:val="00A329CB"/>
    <w:rsid w:val="00A33034"/>
    <w:rsid w:val="00A33633"/>
    <w:rsid w:val="00A336D3"/>
    <w:rsid w:val="00A33906"/>
    <w:rsid w:val="00A33A10"/>
    <w:rsid w:val="00A33AE0"/>
    <w:rsid w:val="00A33E3D"/>
    <w:rsid w:val="00A3442F"/>
    <w:rsid w:val="00A34B5D"/>
    <w:rsid w:val="00A34FF7"/>
    <w:rsid w:val="00A35292"/>
    <w:rsid w:val="00A35302"/>
    <w:rsid w:val="00A3560B"/>
    <w:rsid w:val="00A35638"/>
    <w:rsid w:val="00A3582C"/>
    <w:rsid w:val="00A35831"/>
    <w:rsid w:val="00A359B0"/>
    <w:rsid w:val="00A35A3A"/>
    <w:rsid w:val="00A366B9"/>
    <w:rsid w:val="00A36BF2"/>
    <w:rsid w:val="00A36E33"/>
    <w:rsid w:val="00A36FD0"/>
    <w:rsid w:val="00A3760B"/>
    <w:rsid w:val="00A4074A"/>
    <w:rsid w:val="00A40A08"/>
    <w:rsid w:val="00A40A65"/>
    <w:rsid w:val="00A40EFA"/>
    <w:rsid w:val="00A4117A"/>
    <w:rsid w:val="00A41686"/>
    <w:rsid w:val="00A422FB"/>
    <w:rsid w:val="00A42493"/>
    <w:rsid w:val="00A42848"/>
    <w:rsid w:val="00A42E6B"/>
    <w:rsid w:val="00A43039"/>
    <w:rsid w:val="00A4321D"/>
    <w:rsid w:val="00A433E1"/>
    <w:rsid w:val="00A43652"/>
    <w:rsid w:val="00A43C64"/>
    <w:rsid w:val="00A4426E"/>
    <w:rsid w:val="00A443FA"/>
    <w:rsid w:val="00A4446E"/>
    <w:rsid w:val="00A445F8"/>
    <w:rsid w:val="00A45377"/>
    <w:rsid w:val="00A4540A"/>
    <w:rsid w:val="00A45564"/>
    <w:rsid w:val="00A45707"/>
    <w:rsid w:val="00A45743"/>
    <w:rsid w:val="00A45842"/>
    <w:rsid w:val="00A4590E"/>
    <w:rsid w:val="00A45E05"/>
    <w:rsid w:val="00A4634B"/>
    <w:rsid w:val="00A466C3"/>
    <w:rsid w:val="00A4671F"/>
    <w:rsid w:val="00A4674A"/>
    <w:rsid w:val="00A4704D"/>
    <w:rsid w:val="00A471EE"/>
    <w:rsid w:val="00A4761C"/>
    <w:rsid w:val="00A4774F"/>
    <w:rsid w:val="00A4781A"/>
    <w:rsid w:val="00A47DAC"/>
    <w:rsid w:val="00A504D3"/>
    <w:rsid w:val="00A50760"/>
    <w:rsid w:val="00A50803"/>
    <w:rsid w:val="00A50F0B"/>
    <w:rsid w:val="00A51078"/>
    <w:rsid w:val="00A5132F"/>
    <w:rsid w:val="00A51781"/>
    <w:rsid w:val="00A5185A"/>
    <w:rsid w:val="00A5191C"/>
    <w:rsid w:val="00A51A4E"/>
    <w:rsid w:val="00A51C2F"/>
    <w:rsid w:val="00A5216A"/>
    <w:rsid w:val="00A5265E"/>
    <w:rsid w:val="00A529A6"/>
    <w:rsid w:val="00A52CC1"/>
    <w:rsid w:val="00A53AA4"/>
    <w:rsid w:val="00A53D1B"/>
    <w:rsid w:val="00A53DF4"/>
    <w:rsid w:val="00A543AD"/>
    <w:rsid w:val="00A54B6B"/>
    <w:rsid w:val="00A54BAE"/>
    <w:rsid w:val="00A54E03"/>
    <w:rsid w:val="00A55362"/>
    <w:rsid w:val="00A554AF"/>
    <w:rsid w:val="00A55754"/>
    <w:rsid w:val="00A55777"/>
    <w:rsid w:val="00A55881"/>
    <w:rsid w:val="00A55C20"/>
    <w:rsid w:val="00A55DD5"/>
    <w:rsid w:val="00A55FF0"/>
    <w:rsid w:val="00A56370"/>
    <w:rsid w:val="00A56A6E"/>
    <w:rsid w:val="00A56F92"/>
    <w:rsid w:val="00A577C4"/>
    <w:rsid w:val="00A57A11"/>
    <w:rsid w:val="00A57B23"/>
    <w:rsid w:val="00A60E11"/>
    <w:rsid w:val="00A6125D"/>
    <w:rsid w:val="00A612F3"/>
    <w:rsid w:val="00A616CC"/>
    <w:rsid w:val="00A61B52"/>
    <w:rsid w:val="00A61BE6"/>
    <w:rsid w:val="00A61E88"/>
    <w:rsid w:val="00A6220F"/>
    <w:rsid w:val="00A62244"/>
    <w:rsid w:val="00A622FE"/>
    <w:rsid w:val="00A62707"/>
    <w:rsid w:val="00A62807"/>
    <w:rsid w:val="00A6293B"/>
    <w:rsid w:val="00A62BFD"/>
    <w:rsid w:val="00A62EAD"/>
    <w:rsid w:val="00A6350A"/>
    <w:rsid w:val="00A63A4D"/>
    <w:rsid w:val="00A63AEB"/>
    <w:rsid w:val="00A640D4"/>
    <w:rsid w:val="00A641B7"/>
    <w:rsid w:val="00A64378"/>
    <w:rsid w:val="00A64A5C"/>
    <w:rsid w:val="00A64D9B"/>
    <w:rsid w:val="00A66230"/>
    <w:rsid w:val="00A66524"/>
    <w:rsid w:val="00A666E1"/>
    <w:rsid w:val="00A66776"/>
    <w:rsid w:val="00A66C0D"/>
    <w:rsid w:val="00A671B1"/>
    <w:rsid w:val="00A676C7"/>
    <w:rsid w:val="00A67D72"/>
    <w:rsid w:val="00A67F8B"/>
    <w:rsid w:val="00A7051E"/>
    <w:rsid w:val="00A70523"/>
    <w:rsid w:val="00A706A4"/>
    <w:rsid w:val="00A707E4"/>
    <w:rsid w:val="00A70806"/>
    <w:rsid w:val="00A716F0"/>
    <w:rsid w:val="00A71BA6"/>
    <w:rsid w:val="00A7249F"/>
    <w:rsid w:val="00A725C1"/>
    <w:rsid w:val="00A7273C"/>
    <w:rsid w:val="00A729F7"/>
    <w:rsid w:val="00A72F49"/>
    <w:rsid w:val="00A72F56"/>
    <w:rsid w:val="00A732A8"/>
    <w:rsid w:val="00A734BA"/>
    <w:rsid w:val="00A737D3"/>
    <w:rsid w:val="00A73AB8"/>
    <w:rsid w:val="00A74126"/>
    <w:rsid w:val="00A74344"/>
    <w:rsid w:val="00A748F9"/>
    <w:rsid w:val="00A7531A"/>
    <w:rsid w:val="00A753D8"/>
    <w:rsid w:val="00A75476"/>
    <w:rsid w:val="00A7553E"/>
    <w:rsid w:val="00A75630"/>
    <w:rsid w:val="00A757B7"/>
    <w:rsid w:val="00A75CBE"/>
    <w:rsid w:val="00A75F59"/>
    <w:rsid w:val="00A75FFC"/>
    <w:rsid w:val="00A76691"/>
    <w:rsid w:val="00A7673C"/>
    <w:rsid w:val="00A7675C"/>
    <w:rsid w:val="00A76CD3"/>
    <w:rsid w:val="00A76D1C"/>
    <w:rsid w:val="00A76E9F"/>
    <w:rsid w:val="00A76FEF"/>
    <w:rsid w:val="00A773DF"/>
    <w:rsid w:val="00A77738"/>
    <w:rsid w:val="00A80032"/>
    <w:rsid w:val="00A80872"/>
    <w:rsid w:val="00A80C4E"/>
    <w:rsid w:val="00A81116"/>
    <w:rsid w:val="00A81950"/>
    <w:rsid w:val="00A81AE0"/>
    <w:rsid w:val="00A823A2"/>
    <w:rsid w:val="00A82437"/>
    <w:rsid w:val="00A82853"/>
    <w:rsid w:val="00A829B5"/>
    <w:rsid w:val="00A82B1E"/>
    <w:rsid w:val="00A82C59"/>
    <w:rsid w:val="00A82C6E"/>
    <w:rsid w:val="00A830F8"/>
    <w:rsid w:val="00A83780"/>
    <w:rsid w:val="00A838EA"/>
    <w:rsid w:val="00A83B92"/>
    <w:rsid w:val="00A83B94"/>
    <w:rsid w:val="00A84DB3"/>
    <w:rsid w:val="00A8528D"/>
    <w:rsid w:val="00A85EAD"/>
    <w:rsid w:val="00A86232"/>
    <w:rsid w:val="00A8628D"/>
    <w:rsid w:val="00A86727"/>
    <w:rsid w:val="00A86C11"/>
    <w:rsid w:val="00A86F0C"/>
    <w:rsid w:val="00A875FD"/>
    <w:rsid w:val="00A8785A"/>
    <w:rsid w:val="00A87875"/>
    <w:rsid w:val="00A87D55"/>
    <w:rsid w:val="00A87FB1"/>
    <w:rsid w:val="00A9009B"/>
    <w:rsid w:val="00A90498"/>
    <w:rsid w:val="00A907FE"/>
    <w:rsid w:val="00A92216"/>
    <w:rsid w:val="00A92584"/>
    <w:rsid w:val="00A926EA"/>
    <w:rsid w:val="00A93326"/>
    <w:rsid w:val="00A93500"/>
    <w:rsid w:val="00A935E9"/>
    <w:rsid w:val="00A936FE"/>
    <w:rsid w:val="00A9386A"/>
    <w:rsid w:val="00A93AB8"/>
    <w:rsid w:val="00A93B6B"/>
    <w:rsid w:val="00A93B72"/>
    <w:rsid w:val="00A9400F"/>
    <w:rsid w:val="00A940DE"/>
    <w:rsid w:val="00A94398"/>
    <w:rsid w:val="00A945CC"/>
    <w:rsid w:val="00A9479B"/>
    <w:rsid w:val="00A9489D"/>
    <w:rsid w:val="00A94B99"/>
    <w:rsid w:val="00A94C3A"/>
    <w:rsid w:val="00A9545E"/>
    <w:rsid w:val="00A9594D"/>
    <w:rsid w:val="00A95EE2"/>
    <w:rsid w:val="00A961BA"/>
    <w:rsid w:val="00A96E1A"/>
    <w:rsid w:val="00A96F00"/>
    <w:rsid w:val="00A9705C"/>
    <w:rsid w:val="00A974B5"/>
    <w:rsid w:val="00A97548"/>
    <w:rsid w:val="00A977DE"/>
    <w:rsid w:val="00A97818"/>
    <w:rsid w:val="00A9789E"/>
    <w:rsid w:val="00AA0383"/>
    <w:rsid w:val="00AA0BA5"/>
    <w:rsid w:val="00AA0FAE"/>
    <w:rsid w:val="00AA11F4"/>
    <w:rsid w:val="00AA21E4"/>
    <w:rsid w:val="00AA2261"/>
    <w:rsid w:val="00AA290C"/>
    <w:rsid w:val="00AA2A52"/>
    <w:rsid w:val="00AA31DD"/>
    <w:rsid w:val="00AA32FF"/>
    <w:rsid w:val="00AA34DD"/>
    <w:rsid w:val="00AA3574"/>
    <w:rsid w:val="00AA35D5"/>
    <w:rsid w:val="00AA38D0"/>
    <w:rsid w:val="00AA3DA2"/>
    <w:rsid w:val="00AA4257"/>
    <w:rsid w:val="00AA45E7"/>
    <w:rsid w:val="00AA4919"/>
    <w:rsid w:val="00AA492A"/>
    <w:rsid w:val="00AA498F"/>
    <w:rsid w:val="00AA4E63"/>
    <w:rsid w:val="00AA55BC"/>
    <w:rsid w:val="00AA5B1C"/>
    <w:rsid w:val="00AA5FAF"/>
    <w:rsid w:val="00AA5FD6"/>
    <w:rsid w:val="00AA6169"/>
    <w:rsid w:val="00AA6ACC"/>
    <w:rsid w:val="00AA7054"/>
    <w:rsid w:val="00AA74B6"/>
    <w:rsid w:val="00AA7C70"/>
    <w:rsid w:val="00AA7C7C"/>
    <w:rsid w:val="00AB010F"/>
    <w:rsid w:val="00AB02EC"/>
    <w:rsid w:val="00AB04EE"/>
    <w:rsid w:val="00AB075A"/>
    <w:rsid w:val="00AB07AF"/>
    <w:rsid w:val="00AB0AF6"/>
    <w:rsid w:val="00AB12AE"/>
    <w:rsid w:val="00AB15B5"/>
    <w:rsid w:val="00AB18E7"/>
    <w:rsid w:val="00AB1931"/>
    <w:rsid w:val="00AB2AD6"/>
    <w:rsid w:val="00AB30FA"/>
    <w:rsid w:val="00AB37DF"/>
    <w:rsid w:val="00AB3815"/>
    <w:rsid w:val="00AB395A"/>
    <w:rsid w:val="00AB3A63"/>
    <w:rsid w:val="00AB3BC7"/>
    <w:rsid w:val="00AB4032"/>
    <w:rsid w:val="00AB40D0"/>
    <w:rsid w:val="00AB4622"/>
    <w:rsid w:val="00AB4688"/>
    <w:rsid w:val="00AB49AD"/>
    <w:rsid w:val="00AB49FF"/>
    <w:rsid w:val="00AB4C8C"/>
    <w:rsid w:val="00AB5B59"/>
    <w:rsid w:val="00AB5D12"/>
    <w:rsid w:val="00AB69E7"/>
    <w:rsid w:val="00AB6CC8"/>
    <w:rsid w:val="00AB6EF6"/>
    <w:rsid w:val="00AB70AC"/>
    <w:rsid w:val="00AB7823"/>
    <w:rsid w:val="00AB7D75"/>
    <w:rsid w:val="00AC1B25"/>
    <w:rsid w:val="00AC1EE9"/>
    <w:rsid w:val="00AC2692"/>
    <w:rsid w:val="00AC2DAD"/>
    <w:rsid w:val="00AC3A3A"/>
    <w:rsid w:val="00AC41D8"/>
    <w:rsid w:val="00AC45A0"/>
    <w:rsid w:val="00AC5220"/>
    <w:rsid w:val="00AC56FC"/>
    <w:rsid w:val="00AC5739"/>
    <w:rsid w:val="00AC57DB"/>
    <w:rsid w:val="00AC5FD2"/>
    <w:rsid w:val="00AC61B4"/>
    <w:rsid w:val="00AC64FF"/>
    <w:rsid w:val="00AC69CF"/>
    <w:rsid w:val="00AC6AF9"/>
    <w:rsid w:val="00AC701F"/>
    <w:rsid w:val="00AC73DE"/>
    <w:rsid w:val="00AC77DC"/>
    <w:rsid w:val="00AC7BCC"/>
    <w:rsid w:val="00AD0498"/>
    <w:rsid w:val="00AD05F7"/>
    <w:rsid w:val="00AD08FD"/>
    <w:rsid w:val="00AD0F54"/>
    <w:rsid w:val="00AD107E"/>
    <w:rsid w:val="00AD11BC"/>
    <w:rsid w:val="00AD11FD"/>
    <w:rsid w:val="00AD1213"/>
    <w:rsid w:val="00AD14D9"/>
    <w:rsid w:val="00AD1524"/>
    <w:rsid w:val="00AD192A"/>
    <w:rsid w:val="00AD19ED"/>
    <w:rsid w:val="00AD1A9B"/>
    <w:rsid w:val="00AD1BD2"/>
    <w:rsid w:val="00AD21BD"/>
    <w:rsid w:val="00AD24EC"/>
    <w:rsid w:val="00AD2806"/>
    <w:rsid w:val="00AD2F42"/>
    <w:rsid w:val="00AD3006"/>
    <w:rsid w:val="00AD35A0"/>
    <w:rsid w:val="00AD36E6"/>
    <w:rsid w:val="00AD3719"/>
    <w:rsid w:val="00AD37F9"/>
    <w:rsid w:val="00AD38DD"/>
    <w:rsid w:val="00AD4254"/>
    <w:rsid w:val="00AD4DA7"/>
    <w:rsid w:val="00AD4E75"/>
    <w:rsid w:val="00AD531F"/>
    <w:rsid w:val="00AD56B9"/>
    <w:rsid w:val="00AD5A00"/>
    <w:rsid w:val="00AD5B39"/>
    <w:rsid w:val="00AD5CC3"/>
    <w:rsid w:val="00AD6EAC"/>
    <w:rsid w:val="00AD6F2C"/>
    <w:rsid w:val="00AD7986"/>
    <w:rsid w:val="00AD79A9"/>
    <w:rsid w:val="00AE0245"/>
    <w:rsid w:val="00AE052C"/>
    <w:rsid w:val="00AE0A29"/>
    <w:rsid w:val="00AE0A53"/>
    <w:rsid w:val="00AE0C00"/>
    <w:rsid w:val="00AE0E61"/>
    <w:rsid w:val="00AE101D"/>
    <w:rsid w:val="00AE1111"/>
    <w:rsid w:val="00AE1187"/>
    <w:rsid w:val="00AE14F6"/>
    <w:rsid w:val="00AE1636"/>
    <w:rsid w:val="00AE19B9"/>
    <w:rsid w:val="00AE1EE3"/>
    <w:rsid w:val="00AE257A"/>
    <w:rsid w:val="00AE26B8"/>
    <w:rsid w:val="00AE2CFD"/>
    <w:rsid w:val="00AE2E8D"/>
    <w:rsid w:val="00AE3062"/>
    <w:rsid w:val="00AE30CF"/>
    <w:rsid w:val="00AE3176"/>
    <w:rsid w:val="00AE3E43"/>
    <w:rsid w:val="00AE40D1"/>
    <w:rsid w:val="00AE4292"/>
    <w:rsid w:val="00AE4430"/>
    <w:rsid w:val="00AE44C2"/>
    <w:rsid w:val="00AE4B9A"/>
    <w:rsid w:val="00AE4C1A"/>
    <w:rsid w:val="00AE4C82"/>
    <w:rsid w:val="00AE4CBC"/>
    <w:rsid w:val="00AE5412"/>
    <w:rsid w:val="00AE548A"/>
    <w:rsid w:val="00AE556C"/>
    <w:rsid w:val="00AE57BA"/>
    <w:rsid w:val="00AE5A6D"/>
    <w:rsid w:val="00AE5D03"/>
    <w:rsid w:val="00AE62E2"/>
    <w:rsid w:val="00AE6C72"/>
    <w:rsid w:val="00AE7191"/>
    <w:rsid w:val="00AE7278"/>
    <w:rsid w:val="00AE7390"/>
    <w:rsid w:val="00AE7B77"/>
    <w:rsid w:val="00AE7ED8"/>
    <w:rsid w:val="00AF00BF"/>
    <w:rsid w:val="00AF00FA"/>
    <w:rsid w:val="00AF01B0"/>
    <w:rsid w:val="00AF01BB"/>
    <w:rsid w:val="00AF0299"/>
    <w:rsid w:val="00AF03AF"/>
    <w:rsid w:val="00AF040C"/>
    <w:rsid w:val="00AF06E2"/>
    <w:rsid w:val="00AF0A01"/>
    <w:rsid w:val="00AF10F7"/>
    <w:rsid w:val="00AF112B"/>
    <w:rsid w:val="00AF134C"/>
    <w:rsid w:val="00AF1484"/>
    <w:rsid w:val="00AF175F"/>
    <w:rsid w:val="00AF1946"/>
    <w:rsid w:val="00AF1C2E"/>
    <w:rsid w:val="00AF1CCE"/>
    <w:rsid w:val="00AF1D4C"/>
    <w:rsid w:val="00AF1EBC"/>
    <w:rsid w:val="00AF1F0A"/>
    <w:rsid w:val="00AF2812"/>
    <w:rsid w:val="00AF2B03"/>
    <w:rsid w:val="00AF2F5F"/>
    <w:rsid w:val="00AF2F6F"/>
    <w:rsid w:val="00AF3284"/>
    <w:rsid w:val="00AF3563"/>
    <w:rsid w:val="00AF376A"/>
    <w:rsid w:val="00AF3AC8"/>
    <w:rsid w:val="00AF3D4B"/>
    <w:rsid w:val="00AF3D6A"/>
    <w:rsid w:val="00AF44B1"/>
    <w:rsid w:val="00AF4562"/>
    <w:rsid w:val="00AF487E"/>
    <w:rsid w:val="00AF493C"/>
    <w:rsid w:val="00AF49BE"/>
    <w:rsid w:val="00AF5064"/>
    <w:rsid w:val="00AF59E3"/>
    <w:rsid w:val="00AF5BE6"/>
    <w:rsid w:val="00AF5F1F"/>
    <w:rsid w:val="00AF6487"/>
    <w:rsid w:val="00AF64EA"/>
    <w:rsid w:val="00AF65B3"/>
    <w:rsid w:val="00AF664E"/>
    <w:rsid w:val="00AF6698"/>
    <w:rsid w:val="00AF6B56"/>
    <w:rsid w:val="00AF6D4A"/>
    <w:rsid w:val="00AF7490"/>
    <w:rsid w:val="00AF766A"/>
    <w:rsid w:val="00AF766C"/>
    <w:rsid w:val="00AF7DE1"/>
    <w:rsid w:val="00B0068D"/>
    <w:rsid w:val="00B0086F"/>
    <w:rsid w:val="00B01073"/>
    <w:rsid w:val="00B0112B"/>
    <w:rsid w:val="00B01343"/>
    <w:rsid w:val="00B01931"/>
    <w:rsid w:val="00B01A46"/>
    <w:rsid w:val="00B01C11"/>
    <w:rsid w:val="00B02A58"/>
    <w:rsid w:val="00B02C0E"/>
    <w:rsid w:val="00B040EF"/>
    <w:rsid w:val="00B0488C"/>
    <w:rsid w:val="00B05021"/>
    <w:rsid w:val="00B05457"/>
    <w:rsid w:val="00B0549D"/>
    <w:rsid w:val="00B05AF9"/>
    <w:rsid w:val="00B05C89"/>
    <w:rsid w:val="00B060C0"/>
    <w:rsid w:val="00B062EC"/>
    <w:rsid w:val="00B0638F"/>
    <w:rsid w:val="00B0671B"/>
    <w:rsid w:val="00B0678E"/>
    <w:rsid w:val="00B067E2"/>
    <w:rsid w:val="00B069F6"/>
    <w:rsid w:val="00B06A7C"/>
    <w:rsid w:val="00B06B0A"/>
    <w:rsid w:val="00B06B9D"/>
    <w:rsid w:val="00B06EEE"/>
    <w:rsid w:val="00B07242"/>
    <w:rsid w:val="00B0724D"/>
    <w:rsid w:val="00B0727B"/>
    <w:rsid w:val="00B07294"/>
    <w:rsid w:val="00B07976"/>
    <w:rsid w:val="00B079A9"/>
    <w:rsid w:val="00B07E11"/>
    <w:rsid w:val="00B10461"/>
    <w:rsid w:val="00B10662"/>
    <w:rsid w:val="00B10912"/>
    <w:rsid w:val="00B10A01"/>
    <w:rsid w:val="00B10AAA"/>
    <w:rsid w:val="00B10CFA"/>
    <w:rsid w:val="00B10F41"/>
    <w:rsid w:val="00B12545"/>
    <w:rsid w:val="00B1259A"/>
    <w:rsid w:val="00B12940"/>
    <w:rsid w:val="00B12963"/>
    <w:rsid w:val="00B1296A"/>
    <w:rsid w:val="00B12B59"/>
    <w:rsid w:val="00B13691"/>
    <w:rsid w:val="00B136C1"/>
    <w:rsid w:val="00B1388A"/>
    <w:rsid w:val="00B13C33"/>
    <w:rsid w:val="00B13D64"/>
    <w:rsid w:val="00B14582"/>
    <w:rsid w:val="00B145E0"/>
    <w:rsid w:val="00B14955"/>
    <w:rsid w:val="00B149F1"/>
    <w:rsid w:val="00B14A71"/>
    <w:rsid w:val="00B155A2"/>
    <w:rsid w:val="00B1577B"/>
    <w:rsid w:val="00B15895"/>
    <w:rsid w:val="00B15B07"/>
    <w:rsid w:val="00B15D6A"/>
    <w:rsid w:val="00B15F7C"/>
    <w:rsid w:val="00B161DA"/>
    <w:rsid w:val="00B16289"/>
    <w:rsid w:val="00B16394"/>
    <w:rsid w:val="00B1684F"/>
    <w:rsid w:val="00B17312"/>
    <w:rsid w:val="00B173DB"/>
    <w:rsid w:val="00B17444"/>
    <w:rsid w:val="00B176A3"/>
    <w:rsid w:val="00B17DCA"/>
    <w:rsid w:val="00B17EFC"/>
    <w:rsid w:val="00B20B2A"/>
    <w:rsid w:val="00B210EF"/>
    <w:rsid w:val="00B214F9"/>
    <w:rsid w:val="00B218DD"/>
    <w:rsid w:val="00B21C9E"/>
    <w:rsid w:val="00B2232C"/>
    <w:rsid w:val="00B2256E"/>
    <w:rsid w:val="00B227DF"/>
    <w:rsid w:val="00B22922"/>
    <w:rsid w:val="00B23817"/>
    <w:rsid w:val="00B2415F"/>
    <w:rsid w:val="00B24966"/>
    <w:rsid w:val="00B24D8A"/>
    <w:rsid w:val="00B25061"/>
    <w:rsid w:val="00B25690"/>
    <w:rsid w:val="00B25AD4"/>
    <w:rsid w:val="00B25BEA"/>
    <w:rsid w:val="00B25C8B"/>
    <w:rsid w:val="00B26BBE"/>
    <w:rsid w:val="00B26BE9"/>
    <w:rsid w:val="00B26C1F"/>
    <w:rsid w:val="00B26D1D"/>
    <w:rsid w:val="00B27888"/>
    <w:rsid w:val="00B27A9F"/>
    <w:rsid w:val="00B27AE6"/>
    <w:rsid w:val="00B27BC4"/>
    <w:rsid w:val="00B27E14"/>
    <w:rsid w:val="00B30242"/>
    <w:rsid w:val="00B30357"/>
    <w:rsid w:val="00B304D4"/>
    <w:rsid w:val="00B30501"/>
    <w:rsid w:val="00B30CA1"/>
    <w:rsid w:val="00B31358"/>
    <w:rsid w:val="00B315EF"/>
    <w:rsid w:val="00B31744"/>
    <w:rsid w:val="00B31C23"/>
    <w:rsid w:val="00B324DD"/>
    <w:rsid w:val="00B3252D"/>
    <w:rsid w:val="00B32F38"/>
    <w:rsid w:val="00B33590"/>
    <w:rsid w:val="00B33CB2"/>
    <w:rsid w:val="00B34227"/>
    <w:rsid w:val="00B34858"/>
    <w:rsid w:val="00B34954"/>
    <w:rsid w:val="00B34AA8"/>
    <w:rsid w:val="00B34FC8"/>
    <w:rsid w:val="00B359C3"/>
    <w:rsid w:val="00B35EAA"/>
    <w:rsid w:val="00B3611A"/>
    <w:rsid w:val="00B36180"/>
    <w:rsid w:val="00B366DA"/>
    <w:rsid w:val="00B36C1C"/>
    <w:rsid w:val="00B36C86"/>
    <w:rsid w:val="00B36EEF"/>
    <w:rsid w:val="00B37732"/>
    <w:rsid w:val="00B3780F"/>
    <w:rsid w:val="00B378FD"/>
    <w:rsid w:val="00B37CDC"/>
    <w:rsid w:val="00B37F68"/>
    <w:rsid w:val="00B40029"/>
    <w:rsid w:val="00B4159B"/>
    <w:rsid w:val="00B41BFF"/>
    <w:rsid w:val="00B41CB4"/>
    <w:rsid w:val="00B41E7B"/>
    <w:rsid w:val="00B42203"/>
    <w:rsid w:val="00B42353"/>
    <w:rsid w:val="00B42400"/>
    <w:rsid w:val="00B4255E"/>
    <w:rsid w:val="00B42A24"/>
    <w:rsid w:val="00B42DA6"/>
    <w:rsid w:val="00B42FA9"/>
    <w:rsid w:val="00B431C7"/>
    <w:rsid w:val="00B43408"/>
    <w:rsid w:val="00B43975"/>
    <w:rsid w:val="00B43FCC"/>
    <w:rsid w:val="00B449E5"/>
    <w:rsid w:val="00B44B63"/>
    <w:rsid w:val="00B44BCA"/>
    <w:rsid w:val="00B44C8A"/>
    <w:rsid w:val="00B44DA3"/>
    <w:rsid w:val="00B45361"/>
    <w:rsid w:val="00B45421"/>
    <w:rsid w:val="00B45666"/>
    <w:rsid w:val="00B46792"/>
    <w:rsid w:val="00B46A0F"/>
    <w:rsid w:val="00B47593"/>
    <w:rsid w:val="00B47794"/>
    <w:rsid w:val="00B47E41"/>
    <w:rsid w:val="00B47F05"/>
    <w:rsid w:val="00B5073E"/>
    <w:rsid w:val="00B50F16"/>
    <w:rsid w:val="00B5115E"/>
    <w:rsid w:val="00B51412"/>
    <w:rsid w:val="00B51586"/>
    <w:rsid w:val="00B51879"/>
    <w:rsid w:val="00B51A4F"/>
    <w:rsid w:val="00B51ED4"/>
    <w:rsid w:val="00B52083"/>
    <w:rsid w:val="00B52317"/>
    <w:rsid w:val="00B5244B"/>
    <w:rsid w:val="00B52BDE"/>
    <w:rsid w:val="00B52F33"/>
    <w:rsid w:val="00B52F95"/>
    <w:rsid w:val="00B52FA3"/>
    <w:rsid w:val="00B530E1"/>
    <w:rsid w:val="00B53BF0"/>
    <w:rsid w:val="00B540DD"/>
    <w:rsid w:val="00B54316"/>
    <w:rsid w:val="00B548E7"/>
    <w:rsid w:val="00B54B5B"/>
    <w:rsid w:val="00B54E7E"/>
    <w:rsid w:val="00B54E80"/>
    <w:rsid w:val="00B550CF"/>
    <w:rsid w:val="00B55392"/>
    <w:rsid w:val="00B555C5"/>
    <w:rsid w:val="00B55D4C"/>
    <w:rsid w:val="00B55D54"/>
    <w:rsid w:val="00B5649A"/>
    <w:rsid w:val="00B564D2"/>
    <w:rsid w:val="00B565EA"/>
    <w:rsid w:val="00B56C7D"/>
    <w:rsid w:val="00B56CC5"/>
    <w:rsid w:val="00B570F3"/>
    <w:rsid w:val="00B574D7"/>
    <w:rsid w:val="00B57C43"/>
    <w:rsid w:val="00B606D8"/>
    <w:rsid w:val="00B612D7"/>
    <w:rsid w:val="00B6147D"/>
    <w:rsid w:val="00B61B84"/>
    <w:rsid w:val="00B621EE"/>
    <w:rsid w:val="00B62869"/>
    <w:rsid w:val="00B6298B"/>
    <w:rsid w:val="00B62B58"/>
    <w:rsid w:val="00B62D26"/>
    <w:rsid w:val="00B62E5B"/>
    <w:rsid w:val="00B6322C"/>
    <w:rsid w:val="00B63521"/>
    <w:rsid w:val="00B63918"/>
    <w:rsid w:val="00B641EF"/>
    <w:rsid w:val="00B64A42"/>
    <w:rsid w:val="00B64E1A"/>
    <w:rsid w:val="00B64F1C"/>
    <w:rsid w:val="00B64F76"/>
    <w:rsid w:val="00B6534F"/>
    <w:rsid w:val="00B657A2"/>
    <w:rsid w:val="00B65989"/>
    <w:rsid w:val="00B65A31"/>
    <w:rsid w:val="00B65CE3"/>
    <w:rsid w:val="00B65DB9"/>
    <w:rsid w:val="00B65EC6"/>
    <w:rsid w:val="00B66302"/>
    <w:rsid w:val="00B66745"/>
    <w:rsid w:val="00B6698C"/>
    <w:rsid w:val="00B66E5C"/>
    <w:rsid w:val="00B672D5"/>
    <w:rsid w:val="00B676B8"/>
    <w:rsid w:val="00B67762"/>
    <w:rsid w:val="00B67BB9"/>
    <w:rsid w:val="00B703C6"/>
    <w:rsid w:val="00B70470"/>
    <w:rsid w:val="00B70D08"/>
    <w:rsid w:val="00B70F0E"/>
    <w:rsid w:val="00B70F31"/>
    <w:rsid w:val="00B710F6"/>
    <w:rsid w:val="00B71294"/>
    <w:rsid w:val="00B722CC"/>
    <w:rsid w:val="00B724AC"/>
    <w:rsid w:val="00B72548"/>
    <w:rsid w:val="00B72CD8"/>
    <w:rsid w:val="00B72E05"/>
    <w:rsid w:val="00B73912"/>
    <w:rsid w:val="00B73ADC"/>
    <w:rsid w:val="00B73F2F"/>
    <w:rsid w:val="00B74637"/>
    <w:rsid w:val="00B75541"/>
    <w:rsid w:val="00B75D96"/>
    <w:rsid w:val="00B760C8"/>
    <w:rsid w:val="00B7661D"/>
    <w:rsid w:val="00B76733"/>
    <w:rsid w:val="00B76B60"/>
    <w:rsid w:val="00B770A1"/>
    <w:rsid w:val="00B778AA"/>
    <w:rsid w:val="00B77A6F"/>
    <w:rsid w:val="00B77D5E"/>
    <w:rsid w:val="00B77D60"/>
    <w:rsid w:val="00B804D4"/>
    <w:rsid w:val="00B8080B"/>
    <w:rsid w:val="00B8090D"/>
    <w:rsid w:val="00B80DD7"/>
    <w:rsid w:val="00B8109F"/>
    <w:rsid w:val="00B814B9"/>
    <w:rsid w:val="00B814D4"/>
    <w:rsid w:val="00B81612"/>
    <w:rsid w:val="00B81718"/>
    <w:rsid w:val="00B817DC"/>
    <w:rsid w:val="00B819D1"/>
    <w:rsid w:val="00B831BC"/>
    <w:rsid w:val="00B83381"/>
    <w:rsid w:val="00B833AA"/>
    <w:rsid w:val="00B8355F"/>
    <w:rsid w:val="00B83E9E"/>
    <w:rsid w:val="00B83FA9"/>
    <w:rsid w:val="00B8438A"/>
    <w:rsid w:val="00B84418"/>
    <w:rsid w:val="00B84729"/>
    <w:rsid w:val="00B848B0"/>
    <w:rsid w:val="00B84A7C"/>
    <w:rsid w:val="00B84E65"/>
    <w:rsid w:val="00B859D1"/>
    <w:rsid w:val="00B85AFD"/>
    <w:rsid w:val="00B85CF5"/>
    <w:rsid w:val="00B8636E"/>
    <w:rsid w:val="00B86823"/>
    <w:rsid w:val="00B86BAE"/>
    <w:rsid w:val="00B86C41"/>
    <w:rsid w:val="00B87236"/>
    <w:rsid w:val="00B875F4"/>
    <w:rsid w:val="00B877C3"/>
    <w:rsid w:val="00B87B50"/>
    <w:rsid w:val="00B90362"/>
    <w:rsid w:val="00B90418"/>
    <w:rsid w:val="00B90579"/>
    <w:rsid w:val="00B907C3"/>
    <w:rsid w:val="00B90964"/>
    <w:rsid w:val="00B90ABA"/>
    <w:rsid w:val="00B91649"/>
    <w:rsid w:val="00B91941"/>
    <w:rsid w:val="00B91B59"/>
    <w:rsid w:val="00B91CD2"/>
    <w:rsid w:val="00B91CDA"/>
    <w:rsid w:val="00B92964"/>
    <w:rsid w:val="00B92A2B"/>
    <w:rsid w:val="00B92D07"/>
    <w:rsid w:val="00B92F4E"/>
    <w:rsid w:val="00B93230"/>
    <w:rsid w:val="00B9437D"/>
    <w:rsid w:val="00B94588"/>
    <w:rsid w:val="00B94A74"/>
    <w:rsid w:val="00B94B5A"/>
    <w:rsid w:val="00B94E9F"/>
    <w:rsid w:val="00B95380"/>
    <w:rsid w:val="00B95425"/>
    <w:rsid w:val="00B959A5"/>
    <w:rsid w:val="00B95C2A"/>
    <w:rsid w:val="00B962CE"/>
    <w:rsid w:val="00B96645"/>
    <w:rsid w:val="00B9673A"/>
    <w:rsid w:val="00B96994"/>
    <w:rsid w:val="00B96CAC"/>
    <w:rsid w:val="00B96E2A"/>
    <w:rsid w:val="00B97777"/>
    <w:rsid w:val="00B977E0"/>
    <w:rsid w:val="00B97AA5"/>
    <w:rsid w:val="00B97D2E"/>
    <w:rsid w:val="00BA03C6"/>
    <w:rsid w:val="00BA0BB9"/>
    <w:rsid w:val="00BA0D2C"/>
    <w:rsid w:val="00BA10A0"/>
    <w:rsid w:val="00BA1160"/>
    <w:rsid w:val="00BA14C3"/>
    <w:rsid w:val="00BA14F0"/>
    <w:rsid w:val="00BA2128"/>
    <w:rsid w:val="00BA21B9"/>
    <w:rsid w:val="00BA291C"/>
    <w:rsid w:val="00BA2B00"/>
    <w:rsid w:val="00BA2C8A"/>
    <w:rsid w:val="00BA2E13"/>
    <w:rsid w:val="00BA32E0"/>
    <w:rsid w:val="00BA3A5B"/>
    <w:rsid w:val="00BA41D0"/>
    <w:rsid w:val="00BA4337"/>
    <w:rsid w:val="00BA4523"/>
    <w:rsid w:val="00BA4785"/>
    <w:rsid w:val="00BA5026"/>
    <w:rsid w:val="00BA51CE"/>
    <w:rsid w:val="00BA535C"/>
    <w:rsid w:val="00BA55BC"/>
    <w:rsid w:val="00BA60DC"/>
    <w:rsid w:val="00BA6926"/>
    <w:rsid w:val="00BA6AB0"/>
    <w:rsid w:val="00BA6E46"/>
    <w:rsid w:val="00BA7511"/>
    <w:rsid w:val="00BA76A2"/>
    <w:rsid w:val="00BB016D"/>
    <w:rsid w:val="00BB045C"/>
    <w:rsid w:val="00BB0924"/>
    <w:rsid w:val="00BB0B07"/>
    <w:rsid w:val="00BB0CA7"/>
    <w:rsid w:val="00BB16AF"/>
    <w:rsid w:val="00BB1A3C"/>
    <w:rsid w:val="00BB2928"/>
    <w:rsid w:val="00BB2E39"/>
    <w:rsid w:val="00BB2EAD"/>
    <w:rsid w:val="00BB303C"/>
    <w:rsid w:val="00BB3B4B"/>
    <w:rsid w:val="00BB3DE4"/>
    <w:rsid w:val="00BB4C51"/>
    <w:rsid w:val="00BB4D55"/>
    <w:rsid w:val="00BB51AF"/>
    <w:rsid w:val="00BB52A0"/>
    <w:rsid w:val="00BB5598"/>
    <w:rsid w:val="00BB6067"/>
    <w:rsid w:val="00BB60E4"/>
    <w:rsid w:val="00BB6186"/>
    <w:rsid w:val="00BB64A8"/>
    <w:rsid w:val="00BB6B20"/>
    <w:rsid w:val="00BB6BA5"/>
    <w:rsid w:val="00BB6BC5"/>
    <w:rsid w:val="00BB6DF4"/>
    <w:rsid w:val="00BB6F5D"/>
    <w:rsid w:val="00BB7261"/>
    <w:rsid w:val="00BB742E"/>
    <w:rsid w:val="00BB778D"/>
    <w:rsid w:val="00BB77AE"/>
    <w:rsid w:val="00BB7DE3"/>
    <w:rsid w:val="00BC09C8"/>
    <w:rsid w:val="00BC0DF1"/>
    <w:rsid w:val="00BC0E3A"/>
    <w:rsid w:val="00BC1CC3"/>
    <w:rsid w:val="00BC1ED2"/>
    <w:rsid w:val="00BC2373"/>
    <w:rsid w:val="00BC23B8"/>
    <w:rsid w:val="00BC2509"/>
    <w:rsid w:val="00BC2681"/>
    <w:rsid w:val="00BC272C"/>
    <w:rsid w:val="00BC287F"/>
    <w:rsid w:val="00BC2E62"/>
    <w:rsid w:val="00BC3294"/>
    <w:rsid w:val="00BC3476"/>
    <w:rsid w:val="00BC36F9"/>
    <w:rsid w:val="00BC37B3"/>
    <w:rsid w:val="00BC3814"/>
    <w:rsid w:val="00BC38D8"/>
    <w:rsid w:val="00BC3D7B"/>
    <w:rsid w:val="00BC418A"/>
    <w:rsid w:val="00BC4549"/>
    <w:rsid w:val="00BC4BB9"/>
    <w:rsid w:val="00BC50FF"/>
    <w:rsid w:val="00BC5B8A"/>
    <w:rsid w:val="00BC6027"/>
    <w:rsid w:val="00BC610B"/>
    <w:rsid w:val="00BC611D"/>
    <w:rsid w:val="00BC6265"/>
    <w:rsid w:val="00BC6348"/>
    <w:rsid w:val="00BC6378"/>
    <w:rsid w:val="00BC64A1"/>
    <w:rsid w:val="00BC6A6B"/>
    <w:rsid w:val="00BC6B57"/>
    <w:rsid w:val="00BC76CA"/>
    <w:rsid w:val="00BC775E"/>
    <w:rsid w:val="00BC78C0"/>
    <w:rsid w:val="00BC7FA2"/>
    <w:rsid w:val="00BD03C2"/>
    <w:rsid w:val="00BD0FC6"/>
    <w:rsid w:val="00BD12D0"/>
    <w:rsid w:val="00BD14A6"/>
    <w:rsid w:val="00BD1596"/>
    <w:rsid w:val="00BD168D"/>
    <w:rsid w:val="00BD1B35"/>
    <w:rsid w:val="00BD1BE1"/>
    <w:rsid w:val="00BD1E97"/>
    <w:rsid w:val="00BD21AF"/>
    <w:rsid w:val="00BD281B"/>
    <w:rsid w:val="00BD2B06"/>
    <w:rsid w:val="00BD2B42"/>
    <w:rsid w:val="00BD2E40"/>
    <w:rsid w:val="00BD3491"/>
    <w:rsid w:val="00BD48AA"/>
    <w:rsid w:val="00BD4998"/>
    <w:rsid w:val="00BD5CCB"/>
    <w:rsid w:val="00BD5D90"/>
    <w:rsid w:val="00BD6112"/>
    <w:rsid w:val="00BD64EE"/>
    <w:rsid w:val="00BD6B85"/>
    <w:rsid w:val="00BD6B8A"/>
    <w:rsid w:val="00BD6DAD"/>
    <w:rsid w:val="00BD76B3"/>
    <w:rsid w:val="00BD77F7"/>
    <w:rsid w:val="00BD7808"/>
    <w:rsid w:val="00BD7BA8"/>
    <w:rsid w:val="00BE0168"/>
    <w:rsid w:val="00BE0210"/>
    <w:rsid w:val="00BE05A5"/>
    <w:rsid w:val="00BE05E3"/>
    <w:rsid w:val="00BE0905"/>
    <w:rsid w:val="00BE0A9C"/>
    <w:rsid w:val="00BE0D57"/>
    <w:rsid w:val="00BE1235"/>
    <w:rsid w:val="00BE1261"/>
    <w:rsid w:val="00BE1714"/>
    <w:rsid w:val="00BE19F3"/>
    <w:rsid w:val="00BE1B24"/>
    <w:rsid w:val="00BE1B9A"/>
    <w:rsid w:val="00BE1CD7"/>
    <w:rsid w:val="00BE1E15"/>
    <w:rsid w:val="00BE1EDF"/>
    <w:rsid w:val="00BE217A"/>
    <w:rsid w:val="00BE2773"/>
    <w:rsid w:val="00BE2955"/>
    <w:rsid w:val="00BE3020"/>
    <w:rsid w:val="00BE30CA"/>
    <w:rsid w:val="00BE352D"/>
    <w:rsid w:val="00BE392C"/>
    <w:rsid w:val="00BE3A50"/>
    <w:rsid w:val="00BE3B4C"/>
    <w:rsid w:val="00BE3B4D"/>
    <w:rsid w:val="00BE3F42"/>
    <w:rsid w:val="00BE42F9"/>
    <w:rsid w:val="00BE4643"/>
    <w:rsid w:val="00BE4CF0"/>
    <w:rsid w:val="00BE4F6B"/>
    <w:rsid w:val="00BE4FA3"/>
    <w:rsid w:val="00BE5322"/>
    <w:rsid w:val="00BE579E"/>
    <w:rsid w:val="00BE5BA2"/>
    <w:rsid w:val="00BE5C45"/>
    <w:rsid w:val="00BE6128"/>
    <w:rsid w:val="00BE63EE"/>
    <w:rsid w:val="00BE6E6B"/>
    <w:rsid w:val="00BE71A1"/>
    <w:rsid w:val="00BE79AD"/>
    <w:rsid w:val="00BE79DD"/>
    <w:rsid w:val="00BE7AF6"/>
    <w:rsid w:val="00BE7F05"/>
    <w:rsid w:val="00BF03A2"/>
    <w:rsid w:val="00BF0547"/>
    <w:rsid w:val="00BF08C7"/>
    <w:rsid w:val="00BF091E"/>
    <w:rsid w:val="00BF0A2F"/>
    <w:rsid w:val="00BF0C58"/>
    <w:rsid w:val="00BF0D4D"/>
    <w:rsid w:val="00BF1108"/>
    <w:rsid w:val="00BF136A"/>
    <w:rsid w:val="00BF145B"/>
    <w:rsid w:val="00BF1656"/>
    <w:rsid w:val="00BF1B79"/>
    <w:rsid w:val="00BF20C1"/>
    <w:rsid w:val="00BF23AE"/>
    <w:rsid w:val="00BF270D"/>
    <w:rsid w:val="00BF27CF"/>
    <w:rsid w:val="00BF2FE0"/>
    <w:rsid w:val="00BF3791"/>
    <w:rsid w:val="00BF37B8"/>
    <w:rsid w:val="00BF3901"/>
    <w:rsid w:val="00BF3A9B"/>
    <w:rsid w:val="00BF3EC9"/>
    <w:rsid w:val="00BF3F9A"/>
    <w:rsid w:val="00BF420F"/>
    <w:rsid w:val="00BF442F"/>
    <w:rsid w:val="00BF4666"/>
    <w:rsid w:val="00BF4834"/>
    <w:rsid w:val="00BF4B2F"/>
    <w:rsid w:val="00BF4E64"/>
    <w:rsid w:val="00BF515B"/>
    <w:rsid w:val="00BF52B2"/>
    <w:rsid w:val="00BF5599"/>
    <w:rsid w:val="00BF5A21"/>
    <w:rsid w:val="00BF626F"/>
    <w:rsid w:val="00BF62DE"/>
    <w:rsid w:val="00BF635F"/>
    <w:rsid w:val="00BF661D"/>
    <w:rsid w:val="00BF66FE"/>
    <w:rsid w:val="00BF6A16"/>
    <w:rsid w:val="00BF7687"/>
    <w:rsid w:val="00BF7736"/>
    <w:rsid w:val="00BF7875"/>
    <w:rsid w:val="00BF7CFA"/>
    <w:rsid w:val="00BF7DE1"/>
    <w:rsid w:val="00C0027D"/>
    <w:rsid w:val="00C00441"/>
    <w:rsid w:val="00C00B3C"/>
    <w:rsid w:val="00C00FFF"/>
    <w:rsid w:val="00C01343"/>
    <w:rsid w:val="00C01764"/>
    <w:rsid w:val="00C01C93"/>
    <w:rsid w:val="00C02058"/>
    <w:rsid w:val="00C020A1"/>
    <w:rsid w:val="00C023FA"/>
    <w:rsid w:val="00C02408"/>
    <w:rsid w:val="00C028A3"/>
    <w:rsid w:val="00C02B0C"/>
    <w:rsid w:val="00C033FD"/>
    <w:rsid w:val="00C0415F"/>
    <w:rsid w:val="00C04D7F"/>
    <w:rsid w:val="00C050CF"/>
    <w:rsid w:val="00C05251"/>
    <w:rsid w:val="00C055E7"/>
    <w:rsid w:val="00C05709"/>
    <w:rsid w:val="00C062A4"/>
    <w:rsid w:val="00C068DA"/>
    <w:rsid w:val="00C069C1"/>
    <w:rsid w:val="00C06D82"/>
    <w:rsid w:val="00C06F2A"/>
    <w:rsid w:val="00C0726B"/>
    <w:rsid w:val="00C07AAA"/>
    <w:rsid w:val="00C07DBC"/>
    <w:rsid w:val="00C1003C"/>
    <w:rsid w:val="00C101C2"/>
    <w:rsid w:val="00C10436"/>
    <w:rsid w:val="00C10745"/>
    <w:rsid w:val="00C10AB9"/>
    <w:rsid w:val="00C111FE"/>
    <w:rsid w:val="00C11891"/>
    <w:rsid w:val="00C121E8"/>
    <w:rsid w:val="00C12BF7"/>
    <w:rsid w:val="00C12F60"/>
    <w:rsid w:val="00C13AD3"/>
    <w:rsid w:val="00C13C41"/>
    <w:rsid w:val="00C13E35"/>
    <w:rsid w:val="00C13EC4"/>
    <w:rsid w:val="00C14715"/>
    <w:rsid w:val="00C1485A"/>
    <w:rsid w:val="00C14F87"/>
    <w:rsid w:val="00C15089"/>
    <w:rsid w:val="00C150A4"/>
    <w:rsid w:val="00C159A9"/>
    <w:rsid w:val="00C16357"/>
    <w:rsid w:val="00C1640E"/>
    <w:rsid w:val="00C164C2"/>
    <w:rsid w:val="00C1667D"/>
    <w:rsid w:val="00C16C0B"/>
    <w:rsid w:val="00C1776E"/>
    <w:rsid w:val="00C17A21"/>
    <w:rsid w:val="00C2078F"/>
    <w:rsid w:val="00C2148D"/>
    <w:rsid w:val="00C2169F"/>
    <w:rsid w:val="00C224F4"/>
    <w:rsid w:val="00C2270B"/>
    <w:rsid w:val="00C22A85"/>
    <w:rsid w:val="00C24113"/>
    <w:rsid w:val="00C241F0"/>
    <w:rsid w:val="00C24514"/>
    <w:rsid w:val="00C246B9"/>
    <w:rsid w:val="00C24B86"/>
    <w:rsid w:val="00C24F62"/>
    <w:rsid w:val="00C25857"/>
    <w:rsid w:val="00C25CCE"/>
    <w:rsid w:val="00C25DC7"/>
    <w:rsid w:val="00C25EF4"/>
    <w:rsid w:val="00C25F65"/>
    <w:rsid w:val="00C26093"/>
    <w:rsid w:val="00C26ABF"/>
    <w:rsid w:val="00C26DA9"/>
    <w:rsid w:val="00C27127"/>
    <w:rsid w:val="00C2722A"/>
    <w:rsid w:val="00C274E6"/>
    <w:rsid w:val="00C27866"/>
    <w:rsid w:val="00C27B28"/>
    <w:rsid w:val="00C27B99"/>
    <w:rsid w:val="00C27DFF"/>
    <w:rsid w:val="00C3009F"/>
    <w:rsid w:val="00C3096C"/>
    <w:rsid w:val="00C3097A"/>
    <w:rsid w:val="00C30E57"/>
    <w:rsid w:val="00C310C4"/>
    <w:rsid w:val="00C31439"/>
    <w:rsid w:val="00C31D99"/>
    <w:rsid w:val="00C320F3"/>
    <w:rsid w:val="00C32A2C"/>
    <w:rsid w:val="00C32CDD"/>
    <w:rsid w:val="00C33A78"/>
    <w:rsid w:val="00C33BF1"/>
    <w:rsid w:val="00C3451B"/>
    <w:rsid w:val="00C34E46"/>
    <w:rsid w:val="00C35057"/>
    <w:rsid w:val="00C35469"/>
    <w:rsid w:val="00C354D8"/>
    <w:rsid w:val="00C35685"/>
    <w:rsid w:val="00C35837"/>
    <w:rsid w:val="00C35A6C"/>
    <w:rsid w:val="00C35E24"/>
    <w:rsid w:val="00C35F66"/>
    <w:rsid w:val="00C36640"/>
    <w:rsid w:val="00C366AA"/>
    <w:rsid w:val="00C368C1"/>
    <w:rsid w:val="00C36BEC"/>
    <w:rsid w:val="00C36E35"/>
    <w:rsid w:val="00C37165"/>
    <w:rsid w:val="00C37219"/>
    <w:rsid w:val="00C37C11"/>
    <w:rsid w:val="00C37F9E"/>
    <w:rsid w:val="00C401B7"/>
    <w:rsid w:val="00C40390"/>
    <w:rsid w:val="00C40575"/>
    <w:rsid w:val="00C409D8"/>
    <w:rsid w:val="00C410CE"/>
    <w:rsid w:val="00C41262"/>
    <w:rsid w:val="00C4137B"/>
    <w:rsid w:val="00C41551"/>
    <w:rsid w:val="00C41762"/>
    <w:rsid w:val="00C41D07"/>
    <w:rsid w:val="00C41DF5"/>
    <w:rsid w:val="00C41F30"/>
    <w:rsid w:val="00C426F0"/>
    <w:rsid w:val="00C431BF"/>
    <w:rsid w:val="00C43290"/>
    <w:rsid w:val="00C43390"/>
    <w:rsid w:val="00C43B8B"/>
    <w:rsid w:val="00C440E8"/>
    <w:rsid w:val="00C44C1D"/>
    <w:rsid w:val="00C44EBC"/>
    <w:rsid w:val="00C45084"/>
    <w:rsid w:val="00C45321"/>
    <w:rsid w:val="00C455DD"/>
    <w:rsid w:val="00C45927"/>
    <w:rsid w:val="00C45AA0"/>
    <w:rsid w:val="00C45BEB"/>
    <w:rsid w:val="00C467C8"/>
    <w:rsid w:val="00C46808"/>
    <w:rsid w:val="00C468CF"/>
    <w:rsid w:val="00C46E2A"/>
    <w:rsid w:val="00C46FDC"/>
    <w:rsid w:val="00C473F7"/>
    <w:rsid w:val="00C4790D"/>
    <w:rsid w:val="00C50219"/>
    <w:rsid w:val="00C509B3"/>
    <w:rsid w:val="00C50A8C"/>
    <w:rsid w:val="00C50B83"/>
    <w:rsid w:val="00C50CC7"/>
    <w:rsid w:val="00C50E6F"/>
    <w:rsid w:val="00C515D1"/>
    <w:rsid w:val="00C51707"/>
    <w:rsid w:val="00C51834"/>
    <w:rsid w:val="00C519D4"/>
    <w:rsid w:val="00C51F75"/>
    <w:rsid w:val="00C5209C"/>
    <w:rsid w:val="00C52447"/>
    <w:rsid w:val="00C5256B"/>
    <w:rsid w:val="00C52619"/>
    <w:rsid w:val="00C529B6"/>
    <w:rsid w:val="00C52C21"/>
    <w:rsid w:val="00C53100"/>
    <w:rsid w:val="00C531BC"/>
    <w:rsid w:val="00C531FD"/>
    <w:rsid w:val="00C53343"/>
    <w:rsid w:val="00C5403E"/>
    <w:rsid w:val="00C547EF"/>
    <w:rsid w:val="00C54B75"/>
    <w:rsid w:val="00C54BF7"/>
    <w:rsid w:val="00C5500C"/>
    <w:rsid w:val="00C55137"/>
    <w:rsid w:val="00C55259"/>
    <w:rsid w:val="00C55335"/>
    <w:rsid w:val="00C553BA"/>
    <w:rsid w:val="00C5589C"/>
    <w:rsid w:val="00C559B0"/>
    <w:rsid w:val="00C55F9E"/>
    <w:rsid w:val="00C560E7"/>
    <w:rsid w:val="00C56B06"/>
    <w:rsid w:val="00C56DC5"/>
    <w:rsid w:val="00C57713"/>
    <w:rsid w:val="00C5771A"/>
    <w:rsid w:val="00C5771D"/>
    <w:rsid w:val="00C57C2E"/>
    <w:rsid w:val="00C57DD2"/>
    <w:rsid w:val="00C6006B"/>
    <w:rsid w:val="00C60076"/>
    <w:rsid w:val="00C60735"/>
    <w:rsid w:val="00C60E6B"/>
    <w:rsid w:val="00C61053"/>
    <w:rsid w:val="00C6143A"/>
    <w:rsid w:val="00C618E3"/>
    <w:rsid w:val="00C61F34"/>
    <w:rsid w:val="00C622BE"/>
    <w:rsid w:val="00C623FE"/>
    <w:rsid w:val="00C626B1"/>
    <w:rsid w:val="00C62961"/>
    <w:rsid w:val="00C62A3C"/>
    <w:rsid w:val="00C63034"/>
    <w:rsid w:val="00C635C4"/>
    <w:rsid w:val="00C6379E"/>
    <w:rsid w:val="00C63DD6"/>
    <w:rsid w:val="00C6494C"/>
    <w:rsid w:val="00C64A6B"/>
    <w:rsid w:val="00C64B49"/>
    <w:rsid w:val="00C64B62"/>
    <w:rsid w:val="00C65242"/>
    <w:rsid w:val="00C653E1"/>
    <w:rsid w:val="00C65571"/>
    <w:rsid w:val="00C656D0"/>
    <w:rsid w:val="00C65973"/>
    <w:rsid w:val="00C65C4B"/>
    <w:rsid w:val="00C65E1B"/>
    <w:rsid w:val="00C65EE4"/>
    <w:rsid w:val="00C66205"/>
    <w:rsid w:val="00C6656F"/>
    <w:rsid w:val="00C665B2"/>
    <w:rsid w:val="00C6685A"/>
    <w:rsid w:val="00C66B17"/>
    <w:rsid w:val="00C66FAB"/>
    <w:rsid w:val="00C67353"/>
    <w:rsid w:val="00C67399"/>
    <w:rsid w:val="00C67ACB"/>
    <w:rsid w:val="00C705CF"/>
    <w:rsid w:val="00C709A1"/>
    <w:rsid w:val="00C70C72"/>
    <w:rsid w:val="00C70D26"/>
    <w:rsid w:val="00C70E94"/>
    <w:rsid w:val="00C71102"/>
    <w:rsid w:val="00C71A3E"/>
    <w:rsid w:val="00C725EA"/>
    <w:rsid w:val="00C73214"/>
    <w:rsid w:val="00C733BD"/>
    <w:rsid w:val="00C73609"/>
    <w:rsid w:val="00C73FF2"/>
    <w:rsid w:val="00C74477"/>
    <w:rsid w:val="00C75211"/>
    <w:rsid w:val="00C753C4"/>
    <w:rsid w:val="00C75673"/>
    <w:rsid w:val="00C75815"/>
    <w:rsid w:val="00C75C1A"/>
    <w:rsid w:val="00C76227"/>
    <w:rsid w:val="00C762C8"/>
    <w:rsid w:val="00C764B3"/>
    <w:rsid w:val="00C768E1"/>
    <w:rsid w:val="00C76F02"/>
    <w:rsid w:val="00C76F49"/>
    <w:rsid w:val="00C76F74"/>
    <w:rsid w:val="00C770B7"/>
    <w:rsid w:val="00C779B6"/>
    <w:rsid w:val="00C77E4B"/>
    <w:rsid w:val="00C80418"/>
    <w:rsid w:val="00C806E8"/>
    <w:rsid w:val="00C80982"/>
    <w:rsid w:val="00C811DC"/>
    <w:rsid w:val="00C81A18"/>
    <w:rsid w:val="00C81A99"/>
    <w:rsid w:val="00C81F39"/>
    <w:rsid w:val="00C82564"/>
    <w:rsid w:val="00C82656"/>
    <w:rsid w:val="00C827D2"/>
    <w:rsid w:val="00C82E66"/>
    <w:rsid w:val="00C831AD"/>
    <w:rsid w:val="00C83BCD"/>
    <w:rsid w:val="00C8400C"/>
    <w:rsid w:val="00C843F0"/>
    <w:rsid w:val="00C84616"/>
    <w:rsid w:val="00C84853"/>
    <w:rsid w:val="00C849DB"/>
    <w:rsid w:val="00C84ED6"/>
    <w:rsid w:val="00C85068"/>
    <w:rsid w:val="00C85147"/>
    <w:rsid w:val="00C85620"/>
    <w:rsid w:val="00C85BFD"/>
    <w:rsid w:val="00C85C98"/>
    <w:rsid w:val="00C86059"/>
    <w:rsid w:val="00C8644A"/>
    <w:rsid w:val="00C8672D"/>
    <w:rsid w:val="00C868D2"/>
    <w:rsid w:val="00C86C44"/>
    <w:rsid w:val="00C86F21"/>
    <w:rsid w:val="00C870B5"/>
    <w:rsid w:val="00C873BF"/>
    <w:rsid w:val="00C87946"/>
    <w:rsid w:val="00C87C99"/>
    <w:rsid w:val="00C87F23"/>
    <w:rsid w:val="00C90A54"/>
    <w:rsid w:val="00C90C46"/>
    <w:rsid w:val="00C90F59"/>
    <w:rsid w:val="00C91364"/>
    <w:rsid w:val="00C913FA"/>
    <w:rsid w:val="00C915D9"/>
    <w:rsid w:val="00C91788"/>
    <w:rsid w:val="00C91B6A"/>
    <w:rsid w:val="00C91C04"/>
    <w:rsid w:val="00C92C2D"/>
    <w:rsid w:val="00C9300A"/>
    <w:rsid w:val="00C9395E"/>
    <w:rsid w:val="00C94706"/>
    <w:rsid w:val="00C950C3"/>
    <w:rsid w:val="00C95245"/>
    <w:rsid w:val="00C9531D"/>
    <w:rsid w:val="00C95B27"/>
    <w:rsid w:val="00C95DD4"/>
    <w:rsid w:val="00C961B0"/>
    <w:rsid w:val="00C963F4"/>
    <w:rsid w:val="00C96AE7"/>
    <w:rsid w:val="00C97098"/>
    <w:rsid w:val="00C970D8"/>
    <w:rsid w:val="00C97538"/>
    <w:rsid w:val="00C977B8"/>
    <w:rsid w:val="00C97885"/>
    <w:rsid w:val="00CA03D5"/>
    <w:rsid w:val="00CA04D6"/>
    <w:rsid w:val="00CA06FD"/>
    <w:rsid w:val="00CA088A"/>
    <w:rsid w:val="00CA0CA0"/>
    <w:rsid w:val="00CA0D71"/>
    <w:rsid w:val="00CA0F20"/>
    <w:rsid w:val="00CA0F82"/>
    <w:rsid w:val="00CA1010"/>
    <w:rsid w:val="00CA11FF"/>
    <w:rsid w:val="00CA157D"/>
    <w:rsid w:val="00CA1903"/>
    <w:rsid w:val="00CA24D9"/>
    <w:rsid w:val="00CA253F"/>
    <w:rsid w:val="00CA2D06"/>
    <w:rsid w:val="00CA3704"/>
    <w:rsid w:val="00CA3783"/>
    <w:rsid w:val="00CA3B68"/>
    <w:rsid w:val="00CA3EC4"/>
    <w:rsid w:val="00CA4811"/>
    <w:rsid w:val="00CA49B1"/>
    <w:rsid w:val="00CA5102"/>
    <w:rsid w:val="00CA53F1"/>
    <w:rsid w:val="00CA5C7D"/>
    <w:rsid w:val="00CA716E"/>
    <w:rsid w:val="00CA738F"/>
    <w:rsid w:val="00CA7419"/>
    <w:rsid w:val="00CA766A"/>
    <w:rsid w:val="00CA78C6"/>
    <w:rsid w:val="00CA7B3F"/>
    <w:rsid w:val="00CA7B90"/>
    <w:rsid w:val="00CA7C92"/>
    <w:rsid w:val="00CA7EAE"/>
    <w:rsid w:val="00CB0463"/>
    <w:rsid w:val="00CB063C"/>
    <w:rsid w:val="00CB08E6"/>
    <w:rsid w:val="00CB0C14"/>
    <w:rsid w:val="00CB0DCE"/>
    <w:rsid w:val="00CB1404"/>
    <w:rsid w:val="00CB1BA0"/>
    <w:rsid w:val="00CB1EB2"/>
    <w:rsid w:val="00CB23B1"/>
    <w:rsid w:val="00CB25BC"/>
    <w:rsid w:val="00CB2898"/>
    <w:rsid w:val="00CB2B01"/>
    <w:rsid w:val="00CB39E8"/>
    <w:rsid w:val="00CB3AC2"/>
    <w:rsid w:val="00CB3CC6"/>
    <w:rsid w:val="00CB40CA"/>
    <w:rsid w:val="00CB452E"/>
    <w:rsid w:val="00CB4674"/>
    <w:rsid w:val="00CB4E34"/>
    <w:rsid w:val="00CB5FC2"/>
    <w:rsid w:val="00CB6013"/>
    <w:rsid w:val="00CB6087"/>
    <w:rsid w:val="00CB75A0"/>
    <w:rsid w:val="00CB7766"/>
    <w:rsid w:val="00CB7FBD"/>
    <w:rsid w:val="00CC0C8A"/>
    <w:rsid w:val="00CC1B10"/>
    <w:rsid w:val="00CC20AE"/>
    <w:rsid w:val="00CC2177"/>
    <w:rsid w:val="00CC26EB"/>
    <w:rsid w:val="00CC27D6"/>
    <w:rsid w:val="00CC2B15"/>
    <w:rsid w:val="00CC2D66"/>
    <w:rsid w:val="00CC33E9"/>
    <w:rsid w:val="00CC3963"/>
    <w:rsid w:val="00CC3D97"/>
    <w:rsid w:val="00CC4B8C"/>
    <w:rsid w:val="00CC4DF5"/>
    <w:rsid w:val="00CC4FE8"/>
    <w:rsid w:val="00CC5086"/>
    <w:rsid w:val="00CC5304"/>
    <w:rsid w:val="00CC5D3F"/>
    <w:rsid w:val="00CC6B35"/>
    <w:rsid w:val="00CC6C45"/>
    <w:rsid w:val="00CC7110"/>
    <w:rsid w:val="00CC7700"/>
    <w:rsid w:val="00CC79FE"/>
    <w:rsid w:val="00CC7C76"/>
    <w:rsid w:val="00CC7C9F"/>
    <w:rsid w:val="00CC7FA1"/>
    <w:rsid w:val="00CD0054"/>
    <w:rsid w:val="00CD00ED"/>
    <w:rsid w:val="00CD03D8"/>
    <w:rsid w:val="00CD1452"/>
    <w:rsid w:val="00CD1A74"/>
    <w:rsid w:val="00CD1B7F"/>
    <w:rsid w:val="00CD1C3A"/>
    <w:rsid w:val="00CD1E2C"/>
    <w:rsid w:val="00CD225E"/>
    <w:rsid w:val="00CD2683"/>
    <w:rsid w:val="00CD2884"/>
    <w:rsid w:val="00CD296F"/>
    <w:rsid w:val="00CD3282"/>
    <w:rsid w:val="00CD3359"/>
    <w:rsid w:val="00CD348C"/>
    <w:rsid w:val="00CD3627"/>
    <w:rsid w:val="00CD368F"/>
    <w:rsid w:val="00CD389E"/>
    <w:rsid w:val="00CD3DBB"/>
    <w:rsid w:val="00CD4444"/>
    <w:rsid w:val="00CD4544"/>
    <w:rsid w:val="00CD458B"/>
    <w:rsid w:val="00CD47B2"/>
    <w:rsid w:val="00CD4F90"/>
    <w:rsid w:val="00CD510E"/>
    <w:rsid w:val="00CD5274"/>
    <w:rsid w:val="00CD5334"/>
    <w:rsid w:val="00CD560F"/>
    <w:rsid w:val="00CD6181"/>
    <w:rsid w:val="00CD6689"/>
    <w:rsid w:val="00CD6867"/>
    <w:rsid w:val="00CD6A62"/>
    <w:rsid w:val="00CD77A8"/>
    <w:rsid w:val="00CD7D4A"/>
    <w:rsid w:val="00CE0685"/>
    <w:rsid w:val="00CE0826"/>
    <w:rsid w:val="00CE0A60"/>
    <w:rsid w:val="00CE1D7C"/>
    <w:rsid w:val="00CE2091"/>
    <w:rsid w:val="00CE2276"/>
    <w:rsid w:val="00CE24D9"/>
    <w:rsid w:val="00CE27A5"/>
    <w:rsid w:val="00CE3AF3"/>
    <w:rsid w:val="00CE4088"/>
    <w:rsid w:val="00CE46CD"/>
    <w:rsid w:val="00CE493C"/>
    <w:rsid w:val="00CE49D1"/>
    <w:rsid w:val="00CE4C3C"/>
    <w:rsid w:val="00CE4CA5"/>
    <w:rsid w:val="00CE5030"/>
    <w:rsid w:val="00CE5321"/>
    <w:rsid w:val="00CE53F4"/>
    <w:rsid w:val="00CE54C9"/>
    <w:rsid w:val="00CE5699"/>
    <w:rsid w:val="00CE6959"/>
    <w:rsid w:val="00CE6EAD"/>
    <w:rsid w:val="00CE6F82"/>
    <w:rsid w:val="00CE7077"/>
    <w:rsid w:val="00CE7503"/>
    <w:rsid w:val="00CE75DE"/>
    <w:rsid w:val="00CE76BD"/>
    <w:rsid w:val="00CE7759"/>
    <w:rsid w:val="00CE79F9"/>
    <w:rsid w:val="00CF09CD"/>
    <w:rsid w:val="00CF09F4"/>
    <w:rsid w:val="00CF1121"/>
    <w:rsid w:val="00CF1A3B"/>
    <w:rsid w:val="00CF2054"/>
    <w:rsid w:val="00CF2293"/>
    <w:rsid w:val="00CF2306"/>
    <w:rsid w:val="00CF2B26"/>
    <w:rsid w:val="00CF2E7A"/>
    <w:rsid w:val="00CF3457"/>
    <w:rsid w:val="00CF4302"/>
    <w:rsid w:val="00CF489E"/>
    <w:rsid w:val="00CF4DC1"/>
    <w:rsid w:val="00CF51F3"/>
    <w:rsid w:val="00CF54F0"/>
    <w:rsid w:val="00CF575E"/>
    <w:rsid w:val="00CF5929"/>
    <w:rsid w:val="00CF5964"/>
    <w:rsid w:val="00CF5F02"/>
    <w:rsid w:val="00CF6122"/>
    <w:rsid w:val="00CF6A0A"/>
    <w:rsid w:val="00CF6B2A"/>
    <w:rsid w:val="00CF6F9F"/>
    <w:rsid w:val="00CF6FF6"/>
    <w:rsid w:val="00CF73C0"/>
    <w:rsid w:val="00CF75A1"/>
    <w:rsid w:val="00CF7DD3"/>
    <w:rsid w:val="00CF7EEF"/>
    <w:rsid w:val="00D002CB"/>
    <w:rsid w:val="00D005F0"/>
    <w:rsid w:val="00D007A3"/>
    <w:rsid w:val="00D007CC"/>
    <w:rsid w:val="00D008CF"/>
    <w:rsid w:val="00D009F4"/>
    <w:rsid w:val="00D01218"/>
    <w:rsid w:val="00D0194C"/>
    <w:rsid w:val="00D02080"/>
    <w:rsid w:val="00D022A2"/>
    <w:rsid w:val="00D02703"/>
    <w:rsid w:val="00D02B90"/>
    <w:rsid w:val="00D0304E"/>
    <w:rsid w:val="00D035D9"/>
    <w:rsid w:val="00D03726"/>
    <w:rsid w:val="00D03ABD"/>
    <w:rsid w:val="00D03C4A"/>
    <w:rsid w:val="00D03F52"/>
    <w:rsid w:val="00D041CE"/>
    <w:rsid w:val="00D0433D"/>
    <w:rsid w:val="00D04503"/>
    <w:rsid w:val="00D0498E"/>
    <w:rsid w:val="00D058A2"/>
    <w:rsid w:val="00D0621F"/>
    <w:rsid w:val="00D06553"/>
    <w:rsid w:val="00D06B3C"/>
    <w:rsid w:val="00D06C30"/>
    <w:rsid w:val="00D06C33"/>
    <w:rsid w:val="00D072F9"/>
    <w:rsid w:val="00D0759E"/>
    <w:rsid w:val="00D07893"/>
    <w:rsid w:val="00D0790F"/>
    <w:rsid w:val="00D07EED"/>
    <w:rsid w:val="00D103F7"/>
    <w:rsid w:val="00D105C6"/>
    <w:rsid w:val="00D10718"/>
    <w:rsid w:val="00D10DE7"/>
    <w:rsid w:val="00D11B8C"/>
    <w:rsid w:val="00D120E6"/>
    <w:rsid w:val="00D121A0"/>
    <w:rsid w:val="00D121CD"/>
    <w:rsid w:val="00D127D4"/>
    <w:rsid w:val="00D12E0F"/>
    <w:rsid w:val="00D12F66"/>
    <w:rsid w:val="00D13556"/>
    <w:rsid w:val="00D13919"/>
    <w:rsid w:val="00D13DBB"/>
    <w:rsid w:val="00D13FBA"/>
    <w:rsid w:val="00D142CA"/>
    <w:rsid w:val="00D14495"/>
    <w:rsid w:val="00D14665"/>
    <w:rsid w:val="00D14E02"/>
    <w:rsid w:val="00D1506D"/>
    <w:rsid w:val="00D1573D"/>
    <w:rsid w:val="00D159B3"/>
    <w:rsid w:val="00D16525"/>
    <w:rsid w:val="00D1667E"/>
    <w:rsid w:val="00D1671A"/>
    <w:rsid w:val="00D16F42"/>
    <w:rsid w:val="00D17483"/>
    <w:rsid w:val="00D178C1"/>
    <w:rsid w:val="00D18A37"/>
    <w:rsid w:val="00D20200"/>
    <w:rsid w:val="00D20441"/>
    <w:rsid w:val="00D2098D"/>
    <w:rsid w:val="00D20AE2"/>
    <w:rsid w:val="00D21597"/>
    <w:rsid w:val="00D215B6"/>
    <w:rsid w:val="00D21763"/>
    <w:rsid w:val="00D21B42"/>
    <w:rsid w:val="00D22996"/>
    <w:rsid w:val="00D22D6E"/>
    <w:rsid w:val="00D22F14"/>
    <w:rsid w:val="00D23178"/>
    <w:rsid w:val="00D231EA"/>
    <w:rsid w:val="00D23239"/>
    <w:rsid w:val="00D2348E"/>
    <w:rsid w:val="00D23631"/>
    <w:rsid w:val="00D238E6"/>
    <w:rsid w:val="00D23928"/>
    <w:rsid w:val="00D23935"/>
    <w:rsid w:val="00D247B2"/>
    <w:rsid w:val="00D24875"/>
    <w:rsid w:val="00D249F6"/>
    <w:rsid w:val="00D249F7"/>
    <w:rsid w:val="00D24A67"/>
    <w:rsid w:val="00D2524D"/>
    <w:rsid w:val="00D25509"/>
    <w:rsid w:val="00D25827"/>
    <w:rsid w:val="00D25B49"/>
    <w:rsid w:val="00D25D30"/>
    <w:rsid w:val="00D26710"/>
    <w:rsid w:val="00D268F9"/>
    <w:rsid w:val="00D269AA"/>
    <w:rsid w:val="00D26BBC"/>
    <w:rsid w:val="00D271AB"/>
    <w:rsid w:val="00D279F4"/>
    <w:rsid w:val="00D27D8E"/>
    <w:rsid w:val="00D27FA1"/>
    <w:rsid w:val="00D29819"/>
    <w:rsid w:val="00D303B8"/>
    <w:rsid w:val="00D30682"/>
    <w:rsid w:val="00D306B4"/>
    <w:rsid w:val="00D306F9"/>
    <w:rsid w:val="00D30EC0"/>
    <w:rsid w:val="00D30FF1"/>
    <w:rsid w:val="00D31504"/>
    <w:rsid w:val="00D3166E"/>
    <w:rsid w:val="00D31922"/>
    <w:rsid w:val="00D31E0D"/>
    <w:rsid w:val="00D31EAD"/>
    <w:rsid w:val="00D323F4"/>
    <w:rsid w:val="00D32605"/>
    <w:rsid w:val="00D32C1B"/>
    <w:rsid w:val="00D330C7"/>
    <w:rsid w:val="00D3316B"/>
    <w:rsid w:val="00D33310"/>
    <w:rsid w:val="00D3331E"/>
    <w:rsid w:val="00D3336A"/>
    <w:rsid w:val="00D33529"/>
    <w:rsid w:val="00D335F6"/>
    <w:rsid w:val="00D341D1"/>
    <w:rsid w:val="00D34810"/>
    <w:rsid w:val="00D348CE"/>
    <w:rsid w:val="00D350A0"/>
    <w:rsid w:val="00D35466"/>
    <w:rsid w:val="00D35F51"/>
    <w:rsid w:val="00D36B48"/>
    <w:rsid w:val="00D3758B"/>
    <w:rsid w:val="00D3776E"/>
    <w:rsid w:val="00D37A35"/>
    <w:rsid w:val="00D37D90"/>
    <w:rsid w:val="00D37DFD"/>
    <w:rsid w:val="00D37FF0"/>
    <w:rsid w:val="00D402A9"/>
    <w:rsid w:val="00D4034D"/>
    <w:rsid w:val="00D40E3C"/>
    <w:rsid w:val="00D410F3"/>
    <w:rsid w:val="00D41A64"/>
    <w:rsid w:val="00D42296"/>
    <w:rsid w:val="00D42D78"/>
    <w:rsid w:val="00D43892"/>
    <w:rsid w:val="00D43CBD"/>
    <w:rsid w:val="00D442BC"/>
    <w:rsid w:val="00D44587"/>
    <w:rsid w:val="00D448DB"/>
    <w:rsid w:val="00D44B4F"/>
    <w:rsid w:val="00D44C15"/>
    <w:rsid w:val="00D45577"/>
    <w:rsid w:val="00D45A74"/>
    <w:rsid w:val="00D45ED5"/>
    <w:rsid w:val="00D45FFE"/>
    <w:rsid w:val="00D463E5"/>
    <w:rsid w:val="00D46B38"/>
    <w:rsid w:val="00D46D3F"/>
    <w:rsid w:val="00D477C0"/>
    <w:rsid w:val="00D47823"/>
    <w:rsid w:val="00D50078"/>
    <w:rsid w:val="00D50DA0"/>
    <w:rsid w:val="00D51288"/>
    <w:rsid w:val="00D51520"/>
    <w:rsid w:val="00D519B8"/>
    <w:rsid w:val="00D51CB1"/>
    <w:rsid w:val="00D52764"/>
    <w:rsid w:val="00D52781"/>
    <w:rsid w:val="00D52A14"/>
    <w:rsid w:val="00D52C45"/>
    <w:rsid w:val="00D52C6C"/>
    <w:rsid w:val="00D52CB1"/>
    <w:rsid w:val="00D52F77"/>
    <w:rsid w:val="00D53420"/>
    <w:rsid w:val="00D5394C"/>
    <w:rsid w:val="00D53A0B"/>
    <w:rsid w:val="00D53CD0"/>
    <w:rsid w:val="00D53D10"/>
    <w:rsid w:val="00D53D75"/>
    <w:rsid w:val="00D54687"/>
    <w:rsid w:val="00D54BBE"/>
    <w:rsid w:val="00D54F6A"/>
    <w:rsid w:val="00D555A5"/>
    <w:rsid w:val="00D5574F"/>
    <w:rsid w:val="00D557F5"/>
    <w:rsid w:val="00D56245"/>
    <w:rsid w:val="00D56415"/>
    <w:rsid w:val="00D5665C"/>
    <w:rsid w:val="00D566EA"/>
    <w:rsid w:val="00D56BFF"/>
    <w:rsid w:val="00D56D43"/>
    <w:rsid w:val="00D57052"/>
    <w:rsid w:val="00D570A8"/>
    <w:rsid w:val="00D5715F"/>
    <w:rsid w:val="00D57163"/>
    <w:rsid w:val="00D5755A"/>
    <w:rsid w:val="00D57CA7"/>
    <w:rsid w:val="00D60498"/>
    <w:rsid w:val="00D6079E"/>
    <w:rsid w:val="00D60E1C"/>
    <w:rsid w:val="00D610A9"/>
    <w:rsid w:val="00D61182"/>
    <w:rsid w:val="00D615E4"/>
    <w:rsid w:val="00D61697"/>
    <w:rsid w:val="00D61BAE"/>
    <w:rsid w:val="00D61D83"/>
    <w:rsid w:val="00D622A1"/>
    <w:rsid w:val="00D622CB"/>
    <w:rsid w:val="00D62741"/>
    <w:rsid w:val="00D62AE2"/>
    <w:rsid w:val="00D63220"/>
    <w:rsid w:val="00D6395B"/>
    <w:rsid w:val="00D640F4"/>
    <w:rsid w:val="00D647AB"/>
    <w:rsid w:val="00D6507C"/>
    <w:rsid w:val="00D6517F"/>
    <w:rsid w:val="00D65AA4"/>
    <w:rsid w:val="00D65C5B"/>
    <w:rsid w:val="00D65CB8"/>
    <w:rsid w:val="00D65E09"/>
    <w:rsid w:val="00D662C1"/>
    <w:rsid w:val="00D6670E"/>
    <w:rsid w:val="00D667A3"/>
    <w:rsid w:val="00D66DBA"/>
    <w:rsid w:val="00D66E7B"/>
    <w:rsid w:val="00D67C31"/>
    <w:rsid w:val="00D67E40"/>
    <w:rsid w:val="00D67F98"/>
    <w:rsid w:val="00D70F8D"/>
    <w:rsid w:val="00D70FE4"/>
    <w:rsid w:val="00D71D3D"/>
    <w:rsid w:val="00D72204"/>
    <w:rsid w:val="00D72440"/>
    <w:rsid w:val="00D72601"/>
    <w:rsid w:val="00D727D6"/>
    <w:rsid w:val="00D72B0A"/>
    <w:rsid w:val="00D72B2B"/>
    <w:rsid w:val="00D72E36"/>
    <w:rsid w:val="00D72F34"/>
    <w:rsid w:val="00D73FFB"/>
    <w:rsid w:val="00D741B5"/>
    <w:rsid w:val="00D74A31"/>
    <w:rsid w:val="00D74F6C"/>
    <w:rsid w:val="00D74FC3"/>
    <w:rsid w:val="00D754D6"/>
    <w:rsid w:val="00D75775"/>
    <w:rsid w:val="00D75E50"/>
    <w:rsid w:val="00D76735"/>
    <w:rsid w:val="00D76B63"/>
    <w:rsid w:val="00D76E0B"/>
    <w:rsid w:val="00D76EA2"/>
    <w:rsid w:val="00D7736A"/>
    <w:rsid w:val="00D77632"/>
    <w:rsid w:val="00D77A38"/>
    <w:rsid w:val="00D80041"/>
    <w:rsid w:val="00D803EA"/>
    <w:rsid w:val="00D804A3"/>
    <w:rsid w:val="00D80949"/>
    <w:rsid w:val="00D80D5E"/>
    <w:rsid w:val="00D80EAC"/>
    <w:rsid w:val="00D80EAD"/>
    <w:rsid w:val="00D813BF"/>
    <w:rsid w:val="00D818CE"/>
    <w:rsid w:val="00D81B47"/>
    <w:rsid w:val="00D81E46"/>
    <w:rsid w:val="00D81F29"/>
    <w:rsid w:val="00D82390"/>
    <w:rsid w:val="00D82625"/>
    <w:rsid w:val="00D8262C"/>
    <w:rsid w:val="00D8292C"/>
    <w:rsid w:val="00D82A6A"/>
    <w:rsid w:val="00D8334C"/>
    <w:rsid w:val="00D838B1"/>
    <w:rsid w:val="00D83A48"/>
    <w:rsid w:val="00D8401D"/>
    <w:rsid w:val="00D84D51"/>
    <w:rsid w:val="00D85920"/>
    <w:rsid w:val="00D85B2C"/>
    <w:rsid w:val="00D85F64"/>
    <w:rsid w:val="00D861A3"/>
    <w:rsid w:val="00D861B8"/>
    <w:rsid w:val="00D86252"/>
    <w:rsid w:val="00D86447"/>
    <w:rsid w:val="00D86503"/>
    <w:rsid w:val="00D86645"/>
    <w:rsid w:val="00D86EB2"/>
    <w:rsid w:val="00D86FDB"/>
    <w:rsid w:val="00D8700C"/>
    <w:rsid w:val="00D87AFA"/>
    <w:rsid w:val="00D87B7A"/>
    <w:rsid w:val="00D87F6E"/>
    <w:rsid w:val="00D904EE"/>
    <w:rsid w:val="00D91838"/>
    <w:rsid w:val="00D91A93"/>
    <w:rsid w:val="00D91C6B"/>
    <w:rsid w:val="00D929D5"/>
    <w:rsid w:val="00D9345B"/>
    <w:rsid w:val="00D93577"/>
    <w:rsid w:val="00D93588"/>
    <w:rsid w:val="00D939FB"/>
    <w:rsid w:val="00D93D09"/>
    <w:rsid w:val="00D93F19"/>
    <w:rsid w:val="00D9444F"/>
    <w:rsid w:val="00D9508A"/>
    <w:rsid w:val="00D95486"/>
    <w:rsid w:val="00D95648"/>
    <w:rsid w:val="00D9584D"/>
    <w:rsid w:val="00D9585A"/>
    <w:rsid w:val="00D95A71"/>
    <w:rsid w:val="00D95A8C"/>
    <w:rsid w:val="00D95D6D"/>
    <w:rsid w:val="00D95E68"/>
    <w:rsid w:val="00D966B2"/>
    <w:rsid w:val="00D96BB4"/>
    <w:rsid w:val="00D9735A"/>
    <w:rsid w:val="00D974DD"/>
    <w:rsid w:val="00D97815"/>
    <w:rsid w:val="00D9787C"/>
    <w:rsid w:val="00D97930"/>
    <w:rsid w:val="00DA00E7"/>
    <w:rsid w:val="00DA0232"/>
    <w:rsid w:val="00DA0593"/>
    <w:rsid w:val="00DA09C7"/>
    <w:rsid w:val="00DA0B1E"/>
    <w:rsid w:val="00DA0CD0"/>
    <w:rsid w:val="00DA0E26"/>
    <w:rsid w:val="00DA1751"/>
    <w:rsid w:val="00DA1864"/>
    <w:rsid w:val="00DA1AE1"/>
    <w:rsid w:val="00DA2172"/>
    <w:rsid w:val="00DA3093"/>
    <w:rsid w:val="00DA33D6"/>
    <w:rsid w:val="00DA3EFE"/>
    <w:rsid w:val="00DA4CCB"/>
    <w:rsid w:val="00DA4FD9"/>
    <w:rsid w:val="00DA506B"/>
    <w:rsid w:val="00DA5648"/>
    <w:rsid w:val="00DA5817"/>
    <w:rsid w:val="00DA6234"/>
    <w:rsid w:val="00DA6BA6"/>
    <w:rsid w:val="00DA6BDF"/>
    <w:rsid w:val="00DA7306"/>
    <w:rsid w:val="00DA76E1"/>
    <w:rsid w:val="00DA7C66"/>
    <w:rsid w:val="00DA7C70"/>
    <w:rsid w:val="00DA7F00"/>
    <w:rsid w:val="00DB0505"/>
    <w:rsid w:val="00DB0AB2"/>
    <w:rsid w:val="00DB1089"/>
    <w:rsid w:val="00DB11BC"/>
    <w:rsid w:val="00DB141C"/>
    <w:rsid w:val="00DB14FF"/>
    <w:rsid w:val="00DB19A0"/>
    <w:rsid w:val="00DB24AA"/>
    <w:rsid w:val="00DB29AD"/>
    <w:rsid w:val="00DB2CDF"/>
    <w:rsid w:val="00DB2DF6"/>
    <w:rsid w:val="00DB3005"/>
    <w:rsid w:val="00DB33FF"/>
    <w:rsid w:val="00DB354B"/>
    <w:rsid w:val="00DB3BDE"/>
    <w:rsid w:val="00DB4164"/>
    <w:rsid w:val="00DB45F4"/>
    <w:rsid w:val="00DB4653"/>
    <w:rsid w:val="00DB46CD"/>
    <w:rsid w:val="00DB593D"/>
    <w:rsid w:val="00DB5C1B"/>
    <w:rsid w:val="00DB6434"/>
    <w:rsid w:val="00DB64B4"/>
    <w:rsid w:val="00DB66E8"/>
    <w:rsid w:val="00DB6999"/>
    <w:rsid w:val="00DB6C22"/>
    <w:rsid w:val="00DB6EEF"/>
    <w:rsid w:val="00DB721D"/>
    <w:rsid w:val="00DB7931"/>
    <w:rsid w:val="00DB7CE8"/>
    <w:rsid w:val="00DC087F"/>
    <w:rsid w:val="00DC0CC4"/>
    <w:rsid w:val="00DC0DCA"/>
    <w:rsid w:val="00DC1218"/>
    <w:rsid w:val="00DC16E6"/>
    <w:rsid w:val="00DC181F"/>
    <w:rsid w:val="00DC1AE6"/>
    <w:rsid w:val="00DC1E72"/>
    <w:rsid w:val="00DC28FE"/>
    <w:rsid w:val="00DC38EA"/>
    <w:rsid w:val="00DC3A52"/>
    <w:rsid w:val="00DC3E9C"/>
    <w:rsid w:val="00DC406F"/>
    <w:rsid w:val="00DC44E2"/>
    <w:rsid w:val="00DC4C54"/>
    <w:rsid w:val="00DC5108"/>
    <w:rsid w:val="00DC5775"/>
    <w:rsid w:val="00DC58A6"/>
    <w:rsid w:val="00DC598E"/>
    <w:rsid w:val="00DC5D59"/>
    <w:rsid w:val="00DC5F55"/>
    <w:rsid w:val="00DC61A2"/>
    <w:rsid w:val="00DC62E1"/>
    <w:rsid w:val="00DC66DA"/>
    <w:rsid w:val="00DC741A"/>
    <w:rsid w:val="00DC74C9"/>
    <w:rsid w:val="00DC7687"/>
    <w:rsid w:val="00DC7CA3"/>
    <w:rsid w:val="00DC7CBE"/>
    <w:rsid w:val="00DC7ED1"/>
    <w:rsid w:val="00DD0322"/>
    <w:rsid w:val="00DD05C2"/>
    <w:rsid w:val="00DD089A"/>
    <w:rsid w:val="00DD0B28"/>
    <w:rsid w:val="00DD0C38"/>
    <w:rsid w:val="00DD0C6C"/>
    <w:rsid w:val="00DD1374"/>
    <w:rsid w:val="00DD2019"/>
    <w:rsid w:val="00DD2181"/>
    <w:rsid w:val="00DD22FB"/>
    <w:rsid w:val="00DD2FD1"/>
    <w:rsid w:val="00DD30C2"/>
    <w:rsid w:val="00DD3130"/>
    <w:rsid w:val="00DD38E5"/>
    <w:rsid w:val="00DD3AB9"/>
    <w:rsid w:val="00DD3C92"/>
    <w:rsid w:val="00DD412D"/>
    <w:rsid w:val="00DD4283"/>
    <w:rsid w:val="00DD430B"/>
    <w:rsid w:val="00DD4DF3"/>
    <w:rsid w:val="00DD5A36"/>
    <w:rsid w:val="00DD5A61"/>
    <w:rsid w:val="00DD5AF5"/>
    <w:rsid w:val="00DD5B30"/>
    <w:rsid w:val="00DD6239"/>
    <w:rsid w:val="00DD62F5"/>
    <w:rsid w:val="00DD636E"/>
    <w:rsid w:val="00DD6B58"/>
    <w:rsid w:val="00DD6CF8"/>
    <w:rsid w:val="00DD6DA7"/>
    <w:rsid w:val="00DD6DE1"/>
    <w:rsid w:val="00DD72D9"/>
    <w:rsid w:val="00DD76ED"/>
    <w:rsid w:val="00DD76FA"/>
    <w:rsid w:val="00DD7ECE"/>
    <w:rsid w:val="00DD7F63"/>
    <w:rsid w:val="00DE023F"/>
    <w:rsid w:val="00DE04C7"/>
    <w:rsid w:val="00DE0878"/>
    <w:rsid w:val="00DE0CFA"/>
    <w:rsid w:val="00DE0DC2"/>
    <w:rsid w:val="00DE12DF"/>
    <w:rsid w:val="00DE186D"/>
    <w:rsid w:val="00DE1E31"/>
    <w:rsid w:val="00DE1F1F"/>
    <w:rsid w:val="00DE2135"/>
    <w:rsid w:val="00DE2CE9"/>
    <w:rsid w:val="00DE2D2E"/>
    <w:rsid w:val="00DE31C5"/>
    <w:rsid w:val="00DE33FA"/>
    <w:rsid w:val="00DE34E4"/>
    <w:rsid w:val="00DE39DD"/>
    <w:rsid w:val="00DE3C6A"/>
    <w:rsid w:val="00DE3E72"/>
    <w:rsid w:val="00DE3FC8"/>
    <w:rsid w:val="00DE417C"/>
    <w:rsid w:val="00DE4779"/>
    <w:rsid w:val="00DE481F"/>
    <w:rsid w:val="00DE4B43"/>
    <w:rsid w:val="00DE55D4"/>
    <w:rsid w:val="00DE56F4"/>
    <w:rsid w:val="00DE5E14"/>
    <w:rsid w:val="00DE5EE8"/>
    <w:rsid w:val="00DE60E8"/>
    <w:rsid w:val="00DE6250"/>
    <w:rsid w:val="00DE632A"/>
    <w:rsid w:val="00DE6335"/>
    <w:rsid w:val="00DE6857"/>
    <w:rsid w:val="00DE691E"/>
    <w:rsid w:val="00DE697A"/>
    <w:rsid w:val="00DE6A84"/>
    <w:rsid w:val="00DE7B72"/>
    <w:rsid w:val="00DE7D25"/>
    <w:rsid w:val="00DE7E1C"/>
    <w:rsid w:val="00DE7E28"/>
    <w:rsid w:val="00DE7F1D"/>
    <w:rsid w:val="00DF027B"/>
    <w:rsid w:val="00DF0952"/>
    <w:rsid w:val="00DF0958"/>
    <w:rsid w:val="00DF09BB"/>
    <w:rsid w:val="00DF0C3B"/>
    <w:rsid w:val="00DF0E7B"/>
    <w:rsid w:val="00DF15F8"/>
    <w:rsid w:val="00DF1C48"/>
    <w:rsid w:val="00DF224B"/>
    <w:rsid w:val="00DF23C5"/>
    <w:rsid w:val="00DF27E2"/>
    <w:rsid w:val="00DF2C0D"/>
    <w:rsid w:val="00DF2EAA"/>
    <w:rsid w:val="00DF38AD"/>
    <w:rsid w:val="00DF39EA"/>
    <w:rsid w:val="00DF4086"/>
    <w:rsid w:val="00DF4278"/>
    <w:rsid w:val="00DF4391"/>
    <w:rsid w:val="00DF4799"/>
    <w:rsid w:val="00DF4D46"/>
    <w:rsid w:val="00DF4EC5"/>
    <w:rsid w:val="00DF4F75"/>
    <w:rsid w:val="00DF58C1"/>
    <w:rsid w:val="00DF661F"/>
    <w:rsid w:val="00DF68B0"/>
    <w:rsid w:val="00DF68F4"/>
    <w:rsid w:val="00DF6FCA"/>
    <w:rsid w:val="00DF713E"/>
    <w:rsid w:val="00DF76BE"/>
    <w:rsid w:val="00DF78AF"/>
    <w:rsid w:val="00DF7B42"/>
    <w:rsid w:val="00DF7C2F"/>
    <w:rsid w:val="00DF7CC7"/>
    <w:rsid w:val="00DF7D4C"/>
    <w:rsid w:val="00E00067"/>
    <w:rsid w:val="00E0026F"/>
    <w:rsid w:val="00E002FD"/>
    <w:rsid w:val="00E00775"/>
    <w:rsid w:val="00E00C78"/>
    <w:rsid w:val="00E01081"/>
    <w:rsid w:val="00E01292"/>
    <w:rsid w:val="00E01741"/>
    <w:rsid w:val="00E02144"/>
    <w:rsid w:val="00E02995"/>
    <w:rsid w:val="00E029A8"/>
    <w:rsid w:val="00E02CDB"/>
    <w:rsid w:val="00E02E6C"/>
    <w:rsid w:val="00E031F5"/>
    <w:rsid w:val="00E032F5"/>
    <w:rsid w:val="00E03307"/>
    <w:rsid w:val="00E0391F"/>
    <w:rsid w:val="00E03C49"/>
    <w:rsid w:val="00E03DA1"/>
    <w:rsid w:val="00E03FB4"/>
    <w:rsid w:val="00E04C23"/>
    <w:rsid w:val="00E05946"/>
    <w:rsid w:val="00E05B6D"/>
    <w:rsid w:val="00E06118"/>
    <w:rsid w:val="00E0631E"/>
    <w:rsid w:val="00E065D3"/>
    <w:rsid w:val="00E0712C"/>
    <w:rsid w:val="00E07686"/>
    <w:rsid w:val="00E076DD"/>
    <w:rsid w:val="00E0795D"/>
    <w:rsid w:val="00E079CE"/>
    <w:rsid w:val="00E07D5A"/>
    <w:rsid w:val="00E102AC"/>
    <w:rsid w:val="00E10780"/>
    <w:rsid w:val="00E10818"/>
    <w:rsid w:val="00E10AD6"/>
    <w:rsid w:val="00E10D55"/>
    <w:rsid w:val="00E11671"/>
    <w:rsid w:val="00E11AF0"/>
    <w:rsid w:val="00E11BBE"/>
    <w:rsid w:val="00E11D75"/>
    <w:rsid w:val="00E121D7"/>
    <w:rsid w:val="00E12B83"/>
    <w:rsid w:val="00E12B92"/>
    <w:rsid w:val="00E12D57"/>
    <w:rsid w:val="00E13694"/>
    <w:rsid w:val="00E136A7"/>
    <w:rsid w:val="00E146CC"/>
    <w:rsid w:val="00E14891"/>
    <w:rsid w:val="00E14E22"/>
    <w:rsid w:val="00E151E4"/>
    <w:rsid w:val="00E15340"/>
    <w:rsid w:val="00E154CB"/>
    <w:rsid w:val="00E15636"/>
    <w:rsid w:val="00E15684"/>
    <w:rsid w:val="00E1568B"/>
    <w:rsid w:val="00E15DD7"/>
    <w:rsid w:val="00E162D3"/>
    <w:rsid w:val="00E16606"/>
    <w:rsid w:val="00E17303"/>
    <w:rsid w:val="00E17AE5"/>
    <w:rsid w:val="00E17BEC"/>
    <w:rsid w:val="00E17D1D"/>
    <w:rsid w:val="00E206D2"/>
    <w:rsid w:val="00E20965"/>
    <w:rsid w:val="00E20B8D"/>
    <w:rsid w:val="00E20C19"/>
    <w:rsid w:val="00E20FE2"/>
    <w:rsid w:val="00E21028"/>
    <w:rsid w:val="00E21051"/>
    <w:rsid w:val="00E21AD1"/>
    <w:rsid w:val="00E2261B"/>
    <w:rsid w:val="00E22A5A"/>
    <w:rsid w:val="00E22BE5"/>
    <w:rsid w:val="00E22E2B"/>
    <w:rsid w:val="00E22F4B"/>
    <w:rsid w:val="00E24520"/>
    <w:rsid w:val="00E24E25"/>
    <w:rsid w:val="00E2519D"/>
    <w:rsid w:val="00E251D7"/>
    <w:rsid w:val="00E25274"/>
    <w:rsid w:val="00E25483"/>
    <w:rsid w:val="00E257BD"/>
    <w:rsid w:val="00E25EB4"/>
    <w:rsid w:val="00E2602F"/>
    <w:rsid w:val="00E2614E"/>
    <w:rsid w:val="00E2620A"/>
    <w:rsid w:val="00E26238"/>
    <w:rsid w:val="00E26313"/>
    <w:rsid w:val="00E26348"/>
    <w:rsid w:val="00E26359"/>
    <w:rsid w:val="00E269EE"/>
    <w:rsid w:val="00E26B96"/>
    <w:rsid w:val="00E2740A"/>
    <w:rsid w:val="00E27430"/>
    <w:rsid w:val="00E27B78"/>
    <w:rsid w:val="00E27CBE"/>
    <w:rsid w:val="00E27DC9"/>
    <w:rsid w:val="00E27E32"/>
    <w:rsid w:val="00E27FB6"/>
    <w:rsid w:val="00E308EC"/>
    <w:rsid w:val="00E30DEC"/>
    <w:rsid w:val="00E30F31"/>
    <w:rsid w:val="00E3156B"/>
    <w:rsid w:val="00E32323"/>
    <w:rsid w:val="00E329B7"/>
    <w:rsid w:val="00E3307D"/>
    <w:rsid w:val="00E332F4"/>
    <w:rsid w:val="00E333E1"/>
    <w:rsid w:val="00E3521B"/>
    <w:rsid w:val="00E35B39"/>
    <w:rsid w:val="00E35F2C"/>
    <w:rsid w:val="00E3638F"/>
    <w:rsid w:val="00E365F5"/>
    <w:rsid w:val="00E369F9"/>
    <w:rsid w:val="00E36CCA"/>
    <w:rsid w:val="00E372A6"/>
    <w:rsid w:val="00E37378"/>
    <w:rsid w:val="00E37B36"/>
    <w:rsid w:val="00E37B80"/>
    <w:rsid w:val="00E37F5F"/>
    <w:rsid w:val="00E40F96"/>
    <w:rsid w:val="00E4108B"/>
    <w:rsid w:val="00E414AB"/>
    <w:rsid w:val="00E418A7"/>
    <w:rsid w:val="00E41965"/>
    <w:rsid w:val="00E4198F"/>
    <w:rsid w:val="00E41C1E"/>
    <w:rsid w:val="00E422F7"/>
    <w:rsid w:val="00E42B11"/>
    <w:rsid w:val="00E42B60"/>
    <w:rsid w:val="00E42FF4"/>
    <w:rsid w:val="00E436A1"/>
    <w:rsid w:val="00E43D49"/>
    <w:rsid w:val="00E43DDD"/>
    <w:rsid w:val="00E441D1"/>
    <w:rsid w:val="00E44439"/>
    <w:rsid w:val="00E445AD"/>
    <w:rsid w:val="00E445C5"/>
    <w:rsid w:val="00E448A8"/>
    <w:rsid w:val="00E44AF6"/>
    <w:rsid w:val="00E44C7F"/>
    <w:rsid w:val="00E44C9E"/>
    <w:rsid w:val="00E450D4"/>
    <w:rsid w:val="00E455EF"/>
    <w:rsid w:val="00E45D43"/>
    <w:rsid w:val="00E46228"/>
    <w:rsid w:val="00E4625D"/>
    <w:rsid w:val="00E463BB"/>
    <w:rsid w:val="00E46AB1"/>
    <w:rsid w:val="00E47627"/>
    <w:rsid w:val="00E47878"/>
    <w:rsid w:val="00E47914"/>
    <w:rsid w:val="00E47AF1"/>
    <w:rsid w:val="00E47C99"/>
    <w:rsid w:val="00E47E22"/>
    <w:rsid w:val="00E47EA5"/>
    <w:rsid w:val="00E5072C"/>
    <w:rsid w:val="00E5084B"/>
    <w:rsid w:val="00E50B1E"/>
    <w:rsid w:val="00E50C31"/>
    <w:rsid w:val="00E512ED"/>
    <w:rsid w:val="00E5175E"/>
    <w:rsid w:val="00E51DAA"/>
    <w:rsid w:val="00E51E96"/>
    <w:rsid w:val="00E5318D"/>
    <w:rsid w:val="00E536A9"/>
    <w:rsid w:val="00E53D4A"/>
    <w:rsid w:val="00E53E13"/>
    <w:rsid w:val="00E54EF5"/>
    <w:rsid w:val="00E550EA"/>
    <w:rsid w:val="00E55486"/>
    <w:rsid w:val="00E55A6D"/>
    <w:rsid w:val="00E5617C"/>
    <w:rsid w:val="00E56775"/>
    <w:rsid w:val="00E56805"/>
    <w:rsid w:val="00E56A97"/>
    <w:rsid w:val="00E56F04"/>
    <w:rsid w:val="00E5738F"/>
    <w:rsid w:val="00E578CE"/>
    <w:rsid w:val="00E57CAC"/>
    <w:rsid w:val="00E60437"/>
    <w:rsid w:val="00E604CC"/>
    <w:rsid w:val="00E6061B"/>
    <w:rsid w:val="00E60636"/>
    <w:rsid w:val="00E609DE"/>
    <w:rsid w:val="00E6122E"/>
    <w:rsid w:val="00E61291"/>
    <w:rsid w:val="00E613CD"/>
    <w:rsid w:val="00E6212C"/>
    <w:rsid w:val="00E622E8"/>
    <w:rsid w:val="00E629AC"/>
    <w:rsid w:val="00E62A26"/>
    <w:rsid w:val="00E6310D"/>
    <w:rsid w:val="00E6329E"/>
    <w:rsid w:val="00E634C1"/>
    <w:rsid w:val="00E63E15"/>
    <w:rsid w:val="00E6403F"/>
    <w:rsid w:val="00E64148"/>
    <w:rsid w:val="00E64184"/>
    <w:rsid w:val="00E645F1"/>
    <w:rsid w:val="00E6484C"/>
    <w:rsid w:val="00E64E9A"/>
    <w:rsid w:val="00E6549B"/>
    <w:rsid w:val="00E657AD"/>
    <w:rsid w:val="00E65CEA"/>
    <w:rsid w:val="00E65F51"/>
    <w:rsid w:val="00E65F55"/>
    <w:rsid w:val="00E660D9"/>
    <w:rsid w:val="00E66797"/>
    <w:rsid w:val="00E66892"/>
    <w:rsid w:val="00E66C6F"/>
    <w:rsid w:val="00E66D59"/>
    <w:rsid w:val="00E66ED6"/>
    <w:rsid w:val="00E66EEB"/>
    <w:rsid w:val="00E676E1"/>
    <w:rsid w:val="00E67A23"/>
    <w:rsid w:val="00E712B9"/>
    <w:rsid w:val="00E715A7"/>
    <w:rsid w:val="00E718A2"/>
    <w:rsid w:val="00E720AA"/>
    <w:rsid w:val="00E727BC"/>
    <w:rsid w:val="00E72D83"/>
    <w:rsid w:val="00E738B2"/>
    <w:rsid w:val="00E738D7"/>
    <w:rsid w:val="00E749E9"/>
    <w:rsid w:val="00E74B81"/>
    <w:rsid w:val="00E75071"/>
    <w:rsid w:val="00E754EC"/>
    <w:rsid w:val="00E7554A"/>
    <w:rsid w:val="00E755D6"/>
    <w:rsid w:val="00E75B91"/>
    <w:rsid w:val="00E75CF8"/>
    <w:rsid w:val="00E75ED5"/>
    <w:rsid w:val="00E76900"/>
    <w:rsid w:val="00E7695B"/>
    <w:rsid w:val="00E76B2C"/>
    <w:rsid w:val="00E76D1A"/>
    <w:rsid w:val="00E77332"/>
    <w:rsid w:val="00E77403"/>
    <w:rsid w:val="00E77498"/>
    <w:rsid w:val="00E774A0"/>
    <w:rsid w:val="00E774E9"/>
    <w:rsid w:val="00E775AC"/>
    <w:rsid w:val="00E77AA5"/>
    <w:rsid w:val="00E80280"/>
    <w:rsid w:val="00E802BA"/>
    <w:rsid w:val="00E80838"/>
    <w:rsid w:val="00E80D63"/>
    <w:rsid w:val="00E80EBB"/>
    <w:rsid w:val="00E811FC"/>
    <w:rsid w:val="00E81256"/>
    <w:rsid w:val="00E81370"/>
    <w:rsid w:val="00E81772"/>
    <w:rsid w:val="00E81DAA"/>
    <w:rsid w:val="00E82BA8"/>
    <w:rsid w:val="00E82EAA"/>
    <w:rsid w:val="00E82F4F"/>
    <w:rsid w:val="00E84464"/>
    <w:rsid w:val="00E84BD7"/>
    <w:rsid w:val="00E84FAC"/>
    <w:rsid w:val="00E8560A"/>
    <w:rsid w:val="00E857AE"/>
    <w:rsid w:val="00E85CC2"/>
    <w:rsid w:val="00E86349"/>
    <w:rsid w:val="00E86634"/>
    <w:rsid w:val="00E86635"/>
    <w:rsid w:val="00E86885"/>
    <w:rsid w:val="00E869B3"/>
    <w:rsid w:val="00E86BAF"/>
    <w:rsid w:val="00E86C02"/>
    <w:rsid w:val="00E86CE1"/>
    <w:rsid w:val="00E872F0"/>
    <w:rsid w:val="00E8796E"/>
    <w:rsid w:val="00E87CC8"/>
    <w:rsid w:val="00E87D18"/>
    <w:rsid w:val="00E901E1"/>
    <w:rsid w:val="00E908B3"/>
    <w:rsid w:val="00E90B81"/>
    <w:rsid w:val="00E91CF3"/>
    <w:rsid w:val="00E920AC"/>
    <w:rsid w:val="00E92B01"/>
    <w:rsid w:val="00E92CC5"/>
    <w:rsid w:val="00E92D7B"/>
    <w:rsid w:val="00E92E18"/>
    <w:rsid w:val="00E92E83"/>
    <w:rsid w:val="00E93206"/>
    <w:rsid w:val="00E93F50"/>
    <w:rsid w:val="00E941BA"/>
    <w:rsid w:val="00E94462"/>
    <w:rsid w:val="00E951A3"/>
    <w:rsid w:val="00E953AB"/>
    <w:rsid w:val="00E95ED8"/>
    <w:rsid w:val="00E9621A"/>
    <w:rsid w:val="00E9644E"/>
    <w:rsid w:val="00E965C6"/>
    <w:rsid w:val="00E96A62"/>
    <w:rsid w:val="00E9739B"/>
    <w:rsid w:val="00E97EDF"/>
    <w:rsid w:val="00EA01C1"/>
    <w:rsid w:val="00EA0224"/>
    <w:rsid w:val="00EA0B17"/>
    <w:rsid w:val="00EA0D0D"/>
    <w:rsid w:val="00EA1541"/>
    <w:rsid w:val="00EA18C7"/>
    <w:rsid w:val="00EA1D22"/>
    <w:rsid w:val="00EA2BBA"/>
    <w:rsid w:val="00EA2CC3"/>
    <w:rsid w:val="00EA3763"/>
    <w:rsid w:val="00EA3812"/>
    <w:rsid w:val="00EA3F00"/>
    <w:rsid w:val="00EA42EF"/>
    <w:rsid w:val="00EA43C9"/>
    <w:rsid w:val="00EA49A8"/>
    <w:rsid w:val="00EA4CEB"/>
    <w:rsid w:val="00EA4E2D"/>
    <w:rsid w:val="00EA5006"/>
    <w:rsid w:val="00EA545F"/>
    <w:rsid w:val="00EA5AA2"/>
    <w:rsid w:val="00EA60F5"/>
    <w:rsid w:val="00EA6C3D"/>
    <w:rsid w:val="00EA6D00"/>
    <w:rsid w:val="00EA7C4B"/>
    <w:rsid w:val="00EA7F7D"/>
    <w:rsid w:val="00EB02AF"/>
    <w:rsid w:val="00EB051B"/>
    <w:rsid w:val="00EB052E"/>
    <w:rsid w:val="00EB0DE7"/>
    <w:rsid w:val="00EB0E9A"/>
    <w:rsid w:val="00EB104B"/>
    <w:rsid w:val="00EB108F"/>
    <w:rsid w:val="00EB19FA"/>
    <w:rsid w:val="00EB1A59"/>
    <w:rsid w:val="00EB1AF8"/>
    <w:rsid w:val="00EB1D4E"/>
    <w:rsid w:val="00EB1D7F"/>
    <w:rsid w:val="00EB1DBE"/>
    <w:rsid w:val="00EB216C"/>
    <w:rsid w:val="00EB22A9"/>
    <w:rsid w:val="00EB28D3"/>
    <w:rsid w:val="00EB2EC1"/>
    <w:rsid w:val="00EB3427"/>
    <w:rsid w:val="00EB34CB"/>
    <w:rsid w:val="00EB3DF9"/>
    <w:rsid w:val="00EB3E84"/>
    <w:rsid w:val="00EB436B"/>
    <w:rsid w:val="00EB469A"/>
    <w:rsid w:val="00EB4ACC"/>
    <w:rsid w:val="00EB4E0A"/>
    <w:rsid w:val="00EB5579"/>
    <w:rsid w:val="00EB60A1"/>
    <w:rsid w:val="00EB6268"/>
    <w:rsid w:val="00EB672F"/>
    <w:rsid w:val="00EB6EE0"/>
    <w:rsid w:val="00EB7035"/>
    <w:rsid w:val="00EB7180"/>
    <w:rsid w:val="00EB7494"/>
    <w:rsid w:val="00EC03DE"/>
    <w:rsid w:val="00EC0440"/>
    <w:rsid w:val="00EC07A7"/>
    <w:rsid w:val="00EC1264"/>
    <w:rsid w:val="00EC230F"/>
    <w:rsid w:val="00EC241D"/>
    <w:rsid w:val="00EC2A91"/>
    <w:rsid w:val="00EC2AAA"/>
    <w:rsid w:val="00EC2BA3"/>
    <w:rsid w:val="00EC2C5A"/>
    <w:rsid w:val="00EC2CDB"/>
    <w:rsid w:val="00EC2EA9"/>
    <w:rsid w:val="00EC390E"/>
    <w:rsid w:val="00EC3CC8"/>
    <w:rsid w:val="00EC3D89"/>
    <w:rsid w:val="00EC3DDF"/>
    <w:rsid w:val="00EC3F3E"/>
    <w:rsid w:val="00EC4450"/>
    <w:rsid w:val="00EC4659"/>
    <w:rsid w:val="00EC4860"/>
    <w:rsid w:val="00EC5198"/>
    <w:rsid w:val="00EC5A27"/>
    <w:rsid w:val="00EC5ADE"/>
    <w:rsid w:val="00EC6125"/>
    <w:rsid w:val="00EC6257"/>
    <w:rsid w:val="00EC661C"/>
    <w:rsid w:val="00EC6630"/>
    <w:rsid w:val="00EC675A"/>
    <w:rsid w:val="00EC6A99"/>
    <w:rsid w:val="00EC6E13"/>
    <w:rsid w:val="00EC7039"/>
    <w:rsid w:val="00EC754C"/>
    <w:rsid w:val="00EC7718"/>
    <w:rsid w:val="00EC78AF"/>
    <w:rsid w:val="00EC7BA9"/>
    <w:rsid w:val="00ED0541"/>
    <w:rsid w:val="00ED06DD"/>
    <w:rsid w:val="00ED1233"/>
    <w:rsid w:val="00ED1DD9"/>
    <w:rsid w:val="00ED1E7C"/>
    <w:rsid w:val="00ED2677"/>
    <w:rsid w:val="00ED277D"/>
    <w:rsid w:val="00ED279A"/>
    <w:rsid w:val="00ED2851"/>
    <w:rsid w:val="00ED2E5D"/>
    <w:rsid w:val="00ED3607"/>
    <w:rsid w:val="00ED37F6"/>
    <w:rsid w:val="00ED3834"/>
    <w:rsid w:val="00ED3A99"/>
    <w:rsid w:val="00ED3C4C"/>
    <w:rsid w:val="00ED4438"/>
    <w:rsid w:val="00ED44C5"/>
    <w:rsid w:val="00ED4545"/>
    <w:rsid w:val="00ED4D51"/>
    <w:rsid w:val="00ED50B6"/>
    <w:rsid w:val="00ED52A2"/>
    <w:rsid w:val="00ED5766"/>
    <w:rsid w:val="00ED57F8"/>
    <w:rsid w:val="00ED588D"/>
    <w:rsid w:val="00ED612F"/>
    <w:rsid w:val="00ED6332"/>
    <w:rsid w:val="00ED63C9"/>
    <w:rsid w:val="00ED6455"/>
    <w:rsid w:val="00ED658B"/>
    <w:rsid w:val="00ED6649"/>
    <w:rsid w:val="00ED6824"/>
    <w:rsid w:val="00ED6E1C"/>
    <w:rsid w:val="00ED721C"/>
    <w:rsid w:val="00ED72D8"/>
    <w:rsid w:val="00ED79D0"/>
    <w:rsid w:val="00EE02BC"/>
    <w:rsid w:val="00EE06B5"/>
    <w:rsid w:val="00EE0B0C"/>
    <w:rsid w:val="00EE0CC5"/>
    <w:rsid w:val="00EE101E"/>
    <w:rsid w:val="00EE14CC"/>
    <w:rsid w:val="00EE1625"/>
    <w:rsid w:val="00EE1DDE"/>
    <w:rsid w:val="00EE1FC9"/>
    <w:rsid w:val="00EE20BF"/>
    <w:rsid w:val="00EE29C2"/>
    <w:rsid w:val="00EE3283"/>
    <w:rsid w:val="00EE37BF"/>
    <w:rsid w:val="00EE42EF"/>
    <w:rsid w:val="00EE4393"/>
    <w:rsid w:val="00EE441A"/>
    <w:rsid w:val="00EE4BF2"/>
    <w:rsid w:val="00EE54AB"/>
    <w:rsid w:val="00EE5FC3"/>
    <w:rsid w:val="00EE6200"/>
    <w:rsid w:val="00EE759D"/>
    <w:rsid w:val="00EE75AA"/>
    <w:rsid w:val="00EF0DDD"/>
    <w:rsid w:val="00EF0DF4"/>
    <w:rsid w:val="00EF14D5"/>
    <w:rsid w:val="00EF1571"/>
    <w:rsid w:val="00EF1DA1"/>
    <w:rsid w:val="00EF1E3D"/>
    <w:rsid w:val="00EF1F6E"/>
    <w:rsid w:val="00EF20D6"/>
    <w:rsid w:val="00EF2134"/>
    <w:rsid w:val="00EF229B"/>
    <w:rsid w:val="00EF23B9"/>
    <w:rsid w:val="00EF3A68"/>
    <w:rsid w:val="00EF3B30"/>
    <w:rsid w:val="00EF3C23"/>
    <w:rsid w:val="00EF3CF3"/>
    <w:rsid w:val="00EF3EA4"/>
    <w:rsid w:val="00EF4390"/>
    <w:rsid w:val="00EF44D2"/>
    <w:rsid w:val="00EF4593"/>
    <w:rsid w:val="00EF459B"/>
    <w:rsid w:val="00EF4A0A"/>
    <w:rsid w:val="00EF4BBD"/>
    <w:rsid w:val="00EF4F29"/>
    <w:rsid w:val="00EF5488"/>
    <w:rsid w:val="00EF566F"/>
    <w:rsid w:val="00EF579B"/>
    <w:rsid w:val="00EF57DD"/>
    <w:rsid w:val="00EF5D08"/>
    <w:rsid w:val="00EF5ED3"/>
    <w:rsid w:val="00EF5F9C"/>
    <w:rsid w:val="00EF61A0"/>
    <w:rsid w:val="00EF68FF"/>
    <w:rsid w:val="00EF6960"/>
    <w:rsid w:val="00EF7197"/>
    <w:rsid w:val="00EF7EF7"/>
    <w:rsid w:val="00F00128"/>
    <w:rsid w:val="00F00938"/>
    <w:rsid w:val="00F00A6A"/>
    <w:rsid w:val="00F00C52"/>
    <w:rsid w:val="00F01110"/>
    <w:rsid w:val="00F0131B"/>
    <w:rsid w:val="00F01D7F"/>
    <w:rsid w:val="00F01FCF"/>
    <w:rsid w:val="00F02308"/>
    <w:rsid w:val="00F028BC"/>
    <w:rsid w:val="00F029CE"/>
    <w:rsid w:val="00F02D7B"/>
    <w:rsid w:val="00F03137"/>
    <w:rsid w:val="00F0323F"/>
    <w:rsid w:val="00F033B2"/>
    <w:rsid w:val="00F03408"/>
    <w:rsid w:val="00F0340B"/>
    <w:rsid w:val="00F037CB"/>
    <w:rsid w:val="00F03C43"/>
    <w:rsid w:val="00F03D4A"/>
    <w:rsid w:val="00F03EDC"/>
    <w:rsid w:val="00F0416B"/>
    <w:rsid w:val="00F04961"/>
    <w:rsid w:val="00F04A80"/>
    <w:rsid w:val="00F04E87"/>
    <w:rsid w:val="00F058D9"/>
    <w:rsid w:val="00F05C06"/>
    <w:rsid w:val="00F05E7F"/>
    <w:rsid w:val="00F060D1"/>
    <w:rsid w:val="00F0634F"/>
    <w:rsid w:val="00F069F2"/>
    <w:rsid w:val="00F06ADD"/>
    <w:rsid w:val="00F06C7B"/>
    <w:rsid w:val="00F06D42"/>
    <w:rsid w:val="00F07072"/>
    <w:rsid w:val="00F07258"/>
    <w:rsid w:val="00F076B2"/>
    <w:rsid w:val="00F078B8"/>
    <w:rsid w:val="00F07D7B"/>
    <w:rsid w:val="00F07E6D"/>
    <w:rsid w:val="00F07E94"/>
    <w:rsid w:val="00F10669"/>
    <w:rsid w:val="00F11224"/>
    <w:rsid w:val="00F113E6"/>
    <w:rsid w:val="00F11404"/>
    <w:rsid w:val="00F1164D"/>
    <w:rsid w:val="00F11656"/>
    <w:rsid w:val="00F11DA9"/>
    <w:rsid w:val="00F120AB"/>
    <w:rsid w:val="00F120B8"/>
    <w:rsid w:val="00F12480"/>
    <w:rsid w:val="00F1290A"/>
    <w:rsid w:val="00F1359D"/>
    <w:rsid w:val="00F13870"/>
    <w:rsid w:val="00F13AF5"/>
    <w:rsid w:val="00F13EF7"/>
    <w:rsid w:val="00F140B9"/>
    <w:rsid w:val="00F14713"/>
    <w:rsid w:val="00F147C0"/>
    <w:rsid w:val="00F1483F"/>
    <w:rsid w:val="00F14A84"/>
    <w:rsid w:val="00F14B74"/>
    <w:rsid w:val="00F14C3B"/>
    <w:rsid w:val="00F14CD5"/>
    <w:rsid w:val="00F14D09"/>
    <w:rsid w:val="00F14F75"/>
    <w:rsid w:val="00F15351"/>
    <w:rsid w:val="00F154F3"/>
    <w:rsid w:val="00F155BC"/>
    <w:rsid w:val="00F15792"/>
    <w:rsid w:val="00F1582E"/>
    <w:rsid w:val="00F159B0"/>
    <w:rsid w:val="00F16038"/>
    <w:rsid w:val="00F161A2"/>
    <w:rsid w:val="00F16507"/>
    <w:rsid w:val="00F16723"/>
    <w:rsid w:val="00F16CF9"/>
    <w:rsid w:val="00F16D15"/>
    <w:rsid w:val="00F16D54"/>
    <w:rsid w:val="00F20F7B"/>
    <w:rsid w:val="00F211C9"/>
    <w:rsid w:val="00F2124E"/>
    <w:rsid w:val="00F21715"/>
    <w:rsid w:val="00F21F56"/>
    <w:rsid w:val="00F22554"/>
    <w:rsid w:val="00F2264F"/>
    <w:rsid w:val="00F2270B"/>
    <w:rsid w:val="00F2331E"/>
    <w:rsid w:val="00F23423"/>
    <w:rsid w:val="00F2349A"/>
    <w:rsid w:val="00F23EA5"/>
    <w:rsid w:val="00F241AE"/>
    <w:rsid w:val="00F2427E"/>
    <w:rsid w:val="00F24CC4"/>
    <w:rsid w:val="00F25627"/>
    <w:rsid w:val="00F25921"/>
    <w:rsid w:val="00F25BDA"/>
    <w:rsid w:val="00F26315"/>
    <w:rsid w:val="00F2666F"/>
    <w:rsid w:val="00F266E8"/>
    <w:rsid w:val="00F27548"/>
    <w:rsid w:val="00F27D34"/>
    <w:rsid w:val="00F27E3D"/>
    <w:rsid w:val="00F27F60"/>
    <w:rsid w:val="00F27FBB"/>
    <w:rsid w:val="00F30557"/>
    <w:rsid w:val="00F30C65"/>
    <w:rsid w:val="00F30ED9"/>
    <w:rsid w:val="00F30FC9"/>
    <w:rsid w:val="00F313A6"/>
    <w:rsid w:val="00F315FF"/>
    <w:rsid w:val="00F317C5"/>
    <w:rsid w:val="00F31FF5"/>
    <w:rsid w:val="00F32232"/>
    <w:rsid w:val="00F32506"/>
    <w:rsid w:val="00F3252B"/>
    <w:rsid w:val="00F32807"/>
    <w:rsid w:val="00F32937"/>
    <w:rsid w:val="00F32997"/>
    <w:rsid w:val="00F32DA4"/>
    <w:rsid w:val="00F331FA"/>
    <w:rsid w:val="00F33268"/>
    <w:rsid w:val="00F336CB"/>
    <w:rsid w:val="00F33898"/>
    <w:rsid w:val="00F33A0B"/>
    <w:rsid w:val="00F33A0E"/>
    <w:rsid w:val="00F33AAA"/>
    <w:rsid w:val="00F33C4F"/>
    <w:rsid w:val="00F33F79"/>
    <w:rsid w:val="00F34C6D"/>
    <w:rsid w:val="00F35B94"/>
    <w:rsid w:val="00F3634F"/>
    <w:rsid w:val="00F3682F"/>
    <w:rsid w:val="00F36850"/>
    <w:rsid w:val="00F3695A"/>
    <w:rsid w:val="00F36B1B"/>
    <w:rsid w:val="00F37491"/>
    <w:rsid w:val="00F37856"/>
    <w:rsid w:val="00F37927"/>
    <w:rsid w:val="00F37EB5"/>
    <w:rsid w:val="00F407CF"/>
    <w:rsid w:val="00F40C0C"/>
    <w:rsid w:val="00F40DA3"/>
    <w:rsid w:val="00F410CF"/>
    <w:rsid w:val="00F4168D"/>
    <w:rsid w:val="00F417DC"/>
    <w:rsid w:val="00F417DF"/>
    <w:rsid w:val="00F41984"/>
    <w:rsid w:val="00F428A6"/>
    <w:rsid w:val="00F42D1A"/>
    <w:rsid w:val="00F42D9D"/>
    <w:rsid w:val="00F43257"/>
    <w:rsid w:val="00F43D10"/>
    <w:rsid w:val="00F43D7D"/>
    <w:rsid w:val="00F4464F"/>
    <w:rsid w:val="00F446CF"/>
    <w:rsid w:val="00F44B8B"/>
    <w:rsid w:val="00F454CD"/>
    <w:rsid w:val="00F45799"/>
    <w:rsid w:val="00F45C61"/>
    <w:rsid w:val="00F45F02"/>
    <w:rsid w:val="00F46054"/>
    <w:rsid w:val="00F466FA"/>
    <w:rsid w:val="00F46847"/>
    <w:rsid w:val="00F46B46"/>
    <w:rsid w:val="00F46FE4"/>
    <w:rsid w:val="00F4764E"/>
    <w:rsid w:val="00F47BB3"/>
    <w:rsid w:val="00F50050"/>
    <w:rsid w:val="00F502B9"/>
    <w:rsid w:val="00F50BF2"/>
    <w:rsid w:val="00F50DBD"/>
    <w:rsid w:val="00F510EB"/>
    <w:rsid w:val="00F5115B"/>
    <w:rsid w:val="00F512DD"/>
    <w:rsid w:val="00F515F4"/>
    <w:rsid w:val="00F5179D"/>
    <w:rsid w:val="00F52335"/>
    <w:rsid w:val="00F523EB"/>
    <w:rsid w:val="00F52434"/>
    <w:rsid w:val="00F525B5"/>
    <w:rsid w:val="00F527FC"/>
    <w:rsid w:val="00F5311A"/>
    <w:rsid w:val="00F53735"/>
    <w:rsid w:val="00F53B0E"/>
    <w:rsid w:val="00F53E6A"/>
    <w:rsid w:val="00F54111"/>
    <w:rsid w:val="00F54336"/>
    <w:rsid w:val="00F5463B"/>
    <w:rsid w:val="00F553AD"/>
    <w:rsid w:val="00F55446"/>
    <w:rsid w:val="00F5597C"/>
    <w:rsid w:val="00F56B4D"/>
    <w:rsid w:val="00F56BC9"/>
    <w:rsid w:val="00F56CE1"/>
    <w:rsid w:val="00F56D1F"/>
    <w:rsid w:val="00F56DB5"/>
    <w:rsid w:val="00F56F1E"/>
    <w:rsid w:val="00F570E0"/>
    <w:rsid w:val="00F575DB"/>
    <w:rsid w:val="00F578B9"/>
    <w:rsid w:val="00F57DB6"/>
    <w:rsid w:val="00F60128"/>
    <w:rsid w:val="00F601D7"/>
    <w:rsid w:val="00F60251"/>
    <w:rsid w:val="00F606E2"/>
    <w:rsid w:val="00F6077B"/>
    <w:rsid w:val="00F60D18"/>
    <w:rsid w:val="00F60E53"/>
    <w:rsid w:val="00F60FF9"/>
    <w:rsid w:val="00F61C12"/>
    <w:rsid w:val="00F61F35"/>
    <w:rsid w:val="00F62001"/>
    <w:rsid w:val="00F62AAD"/>
    <w:rsid w:val="00F62EED"/>
    <w:rsid w:val="00F6310B"/>
    <w:rsid w:val="00F632EB"/>
    <w:rsid w:val="00F639B7"/>
    <w:rsid w:val="00F639C9"/>
    <w:rsid w:val="00F63D31"/>
    <w:rsid w:val="00F63E14"/>
    <w:rsid w:val="00F63EC9"/>
    <w:rsid w:val="00F64119"/>
    <w:rsid w:val="00F64650"/>
    <w:rsid w:val="00F646BC"/>
    <w:rsid w:val="00F64BD2"/>
    <w:rsid w:val="00F65980"/>
    <w:rsid w:val="00F66093"/>
    <w:rsid w:val="00F6682A"/>
    <w:rsid w:val="00F66F98"/>
    <w:rsid w:val="00F66F9E"/>
    <w:rsid w:val="00F6721A"/>
    <w:rsid w:val="00F67278"/>
    <w:rsid w:val="00F67806"/>
    <w:rsid w:val="00F679D8"/>
    <w:rsid w:val="00F67BFC"/>
    <w:rsid w:val="00F67FE2"/>
    <w:rsid w:val="00F700D7"/>
    <w:rsid w:val="00F7013C"/>
    <w:rsid w:val="00F70513"/>
    <w:rsid w:val="00F706A1"/>
    <w:rsid w:val="00F706A9"/>
    <w:rsid w:val="00F7077E"/>
    <w:rsid w:val="00F70FE6"/>
    <w:rsid w:val="00F718DC"/>
    <w:rsid w:val="00F7196A"/>
    <w:rsid w:val="00F71C96"/>
    <w:rsid w:val="00F72811"/>
    <w:rsid w:val="00F7283D"/>
    <w:rsid w:val="00F7315F"/>
    <w:rsid w:val="00F732E4"/>
    <w:rsid w:val="00F733FD"/>
    <w:rsid w:val="00F734D7"/>
    <w:rsid w:val="00F735ED"/>
    <w:rsid w:val="00F73AD3"/>
    <w:rsid w:val="00F74270"/>
    <w:rsid w:val="00F74D49"/>
    <w:rsid w:val="00F75A87"/>
    <w:rsid w:val="00F75C1E"/>
    <w:rsid w:val="00F75C82"/>
    <w:rsid w:val="00F75CDA"/>
    <w:rsid w:val="00F75EDF"/>
    <w:rsid w:val="00F76011"/>
    <w:rsid w:val="00F767E8"/>
    <w:rsid w:val="00F76E22"/>
    <w:rsid w:val="00F76F03"/>
    <w:rsid w:val="00F76F04"/>
    <w:rsid w:val="00F77172"/>
    <w:rsid w:val="00F77435"/>
    <w:rsid w:val="00F7746C"/>
    <w:rsid w:val="00F77685"/>
    <w:rsid w:val="00F8042D"/>
    <w:rsid w:val="00F80704"/>
    <w:rsid w:val="00F8089E"/>
    <w:rsid w:val="00F81326"/>
    <w:rsid w:val="00F813AA"/>
    <w:rsid w:val="00F81433"/>
    <w:rsid w:val="00F81753"/>
    <w:rsid w:val="00F82434"/>
    <w:rsid w:val="00F82527"/>
    <w:rsid w:val="00F826BD"/>
    <w:rsid w:val="00F826F8"/>
    <w:rsid w:val="00F82819"/>
    <w:rsid w:val="00F830B1"/>
    <w:rsid w:val="00F833D6"/>
    <w:rsid w:val="00F8392C"/>
    <w:rsid w:val="00F839EE"/>
    <w:rsid w:val="00F83EB7"/>
    <w:rsid w:val="00F8447F"/>
    <w:rsid w:val="00F84563"/>
    <w:rsid w:val="00F849CD"/>
    <w:rsid w:val="00F850B9"/>
    <w:rsid w:val="00F863D3"/>
    <w:rsid w:val="00F86780"/>
    <w:rsid w:val="00F86911"/>
    <w:rsid w:val="00F87181"/>
    <w:rsid w:val="00F87679"/>
    <w:rsid w:val="00F905D1"/>
    <w:rsid w:val="00F90619"/>
    <w:rsid w:val="00F910AB"/>
    <w:rsid w:val="00F913D0"/>
    <w:rsid w:val="00F9163E"/>
    <w:rsid w:val="00F919AE"/>
    <w:rsid w:val="00F91ADD"/>
    <w:rsid w:val="00F922F7"/>
    <w:rsid w:val="00F92FB0"/>
    <w:rsid w:val="00F932BC"/>
    <w:rsid w:val="00F93400"/>
    <w:rsid w:val="00F938B2"/>
    <w:rsid w:val="00F93A85"/>
    <w:rsid w:val="00F93AD9"/>
    <w:rsid w:val="00F93D56"/>
    <w:rsid w:val="00F93D88"/>
    <w:rsid w:val="00F93DE7"/>
    <w:rsid w:val="00F94428"/>
    <w:rsid w:val="00F95389"/>
    <w:rsid w:val="00F95762"/>
    <w:rsid w:val="00F957E4"/>
    <w:rsid w:val="00F95B83"/>
    <w:rsid w:val="00F95EC8"/>
    <w:rsid w:val="00F95F85"/>
    <w:rsid w:val="00F96140"/>
    <w:rsid w:val="00F96215"/>
    <w:rsid w:val="00F96553"/>
    <w:rsid w:val="00F966F1"/>
    <w:rsid w:val="00F96711"/>
    <w:rsid w:val="00F96A00"/>
    <w:rsid w:val="00F96A28"/>
    <w:rsid w:val="00F96E8A"/>
    <w:rsid w:val="00F97734"/>
    <w:rsid w:val="00F978E6"/>
    <w:rsid w:val="00F97DE6"/>
    <w:rsid w:val="00FA0559"/>
    <w:rsid w:val="00FA0AFE"/>
    <w:rsid w:val="00FA0BB5"/>
    <w:rsid w:val="00FA0F22"/>
    <w:rsid w:val="00FA13CD"/>
    <w:rsid w:val="00FA142C"/>
    <w:rsid w:val="00FA14D9"/>
    <w:rsid w:val="00FA17CF"/>
    <w:rsid w:val="00FA1876"/>
    <w:rsid w:val="00FA2045"/>
    <w:rsid w:val="00FA20A7"/>
    <w:rsid w:val="00FA2287"/>
    <w:rsid w:val="00FA2345"/>
    <w:rsid w:val="00FA23CE"/>
    <w:rsid w:val="00FA2F19"/>
    <w:rsid w:val="00FA3072"/>
    <w:rsid w:val="00FA3293"/>
    <w:rsid w:val="00FA391F"/>
    <w:rsid w:val="00FA3944"/>
    <w:rsid w:val="00FA3AAE"/>
    <w:rsid w:val="00FA3D10"/>
    <w:rsid w:val="00FA6237"/>
    <w:rsid w:val="00FA6275"/>
    <w:rsid w:val="00FA6435"/>
    <w:rsid w:val="00FA6DA9"/>
    <w:rsid w:val="00FA7149"/>
    <w:rsid w:val="00FA71E2"/>
    <w:rsid w:val="00FA7391"/>
    <w:rsid w:val="00FA758D"/>
    <w:rsid w:val="00FA776F"/>
    <w:rsid w:val="00FA7806"/>
    <w:rsid w:val="00FA7B1D"/>
    <w:rsid w:val="00FA7BC0"/>
    <w:rsid w:val="00FA7E76"/>
    <w:rsid w:val="00FB0130"/>
    <w:rsid w:val="00FB01E2"/>
    <w:rsid w:val="00FB03EE"/>
    <w:rsid w:val="00FB06B0"/>
    <w:rsid w:val="00FB0765"/>
    <w:rsid w:val="00FB07B3"/>
    <w:rsid w:val="00FB0A6F"/>
    <w:rsid w:val="00FB0ACE"/>
    <w:rsid w:val="00FB0F9C"/>
    <w:rsid w:val="00FB1312"/>
    <w:rsid w:val="00FB1759"/>
    <w:rsid w:val="00FB17C2"/>
    <w:rsid w:val="00FB1936"/>
    <w:rsid w:val="00FB1A3C"/>
    <w:rsid w:val="00FB1A56"/>
    <w:rsid w:val="00FB1F40"/>
    <w:rsid w:val="00FB2426"/>
    <w:rsid w:val="00FB242A"/>
    <w:rsid w:val="00FB2485"/>
    <w:rsid w:val="00FB2771"/>
    <w:rsid w:val="00FB2B85"/>
    <w:rsid w:val="00FB2BC2"/>
    <w:rsid w:val="00FB2DA4"/>
    <w:rsid w:val="00FB2FEF"/>
    <w:rsid w:val="00FB3054"/>
    <w:rsid w:val="00FB32A1"/>
    <w:rsid w:val="00FB3A0B"/>
    <w:rsid w:val="00FB3A88"/>
    <w:rsid w:val="00FB3EC8"/>
    <w:rsid w:val="00FB4714"/>
    <w:rsid w:val="00FB5236"/>
    <w:rsid w:val="00FB5493"/>
    <w:rsid w:val="00FB56A0"/>
    <w:rsid w:val="00FB5B64"/>
    <w:rsid w:val="00FB5EA6"/>
    <w:rsid w:val="00FB6295"/>
    <w:rsid w:val="00FB7569"/>
    <w:rsid w:val="00FB78E5"/>
    <w:rsid w:val="00FB7BCD"/>
    <w:rsid w:val="00FB7FB5"/>
    <w:rsid w:val="00FC00C9"/>
    <w:rsid w:val="00FC0957"/>
    <w:rsid w:val="00FC0BE3"/>
    <w:rsid w:val="00FC0C97"/>
    <w:rsid w:val="00FC12D6"/>
    <w:rsid w:val="00FC14C9"/>
    <w:rsid w:val="00FC1A0F"/>
    <w:rsid w:val="00FC1A87"/>
    <w:rsid w:val="00FC1F99"/>
    <w:rsid w:val="00FC2090"/>
    <w:rsid w:val="00FC2C3A"/>
    <w:rsid w:val="00FC3084"/>
    <w:rsid w:val="00FC31C9"/>
    <w:rsid w:val="00FC34D1"/>
    <w:rsid w:val="00FC35BE"/>
    <w:rsid w:val="00FC3B27"/>
    <w:rsid w:val="00FC3EBC"/>
    <w:rsid w:val="00FC405B"/>
    <w:rsid w:val="00FC4195"/>
    <w:rsid w:val="00FC41A2"/>
    <w:rsid w:val="00FC46DA"/>
    <w:rsid w:val="00FC4A85"/>
    <w:rsid w:val="00FC5296"/>
    <w:rsid w:val="00FC5504"/>
    <w:rsid w:val="00FC5C7B"/>
    <w:rsid w:val="00FC5CE3"/>
    <w:rsid w:val="00FC5E2A"/>
    <w:rsid w:val="00FC5FF2"/>
    <w:rsid w:val="00FC61E5"/>
    <w:rsid w:val="00FC66E2"/>
    <w:rsid w:val="00FC6C25"/>
    <w:rsid w:val="00FC6D38"/>
    <w:rsid w:val="00FC6F60"/>
    <w:rsid w:val="00FC7321"/>
    <w:rsid w:val="00FC7375"/>
    <w:rsid w:val="00FC7523"/>
    <w:rsid w:val="00FC76D9"/>
    <w:rsid w:val="00FC7935"/>
    <w:rsid w:val="00FC7E29"/>
    <w:rsid w:val="00FC7F2F"/>
    <w:rsid w:val="00FD05E0"/>
    <w:rsid w:val="00FD0AAF"/>
    <w:rsid w:val="00FD0F03"/>
    <w:rsid w:val="00FD1274"/>
    <w:rsid w:val="00FD1B9F"/>
    <w:rsid w:val="00FD208F"/>
    <w:rsid w:val="00FD29B6"/>
    <w:rsid w:val="00FD2A0B"/>
    <w:rsid w:val="00FD2B0D"/>
    <w:rsid w:val="00FD2CE7"/>
    <w:rsid w:val="00FD2FC3"/>
    <w:rsid w:val="00FD33DB"/>
    <w:rsid w:val="00FD35FD"/>
    <w:rsid w:val="00FD3BCB"/>
    <w:rsid w:val="00FD3C5A"/>
    <w:rsid w:val="00FD3CB8"/>
    <w:rsid w:val="00FD3F27"/>
    <w:rsid w:val="00FD45B4"/>
    <w:rsid w:val="00FD4810"/>
    <w:rsid w:val="00FD49F7"/>
    <w:rsid w:val="00FD55CD"/>
    <w:rsid w:val="00FD5688"/>
    <w:rsid w:val="00FD5995"/>
    <w:rsid w:val="00FD5C5B"/>
    <w:rsid w:val="00FD5F06"/>
    <w:rsid w:val="00FD5FF5"/>
    <w:rsid w:val="00FD618E"/>
    <w:rsid w:val="00FD6419"/>
    <w:rsid w:val="00FD6E7E"/>
    <w:rsid w:val="00FD6F54"/>
    <w:rsid w:val="00FD6FF8"/>
    <w:rsid w:val="00FD7FC9"/>
    <w:rsid w:val="00FE02AA"/>
    <w:rsid w:val="00FE13C8"/>
    <w:rsid w:val="00FE2353"/>
    <w:rsid w:val="00FE2777"/>
    <w:rsid w:val="00FE2B79"/>
    <w:rsid w:val="00FE2E89"/>
    <w:rsid w:val="00FE2FAD"/>
    <w:rsid w:val="00FE30CF"/>
    <w:rsid w:val="00FE366B"/>
    <w:rsid w:val="00FE370D"/>
    <w:rsid w:val="00FE38D7"/>
    <w:rsid w:val="00FE38F5"/>
    <w:rsid w:val="00FE3D71"/>
    <w:rsid w:val="00FE489B"/>
    <w:rsid w:val="00FE4EBA"/>
    <w:rsid w:val="00FE53C0"/>
    <w:rsid w:val="00FE58DB"/>
    <w:rsid w:val="00FE5C2C"/>
    <w:rsid w:val="00FE5D0F"/>
    <w:rsid w:val="00FE60A9"/>
    <w:rsid w:val="00FE63E3"/>
    <w:rsid w:val="00FE6565"/>
    <w:rsid w:val="00FE66C8"/>
    <w:rsid w:val="00FE691C"/>
    <w:rsid w:val="00FE692D"/>
    <w:rsid w:val="00FE6A29"/>
    <w:rsid w:val="00FE6C1B"/>
    <w:rsid w:val="00FE6EB7"/>
    <w:rsid w:val="00FE6FCF"/>
    <w:rsid w:val="00FE70F6"/>
    <w:rsid w:val="00FE7309"/>
    <w:rsid w:val="00FE7826"/>
    <w:rsid w:val="00FF0152"/>
    <w:rsid w:val="00FF0432"/>
    <w:rsid w:val="00FF0456"/>
    <w:rsid w:val="00FF074E"/>
    <w:rsid w:val="00FF077F"/>
    <w:rsid w:val="00FF07BE"/>
    <w:rsid w:val="00FF0BD1"/>
    <w:rsid w:val="00FF0ED7"/>
    <w:rsid w:val="00FF1457"/>
    <w:rsid w:val="00FF156A"/>
    <w:rsid w:val="00FF1A2C"/>
    <w:rsid w:val="00FF1B84"/>
    <w:rsid w:val="00FF206C"/>
    <w:rsid w:val="00FF2301"/>
    <w:rsid w:val="00FF361E"/>
    <w:rsid w:val="00FF3674"/>
    <w:rsid w:val="00FF3797"/>
    <w:rsid w:val="00FF3B9A"/>
    <w:rsid w:val="00FF447A"/>
    <w:rsid w:val="00FF4AE7"/>
    <w:rsid w:val="00FF54AE"/>
    <w:rsid w:val="00FF59BA"/>
    <w:rsid w:val="00FF5CD8"/>
    <w:rsid w:val="00FF5CF8"/>
    <w:rsid w:val="00FF5CF9"/>
    <w:rsid w:val="00FF6023"/>
    <w:rsid w:val="00FF6712"/>
    <w:rsid w:val="00FF6FA5"/>
    <w:rsid w:val="00FF7188"/>
    <w:rsid w:val="00FF73BF"/>
    <w:rsid w:val="00FF74E0"/>
    <w:rsid w:val="00FF757D"/>
    <w:rsid w:val="00FF7B99"/>
    <w:rsid w:val="00FF7F90"/>
    <w:rsid w:val="010F251D"/>
    <w:rsid w:val="0114F686"/>
    <w:rsid w:val="0127C816"/>
    <w:rsid w:val="013C5ACF"/>
    <w:rsid w:val="014E7986"/>
    <w:rsid w:val="0163F97D"/>
    <w:rsid w:val="0167E9CF"/>
    <w:rsid w:val="0199CAFE"/>
    <w:rsid w:val="019D4B94"/>
    <w:rsid w:val="01AE850F"/>
    <w:rsid w:val="01B61FE7"/>
    <w:rsid w:val="01B9FF77"/>
    <w:rsid w:val="01C27D68"/>
    <w:rsid w:val="01D210AD"/>
    <w:rsid w:val="01D3E311"/>
    <w:rsid w:val="01D4BFCC"/>
    <w:rsid w:val="01F10C97"/>
    <w:rsid w:val="020ECAEA"/>
    <w:rsid w:val="0210700B"/>
    <w:rsid w:val="0262A4AF"/>
    <w:rsid w:val="026570C7"/>
    <w:rsid w:val="026DD489"/>
    <w:rsid w:val="02701074"/>
    <w:rsid w:val="028D55F5"/>
    <w:rsid w:val="02ACD1E3"/>
    <w:rsid w:val="02BAD23F"/>
    <w:rsid w:val="02BB932C"/>
    <w:rsid w:val="02BF4CEE"/>
    <w:rsid w:val="02C56782"/>
    <w:rsid w:val="02F79A16"/>
    <w:rsid w:val="02FF1397"/>
    <w:rsid w:val="03029D15"/>
    <w:rsid w:val="03162585"/>
    <w:rsid w:val="0319604C"/>
    <w:rsid w:val="031B3762"/>
    <w:rsid w:val="032F81C8"/>
    <w:rsid w:val="033667DA"/>
    <w:rsid w:val="03522442"/>
    <w:rsid w:val="03608FA1"/>
    <w:rsid w:val="0365E19C"/>
    <w:rsid w:val="037BDD82"/>
    <w:rsid w:val="03979AA9"/>
    <w:rsid w:val="03BBED8E"/>
    <w:rsid w:val="03CD3D5F"/>
    <w:rsid w:val="03EE3883"/>
    <w:rsid w:val="04004731"/>
    <w:rsid w:val="0402B62D"/>
    <w:rsid w:val="0405EBD3"/>
    <w:rsid w:val="043B63B2"/>
    <w:rsid w:val="043C04B4"/>
    <w:rsid w:val="0459CAFE"/>
    <w:rsid w:val="0483AD2B"/>
    <w:rsid w:val="048CE97C"/>
    <w:rsid w:val="049B9FA6"/>
    <w:rsid w:val="04A1C6C3"/>
    <w:rsid w:val="04B28893"/>
    <w:rsid w:val="04CFC7F6"/>
    <w:rsid w:val="04DF2921"/>
    <w:rsid w:val="05038C8E"/>
    <w:rsid w:val="050602EC"/>
    <w:rsid w:val="051C4290"/>
    <w:rsid w:val="052A5483"/>
    <w:rsid w:val="0535DB81"/>
    <w:rsid w:val="05548359"/>
    <w:rsid w:val="0564C8AB"/>
    <w:rsid w:val="057E8325"/>
    <w:rsid w:val="059686A6"/>
    <w:rsid w:val="059988D3"/>
    <w:rsid w:val="05C050AC"/>
    <w:rsid w:val="05D2D982"/>
    <w:rsid w:val="05EAE17C"/>
    <w:rsid w:val="0604FFA4"/>
    <w:rsid w:val="060C47A0"/>
    <w:rsid w:val="064CB11D"/>
    <w:rsid w:val="066230B3"/>
    <w:rsid w:val="0668F786"/>
    <w:rsid w:val="068674E0"/>
    <w:rsid w:val="0687FBA5"/>
    <w:rsid w:val="06906190"/>
    <w:rsid w:val="069B649B"/>
    <w:rsid w:val="06B8F185"/>
    <w:rsid w:val="06C8199D"/>
    <w:rsid w:val="06D37E28"/>
    <w:rsid w:val="06E479F3"/>
    <w:rsid w:val="06F3DB5D"/>
    <w:rsid w:val="071E8B0C"/>
    <w:rsid w:val="075CFFA6"/>
    <w:rsid w:val="076B9D90"/>
    <w:rsid w:val="07703E36"/>
    <w:rsid w:val="0775D689"/>
    <w:rsid w:val="079D8F65"/>
    <w:rsid w:val="07F0A51F"/>
    <w:rsid w:val="07F0DD2E"/>
    <w:rsid w:val="07FCDD7D"/>
    <w:rsid w:val="07FD7897"/>
    <w:rsid w:val="0817CEDA"/>
    <w:rsid w:val="081C6D0F"/>
    <w:rsid w:val="081F4507"/>
    <w:rsid w:val="08444560"/>
    <w:rsid w:val="085B67F3"/>
    <w:rsid w:val="088DB2BE"/>
    <w:rsid w:val="0895F8F8"/>
    <w:rsid w:val="08BFC0DD"/>
    <w:rsid w:val="08C5D3FC"/>
    <w:rsid w:val="08F24F2F"/>
    <w:rsid w:val="08FE99C5"/>
    <w:rsid w:val="090C5BBF"/>
    <w:rsid w:val="092AD6B8"/>
    <w:rsid w:val="093792E7"/>
    <w:rsid w:val="096AB0FF"/>
    <w:rsid w:val="096ABB51"/>
    <w:rsid w:val="096BB6A8"/>
    <w:rsid w:val="097169F3"/>
    <w:rsid w:val="097C88E3"/>
    <w:rsid w:val="097D4CBB"/>
    <w:rsid w:val="0984CBFB"/>
    <w:rsid w:val="099948F8"/>
    <w:rsid w:val="09BE6C9E"/>
    <w:rsid w:val="09D1DCA8"/>
    <w:rsid w:val="09D2EB86"/>
    <w:rsid w:val="09DD5CB2"/>
    <w:rsid w:val="0A0CAC4D"/>
    <w:rsid w:val="0A128777"/>
    <w:rsid w:val="0A20E8C4"/>
    <w:rsid w:val="0A254932"/>
    <w:rsid w:val="0A27F47C"/>
    <w:rsid w:val="0A367FA7"/>
    <w:rsid w:val="0A42D5B9"/>
    <w:rsid w:val="0A5FA4DD"/>
    <w:rsid w:val="0A6A4973"/>
    <w:rsid w:val="0A774A77"/>
    <w:rsid w:val="0A93C670"/>
    <w:rsid w:val="0AB881D4"/>
    <w:rsid w:val="0AC7B70B"/>
    <w:rsid w:val="0ACB41DB"/>
    <w:rsid w:val="0ACD5C7E"/>
    <w:rsid w:val="0ACDF334"/>
    <w:rsid w:val="0AEBF2E4"/>
    <w:rsid w:val="0AEDE901"/>
    <w:rsid w:val="0AF0F030"/>
    <w:rsid w:val="0B09EBE5"/>
    <w:rsid w:val="0B110847"/>
    <w:rsid w:val="0B1DAF19"/>
    <w:rsid w:val="0B3C045C"/>
    <w:rsid w:val="0BA6BC37"/>
    <w:rsid w:val="0BC70BF9"/>
    <w:rsid w:val="0BD14916"/>
    <w:rsid w:val="0BD776AF"/>
    <w:rsid w:val="0BDB88C5"/>
    <w:rsid w:val="0BDD9F5E"/>
    <w:rsid w:val="0BE485DB"/>
    <w:rsid w:val="0C2501F7"/>
    <w:rsid w:val="0C345639"/>
    <w:rsid w:val="0C613889"/>
    <w:rsid w:val="0C616D90"/>
    <w:rsid w:val="0C650088"/>
    <w:rsid w:val="0C68EA99"/>
    <w:rsid w:val="0CD39C8D"/>
    <w:rsid w:val="0CD7BB41"/>
    <w:rsid w:val="0CEE1F62"/>
    <w:rsid w:val="0CF525F0"/>
    <w:rsid w:val="0CF8E9FC"/>
    <w:rsid w:val="0D3B3B9D"/>
    <w:rsid w:val="0D4181E1"/>
    <w:rsid w:val="0D4CC320"/>
    <w:rsid w:val="0D4D0E46"/>
    <w:rsid w:val="0D5044B6"/>
    <w:rsid w:val="0D5525B6"/>
    <w:rsid w:val="0D5E1D11"/>
    <w:rsid w:val="0D619399"/>
    <w:rsid w:val="0D620831"/>
    <w:rsid w:val="0D65C09E"/>
    <w:rsid w:val="0D82E908"/>
    <w:rsid w:val="0D891269"/>
    <w:rsid w:val="0D8BC875"/>
    <w:rsid w:val="0DC14790"/>
    <w:rsid w:val="0DC333EC"/>
    <w:rsid w:val="0DC8ACB5"/>
    <w:rsid w:val="0E1998EB"/>
    <w:rsid w:val="0E26A20E"/>
    <w:rsid w:val="0E3B9CE0"/>
    <w:rsid w:val="0E4AE38B"/>
    <w:rsid w:val="0E5E6FBD"/>
    <w:rsid w:val="0E710416"/>
    <w:rsid w:val="0E8C65B7"/>
    <w:rsid w:val="0E912501"/>
    <w:rsid w:val="0E962527"/>
    <w:rsid w:val="0ECF17DD"/>
    <w:rsid w:val="0EE5CA12"/>
    <w:rsid w:val="0F104170"/>
    <w:rsid w:val="0F175AA2"/>
    <w:rsid w:val="0F18E9E9"/>
    <w:rsid w:val="0F1FFD2F"/>
    <w:rsid w:val="0F318564"/>
    <w:rsid w:val="0F3A225D"/>
    <w:rsid w:val="0F44EA7A"/>
    <w:rsid w:val="0F50D0A8"/>
    <w:rsid w:val="0F5D3497"/>
    <w:rsid w:val="0F64919A"/>
    <w:rsid w:val="0F65AE38"/>
    <w:rsid w:val="0F665A32"/>
    <w:rsid w:val="0F6850E8"/>
    <w:rsid w:val="0F746F8C"/>
    <w:rsid w:val="0F74F534"/>
    <w:rsid w:val="0F7AC88E"/>
    <w:rsid w:val="0F98015A"/>
    <w:rsid w:val="0F9EB738"/>
    <w:rsid w:val="0F9EB78C"/>
    <w:rsid w:val="0FAB80EC"/>
    <w:rsid w:val="0FB02B7B"/>
    <w:rsid w:val="0FC6C512"/>
    <w:rsid w:val="0FDCA538"/>
    <w:rsid w:val="0FEEB564"/>
    <w:rsid w:val="0FF430A9"/>
    <w:rsid w:val="0FFE5075"/>
    <w:rsid w:val="1014D1FD"/>
    <w:rsid w:val="101EEF1A"/>
    <w:rsid w:val="1027421A"/>
    <w:rsid w:val="102D926D"/>
    <w:rsid w:val="10357FDE"/>
    <w:rsid w:val="1047E85D"/>
    <w:rsid w:val="10657527"/>
    <w:rsid w:val="1066F81C"/>
    <w:rsid w:val="106F8D73"/>
    <w:rsid w:val="107A7750"/>
    <w:rsid w:val="1089B867"/>
    <w:rsid w:val="10D60345"/>
    <w:rsid w:val="10E321B2"/>
    <w:rsid w:val="10E38E52"/>
    <w:rsid w:val="10E648C5"/>
    <w:rsid w:val="10F802E4"/>
    <w:rsid w:val="10FAEE2D"/>
    <w:rsid w:val="110BF529"/>
    <w:rsid w:val="110C73EB"/>
    <w:rsid w:val="110FC4AB"/>
    <w:rsid w:val="1127FF70"/>
    <w:rsid w:val="11529108"/>
    <w:rsid w:val="115BCAB9"/>
    <w:rsid w:val="11754C29"/>
    <w:rsid w:val="1176B583"/>
    <w:rsid w:val="117AE21E"/>
    <w:rsid w:val="1182CCB0"/>
    <w:rsid w:val="11C93818"/>
    <w:rsid w:val="11F7858B"/>
    <w:rsid w:val="12140BA4"/>
    <w:rsid w:val="1231BF92"/>
    <w:rsid w:val="123F251C"/>
    <w:rsid w:val="12405DF4"/>
    <w:rsid w:val="127AE0FE"/>
    <w:rsid w:val="127E7E08"/>
    <w:rsid w:val="128C8279"/>
    <w:rsid w:val="12907FF4"/>
    <w:rsid w:val="129E3270"/>
    <w:rsid w:val="12A1F796"/>
    <w:rsid w:val="12ACA37D"/>
    <w:rsid w:val="12AF5366"/>
    <w:rsid w:val="12CFA186"/>
    <w:rsid w:val="12F3AD56"/>
    <w:rsid w:val="1308C1F7"/>
    <w:rsid w:val="1323E63F"/>
    <w:rsid w:val="1328D75D"/>
    <w:rsid w:val="1328FE2D"/>
    <w:rsid w:val="1345874C"/>
    <w:rsid w:val="135A3A9B"/>
    <w:rsid w:val="1360C3CF"/>
    <w:rsid w:val="1377DF78"/>
    <w:rsid w:val="1377E398"/>
    <w:rsid w:val="137CDE5E"/>
    <w:rsid w:val="137E11A3"/>
    <w:rsid w:val="138071A5"/>
    <w:rsid w:val="139E0EE7"/>
    <w:rsid w:val="13B6FAC1"/>
    <w:rsid w:val="13C1F7EE"/>
    <w:rsid w:val="13C65FC7"/>
    <w:rsid w:val="13DB9DB0"/>
    <w:rsid w:val="13F08D47"/>
    <w:rsid w:val="13F70824"/>
    <w:rsid w:val="140A6DA6"/>
    <w:rsid w:val="14194A16"/>
    <w:rsid w:val="142D53D2"/>
    <w:rsid w:val="142F0035"/>
    <w:rsid w:val="1439592D"/>
    <w:rsid w:val="145EBC4A"/>
    <w:rsid w:val="1486847C"/>
    <w:rsid w:val="148CD1B8"/>
    <w:rsid w:val="148D1C5C"/>
    <w:rsid w:val="148D80AA"/>
    <w:rsid w:val="1496903F"/>
    <w:rsid w:val="1499EECC"/>
    <w:rsid w:val="14A869CF"/>
    <w:rsid w:val="14B1BDE3"/>
    <w:rsid w:val="14C1D95F"/>
    <w:rsid w:val="14C299B5"/>
    <w:rsid w:val="14C85145"/>
    <w:rsid w:val="14CF087D"/>
    <w:rsid w:val="14DDC9C7"/>
    <w:rsid w:val="14EB2856"/>
    <w:rsid w:val="14F95E7B"/>
    <w:rsid w:val="1509F32F"/>
    <w:rsid w:val="1528AD5B"/>
    <w:rsid w:val="1528EEC9"/>
    <w:rsid w:val="153AE8CB"/>
    <w:rsid w:val="1555883D"/>
    <w:rsid w:val="155B5F9F"/>
    <w:rsid w:val="1568B712"/>
    <w:rsid w:val="156A5CDA"/>
    <w:rsid w:val="1573F6E0"/>
    <w:rsid w:val="1577EB41"/>
    <w:rsid w:val="158B5B01"/>
    <w:rsid w:val="1590B161"/>
    <w:rsid w:val="159ABA68"/>
    <w:rsid w:val="15A4E2E6"/>
    <w:rsid w:val="15B0F6AE"/>
    <w:rsid w:val="15B20998"/>
    <w:rsid w:val="15B7CB20"/>
    <w:rsid w:val="15DA4741"/>
    <w:rsid w:val="15DFF5C7"/>
    <w:rsid w:val="15E38F91"/>
    <w:rsid w:val="15F853B3"/>
    <w:rsid w:val="162141B2"/>
    <w:rsid w:val="16231074"/>
    <w:rsid w:val="16277C3B"/>
    <w:rsid w:val="164E4160"/>
    <w:rsid w:val="1652C757"/>
    <w:rsid w:val="1652F7E3"/>
    <w:rsid w:val="1653E961"/>
    <w:rsid w:val="1655C763"/>
    <w:rsid w:val="1687EC62"/>
    <w:rsid w:val="1691A562"/>
    <w:rsid w:val="17169804"/>
    <w:rsid w:val="17358CDF"/>
    <w:rsid w:val="173CDB44"/>
    <w:rsid w:val="17539968"/>
    <w:rsid w:val="1766A021"/>
    <w:rsid w:val="17780EFC"/>
    <w:rsid w:val="177AC6FA"/>
    <w:rsid w:val="17846444"/>
    <w:rsid w:val="17897054"/>
    <w:rsid w:val="179D62C9"/>
    <w:rsid w:val="179DA26E"/>
    <w:rsid w:val="17A39BD4"/>
    <w:rsid w:val="17BA40C9"/>
    <w:rsid w:val="17D5C70B"/>
    <w:rsid w:val="180FD228"/>
    <w:rsid w:val="182EC157"/>
    <w:rsid w:val="1842DA35"/>
    <w:rsid w:val="18582FAB"/>
    <w:rsid w:val="186B0004"/>
    <w:rsid w:val="1879EBB7"/>
    <w:rsid w:val="187FF960"/>
    <w:rsid w:val="18958350"/>
    <w:rsid w:val="18975841"/>
    <w:rsid w:val="18D5D4A6"/>
    <w:rsid w:val="18F82ACA"/>
    <w:rsid w:val="18F853D0"/>
    <w:rsid w:val="18FAC4B7"/>
    <w:rsid w:val="19027082"/>
    <w:rsid w:val="19195BDC"/>
    <w:rsid w:val="19327D70"/>
    <w:rsid w:val="1958C794"/>
    <w:rsid w:val="1960F821"/>
    <w:rsid w:val="196B0D34"/>
    <w:rsid w:val="19892A9F"/>
    <w:rsid w:val="19B1E751"/>
    <w:rsid w:val="19B21B23"/>
    <w:rsid w:val="19B99F31"/>
    <w:rsid w:val="19E4DD3A"/>
    <w:rsid w:val="1A0B310F"/>
    <w:rsid w:val="1A13E977"/>
    <w:rsid w:val="1A220C7F"/>
    <w:rsid w:val="1A316CA9"/>
    <w:rsid w:val="1A352A52"/>
    <w:rsid w:val="1A35A6EC"/>
    <w:rsid w:val="1A7901F8"/>
    <w:rsid w:val="1A7E259C"/>
    <w:rsid w:val="1A8A8A95"/>
    <w:rsid w:val="1AA43DA1"/>
    <w:rsid w:val="1AAB475A"/>
    <w:rsid w:val="1ADA5B0D"/>
    <w:rsid w:val="1ADE35A7"/>
    <w:rsid w:val="1AFBD83B"/>
    <w:rsid w:val="1B02017A"/>
    <w:rsid w:val="1B07FF95"/>
    <w:rsid w:val="1B1A831A"/>
    <w:rsid w:val="1B2A2D96"/>
    <w:rsid w:val="1B3DC0C2"/>
    <w:rsid w:val="1B3F94F0"/>
    <w:rsid w:val="1B5A5E2C"/>
    <w:rsid w:val="1B765503"/>
    <w:rsid w:val="1B8ECA2B"/>
    <w:rsid w:val="1BA9A213"/>
    <w:rsid w:val="1BBB1B5A"/>
    <w:rsid w:val="1BBCB73C"/>
    <w:rsid w:val="1BD1295D"/>
    <w:rsid w:val="1BDD300D"/>
    <w:rsid w:val="1BE1F638"/>
    <w:rsid w:val="1BEE3CAD"/>
    <w:rsid w:val="1BFBB7C2"/>
    <w:rsid w:val="1C157B21"/>
    <w:rsid w:val="1C3082CD"/>
    <w:rsid w:val="1C4FE86E"/>
    <w:rsid w:val="1C593928"/>
    <w:rsid w:val="1C63B40E"/>
    <w:rsid w:val="1C6F50C0"/>
    <w:rsid w:val="1C7BE844"/>
    <w:rsid w:val="1C91960D"/>
    <w:rsid w:val="1CB3CF48"/>
    <w:rsid w:val="1CCAE9F8"/>
    <w:rsid w:val="1CCDB425"/>
    <w:rsid w:val="1CD0F822"/>
    <w:rsid w:val="1CDCD3B2"/>
    <w:rsid w:val="1D1F5504"/>
    <w:rsid w:val="1D261F7D"/>
    <w:rsid w:val="1D2B8DD3"/>
    <w:rsid w:val="1D417708"/>
    <w:rsid w:val="1D4E4B2C"/>
    <w:rsid w:val="1D5256BC"/>
    <w:rsid w:val="1D537ECA"/>
    <w:rsid w:val="1D594CA2"/>
    <w:rsid w:val="1D5D4958"/>
    <w:rsid w:val="1D628C3C"/>
    <w:rsid w:val="1D67E0F5"/>
    <w:rsid w:val="1D76620B"/>
    <w:rsid w:val="1D9CA5AB"/>
    <w:rsid w:val="1D9E9A98"/>
    <w:rsid w:val="1DC3CC15"/>
    <w:rsid w:val="1DD4B59C"/>
    <w:rsid w:val="1DE03DD5"/>
    <w:rsid w:val="1DE8BFD8"/>
    <w:rsid w:val="1DEEA36F"/>
    <w:rsid w:val="1E24E693"/>
    <w:rsid w:val="1E29EEB1"/>
    <w:rsid w:val="1E397F8B"/>
    <w:rsid w:val="1E71BCD2"/>
    <w:rsid w:val="1E7B8121"/>
    <w:rsid w:val="1E7D6CE6"/>
    <w:rsid w:val="1EEB5844"/>
    <w:rsid w:val="1EEF95D3"/>
    <w:rsid w:val="1EF40857"/>
    <w:rsid w:val="1EF7CA69"/>
    <w:rsid w:val="1F11EC35"/>
    <w:rsid w:val="1F1EDD94"/>
    <w:rsid w:val="1F208401"/>
    <w:rsid w:val="1F481DF4"/>
    <w:rsid w:val="1F57C6BE"/>
    <w:rsid w:val="1F7C71F5"/>
    <w:rsid w:val="1F963C63"/>
    <w:rsid w:val="1FA86CCE"/>
    <w:rsid w:val="1FAB5987"/>
    <w:rsid w:val="1FB4BFE9"/>
    <w:rsid w:val="1FC8F157"/>
    <w:rsid w:val="1FE98DF8"/>
    <w:rsid w:val="1FF1285E"/>
    <w:rsid w:val="1FF3D974"/>
    <w:rsid w:val="1FF6A637"/>
    <w:rsid w:val="2005050D"/>
    <w:rsid w:val="20187DB5"/>
    <w:rsid w:val="20248553"/>
    <w:rsid w:val="20283421"/>
    <w:rsid w:val="203D57D5"/>
    <w:rsid w:val="206232F3"/>
    <w:rsid w:val="20684D52"/>
    <w:rsid w:val="20821960"/>
    <w:rsid w:val="209635D7"/>
    <w:rsid w:val="20A5262C"/>
    <w:rsid w:val="20A60C2F"/>
    <w:rsid w:val="20AF6B9A"/>
    <w:rsid w:val="20B9F5ED"/>
    <w:rsid w:val="20C0E7D4"/>
    <w:rsid w:val="2105175E"/>
    <w:rsid w:val="2116B0AC"/>
    <w:rsid w:val="211A7290"/>
    <w:rsid w:val="211E4B98"/>
    <w:rsid w:val="214E56F2"/>
    <w:rsid w:val="216299CD"/>
    <w:rsid w:val="216E43F9"/>
    <w:rsid w:val="216EC8C5"/>
    <w:rsid w:val="21A2F54B"/>
    <w:rsid w:val="21AAE662"/>
    <w:rsid w:val="21B67F5B"/>
    <w:rsid w:val="21CA7A4A"/>
    <w:rsid w:val="21D4ACBD"/>
    <w:rsid w:val="21DC1BA1"/>
    <w:rsid w:val="220E83CE"/>
    <w:rsid w:val="221843E5"/>
    <w:rsid w:val="2226EC1A"/>
    <w:rsid w:val="22422EE0"/>
    <w:rsid w:val="224C713E"/>
    <w:rsid w:val="225EDFA2"/>
    <w:rsid w:val="227528E9"/>
    <w:rsid w:val="227FF108"/>
    <w:rsid w:val="229381C4"/>
    <w:rsid w:val="229A551A"/>
    <w:rsid w:val="22A8F1D1"/>
    <w:rsid w:val="22ABB0A8"/>
    <w:rsid w:val="22B7BEF5"/>
    <w:rsid w:val="22C63DE8"/>
    <w:rsid w:val="22CACE66"/>
    <w:rsid w:val="22F3129F"/>
    <w:rsid w:val="230DBE3B"/>
    <w:rsid w:val="2332C1F9"/>
    <w:rsid w:val="236073E1"/>
    <w:rsid w:val="23888911"/>
    <w:rsid w:val="2392549B"/>
    <w:rsid w:val="23A19583"/>
    <w:rsid w:val="23DC69A6"/>
    <w:rsid w:val="23FF165F"/>
    <w:rsid w:val="24000CD4"/>
    <w:rsid w:val="240B8170"/>
    <w:rsid w:val="241487C4"/>
    <w:rsid w:val="245EA9B2"/>
    <w:rsid w:val="248DA79A"/>
    <w:rsid w:val="24A8D529"/>
    <w:rsid w:val="24B0152D"/>
    <w:rsid w:val="24C744D4"/>
    <w:rsid w:val="24D98012"/>
    <w:rsid w:val="25049785"/>
    <w:rsid w:val="2539F809"/>
    <w:rsid w:val="25441BB3"/>
    <w:rsid w:val="25482237"/>
    <w:rsid w:val="2560CCB6"/>
    <w:rsid w:val="256604CF"/>
    <w:rsid w:val="257DAA3A"/>
    <w:rsid w:val="25908E3F"/>
    <w:rsid w:val="2593046E"/>
    <w:rsid w:val="2597CDCF"/>
    <w:rsid w:val="25A8B66D"/>
    <w:rsid w:val="25ACCAA6"/>
    <w:rsid w:val="25BCE9FF"/>
    <w:rsid w:val="25C0316C"/>
    <w:rsid w:val="25C80464"/>
    <w:rsid w:val="25D23D4E"/>
    <w:rsid w:val="25E66CA0"/>
    <w:rsid w:val="25E6EA93"/>
    <w:rsid w:val="260DB623"/>
    <w:rsid w:val="261537A3"/>
    <w:rsid w:val="261C1BC5"/>
    <w:rsid w:val="2622990B"/>
    <w:rsid w:val="26244EB3"/>
    <w:rsid w:val="262793E2"/>
    <w:rsid w:val="26493275"/>
    <w:rsid w:val="2653D62C"/>
    <w:rsid w:val="2654D51E"/>
    <w:rsid w:val="2668A05A"/>
    <w:rsid w:val="267872D2"/>
    <w:rsid w:val="267CE7C4"/>
    <w:rsid w:val="2685ED07"/>
    <w:rsid w:val="26C0F2D2"/>
    <w:rsid w:val="26C97033"/>
    <w:rsid w:val="26D3F293"/>
    <w:rsid w:val="26F75351"/>
    <w:rsid w:val="26F82C59"/>
    <w:rsid w:val="270B7E24"/>
    <w:rsid w:val="2724CFCC"/>
    <w:rsid w:val="2767D03B"/>
    <w:rsid w:val="27772DCA"/>
    <w:rsid w:val="27ABF9F3"/>
    <w:rsid w:val="27C86E78"/>
    <w:rsid w:val="27E574AE"/>
    <w:rsid w:val="27E99A45"/>
    <w:rsid w:val="27F821DE"/>
    <w:rsid w:val="28329D42"/>
    <w:rsid w:val="28345B37"/>
    <w:rsid w:val="283C7031"/>
    <w:rsid w:val="284BBEE3"/>
    <w:rsid w:val="285DD41A"/>
    <w:rsid w:val="285ECE7B"/>
    <w:rsid w:val="286AF738"/>
    <w:rsid w:val="28764D17"/>
    <w:rsid w:val="28C45E76"/>
    <w:rsid w:val="28C73BB9"/>
    <w:rsid w:val="28CA5399"/>
    <w:rsid w:val="28CE1EEB"/>
    <w:rsid w:val="28D5BE8A"/>
    <w:rsid w:val="28E0A100"/>
    <w:rsid w:val="28E31EA1"/>
    <w:rsid w:val="28F873A7"/>
    <w:rsid w:val="28FC2065"/>
    <w:rsid w:val="290F331E"/>
    <w:rsid w:val="2916F2CC"/>
    <w:rsid w:val="2929BE07"/>
    <w:rsid w:val="2936DD5E"/>
    <w:rsid w:val="293EA66D"/>
    <w:rsid w:val="296AC466"/>
    <w:rsid w:val="2972C2CC"/>
    <w:rsid w:val="29754ABE"/>
    <w:rsid w:val="29B705C4"/>
    <w:rsid w:val="29B98CF6"/>
    <w:rsid w:val="29C347C4"/>
    <w:rsid w:val="29DEAFE3"/>
    <w:rsid w:val="29E3AACA"/>
    <w:rsid w:val="29E496C7"/>
    <w:rsid w:val="29ED2B33"/>
    <w:rsid w:val="2A008023"/>
    <w:rsid w:val="2A020656"/>
    <w:rsid w:val="2A13FCEE"/>
    <w:rsid w:val="2A1B9708"/>
    <w:rsid w:val="2A22F471"/>
    <w:rsid w:val="2A48EEC9"/>
    <w:rsid w:val="2A4CEA10"/>
    <w:rsid w:val="2A6D3101"/>
    <w:rsid w:val="2A8E8CB3"/>
    <w:rsid w:val="2A9442D0"/>
    <w:rsid w:val="2AA16AD5"/>
    <w:rsid w:val="2AA5CBDD"/>
    <w:rsid w:val="2AB6C28D"/>
    <w:rsid w:val="2ACA3FAF"/>
    <w:rsid w:val="2AD1902D"/>
    <w:rsid w:val="2B0F61C5"/>
    <w:rsid w:val="2B30FC45"/>
    <w:rsid w:val="2B39D4FB"/>
    <w:rsid w:val="2B3E9E1B"/>
    <w:rsid w:val="2B47A10F"/>
    <w:rsid w:val="2B6AC990"/>
    <w:rsid w:val="2B729C3A"/>
    <w:rsid w:val="2B74CF5F"/>
    <w:rsid w:val="2B814AC1"/>
    <w:rsid w:val="2B9DE3CD"/>
    <w:rsid w:val="2BA85E4A"/>
    <w:rsid w:val="2BBA2FA8"/>
    <w:rsid w:val="2BDBE876"/>
    <w:rsid w:val="2BEE3EAD"/>
    <w:rsid w:val="2BFC21E8"/>
    <w:rsid w:val="2C00F49B"/>
    <w:rsid w:val="2C04B2F4"/>
    <w:rsid w:val="2C114E9C"/>
    <w:rsid w:val="2C562BF6"/>
    <w:rsid w:val="2C645EE7"/>
    <w:rsid w:val="2C89D2BD"/>
    <w:rsid w:val="2C985EB5"/>
    <w:rsid w:val="2CAE72E8"/>
    <w:rsid w:val="2CBAF6C1"/>
    <w:rsid w:val="2CC33B49"/>
    <w:rsid w:val="2CDF2533"/>
    <w:rsid w:val="2CED608C"/>
    <w:rsid w:val="2CF8FADD"/>
    <w:rsid w:val="2D1FB9FE"/>
    <w:rsid w:val="2D6B4B92"/>
    <w:rsid w:val="2D6E3074"/>
    <w:rsid w:val="2D6FC6A2"/>
    <w:rsid w:val="2D891F31"/>
    <w:rsid w:val="2D91B0CA"/>
    <w:rsid w:val="2D974534"/>
    <w:rsid w:val="2D99E86A"/>
    <w:rsid w:val="2DAE3F14"/>
    <w:rsid w:val="2DB76FBC"/>
    <w:rsid w:val="2DE2B386"/>
    <w:rsid w:val="2E0731D4"/>
    <w:rsid w:val="2E079B65"/>
    <w:rsid w:val="2E1FA6C6"/>
    <w:rsid w:val="2E2CD827"/>
    <w:rsid w:val="2E5286BF"/>
    <w:rsid w:val="2E6C225E"/>
    <w:rsid w:val="2E884CC3"/>
    <w:rsid w:val="2E885FA9"/>
    <w:rsid w:val="2EA02AAF"/>
    <w:rsid w:val="2EB5CBA2"/>
    <w:rsid w:val="2EC7DBC4"/>
    <w:rsid w:val="2ED24B00"/>
    <w:rsid w:val="2ED4590F"/>
    <w:rsid w:val="2EF43421"/>
    <w:rsid w:val="2F036A84"/>
    <w:rsid w:val="2F3570A4"/>
    <w:rsid w:val="2F635574"/>
    <w:rsid w:val="2F893F6D"/>
    <w:rsid w:val="2F8A1191"/>
    <w:rsid w:val="2F92529E"/>
    <w:rsid w:val="2FA89368"/>
    <w:rsid w:val="2FAA0420"/>
    <w:rsid w:val="2FC3F7C6"/>
    <w:rsid w:val="2FCCFABF"/>
    <w:rsid w:val="2FD08BCF"/>
    <w:rsid w:val="2FD3DD35"/>
    <w:rsid w:val="2FD6731A"/>
    <w:rsid w:val="2FE87090"/>
    <w:rsid w:val="2FEC86BF"/>
    <w:rsid w:val="2FECDB17"/>
    <w:rsid w:val="301B38B5"/>
    <w:rsid w:val="302C877A"/>
    <w:rsid w:val="302EA058"/>
    <w:rsid w:val="3032DE30"/>
    <w:rsid w:val="30675503"/>
    <w:rsid w:val="3068674C"/>
    <w:rsid w:val="30702D98"/>
    <w:rsid w:val="307C1E5F"/>
    <w:rsid w:val="30842355"/>
    <w:rsid w:val="30887BEA"/>
    <w:rsid w:val="308A05F4"/>
    <w:rsid w:val="3095CFB6"/>
    <w:rsid w:val="30A1FBBA"/>
    <w:rsid w:val="30B0C1B2"/>
    <w:rsid w:val="30B692DD"/>
    <w:rsid w:val="30C47007"/>
    <w:rsid w:val="30D21AC0"/>
    <w:rsid w:val="30D98311"/>
    <w:rsid w:val="30DF48C9"/>
    <w:rsid w:val="30F4D9C7"/>
    <w:rsid w:val="310611DC"/>
    <w:rsid w:val="311543B3"/>
    <w:rsid w:val="311E4125"/>
    <w:rsid w:val="3172340F"/>
    <w:rsid w:val="31778C87"/>
    <w:rsid w:val="3182B353"/>
    <w:rsid w:val="31A17AA6"/>
    <w:rsid w:val="31A357C2"/>
    <w:rsid w:val="31B4219B"/>
    <w:rsid w:val="31F7FEE2"/>
    <w:rsid w:val="321B971E"/>
    <w:rsid w:val="3271FF1E"/>
    <w:rsid w:val="32791267"/>
    <w:rsid w:val="327F4764"/>
    <w:rsid w:val="32804C91"/>
    <w:rsid w:val="328AD00E"/>
    <w:rsid w:val="32988672"/>
    <w:rsid w:val="329BB97F"/>
    <w:rsid w:val="32A8AC15"/>
    <w:rsid w:val="32DB5131"/>
    <w:rsid w:val="32DF8579"/>
    <w:rsid w:val="32ED2409"/>
    <w:rsid w:val="32F81556"/>
    <w:rsid w:val="3320BDC2"/>
    <w:rsid w:val="3320C733"/>
    <w:rsid w:val="333D829C"/>
    <w:rsid w:val="3343E059"/>
    <w:rsid w:val="335A0D54"/>
    <w:rsid w:val="337F7019"/>
    <w:rsid w:val="338257D6"/>
    <w:rsid w:val="33877D98"/>
    <w:rsid w:val="33A65247"/>
    <w:rsid w:val="33AEA7FE"/>
    <w:rsid w:val="33CC098C"/>
    <w:rsid w:val="33D4F183"/>
    <w:rsid w:val="33E78CA4"/>
    <w:rsid w:val="33ED8847"/>
    <w:rsid w:val="3418B5FC"/>
    <w:rsid w:val="3423688A"/>
    <w:rsid w:val="3433FA88"/>
    <w:rsid w:val="3441212A"/>
    <w:rsid w:val="3443E8AC"/>
    <w:rsid w:val="3446E8AA"/>
    <w:rsid w:val="3449B5E7"/>
    <w:rsid w:val="344AAA0B"/>
    <w:rsid w:val="344EFAEE"/>
    <w:rsid w:val="3463310C"/>
    <w:rsid w:val="348B5A05"/>
    <w:rsid w:val="3495EA11"/>
    <w:rsid w:val="34A9FB38"/>
    <w:rsid w:val="34AB54C3"/>
    <w:rsid w:val="34B1ADB4"/>
    <w:rsid w:val="34B8A122"/>
    <w:rsid w:val="34BCAC50"/>
    <w:rsid w:val="34D6C897"/>
    <w:rsid w:val="34ED3226"/>
    <w:rsid w:val="34F9A281"/>
    <w:rsid w:val="350E8545"/>
    <w:rsid w:val="350EC733"/>
    <w:rsid w:val="35212C9C"/>
    <w:rsid w:val="35395A1A"/>
    <w:rsid w:val="3541A115"/>
    <w:rsid w:val="3569EEC0"/>
    <w:rsid w:val="357BEEE6"/>
    <w:rsid w:val="3584DBD8"/>
    <w:rsid w:val="35A1443B"/>
    <w:rsid w:val="35A97766"/>
    <w:rsid w:val="35B2B0D2"/>
    <w:rsid w:val="35B4E151"/>
    <w:rsid w:val="35B905B6"/>
    <w:rsid w:val="35C163A4"/>
    <w:rsid w:val="35DA33CC"/>
    <w:rsid w:val="35F35543"/>
    <w:rsid w:val="360943BA"/>
    <w:rsid w:val="368CE9C8"/>
    <w:rsid w:val="3717C196"/>
    <w:rsid w:val="3749A97A"/>
    <w:rsid w:val="3799232F"/>
    <w:rsid w:val="37A01CCF"/>
    <w:rsid w:val="37A9E374"/>
    <w:rsid w:val="37B0A354"/>
    <w:rsid w:val="37B7B20B"/>
    <w:rsid w:val="37C984DE"/>
    <w:rsid w:val="37E9F151"/>
    <w:rsid w:val="37EA17D1"/>
    <w:rsid w:val="38244A01"/>
    <w:rsid w:val="3825E29B"/>
    <w:rsid w:val="382793AC"/>
    <w:rsid w:val="383B5D92"/>
    <w:rsid w:val="38461590"/>
    <w:rsid w:val="3858CAF9"/>
    <w:rsid w:val="386B36CE"/>
    <w:rsid w:val="38A93002"/>
    <w:rsid w:val="38A9632F"/>
    <w:rsid w:val="38CC715E"/>
    <w:rsid w:val="38D332AA"/>
    <w:rsid w:val="38D71EFE"/>
    <w:rsid w:val="38DA5DF7"/>
    <w:rsid w:val="38E63B29"/>
    <w:rsid w:val="38F0A15E"/>
    <w:rsid w:val="3919A376"/>
    <w:rsid w:val="3938C0E1"/>
    <w:rsid w:val="3938F158"/>
    <w:rsid w:val="393E5090"/>
    <w:rsid w:val="397D45F4"/>
    <w:rsid w:val="39937FA0"/>
    <w:rsid w:val="39995B50"/>
    <w:rsid w:val="39C05B0E"/>
    <w:rsid w:val="39DFF4AB"/>
    <w:rsid w:val="39E09FCD"/>
    <w:rsid w:val="39EB03F2"/>
    <w:rsid w:val="39F78DB7"/>
    <w:rsid w:val="3A3C8E09"/>
    <w:rsid w:val="3A6E2918"/>
    <w:rsid w:val="3A6EF77A"/>
    <w:rsid w:val="3A8469AA"/>
    <w:rsid w:val="3A93E9EA"/>
    <w:rsid w:val="3AA8DF2B"/>
    <w:rsid w:val="3AABD093"/>
    <w:rsid w:val="3AB2564A"/>
    <w:rsid w:val="3AC64D9F"/>
    <w:rsid w:val="3ACDF934"/>
    <w:rsid w:val="3AF0BA65"/>
    <w:rsid w:val="3B8233ED"/>
    <w:rsid w:val="3B9805D6"/>
    <w:rsid w:val="3BA2C8CE"/>
    <w:rsid w:val="3BACC575"/>
    <w:rsid w:val="3BE84B5D"/>
    <w:rsid w:val="3BF9DFE8"/>
    <w:rsid w:val="3C1ABBE5"/>
    <w:rsid w:val="3C254EF6"/>
    <w:rsid w:val="3C295E60"/>
    <w:rsid w:val="3C2E4D93"/>
    <w:rsid w:val="3C327F42"/>
    <w:rsid w:val="3C329334"/>
    <w:rsid w:val="3C4759F3"/>
    <w:rsid w:val="3C47C2DD"/>
    <w:rsid w:val="3C5244EF"/>
    <w:rsid w:val="3C622478"/>
    <w:rsid w:val="3C64BB5F"/>
    <w:rsid w:val="3C6D7950"/>
    <w:rsid w:val="3CA8F597"/>
    <w:rsid w:val="3CC70EFE"/>
    <w:rsid w:val="3CD2A17B"/>
    <w:rsid w:val="3CD788D7"/>
    <w:rsid w:val="3CED1D08"/>
    <w:rsid w:val="3CF66535"/>
    <w:rsid w:val="3D082AD3"/>
    <w:rsid w:val="3D450BC3"/>
    <w:rsid w:val="3D78875F"/>
    <w:rsid w:val="3DA94D06"/>
    <w:rsid w:val="3DD527BA"/>
    <w:rsid w:val="3DE10248"/>
    <w:rsid w:val="3DEA8D00"/>
    <w:rsid w:val="3DEFE51F"/>
    <w:rsid w:val="3DFCA2A7"/>
    <w:rsid w:val="3DFDF4D9"/>
    <w:rsid w:val="3E160BD4"/>
    <w:rsid w:val="3E1F144B"/>
    <w:rsid w:val="3E3015A7"/>
    <w:rsid w:val="3E329719"/>
    <w:rsid w:val="3E3BB55C"/>
    <w:rsid w:val="3E4A1A09"/>
    <w:rsid w:val="3E4B29F8"/>
    <w:rsid w:val="3E5670EA"/>
    <w:rsid w:val="3E7B863E"/>
    <w:rsid w:val="3E8F5EE1"/>
    <w:rsid w:val="3E953AB6"/>
    <w:rsid w:val="3E984628"/>
    <w:rsid w:val="3EDA85A0"/>
    <w:rsid w:val="3EDD8E18"/>
    <w:rsid w:val="3EF84A0C"/>
    <w:rsid w:val="3EF91C3C"/>
    <w:rsid w:val="3EFD34D4"/>
    <w:rsid w:val="3F22AE95"/>
    <w:rsid w:val="3F4A340D"/>
    <w:rsid w:val="3F4CC18E"/>
    <w:rsid w:val="3F7BC53A"/>
    <w:rsid w:val="3F7FAC94"/>
    <w:rsid w:val="3F822DE3"/>
    <w:rsid w:val="3FAD0F67"/>
    <w:rsid w:val="3FAD70BE"/>
    <w:rsid w:val="3FBBFA18"/>
    <w:rsid w:val="3FBE4D50"/>
    <w:rsid w:val="3FCE0EC3"/>
    <w:rsid w:val="3FDD8D39"/>
    <w:rsid w:val="3FE10120"/>
    <w:rsid w:val="3FE7E01B"/>
    <w:rsid w:val="3FE9F720"/>
    <w:rsid w:val="3FED14AC"/>
    <w:rsid w:val="3FF1952F"/>
    <w:rsid w:val="3FF2BE14"/>
    <w:rsid w:val="401E3853"/>
    <w:rsid w:val="4033D84C"/>
    <w:rsid w:val="404309F5"/>
    <w:rsid w:val="404F4A5F"/>
    <w:rsid w:val="405C3F0B"/>
    <w:rsid w:val="40621FA2"/>
    <w:rsid w:val="4069DDF4"/>
    <w:rsid w:val="40802B4E"/>
    <w:rsid w:val="4083E4A1"/>
    <w:rsid w:val="40913FB3"/>
    <w:rsid w:val="40941A6D"/>
    <w:rsid w:val="40AA8518"/>
    <w:rsid w:val="40C5F594"/>
    <w:rsid w:val="40D225BD"/>
    <w:rsid w:val="40D6A070"/>
    <w:rsid w:val="40E03C1D"/>
    <w:rsid w:val="40EA7D07"/>
    <w:rsid w:val="40EEDB57"/>
    <w:rsid w:val="40F3C37B"/>
    <w:rsid w:val="412111A4"/>
    <w:rsid w:val="4145EC87"/>
    <w:rsid w:val="4152C797"/>
    <w:rsid w:val="416ECB1E"/>
    <w:rsid w:val="41ACDA8F"/>
    <w:rsid w:val="41B077B8"/>
    <w:rsid w:val="41B9B24C"/>
    <w:rsid w:val="41D92223"/>
    <w:rsid w:val="41DCD4D0"/>
    <w:rsid w:val="41ED91E0"/>
    <w:rsid w:val="421BBE81"/>
    <w:rsid w:val="42214323"/>
    <w:rsid w:val="42481485"/>
    <w:rsid w:val="42C35ABF"/>
    <w:rsid w:val="42C71568"/>
    <w:rsid w:val="42F8D8B5"/>
    <w:rsid w:val="431701EC"/>
    <w:rsid w:val="43681A5B"/>
    <w:rsid w:val="43948492"/>
    <w:rsid w:val="4394B911"/>
    <w:rsid w:val="43BE620C"/>
    <w:rsid w:val="43BFB87A"/>
    <w:rsid w:val="43D2CC48"/>
    <w:rsid w:val="43E0A3D5"/>
    <w:rsid w:val="43E3D967"/>
    <w:rsid w:val="43E8CEBA"/>
    <w:rsid w:val="43EA4D49"/>
    <w:rsid w:val="43F127C0"/>
    <w:rsid w:val="441C071C"/>
    <w:rsid w:val="4424BA37"/>
    <w:rsid w:val="444317F5"/>
    <w:rsid w:val="44523839"/>
    <w:rsid w:val="44628DC6"/>
    <w:rsid w:val="446E4464"/>
    <w:rsid w:val="4495D6D4"/>
    <w:rsid w:val="44A61E54"/>
    <w:rsid w:val="44B64660"/>
    <w:rsid w:val="44C50652"/>
    <w:rsid w:val="44EE18C3"/>
    <w:rsid w:val="45008BCC"/>
    <w:rsid w:val="45091634"/>
    <w:rsid w:val="450947AD"/>
    <w:rsid w:val="451B398D"/>
    <w:rsid w:val="453B5A97"/>
    <w:rsid w:val="4543EFB6"/>
    <w:rsid w:val="4571989A"/>
    <w:rsid w:val="457261CB"/>
    <w:rsid w:val="45773DF5"/>
    <w:rsid w:val="45888281"/>
    <w:rsid w:val="45A5D4A4"/>
    <w:rsid w:val="45AC63CA"/>
    <w:rsid w:val="45ADC07E"/>
    <w:rsid w:val="45E9CEA2"/>
    <w:rsid w:val="45F1E7A3"/>
    <w:rsid w:val="4607F8AC"/>
    <w:rsid w:val="4610D67C"/>
    <w:rsid w:val="4639AC82"/>
    <w:rsid w:val="46677029"/>
    <w:rsid w:val="46CAFB3F"/>
    <w:rsid w:val="46D3D47A"/>
    <w:rsid w:val="46D76526"/>
    <w:rsid w:val="46D96C75"/>
    <w:rsid w:val="46DCE891"/>
    <w:rsid w:val="46E3E738"/>
    <w:rsid w:val="46EF2B4D"/>
    <w:rsid w:val="4706CC9C"/>
    <w:rsid w:val="470B884D"/>
    <w:rsid w:val="47226885"/>
    <w:rsid w:val="472AAD8E"/>
    <w:rsid w:val="47412797"/>
    <w:rsid w:val="47491CE4"/>
    <w:rsid w:val="474FB611"/>
    <w:rsid w:val="476032BE"/>
    <w:rsid w:val="477FCDCA"/>
    <w:rsid w:val="478D37A6"/>
    <w:rsid w:val="47B27F54"/>
    <w:rsid w:val="47B9544C"/>
    <w:rsid w:val="47D41DD9"/>
    <w:rsid w:val="480FDEFB"/>
    <w:rsid w:val="48113327"/>
    <w:rsid w:val="481B3AD1"/>
    <w:rsid w:val="481F0303"/>
    <w:rsid w:val="482CBEE3"/>
    <w:rsid w:val="48487999"/>
    <w:rsid w:val="484FD5F3"/>
    <w:rsid w:val="48651751"/>
    <w:rsid w:val="486AD89C"/>
    <w:rsid w:val="487325AF"/>
    <w:rsid w:val="487DF568"/>
    <w:rsid w:val="4888B20E"/>
    <w:rsid w:val="489BAD37"/>
    <w:rsid w:val="48ACA769"/>
    <w:rsid w:val="48D939B5"/>
    <w:rsid w:val="48E4ED45"/>
    <w:rsid w:val="48FB1851"/>
    <w:rsid w:val="495213EA"/>
    <w:rsid w:val="496ECB49"/>
    <w:rsid w:val="49A2BE4F"/>
    <w:rsid w:val="49BA5518"/>
    <w:rsid w:val="49C55228"/>
    <w:rsid w:val="49C55696"/>
    <w:rsid w:val="49D02485"/>
    <w:rsid w:val="49DBDE0E"/>
    <w:rsid w:val="49DC36C9"/>
    <w:rsid w:val="4A0020B2"/>
    <w:rsid w:val="4A24669E"/>
    <w:rsid w:val="4A420EB5"/>
    <w:rsid w:val="4A484DBA"/>
    <w:rsid w:val="4A5BFA57"/>
    <w:rsid w:val="4A69E523"/>
    <w:rsid w:val="4A86ACE9"/>
    <w:rsid w:val="4AE40468"/>
    <w:rsid w:val="4B1C09F1"/>
    <w:rsid w:val="4B363018"/>
    <w:rsid w:val="4B3D8E0E"/>
    <w:rsid w:val="4B4991D9"/>
    <w:rsid w:val="4B5C8044"/>
    <w:rsid w:val="4B6E4CBC"/>
    <w:rsid w:val="4B7332AE"/>
    <w:rsid w:val="4BA3A0A1"/>
    <w:rsid w:val="4BA4AE20"/>
    <w:rsid w:val="4BAF78D4"/>
    <w:rsid w:val="4BB3B33D"/>
    <w:rsid w:val="4BBD2513"/>
    <w:rsid w:val="4BC14971"/>
    <w:rsid w:val="4BC331A4"/>
    <w:rsid w:val="4C14514F"/>
    <w:rsid w:val="4C35B419"/>
    <w:rsid w:val="4C5C3373"/>
    <w:rsid w:val="4C5D7757"/>
    <w:rsid w:val="4C8C4A64"/>
    <w:rsid w:val="4C9A0848"/>
    <w:rsid w:val="4CB21376"/>
    <w:rsid w:val="4CBF8F5E"/>
    <w:rsid w:val="4CD5D455"/>
    <w:rsid w:val="4CDFCFF0"/>
    <w:rsid w:val="4D0DB880"/>
    <w:rsid w:val="4D26BA21"/>
    <w:rsid w:val="4D43AA78"/>
    <w:rsid w:val="4D45DF6B"/>
    <w:rsid w:val="4D597518"/>
    <w:rsid w:val="4D617293"/>
    <w:rsid w:val="4D68E0D0"/>
    <w:rsid w:val="4D6A0294"/>
    <w:rsid w:val="4D78C372"/>
    <w:rsid w:val="4D8D8282"/>
    <w:rsid w:val="4D95F952"/>
    <w:rsid w:val="4D9C4498"/>
    <w:rsid w:val="4DB1B4BC"/>
    <w:rsid w:val="4DC39A83"/>
    <w:rsid w:val="4DC80D18"/>
    <w:rsid w:val="4DEA9592"/>
    <w:rsid w:val="4DEB3C87"/>
    <w:rsid w:val="4DF2C530"/>
    <w:rsid w:val="4E038679"/>
    <w:rsid w:val="4E09700C"/>
    <w:rsid w:val="4E1D3D34"/>
    <w:rsid w:val="4E385484"/>
    <w:rsid w:val="4E4D47EA"/>
    <w:rsid w:val="4E50BCDF"/>
    <w:rsid w:val="4EB144A2"/>
    <w:rsid w:val="4ED914F0"/>
    <w:rsid w:val="4EEEB339"/>
    <w:rsid w:val="4F1C599B"/>
    <w:rsid w:val="4F2B2FD5"/>
    <w:rsid w:val="4F2B3FE3"/>
    <w:rsid w:val="4F4AD989"/>
    <w:rsid w:val="4F4F5341"/>
    <w:rsid w:val="4F55978B"/>
    <w:rsid w:val="4F5B3468"/>
    <w:rsid w:val="4F643726"/>
    <w:rsid w:val="4F652E1C"/>
    <w:rsid w:val="4F6924F7"/>
    <w:rsid w:val="4F6C0933"/>
    <w:rsid w:val="4F6ED53E"/>
    <w:rsid w:val="4F70FA3E"/>
    <w:rsid w:val="4F79A123"/>
    <w:rsid w:val="4F872DF3"/>
    <w:rsid w:val="4F8945DB"/>
    <w:rsid w:val="4F8E3D1A"/>
    <w:rsid w:val="4FA63D90"/>
    <w:rsid w:val="4FBB0CEA"/>
    <w:rsid w:val="4FBD03B2"/>
    <w:rsid w:val="4FD4BA18"/>
    <w:rsid w:val="5005561A"/>
    <w:rsid w:val="50071D10"/>
    <w:rsid w:val="501308E3"/>
    <w:rsid w:val="501AA8DE"/>
    <w:rsid w:val="501E0042"/>
    <w:rsid w:val="501E13D9"/>
    <w:rsid w:val="503C1453"/>
    <w:rsid w:val="503E809A"/>
    <w:rsid w:val="50407BE9"/>
    <w:rsid w:val="5048DE1F"/>
    <w:rsid w:val="50534D62"/>
    <w:rsid w:val="505E5AE3"/>
    <w:rsid w:val="506AD52D"/>
    <w:rsid w:val="5074C9FE"/>
    <w:rsid w:val="5076B0D8"/>
    <w:rsid w:val="5077C8A5"/>
    <w:rsid w:val="507D944B"/>
    <w:rsid w:val="507DFE14"/>
    <w:rsid w:val="50956A86"/>
    <w:rsid w:val="5098F13C"/>
    <w:rsid w:val="509F28C9"/>
    <w:rsid w:val="50A81DEA"/>
    <w:rsid w:val="50DB0307"/>
    <w:rsid w:val="50DD2F81"/>
    <w:rsid w:val="50E04BE6"/>
    <w:rsid w:val="510846FB"/>
    <w:rsid w:val="51215514"/>
    <w:rsid w:val="5127E871"/>
    <w:rsid w:val="513C9BA8"/>
    <w:rsid w:val="514DB643"/>
    <w:rsid w:val="516468CB"/>
    <w:rsid w:val="517E96BC"/>
    <w:rsid w:val="518C5FAC"/>
    <w:rsid w:val="5190FFD0"/>
    <w:rsid w:val="51C693E1"/>
    <w:rsid w:val="51CB87A5"/>
    <w:rsid w:val="51DAC695"/>
    <w:rsid w:val="51E77EF0"/>
    <w:rsid w:val="521156FC"/>
    <w:rsid w:val="5211AE81"/>
    <w:rsid w:val="521D0C50"/>
    <w:rsid w:val="521FDEAB"/>
    <w:rsid w:val="52207C95"/>
    <w:rsid w:val="525B61FB"/>
    <w:rsid w:val="5269F55B"/>
    <w:rsid w:val="52A26A92"/>
    <w:rsid w:val="52AD4DBB"/>
    <w:rsid w:val="52BA9407"/>
    <w:rsid w:val="52C478CA"/>
    <w:rsid w:val="52C82E8A"/>
    <w:rsid w:val="53206F6E"/>
    <w:rsid w:val="5371C2EE"/>
    <w:rsid w:val="537F2A89"/>
    <w:rsid w:val="5385B8CC"/>
    <w:rsid w:val="53A9D6D6"/>
    <w:rsid w:val="53CA8514"/>
    <w:rsid w:val="53DFA166"/>
    <w:rsid w:val="53E2FAFF"/>
    <w:rsid w:val="53F55B93"/>
    <w:rsid w:val="54044BC9"/>
    <w:rsid w:val="54132DAD"/>
    <w:rsid w:val="541434B0"/>
    <w:rsid w:val="54261A66"/>
    <w:rsid w:val="54356828"/>
    <w:rsid w:val="54451A5C"/>
    <w:rsid w:val="544B84C4"/>
    <w:rsid w:val="544E4EB2"/>
    <w:rsid w:val="546D3F47"/>
    <w:rsid w:val="5480B80B"/>
    <w:rsid w:val="5493F412"/>
    <w:rsid w:val="549C1F5D"/>
    <w:rsid w:val="54AC9274"/>
    <w:rsid w:val="54AD8F9A"/>
    <w:rsid w:val="54AE8B8D"/>
    <w:rsid w:val="54B7C807"/>
    <w:rsid w:val="54BCE786"/>
    <w:rsid w:val="54C1C28A"/>
    <w:rsid w:val="54C49867"/>
    <w:rsid w:val="54C8FE68"/>
    <w:rsid w:val="54D1F5D2"/>
    <w:rsid w:val="54DF22ED"/>
    <w:rsid w:val="54E140D0"/>
    <w:rsid w:val="54E9BC8A"/>
    <w:rsid w:val="54FD9234"/>
    <w:rsid w:val="54FEDA02"/>
    <w:rsid w:val="5500EE01"/>
    <w:rsid w:val="550401C4"/>
    <w:rsid w:val="55307F77"/>
    <w:rsid w:val="553F4BE9"/>
    <w:rsid w:val="5540AF3F"/>
    <w:rsid w:val="55499F04"/>
    <w:rsid w:val="5554ADF4"/>
    <w:rsid w:val="558E9B86"/>
    <w:rsid w:val="55B594CA"/>
    <w:rsid w:val="55CDEA15"/>
    <w:rsid w:val="55DFE5F0"/>
    <w:rsid w:val="56035380"/>
    <w:rsid w:val="5616951B"/>
    <w:rsid w:val="5620163B"/>
    <w:rsid w:val="56528057"/>
    <w:rsid w:val="567DA674"/>
    <w:rsid w:val="56849E5E"/>
    <w:rsid w:val="56A0B0ED"/>
    <w:rsid w:val="56A9451C"/>
    <w:rsid w:val="56CEFD0F"/>
    <w:rsid w:val="56D928E4"/>
    <w:rsid w:val="56DEA829"/>
    <w:rsid w:val="56E409EF"/>
    <w:rsid w:val="56EFFB46"/>
    <w:rsid w:val="570D4717"/>
    <w:rsid w:val="5764894B"/>
    <w:rsid w:val="578F0E0B"/>
    <w:rsid w:val="57B2025E"/>
    <w:rsid w:val="57D8BF5E"/>
    <w:rsid w:val="57E4A56D"/>
    <w:rsid w:val="57EDF17C"/>
    <w:rsid w:val="57FC8250"/>
    <w:rsid w:val="580686DC"/>
    <w:rsid w:val="5831F0DE"/>
    <w:rsid w:val="5853E481"/>
    <w:rsid w:val="585514FB"/>
    <w:rsid w:val="58564C61"/>
    <w:rsid w:val="5870400C"/>
    <w:rsid w:val="587C6D22"/>
    <w:rsid w:val="58898941"/>
    <w:rsid w:val="588AE033"/>
    <w:rsid w:val="589DCD3A"/>
    <w:rsid w:val="58A8EB1F"/>
    <w:rsid w:val="58A90C25"/>
    <w:rsid w:val="58C3E3AD"/>
    <w:rsid w:val="58FE4C73"/>
    <w:rsid w:val="590C73D5"/>
    <w:rsid w:val="5930C1FD"/>
    <w:rsid w:val="593973B7"/>
    <w:rsid w:val="59448F0C"/>
    <w:rsid w:val="5975B1D0"/>
    <w:rsid w:val="59AF940B"/>
    <w:rsid w:val="59AFC13C"/>
    <w:rsid w:val="59B726A0"/>
    <w:rsid w:val="59E610C4"/>
    <w:rsid w:val="59E8A372"/>
    <w:rsid w:val="5A1A03E6"/>
    <w:rsid w:val="5A41833B"/>
    <w:rsid w:val="5A466BDD"/>
    <w:rsid w:val="5A6270E9"/>
    <w:rsid w:val="5A627CE7"/>
    <w:rsid w:val="5A62EBE7"/>
    <w:rsid w:val="5A720BF7"/>
    <w:rsid w:val="5A7354A5"/>
    <w:rsid w:val="5A7C152F"/>
    <w:rsid w:val="5A7FA111"/>
    <w:rsid w:val="5AA5D7C8"/>
    <w:rsid w:val="5ADEA14B"/>
    <w:rsid w:val="5B2B5A73"/>
    <w:rsid w:val="5B5A1AF3"/>
    <w:rsid w:val="5B800DC8"/>
    <w:rsid w:val="5B9FC1D3"/>
    <w:rsid w:val="5BC21CCC"/>
    <w:rsid w:val="5BDAD254"/>
    <w:rsid w:val="5BEA83E8"/>
    <w:rsid w:val="5BF8BD80"/>
    <w:rsid w:val="5BFF586F"/>
    <w:rsid w:val="5C0A66E7"/>
    <w:rsid w:val="5C1A468D"/>
    <w:rsid w:val="5C1F94C8"/>
    <w:rsid w:val="5C250636"/>
    <w:rsid w:val="5C44A932"/>
    <w:rsid w:val="5C47BA85"/>
    <w:rsid w:val="5C49A24D"/>
    <w:rsid w:val="5C5B4970"/>
    <w:rsid w:val="5C90540D"/>
    <w:rsid w:val="5C974837"/>
    <w:rsid w:val="5CC84AD9"/>
    <w:rsid w:val="5CDD6558"/>
    <w:rsid w:val="5CE17E87"/>
    <w:rsid w:val="5CF91839"/>
    <w:rsid w:val="5CF99524"/>
    <w:rsid w:val="5D22F244"/>
    <w:rsid w:val="5D322849"/>
    <w:rsid w:val="5D858F2F"/>
    <w:rsid w:val="5DAB42C1"/>
    <w:rsid w:val="5DBDC36D"/>
    <w:rsid w:val="5DC52CB3"/>
    <w:rsid w:val="5DCB9AFB"/>
    <w:rsid w:val="5DF92B49"/>
    <w:rsid w:val="5E09730F"/>
    <w:rsid w:val="5E16324F"/>
    <w:rsid w:val="5E1BDD95"/>
    <w:rsid w:val="5E493822"/>
    <w:rsid w:val="5E695F6C"/>
    <w:rsid w:val="5E7EC7AF"/>
    <w:rsid w:val="5ECF1A04"/>
    <w:rsid w:val="5ED39C74"/>
    <w:rsid w:val="5EDC027E"/>
    <w:rsid w:val="5EDD831E"/>
    <w:rsid w:val="5EE66225"/>
    <w:rsid w:val="5F0C05CD"/>
    <w:rsid w:val="5F0DC291"/>
    <w:rsid w:val="5F2229C0"/>
    <w:rsid w:val="5F32CC95"/>
    <w:rsid w:val="5F5CA6F8"/>
    <w:rsid w:val="5F5E3478"/>
    <w:rsid w:val="5F7A57C9"/>
    <w:rsid w:val="5FB12989"/>
    <w:rsid w:val="5FC0F7D1"/>
    <w:rsid w:val="5FC5EEE0"/>
    <w:rsid w:val="5FE4869E"/>
    <w:rsid w:val="601554ED"/>
    <w:rsid w:val="601872A4"/>
    <w:rsid w:val="601EE084"/>
    <w:rsid w:val="602E6E4C"/>
    <w:rsid w:val="6055C54A"/>
    <w:rsid w:val="60965207"/>
    <w:rsid w:val="60A9B446"/>
    <w:rsid w:val="60ADA66A"/>
    <w:rsid w:val="60BF3ECF"/>
    <w:rsid w:val="60C4BCFE"/>
    <w:rsid w:val="60FADBB1"/>
    <w:rsid w:val="610DC23F"/>
    <w:rsid w:val="61140AAE"/>
    <w:rsid w:val="6125AF28"/>
    <w:rsid w:val="617B3457"/>
    <w:rsid w:val="617CD591"/>
    <w:rsid w:val="61A504CC"/>
    <w:rsid w:val="61B8BE8B"/>
    <w:rsid w:val="61C3FA1B"/>
    <w:rsid w:val="61CB286E"/>
    <w:rsid w:val="61CF088C"/>
    <w:rsid w:val="61E4BCF8"/>
    <w:rsid w:val="61F7C93B"/>
    <w:rsid w:val="620255BA"/>
    <w:rsid w:val="622B7D5B"/>
    <w:rsid w:val="623B6248"/>
    <w:rsid w:val="6259FBF7"/>
    <w:rsid w:val="627BEDD7"/>
    <w:rsid w:val="62AA7F2E"/>
    <w:rsid w:val="62B40519"/>
    <w:rsid w:val="62B78886"/>
    <w:rsid w:val="62B8FCAA"/>
    <w:rsid w:val="62C94196"/>
    <w:rsid w:val="62D5173B"/>
    <w:rsid w:val="62D98C91"/>
    <w:rsid w:val="62DF61B7"/>
    <w:rsid w:val="6315D8BD"/>
    <w:rsid w:val="63195367"/>
    <w:rsid w:val="6353A767"/>
    <w:rsid w:val="635AAB8F"/>
    <w:rsid w:val="63636406"/>
    <w:rsid w:val="63708A98"/>
    <w:rsid w:val="638FC5F7"/>
    <w:rsid w:val="63976AF8"/>
    <w:rsid w:val="63AEE6CB"/>
    <w:rsid w:val="63E5F33D"/>
    <w:rsid w:val="63F3552E"/>
    <w:rsid w:val="63F6138F"/>
    <w:rsid w:val="6415F56B"/>
    <w:rsid w:val="641E0D09"/>
    <w:rsid w:val="6437778E"/>
    <w:rsid w:val="644F3C13"/>
    <w:rsid w:val="64500CFC"/>
    <w:rsid w:val="6450F3CC"/>
    <w:rsid w:val="645E5189"/>
    <w:rsid w:val="645F5C43"/>
    <w:rsid w:val="6469C10C"/>
    <w:rsid w:val="647F9CE9"/>
    <w:rsid w:val="64A8C8BE"/>
    <w:rsid w:val="64B9C87A"/>
    <w:rsid w:val="64E2C507"/>
    <w:rsid w:val="651595F1"/>
    <w:rsid w:val="653D6928"/>
    <w:rsid w:val="65406F58"/>
    <w:rsid w:val="6545D15A"/>
    <w:rsid w:val="655760EE"/>
    <w:rsid w:val="6566A441"/>
    <w:rsid w:val="65696FF0"/>
    <w:rsid w:val="6595D97F"/>
    <w:rsid w:val="65B4C09E"/>
    <w:rsid w:val="65C9F5F7"/>
    <w:rsid w:val="65E2D428"/>
    <w:rsid w:val="65F0CE18"/>
    <w:rsid w:val="65F21F7E"/>
    <w:rsid w:val="66049129"/>
    <w:rsid w:val="6608FA14"/>
    <w:rsid w:val="6613F04B"/>
    <w:rsid w:val="66348302"/>
    <w:rsid w:val="663737A4"/>
    <w:rsid w:val="665DB6EC"/>
    <w:rsid w:val="66839AE5"/>
    <w:rsid w:val="6693E80C"/>
    <w:rsid w:val="66B9C3F6"/>
    <w:rsid w:val="66C00967"/>
    <w:rsid w:val="66C37B28"/>
    <w:rsid w:val="66C82E87"/>
    <w:rsid w:val="66D39788"/>
    <w:rsid w:val="66E6FAA8"/>
    <w:rsid w:val="66FBB936"/>
    <w:rsid w:val="671195C2"/>
    <w:rsid w:val="672A7872"/>
    <w:rsid w:val="673B0F44"/>
    <w:rsid w:val="6743D6D6"/>
    <w:rsid w:val="6786076B"/>
    <w:rsid w:val="67896944"/>
    <w:rsid w:val="67B01548"/>
    <w:rsid w:val="67B40AD2"/>
    <w:rsid w:val="67C4D1B2"/>
    <w:rsid w:val="67CDEEDC"/>
    <w:rsid w:val="67CE06BE"/>
    <w:rsid w:val="67D1DD03"/>
    <w:rsid w:val="67D876D1"/>
    <w:rsid w:val="6803FCA3"/>
    <w:rsid w:val="683E4A8C"/>
    <w:rsid w:val="684D1524"/>
    <w:rsid w:val="6851D4ED"/>
    <w:rsid w:val="68756C7F"/>
    <w:rsid w:val="68861A7E"/>
    <w:rsid w:val="68872C58"/>
    <w:rsid w:val="689796A2"/>
    <w:rsid w:val="689CE76A"/>
    <w:rsid w:val="68A3B755"/>
    <w:rsid w:val="68BE4FB4"/>
    <w:rsid w:val="68D1D7F0"/>
    <w:rsid w:val="68F05EF1"/>
    <w:rsid w:val="68F7F432"/>
    <w:rsid w:val="6910D038"/>
    <w:rsid w:val="69531886"/>
    <w:rsid w:val="69670575"/>
    <w:rsid w:val="698CDFA4"/>
    <w:rsid w:val="69A02830"/>
    <w:rsid w:val="69BFDADD"/>
    <w:rsid w:val="69C8710C"/>
    <w:rsid w:val="69D8C176"/>
    <w:rsid w:val="69DB78C8"/>
    <w:rsid w:val="6A1414FC"/>
    <w:rsid w:val="6A3CFCD0"/>
    <w:rsid w:val="6A3E039E"/>
    <w:rsid w:val="6A3EDA07"/>
    <w:rsid w:val="6A563F20"/>
    <w:rsid w:val="6A62D9A6"/>
    <w:rsid w:val="6A6E663B"/>
    <w:rsid w:val="6A6EBF55"/>
    <w:rsid w:val="6B0D5AB3"/>
    <w:rsid w:val="6B25223B"/>
    <w:rsid w:val="6B28B005"/>
    <w:rsid w:val="6B2ED015"/>
    <w:rsid w:val="6B3285A1"/>
    <w:rsid w:val="6B57FD25"/>
    <w:rsid w:val="6BA0B39E"/>
    <w:rsid w:val="6BA60CD5"/>
    <w:rsid w:val="6BD5D193"/>
    <w:rsid w:val="6BEF49F9"/>
    <w:rsid w:val="6BF0FF85"/>
    <w:rsid w:val="6BF11DEE"/>
    <w:rsid w:val="6BF8AEE2"/>
    <w:rsid w:val="6C046C0F"/>
    <w:rsid w:val="6C0D7C6F"/>
    <w:rsid w:val="6C2618B7"/>
    <w:rsid w:val="6C346462"/>
    <w:rsid w:val="6C36EEE3"/>
    <w:rsid w:val="6C3A5ECB"/>
    <w:rsid w:val="6C463175"/>
    <w:rsid w:val="6C4D566C"/>
    <w:rsid w:val="6C821A5E"/>
    <w:rsid w:val="6CDCD1D9"/>
    <w:rsid w:val="6D027055"/>
    <w:rsid w:val="6D43EC68"/>
    <w:rsid w:val="6D4FD585"/>
    <w:rsid w:val="6D5A0731"/>
    <w:rsid w:val="6D5E98FB"/>
    <w:rsid w:val="6D76DB89"/>
    <w:rsid w:val="6D90D6EA"/>
    <w:rsid w:val="6D91074C"/>
    <w:rsid w:val="6D9C2D36"/>
    <w:rsid w:val="6D9E0B9C"/>
    <w:rsid w:val="6DA27B76"/>
    <w:rsid w:val="6DC1A505"/>
    <w:rsid w:val="6DCD3DE5"/>
    <w:rsid w:val="6DDF86CD"/>
    <w:rsid w:val="6E189671"/>
    <w:rsid w:val="6E18F94D"/>
    <w:rsid w:val="6E2B5893"/>
    <w:rsid w:val="6E4DD0EF"/>
    <w:rsid w:val="6E73D3E9"/>
    <w:rsid w:val="6E9E643C"/>
    <w:rsid w:val="6E9F6CEB"/>
    <w:rsid w:val="6EE26262"/>
    <w:rsid w:val="6EEEF547"/>
    <w:rsid w:val="6EF80B37"/>
    <w:rsid w:val="6EFBFCA8"/>
    <w:rsid w:val="6F029CB9"/>
    <w:rsid w:val="6F101ADF"/>
    <w:rsid w:val="6F2305E2"/>
    <w:rsid w:val="6F2363FF"/>
    <w:rsid w:val="6F4A0920"/>
    <w:rsid w:val="6F5C8234"/>
    <w:rsid w:val="6F652472"/>
    <w:rsid w:val="6F763473"/>
    <w:rsid w:val="6F8B7F61"/>
    <w:rsid w:val="6F8F4819"/>
    <w:rsid w:val="6FC2F264"/>
    <w:rsid w:val="6FC3C5EE"/>
    <w:rsid w:val="6FDF708B"/>
    <w:rsid w:val="6FE21EF7"/>
    <w:rsid w:val="6FEED27E"/>
    <w:rsid w:val="6FF0B1F9"/>
    <w:rsid w:val="6FFE1DB5"/>
    <w:rsid w:val="70249DD7"/>
    <w:rsid w:val="703B235F"/>
    <w:rsid w:val="703B8B96"/>
    <w:rsid w:val="7046E076"/>
    <w:rsid w:val="70590B9A"/>
    <w:rsid w:val="7068BA9F"/>
    <w:rsid w:val="706A58FF"/>
    <w:rsid w:val="706B0955"/>
    <w:rsid w:val="70774254"/>
    <w:rsid w:val="7097226D"/>
    <w:rsid w:val="70C2BFDD"/>
    <w:rsid w:val="70CA7BC3"/>
    <w:rsid w:val="70DED92D"/>
    <w:rsid w:val="70F264BD"/>
    <w:rsid w:val="70F69315"/>
    <w:rsid w:val="710A602F"/>
    <w:rsid w:val="710E9EF3"/>
    <w:rsid w:val="7134F29F"/>
    <w:rsid w:val="71634CDA"/>
    <w:rsid w:val="7180A0F3"/>
    <w:rsid w:val="7184A4BC"/>
    <w:rsid w:val="7197A621"/>
    <w:rsid w:val="7198A776"/>
    <w:rsid w:val="71BC3357"/>
    <w:rsid w:val="71ED2290"/>
    <w:rsid w:val="71F13495"/>
    <w:rsid w:val="71F891DB"/>
    <w:rsid w:val="721E44A9"/>
    <w:rsid w:val="722266EC"/>
    <w:rsid w:val="7225849E"/>
    <w:rsid w:val="7244953D"/>
    <w:rsid w:val="725AE621"/>
    <w:rsid w:val="72627584"/>
    <w:rsid w:val="726EF6C8"/>
    <w:rsid w:val="7276410E"/>
    <w:rsid w:val="7278C180"/>
    <w:rsid w:val="727A2322"/>
    <w:rsid w:val="7286E9FB"/>
    <w:rsid w:val="72ACD697"/>
    <w:rsid w:val="72B889CB"/>
    <w:rsid w:val="72CA33CE"/>
    <w:rsid w:val="72D44F57"/>
    <w:rsid w:val="72E05D43"/>
    <w:rsid w:val="72EDD3E5"/>
    <w:rsid w:val="72F26AAC"/>
    <w:rsid w:val="7312742A"/>
    <w:rsid w:val="732693D3"/>
    <w:rsid w:val="73337682"/>
    <w:rsid w:val="734877A3"/>
    <w:rsid w:val="734EA18E"/>
    <w:rsid w:val="735F2795"/>
    <w:rsid w:val="73773091"/>
    <w:rsid w:val="73838AA2"/>
    <w:rsid w:val="7388AE14"/>
    <w:rsid w:val="7388F2F1"/>
    <w:rsid w:val="738E43F6"/>
    <w:rsid w:val="73D23EC1"/>
    <w:rsid w:val="73D3FD19"/>
    <w:rsid w:val="73DE9EB3"/>
    <w:rsid w:val="73E81595"/>
    <w:rsid w:val="73FBD624"/>
    <w:rsid w:val="74181442"/>
    <w:rsid w:val="7439ED2D"/>
    <w:rsid w:val="743CD38E"/>
    <w:rsid w:val="7448996C"/>
    <w:rsid w:val="74571B85"/>
    <w:rsid w:val="74E22EF8"/>
    <w:rsid w:val="74E9E0CA"/>
    <w:rsid w:val="74F0D784"/>
    <w:rsid w:val="750B64AF"/>
    <w:rsid w:val="752B08B9"/>
    <w:rsid w:val="753411D8"/>
    <w:rsid w:val="7565D0FF"/>
    <w:rsid w:val="756A653F"/>
    <w:rsid w:val="756FD590"/>
    <w:rsid w:val="757D8A9D"/>
    <w:rsid w:val="757DCAEF"/>
    <w:rsid w:val="7596AE8D"/>
    <w:rsid w:val="7597D097"/>
    <w:rsid w:val="75A02045"/>
    <w:rsid w:val="75A31064"/>
    <w:rsid w:val="75D812C2"/>
    <w:rsid w:val="75F2CD65"/>
    <w:rsid w:val="7609013E"/>
    <w:rsid w:val="760FDAD2"/>
    <w:rsid w:val="7616DAD2"/>
    <w:rsid w:val="762A5C52"/>
    <w:rsid w:val="762F19E8"/>
    <w:rsid w:val="764CB6DD"/>
    <w:rsid w:val="765ADBA0"/>
    <w:rsid w:val="76680ED2"/>
    <w:rsid w:val="768CCCB7"/>
    <w:rsid w:val="76A93407"/>
    <w:rsid w:val="76B14BDE"/>
    <w:rsid w:val="76DC13E1"/>
    <w:rsid w:val="76F5CC38"/>
    <w:rsid w:val="76F8B656"/>
    <w:rsid w:val="771768C2"/>
    <w:rsid w:val="77316091"/>
    <w:rsid w:val="7743D04D"/>
    <w:rsid w:val="7747E8AD"/>
    <w:rsid w:val="776EF4B9"/>
    <w:rsid w:val="777452D8"/>
    <w:rsid w:val="777BBA29"/>
    <w:rsid w:val="777BCDD0"/>
    <w:rsid w:val="777ECBE2"/>
    <w:rsid w:val="77979B0C"/>
    <w:rsid w:val="77AD9407"/>
    <w:rsid w:val="77B140A1"/>
    <w:rsid w:val="77BAC59E"/>
    <w:rsid w:val="77D07A83"/>
    <w:rsid w:val="77D53B28"/>
    <w:rsid w:val="77F17D30"/>
    <w:rsid w:val="78039089"/>
    <w:rsid w:val="7803B993"/>
    <w:rsid w:val="780A29FE"/>
    <w:rsid w:val="782D43AC"/>
    <w:rsid w:val="784F955D"/>
    <w:rsid w:val="78531C43"/>
    <w:rsid w:val="78676E6E"/>
    <w:rsid w:val="786C09F2"/>
    <w:rsid w:val="789D1384"/>
    <w:rsid w:val="78ADFA67"/>
    <w:rsid w:val="78B33AA0"/>
    <w:rsid w:val="78C08404"/>
    <w:rsid w:val="78C86726"/>
    <w:rsid w:val="78CEF2A0"/>
    <w:rsid w:val="78ED89B4"/>
    <w:rsid w:val="78FCCEFC"/>
    <w:rsid w:val="7915A1CD"/>
    <w:rsid w:val="79280F39"/>
    <w:rsid w:val="792958F8"/>
    <w:rsid w:val="7938CAE9"/>
    <w:rsid w:val="79424C83"/>
    <w:rsid w:val="79438DF9"/>
    <w:rsid w:val="795FF303"/>
    <w:rsid w:val="7985C38A"/>
    <w:rsid w:val="799DD4B2"/>
    <w:rsid w:val="79A9925D"/>
    <w:rsid w:val="79B2C645"/>
    <w:rsid w:val="79B9EF62"/>
    <w:rsid w:val="79CB0BB9"/>
    <w:rsid w:val="79DF0C18"/>
    <w:rsid w:val="79EE77BA"/>
    <w:rsid w:val="79FAD14C"/>
    <w:rsid w:val="7A088F50"/>
    <w:rsid w:val="7A0A5BF9"/>
    <w:rsid w:val="7A24F353"/>
    <w:rsid w:val="7A324A6C"/>
    <w:rsid w:val="7A3BDEF4"/>
    <w:rsid w:val="7A48CBCC"/>
    <w:rsid w:val="7A4BC5D7"/>
    <w:rsid w:val="7A537608"/>
    <w:rsid w:val="7A6103E8"/>
    <w:rsid w:val="7A6548E5"/>
    <w:rsid w:val="7A754454"/>
    <w:rsid w:val="7A86A44F"/>
    <w:rsid w:val="7A8B0A11"/>
    <w:rsid w:val="7A8C6E7D"/>
    <w:rsid w:val="7A9C804B"/>
    <w:rsid w:val="7AA7D299"/>
    <w:rsid w:val="7AA94405"/>
    <w:rsid w:val="7AE3093F"/>
    <w:rsid w:val="7AE326FC"/>
    <w:rsid w:val="7AE7DEAC"/>
    <w:rsid w:val="7AEDA7B8"/>
    <w:rsid w:val="7AEE9CE6"/>
    <w:rsid w:val="7B00C698"/>
    <w:rsid w:val="7B03C1E8"/>
    <w:rsid w:val="7B18A9A7"/>
    <w:rsid w:val="7B1E3119"/>
    <w:rsid w:val="7B286DF9"/>
    <w:rsid w:val="7B2D9F73"/>
    <w:rsid w:val="7B2ED2A8"/>
    <w:rsid w:val="7B355616"/>
    <w:rsid w:val="7B41D6CF"/>
    <w:rsid w:val="7B655838"/>
    <w:rsid w:val="7B825066"/>
    <w:rsid w:val="7B8BACB3"/>
    <w:rsid w:val="7B96CB3E"/>
    <w:rsid w:val="7B9BE69E"/>
    <w:rsid w:val="7BAE473C"/>
    <w:rsid w:val="7BAE54EC"/>
    <w:rsid w:val="7BBF1A70"/>
    <w:rsid w:val="7BC40AD4"/>
    <w:rsid w:val="7BE20B00"/>
    <w:rsid w:val="7BFFF2B6"/>
    <w:rsid w:val="7C1E9AAF"/>
    <w:rsid w:val="7C225A0B"/>
    <w:rsid w:val="7C238AFB"/>
    <w:rsid w:val="7C2D4912"/>
    <w:rsid w:val="7C5B441D"/>
    <w:rsid w:val="7CA4D7AF"/>
    <w:rsid w:val="7CA51D6D"/>
    <w:rsid w:val="7CABC000"/>
    <w:rsid w:val="7CB20029"/>
    <w:rsid w:val="7CE3F855"/>
    <w:rsid w:val="7CF00EDA"/>
    <w:rsid w:val="7CF9D396"/>
    <w:rsid w:val="7D298FC6"/>
    <w:rsid w:val="7D44155A"/>
    <w:rsid w:val="7D459495"/>
    <w:rsid w:val="7D4E1F1E"/>
    <w:rsid w:val="7D50351B"/>
    <w:rsid w:val="7D50CDFC"/>
    <w:rsid w:val="7D5834D5"/>
    <w:rsid w:val="7D6299D0"/>
    <w:rsid w:val="7D77F049"/>
    <w:rsid w:val="7D86085B"/>
    <w:rsid w:val="7DBAD9A6"/>
    <w:rsid w:val="7DBB8FEF"/>
    <w:rsid w:val="7DBDCE4F"/>
    <w:rsid w:val="7DC5D35E"/>
    <w:rsid w:val="7DC78DE7"/>
    <w:rsid w:val="7DD20821"/>
    <w:rsid w:val="7DE22B51"/>
    <w:rsid w:val="7DF4AC59"/>
    <w:rsid w:val="7DF8E4BD"/>
    <w:rsid w:val="7DFF6EFD"/>
    <w:rsid w:val="7E24808C"/>
    <w:rsid w:val="7E280730"/>
    <w:rsid w:val="7E3C40EC"/>
    <w:rsid w:val="7E77D652"/>
    <w:rsid w:val="7E9ED2B6"/>
    <w:rsid w:val="7EAE30AB"/>
    <w:rsid w:val="7EB2A488"/>
    <w:rsid w:val="7EB7170C"/>
    <w:rsid w:val="7EC3AA6D"/>
    <w:rsid w:val="7EF54D97"/>
    <w:rsid w:val="7F0433FF"/>
    <w:rsid w:val="7F2B458D"/>
    <w:rsid w:val="7F2BA250"/>
    <w:rsid w:val="7F35B7AE"/>
    <w:rsid w:val="7F3D94DB"/>
    <w:rsid w:val="7F4026DE"/>
    <w:rsid w:val="7F5DE90F"/>
    <w:rsid w:val="7F713A12"/>
    <w:rsid w:val="7F75B059"/>
    <w:rsid w:val="7F92A35A"/>
    <w:rsid w:val="7FA76477"/>
    <w:rsid w:val="7FAF0916"/>
    <w:rsid w:val="7FCBBECD"/>
    <w:rsid w:val="7FF327F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BDC8DE"/>
  <w15:docId w15:val="{EA390040-B14A-48C9-A547-00D30A00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E5E"/>
    <w:pPr>
      <w:spacing w:after="120" w:line="240" w:lineRule="auto"/>
      <w:jc w:val="both"/>
    </w:pPr>
    <w:rPr>
      <w:rFonts w:ascii="Times New Roman" w:eastAsia="Times New Roman" w:hAnsi="Times New Roman" w:cs="Times New Roman"/>
    </w:rPr>
  </w:style>
  <w:style w:type="paragraph" w:styleId="Heading1">
    <w:name w:val="heading 1"/>
    <w:basedOn w:val="Normal"/>
    <w:next w:val="Normal"/>
    <w:link w:val="Heading1Char"/>
    <w:qFormat/>
    <w:pPr>
      <w:keepNext/>
      <w:keepLines/>
      <w:spacing w:before="240" w:after="0"/>
      <w:outlineLvl w:val="0"/>
    </w:pPr>
    <w:rPr>
      <w:rFonts w:ascii="Times New Roman Bold" w:eastAsiaTheme="majorEastAsia" w:hAnsi="Times New Roman Bold" w:cstheme="majorBidi"/>
      <w:b/>
      <w:caps/>
      <w:sz w:val="24"/>
      <w:szCs w:val="32"/>
    </w:rPr>
  </w:style>
  <w:style w:type="paragraph" w:styleId="Heading2">
    <w:name w:val="heading 2"/>
    <w:aliases w:val="szd_h2,Headline 2,h2,2,headi,heading2,h21,h22,21,H2,l2,kopregel 2"/>
    <w:basedOn w:val="Normal"/>
    <w:next w:val="Normal"/>
    <w:link w:val="Heading2Char"/>
    <w:unhideWhenUsed/>
    <w:qFormat/>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nhideWhenUsed/>
    <w:qFormat/>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jc w:val="center"/>
      <w:outlineLvl w:val="4"/>
    </w:pPr>
    <w:rPr>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List Paragraph1,Lettre d'introduction,Paragrafo elenco,Medium Grid 1 - Accent 21,List Paragraph 1,OBC Bullet,Normal 1,Task Body,Viñetas (Inicio Parrafo),3 Txt tabla,Zerrenda-paragrafoa"/>
    <w:basedOn w:val="Normal"/>
    <w:link w:val="ListParagraphChar"/>
    <w:uiPriority w:val="34"/>
    <w:qFormat/>
    <w:pPr>
      <w:ind w:left="720"/>
      <w:contextualSpacing/>
    </w:pPr>
  </w:style>
  <w:style w:type="paragraph" w:styleId="Date">
    <w:name w:val="Date"/>
    <w:basedOn w:val="Normal"/>
    <w:next w:val="Normal"/>
    <w:link w:val="DateChar"/>
    <w:pPr>
      <w:suppressAutoHyphens/>
      <w:spacing w:after="0"/>
      <w:ind w:left="5103" w:right="-567"/>
    </w:pPr>
    <w:rPr>
      <w:sz w:val="24"/>
      <w:szCs w:val="20"/>
      <w:lang w:eastAsia="ar-SA"/>
    </w:rPr>
  </w:style>
  <w:style w:type="character" w:customStyle="1" w:styleId="DateChar">
    <w:name w:val="Date Char"/>
    <w:basedOn w:val="DefaultParagraphFont"/>
    <w:link w:val="Date"/>
    <w:rPr>
      <w:rFonts w:ascii="Times New Roman" w:eastAsia="Times New Roman" w:hAnsi="Times New Roman" w:cs="Times New Roman"/>
      <w:sz w:val="24"/>
      <w:szCs w:val="20"/>
      <w:lang w:val="ga-IE" w:eastAsia="ar-SA"/>
    </w:rPr>
  </w:style>
  <w:style w:type="paragraph" w:customStyle="1" w:styleId="ZCom">
    <w:name w:val="Z_Com"/>
    <w:basedOn w:val="Normal"/>
    <w:next w:val="ZDGName"/>
    <w:pPr>
      <w:widowControl w:val="0"/>
      <w:suppressAutoHyphens/>
      <w:spacing w:after="0"/>
      <w:ind w:right="85"/>
    </w:pPr>
    <w:rPr>
      <w:rFonts w:ascii="Arial" w:hAnsi="Arial"/>
      <w:sz w:val="24"/>
      <w:szCs w:val="20"/>
      <w:lang w:eastAsia="ar-SA"/>
    </w:rPr>
  </w:style>
  <w:style w:type="paragraph" w:customStyle="1" w:styleId="ZDGName">
    <w:name w:val="Z_DGName"/>
    <w:basedOn w:val="Normal"/>
    <w:uiPriority w:val="99"/>
    <w:pPr>
      <w:widowControl w:val="0"/>
      <w:suppressAutoHyphens/>
      <w:spacing w:after="0"/>
      <w:ind w:right="85"/>
    </w:pPr>
    <w:rPr>
      <w:rFonts w:ascii="Arial" w:hAnsi="Arial"/>
      <w:sz w:val="16"/>
      <w:szCs w:val="20"/>
      <w:lang w:eastAsia="ar-SA"/>
    </w:rPr>
  </w:style>
  <w:style w:type="paragraph" w:styleId="Title">
    <w:name w:val="Title"/>
    <w:basedOn w:val="Normal"/>
    <w:next w:val="Normal"/>
    <w:link w:val="TitleChar"/>
    <w:autoRedefine/>
    <w:uiPriority w:val="10"/>
    <w:qFormat/>
    <w:pPr>
      <w:spacing w:before="240" w:after="60"/>
      <w:jc w:val="center"/>
      <w:outlineLvl w:val="0"/>
    </w:pPr>
    <w:rPr>
      <w:b/>
      <w:bCs/>
      <w:kern w:val="28"/>
      <w:sz w:val="44"/>
      <w:szCs w:val="32"/>
    </w:rPr>
  </w:style>
  <w:style w:type="character" w:customStyle="1" w:styleId="TitleChar">
    <w:name w:val="Title Char"/>
    <w:basedOn w:val="DefaultParagraphFont"/>
    <w:link w:val="Title"/>
    <w:uiPriority w:val="10"/>
    <w:rPr>
      <w:rFonts w:ascii="Times New Roman" w:eastAsia="Times New Roman" w:hAnsi="Times New Roman" w:cs="Times New Roman"/>
      <w:b/>
      <w:bCs/>
      <w:kern w:val="28"/>
      <w:sz w:val="44"/>
      <w:szCs w:val="32"/>
      <w:lang w:val="ga-IE"/>
    </w:rPr>
  </w:style>
  <w:style w:type="character" w:customStyle="1" w:styleId="Heading1Char">
    <w:name w:val="Heading 1 Char"/>
    <w:basedOn w:val="DefaultParagraphFont"/>
    <w:link w:val="Heading1"/>
    <w:rPr>
      <w:rFonts w:ascii="Times New Roman Bold" w:eastAsiaTheme="majorEastAsia" w:hAnsi="Times New Roman Bold" w:cstheme="majorBidi"/>
      <w:b/>
      <w:caps/>
      <w:sz w:val="24"/>
      <w:szCs w:val="32"/>
      <w:lang w:val="ga-IE"/>
    </w:rPr>
  </w:style>
  <w:style w:type="character" w:customStyle="1" w:styleId="Heading2Char">
    <w:name w:val="Heading 2 Char"/>
    <w:aliases w:val="szd_h2 Char,Headline 2 Char,h2 Char,2 Char,headi Char,heading2 Char,h21 Char,h22 Char,21 Char,H2 Char,l2 Char,kopregel 2 Char"/>
    <w:basedOn w:val="DefaultParagraphFont"/>
    <w:link w:val="Heading2"/>
    <w:uiPriority w:val="34"/>
    <w:rPr>
      <w:rFonts w:ascii="Times New Roman" w:eastAsiaTheme="majorEastAsia" w:hAnsi="Times New Roman" w:cstheme="majorBidi"/>
      <w:b/>
      <w:sz w:val="24"/>
      <w:szCs w:val="26"/>
      <w:lang w:val="ga-IE"/>
    </w:rPr>
  </w:style>
  <w:style w:type="paragraph" w:styleId="Caption">
    <w:name w:val="caption"/>
    <w:aliases w:val="CaptionCFMU,CaptionTLS,Caption Figure,Figure1,Figure2,Figure3,Figure4,Figure5,%Caption,Char Char Char,Char Char Char Char,Char Char Char Char Char,Char Char Char Char Char Char,Char Char Char Char Char1 Char,Caption Char1"/>
    <w:basedOn w:val="Normal"/>
    <w:next w:val="Normal"/>
    <w:link w:val="CaptionChar"/>
    <w:autoRedefine/>
    <w:unhideWhenUsed/>
    <w:qFormat/>
    <w:rsid w:val="0062240B"/>
    <w:pPr>
      <w:keepNext/>
      <w:keepLines/>
      <w:spacing w:after="0"/>
      <w:jc w:val="center"/>
    </w:pPr>
    <w:rPr>
      <w:i/>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Times New Roman" w:eastAsiaTheme="majorEastAsia" w:hAnsi="Times New Roman" w:cstheme="majorBidi"/>
      <w:b/>
      <w:sz w:val="24"/>
      <w:szCs w:val="24"/>
      <w:lang w:val="ga-IE"/>
    </w:rPr>
  </w:style>
  <w:style w:type="paragraph" w:styleId="TOCHeading">
    <w:name w:val="TOC Heading"/>
    <w:basedOn w:val="Heading1"/>
    <w:next w:val="Normal"/>
    <w:uiPriority w:val="39"/>
    <w:unhideWhenUsed/>
    <w:qFormat/>
    <w:pPr>
      <w:spacing w:line="259" w:lineRule="auto"/>
      <w:jc w:val="left"/>
      <w:outlineLvl w:val="9"/>
    </w:pPr>
    <w:rPr>
      <w:rFonts w:asciiTheme="majorHAnsi" w:hAnsiTheme="majorHAnsi"/>
      <w:b w:val="0"/>
      <w:caps w:val="0"/>
      <w:color w:val="2E74B5" w:themeColor="accent1" w:themeShade="BF"/>
      <w:sz w:val="32"/>
    </w:rPr>
  </w:style>
  <w:style w:type="paragraph" w:styleId="TOC1">
    <w:name w:val="toc 1"/>
    <w:basedOn w:val="Normal"/>
    <w:next w:val="Normal"/>
    <w:link w:val="TOC1Char"/>
    <w:autoRedefine/>
    <w:uiPriority w:val="39"/>
    <w:unhideWhenUsed/>
    <w:rsid w:val="00CA3B68"/>
    <w:pPr>
      <w:tabs>
        <w:tab w:val="left" w:pos="440"/>
        <w:tab w:val="left" w:pos="880"/>
        <w:tab w:val="right" w:leader="dot" w:pos="9062"/>
      </w:tabs>
      <w:ind w:left="215"/>
    </w:pPr>
  </w:style>
  <w:style w:type="paragraph" w:styleId="TOC2">
    <w:name w:val="toc 2"/>
    <w:basedOn w:val="Normal"/>
    <w:next w:val="Normal"/>
    <w:autoRedefine/>
    <w:uiPriority w:val="39"/>
    <w:unhideWhenUsed/>
    <w:pPr>
      <w:tabs>
        <w:tab w:val="left" w:pos="880"/>
        <w:tab w:val="right" w:leader="dot" w:pos="9062"/>
      </w:tabs>
      <w:ind w:left="215"/>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lang w:val="ga-I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lang w:val="ga-I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ga-IE"/>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ga-IE"/>
    </w:rPr>
  </w:style>
  <w:style w:type="paragraph" w:styleId="BodyTextIndent">
    <w:name w:val="Body Text Indent"/>
    <w:basedOn w:val="Normal"/>
    <w:link w:val="BodyTextIndentChar"/>
    <w:uiPriority w:val="99"/>
    <w:unhideWhenUsed/>
    <w:pPr>
      <w:ind w:left="708"/>
    </w:p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lang w:val="ga-IE"/>
    </w:rPr>
  </w:style>
  <w:style w:type="paragraph" w:styleId="BodyText">
    <w:name w:val="Body Text"/>
    <w:basedOn w:val="Normal"/>
    <w:link w:val="BodyTextChar"/>
    <w:uiPriority w:val="99"/>
    <w:unhideWhenUsed/>
    <w:rPr>
      <w:i/>
      <w:color w:val="1F4E79" w:themeColor="accent1" w:themeShade="80"/>
    </w:rPr>
  </w:style>
  <w:style w:type="character" w:customStyle="1" w:styleId="BodyTextChar">
    <w:name w:val="Body Text Char"/>
    <w:basedOn w:val="DefaultParagraphFont"/>
    <w:link w:val="BodyText"/>
    <w:uiPriority w:val="99"/>
    <w:rPr>
      <w:rFonts w:ascii="Times New Roman" w:eastAsia="Times New Roman" w:hAnsi="Times New Roman" w:cs="Times New Roman"/>
      <w:i/>
      <w:color w:val="1F4E79" w:themeColor="accent1" w:themeShade="80"/>
      <w:lang w:val="ga-IE"/>
    </w:rPr>
  </w:style>
  <w:style w:type="paragraph" w:styleId="Revision">
    <w:name w:val="Revision"/>
    <w:hidden/>
    <w:uiPriority w:val="99"/>
    <w:semiHidden/>
    <w:pPr>
      <w:spacing w:after="0" w:line="240" w:lineRule="auto"/>
    </w:pPr>
    <w:rPr>
      <w:rFonts w:ascii="Times New Roman" w:eastAsia="Times New Roman" w:hAnsi="Times New Roman" w:cs="Times New Roman"/>
    </w:rPr>
  </w:style>
  <w:style w:type="paragraph" w:styleId="FootnoteText">
    <w:name w:val="footnote text"/>
    <w:aliases w:val="Footnote text,Schriftart: 9 pt,Schriftart: 10 pt,Schriftart: 8 pt Char Char,Schriftart: 8 pt,single space,FOOTNOTES,fn,ADB,pod carou,Char,Fußnote,Carattere,Footnotes,Footnote ak,Footnote Text Char Char,fn Char Char"/>
    <w:basedOn w:val="Normal"/>
    <w:link w:val="FootnoteTextChar"/>
    <w:unhideWhenUsed/>
    <w:qFormat/>
    <w:pPr>
      <w:spacing w:after="0"/>
    </w:pPr>
    <w:rPr>
      <w:sz w:val="20"/>
      <w:szCs w:val="20"/>
    </w:rPr>
  </w:style>
  <w:style w:type="character" w:customStyle="1" w:styleId="FootnoteTextChar">
    <w:name w:val="Footnote Text Char"/>
    <w:aliases w:val="Footnote text Char,Schriftart: 9 pt Char,Schriftart: 10 pt Char,Schriftart: 8 pt Char Char Char,Schriftart: 8 pt Char,single space Char,FOOTNOTES Char,fn Char,ADB Char,pod carou Char,Char Char,Fußnote Char,Carattere Char"/>
    <w:basedOn w:val="DefaultParagraphFont"/>
    <w:link w:val="FootnoteText"/>
    <w:rPr>
      <w:rFonts w:ascii="Times New Roman" w:eastAsia="Times New Roman" w:hAnsi="Times New Roman" w:cs="Times New Roman"/>
      <w:sz w:val="20"/>
      <w:szCs w:val="20"/>
      <w:lang w:val="ga-IE"/>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r,Footnote"/>
    <w:basedOn w:val="DefaultParagraphFont"/>
    <w:link w:val="SUPERSCharCharCharCharCharCharCharChar"/>
    <w:unhideWhenUsed/>
    <w:qFormat/>
    <w:rPr>
      <w:vertAlign w:val="superscript"/>
    </w:rPr>
  </w:style>
  <w:style w:type="character" w:customStyle="1" w:styleId="Heading4Char">
    <w:name w:val="Heading 4 Char"/>
    <w:basedOn w:val="DefaultParagraphFont"/>
    <w:link w:val="Heading4"/>
    <w:rPr>
      <w:rFonts w:asciiTheme="majorHAnsi" w:eastAsiaTheme="majorEastAsia" w:hAnsiTheme="majorHAnsi" w:cstheme="majorBidi"/>
      <w:i/>
      <w:iCs/>
      <w:color w:val="2E74B5" w:themeColor="accent1" w:themeShade="BF"/>
      <w:lang w:val="ga-I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pPr>
      <w:spacing w:after="0"/>
    </w:pPr>
  </w:style>
  <w:style w:type="character" w:customStyle="1" w:styleId="Heading5Char">
    <w:name w:val="Heading 5 Char"/>
    <w:basedOn w:val="DefaultParagraphFont"/>
    <w:link w:val="Heading5"/>
    <w:uiPriority w:val="9"/>
    <w:rPr>
      <w:rFonts w:ascii="Times New Roman" w:eastAsia="Times New Roman" w:hAnsi="Times New Roman" w:cs="Times New Roman"/>
      <w:i/>
      <w:iCs/>
      <w:sz w:val="18"/>
      <w:szCs w:val="18"/>
      <w:lang w:val="ga-IE"/>
    </w:rPr>
  </w:style>
  <w:style w:type="paragraph" w:styleId="BodyTextIndent2">
    <w:name w:val="Body Text Indent 2"/>
    <w:basedOn w:val="Normal"/>
    <w:link w:val="BodyTextIndent2Char"/>
    <w:uiPriority w:val="99"/>
    <w:unhideWhenUsed/>
    <w:pPr>
      <w:spacing w:afterLines="120" w:after="288"/>
      <w:ind w:left="360"/>
    </w:p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lang w:val="ga-IE"/>
    </w:rPr>
  </w:style>
  <w:style w:type="paragraph" w:styleId="NormalWeb">
    <w:name w:val="Normal (Web)"/>
    <w:basedOn w:val="Normal"/>
    <w:uiPriority w:val="99"/>
    <w:unhideWhenUsed/>
    <w:pPr>
      <w:spacing w:before="100" w:beforeAutospacing="1" w:after="100" w:afterAutospacing="1"/>
      <w:jc w:val="left"/>
    </w:pPr>
    <w:rPr>
      <w:rFonts w:eastAsiaTheme="minorEastAsia"/>
      <w:sz w:val="24"/>
      <w:szCs w:val="24"/>
      <w:lang w:eastAsia="en-GB"/>
    </w:rPr>
  </w:style>
  <w:style w:type="character" w:styleId="Strong">
    <w:name w:val="Strong"/>
    <w:basedOn w:val="DefaultParagraphFont"/>
    <w:uiPriority w:val="22"/>
    <w:qFormat/>
    <w:rPr>
      <w:b/>
      <w:bCs/>
    </w:rPr>
  </w:style>
  <w:style w:type="paragraph" w:styleId="BodyText2">
    <w:name w:val="Body Text 2"/>
    <w:basedOn w:val="Normal"/>
    <w:link w:val="BodyText2Char"/>
    <w:uiPriority w:val="99"/>
    <w:unhideWhenUsed/>
    <w:pPr>
      <w:jc w:val="left"/>
    </w:pPr>
    <w:rPr>
      <w:shd w:val="clear" w:color="auto" w:fill="FFFFFF"/>
    </w:rPr>
  </w:style>
  <w:style w:type="character" w:customStyle="1" w:styleId="BodyText2Char">
    <w:name w:val="Body Text 2 Char"/>
    <w:basedOn w:val="DefaultParagraphFont"/>
    <w:link w:val="BodyText2"/>
    <w:uiPriority w:val="99"/>
    <w:rPr>
      <w:rFonts w:ascii="Times New Roman" w:eastAsia="Times New Roman" w:hAnsi="Times New Roman" w:cs="Times New Roman"/>
      <w:lang w:val="ga-IE"/>
    </w:rPr>
  </w:style>
  <w:style w:type="paragraph" w:styleId="BodyText3">
    <w:name w:val="Body Text 3"/>
    <w:basedOn w:val="Normal"/>
    <w:link w:val="BodyText3Char"/>
    <w:uiPriority w:val="99"/>
    <w:unhideWhenUsed/>
    <w:pPr>
      <w:widowControl w:val="0"/>
      <w:autoSpaceDE w:val="0"/>
      <w:autoSpaceDN w:val="0"/>
      <w:spacing w:before="119" w:after="0"/>
      <w:ind w:right="91"/>
    </w:pPr>
  </w:style>
  <w:style w:type="character" w:customStyle="1" w:styleId="BodyText3Char">
    <w:name w:val="Body Text 3 Char"/>
    <w:basedOn w:val="DefaultParagraphFont"/>
    <w:link w:val="BodyText3"/>
    <w:uiPriority w:val="99"/>
    <w:rPr>
      <w:rFonts w:ascii="Times New Roman" w:eastAsia="Times New Roman" w:hAnsi="Times New Roman" w:cs="Times New Roman"/>
      <w:lang w:val="ga-IE"/>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val="ga-IE"/>
    </w:rPr>
  </w:style>
  <w:style w:type="character" w:styleId="EndnoteReference">
    <w:name w:val="endnote reference"/>
    <w:basedOn w:val="DefaultParagraphFont"/>
    <w:uiPriority w:val="99"/>
    <w:semiHidden/>
    <w:unhideWhenUsed/>
    <w:rPr>
      <w:vertAlign w:val="superscript"/>
    </w:rPr>
  </w:style>
  <w:style w:type="paragraph" w:customStyle="1" w:styleId="Point0number">
    <w:name w:val="Point 0 (number)"/>
    <w:basedOn w:val="Normal"/>
    <w:pPr>
      <w:numPr>
        <w:numId w:val="5"/>
      </w:numPr>
      <w:spacing w:before="120"/>
    </w:pPr>
    <w:rPr>
      <w:rFonts w:eastAsiaTheme="minorHAnsi"/>
      <w:sz w:val="24"/>
    </w:rPr>
  </w:style>
  <w:style w:type="paragraph" w:customStyle="1" w:styleId="Point1number">
    <w:name w:val="Point 1 (number)"/>
    <w:basedOn w:val="Normal"/>
    <w:pPr>
      <w:numPr>
        <w:ilvl w:val="2"/>
        <w:numId w:val="5"/>
      </w:numPr>
      <w:spacing w:before="120"/>
    </w:pPr>
    <w:rPr>
      <w:rFonts w:eastAsiaTheme="minorHAnsi"/>
      <w:sz w:val="24"/>
    </w:rPr>
  </w:style>
  <w:style w:type="paragraph" w:customStyle="1" w:styleId="Point2number">
    <w:name w:val="Point 2 (number)"/>
    <w:basedOn w:val="Normal"/>
    <w:pPr>
      <w:numPr>
        <w:ilvl w:val="4"/>
        <w:numId w:val="5"/>
      </w:numPr>
      <w:spacing w:before="120"/>
    </w:pPr>
    <w:rPr>
      <w:rFonts w:eastAsiaTheme="minorHAnsi"/>
      <w:sz w:val="24"/>
    </w:rPr>
  </w:style>
  <w:style w:type="paragraph" w:customStyle="1" w:styleId="Point3number">
    <w:name w:val="Point 3 (number)"/>
    <w:basedOn w:val="Normal"/>
    <w:pPr>
      <w:numPr>
        <w:ilvl w:val="6"/>
        <w:numId w:val="5"/>
      </w:numPr>
      <w:spacing w:before="120"/>
    </w:pPr>
    <w:rPr>
      <w:rFonts w:eastAsiaTheme="minorHAnsi"/>
      <w:sz w:val="24"/>
    </w:rPr>
  </w:style>
  <w:style w:type="paragraph" w:customStyle="1" w:styleId="Point0letter">
    <w:name w:val="Point 0 (letter)"/>
    <w:basedOn w:val="Normal"/>
    <w:pPr>
      <w:numPr>
        <w:ilvl w:val="1"/>
        <w:numId w:val="5"/>
      </w:numPr>
      <w:spacing w:before="120"/>
    </w:pPr>
    <w:rPr>
      <w:rFonts w:eastAsiaTheme="minorHAnsi"/>
      <w:sz w:val="24"/>
    </w:rPr>
  </w:style>
  <w:style w:type="paragraph" w:customStyle="1" w:styleId="Point1letter">
    <w:name w:val="Point 1 (letter)"/>
    <w:basedOn w:val="Normal"/>
    <w:pPr>
      <w:numPr>
        <w:ilvl w:val="3"/>
        <w:numId w:val="5"/>
      </w:numPr>
      <w:spacing w:before="120"/>
    </w:pPr>
    <w:rPr>
      <w:rFonts w:eastAsiaTheme="minorHAnsi"/>
      <w:sz w:val="24"/>
    </w:rPr>
  </w:style>
  <w:style w:type="paragraph" w:customStyle="1" w:styleId="Point2letter">
    <w:name w:val="Point 2 (letter)"/>
    <w:basedOn w:val="Normal"/>
    <w:pPr>
      <w:numPr>
        <w:ilvl w:val="5"/>
        <w:numId w:val="5"/>
      </w:numPr>
      <w:spacing w:before="120"/>
    </w:pPr>
    <w:rPr>
      <w:rFonts w:eastAsiaTheme="minorHAnsi"/>
      <w:sz w:val="24"/>
    </w:rPr>
  </w:style>
  <w:style w:type="paragraph" w:customStyle="1" w:styleId="Point3letter">
    <w:name w:val="Point 3 (letter)"/>
    <w:basedOn w:val="Normal"/>
    <w:pPr>
      <w:numPr>
        <w:ilvl w:val="7"/>
        <w:numId w:val="5"/>
      </w:numPr>
      <w:spacing w:before="120"/>
    </w:pPr>
    <w:rPr>
      <w:rFonts w:eastAsiaTheme="minorHAnsi"/>
      <w:sz w:val="24"/>
    </w:rPr>
  </w:style>
  <w:style w:type="paragraph" w:customStyle="1" w:styleId="Point4letter">
    <w:name w:val="Point 4 (letter)"/>
    <w:basedOn w:val="Normal"/>
    <w:pPr>
      <w:numPr>
        <w:ilvl w:val="8"/>
        <w:numId w:val="5"/>
      </w:numPr>
      <w:spacing w:before="120"/>
    </w:pPr>
    <w:rPr>
      <w:rFonts w:eastAsiaTheme="minorHAnsi"/>
      <w:sz w:val="24"/>
    </w:rPr>
  </w:style>
  <w:style w:type="paragraph" w:customStyle="1" w:styleId="Bullet0">
    <w:name w:val="Bullet 0"/>
    <w:basedOn w:val="Normal"/>
    <w:pPr>
      <w:numPr>
        <w:numId w:val="6"/>
      </w:numPr>
      <w:spacing w:before="120"/>
    </w:pPr>
    <w:rPr>
      <w:rFonts w:eastAsiaTheme="minorHAns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 w:val="24"/>
    </w:rPr>
  </w:style>
  <w:style w:type="character" w:customStyle="1" w:styleId="TOC1Char">
    <w:name w:val="TOC 1 Char"/>
    <w:basedOn w:val="DefaultParagraphFont"/>
    <w:link w:val="TOC1"/>
    <w:uiPriority w:val="39"/>
    <w:rsid w:val="00CA3B68"/>
    <w:rPr>
      <w:rFonts w:ascii="Times New Roman" w:eastAsia="Times New Roman" w:hAnsi="Times New Roman" w:cs="Times New Roman"/>
      <w:lang w:val="ga-IE"/>
    </w:rPr>
  </w:style>
  <w:style w:type="character" w:customStyle="1" w:styleId="FooterCoverPageChar">
    <w:name w:val="Footer Cover Page Char"/>
    <w:basedOn w:val="TOC1Char"/>
    <w:link w:val="FooterCoverPage"/>
    <w:rPr>
      <w:rFonts w:ascii="Times New Roman" w:eastAsia="Times New Roman" w:hAnsi="Times New Roman" w:cs="Times New Roman"/>
      <w:sz w:val="24"/>
      <w:lang w:val="ga-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1Char"/>
    <w:link w:val="FooterSensitivity"/>
    <w:rPr>
      <w:rFonts w:ascii="Times New Roman" w:eastAsia="Times New Roman" w:hAnsi="Times New Roman" w:cs="Times New Roman"/>
      <w:b/>
      <w:sz w:val="32"/>
      <w:lang w:val="ga-IE"/>
    </w:rPr>
  </w:style>
  <w:style w:type="paragraph" w:customStyle="1" w:styleId="HeaderCoverPage">
    <w:name w:val="Header Cover Page"/>
    <w:basedOn w:val="Normal"/>
    <w:link w:val="HeaderCoverPageChar"/>
    <w:pPr>
      <w:tabs>
        <w:tab w:val="center" w:pos="4535"/>
        <w:tab w:val="right" w:pos="9071"/>
      </w:tabs>
    </w:pPr>
    <w:rPr>
      <w:sz w:val="24"/>
    </w:rPr>
  </w:style>
  <w:style w:type="character" w:customStyle="1" w:styleId="HeaderCoverPageChar">
    <w:name w:val="Header Cover Page Char"/>
    <w:basedOn w:val="TOC1Char"/>
    <w:link w:val="HeaderCoverPage"/>
    <w:rPr>
      <w:rFonts w:ascii="Times New Roman" w:eastAsia="Times New Roman" w:hAnsi="Times New Roman" w:cs="Times New Roman"/>
      <w:sz w:val="24"/>
      <w:lang w:val="ga-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TOC1Char"/>
    <w:link w:val="HeaderSensitivity"/>
    <w:rPr>
      <w:rFonts w:ascii="Times New Roman" w:eastAsia="Times New Roman" w:hAnsi="Times New Roman" w:cs="Times New Roman"/>
      <w:b/>
      <w:sz w:val="32"/>
      <w:lang w:val="ga-IE"/>
    </w:rPr>
  </w:style>
  <w:style w:type="paragraph" w:customStyle="1" w:styleId="HeaderSensitivityRight">
    <w:name w:val="Header Sensitivity Right"/>
    <w:basedOn w:val="Normal"/>
    <w:link w:val="HeaderSensitivityRightChar"/>
    <w:pPr>
      <w:jc w:val="right"/>
    </w:pPr>
    <w:rPr>
      <w:sz w:val="28"/>
    </w:rPr>
  </w:style>
  <w:style w:type="character" w:customStyle="1" w:styleId="HeaderSensitivityRightChar">
    <w:name w:val="Header Sensitivity Right Char"/>
    <w:basedOn w:val="TOC1Char"/>
    <w:link w:val="HeaderSensitivityRight"/>
    <w:rPr>
      <w:rFonts w:ascii="Times New Roman" w:eastAsia="Times New Roman" w:hAnsi="Times New Roman" w:cs="Times New Roman"/>
      <w:sz w:val="28"/>
      <w:lang w:val="ga-IE"/>
    </w:rPr>
  </w:style>
  <w:style w:type="paragraph" w:customStyle="1" w:styleId="Normal1">
    <w:name w:val="Normal1"/>
    <w:basedOn w:val="Normal"/>
    <w:pPr>
      <w:spacing w:before="100" w:beforeAutospacing="1" w:after="100" w:afterAutospacing="1"/>
      <w:jc w:val="left"/>
    </w:pPr>
    <w:rPr>
      <w:sz w:val="24"/>
      <w:szCs w:val="24"/>
      <w:lang w:eastAsia="en-GB"/>
    </w:rPr>
  </w:style>
  <w:style w:type="character" w:customStyle="1" w:styleId="ListParagraphChar">
    <w:name w:val="List Paragraph Char"/>
    <w:aliases w:val="1st level - Bullet List Paragraph Char,List Paragraph1 Char,Lettre d'introduction Char,Paragrafo elenco Char,Medium Grid 1 - Accent 21 Char,List Paragraph 1 Char,OBC Bullet Char,Normal 1 Char,Task Body Char,3 Txt tabla Char"/>
    <w:link w:val="ListParagraph"/>
    <w:uiPriority w:val="34"/>
    <w:locked/>
    <w:rPr>
      <w:rFonts w:ascii="Times New Roman" w:eastAsia="Times New Roman" w:hAnsi="Times New Roman" w:cs="Times New Roman"/>
      <w:lang w:val="ga-IE"/>
    </w:rPr>
  </w:style>
  <w:style w:type="character" w:customStyle="1" w:styleId="CaptionChar">
    <w:name w:val="Caption Char"/>
    <w:aliases w:val="CaptionCFMU Char,CaptionTLS Char,Caption Figure Char,Figure1 Char,Figure2 Char,Figure3 Char,Figure4 Char,Figure5 Char,%Caption Char,Char Char Char Char1,Char Char Char Char Char1,Char Char Char Char Char Char1,Caption Char1 Char"/>
    <w:link w:val="Caption"/>
    <w:rsid w:val="0062240B"/>
    <w:rPr>
      <w:rFonts w:ascii="Times New Roman" w:eastAsia="Times New Roman" w:hAnsi="Times New Roman" w:cs="Times New Roman"/>
      <w:i/>
      <w:lang w:val="ga-IE"/>
    </w:rPr>
  </w:style>
  <w:style w:type="character" w:styleId="FollowedHyperlink">
    <w:name w:val="FollowedHyperlink"/>
    <w:basedOn w:val="DefaultParagraphFont"/>
    <w:uiPriority w:val="99"/>
    <w:semiHidden/>
    <w:unhideWhenUsed/>
    <w:rsid w:val="00A33633"/>
    <w:rPr>
      <w:color w:val="954F72" w:themeColor="followedHyperlink"/>
      <w:u w:val="single"/>
    </w:rPr>
  </w:style>
  <w:style w:type="character" w:styleId="Emphasis">
    <w:name w:val="Emphasis"/>
    <w:basedOn w:val="DefaultParagraphFont"/>
    <w:uiPriority w:val="20"/>
    <w:qFormat/>
    <w:rsid w:val="00320DAB"/>
    <w:rPr>
      <w:i/>
      <w:iCs/>
    </w:rPr>
  </w:style>
  <w:style w:type="paragraph" w:customStyle="1" w:styleId="dcr-s23rjr">
    <w:name w:val="dcr-s23rjr"/>
    <w:basedOn w:val="Normal"/>
    <w:rsid w:val="006B5C68"/>
    <w:pPr>
      <w:spacing w:before="100" w:beforeAutospacing="1" w:after="100" w:afterAutospacing="1"/>
      <w:jc w:val="left"/>
    </w:pPr>
    <w:rPr>
      <w:sz w:val="24"/>
      <w:szCs w:val="24"/>
      <w:lang w:eastAsia="en-GB"/>
    </w:rPr>
  </w:style>
  <w:style w:type="character" w:styleId="SubtleReference">
    <w:name w:val="Subtle Reference"/>
    <w:basedOn w:val="DefaultParagraphFont"/>
    <w:uiPriority w:val="31"/>
    <w:qFormat/>
    <w:rsid w:val="00606B6F"/>
    <w:rPr>
      <w:smallCaps/>
      <w:color w:val="5A5A5A" w:themeColor="text1" w:themeTint="A5"/>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1832E9"/>
    <w:pPr>
      <w:spacing w:after="160" w:line="240" w:lineRule="exact"/>
      <w:jc w:val="left"/>
    </w:pPr>
    <w:rPr>
      <w:rFonts w:asciiTheme="minorHAnsi" w:eastAsiaTheme="minorHAnsi" w:hAnsiTheme="minorHAnsi" w:cstheme="minorBidi"/>
      <w:vertAlign w:val="superscript"/>
    </w:rPr>
  </w:style>
  <w:style w:type="paragraph" w:customStyle="1" w:styleId="Typedudocument">
    <w:name w:val="Type du document"/>
    <w:basedOn w:val="Normal"/>
    <w:next w:val="Normal"/>
    <w:rsid w:val="00470393"/>
    <w:pPr>
      <w:spacing w:before="360" w:after="0"/>
      <w:jc w:val="center"/>
    </w:pPr>
    <w:rPr>
      <w:rFonts w:eastAsiaTheme="minorHAnsi"/>
      <w:b/>
      <w:sz w:val="24"/>
    </w:rPr>
  </w:style>
  <w:style w:type="paragraph" w:customStyle="1" w:styleId="Titreobjet">
    <w:name w:val="Titre objet"/>
    <w:basedOn w:val="Normal"/>
    <w:next w:val="Normal"/>
    <w:rsid w:val="00470393"/>
    <w:pPr>
      <w:spacing w:before="360" w:after="360"/>
      <w:jc w:val="center"/>
    </w:pPr>
    <w:rPr>
      <w:rFonts w:eastAsiaTheme="minorHAnsi"/>
      <w:b/>
      <w:sz w:val="24"/>
    </w:rPr>
  </w:style>
  <w:style w:type="paragraph" w:customStyle="1" w:styleId="Considrant">
    <w:name w:val="Considérant"/>
    <w:basedOn w:val="Normal"/>
    <w:rsid w:val="00E41965"/>
    <w:pPr>
      <w:numPr>
        <w:numId w:val="20"/>
      </w:numPr>
      <w:spacing w:before="120"/>
    </w:pPr>
    <w:rPr>
      <w:rFonts w:eastAsiaTheme="minorHAnsi"/>
      <w:sz w:val="24"/>
    </w:rPr>
  </w:style>
  <w:style w:type="character" w:customStyle="1" w:styleId="normaltextrun">
    <w:name w:val="normaltextrun"/>
    <w:basedOn w:val="DefaultParagraphFont"/>
    <w:rsid w:val="00943550"/>
  </w:style>
  <w:style w:type="character" w:customStyle="1" w:styleId="eop">
    <w:name w:val="eop"/>
    <w:basedOn w:val="DefaultParagraphFont"/>
    <w:rsid w:val="00943550"/>
  </w:style>
  <w:style w:type="character" w:customStyle="1" w:styleId="UnresolvedMention">
    <w:name w:val="Unresolved Mention"/>
    <w:basedOn w:val="DefaultParagraphFont"/>
    <w:uiPriority w:val="99"/>
    <w:semiHidden/>
    <w:unhideWhenUsed/>
    <w:rsid w:val="00AC3A3A"/>
    <w:rPr>
      <w:color w:val="605E5C"/>
      <w:shd w:val="clear" w:color="auto" w:fill="E1DFDD"/>
    </w:rPr>
  </w:style>
  <w:style w:type="paragraph" w:customStyle="1" w:styleId="oj-tbl-txt">
    <w:name w:val="oj-tbl-txt"/>
    <w:basedOn w:val="Normal"/>
    <w:rsid w:val="009059C3"/>
    <w:pPr>
      <w:spacing w:before="100" w:beforeAutospacing="1" w:after="100" w:afterAutospacing="1"/>
      <w:jc w:val="left"/>
    </w:pPr>
    <w:rPr>
      <w:sz w:val="24"/>
      <w:szCs w:val="24"/>
      <w:lang w:eastAsia="en-IE"/>
    </w:rPr>
  </w:style>
  <w:style w:type="character" w:customStyle="1" w:styleId="ui-provider">
    <w:name w:val="ui-provider"/>
    <w:basedOn w:val="DefaultParagraphFont"/>
    <w:rsid w:val="00CA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827">
      <w:bodyDiv w:val="1"/>
      <w:marLeft w:val="0"/>
      <w:marRight w:val="0"/>
      <w:marTop w:val="0"/>
      <w:marBottom w:val="0"/>
      <w:divBdr>
        <w:top w:val="none" w:sz="0" w:space="0" w:color="auto"/>
        <w:left w:val="none" w:sz="0" w:space="0" w:color="auto"/>
        <w:bottom w:val="none" w:sz="0" w:space="0" w:color="auto"/>
        <w:right w:val="none" w:sz="0" w:space="0" w:color="auto"/>
      </w:divBdr>
    </w:div>
    <w:div w:id="39405885">
      <w:bodyDiv w:val="1"/>
      <w:marLeft w:val="0"/>
      <w:marRight w:val="0"/>
      <w:marTop w:val="0"/>
      <w:marBottom w:val="0"/>
      <w:divBdr>
        <w:top w:val="none" w:sz="0" w:space="0" w:color="auto"/>
        <w:left w:val="none" w:sz="0" w:space="0" w:color="auto"/>
        <w:bottom w:val="none" w:sz="0" w:space="0" w:color="auto"/>
        <w:right w:val="none" w:sz="0" w:space="0" w:color="auto"/>
      </w:divBdr>
    </w:div>
    <w:div w:id="41440263">
      <w:bodyDiv w:val="1"/>
      <w:marLeft w:val="0"/>
      <w:marRight w:val="0"/>
      <w:marTop w:val="0"/>
      <w:marBottom w:val="0"/>
      <w:divBdr>
        <w:top w:val="none" w:sz="0" w:space="0" w:color="auto"/>
        <w:left w:val="none" w:sz="0" w:space="0" w:color="auto"/>
        <w:bottom w:val="none" w:sz="0" w:space="0" w:color="auto"/>
        <w:right w:val="none" w:sz="0" w:space="0" w:color="auto"/>
      </w:divBdr>
    </w:div>
    <w:div w:id="46223573">
      <w:bodyDiv w:val="1"/>
      <w:marLeft w:val="0"/>
      <w:marRight w:val="0"/>
      <w:marTop w:val="0"/>
      <w:marBottom w:val="0"/>
      <w:divBdr>
        <w:top w:val="none" w:sz="0" w:space="0" w:color="auto"/>
        <w:left w:val="none" w:sz="0" w:space="0" w:color="auto"/>
        <w:bottom w:val="none" w:sz="0" w:space="0" w:color="auto"/>
        <w:right w:val="none" w:sz="0" w:space="0" w:color="auto"/>
      </w:divBdr>
    </w:div>
    <w:div w:id="55322723">
      <w:bodyDiv w:val="1"/>
      <w:marLeft w:val="0"/>
      <w:marRight w:val="0"/>
      <w:marTop w:val="0"/>
      <w:marBottom w:val="0"/>
      <w:divBdr>
        <w:top w:val="none" w:sz="0" w:space="0" w:color="auto"/>
        <w:left w:val="none" w:sz="0" w:space="0" w:color="auto"/>
        <w:bottom w:val="none" w:sz="0" w:space="0" w:color="auto"/>
        <w:right w:val="none" w:sz="0" w:space="0" w:color="auto"/>
      </w:divBdr>
    </w:div>
    <w:div w:id="69234408">
      <w:bodyDiv w:val="1"/>
      <w:marLeft w:val="0"/>
      <w:marRight w:val="0"/>
      <w:marTop w:val="0"/>
      <w:marBottom w:val="0"/>
      <w:divBdr>
        <w:top w:val="none" w:sz="0" w:space="0" w:color="auto"/>
        <w:left w:val="none" w:sz="0" w:space="0" w:color="auto"/>
        <w:bottom w:val="none" w:sz="0" w:space="0" w:color="auto"/>
        <w:right w:val="none" w:sz="0" w:space="0" w:color="auto"/>
      </w:divBdr>
    </w:div>
    <w:div w:id="81875615">
      <w:bodyDiv w:val="1"/>
      <w:marLeft w:val="0"/>
      <w:marRight w:val="0"/>
      <w:marTop w:val="0"/>
      <w:marBottom w:val="0"/>
      <w:divBdr>
        <w:top w:val="none" w:sz="0" w:space="0" w:color="auto"/>
        <w:left w:val="none" w:sz="0" w:space="0" w:color="auto"/>
        <w:bottom w:val="none" w:sz="0" w:space="0" w:color="auto"/>
        <w:right w:val="none" w:sz="0" w:space="0" w:color="auto"/>
      </w:divBdr>
    </w:div>
    <w:div w:id="118039884">
      <w:bodyDiv w:val="1"/>
      <w:marLeft w:val="0"/>
      <w:marRight w:val="0"/>
      <w:marTop w:val="0"/>
      <w:marBottom w:val="0"/>
      <w:divBdr>
        <w:top w:val="none" w:sz="0" w:space="0" w:color="auto"/>
        <w:left w:val="none" w:sz="0" w:space="0" w:color="auto"/>
        <w:bottom w:val="none" w:sz="0" w:space="0" w:color="auto"/>
        <w:right w:val="none" w:sz="0" w:space="0" w:color="auto"/>
      </w:divBdr>
    </w:div>
    <w:div w:id="124009991">
      <w:bodyDiv w:val="1"/>
      <w:marLeft w:val="0"/>
      <w:marRight w:val="0"/>
      <w:marTop w:val="0"/>
      <w:marBottom w:val="0"/>
      <w:divBdr>
        <w:top w:val="none" w:sz="0" w:space="0" w:color="auto"/>
        <w:left w:val="none" w:sz="0" w:space="0" w:color="auto"/>
        <w:bottom w:val="none" w:sz="0" w:space="0" w:color="auto"/>
        <w:right w:val="none" w:sz="0" w:space="0" w:color="auto"/>
      </w:divBdr>
      <w:divsChild>
        <w:div w:id="497968187">
          <w:marLeft w:val="1166"/>
          <w:marRight w:val="0"/>
          <w:marTop w:val="0"/>
          <w:marBottom w:val="120"/>
          <w:divBdr>
            <w:top w:val="none" w:sz="0" w:space="0" w:color="auto"/>
            <w:left w:val="none" w:sz="0" w:space="0" w:color="auto"/>
            <w:bottom w:val="none" w:sz="0" w:space="0" w:color="auto"/>
            <w:right w:val="none" w:sz="0" w:space="0" w:color="auto"/>
          </w:divBdr>
        </w:div>
        <w:div w:id="1820488493">
          <w:marLeft w:val="1166"/>
          <w:marRight w:val="0"/>
          <w:marTop w:val="0"/>
          <w:marBottom w:val="120"/>
          <w:divBdr>
            <w:top w:val="none" w:sz="0" w:space="0" w:color="auto"/>
            <w:left w:val="none" w:sz="0" w:space="0" w:color="auto"/>
            <w:bottom w:val="none" w:sz="0" w:space="0" w:color="auto"/>
            <w:right w:val="none" w:sz="0" w:space="0" w:color="auto"/>
          </w:divBdr>
        </w:div>
        <w:div w:id="1897549890">
          <w:marLeft w:val="446"/>
          <w:marRight w:val="0"/>
          <w:marTop w:val="0"/>
          <w:marBottom w:val="120"/>
          <w:divBdr>
            <w:top w:val="none" w:sz="0" w:space="0" w:color="auto"/>
            <w:left w:val="none" w:sz="0" w:space="0" w:color="auto"/>
            <w:bottom w:val="none" w:sz="0" w:space="0" w:color="auto"/>
            <w:right w:val="none" w:sz="0" w:space="0" w:color="auto"/>
          </w:divBdr>
        </w:div>
        <w:div w:id="1946112012">
          <w:marLeft w:val="446"/>
          <w:marRight w:val="0"/>
          <w:marTop w:val="0"/>
          <w:marBottom w:val="0"/>
          <w:divBdr>
            <w:top w:val="none" w:sz="0" w:space="0" w:color="auto"/>
            <w:left w:val="none" w:sz="0" w:space="0" w:color="auto"/>
            <w:bottom w:val="none" w:sz="0" w:space="0" w:color="auto"/>
            <w:right w:val="none" w:sz="0" w:space="0" w:color="auto"/>
          </w:divBdr>
        </w:div>
      </w:divsChild>
    </w:div>
    <w:div w:id="125509124">
      <w:bodyDiv w:val="1"/>
      <w:marLeft w:val="0"/>
      <w:marRight w:val="0"/>
      <w:marTop w:val="0"/>
      <w:marBottom w:val="0"/>
      <w:divBdr>
        <w:top w:val="none" w:sz="0" w:space="0" w:color="auto"/>
        <w:left w:val="none" w:sz="0" w:space="0" w:color="auto"/>
        <w:bottom w:val="none" w:sz="0" w:space="0" w:color="auto"/>
        <w:right w:val="none" w:sz="0" w:space="0" w:color="auto"/>
      </w:divBdr>
    </w:div>
    <w:div w:id="128674400">
      <w:bodyDiv w:val="1"/>
      <w:marLeft w:val="0"/>
      <w:marRight w:val="0"/>
      <w:marTop w:val="0"/>
      <w:marBottom w:val="0"/>
      <w:divBdr>
        <w:top w:val="none" w:sz="0" w:space="0" w:color="auto"/>
        <w:left w:val="none" w:sz="0" w:space="0" w:color="auto"/>
        <w:bottom w:val="none" w:sz="0" w:space="0" w:color="auto"/>
        <w:right w:val="none" w:sz="0" w:space="0" w:color="auto"/>
      </w:divBdr>
    </w:div>
    <w:div w:id="173686347">
      <w:bodyDiv w:val="1"/>
      <w:marLeft w:val="0"/>
      <w:marRight w:val="0"/>
      <w:marTop w:val="0"/>
      <w:marBottom w:val="0"/>
      <w:divBdr>
        <w:top w:val="none" w:sz="0" w:space="0" w:color="auto"/>
        <w:left w:val="none" w:sz="0" w:space="0" w:color="auto"/>
        <w:bottom w:val="none" w:sz="0" w:space="0" w:color="auto"/>
        <w:right w:val="none" w:sz="0" w:space="0" w:color="auto"/>
      </w:divBdr>
    </w:div>
    <w:div w:id="176816715">
      <w:bodyDiv w:val="1"/>
      <w:marLeft w:val="0"/>
      <w:marRight w:val="0"/>
      <w:marTop w:val="0"/>
      <w:marBottom w:val="0"/>
      <w:divBdr>
        <w:top w:val="none" w:sz="0" w:space="0" w:color="auto"/>
        <w:left w:val="none" w:sz="0" w:space="0" w:color="auto"/>
        <w:bottom w:val="none" w:sz="0" w:space="0" w:color="auto"/>
        <w:right w:val="none" w:sz="0" w:space="0" w:color="auto"/>
      </w:divBdr>
    </w:div>
    <w:div w:id="179442405">
      <w:bodyDiv w:val="1"/>
      <w:marLeft w:val="0"/>
      <w:marRight w:val="0"/>
      <w:marTop w:val="0"/>
      <w:marBottom w:val="0"/>
      <w:divBdr>
        <w:top w:val="none" w:sz="0" w:space="0" w:color="auto"/>
        <w:left w:val="none" w:sz="0" w:space="0" w:color="auto"/>
        <w:bottom w:val="none" w:sz="0" w:space="0" w:color="auto"/>
        <w:right w:val="none" w:sz="0" w:space="0" w:color="auto"/>
      </w:divBdr>
    </w:div>
    <w:div w:id="216283358">
      <w:bodyDiv w:val="1"/>
      <w:marLeft w:val="0"/>
      <w:marRight w:val="0"/>
      <w:marTop w:val="0"/>
      <w:marBottom w:val="0"/>
      <w:divBdr>
        <w:top w:val="none" w:sz="0" w:space="0" w:color="auto"/>
        <w:left w:val="none" w:sz="0" w:space="0" w:color="auto"/>
        <w:bottom w:val="none" w:sz="0" w:space="0" w:color="auto"/>
        <w:right w:val="none" w:sz="0" w:space="0" w:color="auto"/>
      </w:divBdr>
    </w:div>
    <w:div w:id="246959811">
      <w:bodyDiv w:val="1"/>
      <w:marLeft w:val="0"/>
      <w:marRight w:val="0"/>
      <w:marTop w:val="0"/>
      <w:marBottom w:val="0"/>
      <w:divBdr>
        <w:top w:val="none" w:sz="0" w:space="0" w:color="auto"/>
        <w:left w:val="none" w:sz="0" w:space="0" w:color="auto"/>
        <w:bottom w:val="none" w:sz="0" w:space="0" w:color="auto"/>
        <w:right w:val="none" w:sz="0" w:space="0" w:color="auto"/>
      </w:divBdr>
    </w:div>
    <w:div w:id="273220357">
      <w:bodyDiv w:val="1"/>
      <w:marLeft w:val="0"/>
      <w:marRight w:val="0"/>
      <w:marTop w:val="0"/>
      <w:marBottom w:val="0"/>
      <w:divBdr>
        <w:top w:val="none" w:sz="0" w:space="0" w:color="auto"/>
        <w:left w:val="none" w:sz="0" w:space="0" w:color="auto"/>
        <w:bottom w:val="none" w:sz="0" w:space="0" w:color="auto"/>
        <w:right w:val="none" w:sz="0" w:space="0" w:color="auto"/>
      </w:divBdr>
    </w:div>
    <w:div w:id="273633673">
      <w:bodyDiv w:val="1"/>
      <w:marLeft w:val="0"/>
      <w:marRight w:val="0"/>
      <w:marTop w:val="0"/>
      <w:marBottom w:val="0"/>
      <w:divBdr>
        <w:top w:val="none" w:sz="0" w:space="0" w:color="auto"/>
        <w:left w:val="none" w:sz="0" w:space="0" w:color="auto"/>
        <w:bottom w:val="none" w:sz="0" w:space="0" w:color="auto"/>
        <w:right w:val="none" w:sz="0" w:space="0" w:color="auto"/>
      </w:divBdr>
    </w:div>
    <w:div w:id="300889682">
      <w:bodyDiv w:val="1"/>
      <w:marLeft w:val="0"/>
      <w:marRight w:val="0"/>
      <w:marTop w:val="0"/>
      <w:marBottom w:val="0"/>
      <w:divBdr>
        <w:top w:val="none" w:sz="0" w:space="0" w:color="auto"/>
        <w:left w:val="none" w:sz="0" w:space="0" w:color="auto"/>
        <w:bottom w:val="none" w:sz="0" w:space="0" w:color="auto"/>
        <w:right w:val="none" w:sz="0" w:space="0" w:color="auto"/>
      </w:divBdr>
    </w:div>
    <w:div w:id="330909178">
      <w:bodyDiv w:val="1"/>
      <w:marLeft w:val="0"/>
      <w:marRight w:val="0"/>
      <w:marTop w:val="0"/>
      <w:marBottom w:val="0"/>
      <w:divBdr>
        <w:top w:val="none" w:sz="0" w:space="0" w:color="auto"/>
        <w:left w:val="none" w:sz="0" w:space="0" w:color="auto"/>
        <w:bottom w:val="none" w:sz="0" w:space="0" w:color="auto"/>
        <w:right w:val="none" w:sz="0" w:space="0" w:color="auto"/>
      </w:divBdr>
    </w:div>
    <w:div w:id="338582174">
      <w:bodyDiv w:val="1"/>
      <w:marLeft w:val="0"/>
      <w:marRight w:val="0"/>
      <w:marTop w:val="0"/>
      <w:marBottom w:val="0"/>
      <w:divBdr>
        <w:top w:val="none" w:sz="0" w:space="0" w:color="auto"/>
        <w:left w:val="none" w:sz="0" w:space="0" w:color="auto"/>
        <w:bottom w:val="none" w:sz="0" w:space="0" w:color="auto"/>
        <w:right w:val="none" w:sz="0" w:space="0" w:color="auto"/>
      </w:divBdr>
    </w:div>
    <w:div w:id="353767465">
      <w:bodyDiv w:val="1"/>
      <w:marLeft w:val="0"/>
      <w:marRight w:val="0"/>
      <w:marTop w:val="0"/>
      <w:marBottom w:val="0"/>
      <w:divBdr>
        <w:top w:val="none" w:sz="0" w:space="0" w:color="auto"/>
        <w:left w:val="none" w:sz="0" w:space="0" w:color="auto"/>
        <w:bottom w:val="none" w:sz="0" w:space="0" w:color="auto"/>
        <w:right w:val="none" w:sz="0" w:space="0" w:color="auto"/>
      </w:divBdr>
    </w:div>
    <w:div w:id="360086075">
      <w:bodyDiv w:val="1"/>
      <w:marLeft w:val="0"/>
      <w:marRight w:val="0"/>
      <w:marTop w:val="0"/>
      <w:marBottom w:val="0"/>
      <w:divBdr>
        <w:top w:val="none" w:sz="0" w:space="0" w:color="auto"/>
        <w:left w:val="none" w:sz="0" w:space="0" w:color="auto"/>
        <w:bottom w:val="none" w:sz="0" w:space="0" w:color="auto"/>
        <w:right w:val="none" w:sz="0" w:space="0" w:color="auto"/>
      </w:divBdr>
    </w:div>
    <w:div w:id="374744890">
      <w:bodyDiv w:val="1"/>
      <w:marLeft w:val="0"/>
      <w:marRight w:val="0"/>
      <w:marTop w:val="0"/>
      <w:marBottom w:val="0"/>
      <w:divBdr>
        <w:top w:val="none" w:sz="0" w:space="0" w:color="auto"/>
        <w:left w:val="none" w:sz="0" w:space="0" w:color="auto"/>
        <w:bottom w:val="none" w:sz="0" w:space="0" w:color="auto"/>
        <w:right w:val="none" w:sz="0" w:space="0" w:color="auto"/>
      </w:divBdr>
    </w:div>
    <w:div w:id="375667053">
      <w:bodyDiv w:val="1"/>
      <w:marLeft w:val="0"/>
      <w:marRight w:val="0"/>
      <w:marTop w:val="0"/>
      <w:marBottom w:val="0"/>
      <w:divBdr>
        <w:top w:val="none" w:sz="0" w:space="0" w:color="auto"/>
        <w:left w:val="none" w:sz="0" w:space="0" w:color="auto"/>
        <w:bottom w:val="none" w:sz="0" w:space="0" w:color="auto"/>
        <w:right w:val="none" w:sz="0" w:space="0" w:color="auto"/>
      </w:divBdr>
    </w:div>
    <w:div w:id="381027208">
      <w:bodyDiv w:val="1"/>
      <w:marLeft w:val="0"/>
      <w:marRight w:val="0"/>
      <w:marTop w:val="0"/>
      <w:marBottom w:val="0"/>
      <w:divBdr>
        <w:top w:val="none" w:sz="0" w:space="0" w:color="auto"/>
        <w:left w:val="none" w:sz="0" w:space="0" w:color="auto"/>
        <w:bottom w:val="none" w:sz="0" w:space="0" w:color="auto"/>
        <w:right w:val="none" w:sz="0" w:space="0" w:color="auto"/>
      </w:divBdr>
    </w:div>
    <w:div w:id="381028459">
      <w:bodyDiv w:val="1"/>
      <w:marLeft w:val="0"/>
      <w:marRight w:val="0"/>
      <w:marTop w:val="0"/>
      <w:marBottom w:val="0"/>
      <w:divBdr>
        <w:top w:val="none" w:sz="0" w:space="0" w:color="auto"/>
        <w:left w:val="none" w:sz="0" w:space="0" w:color="auto"/>
        <w:bottom w:val="none" w:sz="0" w:space="0" w:color="auto"/>
        <w:right w:val="none" w:sz="0" w:space="0" w:color="auto"/>
      </w:divBdr>
    </w:div>
    <w:div w:id="391347144">
      <w:bodyDiv w:val="1"/>
      <w:marLeft w:val="0"/>
      <w:marRight w:val="0"/>
      <w:marTop w:val="0"/>
      <w:marBottom w:val="0"/>
      <w:divBdr>
        <w:top w:val="none" w:sz="0" w:space="0" w:color="auto"/>
        <w:left w:val="none" w:sz="0" w:space="0" w:color="auto"/>
        <w:bottom w:val="none" w:sz="0" w:space="0" w:color="auto"/>
        <w:right w:val="none" w:sz="0" w:space="0" w:color="auto"/>
      </w:divBdr>
    </w:div>
    <w:div w:id="391461724">
      <w:bodyDiv w:val="1"/>
      <w:marLeft w:val="0"/>
      <w:marRight w:val="0"/>
      <w:marTop w:val="0"/>
      <w:marBottom w:val="0"/>
      <w:divBdr>
        <w:top w:val="none" w:sz="0" w:space="0" w:color="auto"/>
        <w:left w:val="none" w:sz="0" w:space="0" w:color="auto"/>
        <w:bottom w:val="none" w:sz="0" w:space="0" w:color="auto"/>
        <w:right w:val="none" w:sz="0" w:space="0" w:color="auto"/>
      </w:divBdr>
    </w:div>
    <w:div w:id="391855611">
      <w:bodyDiv w:val="1"/>
      <w:marLeft w:val="0"/>
      <w:marRight w:val="0"/>
      <w:marTop w:val="0"/>
      <w:marBottom w:val="0"/>
      <w:divBdr>
        <w:top w:val="none" w:sz="0" w:space="0" w:color="auto"/>
        <w:left w:val="none" w:sz="0" w:space="0" w:color="auto"/>
        <w:bottom w:val="none" w:sz="0" w:space="0" w:color="auto"/>
        <w:right w:val="none" w:sz="0" w:space="0" w:color="auto"/>
      </w:divBdr>
    </w:div>
    <w:div w:id="402072426">
      <w:bodyDiv w:val="1"/>
      <w:marLeft w:val="0"/>
      <w:marRight w:val="0"/>
      <w:marTop w:val="0"/>
      <w:marBottom w:val="0"/>
      <w:divBdr>
        <w:top w:val="none" w:sz="0" w:space="0" w:color="auto"/>
        <w:left w:val="none" w:sz="0" w:space="0" w:color="auto"/>
        <w:bottom w:val="none" w:sz="0" w:space="0" w:color="auto"/>
        <w:right w:val="none" w:sz="0" w:space="0" w:color="auto"/>
      </w:divBdr>
    </w:div>
    <w:div w:id="424886214">
      <w:bodyDiv w:val="1"/>
      <w:marLeft w:val="0"/>
      <w:marRight w:val="0"/>
      <w:marTop w:val="0"/>
      <w:marBottom w:val="0"/>
      <w:divBdr>
        <w:top w:val="none" w:sz="0" w:space="0" w:color="auto"/>
        <w:left w:val="none" w:sz="0" w:space="0" w:color="auto"/>
        <w:bottom w:val="none" w:sz="0" w:space="0" w:color="auto"/>
        <w:right w:val="none" w:sz="0" w:space="0" w:color="auto"/>
      </w:divBdr>
    </w:div>
    <w:div w:id="430666464">
      <w:bodyDiv w:val="1"/>
      <w:marLeft w:val="0"/>
      <w:marRight w:val="0"/>
      <w:marTop w:val="0"/>
      <w:marBottom w:val="0"/>
      <w:divBdr>
        <w:top w:val="none" w:sz="0" w:space="0" w:color="auto"/>
        <w:left w:val="none" w:sz="0" w:space="0" w:color="auto"/>
        <w:bottom w:val="none" w:sz="0" w:space="0" w:color="auto"/>
        <w:right w:val="none" w:sz="0" w:space="0" w:color="auto"/>
      </w:divBdr>
      <w:divsChild>
        <w:div w:id="1647781608">
          <w:marLeft w:val="0"/>
          <w:marRight w:val="0"/>
          <w:marTop w:val="0"/>
          <w:marBottom w:val="0"/>
          <w:divBdr>
            <w:top w:val="none" w:sz="0" w:space="0" w:color="auto"/>
            <w:left w:val="none" w:sz="0" w:space="0" w:color="auto"/>
            <w:bottom w:val="none" w:sz="0" w:space="0" w:color="auto"/>
            <w:right w:val="none" w:sz="0" w:space="0" w:color="auto"/>
          </w:divBdr>
        </w:div>
      </w:divsChild>
    </w:div>
    <w:div w:id="438140846">
      <w:bodyDiv w:val="1"/>
      <w:marLeft w:val="0"/>
      <w:marRight w:val="0"/>
      <w:marTop w:val="0"/>
      <w:marBottom w:val="0"/>
      <w:divBdr>
        <w:top w:val="none" w:sz="0" w:space="0" w:color="auto"/>
        <w:left w:val="none" w:sz="0" w:space="0" w:color="auto"/>
        <w:bottom w:val="none" w:sz="0" w:space="0" w:color="auto"/>
        <w:right w:val="none" w:sz="0" w:space="0" w:color="auto"/>
      </w:divBdr>
    </w:div>
    <w:div w:id="467356868">
      <w:bodyDiv w:val="1"/>
      <w:marLeft w:val="0"/>
      <w:marRight w:val="0"/>
      <w:marTop w:val="0"/>
      <w:marBottom w:val="0"/>
      <w:divBdr>
        <w:top w:val="none" w:sz="0" w:space="0" w:color="auto"/>
        <w:left w:val="none" w:sz="0" w:space="0" w:color="auto"/>
        <w:bottom w:val="none" w:sz="0" w:space="0" w:color="auto"/>
        <w:right w:val="none" w:sz="0" w:space="0" w:color="auto"/>
      </w:divBdr>
    </w:div>
    <w:div w:id="474563754">
      <w:bodyDiv w:val="1"/>
      <w:marLeft w:val="0"/>
      <w:marRight w:val="0"/>
      <w:marTop w:val="0"/>
      <w:marBottom w:val="0"/>
      <w:divBdr>
        <w:top w:val="none" w:sz="0" w:space="0" w:color="auto"/>
        <w:left w:val="none" w:sz="0" w:space="0" w:color="auto"/>
        <w:bottom w:val="none" w:sz="0" w:space="0" w:color="auto"/>
        <w:right w:val="none" w:sz="0" w:space="0" w:color="auto"/>
      </w:divBdr>
    </w:div>
    <w:div w:id="481429508">
      <w:bodyDiv w:val="1"/>
      <w:marLeft w:val="0"/>
      <w:marRight w:val="0"/>
      <w:marTop w:val="0"/>
      <w:marBottom w:val="0"/>
      <w:divBdr>
        <w:top w:val="none" w:sz="0" w:space="0" w:color="auto"/>
        <w:left w:val="none" w:sz="0" w:space="0" w:color="auto"/>
        <w:bottom w:val="none" w:sz="0" w:space="0" w:color="auto"/>
        <w:right w:val="none" w:sz="0" w:space="0" w:color="auto"/>
      </w:divBdr>
    </w:div>
    <w:div w:id="500971705">
      <w:bodyDiv w:val="1"/>
      <w:marLeft w:val="0"/>
      <w:marRight w:val="0"/>
      <w:marTop w:val="0"/>
      <w:marBottom w:val="0"/>
      <w:divBdr>
        <w:top w:val="none" w:sz="0" w:space="0" w:color="auto"/>
        <w:left w:val="none" w:sz="0" w:space="0" w:color="auto"/>
        <w:bottom w:val="none" w:sz="0" w:space="0" w:color="auto"/>
        <w:right w:val="none" w:sz="0" w:space="0" w:color="auto"/>
      </w:divBdr>
    </w:div>
    <w:div w:id="507721970">
      <w:bodyDiv w:val="1"/>
      <w:marLeft w:val="0"/>
      <w:marRight w:val="0"/>
      <w:marTop w:val="0"/>
      <w:marBottom w:val="0"/>
      <w:divBdr>
        <w:top w:val="none" w:sz="0" w:space="0" w:color="auto"/>
        <w:left w:val="none" w:sz="0" w:space="0" w:color="auto"/>
        <w:bottom w:val="none" w:sz="0" w:space="0" w:color="auto"/>
        <w:right w:val="none" w:sz="0" w:space="0" w:color="auto"/>
      </w:divBdr>
    </w:div>
    <w:div w:id="508495590">
      <w:bodyDiv w:val="1"/>
      <w:marLeft w:val="0"/>
      <w:marRight w:val="0"/>
      <w:marTop w:val="0"/>
      <w:marBottom w:val="0"/>
      <w:divBdr>
        <w:top w:val="none" w:sz="0" w:space="0" w:color="auto"/>
        <w:left w:val="none" w:sz="0" w:space="0" w:color="auto"/>
        <w:bottom w:val="none" w:sz="0" w:space="0" w:color="auto"/>
        <w:right w:val="none" w:sz="0" w:space="0" w:color="auto"/>
      </w:divBdr>
    </w:div>
    <w:div w:id="517155993">
      <w:bodyDiv w:val="1"/>
      <w:marLeft w:val="0"/>
      <w:marRight w:val="0"/>
      <w:marTop w:val="0"/>
      <w:marBottom w:val="0"/>
      <w:divBdr>
        <w:top w:val="none" w:sz="0" w:space="0" w:color="auto"/>
        <w:left w:val="none" w:sz="0" w:space="0" w:color="auto"/>
        <w:bottom w:val="none" w:sz="0" w:space="0" w:color="auto"/>
        <w:right w:val="none" w:sz="0" w:space="0" w:color="auto"/>
      </w:divBdr>
    </w:div>
    <w:div w:id="520626793">
      <w:bodyDiv w:val="1"/>
      <w:marLeft w:val="0"/>
      <w:marRight w:val="0"/>
      <w:marTop w:val="0"/>
      <w:marBottom w:val="0"/>
      <w:divBdr>
        <w:top w:val="none" w:sz="0" w:space="0" w:color="auto"/>
        <w:left w:val="none" w:sz="0" w:space="0" w:color="auto"/>
        <w:bottom w:val="none" w:sz="0" w:space="0" w:color="auto"/>
        <w:right w:val="none" w:sz="0" w:space="0" w:color="auto"/>
      </w:divBdr>
    </w:div>
    <w:div w:id="538935076">
      <w:bodyDiv w:val="1"/>
      <w:marLeft w:val="0"/>
      <w:marRight w:val="0"/>
      <w:marTop w:val="0"/>
      <w:marBottom w:val="0"/>
      <w:divBdr>
        <w:top w:val="none" w:sz="0" w:space="0" w:color="auto"/>
        <w:left w:val="none" w:sz="0" w:space="0" w:color="auto"/>
        <w:bottom w:val="none" w:sz="0" w:space="0" w:color="auto"/>
        <w:right w:val="none" w:sz="0" w:space="0" w:color="auto"/>
      </w:divBdr>
    </w:div>
    <w:div w:id="551618578">
      <w:bodyDiv w:val="1"/>
      <w:marLeft w:val="0"/>
      <w:marRight w:val="0"/>
      <w:marTop w:val="0"/>
      <w:marBottom w:val="0"/>
      <w:divBdr>
        <w:top w:val="none" w:sz="0" w:space="0" w:color="auto"/>
        <w:left w:val="none" w:sz="0" w:space="0" w:color="auto"/>
        <w:bottom w:val="none" w:sz="0" w:space="0" w:color="auto"/>
        <w:right w:val="none" w:sz="0" w:space="0" w:color="auto"/>
      </w:divBdr>
      <w:divsChild>
        <w:div w:id="63843605">
          <w:marLeft w:val="274"/>
          <w:marRight w:val="0"/>
          <w:marTop w:val="0"/>
          <w:marBottom w:val="0"/>
          <w:divBdr>
            <w:top w:val="none" w:sz="0" w:space="0" w:color="auto"/>
            <w:left w:val="none" w:sz="0" w:space="0" w:color="auto"/>
            <w:bottom w:val="none" w:sz="0" w:space="0" w:color="auto"/>
            <w:right w:val="none" w:sz="0" w:space="0" w:color="auto"/>
          </w:divBdr>
        </w:div>
        <w:div w:id="597835177">
          <w:marLeft w:val="994"/>
          <w:marRight w:val="0"/>
          <w:marTop w:val="0"/>
          <w:marBottom w:val="0"/>
          <w:divBdr>
            <w:top w:val="none" w:sz="0" w:space="0" w:color="auto"/>
            <w:left w:val="none" w:sz="0" w:space="0" w:color="auto"/>
            <w:bottom w:val="none" w:sz="0" w:space="0" w:color="auto"/>
            <w:right w:val="none" w:sz="0" w:space="0" w:color="auto"/>
          </w:divBdr>
        </w:div>
        <w:div w:id="634801381">
          <w:marLeft w:val="274"/>
          <w:marRight w:val="0"/>
          <w:marTop w:val="0"/>
          <w:marBottom w:val="0"/>
          <w:divBdr>
            <w:top w:val="none" w:sz="0" w:space="0" w:color="auto"/>
            <w:left w:val="none" w:sz="0" w:space="0" w:color="auto"/>
            <w:bottom w:val="none" w:sz="0" w:space="0" w:color="auto"/>
            <w:right w:val="none" w:sz="0" w:space="0" w:color="auto"/>
          </w:divBdr>
        </w:div>
        <w:div w:id="1254127463">
          <w:marLeft w:val="994"/>
          <w:marRight w:val="0"/>
          <w:marTop w:val="0"/>
          <w:marBottom w:val="0"/>
          <w:divBdr>
            <w:top w:val="none" w:sz="0" w:space="0" w:color="auto"/>
            <w:left w:val="none" w:sz="0" w:space="0" w:color="auto"/>
            <w:bottom w:val="none" w:sz="0" w:space="0" w:color="auto"/>
            <w:right w:val="none" w:sz="0" w:space="0" w:color="auto"/>
          </w:divBdr>
        </w:div>
        <w:div w:id="1358967452">
          <w:marLeft w:val="274"/>
          <w:marRight w:val="0"/>
          <w:marTop w:val="0"/>
          <w:marBottom w:val="0"/>
          <w:divBdr>
            <w:top w:val="none" w:sz="0" w:space="0" w:color="auto"/>
            <w:left w:val="none" w:sz="0" w:space="0" w:color="auto"/>
            <w:bottom w:val="none" w:sz="0" w:space="0" w:color="auto"/>
            <w:right w:val="none" w:sz="0" w:space="0" w:color="auto"/>
          </w:divBdr>
        </w:div>
        <w:div w:id="1896042430">
          <w:marLeft w:val="274"/>
          <w:marRight w:val="0"/>
          <w:marTop w:val="0"/>
          <w:marBottom w:val="0"/>
          <w:divBdr>
            <w:top w:val="none" w:sz="0" w:space="0" w:color="auto"/>
            <w:left w:val="none" w:sz="0" w:space="0" w:color="auto"/>
            <w:bottom w:val="none" w:sz="0" w:space="0" w:color="auto"/>
            <w:right w:val="none" w:sz="0" w:space="0" w:color="auto"/>
          </w:divBdr>
        </w:div>
        <w:div w:id="1899198771">
          <w:marLeft w:val="994"/>
          <w:marRight w:val="0"/>
          <w:marTop w:val="0"/>
          <w:marBottom w:val="0"/>
          <w:divBdr>
            <w:top w:val="none" w:sz="0" w:space="0" w:color="auto"/>
            <w:left w:val="none" w:sz="0" w:space="0" w:color="auto"/>
            <w:bottom w:val="none" w:sz="0" w:space="0" w:color="auto"/>
            <w:right w:val="none" w:sz="0" w:space="0" w:color="auto"/>
          </w:divBdr>
        </w:div>
      </w:divsChild>
    </w:div>
    <w:div w:id="576862088">
      <w:bodyDiv w:val="1"/>
      <w:marLeft w:val="0"/>
      <w:marRight w:val="0"/>
      <w:marTop w:val="0"/>
      <w:marBottom w:val="0"/>
      <w:divBdr>
        <w:top w:val="none" w:sz="0" w:space="0" w:color="auto"/>
        <w:left w:val="none" w:sz="0" w:space="0" w:color="auto"/>
        <w:bottom w:val="none" w:sz="0" w:space="0" w:color="auto"/>
        <w:right w:val="none" w:sz="0" w:space="0" w:color="auto"/>
      </w:divBdr>
    </w:div>
    <w:div w:id="583222993">
      <w:bodyDiv w:val="1"/>
      <w:marLeft w:val="0"/>
      <w:marRight w:val="0"/>
      <w:marTop w:val="0"/>
      <w:marBottom w:val="0"/>
      <w:divBdr>
        <w:top w:val="none" w:sz="0" w:space="0" w:color="auto"/>
        <w:left w:val="none" w:sz="0" w:space="0" w:color="auto"/>
        <w:bottom w:val="none" w:sz="0" w:space="0" w:color="auto"/>
        <w:right w:val="none" w:sz="0" w:space="0" w:color="auto"/>
      </w:divBdr>
    </w:div>
    <w:div w:id="616525560">
      <w:bodyDiv w:val="1"/>
      <w:marLeft w:val="0"/>
      <w:marRight w:val="0"/>
      <w:marTop w:val="0"/>
      <w:marBottom w:val="0"/>
      <w:divBdr>
        <w:top w:val="none" w:sz="0" w:space="0" w:color="auto"/>
        <w:left w:val="none" w:sz="0" w:space="0" w:color="auto"/>
        <w:bottom w:val="none" w:sz="0" w:space="0" w:color="auto"/>
        <w:right w:val="none" w:sz="0" w:space="0" w:color="auto"/>
      </w:divBdr>
    </w:div>
    <w:div w:id="643780754">
      <w:bodyDiv w:val="1"/>
      <w:marLeft w:val="0"/>
      <w:marRight w:val="0"/>
      <w:marTop w:val="0"/>
      <w:marBottom w:val="0"/>
      <w:divBdr>
        <w:top w:val="none" w:sz="0" w:space="0" w:color="auto"/>
        <w:left w:val="none" w:sz="0" w:space="0" w:color="auto"/>
        <w:bottom w:val="none" w:sz="0" w:space="0" w:color="auto"/>
        <w:right w:val="none" w:sz="0" w:space="0" w:color="auto"/>
      </w:divBdr>
    </w:div>
    <w:div w:id="681854053">
      <w:bodyDiv w:val="1"/>
      <w:marLeft w:val="0"/>
      <w:marRight w:val="0"/>
      <w:marTop w:val="0"/>
      <w:marBottom w:val="0"/>
      <w:divBdr>
        <w:top w:val="none" w:sz="0" w:space="0" w:color="auto"/>
        <w:left w:val="none" w:sz="0" w:space="0" w:color="auto"/>
        <w:bottom w:val="none" w:sz="0" w:space="0" w:color="auto"/>
        <w:right w:val="none" w:sz="0" w:space="0" w:color="auto"/>
      </w:divBdr>
    </w:div>
    <w:div w:id="692072129">
      <w:bodyDiv w:val="1"/>
      <w:marLeft w:val="0"/>
      <w:marRight w:val="0"/>
      <w:marTop w:val="0"/>
      <w:marBottom w:val="0"/>
      <w:divBdr>
        <w:top w:val="none" w:sz="0" w:space="0" w:color="auto"/>
        <w:left w:val="none" w:sz="0" w:space="0" w:color="auto"/>
        <w:bottom w:val="none" w:sz="0" w:space="0" w:color="auto"/>
        <w:right w:val="none" w:sz="0" w:space="0" w:color="auto"/>
      </w:divBdr>
    </w:div>
    <w:div w:id="711072526">
      <w:bodyDiv w:val="1"/>
      <w:marLeft w:val="0"/>
      <w:marRight w:val="0"/>
      <w:marTop w:val="0"/>
      <w:marBottom w:val="0"/>
      <w:divBdr>
        <w:top w:val="none" w:sz="0" w:space="0" w:color="auto"/>
        <w:left w:val="none" w:sz="0" w:space="0" w:color="auto"/>
        <w:bottom w:val="none" w:sz="0" w:space="0" w:color="auto"/>
        <w:right w:val="none" w:sz="0" w:space="0" w:color="auto"/>
      </w:divBdr>
    </w:div>
    <w:div w:id="740256637">
      <w:bodyDiv w:val="1"/>
      <w:marLeft w:val="0"/>
      <w:marRight w:val="0"/>
      <w:marTop w:val="0"/>
      <w:marBottom w:val="0"/>
      <w:divBdr>
        <w:top w:val="none" w:sz="0" w:space="0" w:color="auto"/>
        <w:left w:val="none" w:sz="0" w:space="0" w:color="auto"/>
        <w:bottom w:val="none" w:sz="0" w:space="0" w:color="auto"/>
        <w:right w:val="none" w:sz="0" w:space="0" w:color="auto"/>
      </w:divBdr>
    </w:div>
    <w:div w:id="764544174">
      <w:bodyDiv w:val="1"/>
      <w:marLeft w:val="0"/>
      <w:marRight w:val="0"/>
      <w:marTop w:val="0"/>
      <w:marBottom w:val="0"/>
      <w:divBdr>
        <w:top w:val="none" w:sz="0" w:space="0" w:color="auto"/>
        <w:left w:val="none" w:sz="0" w:space="0" w:color="auto"/>
        <w:bottom w:val="none" w:sz="0" w:space="0" w:color="auto"/>
        <w:right w:val="none" w:sz="0" w:space="0" w:color="auto"/>
      </w:divBdr>
    </w:div>
    <w:div w:id="773521544">
      <w:bodyDiv w:val="1"/>
      <w:marLeft w:val="0"/>
      <w:marRight w:val="0"/>
      <w:marTop w:val="0"/>
      <w:marBottom w:val="0"/>
      <w:divBdr>
        <w:top w:val="none" w:sz="0" w:space="0" w:color="auto"/>
        <w:left w:val="none" w:sz="0" w:space="0" w:color="auto"/>
        <w:bottom w:val="none" w:sz="0" w:space="0" w:color="auto"/>
        <w:right w:val="none" w:sz="0" w:space="0" w:color="auto"/>
      </w:divBdr>
    </w:div>
    <w:div w:id="774134777">
      <w:bodyDiv w:val="1"/>
      <w:marLeft w:val="0"/>
      <w:marRight w:val="0"/>
      <w:marTop w:val="0"/>
      <w:marBottom w:val="0"/>
      <w:divBdr>
        <w:top w:val="none" w:sz="0" w:space="0" w:color="auto"/>
        <w:left w:val="none" w:sz="0" w:space="0" w:color="auto"/>
        <w:bottom w:val="none" w:sz="0" w:space="0" w:color="auto"/>
        <w:right w:val="none" w:sz="0" w:space="0" w:color="auto"/>
      </w:divBdr>
    </w:div>
    <w:div w:id="782069169">
      <w:bodyDiv w:val="1"/>
      <w:marLeft w:val="0"/>
      <w:marRight w:val="0"/>
      <w:marTop w:val="0"/>
      <w:marBottom w:val="0"/>
      <w:divBdr>
        <w:top w:val="none" w:sz="0" w:space="0" w:color="auto"/>
        <w:left w:val="none" w:sz="0" w:space="0" w:color="auto"/>
        <w:bottom w:val="none" w:sz="0" w:space="0" w:color="auto"/>
        <w:right w:val="none" w:sz="0" w:space="0" w:color="auto"/>
      </w:divBdr>
    </w:div>
    <w:div w:id="794106337">
      <w:bodyDiv w:val="1"/>
      <w:marLeft w:val="0"/>
      <w:marRight w:val="0"/>
      <w:marTop w:val="0"/>
      <w:marBottom w:val="0"/>
      <w:divBdr>
        <w:top w:val="none" w:sz="0" w:space="0" w:color="auto"/>
        <w:left w:val="none" w:sz="0" w:space="0" w:color="auto"/>
        <w:bottom w:val="none" w:sz="0" w:space="0" w:color="auto"/>
        <w:right w:val="none" w:sz="0" w:space="0" w:color="auto"/>
      </w:divBdr>
    </w:div>
    <w:div w:id="795221902">
      <w:bodyDiv w:val="1"/>
      <w:marLeft w:val="0"/>
      <w:marRight w:val="0"/>
      <w:marTop w:val="0"/>
      <w:marBottom w:val="0"/>
      <w:divBdr>
        <w:top w:val="none" w:sz="0" w:space="0" w:color="auto"/>
        <w:left w:val="none" w:sz="0" w:space="0" w:color="auto"/>
        <w:bottom w:val="none" w:sz="0" w:space="0" w:color="auto"/>
        <w:right w:val="none" w:sz="0" w:space="0" w:color="auto"/>
      </w:divBdr>
    </w:div>
    <w:div w:id="808402325">
      <w:bodyDiv w:val="1"/>
      <w:marLeft w:val="0"/>
      <w:marRight w:val="0"/>
      <w:marTop w:val="0"/>
      <w:marBottom w:val="0"/>
      <w:divBdr>
        <w:top w:val="none" w:sz="0" w:space="0" w:color="auto"/>
        <w:left w:val="none" w:sz="0" w:space="0" w:color="auto"/>
        <w:bottom w:val="none" w:sz="0" w:space="0" w:color="auto"/>
        <w:right w:val="none" w:sz="0" w:space="0" w:color="auto"/>
      </w:divBdr>
    </w:div>
    <w:div w:id="856895471">
      <w:bodyDiv w:val="1"/>
      <w:marLeft w:val="0"/>
      <w:marRight w:val="0"/>
      <w:marTop w:val="0"/>
      <w:marBottom w:val="0"/>
      <w:divBdr>
        <w:top w:val="none" w:sz="0" w:space="0" w:color="auto"/>
        <w:left w:val="none" w:sz="0" w:space="0" w:color="auto"/>
        <w:bottom w:val="none" w:sz="0" w:space="0" w:color="auto"/>
        <w:right w:val="none" w:sz="0" w:space="0" w:color="auto"/>
      </w:divBdr>
    </w:div>
    <w:div w:id="860554764">
      <w:bodyDiv w:val="1"/>
      <w:marLeft w:val="0"/>
      <w:marRight w:val="0"/>
      <w:marTop w:val="0"/>
      <w:marBottom w:val="0"/>
      <w:divBdr>
        <w:top w:val="none" w:sz="0" w:space="0" w:color="auto"/>
        <w:left w:val="none" w:sz="0" w:space="0" w:color="auto"/>
        <w:bottom w:val="none" w:sz="0" w:space="0" w:color="auto"/>
        <w:right w:val="none" w:sz="0" w:space="0" w:color="auto"/>
      </w:divBdr>
    </w:div>
    <w:div w:id="866216474">
      <w:bodyDiv w:val="1"/>
      <w:marLeft w:val="0"/>
      <w:marRight w:val="0"/>
      <w:marTop w:val="0"/>
      <w:marBottom w:val="0"/>
      <w:divBdr>
        <w:top w:val="none" w:sz="0" w:space="0" w:color="auto"/>
        <w:left w:val="none" w:sz="0" w:space="0" w:color="auto"/>
        <w:bottom w:val="none" w:sz="0" w:space="0" w:color="auto"/>
        <w:right w:val="none" w:sz="0" w:space="0" w:color="auto"/>
      </w:divBdr>
    </w:div>
    <w:div w:id="871769037">
      <w:bodyDiv w:val="1"/>
      <w:marLeft w:val="0"/>
      <w:marRight w:val="0"/>
      <w:marTop w:val="0"/>
      <w:marBottom w:val="0"/>
      <w:divBdr>
        <w:top w:val="none" w:sz="0" w:space="0" w:color="auto"/>
        <w:left w:val="none" w:sz="0" w:space="0" w:color="auto"/>
        <w:bottom w:val="none" w:sz="0" w:space="0" w:color="auto"/>
        <w:right w:val="none" w:sz="0" w:space="0" w:color="auto"/>
      </w:divBdr>
    </w:div>
    <w:div w:id="872032502">
      <w:bodyDiv w:val="1"/>
      <w:marLeft w:val="0"/>
      <w:marRight w:val="0"/>
      <w:marTop w:val="0"/>
      <w:marBottom w:val="0"/>
      <w:divBdr>
        <w:top w:val="none" w:sz="0" w:space="0" w:color="auto"/>
        <w:left w:val="none" w:sz="0" w:space="0" w:color="auto"/>
        <w:bottom w:val="none" w:sz="0" w:space="0" w:color="auto"/>
        <w:right w:val="none" w:sz="0" w:space="0" w:color="auto"/>
      </w:divBdr>
    </w:div>
    <w:div w:id="878594307">
      <w:bodyDiv w:val="1"/>
      <w:marLeft w:val="0"/>
      <w:marRight w:val="0"/>
      <w:marTop w:val="0"/>
      <w:marBottom w:val="0"/>
      <w:divBdr>
        <w:top w:val="none" w:sz="0" w:space="0" w:color="auto"/>
        <w:left w:val="none" w:sz="0" w:space="0" w:color="auto"/>
        <w:bottom w:val="none" w:sz="0" w:space="0" w:color="auto"/>
        <w:right w:val="none" w:sz="0" w:space="0" w:color="auto"/>
      </w:divBdr>
    </w:div>
    <w:div w:id="917709514">
      <w:bodyDiv w:val="1"/>
      <w:marLeft w:val="0"/>
      <w:marRight w:val="0"/>
      <w:marTop w:val="0"/>
      <w:marBottom w:val="0"/>
      <w:divBdr>
        <w:top w:val="none" w:sz="0" w:space="0" w:color="auto"/>
        <w:left w:val="none" w:sz="0" w:space="0" w:color="auto"/>
        <w:bottom w:val="none" w:sz="0" w:space="0" w:color="auto"/>
        <w:right w:val="none" w:sz="0" w:space="0" w:color="auto"/>
      </w:divBdr>
    </w:div>
    <w:div w:id="920800271">
      <w:bodyDiv w:val="1"/>
      <w:marLeft w:val="0"/>
      <w:marRight w:val="0"/>
      <w:marTop w:val="0"/>
      <w:marBottom w:val="0"/>
      <w:divBdr>
        <w:top w:val="none" w:sz="0" w:space="0" w:color="auto"/>
        <w:left w:val="none" w:sz="0" w:space="0" w:color="auto"/>
        <w:bottom w:val="none" w:sz="0" w:space="0" w:color="auto"/>
        <w:right w:val="none" w:sz="0" w:space="0" w:color="auto"/>
      </w:divBdr>
    </w:div>
    <w:div w:id="934286155">
      <w:bodyDiv w:val="1"/>
      <w:marLeft w:val="0"/>
      <w:marRight w:val="0"/>
      <w:marTop w:val="0"/>
      <w:marBottom w:val="0"/>
      <w:divBdr>
        <w:top w:val="none" w:sz="0" w:space="0" w:color="auto"/>
        <w:left w:val="none" w:sz="0" w:space="0" w:color="auto"/>
        <w:bottom w:val="none" w:sz="0" w:space="0" w:color="auto"/>
        <w:right w:val="none" w:sz="0" w:space="0" w:color="auto"/>
      </w:divBdr>
    </w:div>
    <w:div w:id="940721734">
      <w:bodyDiv w:val="1"/>
      <w:marLeft w:val="0"/>
      <w:marRight w:val="0"/>
      <w:marTop w:val="0"/>
      <w:marBottom w:val="0"/>
      <w:divBdr>
        <w:top w:val="none" w:sz="0" w:space="0" w:color="auto"/>
        <w:left w:val="none" w:sz="0" w:space="0" w:color="auto"/>
        <w:bottom w:val="none" w:sz="0" w:space="0" w:color="auto"/>
        <w:right w:val="none" w:sz="0" w:space="0" w:color="auto"/>
      </w:divBdr>
    </w:div>
    <w:div w:id="942763171">
      <w:bodyDiv w:val="1"/>
      <w:marLeft w:val="0"/>
      <w:marRight w:val="0"/>
      <w:marTop w:val="0"/>
      <w:marBottom w:val="0"/>
      <w:divBdr>
        <w:top w:val="none" w:sz="0" w:space="0" w:color="auto"/>
        <w:left w:val="none" w:sz="0" w:space="0" w:color="auto"/>
        <w:bottom w:val="none" w:sz="0" w:space="0" w:color="auto"/>
        <w:right w:val="none" w:sz="0" w:space="0" w:color="auto"/>
      </w:divBdr>
    </w:div>
    <w:div w:id="945430972">
      <w:bodyDiv w:val="1"/>
      <w:marLeft w:val="0"/>
      <w:marRight w:val="0"/>
      <w:marTop w:val="0"/>
      <w:marBottom w:val="0"/>
      <w:divBdr>
        <w:top w:val="none" w:sz="0" w:space="0" w:color="auto"/>
        <w:left w:val="none" w:sz="0" w:space="0" w:color="auto"/>
        <w:bottom w:val="none" w:sz="0" w:space="0" w:color="auto"/>
        <w:right w:val="none" w:sz="0" w:space="0" w:color="auto"/>
      </w:divBdr>
    </w:div>
    <w:div w:id="949699675">
      <w:bodyDiv w:val="1"/>
      <w:marLeft w:val="0"/>
      <w:marRight w:val="0"/>
      <w:marTop w:val="0"/>
      <w:marBottom w:val="0"/>
      <w:divBdr>
        <w:top w:val="none" w:sz="0" w:space="0" w:color="auto"/>
        <w:left w:val="none" w:sz="0" w:space="0" w:color="auto"/>
        <w:bottom w:val="none" w:sz="0" w:space="0" w:color="auto"/>
        <w:right w:val="none" w:sz="0" w:space="0" w:color="auto"/>
      </w:divBdr>
    </w:div>
    <w:div w:id="986785992">
      <w:bodyDiv w:val="1"/>
      <w:marLeft w:val="0"/>
      <w:marRight w:val="0"/>
      <w:marTop w:val="0"/>
      <w:marBottom w:val="0"/>
      <w:divBdr>
        <w:top w:val="none" w:sz="0" w:space="0" w:color="auto"/>
        <w:left w:val="none" w:sz="0" w:space="0" w:color="auto"/>
        <w:bottom w:val="none" w:sz="0" w:space="0" w:color="auto"/>
        <w:right w:val="none" w:sz="0" w:space="0" w:color="auto"/>
      </w:divBdr>
      <w:divsChild>
        <w:div w:id="678972112">
          <w:blockQuote w:val="1"/>
          <w:marLeft w:val="0"/>
          <w:marRight w:val="0"/>
          <w:marTop w:val="0"/>
          <w:marBottom w:val="0"/>
          <w:divBdr>
            <w:top w:val="none" w:sz="0" w:space="0" w:color="auto"/>
            <w:left w:val="none" w:sz="0" w:space="0" w:color="auto"/>
            <w:bottom w:val="none" w:sz="0" w:space="0" w:color="auto"/>
            <w:right w:val="none" w:sz="0" w:space="0" w:color="auto"/>
          </w:divBdr>
          <w:divsChild>
            <w:div w:id="20217391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9213099">
      <w:bodyDiv w:val="1"/>
      <w:marLeft w:val="0"/>
      <w:marRight w:val="0"/>
      <w:marTop w:val="0"/>
      <w:marBottom w:val="0"/>
      <w:divBdr>
        <w:top w:val="none" w:sz="0" w:space="0" w:color="auto"/>
        <w:left w:val="none" w:sz="0" w:space="0" w:color="auto"/>
        <w:bottom w:val="none" w:sz="0" w:space="0" w:color="auto"/>
        <w:right w:val="none" w:sz="0" w:space="0" w:color="auto"/>
      </w:divBdr>
    </w:div>
    <w:div w:id="994335906">
      <w:bodyDiv w:val="1"/>
      <w:marLeft w:val="0"/>
      <w:marRight w:val="0"/>
      <w:marTop w:val="0"/>
      <w:marBottom w:val="0"/>
      <w:divBdr>
        <w:top w:val="none" w:sz="0" w:space="0" w:color="auto"/>
        <w:left w:val="none" w:sz="0" w:space="0" w:color="auto"/>
        <w:bottom w:val="none" w:sz="0" w:space="0" w:color="auto"/>
        <w:right w:val="none" w:sz="0" w:space="0" w:color="auto"/>
      </w:divBdr>
    </w:div>
    <w:div w:id="1001087235">
      <w:bodyDiv w:val="1"/>
      <w:marLeft w:val="0"/>
      <w:marRight w:val="0"/>
      <w:marTop w:val="0"/>
      <w:marBottom w:val="0"/>
      <w:divBdr>
        <w:top w:val="none" w:sz="0" w:space="0" w:color="auto"/>
        <w:left w:val="none" w:sz="0" w:space="0" w:color="auto"/>
        <w:bottom w:val="none" w:sz="0" w:space="0" w:color="auto"/>
        <w:right w:val="none" w:sz="0" w:space="0" w:color="auto"/>
      </w:divBdr>
    </w:div>
    <w:div w:id="1014964886">
      <w:bodyDiv w:val="1"/>
      <w:marLeft w:val="0"/>
      <w:marRight w:val="0"/>
      <w:marTop w:val="0"/>
      <w:marBottom w:val="0"/>
      <w:divBdr>
        <w:top w:val="none" w:sz="0" w:space="0" w:color="auto"/>
        <w:left w:val="none" w:sz="0" w:space="0" w:color="auto"/>
        <w:bottom w:val="none" w:sz="0" w:space="0" w:color="auto"/>
        <w:right w:val="none" w:sz="0" w:space="0" w:color="auto"/>
      </w:divBdr>
    </w:div>
    <w:div w:id="1029380664">
      <w:bodyDiv w:val="1"/>
      <w:marLeft w:val="0"/>
      <w:marRight w:val="0"/>
      <w:marTop w:val="0"/>
      <w:marBottom w:val="0"/>
      <w:divBdr>
        <w:top w:val="none" w:sz="0" w:space="0" w:color="auto"/>
        <w:left w:val="none" w:sz="0" w:space="0" w:color="auto"/>
        <w:bottom w:val="none" w:sz="0" w:space="0" w:color="auto"/>
        <w:right w:val="none" w:sz="0" w:space="0" w:color="auto"/>
      </w:divBdr>
    </w:div>
    <w:div w:id="1047871276">
      <w:bodyDiv w:val="1"/>
      <w:marLeft w:val="0"/>
      <w:marRight w:val="0"/>
      <w:marTop w:val="0"/>
      <w:marBottom w:val="0"/>
      <w:divBdr>
        <w:top w:val="none" w:sz="0" w:space="0" w:color="auto"/>
        <w:left w:val="none" w:sz="0" w:space="0" w:color="auto"/>
        <w:bottom w:val="none" w:sz="0" w:space="0" w:color="auto"/>
        <w:right w:val="none" w:sz="0" w:space="0" w:color="auto"/>
      </w:divBdr>
    </w:div>
    <w:div w:id="1086879811">
      <w:bodyDiv w:val="1"/>
      <w:marLeft w:val="0"/>
      <w:marRight w:val="0"/>
      <w:marTop w:val="0"/>
      <w:marBottom w:val="0"/>
      <w:divBdr>
        <w:top w:val="none" w:sz="0" w:space="0" w:color="auto"/>
        <w:left w:val="none" w:sz="0" w:space="0" w:color="auto"/>
        <w:bottom w:val="none" w:sz="0" w:space="0" w:color="auto"/>
        <w:right w:val="none" w:sz="0" w:space="0" w:color="auto"/>
      </w:divBdr>
    </w:div>
    <w:div w:id="1102919688">
      <w:bodyDiv w:val="1"/>
      <w:marLeft w:val="0"/>
      <w:marRight w:val="0"/>
      <w:marTop w:val="0"/>
      <w:marBottom w:val="0"/>
      <w:divBdr>
        <w:top w:val="none" w:sz="0" w:space="0" w:color="auto"/>
        <w:left w:val="none" w:sz="0" w:space="0" w:color="auto"/>
        <w:bottom w:val="none" w:sz="0" w:space="0" w:color="auto"/>
        <w:right w:val="none" w:sz="0" w:space="0" w:color="auto"/>
      </w:divBdr>
    </w:div>
    <w:div w:id="1115907127">
      <w:bodyDiv w:val="1"/>
      <w:marLeft w:val="0"/>
      <w:marRight w:val="0"/>
      <w:marTop w:val="0"/>
      <w:marBottom w:val="0"/>
      <w:divBdr>
        <w:top w:val="none" w:sz="0" w:space="0" w:color="auto"/>
        <w:left w:val="none" w:sz="0" w:space="0" w:color="auto"/>
        <w:bottom w:val="none" w:sz="0" w:space="0" w:color="auto"/>
        <w:right w:val="none" w:sz="0" w:space="0" w:color="auto"/>
      </w:divBdr>
    </w:div>
    <w:div w:id="1123767620">
      <w:bodyDiv w:val="1"/>
      <w:marLeft w:val="0"/>
      <w:marRight w:val="0"/>
      <w:marTop w:val="0"/>
      <w:marBottom w:val="0"/>
      <w:divBdr>
        <w:top w:val="none" w:sz="0" w:space="0" w:color="auto"/>
        <w:left w:val="none" w:sz="0" w:space="0" w:color="auto"/>
        <w:bottom w:val="none" w:sz="0" w:space="0" w:color="auto"/>
        <w:right w:val="none" w:sz="0" w:space="0" w:color="auto"/>
      </w:divBdr>
    </w:div>
    <w:div w:id="1169324151">
      <w:bodyDiv w:val="1"/>
      <w:marLeft w:val="0"/>
      <w:marRight w:val="0"/>
      <w:marTop w:val="0"/>
      <w:marBottom w:val="0"/>
      <w:divBdr>
        <w:top w:val="none" w:sz="0" w:space="0" w:color="auto"/>
        <w:left w:val="none" w:sz="0" w:space="0" w:color="auto"/>
        <w:bottom w:val="none" w:sz="0" w:space="0" w:color="auto"/>
        <w:right w:val="none" w:sz="0" w:space="0" w:color="auto"/>
      </w:divBdr>
    </w:div>
    <w:div w:id="1179925462">
      <w:bodyDiv w:val="1"/>
      <w:marLeft w:val="0"/>
      <w:marRight w:val="0"/>
      <w:marTop w:val="0"/>
      <w:marBottom w:val="0"/>
      <w:divBdr>
        <w:top w:val="none" w:sz="0" w:space="0" w:color="auto"/>
        <w:left w:val="none" w:sz="0" w:space="0" w:color="auto"/>
        <w:bottom w:val="none" w:sz="0" w:space="0" w:color="auto"/>
        <w:right w:val="none" w:sz="0" w:space="0" w:color="auto"/>
      </w:divBdr>
    </w:div>
    <w:div w:id="1194466450">
      <w:bodyDiv w:val="1"/>
      <w:marLeft w:val="0"/>
      <w:marRight w:val="0"/>
      <w:marTop w:val="0"/>
      <w:marBottom w:val="0"/>
      <w:divBdr>
        <w:top w:val="none" w:sz="0" w:space="0" w:color="auto"/>
        <w:left w:val="none" w:sz="0" w:space="0" w:color="auto"/>
        <w:bottom w:val="none" w:sz="0" w:space="0" w:color="auto"/>
        <w:right w:val="none" w:sz="0" w:space="0" w:color="auto"/>
      </w:divBdr>
    </w:div>
    <w:div w:id="1246721698">
      <w:bodyDiv w:val="1"/>
      <w:marLeft w:val="0"/>
      <w:marRight w:val="0"/>
      <w:marTop w:val="0"/>
      <w:marBottom w:val="0"/>
      <w:divBdr>
        <w:top w:val="none" w:sz="0" w:space="0" w:color="auto"/>
        <w:left w:val="none" w:sz="0" w:space="0" w:color="auto"/>
        <w:bottom w:val="none" w:sz="0" w:space="0" w:color="auto"/>
        <w:right w:val="none" w:sz="0" w:space="0" w:color="auto"/>
      </w:divBdr>
      <w:divsChild>
        <w:div w:id="1126120381">
          <w:marLeft w:val="0"/>
          <w:marRight w:val="0"/>
          <w:marTop w:val="0"/>
          <w:marBottom w:val="0"/>
          <w:divBdr>
            <w:top w:val="none" w:sz="0" w:space="0" w:color="auto"/>
            <w:left w:val="none" w:sz="0" w:space="0" w:color="auto"/>
            <w:bottom w:val="none" w:sz="0" w:space="0" w:color="auto"/>
            <w:right w:val="none" w:sz="0" w:space="0" w:color="auto"/>
          </w:divBdr>
          <w:divsChild>
            <w:div w:id="1352292837">
              <w:marLeft w:val="0"/>
              <w:marRight w:val="0"/>
              <w:marTop w:val="150"/>
              <w:marBottom w:val="0"/>
              <w:divBdr>
                <w:top w:val="none" w:sz="0" w:space="0" w:color="auto"/>
                <w:left w:val="none" w:sz="0" w:space="0" w:color="auto"/>
                <w:bottom w:val="none" w:sz="0" w:space="0" w:color="auto"/>
                <w:right w:val="none" w:sz="0" w:space="0" w:color="auto"/>
              </w:divBdr>
              <w:divsChild>
                <w:div w:id="1030107645">
                  <w:marLeft w:val="-225"/>
                  <w:marRight w:val="-225"/>
                  <w:marTop w:val="0"/>
                  <w:marBottom w:val="0"/>
                  <w:divBdr>
                    <w:top w:val="none" w:sz="0" w:space="0" w:color="auto"/>
                    <w:left w:val="none" w:sz="0" w:space="0" w:color="auto"/>
                    <w:bottom w:val="none" w:sz="0" w:space="0" w:color="auto"/>
                    <w:right w:val="none" w:sz="0" w:space="0" w:color="auto"/>
                  </w:divBdr>
                  <w:divsChild>
                    <w:div w:id="957299281">
                      <w:marLeft w:val="0"/>
                      <w:marRight w:val="0"/>
                      <w:marTop w:val="0"/>
                      <w:marBottom w:val="0"/>
                      <w:divBdr>
                        <w:top w:val="none" w:sz="0" w:space="0" w:color="auto"/>
                        <w:left w:val="none" w:sz="0" w:space="0" w:color="auto"/>
                        <w:bottom w:val="none" w:sz="0" w:space="0" w:color="auto"/>
                        <w:right w:val="none" w:sz="0" w:space="0" w:color="auto"/>
                      </w:divBdr>
                      <w:divsChild>
                        <w:div w:id="2077897880">
                          <w:marLeft w:val="-225"/>
                          <w:marRight w:val="-225"/>
                          <w:marTop w:val="0"/>
                          <w:marBottom w:val="0"/>
                          <w:divBdr>
                            <w:top w:val="none" w:sz="0" w:space="0" w:color="auto"/>
                            <w:left w:val="none" w:sz="0" w:space="0" w:color="auto"/>
                            <w:bottom w:val="none" w:sz="0" w:space="0" w:color="auto"/>
                            <w:right w:val="none" w:sz="0" w:space="0" w:color="auto"/>
                          </w:divBdr>
                          <w:divsChild>
                            <w:div w:id="1741172806">
                              <w:marLeft w:val="0"/>
                              <w:marRight w:val="0"/>
                              <w:marTop w:val="0"/>
                              <w:marBottom w:val="0"/>
                              <w:divBdr>
                                <w:top w:val="none" w:sz="0" w:space="0" w:color="auto"/>
                                <w:left w:val="none" w:sz="0" w:space="0" w:color="auto"/>
                                <w:bottom w:val="none" w:sz="0" w:space="0" w:color="auto"/>
                                <w:right w:val="none" w:sz="0" w:space="0" w:color="auto"/>
                              </w:divBdr>
                              <w:divsChild>
                                <w:div w:id="1806578611">
                                  <w:marLeft w:val="0"/>
                                  <w:marRight w:val="0"/>
                                  <w:marTop w:val="0"/>
                                  <w:marBottom w:val="0"/>
                                  <w:divBdr>
                                    <w:top w:val="none" w:sz="0" w:space="0" w:color="auto"/>
                                    <w:left w:val="none" w:sz="0" w:space="0" w:color="auto"/>
                                    <w:bottom w:val="none" w:sz="0" w:space="0" w:color="auto"/>
                                    <w:right w:val="none" w:sz="0" w:space="0" w:color="auto"/>
                                  </w:divBdr>
                                  <w:divsChild>
                                    <w:div w:id="969212874">
                                      <w:marLeft w:val="0"/>
                                      <w:marRight w:val="0"/>
                                      <w:marTop w:val="0"/>
                                      <w:marBottom w:val="0"/>
                                      <w:divBdr>
                                        <w:top w:val="none" w:sz="0" w:space="0" w:color="auto"/>
                                        <w:left w:val="none" w:sz="0" w:space="0" w:color="auto"/>
                                        <w:bottom w:val="none" w:sz="0" w:space="0" w:color="auto"/>
                                        <w:right w:val="none" w:sz="0" w:space="0" w:color="auto"/>
                                      </w:divBdr>
                                      <w:divsChild>
                                        <w:div w:id="198323545">
                                          <w:marLeft w:val="0"/>
                                          <w:marRight w:val="0"/>
                                          <w:marTop w:val="0"/>
                                          <w:marBottom w:val="0"/>
                                          <w:divBdr>
                                            <w:top w:val="none" w:sz="0" w:space="0" w:color="auto"/>
                                            <w:left w:val="none" w:sz="0" w:space="0" w:color="auto"/>
                                            <w:bottom w:val="none" w:sz="0" w:space="0" w:color="auto"/>
                                            <w:right w:val="none" w:sz="0" w:space="0" w:color="auto"/>
                                          </w:divBdr>
                                          <w:divsChild>
                                            <w:div w:id="1549101003">
                                              <w:marLeft w:val="0"/>
                                              <w:marRight w:val="0"/>
                                              <w:marTop w:val="0"/>
                                              <w:marBottom w:val="0"/>
                                              <w:divBdr>
                                                <w:top w:val="none" w:sz="0" w:space="0" w:color="auto"/>
                                                <w:left w:val="none" w:sz="0" w:space="0" w:color="auto"/>
                                                <w:bottom w:val="none" w:sz="0" w:space="0" w:color="auto"/>
                                                <w:right w:val="none" w:sz="0" w:space="0" w:color="auto"/>
                                              </w:divBdr>
                                              <w:divsChild>
                                                <w:div w:id="2043240113">
                                                  <w:marLeft w:val="0"/>
                                                  <w:marRight w:val="0"/>
                                                  <w:marTop w:val="0"/>
                                                  <w:marBottom w:val="0"/>
                                                  <w:divBdr>
                                                    <w:top w:val="none" w:sz="0" w:space="0" w:color="auto"/>
                                                    <w:left w:val="none" w:sz="0" w:space="0" w:color="auto"/>
                                                    <w:bottom w:val="none" w:sz="0" w:space="0" w:color="auto"/>
                                                    <w:right w:val="none" w:sz="0" w:space="0" w:color="auto"/>
                                                  </w:divBdr>
                                                  <w:divsChild>
                                                    <w:div w:id="1479611453">
                                                      <w:marLeft w:val="0"/>
                                                      <w:marRight w:val="0"/>
                                                      <w:marTop w:val="0"/>
                                                      <w:marBottom w:val="0"/>
                                                      <w:divBdr>
                                                        <w:top w:val="none" w:sz="0" w:space="0" w:color="auto"/>
                                                        <w:left w:val="none" w:sz="0" w:space="0" w:color="auto"/>
                                                        <w:bottom w:val="none" w:sz="0" w:space="0" w:color="auto"/>
                                                        <w:right w:val="none" w:sz="0" w:space="0" w:color="auto"/>
                                                      </w:divBdr>
                                                      <w:divsChild>
                                                        <w:div w:id="1336226378">
                                                          <w:marLeft w:val="0"/>
                                                          <w:marRight w:val="0"/>
                                                          <w:marTop w:val="0"/>
                                                          <w:marBottom w:val="0"/>
                                                          <w:divBdr>
                                                            <w:top w:val="none" w:sz="0" w:space="0" w:color="auto"/>
                                                            <w:left w:val="none" w:sz="0" w:space="0" w:color="auto"/>
                                                            <w:bottom w:val="none" w:sz="0" w:space="0" w:color="auto"/>
                                                            <w:right w:val="none" w:sz="0" w:space="0" w:color="auto"/>
                                                          </w:divBdr>
                                                          <w:divsChild>
                                                            <w:div w:id="251857689">
                                                              <w:marLeft w:val="0"/>
                                                              <w:marRight w:val="0"/>
                                                              <w:marTop w:val="0"/>
                                                              <w:marBottom w:val="0"/>
                                                              <w:divBdr>
                                                                <w:top w:val="none" w:sz="0" w:space="0" w:color="auto"/>
                                                                <w:left w:val="none" w:sz="0" w:space="0" w:color="auto"/>
                                                                <w:bottom w:val="none" w:sz="0" w:space="0" w:color="auto"/>
                                                                <w:right w:val="none" w:sz="0" w:space="0" w:color="auto"/>
                                                              </w:divBdr>
                                                              <w:divsChild>
                                                                <w:div w:id="1059982741">
                                                                  <w:marLeft w:val="0"/>
                                                                  <w:marRight w:val="0"/>
                                                                  <w:marTop w:val="0"/>
                                                                  <w:marBottom w:val="0"/>
                                                                  <w:divBdr>
                                                                    <w:top w:val="none" w:sz="0" w:space="0" w:color="auto"/>
                                                                    <w:left w:val="none" w:sz="0" w:space="0" w:color="auto"/>
                                                                    <w:bottom w:val="none" w:sz="0" w:space="0" w:color="auto"/>
                                                                    <w:right w:val="none" w:sz="0" w:space="0" w:color="auto"/>
                                                                  </w:divBdr>
                                                                  <w:divsChild>
                                                                    <w:div w:id="1109661726">
                                                                      <w:marLeft w:val="0"/>
                                                                      <w:marRight w:val="0"/>
                                                                      <w:marTop w:val="0"/>
                                                                      <w:marBottom w:val="0"/>
                                                                      <w:divBdr>
                                                                        <w:top w:val="none" w:sz="0" w:space="0" w:color="auto"/>
                                                                        <w:left w:val="none" w:sz="0" w:space="0" w:color="auto"/>
                                                                        <w:bottom w:val="none" w:sz="0" w:space="0" w:color="auto"/>
                                                                        <w:right w:val="none" w:sz="0" w:space="0" w:color="auto"/>
                                                                      </w:divBdr>
                                                                      <w:divsChild>
                                                                        <w:div w:id="2103842422">
                                                                          <w:marLeft w:val="0"/>
                                                                          <w:marRight w:val="0"/>
                                                                          <w:marTop w:val="0"/>
                                                                          <w:marBottom w:val="0"/>
                                                                          <w:divBdr>
                                                                            <w:top w:val="none" w:sz="0" w:space="0" w:color="auto"/>
                                                                            <w:left w:val="none" w:sz="0" w:space="0" w:color="auto"/>
                                                                            <w:bottom w:val="none" w:sz="0" w:space="0" w:color="auto"/>
                                                                            <w:right w:val="none" w:sz="0" w:space="0" w:color="auto"/>
                                                                          </w:divBdr>
                                                                          <w:divsChild>
                                                                            <w:div w:id="932981903">
                                                                              <w:marLeft w:val="0"/>
                                                                              <w:marRight w:val="0"/>
                                                                              <w:marTop w:val="0"/>
                                                                              <w:marBottom w:val="0"/>
                                                                              <w:divBdr>
                                                                                <w:top w:val="none" w:sz="0" w:space="0" w:color="auto"/>
                                                                                <w:left w:val="none" w:sz="0" w:space="0" w:color="auto"/>
                                                                                <w:bottom w:val="none" w:sz="0" w:space="0" w:color="auto"/>
                                                                                <w:right w:val="none" w:sz="0" w:space="0" w:color="auto"/>
                                                                              </w:divBdr>
                                                                              <w:divsChild>
                                                                                <w:div w:id="782917193">
                                                                                  <w:marLeft w:val="0"/>
                                                                                  <w:marRight w:val="0"/>
                                                                                  <w:marTop w:val="0"/>
                                                                                  <w:marBottom w:val="0"/>
                                                                                  <w:divBdr>
                                                                                    <w:top w:val="none" w:sz="0" w:space="0" w:color="auto"/>
                                                                                    <w:left w:val="none" w:sz="0" w:space="0" w:color="auto"/>
                                                                                    <w:bottom w:val="none" w:sz="0" w:space="0" w:color="auto"/>
                                                                                    <w:right w:val="none" w:sz="0" w:space="0" w:color="auto"/>
                                                                                  </w:divBdr>
                                                                                  <w:divsChild>
                                                                                    <w:div w:id="14492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2890">
      <w:bodyDiv w:val="1"/>
      <w:marLeft w:val="0"/>
      <w:marRight w:val="0"/>
      <w:marTop w:val="0"/>
      <w:marBottom w:val="0"/>
      <w:divBdr>
        <w:top w:val="none" w:sz="0" w:space="0" w:color="auto"/>
        <w:left w:val="none" w:sz="0" w:space="0" w:color="auto"/>
        <w:bottom w:val="none" w:sz="0" w:space="0" w:color="auto"/>
        <w:right w:val="none" w:sz="0" w:space="0" w:color="auto"/>
      </w:divBdr>
    </w:div>
    <w:div w:id="1259406917">
      <w:bodyDiv w:val="1"/>
      <w:marLeft w:val="0"/>
      <w:marRight w:val="0"/>
      <w:marTop w:val="0"/>
      <w:marBottom w:val="0"/>
      <w:divBdr>
        <w:top w:val="none" w:sz="0" w:space="0" w:color="auto"/>
        <w:left w:val="none" w:sz="0" w:space="0" w:color="auto"/>
        <w:bottom w:val="none" w:sz="0" w:space="0" w:color="auto"/>
        <w:right w:val="none" w:sz="0" w:space="0" w:color="auto"/>
      </w:divBdr>
    </w:div>
    <w:div w:id="1259483845">
      <w:bodyDiv w:val="1"/>
      <w:marLeft w:val="0"/>
      <w:marRight w:val="0"/>
      <w:marTop w:val="0"/>
      <w:marBottom w:val="0"/>
      <w:divBdr>
        <w:top w:val="none" w:sz="0" w:space="0" w:color="auto"/>
        <w:left w:val="none" w:sz="0" w:space="0" w:color="auto"/>
        <w:bottom w:val="none" w:sz="0" w:space="0" w:color="auto"/>
        <w:right w:val="none" w:sz="0" w:space="0" w:color="auto"/>
      </w:divBdr>
    </w:div>
    <w:div w:id="1261452746">
      <w:bodyDiv w:val="1"/>
      <w:marLeft w:val="0"/>
      <w:marRight w:val="0"/>
      <w:marTop w:val="0"/>
      <w:marBottom w:val="0"/>
      <w:divBdr>
        <w:top w:val="none" w:sz="0" w:space="0" w:color="auto"/>
        <w:left w:val="none" w:sz="0" w:space="0" w:color="auto"/>
        <w:bottom w:val="none" w:sz="0" w:space="0" w:color="auto"/>
        <w:right w:val="none" w:sz="0" w:space="0" w:color="auto"/>
      </w:divBdr>
    </w:div>
    <w:div w:id="1269240913">
      <w:bodyDiv w:val="1"/>
      <w:marLeft w:val="0"/>
      <w:marRight w:val="0"/>
      <w:marTop w:val="0"/>
      <w:marBottom w:val="0"/>
      <w:divBdr>
        <w:top w:val="none" w:sz="0" w:space="0" w:color="auto"/>
        <w:left w:val="none" w:sz="0" w:space="0" w:color="auto"/>
        <w:bottom w:val="none" w:sz="0" w:space="0" w:color="auto"/>
        <w:right w:val="none" w:sz="0" w:space="0" w:color="auto"/>
      </w:divBdr>
    </w:div>
    <w:div w:id="1271742466">
      <w:bodyDiv w:val="1"/>
      <w:marLeft w:val="0"/>
      <w:marRight w:val="0"/>
      <w:marTop w:val="0"/>
      <w:marBottom w:val="0"/>
      <w:divBdr>
        <w:top w:val="none" w:sz="0" w:space="0" w:color="auto"/>
        <w:left w:val="none" w:sz="0" w:space="0" w:color="auto"/>
        <w:bottom w:val="none" w:sz="0" w:space="0" w:color="auto"/>
        <w:right w:val="none" w:sz="0" w:space="0" w:color="auto"/>
      </w:divBdr>
    </w:div>
    <w:div w:id="1287660576">
      <w:bodyDiv w:val="1"/>
      <w:marLeft w:val="0"/>
      <w:marRight w:val="0"/>
      <w:marTop w:val="0"/>
      <w:marBottom w:val="0"/>
      <w:divBdr>
        <w:top w:val="none" w:sz="0" w:space="0" w:color="auto"/>
        <w:left w:val="none" w:sz="0" w:space="0" w:color="auto"/>
        <w:bottom w:val="none" w:sz="0" w:space="0" w:color="auto"/>
        <w:right w:val="none" w:sz="0" w:space="0" w:color="auto"/>
      </w:divBdr>
    </w:div>
    <w:div w:id="1288664444">
      <w:bodyDiv w:val="1"/>
      <w:marLeft w:val="0"/>
      <w:marRight w:val="0"/>
      <w:marTop w:val="0"/>
      <w:marBottom w:val="0"/>
      <w:divBdr>
        <w:top w:val="none" w:sz="0" w:space="0" w:color="auto"/>
        <w:left w:val="none" w:sz="0" w:space="0" w:color="auto"/>
        <w:bottom w:val="none" w:sz="0" w:space="0" w:color="auto"/>
        <w:right w:val="none" w:sz="0" w:space="0" w:color="auto"/>
      </w:divBdr>
    </w:div>
    <w:div w:id="1307510025">
      <w:bodyDiv w:val="1"/>
      <w:marLeft w:val="0"/>
      <w:marRight w:val="0"/>
      <w:marTop w:val="0"/>
      <w:marBottom w:val="0"/>
      <w:divBdr>
        <w:top w:val="none" w:sz="0" w:space="0" w:color="auto"/>
        <w:left w:val="none" w:sz="0" w:space="0" w:color="auto"/>
        <w:bottom w:val="none" w:sz="0" w:space="0" w:color="auto"/>
        <w:right w:val="none" w:sz="0" w:space="0" w:color="auto"/>
      </w:divBdr>
    </w:div>
    <w:div w:id="1316059750">
      <w:bodyDiv w:val="1"/>
      <w:marLeft w:val="0"/>
      <w:marRight w:val="0"/>
      <w:marTop w:val="0"/>
      <w:marBottom w:val="0"/>
      <w:divBdr>
        <w:top w:val="none" w:sz="0" w:space="0" w:color="auto"/>
        <w:left w:val="none" w:sz="0" w:space="0" w:color="auto"/>
        <w:bottom w:val="none" w:sz="0" w:space="0" w:color="auto"/>
        <w:right w:val="none" w:sz="0" w:space="0" w:color="auto"/>
      </w:divBdr>
    </w:div>
    <w:div w:id="1331517735">
      <w:bodyDiv w:val="1"/>
      <w:marLeft w:val="0"/>
      <w:marRight w:val="0"/>
      <w:marTop w:val="0"/>
      <w:marBottom w:val="0"/>
      <w:divBdr>
        <w:top w:val="none" w:sz="0" w:space="0" w:color="auto"/>
        <w:left w:val="none" w:sz="0" w:space="0" w:color="auto"/>
        <w:bottom w:val="none" w:sz="0" w:space="0" w:color="auto"/>
        <w:right w:val="none" w:sz="0" w:space="0" w:color="auto"/>
      </w:divBdr>
    </w:div>
    <w:div w:id="1331760159">
      <w:bodyDiv w:val="1"/>
      <w:marLeft w:val="0"/>
      <w:marRight w:val="0"/>
      <w:marTop w:val="0"/>
      <w:marBottom w:val="0"/>
      <w:divBdr>
        <w:top w:val="none" w:sz="0" w:space="0" w:color="auto"/>
        <w:left w:val="none" w:sz="0" w:space="0" w:color="auto"/>
        <w:bottom w:val="none" w:sz="0" w:space="0" w:color="auto"/>
        <w:right w:val="none" w:sz="0" w:space="0" w:color="auto"/>
      </w:divBdr>
    </w:div>
    <w:div w:id="1339847313">
      <w:bodyDiv w:val="1"/>
      <w:marLeft w:val="0"/>
      <w:marRight w:val="0"/>
      <w:marTop w:val="0"/>
      <w:marBottom w:val="0"/>
      <w:divBdr>
        <w:top w:val="none" w:sz="0" w:space="0" w:color="auto"/>
        <w:left w:val="none" w:sz="0" w:space="0" w:color="auto"/>
        <w:bottom w:val="none" w:sz="0" w:space="0" w:color="auto"/>
        <w:right w:val="none" w:sz="0" w:space="0" w:color="auto"/>
      </w:divBdr>
    </w:div>
    <w:div w:id="1353385050">
      <w:bodyDiv w:val="1"/>
      <w:marLeft w:val="0"/>
      <w:marRight w:val="0"/>
      <w:marTop w:val="0"/>
      <w:marBottom w:val="0"/>
      <w:divBdr>
        <w:top w:val="none" w:sz="0" w:space="0" w:color="auto"/>
        <w:left w:val="none" w:sz="0" w:space="0" w:color="auto"/>
        <w:bottom w:val="none" w:sz="0" w:space="0" w:color="auto"/>
        <w:right w:val="none" w:sz="0" w:space="0" w:color="auto"/>
      </w:divBdr>
    </w:div>
    <w:div w:id="1357466432">
      <w:bodyDiv w:val="1"/>
      <w:marLeft w:val="0"/>
      <w:marRight w:val="0"/>
      <w:marTop w:val="0"/>
      <w:marBottom w:val="0"/>
      <w:divBdr>
        <w:top w:val="none" w:sz="0" w:space="0" w:color="auto"/>
        <w:left w:val="none" w:sz="0" w:space="0" w:color="auto"/>
        <w:bottom w:val="none" w:sz="0" w:space="0" w:color="auto"/>
        <w:right w:val="none" w:sz="0" w:space="0" w:color="auto"/>
      </w:divBdr>
    </w:div>
    <w:div w:id="1357845743">
      <w:bodyDiv w:val="1"/>
      <w:marLeft w:val="0"/>
      <w:marRight w:val="0"/>
      <w:marTop w:val="0"/>
      <w:marBottom w:val="0"/>
      <w:divBdr>
        <w:top w:val="none" w:sz="0" w:space="0" w:color="auto"/>
        <w:left w:val="none" w:sz="0" w:space="0" w:color="auto"/>
        <w:bottom w:val="none" w:sz="0" w:space="0" w:color="auto"/>
        <w:right w:val="none" w:sz="0" w:space="0" w:color="auto"/>
      </w:divBdr>
    </w:div>
    <w:div w:id="1367607827">
      <w:bodyDiv w:val="1"/>
      <w:marLeft w:val="0"/>
      <w:marRight w:val="0"/>
      <w:marTop w:val="0"/>
      <w:marBottom w:val="0"/>
      <w:divBdr>
        <w:top w:val="none" w:sz="0" w:space="0" w:color="auto"/>
        <w:left w:val="none" w:sz="0" w:space="0" w:color="auto"/>
        <w:bottom w:val="none" w:sz="0" w:space="0" w:color="auto"/>
        <w:right w:val="none" w:sz="0" w:space="0" w:color="auto"/>
      </w:divBdr>
    </w:div>
    <w:div w:id="1368288418">
      <w:bodyDiv w:val="1"/>
      <w:marLeft w:val="0"/>
      <w:marRight w:val="0"/>
      <w:marTop w:val="0"/>
      <w:marBottom w:val="0"/>
      <w:divBdr>
        <w:top w:val="none" w:sz="0" w:space="0" w:color="auto"/>
        <w:left w:val="none" w:sz="0" w:space="0" w:color="auto"/>
        <w:bottom w:val="none" w:sz="0" w:space="0" w:color="auto"/>
        <w:right w:val="none" w:sz="0" w:space="0" w:color="auto"/>
      </w:divBdr>
    </w:div>
    <w:div w:id="1376274795">
      <w:bodyDiv w:val="1"/>
      <w:marLeft w:val="0"/>
      <w:marRight w:val="0"/>
      <w:marTop w:val="0"/>
      <w:marBottom w:val="0"/>
      <w:divBdr>
        <w:top w:val="none" w:sz="0" w:space="0" w:color="auto"/>
        <w:left w:val="none" w:sz="0" w:space="0" w:color="auto"/>
        <w:bottom w:val="none" w:sz="0" w:space="0" w:color="auto"/>
        <w:right w:val="none" w:sz="0" w:space="0" w:color="auto"/>
      </w:divBdr>
    </w:div>
    <w:div w:id="1394961087">
      <w:bodyDiv w:val="1"/>
      <w:marLeft w:val="0"/>
      <w:marRight w:val="0"/>
      <w:marTop w:val="0"/>
      <w:marBottom w:val="0"/>
      <w:divBdr>
        <w:top w:val="none" w:sz="0" w:space="0" w:color="auto"/>
        <w:left w:val="none" w:sz="0" w:space="0" w:color="auto"/>
        <w:bottom w:val="none" w:sz="0" w:space="0" w:color="auto"/>
        <w:right w:val="none" w:sz="0" w:space="0" w:color="auto"/>
      </w:divBdr>
    </w:div>
    <w:div w:id="1428693519">
      <w:bodyDiv w:val="1"/>
      <w:marLeft w:val="0"/>
      <w:marRight w:val="0"/>
      <w:marTop w:val="0"/>
      <w:marBottom w:val="0"/>
      <w:divBdr>
        <w:top w:val="none" w:sz="0" w:space="0" w:color="auto"/>
        <w:left w:val="none" w:sz="0" w:space="0" w:color="auto"/>
        <w:bottom w:val="none" w:sz="0" w:space="0" w:color="auto"/>
        <w:right w:val="none" w:sz="0" w:space="0" w:color="auto"/>
      </w:divBdr>
    </w:div>
    <w:div w:id="1433624444">
      <w:bodyDiv w:val="1"/>
      <w:marLeft w:val="0"/>
      <w:marRight w:val="0"/>
      <w:marTop w:val="0"/>
      <w:marBottom w:val="0"/>
      <w:divBdr>
        <w:top w:val="none" w:sz="0" w:space="0" w:color="auto"/>
        <w:left w:val="none" w:sz="0" w:space="0" w:color="auto"/>
        <w:bottom w:val="none" w:sz="0" w:space="0" w:color="auto"/>
        <w:right w:val="none" w:sz="0" w:space="0" w:color="auto"/>
      </w:divBdr>
    </w:div>
    <w:div w:id="1454054350">
      <w:bodyDiv w:val="1"/>
      <w:marLeft w:val="0"/>
      <w:marRight w:val="0"/>
      <w:marTop w:val="0"/>
      <w:marBottom w:val="0"/>
      <w:divBdr>
        <w:top w:val="none" w:sz="0" w:space="0" w:color="auto"/>
        <w:left w:val="none" w:sz="0" w:space="0" w:color="auto"/>
        <w:bottom w:val="none" w:sz="0" w:space="0" w:color="auto"/>
        <w:right w:val="none" w:sz="0" w:space="0" w:color="auto"/>
      </w:divBdr>
    </w:div>
    <w:div w:id="1469588636">
      <w:bodyDiv w:val="1"/>
      <w:marLeft w:val="0"/>
      <w:marRight w:val="0"/>
      <w:marTop w:val="0"/>
      <w:marBottom w:val="0"/>
      <w:divBdr>
        <w:top w:val="none" w:sz="0" w:space="0" w:color="auto"/>
        <w:left w:val="none" w:sz="0" w:space="0" w:color="auto"/>
        <w:bottom w:val="none" w:sz="0" w:space="0" w:color="auto"/>
        <w:right w:val="none" w:sz="0" w:space="0" w:color="auto"/>
      </w:divBdr>
    </w:div>
    <w:div w:id="1498351389">
      <w:bodyDiv w:val="1"/>
      <w:marLeft w:val="0"/>
      <w:marRight w:val="0"/>
      <w:marTop w:val="0"/>
      <w:marBottom w:val="0"/>
      <w:divBdr>
        <w:top w:val="none" w:sz="0" w:space="0" w:color="auto"/>
        <w:left w:val="none" w:sz="0" w:space="0" w:color="auto"/>
        <w:bottom w:val="none" w:sz="0" w:space="0" w:color="auto"/>
        <w:right w:val="none" w:sz="0" w:space="0" w:color="auto"/>
      </w:divBdr>
    </w:div>
    <w:div w:id="1505700882">
      <w:bodyDiv w:val="1"/>
      <w:marLeft w:val="0"/>
      <w:marRight w:val="0"/>
      <w:marTop w:val="0"/>
      <w:marBottom w:val="0"/>
      <w:divBdr>
        <w:top w:val="none" w:sz="0" w:space="0" w:color="auto"/>
        <w:left w:val="none" w:sz="0" w:space="0" w:color="auto"/>
        <w:bottom w:val="none" w:sz="0" w:space="0" w:color="auto"/>
        <w:right w:val="none" w:sz="0" w:space="0" w:color="auto"/>
      </w:divBdr>
    </w:div>
    <w:div w:id="1512136359">
      <w:bodyDiv w:val="1"/>
      <w:marLeft w:val="0"/>
      <w:marRight w:val="0"/>
      <w:marTop w:val="0"/>
      <w:marBottom w:val="0"/>
      <w:divBdr>
        <w:top w:val="none" w:sz="0" w:space="0" w:color="auto"/>
        <w:left w:val="none" w:sz="0" w:space="0" w:color="auto"/>
        <w:bottom w:val="none" w:sz="0" w:space="0" w:color="auto"/>
        <w:right w:val="none" w:sz="0" w:space="0" w:color="auto"/>
      </w:divBdr>
    </w:div>
    <w:div w:id="1520267814">
      <w:bodyDiv w:val="1"/>
      <w:marLeft w:val="0"/>
      <w:marRight w:val="0"/>
      <w:marTop w:val="0"/>
      <w:marBottom w:val="0"/>
      <w:divBdr>
        <w:top w:val="none" w:sz="0" w:space="0" w:color="auto"/>
        <w:left w:val="none" w:sz="0" w:space="0" w:color="auto"/>
        <w:bottom w:val="none" w:sz="0" w:space="0" w:color="auto"/>
        <w:right w:val="none" w:sz="0" w:space="0" w:color="auto"/>
      </w:divBdr>
    </w:div>
    <w:div w:id="1530530401">
      <w:bodyDiv w:val="1"/>
      <w:marLeft w:val="0"/>
      <w:marRight w:val="0"/>
      <w:marTop w:val="0"/>
      <w:marBottom w:val="0"/>
      <w:divBdr>
        <w:top w:val="none" w:sz="0" w:space="0" w:color="auto"/>
        <w:left w:val="none" w:sz="0" w:space="0" w:color="auto"/>
        <w:bottom w:val="none" w:sz="0" w:space="0" w:color="auto"/>
        <w:right w:val="none" w:sz="0" w:space="0" w:color="auto"/>
      </w:divBdr>
    </w:div>
    <w:div w:id="1535926676">
      <w:bodyDiv w:val="1"/>
      <w:marLeft w:val="0"/>
      <w:marRight w:val="0"/>
      <w:marTop w:val="0"/>
      <w:marBottom w:val="0"/>
      <w:divBdr>
        <w:top w:val="none" w:sz="0" w:space="0" w:color="auto"/>
        <w:left w:val="none" w:sz="0" w:space="0" w:color="auto"/>
        <w:bottom w:val="none" w:sz="0" w:space="0" w:color="auto"/>
        <w:right w:val="none" w:sz="0" w:space="0" w:color="auto"/>
      </w:divBdr>
    </w:div>
    <w:div w:id="1548178286">
      <w:bodyDiv w:val="1"/>
      <w:marLeft w:val="0"/>
      <w:marRight w:val="0"/>
      <w:marTop w:val="0"/>
      <w:marBottom w:val="0"/>
      <w:divBdr>
        <w:top w:val="none" w:sz="0" w:space="0" w:color="auto"/>
        <w:left w:val="none" w:sz="0" w:space="0" w:color="auto"/>
        <w:bottom w:val="none" w:sz="0" w:space="0" w:color="auto"/>
        <w:right w:val="none" w:sz="0" w:space="0" w:color="auto"/>
      </w:divBdr>
      <w:divsChild>
        <w:div w:id="114519907">
          <w:marLeft w:val="0"/>
          <w:marRight w:val="0"/>
          <w:marTop w:val="0"/>
          <w:marBottom w:val="0"/>
          <w:divBdr>
            <w:top w:val="none" w:sz="0" w:space="0" w:color="auto"/>
            <w:left w:val="none" w:sz="0" w:space="0" w:color="auto"/>
            <w:bottom w:val="none" w:sz="0" w:space="0" w:color="auto"/>
            <w:right w:val="none" w:sz="0" w:space="0" w:color="auto"/>
          </w:divBdr>
        </w:div>
        <w:div w:id="626858195">
          <w:marLeft w:val="0"/>
          <w:marRight w:val="0"/>
          <w:marTop w:val="0"/>
          <w:marBottom w:val="0"/>
          <w:divBdr>
            <w:top w:val="none" w:sz="0" w:space="0" w:color="auto"/>
            <w:left w:val="none" w:sz="0" w:space="0" w:color="auto"/>
            <w:bottom w:val="none" w:sz="0" w:space="0" w:color="auto"/>
            <w:right w:val="none" w:sz="0" w:space="0" w:color="auto"/>
          </w:divBdr>
        </w:div>
        <w:div w:id="1102459356">
          <w:marLeft w:val="0"/>
          <w:marRight w:val="0"/>
          <w:marTop w:val="0"/>
          <w:marBottom w:val="0"/>
          <w:divBdr>
            <w:top w:val="none" w:sz="0" w:space="0" w:color="auto"/>
            <w:left w:val="none" w:sz="0" w:space="0" w:color="auto"/>
            <w:bottom w:val="none" w:sz="0" w:space="0" w:color="auto"/>
            <w:right w:val="none" w:sz="0" w:space="0" w:color="auto"/>
          </w:divBdr>
        </w:div>
      </w:divsChild>
    </w:div>
    <w:div w:id="1557399060">
      <w:bodyDiv w:val="1"/>
      <w:marLeft w:val="0"/>
      <w:marRight w:val="0"/>
      <w:marTop w:val="0"/>
      <w:marBottom w:val="0"/>
      <w:divBdr>
        <w:top w:val="none" w:sz="0" w:space="0" w:color="auto"/>
        <w:left w:val="none" w:sz="0" w:space="0" w:color="auto"/>
        <w:bottom w:val="none" w:sz="0" w:space="0" w:color="auto"/>
        <w:right w:val="none" w:sz="0" w:space="0" w:color="auto"/>
      </w:divBdr>
    </w:div>
    <w:div w:id="1560285420">
      <w:bodyDiv w:val="1"/>
      <w:marLeft w:val="0"/>
      <w:marRight w:val="0"/>
      <w:marTop w:val="0"/>
      <w:marBottom w:val="0"/>
      <w:divBdr>
        <w:top w:val="none" w:sz="0" w:space="0" w:color="auto"/>
        <w:left w:val="none" w:sz="0" w:space="0" w:color="auto"/>
        <w:bottom w:val="none" w:sz="0" w:space="0" w:color="auto"/>
        <w:right w:val="none" w:sz="0" w:space="0" w:color="auto"/>
      </w:divBdr>
    </w:div>
    <w:div w:id="1575820163">
      <w:bodyDiv w:val="1"/>
      <w:marLeft w:val="0"/>
      <w:marRight w:val="0"/>
      <w:marTop w:val="0"/>
      <w:marBottom w:val="0"/>
      <w:divBdr>
        <w:top w:val="none" w:sz="0" w:space="0" w:color="auto"/>
        <w:left w:val="none" w:sz="0" w:space="0" w:color="auto"/>
        <w:bottom w:val="none" w:sz="0" w:space="0" w:color="auto"/>
        <w:right w:val="none" w:sz="0" w:space="0" w:color="auto"/>
      </w:divBdr>
    </w:div>
    <w:div w:id="1579361862">
      <w:bodyDiv w:val="1"/>
      <w:marLeft w:val="0"/>
      <w:marRight w:val="0"/>
      <w:marTop w:val="0"/>
      <w:marBottom w:val="0"/>
      <w:divBdr>
        <w:top w:val="none" w:sz="0" w:space="0" w:color="auto"/>
        <w:left w:val="none" w:sz="0" w:space="0" w:color="auto"/>
        <w:bottom w:val="none" w:sz="0" w:space="0" w:color="auto"/>
        <w:right w:val="none" w:sz="0" w:space="0" w:color="auto"/>
      </w:divBdr>
    </w:div>
    <w:div w:id="1581478963">
      <w:bodyDiv w:val="1"/>
      <w:marLeft w:val="0"/>
      <w:marRight w:val="0"/>
      <w:marTop w:val="0"/>
      <w:marBottom w:val="0"/>
      <w:divBdr>
        <w:top w:val="none" w:sz="0" w:space="0" w:color="auto"/>
        <w:left w:val="none" w:sz="0" w:space="0" w:color="auto"/>
        <w:bottom w:val="none" w:sz="0" w:space="0" w:color="auto"/>
        <w:right w:val="none" w:sz="0" w:space="0" w:color="auto"/>
      </w:divBdr>
    </w:div>
    <w:div w:id="1590918609">
      <w:bodyDiv w:val="1"/>
      <w:marLeft w:val="0"/>
      <w:marRight w:val="0"/>
      <w:marTop w:val="0"/>
      <w:marBottom w:val="0"/>
      <w:divBdr>
        <w:top w:val="none" w:sz="0" w:space="0" w:color="auto"/>
        <w:left w:val="none" w:sz="0" w:space="0" w:color="auto"/>
        <w:bottom w:val="none" w:sz="0" w:space="0" w:color="auto"/>
        <w:right w:val="none" w:sz="0" w:space="0" w:color="auto"/>
      </w:divBdr>
    </w:div>
    <w:div w:id="1591622068">
      <w:bodyDiv w:val="1"/>
      <w:marLeft w:val="0"/>
      <w:marRight w:val="0"/>
      <w:marTop w:val="0"/>
      <w:marBottom w:val="0"/>
      <w:divBdr>
        <w:top w:val="none" w:sz="0" w:space="0" w:color="auto"/>
        <w:left w:val="none" w:sz="0" w:space="0" w:color="auto"/>
        <w:bottom w:val="none" w:sz="0" w:space="0" w:color="auto"/>
        <w:right w:val="none" w:sz="0" w:space="0" w:color="auto"/>
      </w:divBdr>
    </w:div>
    <w:div w:id="1612711689">
      <w:bodyDiv w:val="1"/>
      <w:marLeft w:val="0"/>
      <w:marRight w:val="0"/>
      <w:marTop w:val="0"/>
      <w:marBottom w:val="0"/>
      <w:divBdr>
        <w:top w:val="none" w:sz="0" w:space="0" w:color="auto"/>
        <w:left w:val="none" w:sz="0" w:space="0" w:color="auto"/>
        <w:bottom w:val="none" w:sz="0" w:space="0" w:color="auto"/>
        <w:right w:val="none" w:sz="0" w:space="0" w:color="auto"/>
      </w:divBdr>
    </w:div>
    <w:div w:id="1642535064">
      <w:bodyDiv w:val="1"/>
      <w:marLeft w:val="0"/>
      <w:marRight w:val="0"/>
      <w:marTop w:val="0"/>
      <w:marBottom w:val="0"/>
      <w:divBdr>
        <w:top w:val="none" w:sz="0" w:space="0" w:color="auto"/>
        <w:left w:val="none" w:sz="0" w:space="0" w:color="auto"/>
        <w:bottom w:val="none" w:sz="0" w:space="0" w:color="auto"/>
        <w:right w:val="none" w:sz="0" w:space="0" w:color="auto"/>
      </w:divBdr>
    </w:div>
    <w:div w:id="1648122164">
      <w:bodyDiv w:val="1"/>
      <w:marLeft w:val="0"/>
      <w:marRight w:val="0"/>
      <w:marTop w:val="0"/>
      <w:marBottom w:val="0"/>
      <w:divBdr>
        <w:top w:val="none" w:sz="0" w:space="0" w:color="auto"/>
        <w:left w:val="none" w:sz="0" w:space="0" w:color="auto"/>
        <w:bottom w:val="none" w:sz="0" w:space="0" w:color="auto"/>
        <w:right w:val="none" w:sz="0" w:space="0" w:color="auto"/>
      </w:divBdr>
    </w:div>
    <w:div w:id="1655601921">
      <w:bodyDiv w:val="1"/>
      <w:marLeft w:val="0"/>
      <w:marRight w:val="0"/>
      <w:marTop w:val="0"/>
      <w:marBottom w:val="0"/>
      <w:divBdr>
        <w:top w:val="none" w:sz="0" w:space="0" w:color="auto"/>
        <w:left w:val="none" w:sz="0" w:space="0" w:color="auto"/>
        <w:bottom w:val="none" w:sz="0" w:space="0" w:color="auto"/>
        <w:right w:val="none" w:sz="0" w:space="0" w:color="auto"/>
      </w:divBdr>
    </w:div>
    <w:div w:id="1740206544">
      <w:bodyDiv w:val="1"/>
      <w:marLeft w:val="0"/>
      <w:marRight w:val="0"/>
      <w:marTop w:val="0"/>
      <w:marBottom w:val="0"/>
      <w:divBdr>
        <w:top w:val="none" w:sz="0" w:space="0" w:color="auto"/>
        <w:left w:val="none" w:sz="0" w:space="0" w:color="auto"/>
        <w:bottom w:val="none" w:sz="0" w:space="0" w:color="auto"/>
        <w:right w:val="none" w:sz="0" w:space="0" w:color="auto"/>
      </w:divBdr>
    </w:div>
    <w:div w:id="1753088075">
      <w:bodyDiv w:val="1"/>
      <w:marLeft w:val="0"/>
      <w:marRight w:val="0"/>
      <w:marTop w:val="0"/>
      <w:marBottom w:val="0"/>
      <w:divBdr>
        <w:top w:val="none" w:sz="0" w:space="0" w:color="auto"/>
        <w:left w:val="none" w:sz="0" w:space="0" w:color="auto"/>
        <w:bottom w:val="none" w:sz="0" w:space="0" w:color="auto"/>
        <w:right w:val="none" w:sz="0" w:space="0" w:color="auto"/>
      </w:divBdr>
    </w:div>
    <w:div w:id="1765344075">
      <w:bodyDiv w:val="1"/>
      <w:marLeft w:val="0"/>
      <w:marRight w:val="0"/>
      <w:marTop w:val="0"/>
      <w:marBottom w:val="0"/>
      <w:divBdr>
        <w:top w:val="none" w:sz="0" w:space="0" w:color="auto"/>
        <w:left w:val="none" w:sz="0" w:space="0" w:color="auto"/>
        <w:bottom w:val="none" w:sz="0" w:space="0" w:color="auto"/>
        <w:right w:val="none" w:sz="0" w:space="0" w:color="auto"/>
      </w:divBdr>
    </w:div>
    <w:div w:id="1768190773">
      <w:bodyDiv w:val="1"/>
      <w:marLeft w:val="0"/>
      <w:marRight w:val="0"/>
      <w:marTop w:val="0"/>
      <w:marBottom w:val="0"/>
      <w:divBdr>
        <w:top w:val="none" w:sz="0" w:space="0" w:color="auto"/>
        <w:left w:val="none" w:sz="0" w:space="0" w:color="auto"/>
        <w:bottom w:val="none" w:sz="0" w:space="0" w:color="auto"/>
        <w:right w:val="none" w:sz="0" w:space="0" w:color="auto"/>
      </w:divBdr>
    </w:div>
    <w:div w:id="1768427568">
      <w:bodyDiv w:val="1"/>
      <w:marLeft w:val="0"/>
      <w:marRight w:val="0"/>
      <w:marTop w:val="0"/>
      <w:marBottom w:val="0"/>
      <w:divBdr>
        <w:top w:val="none" w:sz="0" w:space="0" w:color="auto"/>
        <w:left w:val="none" w:sz="0" w:space="0" w:color="auto"/>
        <w:bottom w:val="none" w:sz="0" w:space="0" w:color="auto"/>
        <w:right w:val="none" w:sz="0" w:space="0" w:color="auto"/>
      </w:divBdr>
    </w:div>
    <w:div w:id="1770465118">
      <w:bodyDiv w:val="1"/>
      <w:marLeft w:val="0"/>
      <w:marRight w:val="0"/>
      <w:marTop w:val="0"/>
      <w:marBottom w:val="0"/>
      <w:divBdr>
        <w:top w:val="none" w:sz="0" w:space="0" w:color="auto"/>
        <w:left w:val="none" w:sz="0" w:space="0" w:color="auto"/>
        <w:bottom w:val="none" w:sz="0" w:space="0" w:color="auto"/>
        <w:right w:val="none" w:sz="0" w:space="0" w:color="auto"/>
      </w:divBdr>
    </w:div>
    <w:div w:id="1779645381">
      <w:bodyDiv w:val="1"/>
      <w:marLeft w:val="0"/>
      <w:marRight w:val="0"/>
      <w:marTop w:val="0"/>
      <w:marBottom w:val="0"/>
      <w:divBdr>
        <w:top w:val="none" w:sz="0" w:space="0" w:color="auto"/>
        <w:left w:val="none" w:sz="0" w:space="0" w:color="auto"/>
        <w:bottom w:val="none" w:sz="0" w:space="0" w:color="auto"/>
        <w:right w:val="none" w:sz="0" w:space="0" w:color="auto"/>
      </w:divBdr>
      <w:divsChild>
        <w:div w:id="859321057">
          <w:marLeft w:val="0"/>
          <w:marRight w:val="0"/>
          <w:marTop w:val="0"/>
          <w:marBottom w:val="0"/>
          <w:divBdr>
            <w:top w:val="none" w:sz="0" w:space="0" w:color="auto"/>
            <w:left w:val="none" w:sz="0" w:space="0" w:color="auto"/>
            <w:bottom w:val="none" w:sz="0" w:space="0" w:color="auto"/>
            <w:right w:val="none" w:sz="0" w:space="0" w:color="auto"/>
          </w:divBdr>
        </w:div>
      </w:divsChild>
    </w:div>
    <w:div w:id="1804496828">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19492551">
      <w:bodyDiv w:val="1"/>
      <w:marLeft w:val="0"/>
      <w:marRight w:val="0"/>
      <w:marTop w:val="0"/>
      <w:marBottom w:val="0"/>
      <w:divBdr>
        <w:top w:val="none" w:sz="0" w:space="0" w:color="auto"/>
        <w:left w:val="none" w:sz="0" w:space="0" w:color="auto"/>
        <w:bottom w:val="none" w:sz="0" w:space="0" w:color="auto"/>
        <w:right w:val="none" w:sz="0" w:space="0" w:color="auto"/>
      </w:divBdr>
    </w:div>
    <w:div w:id="1828278397">
      <w:bodyDiv w:val="1"/>
      <w:marLeft w:val="0"/>
      <w:marRight w:val="0"/>
      <w:marTop w:val="0"/>
      <w:marBottom w:val="0"/>
      <w:divBdr>
        <w:top w:val="none" w:sz="0" w:space="0" w:color="auto"/>
        <w:left w:val="none" w:sz="0" w:space="0" w:color="auto"/>
        <w:bottom w:val="none" w:sz="0" w:space="0" w:color="auto"/>
        <w:right w:val="none" w:sz="0" w:space="0" w:color="auto"/>
      </w:divBdr>
    </w:div>
    <w:div w:id="1865626959">
      <w:bodyDiv w:val="1"/>
      <w:marLeft w:val="0"/>
      <w:marRight w:val="0"/>
      <w:marTop w:val="0"/>
      <w:marBottom w:val="0"/>
      <w:divBdr>
        <w:top w:val="none" w:sz="0" w:space="0" w:color="auto"/>
        <w:left w:val="none" w:sz="0" w:space="0" w:color="auto"/>
        <w:bottom w:val="none" w:sz="0" w:space="0" w:color="auto"/>
        <w:right w:val="none" w:sz="0" w:space="0" w:color="auto"/>
      </w:divBdr>
    </w:div>
    <w:div w:id="1877430017">
      <w:bodyDiv w:val="1"/>
      <w:marLeft w:val="0"/>
      <w:marRight w:val="0"/>
      <w:marTop w:val="0"/>
      <w:marBottom w:val="0"/>
      <w:divBdr>
        <w:top w:val="none" w:sz="0" w:space="0" w:color="auto"/>
        <w:left w:val="none" w:sz="0" w:space="0" w:color="auto"/>
        <w:bottom w:val="none" w:sz="0" w:space="0" w:color="auto"/>
        <w:right w:val="none" w:sz="0" w:space="0" w:color="auto"/>
      </w:divBdr>
    </w:div>
    <w:div w:id="1881165698">
      <w:bodyDiv w:val="1"/>
      <w:marLeft w:val="0"/>
      <w:marRight w:val="0"/>
      <w:marTop w:val="0"/>
      <w:marBottom w:val="0"/>
      <w:divBdr>
        <w:top w:val="none" w:sz="0" w:space="0" w:color="auto"/>
        <w:left w:val="none" w:sz="0" w:space="0" w:color="auto"/>
        <w:bottom w:val="none" w:sz="0" w:space="0" w:color="auto"/>
        <w:right w:val="none" w:sz="0" w:space="0" w:color="auto"/>
      </w:divBdr>
    </w:div>
    <w:div w:id="1894415873">
      <w:bodyDiv w:val="1"/>
      <w:marLeft w:val="0"/>
      <w:marRight w:val="0"/>
      <w:marTop w:val="0"/>
      <w:marBottom w:val="0"/>
      <w:divBdr>
        <w:top w:val="none" w:sz="0" w:space="0" w:color="auto"/>
        <w:left w:val="none" w:sz="0" w:space="0" w:color="auto"/>
        <w:bottom w:val="none" w:sz="0" w:space="0" w:color="auto"/>
        <w:right w:val="none" w:sz="0" w:space="0" w:color="auto"/>
      </w:divBdr>
    </w:div>
    <w:div w:id="1899777906">
      <w:bodyDiv w:val="1"/>
      <w:marLeft w:val="0"/>
      <w:marRight w:val="0"/>
      <w:marTop w:val="0"/>
      <w:marBottom w:val="0"/>
      <w:divBdr>
        <w:top w:val="none" w:sz="0" w:space="0" w:color="auto"/>
        <w:left w:val="none" w:sz="0" w:space="0" w:color="auto"/>
        <w:bottom w:val="none" w:sz="0" w:space="0" w:color="auto"/>
        <w:right w:val="none" w:sz="0" w:space="0" w:color="auto"/>
      </w:divBdr>
    </w:div>
    <w:div w:id="1907832670">
      <w:bodyDiv w:val="1"/>
      <w:marLeft w:val="0"/>
      <w:marRight w:val="0"/>
      <w:marTop w:val="0"/>
      <w:marBottom w:val="0"/>
      <w:divBdr>
        <w:top w:val="none" w:sz="0" w:space="0" w:color="auto"/>
        <w:left w:val="none" w:sz="0" w:space="0" w:color="auto"/>
        <w:bottom w:val="none" w:sz="0" w:space="0" w:color="auto"/>
        <w:right w:val="none" w:sz="0" w:space="0" w:color="auto"/>
      </w:divBdr>
    </w:div>
    <w:div w:id="1935749120">
      <w:bodyDiv w:val="1"/>
      <w:marLeft w:val="0"/>
      <w:marRight w:val="0"/>
      <w:marTop w:val="0"/>
      <w:marBottom w:val="0"/>
      <w:divBdr>
        <w:top w:val="none" w:sz="0" w:space="0" w:color="auto"/>
        <w:left w:val="none" w:sz="0" w:space="0" w:color="auto"/>
        <w:bottom w:val="none" w:sz="0" w:space="0" w:color="auto"/>
        <w:right w:val="none" w:sz="0" w:space="0" w:color="auto"/>
      </w:divBdr>
    </w:div>
    <w:div w:id="1953395012">
      <w:bodyDiv w:val="1"/>
      <w:marLeft w:val="0"/>
      <w:marRight w:val="0"/>
      <w:marTop w:val="0"/>
      <w:marBottom w:val="0"/>
      <w:divBdr>
        <w:top w:val="none" w:sz="0" w:space="0" w:color="auto"/>
        <w:left w:val="none" w:sz="0" w:space="0" w:color="auto"/>
        <w:bottom w:val="none" w:sz="0" w:space="0" w:color="auto"/>
        <w:right w:val="none" w:sz="0" w:space="0" w:color="auto"/>
      </w:divBdr>
    </w:div>
    <w:div w:id="1967275778">
      <w:bodyDiv w:val="1"/>
      <w:marLeft w:val="0"/>
      <w:marRight w:val="0"/>
      <w:marTop w:val="0"/>
      <w:marBottom w:val="0"/>
      <w:divBdr>
        <w:top w:val="none" w:sz="0" w:space="0" w:color="auto"/>
        <w:left w:val="none" w:sz="0" w:space="0" w:color="auto"/>
        <w:bottom w:val="none" w:sz="0" w:space="0" w:color="auto"/>
        <w:right w:val="none" w:sz="0" w:space="0" w:color="auto"/>
      </w:divBdr>
    </w:div>
    <w:div w:id="1977711707">
      <w:bodyDiv w:val="1"/>
      <w:marLeft w:val="0"/>
      <w:marRight w:val="0"/>
      <w:marTop w:val="0"/>
      <w:marBottom w:val="0"/>
      <w:divBdr>
        <w:top w:val="none" w:sz="0" w:space="0" w:color="auto"/>
        <w:left w:val="none" w:sz="0" w:space="0" w:color="auto"/>
        <w:bottom w:val="none" w:sz="0" w:space="0" w:color="auto"/>
        <w:right w:val="none" w:sz="0" w:space="0" w:color="auto"/>
      </w:divBdr>
    </w:div>
    <w:div w:id="1984845510">
      <w:bodyDiv w:val="1"/>
      <w:marLeft w:val="0"/>
      <w:marRight w:val="0"/>
      <w:marTop w:val="0"/>
      <w:marBottom w:val="0"/>
      <w:divBdr>
        <w:top w:val="none" w:sz="0" w:space="0" w:color="auto"/>
        <w:left w:val="none" w:sz="0" w:space="0" w:color="auto"/>
        <w:bottom w:val="none" w:sz="0" w:space="0" w:color="auto"/>
        <w:right w:val="none" w:sz="0" w:space="0" w:color="auto"/>
      </w:divBdr>
    </w:div>
    <w:div w:id="1997345448">
      <w:bodyDiv w:val="1"/>
      <w:marLeft w:val="0"/>
      <w:marRight w:val="0"/>
      <w:marTop w:val="0"/>
      <w:marBottom w:val="0"/>
      <w:divBdr>
        <w:top w:val="none" w:sz="0" w:space="0" w:color="auto"/>
        <w:left w:val="none" w:sz="0" w:space="0" w:color="auto"/>
        <w:bottom w:val="none" w:sz="0" w:space="0" w:color="auto"/>
        <w:right w:val="none" w:sz="0" w:space="0" w:color="auto"/>
      </w:divBdr>
    </w:div>
    <w:div w:id="2003073205">
      <w:bodyDiv w:val="1"/>
      <w:marLeft w:val="0"/>
      <w:marRight w:val="0"/>
      <w:marTop w:val="0"/>
      <w:marBottom w:val="0"/>
      <w:divBdr>
        <w:top w:val="none" w:sz="0" w:space="0" w:color="auto"/>
        <w:left w:val="none" w:sz="0" w:space="0" w:color="auto"/>
        <w:bottom w:val="none" w:sz="0" w:space="0" w:color="auto"/>
        <w:right w:val="none" w:sz="0" w:space="0" w:color="auto"/>
      </w:divBdr>
    </w:div>
    <w:div w:id="2027906852">
      <w:bodyDiv w:val="1"/>
      <w:marLeft w:val="0"/>
      <w:marRight w:val="0"/>
      <w:marTop w:val="0"/>
      <w:marBottom w:val="0"/>
      <w:divBdr>
        <w:top w:val="none" w:sz="0" w:space="0" w:color="auto"/>
        <w:left w:val="none" w:sz="0" w:space="0" w:color="auto"/>
        <w:bottom w:val="none" w:sz="0" w:space="0" w:color="auto"/>
        <w:right w:val="none" w:sz="0" w:space="0" w:color="auto"/>
      </w:divBdr>
    </w:div>
    <w:div w:id="2029410748">
      <w:bodyDiv w:val="1"/>
      <w:marLeft w:val="0"/>
      <w:marRight w:val="0"/>
      <w:marTop w:val="0"/>
      <w:marBottom w:val="0"/>
      <w:divBdr>
        <w:top w:val="none" w:sz="0" w:space="0" w:color="auto"/>
        <w:left w:val="none" w:sz="0" w:space="0" w:color="auto"/>
        <w:bottom w:val="none" w:sz="0" w:space="0" w:color="auto"/>
        <w:right w:val="none" w:sz="0" w:space="0" w:color="auto"/>
      </w:divBdr>
    </w:div>
    <w:div w:id="2041128785">
      <w:bodyDiv w:val="1"/>
      <w:marLeft w:val="0"/>
      <w:marRight w:val="0"/>
      <w:marTop w:val="0"/>
      <w:marBottom w:val="0"/>
      <w:divBdr>
        <w:top w:val="none" w:sz="0" w:space="0" w:color="auto"/>
        <w:left w:val="none" w:sz="0" w:space="0" w:color="auto"/>
        <w:bottom w:val="none" w:sz="0" w:space="0" w:color="auto"/>
        <w:right w:val="none" w:sz="0" w:space="0" w:color="auto"/>
      </w:divBdr>
    </w:div>
    <w:div w:id="2057387678">
      <w:bodyDiv w:val="1"/>
      <w:marLeft w:val="0"/>
      <w:marRight w:val="0"/>
      <w:marTop w:val="0"/>
      <w:marBottom w:val="0"/>
      <w:divBdr>
        <w:top w:val="none" w:sz="0" w:space="0" w:color="auto"/>
        <w:left w:val="none" w:sz="0" w:space="0" w:color="auto"/>
        <w:bottom w:val="none" w:sz="0" w:space="0" w:color="auto"/>
        <w:right w:val="none" w:sz="0" w:space="0" w:color="auto"/>
      </w:divBdr>
    </w:div>
    <w:div w:id="2058435391">
      <w:bodyDiv w:val="1"/>
      <w:marLeft w:val="0"/>
      <w:marRight w:val="0"/>
      <w:marTop w:val="0"/>
      <w:marBottom w:val="0"/>
      <w:divBdr>
        <w:top w:val="none" w:sz="0" w:space="0" w:color="auto"/>
        <w:left w:val="none" w:sz="0" w:space="0" w:color="auto"/>
        <w:bottom w:val="none" w:sz="0" w:space="0" w:color="auto"/>
        <w:right w:val="none" w:sz="0" w:space="0" w:color="auto"/>
      </w:divBdr>
    </w:div>
    <w:div w:id="2059282736">
      <w:bodyDiv w:val="1"/>
      <w:marLeft w:val="0"/>
      <w:marRight w:val="0"/>
      <w:marTop w:val="0"/>
      <w:marBottom w:val="0"/>
      <w:divBdr>
        <w:top w:val="none" w:sz="0" w:space="0" w:color="auto"/>
        <w:left w:val="none" w:sz="0" w:space="0" w:color="auto"/>
        <w:bottom w:val="none" w:sz="0" w:space="0" w:color="auto"/>
        <w:right w:val="none" w:sz="0" w:space="0" w:color="auto"/>
      </w:divBdr>
    </w:div>
    <w:div w:id="2074961612">
      <w:bodyDiv w:val="1"/>
      <w:marLeft w:val="0"/>
      <w:marRight w:val="0"/>
      <w:marTop w:val="0"/>
      <w:marBottom w:val="0"/>
      <w:divBdr>
        <w:top w:val="none" w:sz="0" w:space="0" w:color="auto"/>
        <w:left w:val="none" w:sz="0" w:space="0" w:color="auto"/>
        <w:bottom w:val="none" w:sz="0" w:space="0" w:color="auto"/>
        <w:right w:val="none" w:sz="0" w:space="0" w:color="auto"/>
      </w:divBdr>
    </w:div>
    <w:div w:id="2076127939">
      <w:bodyDiv w:val="1"/>
      <w:marLeft w:val="0"/>
      <w:marRight w:val="0"/>
      <w:marTop w:val="0"/>
      <w:marBottom w:val="0"/>
      <w:divBdr>
        <w:top w:val="none" w:sz="0" w:space="0" w:color="auto"/>
        <w:left w:val="none" w:sz="0" w:space="0" w:color="auto"/>
        <w:bottom w:val="none" w:sz="0" w:space="0" w:color="auto"/>
        <w:right w:val="none" w:sz="0" w:space="0" w:color="auto"/>
      </w:divBdr>
    </w:div>
    <w:div w:id="21351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euc-word-edit.officeapps.live.com/we/wordeditorframe.aspx?ui=en-US&amp;rs=en-US&amp;wopisrc=https%3A%2F%2Feceuropaeu-my.sharepoint.com%2Fpersonal%2Fmarina_martin-bernal_ec_europa_eu%2F_vti_bin%2Fwopi.ashx%2Ffiles%2F7e22fe68c3e940a1bdd65eb25f89bdf3&amp;wdenableroaming=1&amp;mscc=1&amp;wdodb=1&amp;hid=75015FA1-3086-A000-28A8-F837A82CA671.0&amp;uih=sharepointcom&amp;wdlcid=en-US&amp;jsapi=1&amp;jsapiver=v2&amp;corrid=291fb774-7796-70b9-454a-9a026ae0a5f8&amp;usid=291fb774-7796-70b9-454a-9a026ae0a5f8&amp;newsession=1&amp;sftc=1&amp;uihit=docaspx&amp;muv=1&amp;cac=1&amp;sams=1&amp;mtf=1&amp;sfp=1&amp;sdp=1&amp;hch=1&amp;hwfh=1&amp;dchat=1&amp;sc=%7B%22pmo%22%3A%22https%3A%2F%2Feceuropaeu-my.sharepoint.com%22%2C%22pmshare%22%3Atrue%7D&amp;ctp=LeastProtected&amp;rct=Normal&amp;wdorigin=BrowserReload&amp;instantedit=1&amp;wopicomplete=1&amp;wdredirectionreason=Unified_SingleFlus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uc-word-edit.officeapps.live.com/we/wordeditorframe.aspx?ui=en-US&amp;rs=en-US&amp;wopisrc=https%3A%2F%2Feceuropaeu-my.sharepoint.com%2Fpersonal%2Fmarina_martin-bernal_ec_europa_eu%2F_vti_bin%2Fwopi.ashx%2Ffiles%2F7e22fe68c3e940a1bdd65eb25f89bdf3&amp;wdenableroaming=1&amp;mscc=1&amp;wdodb=1&amp;hid=75015FA1-3086-A000-28A8-F837A82CA671.0&amp;uih=sharepointcom&amp;wdlcid=en-US&amp;jsapi=1&amp;jsapiver=v2&amp;corrid=291fb774-7796-70b9-454a-9a026ae0a5f8&amp;usid=291fb774-7796-70b9-454a-9a026ae0a5f8&amp;newsession=1&amp;sftc=1&amp;uihit=docaspx&amp;muv=1&amp;cac=1&amp;sams=1&amp;mtf=1&amp;sfp=1&amp;sdp=1&amp;hch=1&amp;hwfh=1&amp;dchat=1&amp;sc=%7B%22pmo%22%3A%22https%3A%2F%2Feceuropaeu-my.sharepoint.com%22%2C%22pmshare%22%3Atrue%7D&amp;ctp=LeastProtected&amp;rct=Normal&amp;wdorigin=BrowserReload&amp;instantedit=1&amp;wopicomplete=1&amp;wdredirectionreason=Unified_SingleFlush" TargetMode="Externa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uc-word-edit.officeapps.live.com/we/wordeditorframe.aspx?ui=en-US&amp;rs=en-US&amp;wopisrc=https%3A%2F%2Feceuropaeu-my.sharepoint.com%2Fpersonal%2Fmarina_martin-bernal_ec_europa_eu%2F_vti_bin%2Fwopi.ashx%2Ffiles%2F7e22fe68c3e940a1bdd65eb25f89bdf3&amp;wdenableroaming=1&amp;mscc=1&amp;wdodb=1&amp;hid=75015FA1-3086-A000-28A8-F837A82CA671.0&amp;uih=sharepointcom&amp;wdlcid=en-US&amp;jsapi=1&amp;jsapiver=v2&amp;corrid=291fb774-7796-70b9-454a-9a026ae0a5f8&amp;usid=291fb774-7796-70b9-454a-9a026ae0a5f8&amp;newsession=1&amp;sftc=1&amp;uihit=docaspx&amp;muv=1&amp;cac=1&amp;sams=1&amp;mtf=1&amp;sfp=1&amp;sdp=1&amp;hch=1&amp;hwfh=1&amp;dchat=1&amp;sc=%7B%22pmo%22%3A%22https%3A%2F%2Feceuropaeu-my.sharepoint.com%22%2C%22pmshare%22%3Atrue%7D&amp;ctp=LeastProtected&amp;rct=Normal&amp;wdorigin=BrowserReload&amp;instantedit=1&amp;wopicomplete=1&amp;wdredirectionreason=Unified_SingleFlush"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uc-word-edit.officeapps.live.com/we/wordeditorframe.aspx?ui=en-US&amp;rs=en-US&amp;wopisrc=https%3A%2F%2Feceuropaeu-my.sharepoint.com%2Fpersonal%2Fmarina_martin-bernal_ec_europa_eu%2F_vti_bin%2Fwopi.ashx%2Ffiles%2F7e22fe68c3e940a1bdd65eb25f89bdf3&amp;wdenableroaming=1&amp;mscc=1&amp;wdodb=1&amp;hid=75015FA1-3086-A000-28A8-F837A82CA671.0&amp;uih=sharepointcom&amp;wdlcid=en-US&amp;jsapi=1&amp;jsapiver=v2&amp;corrid=291fb774-7796-70b9-454a-9a026ae0a5f8&amp;usid=291fb774-7796-70b9-454a-9a026ae0a5f8&amp;newsession=1&amp;sftc=1&amp;uihit=docaspx&amp;muv=1&amp;cac=1&amp;sams=1&amp;mtf=1&amp;sfp=1&amp;sdp=1&amp;hch=1&amp;hwfh=1&amp;dchat=1&amp;sc=%7B%22pmo%22%3A%22https%3A%2F%2Feceuropaeu-my.sharepoint.com%22%2C%22pmshare%22%3Atrue%7D&amp;ctp=LeastProtected&amp;rct=Normal&amp;wdorigin=BrowserReload&amp;instantedit=1&amp;wopicomplete=1&amp;wdredirectionreason=Unified_SingleFlus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_impl/2025/512/oj/eng?eliuri=eli%3Areg_impl%3A2025%3A512%3Aoj&amp;locale=ga" TargetMode="External"/><Relationship Id="rId3" Type="http://schemas.openxmlformats.org/officeDocument/2006/relationships/hyperlink" Target="https://eur-lex.europa.eu/legal-content/GA/TXT/?uri=CELEX%3A52021SC0382" TargetMode="External"/><Relationship Id="rId7" Type="http://schemas.openxmlformats.org/officeDocument/2006/relationships/hyperlink" Target="https://eur-lex.europa.eu/eli/reg_impl/2025/512/oj/eng?eliuri=eli%3Areg_impl%3A2025%3A512%3Aoj&amp;locale=ga" TargetMode="External"/><Relationship Id="rId2" Type="http://schemas.openxmlformats.org/officeDocument/2006/relationships/hyperlink" Target="https://eur-lex.europa.eu/legal-content/GA/TXT/?uri=CELEX%3A52020SC0339" TargetMode="External"/><Relationship Id="rId1" Type="http://schemas.openxmlformats.org/officeDocument/2006/relationships/hyperlink" Target="https://eur-lex.europa.eu/legal-content/GA/ALL/?uri=CELEX%3A52019SC0434" TargetMode="External"/><Relationship Id="rId6" Type="http://schemas.openxmlformats.org/officeDocument/2006/relationships/hyperlink" Target="https://eur-lex.europa.eu/legal-content/GA/TXT/PDF/?uri=OJ:L_202302879" TargetMode="External"/><Relationship Id="rId5" Type="http://schemas.openxmlformats.org/officeDocument/2006/relationships/hyperlink" Target="https://eur-lex.europa.eu/legal-content/GA/TXT/?uri=COM%3A2024%3A395%3AFIN" TargetMode="External"/><Relationship Id="rId4" Type="http://schemas.openxmlformats.org/officeDocument/2006/relationships/hyperlink" Target="https://eur-lex.europa.eu/legal-content/GA/TXT/?uri=CELEX%3A52023SC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495412EC8124B9E4D7582D222A1EC" ma:contentTypeVersion="11" ma:contentTypeDescription="Create a new document." ma:contentTypeScope="" ma:versionID="d772480282f3b6c7715fb1f9ac1450d0">
  <xsd:schema xmlns:xsd="http://www.w3.org/2001/XMLSchema" xmlns:xs="http://www.w3.org/2001/XMLSchema" xmlns:p="http://schemas.microsoft.com/office/2006/metadata/properties" xmlns:ns3="89f2df5b-f831-4e41-bdbe-4cb7ec8ce9c1" targetNamespace="http://schemas.microsoft.com/office/2006/metadata/properties" ma:root="true" ma:fieldsID="51ce31d380c8a2ccec9d842ca4f5f581" ns3:_="">
    <xsd:import namespace="89f2df5b-f831-4e41-bdbe-4cb7ec8ce9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2df5b-f831-4e41-bdbe-4cb7ec8ce9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9f2df5b-f831-4e41-bdbe-4cb7ec8ce9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32D7-6CD4-4463-BA97-CCB9263B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2df5b-f831-4e41-bdbe-4cb7ec8ce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12EC0-A174-4988-8D5D-D2DDED938424}">
  <ds:schemaRefs>
    <ds:schemaRef ds:uri="http://schemas.microsoft.com/office/2006/metadata/properties"/>
    <ds:schemaRef ds:uri="http://schemas.microsoft.com/office/infopath/2007/PartnerControls"/>
    <ds:schemaRef ds:uri="89f2df5b-f831-4e41-bdbe-4cb7ec8ce9c1"/>
  </ds:schemaRefs>
</ds:datastoreItem>
</file>

<file path=customXml/itemProps3.xml><?xml version="1.0" encoding="utf-8"?>
<ds:datastoreItem xmlns:ds="http://schemas.openxmlformats.org/officeDocument/2006/customXml" ds:itemID="{CE583596-A31E-4AD8-8B22-E48CB2EE9970}">
  <ds:schemaRefs>
    <ds:schemaRef ds:uri="http://schemas.microsoft.com/sharepoint/v3/contenttype/forms"/>
  </ds:schemaRefs>
</ds:datastoreItem>
</file>

<file path=customXml/itemProps4.xml><?xml version="1.0" encoding="utf-8"?>
<ds:datastoreItem xmlns:ds="http://schemas.openxmlformats.org/officeDocument/2006/customXml" ds:itemID="{D08699E6-DADD-4EC2-87D5-BBD7187FE091}">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21</Pages>
  <Words>9113</Words>
  <Characters>51949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UCC Work Programme Annual Progress Report 2023</vt:lpstr>
    </vt:vector>
  </TitlesOfParts>
  <Manager/>
  <Company/>
  <LinksUpToDate>false</LinksUpToDate>
  <CharactersWithSpaces>60941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 Work Programme Annual Progress Report 2023</dc:title>
  <dc:subject/>
  <dc:creator/>
  <cp:keywords>UCC, Work Programme</cp:keywords>
  <dc:description/>
  <cp:lastModifiedBy/>
  <cp:revision>10</cp:revision>
  <cp:lastPrinted>2024-05-16T09:09:00Z</cp:lastPrinted>
  <dcterms:created xsi:type="dcterms:W3CDTF">2025-09-23T14:32:00Z</dcterms:created>
  <dcterms:modified xsi:type="dcterms:W3CDTF">2025-09-25T14:52:00Z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7.0, Build 20190717</vt:lpwstr>
  </property>
  <property fmtid="{D5CDD505-2E9C-101B-9397-08002B2CF9AE}" pid="9" name="Docear4Word_StyleTitle">
    <vt:lpwstr>Modern Language Association with URL</vt:lpwstr>
  </property>
  <property fmtid="{D5CDD505-2E9C-101B-9397-08002B2CF9AE}" pid="10" name="_LW_INVALIDATED__LW_INVALIDATED__LW_INVALIDATED_ContentTypeId">
    <vt:lpwstr>0x010100258AA79CEB83498886A3A08681123250001ADDC396B85D904E92F5615562E9313A</vt:lpwstr>
  </property>
  <property fmtid="{D5CDD505-2E9C-101B-9397-08002B2CF9AE}" pid="11" name="SfRFilename">
    <vt:lpwstr>UCC_ANNUAL_2022_REPORT_FROM_COMMISSION_EN_v0.10.docx</vt:lpwstr>
  </property>
  <property fmtid="{D5CDD505-2E9C-101B-9397-08002B2CF9AE}" pid="12" name="QCNumber">
    <vt:lpwstr>unknown</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2022-07-05T09:25:00Z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a860cadf-15c9-4ee5-9769-918e021aa308</vt:lpwstr>
  </property>
  <property fmtid="{D5CDD505-2E9C-101B-9397-08002B2CF9AE}" pid="19" name="MSIP_Label_6bd9ddd1-4d20-43f6-abfa-fc3c07406f94_ContentBits">
    <vt:lpwstr>0</vt:lpwstr>
  </property>
  <property fmtid="{D5CDD505-2E9C-101B-9397-08002B2CF9AE}" pid="20" name="ContentTypeId">
    <vt:lpwstr>0x010100079495412EC8124B9E4D7582D222A1EC</vt:lpwstr>
  </property>
  <property fmtid="{D5CDD505-2E9C-101B-9397-08002B2CF9AE}" pid="21" name="MediaServiceImageTags">
    <vt:lpwstr/>
  </property>
  <property fmtid="{D5CDD505-2E9C-101B-9397-08002B2CF9AE}" pid="22" name="GrammarlyDocumentId">
    <vt:lpwstr>5e5099c6c80a1f34ab07218328d473abbcd36312e402a2ce6f0274c959da036b</vt:lpwstr>
  </property>
</Properties>
</file>