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8D726" w14:textId="388564BF" w:rsidR="006A6532" w:rsidRPr="00D77A8F" w:rsidRDefault="00AA2364" w:rsidP="00AA2364">
      <w:pPr>
        <w:pStyle w:val="Pagedecouverture"/>
        <w:rPr>
          <w:noProof/>
        </w:rPr>
      </w:pPr>
      <w:bookmarkStart w:id="0" w:name="LW_BM_COVERPAGE"/>
      <w:r>
        <w:rPr>
          <w:noProof/>
        </w:rPr>
        <w:pict w14:anchorId="3DC88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93EBEA7-B548-44A5-AB1E-A1FBA1B152E5" style="width:455.25pt;height:365.25pt">
            <v:imagedata r:id="rId8" o:title=""/>
          </v:shape>
        </w:pict>
      </w:r>
    </w:p>
    <w:bookmarkEnd w:id="0"/>
    <w:p w14:paraId="4DF63C14" w14:textId="77777777" w:rsidR="00EF7DF0" w:rsidRPr="00D77A8F" w:rsidRDefault="00EF7DF0" w:rsidP="00EF7DF0">
      <w:pPr>
        <w:rPr>
          <w:noProof/>
        </w:rPr>
        <w:sectPr w:rsidR="00EF7DF0" w:rsidRPr="00D77A8F" w:rsidSect="00AA2364">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23ABB9C" w14:textId="77777777" w:rsidR="00345B7E" w:rsidRPr="00D77A8F" w:rsidRDefault="00345B7E" w:rsidP="00E90C9A">
      <w:pPr>
        <w:spacing w:line="240" w:lineRule="auto"/>
        <w:jc w:val="center"/>
        <w:rPr>
          <w:rFonts w:ascii="Times New Roman" w:hAnsi="Times New Roman" w:cs="Times New Roman"/>
          <w:b/>
          <w:noProof/>
          <w:sz w:val="24"/>
          <w:szCs w:val="24"/>
        </w:rPr>
      </w:pPr>
      <w:bookmarkStart w:id="1" w:name="_GoBack"/>
      <w:bookmarkEnd w:id="1"/>
      <w:r>
        <w:rPr>
          <w:rFonts w:ascii="Times New Roman" w:hAnsi="Times New Roman"/>
          <w:b/>
          <w:noProof/>
          <w:sz w:val="24"/>
        </w:rPr>
        <w:lastRenderedPageBreak/>
        <w:t>TUARASCÁIL ÓN gCOIMISIÚN CHUIG PARLAIMINT NA hEORPA AGUS CHUIG AN gCOMHAIRLE</w:t>
      </w:r>
    </w:p>
    <w:p w14:paraId="123C2C10" w14:textId="514157BA" w:rsidR="00345B7E" w:rsidRPr="00D77A8F" w:rsidRDefault="00345B7E" w:rsidP="00E90C9A">
      <w:pPr>
        <w:spacing w:line="240" w:lineRule="auto"/>
        <w:jc w:val="center"/>
        <w:rPr>
          <w:rFonts w:ascii="Times New Roman" w:hAnsi="Times New Roman" w:cs="Times New Roman"/>
          <w:b/>
          <w:noProof/>
          <w:sz w:val="24"/>
          <w:szCs w:val="24"/>
        </w:rPr>
      </w:pPr>
      <w:r>
        <w:rPr>
          <w:rFonts w:ascii="Times New Roman" w:hAnsi="Times New Roman"/>
          <w:b/>
          <w:noProof/>
          <w:sz w:val="24"/>
        </w:rPr>
        <w:t>maidir le feidhmiú na cumhachta chun gníomhartha tarmligthe a ghlacadh, cumhacht a thugtar don Choimisiún de bhun Rialachán (CE) Uimh. 184/2005 maidir le staidreamh Comhphobail a bhaineann le comhardú íocaíochtaí, le trádáil idirnáisiúnta i seirbhísí agus le hinfheistíocht dhíreach ón gcoigríoch</w:t>
      </w:r>
    </w:p>
    <w:p w14:paraId="297313DE" w14:textId="77777777" w:rsidR="00345B7E" w:rsidRPr="00D77A8F" w:rsidRDefault="00345B7E" w:rsidP="00E90C9A">
      <w:pPr>
        <w:spacing w:line="240" w:lineRule="auto"/>
        <w:jc w:val="center"/>
        <w:rPr>
          <w:rFonts w:ascii="Times New Roman" w:hAnsi="Times New Roman" w:cs="Times New Roman"/>
          <w:b/>
          <w:noProof/>
          <w:sz w:val="24"/>
          <w:szCs w:val="24"/>
          <w:lang w:eastAsia="en-GB"/>
        </w:rPr>
      </w:pPr>
    </w:p>
    <w:p w14:paraId="3ECDEC03" w14:textId="77777777" w:rsidR="00702D5F" w:rsidRPr="00D77A8F" w:rsidRDefault="00702D5F" w:rsidP="00E90C9A">
      <w:pPr>
        <w:spacing w:line="240" w:lineRule="auto"/>
        <w:jc w:val="center"/>
        <w:rPr>
          <w:rFonts w:ascii="Times New Roman" w:hAnsi="Times New Roman" w:cs="Times New Roman"/>
          <w:b/>
          <w:noProof/>
          <w:sz w:val="24"/>
          <w:szCs w:val="24"/>
          <w:lang w:eastAsia="en-GB"/>
        </w:rPr>
      </w:pPr>
    </w:p>
    <w:p w14:paraId="7CE40A0D" w14:textId="2C52C2B7" w:rsidR="00345B7E" w:rsidRPr="00D77A8F" w:rsidRDefault="00345B7E" w:rsidP="00E90C9A">
      <w:pPr>
        <w:pStyle w:val="ListParagraph"/>
        <w:numPr>
          <w:ilvl w:val="0"/>
          <w:numId w:val="1"/>
        </w:numPr>
        <w:spacing w:line="240" w:lineRule="auto"/>
        <w:ind w:left="426" w:hanging="426"/>
        <w:rPr>
          <w:rFonts w:ascii="Times New Roman" w:hAnsi="Times New Roman" w:cs="Times New Roman"/>
          <w:b/>
          <w:noProof/>
          <w:sz w:val="24"/>
          <w:szCs w:val="24"/>
        </w:rPr>
      </w:pPr>
      <w:r>
        <w:rPr>
          <w:rFonts w:ascii="Times New Roman" w:hAnsi="Times New Roman"/>
          <w:b/>
          <w:noProof/>
          <w:sz w:val="24"/>
        </w:rPr>
        <w:t>RÉAMHRÁ</w:t>
      </w:r>
    </w:p>
    <w:p w14:paraId="53628231" w14:textId="33760B6B" w:rsidR="000B3739" w:rsidRPr="00D77A8F" w:rsidRDefault="00345B7E" w:rsidP="00E90C9A">
      <w:pPr>
        <w:spacing w:line="240" w:lineRule="auto"/>
        <w:jc w:val="both"/>
        <w:rPr>
          <w:rFonts w:ascii="Times New Roman" w:hAnsi="Times New Roman" w:cs="Times New Roman"/>
          <w:noProof/>
          <w:sz w:val="24"/>
          <w:szCs w:val="24"/>
        </w:rPr>
      </w:pPr>
      <w:r>
        <w:rPr>
          <w:rFonts w:ascii="Times New Roman" w:hAnsi="Times New Roman"/>
          <w:noProof/>
          <w:sz w:val="24"/>
        </w:rPr>
        <w:t>Le Rialachán (AE) 2016/1013 ó Pharlaimint na hEorpa agus ón gComhairle</w:t>
      </w:r>
      <w:r>
        <w:rPr>
          <w:rStyle w:val="FootnoteReference"/>
          <w:rFonts w:ascii="Times New Roman" w:hAnsi="Times New Roman" w:cs="Times New Roman"/>
          <w:noProof/>
          <w:sz w:val="24"/>
          <w:szCs w:val="24"/>
        </w:rPr>
        <w:footnoteReference w:id="1"/>
      </w:r>
      <w:r>
        <w:rPr>
          <w:rFonts w:ascii="Times New Roman" w:hAnsi="Times New Roman"/>
          <w:noProof/>
          <w:sz w:val="24"/>
        </w:rPr>
        <w:t>, rinneadh na cumhachtaí a thugtar don Choimisiún le Rialachán (CE) Uimh. 184/2005</w:t>
      </w:r>
      <w:r>
        <w:rPr>
          <w:rStyle w:val="FootnoteReference"/>
          <w:rFonts w:ascii="Times New Roman" w:hAnsi="Times New Roman" w:cs="Times New Roman"/>
          <w:noProof/>
          <w:sz w:val="24"/>
          <w:szCs w:val="24"/>
        </w:rPr>
        <w:footnoteReference w:id="2"/>
      </w:r>
      <w:r>
        <w:rPr>
          <w:rFonts w:ascii="Times New Roman" w:hAnsi="Times New Roman"/>
          <w:noProof/>
          <w:sz w:val="24"/>
        </w:rPr>
        <w:t>, i measc nithe eile, a ailíniú leis an gConradh ar Fheidhmiú an Aontais Eorpaigh (CFAE).</w:t>
      </w:r>
    </w:p>
    <w:p w14:paraId="05297A2E" w14:textId="76EB43AB" w:rsidR="007837C8" w:rsidRPr="00D77A8F" w:rsidRDefault="002A61C7" w:rsidP="00E90C9A">
      <w:pPr>
        <w:spacing w:line="240" w:lineRule="auto"/>
        <w:jc w:val="both"/>
        <w:rPr>
          <w:rFonts w:ascii="Times New Roman" w:hAnsi="Times New Roman" w:cs="Times New Roman"/>
          <w:noProof/>
          <w:sz w:val="24"/>
          <w:szCs w:val="24"/>
        </w:rPr>
      </w:pPr>
      <w:r>
        <w:rPr>
          <w:rFonts w:ascii="Times New Roman" w:hAnsi="Times New Roman"/>
          <w:noProof/>
          <w:sz w:val="24"/>
        </w:rPr>
        <w:t>Faoi Rialachán (CE) Uimh. 184/2005, arna leasú, is féidir leis an gCoimisiún gníomhartha tarmligthe a ghlacadh i gcomhréir le hAirteagal 290 CFAE chun na gcríoch seo a leanas:</w:t>
      </w:r>
    </w:p>
    <w:p w14:paraId="2340EB2A" w14:textId="0F496531" w:rsidR="00973861" w:rsidRPr="00D77A8F" w:rsidRDefault="00252409" w:rsidP="00174AC8">
      <w:pPr>
        <w:pStyle w:val="ListParagraph"/>
        <w:numPr>
          <w:ilvl w:val="0"/>
          <w:numId w:val="2"/>
        </w:numPr>
        <w:spacing w:after="240" w:line="240" w:lineRule="auto"/>
        <w:ind w:left="595" w:hanging="425"/>
        <w:contextualSpacing w:val="0"/>
        <w:jc w:val="both"/>
        <w:rPr>
          <w:rFonts w:ascii="Times New Roman" w:hAnsi="Times New Roman" w:cs="Times New Roman"/>
          <w:noProof/>
          <w:sz w:val="24"/>
          <w:szCs w:val="24"/>
        </w:rPr>
      </w:pPr>
      <w:r>
        <w:rPr>
          <w:rFonts w:ascii="Times New Roman" w:hAnsi="Times New Roman"/>
          <w:noProof/>
          <w:sz w:val="24"/>
        </w:rPr>
        <w:t>chun na leibhéil miondealaithe gheografaigh, na leibhéil miondealaithe earnálacha institiúideacha agus na leibhéil miondealaithe gníomhaíochta eacnamaíche, leibhéil a leagtar amach i dTábla 6, 7 agus 8 in Iarscríbhinn I, a thabhairt cothrom le dáta chun athruithe eacnamaíocha nó teicniúla a léiriú (Airteagal 2(3));</w:t>
      </w:r>
    </w:p>
    <w:p w14:paraId="700AE173" w14:textId="199665A7" w:rsidR="004B1942" w:rsidRPr="00D77A8F" w:rsidRDefault="00252409" w:rsidP="004B1942">
      <w:pPr>
        <w:pStyle w:val="ListParagraph"/>
        <w:numPr>
          <w:ilvl w:val="0"/>
          <w:numId w:val="2"/>
        </w:numPr>
        <w:spacing w:after="240" w:line="240" w:lineRule="auto"/>
        <w:ind w:left="595" w:hanging="425"/>
        <w:contextualSpacing w:val="0"/>
        <w:jc w:val="both"/>
        <w:rPr>
          <w:rFonts w:ascii="Times New Roman" w:hAnsi="Times New Roman" w:cs="Times New Roman"/>
          <w:noProof/>
          <w:sz w:val="24"/>
          <w:szCs w:val="24"/>
        </w:rPr>
      </w:pPr>
      <w:r>
        <w:rPr>
          <w:rFonts w:ascii="Times New Roman" w:hAnsi="Times New Roman"/>
          <w:noProof/>
          <w:sz w:val="24"/>
        </w:rPr>
        <w:t>chun ceanglais áirithe maidir le sreafaí sonraí in Iarscríbhinn I a dhíchur nó a ísliú, ar an gcoinníoll nach laghdódh an díchur nó an</w:t>
      </w:r>
      <w:r w:rsidR="00145E72">
        <w:rPr>
          <w:rFonts w:ascii="Times New Roman" w:hAnsi="Times New Roman"/>
          <w:noProof/>
          <w:sz w:val="24"/>
        </w:rPr>
        <w:t xml:space="preserve"> t</w:t>
      </w:r>
      <w:r w:rsidR="00145E72">
        <w:rPr>
          <w:rFonts w:ascii="Times New Roman" w:hAnsi="Times New Roman"/>
          <w:noProof/>
          <w:sz w:val="24"/>
        </w:rPr>
        <w:noBreakHyphen/>
      </w:r>
      <w:r>
        <w:rPr>
          <w:rFonts w:ascii="Times New Roman" w:hAnsi="Times New Roman"/>
          <w:noProof/>
          <w:sz w:val="24"/>
        </w:rPr>
        <w:t>ísliú sin caighdeán an staidrimh arna tháirgeadh i gcomhréir leis an rialachán sin (Airteagal 2(3));</w:t>
      </w:r>
    </w:p>
    <w:p w14:paraId="3E08DEAC" w14:textId="271052FF" w:rsidR="00967EFC" w:rsidRPr="00D77A8F" w:rsidRDefault="00252409" w:rsidP="004B1942">
      <w:pPr>
        <w:pStyle w:val="ListParagraph"/>
        <w:numPr>
          <w:ilvl w:val="0"/>
          <w:numId w:val="2"/>
        </w:numPr>
        <w:spacing w:after="240" w:line="240" w:lineRule="auto"/>
        <w:ind w:left="595" w:hanging="425"/>
        <w:contextualSpacing w:val="0"/>
        <w:jc w:val="both"/>
        <w:rPr>
          <w:rFonts w:ascii="Times New Roman" w:hAnsi="Times New Roman" w:cs="Times New Roman"/>
          <w:noProof/>
          <w:sz w:val="24"/>
          <w:szCs w:val="24"/>
        </w:rPr>
      </w:pPr>
      <w:r>
        <w:rPr>
          <w:rFonts w:ascii="Times New Roman" w:hAnsi="Times New Roman"/>
          <w:noProof/>
          <w:sz w:val="24"/>
        </w:rPr>
        <w:t>chun síneadh a chur le sprioc-am na tuarascála faoi Airteagal 5(5) den rialachán sin a mhéid a bhaineann le torthaí treoirstaidéar maidir le staidreamh infheistíochta dírí ón gcoigríoch (IDC) bunaithe ar choincheap na húinéireachta deiridh agus staidreamh IDC lena ndéantar idirbhearta úrnua IDC a idirdhealú ó tháthcheangail (Airteagal 5(6)).</w:t>
      </w:r>
    </w:p>
    <w:p w14:paraId="066EA8F2" w14:textId="66AE015D" w:rsidR="00174AC8" w:rsidRPr="00D77A8F" w:rsidRDefault="000453FC" w:rsidP="00E90C9A">
      <w:pPr>
        <w:widowControl w:val="0"/>
        <w:spacing w:after="0" w:line="240" w:lineRule="auto"/>
        <w:jc w:val="both"/>
        <w:rPr>
          <w:rFonts w:ascii="Times New Roman" w:hAnsi="Times New Roman" w:cs="Times New Roman"/>
          <w:noProof/>
          <w:sz w:val="24"/>
          <w:szCs w:val="24"/>
        </w:rPr>
      </w:pPr>
      <w:r>
        <w:rPr>
          <w:rFonts w:ascii="Times New Roman" w:hAnsi="Times New Roman"/>
          <w:noProof/>
          <w:sz w:val="24"/>
        </w:rPr>
        <w:t>Le linn don Choimisiún na cumhachtaí sin a fheidhmiú, ba cheart dó a áirithiú nach gcuirfidh na gníomhartha tarmligthe a ghlactar faoi na forálacha sin ualach mór breise ar na Ballstáit ná ar na haonaid is freagróirí, ar ualaí iad is mó ná mar is gá chun críocha Rialachán (CE) Uimh. 184/2005, ná nach modhnaítear an bunchreat coincheapúil is infheidhme. Déantar foráil in Airteagal 10(4) le haghaidh comhairliúcháin chórasacha le saineolaithe ó na Ballstáit ag an gCoimisiún le linn a chuid oibre ullmhúcháin ar ghníomhartha tarmligthe, i gcomhréir leis an gComhaontú Idirinstitiúideach an 13 Aibreán 2016 maidir le Reachtóireacht Níos Fearr</w:t>
      </w:r>
      <w:r>
        <w:rPr>
          <w:rStyle w:val="FootnoteReference"/>
          <w:rFonts w:ascii="Times New Roman" w:hAnsi="Times New Roman" w:cs="Times New Roman"/>
          <w:noProof/>
          <w:sz w:val="24"/>
          <w:szCs w:val="24"/>
        </w:rPr>
        <w:footnoteReference w:id="3"/>
      </w:r>
      <w:r>
        <w:rPr>
          <w:rFonts w:ascii="Times New Roman" w:hAnsi="Times New Roman"/>
          <w:noProof/>
          <w:sz w:val="24"/>
        </w:rPr>
        <w:t>. Faoi Airteagal 10(5) den rialachán sin, ní mór don Choimisiún fógra a thabhairt do Pharlaimint na hEorpa agus don Chomhairle a luaithe a ghlacann sé gníomh tarmligthe.</w:t>
      </w:r>
    </w:p>
    <w:p w14:paraId="5E53FB58" w14:textId="3C774D36" w:rsidR="00345B7E" w:rsidRPr="00D77A8F" w:rsidRDefault="00345B7E" w:rsidP="00E90C9A">
      <w:pPr>
        <w:pStyle w:val="ListParagraph"/>
        <w:numPr>
          <w:ilvl w:val="0"/>
          <w:numId w:val="1"/>
        </w:numPr>
        <w:spacing w:line="240" w:lineRule="auto"/>
        <w:ind w:left="426" w:hanging="426"/>
        <w:rPr>
          <w:rFonts w:ascii="Times New Roman" w:hAnsi="Times New Roman" w:cs="Times New Roman"/>
          <w:b/>
          <w:noProof/>
          <w:sz w:val="24"/>
          <w:szCs w:val="24"/>
        </w:rPr>
      </w:pPr>
      <w:r>
        <w:rPr>
          <w:rFonts w:ascii="Times New Roman" w:hAnsi="Times New Roman"/>
          <w:b/>
          <w:noProof/>
          <w:sz w:val="24"/>
        </w:rPr>
        <w:t>BUNÚS DLÍ</w:t>
      </w:r>
    </w:p>
    <w:p w14:paraId="56DE37FC" w14:textId="0620B1A4" w:rsidR="000453FC" w:rsidRPr="00D77A8F" w:rsidRDefault="000453FC" w:rsidP="00E90C9A">
      <w:pPr>
        <w:spacing w:after="240" w:line="240" w:lineRule="auto"/>
        <w:jc w:val="both"/>
        <w:rPr>
          <w:rFonts w:ascii="Times New Roman" w:hAnsi="Times New Roman" w:cs="Times New Roman"/>
          <w:noProof/>
          <w:sz w:val="24"/>
          <w:szCs w:val="24"/>
        </w:rPr>
      </w:pPr>
      <w:r>
        <w:rPr>
          <w:rFonts w:ascii="Times New Roman" w:hAnsi="Times New Roman"/>
          <w:noProof/>
          <w:sz w:val="24"/>
        </w:rPr>
        <w:t>Faoi Airteagail 10(2) de Rialachán (CE) Uimh. 184/2005, tugtar an chumhacht chun gníomhartha tarmligthe a ghlacadh don Choimisiún go ceann tréimhse 5 bliana ón 19 Iúil 2021 ar aghaidh. Tá síneadh le cur go hintuigthe le tarmligean na cumhachta go ceann tréimhsí 5 bliana, ach amháin má chuireann Parlaimint na hEorpa nó an Chomhairle in aghaidh an tsínidh sin tráth nach déanaí ná 3 mhí roimh dheireadh gach tréimhse.</w:t>
      </w:r>
    </w:p>
    <w:p w14:paraId="073B9D6B" w14:textId="31044030" w:rsidR="00843606" w:rsidRPr="00D77A8F" w:rsidRDefault="000453FC" w:rsidP="00E90C9A">
      <w:pPr>
        <w:spacing w:after="240" w:line="240" w:lineRule="auto"/>
        <w:jc w:val="both"/>
        <w:rPr>
          <w:rFonts w:ascii="Times New Roman" w:hAnsi="Times New Roman" w:cs="Times New Roman"/>
          <w:noProof/>
          <w:sz w:val="24"/>
          <w:szCs w:val="24"/>
        </w:rPr>
      </w:pPr>
      <w:r>
        <w:rPr>
          <w:rFonts w:ascii="Times New Roman" w:hAnsi="Times New Roman"/>
          <w:noProof/>
          <w:sz w:val="24"/>
        </w:rPr>
        <w:t>Ceanglaítear ar an gCoimisiún tuarascáil a tharraingt suas maidir le tarmligean na cumhachta tráth nach déanaí ná 9 mí roimh dheireadh na tréimhse 5 bliana. Comhlíonann an tuarascáil seo an oibleagáid sin.</w:t>
      </w:r>
    </w:p>
    <w:p w14:paraId="1512B7A3" w14:textId="0B1F4E47" w:rsidR="008C5612" w:rsidRPr="00D77A8F" w:rsidRDefault="000453FC" w:rsidP="00E90C9A">
      <w:pPr>
        <w:pStyle w:val="ListParagraph"/>
        <w:numPr>
          <w:ilvl w:val="0"/>
          <w:numId w:val="1"/>
        </w:numPr>
        <w:spacing w:line="240" w:lineRule="auto"/>
        <w:ind w:left="426" w:hanging="426"/>
        <w:rPr>
          <w:rFonts w:ascii="Times New Roman" w:hAnsi="Times New Roman" w:cs="Times New Roman"/>
          <w:b/>
          <w:noProof/>
          <w:sz w:val="24"/>
          <w:szCs w:val="24"/>
        </w:rPr>
      </w:pPr>
      <w:r>
        <w:rPr>
          <w:rFonts w:ascii="Times New Roman" w:hAnsi="Times New Roman"/>
          <w:b/>
          <w:noProof/>
          <w:sz w:val="24"/>
        </w:rPr>
        <w:t>AN TARMLIGEAN A FHEIDHMIÚ AG AN gCOIMISIÚN</w:t>
      </w:r>
    </w:p>
    <w:p w14:paraId="0E06F5D0" w14:textId="1095F697" w:rsidR="00DB1B11" w:rsidRPr="00D77A8F" w:rsidRDefault="004501F9"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I dtuarascáil 2020</w:t>
      </w:r>
      <w:r>
        <w:rPr>
          <w:rStyle w:val="FootnoteReference"/>
          <w:rFonts w:ascii="Times New Roman" w:hAnsi="Times New Roman" w:cs="Times New Roman"/>
          <w:noProof/>
          <w:sz w:val="24"/>
          <w:szCs w:val="24"/>
        </w:rPr>
        <w:footnoteReference w:id="4"/>
      </w:r>
      <w:r>
        <w:rPr>
          <w:rFonts w:ascii="Times New Roman" w:hAnsi="Times New Roman"/>
          <w:noProof/>
          <w:sz w:val="24"/>
        </w:rPr>
        <w:t>, rinne an Coimisiún athbhreithniú ar úsáid tharmligean na gcumhachtaí le linn na chéad 5 bliana de chur i bhfeidhm Rialachán (CE) Uimh. 184/2005. Ó theacht i bhfeidhm Rialachán (AE) 2016/1013, ghlac an Coimisiún gníomh tarmligthe amháin, is é sin Rialachán Tarmligthe ón gCoimisiún (AE) 2019/505</w:t>
      </w:r>
      <w:r>
        <w:rPr>
          <w:rStyle w:val="FootnoteReference"/>
          <w:rFonts w:ascii="Times New Roman" w:hAnsi="Times New Roman" w:cs="Times New Roman"/>
          <w:noProof/>
          <w:sz w:val="24"/>
          <w:szCs w:val="24"/>
        </w:rPr>
        <w:footnoteReference w:id="5"/>
      </w:r>
      <w:r>
        <w:rPr>
          <w:rFonts w:ascii="Times New Roman" w:hAnsi="Times New Roman"/>
          <w:noProof/>
          <w:sz w:val="24"/>
        </w:rPr>
        <w:t>. Leis an ngníomh seo, atá bunaithe ar Airteagal 2(3) de Rialachán (CE) Uimh. 184/2005, tugtar cothrom le dáta na leibhéil miondealaithe gheografaigh, a leagtar amach in Iarscríbhinn I a ghabhann le Rialachán (CE) Uimh. 184/2005 chun forbairtí eacnamaíocha agus teicniúla a léiriú.</w:t>
      </w:r>
    </w:p>
    <w:p w14:paraId="0E6CCA76" w14:textId="77777777" w:rsidR="00DB1B11" w:rsidRPr="00D77A8F" w:rsidRDefault="00DB1B11" w:rsidP="00B81217">
      <w:pPr>
        <w:spacing w:after="0" w:line="240" w:lineRule="auto"/>
        <w:jc w:val="both"/>
        <w:rPr>
          <w:rFonts w:ascii="Times New Roman" w:hAnsi="Times New Roman" w:cs="Times New Roman"/>
          <w:noProof/>
          <w:sz w:val="24"/>
          <w:szCs w:val="24"/>
        </w:rPr>
      </w:pPr>
    </w:p>
    <w:p w14:paraId="1C94E91B" w14:textId="39D6C4DD" w:rsidR="003134A4" w:rsidRPr="00D77A8F" w:rsidRDefault="00DB1B11"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I rith na tréimhse ama seo a leanas, dar tús an 19 Iúil 2021, de réir shíneadh intuigthe tharmligean na gcumhachtaí, measadh go raibh an creat rialála atá i bhfeidhm faoi láthair atá bunaithe ar Rialachán (CE) Uimh. 184/2005 maith a dhóthain chun freastal ar riachtanais staidrimh agus mhodheolaíochta an chomhardaithe íocaíochtaí, na trádála idirnáisiúnta i seirbhísí, agus fhearainn IDC i rith na tréimhse tuairiscithe. Deimhníodh é sin trí chomhairliúcháin fhairsinge leis an sainghrúpa maidir le comhordú íocaíochtaí agus sainghrúpaí ábhartha eile, lena</w:t>
      </w:r>
      <w:r w:rsidR="00145E72">
        <w:rPr>
          <w:rFonts w:ascii="Times New Roman" w:hAnsi="Times New Roman"/>
          <w:noProof/>
          <w:sz w:val="24"/>
        </w:rPr>
        <w:t xml:space="preserve"> n</w:t>
      </w:r>
      <w:r w:rsidR="00145E72">
        <w:rPr>
          <w:rFonts w:ascii="Times New Roman" w:hAnsi="Times New Roman"/>
          <w:noProof/>
          <w:sz w:val="24"/>
        </w:rPr>
        <w:noBreakHyphen/>
      </w:r>
      <w:r>
        <w:rPr>
          <w:rFonts w:ascii="Times New Roman" w:hAnsi="Times New Roman"/>
          <w:noProof/>
          <w:sz w:val="24"/>
        </w:rPr>
        <w:t>áirithítear rannpháirtíocht na bpáirtithe leasmhara chun faireachán a dhéanamh ar aon ghá le gníomhartha tarmligthe a d'fhéadfadh a bheith ann.</w:t>
      </w:r>
    </w:p>
    <w:p w14:paraId="26799F0B" w14:textId="77777777" w:rsidR="003134A4" w:rsidRPr="00D77A8F" w:rsidRDefault="003134A4" w:rsidP="00B81217">
      <w:pPr>
        <w:spacing w:after="0" w:line="240" w:lineRule="auto"/>
        <w:jc w:val="both"/>
        <w:rPr>
          <w:rFonts w:ascii="Times New Roman" w:hAnsi="Times New Roman" w:cs="Times New Roman"/>
          <w:noProof/>
          <w:sz w:val="24"/>
          <w:szCs w:val="24"/>
        </w:rPr>
      </w:pPr>
    </w:p>
    <w:p w14:paraId="3CB1C058" w14:textId="7451EE87" w:rsidR="00B81217" w:rsidRPr="00D77A8F" w:rsidRDefault="00DB1B11"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Ar an taobh eile, d’fheidhmigh an Coimisiún a chumhachtaí chun gníomhartha tarmligthe a ghlacadh, a thugtar dó le hAirteagal 10 de Rialachán (CE) Uimh. 184/2005 chun tagairtí a oiriúnú d’aicmiú ghníomhaíochtaí eacnamaíocha na hAinmníochta Staidrimh maidir le Gníomhaíochtaí Eacnamaíocha san Aontas Eorpach (NACE) le Rialachán Tarmligthe (AE) 2024/3104 ón gCoimisiún</w:t>
      </w:r>
      <w:r>
        <w:rPr>
          <w:rStyle w:val="FootnoteReference"/>
          <w:rFonts w:ascii="Times New Roman" w:hAnsi="Times New Roman" w:cs="Times New Roman"/>
          <w:noProof/>
          <w:sz w:val="24"/>
          <w:szCs w:val="24"/>
        </w:rPr>
        <w:footnoteReference w:id="6"/>
      </w:r>
      <w:r>
        <w:rPr>
          <w:rFonts w:ascii="Times New Roman" w:hAnsi="Times New Roman"/>
          <w:noProof/>
          <w:sz w:val="24"/>
        </w:rPr>
        <w:t>.</w:t>
      </w:r>
    </w:p>
    <w:p w14:paraId="56D15381" w14:textId="377D67E9" w:rsidR="00DB1B11" w:rsidRPr="00D77A8F" w:rsidRDefault="004148BB" w:rsidP="004148BB">
      <w:pPr>
        <w:rPr>
          <w:rFonts w:ascii="Times New Roman" w:hAnsi="Times New Roman" w:cs="Times New Roman"/>
          <w:noProof/>
          <w:sz w:val="24"/>
          <w:szCs w:val="24"/>
        </w:rPr>
      </w:pPr>
      <w:r>
        <w:rPr>
          <w:noProof/>
        </w:rPr>
        <w:br w:type="page"/>
      </w:r>
    </w:p>
    <w:p w14:paraId="40915DF3" w14:textId="77777777" w:rsidR="00345B7E" w:rsidRPr="00D77A8F" w:rsidRDefault="00345B7E" w:rsidP="000B3739">
      <w:pPr>
        <w:pStyle w:val="ListParagraph"/>
        <w:numPr>
          <w:ilvl w:val="0"/>
          <w:numId w:val="1"/>
        </w:numPr>
        <w:ind w:left="426" w:hanging="426"/>
        <w:rPr>
          <w:rFonts w:ascii="Times New Roman" w:hAnsi="Times New Roman" w:cs="Times New Roman"/>
          <w:b/>
          <w:noProof/>
          <w:sz w:val="24"/>
          <w:szCs w:val="24"/>
        </w:rPr>
      </w:pPr>
      <w:r>
        <w:rPr>
          <w:rFonts w:ascii="Times New Roman" w:hAnsi="Times New Roman"/>
          <w:b/>
          <w:noProof/>
          <w:sz w:val="24"/>
        </w:rPr>
        <w:t>CONCLÚID</w:t>
      </w:r>
    </w:p>
    <w:p w14:paraId="6F6C6801" w14:textId="4946D2F0" w:rsidR="001332A4" w:rsidRPr="00D77A8F" w:rsidRDefault="001332A4"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Ó bhí an 19 Iúil 2021 ann, d’fheidhmigh an Coimisiún an chumhacht chun gníomhartha tarmligthe a ghlacadh a thugtar dó le Rialachán (CE) Uimh. 184/2005 chun tagairtí a oiriúnú d’aicmiú gníomhaíochtaí eacnamaíocha (NACE).</w:t>
      </w:r>
    </w:p>
    <w:p w14:paraId="7BB00DAB" w14:textId="77777777" w:rsidR="001332A4" w:rsidRPr="00D77A8F" w:rsidRDefault="001332A4" w:rsidP="00B81217">
      <w:pPr>
        <w:spacing w:after="0" w:line="240" w:lineRule="auto"/>
        <w:jc w:val="both"/>
        <w:rPr>
          <w:rFonts w:ascii="Times New Roman" w:hAnsi="Times New Roman" w:cs="Times New Roman"/>
          <w:noProof/>
          <w:sz w:val="24"/>
          <w:szCs w:val="24"/>
        </w:rPr>
      </w:pPr>
    </w:p>
    <w:p w14:paraId="32EE7E35" w14:textId="1C7E79BC" w:rsidR="003F130A" w:rsidRPr="00D77A8F" w:rsidRDefault="001332A4" w:rsidP="00B81217">
      <w:pPr>
        <w:spacing w:after="0" w:line="240" w:lineRule="auto"/>
        <w:jc w:val="both"/>
        <w:rPr>
          <w:rFonts w:ascii="Times New Roman" w:hAnsi="Times New Roman" w:cs="Times New Roman"/>
          <w:noProof/>
          <w:sz w:val="24"/>
          <w:szCs w:val="24"/>
        </w:rPr>
      </w:pPr>
      <w:r>
        <w:rPr>
          <w:rFonts w:ascii="Times New Roman" w:hAnsi="Times New Roman"/>
          <w:noProof/>
          <w:sz w:val="24"/>
        </w:rPr>
        <w:t>Measann an Coimisiún gur cheart dó na cumhachtaí tarmligthe a sholáthraítear leis an Rialachán a choinneáil chuige féin. Tá na cumhachtaí sin fíor-riachtanach chun aghaidh a thabhairt ar riachtanais fhéideartha amach anseo, mar shampla aicmiúcháin, modheolaíochtaí nó athróga a thabhairt cothrom le dáta, agus chun a áirithiú go mbaintear amach ardchaighdeáin cháilíochta leis na staidrimh ón Aontas Eorpach i réimse an chomhordaithe íocaíochtaí, na trádála idirnáisiúnta i seirbhísí agus IDC i gcónaí.</w:t>
      </w:r>
    </w:p>
    <w:p w14:paraId="53DDBFD0" w14:textId="77777777" w:rsidR="001332A4" w:rsidRPr="00D77A8F" w:rsidRDefault="001332A4" w:rsidP="00B81217">
      <w:pPr>
        <w:spacing w:after="0" w:line="240" w:lineRule="auto"/>
        <w:jc w:val="both"/>
        <w:rPr>
          <w:rFonts w:ascii="Times New Roman" w:hAnsi="Times New Roman" w:cs="Times New Roman"/>
          <w:noProof/>
          <w:sz w:val="24"/>
          <w:szCs w:val="24"/>
        </w:rPr>
      </w:pPr>
    </w:p>
    <w:p w14:paraId="7D2D3718" w14:textId="120315D1" w:rsidR="00B81217" w:rsidRPr="00D77A8F" w:rsidRDefault="00B81217" w:rsidP="00B81217">
      <w:pPr>
        <w:rPr>
          <w:rFonts w:ascii="Times New Roman" w:hAnsi="Times New Roman" w:cs="Times New Roman"/>
          <w:noProof/>
          <w:sz w:val="24"/>
          <w:szCs w:val="24"/>
        </w:rPr>
      </w:pPr>
      <w:r>
        <w:rPr>
          <w:rFonts w:ascii="Times New Roman" w:hAnsi="Times New Roman"/>
          <w:noProof/>
          <w:sz w:val="24"/>
        </w:rPr>
        <w:t>Iarrann an Coimisiún ar Pharlaimint na hEorpa agus ar an gComhairle an tuarascáil seo a thabhairt dá</w:t>
      </w:r>
      <w:r w:rsidR="00145E72">
        <w:rPr>
          <w:rFonts w:ascii="Times New Roman" w:hAnsi="Times New Roman"/>
          <w:noProof/>
          <w:sz w:val="24"/>
        </w:rPr>
        <w:t xml:space="preserve"> n</w:t>
      </w:r>
      <w:r w:rsidR="00145E72">
        <w:rPr>
          <w:rFonts w:ascii="Times New Roman" w:hAnsi="Times New Roman"/>
          <w:noProof/>
          <w:sz w:val="24"/>
        </w:rPr>
        <w:noBreakHyphen/>
      </w:r>
      <w:r>
        <w:rPr>
          <w:rFonts w:ascii="Times New Roman" w:hAnsi="Times New Roman"/>
          <w:noProof/>
          <w:sz w:val="24"/>
        </w:rPr>
        <w:t>aire.</w:t>
      </w:r>
    </w:p>
    <w:sectPr w:rsidR="00B81217" w:rsidRPr="00D77A8F" w:rsidSect="0050716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851" w:left="1440" w:header="708" w:footer="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13D3A2" w14:textId="77777777" w:rsidR="009C4FDA" w:rsidRPr="00D77A8F" w:rsidRDefault="009C4FDA" w:rsidP="006A6532">
      <w:pPr>
        <w:spacing w:after="0" w:line="240" w:lineRule="auto"/>
      </w:pPr>
      <w:r>
        <w:separator/>
      </w:r>
    </w:p>
  </w:endnote>
  <w:endnote w:type="continuationSeparator" w:id="0">
    <w:p w14:paraId="58FC8F80" w14:textId="77777777" w:rsidR="009C4FDA" w:rsidRPr="00D77A8F" w:rsidRDefault="009C4FDA" w:rsidP="006A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E5F91" w14:textId="19C72E69" w:rsidR="00AA2364" w:rsidRPr="00AA2364" w:rsidRDefault="00AA2364" w:rsidP="00AA2364">
    <w:pPr>
      <w:pStyle w:val="FooterCoverPage"/>
      <w:rPr>
        <w:rFonts w:ascii="Arial" w:hAnsi="Arial" w:cs="Arial"/>
        <w:b/>
        <w:sz w:val="48"/>
      </w:rPr>
    </w:pPr>
    <w:r w:rsidRPr="00AA2364">
      <w:rPr>
        <w:rFonts w:ascii="Arial" w:hAnsi="Arial" w:cs="Arial"/>
        <w:b/>
        <w:sz w:val="48"/>
      </w:rPr>
      <w:t>GA</w:t>
    </w:r>
    <w:r w:rsidRPr="00AA2364">
      <w:rPr>
        <w:rFonts w:ascii="Arial" w:hAnsi="Arial" w:cs="Arial"/>
        <w:b/>
        <w:sz w:val="48"/>
      </w:rPr>
      <w:tab/>
    </w:r>
    <w:r w:rsidRPr="00AA2364">
      <w:rPr>
        <w:rFonts w:ascii="Arial" w:hAnsi="Arial" w:cs="Arial"/>
        <w:b/>
        <w:sz w:val="48"/>
      </w:rPr>
      <w:tab/>
    </w:r>
    <w:r w:rsidRPr="00AA2364">
      <w:tab/>
    </w:r>
    <w:r w:rsidRPr="00AA2364">
      <w:rPr>
        <w:rFonts w:ascii="Arial" w:hAnsi="Arial" w:cs="Arial"/>
        <w:b/>
        <w:sz w:val="48"/>
      </w:rPr>
      <w:t>GA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C68BA" w14:textId="7FD49001" w:rsidR="00AA2364" w:rsidRPr="00AA2364" w:rsidRDefault="00AA2364" w:rsidP="00AA2364">
    <w:pPr>
      <w:pStyle w:val="FooterCoverPage"/>
      <w:rPr>
        <w:rFonts w:ascii="Arial" w:hAnsi="Arial" w:cs="Arial"/>
        <w:b/>
        <w:sz w:val="48"/>
      </w:rPr>
    </w:pPr>
    <w:r w:rsidRPr="00AA2364">
      <w:rPr>
        <w:rFonts w:ascii="Arial" w:hAnsi="Arial" w:cs="Arial"/>
        <w:b/>
        <w:sz w:val="48"/>
      </w:rPr>
      <w:t>GA</w:t>
    </w:r>
    <w:r w:rsidRPr="00AA2364">
      <w:rPr>
        <w:rFonts w:ascii="Arial" w:hAnsi="Arial" w:cs="Arial"/>
        <w:b/>
        <w:sz w:val="48"/>
      </w:rPr>
      <w:tab/>
    </w:r>
    <w:r w:rsidRPr="00AA2364">
      <w:rPr>
        <w:rFonts w:ascii="Arial" w:hAnsi="Arial" w:cs="Arial"/>
        <w:b/>
        <w:sz w:val="48"/>
      </w:rPr>
      <w:tab/>
    </w:r>
    <w:r w:rsidRPr="00AA2364">
      <w:tab/>
    </w:r>
    <w:r w:rsidRPr="00AA2364">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FB59A" w14:textId="77777777" w:rsidR="00AA2364" w:rsidRPr="00AA2364" w:rsidRDefault="00AA2364" w:rsidP="00AA236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0BCB4" w14:textId="77777777" w:rsidR="006A6532" w:rsidRPr="00D77A8F" w:rsidRDefault="006A65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745398"/>
      <w:docPartObj>
        <w:docPartGallery w:val="Page Numbers (Bottom of Page)"/>
        <w:docPartUnique/>
      </w:docPartObj>
    </w:sdtPr>
    <w:sdtEndPr/>
    <w:sdtContent>
      <w:p w14:paraId="27D3ED54" w14:textId="3F69A45A" w:rsidR="0050716D" w:rsidRPr="00D77A8F" w:rsidRDefault="0050716D">
        <w:pPr>
          <w:pStyle w:val="Footer"/>
          <w:jc w:val="right"/>
        </w:pPr>
        <w:r>
          <w:fldChar w:fldCharType="begin"/>
        </w:r>
        <w:r>
          <w:instrText xml:space="preserve"> PAGE   \* MERGEFORMAT </w:instrText>
        </w:r>
        <w:r>
          <w:fldChar w:fldCharType="separate"/>
        </w:r>
        <w:r w:rsidR="00AA2364">
          <w:rPr>
            <w:noProof/>
          </w:rPr>
          <w:t>1</w:t>
        </w:r>
        <w:r>
          <w:fldChar w:fldCharType="end"/>
        </w:r>
      </w:p>
    </w:sdtContent>
  </w:sdt>
  <w:p w14:paraId="667ADEAA" w14:textId="0C698FE4" w:rsidR="004F546D" w:rsidRPr="00D77A8F" w:rsidRDefault="004F546D" w:rsidP="004F546D">
    <w:pPr>
      <w:pStyle w:val="FooterCoverPage"/>
      <w:rPr>
        <w:rFonts w:ascii="Arial" w:hAnsi="Arial" w:cs="Arial"/>
        <w:b/>
        <w:sz w:val="48"/>
      </w:rPr>
    </w:pPr>
    <w:r>
      <w:rPr>
        <w:rFonts w:ascii="Arial" w:hAnsi="Arial"/>
        <w:b/>
        <w:sz w:val="48"/>
      </w:rPr>
      <w:t>GA</w:t>
    </w:r>
    <w:r>
      <w:tab/>
    </w:r>
    <w:r>
      <w:tab/>
    </w:r>
    <w:r>
      <w:tab/>
    </w:r>
    <w:r>
      <w:rPr>
        <w:rFonts w:ascii="Arial" w:hAnsi="Arial"/>
        <w:b/>
        <w:sz w:val="48"/>
      </w:rPr>
      <w:t>GA</w:t>
    </w:r>
  </w:p>
  <w:p w14:paraId="084487EF" w14:textId="12BD0583" w:rsidR="006A6532" w:rsidRPr="00D77A8F" w:rsidRDefault="006A6532" w:rsidP="004F546D">
    <w:pPr>
      <w:pStyle w:val="Footer"/>
      <w:tabs>
        <w:tab w:val="clear" w:pos="4513"/>
        <w:tab w:val="clear" w:pos="9026"/>
        <w:tab w:val="left" w:pos="5140"/>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C130E" w14:textId="77777777" w:rsidR="006A6532" w:rsidRPr="00D77A8F" w:rsidRDefault="006A6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9F307" w14:textId="77777777" w:rsidR="009C4FDA" w:rsidRPr="00D77A8F" w:rsidRDefault="009C4FDA" w:rsidP="006A6532">
      <w:pPr>
        <w:spacing w:after="0" w:line="240" w:lineRule="auto"/>
      </w:pPr>
      <w:r>
        <w:separator/>
      </w:r>
    </w:p>
  </w:footnote>
  <w:footnote w:type="continuationSeparator" w:id="0">
    <w:p w14:paraId="5254E8A5" w14:textId="77777777" w:rsidR="009C4FDA" w:rsidRPr="00D77A8F" w:rsidRDefault="009C4FDA" w:rsidP="006A6532">
      <w:pPr>
        <w:spacing w:after="0" w:line="240" w:lineRule="auto"/>
      </w:pPr>
      <w:r>
        <w:continuationSeparator/>
      </w:r>
    </w:p>
  </w:footnote>
  <w:footnote w:id="1">
    <w:p w14:paraId="5F95019C" w14:textId="68F583AA" w:rsidR="00B47933" w:rsidRPr="00D77A8F" w:rsidRDefault="00B47933" w:rsidP="003905A6">
      <w:pPr>
        <w:pStyle w:val="NormalWeb"/>
        <w:spacing w:before="0" w:beforeAutospacing="0" w:after="120" w:afterAutospacing="0"/>
        <w:ind w:left="142" w:hanging="142"/>
        <w:jc w:val="both"/>
        <w:rPr>
          <w:i/>
          <w:sz w:val="20"/>
          <w:szCs w:val="20"/>
        </w:rPr>
      </w:pPr>
      <w:r>
        <w:rPr>
          <w:rStyle w:val="FootnoteReference"/>
          <w:sz w:val="20"/>
          <w:szCs w:val="20"/>
        </w:rPr>
        <w:footnoteRef/>
      </w:r>
      <w:r>
        <w:rPr>
          <w:sz w:val="20"/>
        </w:rPr>
        <w:t xml:space="preserve"> </w:t>
      </w:r>
      <w:hyperlink r:id="rId1" w:history="1">
        <w:r>
          <w:rPr>
            <w:rStyle w:val="Hyperlink"/>
            <w:sz w:val="20"/>
          </w:rPr>
          <w:t>Rialachán (AE) 2016/1013</w:t>
        </w:r>
      </w:hyperlink>
      <w:r>
        <w:rPr>
          <w:color w:val="444444"/>
          <w:sz w:val="20"/>
        </w:rPr>
        <w:t xml:space="preserve"> </w:t>
      </w:r>
      <w:r>
        <w:rPr>
          <w:sz w:val="20"/>
        </w:rPr>
        <w:t>ó Pharlaimint na hEorpa agus ón gComhairle an 8 Meitheamh 2016 lena leasaítear Rialachán (CE) Uimh. 184/2005 maidir le staidreamh Comhphobail a bhaineann le comhardú íocaíochtaí, le trádáil idirnáisiúnta i seirbhísí agus le hinfheistíocht dhíreach ón gcoigríoch (</w:t>
      </w:r>
      <w:r>
        <w:rPr>
          <w:rStyle w:val="Emphasis"/>
          <w:i w:val="0"/>
          <w:sz w:val="20"/>
        </w:rPr>
        <w:t>IO L 171, 29.6.2016, lch. 144).</w:t>
      </w:r>
    </w:p>
  </w:footnote>
  <w:footnote w:id="2">
    <w:p w14:paraId="726B97BC" w14:textId="345110D7" w:rsidR="00B47933" w:rsidRPr="00D77A8F" w:rsidRDefault="00B47933" w:rsidP="00702D5F">
      <w:pPr>
        <w:pStyle w:val="NormalWeb"/>
        <w:spacing w:before="0" w:beforeAutospacing="0" w:after="120" w:afterAutospacing="0"/>
        <w:ind w:left="142" w:hanging="142"/>
        <w:jc w:val="both"/>
        <w:rPr>
          <w:sz w:val="20"/>
          <w:szCs w:val="20"/>
        </w:rPr>
      </w:pPr>
      <w:r>
        <w:rPr>
          <w:rStyle w:val="FootnoteReference"/>
          <w:sz w:val="20"/>
          <w:szCs w:val="20"/>
        </w:rPr>
        <w:footnoteRef/>
      </w:r>
      <w:r>
        <w:rPr>
          <w:sz w:val="20"/>
        </w:rPr>
        <w:t xml:space="preserve"> </w:t>
      </w:r>
      <w:hyperlink r:id="rId2" w:history="1">
        <w:r>
          <w:rPr>
            <w:rStyle w:val="Hyperlink"/>
            <w:sz w:val="20"/>
          </w:rPr>
          <w:t>Rialachán (CE) Uimh. 184/2005</w:t>
        </w:r>
      </w:hyperlink>
      <w:r>
        <w:rPr>
          <w:color w:val="444444"/>
          <w:sz w:val="20"/>
        </w:rPr>
        <w:t xml:space="preserve"> </w:t>
      </w:r>
      <w:r>
        <w:rPr>
          <w:sz w:val="20"/>
        </w:rPr>
        <w:t xml:space="preserve"> ó Pharlaimint na hEorpa agus ón gComhairle an 12 Eanáir 2005 maidir le staidreamh Comhphobail a bhaineann le comhardú íocaíochtaí, le trádáil idirnáisiúnta seirbhísí agus le hinfheistíocht dhíreach ón gcoigríoch (</w:t>
      </w:r>
      <w:r>
        <w:rPr>
          <w:rStyle w:val="Emphasis"/>
          <w:i w:val="0"/>
          <w:sz w:val="20"/>
        </w:rPr>
        <w:t>IO L 35, 8.2.2005, lch. 23).</w:t>
      </w:r>
    </w:p>
  </w:footnote>
  <w:footnote w:id="3">
    <w:p w14:paraId="24A8EDE0" w14:textId="5119E654" w:rsidR="00802C3A" w:rsidRPr="00D77A8F" w:rsidRDefault="00802C3A" w:rsidP="00702D5F">
      <w:pPr>
        <w:pStyle w:val="FootnoteText"/>
        <w:spacing w:after="120"/>
        <w:ind w:left="142" w:hanging="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Comhaontú Idirinstitiúideach</w:t>
        </w:r>
      </w:hyperlink>
      <w:r>
        <w:rPr>
          <w:rFonts w:ascii="Times New Roman" w:hAnsi="Times New Roman"/>
        </w:rPr>
        <w:t xml:space="preserve"> idir Parlaimint na hEorpa, Comhairle an Aontais Eorpaigh agus an Coimisiún Eorpach an 13 Aibreán 2016 maidir le Reachtóireacht Níos Fearr (IO L 123, 12.5.2016, lch. 1).</w:t>
      </w:r>
    </w:p>
  </w:footnote>
  <w:footnote w:id="4">
    <w:p w14:paraId="3EF43690" w14:textId="574FFA79" w:rsidR="003465E4" w:rsidRPr="003465E4" w:rsidRDefault="003465E4" w:rsidP="003465E4">
      <w:pPr>
        <w:pStyle w:val="NormalWeb"/>
        <w:spacing w:before="0" w:beforeAutospacing="0" w:after="120" w:afterAutospacing="0"/>
        <w:ind w:left="142" w:hanging="142"/>
        <w:jc w:val="both"/>
        <w:rPr>
          <w:sz w:val="20"/>
          <w:szCs w:val="20"/>
        </w:rPr>
      </w:pPr>
      <w:r>
        <w:rPr>
          <w:rStyle w:val="FootnoteReference"/>
        </w:rPr>
        <w:footnoteRef/>
      </w:r>
      <w:r>
        <w:t xml:space="preserve"> </w:t>
      </w:r>
      <w:r>
        <w:rPr>
          <w:sz w:val="20"/>
        </w:rPr>
        <w:t>Tuarascáil ón gCoimisiún Eorpach ón gCoimisiún chuig Parlaimint na hEorpa agus chuig an gComhairle maidir le feidhmiú na cumhachta chun gníomhartha tarmligthe a ghlacadh a thugtar don Choimisiún de bhun Rialachán (CE) Uimh. 184/2005 maidir le staidreamh Comhphobail a bhaineann le comhardú íocaíochtaí, le trádáil idirnáisiúnta i seirbhísí agus le hinfheistíocht dhíreach ón gcoigríoch, COM(2020) 490 final, 10.9.2020, </w:t>
      </w:r>
      <w:hyperlink r:id="rId4" w:tgtFrame="_blank" w:history="1">
        <w:r>
          <w:rPr>
            <w:rStyle w:val="Hyperlink"/>
            <w:sz w:val="20"/>
          </w:rPr>
          <w:t>https://eur-lex.europa.eu/legal-content/EN/TXT/PDF/?uri=CELEX:52020DC0490</w:t>
        </w:r>
      </w:hyperlink>
      <w:r>
        <w:rPr>
          <w:sz w:val="20"/>
        </w:rPr>
        <w:t>.</w:t>
      </w:r>
    </w:p>
  </w:footnote>
  <w:footnote w:id="5">
    <w:p w14:paraId="2452821A" w14:textId="7825BEA6" w:rsidR="009470BB" w:rsidRPr="00D77A8F" w:rsidRDefault="009470BB" w:rsidP="003465E4">
      <w:pPr>
        <w:pStyle w:val="NormalWeb"/>
        <w:spacing w:before="0" w:beforeAutospacing="0" w:after="120" w:afterAutospacing="0"/>
        <w:ind w:left="142" w:hanging="142"/>
        <w:jc w:val="both"/>
        <w:rPr>
          <w:i/>
          <w:sz w:val="20"/>
          <w:szCs w:val="20"/>
        </w:rPr>
      </w:pPr>
      <w:r>
        <w:rPr>
          <w:rStyle w:val="FootnoteReference"/>
        </w:rPr>
        <w:footnoteRef/>
      </w:r>
      <w:r>
        <w:t xml:space="preserve"> </w:t>
      </w:r>
      <w:hyperlink r:id="rId5" w:history="1">
        <w:r>
          <w:rPr>
            <w:rStyle w:val="Hyperlink"/>
            <w:sz w:val="20"/>
          </w:rPr>
          <w:t>Rialachán Tarmligthe (AE) 2019/505 ón gCoimisiún</w:t>
        </w:r>
      </w:hyperlink>
      <w:r>
        <w:rPr>
          <w:sz w:val="20"/>
        </w:rPr>
        <w:t xml:space="preserve"> an 19 Nollaig 2018 lena leasaítear Iarscríbhinn I a ghabhann le Rialachán (CE) Uimh. 184/2005 ó Pharlaimint na hEorpa agus ón gComhairle, a mhéid a bhaineann leis na leibhéil miondealaithe gheografaigh (IO L 85, 27.3.2019, lch. 1).</w:t>
      </w:r>
    </w:p>
  </w:footnote>
  <w:footnote w:id="6">
    <w:p w14:paraId="114EEEF1" w14:textId="01F0430D" w:rsidR="00DB1B11" w:rsidRPr="00D77A8F" w:rsidRDefault="00DB1B11" w:rsidP="003465E4">
      <w:pPr>
        <w:pStyle w:val="NormalWeb"/>
        <w:spacing w:before="0" w:beforeAutospacing="0" w:after="120" w:afterAutospacing="0"/>
        <w:ind w:left="142" w:hanging="142"/>
        <w:jc w:val="both"/>
        <w:rPr>
          <w:i/>
          <w:sz w:val="20"/>
          <w:szCs w:val="20"/>
        </w:rPr>
      </w:pPr>
      <w:r>
        <w:rPr>
          <w:rStyle w:val="FootnoteReference"/>
          <w:sz w:val="20"/>
          <w:szCs w:val="20"/>
        </w:rPr>
        <w:footnoteRef/>
      </w:r>
      <w:r>
        <w:rPr>
          <w:sz w:val="20"/>
        </w:rPr>
        <w:t xml:space="preserve"> </w:t>
      </w:r>
      <w:hyperlink r:id="rId6" w:history="1">
        <w:r>
          <w:rPr>
            <w:rStyle w:val="Hyperlink"/>
            <w:sz w:val="20"/>
          </w:rPr>
          <w:t>Rialachán Tarmligthe (AE) 2024/3104 ón gCoimisiún</w:t>
        </w:r>
      </w:hyperlink>
      <w:r>
        <w:rPr>
          <w:sz w:val="20"/>
        </w:rPr>
        <w:t xml:space="preserve"> an 2 Meán Fómhair 2024 lena leasaítear Rialachán (CE) Uimh. 184/2005 ó Pharlaimint na hEorpa agus ón gComhairle, a mhéid a bhaineann le tagairtí d’aicmiú staidrimh gníomhaíochtaí eacnamaíochta NACE a bhunaítear le Rialachán (CE) Uimh. 1893/2006 ó Pharlaimint na hEorpa agus ón gComhairle (IO L 2024/3104, 12.12.2024, ELI: http://data.europa.eu/eli/reg_del/2024/3104/oj).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C09A" w14:textId="77777777" w:rsidR="00AA2364" w:rsidRPr="00AA2364" w:rsidRDefault="00AA2364" w:rsidP="00AA2364">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023D2" w14:textId="77777777" w:rsidR="00AA2364" w:rsidRPr="00AA2364" w:rsidRDefault="00AA2364" w:rsidP="00AA236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EA3D6" w14:textId="77777777" w:rsidR="00AA2364" w:rsidRPr="00AA2364" w:rsidRDefault="00AA2364" w:rsidP="00AA236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3819" w14:textId="77777777" w:rsidR="006A6532" w:rsidRPr="00D77A8F" w:rsidRDefault="006A65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74042" w14:textId="2629420F" w:rsidR="006A6532" w:rsidRPr="00D77A8F" w:rsidRDefault="006A65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7B866" w14:textId="77777777" w:rsidR="006A6532" w:rsidRPr="00D77A8F" w:rsidRDefault="006A6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229608A5"/>
    <w:multiLevelType w:val="hybridMultilevel"/>
    <w:tmpl w:val="CC9AC3D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135E8"/>
    <w:multiLevelType w:val="multilevel"/>
    <w:tmpl w:val="7A1612E2"/>
    <w:lvl w:ilvl="0">
      <w:start w:val="1"/>
      <w:numFmt w:val="decimal"/>
      <w:lvlRestart w:val="0"/>
      <w:lvlText w:val="(%1)"/>
      <w:lvlJc w:val="left"/>
      <w:pPr>
        <w:tabs>
          <w:tab w:val="num" w:pos="850"/>
        </w:tabs>
        <w:ind w:left="850" w:hanging="850"/>
      </w:pPr>
    </w:lvl>
    <w:lvl w:ilvl="1">
      <w:start w:val="1"/>
      <w:numFmt w:val="bullet"/>
      <w:lvlText w:val=""/>
      <w:lvlJc w:val="left"/>
      <w:pPr>
        <w:tabs>
          <w:tab w:val="num" w:pos="850"/>
        </w:tabs>
        <w:ind w:left="850" w:hanging="850"/>
      </w:pPr>
      <w:rPr>
        <w:rFonts w:ascii="Symbol" w:hAnsi="Symbol" w:hint="default"/>
      </w:r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 w15:restartNumberingAfterBreak="0">
    <w:nsid w:val="4C3E2DA1"/>
    <w:multiLevelType w:val="hybridMultilevel"/>
    <w:tmpl w:val="68784A7A"/>
    <w:lvl w:ilvl="0" w:tplc="08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63612B"/>
    <w:multiLevelType w:val="hybridMultilevel"/>
    <w:tmpl w:val="B82C27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2A6268"/>
    <w:multiLevelType w:val="hybridMultilevel"/>
    <w:tmpl w:val="DD7A3086"/>
    <w:lvl w:ilvl="0" w:tplc="080C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F2A12"/>
    <w:multiLevelType w:val="hybridMultilevel"/>
    <w:tmpl w:val="550E743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293EBEA7-B548-44A5-AB1E-A1FBA1B152E5"/>
    <w:docVar w:name="LW_COVERPAGE_TYPE" w:val="1"/>
    <w:docVar w:name="LW_CROSSREFERENCE" w:val="&lt;UNUSED&gt;"/>
    <w:docVar w:name="LW_DocType" w:val="NORMAL"/>
    <w:docVar w:name="LW_EMISSION" w:val="22.7.2025"/>
    <w:docVar w:name="LW_EMISSION_ISODATE" w:val="2025-07-22"/>
    <w:docVar w:name="LW_EMISSION_LOCATION" w:val="BRX"/>
    <w:docVar w:name="LW_EMISSION_PREFIX" w:val="An Bhruiséil,"/>
    <w:docVar w:name="LW_EMISSION_SUFFIX" w:val=" "/>
    <w:docVar w:name="LW_ID_DOCTYPE_NONLW" w:val="CP-006"/>
    <w:docVar w:name="LW_LANGUE" w:val="GA"/>
    <w:docVar w:name="LW_LEVEL_OF_SENSITIVITY" w:val="Standard treatment"/>
    <w:docVar w:name="LW_NOM.INST" w:val="AN COIMISIÚN EORPACH"/>
    <w:docVar w:name="LW_NOM.INST_JOINTDOC" w:val="&lt;EMPTY&gt;"/>
    <w:docVar w:name="LW_PART_NBR" w:val="1"/>
    <w:docVar w:name="LW_PART_NBR_TOTAL" w:val="1"/>
    <w:docVar w:name="LW_REF.INST.NEW" w:val="COM"/>
    <w:docVar w:name="LW_REF.INST.NEW_ADOPTED" w:val="final"/>
    <w:docVar w:name="LW_REF.INST.NEW_TEXT" w:val="(2025) 41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maidir le feidhmiú na cumhachta chun gníomhartha tarmligthe a ghlacadh, cumhacht a thugtar don Choimisiún de bhun Rialachán (CE) Uimh. 184/2005 maidir le staidreamh Comhphobail a bhaineann le comhardú íocaíochtaí, le trádáil idirnáisiúnta i seirbhísí agus le hinfheistíocht dhíreach ón gcoigríoch&lt;/FMT&gt;_x000b_"/>
    <w:docVar w:name="LW_TYPE.DOC.CP" w:val="TUARASCÁIL ÓN gCOIMISIÚN CHUIG PARLAIMINT NA hEORPA AGUS CHUIG AN gCOMHAIRLE"/>
    <w:docVar w:name="LwApiVersions" w:val="LW4CoDe 1.24.5.0; LW 9.0, Build 20240221"/>
    <w:docVar w:name="Stamp" w:val="\\dossiers.dgt.cec.eu.int\dossiers\ESTAT\ESTAT-2025-00213\ESTAT-2025-00213-00-00-EN-EDT-00.20250611164559669277.DOCX"/>
  </w:docVars>
  <w:rsids>
    <w:rsidRoot w:val="006A6532"/>
    <w:rsid w:val="000020E8"/>
    <w:rsid w:val="00002957"/>
    <w:rsid w:val="00003837"/>
    <w:rsid w:val="000049CD"/>
    <w:rsid w:val="0001054C"/>
    <w:rsid w:val="000111C2"/>
    <w:rsid w:val="0001786B"/>
    <w:rsid w:val="000313EA"/>
    <w:rsid w:val="00031D87"/>
    <w:rsid w:val="0003223D"/>
    <w:rsid w:val="0003685A"/>
    <w:rsid w:val="0003707A"/>
    <w:rsid w:val="00044338"/>
    <w:rsid w:val="000453FC"/>
    <w:rsid w:val="000457E4"/>
    <w:rsid w:val="00052ED3"/>
    <w:rsid w:val="00056BAC"/>
    <w:rsid w:val="0005721E"/>
    <w:rsid w:val="00061C3F"/>
    <w:rsid w:val="00064C03"/>
    <w:rsid w:val="00071351"/>
    <w:rsid w:val="00073CE4"/>
    <w:rsid w:val="0008408E"/>
    <w:rsid w:val="00086F68"/>
    <w:rsid w:val="0008788A"/>
    <w:rsid w:val="00092E4E"/>
    <w:rsid w:val="00094300"/>
    <w:rsid w:val="000A1FCF"/>
    <w:rsid w:val="000A5013"/>
    <w:rsid w:val="000B1978"/>
    <w:rsid w:val="000B1EEB"/>
    <w:rsid w:val="000B3739"/>
    <w:rsid w:val="000B3DF6"/>
    <w:rsid w:val="000C742A"/>
    <w:rsid w:val="000D5D8D"/>
    <w:rsid w:val="000D7B6A"/>
    <w:rsid w:val="000E0461"/>
    <w:rsid w:val="000E1373"/>
    <w:rsid w:val="000E3E5D"/>
    <w:rsid w:val="000E5D71"/>
    <w:rsid w:val="000F6BFE"/>
    <w:rsid w:val="00111D63"/>
    <w:rsid w:val="0012323D"/>
    <w:rsid w:val="001332A4"/>
    <w:rsid w:val="0013526C"/>
    <w:rsid w:val="001421A0"/>
    <w:rsid w:val="00145E72"/>
    <w:rsid w:val="001469C1"/>
    <w:rsid w:val="0015220F"/>
    <w:rsid w:val="001578C4"/>
    <w:rsid w:val="00160739"/>
    <w:rsid w:val="00162B83"/>
    <w:rsid w:val="00163221"/>
    <w:rsid w:val="00164916"/>
    <w:rsid w:val="00164E62"/>
    <w:rsid w:val="00174AC8"/>
    <w:rsid w:val="001835EB"/>
    <w:rsid w:val="00184E22"/>
    <w:rsid w:val="00185404"/>
    <w:rsid w:val="00190454"/>
    <w:rsid w:val="00191404"/>
    <w:rsid w:val="0019307E"/>
    <w:rsid w:val="0019319C"/>
    <w:rsid w:val="00197C7F"/>
    <w:rsid w:val="001A3B98"/>
    <w:rsid w:val="001A3EC0"/>
    <w:rsid w:val="001B6E05"/>
    <w:rsid w:val="001D18A4"/>
    <w:rsid w:val="001D347A"/>
    <w:rsid w:val="001D54A3"/>
    <w:rsid w:val="001F0656"/>
    <w:rsid w:val="001F11D0"/>
    <w:rsid w:val="001F4EAD"/>
    <w:rsid w:val="0020132D"/>
    <w:rsid w:val="00203407"/>
    <w:rsid w:val="00207062"/>
    <w:rsid w:val="0020776C"/>
    <w:rsid w:val="002114B6"/>
    <w:rsid w:val="002118CA"/>
    <w:rsid w:val="00213AD8"/>
    <w:rsid w:val="002253C2"/>
    <w:rsid w:val="00230741"/>
    <w:rsid w:val="00252409"/>
    <w:rsid w:val="002632EF"/>
    <w:rsid w:val="00266915"/>
    <w:rsid w:val="002738CF"/>
    <w:rsid w:val="00276007"/>
    <w:rsid w:val="00290F8B"/>
    <w:rsid w:val="002A61C7"/>
    <w:rsid w:val="002A7B2F"/>
    <w:rsid w:val="002B680E"/>
    <w:rsid w:val="002C5D28"/>
    <w:rsid w:val="002D7613"/>
    <w:rsid w:val="002D7934"/>
    <w:rsid w:val="002F33D1"/>
    <w:rsid w:val="0030004F"/>
    <w:rsid w:val="003134A4"/>
    <w:rsid w:val="003330E4"/>
    <w:rsid w:val="00335920"/>
    <w:rsid w:val="00345B7E"/>
    <w:rsid w:val="003465E4"/>
    <w:rsid w:val="00347D04"/>
    <w:rsid w:val="00350517"/>
    <w:rsid w:val="00351E2D"/>
    <w:rsid w:val="00357194"/>
    <w:rsid w:val="00362C42"/>
    <w:rsid w:val="00362C59"/>
    <w:rsid w:val="00365F6B"/>
    <w:rsid w:val="00371050"/>
    <w:rsid w:val="003822A9"/>
    <w:rsid w:val="003905A6"/>
    <w:rsid w:val="003A021D"/>
    <w:rsid w:val="003A2CB4"/>
    <w:rsid w:val="003A3D2E"/>
    <w:rsid w:val="003A6260"/>
    <w:rsid w:val="003B067D"/>
    <w:rsid w:val="003B659E"/>
    <w:rsid w:val="003C4A40"/>
    <w:rsid w:val="003C5266"/>
    <w:rsid w:val="003C6035"/>
    <w:rsid w:val="003C606E"/>
    <w:rsid w:val="003D4663"/>
    <w:rsid w:val="003D67E0"/>
    <w:rsid w:val="003D6A5A"/>
    <w:rsid w:val="003D6B6B"/>
    <w:rsid w:val="003E753A"/>
    <w:rsid w:val="003F0E1D"/>
    <w:rsid w:val="003F130A"/>
    <w:rsid w:val="0040002C"/>
    <w:rsid w:val="00404267"/>
    <w:rsid w:val="0041489C"/>
    <w:rsid w:val="004148BB"/>
    <w:rsid w:val="00415A2D"/>
    <w:rsid w:val="00415C14"/>
    <w:rsid w:val="00421880"/>
    <w:rsid w:val="00430028"/>
    <w:rsid w:val="004427D2"/>
    <w:rsid w:val="00442990"/>
    <w:rsid w:val="00443F44"/>
    <w:rsid w:val="004501F9"/>
    <w:rsid w:val="00454731"/>
    <w:rsid w:val="00461F2E"/>
    <w:rsid w:val="00464ABF"/>
    <w:rsid w:val="004665A1"/>
    <w:rsid w:val="0046792A"/>
    <w:rsid w:val="0047111B"/>
    <w:rsid w:val="00477A05"/>
    <w:rsid w:val="004812EE"/>
    <w:rsid w:val="0048165A"/>
    <w:rsid w:val="00481AA4"/>
    <w:rsid w:val="00487DFA"/>
    <w:rsid w:val="004A22B4"/>
    <w:rsid w:val="004A2575"/>
    <w:rsid w:val="004A7DD2"/>
    <w:rsid w:val="004B0ED3"/>
    <w:rsid w:val="004B1942"/>
    <w:rsid w:val="004B66ED"/>
    <w:rsid w:val="004D5D88"/>
    <w:rsid w:val="004E049F"/>
    <w:rsid w:val="004F1672"/>
    <w:rsid w:val="004F41EA"/>
    <w:rsid w:val="004F48DD"/>
    <w:rsid w:val="004F546D"/>
    <w:rsid w:val="005029D7"/>
    <w:rsid w:val="0050327E"/>
    <w:rsid w:val="00504DD2"/>
    <w:rsid w:val="0050716D"/>
    <w:rsid w:val="00513604"/>
    <w:rsid w:val="00515F3D"/>
    <w:rsid w:val="00516C8C"/>
    <w:rsid w:val="005219C2"/>
    <w:rsid w:val="005261E9"/>
    <w:rsid w:val="00535147"/>
    <w:rsid w:val="00536387"/>
    <w:rsid w:val="00542002"/>
    <w:rsid w:val="005453FE"/>
    <w:rsid w:val="00550DEF"/>
    <w:rsid w:val="005729B7"/>
    <w:rsid w:val="0057405A"/>
    <w:rsid w:val="00574B3E"/>
    <w:rsid w:val="00575755"/>
    <w:rsid w:val="00591365"/>
    <w:rsid w:val="00591CCA"/>
    <w:rsid w:val="005959C0"/>
    <w:rsid w:val="005974B0"/>
    <w:rsid w:val="005A019A"/>
    <w:rsid w:val="005A3AFC"/>
    <w:rsid w:val="005A4867"/>
    <w:rsid w:val="005A5A77"/>
    <w:rsid w:val="005B0029"/>
    <w:rsid w:val="005B4275"/>
    <w:rsid w:val="005C13C0"/>
    <w:rsid w:val="005C3A44"/>
    <w:rsid w:val="005C5D6D"/>
    <w:rsid w:val="005C5F81"/>
    <w:rsid w:val="005D1C1C"/>
    <w:rsid w:val="005D6B01"/>
    <w:rsid w:val="005F08AD"/>
    <w:rsid w:val="005F733D"/>
    <w:rsid w:val="00602C92"/>
    <w:rsid w:val="0061376F"/>
    <w:rsid w:val="00613B7F"/>
    <w:rsid w:val="0061644B"/>
    <w:rsid w:val="0064566A"/>
    <w:rsid w:val="0065163E"/>
    <w:rsid w:val="00670159"/>
    <w:rsid w:val="00673766"/>
    <w:rsid w:val="00675168"/>
    <w:rsid w:val="00675F6D"/>
    <w:rsid w:val="006821AB"/>
    <w:rsid w:val="00685189"/>
    <w:rsid w:val="00685D17"/>
    <w:rsid w:val="006A346C"/>
    <w:rsid w:val="006A5666"/>
    <w:rsid w:val="006A6532"/>
    <w:rsid w:val="006C1B77"/>
    <w:rsid w:val="006C7A66"/>
    <w:rsid w:val="006D1AF6"/>
    <w:rsid w:val="006E0E81"/>
    <w:rsid w:val="006E3D0E"/>
    <w:rsid w:val="006E5F1D"/>
    <w:rsid w:val="006E64EB"/>
    <w:rsid w:val="006F1BE1"/>
    <w:rsid w:val="006F6CCA"/>
    <w:rsid w:val="00702D5F"/>
    <w:rsid w:val="00715E77"/>
    <w:rsid w:val="0071732A"/>
    <w:rsid w:val="00723B9E"/>
    <w:rsid w:val="00724BEB"/>
    <w:rsid w:val="007338A5"/>
    <w:rsid w:val="007341F1"/>
    <w:rsid w:val="00742015"/>
    <w:rsid w:val="00744352"/>
    <w:rsid w:val="00746E2B"/>
    <w:rsid w:val="00747181"/>
    <w:rsid w:val="00761013"/>
    <w:rsid w:val="00762A27"/>
    <w:rsid w:val="00762D5C"/>
    <w:rsid w:val="007632C4"/>
    <w:rsid w:val="00770C07"/>
    <w:rsid w:val="007735DA"/>
    <w:rsid w:val="00776A41"/>
    <w:rsid w:val="00777C27"/>
    <w:rsid w:val="00780BE9"/>
    <w:rsid w:val="00780C89"/>
    <w:rsid w:val="007837C8"/>
    <w:rsid w:val="00785C9F"/>
    <w:rsid w:val="00786FC4"/>
    <w:rsid w:val="007943E6"/>
    <w:rsid w:val="00796849"/>
    <w:rsid w:val="00796998"/>
    <w:rsid w:val="007A7A3A"/>
    <w:rsid w:val="007B2BA9"/>
    <w:rsid w:val="007D0358"/>
    <w:rsid w:val="007E627C"/>
    <w:rsid w:val="00801474"/>
    <w:rsid w:val="00802C3A"/>
    <w:rsid w:val="00805609"/>
    <w:rsid w:val="00814A67"/>
    <w:rsid w:val="00817079"/>
    <w:rsid w:val="0082524E"/>
    <w:rsid w:val="00830832"/>
    <w:rsid w:val="0083140C"/>
    <w:rsid w:val="0083559E"/>
    <w:rsid w:val="00840081"/>
    <w:rsid w:val="00843606"/>
    <w:rsid w:val="0084591E"/>
    <w:rsid w:val="00861DD0"/>
    <w:rsid w:val="00863548"/>
    <w:rsid w:val="008672F9"/>
    <w:rsid w:val="00872DDB"/>
    <w:rsid w:val="00875A86"/>
    <w:rsid w:val="00880450"/>
    <w:rsid w:val="00885B32"/>
    <w:rsid w:val="00890BEA"/>
    <w:rsid w:val="008911BC"/>
    <w:rsid w:val="00894E7C"/>
    <w:rsid w:val="008951AB"/>
    <w:rsid w:val="008A07D4"/>
    <w:rsid w:val="008A1C50"/>
    <w:rsid w:val="008A3165"/>
    <w:rsid w:val="008A60BC"/>
    <w:rsid w:val="008C079A"/>
    <w:rsid w:val="008C2E63"/>
    <w:rsid w:val="008C5612"/>
    <w:rsid w:val="008C6904"/>
    <w:rsid w:val="008D5780"/>
    <w:rsid w:val="008D61D0"/>
    <w:rsid w:val="008E5151"/>
    <w:rsid w:val="009039D7"/>
    <w:rsid w:val="00905689"/>
    <w:rsid w:val="00925A5F"/>
    <w:rsid w:val="00925EB6"/>
    <w:rsid w:val="009268DD"/>
    <w:rsid w:val="00934ABD"/>
    <w:rsid w:val="00940531"/>
    <w:rsid w:val="009470BB"/>
    <w:rsid w:val="009507D9"/>
    <w:rsid w:val="00950D62"/>
    <w:rsid w:val="00967EFC"/>
    <w:rsid w:val="00973283"/>
    <w:rsid w:val="00973496"/>
    <w:rsid w:val="00973861"/>
    <w:rsid w:val="009941C6"/>
    <w:rsid w:val="00994383"/>
    <w:rsid w:val="0099526E"/>
    <w:rsid w:val="009B072F"/>
    <w:rsid w:val="009B7E1F"/>
    <w:rsid w:val="009C2BA7"/>
    <w:rsid w:val="009C4FDA"/>
    <w:rsid w:val="009D522D"/>
    <w:rsid w:val="009D7C1C"/>
    <w:rsid w:val="009F35A5"/>
    <w:rsid w:val="009F3625"/>
    <w:rsid w:val="009F563C"/>
    <w:rsid w:val="00A0120C"/>
    <w:rsid w:val="00A04EE9"/>
    <w:rsid w:val="00A1167D"/>
    <w:rsid w:val="00A12573"/>
    <w:rsid w:val="00A203CE"/>
    <w:rsid w:val="00A22904"/>
    <w:rsid w:val="00A25F82"/>
    <w:rsid w:val="00A33DC2"/>
    <w:rsid w:val="00A36B7D"/>
    <w:rsid w:val="00A431D1"/>
    <w:rsid w:val="00A50B41"/>
    <w:rsid w:val="00A5162D"/>
    <w:rsid w:val="00A5295C"/>
    <w:rsid w:val="00A53409"/>
    <w:rsid w:val="00A66D0F"/>
    <w:rsid w:val="00A70E9D"/>
    <w:rsid w:val="00A7370A"/>
    <w:rsid w:val="00A73CD6"/>
    <w:rsid w:val="00A8576F"/>
    <w:rsid w:val="00A92F3F"/>
    <w:rsid w:val="00AA2364"/>
    <w:rsid w:val="00AD05D8"/>
    <w:rsid w:val="00AD1BD6"/>
    <w:rsid w:val="00AE0ED1"/>
    <w:rsid w:val="00AE1AB4"/>
    <w:rsid w:val="00AE376E"/>
    <w:rsid w:val="00AE79DB"/>
    <w:rsid w:val="00AF29E9"/>
    <w:rsid w:val="00B02473"/>
    <w:rsid w:val="00B1365F"/>
    <w:rsid w:val="00B20BFA"/>
    <w:rsid w:val="00B26136"/>
    <w:rsid w:val="00B408BF"/>
    <w:rsid w:val="00B41BFB"/>
    <w:rsid w:val="00B45FB2"/>
    <w:rsid w:val="00B47933"/>
    <w:rsid w:val="00B57B98"/>
    <w:rsid w:val="00B6097A"/>
    <w:rsid w:val="00B70EC9"/>
    <w:rsid w:val="00B80117"/>
    <w:rsid w:val="00B80B0C"/>
    <w:rsid w:val="00B81217"/>
    <w:rsid w:val="00B85428"/>
    <w:rsid w:val="00B90B86"/>
    <w:rsid w:val="00B97D7C"/>
    <w:rsid w:val="00BB72C8"/>
    <w:rsid w:val="00BB74AF"/>
    <w:rsid w:val="00BC3498"/>
    <w:rsid w:val="00BC428E"/>
    <w:rsid w:val="00BD41AA"/>
    <w:rsid w:val="00BE28C4"/>
    <w:rsid w:val="00BF1E08"/>
    <w:rsid w:val="00C137F3"/>
    <w:rsid w:val="00C13BB6"/>
    <w:rsid w:val="00C162A4"/>
    <w:rsid w:val="00C22421"/>
    <w:rsid w:val="00C25F28"/>
    <w:rsid w:val="00C25FFA"/>
    <w:rsid w:val="00C3320B"/>
    <w:rsid w:val="00C33ABB"/>
    <w:rsid w:val="00C33EE5"/>
    <w:rsid w:val="00C45FF6"/>
    <w:rsid w:val="00C4626F"/>
    <w:rsid w:val="00C4644A"/>
    <w:rsid w:val="00C679AC"/>
    <w:rsid w:val="00C76B30"/>
    <w:rsid w:val="00C93682"/>
    <w:rsid w:val="00C9469B"/>
    <w:rsid w:val="00C96C33"/>
    <w:rsid w:val="00CA034D"/>
    <w:rsid w:val="00CA1E67"/>
    <w:rsid w:val="00CA2C3C"/>
    <w:rsid w:val="00CA2DE3"/>
    <w:rsid w:val="00CA5457"/>
    <w:rsid w:val="00CB54D7"/>
    <w:rsid w:val="00CC77A0"/>
    <w:rsid w:val="00CD6869"/>
    <w:rsid w:val="00CD70DA"/>
    <w:rsid w:val="00CE4DBF"/>
    <w:rsid w:val="00CE55C5"/>
    <w:rsid w:val="00CF4D47"/>
    <w:rsid w:val="00CF5782"/>
    <w:rsid w:val="00CF62B2"/>
    <w:rsid w:val="00D03686"/>
    <w:rsid w:val="00D07831"/>
    <w:rsid w:val="00D07DDE"/>
    <w:rsid w:val="00D143E6"/>
    <w:rsid w:val="00D14641"/>
    <w:rsid w:val="00D21286"/>
    <w:rsid w:val="00D234DB"/>
    <w:rsid w:val="00D42E0D"/>
    <w:rsid w:val="00D460D3"/>
    <w:rsid w:val="00D50AC0"/>
    <w:rsid w:val="00D575E4"/>
    <w:rsid w:val="00D61002"/>
    <w:rsid w:val="00D71359"/>
    <w:rsid w:val="00D7203F"/>
    <w:rsid w:val="00D75981"/>
    <w:rsid w:val="00D762F5"/>
    <w:rsid w:val="00D77A8F"/>
    <w:rsid w:val="00D84FDF"/>
    <w:rsid w:val="00D8685B"/>
    <w:rsid w:val="00D87448"/>
    <w:rsid w:val="00DA01A6"/>
    <w:rsid w:val="00DA432C"/>
    <w:rsid w:val="00DB06D5"/>
    <w:rsid w:val="00DB10C7"/>
    <w:rsid w:val="00DB1B11"/>
    <w:rsid w:val="00DD26B1"/>
    <w:rsid w:val="00DD7E0B"/>
    <w:rsid w:val="00DF20D8"/>
    <w:rsid w:val="00E05442"/>
    <w:rsid w:val="00E150A5"/>
    <w:rsid w:val="00E17BD7"/>
    <w:rsid w:val="00E35AAE"/>
    <w:rsid w:val="00E413C2"/>
    <w:rsid w:val="00E4196E"/>
    <w:rsid w:val="00E465A0"/>
    <w:rsid w:val="00E50AD5"/>
    <w:rsid w:val="00E525A3"/>
    <w:rsid w:val="00E54C8A"/>
    <w:rsid w:val="00E724E7"/>
    <w:rsid w:val="00E736AF"/>
    <w:rsid w:val="00E744DB"/>
    <w:rsid w:val="00E76F06"/>
    <w:rsid w:val="00E77952"/>
    <w:rsid w:val="00E81CCB"/>
    <w:rsid w:val="00E843F7"/>
    <w:rsid w:val="00E84DEE"/>
    <w:rsid w:val="00E8750C"/>
    <w:rsid w:val="00E90C9A"/>
    <w:rsid w:val="00E92A80"/>
    <w:rsid w:val="00E93277"/>
    <w:rsid w:val="00E94350"/>
    <w:rsid w:val="00E94C8B"/>
    <w:rsid w:val="00E95120"/>
    <w:rsid w:val="00E965E0"/>
    <w:rsid w:val="00E967DB"/>
    <w:rsid w:val="00EB1C1A"/>
    <w:rsid w:val="00EB6BF3"/>
    <w:rsid w:val="00EC5892"/>
    <w:rsid w:val="00EC71E1"/>
    <w:rsid w:val="00ED465F"/>
    <w:rsid w:val="00ED790F"/>
    <w:rsid w:val="00EE0436"/>
    <w:rsid w:val="00EE13CB"/>
    <w:rsid w:val="00EE67D5"/>
    <w:rsid w:val="00EF7DF0"/>
    <w:rsid w:val="00F06F02"/>
    <w:rsid w:val="00F078A1"/>
    <w:rsid w:val="00F2476C"/>
    <w:rsid w:val="00F37016"/>
    <w:rsid w:val="00F405CC"/>
    <w:rsid w:val="00F54046"/>
    <w:rsid w:val="00F54088"/>
    <w:rsid w:val="00F54A1B"/>
    <w:rsid w:val="00F55F51"/>
    <w:rsid w:val="00F57018"/>
    <w:rsid w:val="00F609B4"/>
    <w:rsid w:val="00F62BF2"/>
    <w:rsid w:val="00F65312"/>
    <w:rsid w:val="00F6663F"/>
    <w:rsid w:val="00F820D3"/>
    <w:rsid w:val="00F90D3B"/>
    <w:rsid w:val="00FA61E6"/>
    <w:rsid w:val="00FB39C9"/>
    <w:rsid w:val="00FB5652"/>
    <w:rsid w:val="00FC0ADC"/>
    <w:rsid w:val="00FC151E"/>
    <w:rsid w:val="00FE74AC"/>
    <w:rsid w:val="00FF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21780F2"/>
  <w15:chartTrackingRefBased/>
  <w15:docId w15:val="{0A426DE0-DDBA-46C5-8414-143596A52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6A6532"/>
    <w:rPr>
      <w:color w:val="0000FF"/>
      <w:shd w:val="clear" w:color="auto" w:fill="auto"/>
    </w:rPr>
  </w:style>
  <w:style w:type="paragraph" w:customStyle="1" w:styleId="Pagedecouverture">
    <w:name w:val="Page de couverture"/>
    <w:basedOn w:val="Normal"/>
    <w:next w:val="Normal"/>
    <w:rsid w:val="006A6532"/>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6A65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532"/>
  </w:style>
  <w:style w:type="paragraph" w:styleId="Footer">
    <w:name w:val="footer"/>
    <w:basedOn w:val="Normal"/>
    <w:link w:val="FooterChar"/>
    <w:uiPriority w:val="99"/>
    <w:unhideWhenUsed/>
    <w:rsid w:val="006A65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532"/>
  </w:style>
  <w:style w:type="paragraph" w:customStyle="1" w:styleId="FooterCoverPage">
    <w:name w:val="Footer Cover Page"/>
    <w:basedOn w:val="Normal"/>
    <w:link w:val="FooterCoverPageChar"/>
    <w:rsid w:val="006A6532"/>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6A6532"/>
    <w:rPr>
      <w:rFonts w:ascii="Times New Roman" w:hAnsi="Times New Roman" w:cs="Times New Roman"/>
      <w:sz w:val="24"/>
    </w:rPr>
  </w:style>
  <w:style w:type="paragraph" w:customStyle="1" w:styleId="FooterSensitivity">
    <w:name w:val="Footer Sensitivity"/>
    <w:basedOn w:val="Normal"/>
    <w:link w:val="FooterSensitivityChar"/>
    <w:rsid w:val="006A653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6A6532"/>
    <w:rPr>
      <w:rFonts w:ascii="Times New Roman" w:hAnsi="Times New Roman" w:cs="Times New Roman"/>
      <w:b/>
      <w:sz w:val="32"/>
    </w:rPr>
  </w:style>
  <w:style w:type="paragraph" w:customStyle="1" w:styleId="HeaderCoverPage">
    <w:name w:val="Header Cover Page"/>
    <w:basedOn w:val="Normal"/>
    <w:link w:val="HeaderCoverPageChar"/>
    <w:rsid w:val="006A6532"/>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6A6532"/>
    <w:rPr>
      <w:rFonts w:ascii="Times New Roman" w:hAnsi="Times New Roman" w:cs="Times New Roman"/>
      <w:sz w:val="24"/>
    </w:rPr>
  </w:style>
  <w:style w:type="paragraph" w:customStyle="1" w:styleId="HeaderSensitivity">
    <w:name w:val="Header Sensitivity"/>
    <w:basedOn w:val="Normal"/>
    <w:link w:val="HeaderSensitivityChar"/>
    <w:rsid w:val="006A6532"/>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6A6532"/>
    <w:rPr>
      <w:rFonts w:ascii="Times New Roman" w:hAnsi="Times New Roman" w:cs="Times New Roman"/>
      <w:b/>
      <w:sz w:val="32"/>
    </w:rPr>
  </w:style>
  <w:style w:type="paragraph" w:customStyle="1" w:styleId="HeaderSensitivityRight">
    <w:name w:val="Header Sensitivity Right"/>
    <w:basedOn w:val="Normal"/>
    <w:link w:val="HeaderSensitivityRightChar"/>
    <w:rsid w:val="006A653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6A6532"/>
    <w:rPr>
      <w:rFonts w:ascii="Times New Roman" w:hAnsi="Times New Roman" w:cs="Times New Roman"/>
      <w:sz w:val="28"/>
    </w:rPr>
  </w:style>
  <w:style w:type="paragraph" w:styleId="ListParagraph">
    <w:name w:val="List Paragraph"/>
    <w:basedOn w:val="Normal"/>
    <w:uiPriority w:val="34"/>
    <w:qFormat/>
    <w:rsid w:val="00345B7E"/>
    <w:pPr>
      <w:ind w:left="720"/>
      <w:contextualSpacing/>
    </w:pPr>
  </w:style>
  <w:style w:type="paragraph" w:styleId="FootnoteText">
    <w:name w:val="footnote text"/>
    <w:basedOn w:val="Normal"/>
    <w:uiPriority w:val="99"/>
    <w:unhideWhenUsed/>
    <w:rsid w:val="00B47933"/>
    <w:pPr>
      <w:spacing w:after="0" w:line="240" w:lineRule="auto"/>
    </w:pPr>
    <w:rPr>
      <w:sz w:val="20"/>
      <w:szCs w:val="20"/>
    </w:rPr>
  </w:style>
  <w:style w:type="character" w:customStyle="1" w:styleId="FootnoteTextChar">
    <w:name w:val="Footnote Text Char"/>
    <w:basedOn w:val="DefaultParagraphFont"/>
    <w:uiPriority w:val="99"/>
    <w:rsid w:val="00B47933"/>
    <w:rPr>
      <w:sz w:val="20"/>
      <w:szCs w:val="20"/>
    </w:rPr>
  </w:style>
  <w:style w:type="character" w:styleId="FootnoteReference">
    <w:name w:val="footnote reference"/>
    <w:basedOn w:val="DefaultParagraphFont"/>
    <w:uiPriority w:val="99"/>
    <w:semiHidden/>
    <w:unhideWhenUsed/>
    <w:rsid w:val="00B47933"/>
    <w:rPr>
      <w:vertAlign w:val="superscript"/>
    </w:rPr>
  </w:style>
  <w:style w:type="paragraph" w:styleId="NormalWeb">
    <w:name w:val="Normal (Web)"/>
    <w:basedOn w:val="Normal"/>
    <w:uiPriority w:val="99"/>
    <w:unhideWhenUsed/>
    <w:rsid w:val="00B479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47933"/>
    <w:rPr>
      <w:i/>
      <w:iCs/>
    </w:rPr>
  </w:style>
  <w:style w:type="character" w:styleId="Hyperlink">
    <w:name w:val="Hyperlink"/>
    <w:basedOn w:val="DefaultParagraphFont"/>
    <w:uiPriority w:val="99"/>
    <w:unhideWhenUsed/>
    <w:rsid w:val="00B47933"/>
    <w:rPr>
      <w:color w:val="0000FF" w:themeColor="hyperlink"/>
      <w:u w:val="single"/>
    </w:rPr>
  </w:style>
  <w:style w:type="paragraph" w:customStyle="1" w:styleId="norm">
    <w:name w:val="norm"/>
    <w:basedOn w:val="Normal"/>
    <w:rsid w:val="008056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uper">
    <w:name w:val="super"/>
    <w:basedOn w:val="DefaultParagraphFont"/>
    <w:rsid w:val="008A1C50"/>
  </w:style>
  <w:style w:type="character" w:customStyle="1" w:styleId="superscript">
    <w:name w:val="superscript"/>
    <w:basedOn w:val="DefaultParagraphFont"/>
    <w:rsid w:val="001F4EAD"/>
  </w:style>
  <w:style w:type="character" w:styleId="Strong">
    <w:name w:val="Strong"/>
    <w:basedOn w:val="DefaultParagraphFont"/>
    <w:uiPriority w:val="22"/>
    <w:qFormat/>
    <w:rsid w:val="001421A0"/>
    <w:rPr>
      <w:b/>
      <w:bCs/>
    </w:rPr>
  </w:style>
  <w:style w:type="paragraph" w:customStyle="1" w:styleId="Point0number">
    <w:name w:val="Point 0 (number)"/>
    <w:basedOn w:val="Normal"/>
    <w:rsid w:val="00E81CCB"/>
    <w:pPr>
      <w:numPr>
        <w:numId w:val="4"/>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E81CCB"/>
    <w:pPr>
      <w:numPr>
        <w:ilvl w:val="2"/>
        <w:numId w:val="4"/>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E81CCB"/>
    <w:pPr>
      <w:numPr>
        <w:ilvl w:val="4"/>
        <w:numId w:val="4"/>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E81CCB"/>
    <w:pPr>
      <w:numPr>
        <w:ilvl w:val="6"/>
        <w:numId w:val="4"/>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E81CCB"/>
    <w:pPr>
      <w:numPr>
        <w:ilvl w:val="1"/>
        <w:numId w:val="4"/>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E81CCB"/>
    <w:pPr>
      <w:numPr>
        <w:ilvl w:val="3"/>
        <w:numId w:val="4"/>
      </w:num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E81CCB"/>
    <w:pPr>
      <w:numPr>
        <w:ilvl w:val="5"/>
        <w:numId w:val="4"/>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E81CCB"/>
    <w:pPr>
      <w:numPr>
        <w:ilvl w:val="7"/>
        <w:numId w:val="4"/>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E81CCB"/>
    <w:pPr>
      <w:numPr>
        <w:ilvl w:val="8"/>
        <w:numId w:val="4"/>
      </w:numPr>
      <w:spacing w:before="120" w:after="120" w:line="240" w:lineRule="auto"/>
      <w:jc w:val="both"/>
    </w:pPr>
    <w:rPr>
      <w:rFonts w:ascii="Times New Roman" w:hAnsi="Times New Roman" w:cs="Times New Roman"/>
      <w:sz w:val="24"/>
    </w:rPr>
  </w:style>
  <w:style w:type="character" w:styleId="CommentReference">
    <w:name w:val="annotation reference"/>
    <w:basedOn w:val="DefaultParagraphFont"/>
    <w:uiPriority w:val="99"/>
    <w:semiHidden/>
    <w:unhideWhenUsed/>
    <w:rsid w:val="003C606E"/>
    <w:rPr>
      <w:sz w:val="16"/>
      <w:szCs w:val="16"/>
    </w:rPr>
  </w:style>
  <w:style w:type="paragraph" w:styleId="CommentText">
    <w:name w:val="annotation text"/>
    <w:basedOn w:val="Normal"/>
    <w:link w:val="CommentTextChar"/>
    <w:uiPriority w:val="99"/>
    <w:unhideWhenUsed/>
    <w:rsid w:val="003C606E"/>
    <w:pPr>
      <w:spacing w:line="240" w:lineRule="auto"/>
    </w:pPr>
    <w:rPr>
      <w:sz w:val="20"/>
      <w:szCs w:val="20"/>
    </w:rPr>
  </w:style>
  <w:style w:type="character" w:customStyle="1" w:styleId="CommentTextChar">
    <w:name w:val="Comment Text Char"/>
    <w:basedOn w:val="DefaultParagraphFont"/>
    <w:link w:val="CommentText"/>
    <w:uiPriority w:val="99"/>
    <w:rsid w:val="003C606E"/>
    <w:rPr>
      <w:sz w:val="20"/>
      <w:szCs w:val="20"/>
    </w:rPr>
  </w:style>
  <w:style w:type="paragraph" w:styleId="CommentSubject">
    <w:name w:val="annotation subject"/>
    <w:basedOn w:val="CommentText"/>
    <w:next w:val="CommentText"/>
    <w:link w:val="CommentSubjectChar"/>
    <w:uiPriority w:val="99"/>
    <w:semiHidden/>
    <w:unhideWhenUsed/>
    <w:rsid w:val="003C606E"/>
    <w:rPr>
      <w:b/>
      <w:bCs/>
    </w:rPr>
  </w:style>
  <w:style w:type="character" w:customStyle="1" w:styleId="CommentSubjectChar">
    <w:name w:val="Comment Subject Char"/>
    <w:basedOn w:val="CommentTextChar"/>
    <w:link w:val="CommentSubject"/>
    <w:uiPriority w:val="99"/>
    <w:semiHidden/>
    <w:rsid w:val="003C606E"/>
    <w:rPr>
      <w:b/>
      <w:bCs/>
      <w:sz w:val="20"/>
      <w:szCs w:val="20"/>
    </w:rPr>
  </w:style>
  <w:style w:type="paragraph" w:styleId="BalloonText">
    <w:name w:val="Balloon Text"/>
    <w:basedOn w:val="Normal"/>
    <w:link w:val="BalloonTextChar"/>
    <w:uiPriority w:val="99"/>
    <w:semiHidden/>
    <w:unhideWhenUsed/>
    <w:rsid w:val="003C60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06E"/>
    <w:rPr>
      <w:rFonts w:ascii="Segoe UI" w:hAnsi="Segoe UI" w:cs="Segoe UI"/>
      <w:sz w:val="18"/>
      <w:szCs w:val="18"/>
    </w:rPr>
  </w:style>
  <w:style w:type="character" w:styleId="FollowedHyperlink">
    <w:name w:val="FollowedHyperlink"/>
    <w:basedOn w:val="DefaultParagraphFont"/>
    <w:uiPriority w:val="99"/>
    <w:semiHidden/>
    <w:unhideWhenUsed/>
    <w:rsid w:val="003C606E"/>
    <w:rPr>
      <w:color w:val="800080" w:themeColor="followedHyperlink"/>
      <w:u w:val="single"/>
    </w:rPr>
  </w:style>
  <w:style w:type="table" w:styleId="TableGrid">
    <w:name w:val="Table Grid"/>
    <w:basedOn w:val="TableNormal"/>
    <w:uiPriority w:val="59"/>
    <w:rsid w:val="00BE28C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66ED"/>
    <w:pPr>
      <w:spacing w:after="0" w:line="240" w:lineRule="auto"/>
    </w:pPr>
  </w:style>
  <w:style w:type="character" w:customStyle="1" w:styleId="UnresolvedMention">
    <w:name w:val="Unresolved Mention"/>
    <w:basedOn w:val="DefaultParagraphFont"/>
    <w:uiPriority w:val="99"/>
    <w:semiHidden/>
    <w:unhideWhenUsed/>
    <w:rsid w:val="004B6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4298">
      <w:bodyDiv w:val="1"/>
      <w:marLeft w:val="0"/>
      <w:marRight w:val="0"/>
      <w:marTop w:val="0"/>
      <w:marBottom w:val="0"/>
      <w:divBdr>
        <w:top w:val="none" w:sz="0" w:space="0" w:color="auto"/>
        <w:left w:val="none" w:sz="0" w:space="0" w:color="auto"/>
        <w:bottom w:val="none" w:sz="0" w:space="0" w:color="auto"/>
        <w:right w:val="none" w:sz="0" w:space="0" w:color="auto"/>
      </w:divBdr>
    </w:div>
    <w:div w:id="777066835">
      <w:bodyDiv w:val="1"/>
      <w:marLeft w:val="0"/>
      <w:marRight w:val="0"/>
      <w:marTop w:val="0"/>
      <w:marBottom w:val="0"/>
      <w:divBdr>
        <w:top w:val="none" w:sz="0" w:space="0" w:color="auto"/>
        <w:left w:val="none" w:sz="0" w:space="0" w:color="auto"/>
        <w:bottom w:val="none" w:sz="0" w:space="0" w:color="auto"/>
        <w:right w:val="none" w:sz="0" w:space="0" w:color="auto"/>
      </w:divBdr>
    </w:div>
    <w:div w:id="1011177879">
      <w:bodyDiv w:val="1"/>
      <w:marLeft w:val="0"/>
      <w:marRight w:val="0"/>
      <w:marTop w:val="0"/>
      <w:marBottom w:val="0"/>
      <w:divBdr>
        <w:top w:val="none" w:sz="0" w:space="0" w:color="auto"/>
        <w:left w:val="none" w:sz="0" w:space="0" w:color="auto"/>
        <w:bottom w:val="none" w:sz="0" w:space="0" w:color="auto"/>
        <w:right w:val="none" w:sz="0" w:space="0" w:color="auto"/>
      </w:divBdr>
    </w:div>
    <w:div w:id="1107504458">
      <w:bodyDiv w:val="1"/>
      <w:marLeft w:val="0"/>
      <w:marRight w:val="0"/>
      <w:marTop w:val="0"/>
      <w:marBottom w:val="0"/>
      <w:divBdr>
        <w:top w:val="none" w:sz="0" w:space="0" w:color="auto"/>
        <w:left w:val="none" w:sz="0" w:space="0" w:color="auto"/>
        <w:bottom w:val="none" w:sz="0" w:space="0" w:color="auto"/>
        <w:right w:val="none" w:sz="0" w:space="0" w:color="auto"/>
      </w:divBdr>
    </w:div>
    <w:div w:id="1160199228">
      <w:bodyDiv w:val="1"/>
      <w:marLeft w:val="0"/>
      <w:marRight w:val="0"/>
      <w:marTop w:val="0"/>
      <w:marBottom w:val="0"/>
      <w:divBdr>
        <w:top w:val="none" w:sz="0" w:space="0" w:color="auto"/>
        <w:left w:val="none" w:sz="0" w:space="0" w:color="auto"/>
        <w:bottom w:val="none" w:sz="0" w:space="0" w:color="auto"/>
        <w:right w:val="none" w:sz="0" w:space="0" w:color="auto"/>
      </w:divBdr>
    </w:div>
    <w:div w:id="1552380519">
      <w:bodyDiv w:val="1"/>
      <w:marLeft w:val="0"/>
      <w:marRight w:val="0"/>
      <w:marTop w:val="0"/>
      <w:marBottom w:val="0"/>
      <w:divBdr>
        <w:top w:val="none" w:sz="0" w:space="0" w:color="auto"/>
        <w:left w:val="none" w:sz="0" w:space="0" w:color="auto"/>
        <w:bottom w:val="none" w:sz="0" w:space="0" w:color="auto"/>
        <w:right w:val="none" w:sz="0" w:space="0" w:color="auto"/>
      </w:divBdr>
    </w:div>
    <w:div w:id="1757631897">
      <w:bodyDiv w:val="1"/>
      <w:marLeft w:val="0"/>
      <w:marRight w:val="0"/>
      <w:marTop w:val="0"/>
      <w:marBottom w:val="0"/>
      <w:divBdr>
        <w:top w:val="none" w:sz="0" w:space="0" w:color="auto"/>
        <w:left w:val="none" w:sz="0" w:space="0" w:color="auto"/>
        <w:bottom w:val="none" w:sz="0" w:space="0" w:color="auto"/>
        <w:right w:val="none" w:sz="0" w:space="0" w:color="auto"/>
      </w:divBdr>
    </w:div>
    <w:div w:id="213320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GA/TXT/?uri=uriserv:OJ.L_.2016.123.01.0001.01.ENG" TargetMode="External"/><Relationship Id="rId2" Type="http://schemas.openxmlformats.org/officeDocument/2006/relationships/hyperlink" Target="https://eur-lex.europa.eu/legal-content/GA/ALL/?uri=CELEX:32005R0184" TargetMode="External"/><Relationship Id="rId1" Type="http://schemas.openxmlformats.org/officeDocument/2006/relationships/hyperlink" Target="https://eur-lex.europa.eu/legal-content/GA/TXT/?uri=uriserv%3AOJ.L_.2016.171.01.0144.01.ENG" TargetMode="External"/><Relationship Id="rId6" Type="http://schemas.openxmlformats.org/officeDocument/2006/relationships/hyperlink" Target="https://eur-lex.europa.eu/legal-content/GA/TXT/?uri=CELEX%3A32024R3104" TargetMode="External"/><Relationship Id="rId5" Type="http://schemas.openxmlformats.org/officeDocument/2006/relationships/hyperlink" Target="https://eur-lex.europa.eu/eli/reg_del/2019/505/oj/eng" TargetMode="External"/><Relationship Id="rId4" Type="http://schemas.openxmlformats.org/officeDocument/2006/relationships/hyperlink" Target="https://eur-lex.europa.eu/legal-content/EN/TXT/PDF/?uri=CELEX:52020DC0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328F2D4-9CE5-47B7-AD07-8D173D75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7</cp:revision>
  <dcterms:created xsi:type="dcterms:W3CDTF">2025-06-25T11:14:00Z</dcterms:created>
  <dcterms:modified xsi:type="dcterms:W3CDTF">2025-07-14T07:43:00Z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9.1, Build 20240808</vt:lpwstr>
  </property>
  <property fmtid="{D5CDD505-2E9C-101B-9397-08002B2CF9AE}" pid="8" name="Created using">
    <vt:lpwstr>LW 7.0, Build 20190717</vt:lpwstr>
  </property>
  <property fmtid="{D5CDD505-2E9C-101B-9397-08002B2CF9AE}" pid="9" name="MSIP_Label_6bd9ddd1-4d20-43f6-abfa-fc3c07406f94_Enabled">
    <vt:lpwstr>true</vt:lpwstr>
  </property>
  <property fmtid="{D5CDD505-2E9C-101B-9397-08002B2CF9AE}" pid="10" name="MSIP_Label_6bd9ddd1-4d20-43f6-abfa-fc3c07406f94_SetDate">
    <vt:lpwstr>2024-12-19T14:44:20Z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78491d09-989c-4c3f-be65-b0e6b20df8e9</vt:lpwstr>
  </property>
  <property fmtid="{D5CDD505-2E9C-101B-9397-08002B2CF9AE}" pid="15" name="MSIP_Label_6bd9ddd1-4d20-43f6-abfa-fc3c07406f94_ContentBits">
    <vt:lpwstr>0</vt:lpwstr>
  </property>
</Properties>
</file>