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08B3E6" w14:textId="32FACDB8" w:rsidR="00894F53" w:rsidRDefault="004D7E06" w:rsidP="004D7E06">
      <w:pPr>
        <w:pStyle w:val="Pagedecouverture"/>
        <w:rPr>
          <w:noProof/>
        </w:rPr>
      </w:pPr>
      <w:bookmarkStart w:id="0" w:name="_Toc155653106"/>
      <w:bookmarkStart w:id="1" w:name="LW_BM_COVERPAGE"/>
      <w:r>
        <w:rPr>
          <w:noProof/>
        </w:rPr>
        <w:pict w14:anchorId="4FCA4D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A61CC615-9C9E-40B8-87CC-11732FB32411" style="width:455.25pt;height:365.25pt">
            <v:imagedata r:id="rId11" o:title=""/>
          </v:shape>
        </w:pict>
      </w:r>
    </w:p>
    <w:bookmarkEnd w:id="1"/>
    <w:p w14:paraId="7AEA4B47" w14:textId="77777777" w:rsidR="00520D09" w:rsidRPr="00520D09" w:rsidRDefault="00520D09" w:rsidP="00181CD8">
      <w:pPr>
        <w:pStyle w:val="Pagedecouverture"/>
        <w:rPr>
          <w:noProof/>
        </w:rPr>
        <w:sectPr w:rsidR="00520D09" w:rsidRPr="00520D09" w:rsidSect="004D7E06">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360"/>
        </w:sectPr>
      </w:pPr>
    </w:p>
    <w:p w14:paraId="07F2C9D7" w14:textId="170B04EF" w:rsidR="0067605E" w:rsidRPr="0067605E" w:rsidRDefault="0067605E" w:rsidP="0067605E">
      <w:pPr>
        <w:pStyle w:val="Typedudocument"/>
        <w:rPr>
          <w:noProof/>
        </w:rPr>
      </w:pPr>
      <w:bookmarkStart w:id="2" w:name="_Toc159792195"/>
      <w:bookmarkStart w:id="3" w:name="_Toc155653035"/>
      <w:bookmarkStart w:id="4" w:name="_Toc155653107"/>
      <w:bookmarkStart w:id="5" w:name="_GoBack"/>
      <w:bookmarkEnd w:id="0"/>
      <w:bookmarkEnd w:id="5"/>
      <w:r w:rsidRPr="0067605E">
        <w:rPr>
          <w:noProof/>
        </w:rPr>
        <w:lastRenderedPageBreak/>
        <w:t>TEACHTAIREACHT ÓN gCOIMISIÚN CHUIG PARLAIMINT NA hEORPA, CHUIG AN gCOMHAIRLE, CHUIG COISTE EACNAMAÍOCH AGUS SÓISIALTA NA hEORPA AGUS CHUIG COISTE NA RÉIGIÚN TEACHTAIREACHT ÓN gCOIMISIÚN CHUIG PARLAIMINT NA hEORPA, CHUIG AN gCOMHAIRLE, CHUIG COISTE EACNAMAÍOCH AGUS SÓISIALTA NA hEORPA AGUS CHUIG COISTE NA RÉIGIÚN</w:t>
      </w:r>
    </w:p>
    <w:p w14:paraId="578286E4" w14:textId="457DC4BA" w:rsidR="0067605E" w:rsidRPr="0067605E" w:rsidRDefault="0067605E" w:rsidP="0067605E">
      <w:pPr>
        <w:pStyle w:val="Titreobjet"/>
        <w:rPr>
          <w:noProof/>
        </w:rPr>
      </w:pPr>
      <w:r w:rsidRPr="0067605E">
        <w:rPr>
          <w:noProof/>
        </w:rPr>
        <w:t>Rioscaí aeráide a bhainistiú — daoine agus rathúnas a chosaint</w:t>
      </w:r>
    </w:p>
    <w:p w14:paraId="27E6E9F6" w14:textId="55C73D2B" w:rsidR="0053389F" w:rsidRPr="00677067" w:rsidRDefault="0053389F" w:rsidP="00B06AE7">
      <w:pPr>
        <w:pStyle w:val="Heading1"/>
        <w:numPr>
          <w:ilvl w:val="0"/>
          <w:numId w:val="1"/>
        </w:numPr>
        <w:rPr>
          <w:rFonts w:ascii="Times New Roman" w:hAnsi="Times New Roman" w:cs="Times New Roman"/>
          <w:b/>
          <w:bCs/>
          <w:noProof/>
          <w:color w:val="000000" w:themeColor="text1"/>
          <w:sz w:val="24"/>
          <w:szCs w:val="24"/>
        </w:rPr>
      </w:pPr>
      <w:r>
        <w:rPr>
          <w:rFonts w:ascii="Times New Roman" w:hAnsi="Times New Roman"/>
          <w:b/>
          <w:noProof/>
          <w:color w:val="000000" w:themeColor="text1"/>
          <w:sz w:val="24"/>
        </w:rPr>
        <w:t>Réamhrá</w:t>
      </w:r>
      <w:bookmarkEnd w:id="2"/>
      <w:r>
        <w:rPr>
          <w:rFonts w:ascii="Times New Roman" w:hAnsi="Times New Roman"/>
          <w:b/>
          <w:noProof/>
          <w:color w:val="000000" w:themeColor="text1"/>
          <w:sz w:val="24"/>
        </w:rPr>
        <w:t xml:space="preserve"> </w:t>
      </w:r>
      <w:bookmarkEnd w:id="3"/>
      <w:bookmarkEnd w:id="4"/>
    </w:p>
    <w:p w14:paraId="60AA4C78" w14:textId="77777777" w:rsidR="000040FA" w:rsidRPr="00B2476E" w:rsidRDefault="000040FA" w:rsidP="000040FA">
      <w:pPr>
        <w:rPr>
          <w:rFonts w:ascii="Times New Roman" w:hAnsi="Times New Roman" w:cs="Times New Roman"/>
          <w:noProof/>
          <w:color w:val="000000" w:themeColor="text1"/>
          <w:sz w:val="24"/>
          <w:szCs w:val="24"/>
          <w:lang w:eastAsia="en-IE"/>
        </w:rPr>
      </w:pPr>
    </w:p>
    <w:p w14:paraId="00448A17" w14:textId="77777777" w:rsidR="006B7564" w:rsidRPr="00C15BCA" w:rsidRDefault="006474E7">
      <w:pPr>
        <w:pStyle w:val="Heading2"/>
        <w:spacing w:after="120"/>
        <w:ind w:left="1565" w:hanging="431"/>
        <w:jc w:val="both"/>
        <w:textAlignment w:val="baseline"/>
        <w:rPr>
          <w:rFonts w:ascii="Times New Roman" w:hAnsi="Times New Roman" w:cs="Times New Roman"/>
          <w:b/>
          <w:bCs/>
          <w:noProof/>
          <w:color w:val="000000" w:themeColor="text1"/>
          <w:sz w:val="24"/>
          <w:szCs w:val="24"/>
        </w:rPr>
      </w:pPr>
      <w:bookmarkStart w:id="6" w:name="_Toc159792196"/>
      <w:r>
        <w:rPr>
          <w:rFonts w:ascii="Times New Roman" w:hAnsi="Times New Roman"/>
          <w:b/>
          <w:noProof/>
          <w:color w:val="000000" w:themeColor="text1"/>
          <w:sz w:val="24"/>
        </w:rPr>
        <w:t>Leis an ngéarú ar rioscaí aeráide, is gá bainistiú réamhghníomhach a dhéanamh</w:t>
      </w:r>
      <w:bookmarkEnd w:id="6"/>
    </w:p>
    <w:p w14:paraId="60723672" w14:textId="77777777" w:rsidR="006B7564" w:rsidRPr="0067605E" w:rsidRDefault="006B7564" w:rsidP="0049438C">
      <w:pPr>
        <w:spacing w:after="120"/>
        <w:jc w:val="both"/>
        <w:textAlignment w:val="baseline"/>
        <w:rPr>
          <w:rFonts w:ascii="Times New Roman" w:eastAsia="Times New Roman" w:hAnsi="Times New Roman" w:cs="Times New Roman"/>
          <w:b/>
          <w:bCs/>
          <w:noProof/>
          <w:color w:val="000000" w:themeColor="text1"/>
          <w:sz w:val="24"/>
          <w:szCs w:val="24"/>
          <w:lang w:eastAsia="en-IE"/>
        </w:rPr>
      </w:pPr>
    </w:p>
    <w:p w14:paraId="189FA60F" w14:textId="77777777" w:rsidR="0049438C" w:rsidRDefault="006C74BF" w:rsidP="0049438C">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 xml:space="preserve">Is é bainistiú na héiginnteachta a shainíonn an chinnteoireacht sa lá atá inniu ann, bíodh sin don phobal, do chuideachtaí nó do rialtais. </w:t>
      </w:r>
      <w:r>
        <w:rPr>
          <w:rFonts w:ascii="Times New Roman" w:hAnsi="Times New Roman"/>
          <w:noProof/>
          <w:color w:val="000000" w:themeColor="text1"/>
          <w:sz w:val="24"/>
        </w:rPr>
        <w:t xml:space="preserve">Tá gá le gníomhaíocht phráinneach mar gheall ar éiginnteachtaí cogaidh agus geopholaitiúla, an costas maireachtála, dúshláin dhéimeagrafacha, díghrádú comhshaoil agus éigeandálaí sláinte, neamhionannais shóisialta, polarú polaitiúil agus an bhréagaisnéis, mearfhorbairtí teicneolaíochta agus an imirce. Ní mór do lucht ceaptha beartas cothromaíocht a aimsiú idir aireachas agus acmhainní. Agus an ghéarchéim aeráide fite fuaite i ngéarchéimeanna pláinéadacha eile an truaillithe agus chailliúint na bithéagsúlachta agus toisc go méadaítear léi go leor rioscaí eile, tá sí ar cheann de na bagairtí is eisí atá os ár gcomhair. </w:t>
      </w:r>
    </w:p>
    <w:p w14:paraId="3FB24BDD" w14:textId="77777777" w:rsidR="0049438C" w:rsidRPr="0049438C" w:rsidRDefault="0049438C" w:rsidP="0049438C">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sz w:val="24"/>
        </w:rPr>
        <w:t>Tá gníomhaíocht á déanamh ag an Aontas chun astaíochtaí gás ceaptha teasa a laghdú</w:t>
      </w:r>
      <w:r>
        <w:rPr>
          <w:rFonts w:ascii="Times New Roman" w:hAnsi="Times New Roman"/>
          <w:noProof/>
          <w:color w:val="000000"/>
          <w:sz w:val="24"/>
        </w:rPr>
        <w:t xml:space="preserve"> sna deich mbliana amach romhainn agus chun aeráidneodracht a bhaint amach faoi 2050. Tá tús curtha ag an gCoimisiún le díospóireacht maidir le sprioc aeráide 2040 mar chéim bhreise i dtreo todhchaí iomaíoch, glan-nialasach</w:t>
      </w:r>
      <w:r>
        <w:rPr>
          <w:rStyle w:val="FootnoteReference"/>
          <w:rFonts w:ascii="Times New Roman" w:hAnsi="Times New Roman" w:cs="Times New Roman"/>
          <w:noProof/>
          <w:color w:val="000000"/>
          <w:sz w:val="24"/>
          <w:szCs w:val="24"/>
          <w:lang w:eastAsia="en-IE"/>
        </w:rPr>
        <w:footnoteReference w:id="2"/>
      </w:r>
      <w:r>
        <w:rPr>
          <w:rFonts w:ascii="Times New Roman" w:hAnsi="Times New Roman"/>
          <w:noProof/>
          <w:color w:val="000000"/>
          <w:sz w:val="24"/>
        </w:rPr>
        <w:t xml:space="preserve">. Tá gá le laghduithe tapa den sórt sin ar astaíochtaí domhanda, ós rud é go bhfuil teorainneacha fisiceacha ann maidir leis an méid ar féidir oiriúnú dó.  </w:t>
      </w:r>
    </w:p>
    <w:p w14:paraId="361542E4" w14:textId="150C61A4" w:rsidR="0042472C" w:rsidRPr="00915255" w:rsidRDefault="00027C6C" w:rsidP="009357C0">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Tá tionchair aeráide ann cheana féin, agus leanfaidh rioscaí de bheith ag méadú sna blianta amach romhainn agus ina dhiaidh sin</w:t>
      </w:r>
      <w:r>
        <w:rPr>
          <w:rFonts w:ascii="Times New Roman" w:hAnsi="Times New Roman"/>
          <w:noProof/>
          <w:color w:val="000000" w:themeColor="text1"/>
          <w:sz w:val="24"/>
        </w:rPr>
        <w:t xml:space="preserve"> mar gheall ar tháimhe an chórais aeráide, fiú má thagann laghdú ar an damáiste a d’fhéadfadh a bheith ann de thoradh laghduithe uaillmhianacha ar astaíochtaí domhanda. I mí Feabhra 2024, thuairiscigh Clár Copernicus: an tseirbhís um an athrú aeráide gur sháraigh an mheánteocht dhomhanda sna 12 mhí roimhe sin an tairseach de 1,5 céim ceinteagrád os cionn na leibhéal réamhthionsclaíoch</w:t>
      </w:r>
      <w:r w:rsidR="00A002CB">
        <w:rPr>
          <w:rStyle w:val="FootnoteReference"/>
          <w:rFonts w:ascii="Times New Roman" w:eastAsia="Times New Roman" w:hAnsi="Times New Roman" w:cs="Times New Roman"/>
          <w:noProof/>
          <w:color w:val="000000" w:themeColor="text1"/>
          <w:sz w:val="24"/>
          <w:szCs w:val="24"/>
          <w:lang w:eastAsia="en-IE"/>
        </w:rPr>
        <w:footnoteReference w:id="3"/>
      </w:r>
      <w:r>
        <w:rPr>
          <w:rFonts w:ascii="Times New Roman" w:hAnsi="Times New Roman"/>
          <w:noProof/>
          <w:color w:val="000000" w:themeColor="text1"/>
          <w:sz w:val="24"/>
        </w:rPr>
        <w:t xml:space="preserve">. Cuirtear </w:t>
      </w:r>
      <w:r>
        <w:rPr>
          <w:rFonts w:ascii="Times New Roman" w:hAnsi="Times New Roman"/>
          <w:b/>
          <w:noProof/>
          <w:color w:val="000000" w:themeColor="text1"/>
          <w:sz w:val="24"/>
        </w:rPr>
        <w:t>an</w:t>
      </w:r>
      <w:r w:rsidR="0067605E">
        <w:rPr>
          <w:rFonts w:ascii="Times New Roman" w:hAnsi="Times New Roman"/>
          <w:b/>
          <w:noProof/>
          <w:color w:val="000000" w:themeColor="text1"/>
          <w:sz w:val="24"/>
        </w:rPr>
        <w:t xml:space="preserve"> t</w:t>
      </w:r>
      <w:r w:rsidR="0067605E">
        <w:rPr>
          <w:rFonts w:ascii="Times New Roman" w:hAnsi="Times New Roman"/>
          <w:b/>
          <w:noProof/>
          <w:color w:val="000000" w:themeColor="text1"/>
          <w:sz w:val="24"/>
        </w:rPr>
        <w:noBreakHyphen/>
      </w:r>
      <w:r>
        <w:rPr>
          <w:rFonts w:ascii="Times New Roman" w:hAnsi="Times New Roman"/>
          <w:b/>
          <w:noProof/>
          <w:color w:val="000000" w:themeColor="text1"/>
          <w:sz w:val="24"/>
        </w:rPr>
        <w:t>ionchas don Eoraip</w:t>
      </w:r>
      <w:r>
        <w:rPr>
          <w:rFonts w:ascii="Times New Roman" w:hAnsi="Times New Roman"/>
          <w:noProof/>
          <w:color w:val="000000" w:themeColor="text1"/>
          <w:sz w:val="24"/>
        </w:rPr>
        <w:t xml:space="preserve"> i láthair ar bhealach maith sa chéad Mheasúnú Eorpach ar Rioscaí Aeráide (EUCRA)</w:t>
      </w:r>
      <w:r w:rsidR="001364A4" w:rsidRPr="009C5047">
        <w:rPr>
          <w:rFonts w:ascii="Times New Roman" w:eastAsia="Times New Roman" w:hAnsi="Times New Roman" w:cs="Times New Roman"/>
          <w:noProof/>
          <w:color w:val="000000" w:themeColor="text1"/>
          <w:sz w:val="24"/>
          <w:szCs w:val="24"/>
          <w:vertAlign w:val="superscript"/>
          <w:lang w:eastAsia="en-IE"/>
        </w:rPr>
        <w:footnoteReference w:id="4"/>
      </w:r>
      <w:r>
        <w:rPr>
          <w:rFonts w:ascii="Times New Roman" w:hAnsi="Times New Roman"/>
          <w:noProof/>
          <w:color w:val="000000" w:themeColor="text1"/>
          <w:sz w:val="24"/>
        </w:rPr>
        <w:t xml:space="preserve"> riamh ón nGníomhaireacht Eorpach Comhshaoil. Sa chás is fearr ina dteorannaímid an téamh domhanda go 1,5 céim os cionn na leibhéal réamhthionsclaíoch, beidh ar an Eoraip – atá ag téamh dhá oiread an ráta dhomhanda – foghlaim conas maireachtáil in aeráid atá 3 chéim níos teo, agus, dá bhrí sin, déileáil le méid tonnta teasa agus teagmhais adhaimsire eile a bheidh i bhfad níos mó.</w:t>
      </w:r>
    </w:p>
    <w:p w14:paraId="68B3E3FE" w14:textId="77777777" w:rsidR="008E7A30" w:rsidRDefault="008E7A30" w:rsidP="009357C0">
      <w:pPr>
        <w:spacing w:after="120"/>
        <w:jc w:val="both"/>
        <w:textAlignment w:val="baseline"/>
        <w:rPr>
          <w:rFonts w:ascii="Times New Roman" w:hAnsi="Times New Roman" w:cs="Times New Roman"/>
          <w:noProof/>
          <w:color w:val="000000" w:themeColor="text1"/>
          <w:sz w:val="24"/>
          <w:szCs w:val="24"/>
          <w:lang w:eastAsia="en-IE"/>
        </w:rPr>
      </w:pPr>
    </w:p>
    <w:p w14:paraId="583E65D5" w14:textId="77777777" w:rsidR="008E7A30" w:rsidRDefault="008E7A30" w:rsidP="009357C0">
      <w:pPr>
        <w:spacing w:after="120"/>
        <w:jc w:val="both"/>
        <w:textAlignment w:val="baseline"/>
        <w:rPr>
          <w:rFonts w:ascii="Times New Roman" w:hAnsi="Times New Roman" w:cs="Times New Roman"/>
          <w:noProof/>
          <w:color w:val="000000" w:themeColor="text1"/>
          <w:sz w:val="24"/>
          <w:szCs w:val="24"/>
          <w:lang w:eastAsia="en-IE"/>
        </w:rPr>
      </w:pPr>
    </w:p>
    <w:p w14:paraId="6CD57F0F" w14:textId="77777777" w:rsidR="008E7A30" w:rsidRDefault="008E7A30" w:rsidP="009357C0">
      <w:pPr>
        <w:spacing w:after="120"/>
        <w:jc w:val="both"/>
        <w:textAlignment w:val="baseline"/>
        <w:rPr>
          <w:rFonts w:ascii="Times New Roman" w:hAnsi="Times New Roman" w:cs="Times New Roman"/>
          <w:noProof/>
          <w:color w:val="000000" w:themeColor="text1"/>
          <w:sz w:val="24"/>
          <w:szCs w:val="24"/>
          <w:lang w:eastAsia="en-IE"/>
        </w:rPr>
      </w:pPr>
    </w:p>
    <w:p w14:paraId="557844C1" w14:textId="77777777" w:rsidR="008E7A30" w:rsidRDefault="008E7A30" w:rsidP="009357C0">
      <w:pPr>
        <w:spacing w:after="120"/>
        <w:jc w:val="both"/>
        <w:textAlignment w:val="baseline"/>
        <w:rPr>
          <w:rFonts w:ascii="Times New Roman" w:hAnsi="Times New Roman" w:cs="Times New Roman"/>
          <w:noProof/>
          <w:color w:val="000000" w:themeColor="text1"/>
          <w:sz w:val="24"/>
          <w:szCs w:val="24"/>
          <w:lang w:eastAsia="en-IE"/>
        </w:rPr>
      </w:pPr>
    </w:p>
    <w:p w14:paraId="01F285F2" w14:textId="77777777" w:rsidR="00C15BCA" w:rsidRDefault="00C15BCA">
      <w:pPr>
        <w:spacing w:after="200" w:line="276" w:lineRule="auto"/>
        <w:rPr>
          <w:rFonts w:ascii="Times New Roman" w:hAnsi="Times New Roman" w:cs="Times New Roman"/>
          <w:noProof/>
          <w:color w:val="000000" w:themeColor="text1"/>
          <w:sz w:val="24"/>
          <w:szCs w:val="24"/>
        </w:rPr>
      </w:pPr>
      <w:r>
        <w:rPr>
          <w:noProof/>
        </w:rPr>
        <w:br w:type="page"/>
      </w:r>
    </w:p>
    <w:p w14:paraId="5009429F" w14:textId="77777777" w:rsidR="00A916D0" w:rsidRPr="00915255" w:rsidRDefault="00A916D0" w:rsidP="009357C0">
      <w:pPr>
        <w:spacing w:after="120"/>
        <w:jc w:val="both"/>
        <w:textAlignment w:val="baseline"/>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Fíor 1: Réamh-mheastacháin teochta le haghaidh na hEorpa faoi cheithre chás chaighdeánacha maidir leis aeráid domhanda </w:t>
      </w:r>
    </w:p>
    <w:p w14:paraId="0E4D9FF7" w14:textId="5CECEE31" w:rsidR="00A916D0" w:rsidRDefault="00D2112F" w:rsidP="009357C0">
      <w:pPr>
        <w:spacing w:after="120"/>
        <w:jc w:val="both"/>
        <w:textAlignment w:val="baseline"/>
        <w:rPr>
          <w:rFonts w:ascii="Times New Roman" w:hAnsi="Times New Roman" w:cs="Times New Roman"/>
          <w:noProof/>
          <w:color w:val="000000" w:themeColor="text1"/>
          <w:sz w:val="24"/>
          <w:szCs w:val="24"/>
        </w:rPr>
      </w:pPr>
      <w:r w:rsidRPr="00D2112F">
        <w:rPr>
          <w:noProof/>
          <w:lang w:val="en-GB" w:eastAsia="en-GB"/>
        </w:rPr>
        <w:drawing>
          <wp:inline distT="0" distB="0" distL="0" distR="0" wp14:anchorId="66354634" wp14:editId="1048CD71">
            <wp:extent cx="5760720" cy="3495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495675"/>
                    </a:xfrm>
                    <a:prstGeom prst="rect">
                      <a:avLst/>
                    </a:prstGeom>
                    <a:noFill/>
                    <a:ln>
                      <a:noFill/>
                    </a:ln>
                  </pic:spPr>
                </pic:pic>
              </a:graphicData>
            </a:graphic>
          </wp:inline>
        </w:drawing>
      </w:r>
    </w:p>
    <w:p w14:paraId="52FE74CF" w14:textId="77777777" w:rsidR="009513CE" w:rsidRPr="009513CE" w:rsidRDefault="009513CE" w:rsidP="009513CE">
      <w:pPr>
        <w:spacing w:after="120"/>
        <w:jc w:val="both"/>
        <w:textAlignment w:val="baseline"/>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Foinse: EUCRA, atá bunaithe ar Chlár Copernicus: an tseirbhís um an athrú aeráide </w:t>
      </w:r>
    </w:p>
    <w:p w14:paraId="06D41E3E" w14:textId="77777777" w:rsidR="00B514C5" w:rsidRPr="00915255" w:rsidRDefault="00B514C5" w:rsidP="009357C0">
      <w:pPr>
        <w:spacing w:after="120"/>
        <w:jc w:val="both"/>
        <w:textAlignment w:val="baseline"/>
        <w:rPr>
          <w:rFonts w:ascii="Times New Roman" w:hAnsi="Times New Roman" w:cs="Times New Roman"/>
          <w:noProof/>
          <w:color w:val="000000" w:themeColor="text1"/>
          <w:sz w:val="24"/>
          <w:szCs w:val="24"/>
          <w:lang w:eastAsia="en-IE"/>
        </w:rPr>
      </w:pPr>
    </w:p>
    <w:p w14:paraId="1298D95D" w14:textId="77777777" w:rsidR="00C16BAB" w:rsidRDefault="00F522A2" w:rsidP="00CE5BA2">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Baineann athléimneacht in aghaidh an athraithe aeráide le feidhmeanna sochaíocha a choinneáil ar bun, ach baineann sí freisin leis an iomaíochas maidir le geilleagair agus cuideachtaí</w:t>
      </w:r>
      <w:r>
        <w:rPr>
          <w:rFonts w:ascii="Times New Roman" w:hAnsi="Times New Roman"/>
          <w:b/>
          <w:noProof/>
          <w:sz w:val="24"/>
        </w:rPr>
        <w:t xml:space="preserve">, agus le poist dá bhrí sin. </w:t>
      </w:r>
      <w:r>
        <w:rPr>
          <w:rFonts w:ascii="Times New Roman" w:hAnsi="Times New Roman"/>
          <w:noProof/>
          <w:color w:val="000000" w:themeColor="text1"/>
          <w:sz w:val="24"/>
        </w:rPr>
        <w:t xml:space="preserve">Is coinníoll riachtanach é rioscaí aeráide a bhainistiú chun </w:t>
      </w:r>
      <w:r>
        <w:rPr>
          <w:rFonts w:ascii="Times New Roman" w:hAnsi="Times New Roman"/>
          <w:b/>
          <w:noProof/>
          <w:color w:val="000000" w:themeColor="text1"/>
          <w:sz w:val="24"/>
        </w:rPr>
        <w:t xml:space="preserve">caighdeáin mhaireachtála a fheabhsú, chun an neamhionannas a chomhrac agus chun daoine a chosaint. </w:t>
      </w:r>
      <w:r>
        <w:rPr>
          <w:rFonts w:ascii="Times New Roman" w:hAnsi="Times New Roman"/>
          <w:b/>
          <w:noProof/>
          <w:sz w:val="24"/>
        </w:rPr>
        <w:t>Baineann sé le marthanas eacnamaíoch do limistéir thuaithe agus chósta, d’fheirmeoirí, d’fhoraoiseoirí agus d’iascairí</w:t>
      </w:r>
      <w:r>
        <w:rPr>
          <w:rFonts w:ascii="Times New Roman" w:hAnsi="Times New Roman"/>
          <w:b/>
          <w:noProof/>
          <w:color w:val="000000" w:themeColor="text1"/>
          <w:sz w:val="24"/>
        </w:rPr>
        <w:t xml:space="preserve">. </w:t>
      </w:r>
      <w:r>
        <w:rPr>
          <w:rFonts w:ascii="Times New Roman" w:hAnsi="Times New Roman"/>
          <w:noProof/>
          <w:color w:val="000000" w:themeColor="text1"/>
          <w:sz w:val="24"/>
        </w:rPr>
        <w:t>I gcás gnólachtaí,</w:t>
      </w:r>
      <w:r>
        <w:rPr>
          <w:rFonts w:ascii="Times New Roman" w:hAnsi="Times New Roman"/>
          <w:b/>
          <w:noProof/>
          <w:color w:val="000000" w:themeColor="text1"/>
          <w:sz w:val="24"/>
        </w:rPr>
        <w:t xml:space="preserve"> </w:t>
      </w:r>
      <w:r>
        <w:rPr>
          <w:rFonts w:ascii="Times New Roman" w:hAnsi="Times New Roman"/>
          <w:noProof/>
          <w:color w:val="000000" w:themeColor="text1"/>
          <w:sz w:val="24"/>
        </w:rPr>
        <w:t>aithnítear go maith cheana féin na rioscaí aeráide atá ann agus meastar go bhfuil siad i measc na gceithre riosca is mó le deich mbliana anuas</w:t>
      </w:r>
      <w:r w:rsidR="00202AD4" w:rsidRPr="00915255">
        <w:rPr>
          <w:rFonts w:ascii="Times New Roman" w:eastAsia="Times New Roman" w:hAnsi="Times New Roman" w:cs="Times New Roman"/>
          <w:noProof/>
          <w:color w:val="000000" w:themeColor="text1"/>
          <w:sz w:val="24"/>
          <w:szCs w:val="24"/>
          <w:vertAlign w:val="superscript"/>
          <w:lang w:val="en-IE" w:eastAsia="en-IE"/>
        </w:rPr>
        <w:footnoteReference w:id="5"/>
      </w:r>
      <w:r>
        <w:rPr>
          <w:rFonts w:ascii="Times New Roman" w:hAnsi="Times New Roman"/>
          <w:noProof/>
          <w:color w:val="000000" w:themeColor="text1"/>
          <w:sz w:val="24"/>
        </w:rPr>
        <w:t xml:space="preserve">. </w:t>
      </w:r>
      <w:r>
        <w:rPr>
          <w:rFonts w:ascii="Times New Roman" w:hAnsi="Times New Roman"/>
          <w:noProof/>
          <w:sz w:val="24"/>
        </w:rPr>
        <w:t xml:space="preserve">D’fhéadfadh srianta acmhainní ar leith a bheith ar fhiontair bheaga agus mheánmhéide (FBManna). </w:t>
      </w:r>
      <w:r>
        <w:rPr>
          <w:rFonts w:ascii="Times New Roman" w:hAnsi="Times New Roman"/>
          <w:noProof/>
          <w:color w:val="000000" w:themeColor="text1"/>
          <w:sz w:val="24"/>
        </w:rPr>
        <w:t>Cibé acu trí shlabhraí soláthair neamhchosanta, trí rochtain ar árachas atá ag laghdú, trí shócmhainní intíre leochaileacha</w:t>
      </w:r>
      <w:r>
        <w:rPr>
          <w:rFonts w:ascii="Times New Roman" w:hAnsi="Times New Roman"/>
          <w:noProof/>
          <w:sz w:val="24"/>
        </w:rPr>
        <w:t xml:space="preserve">, trí chailliúint na bithéagsúlachta ar a mbíonn earnálacha eacnamaíocha ag brath, </w:t>
      </w:r>
      <w:r>
        <w:rPr>
          <w:rFonts w:ascii="Times New Roman" w:hAnsi="Times New Roman"/>
          <w:noProof/>
          <w:color w:val="000000" w:themeColor="text1"/>
          <w:sz w:val="24"/>
        </w:rPr>
        <w:t xml:space="preserve">nó trí chosaint neamhleor ar dhaoine, déanfaidh an téarnamh ó thubaistí a bhaineann leis an aeráid, atá ag éirí níos déine, níos mó acmhainneachta agus caipitil a ionsú i gcás na ndreamanna neamhullmhaithe. </w:t>
      </w:r>
    </w:p>
    <w:p w14:paraId="0CD7780A" w14:textId="420CE440" w:rsidR="00C00EEB" w:rsidRDefault="00202AD4" w:rsidP="000C2827">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D’aithin an Banc Ceannais Eorpach agus an Bord Eorpach um Riosca Sistéamach gur féidir le </w:t>
      </w:r>
      <w:r>
        <w:rPr>
          <w:rFonts w:ascii="Times New Roman" w:hAnsi="Times New Roman"/>
          <w:b/>
          <w:noProof/>
          <w:color w:val="000000" w:themeColor="text1"/>
          <w:sz w:val="24"/>
        </w:rPr>
        <w:t>rioscaí aeráide difear a dhéanamh don chobhsaíocht airgeadais</w:t>
      </w:r>
      <w:r>
        <w:rPr>
          <w:rFonts w:ascii="Times New Roman" w:hAnsi="Times New Roman"/>
          <w:noProof/>
          <w:color w:val="000000" w:themeColor="text1"/>
          <w:sz w:val="24"/>
        </w:rPr>
        <w:t xml:space="preserve"> ar go leor bealaí, agus tá cás déanta acu ar son straitéis mhacrastuamachta láidir ar fud an chórais chun dul i ngleic leis na rioscaí sin</w:t>
      </w:r>
      <w:r>
        <w:rPr>
          <w:rStyle w:val="FootnoteReference"/>
          <w:rFonts w:ascii="Times New Roman" w:eastAsia="Times New Roman" w:hAnsi="Times New Roman" w:cs="Times New Roman"/>
          <w:noProof/>
          <w:color w:val="000000" w:themeColor="text1"/>
          <w:sz w:val="24"/>
          <w:szCs w:val="24"/>
          <w:lang w:val="en-IE" w:eastAsia="en-IE"/>
        </w:rPr>
        <w:footnoteReference w:id="6"/>
      </w:r>
      <w:r>
        <w:rPr>
          <w:rFonts w:ascii="Times New Roman" w:hAnsi="Times New Roman"/>
          <w:noProof/>
          <w:color w:val="000000" w:themeColor="text1"/>
          <w:sz w:val="24"/>
        </w:rPr>
        <w:t xml:space="preserve">. </w:t>
      </w:r>
      <w:r>
        <w:rPr>
          <w:rFonts w:ascii="Times New Roman" w:hAnsi="Times New Roman"/>
          <w:noProof/>
          <w:sz w:val="24"/>
        </w:rPr>
        <w:t>An tráth céanna,</w:t>
      </w:r>
      <w:r>
        <w:rPr>
          <w:rFonts w:ascii="Times New Roman" w:hAnsi="Times New Roman"/>
          <w:noProof/>
          <w:color w:val="000000" w:themeColor="text1"/>
          <w:sz w:val="24"/>
        </w:rPr>
        <w:t xml:space="preserve"> cuideachtaí solúbtha dinimiciúla de chuid an Aontais, lena</w:t>
      </w:r>
      <w:r w:rsidR="0067605E">
        <w:rPr>
          <w:rFonts w:ascii="Times New Roman" w:hAnsi="Times New Roman"/>
          <w:noProof/>
          <w:color w:val="000000" w:themeColor="text1"/>
          <w:sz w:val="24"/>
        </w:rPr>
        <w:t xml:space="preserve"> n</w:t>
      </w:r>
      <w:r w:rsidR="0067605E">
        <w:rPr>
          <w:rFonts w:ascii="Times New Roman" w:hAnsi="Times New Roman"/>
          <w:noProof/>
          <w:color w:val="000000" w:themeColor="text1"/>
          <w:sz w:val="24"/>
        </w:rPr>
        <w:noBreakHyphen/>
      </w:r>
      <w:r>
        <w:rPr>
          <w:rFonts w:ascii="Times New Roman" w:hAnsi="Times New Roman"/>
          <w:noProof/>
          <w:color w:val="000000" w:themeColor="text1"/>
          <w:sz w:val="24"/>
        </w:rPr>
        <w:t xml:space="preserve">áirítear </w:t>
      </w:r>
      <w:r>
        <w:rPr>
          <w:rFonts w:ascii="Times New Roman" w:hAnsi="Times New Roman"/>
          <w:b/>
          <w:noProof/>
          <w:color w:val="000000" w:themeColor="text1"/>
          <w:sz w:val="24"/>
        </w:rPr>
        <w:t>FBManna, d’fhéadfaidis a bheith ina gceannairí i gcuid de na deighleoga margaidh lena gcothaítear an athléimneacht,</w:t>
      </w:r>
      <w:r>
        <w:rPr>
          <w:rFonts w:ascii="Times New Roman" w:hAnsi="Times New Roman"/>
          <w:noProof/>
          <w:color w:val="000000" w:themeColor="text1"/>
          <w:sz w:val="24"/>
        </w:rPr>
        <w:t xml:space="preserve"> amhail an nuálaíocht maidir le húsáid sonraí agus teicneolaíochtaí spáis. </w:t>
      </w:r>
    </w:p>
    <w:p w14:paraId="4124D466" w14:textId="77777777" w:rsidR="00865CBA" w:rsidRDefault="00865CBA" w:rsidP="000C2827">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Bíonn tionchar freisin ag na rioscaí aeráide atá ag dul i méid ar an</w:t>
      </w:r>
      <w:r>
        <w:rPr>
          <w:rFonts w:ascii="Times New Roman" w:hAnsi="Times New Roman"/>
          <w:noProof/>
          <w:color w:val="000000" w:themeColor="text1"/>
          <w:sz w:val="24"/>
        </w:rPr>
        <w:t xml:space="preserve"> </w:t>
      </w:r>
      <w:r>
        <w:rPr>
          <w:rFonts w:ascii="Times New Roman" w:hAnsi="Times New Roman"/>
          <w:b/>
          <w:noProof/>
          <w:color w:val="000000" w:themeColor="text1"/>
          <w:sz w:val="24"/>
        </w:rPr>
        <w:t>tírdhreach geopholaitiúil</w:t>
      </w:r>
      <w:r>
        <w:rPr>
          <w:rFonts w:ascii="Times New Roman" w:hAnsi="Times New Roman"/>
          <w:noProof/>
          <w:color w:val="000000" w:themeColor="text1"/>
          <w:sz w:val="24"/>
        </w:rPr>
        <w:t xml:space="preserve">, rud a chuireann isteach ar shábháilteacht agus slándáil dhomhanda, ar shreafaí trádála agus cobhsaíocht eacnamaíoch, agus ar an gcumas seirbhísí fíor-riachtanacha a choinneáil ar bun le haghaidh na bpobal a ndéantar difear dóibh. Os a choinne sin, trí fheabhas a chur ar an ullmhacht agus an athléimneacht in aghaidh tionchair aeráide, is féidir cuidiú le bainistiú a dhéanamh ar cheann de mhórdhúshláin dhomhanda an lae inniu ag a bhfuil éifeachtaí seach-iarmharta dearfacha. </w:t>
      </w:r>
    </w:p>
    <w:p w14:paraId="3CF532CF" w14:textId="582AB97C" w:rsidR="005256FD" w:rsidRDefault="00027C6C" w:rsidP="005256FD">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Tá 77 % de phobal an Aontais den tuairim gur fadhb an-tromchúiseach é an</w:t>
      </w:r>
      <w:r w:rsidR="0067605E">
        <w:rPr>
          <w:rFonts w:ascii="Times New Roman" w:hAnsi="Times New Roman"/>
          <w:noProof/>
          <w:color w:val="000000" w:themeColor="text1"/>
          <w:sz w:val="24"/>
        </w:rPr>
        <w:t xml:space="preserve"> t</w:t>
      </w:r>
      <w:r w:rsidR="0067605E">
        <w:rPr>
          <w:rFonts w:ascii="Times New Roman" w:hAnsi="Times New Roman"/>
          <w:noProof/>
          <w:color w:val="000000" w:themeColor="text1"/>
          <w:sz w:val="24"/>
        </w:rPr>
        <w:noBreakHyphen/>
      </w:r>
      <w:r>
        <w:rPr>
          <w:rFonts w:ascii="Times New Roman" w:hAnsi="Times New Roman"/>
          <w:noProof/>
          <w:color w:val="000000" w:themeColor="text1"/>
          <w:sz w:val="24"/>
        </w:rPr>
        <w:t xml:space="preserve">athrú aeráide, agus braitheann 37 % den phobal cheana féin go bhfuil siad </w:t>
      </w:r>
      <w:r>
        <w:rPr>
          <w:rFonts w:ascii="Times New Roman" w:hAnsi="Times New Roman"/>
          <w:b/>
          <w:noProof/>
          <w:color w:val="000000" w:themeColor="text1"/>
          <w:sz w:val="24"/>
        </w:rPr>
        <w:t>neamhchosanta ar rioscaí aeráide</w:t>
      </w:r>
      <w:r>
        <w:rPr>
          <w:rFonts w:ascii="Times New Roman" w:hAnsi="Times New Roman"/>
          <w:noProof/>
          <w:color w:val="000000" w:themeColor="text1"/>
          <w:sz w:val="24"/>
        </w:rPr>
        <w:t>. D’aithin Parlaimint na hEorpa</w:t>
      </w:r>
      <w:r w:rsidR="00082DDA">
        <w:rPr>
          <w:rStyle w:val="FootnoteReference"/>
          <w:rFonts w:ascii="Times New Roman" w:eastAsia="Times New Roman" w:hAnsi="Times New Roman" w:cs="Times New Roman"/>
          <w:noProof/>
          <w:color w:val="000000" w:themeColor="text1"/>
          <w:sz w:val="24"/>
          <w:szCs w:val="24"/>
          <w:lang w:eastAsia="en-IE"/>
        </w:rPr>
        <w:footnoteReference w:id="7"/>
      </w:r>
      <w:r>
        <w:rPr>
          <w:rFonts w:ascii="Times New Roman" w:hAnsi="Times New Roman"/>
          <w:noProof/>
          <w:color w:val="000000" w:themeColor="text1"/>
          <w:sz w:val="24"/>
        </w:rPr>
        <w:t xml:space="preserve"> agus ceannairí an Aontais</w:t>
      </w:r>
      <w:r w:rsidR="00566DC0" w:rsidRPr="00566DC0">
        <w:rPr>
          <w:rFonts w:ascii="Times New Roman" w:eastAsia="Times New Roman" w:hAnsi="Times New Roman" w:cs="Times New Roman"/>
          <w:noProof/>
          <w:color w:val="000000" w:themeColor="text1"/>
          <w:sz w:val="24"/>
          <w:szCs w:val="24"/>
          <w:vertAlign w:val="superscript"/>
          <w:lang w:val="en-IE" w:eastAsia="en-IE"/>
        </w:rPr>
        <w:footnoteReference w:id="8"/>
      </w:r>
      <w:r>
        <w:rPr>
          <w:rFonts w:ascii="Times New Roman" w:hAnsi="Times New Roman"/>
          <w:noProof/>
          <w:color w:val="000000" w:themeColor="text1"/>
          <w:sz w:val="24"/>
        </w:rPr>
        <w:t xml:space="preserve"> a phráinní atá sé dlús a chur leis an bhfreagairt ar an éigeandáil aeráide agus athléimneacht an Aontais a neartú. I gcomhréir leis an Teachtaireacht maidir le sprioc aeráide 2040 na hEorpa agus an chonair i dtreo na haeráidneodrachta faoi 2050, d’fhéadfadh infheistíochtaí i bhfoirgnimh, in iompar agus i gcóras fuinnimh atá athléimneach ó thaobh na haeráide de deiseanna móra gnó a chruthú, barainneachtaí scála a ghiniúint, agus d’fhéadfaidis dul chun tairbhe níos forleithne do gheilleagar na hEorpa, rud a ghineann poist ardoilte agus fuinneamh glan inacmhainne.</w:t>
      </w:r>
    </w:p>
    <w:p w14:paraId="25AAFC4D" w14:textId="77777777" w:rsidR="009C347D" w:rsidRDefault="009D2451" w:rsidP="00CE5BA2">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Is foinse láidreachta í an fhís Eorpach maidir le sochaí shláintiúil, chuimsitheach agus chothrom</w:t>
      </w:r>
      <w:r>
        <w:rPr>
          <w:rFonts w:ascii="Times New Roman" w:hAnsi="Times New Roman"/>
          <w:noProof/>
          <w:color w:val="000000" w:themeColor="text1"/>
          <w:sz w:val="24"/>
        </w:rPr>
        <w:t xml:space="preserve">. Sheas an dlúthpháirtíocht, an chuimsitheacht, an nuálaíocht agus an smacht reachta dúinn trí dhúshláin stairiúla agus seasfaidh siad dúinn tríd an dúshlán seo. </w:t>
      </w:r>
    </w:p>
    <w:p w14:paraId="2B9DEC4B" w14:textId="77777777" w:rsidR="00CE5BA2" w:rsidRDefault="00901682" w:rsidP="00CE5BA2">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 xml:space="preserve">An comhordú atá ann a bhuí leis an Aontas Eorpach, is uirlis chumhachtach é chun athléimneacht a chothú. </w:t>
      </w:r>
      <w:r>
        <w:rPr>
          <w:rFonts w:ascii="Times New Roman" w:hAnsi="Times New Roman"/>
          <w:noProof/>
          <w:color w:val="000000" w:themeColor="text1"/>
          <w:sz w:val="24"/>
        </w:rPr>
        <w:t>Leis an gcomhordú sin, cruthaítear éifeachtúlachtaí atá bunriachtanach agus an oiread sin éileamh ar acmhainní poiblí agus príobháideacha ann. Is féidir le tíortha, réigiúin agus pobail áitiúla a fháil amach cad atá ag obair agus nach bhfuil ag obair in áiteanna eile freisin, agus bíonn gníomhaíocht níos tapúla agus níos éifeachtaí mar thoradh air. Mar gheall ar an méid gníomhaíochta lena bhfuil gá i réimsí áirithe, mura mbeidh comhordú ann, ní dócha go ndéanfar na cinntí agus na bearta is gá in am chun tionchair dho-aisiompaithe ar an gcomhshaol a chosc. Ar deireadh, cuireann an tAontas breisluach ar fáil trí uirlisí a fhorbairt a chuidíonn le saoránaigh agus le páirtithe leasmhara poiblí agus príobháideacha athléimneacht a chothú. Rinneadh infheistíocht shuntasach ó bhuiséad an Aontais, go háirithe tríd an mbeartas comhtháthaithe, san oiriúnú don athrú aeráide agus sa mhaolú ar an athrú aeráide le deich mbliana anuas. In 2021-2027, meastar go sroichfidh infheistíochtaí comhtháthaithe sa réimse sin thart ar EUR 118 mbilliún.</w:t>
      </w:r>
    </w:p>
    <w:p w14:paraId="647EB650" w14:textId="77777777" w:rsidR="00CE5BA2" w:rsidRPr="003B19B4" w:rsidRDefault="00587C9F" w:rsidP="00CE5BA2">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Léiríonn roinnt de na tubaistí a tharla in 2023 patrún na rioscaí aeráide atá ag dul i méid, agus rinneadh difear do thíortha uile an Aontais go pointe áirithe, sa bhreis ar na samplaí a thugtar thíos. </w:t>
      </w:r>
    </w:p>
    <w:p w14:paraId="6C24F653" w14:textId="77777777" w:rsidR="00CE5BA2" w:rsidRPr="00915255" w:rsidRDefault="00E67EE4" w:rsidP="00CE5BA2">
      <w:p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Bosca 1: Ceithre shampla de theagmhais tubaiste in 2023 atá nasctha le guaiseacha a bhaineann leis an aeráid:</w:t>
      </w:r>
    </w:p>
    <w:p w14:paraId="610AB122" w14:textId="77777777" w:rsidR="00CE5BA2" w:rsidRPr="00915255" w:rsidRDefault="00CE5BA2" w:rsidP="000A7C09">
      <w:pPr>
        <w:pStyle w:val="ListParagraph"/>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An Ghréig.</w:t>
      </w:r>
      <w:r>
        <w:rPr>
          <w:rFonts w:ascii="Times New Roman" w:hAnsi="Times New Roman"/>
          <w:noProof/>
          <w:color w:val="000000" w:themeColor="text1"/>
          <w:sz w:val="24"/>
        </w:rPr>
        <w:t xml:space="preserve"> Ó mhí Iúil go mí Lúnasa, dódh achar 170 000 heicteár sa Ghréig de thoradh </w:t>
      </w:r>
      <w:r>
        <w:rPr>
          <w:rFonts w:ascii="Times New Roman" w:hAnsi="Times New Roman"/>
          <w:b/>
          <w:noProof/>
          <w:color w:val="000000" w:themeColor="text1"/>
          <w:sz w:val="24"/>
        </w:rPr>
        <w:t>falscaithe</w:t>
      </w:r>
      <w:r>
        <w:rPr>
          <w:rFonts w:ascii="Times New Roman" w:hAnsi="Times New Roman"/>
          <w:noProof/>
          <w:color w:val="000000" w:themeColor="text1"/>
          <w:sz w:val="24"/>
        </w:rPr>
        <w:t xml:space="preserve">, arbh iad triomach agus tonnta teasa ba chúis leo. Go háirithe, ba é an falscaí in Alexandroupolis an falscaí ba mhó san Eoraip ó bhí 2000 ann, agus dódh níos mó ná 96 000 heicteár mar thoradh air. Ba í </w:t>
      </w:r>
      <w:r>
        <w:rPr>
          <w:rFonts w:ascii="Times New Roman" w:hAnsi="Times New Roman"/>
          <w:b/>
          <w:noProof/>
          <w:color w:val="000000" w:themeColor="text1"/>
          <w:sz w:val="24"/>
        </w:rPr>
        <w:t>Stoirm</w:t>
      </w:r>
      <w:r>
        <w:rPr>
          <w:rFonts w:ascii="Times New Roman" w:hAnsi="Times New Roman"/>
          <w:noProof/>
          <w:color w:val="000000" w:themeColor="text1"/>
          <w:sz w:val="24"/>
        </w:rPr>
        <w:t xml:space="preserve"> Daniel ba chúis leis an mbáisteach ba mhó riamh sa Ghréig go luath i mí Mheán Fómhair, agus tuairiscíodh gur thit 750 mm báistí laistigh de 24 uair an chloig in Zagora, agus ba mhó sin ná bliain de charnadh báistí sa cheantar sin. Scrios an teagmhas sin thart ar 15 % de tháirgeacht talmhaíochta bhliantúil na tíre. </w:t>
      </w:r>
    </w:p>
    <w:p w14:paraId="723A3D3D" w14:textId="77777777" w:rsidR="00CE5BA2" w:rsidRPr="00915255" w:rsidRDefault="00CE5BA2" w:rsidP="000A7C09">
      <w:pPr>
        <w:pStyle w:val="ListParagraph"/>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An tSlóivéin.</w:t>
      </w:r>
      <w:r>
        <w:rPr>
          <w:rFonts w:ascii="Times New Roman" w:hAnsi="Times New Roman"/>
          <w:noProof/>
          <w:color w:val="000000" w:themeColor="text1"/>
          <w:sz w:val="24"/>
        </w:rPr>
        <w:t xml:space="preserve"> I mí Lúnasa, tharla tuilte agus sciorrthaí talún ollmhóra mar thoradh ar bháisteach throm thar roinnt laethanta agus leibhéil arda uisce a bhí ann cheana féin, rud a d’fhág go ndearnadh difear do dhá thrian den tSlóivéin, agus b’ionann na damáistí a rinneadh agus b’ionann na damáistí a rinneadh agus thart ar 16 % den OTI. </w:t>
      </w:r>
    </w:p>
    <w:p w14:paraId="3F4C4FD6" w14:textId="77777777" w:rsidR="00CE5BA2" w:rsidRPr="00915255" w:rsidRDefault="00CE5BA2" w:rsidP="000A7C09">
      <w:pPr>
        <w:pStyle w:val="ListParagraph"/>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Críoch Lochlann.</w:t>
      </w:r>
      <w:r>
        <w:rPr>
          <w:rFonts w:ascii="Times New Roman" w:hAnsi="Times New Roman"/>
          <w:noProof/>
          <w:color w:val="000000" w:themeColor="text1"/>
          <w:sz w:val="24"/>
        </w:rPr>
        <w:t xml:space="preserve"> I mí Lúnasa, réab Stoirm Hans trasna na Danmhairge, na hIorua agus na Sualainne, rud a rinne damáiste tromchúiseach don bhonneagar agus don talmhaíocht agus a chuir isteach go mór ar líonraí iompair criticiúla. Taifeadadh an líon ba mhó éileamh árachais riamh.</w:t>
      </w:r>
    </w:p>
    <w:p w14:paraId="6D9F9630" w14:textId="77777777" w:rsidR="00CE5BA2" w:rsidRPr="00915255" w:rsidRDefault="00541771" w:rsidP="000A7C09">
      <w:pPr>
        <w:pStyle w:val="ListParagraph"/>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An Eoraip ar fad.</w:t>
      </w:r>
      <w:r>
        <w:rPr>
          <w:rFonts w:ascii="Times New Roman" w:hAnsi="Times New Roman"/>
          <w:noProof/>
          <w:color w:val="000000" w:themeColor="text1"/>
          <w:sz w:val="24"/>
        </w:rPr>
        <w:t xml:space="preserve"> Le tonn teasa Cerberus 2023, taifeadadh na teochtaí ab airde riamh i roinnt tíortha. Tháinig sé sin sna sála ar thonnta teasa shamhradh 2022 inar cailleadh idir 60 000 agus 70 000 Eorpach leis an teas ab airde riamh. </w:t>
      </w:r>
    </w:p>
    <w:p w14:paraId="1E519A4A" w14:textId="77777777" w:rsidR="00B67218" w:rsidRPr="00BE25FA" w:rsidRDefault="00D559C8" w:rsidP="00B67218">
      <w:pPr>
        <w:spacing w:after="120"/>
        <w:jc w:val="both"/>
        <w:textAlignment w:val="baseline"/>
        <w:rPr>
          <w:rFonts w:ascii="Times New Roman" w:hAnsi="Times New Roman"/>
          <w:noProof/>
          <w:color w:val="000000" w:themeColor="text1"/>
          <w:sz w:val="24"/>
        </w:rPr>
      </w:pPr>
      <w:r>
        <w:rPr>
          <w:rFonts w:ascii="Times New Roman" w:hAnsi="Times New Roman"/>
          <w:noProof/>
          <w:color w:val="000000" w:themeColor="text1"/>
          <w:sz w:val="24"/>
        </w:rPr>
        <w:t xml:space="preserve">Is chun leasa gach duine é gníomhú ar son na haeráide. Ní tharlaíonn damáistí a bhaineann leis an aeráid mar thoradh ar dhrochthubaistí nádúrtha gan choinne. Tarlaíonn siad mra gheall ar rioscaí aitheanta aeráide, agus de na gníomhaíochtaí beartais a dhéantar chun na rioscaí sin a laghdú. </w:t>
      </w:r>
      <w:r>
        <w:rPr>
          <w:rFonts w:ascii="Times New Roman" w:hAnsi="Times New Roman"/>
          <w:b/>
          <w:noProof/>
          <w:color w:val="000000" w:themeColor="text1"/>
          <w:sz w:val="24"/>
        </w:rPr>
        <w:t>Leagtar amach sa Teachtaireacht seo na príomhchéimeanna is gá chun a áirithiú, d’ainneoin na rioscaí aeráide atá ag dul in olcas, gur féidir leis an bpobal agus le gnólachtaí brath ar an Aontas agus ar a Bhallstáit chun feidhmeanna sochaíocha agus rochtain leanúnach ar sheirbhísí bunúsacha a choinneáil ar bun. Sa Teachtaireacht féachtar lena shoiléiriú cé atá freagrach as na roghanna deacra a dhéanamh agus as gníomhaíocht a dhéanamh, bunaithe ar an bhfianaise is fearr. Léirítear inti conas is féidir leis an Aontas aghaidh a thabhairt ar thionchair aeráide sna blianta atá le teacht agus gur saoire agus furasta cuspóirí beartais eile a bhaint amach má chothaítear an athléimneacht.</w:t>
      </w:r>
      <w:r>
        <w:rPr>
          <w:rFonts w:ascii="Times New Roman" w:hAnsi="Times New Roman"/>
          <w:noProof/>
          <w:color w:val="000000" w:themeColor="text1"/>
          <w:sz w:val="24"/>
        </w:rPr>
        <w:t xml:space="preserve"> Chun an méid sin a dhéanamh, ní mór an ullmhacht agus an athléimneacht in aghaidh rioscaí aeráide a chur san áireamh mar réamhshocrú amach anseo i ngníomhaíocht ar leibhéal an Aontais agus ar leibhéal na mBallstát ar fud na réimsí beartais.</w:t>
      </w:r>
    </w:p>
    <w:p w14:paraId="3B98BD42" w14:textId="77777777" w:rsidR="006C2EA4" w:rsidRDefault="006C2EA4" w:rsidP="00E445D2">
      <w:pPr>
        <w:spacing w:after="120"/>
        <w:jc w:val="both"/>
        <w:textAlignment w:val="baseline"/>
        <w:rPr>
          <w:rFonts w:ascii="Times New Roman" w:eastAsia="Times New Roman" w:hAnsi="Times New Roman" w:cs="Times New Roman"/>
          <w:noProof/>
          <w:color w:val="000000" w:themeColor="text1"/>
          <w:sz w:val="24"/>
          <w:szCs w:val="24"/>
        </w:rPr>
      </w:pPr>
      <w:bookmarkStart w:id="7" w:name="_Toc157586294"/>
      <w:bookmarkStart w:id="8" w:name="_Toc157587654"/>
      <w:bookmarkStart w:id="9" w:name="_Toc157587770"/>
      <w:bookmarkStart w:id="10" w:name="_Toc157586295"/>
      <w:bookmarkStart w:id="11" w:name="_Toc157587655"/>
      <w:bookmarkStart w:id="12" w:name="_Toc157587771"/>
      <w:bookmarkStart w:id="13" w:name="_Toc157586296"/>
      <w:bookmarkStart w:id="14" w:name="_Toc157587656"/>
      <w:bookmarkStart w:id="15" w:name="_Toc157587772"/>
      <w:bookmarkStart w:id="16" w:name="_Toc157586297"/>
      <w:bookmarkStart w:id="17" w:name="_Toc157587657"/>
      <w:bookmarkStart w:id="18" w:name="_Toc157587773"/>
      <w:bookmarkStart w:id="19" w:name="_Toc157586298"/>
      <w:bookmarkStart w:id="20" w:name="_Toc157587658"/>
      <w:bookmarkStart w:id="21" w:name="_Toc157587774"/>
      <w:bookmarkStart w:id="22" w:name="_Toc157586299"/>
      <w:bookmarkStart w:id="23" w:name="_Toc157587659"/>
      <w:bookmarkStart w:id="24" w:name="_Toc157587775"/>
      <w:bookmarkStart w:id="25" w:name="_Toc157586300"/>
      <w:bookmarkStart w:id="26" w:name="_Toc157587660"/>
      <w:bookmarkStart w:id="27" w:name="_Toc157587776"/>
      <w:bookmarkStart w:id="28" w:name="_Toc159792197"/>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6DA1658A" w14:textId="77777777" w:rsidR="001714DA" w:rsidRPr="00677067" w:rsidRDefault="00D7188A" w:rsidP="00B2476E">
      <w:pPr>
        <w:pStyle w:val="Heading2"/>
        <w:ind w:left="1565" w:hanging="431"/>
        <w:rPr>
          <w:rFonts w:ascii="Times New Roman" w:hAnsi="Times New Roman" w:cs="Times New Roman"/>
          <w:b/>
          <w:bCs/>
          <w:noProof/>
          <w:color w:val="000000" w:themeColor="text1"/>
          <w:sz w:val="24"/>
          <w:szCs w:val="24"/>
        </w:rPr>
      </w:pPr>
      <w:r>
        <w:rPr>
          <w:rFonts w:ascii="Times New Roman" w:hAnsi="Times New Roman"/>
          <w:b/>
          <w:noProof/>
          <w:color w:val="000000" w:themeColor="text1"/>
          <w:sz w:val="24"/>
        </w:rPr>
        <w:t>Tá bunchlocha an Aontais i bhfeidhm chun bainistiú riosca aeráide a fheabhsú</w:t>
      </w:r>
      <w:bookmarkEnd w:id="28"/>
    </w:p>
    <w:p w14:paraId="63C153CB" w14:textId="77777777" w:rsidR="00ED251E" w:rsidRDefault="00ED251E" w:rsidP="00B11E0C">
      <w:pPr>
        <w:jc w:val="both"/>
        <w:textAlignment w:val="baseline"/>
        <w:rPr>
          <w:rFonts w:ascii="Times New Roman" w:eastAsia="Times New Roman" w:hAnsi="Times New Roman" w:cs="Times New Roman"/>
          <w:noProof/>
          <w:color w:val="000000" w:themeColor="text1"/>
          <w:sz w:val="24"/>
          <w:szCs w:val="24"/>
          <w:lang w:eastAsia="en-IE"/>
        </w:rPr>
      </w:pPr>
    </w:p>
    <w:p w14:paraId="0AB88BE9" w14:textId="77777777" w:rsidR="00D7188A" w:rsidRPr="00915255" w:rsidRDefault="00D7188A" w:rsidP="008E56D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Leis an Dlí Aeráide Eorpach, ceanglaítear ar institiúidí an Aontais agus ar a Bhallstáit dul chun cinn leanúnach a áirithiú maidir leis an acmhainneacht oiriúnaitheach chun an athléimneacht a neartú agus chun an leochaileacht a mhaolú. Tá cur chun feidhme phlean gníomhaíochta leathan straitéis an Aontais Eorpaigh um an oiriúnú 2021 faoi lán seoil.</w:t>
      </w:r>
      <w:r>
        <w:rPr>
          <w:rStyle w:val="FootnoteReference"/>
          <w:rFonts w:ascii="Times New Roman" w:hAnsi="Times New Roman"/>
          <w:noProof/>
          <w:color w:val="000000" w:themeColor="text1"/>
          <w:sz w:val="24"/>
        </w:rPr>
        <w:t xml:space="preserve"> </w:t>
      </w:r>
      <w:r>
        <w:rPr>
          <w:rFonts w:ascii="Times New Roman" w:hAnsi="Times New Roman"/>
          <w:noProof/>
          <w:color w:val="000000" w:themeColor="text1"/>
          <w:sz w:val="24"/>
        </w:rPr>
        <w:t>Chun feabhas a chur ar athléimneacht infheistíochtaí arna gcistiú ag an Aontas, tá an beartas comhtháthaithe agus príomhchláir eile i mbuiséad an Aontais tar éis an prionsabal ‘gan dochar suntasach a dhéanamh’ a chomhtháthú agus tá cleachtas maidir le díonadh ar an athrú aeráide bunaithe acu.</w:t>
      </w:r>
      <w:r>
        <w:rPr>
          <w:noProof/>
        </w:rPr>
        <w:t xml:space="preserve"> </w:t>
      </w:r>
      <w:r>
        <w:rPr>
          <w:rFonts w:ascii="Times New Roman" w:hAnsi="Times New Roman"/>
          <w:noProof/>
          <w:color w:val="000000" w:themeColor="text1"/>
          <w:sz w:val="24"/>
        </w:rPr>
        <w:t xml:space="preserve">Tá réimse leathan beartas earnála á thabhairt cothrom le dáta maidir le rioscaí aeráide. Tá feabhas á chur ag na Ballstáit ar ghníomhaíocht oiriúnúcháin agus tá na chéad chéimeanna glactha acu chun an athléimneacht in aghaidh an athraithe aeráide a chur san áireamh ina bpleananna náisiúnta fuinnimh agus aeráide (PNFAnna). </w:t>
      </w:r>
    </w:p>
    <w:p w14:paraId="64DC121B" w14:textId="77777777" w:rsidR="00050DE4" w:rsidRPr="00915255" w:rsidRDefault="00050DE4" w:rsidP="008E56D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Mar sin féin, bhí éagsúlacht i dtorthaí na measúnuithe </w:t>
      </w:r>
      <w:r w:rsidRPr="00915255">
        <w:rPr>
          <w:rStyle w:val="FootnoteReference"/>
          <w:rFonts w:ascii="Times New Roman" w:eastAsia="Times New Roman" w:hAnsi="Times New Roman" w:cs="Times New Roman"/>
          <w:noProof/>
          <w:color w:val="000000" w:themeColor="text1"/>
          <w:sz w:val="24"/>
          <w:szCs w:val="24"/>
          <w:lang w:eastAsia="en-IE"/>
        </w:rPr>
        <w:footnoteReference w:id="9"/>
      </w:r>
      <w:r>
        <w:rPr>
          <w:rFonts w:ascii="Times New Roman" w:hAnsi="Times New Roman"/>
          <w:noProof/>
          <w:color w:val="000000" w:themeColor="text1"/>
          <w:sz w:val="24"/>
        </w:rPr>
        <w:t xml:space="preserve"> </w:t>
      </w:r>
      <w:r w:rsidRPr="00915255">
        <w:rPr>
          <w:rStyle w:val="FootnoteReference"/>
          <w:rFonts w:ascii="Times New Roman" w:hAnsi="Times New Roman" w:cs="Times New Roman"/>
          <w:noProof/>
          <w:color w:val="000000" w:themeColor="text1"/>
          <w:sz w:val="24"/>
          <w:szCs w:val="24"/>
          <w:lang w:eastAsia="en-IE"/>
        </w:rPr>
        <w:footnoteReference w:id="10"/>
      </w:r>
      <w:r>
        <w:rPr>
          <w:rFonts w:ascii="Times New Roman" w:hAnsi="Times New Roman"/>
          <w:noProof/>
          <w:color w:val="000000" w:themeColor="text1"/>
          <w:sz w:val="24"/>
        </w:rPr>
        <w:t xml:space="preserve"> </w:t>
      </w:r>
      <w:r w:rsidR="00B809D0">
        <w:rPr>
          <w:rStyle w:val="FootnoteReference"/>
          <w:rFonts w:ascii="Times New Roman" w:hAnsi="Times New Roman" w:cs="Times New Roman"/>
          <w:noProof/>
          <w:color w:val="000000" w:themeColor="text1"/>
          <w:sz w:val="24"/>
          <w:szCs w:val="24"/>
          <w:lang w:eastAsia="en-IE"/>
        </w:rPr>
        <w:footnoteReference w:id="11"/>
      </w:r>
      <w:r>
        <w:rPr>
          <w:rFonts w:ascii="Times New Roman" w:hAnsi="Times New Roman"/>
          <w:noProof/>
          <w:color w:val="000000" w:themeColor="text1"/>
          <w:sz w:val="24"/>
        </w:rPr>
        <w:t xml:space="preserve"> a rinne an Coimisiún le déanaí. Cé gur féidir dul chun cinn seasta a thabhairt faoi deara ar leibhéal an Aontais trí chur chun feidhme straitéis an Aontais um an oiriúnú, ní mór do na Ballstáit i bhfad níos mó a dhéanamh maidir le gnéithe rialachais, múscailt feasachta, cothroime agus athléimneacht chóir, maoiniú agus réitigh dhúlrabhunaithe. Sna measúnuithe is déanaí ón gCoimisiún ar dhréacht-PNFAnna nuashonraithe agus sna moltaí gaolmhara, sainaithnítear neamhréir idir na PNFAnna agus na beartais agus na bearta oiriúnaithe atá beartaithe agus curtha chun feidhme ag na Ballstáit. D’eisigh an Coimisiún moltaí agus tá sé réidh chun tuilleadh cúnaimh a thabhairt do na Ballstáit chun feabhas a chur ar a PNFAnna chun dlús a chur le cur chun feidhme agus le hinfheistíochtaí sna blianta amach romhainn. </w:t>
      </w:r>
    </w:p>
    <w:p w14:paraId="69AF72F1" w14:textId="0BA0C5EE" w:rsidR="00E94165" w:rsidRPr="00915255" w:rsidRDefault="00E94165" w:rsidP="00E94165">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Léirítear sa tuarascáil ‘Riosca tubaiste a chosc agus a bhainistiú san Eoraip’</w:t>
      </w:r>
      <w:r w:rsidR="008573D8" w:rsidRPr="00DA1432">
        <w:rPr>
          <w:rStyle w:val="FootnoteReference"/>
          <w:rFonts w:ascii="Times New Roman" w:eastAsia="Times New Roman" w:hAnsi="Times New Roman" w:cs="Times New Roman"/>
          <w:noProof/>
          <w:color w:val="000000" w:themeColor="text1"/>
          <w:sz w:val="24"/>
          <w:szCs w:val="24"/>
          <w:lang w:eastAsia="en-IE"/>
        </w:rPr>
        <w:footnoteReference w:id="12"/>
      </w:r>
      <w:r>
        <w:rPr>
          <w:rFonts w:ascii="Times New Roman" w:hAnsi="Times New Roman"/>
          <w:noProof/>
          <w:color w:val="000000" w:themeColor="text1"/>
          <w:sz w:val="24"/>
        </w:rPr>
        <w:t xml:space="preserve"> go bhfuil tús áite ag rioscaí a bhaineann leis an aeráid ar an gclár oibre maidir le bainistiú riosca tubaiste ar fud na hEorpa. Cé go</w:t>
      </w:r>
      <w:r w:rsidR="0067605E">
        <w:rPr>
          <w:rFonts w:ascii="Times New Roman" w:hAnsi="Times New Roman"/>
          <w:noProof/>
          <w:color w:val="000000" w:themeColor="text1"/>
          <w:sz w:val="24"/>
        </w:rPr>
        <w:t xml:space="preserve"> n</w:t>
      </w:r>
      <w:r w:rsidR="0067605E">
        <w:rPr>
          <w:rFonts w:ascii="Times New Roman" w:hAnsi="Times New Roman"/>
          <w:noProof/>
          <w:color w:val="000000" w:themeColor="text1"/>
          <w:sz w:val="24"/>
        </w:rPr>
        <w:noBreakHyphen/>
      </w:r>
      <w:r>
        <w:rPr>
          <w:rFonts w:ascii="Times New Roman" w:hAnsi="Times New Roman"/>
          <w:noProof/>
          <w:color w:val="000000" w:themeColor="text1"/>
          <w:sz w:val="24"/>
        </w:rPr>
        <w:t xml:space="preserve">aithnítear rioscaí aeráide den chuid is mó, is ábhar imní é freisin gur annamh a chuirtear cásanna agus éiginnteachtaí aeráide san áireamh sna measúnuithe riosca ar chosaint shibhialta. Déanfar measúnuithe na mBallstát ar rioscaí do bhonneagar criticiúil faoi mhí Eanáir 2026 faoin Treoir maidir le hAthléimneacht Eintiteas Criticiúil. Ní chuirtear rioscaí aeráide san áireamh go córasach sna measúnuithe ar an ionchas buiséadach atá ann faoi láthair, má chuirtear san áireamh ar chor ar bith iad. Ar an iomlán, cé gur féidir leis na próisis agus na ceanglais a chomhaontaítear i gcreataí beartais ar leibhéal an Aontais aghaidh a thabhairt ar rioscaí aeráide, ní leor an cur chun feidhme faoi láthair chun dearbhú réasúnach a sholáthar. </w:t>
      </w:r>
    </w:p>
    <w:p w14:paraId="0AD97F4A" w14:textId="77777777" w:rsidR="007E3DA4" w:rsidRPr="00915255" w:rsidRDefault="00B065A9"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Dá bhrí sin, tá an dul chun cinn míchothrom agus níl sé ag coinneáil suas leis an athrú aeráide a bhfuil géarú air. </w:t>
      </w:r>
      <w:r>
        <w:rPr>
          <w:rFonts w:ascii="Times New Roman" w:hAnsi="Times New Roman"/>
          <w:b/>
          <w:noProof/>
          <w:color w:val="000000" w:themeColor="text1"/>
          <w:sz w:val="24"/>
        </w:rPr>
        <w:t>Ní mór don Aontas agus dá Bhallstáit araon a bheith i bhfad níos fearr maidir le hullmhú do rioscaí aeráide agus maidir le dul i ngleic leo go héifeachtach</w:t>
      </w:r>
      <w:r>
        <w:rPr>
          <w:rFonts w:ascii="Times New Roman" w:hAnsi="Times New Roman"/>
          <w:noProof/>
          <w:color w:val="000000" w:themeColor="text1"/>
          <w:sz w:val="24"/>
        </w:rPr>
        <w:t>.</w:t>
      </w:r>
    </w:p>
    <w:p w14:paraId="54F4F766" w14:textId="7952E6CD" w:rsidR="00D7188A" w:rsidRPr="00915255" w:rsidRDefault="008E56D1" w:rsidP="004A5637">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Leagtar amach go mion i dtuarascáil EUCRA na príomhrioscaí aeráide atá ann don Eoraip agus an bealach ina</w:t>
      </w:r>
      <w:r w:rsidR="0067605E">
        <w:rPr>
          <w:rFonts w:ascii="Times New Roman" w:hAnsi="Times New Roman"/>
          <w:noProof/>
          <w:color w:val="000000" w:themeColor="text1"/>
          <w:sz w:val="24"/>
        </w:rPr>
        <w:t xml:space="preserve"> n</w:t>
      </w:r>
      <w:r w:rsidR="0067605E">
        <w:rPr>
          <w:rFonts w:ascii="Times New Roman" w:hAnsi="Times New Roman"/>
          <w:noProof/>
          <w:color w:val="000000" w:themeColor="text1"/>
          <w:sz w:val="24"/>
        </w:rPr>
        <w:noBreakHyphen/>
      </w:r>
      <w:r>
        <w:rPr>
          <w:rFonts w:ascii="Times New Roman" w:hAnsi="Times New Roman"/>
          <w:noProof/>
          <w:color w:val="000000" w:themeColor="text1"/>
          <w:sz w:val="24"/>
        </w:rPr>
        <w:t xml:space="preserve">idirghníomhaíonn siad le go leor rioscaí nach mbaineann leis an aeráid agus an bealach ina méadaíonn siad na rioscaí sin. Is freagairt í an Teachtaireacht seo ar an tuarascáil agus ar fhianaise eile a bhí ann le déanaí. </w:t>
      </w:r>
      <w:r>
        <w:rPr>
          <w:rFonts w:ascii="Times New Roman" w:hAnsi="Times New Roman"/>
          <w:noProof/>
          <w:color w:val="000000"/>
          <w:sz w:val="24"/>
        </w:rPr>
        <w:t xml:space="preserve">Ní fhéachtar go mion inti ar rioscaí don Aontas, a d’fhéadfadh a bheith mór, de thoradh tionchair aeráide lasmuigh den Aontas, nó </w:t>
      </w:r>
      <w:r>
        <w:rPr>
          <w:rFonts w:ascii="Times New Roman" w:hAnsi="Times New Roman"/>
          <w:i/>
          <w:iCs/>
          <w:noProof/>
          <w:color w:val="000000"/>
          <w:sz w:val="24"/>
        </w:rPr>
        <w:t>vice versa</w:t>
      </w:r>
      <w:r>
        <w:rPr>
          <w:rFonts w:ascii="Times New Roman" w:hAnsi="Times New Roman"/>
          <w:noProof/>
          <w:color w:val="000000"/>
          <w:sz w:val="24"/>
        </w:rPr>
        <w:t>. Is féidir leis an athrú aeráide rioscaí cascáideacha a scaoileadh, agus díghrádú comhshaoil agus cúiseanna coinbhleachta, easáitithe agus imirce atá ann cheana a dhéanamh níos measa. Is fiú anailís shonrach a dhéanamh ar na hidirnaisc chasta sin chun bonn eolais</w:t>
      </w:r>
      <w:r>
        <w:rPr>
          <w:rFonts w:ascii="Times New Roman" w:hAnsi="Times New Roman"/>
          <w:noProof/>
          <w:color w:val="000000" w:themeColor="text1"/>
          <w:sz w:val="24"/>
        </w:rPr>
        <w:t xml:space="preserve"> a chur faoi chinntí beartais, mar a léirítear sa Teachtaireacht maidir leis an nasc idir an aeráid agus an tslándáil</w:t>
      </w:r>
      <w:r w:rsidRPr="00915255">
        <w:rPr>
          <w:rFonts w:ascii="Times New Roman" w:eastAsia="Times New Roman" w:hAnsi="Times New Roman" w:cs="Times New Roman"/>
          <w:noProof/>
          <w:color w:val="000000" w:themeColor="text1"/>
          <w:sz w:val="24"/>
          <w:szCs w:val="24"/>
          <w:vertAlign w:val="superscript"/>
          <w:lang w:eastAsia="en-IE"/>
        </w:rPr>
        <w:footnoteReference w:id="13"/>
      </w:r>
      <w:r>
        <w:rPr>
          <w:rFonts w:ascii="Times New Roman" w:hAnsi="Times New Roman"/>
          <w:noProof/>
          <w:color w:val="000000" w:themeColor="text1"/>
          <w:sz w:val="24"/>
        </w:rPr>
        <w:t xml:space="preserve">. </w:t>
      </w:r>
    </w:p>
    <w:p w14:paraId="54C3E2C3" w14:textId="77777777" w:rsidR="00A70A3C" w:rsidRDefault="00A70A3C" w:rsidP="00467C2D">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I gcomhréir leis an ngné idirnáisiúnta de straitéis an Aontais um an oiriúnú</w:t>
      </w:r>
      <w:r w:rsidRPr="00A70A3C">
        <w:rPr>
          <w:rFonts w:ascii="Times New Roman" w:eastAsia="Times New Roman" w:hAnsi="Times New Roman" w:cs="Times New Roman"/>
          <w:noProof/>
          <w:color w:val="000000" w:themeColor="text1"/>
          <w:sz w:val="24"/>
          <w:szCs w:val="24"/>
          <w:vertAlign w:val="superscript"/>
          <w:lang w:eastAsia="en-IE"/>
        </w:rPr>
        <w:footnoteReference w:id="14"/>
      </w:r>
      <w:r>
        <w:rPr>
          <w:rFonts w:ascii="Times New Roman" w:hAnsi="Times New Roman"/>
          <w:noProof/>
          <w:color w:val="000000" w:themeColor="text1"/>
          <w:sz w:val="24"/>
        </w:rPr>
        <w:t>, leanfaidh an tAontas de thacaíocht a thabhairt do réitigh chomhtháite maidir leis an athléimneacht in aghaidh an athraithe aeráide i dtíortha soghonta agus leochaileacha. Le Global Gateway an Aontais, straitéis chuimsitheach an Aontais dar luach EUR 300 billiún, agus leis na Pleananna Eacnamaíocha agus Infheistíochta atá ceaptha do Chomharsanacht Dheisceart an Aontais, do Chomhpháirtíocht an Oirthir agus do na Balcáin Thiar, is féidir uirlisí a chur ar fáil chun rioscaí aeráide a mhaolú ar an leibhéal domhanda. Mar shampla, sheol an tAontas Tionscnamh cuimsitheach Fhoireann na hEorpa maidir le hOiriúnú don Athrú Aeráide agus Athléimneacht san Afraic Fho-Shahárach mar chuid de phacáiste infheistíochta Global Gateway idir an tAontas Eorpach agus an Afraic. I gcomhréir le Creat Sendai um Laghdú Rioscaí Tubaiste, leanfaidh an tAontas de thacaíocht a thabhairt do laghdú rioscaí tubaiste i dtíortha comhpháirtíochta, agus béim á cur ar eolas agus rialachas i ndáil le rioscaí tubaiste, cosc, ullmhacht (go háirithe córais luathrabhaidh), freagairt agus téarnamh.</w:t>
      </w:r>
    </w:p>
    <w:p w14:paraId="79DF4374" w14:textId="77777777" w:rsidR="00467C2D" w:rsidRPr="00B2476E" w:rsidRDefault="00E213F7" w:rsidP="00467C2D">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Déantar obair leantach sa Teachtaireacht ar na torthaí is déanaí ó Chruinniú Mullaigh Aeráide na Náisiún Aontaithe (COP28) maidir leis an oiriúnú agus go háirithe maidir le cur chun feidhme Chreat Aontas na nÉimíríochtaí Arabacha um Athléimneacht Dhomhanda in aghaidh an Athraithe Aeráide</w:t>
      </w:r>
      <w:r w:rsidR="00D7188A" w:rsidRPr="00915255">
        <w:rPr>
          <w:rStyle w:val="FootnoteReference"/>
          <w:rFonts w:ascii="Times New Roman" w:eastAsia="Times New Roman" w:hAnsi="Times New Roman" w:cs="Times New Roman"/>
          <w:noProof/>
          <w:color w:val="000000" w:themeColor="text1"/>
          <w:sz w:val="24"/>
          <w:szCs w:val="24"/>
          <w:lang w:eastAsia="en-IE"/>
        </w:rPr>
        <w:footnoteReference w:id="15"/>
      </w:r>
      <w:r>
        <w:rPr>
          <w:rFonts w:ascii="Times New Roman" w:hAnsi="Times New Roman"/>
          <w:noProof/>
          <w:color w:val="000000" w:themeColor="text1"/>
          <w:sz w:val="24"/>
        </w:rPr>
        <w:t>. Leanfaidh an tAontas den athléimneacht in aghaidh an athraithe aeráide agus de bhainistiú rioscaí aeráide a chothú, rud a rannchuideoidh leis an oiriúnú don athrú aeráide agus le cosc coinbhleachtaí ina uirlisí taidhleoireachta aeráide lena ndéantar taithí na hEorpa a ghiaráil i bhfóraim idirnáisiúnta agus go déthaobhach.</w:t>
      </w:r>
    </w:p>
    <w:p w14:paraId="052BB992" w14:textId="77777777" w:rsidR="00B11E0C" w:rsidRDefault="00B11E0C" w:rsidP="00467C2D">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797AD666" w14:textId="77777777" w:rsidR="00275F0B" w:rsidRPr="00B2476E" w:rsidRDefault="00275F0B" w:rsidP="00467C2D">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78800861" w14:textId="77777777" w:rsidR="0053389F" w:rsidRPr="00677067" w:rsidRDefault="00C732A8" w:rsidP="00B2476E">
      <w:pPr>
        <w:pStyle w:val="Heading1"/>
        <w:numPr>
          <w:ilvl w:val="0"/>
          <w:numId w:val="1"/>
        </w:numPr>
        <w:ind w:left="357" w:hanging="357"/>
        <w:rPr>
          <w:rFonts w:ascii="Times New Roman" w:hAnsi="Times New Roman" w:cs="Times New Roman"/>
          <w:b/>
          <w:bCs/>
          <w:noProof/>
          <w:color w:val="000000" w:themeColor="text1"/>
          <w:sz w:val="24"/>
          <w:szCs w:val="24"/>
        </w:rPr>
      </w:pPr>
      <w:bookmarkStart w:id="29" w:name="_Toc159792198"/>
      <w:bookmarkStart w:id="30" w:name="_Toc155653036"/>
      <w:bookmarkStart w:id="31" w:name="_Toc155653108"/>
      <w:r>
        <w:rPr>
          <w:rFonts w:ascii="Times New Roman" w:hAnsi="Times New Roman"/>
          <w:b/>
          <w:noProof/>
          <w:color w:val="000000" w:themeColor="text1"/>
          <w:sz w:val="24"/>
        </w:rPr>
        <w:t>Anailís: an fhianaise is déanaí maidir leis na príomhrioscaí don Eoraip</w:t>
      </w:r>
      <w:bookmarkEnd w:id="29"/>
      <w:r>
        <w:rPr>
          <w:rFonts w:ascii="Times New Roman" w:hAnsi="Times New Roman"/>
          <w:b/>
          <w:noProof/>
          <w:color w:val="000000" w:themeColor="text1"/>
          <w:sz w:val="24"/>
        </w:rPr>
        <w:t xml:space="preserve"> </w:t>
      </w:r>
      <w:bookmarkEnd w:id="30"/>
      <w:bookmarkEnd w:id="31"/>
    </w:p>
    <w:p w14:paraId="62CE5EDB" w14:textId="77777777" w:rsidR="001F6B5D" w:rsidRPr="00677067" w:rsidRDefault="001F6B5D" w:rsidP="001F6B5D">
      <w:pPr>
        <w:rPr>
          <w:rFonts w:ascii="Times New Roman" w:hAnsi="Times New Roman" w:cs="Times New Roman"/>
          <w:b/>
          <w:bCs/>
          <w:noProof/>
          <w:color w:val="000000" w:themeColor="text1"/>
          <w:sz w:val="24"/>
          <w:szCs w:val="24"/>
          <w:lang w:eastAsia="en-IE"/>
        </w:rPr>
      </w:pPr>
    </w:p>
    <w:p w14:paraId="2219EDDF" w14:textId="77777777" w:rsidR="00C04113" w:rsidRPr="00677067" w:rsidRDefault="00537510" w:rsidP="00B2476E">
      <w:pPr>
        <w:pStyle w:val="Heading2"/>
        <w:ind w:left="1565" w:hanging="431"/>
        <w:rPr>
          <w:rFonts w:ascii="Times New Roman" w:hAnsi="Times New Roman" w:cs="Times New Roman"/>
          <w:b/>
          <w:bCs/>
          <w:noProof/>
          <w:color w:val="000000" w:themeColor="text1"/>
          <w:sz w:val="24"/>
          <w:szCs w:val="24"/>
        </w:rPr>
      </w:pPr>
      <w:bookmarkStart w:id="32" w:name="_Toc159792199"/>
      <w:r>
        <w:rPr>
          <w:rFonts w:ascii="Times New Roman" w:hAnsi="Times New Roman"/>
          <w:b/>
          <w:noProof/>
          <w:color w:val="000000" w:themeColor="text1"/>
          <w:sz w:val="24"/>
        </w:rPr>
        <w:t>Torthaí an Mheasúnaithe Eorpaigh ar Rioscaí Aeráide</w:t>
      </w:r>
      <w:bookmarkEnd w:id="32"/>
      <w:r>
        <w:rPr>
          <w:rFonts w:ascii="Times New Roman" w:hAnsi="Times New Roman"/>
          <w:b/>
          <w:noProof/>
          <w:color w:val="000000" w:themeColor="text1"/>
          <w:sz w:val="24"/>
        </w:rPr>
        <w:t xml:space="preserve"> </w:t>
      </w:r>
    </w:p>
    <w:p w14:paraId="57C75695" w14:textId="77777777" w:rsidR="00110F08" w:rsidRPr="00D2112F" w:rsidRDefault="00110F08" w:rsidP="00B11E0C">
      <w:pPr>
        <w:jc w:val="both"/>
        <w:textAlignment w:val="baseline"/>
        <w:rPr>
          <w:rFonts w:ascii="Times New Roman" w:eastAsia="Times New Roman" w:hAnsi="Times New Roman" w:cs="Times New Roman"/>
          <w:b/>
          <w:bCs/>
          <w:noProof/>
          <w:color w:val="000000" w:themeColor="text1"/>
          <w:sz w:val="24"/>
          <w:szCs w:val="24"/>
          <w:lang w:eastAsia="en-IE"/>
        </w:rPr>
      </w:pPr>
    </w:p>
    <w:p w14:paraId="1551726A" w14:textId="77777777" w:rsidR="004A4171" w:rsidRPr="00915255" w:rsidRDefault="003075BA" w:rsidP="00A35FBF">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Tá an eolaíocht soiléir: Beidh an Eoraip thíos le teochtaí foriomlána níos airde, an baol go mbeidh tonnta teasa níos déine agus níos minice ann, triomaigh fhada, frasaíocht níos déine, meánluasanna gaoithe níos ísle agus níos lú sneachta. Cuireadh an méid sin in iúl go soiléir i dtuarascálacha an Phainéil Idir-Rialtasaigh ar an Athrú Aeráide (IPCC). Mar sin féin, ní léiríonn an léargas foriomlán sin na hidirghníomhaíochtaí casta idir guaiseacha agus an dóchúlacht go mbeidh tionchair thubaisteacha ann. </w:t>
      </w:r>
    </w:p>
    <w:p w14:paraId="37D2E656" w14:textId="77777777" w:rsidR="00D2112F" w:rsidRDefault="00D2112F" w:rsidP="00D2112F">
      <w:pPr>
        <w:spacing w:after="120"/>
        <w:jc w:val="center"/>
        <w:textAlignment w:val="baseline"/>
        <w:rPr>
          <w:rFonts w:ascii="Times New Roman" w:hAnsi="Times New Roman"/>
          <w:noProof/>
          <w:color w:val="000000" w:themeColor="text1"/>
          <w:sz w:val="24"/>
        </w:rPr>
      </w:pPr>
      <w:r w:rsidRPr="00D2112F">
        <w:rPr>
          <w:noProof/>
          <w:lang w:val="en-GB" w:eastAsia="en-GB"/>
        </w:rPr>
        <w:drawing>
          <wp:inline distT="0" distB="0" distL="0" distR="0" wp14:anchorId="3E74CEBF" wp14:editId="0F1B02DB">
            <wp:extent cx="4143375" cy="2834064"/>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590" b="5671"/>
                    <a:stretch/>
                  </pic:blipFill>
                  <pic:spPr bwMode="auto">
                    <a:xfrm>
                      <a:off x="0" y="0"/>
                      <a:ext cx="4143375" cy="2834064"/>
                    </a:xfrm>
                    <a:prstGeom prst="rect">
                      <a:avLst/>
                    </a:prstGeom>
                    <a:noFill/>
                    <a:ln>
                      <a:noFill/>
                    </a:ln>
                    <a:extLst>
                      <a:ext uri="{53640926-AAD7-44D8-BBD7-CCE9431645EC}">
                        <a14:shadowObscured xmlns:a14="http://schemas.microsoft.com/office/drawing/2010/main"/>
                      </a:ext>
                    </a:extLst>
                  </pic:spPr>
                </pic:pic>
              </a:graphicData>
            </a:graphic>
          </wp:inline>
        </w:drawing>
      </w:r>
    </w:p>
    <w:p w14:paraId="709F0FA4" w14:textId="175520AA" w:rsidR="006B7564" w:rsidRDefault="00903F2E" w:rsidP="00FB1FAF">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Fíor 2: Treochtaí breathnaithe agus réamh-mheasta i bpríomhghuaiseacha a bhaineann leis an aeráid i réigiúin éagsúla na hEorpa</w:t>
      </w:r>
    </w:p>
    <w:p w14:paraId="2127FD31" w14:textId="77777777" w:rsidR="00B4182E" w:rsidRPr="00915255" w:rsidRDefault="009513CE" w:rsidP="00FB1FAF">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 </w:t>
      </w:r>
    </w:p>
    <w:p w14:paraId="162908F6" w14:textId="77777777" w:rsidR="0016254A" w:rsidRPr="00915255" w:rsidRDefault="009513CE" w:rsidP="0027457F">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Foinse: EUCRA </w:t>
      </w:r>
    </w:p>
    <w:p w14:paraId="3F4975C5" w14:textId="77777777" w:rsidR="00E8187F" w:rsidRDefault="00344A54" w:rsidP="00344A54">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Mar thoradh ar na guaiseacha aeráide sin, beidh níos mó tubaistí ann amhail triomaigh, tuilte, falscaithe, galair, teipeanna barr, básanna de dheasca teasa, damáiste do bhonneagar, agus athruithe struchtúracha ar an gcomhshaol. Sa chleachtas, is iad ullmhacht na sochaí, an acmhainneacht airgeadais agus riaracháin chun téarnamh, agus an suíomh fisiciúil na príomhthosca a chinneann a neamhchosanta agus a leochailí atáimid mar shochaí. </w:t>
      </w:r>
    </w:p>
    <w:p w14:paraId="0037ED72" w14:textId="77777777" w:rsidR="002E7B27" w:rsidRDefault="002E7B27" w:rsidP="00681BFF">
      <w:pPr>
        <w:spacing w:after="120"/>
        <w:jc w:val="both"/>
        <w:textAlignment w:val="baseline"/>
        <w:rPr>
          <w:rFonts w:ascii="Times New Roman" w:eastAsia="Times New Roman" w:hAnsi="Times New Roman" w:cs="Times New Roman"/>
          <w:noProof/>
          <w:color w:val="000000" w:themeColor="text1"/>
          <w:sz w:val="24"/>
          <w:szCs w:val="24"/>
        </w:rPr>
      </w:pPr>
      <w:bookmarkStart w:id="33" w:name="_Hlk160815827"/>
      <w:r>
        <w:rPr>
          <w:rFonts w:ascii="Times New Roman" w:hAnsi="Times New Roman"/>
          <w:noProof/>
          <w:color w:val="000000" w:themeColor="text1"/>
          <w:sz w:val="24"/>
        </w:rPr>
        <w:t xml:space="preserve">Beidh brú aeráide níos mó ar Dheisceart na hEorpa agus ar limistéir Artacha, i gcomparáid leis an gcuid eile den Eoraip. Baineann tacar rioscaí ar leith leis na réigiúin is forimeallaí. Leis an neamhchosaint neamhshiméadrach sin ar thionchair aeráide, cuirtear leis na héagothromaíochtaí atá ann cheana idir réigiúin ó thaobh an ghá atá le hoiriúnú don athrú aeráide, le rioscaí a chosc agus le hullmhacht, rud a d’fhéadfadh brú a chur ar na huirlisí le haghaidh comhtháthú ar fud an Aontais. </w:t>
      </w:r>
    </w:p>
    <w:bookmarkEnd w:id="33"/>
    <w:p w14:paraId="7C9CF0F2" w14:textId="77777777" w:rsidR="00582114" w:rsidRPr="00915255" w:rsidRDefault="00582114" w:rsidP="00582114">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Na costais agus na tairbhí ar fud na sochaí a bhaineann le damáistí seachanta, ní féidir iad a ríomh go cruinn, ach ba cheart gur leor meastachán ar an scála chun gníomh a dhéanamh. Meastachán coimeádach is ea go bhféadfadh tionchair aeráide atá ag dul in olcas OTI an Aontais a laghdú thart ar 7 % faoi dheireadh an chéid. Má théann an téamh domhanda thar an tairseach 1,5 céim ó Chomhaontú Pháras ar bhonn níos buaine, d’fhéadfadh EUR 2,4 trilliún a bheith i gceist leis an laghdú carnach breise ar OTI don Aontas ina iomláine sa tréimhse ó 2031 go 2050</w:t>
      </w:r>
      <w:r w:rsidRPr="0018244E">
        <w:rPr>
          <w:rStyle w:val="FootnoteReference"/>
          <w:rFonts w:ascii="Times New Roman" w:hAnsi="Times New Roman" w:cs="Times New Roman"/>
          <w:noProof/>
          <w:color w:val="000000" w:themeColor="text1"/>
          <w:sz w:val="24"/>
          <w:szCs w:val="24"/>
        </w:rPr>
        <w:footnoteReference w:id="16"/>
      </w:r>
      <w:r>
        <w:rPr>
          <w:rFonts w:ascii="Times New Roman" w:hAnsi="Times New Roman"/>
          <w:noProof/>
          <w:color w:val="000000" w:themeColor="text1"/>
          <w:sz w:val="24"/>
        </w:rPr>
        <w:t xml:space="preserve">. </w:t>
      </w:r>
      <w:r>
        <w:rPr>
          <w:rFonts w:ascii="Times New Roman" w:hAnsi="Times New Roman"/>
          <w:noProof/>
          <w:sz w:val="24"/>
        </w:rPr>
        <w:t>D’fhéadfadh damáistí bliantúla san Eoraip de dheasca tuilte cósta a bheith os cionn EUR 1,6 trilliún faoi 2100</w:t>
      </w:r>
      <w:r>
        <w:rPr>
          <w:rStyle w:val="FootnoteReference"/>
          <w:rFonts w:ascii="Times New Roman" w:eastAsia="Times New Roman" w:hAnsi="Times New Roman" w:cs="Times New Roman"/>
          <w:noProof/>
          <w:sz w:val="24"/>
          <w:szCs w:val="24"/>
          <w:lang w:val="en-IE"/>
        </w:rPr>
        <w:footnoteReference w:id="17"/>
      </w:r>
      <w:r>
        <w:rPr>
          <w:rFonts w:ascii="Times New Roman" w:hAnsi="Times New Roman"/>
          <w:noProof/>
          <w:sz w:val="24"/>
        </w:rPr>
        <w:t xml:space="preserve">, agus d’fhéadfadh 3,9 milliún duine a bheith neamhchosanta ar thuilte cósta gach bliain. </w:t>
      </w:r>
    </w:p>
    <w:p w14:paraId="2BD47F82" w14:textId="6F8BD967" w:rsidR="00681BFF" w:rsidRDefault="00681BFF" w:rsidP="00681BFF">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Tá rioscaí aeráide le brath go háirithe i measc na ndaoine is leochailí mar gheall ar raon tosca socheacnamaíocha amhail ioncam, inscne, aois, míchumas, sláinte, agus eisiamh sóisialta (ar tosca iad sin a dhéanann difear go háirithe d’imircigh, do mhionlaigh eitneacha agus do phobail dhúchasacha). Le míbhuntáistí atá ann cheana, laghdaítear an acmhainneacht chun téarnaimh ó thubaistí arb é an</w:t>
      </w:r>
      <w:r w:rsidR="0067605E">
        <w:rPr>
          <w:rFonts w:ascii="Times New Roman" w:hAnsi="Times New Roman"/>
          <w:noProof/>
          <w:color w:val="000000" w:themeColor="text1"/>
          <w:sz w:val="24"/>
        </w:rPr>
        <w:t xml:space="preserve"> t</w:t>
      </w:r>
      <w:r w:rsidR="0067605E">
        <w:rPr>
          <w:rFonts w:ascii="Times New Roman" w:hAnsi="Times New Roman"/>
          <w:noProof/>
          <w:color w:val="000000" w:themeColor="text1"/>
          <w:sz w:val="24"/>
        </w:rPr>
        <w:noBreakHyphen/>
      </w:r>
      <w:r>
        <w:rPr>
          <w:rFonts w:ascii="Times New Roman" w:hAnsi="Times New Roman"/>
          <w:noProof/>
          <w:color w:val="000000" w:themeColor="text1"/>
          <w:sz w:val="24"/>
        </w:rPr>
        <w:t>athrú aeráide is cúis leo. Is iondúil go mbíonn ceantair uirbeacha níos boichte, chomh maith le scoileanna agus ospidéil, lonnaithe ar theasoileáin uirbeacha</w:t>
      </w:r>
      <w:r>
        <w:rPr>
          <w:rFonts w:ascii="Times New Roman" w:hAnsi="Times New Roman"/>
          <w:noProof/>
          <w:sz w:val="24"/>
        </w:rPr>
        <w:t>. I gceantair uirbeacha agus thuaithe araon, is mó iad na rioscaí tuilte roimh phobail a mhaireann i gceantair ísle, chomh maith leis na hiarmhairtí a bhaineann le héilliú uisce</w:t>
      </w:r>
      <w:r>
        <w:rPr>
          <w:rFonts w:ascii="Times New Roman" w:hAnsi="Times New Roman"/>
          <w:noProof/>
          <w:color w:val="000000" w:themeColor="text1"/>
          <w:sz w:val="24"/>
        </w:rPr>
        <w:t>.</w:t>
      </w:r>
    </w:p>
    <w:p w14:paraId="122C6F61" w14:textId="77777777" w:rsidR="00681BFF" w:rsidRPr="00915255" w:rsidRDefault="00681BFF" w:rsidP="00681BFF">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Oibrithe neamhchosanta, go príomha na hoibrithe sin a oibríonn amuigh faoin aer in earnálacha amhail an talmhaíocht, an tógáil, seirbhísí éigeandála agus an turasóireacht, is mó seans go mbeidh orthu aghaidh a thabhairt ar dhálaí teasa foircneacha. Cé is moite de thionchair sláinte agus sábháilteachta ceirde agus caillteanais tuillimh a dhéanann difear d’oibrithe aonair mar gheall ar uaireanta oibre caillte, is féidir leis an laghdú ina dhiaidh sin ar tháirgiúlacht saothair easnaimh a chruthú in aschur eacnamaíoch ar leibhéal críochach níos leithne. Is féidir neamhionannais a dhéanamh níos measa fós mar gheall ar réitigh oiriúnaithe a bhfuil drochdhearadh orthu. Gnéithe sóisialta, idirphlé agus próisis chinnteoireachta chuimsitheacha agus rannpháirteacha le pobail a ndéantar difear dóibh, tá sé fíor-riachtanach na nithe sin a mheas chun gníomhaíocht beartais dea-dheartha a dhéanamh. Tá soláthar slándála mar chuid den chonradh sóisialta lenár saoránaigh. </w:t>
      </w:r>
    </w:p>
    <w:p w14:paraId="4DB984D9" w14:textId="77777777" w:rsidR="00C15BCA" w:rsidRDefault="00D21DA7" w:rsidP="00D21DA7">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Sainaithníodh 36 phríomhriosca don Eoraip in EUCRA, agus tá roinnt de na rioscaí sin ar leibhéil chriticiúla cheana féin agus tá an-phráinn ag baint leo. Ba cheart do lucht ceaptha beartas gach ceann de na rioscaí sin a mheas. I Roinn 4, freagraítear do chuid de na rioscaí sin, agus dírítear ar ghníomhaíochtaí a d’fhéadfadh freagairt do roinnt rioscaí go comhuaineach. </w:t>
      </w:r>
    </w:p>
    <w:p w14:paraId="612A63E7" w14:textId="77777777" w:rsidR="00C15BCA" w:rsidRDefault="00C15BCA">
      <w:pPr>
        <w:spacing w:after="200" w:line="276" w:lineRule="auto"/>
        <w:rPr>
          <w:rFonts w:ascii="Times New Roman" w:eastAsia="Times New Roman" w:hAnsi="Times New Roman" w:cs="Times New Roman"/>
          <w:noProof/>
          <w:color w:val="000000" w:themeColor="text1"/>
          <w:sz w:val="24"/>
          <w:szCs w:val="24"/>
        </w:rPr>
      </w:pPr>
      <w:r>
        <w:rPr>
          <w:noProof/>
        </w:rPr>
        <w:br w:type="page"/>
      </w:r>
    </w:p>
    <w:p w14:paraId="3247846A" w14:textId="77777777" w:rsidR="000E756C" w:rsidRPr="000E756C" w:rsidRDefault="000E756C" w:rsidP="000E756C">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Fíor 3: Naisc idir braislí rioscaí móra aeráide agus réimsí beartais neamhchosanta </w:t>
      </w:r>
    </w:p>
    <w:p w14:paraId="7CAF94C5" w14:textId="5D7989CF" w:rsidR="000E756C" w:rsidRPr="000E756C" w:rsidRDefault="00D2112F" w:rsidP="000E756C">
      <w:pPr>
        <w:spacing w:after="120"/>
        <w:jc w:val="both"/>
        <w:textAlignment w:val="baseline"/>
        <w:rPr>
          <w:rFonts w:ascii="Times New Roman" w:eastAsia="Times New Roman" w:hAnsi="Times New Roman" w:cs="Times New Roman"/>
          <w:noProof/>
          <w:color w:val="000000" w:themeColor="text1"/>
          <w:sz w:val="24"/>
          <w:szCs w:val="24"/>
        </w:rPr>
      </w:pPr>
      <w:r w:rsidRPr="00D2112F">
        <w:rPr>
          <w:rFonts w:ascii="Times New Roman" w:eastAsia="Times New Roman" w:hAnsi="Times New Roman" w:cs="Times New Roman"/>
          <w:noProof/>
          <w:color w:val="000000" w:themeColor="text1"/>
          <w:sz w:val="24"/>
          <w:szCs w:val="24"/>
          <w:lang w:val="en-GB" w:eastAsia="en-GB"/>
        </w:rPr>
        <w:drawing>
          <wp:inline distT="0" distB="0" distL="0" distR="0" wp14:anchorId="1AA8BC18" wp14:editId="12D6ABEA">
            <wp:extent cx="5732145" cy="7899717"/>
            <wp:effectExtent l="0" t="0" r="190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96" t="540"/>
                    <a:stretch/>
                  </pic:blipFill>
                  <pic:spPr bwMode="auto">
                    <a:xfrm>
                      <a:off x="0" y="0"/>
                      <a:ext cx="5732145" cy="7899717"/>
                    </a:xfrm>
                    <a:prstGeom prst="rect">
                      <a:avLst/>
                    </a:prstGeom>
                    <a:ln>
                      <a:noFill/>
                    </a:ln>
                    <a:extLst>
                      <a:ext uri="{53640926-AAD7-44D8-BBD7-CCE9431645EC}">
                        <a14:shadowObscured xmlns:a14="http://schemas.microsoft.com/office/drawing/2010/main"/>
                      </a:ext>
                    </a:extLst>
                  </pic:spPr>
                </pic:pic>
              </a:graphicData>
            </a:graphic>
          </wp:inline>
        </w:drawing>
      </w:r>
    </w:p>
    <w:p w14:paraId="76EB4798" w14:textId="77777777" w:rsidR="00C51D41" w:rsidRPr="00915255" w:rsidRDefault="00C51D41" w:rsidP="00C51D4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Foinse: EUCRA </w:t>
      </w:r>
    </w:p>
    <w:p w14:paraId="3B268024" w14:textId="77777777" w:rsidR="001F6B5D" w:rsidRPr="00915255" w:rsidRDefault="001F6B5D" w:rsidP="004B0FE0">
      <w:pPr>
        <w:spacing w:after="120"/>
        <w:jc w:val="both"/>
        <w:textAlignment w:val="baseline"/>
        <w:rPr>
          <w:rFonts w:ascii="Times New Roman" w:eastAsia="Times New Roman" w:hAnsi="Times New Roman" w:cs="Times New Roman"/>
          <w:noProof/>
          <w:color w:val="000000" w:themeColor="text1"/>
          <w:sz w:val="24"/>
          <w:szCs w:val="24"/>
          <w:lang w:val="en-IE" w:eastAsia="en-IE"/>
        </w:rPr>
      </w:pPr>
    </w:p>
    <w:p w14:paraId="4F0EAA89" w14:textId="77777777" w:rsidR="006270DE" w:rsidRPr="008C256A" w:rsidRDefault="00545E49" w:rsidP="00B2476E">
      <w:pPr>
        <w:pStyle w:val="Heading2"/>
        <w:ind w:left="1565" w:hanging="431"/>
        <w:rPr>
          <w:rFonts w:ascii="Times New Roman" w:hAnsi="Times New Roman" w:cs="Times New Roman"/>
          <w:b/>
          <w:bCs/>
          <w:noProof/>
          <w:color w:val="000000" w:themeColor="text1"/>
          <w:sz w:val="24"/>
          <w:szCs w:val="24"/>
        </w:rPr>
      </w:pPr>
      <w:bookmarkStart w:id="34" w:name="_Toc157587664"/>
      <w:bookmarkStart w:id="35" w:name="_Toc157587780"/>
      <w:bookmarkStart w:id="36" w:name="_Toc159792200"/>
      <w:bookmarkEnd w:id="34"/>
      <w:bookmarkEnd w:id="35"/>
      <w:r>
        <w:rPr>
          <w:rFonts w:ascii="Times New Roman" w:hAnsi="Times New Roman"/>
          <w:b/>
          <w:noProof/>
          <w:color w:val="000000" w:themeColor="text1"/>
          <w:sz w:val="24"/>
        </w:rPr>
        <w:t>Éiginnteachtaí agus dóchúlachtaí</w:t>
      </w:r>
      <w:bookmarkEnd w:id="36"/>
      <w:r>
        <w:rPr>
          <w:rFonts w:ascii="Times New Roman" w:hAnsi="Times New Roman"/>
          <w:b/>
          <w:noProof/>
          <w:color w:val="000000" w:themeColor="text1"/>
          <w:sz w:val="24"/>
        </w:rPr>
        <w:t xml:space="preserve"> </w:t>
      </w:r>
    </w:p>
    <w:p w14:paraId="00B13239" w14:textId="77777777" w:rsidR="00110F08" w:rsidRPr="008C256A" w:rsidRDefault="00110F08" w:rsidP="00B11E0C">
      <w:pPr>
        <w:jc w:val="both"/>
        <w:textAlignment w:val="baseline"/>
        <w:rPr>
          <w:rFonts w:ascii="Times New Roman" w:eastAsia="Times New Roman" w:hAnsi="Times New Roman" w:cs="Times New Roman"/>
          <w:b/>
          <w:bCs/>
          <w:noProof/>
          <w:color w:val="000000" w:themeColor="text1"/>
          <w:sz w:val="24"/>
          <w:szCs w:val="24"/>
          <w:lang w:val="en-IE" w:eastAsia="en-IE"/>
        </w:rPr>
      </w:pPr>
    </w:p>
    <w:p w14:paraId="28E07020" w14:textId="0748AC15" w:rsidR="008E259F" w:rsidRDefault="00D41D86" w:rsidP="00E55620">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D’ainneoin chastacht an chórais aeráide agus d’ainneoin na</w:t>
      </w:r>
      <w:r w:rsidR="0067605E">
        <w:rPr>
          <w:rFonts w:ascii="Times New Roman" w:hAnsi="Times New Roman"/>
          <w:noProof/>
          <w:color w:val="000000" w:themeColor="text1"/>
          <w:sz w:val="24"/>
        </w:rPr>
        <w:t xml:space="preserve"> n</w:t>
      </w:r>
      <w:r w:rsidR="0067605E">
        <w:rPr>
          <w:rFonts w:ascii="Times New Roman" w:hAnsi="Times New Roman"/>
          <w:noProof/>
          <w:color w:val="000000" w:themeColor="text1"/>
          <w:sz w:val="24"/>
        </w:rPr>
        <w:noBreakHyphen/>
      </w:r>
      <w:r>
        <w:rPr>
          <w:rFonts w:ascii="Times New Roman" w:hAnsi="Times New Roman"/>
          <w:noProof/>
          <w:color w:val="000000" w:themeColor="text1"/>
          <w:sz w:val="24"/>
        </w:rPr>
        <w:t xml:space="preserve">éiginnteachtaí atá ann i láthair na huaire, tá na heolaithe réasúnta cinnte go leanfaidh an aeráid de bheith ag dul in olcas sna blianta amach romhainn. Ní mór do lucht ceaptha beartas agus d’infheisteoirí machnamh a dhéanamh ar dhóchúlacht an toraidh ar mian leo é a sheachaint. </w:t>
      </w:r>
    </w:p>
    <w:p w14:paraId="453A570A" w14:textId="77777777" w:rsidR="00E55620" w:rsidRPr="00915255" w:rsidRDefault="009143E4" w:rsidP="00E55620">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Ní leithscéal bailí as neamhghníomhaíocht í an éiginnteacht. Le prionsabal an réamhchúraim</w:t>
      </w:r>
      <w:r w:rsidR="000B141D">
        <w:rPr>
          <w:rStyle w:val="FootnoteReference"/>
          <w:rFonts w:ascii="Times New Roman" w:eastAsia="Times New Roman" w:hAnsi="Times New Roman" w:cs="Times New Roman"/>
          <w:noProof/>
          <w:color w:val="000000" w:themeColor="text1"/>
          <w:sz w:val="24"/>
          <w:szCs w:val="24"/>
          <w:lang w:val="en-IE" w:eastAsia="en-IE"/>
        </w:rPr>
        <w:footnoteReference w:id="18"/>
      </w:r>
      <w:r>
        <w:rPr>
          <w:noProof/>
        </w:rPr>
        <w:t>,</w:t>
      </w:r>
      <w:r>
        <w:rPr>
          <w:rFonts w:ascii="Times New Roman" w:hAnsi="Times New Roman"/>
          <w:noProof/>
          <w:color w:val="000000" w:themeColor="text1"/>
          <w:sz w:val="24"/>
        </w:rPr>
        <w:t xml:space="preserve"> ceanglaítear ar chinnteoirí cur chuige coisctheach réamhghníomhach a ghlacadh chun dea-mhaoirseacht ár sochaithe a áirithiú.</w:t>
      </w:r>
    </w:p>
    <w:p w14:paraId="6A29F0B0" w14:textId="77777777" w:rsidR="001F6B5D" w:rsidRPr="00915255" w:rsidRDefault="001F6B5D" w:rsidP="00E55620">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66036E32" w14:textId="77777777" w:rsidR="003F1FF2" w:rsidRPr="008C256A" w:rsidRDefault="000E2514" w:rsidP="00B2476E">
      <w:pPr>
        <w:pStyle w:val="Heading1"/>
        <w:numPr>
          <w:ilvl w:val="0"/>
          <w:numId w:val="1"/>
        </w:numPr>
        <w:ind w:left="357" w:hanging="357"/>
        <w:rPr>
          <w:rFonts w:ascii="Times New Roman" w:eastAsiaTheme="minorHAnsi" w:hAnsi="Times New Roman" w:cs="Times New Roman"/>
          <w:b/>
          <w:bCs/>
          <w:noProof/>
          <w:color w:val="000000" w:themeColor="text1"/>
          <w:sz w:val="24"/>
          <w:szCs w:val="24"/>
        </w:rPr>
      </w:pPr>
      <w:bookmarkStart w:id="37" w:name="_Toc159792201"/>
      <w:r>
        <w:rPr>
          <w:rFonts w:ascii="Times New Roman" w:hAnsi="Times New Roman"/>
          <w:b/>
          <w:noProof/>
          <w:color w:val="000000" w:themeColor="text1"/>
          <w:sz w:val="24"/>
        </w:rPr>
        <w:t>Spás na réiteach — an tsochaí a ullmhú le haghaidh gníomhaíochta</w:t>
      </w:r>
      <w:bookmarkEnd w:id="37"/>
    </w:p>
    <w:p w14:paraId="2CA76156" w14:textId="77777777" w:rsidR="00110F08" w:rsidRPr="0067605E" w:rsidRDefault="00110F08" w:rsidP="00B11E0C">
      <w:pPr>
        <w:spacing w:line="240" w:lineRule="auto"/>
        <w:jc w:val="both"/>
        <w:rPr>
          <w:rFonts w:ascii="Times New Roman" w:hAnsi="Times New Roman" w:cs="Times New Roman"/>
          <w:noProof/>
          <w:color w:val="000000" w:themeColor="text1"/>
          <w:sz w:val="24"/>
          <w:szCs w:val="24"/>
        </w:rPr>
      </w:pPr>
    </w:p>
    <w:p w14:paraId="2C4DECAC" w14:textId="77777777" w:rsidR="0094649A" w:rsidRDefault="000C26F4"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Tá gá le réitigh inghníomhaithe a fhorbairt, a thástáil agus a chur in úsáid go tapa i dtimpeallacht atá ag athrú. Le Misean an Aontais um an Oiriúnú don Athrú Aeráide, tacaítear le réigiúin le réitigh nuálacha a ghabhann le réigiún nó le húdarás áitiúil i dtreo athléimneacht in aghaidh an athraithe aeráide faoi 2030, agus is féidir leis feidhmiú mar dhea-chleachtas le haghaidh na bpáirtithe leasmhara uile. </w:t>
      </w:r>
    </w:p>
    <w:p w14:paraId="447D4073" w14:textId="77777777" w:rsidR="0035207A" w:rsidRPr="00915255" w:rsidRDefault="0B278AC7"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Má dhéantar infheistíocht san athléimneacht ó thús tionscadail bonneagair, is fearr a bheidh an tsócmhainn in ann dálaí adhaimsire a sheasamh ionas go seachnófar costais atógála agus aisghabhála </w:t>
      </w:r>
      <w:r>
        <w:rPr>
          <w:rFonts w:ascii="Times New Roman" w:hAnsi="Times New Roman"/>
          <w:i/>
          <w:noProof/>
          <w:color w:val="000000" w:themeColor="text1"/>
          <w:sz w:val="24"/>
        </w:rPr>
        <w:t>ad hoc</w:t>
      </w:r>
      <w:r>
        <w:rPr>
          <w:rFonts w:ascii="Times New Roman" w:hAnsi="Times New Roman"/>
          <w:noProof/>
          <w:color w:val="000000" w:themeColor="text1"/>
          <w:sz w:val="24"/>
        </w:rPr>
        <w:t>. Gach euro a theastaíonn chun an damáiste a leigheas, is euro é nach gcaitear ar infheistíocht níos táirgiúla. Os a choinne sin, rachaidh gach euro a chaitear ar chosc agus ar ullmhacht chun tairbhe do chách, rud a rachaidh níos faide ná an infheistíocht tosaigh</w:t>
      </w:r>
      <w:r w:rsidR="00FF67E3" w:rsidRPr="0043667E">
        <w:rPr>
          <w:rStyle w:val="FootnoteReference"/>
          <w:rFonts w:ascii="Times New Roman" w:hAnsi="Times New Roman" w:cs="Times New Roman"/>
          <w:noProof/>
          <w:color w:val="000000" w:themeColor="text1"/>
          <w:sz w:val="24"/>
          <w:szCs w:val="24"/>
          <w:lang w:val="en-IE"/>
        </w:rPr>
        <w:footnoteReference w:id="19"/>
      </w:r>
      <w:r>
        <w:rPr>
          <w:rFonts w:ascii="Times New Roman" w:hAnsi="Times New Roman"/>
          <w:noProof/>
          <w:color w:val="000000" w:themeColor="text1"/>
          <w:sz w:val="24"/>
        </w:rPr>
        <w:t>. Le cinntí pleanála an lae inniu, ní mór tógáil ar mheasúnú fónta réamh-mheasta ar rioscaí</w:t>
      </w:r>
      <w:r w:rsidR="00FF67E3">
        <w:rPr>
          <w:rStyle w:val="FootnoteReference"/>
          <w:rFonts w:ascii="Times New Roman" w:eastAsia="Times New Roman" w:hAnsi="Times New Roman" w:cs="Times New Roman"/>
          <w:bCs/>
          <w:noProof/>
          <w:color w:val="000000" w:themeColor="text1"/>
          <w:sz w:val="24"/>
          <w:szCs w:val="24"/>
          <w:lang w:val="en-IE" w:eastAsia="en-IE"/>
        </w:rPr>
        <w:footnoteReference w:id="20"/>
      </w:r>
      <w:r>
        <w:rPr>
          <w:rFonts w:ascii="Times New Roman" w:hAnsi="Times New Roman"/>
          <w:noProof/>
          <w:color w:val="000000" w:themeColor="text1"/>
          <w:sz w:val="24"/>
        </w:rPr>
        <w:t>.</w:t>
      </w:r>
    </w:p>
    <w:p w14:paraId="141E5DF0" w14:textId="77777777" w:rsidR="00110F08" w:rsidRPr="00915255" w:rsidRDefault="00606D54"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Ní féidir aghaidh a thabhairt ar na rioscaí aeráide atá os comhair na hEorpa gan aghaidh a thabhairt ar dhúshláin shochaíocha eile. Is iad na réitigh is fearr agus is buanseasmhaí na réitigh sin a áirithíonn tairbhí iomadúla. Léiríonn an fhianaise i dtuarascáil EUCRA roinnt réimsí ina bhféadfadh réitigh thrasearnálacha cuidiú le deireadh a chur le bacainní ar an oiriúnú don athrú aeráide. Is é sin an fáth a bhfuil gá le cur chuige sistéamach. </w:t>
      </w:r>
    </w:p>
    <w:p w14:paraId="6C0671B6" w14:textId="77777777" w:rsidR="0053389F" w:rsidRPr="00915255" w:rsidRDefault="00137EEC" w:rsidP="00FE74B1">
      <w:pPr>
        <w:spacing w:after="120"/>
        <w:jc w:val="both"/>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Sainaithnítear sna foranna seo a leanas ceithre chatagóir uileghabhálacha de réitigh a fhágann gur fearr a bheidh córais riaracháin san Aontas agus ina Bhallstáit in ann déileáil le rioscaí aeráide: rialachas feabhsaithe, uirlisí d’úinéirí riosca, leas a bhaint as beartais struchtúracha, agus na réamhchoinníollacha cearta maidir le hathléimneacht airgeadais. </w:t>
      </w:r>
    </w:p>
    <w:p w14:paraId="4E4555CB" w14:textId="77777777" w:rsidR="0072028C" w:rsidRPr="0067605E" w:rsidRDefault="0072028C" w:rsidP="00FE74B1">
      <w:pPr>
        <w:spacing w:after="120"/>
        <w:jc w:val="both"/>
        <w:rPr>
          <w:rFonts w:ascii="Times New Roman" w:eastAsia="Times New Roman" w:hAnsi="Times New Roman" w:cs="Times New Roman"/>
          <w:noProof/>
          <w:color w:val="000000" w:themeColor="text1"/>
          <w:sz w:val="24"/>
          <w:szCs w:val="24"/>
          <w:lang w:eastAsia="en-IE"/>
        </w:rPr>
      </w:pPr>
    </w:p>
    <w:p w14:paraId="54F91E31" w14:textId="77777777" w:rsidR="003F1FF2" w:rsidRPr="008C256A" w:rsidRDefault="008C05C8" w:rsidP="00B2476E">
      <w:pPr>
        <w:pStyle w:val="Heading2"/>
        <w:ind w:left="1565" w:hanging="431"/>
        <w:rPr>
          <w:rFonts w:ascii="Times New Roman" w:hAnsi="Times New Roman" w:cs="Times New Roman"/>
          <w:b/>
          <w:bCs/>
          <w:noProof/>
          <w:color w:val="000000" w:themeColor="text1"/>
          <w:sz w:val="24"/>
          <w:szCs w:val="24"/>
        </w:rPr>
      </w:pPr>
      <w:bookmarkStart w:id="38" w:name="_Toc159792202"/>
      <w:r>
        <w:rPr>
          <w:rFonts w:ascii="Times New Roman" w:hAnsi="Times New Roman"/>
          <w:b/>
          <w:noProof/>
          <w:color w:val="000000" w:themeColor="text1"/>
          <w:sz w:val="24"/>
        </w:rPr>
        <w:t xml:space="preserve">Rialachas feabhsaithe </w:t>
      </w:r>
      <w:bookmarkEnd w:id="38"/>
    </w:p>
    <w:p w14:paraId="740828A5" w14:textId="77777777" w:rsidR="00110F08" w:rsidRPr="008C256A" w:rsidRDefault="00110F08" w:rsidP="00C60E19">
      <w:pPr>
        <w:keepNext/>
        <w:jc w:val="both"/>
        <w:textAlignment w:val="baseline"/>
        <w:rPr>
          <w:rFonts w:ascii="Times New Roman" w:eastAsia="Times New Roman" w:hAnsi="Times New Roman" w:cs="Times New Roman"/>
          <w:b/>
          <w:bCs/>
          <w:noProof/>
          <w:color w:val="000000" w:themeColor="text1"/>
          <w:sz w:val="24"/>
          <w:szCs w:val="24"/>
          <w:lang w:val="en-IE" w:eastAsia="en-IE"/>
        </w:rPr>
      </w:pPr>
    </w:p>
    <w:p w14:paraId="780C42E4" w14:textId="7B984F8C" w:rsidR="000221BB" w:rsidRPr="00915255" w:rsidRDefault="0069108C" w:rsidP="000221BB">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Tá éagsúlacht ann idir réimsí beartais maidir le roinnt na bhfreagrachtaí idir an tAontas agus an leibhéal náisiúnta – úinéireacht riosca – agus tá an méid sin bunaithe ar an gcoimhdeacht. Sa chleachtas, ciallaíonn sé sin go minic go dtagann Parlaimint na hEorpa agus an Chomhairle ar chomhaontú maidir le comhchreat ginearálta ar leibhéal an Aontais, lena mbaineann cuir chuige cur chun feidhme iarbhír arna gceapadh agus arna gcinneadh ag na Ballstáit ar an leibhéal náisiúnta, agus arna gcur chun feidhme ar an leibhéal náisiúnta, réigiúnach agus áitiúil. Ar leibhéal an Aontais, ba cheart breithniú níos fearr a dhéanamh ar rioscaí aeráide i ngnéithe rialachais na mbeartas, na reachtaíochta agus na</w:t>
      </w:r>
      <w:r w:rsidR="0067605E">
        <w:rPr>
          <w:rFonts w:ascii="Times New Roman" w:hAnsi="Times New Roman"/>
          <w:noProof/>
          <w:color w:val="000000" w:themeColor="text1"/>
          <w:sz w:val="24"/>
        </w:rPr>
        <w:t xml:space="preserve"> n</w:t>
      </w:r>
      <w:r w:rsidR="0067605E">
        <w:rPr>
          <w:rFonts w:ascii="Times New Roman" w:hAnsi="Times New Roman"/>
          <w:noProof/>
          <w:color w:val="000000" w:themeColor="text1"/>
          <w:sz w:val="24"/>
        </w:rPr>
        <w:noBreakHyphen/>
      </w:r>
      <w:r>
        <w:rPr>
          <w:rFonts w:ascii="Times New Roman" w:hAnsi="Times New Roman"/>
          <w:noProof/>
          <w:color w:val="000000" w:themeColor="text1"/>
          <w:sz w:val="24"/>
        </w:rPr>
        <w:t xml:space="preserve">ionstraimí airgeadais, agus nuair a bhíonn sineirgí á lorg idir beartais agus bearta an Aontais. </w:t>
      </w:r>
    </w:p>
    <w:p w14:paraId="096F15E6" w14:textId="124A8C77" w:rsidR="00F723BC" w:rsidRPr="00755240" w:rsidRDefault="00C964C8" w:rsidP="00327375">
      <w:pPr>
        <w:spacing w:after="120"/>
        <w:jc w:val="both"/>
        <w:textAlignment w:val="baseline"/>
        <w:rPr>
          <w:rFonts w:ascii="Times New Roman" w:hAnsi="Times New Roman"/>
          <w:b/>
          <w:noProof/>
          <w:color w:val="000000" w:themeColor="text1"/>
          <w:sz w:val="24"/>
        </w:rPr>
      </w:pPr>
      <w:r>
        <w:rPr>
          <w:rFonts w:ascii="Times New Roman" w:hAnsi="Times New Roman"/>
          <w:noProof/>
          <w:color w:val="000000" w:themeColor="text1"/>
          <w:sz w:val="24"/>
        </w:rPr>
        <w:t>Cé go</w:t>
      </w:r>
      <w:r w:rsidR="0067605E">
        <w:rPr>
          <w:rFonts w:ascii="Times New Roman" w:hAnsi="Times New Roman"/>
          <w:noProof/>
          <w:color w:val="000000" w:themeColor="text1"/>
          <w:sz w:val="24"/>
        </w:rPr>
        <w:t xml:space="preserve"> n</w:t>
      </w:r>
      <w:r w:rsidR="0067605E">
        <w:rPr>
          <w:rFonts w:ascii="Times New Roman" w:hAnsi="Times New Roman"/>
          <w:noProof/>
          <w:color w:val="000000" w:themeColor="text1"/>
          <w:sz w:val="24"/>
        </w:rPr>
        <w:noBreakHyphen/>
      </w:r>
      <w:r>
        <w:rPr>
          <w:rFonts w:ascii="Times New Roman" w:hAnsi="Times New Roman"/>
          <w:noProof/>
          <w:color w:val="000000" w:themeColor="text1"/>
          <w:sz w:val="24"/>
        </w:rPr>
        <w:t>áirítear i bhformhór na mbeartas forálacha chun rioscaí aeráide a mheas, tá easnaimh ann maidir leis an gcaoi a gcuirtear beartais agus reachtaíocht den sórt sin chun feidhme sna Ballstáit. Tá gá le feabhsuithe ar gach leibhéal rialachais. Ní mór aird a thabhairt ar an gcaoi a</w:t>
      </w:r>
      <w:r w:rsidR="0067605E">
        <w:rPr>
          <w:rFonts w:ascii="Times New Roman" w:hAnsi="Times New Roman"/>
          <w:noProof/>
          <w:color w:val="000000" w:themeColor="text1"/>
          <w:sz w:val="24"/>
        </w:rPr>
        <w:t xml:space="preserve"> n</w:t>
      </w:r>
      <w:r w:rsidR="0067605E">
        <w:rPr>
          <w:rFonts w:ascii="Times New Roman" w:hAnsi="Times New Roman"/>
          <w:noProof/>
          <w:color w:val="000000" w:themeColor="text1"/>
          <w:sz w:val="24"/>
        </w:rPr>
        <w:noBreakHyphen/>
      </w:r>
      <w:r>
        <w:rPr>
          <w:rFonts w:ascii="Times New Roman" w:hAnsi="Times New Roman"/>
          <w:noProof/>
          <w:color w:val="000000" w:themeColor="text1"/>
          <w:sz w:val="24"/>
        </w:rPr>
        <w:t>idirghníomhaíonn an leibhéal náisiúnta, an leibhéal réigiúnach agus an leibhéal áitiúil agus ar an gcaoi a ndéantar a</w:t>
      </w:r>
      <w:r w:rsidR="0067605E">
        <w:rPr>
          <w:rFonts w:ascii="Times New Roman" w:hAnsi="Times New Roman"/>
          <w:noProof/>
          <w:color w:val="000000" w:themeColor="text1"/>
          <w:sz w:val="24"/>
        </w:rPr>
        <w:t xml:space="preserve"> n</w:t>
      </w:r>
      <w:r w:rsidR="0067605E">
        <w:rPr>
          <w:rFonts w:ascii="Times New Roman" w:hAnsi="Times New Roman"/>
          <w:noProof/>
          <w:color w:val="000000" w:themeColor="text1"/>
          <w:sz w:val="24"/>
        </w:rPr>
        <w:noBreakHyphen/>
      </w:r>
      <w:r>
        <w:rPr>
          <w:rFonts w:ascii="Times New Roman" w:hAnsi="Times New Roman"/>
          <w:noProof/>
          <w:color w:val="000000" w:themeColor="text1"/>
          <w:sz w:val="24"/>
        </w:rPr>
        <w:t xml:space="preserve">acmhainní agus a gcúraimí a ailíniú. </w:t>
      </w:r>
      <w:r>
        <w:rPr>
          <w:rFonts w:ascii="Times New Roman" w:hAnsi="Times New Roman"/>
          <w:b/>
          <w:noProof/>
          <w:color w:val="000000" w:themeColor="text1"/>
          <w:sz w:val="24"/>
        </w:rPr>
        <w:t>Iarrann an Coimisiún ar na Ballstáit na gealltanais atá ann cheana maidir le hoiriúnú a chur chun feidhme ina</w:t>
      </w:r>
      <w:r w:rsidR="0067605E">
        <w:rPr>
          <w:rFonts w:ascii="Times New Roman" w:hAnsi="Times New Roman"/>
          <w:b/>
          <w:noProof/>
          <w:color w:val="000000" w:themeColor="text1"/>
          <w:sz w:val="24"/>
        </w:rPr>
        <w:t xml:space="preserve"> n</w:t>
      </w:r>
      <w:r w:rsidR="0067605E">
        <w:rPr>
          <w:rFonts w:ascii="Times New Roman" w:hAnsi="Times New Roman"/>
          <w:b/>
          <w:noProof/>
          <w:color w:val="000000" w:themeColor="text1"/>
          <w:sz w:val="24"/>
        </w:rPr>
        <w:noBreakHyphen/>
      </w:r>
      <w:r>
        <w:rPr>
          <w:rFonts w:ascii="Times New Roman" w:hAnsi="Times New Roman"/>
          <w:b/>
          <w:noProof/>
          <w:color w:val="000000" w:themeColor="text1"/>
          <w:sz w:val="24"/>
        </w:rPr>
        <w:t xml:space="preserve">iomláine, agus machnamh a dhéanamh freisin ar mholtaí ábhartha ón gCoimisiún. </w:t>
      </w:r>
    </w:p>
    <w:p w14:paraId="05A7CFC8" w14:textId="77777777" w:rsidR="00394716" w:rsidRPr="00915255" w:rsidRDefault="000B3082" w:rsidP="004C5920">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Chun rialachas rioscaí aeráide a fheabhsú, tá gá leis an méid seo a leanas:</w:t>
      </w:r>
    </w:p>
    <w:p w14:paraId="11DADA1D" w14:textId="77777777" w:rsidR="001234C6" w:rsidRPr="00915255" w:rsidRDefault="00E95728" w:rsidP="00A632E5">
      <w:pPr>
        <w:spacing w:after="120"/>
        <w:jc w:val="both"/>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Úinéireacht riosca shoiléir.</w:t>
      </w:r>
      <w:r>
        <w:rPr>
          <w:rFonts w:ascii="Times New Roman" w:hAnsi="Times New Roman"/>
          <w:noProof/>
          <w:color w:val="000000" w:themeColor="text1"/>
          <w:sz w:val="24"/>
        </w:rPr>
        <w:t xml:space="preserve"> An chaoi a ndáiltear rioscaí aeráide earnáilsonracha agus an fhreagracht gníomhú maidir le rioscaí aeráide idir an tAontas agus na Ballstáit, iarrann an Coimisiún ar institiúidí uile an Aontais machnamh a dhéanamh air sin sa leagan amach reachtach atá ann faoi láthair le haghaidh príomhréimsí beartais.</w:t>
      </w:r>
    </w:p>
    <w:p w14:paraId="13EE55B1" w14:textId="77777777" w:rsidR="001810D3" w:rsidRPr="001A3A0E" w:rsidRDefault="00EB5825" w:rsidP="003E5D8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 xml:space="preserve">Struchtúir rialachais neartaithe. </w:t>
      </w:r>
      <w:r>
        <w:rPr>
          <w:rFonts w:ascii="Times New Roman" w:hAnsi="Times New Roman"/>
          <w:noProof/>
          <w:color w:val="000000" w:themeColor="text1"/>
          <w:sz w:val="24"/>
        </w:rPr>
        <w:t xml:space="preserve">Le struchtúir rialachais shoiléire maidir le rioscaí aeráide a bhainistiú sna Ballstáit, ba cheart comhordú ingearach agus cothrománach a áirithiú i measc na leibhéal náisiúnta, réigiúnach agus áitiúil. Iarrann an Coimisiún ar na Ballstáit a áirithiú go mbeidh na cumais agus na hacmhainní is gá ag úinéirí riosca ar an leibhéal náisiúnta chun rioscaí aeráide a bhainistiú. Déanfaidh an Coimisiún rioscaí aeráide a leabú go struchtúrach ina phróisis inmheánacha trí fheidhmeanna rialaitheora riosca aeráide a neartú agus tríd an tseiceáil comhsheasmhachta aeráide a chur chun feidhme sna ceanglais maidir le Rialáil Níos Fearr. </w:t>
      </w:r>
    </w:p>
    <w:p w14:paraId="395A21E5" w14:textId="77777777" w:rsidR="00B06AE7" w:rsidRPr="00B06AE7" w:rsidRDefault="007E5D60" w:rsidP="00FE74B1">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Sineirgí i bpróisis rialachais</w:t>
      </w:r>
      <w:r>
        <w:rPr>
          <w:rFonts w:ascii="Times New Roman" w:hAnsi="Times New Roman"/>
          <w:noProof/>
          <w:color w:val="000000" w:themeColor="text1"/>
          <w:sz w:val="24"/>
        </w:rPr>
        <w:t xml:space="preserve">. D’fhéadfaí tuilleadh feabhais a chur ar chur chun feidhme na reachtaíochta a bhaineann le rioscaí aeráide agus d’fhéadfaí é a dhéanamh níos comhsheasmhaí. An Dlí Aeráide Eorpach, an Rialachán maidir le Rialachas an Aontais Fuinnimh agus na Gníomhaíochta Aeráide, an Treoir maidir le hAthléimneacht Eintiteas Criticiúil, an Rialachán maidir le Bagairtí Trasteorann Tromchúiseacha ar Shláinte, Creat Rialachais Eacnamaíoch athbhreithnithe an Aontais atá ar na bacáin, an Dlí um Athbhunú an Dúlra, nuair a ghlacfar é, na Treoracha maidir le hÉin agus Gnáthóga, an Treoir Réime maidir le hUisce, an Treoir maidir le Tuilte, an Treoir Réime um Straitéis Mhuirí, an Cinneadh maidir le Sásra an Aontais um Chosaint Shibhialta lena ngabhann Spriocanna an Aontais maidir le hAthléimneacht ó Thubaistí, áirítear iontu uile forálacha a bhaineann le rioscaí aeráide a bhainistiú. Chun próisis a shimpliú agus chun iad a dhéanamh níos éifeachtaí, féachfaidh an Coimisiún ar conas is féidir cur chun feidhme ceanglas ar leibhéal an Aontais a éascú, a chuíchóiriú agus a neartú a thuilleadh. </w:t>
      </w:r>
    </w:p>
    <w:p w14:paraId="51D329AE" w14:textId="77777777" w:rsidR="0072028C" w:rsidRPr="0067605E" w:rsidRDefault="0072028C" w:rsidP="00FE74B1">
      <w:pPr>
        <w:spacing w:after="120"/>
        <w:jc w:val="both"/>
        <w:rPr>
          <w:rFonts w:ascii="Times New Roman" w:hAnsi="Times New Roman" w:cs="Times New Roman"/>
          <w:noProof/>
          <w:color w:val="000000" w:themeColor="text1"/>
          <w:sz w:val="24"/>
          <w:szCs w:val="24"/>
          <w:lang w:eastAsia="en-IE"/>
        </w:rPr>
      </w:pPr>
    </w:p>
    <w:p w14:paraId="2CF2C9BC" w14:textId="77777777" w:rsidR="003F1FF2" w:rsidRPr="008C256A" w:rsidRDefault="003F1FF2" w:rsidP="00B2476E">
      <w:pPr>
        <w:pStyle w:val="Heading2"/>
        <w:ind w:left="1565" w:hanging="431"/>
        <w:rPr>
          <w:rFonts w:ascii="Times New Roman" w:hAnsi="Times New Roman" w:cs="Times New Roman"/>
          <w:b/>
          <w:bCs/>
          <w:noProof/>
          <w:color w:val="000000" w:themeColor="text1"/>
        </w:rPr>
      </w:pPr>
      <w:bookmarkStart w:id="39" w:name="_Toc159792203"/>
      <w:r>
        <w:rPr>
          <w:rFonts w:ascii="Times New Roman" w:hAnsi="Times New Roman"/>
          <w:b/>
          <w:noProof/>
          <w:color w:val="000000" w:themeColor="text1"/>
          <w:sz w:val="24"/>
        </w:rPr>
        <w:t>Uirlisí chun úinéirí riosca a chumhachtú</w:t>
      </w:r>
      <w:bookmarkEnd w:id="39"/>
    </w:p>
    <w:p w14:paraId="7931FCBF" w14:textId="77777777" w:rsidR="00BF6EC7" w:rsidRPr="0067605E" w:rsidRDefault="00BF6EC7" w:rsidP="00B11E0C">
      <w:pPr>
        <w:jc w:val="both"/>
        <w:textAlignment w:val="baseline"/>
        <w:rPr>
          <w:rFonts w:ascii="Times New Roman" w:eastAsia="Times New Roman" w:hAnsi="Times New Roman" w:cs="Times New Roman"/>
          <w:bCs/>
          <w:noProof/>
          <w:color w:val="000000" w:themeColor="text1"/>
          <w:sz w:val="24"/>
          <w:szCs w:val="24"/>
          <w:lang w:eastAsia="en-IE"/>
        </w:rPr>
      </w:pPr>
    </w:p>
    <w:p w14:paraId="0DBA2838" w14:textId="77777777" w:rsidR="00E3449E" w:rsidRPr="00BE25FA" w:rsidRDefault="002F3C56" w:rsidP="00E3449E">
      <w:pPr>
        <w:spacing w:after="120"/>
        <w:jc w:val="both"/>
        <w:textAlignment w:val="baseline"/>
        <w:rPr>
          <w:rFonts w:ascii="Times New Roman" w:hAnsi="Times New Roman"/>
          <w:noProof/>
          <w:color w:val="000000" w:themeColor="text1"/>
          <w:sz w:val="24"/>
        </w:rPr>
      </w:pPr>
      <w:r>
        <w:rPr>
          <w:rFonts w:ascii="Times New Roman" w:hAnsi="Times New Roman"/>
          <w:noProof/>
          <w:color w:val="000000" w:themeColor="text1"/>
          <w:sz w:val="24"/>
        </w:rPr>
        <w:t xml:space="preserve">A bhuí leis an dul chun cinn eolaíoch atá déanta maidir le tuiscint a fháil ar rioscaí aeráide, agus a bhuí le cistiú taighde agus nuálaíochta an Aontais a thacaíonn leis an dul chun cinn sin, is féidir linn gníomhaíocht fhiúntach a dhéanamh anois. Leanfaidh an Coimisiún d’infheistíocht a dhéanamh i dtaighde agus nuálaíocht atá úsáideach don chinnteoireacht, agus leanfaidh sé d’eolas agus réitigh arna gcur chun cinn ag misin, tionscadail agus comhpháirtíochtaí ábhartha an Aontais sa chlár Fís Eorpach a ghiaráil. Ní leor an méid sin ann féin, mar a léirigh na gníomhaíochtaí eolais a chuir EUCRA chun cinn. Bheadh measúnú riosca ardtaifigh cainníochtúil ar ilghuaiseacha, mar aon le measúnú comhfhreagrach oiriúnaithe agus athléimneachta an-ábhartha chun tosaíocht a thabhairt do ghníomhaíocht. Le rochtain ar uirlisí agus sonraí taighde agus oibríochtúla atá ar fáil, agus leis an gcumas iad a úsáid, is féidir tacú le hiomaíochas ghnólachtaí an Aontais agus cinntí beartais phoiblí a fheabhsú. Tá gá freisin le staidreamh oifigiúil Eorpach a bhaineann leis an athléimneacht in aghaidh an athraithe aeráide, a thiomsaítear i gcomhréir le OTI agus le comhiomláin eile na gcuntas náisiúnta.  </w:t>
      </w:r>
    </w:p>
    <w:p w14:paraId="39A5B77F" w14:textId="77777777" w:rsidR="00BB072C" w:rsidRDefault="0039554B" w:rsidP="000A43BB">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Fiú i gcás ina bhfuil struchtúir rialachais láidir, déantar cinnteoireacht éifeachtach maidir le rioscaí aeráide a choinneáil siar mar gheall ar bhearnaí móra scileanna, saothair agus eolais san earnáil phríobháideach agus san earnáil phoiblí araon, rud atá níos measa fós mar gheall an mbréagaisnéis aeráide. Chun rioscaí aeráide a bhainistiú go héifeachtach agus chun úsáid níos fearr a bhaint as an bhfaisnéis agus as na córais luathrabhaidh atá ar fáil cheana féin, tá gá le rochtain níos fearr orthu sin agus ar uirlisí eolais ábhartha, chomh maith le fothú acmhainneachta. </w:t>
      </w:r>
    </w:p>
    <w:p w14:paraId="257D6419" w14:textId="5986AC14" w:rsidR="00814E94" w:rsidRPr="00915255" w:rsidRDefault="00BB072C" w:rsidP="000A43BB">
      <w:pPr>
        <w:spacing w:after="120"/>
        <w:jc w:val="both"/>
        <w:textAlignment w:val="baseline"/>
        <w:rPr>
          <w:rFonts w:ascii="Times New Roman" w:eastAsia="Times New Roman" w:hAnsi="Times New Roman" w:cs="Times New Roman"/>
          <w:bCs/>
          <w:noProof/>
          <w:color w:val="000000" w:themeColor="text1"/>
          <w:sz w:val="24"/>
          <w:szCs w:val="24"/>
        </w:rPr>
      </w:pPr>
      <w:r>
        <w:rPr>
          <w:rFonts w:ascii="Times New Roman" w:hAnsi="Times New Roman"/>
          <w:noProof/>
          <w:color w:val="000000" w:themeColor="text1"/>
          <w:sz w:val="24"/>
        </w:rPr>
        <w:t xml:space="preserve">Chun </w:t>
      </w:r>
      <w:r>
        <w:rPr>
          <w:rFonts w:ascii="Times New Roman" w:hAnsi="Times New Roman"/>
          <w:b/>
          <w:noProof/>
          <w:color w:val="000000" w:themeColor="text1"/>
          <w:sz w:val="24"/>
        </w:rPr>
        <w:t>feabhas a chur ar chumas na</w:t>
      </w:r>
      <w:r w:rsidR="0067605E">
        <w:rPr>
          <w:rFonts w:ascii="Times New Roman" w:hAnsi="Times New Roman"/>
          <w:b/>
          <w:noProof/>
          <w:color w:val="000000" w:themeColor="text1"/>
          <w:sz w:val="24"/>
        </w:rPr>
        <w:t xml:space="preserve"> n</w:t>
      </w:r>
      <w:r w:rsidR="0067605E">
        <w:rPr>
          <w:rFonts w:ascii="Times New Roman" w:hAnsi="Times New Roman"/>
          <w:b/>
          <w:noProof/>
          <w:color w:val="000000" w:themeColor="text1"/>
          <w:sz w:val="24"/>
        </w:rPr>
        <w:noBreakHyphen/>
      </w:r>
      <w:r>
        <w:rPr>
          <w:rFonts w:ascii="Times New Roman" w:hAnsi="Times New Roman"/>
          <w:b/>
          <w:noProof/>
          <w:color w:val="000000" w:themeColor="text1"/>
          <w:sz w:val="24"/>
        </w:rPr>
        <w:t>úinéirí riosca</w:t>
      </w:r>
      <w:r>
        <w:rPr>
          <w:rFonts w:ascii="Times New Roman" w:hAnsi="Times New Roman"/>
          <w:noProof/>
          <w:color w:val="000000" w:themeColor="text1"/>
          <w:sz w:val="24"/>
        </w:rPr>
        <w:t xml:space="preserve"> a gcúraimí a chomhlíonadh, tá gá leis an méid seo a leanas: </w:t>
      </w:r>
    </w:p>
    <w:p w14:paraId="5675C835" w14:textId="77777777" w:rsidR="00D93073" w:rsidRDefault="008F2A62">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Sonraí aeráide, uirlisí samhaltaithe agus táscairí.</w:t>
      </w:r>
      <w:r>
        <w:rPr>
          <w:rFonts w:ascii="Times New Roman" w:hAnsi="Times New Roman"/>
          <w:noProof/>
          <w:color w:val="000000" w:themeColor="text1"/>
          <w:sz w:val="24"/>
        </w:rPr>
        <w:t xml:space="preserve"> Tá sonraí agus samhlacha aeráide atá sothuigthe agus ar ardchaighdeán ríthábhachtach le haghaidh cinnteoireacht fheasach maidir le réimse ábhar idir an phleanáil fhadtéarmach agus chórais luathrabhaidh. </w:t>
      </w:r>
    </w:p>
    <w:p w14:paraId="7F8E6AC6" w14:textId="77777777" w:rsidR="00597412" w:rsidRPr="009248B3" w:rsidRDefault="001355AB" w:rsidP="009248B3">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Tabharfaidh an Coimisiún agus an Ghníomhaireacht Eorpach Chomhshaoil (EEA) </w:t>
      </w:r>
      <w:r>
        <w:rPr>
          <w:rFonts w:ascii="Times New Roman" w:hAnsi="Times New Roman"/>
          <w:noProof/>
          <w:color w:val="000000" w:themeColor="text1"/>
          <w:sz w:val="24"/>
          <w:u w:val="single"/>
        </w:rPr>
        <w:t>rochtain ar shonraí, táirgí, feidhmchláir, táscairí agus seirbhísí tábhachtacha, idir ghráinneach agus logánaithe</w:t>
      </w:r>
      <w:r>
        <w:rPr>
          <w:rFonts w:ascii="Times New Roman" w:hAnsi="Times New Roman"/>
          <w:noProof/>
          <w:color w:val="000000" w:themeColor="text1"/>
          <w:sz w:val="24"/>
        </w:rPr>
        <w:t>, go háirithe tríd an ardán Climate-ADAPT agus trí ardáin sonraí Chlár Copernicus: an tseirbhís um an athrú aeráide, is é sin Éiceachóras Spáis Sonraí Copernicus</w:t>
      </w:r>
      <w:r w:rsidRPr="001A3A0E">
        <w:rPr>
          <w:rStyle w:val="FootnoteReference"/>
          <w:rFonts w:ascii="Times New Roman" w:eastAsia="Times New Roman" w:hAnsi="Times New Roman" w:cs="Times New Roman"/>
          <w:noProof/>
          <w:color w:val="000000" w:themeColor="text1"/>
          <w:sz w:val="24"/>
          <w:szCs w:val="24"/>
          <w:lang w:val="en-IE" w:eastAsia="en-IE"/>
        </w:rPr>
        <w:footnoteReference w:id="21"/>
      </w:r>
      <w:r>
        <w:rPr>
          <w:rFonts w:ascii="Times New Roman" w:hAnsi="Times New Roman"/>
          <w:noProof/>
          <w:color w:val="000000" w:themeColor="text1"/>
          <w:sz w:val="24"/>
        </w:rPr>
        <w:t xml:space="preserve"> agus WEkEO</w:t>
      </w:r>
      <w:r w:rsidRPr="775558F0">
        <w:rPr>
          <w:rStyle w:val="FootnoteReference"/>
          <w:rFonts w:ascii="Times New Roman" w:eastAsia="Times New Roman" w:hAnsi="Times New Roman" w:cs="Times New Roman"/>
          <w:noProof/>
          <w:color w:val="000000" w:themeColor="text1"/>
          <w:sz w:val="24"/>
          <w:szCs w:val="24"/>
          <w:lang w:val="en-IE" w:eastAsia="en-IE"/>
        </w:rPr>
        <w:footnoteReference w:id="22"/>
      </w:r>
      <w:r>
        <w:rPr>
          <w:rFonts w:ascii="Times New Roman" w:hAnsi="Times New Roman"/>
          <w:noProof/>
          <w:color w:val="000000" w:themeColor="text1"/>
          <w:sz w:val="24"/>
        </w:rPr>
        <w:t xml:space="preserve">. </w:t>
      </w:r>
    </w:p>
    <w:p w14:paraId="15A31FC0" w14:textId="556002E0" w:rsidR="004A68F9" w:rsidRPr="001A3A0E" w:rsidRDefault="001E1F6E" w:rsidP="009248B3">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Leis an gcéad dá leathchúpla dhigiteacha faoin tionscnamh Destination Earth (DestinE)</w:t>
      </w:r>
      <w:r>
        <w:rPr>
          <w:rFonts w:ascii="Times New Roman" w:hAnsi="Times New Roman"/>
          <w:noProof/>
          <w:color w:val="000000" w:themeColor="text1"/>
          <w:sz w:val="24"/>
          <w:vertAlign w:val="superscript"/>
        </w:rPr>
        <w:t xml:space="preserve"> </w:t>
      </w:r>
      <w:r>
        <w:rPr>
          <w:rFonts w:ascii="Times New Roman" w:hAnsi="Times New Roman"/>
          <w:noProof/>
          <w:color w:val="000000" w:themeColor="text1"/>
          <w:sz w:val="24"/>
        </w:rPr>
        <w:t xml:space="preserve">- leathchúplaí digiteacha an Oiriúnaithe don Athrú Aeráide agus na nDálaí Foircneacha atá spreagtha ag an Aimsir - soláthrófar </w:t>
      </w:r>
      <w:r>
        <w:rPr>
          <w:rFonts w:ascii="Times New Roman" w:hAnsi="Times New Roman"/>
          <w:noProof/>
          <w:color w:val="000000" w:themeColor="text1"/>
          <w:sz w:val="24"/>
          <w:u w:val="single"/>
        </w:rPr>
        <w:t>ionsamhlúcháin mhionsonraithe de chásanna aeráide</w:t>
      </w:r>
      <w:r>
        <w:rPr>
          <w:rFonts w:ascii="Times New Roman" w:hAnsi="Times New Roman"/>
          <w:noProof/>
          <w:color w:val="000000" w:themeColor="text1"/>
          <w:sz w:val="24"/>
        </w:rPr>
        <w:t xml:space="preserve"> ó lár 2024 ar aghaidh ón leibhéal domhanda go dtí an leibhéal náisiúnta agus an leibhéal fo-náisiúnta ar amscála il-dheichbhliantúil, lena</w:t>
      </w:r>
      <w:r w:rsidR="0067605E">
        <w:rPr>
          <w:rFonts w:ascii="Times New Roman" w:hAnsi="Times New Roman"/>
          <w:noProof/>
          <w:color w:val="000000" w:themeColor="text1"/>
          <w:sz w:val="24"/>
        </w:rPr>
        <w:t xml:space="preserve"> n</w:t>
      </w:r>
      <w:r w:rsidR="0067605E">
        <w:rPr>
          <w:rFonts w:ascii="Times New Roman" w:hAnsi="Times New Roman"/>
          <w:noProof/>
          <w:color w:val="000000" w:themeColor="text1"/>
          <w:sz w:val="24"/>
        </w:rPr>
        <w:noBreakHyphen/>
      </w:r>
      <w:r>
        <w:rPr>
          <w:rFonts w:ascii="Times New Roman" w:hAnsi="Times New Roman"/>
          <w:noProof/>
          <w:color w:val="000000" w:themeColor="text1"/>
          <w:sz w:val="24"/>
        </w:rPr>
        <w:t>áirítear cainníochtú éiginnteachta. Le Digital Twin of the Ocean, soláthrófar ionsamhlúcháin agus cásanna mionsonraithe freisin agus beifear in ann tuiscint níos fearr a fháil ar phróisis amhail ardú ar leibhéal na mara, leá oighir, creimeadh cósta, an timthriall carbóin agus athruithe ar an mbithéagsúlacht. Leanfaidh Fís Eorpach de thacaíocht a thabhairt do thaighde arb é is aidhm dó tacair mhóra d’ionsamhlúcháin aeráide il-dheichbhliantúla ardtaifigh gan uaim a sholáthar chun rioscaí agus éiginnteachtaí áitiúla a thréithriú ar bhealach níos fearr.</w:t>
      </w:r>
    </w:p>
    <w:p w14:paraId="2E05B8EE" w14:textId="77777777" w:rsidR="006F55C4" w:rsidRPr="009248B3" w:rsidRDefault="00E31786" w:rsidP="006F55C4">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Chun cuidiú le héigeandálaí, beidh Seirbhís Satailíte Rabhaidh Éigeandála Galileo (EWSS) ar fáil in 2025 chun faisnéis foláirimh a chur in iúl do dhaoine, do ghnólachtaí agus d’údaráis phoiblí fiú nuair a bheidh córais foláirimh talún as feidhm. </w:t>
      </w:r>
    </w:p>
    <w:p w14:paraId="2C94546F" w14:textId="77777777" w:rsidR="002F1D2F" w:rsidRPr="001A3A0E" w:rsidRDefault="00110777" w:rsidP="009248B3">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Laghdófar bearnaí móra sonraí a bhuí leis an Dlí um Fhaireachán ar Fhoraoisí</w:t>
      </w:r>
      <w:r w:rsidR="002F1D2F" w:rsidRPr="00915255">
        <w:rPr>
          <w:rStyle w:val="FootnoteReference"/>
          <w:rFonts w:ascii="Times New Roman" w:eastAsia="Times New Roman" w:hAnsi="Times New Roman" w:cs="Times New Roman"/>
          <w:noProof/>
          <w:color w:val="000000" w:themeColor="text1"/>
          <w:sz w:val="24"/>
          <w:szCs w:val="24"/>
          <w:lang w:val="en-IE" w:eastAsia="en-IE"/>
        </w:rPr>
        <w:footnoteReference w:id="23"/>
      </w:r>
      <w:r>
        <w:rPr>
          <w:rFonts w:ascii="Times New Roman" w:hAnsi="Times New Roman"/>
          <w:noProof/>
          <w:color w:val="000000" w:themeColor="text1"/>
          <w:sz w:val="24"/>
        </w:rPr>
        <w:t xml:space="preserve"> atá beartaithe agus a bhuí leis an Dlí um Fhaireachán Ithreach</w:t>
      </w:r>
      <w:r w:rsidR="007B69D8" w:rsidRPr="00915255">
        <w:rPr>
          <w:rStyle w:val="FootnoteReference"/>
          <w:rFonts w:ascii="Times New Roman" w:eastAsia="Times New Roman" w:hAnsi="Times New Roman" w:cs="Times New Roman"/>
          <w:noProof/>
          <w:color w:val="000000" w:themeColor="text1"/>
          <w:sz w:val="24"/>
          <w:szCs w:val="24"/>
          <w:lang w:val="en-IE" w:eastAsia="en-IE"/>
        </w:rPr>
        <w:footnoteReference w:id="24"/>
      </w:r>
      <w:r>
        <w:rPr>
          <w:rFonts w:ascii="Times New Roman" w:hAnsi="Times New Roman"/>
          <w:noProof/>
          <w:color w:val="000000" w:themeColor="text1"/>
          <w:sz w:val="24"/>
        </w:rPr>
        <w:t xml:space="preserve"> atá beartaithe, rud a chuirfidh feabhas ar uirlisí luathrabhaidh le haghaidh falscaithe agus tubaistí eile agus a chuirfidh le measúnuithe riosca níos cruinne. Ar bhonn níos leithne, déanfaidh an Coimisiún </w:t>
      </w:r>
      <w:r>
        <w:rPr>
          <w:rFonts w:ascii="Times New Roman" w:hAnsi="Times New Roman"/>
          <w:noProof/>
          <w:color w:val="000000" w:themeColor="text1"/>
          <w:sz w:val="24"/>
          <w:u w:val="single"/>
        </w:rPr>
        <w:t>úsáid na gcóras faireacháin, réamhaisnéise agus rabhaidh atá ar fáil a chur chun cinn</w:t>
      </w:r>
      <w:r w:rsidR="00FD5E36" w:rsidRPr="001A3A0E">
        <w:rPr>
          <w:rStyle w:val="FootnoteReference"/>
          <w:rFonts w:ascii="Times New Roman" w:eastAsia="Times New Roman" w:hAnsi="Times New Roman" w:cs="Times New Roman"/>
          <w:noProof/>
          <w:color w:val="000000" w:themeColor="text1"/>
          <w:sz w:val="24"/>
          <w:szCs w:val="24"/>
          <w:lang w:val="en-IE" w:eastAsia="en-IE"/>
        </w:rPr>
        <w:footnoteReference w:id="25"/>
      </w:r>
      <w:r>
        <w:rPr>
          <w:rFonts w:ascii="Times New Roman" w:hAnsi="Times New Roman"/>
          <w:noProof/>
          <w:color w:val="000000" w:themeColor="text1"/>
          <w:sz w:val="24"/>
        </w:rPr>
        <w:t>.</w:t>
      </w:r>
    </w:p>
    <w:p w14:paraId="5177F539" w14:textId="637BC2B2" w:rsidR="00050093" w:rsidRPr="001A3A0E" w:rsidRDefault="004D2963" w:rsidP="00814E94">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Déanfaidh an Coimisiún </w:t>
      </w:r>
      <w:r>
        <w:rPr>
          <w:rFonts w:ascii="Times New Roman" w:hAnsi="Times New Roman"/>
          <w:noProof/>
          <w:color w:val="000000" w:themeColor="text1"/>
          <w:sz w:val="24"/>
          <w:u w:val="single"/>
        </w:rPr>
        <w:t>athbhreithniú ar na huirlisí agus ar na treoirlínte atá ann cheana</w:t>
      </w:r>
      <w:r>
        <w:rPr>
          <w:rFonts w:ascii="Times New Roman" w:hAnsi="Times New Roman"/>
          <w:noProof/>
          <w:color w:val="000000" w:themeColor="text1"/>
          <w:sz w:val="24"/>
        </w:rPr>
        <w:t xml:space="preserve"> lena</w:t>
      </w:r>
      <w:r w:rsidR="0067605E">
        <w:rPr>
          <w:rFonts w:ascii="Times New Roman" w:hAnsi="Times New Roman"/>
          <w:noProof/>
          <w:color w:val="000000" w:themeColor="text1"/>
          <w:sz w:val="24"/>
        </w:rPr>
        <w:t xml:space="preserve"> n</w:t>
      </w:r>
      <w:r w:rsidR="0067605E">
        <w:rPr>
          <w:rFonts w:ascii="Times New Roman" w:hAnsi="Times New Roman"/>
          <w:noProof/>
          <w:color w:val="000000" w:themeColor="text1"/>
          <w:sz w:val="24"/>
        </w:rPr>
        <w:noBreakHyphen/>
      </w:r>
      <w:r>
        <w:rPr>
          <w:rFonts w:ascii="Times New Roman" w:hAnsi="Times New Roman"/>
          <w:noProof/>
          <w:color w:val="000000" w:themeColor="text1"/>
          <w:sz w:val="24"/>
        </w:rPr>
        <w:t>áirítear Taiscéalaí Sonraí Aeráide Eorpach EEA</w:t>
      </w:r>
      <w:r w:rsidR="00F40219" w:rsidRPr="001A3A0E">
        <w:rPr>
          <w:rFonts w:ascii="Times New Roman" w:eastAsia="Times New Roman" w:hAnsi="Times New Roman" w:cs="Times New Roman"/>
          <w:noProof/>
          <w:color w:val="000000" w:themeColor="text1"/>
          <w:sz w:val="24"/>
          <w:szCs w:val="24"/>
          <w:vertAlign w:val="superscript"/>
          <w:lang w:val="en-IE" w:eastAsia="en-IE"/>
        </w:rPr>
        <w:footnoteReference w:id="26"/>
      </w:r>
      <w:r>
        <w:rPr>
          <w:rFonts w:ascii="Times New Roman" w:hAnsi="Times New Roman"/>
          <w:noProof/>
          <w:color w:val="000000" w:themeColor="text1"/>
          <w:sz w:val="24"/>
        </w:rPr>
        <w:t xml:space="preserve"> agus an deais oiriúnaithe a óstáiltear i dTairseach Mhisean an Aontais um an Oiriúnú don Athrú Aeráide</w:t>
      </w:r>
      <w:r w:rsidR="00A66FC2" w:rsidRPr="001A3A0E">
        <w:rPr>
          <w:rStyle w:val="FootnoteReference"/>
          <w:rFonts w:ascii="Times New Roman" w:eastAsia="Times New Roman" w:hAnsi="Times New Roman" w:cs="Times New Roman"/>
          <w:noProof/>
          <w:color w:val="000000" w:themeColor="text1"/>
          <w:sz w:val="24"/>
          <w:szCs w:val="24"/>
          <w:lang w:val="en-IE" w:eastAsia="en-IE"/>
        </w:rPr>
        <w:footnoteReference w:id="27"/>
      </w:r>
      <w:r>
        <w:rPr>
          <w:rFonts w:ascii="Times New Roman" w:hAnsi="Times New Roman"/>
          <w:noProof/>
          <w:color w:val="000000" w:themeColor="text1"/>
          <w:sz w:val="24"/>
        </w:rPr>
        <w:t xml:space="preserve"> in Climate-ADAPT, an Mol Sonraí Riosca</w:t>
      </w:r>
      <w:r w:rsidR="006B0A95" w:rsidRPr="001A3A0E">
        <w:rPr>
          <w:rStyle w:val="FootnoteReference"/>
          <w:rFonts w:ascii="Times New Roman" w:eastAsia="Times New Roman" w:hAnsi="Times New Roman" w:cs="Times New Roman"/>
          <w:noProof/>
          <w:color w:val="000000" w:themeColor="text1"/>
          <w:sz w:val="24"/>
          <w:szCs w:val="24"/>
          <w:lang w:val="en-IE" w:eastAsia="en-IE"/>
        </w:rPr>
        <w:footnoteReference w:id="28"/>
      </w:r>
      <w:r>
        <w:rPr>
          <w:rFonts w:ascii="Times New Roman" w:hAnsi="Times New Roman"/>
          <w:noProof/>
          <w:color w:val="000000" w:themeColor="text1"/>
          <w:sz w:val="24"/>
        </w:rPr>
        <w:t>, deais rioscaí aeráide PROVIDE</w:t>
      </w:r>
      <w:r w:rsidR="00F40219" w:rsidRPr="001A3A0E">
        <w:rPr>
          <w:rFonts w:ascii="Times New Roman" w:eastAsia="Times New Roman" w:hAnsi="Times New Roman" w:cs="Times New Roman"/>
          <w:noProof/>
          <w:color w:val="000000" w:themeColor="text1"/>
          <w:sz w:val="24"/>
          <w:szCs w:val="24"/>
          <w:vertAlign w:val="superscript"/>
          <w:lang w:val="en-IE" w:eastAsia="en-IE"/>
        </w:rPr>
        <w:footnoteReference w:id="29"/>
      </w:r>
      <w:r>
        <w:rPr>
          <w:rFonts w:ascii="Times New Roman" w:hAnsi="Times New Roman"/>
          <w:noProof/>
          <w:color w:val="000000" w:themeColor="text1"/>
          <w:sz w:val="24"/>
        </w:rPr>
        <w:t xml:space="preserve"> agus úsáid níos mó a bhaint as cumais anailíseacha agus fadbhreathnaitheachta an Lárionaid Comhordúcháin Práinnfhreagartha. Cuirfidh an Coimisiún feabhas ar rochtain úsáideoirí, lena</w:t>
      </w:r>
      <w:r w:rsidR="0067605E">
        <w:rPr>
          <w:rFonts w:ascii="Times New Roman" w:hAnsi="Times New Roman"/>
          <w:noProof/>
          <w:color w:val="000000" w:themeColor="text1"/>
          <w:sz w:val="24"/>
        </w:rPr>
        <w:t xml:space="preserve"> n</w:t>
      </w:r>
      <w:r w:rsidR="0067605E">
        <w:rPr>
          <w:rFonts w:ascii="Times New Roman" w:hAnsi="Times New Roman"/>
          <w:noProof/>
          <w:color w:val="000000" w:themeColor="text1"/>
          <w:sz w:val="24"/>
        </w:rPr>
        <w:noBreakHyphen/>
      </w:r>
      <w:r>
        <w:rPr>
          <w:rFonts w:ascii="Times New Roman" w:hAnsi="Times New Roman"/>
          <w:noProof/>
          <w:color w:val="000000" w:themeColor="text1"/>
          <w:sz w:val="24"/>
        </w:rPr>
        <w:t>áirítear ar an leibhéal áitiúil, agus déanfaidh sé faireachán ar úsáid na</w:t>
      </w:r>
      <w:r w:rsidR="0067605E">
        <w:rPr>
          <w:rFonts w:ascii="Times New Roman" w:hAnsi="Times New Roman"/>
          <w:noProof/>
          <w:color w:val="000000" w:themeColor="text1"/>
          <w:sz w:val="24"/>
        </w:rPr>
        <w:t xml:space="preserve"> n</w:t>
      </w:r>
      <w:r w:rsidR="0067605E">
        <w:rPr>
          <w:rFonts w:ascii="Times New Roman" w:hAnsi="Times New Roman"/>
          <w:noProof/>
          <w:color w:val="000000" w:themeColor="text1"/>
          <w:sz w:val="24"/>
        </w:rPr>
        <w:noBreakHyphen/>
      </w:r>
      <w:r>
        <w:rPr>
          <w:rFonts w:ascii="Times New Roman" w:hAnsi="Times New Roman"/>
          <w:noProof/>
          <w:color w:val="000000" w:themeColor="text1"/>
          <w:sz w:val="24"/>
        </w:rPr>
        <w:t>uirlisí. Lorgóidh sé táscairí níos fearr i dtaca le dul chun cinn maidir leis an athléimneacht, lena</w:t>
      </w:r>
      <w:r w:rsidR="0067605E">
        <w:rPr>
          <w:rFonts w:ascii="Times New Roman" w:hAnsi="Times New Roman"/>
          <w:noProof/>
          <w:color w:val="000000" w:themeColor="text1"/>
          <w:sz w:val="24"/>
        </w:rPr>
        <w:t xml:space="preserve"> n</w:t>
      </w:r>
      <w:r w:rsidR="0067605E">
        <w:rPr>
          <w:rFonts w:ascii="Times New Roman" w:hAnsi="Times New Roman"/>
          <w:noProof/>
          <w:color w:val="000000" w:themeColor="text1"/>
          <w:sz w:val="24"/>
        </w:rPr>
        <w:noBreakHyphen/>
      </w:r>
      <w:r>
        <w:rPr>
          <w:rFonts w:ascii="Times New Roman" w:hAnsi="Times New Roman"/>
          <w:noProof/>
          <w:color w:val="000000" w:themeColor="text1"/>
          <w:sz w:val="24"/>
        </w:rPr>
        <w:t xml:space="preserve">áirítear i gcomhar le táscairí idirnasctha ábhartha eile chun cur chuige córais a áirithiú. </w:t>
      </w:r>
    </w:p>
    <w:p w14:paraId="02076FD1" w14:textId="77777777" w:rsidR="003F1FF2" w:rsidRPr="00915255" w:rsidRDefault="00BF6EC7" w:rsidP="0080431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Cásanna aeráide bonnlíne.</w:t>
      </w:r>
      <w:r>
        <w:rPr>
          <w:rFonts w:ascii="Times New Roman" w:hAnsi="Times New Roman"/>
          <w:noProof/>
          <w:color w:val="000000" w:themeColor="text1"/>
          <w:sz w:val="24"/>
        </w:rPr>
        <w:t xml:space="preserve"> Chun laghdú a dhéanamh ar an gcastacht a bhaineann le measúnú a dhéanamh ar rioscaí, úsáidfidh an Coimisiún cás astaíochtaí idirmheánacha IPCC</w:t>
      </w:r>
      <w:r w:rsidR="00CD5F6E" w:rsidRPr="001A3A0E">
        <w:rPr>
          <w:rStyle w:val="FootnoteReference"/>
          <w:rFonts w:ascii="Times New Roman" w:eastAsia="Times New Roman" w:hAnsi="Times New Roman" w:cs="Times New Roman"/>
          <w:noProof/>
          <w:color w:val="000000" w:themeColor="text1"/>
          <w:sz w:val="24"/>
          <w:szCs w:val="24"/>
          <w:lang w:val="en-IE" w:eastAsia="en-IE"/>
        </w:rPr>
        <w:footnoteReference w:id="30"/>
      </w:r>
      <w:r>
        <w:rPr>
          <w:rFonts w:ascii="Times New Roman" w:hAnsi="Times New Roman"/>
          <w:noProof/>
          <w:color w:val="000000" w:themeColor="text1"/>
          <w:sz w:val="24"/>
        </w:rPr>
        <w:t xml:space="preserve"> mar an cás aeráide bonnlíne inghlactha is ísle chun rioscaí fisiceacha a chumhdach agus measúnú á dhéanamh ar thionchair beartas agus úsáidfidh sé cásanna níos díobhálaí i dtástáil struis agus chun comparáid a dhéanamh idir roghanna oiriúnaithe. Moltar do na Ballstáit déanamh amhlaidh, agus táthar ag súil go ndéanfaidh páirtithe leasmhara príobháideacha amhlaidh freisin; foilseofar treoir inmheánach an Choimisiúin maidir leis an ábhar sin. Sonraí stairiúla níos fearr, mar shampla sonraí maidir le caillteanais de dheasca tubaiste, tá siad úsáideach mar tháscaire agus ionchur i réamh-mheastacháin. Tá sé meargánta, áfach, cinneadh a dhéanamh maidir le todhchaí na haeráide bunaithe go príomha ar shonraí stairiúla eachtarshuite.</w:t>
      </w:r>
    </w:p>
    <w:p w14:paraId="72594BD0" w14:textId="498256EF" w:rsidR="00B542C7" w:rsidRDefault="00BF6EC7" w:rsidP="009248B3">
      <w:pPr>
        <w:spacing w:after="120"/>
        <w:jc w:val="both"/>
        <w:textAlignment w:val="baseline"/>
        <w:rPr>
          <w:rFonts w:ascii="Times New Roman" w:eastAsiaTheme="minorHAnsi" w:hAnsi="Times New Roman" w:cs="Times New Roman"/>
          <w:noProof/>
          <w:color w:val="000000"/>
          <w:sz w:val="24"/>
          <w:szCs w:val="24"/>
        </w:rPr>
      </w:pPr>
      <w:r>
        <w:rPr>
          <w:rFonts w:ascii="Times New Roman" w:hAnsi="Times New Roman"/>
          <w:noProof/>
          <w:color w:val="000000" w:themeColor="text1"/>
          <w:sz w:val="24"/>
          <w:u w:val="single"/>
        </w:rPr>
        <w:t>Acmhainneachtaí feabhsaithe san earnáil phoiblí agus san earnáil phríobháideach</w:t>
      </w:r>
      <w:r>
        <w:rPr>
          <w:rFonts w:ascii="Times New Roman" w:hAnsi="Times New Roman"/>
          <w:noProof/>
          <w:color w:val="000000" w:themeColor="text1"/>
          <w:sz w:val="24"/>
        </w:rPr>
        <w:t>. Tacóidh an Coimisiún le forbairt ábhar oiliúna agus cúrsaí oscailte ar líne maidir le hathléimneacht in aghaidh an athraithe aeráide trí ardán amháin ar líne, go páirteach trí Climate-ADAPT. Beidh raon leathan na</w:t>
      </w:r>
      <w:r w:rsidR="0067605E">
        <w:rPr>
          <w:rFonts w:ascii="Times New Roman" w:hAnsi="Times New Roman"/>
          <w:noProof/>
          <w:color w:val="000000" w:themeColor="text1"/>
          <w:sz w:val="24"/>
        </w:rPr>
        <w:t xml:space="preserve"> n</w:t>
      </w:r>
      <w:r w:rsidR="0067605E">
        <w:rPr>
          <w:rFonts w:ascii="Times New Roman" w:hAnsi="Times New Roman"/>
          <w:noProof/>
          <w:color w:val="000000" w:themeColor="text1"/>
          <w:sz w:val="24"/>
        </w:rPr>
        <w:noBreakHyphen/>
      </w:r>
      <w:r>
        <w:rPr>
          <w:rFonts w:ascii="Times New Roman" w:hAnsi="Times New Roman"/>
          <w:noProof/>
          <w:color w:val="000000" w:themeColor="text1"/>
          <w:sz w:val="24"/>
        </w:rPr>
        <w:t>uirlisí pleanála oiriúnaithe ar leibhéal an Aontais mar chuid den bhonn eolais. Tacóidh an Coimisiún leis na Ballstáit ina</w:t>
      </w:r>
      <w:r w:rsidR="0067605E">
        <w:rPr>
          <w:rFonts w:ascii="Times New Roman" w:hAnsi="Times New Roman"/>
          <w:noProof/>
          <w:color w:val="000000" w:themeColor="text1"/>
          <w:sz w:val="24"/>
        </w:rPr>
        <w:t xml:space="preserve"> n</w:t>
      </w:r>
      <w:r w:rsidR="0067605E">
        <w:rPr>
          <w:rFonts w:ascii="Times New Roman" w:hAnsi="Times New Roman"/>
          <w:noProof/>
          <w:color w:val="000000" w:themeColor="text1"/>
          <w:sz w:val="24"/>
        </w:rPr>
        <w:noBreakHyphen/>
      </w:r>
      <w:r>
        <w:rPr>
          <w:rFonts w:ascii="Times New Roman" w:hAnsi="Times New Roman"/>
          <w:noProof/>
          <w:color w:val="000000" w:themeColor="text1"/>
          <w:sz w:val="24"/>
        </w:rPr>
        <w:t>iarrachtaí chun a áirithiú go mbeidh curaclaim náisiúnta agus cláir oiliúna náisiúnta, lena</w:t>
      </w:r>
      <w:r w:rsidR="0067605E">
        <w:rPr>
          <w:rFonts w:ascii="Times New Roman" w:hAnsi="Times New Roman"/>
          <w:noProof/>
          <w:color w:val="000000" w:themeColor="text1"/>
          <w:sz w:val="24"/>
        </w:rPr>
        <w:t xml:space="preserve"> n</w:t>
      </w:r>
      <w:r w:rsidR="0067605E">
        <w:rPr>
          <w:rFonts w:ascii="Times New Roman" w:hAnsi="Times New Roman"/>
          <w:noProof/>
          <w:color w:val="000000" w:themeColor="text1"/>
          <w:sz w:val="24"/>
        </w:rPr>
        <w:noBreakHyphen/>
      </w:r>
      <w:r>
        <w:rPr>
          <w:rFonts w:ascii="Times New Roman" w:hAnsi="Times New Roman"/>
          <w:noProof/>
          <w:color w:val="000000" w:themeColor="text1"/>
          <w:sz w:val="24"/>
        </w:rPr>
        <w:t>áirítear curaclaim agus cláir le haghaidh riarthóirí poiblí, réidh don todhchaí, agus leanfaidh sé de thacaíocht a thabhairt don chomhar riaracháin i measc na mBallstát agus laistigh díobh</w:t>
      </w:r>
      <w:r w:rsidR="00E351C4" w:rsidRPr="001A3A0E">
        <w:rPr>
          <w:rStyle w:val="FootnoteReference"/>
          <w:rFonts w:ascii="Times New Roman" w:eastAsia="Times New Roman" w:hAnsi="Times New Roman" w:cs="Times New Roman"/>
          <w:noProof/>
          <w:color w:val="000000" w:themeColor="text1"/>
          <w:sz w:val="24"/>
          <w:szCs w:val="24"/>
          <w:lang w:val="en-IE" w:eastAsia="en-IE"/>
        </w:rPr>
        <w:footnoteReference w:id="31"/>
      </w:r>
      <w:r>
        <w:rPr>
          <w:rFonts w:ascii="Times New Roman" w:hAnsi="Times New Roman"/>
          <w:noProof/>
          <w:color w:val="000000" w:themeColor="text1"/>
          <w:sz w:val="24"/>
        </w:rPr>
        <w:t xml:space="preserve">. Ar bhonn tuilleadh plé, forbróidh an Coimisiún uirlisí measúnaithe riosca aeráide agus tubaiste chun cuidiú leis na Ballstáit agus leis an earnáil phríobháideach, FBManna san áireamh. </w:t>
      </w:r>
    </w:p>
    <w:p w14:paraId="66BE4ED1" w14:textId="77777777" w:rsidR="006F1701" w:rsidRDefault="006F1701" w:rsidP="00215FB3">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Déanfaidh an Coimisiún </w:t>
      </w:r>
      <w:r>
        <w:rPr>
          <w:rFonts w:ascii="Times New Roman" w:hAnsi="Times New Roman"/>
          <w:noProof/>
          <w:color w:val="000000" w:themeColor="text1"/>
          <w:sz w:val="24"/>
          <w:u w:val="single"/>
        </w:rPr>
        <w:t>uirlisí atá ann cheana a ghiaráil</w:t>
      </w:r>
      <w:r>
        <w:rPr>
          <w:rFonts w:ascii="Times New Roman" w:hAnsi="Times New Roman"/>
          <w:noProof/>
          <w:color w:val="000000" w:themeColor="text1"/>
          <w:sz w:val="24"/>
        </w:rPr>
        <w:t xml:space="preserve"> freisin:</w:t>
      </w:r>
    </w:p>
    <w:p w14:paraId="2DE29A31" w14:textId="77777777" w:rsidR="006F1701" w:rsidRPr="009248B3" w:rsidRDefault="006F1701" w:rsidP="006F1701">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Cuireann Misean an Aontais um an Oiriúnú don Athrú Aeráide go mór le fothú acmhainneachta réigiúnaí. </w:t>
      </w:r>
    </w:p>
    <w:p w14:paraId="694223B6" w14:textId="4FAFD5C2" w:rsidR="001F48E2" w:rsidRPr="009248B3" w:rsidRDefault="007610B7" w:rsidP="006F1701">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sz w:val="24"/>
        </w:rPr>
        <w:t>Leis an Ionstraim um Thacaíocht Theicniúil, tacaítear leis na Ballstáit i gceapadh agus i gcur chun feidhme na</w:t>
      </w:r>
      <w:r w:rsidR="0067605E">
        <w:rPr>
          <w:rFonts w:ascii="Times New Roman" w:hAnsi="Times New Roman"/>
          <w:noProof/>
          <w:sz w:val="24"/>
        </w:rPr>
        <w:t xml:space="preserve"> n</w:t>
      </w:r>
      <w:r w:rsidR="0067605E">
        <w:rPr>
          <w:rFonts w:ascii="Times New Roman" w:hAnsi="Times New Roman"/>
          <w:noProof/>
          <w:sz w:val="24"/>
        </w:rPr>
        <w:noBreakHyphen/>
      </w:r>
      <w:r>
        <w:rPr>
          <w:rFonts w:ascii="Times New Roman" w:hAnsi="Times New Roman"/>
          <w:noProof/>
          <w:sz w:val="24"/>
        </w:rPr>
        <w:t xml:space="preserve">athchóirithe </w:t>
      </w:r>
      <w:r>
        <w:rPr>
          <w:rFonts w:ascii="Times New Roman" w:hAnsi="Times New Roman"/>
          <w:noProof/>
          <w:color w:val="000000" w:themeColor="text1"/>
          <w:sz w:val="24"/>
        </w:rPr>
        <w:t>atá dírithe ar rioscaí aeráide a laghdú agus a bhainistiú</w:t>
      </w:r>
      <w:r>
        <w:rPr>
          <w:rFonts w:ascii="Times New Roman" w:hAnsi="Times New Roman"/>
          <w:noProof/>
          <w:sz w:val="24"/>
        </w:rPr>
        <w:t xml:space="preserve">. </w:t>
      </w:r>
    </w:p>
    <w:p w14:paraId="2960FC1F" w14:textId="77777777" w:rsidR="001F48E2" w:rsidRPr="009248B3" w:rsidRDefault="001F48E2" w:rsidP="006F1701">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sz w:val="24"/>
        </w:rPr>
        <w:t>Leis an gcreat inniúlachta maidir leis an inbhuanaitheacht (GreenComp), a eisíodh in 2022, soláthraítear bonn chun inniúlachtaí a chothú a bhfuil gá leo chun aghaidh a thabhairt ar an athrú aeráide.</w:t>
      </w:r>
      <w:r>
        <w:rPr>
          <w:rFonts w:ascii="Times New Roman" w:hAnsi="Times New Roman"/>
          <w:noProof/>
          <w:color w:val="000000"/>
          <w:sz w:val="24"/>
        </w:rPr>
        <w:t xml:space="preserve"> </w:t>
      </w:r>
    </w:p>
    <w:p w14:paraId="08B50689" w14:textId="77777777" w:rsidR="002430D4" w:rsidRPr="009248B3" w:rsidRDefault="002430D4" w:rsidP="006F1701">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sz w:val="24"/>
        </w:rPr>
        <w:t xml:space="preserve">Úsáidfear na tionscnaimh agus na beartais oideachais agus oiliúna a forbraíodh faoin Limistéar Eorpach Oideachais (mar shampla le hOideachas le haghaidh Comhghuaillíocht Aeráide). </w:t>
      </w:r>
    </w:p>
    <w:p w14:paraId="23C85E02" w14:textId="77777777" w:rsidR="001F6B5D" w:rsidRPr="00B2476E" w:rsidRDefault="003E7F0B" w:rsidP="00215FB3">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Leis an tsamhail uathúil comhair idir an saol acadúil, an taighde agus an gnó a forbraíodh faoin Institiúid Eorpach um Nuálaíocht agus Teicneolaíocht (EIT) agus a Pobail Eolais agus Nuálaíochta (PENanna), go háirithe PEN ‘</w:t>
      </w:r>
      <w:r>
        <w:rPr>
          <w:rFonts w:ascii="Times New Roman" w:hAnsi="Times New Roman"/>
          <w:noProof/>
          <w:sz w:val="24"/>
        </w:rPr>
        <w:t>EIT Climate’, is féidir tacaíocht a thabhairt</w:t>
      </w:r>
      <w:r>
        <w:rPr>
          <w:rFonts w:ascii="Times New Roman" w:hAnsi="Times New Roman"/>
          <w:noProof/>
          <w:color w:val="000000" w:themeColor="text1"/>
          <w:sz w:val="24"/>
        </w:rPr>
        <w:t>.</w:t>
      </w:r>
    </w:p>
    <w:p w14:paraId="58CB3AF5" w14:textId="77777777" w:rsidR="002D6D8B" w:rsidRPr="00B2476E" w:rsidRDefault="002D6D8B" w:rsidP="00B2476E">
      <w:pPr>
        <w:spacing w:after="120"/>
        <w:jc w:val="both"/>
        <w:textAlignment w:val="baseline"/>
        <w:rPr>
          <w:rFonts w:ascii="Times New Roman" w:hAnsi="Times New Roman" w:cs="Times New Roman"/>
          <w:noProof/>
          <w:sz w:val="24"/>
          <w:szCs w:val="24"/>
        </w:rPr>
      </w:pPr>
      <w:r>
        <w:rPr>
          <w:rFonts w:ascii="Times New Roman" w:hAnsi="Times New Roman"/>
          <w:noProof/>
          <w:sz w:val="24"/>
          <w:u w:val="single"/>
        </w:rPr>
        <w:t>An bhréagaisnéis a chomhrac.</w:t>
      </w:r>
      <w:r>
        <w:rPr>
          <w:rFonts w:ascii="Times New Roman" w:hAnsi="Times New Roman"/>
          <w:noProof/>
          <w:sz w:val="24"/>
        </w:rPr>
        <w:t xml:space="preserve"> Rannchuideoidh an Coimisiún le hiarrachtaí chun faireachán agus anailís a dhéanamh ar an gcaoi a dtéann insintí bréagaisnéise isteach sa spás poiblí agus a mbíonn tionchar acu ar thuairimí agus ar iompraíocht. Cuirfidh sé feabhas ar an úsáid a bhaintear as uirlisí beartais ábhartha, réitigh dhigiteacha, agus cineálacha cur chuige cumarsáide chun an bhréagaisnéis aeráide a chomhrac. Áirítear leis sin a áirithiú go gcumhdaítear bréagaisnéis i gceart le comhlíonadh an Ghnímh um Sheirbhísí Digiteacha agus go gcumhdaítear an eolaíocht aeráide i gceart nuair a chomhlíonann cuideachtaí meán sóisialta an Cód Cleachtais maidir le Bréagaisnéis. Oibreoidh sé freisin le comhpháirtithe ar bhonn idirnáisiúnta chun aghaidh a thabhairt ar an mbréagaisnéis mar dhúshlán sochaíoch atá ag dul i méid agus atá fréamhaithe i ndreasachtaí eacnamaíocha atá claonta agus is bagairt í an bhréagaisnéis ar fheidhmiú ár gcóras daonlathach.</w:t>
      </w:r>
    </w:p>
    <w:p w14:paraId="07A1A6BE" w14:textId="77777777" w:rsidR="002D6D8B" w:rsidRPr="0067605E" w:rsidRDefault="002D6D8B" w:rsidP="00215FB3">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5F86836A" w14:textId="77777777" w:rsidR="00775598" w:rsidRPr="0056758B" w:rsidRDefault="00C35222" w:rsidP="00B2476E">
      <w:pPr>
        <w:pStyle w:val="Heading2"/>
        <w:ind w:left="1565" w:hanging="431"/>
        <w:rPr>
          <w:rFonts w:ascii="Times New Roman" w:hAnsi="Times New Roman" w:cs="Times New Roman"/>
          <w:b/>
          <w:bCs/>
          <w:noProof/>
          <w:color w:val="000000" w:themeColor="text1"/>
          <w:sz w:val="24"/>
          <w:szCs w:val="24"/>
        </w:rPr>
      </w:pPr>
      <w:bookmarkStart w:id="40" w:name="_Toc159792204"/>
      <w:r>
        <w:rPr>
          <w:rFonts w:ascii="Times New Roman" w:hAnsi="Times New Roman"/>
          <w:b/>
          <w:noProof/>
          <w:color w:val="000000" w:themeColor="text1"/>
          <w:sz w:val="24"/>
        </w:rPr>
        <w:t>Leas a bhaint as beartais struchtúracha</w:t>
      </w:r>
      <w:bookmarkEnd w:id="40"/>
    </w:p>
    <w:p w14:paraId="466C62C8" w14:textId="77777777" w:rsidR="00BF6EC7" w:rsidRPr="00915255" w:rsidRDefault="00BF6EC7" w:rsidP="00B11E0C">
      <w:pPr>
        <w:spacing w:line="240" w:lineRule="auto"/>
        <w:jc w:val="both"/>
        <w:rPr>
          <w:rFonts w:ascii="Times New Roman" w:eastAsiaTheme="minorHAnsi" w:hAnsi="Times New Roman" w:cs="Times New Roman"/>
          <w:bCs/>
          <w:noProof/>
          <w:color w:val="000000" w:themeColor="text1"/>
          <w:sz w:val="24"/>
          <w:szCs w:val="24"/>
        </w:rPr>
      </w:pPr>
      <w:bookmarkStart w:id="41" w:name="_Hlk153901472"/>
    </w:p>
    <w:p w14:paraId="4716745D" w14:textId="77777777" w:rsidR="00F77F36" w:rsidRPr="00915255" w:rsidRDefault="00DF3861" w:rsidP="00A632E5">
      <w:pPr>
        <w:spacing w:after="120"/>
        <w:jc w:val="both"/>
        <w:rPr>
          <w:rFonts w:ascii="Times New Roman" w:eastAsiaTheme="minorHAnsi" w:hAnsi="Times New Roman" w:cs="Times New Roman"/>
          <w:bCs/>
          <w:noProof/>
          <w:color w:val="000000" w:themeColor="text1"/>
          <w:sz w:val="24"/>
          <w:szCs w:val="24"/>
        </w:rPr>
      </w:pPr>
      <w:r>
        <w:rPr>
          <w:rFonts w:ascii="Times New Roman" w:hAnsi="Times New Roman"/>
          <w:noProof/>
          <w:color w:val="000000" w:themeColor="text1"/>
          <w:sz w:val="24"/>
        </w:rPr>
        <w:t xml:space="preserve">Cé go bhfuil éagsúlacht sna réimsí beartais maidir le dáileadh úinéireachta riosca idir an tAontas agus a Bhallstáit, tá an-ghealladh faoi thrí réimse beartais struchtúracha chun rioscaí aeráide a bhainistiú ar fud go leor earnálacha: </w:t>
      </w:r>
    </w:p>
    <w:p w14:paraId="437AE83B" w14:textId="1AB47E26" w:rsidR="008079B5" w:rsidRPr="00915255" w:rsidRDefault="00BF6EC7" w:rsidP="00A632E5">
      <w:pPr>
        <w:spacing w:after="120"/>
        <w:jc w:val="both"/>
        <w:rPr>
          <w:rFonts w:ascii="Times New Roman" w:eastAsiaTheme="minorHAnsi" w:hAnsi="Times New Roman" w:cs="Times New Roman"/>
          <w:bCs/>
          <w:noProof/>
          <w:color w:val="000000" w:themeColor="text1"/>
          <w:sz w:val="24"/>
          <w:szCs w:val="24"/>
        </w:rPr>
      </w:pPr>
      <w:r>
        <w:rPr>
          <w:rFonts w:ascii="Times New Roman" w:hAnsi="Times New Roman"/>
          <w:noProof/>
          <w:color w:val="000000" w:themeColor="text1"/>
          <w:sz w:val="24"/>
          <w:u w:val="single"/>
        </w:rPr>
        <w:t>Pleanáil spásúlachta níos fearr sna Ballstáit.</w:t>
      </w:r>
      <w:r>
        <w:rPr>
          <w:rFonts w:ascii="Times New Roman" w:hAnsi="Times New Roman"/>
          <w:noProof/>
          <w:color w:val="000000" w:themeColor="text1"/>
          <w:sz w:val="24"/>
        </w:rPr>
        <w:t xml:space="preserve"> Is freagrachtaí náisiúnta iad úsáid agus pleanáil talún, agus is minic gur freagrachtaí áitiúla iad freisin. Ní hamháin gur sócmhainn í an talamh ach tá brí agus luach atá sonrach go háitiúil ag baint léi, seachas an</w:t>
      </w:r>
      <w:r w:rsidR="0067605E">
        <w:rPr>
          <w:rFonts w:ascii="Times New Roman" w:hAnsi="Times New Roman"/>
          <w:noProof/>
          <w:color w:val="000000" w:themeColor="text1"/>
          <w:sz w:val="24"/>
        </w:rPr>
        <w:t xml:space="preserve"> t</w:t>
      </w:r>
      <w:r w:rsidR="0067605E">
        <w:rPr>
          <w:rFonts w:ascii="Times New Roman" w:hAnsi="Times New Roman"/>
          <w:noProof/>
          <w:color w:val="000000" w:themeColor="text1"/>
          <w:sz w:val="24"/>
        </w:rPr>
        <w:noBreakHyphen/>
      </w:r>
      <w:r>
        <w:rPr>
          <w:rFonts w:ascii="Times New Roman" w:hAnsi="Times New Roman"/>
          <w:noProof/>
          <w:color w:val="000000" w:themeColor="text1"/>
          <w:sz w:val="24"/>
        </w:rPr>
        <w:t>airgead. An tráth céanna, déanann cinntí maidir le húsáid talún agus pleanáil difear d’athléimneacht agus d’inárachaitheacht na bpobal agus na ngeilleagar i gcoitinne in aghaidh rioscaí. Ba cheart na toimhdí maidir le rioscaí aeráide a lua go sainráite sna cinntí sin agus ba cheart do na húdaráis náisiúnta atá freagrach as athléimneacht an bhonneagair chriticiúil agus na</w:t>
      </w:r>
      <w:r w:rsidR="0067605E">
        <w:rPr>
          <w:rFonts w:ascii="Times New Roman" w:hAnsi="Times New Roman"/>
          <w:noProof/>
          <w:color w:val="000000" w:themeColor="text1"/>
          <w:sz w:val="24"/>
        </w:rPr>
        <w:t xml:space="preserve"> n</w:t>
      </w:r>
      <w:r w:rsidR="0067605E">
        <w:rPr>
          <w:rFonts w:ascii="Times New Roman" w:hAnsi="Times New Roman"/>
          <w:noProof/>
          <w:color w:val="000000" w:themeColor="text1"/>
          <w:sz w:val="24"/>
        </w:rPr>
        <w:noBreakHyphen/>
      </w:r>
      <w:r>
        <w:rPr>
          <w:rFonts w:ascii="Times New Roman" w:hAnsi="Times New Roman"/>
          <w:noProof/>
          <w:color w:val="000000" w:themeColor="text1"/>
          <w:sz w:val="24"/>
        </w:rPr>
        <w:t>eintiteas criticiúil iad a fhormheas. Déanfaidh an Coimisiún roghanna a mheas chun glacadh dea-chleachtas a dhreasú, lena</w:t>
      </w:r>
      <w:r w:rsidR="0067605E">
        <w:rPr>
          <w:rFonts w:ascii="Times New Roman" w:hAnsi="Times New Roman"/>
          <w:noProof/>
          <w:color w:val="000000" w:themeColor="text1"/>
          <w:sz w:val="24"/>
        </w:rPr>
        <w:t xml:space="preserve"> n</w:t>
      </w:r>
      <w:r w:rsidR="0067605E">
        <w:rPr>
          <w:rFonts w:ascii="Times New Roman" w:hAnsi="Times New Roman"/>
          <w:noProof/>
          <w:color w:val="000000" w:themeColor="text1"/>
          <w:sz w:val="24"/>
        </w:rPr>
        <w:noBreakHyphen/>
      </w:r>
      <w:r>
        <w:rPr>
          <w:rFonts w:ascii="Times New Roman" w:hAnsi="Times New Roman"/>
          <w:noProof/>
          <w:color w:val="000000" w:themeColor="text1"/>
          <w:sz w:val="24"/>
        </w:rPr>
        <w:t>áirítear tríd an nasc a neartú idir cáilíocht na pleanála críochaí agus muirí, agus na beartais chomhtháthaithe, iompair, iascaigh, airgeadais agus talmhaíochta. Cuirfidh an Coimisiún leis an obair atá ann cheana agus áireoidh sé prionsabail na hathléimneachta i dtionscnamh Bauhaus Eorpach Nua</w:t>
      </w:r>
      <w:r w:rsidR="006840A6" w:rsidRPr="001A3A0E">
        <w:rPr>
          <w:rStyle w:val="FootnoteReference"/>
          <w:rFonts w:ascii="Times New Roman" w:eastAsiaTheme="minorHAnsi" w:hAnsi="Times New Roman" w:cs="Times New Roman"/>
          <w:bCs/>
          <w:noProof/>
          <w:color w:val="000000" w:themeColor="text1"/>
          <w:sz w:val="24"/>
          <w:szCs w:val="24"/>
        </w:rPr>
        <w:footnoteReference w:id="32"/>
      </w:r>
      <w:r>
        <w:rPr>
          <w:rFonts w:ascii="Times New Roman" w:hAnsi="Times New Roman"/>
          <w:noProof/>
          <w:color w:val="000000" w:themeColor="text1"/>
          <w:sz w:val="24"/>
        </w:rPr>
        <w:t xml:space="preserve"> chun pleanáil pobal athléimneach a éascú.</w:t>
      </w:r>
    </w:p>
    <w:bookmarkEnd w:id="41"/>
    <w:p w14:paraId="5D2BEE1B" w14:textId="47C43BE2" w:rsidR="000444E6" w:rsidRPr="009248B3" w:rsidRDefault="009A34E2" w:rsidP="00A632E5">
      <w:pPr>
        <w:spacing w:after="120"/>
        <w:jc w:val="both"/>
        <w:rPr>
          <w:rFonts w:ascii="Times New Roman" w:eastAsiaTheme="minorHAnsi" w:hAnsi="Times New Roman" w:cs="Times New Roman"/>
          <w:bCs/>
          <w:noProof/>
          <w:color w:val="000000" w:themeColor="text1"/>
          <w:sz w:val="24"/>
          <w:szCs w:val="24"/>
          <w:u w:val="single"/>
        </w:rPr>
      </w:pPr>
      <w:r>
        <w:rPr>
          <w:rFonts w:ascii="Times New Roman" w:hAnsi="Times New Roman"/>
          <w:noProof/>
          <w:color w:val="000000" w:themeColor="text1"/>
          <w:sz w:val="24"/>
          <w:u w:val="single"/>
        </w:rPr>
        <w:t>Rioscaí aeráide a leabú sa phleanáil agus bonneagar criticiúil a chothabháil</w:t>
      </w:r>
      <w:r>
        <w:rPr>
          <w:rFonts w:ascii="Times New Roman" w:hAnsi="Times New Roman"/>
          <w:noProof/>
          <w:color w:val="000000" w:themeColor="text1"/>
          <w:sz w:val="24"/>
        </w:rPr>
        <w:t>. Agus dlúthnasc aige le pleanáil spásúlachta, braitheann cumas na rialtas feidhmeanna sochaíocha a choinneáil ar bun ar athléimneacht na</w:t>
      </w:r>
      <w:r w:rsidR="0067605E">
        <w:rPr>
          <w:rFonts w:ascii="Times New Roman" w:hAnsi="Times New Roman"/>
          <w:noProof/>
          <w:color w:val="000000" w:themeColor="text1"/>
          <w:sz w:val="24"/>
        </w:rPr>
        <w:t xml:space="preserve"> n</w:t>
      </w:r>
      <w:r w:rsidR="0067605E">
        <w:rPr>
          <w:rFonts w:ascii="Times New Roman" w:hAnsi="Times New Roman"/>
          <w:noProof/>
          <w:color w:val="000000" w:themeColor="text1"/>
          <w:sz w:val="24"/>
        </w:rPr>
        <w:noBreakHyphen/>
      </w:r>
      <w:r>
        <w:rPr>
          <w:rFonts w:ascii="Times New Roman" w:hAnsi="Times New Roman"/>
          <w:noProof/>
          <w:color w:val="000000" w:themeColor="text1"/>
          <w:sz w:val="24"/>
        </w:rPr>
        <w:t>eintiteas a oibríonn bonneagar criticiúil chun a seirbhísí fíor-riachtanacha a sholáthar don tsochaí agus don gheilleagar. Leis an Treoir maidir le hAthléimneacht Eintiteas Criticiúil, éascaítear comhordú idir na Ballstáit agus leagtar amach próisis mheasúnaithe riosca dóibh féin agus do na heintitis chriticiúla. Iarrann an Coimisiún ar gach Ballstát a áirithiú go dtabharfar aghaidh go sainráite ina measúnú riosca náisiúnta faoin Treoir maidir le hAthléimneacht Eintiteas Criticiúil</w:t>
      </w:r>
      <w:r w:rsidR="002743A3">
        <w:rPr>
          <w:rStyle w:val="FootnoteReference"/>
          <w:rFonts w:ascii="Times New Roman" w:eastAsiaTheme="minorHAnsi" w:hAnsi="Times New Roman" w:cs="Times New Roman"/>
          <w:bCs/>
          <w:noProof/>
          <w:color w:val="000000" w:themeColor="text1"/>
          <w:sz w:val="24"/>
          <w:szCs w:val="24"/>
          <w:lang w:val="en-IE"/>
        </w:rPr>
        <w:footnoteReference w:id="33"/>
      </w:r>
      <w:r>
        <w:rPr>
          <w:rFonts w:ascii="Times New Roman" w:hAnsi="Times New Roman"/>
          <w:noProof/>
          <w:color w:val="000000" w:themeColor="text1"/>
          <w:sz w:val="24"/>
        </w:rPr>
        <w:t xml:space="preserve"> ar athléimneacht fhadtéarmach na</w:t>
      </w:r>
      <w:r w:rsidR="0067605E">
        <w:rPr>
          <w:rFonts w:ascii="Times New Roman" w:hAnsi="Times New Roman"/>
          <w:noProof/>
          <w:color w:val="000000" w:themeColor="text1"/>
          <w:sz w:val="24"/>
        </w:rPr>
        <w:t xml:space="preserve"> n</w:t>
      </w:r>
      <w:r w:rsidR="0067605E">
        <w:rPr>
          <w:rFonts w:ascii="Times New Roman" w:hAnsi="Times New Roman"/>
          <w:noProof/>
          <w:color w:val="000000" w:themeColor="text1"/>
          <w:sz w:val="24"/>
        </w:rPr>
        <w:noBreakHyphen/>
      </w:r>
      <w:r>
        <w:rPr>
          <w:rFonts w:ascii="Times New Roman" w:hAnsi="Times New Roman"/>
          <w:noProof/>
          <w:color w:val="000000" w:themeColor="text1"/>
          <w:sz w:val="24"/>
        </w:rPr>
        <w:t>eintiteas atá faoin raon feidhme i leith rioscaí aeráide agus iarrann sé ar na Ballstáit é sin a dhéanamh roimh spriocdháta 2026 a leagtar síos sa Treoir. Déantar cuid den bhonneagar criticiúil a chomhaontú agus a chómhaoiniú ar leibhéal an Aontais, amhail na gréasáin thras-Eorpacha TEN-T agus TEN-E, ach déantar é freisin i gcás ospidéal agus scoileanna atá cistithe ag an Aontas mar shampla. Déanfaidh an Coimisiún na treoirdhoiciméid earnála ábhartha a thabhairt cothrom le dáta agus a fhorbairt. Ba cheart na sonraí agus na seirbhísí satailíte atá ar fáil a úsáid ina</w:t>
      </w:r>
      <w:r w:rsidR="0067605E">
        <w:rPr>
          <w:rFonts w:ascii="Times New Roman" w:hAnsi="Times New Roman"/>
          <w:noProof/>
          <w:color w:val="000000" w:themeColor="text1"/>
          <w:sz w:val="24"/>
        </w:rPr>
        <w:t xml:space="preserve"> n</w:t>
      </w:r>
      <w:r w:rsidR="0067605E">
        <w:rPr>
          <w:rFonts w:ascii="Times New Roman" w:hAnsi="Times New Roman"/>
          <w:noProof/>
          <w:color w:val="000000" w:themeColor="text1"/>
          <w:sz w:val="24"/>
        </w:rPr>
        <w:noBreakHyphen/>
      </w:r>
      <w:r>
        <w:rPr>
          <w:rFonts w:ascii="Times New Roman" w:hAnsi="Times New Roman"/>
          <w:noProof/>
          <w:color w:val="000000" w:themeColor="text1"/>
          <w:sz w:val="24"/>
        </w:rPr>
        <w:t>iomláine chun athléimneacht an bhonneagair chriticiúil in aghaidh rioscaí aeráide a neartú.</w:t>
      </w:r>
    </w:p>
    <w:p w14:paraId="795A775E" w14:textId="29422E39" w:rsidR="00206BE3" w:rsidRPr="00915255" w:rsidRDefault="00493B26" w:rsidP="00A632E5">
      <w:pPr>
        <w:spacing w:after="120"/>
        <w:jc w:val="both"/>
        <w:rPr>
          <w:rFonts w:ascii="Times New Roman" w:eastAsiaTheme="minorHAnsi" w:hAnsi="Times New Roman" w:cs="Times New Roman"/>
          <w:bCs/>
          <w:noProof/>
          <w:color w:val="000000" w:themeColor="text1"/>
          <w:sz w:val="24"/>
          <w:szCs w:val="24"/>
        </w:rPr>
      </w:pPr>
      <w:r>
        <w:rPr>
          <w:rFonts w:ascii="Times New Roman" w:hAnsi="Times New Roman"/>
          <w:noProof/>
          <w:color w:val="000000" w:themeColor="text1"/>
          <w:sz w:val="24"/>
          <w:u w:val="single"/>
        </w:rPr>
        <w:t>Dlúthpháirtíocht ar leibhéal an Aontais a nascadh le bearta athléimneachta náisiúnta leordhóthanacha.</w:t>
      </w:r>
      <w:r>
        <w:rPr>
          <w:rFonts w:ascii="Times New Roman" w:hAnsi="Times New Roman"/>
          <w:noProof/>
          <w:color w:val="000000" w:themeColor="text1"/>
          <w:sz w:val="24"/>
        </w:rPr>
        <w:t xml:space="preserve"> Má bhíonn na hacmhainneachtaí náisiúnta faoi bhrú, féadfar leas a bhaint as acmhainneachtaí cosanta sibhialta agus sásraí dlúthpháirtíochta eile ar leibhéal an Aontais (lena</w:t>
      </w:r>
      <w:r w:rsidR="0067605E">
        <w:rPr>
          <w:rFonts w:ascii="Times New Roman" w:hAnsi="Times New Roman"/>
          <w:noProof/>
          <w:color w:val="000000" w:themeColor="text1"/>
          <w:sz w:val="24"/>
        </w:rPr>
        <w:t xml:space="preserve"> n</w:t>
      </w:r>
      <w:r w:rsidR="0067605E">
        <w:rPr>
          <w:rFonts w:ascii="Times New Roman" w:hAnsi="Times New Roman"/>
          <w:noProof/>
          <w:color w:val="000000" w:themeColor="text1"/>
          <w:sz w:val="24"/>
        </w:rPr>
        <w:noBreakHyphen/>
      </w:r>
      <w:r>
        <w:rPr>
          <w:rFonts w:ascii="Times New Roman" w:hAnsi="Times New Roman"/>
          <w:noProof/>
          <w:color w:val="000000" w:themeColor="text1"/>
          <w:sz w:val="24"/>
        </w:rPr>
        <w:t>áirítear Sásra an Aontais um Chosaint Shibhialta, Ciste Dlúthpháirtíochta an Aontais, infheistíochtaí struchtúracha an bheartais chomhtháthaithe, uirlisí áirithe faoin gcomhbheartas talmhaíochta agus pacáistí tacaíochta earnála eile) chun daoine a chosaint ar thionchair aeráide agus chun cuidiú leo téarnamh níos tapúla. Mar sin féin, tá brú ar acmhainneachtaí ar an leibhéal náisiúnta agus ar leibhéal an Aontais cheana féin agus leanfaidh brúnna riosca de bheith ag méadú. Ó bhí 2019 ann, rinneadh Sásra an Aontais um Chosaint Shibhialta a ghníomhachtú agus rinne sé cúnamh a chomhordú 76 uair i mBallstáit an Aontais agus i dtríú tíortha le haghaidh cásanna éigeandála a bhaineann leis an aeráid (tuilte móra, falscaithe, stoirmeacha agus géarthriomach). Caitheadh os cionn EUR 8,6 billiún trí Chiste Dlúthpháirtíochta an Aontais Eorpaigh chun tacú le 24 Bhallstát agus le 4 thír aontachais tar éis 110 dtubaiste de dheasca guaiseacha nádúrtha.</w:t>
      </w:r>
    </w:p>
    <w:p w14:paraId="1EA25121" w14:textId="77777777" w:rsidR="00953775" w:rsidRPr="001A3A0E" w:rsidRDefault="00992300" w:rsidP="00A632E5">
      <w:pPr>
        <w:spacing w:after="120"/>
        <w:jc w:val="both"/>
        <w:rPr>
          <w:rFonts w:ascii="Times New Roman" w:eastAsiaTheme="minorHAnsi" w:hAnsi="Times New Roman" w:cs="Times New Roman"/>
          <w:noProof/>
          <w:sz w:val="24"/>
          <w:szCs w:val="24"/>
        </w:rPr>
      </w:pPr>
      <w:r>
        <w:rPr>
          <w:rFonts w:ascii="Times New Roman" w:hAnsi="Times New Roman"/>
          <w:noProof/>
          <w:color w:val="000000" w:themeColor="text1"/>
          <w:sz w:val="24"/>
        </w:rPr>
        <w:t>Ní mór acmhainní leordhóthanacha a chur ar fáil do na sásraí dlúthpháirtíochta chun a áirithiú gur féidir leis an Aontas cuidiú leo siúd atá i ngátar. Ní mór féachaint chuige go mbeidh na córais agus na sócmhainní cosanta sibhialta slán i bhfad na haimsire, trí infheistíocht a dhéanamh i mbainistiú riosca tubaistí an Aontais agus na mBallstát, in acmhainneachtaí freagartha agus i saineolas is féidir a úsáid go tapa thar theorainneacha. Leis sin, ba cheart rioscaí aeráide a chomhtháthú go hiomlán sna próisis bainistithe riosca tubaistí, mar a leagtar amach i spriocanna an Aontais maidir le hathléimneacht ó thubaistí</w:t>
      </w:r>
      <w:r w:rsidR="009C6C0A" w:rsidRPr="00915255">
        <w:rPr>
          <w:rStyle w:val="FootnoteReference"/>
          <w:rFonts w:ascii="Times New Roman" w:hAnsi="Times New Roman" w:cs="Times New Roman"/>
          <w:noProof/>
          <w:color w:val="000000" w:themeColor="text1"/>
          <w:sz w:val="24"/>
          <w:szCs w:val="24"/>
          <w:lang w:val="en-IE"/>
        </w:rPr>
        <w:footnoteReference w:id="34"/>
      </w:r>
      <w:r>
        <w:rPr>
          <w:rFonts w:ascii="Times New Roman" w:hAnsi="Times New Roman"/>
          <w:noProof/>
          <w:color w:val="000000" w:themeColor="text1"/>
          <w:sz w:val="24"/>
        </w:rPr>
        <w:t xml:space="preserve"> agus sa tuarascáil ón gCoimisiún maidir le bainistiú riosca coisc i dtaca le rioscaí tubaiste san Eoraip</w:t>
      </w:r>
      <w:r w:rsidR="009C6C0A" w:rsidRPr="00915255">
        <w:rPr>
          <w:rFonts w:ascii="Times New Roman" w:hAnsi="Times New Roman" w:cs="Times New Roman"/>
          <w:noProof/>
          <w:color w:val="000000" w:themeColor="text1"/>
          <w:sz w:val="24"/>
          <w:szCs w:val="24"/>
          <w:vertAlign w:val="superscript"/>
          <w:lang w:val="en-IE"/>
        </w:rPr>
        <w:footnoteReference w:id="35"/>
      </w:r>
      <w:r>
        <w:rPr>
          <w:rFonts w:ascii="Times New Roman" w:hAnsi="Times New Roman"/>
          <w:noProof/>
          <w:color w:val="000000" w:themeColor="text1"/>
          <w:sz w:val="24"/>
        </w:rPr>
        <w:t xml:space="preserve">. Ós rud é gur féidir le hacmhainneachtaí freagartha agus téarnaimh an Aontais a bheith ídithe agus rioscaí ag dul i méid, breithneoidh an Coimisiún conas is féidir leis na sásraí dlúthpháirtíochta na Ballstáit a dhreasú ar bhealach níos fearr chun réamhghníomhaíochtaí leordhóthanacha a dhéanamh maidir le príomhrioscaí ar mhaithe leis an inbhuanaitheacht fhioscach, agus bainistiú riosca tubaistí, ullmhacht agus freagairt an Aontais á neartú san am céanna. </w:t>
      </w:r>
    </w:p>
    <w:p w14:paraId="540F1BC1" w14:textId="77777777" w:rsidR="00114A90" w:rsidRPr="0067605E" w:rsidRDefault="00114A90" w:rsidP="004615FF">
      <w:pPr>
        <w:spacing w:after="120" w:line="240" w:lineRule="auto"/>
        <w:jc w:val="both"/>
        <w:rPr>
          <w:rFonts w:ascii="Times New Roman" w:eastAsiaTheme="minorHAnsi" w:hAnsi="Times New Roman" w:cs="Times New Roman"/>
          <w:bCs/>
          <w:noProof/>
          <w:color w:val="000000" w:themeColor="text1"/>
          <w:sz w:val="24"/>
          <w:szCs w:val="24"/>
        </w:rPr>
      </w:pPr>
    </w:p>
    <w:p w14:paraId="62A8A0DD" w14:textId="77777777" w:rsidR="00775598" w:rsidRPr="00420C4C" w:rsidRDefault="009D7A8F" w:rsidP="00B2476E">
      <w:pPr>
        <w:pStyle w:val="Heading2"/>
        <w:ind w:left="1565" w:hanging="431"/>
        <w:rPr>
          <w:rFonts w:ascii="Times New Roman" w:hAnsi="Times New Roman" w:cs="Times New Roman"/>
          <w:b/>
          <w:bCs/>
          <w:noProof/>
          <w:color w:val="000000" w:themeColor="text1"/>
          <w:sz w:val="24"/>
          <w:szCs w:val="24"/>
        </w:rPr>
      </w:pPr>
      <w:bookmarkStart w:id="42" w:name="_Toc157700411"/>
      <w:bookmarkStart w:id="43" w:name="_Toc159792205"/>
      <w:bookmarkEnd w:id="42"/>
      <w:r>
        <w:rPr>
          <w:rFonts w:ascii="Times New Roman" w:hAnsi="Times New Roman"/>
          <w:b/>
          <w:noProof/>
          <w:color w:val="000000" w:themeColor="text1"/>
          <w:sz w:val="24"/>
        </w:rPr>
        <w:t>Na réamhchoinníollacha cearta chun an athléimneacht in aghaidh an athraithe aeráide a mhaoiniú</w:t>
      </w:r>
      <w:bookmarkEnd w:id="43"/>
    </w:p>
    <w:p w14:paraId="7A3031BF" w14:textId="77777777" w:rsidR="00BF6EC7" w:rsidRPr="00D2112F" w:rsidRDefault="00BF6EC7" w:rsidP="00B11E0C">
      <w:pPr>
        <w:jc w:val="both"/>
        <w:textAlignment w:val="baseline"/>
        <w:rPr>
          <w:rFonts w:ascii="Times New Roman" w:eastAsia="Times New Roman" w:hAnsi="Times New Roman" w:cs="Times New Roman"/>
          <w:noProof/>
          <w:color w:val="000000" w:themeColor="text1"/>
          <w:sz w:val="24"/>
          <w:szCs w:val="24"/>
          <w:lang w:eastAsia="en-IE"/>
        </w:rPr>
      </w:pPr>
    </w:p>
    <w:p w14:paraId="25F16912" w14:textId="2EF39DD4" w:rsidR="00CC5085" w:rsidRPr="00915255" w:rsidRDefault="00EE0C15" w:rsidP="41D030ED">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Ní mór do lucht ceaptha beartas, infheisteoirí agus gnólachtaí tuiscint a fháil ar na riachtanais agus na bearnaí atá ann ó thaobh na hinfheistíochta agus na cosanta de, idirghabhálacha spriocdhírithe a cheapadh bunaithe ar an tionchar agus ar an bpráinn a d’fhéadfadh a bheith ag baint leo, dul i dteagmháil le húinéirí riosca agus straitéisí maoinithe fadtéarmacha a chruthú. Chun rioscaí aeráide a bhainistiú go héifeachtach, ba cheart caiteachas poiblí ar leibhéal an Aontais agus ar an leibhéal náisiúnta, lena</w:t>
      </w:r>
      <w:r w:rsidR="0067605E">
        <w:rPr>
          <w:rFonts w:ascii="Times New Roman" w:hAnsi="Times New Roman"/>
          <w:noProof/>
          <w:color w:val="000000" w:themeColor="text1"/>
          <w:sz w:val="24"/>
        </w:rPr>
        <w:t xml:space="preserve"> n</w:t>
      </w:r>
      <w:r w:rsidR="0067605E">
        <w:rPr>
          <w:rFonts w:ascii="Times New Roman" w:hAnsi="Times New Roman"/>
          <w:noProof/>
          <w:color w:val="000000" w:themeColor="text1"/>
          <w:sz w:val="24"/>
        </w:rPr>
        <w:noBreakHyphen/>
      </w:r>
      <w:r>
        <w:rPr>
          <w:rFonts w:ascii="Times New Roman" w:hAnsi="Times New Roman"/>
          <w:noProof/>
          <w:color w:val="000000" w:themeColor="text1"/>
          <w:sz w:val="24"/>
        </w:rPr>
        <w:t>áirítear infheistíochtaí sóisialta, agus dreasachtaí le haghaidh infheistíocht phríobháideach a cheapadh ar bhealach lena gcuirfear cosc ar shuaitheadh a bhaineann leis an aeráid agus lena ndéanfar dochar don rogha is fearr ó thaobh an gheilleagair de. Ní mór comhlíonadh na rialacha maidir leis an státchabhair a áirithiú. Tugtar le tuiscint leis sin:</w:t>
      </w:r>
    </w:p>
    <w:p w14:paraId="3958949B" w14:textId="77777777" w:rsidR="008733E5" w:rsidRPr="00BE25FA" w:rsidRDefault="008733E5" w:rsidP="00774220">
      <w:pPr>
        <w:spacing w:after="120"/>
        <w:jc w:val="both"/>
        <w:textAlignment w:val="baseline"/>
        <w:rPr>
          <w:rFonts w:ascii="Times New Roman" w:hAnsi="Times New Roman"/>
          <w:noProof/>
          <w:color w:val="000000" w:themeColor="text1"/>
          <w:sz w:val="24"/>
          <w:highlight w:val="yellow"/>
          <w:u w:val="single"/>
        </w:rPr>
      </w:pPr>
      <w:r>
        <w:rPr>
          <w:rFonts w:ascii="Times New Roman" w:hAnsi="Times New Roman"/>
          <w:noProof/>
          <w:color w:val="000000" w:themeColor="text1"/>
          <w:sz w:val="24"/>
          <w:u w:val="single"/>
        </w:rPr>
        <w:t xml:space="preserve">A áirithiú go mbeidh caiteachas an Aontais athléimneach in aghaidh an athraithe aeráide. </w:t>
      </w:r>
      <w:r>
        <w:rPr>
          <w:rFonts w:ascii="Times New Roman" w:hAnsi="Times New Roman"/>
          <w:noProof/>
          <w:color w:val="000000" w:themeColor="text1"/>
          <w:sz w:val="24"/>
        </w:rPr>
        <w:t>Déanfaidh an Coimisiún breithnithe maidir leis an oiriúnú don athrú aeráide a chomhtháthú i gcur chun feidhme chláir agus ghníomhaíochtaí an Aontais mar chuid den phrionsabal ‘gan dochar suntasach a dhéanamh’ a leagtar síos sa Rialachán Airgeadais don chreat airgeadais ilbhliantúil tar éis 2027, i gcás inarb indéanta agus inarb iomchuí. Áiritheofar leis sin go rannchuideoidh cláir ábhartha uile an Aontais leis an athléimneacht in aghaidh an athraithe aeráide.</w:t>
      </w:r>
    </w:p>
    <w:p w14:paraId="1649D993" w14:textId="77777777" w:rsidR="00E06696" w:rsidRPr="001A3A0E" w:rsidRDefault="0004542D" w:rsidP="00B160B9">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Athléimneacht in aghaidh an athraithe aeráide a leabú sa soláthar poiblí</w:t>
      </w:r>
      <w:r>
        <w:rPr>
          <w:rFonts w:ascii="Times New Roman" w:hAnsi="Times New Roman"/>
          <w:noProof/>
          <w:color w:val="000000" w:themeColor="text1"/>
          <w:sz w:val="24"/>
        </w:rPr>
        <w:t>. 14 % de OTI an Aontais atá sa soláthar poiblí agus ní mór rioscaí aeráide a chur san áireamh ann. I gcás cinntí bonneagair go háirithe, tá ról lárnach ag an mbeartas seo maidir le tacú le hathléimneacht sócmhainní in aghaidh an athraithe aeráide agus le feasacht agus eolas cuideachtaí tairisceana ar an athléimneacht in aghaidh an athraithe aeráide. Déanfaidh an Coimisiún rioscaí aeráide a mheas mar ghné i gcás athbhreithniú ar an gcreat rialála le haghaidh soláthair. Go comhthreomhar, iarrann sé ar na Ballstáit rioscaí aeráide a chur san áireamh, i measc nithe eile, agus critéir inbhuanaitheachta comhshaoil á gcur san áireamh i dtairiscintí iomaíocha, mar shampla trí dhlús a chur le cur chun feidhme fhorálacha an Ghnímh um an Tionscal Glan-Nialasachta</w:t>
      </w:r>
      <w:r w:rsidR="00CA7DFD">
        <w:rPr>
          <w:rStyle w:val="FootnoteReference"/>
          <w:rFonts w:ascii="Times New Roman" w:eastAsia="Times New Roman" w:hAnsi="Times New Roman" w:cs="Times New Roman"/>
          <w:noProof/>
          <w:color w:val="000000" w:themeColor="text1"/>
          <w:sz w:val="24"/>
          <w:szCs w:val="24"/>
          <w:lang w:val="en-IE" w:eastAsia="en-IE"/>
        </w:rPr>
        <w:footnoteReference w:id="36"/>
      </w:r>
      <w:r>
        <w:rPr>
          <w:rFonts w:ascii="Times New Roman" w:hAnsi="Times New Roman"/>
          <w:noProof/>
          <w:color w:val="000000" w:themeColor="text1"/>
          <w:sz w:val="24"/>
        </w:rPr>
        <w:t xml:space="preserve"> maidir le critéir neamhphraghais i ndearadh na tairisceana. </w:t>
      </w:r>
    </w:p>
    <w:p w14:paraId="2A2C9905" w14:textId="77777777" w:rsidR="003E4442" w:rsidRPr="000B0E9A" w:rsidRDefault="003E4442" w:rsidP="00D7031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Maoiniú a shlógadh chun athléimneacht a chothú</w:t>
      </w:r>
      <w:r>
        <w:rPr>
          <w:rFonts w:ascii="Times New Roman" w:hAnsi="Times New Roman"/>
          <w:noProof/>
          <w:color w:val="000000" w:themeColor="text1"/>
          <w:sz w:val="24"/>
        </w:rPr>
        <w:t xml:space="preserve">. Tá sé ríthábhachtach infheistíocht phríobháideach a mhealladh agus a éascú chun aghaidh a thabhairt go rathúil ar rioscaí aeráide agus chun an athléimneacht in aghaidh an athraithe aeráide a chothú. Agus an Coimisiún ag cur le hobair an Idirphlé maidir leis an Athléimneacht in aghaidh an Athraithe Aeráide agus le hobair ábhartha eile, tionólfaidh sé Meitheal Mhachnaimh shealadach maidir le Maoiniú na hAthléimneachta in aghaidh an Athraithe Aeráide a shlógadh chun machnamh a dhéanamh ar conas maoiniú na hathléimneachta in aghaidh an athraithe aeráide a éascú. Leis an Meitheal Mhachnaimh, tabharfar le chéile príomhghníomhaithe tionsclaíocha agus ionadaithe ó institiúidí airgeadais poiblí agus príobháideacha. Féadfaidh sé leas a bhaint freisin as eolas an Bhainc Eorpaigh Infheistíochta agus an Údaráis Eorpaigh um Árachas agus Pinsin Cheirde i réimse mhaoiniú an oiriúnaithe agus na forbartha athléimneachta. Déanfaidh sé dea-chleachtais a mhapáil agus sainaithneoidh sé bacainní agus coinníollacha cumasúcháin maidir leis an athléimneacht in aghaidh an athraithe aeráide a mhaoiniú. Cuirfidh an Coimisiún toradh an phlé sin san áireamh d’fhonn maoiniú le haghaidh na hathléimneachta in aghaidh an athraithe aeráide a neartú. </w:t>
      </w:r>
    </w:p>
    <w:p w14:paraId="0BF72CA3" w14:textId="77777777" w:rsidR="0053389F" w:rsidRPr="00420C4C" w:rsidRDefault="0053389F" w:rsidP="00B2476E">
      <w:pPr>
        <w:pStyle w:val="Heading1"/>
        <w:numPr>
          <w:ilvl w:val="0"/>
          <w:numId w:val="1"/>
        </w:numPr>
        <w:ind w:left="357" w:hanging="357"/>
        <w:rPr>
          <w:rFonts w:ascii="Times New Roman" w:hAnsi="Times New Roman" w:cs="Times New Roman"/>
          <w:b/>
          <w:bCs/>
          <w:noProof/>
          <w:color w:val="000000" w:themeColor="text1"/>
          <w:sz w:val="24"/>
          <w:szCs w:val="24"/>
        </w:rPr>
      </w:pPr>
      <w:bookmarkStart w:id="44" w:name="_Toc159792206"/>
      <w:r>
        <w:rPr>
          <w:rFonts w:ascii="Times New Roman" w:hAnsi="Times New Roman"/>
          <w:b/>
          <w:noProof/>
          <w:color w:val="000000" w:themeColor="text1"/>
          <w:sz w:val="24"/>
        </w:rPr>
        <w:t>Príomhghníomhaíochtaí an Aontais sna príomhbhraislí tionchair</w:t>
      </w:r>
      <w:bookmarkEnd w:id="44"/>
      <w:r>
        <w:rPr>
          <w:rFonts w:ascii="Times New Roman" w:hAnsi="Times New Roman"/>
          <w:b/>
          <w:noProof/>
          <w:color w:val="000000" w:themeColor="text1"/>
          <w:sz w:val="24"/>
        </w:rPr>
        <w:t xml:space="preserve"> </w:t>
      </w:r>
    </w:p>
    <w:p w14:paraId="24781832" w14:textId="77777777" w:rsidR="0004542D" w:rsidRPr="0067605E" w:rsidRDefault="0004542D" w:rsidP="00B11E0C">
      <w:pPr>
        <w:jc w:val="both"/>
        <w:textAlignment w:val="baseline"/>
        <w:rPr>
          <w:rFonts w:ascii="Times New Roman" w:eastAsia="Times New Roman" w:hAnsi="Times New Roman" w:cs="Times New Roman"/>
          <w:noProof/>
          <w:color w:val="000000" w:themeColor="text1"/>
          <w:sz w:val="24"/>
          <w:szCs w:val="24"/>
          <w:lang w:eastAsia="en-IE"/>
        </w:rPr>
      </w:pPr>
    </w:p>
    <w:p w14:paraId="2E450BBC" w14:textId="77777777" w:rsidR="00F435E9" w:rsidRDefault="00782A85" w:rsidP="00FE40B8">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Is iomaí nasc idir rioscaí aeráide agus beartais an Aontais. </w:t>
      </w:r>
      <w:bookmarkStart w:id="45" w:name="_Hlk157872449"/>
      <w:r>
        <w:rPr>
          <w:rFonts w:ascii="Times New Roman" w:hAnsi="Times New Roman"/>
          <w:b/>
          <w:noProof/>
          <w:color w:val="000000" w:themeColor="text1"/>
          <w:sz w:val="24"/>
        </w:rPr>
        <w:t>Tá próisis chinnteoireachta, a d’fhéadfadh rioscaí aeráide a chur san áireamh, i bhformhór bheartais an Aontais cheana féin. Cuirfidh saibhreas na fianaise a chuirtear chun cinn i dtuarascáil EUCRA leis na próisis sin</w:t>
      </w:r>
      <w:bookmarkEnd w:id="45"/>
      <w:r>
        <w:rPr>
          <w:rFonts w:ascii="Times New Roman" w:hAnsi="Times New Roman"/>
          <w:b/>
          <w:noProof/>
          <w:color w:val="000000" w:themeColor="text1"/>
          <w:sz w:val="24"/>
        </w:rPr>
        <w:t xml:space="preserve">. </w:t>
      </w:r>
      <w:r>
        <w:rPr>
          <w:rFonts w:ascii="Times New Roman" w:hAnsi="Times New Roman"/>
          <w:noProof/>
          <w:color w:val="000000" w:themeColor="text1"/>
          <w:sz w:val="24"/>
        </w:rPr>
        <w:t>Leagtar amach sa roinn seo gníomhaíochtaí sonracha le haghaidh braislí roghnaithe a ndéantar difear dóibh agus cuirfidh an Coimisiún ar aghaidh iad, sa bhreis ar an obair atá ar siúl cheana féin.</w:t>
      </w:r>
    </w:p>
    <w:p w14:paraId="29DFEF69" w14:textId="77777777" w:rsidR="00234B23" w:rsidRPr="0067605E" w:rsidRDefault="00234B23" w:rsidP="00FE40B8">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0EF046E5" w14:textId="77777777" w:rsidR="004E2378" w:rsidRPr="00420C4C" w:rsidRDefault="007965EF"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46" w:name="_Toc159792207"/>
      <w:r>
        <w:rPr>
          <w:rFonts w:ascii="Times New Roman" w:hAnsi="Times New Roman"/>
          <w:b/>
          <w:noProof/>
          <w:color w:val="000000" w:themeColor="text1"/>
          <w:sz w:val="24"/>
        </w:rPr>
        <w:t>Éiceachórais nádúrtha</w:t>
      </w:r>
      <w:bookmarkEnd w:id="46"/>
    </w:p>
    <w:p w14:paraId="32DC7810" w14:textId="77777777" w:rsidR="00C4304F" w:rsidRPr="00915255" w:rsidRDefault="00C4304F" w:rsidP="00291D56">
      <w:pPr>
        <w:spacing w:line="240" w:lineRule="auto"/>
        <w:jc w:val="both"/>
        <w:rPr>
          <w:rFonts w:ascii="Times New Roman" w:hAnsi="Times New Roman" w:cs="Times New Roman"/>
          <w:noProof/>
          <w:color w:val="000000" w:themeColor="text1"/>
          <w:sz w:val="24"/>
          <w:szCs w:val="24"/>
          <w:lang w:val="en-IE" w:eastAsia="en-IE"/>
        </w:rPr>
      </w:pPr>
    </w:p>
    <w:p w14:paraId="4EF6D27B" w14:textId="74EF4F43" w:rsidR="00291D56" w:rsidRPr="00915255" w:rsidRDefault="0031372F" w:rsidP="00A632E5">
      <w:pPr>
        <w:spacing w:after="120"/>
        <w:jc w:val="both"/>
        <w:rPr>
          <w:rFonts w:ascii="Times New Roman" w:hAnsi="Times New Roman" w:cs="Times New Roman"/>
          <w:noProof/>
          <w:color w:val="000000" w:themeColor="text1"/>
          <w:sz w:val="24"/>
          <w:szCs w:val="24"/>
        </w:rPr>
      </w:pPr>
      <w:bookmarkStart w:id="47" w:name="_Hlk158191442"/>
      <w:r>
        <w:rPr>
          <w:rFonts w:ascii="Times New Roman" w:hAnsi="Times New Roman"/>
          <w:noProof/>
          <w:sz w:val="24"/>
        </w:rPr>
        <w:t xml:space="preserve">Seachas an bhithéagsúlacht féin a chothú, soláthraíonn </w:t>
      </w:r>
      <w:r>
        <w:rPr>
          <w:rFonts w:ascii="Times New Roman" w:hAnsi="Times New Roman"/>
          <w:noProof/>
          <w:color w:val="000000" w:themeColor="text1"/>
          <w:sz w:val="24"/>
        </w:rPr>
        <w:t xml:space="preserve">éiceachórais nádúrtha seirbhísí a thacaíonn leis an mbeatha amhail fionnuisce, bia agus bithábhar, ceapadh carbóin, rialú creimthe ithreach agus cósta, cosc ar thuilte agus ar thriomaigh, fuarú limistéar uirbeach a bhfuil daonra mór iontu. Meastar go bhfuil níos mó ná leath de OTI iomlán an domhain ag brath go measartha nó go mór ar an dúlra agus ar an mbithéagsúlacht. Tá éiceachórais shláintiúla féinchothromaithe, ach is féidir le héiceachórais cliseadh go tapa freisin má sháraítear tairseacha criticiúla. </w:t>
      </w:r>
      <w:r>
        <w:rPr>
          <w:rFonts w:ascii="Times New Roman" w:hAnsi="Times New Roman"/>
          <w:noProof/>
          <w:sz w:val="24"/>
        </w:rPr>
        <w:t>Imreofar an tionchar díobhálach is práinní ar an tslándáil bia, ar phobail áitiúla agus ar na hearnálacha eacnamaíocha sin is mó atá ag brath ar dhúlra sláintiúil</w:t>
      </w:r>
      <w:r>
        <w:rPr>
          <w:rFonts w:ascii="Times New Roman" w:hAnsi="Times New Roman"/>
          <w:noProof/>
          <w:color w:val="000000" w:themeColor="text1"/>
          <w:sz w:val="24"/>
        </w:rPr>
        <w:t>. Chun athléimneacht na</w:t>
      </w:r>
      <w:r w:rsidR="0067605E">
        <w:rPr>
          <w:rFonts w:ascii="Times New Roman" w:hAnsi="Times New Roman"/>
          <w:noProof/>
          <w:color w:val="000000" w:themeColor="text1"/>
          <w:sz w:val="24"/>
        </w:rPr>
        <w:t xml:space="preserve"> n</w:t>
      </w:r>
      <w:r w:rsidR="0067605E">
        <w:rPr>
          <w:rFonts w:ascii="Times New Roman" w:hAnsi="Times New Roman"/>
          <w:noProof/>
          <w:color w:val="000000" w:themeColor="text1"/>
          <w:sz w:val="24"/>
        </w:rPr>
        <w:noBreakHyphen/>
      </w:r>
      <w:r>
        <w:rPr>
          <w:rFonts w:ascii="Times New Roman" w:hAnsi="Times New Roman"/>
          <w:noProof/>
          <w:color w:val="000000" w:themeColor="text1"/>
          <w:sz w:val="24"/>
        </w:rPr>
        <w:t>éiceachóras agus na seirbhísí a sholáthraíonn siad a choinneáil ar bun agus a athbhunú, ní mór thart ar 30-50 % de thalamh, d’fhionnuisce agus d’aigéin an Domhain a chaomhnú ar bhealach éifeachtach agus cothrom</w:t>
      </w:r>
      <w:r>
        <w:rPr>
          <w:rStyle w:val="FootnoteReference"/>
          <w:rFonts w:ascii="Times New Roman" w:hAnsi="Times New Roman"/>
          <w:noProof/>
          <w:color w:val="000000" w:themeColor="text1"/>
          <w:sz w:val="24"/>
        </w:rPr>
        <w:t xml:space="preserve"> </w:t>
      </w:r>
      <w:r w:rsidR="00CA14DC" w:rsidRPr="00915255">
        <w:rPr>
          <w:rStyle w:val="FootnoteReference"/>
          <w:rFonts w:ascii="Times New Roman" w:hAnsi="Times New Roman" w:cs="Times New Roman"/>
          <w:noProof/>
          <w:color w:val="000000" w:themeColor="text1"/>
          <w:sz w:val="24"/>
          <w:szCs w:val="24"/>
          <w:lang w:val="en-IE" w:eastAsia="en-IE"/>
        </w:rPr>
        <w:footnoteReference w:id="37"/>
      </w:r>
      <w:r>
        <w:rPr>
          <w:rFonts w:ascii="Times New Roman" w:hAnsi="Times New Roman"/>
          <w:noProof/>
          <w:color w:val="000000" w:themeColor="text1"/>
          <w:sz w:val="24"/>
        </w:rPr>
        <w:t xml:space="preserve">.  </w:t>
      </w:r>
    </w:p>
    <w:bookmarkEnd w:id="47"/>
    <w:p w14:paraId="6DF59C43" w14:textId="68D37C74" w:rsidR="00295851" w:rsidRPr="001A3A0E" w:rsidRDefault="00463836"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 xml:space="preserve">Is féidir le réitigh dhúlrabhunaithe a sheasfaidh an aimsir a bheith costéifeachtach agus is féidir leo an athléimneacht a mhéadú agus ba cheart iad a bheith ar an gcéad rogha </w:t>
      </w:r>
      <w:r>
        <w:rPr>
          <w:rFonts w:ascii="Times New Roman" w:hAnsi="Times New Roman"/>
          <w:noProof/>
          <w:sz w:val="24"/>
        </w:rPr>
        <w:t xml:space="preserve">maidir leis an oiriúnú don athrú aeráide </w:t>
      </w:r>
      <w:r>
        <w:rPr>
          <w:rFonts w:ascii="Times New Roman" w:hAnsi="Times New Roman"/>
          <w:noProof/>
          <w:color w:val="000000" w:themeColor="text1"/>
          <w:sz w:val="24"/>
        </w:rPr>
        <w:t xml:space="preserve">aon uair is féidir. Chun rioscaí aeráide a bhainistiú go héifeachtach, ní mór éiceachórais a chosaint agus a bhainistiú go cuimsitheach, agus </w:t>
      </w:r>
      <w:r>
        <w:rPr>
          <w:rFonts w:ascii="Times New Roman" w:hAnsi="Times New Roman"/>
          <w:noProof/>
          <w:color w:val="000000" w:themeColor="text1"/>
          <w:sz w:val="24"/>
          <w:u w:val="single"/>
        </w:rPr>
        <w:t>ba cheart caipiteal nádúrtha a chur san áireamh go hiomlán sna measúnuithe ar rachmas agus ar ghníomhaíocht eacnamaíoch</w:t>
      </w:r>
      <w:r w:rsidR="00E01EF8" w:rsidRPr="000C2827">
        <w:rPr>
          <w:rStyle w:val="FootnoteReference"/>
          <w:rFonts w:ascii="Times New Roman" w:hAnsi="Times New Roman" w:cs="Times New Roman"/>
          <w:noProof/>
          <w:color w:val="000000" w:themeColor="text1"/>
          <w:sz w:val="24"/>
          <w:szCs w:val="24"/>
          <w:u w:val="single"/>
          <w:lang w:val="en-IE" w:eastAsia="en-IE"/>
        </w:rPr>
        <w:footnoteReference w:id="38"/>
      </w:r>
      <w:r>
        <w:rPr>
          <w:rFonts w:ascii="Times New Roman" w:hAnsi="Times New Roman"/>
          <w:noProof/>
          <w:color w:val="000000" w:themeColor="text1"/>
          <w:sz w:val="24"/>
        </w:rPr>
        <w:t xml:space="preserve"> agus úsáid á baint as dul chun cinn modheolaíoch a rinneadh le déanaí</w:t>
      </w:r>
      <w:r>
        <w:rPr>
          <w:rFonts w:ascii="Times New Roman" w:hAnsi="Times New Roman"/>
          <w:noProof/>
          <w:sz w:val="24"/>
        </w:rPr>
        <w:t xml:space="preserve">. </w:t>
      </w:r>
      <w:r>
        <w:rPr>
          <w:rFonts w:ascii="Times New Roman" w:hAnsi="Times New Roman"/>
          <w:noProof/>
          <w:color w:val="000000" w:themeColor="text1"/>
          <w:sz w:val="24"/>
        </w:rPr>
        <w:t>Le cur chun feidhme na dTreoracha maidir le hÉin agus Gnáthóga agus</w:t>
      </w:r>
      <w:r>
        <w:rPr>
          <w:rFonts w:ascii="Times New Roman" w:hAnsi="Times New Roman"/>
          <w:noProof/>
          <w:sz w:val="24"/>
        </w:rPr>
        <w:t xml:space="preserve"> </w:t>
      </w:r>
      <w:r>
        <w:rPr>
          <w:rFonts w:ascii="Times New Roman" w:hAnsi="Times New Roman"/>
          <w:noProof/>
          <w:color w:val="333333"/>
          <w:sz w:val="24"/>
        </w:rPr>
        <w:t>le forbairt</w:t>
      </w:r>
      <w:r>
        <w:rPr>
          <w:rFonts w:ascii="Times New Roman" w:hAnsi="Times New Roman"/>
          <w:noProof/>
          <w:sz w:val="24"/>
        </w:rPr>
        <w:t xml:space="preserve"> </w:t>
      </w:r>
      <w:r>
        <w:rPr>
          <w:rFonts w:ascii="Times New Roman" w:hAnsi="Times New Roman"/>
          <w:noProof/>
          <w:color w:val="000000" w:themeColor="text1"/>
          <w:sz w:val="24"/>
        </w:rPr>
        <w:t>na bpleananna athchóirithe náisiúnta faoin Dlí um Athbhunú an Dúlra atá ar na bacáin, ba cheart sineirgí leis an athléimneacht in aghaidh an athraithe aeráide a áirithiú. Chun tacú leis an oiriúnú don athrú aeráide i limistéir faoi chosaint, tabharfaidh an Coimisiún na treoirlínte maidir le Natura 2000 agus an</w:t>
      </w:r>
      <w:r w:rsidR="0067605E">
        <w:rPr>
          <w:rFonts w:ascii="Times New Roman" w:hAnsi="Times New Roman"/>
          <w:noProof/>
          <w:color w:val="000000" w:themeColor="text1"/>
          <w:sz w:val="24"/>
        </w:rPr>
        <w:t xml:space="preserve"> t</w:t>
      </w:r>
      <w:r w:rsidR="0067605E">
        <w:rPr>
          <w:rFonts w:ascii="Times New Roman" w:hAnsi="Times New Roman"/>
          <w:noProof/>
          <w:color w:val="000000" w:themeColor="text1"/>
          <w:sz w:val="24"/>
        </w:rPr>
        <w:noBreakHyphen/>
      </w:r>
      <w:r>
        <w:rPr>
          <w:rFonts w:ascii="Times New Roman" w:hAnsi="Times New Roman"/>
          <w:noProof/>
          <w:color w:val="000000" w:themeColor="text1"/>
          <w:sz w:val="24"/>
        </w:rPr>
        <w:t>athrú aeráide cothrom le dáta.</w:t>
      </w:r>
    </w:p>
    <w:p w14:paraId="02789F8B" w14:textId="77777777" w:rsidR="00352E3B" w:rsidRPr="00915255" w:rsidRDefault="00C14B2C"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Tá gá le tuilleadh oibre chun </w:t>
      </w:r>
      <w:r>
        <w:rPr>
          <w:rFonts w:ascii="Times New Roman" w:hAnsi="Times New Roman"/>
          <w:noProof/>
          <w:color w:val="000000" w:themeColor="text1"/>
          <w:sz w:val="24"/>
          <w:u w:val="single"/>
        </w:rPr>
        <w:t>suaitheadh mór foraoise a chosc agus chun ullmhacht do shuaitheadh den sórt sin a fheabhsú</w:t>
      </w:r>
      <w:r>
        <w:rPr>
          <w:rFonts w:ascii="Times New Roman" w:hAnsi="Times New Roman"/>
          <w:noProof/>
          <w:color w:val="000000" w:themeColor="text1"/>
          <w:sz w:val="24"/>
        </w:rPr>
        <w:t xml:space="preserve">. Bainfidh an Coimisiún úsáid as gníomhaíochtaí Shásra an Aontais um Chosaint Shibhialta chun cosc ar rioscaí falscaithe a chur chun cinn, bainfidh sé úsáid as na rialacháin atá beartaithe maidir le creat faireacháin le haghaidh foraoisí Eorpacha athléimneacha agus maidir le hábhar atáirgthe foraoise; agus cuirfidh sé brúnna aeráide san áireamh agus meastachán á dhéanamh aige ar rannchuidiú féideartha linnte carbóin le spriocanna glan-nialasacha an Aontais. </w:t>
      </w:r>
    </w:p>
    <w:p w14:paraId="688D4BDE" w14:textId="50988D6D" w:rsidR="002A4652" w:rsidRPr="005120FA" w:rsidRDefault="002D71AA" w:rsidP="00A632E5">
      <w:pPr>
        <w:spacing w:after="120"/>
        <w:jc w:val="both"/>
        <w:rPr>
          <w:rFonts w:ascii="Times New Roman" w:hAnsi="Times New Roman" w:cs="Times New Roman"/>
          <w:noProof/>
          <w:sz w:val="24"/>
          <w:szCs w:val="24"/>
        </w:rPr>
      </w:pPr>
      <w:r>
        <w:rPr>
          <w:rFonts w:ascii="Times New Roman" w:hAnsi="Times New Roman"/>
          <w:noProof/>
          <w:sz w:val="24"/>
        </w:rPr>
        <w:t xml:space="preserve">Ní mór do na Ballstáit </w:t>
      </w:r>
      <w:r>
        <w:rPr>
          <w:rFonts w:ascii="Times New Roman" w:hAnsi="Times New Roman"/>
          <w:noProof/>
          <w:sz w:val="24"/>
          <w:u w:val="single"/>
        </w:rPr>
        <w:t>sláinte na</w:t>
      </w:r>
      <w:r w:rsidR="0067605E">
        <w:rPr>
          <w:rFonts w:ascii="Times New Roman" w:hAnsi="Times New Roman"/>
          <w:noProof/>
          <w:sz w:val="24"/>
          <w:u w:val="single"/>
        </w:rPr>
        <w:t xml:space="preserve"> n</w:t>
      </w:r>
      <w:r w:rsidR="0067605E">
        <w:rPr>
          <w:rFonts w:ascii="Times New Roman" w:hAnsi="Times New Roman"/>
          <w:noProof/>
          <w:sz w:val="24"/>
          <w:u w:val="single"/>
        </w:rPr>
        <w:noBreakHyphen/>
      </w:r>
      <w:r>
        <w:rPr>
          <w:rFonts w:ascii="Times New Roman" w:hAnsi="Times New Roman"/>
          <w:noProof/>
          <w:sz w:val="24"/>
          <w:u w:val="single"/>
        </w:rPr>
        <w:t>éiceachóras muirí a fheabhsú</w:t>
      </w:r>
      <w:r>
        <w:rPr>
          <w:rFonts w:ascii="Times New Roman" w:hAnsi="Times New Roman"/>
          <w:noProof/>
          <w:sz w:val="24"/>
        </w:rPr>
        <w:t>. Iarrann an Coimisiún ar na Ballstáit an leas is fearr is féidir a bhaint as an Treoir Réime um Straitéis Mhuirí, as an Dlí um Athbhunú an Dúlra agus as an bPlean Gníomhaíochta Muirí</w:t>
      </w:r>
      <w:r w:rsidR="002A4652" w:rsidRPr="001A3A0E">
        <w:rPr>
          <w:rStyle w:val="FootnoteReference"/>
          <w:rFonts w:ascii="Times New Roman" w:hAnsi="Times New Roman" w:cs="Times New Roman"/>
          <w:noProof/>
          <w:sz w:val="24"/>
          <w:szCs w:val="24"/>
        </w:rPr>
        <w:footnoteReference w:id="39"/>
      </w:r>
      <w:r>
        <w:rPr>
          <w:rFonts w:ascii="Times New Roman" w:hAnsi="Times New Roman"/>
          <w:noProof/>
          <w:sz w:val="24"/>
        </w:rPr>
        <w:t xml:space="preserve"> chun athléimneacht na</w:t>
      </w:r>
      <w:r w:rsidR="0067605E">
        <w:rPr>
          <w:rFonts w:ascii="Times New Roman" w:hAnsi="Times New Roman"/>
          <w:noProof/>
          <w:sz w:val="24"/>
        </w:rPr>
        <w:t xml:space="preserve"> n</w:t>
      </w:r>
      <w:r w:rsidR="0067605E">
        <w:rPr>
          <w:rFonts w:ascii="Times New Roman" w:hAnsi="Times New Roman"/>
          <w:noProof/>
          <w:sz w:val="24"/>
        </w:rPr>
        <w:noBreakHyphen/>
      </w:r>
      <w:r>
        <w:rPr>
          <w:rFonts w:ascii="Times New Roman" w:hAnsi="Times New Roman"/>
          <w:noProof/>
          <w:sz w:val="24"/>
        </w:rPr>
        <w:t>éiceachóras muirí uile a mhéadú agus chun éagsúlacht na</w:t>
      </w:r>
      <w:r w:rsidR="0067605E">
        <w:rPr>
          <w:rFonts w:ascii="Times New Roman" w:hAnsi="Times New Roman"/>
          <w:noProof/>
          <w:sz w:val="24"/>
        </w:rPr>
        <w:t xml:space="preserve"> n</w:t>
      </w:r>
      <w:r w:rsidR="0067605E">
        <w:rPr>
          <w:rFonts w:ascii="Times New Roman" w:hAnsi="Times New Roman"/>
          <w:noProof/>
          <w:sz w:val="24"/>
        </w:rPr>
        <w:noBreakHyphen/>
      </w:r>
      <w:r>
        <w:rPr>
          <w:rFonts w:ascii="Times New Roman" w:hAnsi="Times New Roman"/>
          <w:noProof/>
          <w:sz w:val="24"/>
        </w:rPr>
        <w:t>éiceachóras muirí uile a chaomhnú chun a</w:t>
      </w:r>
      <w:r w:rsidR="0067605E">
        <w:rPr>
          <w:rFonts w:ascii="Times New Roman" w:hAnsi="Times New Roman"/>
          <w:noProof/>
          <w:sz w:val="24"/>
        </w:rPr>
        <w:t xml:space="preserve"> n</w:t>
      </w:r>
      <w:r w:rsidR="0067605E">
        <w:rPr>
          <w:rFonts w:ascii="Times New Roman" w:hAnsi="Times New Roman"/>
          <w:noProof/>
          <w:sz w:val="24"/>
        </w:rPr>
        <w:noBreakHyphen/>
      </w:r>
      <w:r>
        <w:rPr>
          <w:rFonts w:ascii="Times New Roman" w:hAnsi="Times New Roman"/>
          <w:noProof/>
          <w:sz w:val="24"/>
        </w:rPr>
        <w:t>acmhainneacht tháirgiúil a choinneáil ar bun chun bia, ábhair agus seirbhísí éiceachórais a sholáthar. Tá gníomhaíochtaí faoi Mhisean Aigéin agus Uiscí an Aontais</w:t>
      </w:r>
      <w:r w:rsidR="00507E1A">
        <w:rPr>
          <w:rStyle w:val="FootnoteReference"/>
          <w:rFonts w:ascii="Times New Roman" w:hAnsi="Times New Roman" w:cs="Times New Roman"/>
          <w:noProof/>
          <w:sz w:val="24"/>
          <w:szCs w:val="24"/>
        </w:rPr>
        <w:footnoteReference w:id="40"/>
      </w:r>
      <w:r>
        <w:rPr>
          <w:rFonts w:ascii="Times New Roman" w:hAnsi="Times New Roman"/>
          <w:noProof/>
          <w:sz w:val="24"/>
        </w:rPr>
        <w:t xml:space="preserve"> ag cur le réimse leathan réiteach den sórt sin. Chun iascach inbhuanaithe a áirithiú in aeráid atá ag athrú, ba cheart leas iomlán a bhaint as na sineirgí idir an comhbheartas iascaigh agus an reachtaíocht maidir leis an gcomhshaol, mar a chuirtear chun cinn sa Chomhshocrú Iascaigh agus Aigéan, chun slándáil bia agus slite beatha a áirithiú d’iascairí agus do phobail chósta.</w:t>
      </w:r>
    </w:p>
    <w:p w14:paraId="0FA48295" w14:textId="77777777" w:rsidR="002A4652" w:rsidRPr="001A3A0E" w:rsidRDefault="00C512C3" w:rsidP="00A632E5">
      <w:pPr>
        <w:spacing w:after="120"/>
        <w:jc w:val="both"/>
        <w:rPr>
          <w:rFonts w:ascii="Times New Roman" w:hAnsi="Times New Roman" w:cs="Times New Roman"/>
          <w:noProof/>
          <w:sz w:val="24"/>
          <w:szCs w:val="24"/>
        </w:rPr>
      </w:pPr>
      <w:r>
        <w:rPr>
          <w:rFonts w:ascii="Times New Roman" w:hAnsi="Times New Roman"/>
          <w:noProof/>
          <w:sz w:val="24"/>
        </w:rPr>
        <w:t xml:space="preserve">Ní mór aghaidh a thabhairt san am céanna ar na croíghnéithe de </w:t>
      </w:r>
      <w:r>
        <w:rPr>
          <w:rFonts w:ascii="Times New Roman" w:hAnsi="Times New Roman"/>
          <w:noProof/>
          <w:sz w:val="24"/>
          <w:u w:val="single"/>
        </w:rPr>
        <w:t>thírdhreach atá athléimneach ó thaobh na haeráide de</w:t>
      </w:r>
      <w:r>
        <w:rPr>
          <w:rFonts w:ascii="Times New Roman" w:hAnsi="Times New Roman"/>
          <w:noProof/>
          <w:sz w:val="24"/>
        </w:rPr>
        <w:t xml:space="preserve"> chun cumas tírdhreach a chaomhnú chun an riosca triomaigh, tuilte, borrthaí stoirme, falscaithe nó creimthe a laghdú agus chun éicisheirbhísí eile a sholáthar. Cumhdaíonn ceantair thuaithe an chuid is mó de thalamh na hEorpa agus is beag eile is féidir a bhaint amach le cur chuige neamh-chomhtháite maidir le bainistiú ithreach, uisce agus foraoisí sa limistéar céanna. Tá gá le cur chuige cuimsitheach comhtháite chun a áirithiú gur féidir le héiceachórais thar limistéir mhóra déileáil leis na bagairtí iomadúla. Chun tacú leis an úsáid is fearr a bhaint as doiciméid phleanála atá ann cheana agus i sineirgíocht le pleananna na mBallstát um pleanáil spásúlachta agus athbhunú an dúlra, </w:t>
      </w:r>
      <w:r>
        <w:rPr>
          <w:rFonts w:ascii="Times New Roman" w:hAnsi="Times New Roman"/>
          <w:noProof/>
          <w:sz w:val="24"/>
          <w:u w:val="single"/>
        </w:rPr>
        <w:t>déanfaidh an Coimisiún, i gcomhar leis na Ballstáit, treoir a tharraingt suas maidir le tírdhreacha athléimneacha a fhorbairt</w:t>
      </w:r>
      <w:r>
        <w:rPr>
          <w:rFonts w:ascii="Times New Roman" w:hAnsi="Times New Roman"/>
          <w:noProof/>
          <w:sz w:val="24"/>
        </w:rPr>
        <w:t xml:space="preserve"> ar féidir leo tionchair an athraithe aeráide a mhaolú. </w:t>
      </w:r>
    </w:p>
    <w:p w14:paraId="35324D12" w14:textId="77777777" w:rsidR="0049438C" w:rsidRPr="0067605E" w:rsidRDefault="0049438C" w:rsidP="00B11E0C">
      <w:pPr>
        <w:spacing w:after="120" w:line="240" w:lineRule="auto"/>
        <w:rPr>
          <w:rFonts w:ascii="Times New Roman" w:hAnsi="Times New Roman" w:cs="Times New Roman"/>
          <w:noProof/>
          <w:color w:val="000000" w:themeColor="text1"/>
          <w:sz w:val="24"/>
          <w:szCs w:val="24"/>
          <w:lang w:eastAsia="en-IE"/>
        </w:rPr>
      </w:pPr>
    </w:p>
    <w:p w14:paraId="65C37531" w14:textId="77777777" w:rsidR="003664D6" w:rsidRPr="00420C4C" w:rsidRDefault="003F09F0"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49" w:name="_Toc159792208"/>
      <w:r>
        <w:rPr>
          <w:rFonts w:ascii="Times New Roman" w:hAnsi="Times New Roman"/>
          <w:b/>
          <w:noProof/>
          <w:color w:val="000000" w:themeColor="text1"/>
          <w:sz w:val="24"/>
        </w:rPr>
        <w:t>Uisce</w:t>
      </w:r>
      <w:bookmarkEnd w:id="49"/>
    </w:p>
    <w:p w14:paraId="1673C7D9" w14:textId="77777777" w:rsidR="00B2476E" w:rsidRDefault="00B2476E" w:rsidP="0016331B">
      <w:pPr>
        <w:jc w:val="both"/>
        <w:textAlignment w:val="baseline"/>
        <w:rPr>
          <w:rFonts w:ascii="Times New Roman" w:eastAsia="Times New Roman" w:hAnsi="Times New Roman" w:cs="Times New Roman"/>
          <w:noProof/>
          <w:color w:val="000000" w:themeColor="text1"/>
          <w:sz w:val="24"/>
          <w:szCs w:val="24"/>
          <w:lang w:val="en-IE" w:eastAsia="en-IE"/>
        </w:rPr>
      </w:pPr>
    </w:p>
    <w:p w14:paraId="72C68AA6" w14:textId="67F5496E" w:rsidR="0016331B" w:rsidRDefault="0016331B" w:rsidP="00A632E5">
      <w:pPr>
        <w:spacing w:after="120"/>
        <w:jc w:val="both"/>
        <w:textAlignment w:val="baseline"/>
        <w:rPr>
          <w:rFonts w:ascii="Times New Roman" w:hAnsi="Times New Roman" w:cs="Times New Roman"/>
          <w:noProof/>
          <w:color w:val="000000" w:themeColor="text1"/>
          <w:sz w:val="24"/>
          <w:szCs w:val="24"/>
        </w:rPr>
      </w:pPr>
      <w:r>
        <w:rPr>
          <w:rFonts w:ascii="Times New Roman" w:hAnsi="Times New Roman"/>
          <w:noProof/>
          <w:color w:val="000000" w:themeColor="text1"/>
          <w:sz w:val="24"/>
        </w:rPr>
        <w:t>Is acmhainn ríthábhachtach é an</w:t>
      </w:r>
      <w:r w:rsidR="0067605E">
        <w:rPr>
          <w:rFonts w:ascii="Times New Roman" w:hAnsi="Times New Roman"/>
          <w:noProof/>
          <w:color w:val="000000" w:themeColor="text1"/>
          <w:sz w:val="24"/>
        </w:rPr>
        <w:t xml:space="preserve"> t</w:t>
      </w:r>
      <w:r w:rsidR="0067605E">
        <w:rPr>
          <w:rFonts w:ascii="Times New Roman" w:hAnsi="Times New Roman"/>
          <w:noProof/>
          <w:color w:val="000000" w:themeColor="text1"/>
          <w:sz w:val="24"/>
        </w:rPr>
        <w:noBreakHyphen/>
      </w:r>
      <w:r>
        <w:rPr>
          <w:rFonts w:ascii="Times New Roman" w:hAnsi="Times New Roman"/>
          <w:noProof/>
          <w:color w:val="000000" w:themeColor="text1"/>
          <w:sz w:val="24"/>
        </w:rPr>
        <w:t xml:space="preserve">uisce atá faoi bhrú cheana féin in go leor áiteanna san Eoraip mar gheall ar mhíbhainistíocht struchtúrach, </w:t>
      </w:r>
      <w:r>
        <w:rPr>
          <w:rFonts w:ascii="Times New Roman" w:hAnsi="Times New Roman"/>
          <w:noProof/>
          <w:sz w:val="24"/>
        </w:rPr>
        <w:t>úsáid talún neamh-inbhuanaithe, athruithe hidreamoirfeolaíocha agus truailliú</w:t>
      </w:r>
      <w:r>
        <w:rPr>
          <w:rFonts w:ascii="Times New Roman" w:hAnsi="Times New Roman"/>
          <w:noProof/>
          <w:color w:val="000000" w:themeColor="text1"/>
          <w:sz w:val="24"/>
        </w:rPr>
        <w:t>. Tá na brúnna sin á ndéanamh níos measa ag an athrú aeráide agus tá sé ag méadú na rioscaí a bhaineann le huisce i bhfoirm triomaigh níos minice nó níos faide nó i bhfoirm frasaíocht fhoircneach. Rachaidh siad sin in olcas amach anseo agus déanfaidh strus maidir le huisce difear do chodanna níos mó den Eoraip, agus tá riosca níos mó ann maidir le meigeathriomaigh (a chumhdaíonn réigiúin mhóra agus a mhaireann roinnt blianta), falscaithe, níos mó tuilte, agus leibhéil farraige atá ag ardú lena méadaítear an riosca go dtarlóidh tuilte cósta agus borrthaí stoirme, creimeadh cósta agus ionsá sáile.</w:t>
      </w:r>
    </w:p>
    <w:p w14:paraId="45C1F2B2" w14:textId="641E6788" w:rsidR="0016331B" w:rsidRDefault="0016331B" w:rsidP="00A632E5">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Cuirtear i dtábhacht in EUCRA go bhfuil baint ag rioscaí a bhaineann le huisce leis na príomhearnálacha a bhreithnítear sa Teachtaireacht seo agus gur bagairt sláinte iad tuilte tromchúiseacha, triomaigh agus dóiteáin foraoise anois agus gur cúis iad arís agus arís eile le caillteanais shóisialta, chomhshaoil agus eacnamaíocha. D’fhéadfadh na rioscaí sin teacht chun cinn i bhfoirmeacha éagsúla, agus áirítear le cuid de na foirmeacha sin triomaigh a d’fhéadfadh difear a dhéanamh do limistéir mhóra ar feadh tréimhsí fada, rud a mbíonn tionchar diúltach aige ar tháirgeadh barr, an tslándáil bia, soláthairtí uisce óil agus táirgeadh fuinnimh nó inúsáidteacht uiscebhealaí, agus is féidir leis sin cur leis an riosca falscaithe; na rioscaí do bhonneagar criticiúil, do ghníomhaíochtaí eacnamaíocha agus do shláinte an duine de dheasca tuilte, agus go ginearálta déantar méadú ar an iomaíocht maidir le hacmhainní uisce thar earnálacha agus úsáidí, lena</w:t>
      </w:r>
      <w:r w:rsidR="0067605E">
        <w:rPr>
          <w:rFonts w:ascii="Times New Roman" w:hAnsi="Times New Roman"/>
          <w:noProof/>
          <w:color w:val="000000" w:themeColor="text1"/>
          <w:sz w:val="24"/>
        </w:rPr>
        <w:t xml:space="preserve"> n</w:t>
      </w:r>
      <w:r w:rsidR="0067605E">
        <w:rPr>
          <w:rFonts w:ascii="Times New Roman" w:hAnsi="Times New Roman"/>
          <w:noProof/>
          <w:color w:val="000000" w:themeColor="text1"/>
          <w:sz w:val="24"/>
        </w:rPr>
        <w:noBreakHyphen/>
      </w:r>
      <w:r>
        <w:rPr>
          <w:rFonts w:ascii="Times New Roman" w:hAnsi="Times New Roman"/>
          <w:noProof/>
          <w:color w:val="000000" w:themeColor="text1"/>
          <w:sz w:val="24"/>
        </w:rPr>
        <w:t xml:space="preserve">áirítear riosca féideartha coinbhleachtaí laistigh de na Ballstáit agus ina measc mar gheall ar acmhainní uisce trasteorann. Léirítear in EUCRA go mbeidh na costais a bhaineann le cur chun feidhme neamhleor nó moillithe an bhainistithe chomhtháite uisce neamh-inacmhainne. Meastar gurb é EUR 9 mbilliún in aghaidh na bliana costais na dtriomach agus go bhfuil costais na dtuilte níos mó ná EUR 170 billiún san iomlán ó bhí 1980 ann. </w:t>
      </w:r>
    </w:p>
    <w:p w14:paraId="3C888230" w14:textId="7EE98540" w:rsidR="0016331B" w:rsidRDefault="0016331B" w:rsidP="00A632E5">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Tá sé ríthábhachtach timthriall an uisce a chosaint agus a athbhunú, geilleagar an Aontais atá cliste ó thaobh bainistiú uisce de a chur chun cinn agus </w:t>
      </w:r>
      <w:r>
        <w:rPr>
          <w:rFonts w:ascii="Times New Roman" w:hAnsi="Times New Roman"/>
          <w:noProof/>
          <w:color w:val="000000" w:themeColor="text1"/>
          <w:sz w:val="24"/>
          <w:u w:val="single"/>
        </w:rPr>
        <w:t>soláthairtí fionnuisce atá ar ardchaighdeán, inacmhainne agus inrochtana</w:t>
      </w:r>
      <w:r>
        <w:rPr>
          <w:rFonts w:ascii="Times New Roman" w:hAnsi="Times New Roman"/>
          <w:noProof/>
          <w:color w:val="000000" w:themeColor="text1"/>
          <w:sz w:val="24"/>
        </w:rPr>
        <w:t xml:space="preserve"> </w:t>
      </w:r>
      <w:r>
        <w:rPr>
          <w:rFonts w:ascii="Times New Roman" w:hAnsi="Times New Roman"/>
          <w:noProof/>
          <w:color w:val="000000" w:themeColor="text1"/>
          <w:sz w:val="24"/>
          <w:u w:val="single"/>
        </w:rPr>
        <w:t>a chosaint</w:t>
      </w:r>
      <w:r>
        <w:rPr>
          <w:rFonts w:ascii="Times New Roman" w:hAnsi="Times New Roman"/>
          <w:noProof/>
          <w:sz w:val="24"/>
        </w:rPr>
        <w:t xml:space="preserve"> </w:t>
      </w:r>
      <w:r>
        <w:rPr>
          <w:rFonts w:ascii="Times New Roman" w:hAnsi="Times New Roman"/>
          <w:noProof/>
          <w:color w:val="000000" w:themeColor="text1"/>
          <w:sz w:val="24"/>
        </w:rPr>
        <w:t>do chách chun Eoraip atá athléimneach ó thaobh an uisce de a áirithiú. Chun athléimneacht uisce a bhaint amach, ní mór ár gcumas comhchoiteann a chothú chun uisce a bhainistiú agus a úsáid ar bhealach atá níos solúbtha i bhfianaise na bhforbairtí geopholaitiúla, eacnamaíocha, sochaíocha agus comhshaoil atá ag athrú go tapa agus nach féidir a thuar ach go páirteach.</w:t>
      </w:r>
      <w:r>
        <w:rPr>
          <w:rFonts w:ascii="Times New Roman" w:hAnsi="Times New Roman"/>
          <w:noProof/>
          <w:color w:val="000000" w:themeColor="text1"/>
          <w:sz w:val="24"/>
          <w:u w:val="single"/>
        </w:rPr>
        <w:t xml:space="preserve"> </w:t>
      </w:r>
      <w:r>
        <w:rPr>
          <w:rFonts w:ascii="Times New Roman" w:hAnsi="Times New Roman"/>
          <w:noProof/>
          <w:color w:val="000000" w:themeColor="text1"/>
          <w:sz w:val="24"/>
        </w:rPr>
        <w:t>Ní mór uisce a bhainistiú, agus ní mór an</w:t>
      </w:r>
      <w:r w:rsidR="0067605E">
        <w:rPr>
          <w:rFonts w:ascii="Times New Roman" w:hAnsi="Times New Roman"/>
          <w:noProof/>
          <w:color w:val="000000" w:themeColor="text1"/>
          <w:sz w:val="24"/>
        </w:rPr>
        <w:t xml:space="preserve"> t</w:t>
      </w:r>
      <w:r w:rsidR="0067605E">
        <w:rPr>
          <w:rFonts w:ascii="Times New Roman" w:hAnsi="Times New Roman"/>
          <w:noProof/>
          <w:color w:val="000000" w:themeColor="text1"/>
          <w:sz w:val="24"/>
        </w:rPr>
        <w:noBreakHyphen/>
      </w:r>
      <w:r>
        <w:rPr>
          <w:rFonts w:ascii="Times New Roman" w:hAnsi="Times New Roman"/>
          <w:noProof/>
          <w:color w:val="000000" w:themeColor="text1"/>
          <w:sz w:val="24"/>
        </w:rPr>
        <w:t xml:space="preserve">éileamh daonna a chur in oiriúint don soláthar nua atá níos gainne. </w:t>
      </w:r>
    </w:p>
    <w:p w14:paraId="5BF73803" w14:textId="77777777" w:rsidR="00E60205" w:rsidRDefault="00760A8B" w:rsidP="00FE74B1">
      <w:pPr>
        <w:spacing w:after="120"/>
        <w:jc w:val="both"/>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I bhfianaise an róil bhunúsaigh atá ag an uisce maidir leis an mbeatha a chothú agus mar ionchur eacnamaíoch, </w:t>
      </w:r>
      <w:r>
        <w:rPr>
          <w:rFonts w:ascii="Times New Roman" w:hAnsi="Times New Roman"/>
          <w:noProof/>
          <w:color w:val="000000" w:themeColor="text1"/>
          <w:sz w:val="24"/>
          <w:u w:val="single"/>
        </w:rPr>
        <w:t>déanfaidh an Coimisiún breithniú cuimsitheach ar shaincheisteanna uisce</w:t>
      </w:r>
      <w:r>
        <w:rPr>
          <w:rFonts w:ascii="Times New Roman" w:hAnsi="Times New Roman"/>
          <w:noProof/>
          <w:color w:val="000000" w:themeColor="text1"/>
          <w:sz w:val="24"/>
        </w:rPr>
        <w:t>, agus é ag tógáil ar thorthaí na measúnuithe leanúnacha ar Phleananna Bainistithe Abhantraí agus ar Phleananna Bainistithe Riosca Tuilte, chomh maith leis na Cláir Mhuirí Beart a chuir na Ballstáit i bhfeidhm agus ar an mbonn sin, measfaidh sé an gá atá le gníomhaíocht.</w:t>
      </w:r>
    </w:p>
    <w:p w14:paraId="362CBD5B" w14:textId="77777777" w:rsidR="00CB66D1" w:rsidRPr="00A632E5" w:rsidRDefault="00CB66D1" w:rsidP="00BE25FA">
      <w:pPr>
        <w:spacing w:after="200" w:line="276" w:lineRule="auto"/>
        <w:rPr>
          <w:rFonts w:ascii="Times New Roman" w:eastAsia="Times New Roman" w:hAnsi="Times New Roman" w:cs="Times New Roman"/>
          <w:noProof/>
          <w:color w:val="000000" w:themeColor="text1"/>
          <w:sz w:val="24"/>
          <w:szCs w:val="24"/>
          <w:lang w:eastAsia="en-IE"/>
        </w:rPr>
      </w:pPr>
    </w:p>
    <w:p w14:paraId="6D6925F8" w14:textId="77777777" w:rsidR="00F94DC6" w:rsidRPr="00420C4C" w:rsidRDefault="00F94DC6"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50" w:name="_Toc159792209"/>
      <w:r>
        <w:rPr>
          <w:rFonts w:ascii="Times New Roman" w:hAnsi="Times New Roman"/>
          <w:b/>
          <w:noProof/>
          <w:color w:val="000000" w:themeColor="text1"/>
          <w:sz w:val="24"/>
        </w:rPr>
        <w:t>Sláinte</w:t>
      </w:r>
      <w:bookmarkEnd w:id="50"/>
    </w:p>
    <w:p w14:paraId="75E29A18" w14:textId="77777777" w:rsidR="00ED251E" w:rsidRDefault="00ED251E" w:rsidP="00FE40B8">
      <w:pPr>
        <w:spacing w:line="240" w:lineRule="auto"/>
        <w:jc w:val="both"/>
        <w:rPr>
          <w:rFonts w:ascii="Times New Roman" w:hAnsi="Times New Roman" w:cs="Times New Roman"/>
          <w:noProof/>
          <w:color w:val="000000" w:themeColor="text1"/>
          <w:sz w:val="24"/>
          <w:szCs w:val="24"/>
          <w:lang w:val="en-IE" w:eastAsia="en-IE"/>
        </w:rPr>
      </w:pPr>
    </w:p>
    <w:p w14:paraId="113E866E" w14:textId="77777777" w:rsidR="00DA1886" w:rsidRDefault="00FB12BB"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Tá tionchar ag an athrú aeráide ar shláinte an duine. </w:t>
      </w:r>
      <w:bookmarkStart w:id="51" w:name="_Hlk160816429"/>
      <w:r>
        <w:rPr>
          <w:rFonts w:ascii="Times New Roman" w:hAnsi="Times New Roman"/>
          <w:noProof/>
          <w:color w:val="000000" w:themeColor="text1"/>
          <w:sz w:val="24"/>
        </w:rPr>
        <w:t>Fuair idir 60 000 agus 70 000 duine bás go hanabaí de dheasca thonn teasa 2022 san Eoraip</w:t>
      </w:r>
      <w:bookmarkEnd w:id="51"/>
      <w:r>
        <w:rPr>
          <w:rFonts w:ascii="Times New Roman" w:hAnsi="Times New Roman"/>
          <w:noProof/>
          <w:color w:val="000000" w:themeColor="text1"/>
          <w:sz w:val="24"/>
        </w:rPr>
        <w:t>. Léirítear sna réamh-mheastacháin go bhfuil glanmhéadú láidir tagtha ar rátaí básmhaireachta a bhaineann le teocht cheana féin do lár an chéid</w:t>
      </w:r>
      <w:r w:rsidR="00C879A9" w:rsidRPr="00100668">
        <w:rPr>
          <w:rStyle w:val="FootnoteReference"/>
          <w:rFonts w:ascii="Times New Roman" w:hAnsi="Times New Roman" w:cs="Times New Roman"/>
          <w:noProof/>
          <w:color w:val="000000" w:themeColor="text1"/>
          <w:sz w:val="24"/>
          <w:szCs w:val="24"/>
          <w:lang w:val="en-IE" w:eastAsia="en-IE"/>
        </w:rPr>
        <w:footnoteReference w:id="41"/>
      </w:r>
      <w:r>
        <w:rPr>
          <w:rFonts w:ascii="Times New Roman" w:hAnsi="Times New Roman"/>
          <w:noProof/>
          <w:color w:val="000000" w:themeColor="text1"/>
          <w:sz w:val="24"/>
        </w:rPr>
        <w:t>. Trí théamh leanúnach agus teagmhais adhaimsire, is féidir leis an athrú aeráide cur le galair neamhtheagmhálacha nó iad a dhéanamh níos measa, arb iad na galair sin is cúis le thart ar dhá thrian de na básanna uile i réigiún na hEorpa. Leis an tionscnamh ‘Healthier Together’ - tionscnamh an Aontais maidir le galair neamhtheagmhálacha</w:t>
      </w:r>
      <w:r w:rsidR="0016213D">
        <w:rPr>
          <w:rStyle w:val="FootnoteReference"/>
          <w:rFonts w:ascii="Times New Roman" w:hAnsi="Times New Roman" w:cs="Times New Roman"/>
          <w:noProof/>
          <w:color w:val="000000" w:themeColor="text1"/>
          <w:sz w:val="24"/>
          <w:szCs w:val="24"/>
          <w:lang w:val="en-IE" w:eastAsia="en-IE"/>
        </w:rPr>
        <w:footnoteReference w:id="42"/>
      </w:r>
      <w:r>
        <w:rPr>
          <w:rFonts w:ascii="Times New Roman" w:hAnsi="Times New Roman"/>
          <w:noProof/>
          <w:color w:val="000000" w:themeColor="text1"/>
          <w:sz w:val="24"/>
        </w:rPr>
        <w:t xml:space="preserve">, tacaítear leis na Ballstáit beart coisctheach iomchuí a dhéanamh. </w:t>
      </w:r>
    </w:p>
    <w:p w14:paraId="26B7D93E" w14:textId="77777777" w:rsidR="00DE54C7" w:rsidRDefault="00660C68"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Tiocfaidh laghdú ar tháirgiúlacht saothair agus beidh baol ann go gcaillfear uaireanta oibre mura ndéanfar bearta oiriúnúcháin éifeachtacha. Braitheann leochaileacht aonair agus réigiúnach agus an beart is iomchuí ar thosca amhail leibhéil ullmhachta, leibhéal an uirbithe, struchtúr aoise, nó neamhchosaint chomhthráthach ar thruailliú aeir. Mar a aithnítear sa Teachtaireacht maidir le cur chuige cuimsitheach i leith na meabhairshláinte</w:t>
      </w:r>
      <w:r w:rsidR="00CE4000">
        <w:rPr>
          <w:rStyle w:val="FootnoteReference"/>
          <w:rFonts w:ascii="Times New Roman" w:hAnsi="Times New Roman" w:cs="Times New Roman"/>
          <w:noProof/>
          <w:color w:val="000000" w:themeColor="text1"/>
          <w:sz w:val="24"/>
          <w:szCs w:val="24"/>
          <w:lang w:val="en-IE" w:eastAsia="en-IE"/>
        </w:rPr>
        <w:footnoteReference w:id="43"/>
      </w:r>
      <w:r>
        <w:rPr>
          <w:rFonts w:ascii="Times New Roman" w:hAnsi="Times New Roman"/>
          <w:noProof/>
          <w:color w:val="000000" w:themeColor="text1"/>
          <w:sz w:val="24"/>
        </w:rPr>
        <w:t xml:space="preserve">, bíonn tionchar mór ag an ngéarchéim aeráide ar an meabhairshláinte. </w:t>
      </w:r>
    </w:p>
    <w:p w14:paraId="7615EA99" w14:textId="77777777" w:rsidR="00660C68" w:rsidRDefault="007F71D3"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Meastar go dtiocfaidh méadú ar mhinicíocht na ngalar tógálach atá aeráid-íogair, agus beidh galair amhail víreas na Níle Thiar, fiabhras deinge agus fiabhras chikungunya eindéimeach in áiteanna san Eoraip agus scaipfear pataiginí bia-iompartha agus uisce-iompartha ar bhealach níos éasca. Mar sin féin, i bhformhór na gcásanna, tá frithbhearta leighis éifeachtacha chun freagairt do na galair sin gann nó níor forbraíodh go fóill iad. D’fhéadfadh iomadú baictéar frithsheasmhach agus níos mó aistriú géine a bheith mar thoradh ar phatrúin adhaimsire freisin, rud a fhágann go dtiocfaidh méadú ar ionfhabhtuithe ina bhfuil baictéir fhrithsheasmhacha agus fungais. </w:t>
      </w:r>
    </w:p>
    <w:p w14:paraId="41D5EFEF" w14:textId="77777777" w:rsidR="00F77E66" w:rsidRPr="00915255" w:rsidRDefault="008579C7"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Cuirfidh na rioscaí sin agus rioscaí eile brú breise ar na córais cúraim sláinte, ar oibrithe seirbhísí sláinte agus ar bhuiséid sláinte atá faoi bhrú cheana féin. Baineann na príomhréitigh le beartais lenar féidir leochaileachtaí a laghdú agus neamhchosaint an duine a theorannú. Ba cheart bainistiú leordhóthanach a dhéanamh ar oibrithe san earnáil sláinte agus ar fhoirgnimh atá neamhchosanta go díreach ar rioscaí aeráide. Chun gníomhaíocht an Choimisiúin a neartú a thuilleadh, agus chun na cuspóirí agus na gealltanais a leagtar amach i nDearbhú Bhúdaipeist agus i nDearbhú COP28</w:t>
      </w:r>
      <w:r w:rsidR="002E16D5" w:rsidRPr="00915255">
        <w:rPr>
          <w:rStyle w:val="FootnoteReference"/>
          <w:rFonts w:ascii="Times New Roman" w:hAnsi="Times New Roman" w:cs="Times New Roman"/>
          <w:bCs/>
          <w:noProof/>
          <w:color w:val="000000" w:themeColor="text1"/>
          <w:sz w:val="24"/>
          <w:szCs w:val="24"/>
          <w:lang w:eastAsia="en-IE"/>
        </w:rPr>
        <w:footnoteReference w:id="44"/>
      </w:r>
      <w:r>
        <w:rPr>
          <w:rFonts w:ascii="Times New Roman" w:hAnsi="Times New Roman"/>
          <w:noProof/>
          <w:color w:val="000000" w:themeColor="text1"/>
          <w:sz w:val="24"/>
        </w:rPr>
        <w:t xml:space="preserve"> maidir leis an aeráid agus an tsláinte a chur i gcleachtas, déanfaidh an Coimisiún an méid seo a leanas:</w:t>
      </w:r>
    </w:p>
    <w:p w14:paraId="47628382" w14:textId="4D783DAD" w:rsidR="004E167D" w:rsidRPr="009248B3" w:rsidRDefault="280FBBC2"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Dlús a chur le bearta chun a áirithiú go dtugtar cosaint leordhóthanach d’oibrithe atá neamhchosanta ar rioscaí aeráide</w:t>
      </w:r>
      <w:r>
        <w:rPr>
          <w:rFonts w:ascii="Times New Roman" w:hAnsi="Times New Roman"/>
          <w:noProof/>
          <w:color w:val="000000" w:themeColor="text1"/>
          <w:sz w:val="24"/>
        </w:rPr>
        <w:t>. Agus athbhreithniú</w:t>
      </w:r>
      <w:r>
        <w:rPr>
          <w:rFonts w:ascii="Times New Roman" w:hAnsi="Times New Roman"/>
          <w:noProof/>
          <w:sz w:val="24"/>
        </w:rPr>
        <w:t xml:space="preserve"> á dhéanamh ar </w:t>
      </w:r>
      <w:r>
        <w:rPr>
          <w:rFonts w:ascii="Times New Roman" w:hAnsi="Times New Roman"/>
          <w:noProof/>
          <w:color w:val="000000" w:themeColor="text1"/>
          <w:sz w:val="24"/>
        </w:rPr>
        <w:t>reachtaíocht maidir le</w:t>
      </w:r>
      <w:r>
        <w:rPr>
          <w:rFonts w:ascii="Times New Roman" w:hAnsi="Times New Roman"/>
          <w:noProof/>
          <w:sz w:val="24"/>
        </w:rPr>
        <w:t xml:space="preserve"> sábháilteacht agus sláinte cheirde (OSH) lena gcosnaítear oibrithe ar gach riosca ceirde, lena</w:t>
      </w:r>
      <w:r w:rsidR="0067605E">
        <w:rPr>
          <w:rFonts w:ascii="Times New Roman" w:hAnsi="Times New Roman"/>
          <w:noProof/>
          <w:sz w:val="24"/>
        </w:rPr>
        <w:t xml:space="preserve"> n</w:t>
      </w:r>
      <w:r w:rsidR="0067605E">
        <w:rPr>
          <w:rFonts w:ascii="Times New Roman" w:hAnsi="Times New Roman"/>
          <w:noProof/>
          <w:sz w:val="24"/>
        </w:rPr>
        <w:noBreakHyphen/>
      </w:r>
      <w:r>
        <w:rPr>
          <w:rFonts w:ascii="Times New Roman" w:hAnsi="Times New Roman"/>
          <w:noProof/>
          <w:sz w:val="24"/>
        </w:rPr>
        <w:t>áirítear na rioscaí a bhaineann le teochtaí comhthimpeallacha méadaithe agus strus teirmeach</w:t>
      </w:r>
      <w:r>
        <w:rPr>
          <w:rFonts w:ascii="Times New Roman" w:hAnsi="Times New Roman"/>
          <w:noProof/>
          <w:color w:val="000000" w:themeColor="text1"/>
          <w:sz w:val="24"/>
        </w:rPr>
        <w:t>, déanfaidh an Coimisiún breithniú ar an ngá atá le tuilleadh gníomhaíochta chun oibrithe a chosaint ar rioscaí aeráide, agus é ag cur freisin leis an treoir agus na huirlisí atá ann cheana</w:t>
      </w:r>
      <w:r w:rsidR="006E78CB" w:rsidRPr="00915255">
        <w:rPr>
          <w:rStyle w:val="FootnoteReference"/>
          <w:rFonts w:ascii="Times New Roman" w:hAnsi="Times New Roman" w:cs="Times New Roman"/>
          <w:noProof/>
          <w:color w:val="000000" w:themeColor="text1"/>
          <w:sz w:val="24"/>
          <w:szCs w:val="24"/>
          <w:lang w:val="en-IE" w:eastAsia="en-IE"/>
        </w:rPr>
        <w:footnoteReference w:id="45"/>
      </w:r>
      <w:r>
        <w:rPr>
          <w:rFonts w:ascii="Times New Roman" w:hAnsi="Times New Roman"/>
          <w:noProof/>
          <w:color w:val="000000" w:themeColor="text1"/>
          <w:sz w:val="24"/>
        </w:rPr>
        <w:t>. Chuir an Coimisiún idirphlé nua le páirtithe leasmhara ar bun</w:t>
      </w:r>
      <w:r w:rsidR="005848F9">
        <w:rPr>
          <w:rStyle w:val="FootnoteReference"/>
          <w:rFonts w:ascii="Times New Roman" w:hAnsi="Times New Roman" w:cs="Times New Roman"/>
          <w:noProof/>
          <w:color w:val="000000" w:themeColor="text1"/>
          <w:sz w:val="24"/>
          <w:szCs w:val="24"/>
          <w:lang w:val="en-IE" w:eastAsia="en-IE"/>
        </w:rPr>
        <w:footnoteReference w:id="46"/>
      </w:r>
      <w:r>
        <w:rPr>
          <w:rFonts w:ascii="Times New Roman" w:hAnsi="Times New Roman"/>
          <w:noProof/>
          <w:color w:val="000000" w:themeColor="text1"/>
          <w:sz w:val="24"/>
        </w:rPr>
        <w:t>. Tá an Ghníomhaireacht Eorpach um Shábháilteacht agus Sláinte ag an Obair (EU-OSHA) ag neartú na fadbhreathnaitheachta maidir leis an nasc idir an aeráid agus OSH</w:t>
      </w:r>
      <w:r w:rsidR="007A6FC7" w:rsidRPr="007A6FC7">
        <w:rPr>
          <w:rFonts w:ascii="Times New Roman" w:hAnsi="Times New Roman" w:cs="Times New Roman"/>
          <w:noProof/>
          <w:color w:val="000000" w:themeColor="text1"/>
          <w:sz w:val="24"/>
          <w:szCs w:val="24"/>
          <w:vertAlign w:val="superscript"/>
          <w:lang w:eastAsia="en-IE"/>
        </w:rPr>
        <w:footnoteReference w:id="47"/>
      </w:r>
      <w:r>
        <w:rPr>
          <w:rFonts w:ascii="Times New Roman" w:hAnsi="Times New Roman"/>
          <w:noProof/>
          <w:color w:val="000000" w:themeColor="text1"/>
          <w:sz w:val="24"/>
        </w:rPr>
        <w:t xml:space="preserve"> agus seolfaidh sí tionscadal in 2025 chun athléimneacht in aghaidh an athraithe aeráide a mhéadú sna háiteanna oibre.</w:t>
      </w:r>
    </w:p>
    <w:p w14:paraId="295BEA58" w14:textId="77777777" w:rsidR="0060302A" w:rsidRPr="00915255" w:rsidRDefault="00DC3522"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 xml:space="preserve">Feabhas a chur ar an bhFaireachlann Eorpach Aeráide agus Sláinte, </w:t>
      </w:r>
      <w:r>
        <w:rPr>
          <w:rFonts w:ascii="Times New Roman" w:hAnsi="Times New Roman"/>
          <w:noProof/>
          <w:color w:val="000000" w:themeColor="text1"/>
          <w:sz w:val="24"/>
        </w:rPr>
        <w:t>a chuidíonn le córais sláinte áitiúla agus náisiúnta a ullmhú don athrú aeráide, acmhainneacht bhreise a fhorbairt, sásraí faireacháin agus luathrabhaidh a neartú, oiliúint agus oideachas a chur ar an lucht saothair sláinte, agus réitigh oiriúnaithe fianaise-bhunaithe agus idirghabhálacha cúraim sláinte a chur chun cinn.</w:t>
      </w:r>
    </w:p>
    <w:p w14:paraId="4639FCD2" w14:textId="56D2706F" w:rsidR="00EF5B4A" w:rsidRDefault="00EF5B4A" w:rsidP="00A632E5">
      <w:pPr>
        <w:spacing w:after="120"/>
        <w:jc w:val="both"/>
        <w:rPr>
          <w:rFonts w:ascii="Times New Roman" w:hAnsi="Times New Roman" w:cs="Times New Roman"/>
          <w:noProof/>
          <w:color w:val="000000"/>
          <w:sz w:val="24"/>
          <w:szCs w:val="24"/>
        </w:rPr>
      </w:pPr>
      <w:r>
        <w:rPr>
          <w:rFonts w:ascii="Times New Roman" w:hAnsi="Times New Roman"/>
          <w:noProof/>
          <w:color w:val="000000"/>
          <w:sz w:val="24"/>
          <w:u w:val="single"/>
        </w:rPr>
        <w:t>Sásraí faireachais agus freagartha le haghaidh bagairtí sláinte a bhaineann leis an aeráid a neartú</w:t>
      </w:r>
      <w:r>
        <w:rPr>
          <w:rFonts w:ascii="Times New Roman" w:hAnsi="Times New Roman"/>
          <w:noProof/>
          <w:color w:val="000000"/>
          <w:sz w:val="24"/>
        </w:rPr>
        <w:t xml:space="preserve"> tríd an Rialachán maidir le bagairtí trasteorann tromchúiseacha ar shláinte a chur chun feidhme, tríd an gCóras Luathrabhaidh agus Freagartha a idirnascadh le córais foláirimh eile (amhail foláirimh aeráide agus aimsire) chun bainistiú comhleanúnach ar rioscaí sláinte a éascú. Tacóidh Tascfhórsa Sláinte nua an Aontais leis an bhfreagairt ar bhagairtí tromchúiseacha sláinte ar leibhéal an Aontais, lena</w:t>
      </w:r>
      <w:r w:rsidR="0067605E">
        <w:rPr>
          <w:rFonts w:ascii="Times New Roman" w:hAnsi="Times New Roman"/>
          <w:noProof/>
          <w:color w:val="000000"/>
          <w:sz w:val="24"/>
        </w:rPr>
        <w:t xml:space="preserve"> n</w:t>
      </w:r>
      <w:r w:rsidR="0067605E">
        <w:rPr>
          <w:rFonts w:ascii="Times New Roman" w:hAnsi="Times New Roman"/>
          <w:noProof/>
          <w:color w:val="000000"/>
          <w:sz w:val="24"/>
        </w:rPr>
        <w:noBreakHyphen/>
      </w:r>
      <w:r>
        <w:rPr>
          <w:rFonts w:ascii="Times New Roman" w:hAnsi="Times New Roman"/>
          <w:noProof/>
          <w:color w:val="000000"/>
          <w:sz w:val="24"/>
        </w:rPr>
        <w:t>áirítear teagmhais a bhaineann leis an aeráid.</w:t>
      </w:r>
    </w:p>
    <w:p w14:paraId="39A4EFBD" w14:textId="77777777" w:rsidR="00FA23AA" w:rsidRPr="001A3A0E" w:rsidRDefault="00F23550"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Slógadh trasteorann pearsanra leighis agus aistriú othar a neartú, mar shampla trí chreat a fhorbairt</w:t>
      </w:r>
      <w:r>
        <w:rPr>
          <w:rFonts w:ascii="Times New Roman" w:hAnsi="Times New Roman"/>
          <w:noProof/>
          <w:color w:val="000000" w:themeColor="text1"/>
          <w:sz w:val="24"/>
        </w:rPr>
        <w:t xml:space="preserve"> chun tacú leis na Ballstáit ag a bhfuil seirbhísí cúraim sláinte atá faoi bhrú. </w:t>
      </w:r>
    </w:p>
    <w:p w14:paraId="078DEB46" w14:textId="77777777" w:rsidR="00A632E5" w:rsidRPr="00B2476E" w:rsidRDefault="00934538"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Rochtain ar fhrithbhearta leighis criticiúla agus forbairt na bhfrithbheart sin a áirithiú</w:t>
      </w:r>
      <w:r>
        <w:rPr>
          <w:rFonts w:ascii="Times New Roman" w:hAnsi="Times New Roman"/>
          <w:noProof/>
          <w:color w:val="000000" w:themeColor="text1"/>
          <w:sz w:val="24"/>
        </w:rPr>
        <w:t>. Le teochtaí atá ag ardú agus le teagmhais adhaimsire níos minice, is féidir cur isteach ar mhonarú nó rochtain ar amhábhair a theorannú. Chomh maith leis sin, mar thoradh ar athruithe ar phatrúin ghalair arb é an aeráid is cúis leo, d’fhéadfadh borradh gan choinne teacht ar an éileamh ar chógais áirithe, nó d’fhéadfaí éileamh ar tháirgí atá go hiomlán nua a chruthú, rud a chuirfeadh brú ar shlabhraí soláthair atá ann cheana nó a d’éileodh infheistíocht i slabhraí soláthair nua. Chun na leochaileachtaí a laghdú, déanfaidh an Coimisiún measúnú ar na rioscaí ábhartha agus déanfaidh sé tuilleadh forbartha ar stoc-chairn straitéiseacha le haghaidh príomh-fhrithbheart. Faoin gclár Fís Eorpach agus faoin gclár EU4Health, tá an Coimisiún ag tacú le forbairt vacsaíní agus táirgí teiripeacha nua in aghaidh galair thrópaiceacha a bhfuil siléig déanta iontu agus galair thógálacha atá ag teacht chun cinn. Dá bhrí sin, mar shampla, bhíothas in ann dul chun cinn a dhéanamh le déanaí maidir le vacsaín in aghaidh víreas chikungunya.</w:t>
      </w:r>
    </w:p>
    <w:p w14:paraId="6A878616" w14:textId="77777777" w:rsidR="00FE74B1" w:rsidRPr="00B2476E" w:rsidRDefault="00FE74B1" w:rsidP="00A632E5">
      <w:pPr>
        <w:spacing w:after="120"/>
        <w:jc w:val="both"/>
        <w:rPr>
          <w:rFonts w:ascii="Times New Roman" w:hAnsi="Times New Roman" w:cs="Times New Roman"/>
          <w:noProof/>
          <w:color w:val="000000" w:themeColor="text1"/>
          <w:sz w:val="24"/>
          <w:szCs w:val="24"/>
          <w:lang w:eastAsia="en-IE"/>
        </w:rPr>
      </w:pPr>
    </w:p>
    <w:p w14:paraId="6C2FF9E4" w14:textId="77777777" w:rsidR="00F94DC6" w:rsidRPr="00420C4C" w:rsidRDefault="00F94DC6"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53" w:name="_Toc159792210"/>
      <w:r>
        <w:rPr>
          <w:rFonts w:ascii="Times New Roman" w:hAnsi="Times New Roman"/>
          <w:b/>
          <w:noProof/>
          <w:color w:val="000000" w:themeColor="text1"/>
          <w:sz w:val="24"/>
        </w:rPr>
        <w:t>Bia</w:t>
      </w:r>
      <w:bookmarkEnd w:id="53"/>
    </w:p>
    <w:p w14:paraId="0792A25B" w14:textId="77777777" w:rsidR="00ED251E" w:rsidRDefault="00ED251E" w:rsidP="00A63CA1">
      <w:pPr>
        <w:spacing w:line="240" w:lineRule="auto"/>
        <w:jc w:val="both"/>
        <w:rPr>
          <w:rFonts w:ascii="Times New Roman" w:hAnsi="Times New Roman" w:cs="Times New Roman"/>
          <w:bCs/>
          <w:noProof/>
          <w:sz w:val="24"/>
          <w:szCs w:val="24"/>
          <w:lang w:val="en-IE" w:eastAsia="en-IE"/>
        </w:rPr>
      </w:pPr>
    </w:p>
    <w:p w14:paraId="1F6B40B9" w14:textId="14221DA6" w:rsidR="00625A71" w:rsidRDefault="00D02150" w:rsidP="00A632E5">
      <w:pPr>
        <w:spacing w:after="120"/>
        <w:jc w:val="both"/>
        <w:rPr>
          <w:rFonts w:ascii="Times New Roman" w:hAnsi="Times New Roman" w:cs="Times New Roman"/>
          <w:bCs/>
          <w:noProof/>
          <w:sz w:val="24"/>
          <w:szCs w:val="24"/>
        </w:rPr>
      </w:pPr>
      <w:r>
        <w:rPr>
          <w:rFonts w:ascii="Times New Roman" w:hAnsi="Times New Roman"/>
          <w:noProof/>
          <w:sz w:val="24"/>
        </w:rPr>
        <w:t>Tá an soláthar bia san Aontas ag éirí níos neamhchosanta ar rioscaí aeráide, amhail táirgeadh talmhaíochta go háirithe i nDeisceart na hEorpa, iascach agus dobharshaothrú, próiseáil bia agus slabhraí soláthair idirnáisiúnta. Déanann an</w:t>
      </w:r>
      <w:r w:rsidR="0067605E">
        <w:rPr>
          <w:rFonts w:ascii="Times New Roman" w:hAnsi="Times New Roman"/>
          <w:noProof/>
          <w:sz w:val="24"/>
        </w:rPr>
        <w:t xml:space="preserve"> t</w:t>
      </w:r>
      <w:r w:rsidR="0067605E">
        <w:rPr>
          <w:rFonts w:ascii="Times New Roman" w:hAnsi="Times New Roman"/>
          <w:noProof/>
          <w:sz w:val="24"/>
        </w:rPr>
        <w:noBreakHyphen/>
      </w:r>
      <w:r>
        <w:rPr>
          <w:rFonts w:ascii="Times New Roman" w:hAnsi="Times New Roman"/>
          <w:noProof/>
          <w:sz w:val="24"/>
        </w:rPr>
        <w:t xml:space="preserve">athrú aeráide difear do cheithre cholún na slándála bia sa ghearrthéarma, sa mheántéarma agus san fhadtéarma: infhaighteacht, rochtain, úsáid agus cobhsaíocht. Idirghníomhaíonn sé le roinnt cúiseanna eile leis an tslándáil bia ar bhealaí cascáideacha éagsúla, e.g. strus maidir le huisce, cothaithigh bhreise, sláinte ithreach, aistí bia, agus sláinte. Tá táirgeadh bia i mbaol go háirithe i ngeall ar thuilte, tonnta teasa, triomaigh, brúnna méadaitheacha lotnaidí agus galar, chomh maith le cailliúint bithéagsúlachta, díghrádú ithreach agus athruithe ar imirce éisc. </w:t>
      </w:r>
    </w:p>
    <w:p w14:paraId="709EAD81" w14:textId="4769E06C" w:rsidR="00B0505E" w:rsidRPr="00915255" w:rsidRDefault="00F81F91"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I gcás feirmeoirí, beidh obair amuigh faoin aer níos casta mar gheall ar an teas. Cuirfidh athruithe ar chriosanna agra-aeráide brú ar roghnú barr agus méadóidh siad ráta teipe na mbarr, agus cuirfidh praghsanna ionchuir agus inathraitheacht na margaí domhanda an bhunlíne faoi bhrú. I gcás iascairí, is féidir leis an mbrú breise ón athrú aeráide, ón eotrófú agus ó aigéadú na</w:t>
      </w:r>
      <w:r w:rsidR="0067605E">
        <w:rPr>
          <w:rFonts w:ascii="Times New Roman" w:hAnsi="Times New Roman"/>
          <w:noProof/>
          <w:color w:val="000000" w:themeColor="text1"/>
          <w:sz w:val="24"/>
        </w:rPr>
        <w:t xml:space="preserve"> n</w:t>
      </w:r>
      <w:r w:rsidR="0067605E">
        <w:rPr>
          <w:rFonts w:ascii="Times New Roman" w:hAnsi="Times New Roman"/>
          <w:noProof/>
          <w:color w:val="000000" w:themeColor="text1"/>
          <w:sz w:val="24"/>
        </w:rPr>
        <w:noBreakHyphen/>
      </w:r>
      <w:r>
        <w:rPr>
          <w:rFonts w:ascii="Times New Roman" w:hAnsi="Times New Roman"/>
          <w:noProof/>
          <w:color w:val="000000" w:themeColor="text1"/>
          <w:sz w:val="24"/>
        </w:rPr>
        <w:t xml:space="preserve">aigéan táirgiúlacht an stoic éisc a laghdú, rud a fhágann go mbíonn gabhálacha i bhfad níos ísle ann agus go dtagann siad sa bhreis ar roinnt stoc a ndéantar ró-iascaireacht orthu. </w:t>
      </w:r>
      <w:bookmarkStart w:id="54" w:name="_Hlk160442132"/>
      <w:r>
        <w:rPr>
          <w:rFonts w:ascii="Times New Roman" w:hAnsi="Times New Roman"/>
          <w:noProof/>
          <w:color w:val="000000" w:themeColor="text1"/>
          <w:sz w:val="24"/>
        </w:rPr>
        <w:t>Agus slite beatha agus inbhuanaitheacht tháirgeadh bia an Aontais i mbaol, ní leor roghanna a chruthú le haghaidh gníomhaíochtaí oiriúnúcháin ar leibhéal na bhfeirmeacha talmhaíochta nó na</w:t>
      </w:r>
      <w:r w:rsidR="0067605E">
        <w:rPr>
          <w:rFonts w:ascii="Times New Roman" w:hAnsi="Times New Roman"/>
          <w:noProof/>
          <w:color w:val="000000" w:themeColor="text1"/>
          <w:sz w:val="24"/>
        </w:rPr>
        <w:t xml:space="preserve"> n</w:t>
      </w:r>
      <w:r w:rsidR="0067605E">
        <w:rPr>
          <w:rFonts w:ascii="Times New Roman" w:hAnsi="Times New Roman"/>
          <w:noProof/>
          <w:color w:val="000000" w:themeColor="text1"/>
          <w:sz w:val="24"/>
        </w:rPr>
        <w:noBreakHyphen/>
      </w:r>
      <w:r>
        <w:rPr>
          <w:rFonts w:ascii="Times New Roman" w:hAnsi="Times New Roman"/>
          <w:noProof/>
          <w:color w:val="000000" w:themeColor="text1"/>
          <w:sz w:val="24"/>
        </w:rPr>
        <w:t>oibríochtaí iascaireachta agus ní mór iad a fhorlíonadh le bearta tacaíochta leordhóthanacha</w:t>
      </w:r>
      <w:bookmarkEnd w:id="54"/>
      <w:r>
        <w:rPr>
          <w:rFonts w:ascii="Times New Roman" w:hAnsi="Times New Roman"/>
          <w:noProof/>
          <w:color w:val="000000" w:themeColor="text1"/>
          <w:sz w:val="24"/>
        </w:rPr>
        <w:t xml:space="preserve"> le haghaidh an aistrithe chuig feirmeoireacht agus iascaireacht athléimneach. </w:t>
      </w:r>
      <w:r>
        <w:rPr>
          <w:rFonts w:ascii="Times New Roman" w:hAnsi="Times New Roman"/>
          <w:noProof/>
          <w:sz w:val="24"/>
        </w:rPr>
        <w:t xml:space="preserve">Le bearta tacaíochta den sórt sin, ba cheart a áirithiú freisin go leanfaidh bia sláintiúil inbhuanaithe de bheith inacmhainne agus inrochtana do thomhaltóirí, agus ba cheart ioncam inbhuanaithe a áirithiú d’fheirmeoirí. </w:t>
      </w:r>
    </w:p>
    <w:p w14:paraId="127325D4" w14:textId="77777777" w:rsidR="003641C6" w:rsidRPr="00915255" w:rsidRDefault="006C1C31"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sz w:val="24"/>
        </w:rPr>
        <w:t xml:space="preserve">Cé nach riosca mór go fóill iad allmhairí bia an Aontais, d’fhéadfadh teipeanna barr comhthráthacha i roinnt gráinseach ar fud an domhain nó in iascach mór méadú a dhéanamh ar phraghsanna bia an Aontais (toisc go ndíolann táirgeoirí an Aontais ar phraghsanna domhanda), agus dá réir sin, d’fhéadfaí tionchar a imirt ar chumhacht cheannaigh na dtomhaltóirí agus </w:t>
      </w:r>
      <w:r>
        <w:rPr>
          <w:rFonts w:ascii="Times New Roman" w:hAnsi="Times New Roman"/>
          <w:noProof/>
          <w:color w:val="000000" w:themeColor="text1"/>
          <w:sz w:val="24"/>
        </w:rPr>
        <w:t xml:space="preserve">an tslándáil bia agus inacmhainneacht aistí bia sláintiúla le haghaidh na teaghlach is boichte san Aontas a chur i mbaol. Chomh maith leis sin, cé nach bhfuil sé seo sistéamach go fóill, tá an tsábháilteacht bia i mbaol níos airde cheana féin de dheasca pataiginí atá spreagtha ag an teas agus pataiginí eile. </w:t>
      </w:r>
    </w:p>
    <w:p w14:paraId="667EE225" w14:textId="77777777" w:rsidR="00567CC4" w:rsidRDefault="00567CC4" w:rsidP="00A632E5">
      <w:pPr>
        <w:spacing w:after="120"/>
        <w:jc w:val="both"/>
        <w:rPr>
          <w:rFonts w:ascii="Times New Roman" w:hAnsi="Times New Roman" w:cs="Times New Roman"/>
          <w:bCs/>
          <w:noProof/>
          <w:sz w:val="24"/>
          <w:szCs w:val="24"/>
        </w:rPr>
      </w:pPr>
      <w:r>
        <w:rPr>
          <w:rFonts w:ascii="Times New Roman" w:hAnsi="Times New Roman"/>
          <w:noProof/>
          <w:sz w:val="24"/>
        </w:rPr>
        <w:t>Le dul chun cinn teicneolaíochta, le feabhsuithe ar bhainistíocht feirme agus le hoiriúnú leanúnach na gcleachtas feirmeoireachta, cuidíodh leis an oiriúnú gearrthéarmach don athrú aeráide. Le straitéis an Aontais um an oiriúnú agus leis an gcomhbheartas talmhaíochta, cumasaíodh gníomhaíochtaí oiriúnúcháin, ach tá fianaise theoranta ann maidir le hullmhacht struchtúrach do thubaistí a bhaineann leis an aeráid. Ina theannta sin, trí úsáid níos fearr a bhaint as éagsúlacht ghéiniteach agus as acmhainní géiniteacha neamhdhíobhálacha plandaí le haghaidh an oiriúnaithe don athrú aeráide agus na hathléimneachta in aghaidh an athraithe aeráide, is féidir cuidiú le feirmeoirí agus le bainisteoirí talún dul i ngleic le rioscaí aeráide. An togra le haghaidh rialachán maidir le plandaí a fhaightear trí theicnící géanómaíocha nua áirithe agus a mbia agus a mbeatha</w:t>
      </w:r>
      <w:r w:rsidR="00C04ACD">
        <w:rPr>
          <w:rStyle w:val="FootnoteReference"/>
          <w:rFonts w:ascii="Times New Roman" w:hAnsi="Times New Roman" w:cs="Times New Roman"/>
          <w:bCs/>
          <w:noProof/>
          <w:sz w:val="24"/>
          <w:szCs w:val="24"/>
          <w:lang w:val="en-IE" w:eastAsia="en-IE"/>
        </w:rPr>
        <w:footnoteReference w:id="48"/>
      </w:r>
      <w:r>
        <w:rPr>
          <w:rFonts w:ascii="Times New Roman" w:hAnsi="Times New Roman"/>
          <w:noProof/>
          <w:sz w:val="24"/>
        </w:rPr>
        <w:t>, is féidir leis tacú le réitigh den sórt sin.</w:t>
      </w:r>
    </w:p>
    <w:p w14:paraId="2CB6A51F" w14:textId="77777777" w:rsidR="00BB3E81" w:rsidRPr="00915255" w:rsidRDefault="004840A1"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Beidh sé ina thosaíocht ag an gCoimisiún </w:t>
      </w:r>
      <w:r>
        <w:rPr>
          <w:rFonts w:ascii="Times New Roman" w:hAnsi="Times New Roman"/>
          <w:noProof/>
          <w:color w:val="000000" w:themeColor="text1"/>
          <w:sz w:val="24"/>
          <w:u w:val="single"/>
        </w:rPr>
        <w:t>féachaint chuige go mbeidh táirgeadh bia an Aontais slán i bhfad na haimsire</w:t>
      </w:r>
      <w:r>
        <w:rPr>
          <w:rFonts w:ascii="Times New Roman" w:hAnsi="Times New Roman"/>
          <w:noProof/>
          <w:color w:val="000000" w:themeColor="text1"/>
          <w:sz w:val="24"/>
        </w:rPr>
        <w:t xml:space="preserve">. Leanfaidh an Coimisiún de bheith ag obair leis na Ballstáit chun leas iomlán a bhaint as </w:t>
      </w:r>
      <w:r>
        <w:rPr>
          <w:rFonts w:ascii="Times New Roman" w:hAnsi="Times New Roman"/>
          <w:noProof/>
          <w:color w:val="000000" w:themeColor="text1"/>
          <w:sz w:val="24"/>
          <w:u w:val="single"/>
        </w:rPr>
        <w:t>pleananna straitéiseacha an chomhbheartais talmhaíochta</w:t>
      </w:r>
      <w:r>
        <w:rPr>
          <w:rFonts w:ascii="Times New Roman" w:hAnsi="Times New Roman"/>
          <w:noProof/>
          <w:color w:val="000000" w:themeColor="text1"/>
          <w:sz w:val="24"/>
        </w:rPr>
        <w:t xml:space="preserve"> chun feabhas a chur ar an athléimneacht in aghaidh an athraithe aeráide agus chun úsáid níos leithne a bhaint as uirlisí bainistithe riosca. Ós rud é go bhfuil díghrádú ithreach ina bhagairt mhór ar ár dtáirgeadh bia, neartóidh an Coimisiún, i gcomhar leis na Ballstáit, </w:t>
      </w:r>
      <w:r>
        <w:rPr>
          <w:rFonts w:ascii="Times New Roman" w:hAnsi="Times New Roman"/>
          <w:noProof/>
          <w:color w:val="000000" w:themeColor="text1"/>
          <w:sz w:val="24"/>
          <w:u w:val="single"/>
        </w:rPr>
        <w:t>faireachán ar shláinte na hithreach</w:t>
      </w:r>
      <w:r>
        <w:rPr>
          <w:rFonts w:ascii="Times New Roman" w:hAnsi="Times New Roman"/>
          <w:noProof/>
          <w:color w:val="000000" w:themeColor="text1"/>
          <w:sz w:val="24"/>
        </w:rPr>
        <w:t xml:space="preserve">. Ba cheart luach níos fearr a chur ar rannchuidiú feirmeoirí le cosaint éicisheirbhísí. Déanfaidh an Coimisiún </w:t>
      </w:r>
      <w:r>
        <w:rPr>
          <w:rFonts w:ascii="Times New Roman" w:hAnsi="Times New Roman"/>
          <w:noProof/>
          <w:color w:val="000000" w:themeColor="text1"/>
          <w:sz w:val="24"/>
          <w:u w:val="single"/>
        </w:rPr>
        <w:t>staidéar freisin ar an oiriúnú don talmhaíocht</w:t>
      </w:r>
      <w:r>
        <w:rPr>
          <w:rFonts w:ascii="Times New Roman" w:hAnsi="Times New Roman"/>
          <w:noProof/>
          <w:color w:val="000000" w:themeColor="text1"/>
          <w:sz w:val="24"/>
        </w:rPr>
        <w:t>, a thabharfar chun críche faoi dheireadh</w:t>
      </w:r>
      <w:r>
        <w:rPr>
          <w:rFonts w:ascii="Times New Roman" w:hAnsi="Times New Roman"/>
          <w:noProof/>
          <w:sz w:val="24"/>
        </w:rPr>
        <w:t xml:space="preserve"> 2025</w:t>
      </w:r>
      <w:r>
        <w:rPr>
          <w:rFonts w:ascii="Times New Roman" w:hAnsi="Times New Roman"/>
          <w:noProof/>
          <w:color w:val="000000" w:themeColor="text1"/>
          <w:sz w:val="24"/>
        </w:rPr>
        <w:t>.</w:t>
      </w:r>
    </w:p>
    <w:p w14:paraId="75E95D84" w14:textId="547DE2B1" w:rsidR="00203897" w:rsidRPr="00B2476E" w:rsidRDefault="001E4A34"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Le téamh agus aigéadú na</w:t>
      </w:r>
      <w:r w:rsidR="0067605E">
        <w:rPr>
          <w:rFonts w:ascii="Times New Roman" w:hAnsi="Times New Roman"/>
          <w:noProof/>
          <w:color w:val="000000" w:themeColor="text1"/>
          <w:sz w:val="24"/>
        </w:rPr>
        <w:t xml:space="preserve"> n</w:t>
      </w:r>
      <w:r w:rsidR="0067605E">
        <w:rPr>
          <w:rFonts w:ascii="Times New Roman" w:hAnsi="Times New Roman"/>
          <w:noProof/>
          <w:color w:val="000000" w:themeColor="text1"/>
          <w:sz w:val="24"/>
        </w:rPr>
        <w:noBreakHyphen/>
      </w:r>
      <w:r>
        <w:rPr>
          <w:rFonts w:ascii="Times New Roman" w:hAnsi="Times New Roman"/>
          <w:noProof/>
          <w:color w:val="000000" w:themeColor="text1"/>
          <w:sz w:val="24"/>
        </w:rPr>
        <w:t>aigéan, lena</w:t>
      </w:r>
      <w:r w:rsidR="0067605E">
        <w:rPr>
          <w:rFonts w:ascii="Times New Roman" w:hAnsi="Times New Roman"/>
          <w:noProof/>
          <w:color w:val="000000" w:themeColor="text1"/>
          <w:sz w:val="24"/>
        </w:rPr>
        <w:t xml:space="preserve"> n</w:t>
      </w:r>
      <w:r w:rsidR="0067605E">
        <w:rPr>
          <w:rFonts w:ascii="Times New Roman" w:hAnsi="Times New Roman"/>
          <w:noProof/>
          <w:color w:val="000000" w:themeColor="text1"/>
          <w:sz w:val="24"/>
        </w:rPr>
        <w:noBreakHyphen/>
      </w:r>
      <w:r>
        <w:rPr>
          <w:rFonts w:ascii="Times New Roman" w:hAnsi="Times New Roman"/>
          <w:noProof/>
          <w:color w:val="000000" w:themeColor="text1"/>
          <w:sz w:val="24"/>
        </w:rPr>
        <w:t xml:space="preserve">áirítear an méadú atá ag teacht ar thonnta teasa muirí agus ar limistéir ina bhfuil leibhéil ísle ocsaigine, tá athrú á dhéanamh cheana féin ar chomhdhéanamh na speiceas agus tá difear á dhéanamh do stoic éisc agus iad ag bogadh go huisce níos doimhne agus i dtreo moil. Cruthóidh sé sin neamhréireanna idir cuótaí bunaithe agus fíordheiseanna iascaireachta. Ba cheart </w:t>
      </w:r>
      <w:r>
        <w:rPr>
          <w:rFonts w:ascii="Times New Roman" w:hAnsi="Times New Roman"/>
          <w:noProof/>
          <w:color w:val="000000" w:themeColor="text1"/>
          <w:sz w:val="24"/>
          <w:u w:val="single"/>
        </w:rPr>
        <w:t>tionchair aeráide a chomhtháthú sa chomhbheartas iascaigh</w:t>
      </w:r>
      <w:r>
        <w:rPr>
          <w:rFonts w:ascii="Times New Roman" w:hAnsi="Times New Roman"/>
          <w:noProof/>
          <w:color w:val="000000" w:themeColor="text1"/>
          <w:sz w:val="24"/>
        </w:rPr>
        <w:t>. Ní mór raon na</w:t>
      </w:r>
      <w:r w:rsidR="0067605E">
        <w:rPr>
          <w:rFonts w:ascii="Times New Roman" w:hAnsi="Times New Roman"/>
          <w:noProof/>
          <w:color w:val="000000" w:themeColor="text1"/>
          <w:sz w:val="24"/>
        </w:rPr>
        <w:t xml:space="preserve"> n</w:t>
      </w:r>
      <w:r w:rsidR="0067605E">
        <w:rPr>
          <w:rFonts w:ascii="Times New Roman" w:hAnsi="Times New Roman"/>
          <w:noProof/>
          <w:color w:val="000000" w:themeColor="text1"/>
          <w:sz w:val="24"/>
        </w:rPr>
        <w:noBreakHyphen/>
      </w:r>
      <w:r>
        <w:rPr>
          <w:rFonts w:ascii="Times New Roman" w:hAnsi="Times New Roman"/>
          <w:noProof/>
          <w:color w:val="000000" w:themeColor="text1"/>
          <w:sz w:val="24"/>
        </w:rPr>
        <w:t xml:space="preserve">éifeachtaí a d’fhéadfadh a bheith ag an athrú aeráide amach anseo a chur san áireamh sna réamhaisnéisí stoc éisc agus ba cheart cleachtais bainistithe iascaigh a bheith athléimneach in aghaidh athruithe éiceolaíocha amach anseo. Leis na nuashonruithe ar an gCiste Eorpach Muirí, Iascaigh agus Dobharshaothraithe, ba cheart rioscaí aeráide a chomhtháthú go hiomlán sa tacaíocht a thugann sé do chleachtais inbhuanaithe iascaigh agus dobharshaothraithe lena gcothaítear an athléimneacht. </w:t>
      </w:r>
    </w:p>
    <w:p w14:paraId="14B58731" w14:textId="77777777" w:rsidR="00A632E5" w:rsidRPr="00B2476E" w:rsidRDefault="00A632E5" w:rsidP="00A632E5">
      <w:pPr>
        <w:spacing w:after="120" w:line="22" w:lineRule="atLeast"/>
        <w:jc w:val="both"/>
        <w:rPr>
          <w:rFonts w:ascii="Times New Roman" w:hAnsi="Times New Roman" w:cs="Times New Roman"/>
          <w:noProof/>
          <w:color w:val="000000" w:themeColor="text1"/>
          <w:sz w:val="24"/>
          <w:szCs w:val="24"/>
        </w:rPr>
      </w:pPr>
    </w:p>
    <w:p w14:paraId="13102E8E" w14:textId="77777777" w:rsidR="00F94DC6" w:rsidRPr="00420C4C" w:rsidRDefault="00F94DC6" w:rsidP="00B11E0C">
      <w:pPr>
        <w:pStyle w:val="Heading3"/>
        <w:numPr>
          <w:ilvl w:val="1"/>
          <w:numId w:val="1"/>
        </w:numPr>
        <w:spacing w:line="259" w:lineRule="auto"/>
        <w:ind w:left="1565" w:hanging="431"/>
        <w:rPr>
          <w:rFonts w:ascii="Times New Roman" w:eastAsia="Times New Roman" w:hAnsi="Times New Roman" w:cs="Times New Roman"/>
          <w:b/>
          <w:bCs/>
          <w:noProof/>
          <w:color w:val="000000" w:themeColor="text1"/>
          <w:sz w:val="24"/>
          <w:szCs w:val="24"/>
        </w:rPr>
      </w:pPr>
      <w:bookmarkStart w:id="55" w:name="_Toc157586314"/>
      <w:bookmarkStart w:id="56" w:name="_Toc157587675"/>
      <w:bookmarkStart w:id="57" w:name="_Toc157587791"/>
      <w:bookmarkStart w:id="58" w:name="_Toc159792211"/>
      <w:bookmarkEnd w:id="55"/>
      <w:bookmarkEnd w:id="56"/>
      <w:bookmarkEnd w:id="57"/>
      <w:r>
        <w:rPr>
          <w:rFonts w:ascii="Times New Roman" w:hAnsi="Times New Roman"/>
          <w:b/>
          <w:noProof/>
          <w:color w:val="000000" w:themeColor="text1"/>
          <w:sz w:val="24"/>
        </w:rPr>
        <w:t>Bonneagar agus an timpeallacht thógtha</w:t>
      </w:r>
      <w:bookmarkEnd w:id="58"/>
      <w:r>
        <w:rPr>
          <w:rFonts w:ascii="Times New Roman" w:hAnsi="Times New Roman"/>
          <w:b/>
          <w:noProof/>
          <w:color w:val="000000" w:themeColor="text1"/>
          <w:sz w:val="24"/>
        </w:rPr>
        <w:t xml:space="preserve"> </w:t>
      </w:r>
    </w:p>
    <w:p w14:paraId="6ED6C990" w14:textId="77777777" w:rsidR="00ED251E" w:rsidRPr="00420C4C" w:rsidRDefault="00ED251E" w:rsidP="00FE40B8">
      <w:pPr>
        <w:spacing w:line="240" w:lineRule="auto"/>
        <w:jc w:val="both"/>
        <w:rPr>
          <w:rFonts w:ascii="Times New Roman" w:hAnsi="Times New Roman" w:cs="Times New Roman"/>
          <w:b/>
          <w:bCs/>
          <w:noProof/>
          <w:color w:val="000000" w:themeColor="text1"/>
          <w:sz w:val="24"/>
          <w:szCs w:val="24"/>
          <w:lang w:val="en-IE" w:eastAsia="en-IE"/>
        </w:rPr>
      </w:pPr>
    </w:p>
    <w:p w14:paraId="40FF7A32" w14:textId="77777777" w:rsidR="00610647" w:rsidRDefault="002A7034"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Tá sócmhainní bonneagair i mbaol mór ó thuilte, falscaithe, teochtaí arda agus teagmhais fhoircneacha eile, rud a d’fhéadfadh damáiste ollmhór a dhéanamh. Is féidir le cailliúint rochtana ar fhuinneamh, ar iompar agus ar chumarsáid cur isteach go tapa ar shochaithe. Faoi láthair, níl aon mheasúnú iontaofa ann ar a fheabhas a bheidh bonneagar an Aontais in ann feidhmiú sna dálaí athraitheacha aeráide. Tá bonneagar criticiúil agus stoc foirgneamh ag dul in aois go tapa. Agus machnamh á dhéanamh ag na Ballstáit ar an easpa eolais agus ar na costais thoirmeascacha a mheastar a bheith ann, bíonn sé deacair orthu móriarrachtaí oiriúnaithe bonneagair a phleanáil agus tabhairt fúthu, fiú más féidir le hiolraithe cistí bonneagair de chuid an Aontais atá ar fáil a bheith i gceist le damáistí de dheasca tubaiste aonair.</w:t>
      </w:r>
    </w:p>
    <w:p w14:paraId="23FFA4C3" w14:textId="36A6995C" w:rsidR="00B0505E" w:rsidRPr="00915255" w:rsidRDefault="002E08D6"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Le cuspóir an Aontais maidir le rátaí athchóirithe a mhéadú agus an geilleagar a dhícharbónú, tugtar deis an athléimneacht in aghaidh an athraithe aeráide a fheabhsú. Is é dearadh na timpeallachta tógtha a chinneann athléimneacht na bhfoirgneamh féin, agus a</w:t>
      </w:r>
      <w:r w:rsidR="0067605E">
        <w:rPr>
          <w:rFonts w:ascii="Times New Roman" w:hAnsi="Times New Roman"/>
          <w:noProof/>
          <w:color w:val="000000" w:themeColor="text1"/>
          <w:sz w:val="24"/>
        </w:rPr>
        <w:t xml:space="preserve"> n</w:t>
      </w:r>
      <w:r w:rsidR="0067605E">
        <w:rPr>
          <w:rFonts w:ascii="Times New Roman" w:hAnsi="Times New Roman"/>
          <w:noProof/>
          <w:color w:val="000000" w:themeColor="text1"/>
          <w:sz w:val="24"/>
        </w:rPr>
        <w:noBreakHyphen/>
      </w:r>
      <w:r>
        <w:rPr>
          <w:rFonts w:ascii="Times New Roman" w:hAnsi="Times New Roman"/>
          <w:noProof/>
          <w:color w:val="000000" w:themeColor="text1"/>
          <w:sz w:val="24"/>
        </w:rPr>
        <w:t xml:space="preserve">áitritheoirí. Na comhthairbhí a bhaineann le tithíocht chónaithe a dhíonadh ar an athrú aeráide i dtéarmaí inacmhainneachta, timpeallacht maireachtála níos sláintiúla, agus éifeachtúlacht fuinnimh níos fearr, ba cheart iad a uasmhéadú. Chomh maith le formhaoirseacht chothrománach láidir ar rioscaí sistéamacha a bhaineann le bonneagar agus lena shuíomh trí phleanáil spásúlachta, tá gá le réitigh níos earnáilsonraí. </w:t>
      </w:r>
    </w:p>
    <w:p w14:paraId="21608317" w14:textId="77777777" w:rsidR="001C34D5" w:rsidRDefault="006C33BE" w:rsidP="00A632E5">
      <w:pPr>
        <w:pStyle w:val="Text1"/>
        <w:spacing w:after="120" w:line="259" w:lineRule="auto"/>
        <w:ind w:left="0"/>
        <w:rPr>
          <w:rFonts w:eastAsiaTheme="minorEastAsia"/>
          <w:noProof/>
          <w:color w:val="000000" w:themeColor="text1"/>
        </w:rPr>
      </w:pPr>
      <w:r>
        <w:rPr>
          <w:noProof/>
          <w:color w:val="000000" w:themeColor="text1"/>
          <w:u w:val="single"/>
        </w:rPr>
        <w:t>Ní mór na caighdeáin bhonneagair a neartú</w:t>
      </w:r>
      <w:r>
        <w:rPr>
          <w:noProof/>
          <w:color w:val="000000" w:themeColor="text1"/>
        </w:rPr>
        <w:t xml:space="preserve">. Iarrfaidh an Coimisiún ar na hEagraíochtaí Eorpacha um Chaighdeánú breithnithe maidir leis an oiriúnú don athrú aeráide agus an athléimneacht a chomhtháthú i gcaighdeáin Eorpacha i dtaca le dearadh bonneagair ag a bhfuil saolré níos mó ná 30 bliain, amhail stáisiúin chumhachta nó iarnróid. Ina theannta sin, iarrfaidh an Coimisiún ar na hEagraíochtaí Eorpacha um Chaighdeánú caighdeáin nua a fhorbairt maidir le seirbhísí aeráide. </w:t>
      </w:r>
    </w:p>
    <w:p w14:paraId="0E91D051" w14:textId="77777777" w:rsidR="002E08D6" w:rsidRPr="0044238F" w:rsidRDefault="008C1507" w:rsidP="00A632E5">
      <w:pPr>
        <w:pStyle w:val="Text1"/>
        <w:spacing w:after="120" w:line="259" w:lineRule="auto"/>
        <w:ind w:left="0"/>
        <w:rPr>
          <w:noProof/>
          <w:color w:val="000000" w:themeColor="text1"/>
          <w:u w:val="single"/>
        </w:rPr>
      </w:pPr>
      <w:r>
        <w:rPr>
          <w:noProof/>
          <w:color w:val="000000" w:themeColor="text1"/>
        </w:rPr>
        <w:t>Leis an nuashonrú atá beartaithe ar chaighdeáin (Eorachóid</w:t>
      </w:r>
      <w:r w:rsidR="005D61D6" w:rsidRPr="00C72C70">
        <w:rPr>
          <w:rStyle w:val="FootnoteReference"/>
          <w:noProof/>
          <w:color w:val="000000" w:themeColor="text1"/>
        </w:rPr>
        <w:footnoteReference w:id="49"/>
      </w:r>
      <w:r>
        <w:rPr>
          <w:noProof/>
          <w:color w:val="000000" w:themeColor="text1"/>
        </w:rPr>
        <w:t>) foirgneamh lena leagtar síos na híoscheanglais maidir le dearadh struchtúrach san Aontas in 2026, beidh sé éigeantach breithniú a dhéanamh ar na guaiseacha aeráide a bheidh ann amach anseo ar struchtúir foirgneamh. Tá staidéir phíolótacha á ndéanamh ag an gCoimisiún agus ullmhóidh sé treoir le haghaidh na mBallstát maidir le húsáid a bhaint as tacair sonraí aeráide atá ar fáil go héasca chun an lódáil aeráide lena bhfuil coinne ar a gcríoch a shainiú.</w:t>
      </w:r>
    </w:p>
    <w:p w14:paraId="0AF1676E" w14:textId="77777777" w:rsidR="00755280" w:rsidRPr="00212438" w:rsidRDefault="006805D3" w:rsidP="0044238F">
      <w:pPr>
        <w:pStyle w:val="Text1"/>
        <w:spacing w:after="120" w:line="259" w:lineRule="auto"/>
        <w:ind w:left="0"/>
        <w:rPr>
          <w:noProof/>
          <w:color w:val="000000" w:themeColor="text1"/>
        </w:rPr>
      </w:pPr>
      <w:r>
        <w:rPr>
          <w:noProof/>
          <w:color w:val="000000" w:themeColor="text1"/>
        </w:rPr>
        <w:t xml:space="preserve">Is deis ríthábhachtach í féile Bauhaus Eorpach Nua i mí Aibreáin 2024 chun tabhairt faoi idirphlé le codanna éagsúla den tionscal tógála, chun príomhshruthú níos fearr an oiriúnaithe don athrú aeráide agus na hathléimneachta san earnáil sin a chur chun cinn. </w:t>
      </w:r>
    </w:p>
    <w:p w14:paraId="6A199CAF" w14:textId="77777777" w:rsidR="00B2668D" w:rsidRPr="00B2668D" w:rsidRDefault="00B2668D" w:rsidP="0044238F">
      <w:pPr>
        <w:pStyle w:val="Text1"/>
        <w:spacing w:after="120" w:line="259" w:lineRule="auto"/>
        <w:ind w:left="0"/>
        <w:rPr>
          <w:noProof/>
          <w:color w:val="000000" w:themeColor="text1"/>
          <w:szCs w:val="24"/>
        </w:rPr>
      </w:pPr>
      <w:r>
        <w:rPr>
          <w:noProof/>
          <w:color w:val="000000" w:themeColor="text1"/>
        </w:rPr>
        <w:t xml:space="preserve">Tá an </w:t>
      </w:r>
      <w:r>
        <w:rPr>
          <w:noProof/>
          <w:color w:val="000000" w:themeColor="text1"/>
          <w:u w:val="single"/>
        </w:rPr>
        <w:t>bonneagar iompair</w:t>
      </w:r>
      <w:r>
        <w:rPr>
          <w:noProof/>
          <w:color w:val="000000" w:themeColor="text1"/>
        </w:rPr>
        <w:t xml:space="preserve"> uile i mbaol i ngeall ar an athrú aeráide. Mar sin féin, tá bearna eolais san Aontas i ndáil le hathléimneacht bhonneagar iompair na hEorpa in aghaidh thionchair an athraithe aeráide maidir le neamhchosaint ar riosca, riachtanais oiriúnaithe agus réitigh, chomh maith le riachtanais infheistíochta chun aghaidh a thabhairt orthu. Tacóidh an Coimisiún le measúnuithe ar rioscaí aeráide agus le díonadh ar an athrú aeráide trína threoirlínte athbhreithnithe maidir leis an nGréasán Tras-Eorpach Iompair (TEN-T) a fhorbairt. Thug sí faoi staidéar</w:t>
      </w:r>
      <w:r w:rsidRPr="00B2668D">
        <w:rPr>
          <w:noProof/>
          <w:color w:val="000000" w:themeColor="text1"/>
          <w:szCs w:val="24"/>
          <w:vertAlign w:val="superscript"/>
        </w:rPr>
        <w:footnoteReference w:id="50"/>
      </w:r>
      <w:r>
        <w:rPr>
          <w:noProof/>
          <w:color w:val="000000" w:themeColor="text1"/>
        </w:rPr>
        <w:t xml:space="preserve"> ar athléimneacht TEN-T in aghaidh an athraithe aeráide mar chéad chéim chun aghaidh a thabhairt ar an mbearna eolais a sainaithníodh agus chun riachtanais oiriúnaithe agus tosaíochtaí infheistíochta a chinneadh.</w:t>
      </w:r>
    </w:p>
    <w:p w14:paraId="739CC87A" w14:textId="2B622703" w:rsidR="00203897" w:rsidRDefault="00661145"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Ní mór pleanáil riosca aeráide a neartú in earnáil an fhuinnimh.</w:t>
      </w:r>
      <w:r>
        <w:rPr>
          <w:rFonts w:ascii="Times New Roman" w:hAnsi="Times New Roman"/>
          <w:noProof/>
          <w:color w:val="000000" w:themeColor="text1"/>
          <w:sz w:val="24"/>
        </w:rPr>
        <w:t xml:space="preserve"> Bíonn an</w:t>
      </w:r>
      <w:r w:rsidR="0067605E">
        <w:rPr>
          <w:rFonts w:ascii="Times New Roman" w:hAnsi="Times New Roman"/>
          <w:noProof/>
          <w:color w:val="000000" w:themeColor="text1"/>
          <w:sz w:val="24"/>
        </w:rPr>
        <w:t xml:space="preserve"> t</w:t>
      </w:r>
      <w:r w:rsidR="0067605E">
        <w:rPr>
          <w:rFonts w:ascii="Times New Roman" w:hAnsi="Times New Roman"/>
          <w:noProof/>
          <w:color w:val="000000" w:themeColor="text1"/>
          <w:sz w:val="24"/>
        </w:rPr>
        <w:noBreakHyphen/>
      </w:r>
      <w:r>
        <w:rPr>
          <w:rFonts w:ascii="Times New Roman" w:hAnsi="Times New Roman"/>
          <w:noProof/>
          <w:color w:val="000000" w:themeColor="text1"/>
          <w:sz w:val="24"/>
        </w:rPr>
        <w:t>athrú aeráide ina chúis le rioscaí méadaithe don tslándáil fuinnimh, go háirithe rioscaí méadaithe maidir le cur isteach ar leictreachas de dheasca teasa, falscaithe, triomach agus tuilte a dhéanann difear do bhuaicéileamh agus a mbíonn tionchar acu ar tháirgeadh, stóráil, iompar agus dáileadh. Níor chuir ach roinnt Ballstát pleananna mionsonraithe isteach ina ndréacht-PNFAnna nuashonraithe chun breithniú a dhéanamh ar an oiriúnú don athrú aeráide i gcomhthéacs athléimneacht a gcóras fuinnimh. Breithneoidh an Coimisiún na féidearthachtaí atá ann rioscaí aeráide a phríomhshruthú ar bhealach níos fearr, mar shampla i gcomhthéacs an athbhreithnithe leanúnaigh ar an Rialachán maidir le Rialachas an Aontais Fuinnimh agus na Gníomhaíochta Aeráide. Agus an Coimisiún ag cur leis na pleananna ullmhachta náisiúnta in earnáil an leictreachais, déanfaidh sé machnamh freisin ar idirphlé a thionscnamh maidir le rioscaí aeráide le páirtithe leasmhara roghnaithe san earnáil fuinnimh, agus iarrann sé ar ghníomhaithe leasmhara (e.g. earnáil an leictreachais) tograí a chur chun cinn.</w:t>
      </w:r>
    </w:p>
    <w:p w14:paraId="60C3E788" w14:textId="77777777" w:rsidR="00A632E5" w:rsidRPr="00A632E5" w:rsidRDefault="00A632E5" w:rsidP="00A632E5">
      <w:pPr>
        <w:spacing w:after="120"/>
        <w:jc w:val="both"/>
        <w:rPr>
          <w:rFonts w:ascii="Times New Roman" w:hAnsi="Times New Roman" w:cs="Times New Roman"/>
          <w:noProof/>
          <w:color w:val="000000" w:themeColor="text1"/>
          <w:sz w:val="24"/>
          <w:szCs w:val="24"/>
        </w:rPr>
      </w:pPr>
    </w:p>
    <w:p w14:paraId="569625F2" w14:textId="77777777" w:rsidR="00F94DC6" w:rsidRPr="00420C4C" w:rsidRDefault="00F94DC6"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59" w:name="_Toc157587793"/>
      <w:bookmarkStart w:id="60" w:name="_Toc159792212"/>
      <w:bookmarkEnd w:id="59"/>
      <w:r>
        <w:rPr>
          <w:rFonts w:ascii="Times New Roman" w:hAnsi="Times New Roman"/>
          <w:b/>
          <w:noProof/>
          <w:color w:val="000000" w:themeColor="text1"/>
          <w:sz w:val="24"/>
        </w:rPr>
        <w:t>Geilleagar</w:t>
      </w:r>
      <w:bookmarkEnd w:id="60"/>
    </w:p>
    <w:p w14:paraId="593A9113" w14:textId="77777777" w:rsidR="00ED251E" w:rsidRDefault="00ED251E" w:rsidP="00FE40B8">
      <w:pPr>
        <w:spacing w:line="240" w:lineRule="auto"/>
        <w:jc w:val="both"/>
        <w:rPr>
          <w:rFonts w:ascii="Times New Roman" w:hAnsi="Times New Roman" w:cs="Times New Roman"/>
          <w:bCs/>
          <w:noProof/>
          <w:color w:val="000000" w:themeColor="text1"/>
          <w:sz w:val="24"/>
          <w:szCs w:val="24"/>
          <w:lang w:val="en-IE" w:eastAsia="en-IE"/>
        </w:rPr>
      </w:pPr>
    </w:p>
    <w:p w14:paraId="36DC6FC7" w14:textId="77777777" w:rsidR="003538B8" w:rsidRDefault="00363162"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Cuirfidh gach tubaiste a bhaineann leis an athrú aeráide brú breise ar an ngeilleagar, trí chaillteanas táirgiúlachta agus bás, damáiste díreach, acmhainneacht fáis laghdaithe agus brú ar bhuiséid phoiblí. Nuair a dhéantar an infheistíocht a atreorú le haghaidh atógála tar éis damáistí, laghdaítear an méid atá ar fáil le haghaidh infheistíocht tháirgiúil. Ní thuigtear go maith na hidirghníomhaíochtaí idir na codanna éagsúla den chóras airgeadais, agus d’fhéadfadh rioscaí aeráide leochaileachtaí atá ann cheana a bhrú thar thairseacha criticiúla le haghaidh na gcóras sin. Is iad buiséid rialtais an phríomhfhoinse chumhdaigh le haghaidh na rioscaí sin, ach tá brú orthu cheana féin mar gheall ar leibhéil arda fiachais. D’fhéadfadh na dliteanais theagmhasacha intuigthe ó rioscaí aeráide cobhsaíocht fhioscach agus inbhuanaitheacht fhioscach na mBallstát a chur i mbaol. D’fhéadfadh na rioscaí do gheilleagar an Aontais a bheith suntasach</w:t>
      </w:r>
      <w:r w:rsidR="003057A0" w:rsidRPr="00915255">
        <w:rPr>
          <w:rStyle w:val="FootnoteReference"/>
          <w:rFonts w:ascii="Times New Roman" w:hAnsi="Times New Roman" w:cs="Times New Roman"/>
          <w:bCs/>
          <w:noProof/>
          <w:color w:val="000000" w:themeColor="text1"/>
          <w:sz w:val="24"/>
          <w:szCs w:val="24"/>
          <w:lang w:val="en-IE" w:eastAsia="en-IE"/>
        </w:rPr>
        <w:footnoteReference w:id="51"/>
      </w:r>
      <w:r>
        <w:rPr>
          <w:rFonts w:ascii="Times New Roman" w:hAnsi="Times New Roman"/>
          <w:noProof/>
          <w:color w:val="000000" w:themeColor="text1"/>
          <w:sz w:val="24"/>
        </w:rPr>
        <w:t xml:space="preserve">. </w:t>
      </w:r>
    </w:p>
    <w:p w14:paraId="41B8F205" w14:textId="77777777" w:rsidR="00463C23" w:rsidRPr="00915255" w:rsidRDefault="006A2290"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Tá slándáil eacnamaíoch an Aontais neamhchosanta freisin ar rioscaí aeráide i slabhraí soláthair, go háirithe maidir le cógaisíocht agus leathsheoltóirí. I bhfianaise na mbearnaí sonraí agus eolais atá ann cheana, ní chuirtear as an áireamh go bhfuil rioscaí a bhaineann leis an aeráid praghsáilte faoina luach faoi láthair. Is féidir leis sin freagairtí mí-ordúla a chruthú ar an margadh, mar shampla nuair a tharlaíonn teagmhais fhoircneacha nó nuair is dócha go dtarlóidh siad. Tá cumhdach árachais sócmhainní agus maoine atá neamhchosanta ar an aeráid íseal san Aontas, agus tá éagsúlacht mhór idir na Ballstáit agus priacail a bhaineann leis an aeráid, agus is dócha go laghdóidh sé a thuilleadh agus préimheanna ag dul i méid de réir mar a mhéadaíonn teagmhais a bhaineann leis an aeráid ó thaobh minicíochta agus déine de. Tá obair shuntasach ar siúl maidir leis na rioscaí inbhuanaitheachta éagsúla, go háirithe trí straitéis an Aontais maidir le maoiniú inbhuanaithe, nó tríd an Idirphlé maidir leis an Athléimneacht in aghaidh an Athraithe Aeráide arb é is aidhm dó an bhearna cosanta aeráide san árachas a dhúnadh</w:t>
      </w:r>
      <w:r w:rsidR="00FD6FC6">
        <w:rPr>
          <w:rStyle w:val="FootnoteReference"/>
          <w:rFonts w:ascii="Times New Roman" w:hAnsi="Times New Roman" w:cs="Times New Roman"/>
          <w:bCs/>
          <w:noProof/>
          <w:color w:val="000000" w:themeColor="text1"/>
          <w:sz w:val="24"/>
          <w:szCs w:val="24"/>
          <w:lang w:val="en-IE" w:eastAsia="en-IE"/>
        </w:rPr>
        <w:footnoteReference w:id="52"/>
      </w:r>
      <w:r>
        <w:rPr>
          <w:rFonts w:ascii="Times New Roman" w:hAnsi="Times New Roman"/>
          <w:noProof/>
          <w:color w:val="000000" w:themeColor="text1"/>
          <w:sz w:val="24"/>
        </w:rPr>
        <w:t xml:space="preserve">. </w:t>
      </w:r>
    </w:p>
    <w:p w14:paraId="6F2983A7" w14:textId="77E9E64D" w:rsidR="003C5D9C" w:rsidRDefault="00453D4B"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Tá bearta móra déanta ag an Aontas cheana féin chun leas a bhaint as an ngníomhú domhanda ar son na haeráide agus as an trádáil. Comhghuaillíocht na nAirí Trádála maidir leis an Aeráid</w:t>
      </w:r>
      <w:r w:rsidRPr="00915255">
        <w:rPr>
          <w:rFonts w:ascii="Times New Roman" w:hAnsi="Times New Roman" w:cs="Times New Roman"/>
          <w:noProof/>
          <w:color w:val="000000" w:themeColor="text1"/>
          <w:sz w:val="24"/>
          <w:szCs w:val="24"/>
          <w:vertAlign w:val="superscript"/>
          <w:lang w:val="en-IE" w:eastAsia="en-IE"/>
        </w:rPr>
        <w:footnoteReference w:id="53"/>
      </w:r>
      <w:r>
        <w:rPr>
          <w:rFonts w:ascii="Times New Roman" w:hAnsi="Times New Roman"/>
          <w:noProof/>
          <w:color w:val="000000" w:themeColor="text1"/>
          <w:sz w:val="24"/>
        </w:rPr>
        <w:t>, arna seoladh agus arna stiúradh ag an Aontas le hEacuadór, leis an gCéinia agus leis an Nua-Shéalainn, léiríonn sí go bhfuil méadú ag teacht ar an aitheantas atá á thabhairt ag rialtais do leasanna comhroinnte ag an nasc idir an aeráid agus an trádáil chun feabhas a chur ar an rannchuidiú a d’fhéadfadh a bheith ag an trádáil agus ag an mbeartas trádála leis an ngníomhú ar son na haeráide. Is féidir le comhaontuithe déthaobhacha trádála an Aontais a bheith ina</w:t>
      </w:r>
      <w:r w:rsidR="0067605E">
        <w:rPr>
          <w:rFonts w:ascii="Times New Roman" w:hAnsi="Times New Roman"/>
          <w:noProof/>
          <w:color w:val="000000" w:themeColor="text1"/>
          <w:sz w:val="24"/>
        </w:rPr>
        <w:t xml:space="preserve"> n</w:t>
      </w:r>
      <w:r w:rsidR="0067605E">
        <w:rPr>
          <w:rFonts w:ascii="Times New Roman" w:hAnsi="Times New Roman"/>
          <w:noProof/>
          <w:color w:val="000000" w:themeColor="text1"/>
          <w:sz w:val="24"/>
        </w:rPr>
        <w:noBreakHyphen/>
      </w:r>
      <w:r>
        <w:rPr>
          <w:rFonts w:ascii="Times New Roman" w:hAnsi="Times New Roman"/>
          <w:noProof/>
          <w:color w:val="000000" w:themeColor="text1"/>
          <w:sz w:val="24"/>
        </w:rPr>
        <w:t>ardáin thábhachtacha chun dul i dteagmháil le comhpháirtithe trádála maidir le gníomhú ar son na haeráide agus an chomhshaoil</w:t>
      </w:r>
      <w:r w:rsidR="00FE4D6B" w:rsidRPr="00C25C60">
        <w:rPr>
          <w:rFonts w:ascii="Times New Roman" w:hAnsi="Times New Roman" w:cs="Times New Roman"/>
          <w:noProof/>
          <w:color w:val="000000" w:themeColor="text1"/>
          <w:sz w:val="24"/>
          <w:szCs w:val="24"/>
          <w:vertAlign w:val="superscript"/>
          <w:lang w:eastAsia="en-IE"/>
        </w:rPr>
        <w:footnoteReference w:id="54"/>
      </w:r>
      <w:r>
        <w:rPr>
          <w:rFonts w:ascii="Times New Roman" w:hAnsi="Times New Roman"/>
          <w:noProof/>
          <w:color w:val="000000" w:themeColor="text1"/>
          <w:sz w:val="24"/>
        </w:rPr>
        <w:t xml:space="preserve">. </w:t>
      </w:r>
    </w:p>
    <w:p w14:paraId="26AC95B4" w14:textId="07488139" w:rsidR="007D4C6B" w:rsidRPr="00915255" w:rsidRDefault="001C7367"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Is guais mhór iad rioscaí a bhaineann leis an aeráid d’</w:t>
      </w:r>
      <w:r>
        <w:rPr>
          <w:rFonts w:ascii="Times New Roman" w:hAnsi="Times New Roman"/>
          <w:noProof/>
          <w:color w:val="000000" w:themeColor="text1"/>
          <w:sz w:val="24"/>
          <w:u w:val="single"/>
        </w:rPr>
        <w:t>athléimneacht ghnólachtaí an Aontais, go háirithe FBMann</w:t>
      </w:r>
      <w:r>
        <w:rPr>
          <w:rFonts w:ascii="Times New Roman" w:hAnsi="Times New Roman"/>
          <w:noProof/>
          <w:color w:val="000000" w:themeColor="text1"/>
          <w:sz w:val="24"/>
        </w:rPr>
        <w:t>a. Déanann rioscaí aeráide difear do rochtain FBManna ar mhaoiniú, dá gcostas caipitil, agus dá gcumas fiacha a aisíoc</w:t>
      </w:r>
      <w:r w:rsidR="00F74E4A">
        <w:rPr>
          <w:rStyle w:val="FootnoteReference"/>
          <w:rFonts w:ascii="Times New Roman" w:hAnsi="Times New Roman" w:cs="Times New Roman"/>
          <w:noProof/>
          <w:color w:val="000000" w:themeColor="text1"/>
          <w:sz w:val="24"/>
          <w:szCs w:val="24"/>
          <w:lang w:val="en-IE" w:eastAsia="en-IE"/>
        </w:rPr>
        <w:footnoteReference w:id="55"/>
      </w:r>
      <w:r>
        <w:rPr>
          <w:rFonts w:ascii="Times New Roman" w:hAnsi="Times New Roman"/>
          <w:noProof/>
          <w:color w:val="000000" w:themeColor="text1"/>
          <w:sz w:val="24"/>
        </w:rPr>
        <w:t>. Tá imní ar bheagnach leath de ghnólachtaí an Aontais faoi ghuaiseacha nádúrtha, ach tá infheistíocht déanta ag níos lú ná trian de ghnólachtaí, nó tá infheistíocht beartaithe ag níos lú ná trian de ghnólachtaí, chun tionchar rioscaí guaise nádúrtha a mhaolú.</w:t>
      </w:r>
      <w:r w:rsidR="001A31EC" w:rsidRPr="00915255">
        <w:rPr>
          <w:rFonts w:ascii="Times New Roman" w:hAnsi="Times New Roman" w:cs="Times New Roman"/>
          <w:noProof/>
          <w:color w:val="000000" w:themeColor="text1"/>
          <w:sz w:val="24"/>
          <w:szCs w:val="24"/>
          <w:vertAlign w:val="superscript"/>
          <w:lang w:val="en-IE" w:eastAsia="en-IE"/>
        </w:rPr>
        <w:footnoteReference w:id="56"/>
      </w:r>
      <w:r>
        <w:rPr>
          <w:rFonts w:ascii="Times New Roman" w:hAnsi="Times New Roman"/>
          <w:noProof/>
          <w:color w:val="000000" w:themeColor="text1"/>
          <w:sz w:val="24"/>
          <w:vertAlign w:val="superscript"/>
        </w:rPr>
        <w:t xml:space="preserve"> </w:t>
      </w:r>
      <w:r>
        <w:rPr>
          <w:rFonts w:ascii="Times New Roman" w:hAnsi="Times New Roman"/>
          <w:noProof/>
          <w:color w:val="000000" w:themeColor="text1"/>
          <w:sz w:val="24"/>
        </w:rPr>
        <w:t>Mar a leagtar amach i straitéis FBManna an Aontais, tá sé ríthábhachtach tacú le FBManna rioscaí comhshaoil a thuiscint agus a mhaolú</w:t>
      </w:r>
      <w:r w:rsidR="00BD486C" w:rsidRPr="001A3A0E">
        <w:rPr>
          <w:rStyle w:val="FootnoteReference"/>
          <w:rFonts w:ascii="Times New Roman" w:hAnsi="Times New Roman" w:cs="Times New Roman"/>
          <w:noProof/>
          <w:color w:val="000000" w:themeColor="text1"/>
          <w:sz w:val="24"/>
          <w:szCs w:val="24"/>
          <w:lang w:val="en-IE" w:eastAsia="en-IE"/>
        </w:rPr>
        <w:footnoteReference w:id="57"/>
      </w:r>
      <w:r>
        <w:rPr>
          <w:rFonts w:ascii="Times New Roman" w:hAnsi="Times New Roman"/>
          <w:noProof/>
          <w:color w:val="000000" w:themeColor="text1"/>
          <w:sz w:val="24"/>
        </w:rPr>
        <w:t>. Mar chuid de chur chun feidhme na straitéise Eorpaí um an tslándáil eacnamaíoch</w:t>
      </w:r>
      <w:r w:rsidR="00D95E11" w:rsidRPr="001A3A0E">
        <w:rPr>
          <w:rStyle w:val="FootnoteReference"/>
          <w:rFonts w:ascii="Times New Roman" w:hAnsi="Times New Roman" w:cs="Times New Roman"/>
          <w:noProof/>
          <w:color w:val="000000" w:themeColor="text1"/>
          <w:sz w:val="24"/>
          <w:szCs w:val="24"/>
          <w:lang w:val="en-IE" w:eastAsia="en-IE"/>
        </w:rPr>
        <w:footnoteReference w:id="58"/>
      </w:r>
      <w:r>
        <w:rPr>
          <w:rFonts w:ascii="Times New Roman" w:hAnsi="Times New Roman"/>
          <w:noProof/>
          <w:color w:val="000000" w:themeColor="text1"/>
          <w:sz w:val="24"/>
        </w:rPr>
        <w:t>, déanfaidh an Coimisiún rioscaí aeráide a mheas freisin. Na gníomhaíochtaí a leagtar amach sa Phacáiste Fóirithinte do FBManna</w:t>
      </w:r>
      <w:r w:rsidR="0086628C" w:rsidRPr="00D45989">
        <w:rPr>
          <w:rStyle w:val="FootnoteReference"/>
          <w:rFonts w:ascii="Times New Roman" w:hAnsi="Times New Roman"/>
          <w:noProof/>
          <w:color w:val="000000" w:themeColor="text1"/>
          <w:sz w:val="24"/>
          <w:lang w:val="en-IE"/>
        </w:rPr>
        <w:footnoteReference w:id="59"/>
      </w:r>
      <w:r>
        <w:rPr>
          <w:rFonts w:ascii="Times New Roman" w:hAnsi="Times New Roman"/>
          <w:noProof/>
          <w:color w:val="000000" w:themeColor="text1"/>
          <w:sz w:val="24"/>
        </w:rPr>
        <w:t>, arb é is aidhm dóibh, i measc nithe eile, é a dhéanamh níos éasca do FBManna rochtain a fháil ar mhaoiniú inbhuanaithe agus an</w:t>
      </w:r>
      <w:r w:rsidR="0067605E">
        <w:rPr>
          <w:rFonts w:ascii="Times New Roman" w:hAnsi="Times New Roman"/>
          <w:noProof/>
          <w:color w:val="000000" w:themeColor="text1"/>
          <w:sz w:val="24"/>
        </w:rPr>
        <w:t xml:space="preserve"> t</w:t>
      </w:r>
      <w:r w:rsidR="0067605E">
        <w:rPr>
          <w:rFonts w:ascii="Times New Roman" w:hAnsi="Times New Roman"/>
          <w:noProof/>
          <w:color w:val="000000" w:themeColor="text1"/>
          <w:sz w:val="24"/>
        </w:rPr>
        <w:noBreakHyphen/>
      </w:r>
      <w:r>
        <w:rPr>
          <w:rFonts w:ascii="Times New Roman" w:hAnsi="Times New Roman"/>
          <w:noProof/>
          <w:color w:val="000000" w:themeColor="text1"/>
          <w:sz w:val="24"/>
        </w:rPr>
        <w:t>ualach riaracháin a íoslaghdú san am céanna, cuidíonn siad freisin le cuideachtaí an Aontais a staid iomaíochta a choinneáil ar bun agus d’fhéadfaidís forbairt an mhargaidh a chruthú agus a stiúradh i ndeighleoga ina gcothaítear an athléimneacht in aghaidh an athraithe aeráide. Cuimsítear leis sin tacaíocht a thabhairt don tsochaí agus sciar suntasach a ghabháil sa mhargadh domhanda le haghaidh teicneolaíochtaí agus córais faisnéise a bhaineann leis an athléimneacht in aghaidh an athraithe aeráide agus bainistiú riosca. Chun feabhas a chur ar athléimneacht shistéamach shlabhraí soláthair an Aontais, breithneoidh an Coimisiún an bhféadfaí scagadh a dhéanamh ar rioscaí fisiceacha aeráide i gcomhthéacs faireachán a dhéanamh ar leochaileachtaí sa slabhra soláthair.</w:t>
      </w:r>
    </w:p>
    <w:p w14:paraId="45F7F3EE" w14:textId="1946136F" w:rsidR="00211506" w:rsidRPr="001A3A0E" w:rsidRDefault="00211506" w:rsidP="00A632E5">
      <w:pPr>
        <w:spacing w:after="120"/>
        <w:jc w:val="both"/>
        <w:rPr>
          <w:rFonts w:ascii="Times New Roman" w:hAnsi="Times New Roman" w:cs="Times New Roman"/>
          <w:noProof/>
          <w:color w:val="000000" w:themeColor="text1"/>
          <w:sz w:val="24"/>
          <w:szCs w:val="24"/>
        </w:rPr>
      </w:pPr>
      <w:bookmarkStart w:id="61" w:name="_Hlk160800506"/>
      <w:r>
        <w:rPr>
          <w:rFonts w:ascii="Times New Roman" w:hAnsi="Times New Roman"/>
          <w:noProof/>
          <w:color w:val="000000" w:themeColor="text1"/>
          <w:sz w:val="24"/>
          <w:u w:val="single"/>
        </w:rPr>
        <w:t>Is léir gur gá an inbhuanaitheacht fhioscach a neartú</w:t>
      </w:r>
      <w:r>
        <w:rPr>
          <w:rFonts w:ascii="Times New Roman" w:hAnsi="Times New Roman"/>
          <w:noProof/>
          <w:color w:val="000000" w:themeColor="text1"/>
          <w:sz w:val="24"/>
        </w:rPr>
        <w:t xml:space="preserve">. Leis an gcomhaontú sealadach maidir le creat rialachais eacnamaíoch nua, meastar go </w:t>
      </w:r>
      <w:r>
        <w:rPr>
          <w:rFonts w:ascii="Times New Roman" w:hAnsi="Times New Roman"/>
          <w:noProof/>
          <w:color w:val="000000"/>
          <w:sz w:val="24"/>
        </w:rPr>
        <w:t>neartófar an inbhuanaitheacht fhioscach agus go gcuirfear fás chun cinn trí athchóirithe agus infheistíochtaí, go háirithe athchóirithe agus infheistíochtaí le haghaidh thosaíochtaí coiteanna an Aontais amhail an</w:t>
      </w:r>
      <w:r w:rsidR="0067605E">
        <w:rPr>
          <w:rFonts w:ascii="Times New Roman" w:hAnsi="Times New Roman"/>
          <w:noProof/>
          <w:color w:val="000000"/>
          <w:sz w:val="24"/>
        </w:rPr>
        <w:t xml:space="preserve"> t</w:t>
      </w:r>
      <w:r w:rsidR="0067605E">
        <w:rPr>
          <w:rFonts w:ascii="Times New Roman" w:hAnsi="Times New Roman"/>
          <w:noProof/>
          <w:color w:val="000000"/>
          <w:sz w:val="24"/>
        </w:rPr>
        <w:noBreakHyphen/>
      </w:r>
      <w:r>
        <w:rPr>
          <w:rFonts w:ascii="Times New Roman" w:hAnsi="Times New Roman"/>
          <w:noProof/>
          <w:color w:val="000000"/>
          <w:sz w:val="24"/>
        </w:rPr>
        <w:t>aistriú aeráide</w:t>
      </w:r>
      <w:r>
        <w:rPr>
          <w:rFonts w:ascii="Times New Roman" w:hAnsi="Times New Roman"/>
          <w:noProof/>
          <w:color w:val="000000" w:themeColor="text1"/>
          <w:sz w:val="24"/>
        </w:rPr>
        <w:t>.</w:t>
      </w:r>
      <w:r w:rsidRPr="00915255">
        <w:rPr>
          <w:rFonts w:ascii="Times New Roman" w:hAnsi="Times New Roman" w:cs="Times New Roman"/>
          <w:noProof/>
          <w:color w:val="000000" w:themeColor="text1"/>
          <w:sz w:val="24"/>
          <w:szCs w:val="24"/>
          <w:vertAlign w:val="superscript"/>
          <w:lang w:val="en-IE" w:eastAsia="en-IE"/>
        </w:rPr>
        <w:footnoteReference w:id="60"/>
      </w:r>
      <w:r>
        <w:rPr>
          <w:rFonts w:ascii="Times New Roman" w:hAnsi="Times New Roman"/>
          <w:noProof/>
          <w:color w:val="000000" w:themeColor="text1"/>
          <w:sz w:val="24"/>
        </w:rPr>
        <w:t xml:space="preserve"> Tá obair ar siúl chun réamh-mheastachán na dtionchar aeráide ar inbhuanaitheacht fiachais a fhorbairt. Mar chuid den chomhaontú sealadach, áirítear sna leasuithe ar an Treoir maidir le Creataí Buiséadacha Náisiúnta ceanglais tuairiscithe a bhaineann leis an aeráid sna pleananna buiséadacha náisiúnta bliantúla agus ilbhliantúla. Cumhdaítear leis na forálacha sin sonraí roimhe seo maidir le caillteanas de dheasca tubaiste a bhaineann leis an aeráid agus meastacháin ar rioscaí fioscacha de dheasca an athraithe aeráide. Chun buiséadú rioscaí aeráide a fheabhsú agus a phríomhshruthú i bpróisis bhuiséadacha náisiúnta, tá an Coimisiún réidh chun tacú leis na Ballstáit agus dea-chleachtais á malartú acu agus chun tacaíocht theicniúil agus oiliúint a chur ar fáil. Tá obair ar siúl chun na meastacháin ar riachtanais infheistíochta oiriúnaithe a bheachtú</w:t>
      </w:r>
      <w:r w:rsidR="006F47E3" w:rsidRPr="006F47E3">
        <w:rPr>
          <w:rFonts w:ascii="Times New Roman" w:hAnsi="Times New Roman" w:cs="Times New Roman"/>
          <w:noProof/>
          <w:color w:val="000000" w:themeColor="text1"/>
          <w:sz w:val="24"/>
          <w:szCs w:val="24"/>
          <w:vertAlign w:val="superscript"/>
          <w:lang w:val="en-IE" w:eastAsia="en-IE"/>
        </w:rPr>
        <w:footnoteReference w:id="61"/>
      </w:r>
      <w:r>
        <w:rPr>
          <w:rFonts w:ascii="Times New Roman" w:hAnsi="Times New Roman"/>
          <w:noProof/>
          <w:color w:val="000000" w:themeColor="text1"/>
          <w:sz w:val="24"/>
        </w:rPr>
        <w:t xml:space="preserve">, agus oibreoidh an Coimisiún freisin leis na Ballstáit chun na bearnaí sonraí a líonadh </w:t>
      </w:r>
      <w:r>
        <w:rPr>
          <w:rFonts w:ascii="Times New Roman" w:hAnsi="Times New Roman"/>
          <w:i/>
          <w:iCs/>
          <w:noProof/>
          <w:color w:val="000000" w:themeColor="text1"/>
          <w:sz w:val="24"/>
        </w:rPr>
        <w:t>inter alia</w:t>
      </w:r>
      <w:r>
        <w:rPr>
          <w:rFonts w:ascii="Times New Roman" w:hAnsi="Times New Roman"/>
          <w:noProof/>
          <w:color w:val="000000" w:themeColor="text1"/>
          <w:sz w:val="24"/>
        </w:rPr>
        <w:t xml:space="preserve"> chun riachtanais infheistíochta oiriúnaithe náisiúnta a mheas. Tá an Coimisiún réidh chun tacú le státchistí na mBallstát agus iad ag iarraidh malartú a dhéanamh ar an ról atá acu maidir le beartais oiriúnaithe a chomhordú, a cheapadh agus a chur chun feidhme. </w:t>
      </w:r>
    </w:p>
    <w:bookmarkEnd w:id="61"/>
    <w:p w14:paraId="5455CD9F" w14:textId="04A2E27B" w:rsidR="008C27E2" w:rsidRDefault="00867C89"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 xml:space="preserve">Ní mór do bheartais an mhargaidh airgeadais cur chuige stuama a ghlacadh i leith rioscaí aeráide chun cobhsaíocht airgeadais a chosaint. </w:t>
      </w:r>
      <w:r>
        <w:rPr>
          <w:rFonts w:ascii="Times New Roman" w:hAnsi="Times New Roman"/>
          <w:noProof/>
          <w:color w:val="000000" w:themeColor="text1"/>
          <w:sz w:val="24"/>
        </w:rPr>
        <w:t>Tá sé d’aidhm ag Straitéis an Aontais Eorpaigh maidir le maoiniú inbhuanaithe rioscaí aeráide agus rioscaí comhshaoil eile a dhéanamh níos trédhearcaí agus córas airgeadais an Aontais a dhéanamh níos sábháilte</w:t>
      </w:r>
      <w:bookmarkStart w:id="62" w:name="_Hlk160823229"/>
      <w:r>
        <w:rPr>
          <w:rFonts w:ascii="Times New Roman" w:hAnsi="Times New Roman"/>
          <w:noProof/>
          <w:color w:val="000000" w:themeColor="text1"/>
          <w:sz w:val="24"/>
        </w:rPr>
        <w:t>. Leanfaidh an Coimisiún dá áirithiú go léireofar na rioscaí ábhartha uile go hiomchuí sna creataí stuamachta, e.g. sna tograí a comhaontaíodh le déanaí maidir le Sócmhainneacht II agus an Rialachán maidir le Ceanglais Chaipitil, lena soláthraítear an bonn chun riosca aeráide a leabú i gcreataí na mbanc agus na</w:t>
      </w:r>
      <w:r w:rsidR="0067605E">
        <w:rPr>
          <w:rFonts w:ascii="Times New Roman" w:hAnsi="Times New Roman"/>
          <w:noProof/>
          <w:color w:val="000000" w:themeColor="text1"/>
          <w:sz w:val="24"/>
        </w:rPr>
        <w:t xml:space="preserve"> n</w:t>
      </w:r>
      <w:r w:rsidR="0067605E">
        <w:rPr>
          <w:rFonts w:ascii="Times New Roman" w:hAnsi="Times New Roman"/>
          <w:noProof/>
          <w:color w:val="000000" w:themeColor="text1"/>
          <w:sz w:val="24"/>
        </w:rPr>
        <w:noBreakHyphen/>
      </w:r>
      <w:r>
        <w:rPr>
          <w:rFonts w:ascii="Times New Roman" w:hAnsi="Times New Roman"/>
          <w:noProof/>
          <w:color w:val="000000" w:themeColor="text1"/>
          <w:sz w:val="24"/>
        </w:rPr>
        <w:t>árachóirí. Áiritheoidh an Coimisiún go gcuirfear chun feidhme go pras iad.</w:t>
      </w:r>
    </w:p>
    <w:bookmarkEnd w:id="62"/>
    <w:p w14:paraId="7ABE36A2" w14:textId="77777777" w:rsidR="00FE74B1" w:rsidRPr="00915255" w:rsidRDefault="00FE74B1" w:rsidP="00FE74B1">
      <w:pPr>
        <w:spacing w:after="120"/>
        <w:jc w:val="both"/>
        <w:rPr>
          <w:rFonts w:ascii="Times New Roman" w:hAnsi="Times New Roman" w:cs="Times New Roman"/>
          <w:noProof/>
          <w:color w:val="000000" w:themeColor="text1"/>
          <w:sz w:val="24"/>
          <w:szCs w:val="24"/>
          <w:u w:val="single"/>
          <w:lang w:val="en-IE" w:eastAsia="en-IE"/>
        </w:rPr>
      </w:pPr>
    </w:p>
    <w:p w14:paraId="6E42D7F0" w14:textId="77777777" w:rsidR="0053389F" w:rsidRPr="00420C4C" w:rsidRDefault="0053389F" w:rsidP="00B2476E">
      <w:pPr>
        <w:pStyle w:val="Heading1"/>
        <w:numPr>
          <w:ilvl w:val="0"/>
          <w:numId w:val="1"/>
        </w:numPr>
        <w:ind w:left="357" w:hanging="357"/>
        <w:rPr>
          <w:rFonts w:ascii="Times New Roman" w:hAnsi="Times New Roman" w:cs="Times New Roman"/>
          <w:b/>
          <w:bCs/>
          <w:noProof/>
          <w:color w:val="000000" w:themeColor="text1"/>
          <w:sz w:val="24"/>
          <w:szCs w:val="24"/>
        </w:rPr>
      </w:pPr>
      <w:bookmarkStart w:id="63" w:name="_Toc159792213"/>
      <w:r>
        <w:rPr>
          <w:rFonts w:ascii="Times New Roman" w:hAnsi="Times New Roman"/>
          <w:b/>
          <w:noProof/>
          <w:color w:val="000000" w:themeColor="text1"/>
          <w:sz w:val="24"/>
        </w:rPr>
        <w:t>Na chéad chéimeanna eile</w:t>
      </w:r>
      <w:bookmarkEnd w:id="63"/>
      <w:r>
        <w:rPr>
          <w:rFonts w:ascii="Times New Roman" w:hAnsi="Times New Roman"/>
          <w:b/>
          <w:noProof/>
          <w:color w:val="000000" w:themeColor="text1"/>
          <w:sz w:val="24"/>
        </w:rPr>
        <w:t xml:space="preserve"> </w:t>
      </w:r>
    </w:p>
    <w:p w14:paraId="15631265" w14:textId="77777777" w:rsidR="00420C4C" w:rsidRDefault="00420C4C" w:rsidP="00C60E19">
      <w:pPr>
        <w:keepNext/>
        <w:keepLines/>
        <w:jc w:val="both"/>
        <w:textAlignment w:val="baseline"/>
        <w:rPr>
          <w:rFonts w:ascii="Times New Roman" w:eastAsia="Times New Roman" w:hAnsi="Times New Roman" w:cs="Times New Roman"/>
          <w:noProof/>
          <w:color w:val="000000" w:themeColor="text1"/>
          <w:sz w:val="24"/>
          <w:szCs w:val="24"/>
          <w:lang w:val="en-IE" w:eastAsia="en-IE"/>
        </w:rPr>
      </w:pPr>
    </w:p>
    <w:p w14:paraId="14C55814" w14:textId="77777777" w:rsidR="00363162" w:rsidRPr="00915255" w:rsidRDefault="0049025D" w:rsidP="00BB3B6A">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Mar chuid de chur chun feidhme straitéis an Aontais Eorpaigh um an oiriúnú, cuirtear i dtábhacht sa Teachtaireacht seo na príomhghníomhaíochtaí nach mór don Aontas agus dá Bhallstáit a dhéanamh chun rioscaí aeráide atá ag dul i méid a bhainistiú ar bhealach níos fearr, go háirithe chun na beartais atá ann cheana a chur chun feidhme agus chun úinéireacht riosca i bpróisis rialachais a shoiléiriú. Déantar amhlaidh chun freagairt láidir agus thráthúil a thabhairt ar an mbaol atá ann faoi láthair go mbeidh níos mó tubaistí aeráide ann. </w:t>
      </w:r>
    </w:p>
    <w:p w14:paraId="71D0B142" w14:textId="0727E5E0" w:rsidR="00F370B9" w:rsidRPr="00915255" w:rsidRDefault="49C48264" w:rsidP="00BB3B6A">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Cuirtear i dtábhacht sa Teachtaireacht an gá atá le fianaise atá úsáideach don chinnteoireacht, amhail tuarascáil EUCRA, an fhaisnéis teochta is déanaí, tuarascálacha ar dhul chun cinn, agus faisnéis maidir leis na costais a bhaineann le damáistí aeráide. Cuirtear béim inti ar an ngá atá le húsáid iomlán a bhaint as an bhfaisnéis atá ar fáil chun bonn eolais a chur faoi roghanna beartais ar fud na</w:t>
      </w:r>
      <w:r w:rsidR="0067605E">
        <w:rPr>
          <w:rFonts w:ascii="Times New Roman" w:hAnsi="Times New Roman"/>
          <w:noProof/>
          <w:color w:val="000000" w:themeColor="text1"/>
          <w:sz w:val="24"/>
        </w:rPr>
        <w:t xml:space="preserve"> n</w:t>
      </w:r>
      <w:r w:rsidR="0067605E">
        <w:rPr>
          <w:rFonts w:ascii="Times New Roman" w:hAnsi="Times New Roman"/>
          <w:noProof/>
          <w:color w:val="000000" w:themeColor="text1"/>
          <w:sz w:val="24"/>
        </w:rPr>
        <w:noBreakHyphen/>
      </w:r>
      <w:r>
        <w:rPr>
          <w:rFonts w:ascii="Times New Roman" w:hAnsi="Times New Roman"/>
          <w:noProof/>
          <w:color w:val="000000" w:themeColor="text1"/>
          <w:sz w:val="24"/>
        </w:rPr>
        <w:t xml:space="preserve">earnálacha. Sna blianta amach romhainn, ba cheart do lucht ceaptha beartas ar gach leibhéal rialachais aghaidh a thabhairt go réamhghníomhach ar an oiriúnú don athrú aeráide, agus úsáid á baint as uirlisí, teicneolaíochtaí agus modhanna eile atá ann cheana. </w:t>
      </w:r>
      <w:r>
        <w:rPr>
          <w:rFonts w:ascii="Times New Roman" w:hAnsi="Times New Roman"/>
          <w:b/>
          <w:noProof/>
          <w:color w:val="000000" w:themeColor="text1"/>
          <w:sz w:val="24"/>
        </w:rPr>
        <w:t>Chuige sin, ní mór gníomhaíocht chomhbheartaithe a dhéanamh ar gach leibhéal agus bealach soiléir a fhorbairt chun feabhas a chur ar an ullmhacht agus ar an athléimneacht.</w:t>
      </w:r>
    </w:p>
    <w:p w14:paraId="6E2D2171" w14:textId="48DF2231" w:rsidR="00831DA5" w:rsidRPr="001A3A0E" w:rsidRDefault="00831DA5" w:rsidP="00831DA5">
      <w:pPr>
        <w:spacing w:after="120"/>
        <w:jc w:val="both"/>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Cé go ndírítear sa Teachtaireacht seo ar ghníomhaíocht san Aontas Eorpach, déantar foráil inti freisin maidir le taithí agus faisnéis a mhalartú agus a chomhroinnt le tíortha comhpháirtíochta </w:t>
      </w:r>
      <w:r>
        <w:rPr>
          <w:rFonts w:ascii="Times New Roman" w:hAnsi="Times New Roman"/>
          <w:noProof/>
          <w:sz w:val="24"/>
        </w:rPr>
        <w:t>an Aontais. Tá cumhdach na</w:t>
      </w:r>
      <w:r w:rsidR="0067605E">
        <w:rPr>
          <w:rFonts w:ascii="Times New Roman" w:hAnsi="Times New Roman"/>
          <w:noProof/>
          <w:sz w:val="24"/>
        </w:rPr>
        <w:t xml:space="preserve"> n</w:t>
      </w:r>
      <w:r w:rsidR="0067605E">
        <w:rPr>
          <w:rFonts w:ascii="Times New Roman" w:hAnsi="Times New Roman"/>
          <w:noProof/>
          <w:sz w:val="24"/>
        </w:rPr>
        <w:noBreakHyphen/>
      </w:r>
      <w:r>
        <w:rPr>
          <w:rFonts w:ascii="Times New Roman" w:hAnsi="Times New Roman"/>
          <w:noProof/>
          <w:sz w:val="24"/>
        </w:rPr>
        <w:t xml:space="preserve">earnálacha agus na réimsí gníomhaíochta sa doiciméad seo ag teacht, a bheag nó a mhór, leis na cinntí a bhaineann leis an oiriúnú don athrú aeráide a rinneadh ag COP28 UNFCCC in Dubai. Cuirfidh an Coimisiún ábhair ábhartha san áireamh go réamhghníomhach in idirphlé déthaobhach, trí Chomhghuaillíochtaí </w:t>
      </w:r>
      <w:r>
        <w:rPr>
          <w:rFonts w:ascii="Times New Roman" w:hAnsi="Times New Roman"/>
          <w:noProof/>
          <w:color w:val="000000" w:themeColor="text1"/>
          <w:sz w:val="24"/>
        </w:rPr>
        <w:t xml:space="preserve">Glasa agus Comhpháirtíochtaí Glasa, i bhfóraim ábhartha de chuid na Náisiún Aontaithe agus i bhfóraim iltaobhacha eile (amhail G7, G20, ECFE, WEF, EDT). Thairis sin, breathnóidh an Coimisiún ar an bhféidearthacht siompóisiam idirnáisiúnta a eagrú maidir le Rioscaí Domhanda Aeráide a bhainistiú in 2025, ina dtabharfar le chéile ionadaithe rialtais, airgeadaithe agus eagraíochtaí saineolaithe ar fud an domhain. </w:t>
      </w:r>
    </w:p>
    <w:p w14:paraId="5468DE9D" w14:textId="77777777" w:rsidR="003B472B" w:rsidRPr="00755240" w:rsidRDefault="005D1C82" w:rsidP="00F01461">
      <w:pPr>
        <w:spacing w:after="120"/>
        <w:jc w:val="both"/>
        <w:textAlignment w:val="baseline"/>
        <w:rPr>
          <w:rFonts w:ascii="Times New Roman" w:hAnsi="Times New Roman"/>
          <w:b/>
          <w:noProof/>
          <w:sz w:val="24"/>
        </w:rPr>
      </w:pPr>
      <w:r>
        <w:rPr>
          <w:rFonts w:ascii="Times New Roman" w:hAnsi="Times New Roman"/>
          <w:b/>
          <w:noProof/>
          <w:color w:val="000000" w:themeColor="text1"/>
          <w:sz w:val="24"/>
        </w:rPr>
        <w:t>Leanfaidh an Coimisiún de bheith ag obair leis na</w:t>
      </w:r>
      <w:r>
        <w:rPr>
          <w:rFonts w:ascii="Times New Roman" w:hAnsi="Times New Roman"/>
          <w:b/>
          <w:noProof/>
          <w:sz w:val="24"/>
        </w:rPr>
        <w:t xml:space="preserve"> Ballstáit, leis an bpobal, le gnólachtaí agus </w:t>
      </w:r>
      <w:r>
        <w:rPr>
          <w:rFonts w:ascii="Times New Roman" w:hAnsi="Times New Roman"/>
          <w:b/>
          <w:noProof/>
          <w:color w:val="000000" w:themeColor="text1"/>
          <w:sz w:val="24"/>
        </w:rPr>
        <w:t>le hinstitiúidí eile de chuid an Aontais chun athléimneacht shochaí agus gheilleagar an Aontais a mhéadú. Is féidir linn ár ndaoine agus ár rathúnas a chosaint le chéile.</w:t>
      </w:r>
    </w:p>
    <w:sectPr w:rsidR="003B472B" w:rsidRPr="00755240" w:rsidSect="00915255">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8EE2C7" w14:textId="77777777" w:rsidR="00537DF7" w:rsidRDefault="00537DF7" w:rsidP="003F1FF2">
      <w:pPr>
        <w:spacing w:after="0" w:line="240" w:lineRule="auto"/>
      </w:pPr>
      <w:r>
        <w:separator/>
      </w:r>
    </w:p>
  </w:endnote>
  <w:endnote w:type="continuationSeparator" w:id="0">
    <w:p w14:paraId="53470483" w14:textId="77777777" w:rsidR="00537DF7" w:rsidRDefault="00537DF7" w:rsidP="003F1FF2">
      <w:pPr>
        <w:spacing w:after="0" w:line="240" w:lineRule="auto"/>
      </w:pPr>
      <w:r>
        <w:continuationSeparator/>
      </w:r>
    </w:p>
  </w:endnote>
  <w:endnote w:type="continuationNotice" w:id="1">
    <w:p w14:paraId="148BE484" w14:textId="77777777" w:rsidR="00537DF7" w:rsidRDefault="00537D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19BEF" w14:textId="2879239E" w:rsidR="004D7E06" w:rsidRPr="004D7E06" w:rsidRDefault="004D7E06" w:rsidP="004D7E06">
    <w:pPr>
      <w:pStyle w:val="FooterCoverPage"/>
      <w:rPr>
        <w:rFonts w:ascii="Arial" w:hAnsi="Arial" w:cs="Arial"/>
        <w:b/>
        <w:sz w:val="48"/>
      </w:rPr>
    </w:pPr>
    <w:r w:rsidRPr="004D7E06">
      <w:rPr>
        <w:rFonts w:ascii="Arial" w:hAnsi="Arial" w:cs="Arial"/>
        <w:b/>
        <w:sz w:val="48"/>
      </w:rPr>
      <w:t>GA</w:t>
    </w:r>
    <w:r w:rsidRPr="004D7E06">
      <w:rPr>
        <w:rFonts w:ascii="Arial" w:hAnsi="Arial" w:cs="Arial"/>
        <w:b/>
        <w:sz w:val="48"/>
      </w:rPr>
      <w:tab/>
    </w:r>
    <w:r w:rsidRPr="004D7E06">
      <w:rPr>
        <w:rFonts w:ascii="Arial" w:hAnsi="Arial" w:cs="Arial"/>
        <w:b/>
        <w:sz w:val="48"/>
      </w:rPr>
      <w:tab/>
    </w:r>
    <w:r w:rsidRPr="004D7E06">
      <w:tab/>
    </w:r>
    <w:r w:rsidRPr="004D7E06">
      <w:rPr>
        <w:rFonts w:ascii="Arial" w:hAnsi="Arial" w:cs="Arial"/>
        <w:b/>
        <w:sz w:val="48"/>
      </w:rPr>
      <w:t>GA</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C113F" w14:textId="23276379" w:rsidR="004D7E06" w:rsidRPr="004D7E06" w:rsidRDefault="004D7E06" w:rsidP="004D7E06">
    <w:pPr>
      <w:pStyle w:val="FooterCoverPage"/>
      <w:rPr>
        <w:rFonts w:ascii="Arial" w:hAnsi="Arial" w:cs="Arial"/>
        <w:b/>
        <w:sz w:val="48"/>
      </w:rPr>
    </w:pPr>
    <w:r w:rsidRPr="004D7E06">
      <w:rPr>
        <w:rFonts w:ascii="Arial" w:hAnsi="Arial" w:cs="Arial"/>
        <w:b/>
        <w:sz w:val="48"/>
      </w:rPr>
      <w:t>GA</w:t>
    </w:r>
    <w:r w:rsidRPr="004D7E06">
      <w:rPr>
        <w:rFonts w:ascii="Arial" w:hAnsi="Arial" w:cs="Arial"/>
        <w:b/>
        <w:sz w:val="48"/>
      </w:rPr>
      <w:tab/>
    </w:r>
    <w:r w:rsidRPr="004D7E06">
      <w:rPr>
        <w:rFonts w:ascii="Arial" w:hAnsi="Arial" w:cs="Arial"/>
        <w:b/>
        <w:sz w:val="48"/>
      </w:rPr>
      <w:tab/>
    </w:r>
    <w:r w:rsidRPr="004D7E06">
      <w:tab/>
    </w:r>
    <w:r w:rsidRPr="004D7E06">
      <w:rPr>
        <w:rFonts w:ascii="Arial" w:hAnsi="Arial" w:cs="Arial"/>
        <w:b/>
        <w:sz w:val="48"/>
      </w:rPr>
      <w:t>GA</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4F58D" w14:textId="77777777" w:rsidR="004D7E06" w:rsidRPr="004D7E06" w:rsidRDefault="004D7E06" w:rsidP="004D7E06">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BB316" w14:textId="77777777" w:rsidR="00915255" w:rsidRDefault="00915255">
    <w:pPr>
      <w:pStyle w:val="Footer"/>
    </w:pPr>
  </w:p>
  <w:p w14:paraId="509221C2" w14:textId="77777777" w:rsidR="004C4D96" w:rsidRDefault="004C4D96"/>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5407010"/>
      <w:docPartObj>
        <w:docPartGallery w:val="Page Numbers (Bottom of Page)"/>
        <w:docPartUnique/>
      </w:docPartObj>
    </w:sdtPr>
    <w:sdtEndPr>
      <w:rPr>
        <w:noProof/>
      </w:rPr>
    </w:sdtEndPr>
    <w:sdtContent>
      <w:p w14:paraId="305DC04B" w14:textId="2B7056E2" w:rsidR="00915255" w:rsidRDefault="00915255">
        <w:pPr>
          <w:pStyle w:val="Footer"/>
          <w:jc w:val="center"/>
        </w:pPr>
        <w:r>
          <w:fldChar w:fldCharType="begin"/>
        </w:r>
        <w:r>
          <w:instrText xml:space="preserve"> PAGE   \* MERGEFORMAT </w:instrText>
        </w:r>
        <w:r>
          <w:fldChar w:fldCharType="separate"/>
        </w:r>
        <w:r w:rsidR="004D7E06">
          <w:rPr>
            <w:noProof/>
          </w:rPr>
          <w:t>1</w:t>
        </w:r>
        <w:r>
          <w:fldChar w:fldCharType="end"/>
        </w:r>
      </w:p>
    </w:sdtContent>
  </w:sdt>
  <w:p w14:paraId="17A6D73D" w14:textId="77777777" w:rsidR="00915255" w:rsidRDefault="00915255">
    <w:pPr>
      <w:pStyle w:val="Footer"/>
    </w:pPr>
  </w:p>
  <w:p w14:paraId="527A660E" w14:textId="77777777" w:rsidR="004C4D96" w:rsidRDefault="004C4D96"/>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85045" w14:textId="77777777" w:rsidR="00915255" w:rsidRDefault="009152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542820" w14:textId="77777777" w:rsidR="00537DF7" w:rsidRDefault="00537DF7" w:rsidP="003F1FF2">
      <w:pPr>
        <w:spacing w:after="0" w:line="240" w:lineRule="auto"/>
      </w:pPr>
      <w:r>
        <w:separator/>
      </w:r>
    </w:p>
  </w:footnote>
  <w:footnote w:type="continuationSeparator" w:id="0">
    <w:p w14:paraId="657C241D" w14:textId="77777777" w:rsidR="00537DF7" w:rsidRDefault="00537DF7" w:rsidP="003F1FF2">
      <w:pPr>
        <w:spacing w:after="0" w:line="240" w:lineRule="auto"/>
      </w:pPr>
      <w:r>
        <w:continuationSeparator/>
      </w:r>
    </w:p>
  </w:footnote>
  <w:footnote w:type="continuationNotice" w:id="1">
    <w:p w14:paraId="2F3A1DE4" w14:textId="77777777" w:rsidR="00537DF7" w:rsidRDefault="00537DF7">
      <w:pPr>
        <w:spacing w:after="0" w:line="240" w:lineRule="auto"/>
      </w:pPr>
    </w:p>
  </w:footnote>
  <w:footnote w:id="2">
    <w:p w14:paraId="514CA135" w14:textId="77777777" w:rsidR="0049438C" w:rsidRPr="0049438C" w:rsidRDefault="0049438C">
      <w:pPr>
        <w:pStyle w:val="FootnoteText"/>
      </w:pPr>
      <w:r>
        <w:rPr>
          <w:rStyle w:val="FootnoteReference"/>
        </w:rPr>
        <w:footnoteRef/>
      </w:r>
      <w:r>
        <w:t xml:space="preserve"> COM(2024) 63 final. </w:t>
      </w:r>
      <w:hyperlink r:id="rId1" w:history="1">
        <w:r>
          <w:rPr>
            <w:rStyle w:val="Hyperlink"/>
          </w:rPr>
          <w:t>https://eur-lex.europa.eu/legal-content/EN/TXT/?uri=COM%3A2024%3A63%3AFIN</w:t>
        </w:r>
      </w:hyperlink>
    </w:p>
  </w:footnote>
  <w:footnote w:id="3">
    <w:p w14:paraId="03D1482C" w14:textId="77777777" w:rsidR="00A002CB" w:rsidRPr="00F434C8" w:rsidRDefault="00A002CB">
      <w:pPr>
        <w:pStyle w:val="FootnoteText"/>
      </w:pPr>
      <w:r>
        <w:rPr>
          <w:rStyle w:val="FootnoteReference"/>
        </w:rPr>
        <w:footnoteRef/>
      </w:r>
      <w:r>
        <w:t xml:space="preserve"> </w:t>
      </w:r>
      <w:hyperlink r:id="rId2" w:history="1">
        <w:r>
          <w:rPr>
            <w:rStyle w:val="Hyperlink"/>
          </w:rPr>
          <w:t>https://climate.copernicus.eu/copernicus-2023-hottest-year-record</w:t>
        </w:r>
      </w:hyperlink>
      <w:r>
        <w:t xml:space="preserve"> </w:t>
      </w:r>
    </w:p>
  </w:footnote>
  <w:footnote w:id="4">
    <w:p w14:paraId="0ECA7244" w14:textId="77777777" w:rsidR="001364A4" w:rsidRPr="008B49EC" w:rsidRDefault="001364A4" w:rsidP="00701176">
      <w:pPr>
        <w:pStyle w:val="FootnoteText"/>
        <w:jc w:val="left"/>
      </w:pPr>
      <w:r>
        <w:rPr>
          <w:rStyle w:val="FootnoteReference"/>
        </w:rPr>
        <w:footnoteRef/>
      </w:r>
      <w:r>
        <w:rPr>
          <w:rFonts w:asciiTheme="minorHAnsi" w:hAnsiTheme="minorHAnsi"/>
          <w:sz w:val="22"/>
        </w:rPr>
        <w:t xml:space="preserve"> </w:t>
      </w:r>
      <w:r>
        <w:t xml:space="preserve">EEA (2024), Measúnú Eorpach ar Rioscaí Aeráide, ISSN 1977-8449. </w:t>
      </w:r>
      <w:hyperlink r:id="rId3" w:history="1">
        <w:r>
          <w:rPr>
            <w:rStyle w:val="Hyperlink"/>
          </w:rPr>
          <w:t>https://www.eea.europa.eu/publications/european-climate-risk-assessment</w:t>
        </w:r>
      </w:hyperlink>
      <w:r>
        <w:t xml:space="preserve"> </w:t>
      </w:r>
    </w:p>
  </w:footnote>
  <w:footnote w:id="5">
    <w:p w14:paraId="078E499D" w14:textId="77777777" w:rsidR="00202AD4" w:rsidRPr="003439FE" w:rsidRDefault="00202AD4" w:rsidP="00202AD4">
      <w:pPr>
        <w:pStyle w:val="FootnoteText"/>
      </w:pPr>
      <w:r>
        <w:rPr>
          <w:rStyle w:val="FootnoteReference"/>
        </w:rPr>
        <w:footnoteRef/>
      </w:r>
      <w:r>
        <w:t xml:space="preserve"> </w:t>
      </w:r>
      <w:hyperlink r:id="rId4" w:history="1">
        <w:r>
          <w:rPr>
            <w:rStyle w:val="Hyperlink"/>
          </w:rPr>
          <w:t>https://www.weforum.org/publications/global-risks-report-2024/</w:t>
        </w:r>
      </w:hyperlink>
      <w:r>
        <w:t xml:space="preserve"> </w:t>
      </w:r>
    </w:p>
  </w:footnote>
  <w:footnote w:id="6">
    <w:p w14:paraId="78AAB445" w14:textId="77777777" w:rsidR="00202AD4" w:rsidRPr="003439FE" w:rsidRDefault="00202AD4" w:rsidP="00202AD4">
      <w:pPr>
        <w:pStyle w:val="FootnoteText"/>
      </w:pPr>
      <w:r>
        <w:rPr>
          <w:rStyle w:val="FootnoteReference"/>
        </w:rPr>
        <w:footnoteRef/>
      </w:r>
      <w:r>
        <w:t xml:space="preserve"> </w:t>
      </w:r>
      <w:hyperlink r:id="rId5" w:history="1">
        <w:r>
          <w:rPr>
            <w:rStyle w:val="Hyperlink"/>
          </w:rPr>
          <w:t>https://www.ecb.europa.eu/press/pr/date/2023/html/ecb.pr231218_1~6b3bea9532.ga.html</w:t>
        </w:r>
      </w:hyperlink>
      <w:r>
        <w:t xml:space="preserve"> </w:t>
      </w:r>
    </w:p>
  </w:footnote>
  <w:footnote w:id="7">
    <w:p w14:paraId="47D2A9A9" w14:textId="77777777" w:rsidR="00082DDA" w:rsidRPr="000B0E9A" w:rsidRDefault="00082DDA">
      <w:pPr>
        <w:pStyle w:val="FootnoteText"/>
      </w:pPr>
      <w:r>
        <w:rPr>
          <w:rStyle w:val="FootnoteReference"/>
        </w:rPr>
        <w:footnoteRef/>
      </w:r>
      <w:r>
        <w:t xml:space="preserve"> P9_TA(2022)0330. </w:t>
      </w:r>
      <w:hyperlink r:id="rId6" w:history="1">
        <w:r>
          <w:rPr>
            <w:rStyle w:val="Hyperlink"/>
          </w:rPr>
          <w:t>https://www.europarl.europa.eu/doceo/document/TA-9-2022-0330_GA.html</w:t>
        </w:r>
      </w:hyperlink>
      <w:r>
        <w:t xml:space="preserve"> </w:t>
      </w:r>
    </w:p>
  </w:footnote>
  <w:footnote w:id="8">
    <w:p w14:paraId="77C39620" w14:textId="77777777" w:rsidR="00566DC0" w:rsidRPr="00BB6BA8" w:rsidRDefault="00566DC0" w:rsidP="00566DC0">
      <w:pPr>
        <w:pStyle w:val="FootnoteText"/>
      </w:pPr>
      <w:r>
        <w:rPr>
          <w:rStyle w:val="FootnoteReference"/>
        </w:rPr>
        <w:footnoteRef/>
      </w:r>
      <w:r>
        <w:t xml:space="preserve"> EUCO 14/23. </w:t>
      </w:r>
      <w:hyperlink r:id="rId7" w:history="1">
        <w:r>
          <w:rPr>
            <w:rStyle w:val="Hyperlink"/>
          </w:rPr>
          <w:t>https://www.consilium.europa.eu/media/67627/20241027-european-council-conclusions.pdf</w:t>
        </w:r>
      </w:hyperlink>
      <w:r>
        <w:t xml:space="preserve"> </w:t>
      </w:r>
    </w:p>
  </w:footnote>
  <w:footnote w:id="9">
    <w:p w14:paraId="256352BF" w14:textId="77777777" w:rsidR="00050DE4" w:rsidRPr="00C34A90" w:rsidRDefault="00050DE4" w:rsidP="00050DE4">
      <w:pPr>
        <w:pStyle w:val="FootnoteText"/>
        <w:rPr>
          <w:color w:val="0000FF" w:themeColor="hyperlink"/>
          <w:u w:val="single"/>
        </w:rPr>
      </w:pPr>
      <w:r>
        <w:rPr>
          <w:rStyle w:val="FootnoteReference"/>
        </w:rPr>
        <w:footnoteRef/>
      </w:r>
      <w:r>
        <w:t xml:space="preserve"> SWD(2023) 339 final. </w:t>
      </w:r>
      <w:hyperlink r:id="rId8" w:history="1">
        <w:r>
          <w:rPr>
            <w:rStyle w:val="Hyperlink"/>
          </w:rPr>
          <w:t>https://eur-lex.europa.eu/legal-content/EN/ALL/?uri=CELEX:52023SC0339</w:t>
        </w:r>
      </w:hyperlink>
    </w:p>
  </w:footnote>
  <w:footnote w:id="10">
    <w:p w14:paraId="6E6A2C72" w14:textId="77777777" w:rsidR="00050DE4" w:rsidRPr="007A20DE" w:rsidRDefault="00050DE4" w:rsidP="00050DE4">
      <w:pPr>
        <w:pStyle w:val="FootnoteText"/>
      </w:pPr>
      <w:r>
        <w:rPr>
          <w:rStyle w:val="FootnoteReference"/>
        </w:rPr>
        <w:footnoteRef/>
      </w:r>
      <w:r>
        <w:t xml:space="preserve"> SWD(2023) 932 final. </w:t>
      </w:r>
      <w:hyperlink r:id="rId9" w:history="1">
        <w:r>
          <w:rPr>
            <w:rStyle w:val="Hyperlink"/>
          </w:rPr>
          <w:t>https://climate.ec.europa.eu/system/files/2023-12/SWD_2023_932_1_EN.pdf</w:t>
        </w:r>
      </w:hyperlink>
      <w:r>
        <w:t xml:space="preserve"> </w:t>
      </w:r>
    </w:p>
  </w:footnote>
  <w:footnote w:id="11">
    <w:p w14:paraId="7A38010E" w14:textId="77777777" w:rsidR="00B809D0" w:rsidRPr="0033536B" w:rsidRDefault="00B809D0" w:rsidP="005A32D6">
      <w:pPr>
        <w:pStyle w:val="FootnoteText"/>
        <w:jc w:val="left"/>
      </w:pPr>
      <w:r>
        <w:rPr>
          <w:rStyle w:val="FootnoteReference"/>
        </w:rPr>
        <w:footnoteRef/>
      </w:r>
      <w:r>
        <w:t xml:space="preserve"> </w:t>
      </w:r>
      <w:hyperlink r:id="rId10" w:history="1">
        <w:r>
          <w:rPr>
            <w:rStyle w:val="Hyperlink"/>
          </w:rPr>
          <w:t>https://commission.europa.eu/energy-climate-change-environment/implementation-eu-countries/energy-and-climate-governance-and-reporting/national-energy-and-climate-plans_en</w:t>
        </w:r>
      </w:hyperlink>
      <w:r>
        <w:t xml:space="preserve">  </w:t>
      </w:r>
    </w:p>
  </w:footnote>
  <w:footnote w:id="12">
    <w:p w14:paraId="518D68CD" w14:textId="77777777" w:rsidR="008573D8" w:rsidRPr="001E5576" w:rsidRDefault="008573D8" w:rsidP="008573D8">
      <w:pPr>
        <w:pStyle w:val="FootnoteText"/>
      </w:pPr>
      <w:r>
        <w:rPr>
          <w:rStyle w:val="FootnoteReference"/>
        </w:rPr>
        <w:footnoteRef/>
      </w:r>
      <w:r>
        <w:t xml:space="preserve"> COM(2024) 130 final. </w:t>
      </w:r>
      <w:hyperlink r:id="rId11" w:history="1">
        <w:r>
          <w:rPr>
            <w:rStyle w:val="Hyperlink"/>
          </w:rPr>
          <w:t>https://civil-protection-humanitarian-aid.ec.europa.eu/what/civil-protection/european-disaster-risk-management_en</w:t>
        </w:r>
      </w:hyperlink>
      <w:r>
        <w:t xml:space="preserve"> </w:t>
      </w:r>
    </w:p>
  </w:footnote>
  <w:footnote w:id="13">
    <w:p w14:paraId="38FA5DE9" w14:textId="77777777" w:rsidR="008E56D1" w:rsidRPr="006008D4" w:rsidRDefault="008E56D1" w:rsidP="008E56D1">
      <w:pPr>
        <w:pStyle w:val="FootnoteText"/>
      </w:pPr>
      <w:r>
        <w:rPr>
          <w:rStyle w:val="FootnoteReference"/>
        </w:rPr>
        <w:footnoteRef/>
      </w:r>
      <w:r>
        <w:t xml:space="preserve"> JOIN(2023) 19 final. </w:t>
      </w:r>
      <w:hyperlink r:id="rId12" w:history="1">
        <w:r>
          <w:rPr>
            <w:rStyle w:val="Hyperlink"/>
          </w:rPr>
          <w:t>https://eur-lex.europa.eu/legal-content/GA/TXT/?uri=CELEX%3A52023JC0019</w:t>
        </w:r>
      </w:hyperlink>
      <w:r>
        <w:t xml:space="preserve"> </w:t>
      </w:r>
    </w:p>
  </w:footnote>
  <w:footnote w:id="14">
    <w:p w14:paraId="77F17A86" w14:textId="77777777" w:rsidR="00A70A3C" w:rsidRPr="00EF5256" w:rsidRDefault="00A70A3C" w:rsidP="00A70A3C">
      <w:pPr>
        <w:pStyle w:val="FootnoteText"/>
      </w:pPr>
      <w:r>
        <w:rPr>
          <w:rStyle w:val="FootnoteReference"/>
        </w:rPr>
        <w:footnoteRef/>
      </w:r>
      <w:r>
        <w:t xml:space="preserve"> COM(2021)82 final. </w:t>
      </w:r>
      <w:hyperlink r:id="rId13" w:history="1">
        <w:r>
          <w:rPr>
            <w:rStyle w:val="Hyperlink"/>
          </w:rPr>
          <w:t>eur-lex.europa.eu/legal-content/EN/TXT/PDF/?uri=CELEX:52021DC0082&amp;from=EN</w:t>
        </w:r>
      </w:hyperlink>
    </w:p>
  </w:footnote>
  <w:footnote w:id="15">
    <w:p w14:paraId="05F66071" w14:textId="77777777" w:rsidR="00D7188A" w:rsidRPr="0090450C" w:rsidRDefault="00D7188A" w:rsidP="00D7188A">
      <w:pPr>
        <w:pStyle w:val="FootnoteText"/>
      </w:pPr>
      <w:r>
        <w:rPr>
          <w:rStyle w:val="FootnoteReference"/>
        </w:rPr>
        <w:footnoteRef/>
      </w:r>
      <w:r>
        <w:t xml:space="preserve"> CMA.5 Cinneadh i dtaca le clár oibre Ghlaschú – Sharm el-Sheikh maidir leis an sprioc dhomhanda maidir le hoiriúnú </w:t>
      </w:r>
    </w:p>
  </w:footnote>
  <w:footnote w:id="16">
    <w:p w14:paraId="57DE88F8" w14:textId="77777777" w:rsidR="00582114" w:rsidRPr="00880DE4" w:rsidRDefault="00582114" w:rsidP="00582114">
      <w:pPr>
        <w:pStyle w:val="FootnoteText"/>
        <w:jc w:val="left"/>
      </w:pPr>
      <w:r>
        <w:rPr>
          <w:rStyle w:val="FootnoteReference"/>
        </w:rPr>
        <w:footnoteRef/>
      </w:r>
      <w:r>
        <w:t xml:space="preserve"> SWD(2024) 63 final. </w:t>
      </w:r>
      <w:hyperlink r:id="rId14" w:history="1">
        <w:r>
          <w:rPr>
            <w:rStyle w:val="Hyperlink"/>
          </w:rPr>
          <w:t>https://climate.ec.europa.eu/document/download/768bc81f-5f48-48e3-b4d4-e02ba09faca1_en</w:t>
        </w:r>
      </w:hyperlink>
      <w:r>
        <w:t xml:space="preserve"> </w:t>
      </w:r>
    </w:p>
  </w:footnote>
  <w:footnote w:id="17">
    <w:p w14:paraId="0F397B99" w14:textId="77777777" w:rsidR="00582114" w:rsidRPr="00525E71" w:rsidRDefault="00582114" w:rsidP="00582114">
      <w:pPr>
        <w:pStyle w:val="FootnoteText"/>
      </w:pPr>
      <w:r>
        <w:rPr>
          <w:rStyle w:val="FootnoteReference"/>
        </w:rPr>
        <w:footnoteRef/>
      </w:r>
      <w:r>
        <w:t xml:space="preserve"> </w:t>
      </w:r>
      <w:r>
        <w:rPr>
          <w:rStyle w:val="cf01"/>
          <w:rFonts w:ascii="Times New Roman" w:hAnsi="Times New Roman"/>
          <w:color w:val="0000FF"/>
          <w:sz w:val="20"/>
          <w:u w:val="single"/>
        </w:rPr>
        <w:t>https://www.nature.com/articles/s41467-020-15665-3</w:t>
      </w:r>
    </w:p>
  </w:footnote>
  <w:footnote w:id="18">
    <w:p w14:paraId="2B474678" w14:textId="77777777" w:rsidR="000B141D" w:rsidRPr="000B141D" w:rsidRDefault="000B141D">
      <w:pPr>
        <w:pStyle w:val="FootnoteText"/>
      </w:pPr>
      <w:r>
        <w:rPr>
          <w:rStyle w:val="FootnoteReference"/>
        </w:rPr>
        <w:footnoteRef/>
      </w:r>
      <w:r>
        <w:t xml:space="preserve"> Maidir le beartais an Aontais, mar a leagtar amach in Airteagal 191 den Chonradh ar Fheidhmiú an Aontais Eorpaigh</w:t>
      </w:r>
    </w:p>
  </w:footnote>
  <w:footnote w:id="19">
    <w:p w14:paraId="686731AC" w14:textId="77777777" w:rsidR="00FF67E3" w:rsidRPr="00C51152" w:rsidRDefault="00FF67E3" w:rsidP="00FF67E3">
      <w:pPr>
        <w:pStyle w:val="FootnoteText"/>
      </w:pPr>
      <w:r>
        <w:rPr>
          <w:rStyle w:val="FootnoteReference"/>
        </w:rPr>
        <w:footnoteRef/>
      </w:r>
      <w:r>
        <w:t xml:space="preserve"> 2021 an Banc Idirnáisiúnta Athfhoirgníochta agus Forbartha / an Banc Domhanda: </w:t>
      </w:r>
      <w:r>
        <w:rPr>
          <w:i/>
        </w:rPr>
        <w:t>Economics for Disaster Prevention and Preparedness:</w:t>
      </w:r>
      <w:r>
        <w:t xml:space="preserve"> </w:t>
      </w:r>
      <w:r>
        <w:rPr>
          <w:i/>
        </w:rPr>
        <w:t>Investment in Disaster Risk management in Europe Makes Economic Sense</w:t>
      </w:r>
    </w:p>
  </w:footnote>
  <w:footnote w:id="20">
    <w:p w14:paraId="59E989A5" w14:textId="77777777" w:rsidR="00FF67E3" w:rsidRPr="00DC1F2B" w:rsidRDefault="00FF67E3" w:rsidP="00FF67E3">
      <w:pPr>
        <w:pStyle w:val="FootnoteText"/>
      </w:pPr>
      <w:r>
        <w:rPr>
          <w:rStyle w:val="FootnoteReference"/>
        </w:rPr>
        <w:footnoteRef/>
      </w:r>
      <w:r>
        <w:t xml:space="preserve"> Moladh lena mbunaítear Spriocanna an Aontais maidir le hAthléimneacht ó Thubaistí IO C 56, 15.2.2023</w:t>
      </w:r>
    </w:p>
  </w:footnote>
  <w:footnote w:id="21">
    <w:p w14:paraId="6F5269F0" w14:textId="77777777" w:rsidR="001355AB" w:rsidRDefault="001355AB" w:rsidP="001355AB">
      <w:pPr>
        <w:pStyle w:val="FootnoteText"/>
      </w:pPr>
      <w:r>
        <w:rPr>
          <w:rStyle w:val="FootnoteReference"/>
        </w:rPr>
        <w:footnoteRef/>
      </w:r>
      <w:r>
        <w:t xml:space="preserve"> </w:t>
      </w:r>
      <w:hyperlink r:id="rId15" w:history="1">
        <w:r>
          <w:rPr>
            <w:rStyle w:val="Hyperlink"/>
          </w:rPr>
          <w:t>https://dataspace.copernicus.eu/</w:t>
        </w:r>
      </w:hyperlink>
      <w:r>
        <w:t xml:space="preserve"> </w:t>
      </w:r>
    </w:p>
  </w:footnote>
  <w:footnote w:id="22">
    <w:p w14:paraId="47B704B6" w14:textId="77777777" w:rsidR="001355AB" w:rsidRDefault="001355AB" w:rsidP="001355AB">
      <w:pPr>
        <w:pStyle w:val="FootnoteText"/>
      </w:pPr>
      <w:r>
        <w:rPr>
          <w:rStyle w:val="FootnoteReference"/>
        </w:rPr>
        <w:footnoteRef/>
      </w:r>
      <w:r>
        <w:t xml:space="preserve"> </w:t>
      </w:r>
      <w:hyperlink r:id="rId16" w:history="1">
        <w:r>
          <w:rPr>
            <w:rStyle w:val="Hyperlink"/>
          </w:rPr>
          <w:t>https://www.wekeo.eu/</w:t>
        </w:r>
      </w:hyperlink>
      <w:r>
        <w:t xml:space="preserve"> </w:t>
      </w:r>
    </w:p>
  </w:footnote>
  <w:footnote w:id="23">
    <w:p w14:paraId="533CA2F1" w14:textId="77777777" w:rsidR="002F1D2F" w:rsidRPr="001E5576" w:rsidRDefault="002F1D2F" w:rsidP="002F1D2F">
      <w:pPr>
        <w:pStyle w:val="FootnoteText"/>
      </w:pPr>
      <w:r>
        <w:rPr>
          <w:rStyle w:val="FootnoteReference"/>
        </w:rPr>
        <w:footnoteRef/>
      </w:r>
      <w:r>
        <w:t xml:space="preserve"> COM(2023) 728 final. </w:t>
      </w:r>
      <w:hyperlink r:id="rId17" w:history="1">
        <w:r>
          <w:rPr>
            <w:rStyle w:val="Hyperlink"/>
          </w:rPr>
          <w:t>https://eur-lex.europa.eu/legal-content/GA/TXT/?uri=COM%3A2023%3A728%3AFIN</w:t>
        </w:r>
      </w:hyperlink>
      <w:r>
        <w:t xml:space="preserve"> </w:t>
      </w:r>
    </w:p>
  </w:footnote>
  <w:footnote w:id="24">
    <w:p w14:paraId="5843D5CF" w14:textId="77777777" w:rsidR="007B69D8" w:rsidRPr="001E5576" w:rsidRDefault="007B69D8" w:rsidP="007B69D8">
      <w:pPr>
        <w:pStyle w:val="FootnoteText"/>
      </w:pPr>
      <w:r>
        <w:rPr>
          <w:rStyle w:val="FootnoteReference"/>
        </w:rPr>
        <w:footnoteRef/>
      </w:r>
      <w:r>
        <w:t xml:space="preserve"> COM(2023) 416 final. </w:t>
      </w:r>
      <w:hyperlink r:id="rId18" w:history="1">
        <w:r>
          <w:rPr>
            <w:rStyle w:val="Hyperlink"/>
          </w:rPr>
          <w:t>https://eur-lex.europa.eu/legal-content/GA/TXT/?uri=CELEX%3A52023PC0416</w:t>
        </w:r>
      </w:hyperlink>
      <w:r>
        <w:t xml:space="preserve"> </w:t>
      </w:r>
    </w:p>
  </w:footnote>
  <w:footnote w:id="25">
    <w:p w14:paraId="3D6E535F" w14:textId="77777777" w:rsidR="00FD5E36" w:rsidRPr="00F434C8" w:rsidRDefault="00FD5E36" w:rsidP="00FD5E36">
      <w:pPr>
        <w:pStyle w:val="FootnoteText"/>
      </w:pPr>
      <w:r>
        <w:rPr>
          <w:rStyle w:val="FootnoteReference"/>
        </w:rPr>
        <w:footnoteRef/>
      </w:r>
      <w:r>
        <w:t xml:space="preserve"> E.g. EFAS, EFFIS, EDO</w:t>
      </w:r>
    </w:p>
  </w:footnote>
  <w:footnote w:id="26">
    <w:p w14:paraId="4C812FF0" w14:textId="77777777" w:rsidR="00F40219" w:rsidRPr="00F434C8" w:rsidRDefault="00F40219" w:rsidP="00F40219">
      <w:pPr>
        <w:pStyle w:val="FootnoteText"/>
      </w:pPr>
      <w:r>
        <w:rPr>
          <w:rStyle w:val="FootnoteReference"/>
        </w:rPr>
        <w:footnoteRef/>
      </w:r>
      <w:r>
        <w:t xml:space="preserve"> </w:t>
      </w:r>
      <w:hyperlink r:id="rId19" w:history="1">
        <w:r>
          <w:rPr>
            <w:rStyle w:val="Hyperlink"/>
          </w:rPr>
          <w:t>https://climate-adapt.eea.europa.eu/en/knowledge/european-climate-data-explorer/</w:t>
        </w:r>
      </w:hyperlink>
      <w:r>
        <w:t xml:space="preserve"> </w:t>
      </w:r>
    </w:p>
  </w:footnote>
  <w:footnote w:id="27">
    <w:p w14:paraId="1318EE85" w14:textId="77777777" w:rsidR="00A66FC2" w:rsidRPr="00F434C8" w:rsidRDefault="00A66FC2" w:rsidP="00A66FC2">
      <w:pPr>
        <w:pStyle w:val="FootnoteText"/>
      </w:pPr>
      <w:r>
        <w:rPr>
          <w:rStyle w:val="FootnoteReference"/>
        </w:rPr>
        <w:footnoteRef/>
      </w:r>
      <w:r>
        <w:t xml:space="preserve"> </w:t>
      </w:r>
      <w:r>
        <w:rPr>
          <w:rStyle w:val="Hyperlink"/>
        </w:rPr>
        <w:t>https://discomap.eea.europa.eu/MKH/MapViewer/index.html</w:t>
      </w:r>
    </w:p>
  </w:footnote>
  <w:footnote w:id="28">
    <w:p w14:paraId="3E83201C" w14:textId="77777777" w:rsidR="006B0A95" w:rsidRPr="00F434C8" w:rsidRDefault="006B0A95" w:rsidP="00870A15">
      <w:pPr>
        <w:pStyle w:val="FootnoteText"/>
        <w:jc w:val="left"/>
      </w:pPr>
      <w:r>
        <w:rPr>
          <w:rStyle w:val="FootnoteReference"/>
        </w:rPr>
        <w:footnoteRef/>
      </w:r>
      <w:r>
        <w:t xml:space="preserve"> </w:t>
      </w:r>
      <w:hyperlink r:id="rId20" w:anchor="/" w:history="1">
        <w:r>
          <w:rPr>
            <w:rStyle w:val="Hyperlink"/>
          </w:rPr>
          <w:t>https://drmkc.jrc.ec.europa.eu/risk-data-hub#/</w:t>
        </w:r>
      </w:hyperlink>
      <w:r>
        <w:t xml:space="preserve"> </w:t>
      </w:r>
    </w:p>
  </w:footnote>
  <w:footnote w:id="29">
    <w:p w14:paraId="4773AA10" w14:textId="77777777" w:rsidR="00F40219" w:rsidRPr="00F434C8" w:rsidRDefault="00F40219" w:rsidP="00F40219">
      <w:pPr>
        <w:pStyle w:val="FootnoteText"/>
      </w:pPr>
      <w:r>
        <w:rPr>
          <w:rStyle w:val="FootnoteReference"/>
        </w:rPr>
        <w:footnoteRef/>
      </w:r>
      <w:r>
        <w:t xml:space="preserve"> </w:t>
      </w:r>
      <w:hyperlink r:id="rId21" w:history="1">
        <w:r>
          <w:rPr>
            <w:rStyle w:val="Hyperlink"/>
          </w:rPr>
          <w:t>https://climate-risk-dashboard.climateanalytics.org/</w:t>
        </w:r>
      </w:hyperlink>
      <w:r>
        <w:t xml:space="preserve"> </w:t>
      </w:r>
    </w:p>
  </w:footnote>
  <w:footnote w:id="30">
    <w:p w14:paraId="3B500420" w14:textId="77777777" w:rsidR="00CD5F6E" w:rsidRPr="00E8443B" w:rsidRDefault="00CD5F6E">
      <w:pPr>
        <w:pStyle w:val="FootnoteText"/>
      </w:pPr>
      <w:r>
        <w:rPr>
          <w:rStyle w:val="FootnoteReference"/>
        </w:rPr>
        <w:footnoteRef/>
      </w:r>
      <w:r>
        <w:t xml:space="preserve"> Tugtar tuairisc air sa séú Tuarascáil Mheasúnachta ó IPCC mar chuid de chás SSP2-4.5, lena mbaineann thart ar 4,5 fórsáil radantach éifeachtach dhomhanda. </w:t>
      </w:r>
    </w:p>
  </w:footnote>
  <w:footnote w:id="31">
    <w:p w14:paraId="07BB1113" w14:textId="77777777" w:rsidR="00E351C4" w:rsidRPr="001E5576" w:rsidRDefault="00E351C4" w:rsidP="00E351C4">
      <w:pPr>
        <w:pStyle w:val="FootnoteText"/>
      </w:pPr>
      <w:r>
        <w:rPr>
          <w:rStyle w:val="FootnoteReference"/>
        </w:rPr>
        <w:footnoteRef/>
      </w:r>
      <w:r>
        <w:t xml:space="preserve"> </w:t>
      </w:r>
      <w:r>
        <w:rPr>
          <w:color w:val="000000"/>
        </w:rPr>
        <w:t xml:space="preserve">COM(2023) 667. </w:t>
      </w:r>
      <w:hyperlink r:id="rId22" w:history="1">
        <w:r>
          <w:rPr>
            <w:rStyle w:val="Hyperlink"/>
          </w:rPr>
          <w:t>https://eur-lex.europa.eu/legal-content/GA/ALL/?uri=COM:2023:667:FIN</w:t>
        </w:r>
      </w:hyperlink>
      <w:r>
        <w:rPr>
          <w:color w:val="000000"/>
        </w:rPr>
        <w:t xml:space="preserve"> </w:t>
      </w:r>
    </w:p>
  </w:footnote>
  <w:footnote w:id="32">
    <w:p w14:paraId="2E8ACA63" w14:textId="77777777" w:rsidR="006840A6" w:rsidRPr="001E5576" w:rsidRDefault="006840A6" w:rsidP="006840A6">
      <w:pPr>
        <w:pStyle w:val="FootnoteText"/>
      </w:pPr>
      <w:r>
        <w:rPr>
          <w:rStyle w:val="FootnoteReference"/>
        </w:rPr>
        <w:footnoteRef/>
      </w:r>
      <w:r>
        <w:t xml:space="preserve"> </w:t>
      </w:r>
      <w:hyperlink r:id="rId23" w:history="1">
        <w:r>
          <w:rPr>
            <w:rStyle w:val="Hyperlink"/>
          </w:rPr>
          <w:t>https://new-european-bauhaus.europa.eu/get-involved/use-compass_en</w:t>
        </w:r>
      </w:hyperlink>
      <w:r>
        <w:t xml:space="preserve"> </w:t>
      </w:r>
    </w:p>
  </w:footnote>
  <w:footnote w:id="33">
    <w:p w14:paraId="1D83128E" w14:textId="77777777" w:rsidR="002743A3" w:rsidRPr="00BB6BA8" w:rsidRDefault="002743A3">
      <w:pPr>
        <w:pStyle w:val="FootnoteText"/>
      </w:pPr>
      <w:r>
        <w:rPr>
          <w:rStyle w:val="FootnoteReference"/>
        </w:rPr>
        <w:footnoteRef/>
      </w:r>
      <w:r>
        <w:t xml:space="preserve"> Treoir (AE) 2022/2557. IO L 333, 27.12.2022, lgh. 164-198</w:t>
      </w:r>
    </w:p>
  </w:footnote>
  <w:footnote w:id="34">
    <w:p w14:paraId="486B9C37" w14:textId="77777777" w:rsidR="009C6C0A" w:rsidRPr="00EF5256" w:rsidRDefault="009C6C0A" w:rsidP="000B572F">
      <w:pPr>
        <w:pStyle w:val="FootnoteText"/>
        <w:jc w:val="left"/>
      </w:pPr>
      <w:r>
        <w:rPr>
          <w:rStyle w:val="FootnoteReference"/>
        </w:rPr>
        <w:footnoteRef/>
      </w:r>
      <w:r>
        <w:t xml:space="preserve"> COM(2023) 61. Moladh IO C 56, 15.2.2023, lch. 1. </w:t>
      </w:r>
      <w:hyperlink r:id="rId24" w:history="1">
        <w:r>
          <w:rPr>
            <w:rStyle w:val="Hyperlink"/>
          </w:rPr>
          <w:t>https://eur-lex.europa.eu/legal-content/GA/TXT/?uri=CELEX:52023DC0061</w:t>
        </w:r>
      </w:hyperlink>
      <w:r>
        <w:t xml:space="preserve"> </w:t>
      </w:r>
    </w:p>
  </w:footnote>
  <w:footnote w:id="35">
    <w:p w14:paraId="6354C085" w14:textId="77777777" w:rsidR="009C6C0A" w:rsidRPr="001E5576" w:rsidRDefault="009C6C0A" w:rsidP="009C6C0A">
      <w:pPr>
        <w:pStyle w:val="FootnoteText"/>
      </w:pPr>
      <w:r>
        <w:rPr>
          <w:rStyle w:val="FootnoteReference"/>
        </w:rPr>
        <w:footnoteRef/>
      </w:r>
      <w:r>
        <w:t xml:space="preserve"> COM(2024) 130. </w:t>
      </w:r>
    </w:p>
  </w:footnote>
  <w:footnote w:id="36">
    <w:p w14:paraId="456AA6A7" w14:textId="77777777" w:rsidR="00CA7DFD" w:rsidRPr="000B0E9A" w:rsidRDefault="00CA7DFD">
      <w:pPr>
        <w:pStyle w:val="FootnoteText"/>
      </w:pPr>
      <w:r>
        <w:rPr>
          <w:rStyle w:val="FootnoteReference"/>
        </w:rPr>
        <w:footnoteRef/>
      </w:r>
      <w:r>
        <w:t xml:space="preserve"> COM(2023) 161</w:t>
      </w:r>
    </w:p>
  </w:footnote>
  <w:footnote w:id="37">
    <w:p w14:paraId="27882392" w14:textId="77777777" w:rsidR="00CA14DC" w:rsidRPr="00F434C8" w:rsidRDefault="00CA14DC">
      <w:pPr>
        <w:pStyle w:val="FootnoteText"/>
      </w:pPr>
      <w:r>
        <w:rPr>
          <w:rStyle w:val="FootnoteReference"/>
        </w:rPr>
        <w:footnoteRef/>
      </w:r>
      <w:r>
        <w:t xml:space="preserve"> An séú Tuarascáil Mheasúnachta ó IPCC. </w:t>
      </w:r>
      <w:hyperlink r:id="rId25" w:history="1">
        <w:r>
          <w:rPr>
            <w:rStyle w:val="Hyperlink"/>
          </w:rPr>
          <w:t>https://www.ipcc.ch/assessment-report/ar6/</w:t>
        </w:r>
      </w:hyperlink>
      <w:r>
        <w:t xml:space="preserve"> </w:t>
      </w:r>
    </w:p>
  </w:footnote>
  <w:footnote w:id="38">
    <w:p w14:paraId="2CC955C8" w14:textId="77777777" w:rsidR="00E01EF8" w:rsidRPr="00292910" w:rsidRDefault="00E01EF8" w:rsidP="00E01EF8">
      <w:pPr>
        <w:pStyle w:val="FootnoteText"/>
      </w:pPr>
      <w:r>
        <w:rPr>
          <w:rStyle w:val="FootnoteReference"/>
        </w:rPr>
        <w:footnoteRef/>
      </w:r>
      <w:r>
        <w:t xml:space="preserve"> Dasgupta, P (2021), </w:t>
      </w:r>
      <w:r>
        <w:rPr>
          <w:i/>
        </w:rPr>
        <w:t>The Economics of Biodiversity:</w:t>
      </w:r>
      <w:r>
        <w:t xml:space="preserve"> </w:t>
      </w:r>
      <w:r>
        <w:rPr>
          <w:i/>
        </w:rPr>
        <w:t>The Dasgupta Review</w:t>
      </w:r>
      <w:r>
        <w:t xml:space="preserve">, Londain: Státchiste an Rí; </w:t>
      </w:r>
      <w:bookmarkStart w:id="48" w:name="_Hlk160963836"/>
      <w:r w:rsidR="000E4168">
        <w:fldChar w:fldCharType="begin"/>
      </w:r>
      <w:r w:rsidR="000E4168">
        <w:instrText>HYPERLINK ""</w:instrText>
      </w:r>
      <w:r w:rsidR="000E4168">
        <w:fldChar w:fldCharType="end"/>
      </w:r>
      <w:bookmarkEnd w:id="48"/>
      <w:r w:rsidR="00EF5256">
        <w:fldChar w:fldCharType="begin"/>
      </w:r>
      <w:r w:rsidR="00EF5256">
        <w:instrText xml:space="preserve"> HYPERLINK "https://www.worldbank.org/en/publication/changing-wealth-of-nations" </w:instrText>
      </w:r>
      <w:r w:rsidR="00EF5256">
        <w:fldChar w:fldCharType="separate"/>
      </w:r>
      <w:r>
        <w:rPr>
          <w:rStyle w:val="Hyperlink"/>
        </w:rPr>
        <w:t>https://www.worldbank.org/en/publication/changing-wealth-of-nations</w:t>
      </w:r>
      <w:r w:rsidR="00EF5256">
        <w:rPr>
          <w:rStyle w:val="Hyperlink"/>
        </w:rPr>
        <w:fldChar w:fldCharType="end"/>
      </w:r>
      <w:r>
        <w:rPr>
          <w:rStyle w:val="Hyperlink"/>
        </w:rPr>
        <w:t xml:space="preserve"> </w:t>
      </w:r>
    </w:p>
  </w:footnote>
  <w:footnote w:id="39">
    <w:p w14:paraId="42ECA6E8" w14:textId="77777777" w:rsidR="002A4652" w:rsidRPr="001E5576" w:rsidRDefault="002A4652" w:rsidP="002A4652">
      <w:pPr>
        <w:pStyle w:val="FootnoteText"/>
      </w:pPr>
      <w:r>
        <w:rPr>
          <w:rStyle w:val="FootnoteReference"/>
        </w:rPr>
        <w:footnoteRef/>
      </w:r>
      <w:r>
        <w:t xml:space="preserve"> COM(2023) 102 final. </w:t>
      </w:r>
      <w:hyperlink r:id="rId26" w:history="1">
        <w:r>
          <w:rPr>
            <w:rStyle w:val="Hyperlink"/>
          </w:rPr>
          <w:t>https://eur-lex.europa.eu/legal-content/GA/TXT/?uri=CELEX%3A52023DC0102</w:t>
        </w:r>
      </w:hyperlink>
      <w:r>
        <w:t xml:space="preserve"> </w:t>
      </w:r>
    </w:p>
  </w:footnote>
  <w:footnote w:id="40">
    <w:p w14:paraId="0BCBF68A" w14:textId="77777777" w:rsidR="00507E1A" w:rsidRPr="00BB6BA8" w:rsidRDefault="00507E1A">
      <w:pPr>
        <w:pStyle w:val="FootnoteText"/>
      </w:pPr>
      <w:r>
        <w:rPr>
          <w:rStyle w:val="FootnoteReference"/>
        </w:rPr>
        <w:footnoteRef/>
      </w:r>
      <w:r>
        <w:t xml:space="preserve"> </w:t>
      </w:r>
      <w:hyperlink r:id="rId27" w:history="1">
        <w:r>
          <w:rPr>
            <w:rStyle w:val="Hyperlink"/>
          </w:rPr>
          <w:t>https://research-and-innovation.ec.europa.eu/funding/funding-opportunities/funding-programmes-and-open-calls/horizon-europe/eu-missions-horizon-europe/restore-our-ocean-and-waters_en</w:t>
        </w:r>
      </w:hyperlink>
      <w:r>
        <w:t xml:space="preserve"> </w:t>
      </w:r>
    </w:p>
  </w:footnote>
  <w:footnote w:id="41">
    <w:p w14:paraId="2ABDC0F5" w14:textId="77777777" w:rsidR="00C879A9" w:rsidRPr="009248B3" w:rsidRDefault="00C879A9">
      <w:pPr>
        <w:pStyle w:val="FootnoteText"/>
        <w:rPr>
          <w:b/>
          <w:bCs/>
        </w:rPr>
      </w:pPr>
      <w:bookmarkStart w:id="52" w:name="_Hlk158909971"/>
      <w:r>
        <w:rPr>
          <w:rStyle w:val="FootnoteReference"/>
        </w:rPr>
        <w:footnoteRef/>
      </w:r>
      <w:r>
        <w:t xml:space="preserve"> Uirlis idirghníomhach EXHAUSTION: </w:t>
      </w:r>
      <w:hyperlink r:id="rId28" w:history="1">
        <w:r>
          <w:rPr>
            <w:rStyle w:val="Hyperlink"/>
          </w:rPr>
          <w:t>https://www.exhaustion.eu/</w:t>
        </w:r>
      </w:hyperlink>
    </w:p>
    <w:bookmarkEnd w:id="52"/>
  </w:footnote>
  <w:footnote w:id="42">
    <w:p w14:paraId="4CA05304" w14:textId="77777777" w:rsidR="0016213D" w:rsidRPr="007E5CF7" w:rsidRDefault="0016213D" w:rsidP="0044238F">
      <w:pPr>
        <w:pStyle w:val="FootnoteText"/>
        <w:jc w:val="left"/>
      </w:pPr>
      <w:r>
        <w:rPr>
          <w:rStyle w:val="FootnoteReference"/>
        </w:rPr>
        <w:footnoteRef/>
      </w:r>
      <w:r>
        <w:t xml:space="preserve"> </w:t>
      </w:r>
      <w:hyperlink r:id="rId29" w:history="1">
        <w:r>
          <w:rPr>
            <w:rStyle w:val="Hyperlink"/>
          </w:rPr>
          <w:t>https://health.ec.europa.eu/non-communicable-diseases/healthier-together-eu-non-communicable-diseases-initiative_en</w:t>
        </w:r>
      </w:hyperlink>
      <w:r>
        <w:t xml:space="preserve"> </w:t>
      </w:r>
    </w:p>
  </w:footnote>
  <w:footnote w:id="43">
    <w:p w14:paraId="3D9D9C64" w14:textId="77777777" w:rsidR="00CE4000" w:rsidRPr="00F434C8" w:rsidRDefault="00CE4000">
      <w:pPr>
        <w:pStyle w:val="FootnoteText"/>
      </w:pPr>
      <w:r>
        <w:rPr>
          <w:rStyle w:val="FootnoteReference"/>
        </w:rPr>
        <w:footnoteRef/>
      </w:r>
      <w:r>
        <w:t xml:space="preserve"> COM(2023) 298 final. </w:t>
      </w:r>
      <w:hyperlink r:id="rId30" w:history="1">
        <w:r>
          <w:rPr>
            <w:rStyle w:val="Hyperlink"/>
          </w:rPr>
          <w:t>https://health.ec.europa.eu/publications/comprehensive-approach-mental-health_en</w:t>
        </w:r>
      </w:hyperlink>
      <w:r>
        <w:t xml:space="preserve"> </w:t>
      </w:r>
    </w:p>
  </w:footnote>
  <w:footnote w:id="44">
    <w:p w14:paraId="62857D4C" w14:textId="77777777" w:rsidR="002E16D5" w:rsidRPr="002E16D5" w:rsidRDefault="002E16D5" w:rsidP="000B572F">
      <w:pPr>
        <w:pStyle w:val="FootnoteText"/>
        <w:jc w:val="left"/>
      </w:pPr>
      <w:r>
        <w:rPr>
          <w:rStyle w:val="FootnoteReference"/>
        </w:rPr>
        <w:footnoteRef/>
      </w:r>
      <w:r>
        <w:t xml:space="preserve"> Dearbhú ón Seachtú Comhdháil Aireachta maidir leis an gComhshaol agus an tSláinte (</w:t>
      </w:r>
      <w:hyperlink r:id="rId31" w:history="1">
        <w:r>
          <w:rPr>
            <w:rStyle w:val="Hyperlink"/>
          </w:rPr>
          <w:t>https://www.who.int/europe/publications/i/item/EURO-Budapest2023-6</w:t>
        </w:r>
      </w:hyperlink>
      <w:r>
        <w:t>), Dearbhú COP28 Aontas na nÉimíríochtaí Arabacha maidir leis an Aeráid agus an tSláinte (</w:t>
      </w:r>
      <w:hyperlink r:id="rId32" w:history="1">
        <w:r>
          <w:rPr>
            <w:rStyle w:val="Hyperlink"/>
          </w:rPr>
          <w:t>https://www.cop28.com/en/cop28-uae-declaration-on-climate-and-health</w:t>
        </w:r>
      </w:hyperlink>
      <w:r>
        <w:t>)</w:t>
      </w:r>
    </w:p>
  </w:footnote>
  <w:footnote w:id="45">
    <w:p w14:paraId="3624A5B3" w14:textId="77777777" w:rsidR="006E78CB" w:rsidRPr="006E78CB" w:rsidRDefault="006E78CB">
      <w:pPr>
        <w:pStyle w:val="FootnoteText"/>
      </w:pPr>
      <w:r>
        <w:rPr>
          <w:rStyle w:val="FootnoteReference"/>
        </w:rPr>
        <w:footnoteRef/>
      </w:r>
      <w:r>
        <w:t xml:space="preserve"> </w:t>
      </w:r>
      <w:hyperlink r:id="rId33" w:history="1">
        <w:r>
          <w:rPr>
            <w:rStyle w:val="Hyperlink"/>
          </w:rPr>
          <w:t>https://osha.europa.eu/en/oshnews/heat-work-guidance-workplaces</w:t>
        </w:r>
      </w:hyperlink>
      <w:r>
        <w:t xml:space="preserve"> </w:t>
      </w:r>
    </w:p>
  </w:footnote>
  <w:footnote w:id="46">
    <w:p w14:paraId="36F59CBE" w14:textId="77777777" w:rsidR="005848F9" w:rsidRPr="005848F9" w:rsidRDefault="005848F9">
      <w:pPr>
        <w:pStyle w:val="FootnoteText"/>
      </w:pPr>
      <w:r>
        <w:rPr>
          <w:rStyle w:val="FootnoteReference"/>
        </w:rPr>
        <w:footnoteRef/>
      </w:r>
      <w:r>
        <w:t xml:space="preserve"> An Mheitheal um an Athrú Aeráide agus um Shábháilteacht agus Sláinte Cheirde de chuid an Choiste Chomhairligh thrípháirtigh um Shábháilteacht agus Sláinte ag an Obair</w:t>
      </w:r>
    </w:p>
  </w:footnote>
  <w:footnote w:id="47">
    <w:p w14:paraId="078B0144" w14:textId="77777777" w:rsidR="007A6FC7" w:rsidRDefault="007A6FC7" w:rsidP="007A6FC7">
      <w:pPr>
        <w:rPr>
          <w:color w:val="000000" w:themeColor="text1"/>
          <w:sz w:val="24"/>
          <w:szCs w:val="24"/>
        </w:rPr>
      </w:pPr>
      <w:r>
        <w:rPr>
          <w:rStyle w:val="FootnoteReference"/>
          <w:rFonts w:ascii="Times New Roman" w:hAnsi="Times New Roman" w:cs="Times New Roman"/>
          <w:sz w:val="20"/>
          <w:szCs w:val="20"/>
        </w:rPr>
        <w:footnoteRef/>
      </w:r>
      <w:r>
        <w:rPr>
          <w:rFonts w:ascii="Times New Roman" w:hAnsi="Times New Roman"/>
          <w:sz w:val="20"/>
        </w:rPr>
        <w:t>Staidéar fadbhreathnaitheachta ar ‘impleachtaí OSH a bheidh ag forbairtí agus géarchéimeanna a bhaineann leis an athrú aeráide amach anseo’ (a seoladh in 2024</w:t>
      </w:r>
      <w:r>
        <w:rPr>
          <w:rFonts w:ascii="Times New Roman" w:hAnsi="Times New Roman"/>
          <w:color w:val="000000" w:themeColor="text1"/>
          <w:sz w:val="20"/>
        </w:rPr>
        <w:t>)</w:t>
      </w:r>
      <w:r>
        <w:rPr>
          <w:color w:val="000000" w:themeColor="text1"/>
          <w:sz w:val="24"/>
        </w:rPr>
        <w:t xml:space="preserve"> </w:t>
      </w:r>
    </w:p>
  </w:footnote>
  <w:footnote w:id="48">
    <w:p w14:paraId="7ABC31D1" w14:textId="77777777" w:rsidR="00C04ACD" w:rsidRPr="004F6299" w:rsidRDefault="00C04ACD">
      <w:pPr>
        <w:pStyle w:val="FootnoteText"/>
      </w:pPr>
      <w:r>
        <w:rPr>
          <w:rStyle w:val="FootnoteReference"/>
        </w:rPr>
        <w:footnoteRef/>
      </w:r>
      <w:r>
        <w:t xml:space="preserve">   COM(2023) 411 final</w:t>
      </w:r>
    </w:p>
  </w:footnote>
  <w:footnote w:id="49">
    <w:p w14:paraId="20D00DE6" w14:textId="77777777" w:rsidR="005D61D6" w:rsidRPr="00755240" w:rsidRDefault="005D61D6" w:rsidP="005D61D6">
      <w:pPr>
        <w:pStyle w:val="FootnoteText"/>
      </w:pPr>
      <w:r>
        <w:rPr>
          <w:rStyle w:val="FootnoteReference"/>
        </w:rPr>
        <w:footnoteRef/>
      </w:r>
      <w:r>
        <w:t xml:space="preserve"> </w:t>
      </w:r>
      <w:hyperlink r:id="rId34" w:history="1">
        <w:r>
          <w:rPr>
            <w:rStyle w:val="Hyperlink"/>
          </w:rPr>
          <w:t>https://eurocodes.jrc.ec.europa.eu/2nd-generation/second-generation-eurocodes-what-new</w:t>
        </w:r>
      </w:hyperlink>
      <w:r>
        <w:t xml:space="preserve"> </w:t>
      </w:r>
    </w:p>
  </w:footnote>
  <w:footnote w:id="50">
    <w:p w14:paraId="68B1E47A" w14:textId="77777777" w:rsidR="00B2668D" w:rsidRPr="009248B3" w:rsidRDefault="00B2668D" w:rsidP="00B2668D">
      <w:pPr>
        <w:pStyle w:val="FootnoteText"/>
      </w:pPr>
      <w:r>
        <w:rPr>
          <w:rStyle w:val="FootnoteReference"/>
        </w:rPr>
        <w:footnoteRef/>
      </w:r>
      <w:r>
        <w:t xml:space="preserve"> Schade, W., Khanna, A.A., Mader, S., Streif, M., Abkai, T., de Stasio, C., Thiery, W., Deidda, C., Maatsch, S., Kramer, H. (2023): </w:t>
      </w:r>
      <w:r>
        <w:rPr>
          <w:i/>
          <w:iCs/>
        </w:rPr>
        <w:t>Support study on the climate adaptation &amp; cross-border investment needs to realize the TEN-T network.</w:t>
      </w:r>
      <w:r>
        <w:t xml:space="preserve"> Tuarascáil thar ceann an Choimisiúin Eorpaigh (atá le teacht).</w:t>
      </w:r>
    </w:p>
  </w:footnote>
  <w:footnote w:id="51">
    <w:p w14:paraId="0B9717CE" w14:textId="77777777" w:rsidR="003057A0" w:rsidRPr="00BC538A" w:rsidRDefault="003057A0" w:rsidP="00D63A43">
      <w:pPr>
        <w:pStyle w:val="FootnoteText"/>
        <w:jc w:val="left"/>
      </w:pPr>
      <w:r>
        <w:rPr>
          <w:rStyle w:val="FootnoteReference"/>
        </w:rPr>
        <w:footnoteRef/>
      </w:r>
      <w:r>
        <w:t xml:space="preserve"> SWD(2024) 63 final. </w:t>
      </w:r>
      <w:hyperlink r:id="rId35" w:history="1">
        <w:r>
          <w:rPr>
            <w:rStyle w:val="Hyperlink"/>
          </w:rPr>
          <w:t>https://climate.ec.europa.eu/document/download/768bc81f-5f48-48e3-b4d4-e02ba09faca1_en</w:t>
        </w:r>
      </w:hyperlink>
      <w:r>
        <w:t xml:space="preserve"> </w:t>
      </w:r>
    </w:p>
  </w:footnote>
  <w:footnote w:id="52">
    <w:p w14:paraId="3E78FA80" w14:textId="77777777" w:rsidR="00FD6FC6" w:rsidRPr="00BB6BA8" w:rsidRDefault="00FD6FC6">
      <w:pPr>
        <w:pStyle w:val="FootnoteText"/>
      </w:pPr>
      <w:r>
        <w:rPr>
          <w:rStyle w:val="FootnoteReference"/>
        </w:rPr>
        <w:footnoteRef/>
      </w:r>
      <w:r>
        <w:t xml:space="preserve"> Tá coinne leis an Tuarascáil ón Idirphlé maidir leis an Athléimneacht in aghaidh an Athraithe Aeráide i samhradh 2024.</w:t>
      </w:r>
    </w:p>
  </w:footnote>
  <w:footnote w:id="53">
    <w:p w14:paraId="422ED0F9" w14:textId="77777777" w:rsidR="0059141A" w:rsidRPr="006C5B3C" w:rsidRDefault="00453D4B" w:rsidP="00453D4B">
      <w:pPr>
        <w:pStyle w:val="FootnoteText"/>
      </w:pPr>
      <w:r>
        <w:rPr>
          <w:rStyle w:val="FootnoteReference"/>
        </w:rPr>
        <w:footnoteRef/>
      </w:r>
      <w:r>
        <w:t xml:space="preserve"> </w:t>
      </w:r>
      <w:hyperlink r:id="rId36" w:history="1">
        <w:r>
          <w:rPr>
            <w:rStyle w:val="Hyperlink"/>
          </w:rPr>
          <w:t>http://www.tradeministersonclimate.org/</w:t>
        </w:r>
      </w:hyperlink>
    </w:p>
  </w:footnote>
  <w:footnote w:id="54">
    <w:p w14:paraId="1913BD72" w14:textId="77777777" w:rsidR="00FE4D6B" w:rsidRPr="00391DAE" w:rsidRDefault="00FE4D6B" w:rsidP="00FE4D6B">
      <w:pPr>
        <w:pStyle w:val="FootnoteText"/>
        <w:rPr>
          <w:rFonts w:asciiTheme="minorHAnsi" w:hAnsiTheme="minorHAnsi"/>
        </w:rPr>
      </w:pPr>
      <w:r>
        <w:rPr>
          <w:rStyle w:val="FootnoteReference"/>
        </w:rPr>
        <w:footnoteRef/>
      </w:r>
      <w:r>
        <w:t xml:space="preserve"> COM(2022) 409 final. </w:t>
      </w:r>
      <w:hyperlink r:id="rId37" w:history="1">
        <w:r>
          <w:rPr>
            <w:rStyle w:val="Hyperlink"/>
          </w:rPr>
          <w:t>https://eur-lex.europa.eu/legal-content/GA/TXT/?uri=CELEX%3A52022DC0409</w:t>
        </w:r>
      </w:hyperlink>
      <w:r>
        <w:t xml:space="preserve"> </w:t>
      </w:r>
    </w:p>
  </w:footnote>
  <w:footnote w:id="55">
    <w:p w14:paraId="255781DA" w14:textId="77777777" w:rsidR="00F74E4A" w:rsidRPr="0043667E" w:rsidRDefault="00F74E4A" w:rsidP="00F74E4A">
      <w:pPr>
        <w:pStyle w:val="FootnoteText"/>
      </w:pPr>
      <w:r>
        <w:rPr>
          <w:rStyle w:val="FootnoteReference"/>
        </w:rPr>
        <w:footnoteRef/>
      </w:r>
      <w:r>
        <w:t xml:space="preserve"> </w:t>
      </w:r>
      <w:hyperlink r:id="rId38" w:history="1">
        <w:r>
          <w:rPr>
            <w:rStyle w:val="Hyperlink"/>
            <w:color w:val="000000" w:themeColor="text1"/>
            <w:u w:val="none"/>
          </w:rPr>
          <w:t xml:space="preserve">Barbaglia, L., Fatica, S. agus Rho, C., </w:t>
        </w:r>
        <w:r>
          <w:rPr>
            <w:rStyle w:val="Hyperlink"/>
            <w:i/>
            <w:color w:val="000000" w:themeColor="text1"/>
            <w:u w:val="none"/>
          </w:rPr>
          <w:t>Flooded credit markets: physical climate risk and small business lending</w:t>
        </w:r>
        <w:r>
          <w:rPr>
            <w:rStyle w:val="Hyperlink"/>
            <w:color w:val="000000" w:themeColor="text1"/>
            <w:u w:val="none"/>
          </w:rPr>
          <w:t>, an Coimisiún Eorpach, 2023, JRC136274.</w:t>
        </w:r>
      </w:hyperlink>
    </w:p>
  </w:footnote>
  <w:footnote w:id="56">
    <w:p w14:paraId="291D4DF5" w14:textId="77777777" w:rsidR="001A31EC" w:rsidRPr="005A4F57" w:rsidRDefault="001A31EC" w:rsidP="001A31EC">
      <w:pPr>
        <w:pStyle w:val="FootnoteText"/>
        <w:jc w:val="left"/>
      </w:pPr>
      <w:r>
        <w:rPr>
          <w:rStyle w:val="FootnoteReference"/>
        </w:rPr>
        <w:footnoteRef/>
      </w:r>
      <w:r>
        <w:t xml:space="preserve"> </w:t>
      </w:r>
      <w:hyperlink r:id="rId39" w:history="1">
        <w:r>
          <w:rPr>
            <w:rStyle w:val="Hyperlink"/>
          </w:rPr>
          <w:t>https://www.ecb.europa.eu/pub/economic-bulletin/focus/2023/html/ecb.ebbox202306_05~f5ec994b9e.en.html</w:t>
        </w:r>
      </w:hyperlink>
    </w:p>
  </w:footnote>
  <w:footnote w:id="57">
    <w:p w14:paraId="64446799" w14:textId="77777777" w:rsidR="00BD486C" w:rsidRPr="001E5576" w:rsidRDefault="00BD486C">
      <w:pPr>
        <w:pStyle w:val="FootnoteText"/>
      </w:pPr>
      <w:r>
        <w:rPr>
          <w:rStyle w:val="FootnoteReference"/>
        </w:rPr>
        <w:footnoteRef/>
      </w:r>
      <w:r>
        <w:t xml:space="preserve"> COM/2020/103 final. </w:t>
      </w:r>
      <w:hyperlink r:id="rId40" w:history="1">
        <w:r>
          <w:rPr>
            <w:rStyle w:val="Hyperlink"/>
          </w:rPr>
          <w:t>https://eur-lex.europa.eu/legal-content/en/ALL/?uri=CELEX%3A52020DC0103</w:t>
        </w:r>
      </w:hyperlink>
      <w:r>
        <w:t xml:space="preserve"> </w:t>
      </w:r>
    </w:p>
  </w:footnote>
  <w:footnote w:id="58">
    <w:p w14:paraId="2F47503E" w14:textId="77777777" w:rsidR="00D95E11" w:rsidRPr="00391DAE" w:rsidRDefault="00D95E11">
      <w:pPr>
        <w:pStyle w:val="FootnoteText"/>
      </w:pPr>
      <w:r>
        <w:rPr>
          <w:rStyle w:val="FootnoteReference"/>
        </w:rPr>
        <w:footnoteRef/>
      </w:r>
      <w:r>
        <w:t xml:space="preserve"> JOIN(2023) 20 final. </w:t>
      </w:r>
      <w:hyperlink r:id="rId41" w:history="1">
        <w:r>
          <w:rPr>
            <w:rStyle w:val="Hyperlink"/>
          </w:rPr>
          <w:t>https://eur-lex.europa.eu/legal-content/GA/TXT/?uri=CELEX%3A52023JC0020</w:t>
        </w:r>
      </w:hyperlink>
      <w:r>
        <w:t xml:space="preserve"> </w:t>
      </w:r>
    </w:p>
  </w:footnote>
  <w:footnote w:id="59">
    <w:p w14:paraId="5DDE376F" w14:textId="77777777" w:rsidR="0086628C" w:rsidRPr="001E5576" w:rsidRDefault="0086628C">
      <w:pPr>
        <w:pStyle w:val="FootnoteText"/>
      </w:pPr>
      <w:r>
        <w:rPr>
          <w:rStyle w:val="FootnoteReference"/>
        </w:rPr>
        <w:footnoteRef/>
      </w:r>
      <w:r>
        <w:t xml:space="preserve"> COM/2023/535 final. </w:t>
      </w:r>
      <w:hyperlink r:id="rId42" w:history="1">
        <w:r>
          <w:rPr>
            <w:rStyle w:val="Hyperlink"/>
          </w:rPr>
          <w:t>https://eur-lex.europa.eu/legal-content/GA/TXT/?uri=COM%3A2023%3A535%3AFIN</w:t>
        </w:r>
      </w:hyperlink>
      <w:r>
        <w:t xml:space="preserve"> </w:t>
      </w:r>
    </w:p>
  </w:footnote>
  <w:footnote w:id="60">
    <w:p w14:paraId="31018028" w14:textId="77777777" w:rsidR="00211506" w:rsidRPr="001E5576" w:rsidRDefault="00211506" w:rsidP="00211506">
      <w:pPr>
        <w:pStyle w:val="FootnoteText"/>
      </w:pPr>
      <w:r>
        <w:rPr>
          <w:rStyle w:val="FootnoteReference"/>
        </w:rPr>
        <w:footnoteRef/>
      </w:r>
      <w:r>
        <w:t xml:space="preserve"> COM(2023) 240 final. </w:t>
      </w:r>
      <w:hyperlink r:id="rId43" w:history="1">
        <w:r>
          <w:rPr>
            <w:rStyle w:val="Hyperlink"/>
          </w:rPr>
          <w:t>https://eur-lex.europa.eu/legal-content/GA/TXT/?uri=CELEX%3A52023PC0240</w:t>
        </w:r>
      </w:hyperlink>
      <w:r>
        <w:t xml:space="preserve"> </w:t>
      </w:r>
    </w:p>
  </w:footnote>
  <w:footnote w:id="61">
    <w:p w14:paraId="219E486A" w14:textId="77777777" w:rsidR="006F47E3" w:rsidRPr="00BB6BA8" w:rsidRDefault="006F47E3" w:rsidP="006F47E3">
      <w:pPr>
        <w:pStyle w:val="FootnoteText"/>
      </w:pPr>
      <w:r>
        <w:rPr>
          <w:rStyle w:val="FootnoteReference"/>
        </w:rPr>
        <w:footnoteRef/>
      </w:r>
      <w:r>
        <w:t xml:space="preserve"> Trí eachtarshuí ó mheastacháin aon tíre amháin go dtí leibhéal an Aontais, d’fhéadfadh costas bliantúil an oiriúnaithe don athrú aeráide a bheith idir EUR 15 bhilliún agus EUR 64 bhilliún in aghaidh na bliana (0,1-0,4 faoin gcéad de OTI an Aontais) go dtí 2030, agus meastachán airmheánach ann de thart ar EUR 21 bhilliún (an Banc Domhanda (le teacht, 2024). </w:t>
      </w:r>
      <w:r>
        <w:rPr>
          <w:i/>
          <w:iCs/>
        </w:rPr>
        <w:t>Investing in Resilience:</w:t>
      </w:r>
      <w:r>
        <w:t xml:space="preserve"> </w:t>
      </w:r>
      <w:r>
        <w:rPr>
          <w:i/>
          <w:iCs/>
        </w:rPr>
        <w:t>Climate Adaptation Costing in a Changing World.</w:t>
      </w:r>
      <w:r>
        <w:t xml:space="preserve"> </w:t>
      </w:r>
      <w:r>
        <w:rPr>
          <w:i/>
          <w:iCs/>
        </w:rPr>
        <w:t>Phase II study under Economics for Disaster Prevention and Preparedness:</w:t>
      </w:r>
      <w:r>
        <w:t xml:space="preserve"> </w:t>
      </w:r>
      <w:r>
        <w:rPr>
          <w:i/>
          <w:iCs/>
        </w:rPr>
        <w:t>Prioritizing and Financing Resilient Investments.).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484C9" w14:textId="77777777" w:rsidR="004D7E06" w:rsidRPr="004D7E06" w:rsidRDefault="004D7E06" w:rsidP="004D7E06">
    <w:pPr>
      <w:pStyle w:val="HeaderCoverPag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CC2A4" w14:textId="77777777" w:rsidR="004D7E06" w:rsidRPr="004D7E06" w:rsidRDefault="004D7E06" w:rsidP="004D7E06">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F3190" w14:textId="77777777" w:rsidR="004D7E06" w:rsidRPr="004D7E06" w:rsidRDefault="004D7E06" w:rsidP="004D7E06">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D6D4F" w14:textId="77777777" w:rsidR="00915255" w:rsidRDefault="00915255">
    <w:pPr>
      <w:pStyle w:val="Header"/>
    </w:pPr>
  </w:p>
  <w:p w14:paraId="3E143E4C" w14:textId="77777777" w:rsidR="004C4D96" w:rsidRDefault="004C4D96"/>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2FEC9" w14:textId="77777777" w:rsidR="00915255" w:rsidRDefault="00915255">
    <w:pPr>
      <w:pStyle w:val="Header"/>
    </w:pPr>
  </w:p>
  <w:p w14:paraId="7D8C233B" w14:textId="77777777" w:rsidR="004C4D96" w:rsidRDefault="004C4D96"/>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57EED" w14:textId="77777777" w:rsidR="00915255" w:rsidRDefault="009152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07EBE"/>
    <w:multiLevelType w:val="multilevel"/>
    <w:tmpl w:val="2FA891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960CC3"/>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906B92"/>
    <w:multiLevelType w:val="hybridMultilevel"/>
    <w:tmpl w:val="486E22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B142A61"/>
    <w:multiLevelType w:val="multilevel"/>
    <w:tmpl w:val="2A00BA5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793F72"/>
    <w:multiLevelType w:val="hybridMultilevel"/>
    <w:tmpl w:val="27507C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06E7B88"/>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3F552B5"/>
    <w:multiLevelType w:val="hybridMultilevel"/>
    <w:tmpl w:val="60D8AEF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5547881"/>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7012D86"/>
    <w:multiLevelType w:val="multilevel"/>
    <w:tmpl w:val="4D6A73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A5181D"/>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B78081F"/>
    <w:multiLevelType w:val="multilevel"/>
    <w:tmpl w:val="7EA85E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C8147B5"/>
    <w:multiLevelType w:val="hybridMultilevel"/>
    <w:tmpl w:val="63982DDC"/>
    <w:lvl w:ilvl="0" w:tplc="D65C0078">
      <w:start w:val="1"/>
      <w:numFmt w:val="bullet"/>
      <w:lvlText w:val=""/>
      <w:lvlJc w:val="left"/>
      <w:pPr>
        <w:ind w:left="720" w:hanging="360"/>
      </w:pPr>
      <w:rPr>
        <w:rFonts w:ascii="Symbol" w:hAnsi="Symbol"/>
      </w:rPr>
    </w:lvl>
    <w:lvl w:ilvl="1" w:tplc="44D4F288">
      <w:start w:val="1"/>
      <w:numFmt w:val="bullet"/>
      <w:lvlText w:val=""/>
      <w:lvlJc w:val="left"/>
      <w:pPr>
        <w:ind w:left="720" w:hanging="360"/>
      </w:pPr>
      <w:rPr>
        <w:rFonts w:ascii="Symbol" w:hAnsi="Symbol"/>
      </w:rPr>
    </w:lvl>
    <w:lvl w:ilvl="2" w:tplc="EBA83878">
      <w:start w:val="1"/>
      <w:numFmt w:val="bullet"/>
      <w:lvlText w:val=""/>
      <w:lvlJc w:val="left"/>
      <w:pPr>
        <w:ind w:left="720" w:hanging="360"/>
      </w:pPr>
      <w:rPr>
        <w:rFonts w:ascii="Symbol" w:hAnsi="Symbol"/>
      </w:rPr>
    </w:lvl>
    <w:lvl w:ilvl="3" w:tplc="CB1C7342">
      <w:start w:val="1"/>
      <w:numFmt w:val="bullet"/>
      <w:lvlText w:val=""/>
      <w:lvlJc w:val="left"/>
      <w:pPr>
        <w:ind w:left="720" w:hanging="360"/>
      </w:pPr>
      <w:rPr>
        <w:rFonts w:ascii="Symbol" w:hAnsi="Symbol"/>
      </w:rPr>
    </w:lvl>
    <w:lvl w:ilvl="4" w:tplc="38E61770">
      <w:start w:val="1"/>
      <w:numFmt w:val="bullet"/>
      <w:lvlText w:val=""/>
      <w:lvlJc w:val="left"/>
      <w:pPr>
        <w:ind w:left="720" w:hanging="360"/>
      </w:pPr>
      <w:rPr>
        <w:rFonts w:ascii="Symbol" w:hAnsi="Symbol"/>
      </w:rPr>
    </w:lvl>
    <w:lvl w:ilvl="5" w:tplc="AA4C99F4">
      <w:start w:val="1"/>
      <w:numFmt w:val="bullet"/>
      <w:lvlText w:val=""/>
      <w:lvlJc w:val="left"/>
      <w:pPr>
        <w:ind w:left="720" w:hanging="360"/>
      </w:pPr>
      <w:rPr>
        <w:rFonts w:ascii="Symbol" w:hAnsi="Symbol"/>
      </w:rPr>
    </w:lvl>
    <w:lvl w:ilvl="6" w:tplc="C1D6D30A">
      <w:start w:val="1"/>
      <w:numFmt w:val="bullet"/>
      <w:lvlText w:val=""/>
      <w:lvlJc w:val="left"/>
      <w:pPr>
        <w:ind w:left="720" w:hanging="360"/>
      </w:pPr>
      <w:rPr>
        <w:rFonts w:ascii="Symbol" w:hAnsi="Symbol"/>
      </w:rPr>
    </w:lvl>
    <w:lvl w:ilvl="7" w:tplc="AF5C02EC">
      <w:start w:val="1"/>
      <w:numFmt w:val="bullet"/>
      <w:lvlText w:val=""/>
      <w:lvlJc w:val="left"/>
      <w:pPr>
        <w:ind w:left="720" w:hanging="360"/>
      </w:pPr>
      <w:rPr>
        <w:rFonts w:ascii="Symbol" w:hAnsi="Symbol"/>
      </w:rPr>
    </w:lvl>
    <w:lvl w:ilvl="8" w:tplc="97528FD4">
      <w:start w:val="1"/>
      <w:numFmt w:val="bullet"/>
      <w:lvlText w:val=""/>
      <w:lvlJc w:val="left"/>
      <w:pPr>
        <w:ind w:left="720" w:hanging="360"/>
      </w:pPr>
      <w:rPr>
        <w:rFonts w:ascii="Symbol" w:hAnsi="Symbol"/>
      </w:rPr>
    </w:lvl>
  </w:abstractNum>
  <w:abstractNum w:abstractNumId="12" w15:restartNumberingAfterBreak="0">
    <w:nsid w:val="1C971491"/>
    <w:multiLevelType w:val="multilevel"/>
    <w:tmpl w:val="B62AD75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D130AB0"/>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0981556"/>
    <w:multiLevelType w:val="multilevel"/>
    <w:tmpl w:val="9572E5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E75984"/>
    <w:multiLevelType w:val="multilevel"/>
    <w:tmpl w:val="B62AD75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7437AB6"/>
    <w:multiLevelType w:val="hybridMultilevel"/>
    <w:tmpl w:val="B0A08FCE"/>
    <w:lvl w:ilvl="0" w:tplc="18090001">
      <w:start w:val="1"/>
      <w:numFmt w:val="bullet"/>
      <w:lvlText w:val=""/>
      <w:lvlJc w:val="left"/>
      <w:pPr>
        <w:ind w:left="720" w:hanging="360"/>
      </w:pPr>
      <w:rPr>
        <w:rFonts w:ascii="Symbol" w:eastAsia="Times New Roman" w:hAnsi="Symbol"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7" w15:restartNumberingAfterBreak="0">
    <w:nsid w:val="27A946FC"/>
    <w:multiLevelType w:val="multilevel"/>
    <w:tmpl w:val="A1560E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EDC66CC"/>
    <w:multiLevelType w:val="hybridMultilevel"/>
    <w:tmpl w:val="D41CF4B8"/>
    <w:lvl w:ilvl="0" w:tplc="FA72B0EC">
      <w:start w:val="1"/>
      <w:numFmt w:val="bullet"/>
      <w:lvlText w:val=""/>
      <w:lvlJc w:val="left"/>
      <w:pPr>
        <w:ind w:left="720" w:hanging="360"/>
      </w:pPr>
      <w:rPr>
        <w:rFonts w:ascii="Symbol" w:hAnsi="Symbol"/>
      </w:rPr>
    </w:lvl>
    <w:lvl w:ilvl="1" w:tplc="B92C430A">
      <w:start w:val="1"/>
      <w:numFmt w:val="bullet"/>
      <w:lvlText w:val=""/>
      <w:lvlJc w:val="left"/>
      <w:pPr>
        <w:ind w:left="720" w:hanging="360"/>
      </w:pPr>
      <w:rPr>
        <w:rFonts w:ascii="Symbol" w:hAnsi="Symbol"/>
      </w:rPr>
    </w:lvl>
    <w:lvl w:ilvl="2" w:tplc="4A6C88BA">
      <w:start w:val="1"/>
      <w:numFmt w:val="bullet"/>
      <w:lvlText w:val=""/>
      <w:lvlJc w:val="left"/>
      <w:pPr>
        <w:ind w:left="720" w:hanging="360"/>
      </w:pPr>
      <w:rPr>
        <w:rFonts w:ascii="Symbol" w:hAnsi="Symbol"/>
      </w:rPr>
    </w:lvl>
    <w:lvl w:ilvl="3" w:tplc="EB965748">
      <w:start w:val="1"/>
      <w:numFmt w:val="bullet"/>
      <w:lvlText w:val=""/>
      <w:lvlJc w:val="left"/>
      <w:pPr>
        <w:ind w:left="720" w:hanging="360"/>
      </w:pPr>
      <w:rPr>
        <w:rFonts w:ascii="Symbol" w:hAnsi="Symbol"/>
      </w:rPr>
    </w:lvl>
    <w:lvl w:ilvl="4" w:tplc="BF78F00A">
      <w:start w:val="1"/>
      <w:numFmt w:val="bullet"/>
      <w:lvlText w:val=""/>
      <w:lvlJc w:val="left"/>
      <w:pPr>
        <w:ind w:left="720" w:hanging="360"/>
      </w:pPr>
      <w:rPr>
        <w:rFonts w:ascii="Symbol" w:hAnsi="Symbol"/>
      </w:rPr>
    </w:lvl>
    <w:lvl w:ilvl="5" w:tplc="5E266956">
      <w:start w:val="1"/>
      <w:numFmt w:val="bullet"/>
      <w:lvlText w:val=""/>
      <w:lvlJc w:val="left"/>
      <w:pPr>
        <w:ind w:left="720" w:hanging="360"/>
      </w:pPr>
      <w:rPr>
        <w:rFonts w:ascii="Symbol" w:hAnsi="Symbol"/>
      </w:rPr>
    </w:lvl>
    <w:lvl w:ilvl="6" w:tplc="67D0FB34">
      <w:start w:val="1"/>
      <w:numFmt w:val="bullet"/>
      <w:lvlText w:val=""/>
      <w:lvlJc w:val="left"/>
      <w:pPr>
        <w:ind w:left="720" w:hanging="360"/>
      </w:pPr>
      <w:rPr>
        <w:rFonts w:ascii="Symbol" w:hAnsi="Symbol"/>
      </w:rPr>
    </w:lvl>
    <w:lvl w:ilvl="7" w:tplc="BE80E966">
      <w:start w:val="1"/>
      <w:numFmt w:val="bullet"/>
      <w:lvlText w:val=""/>
      <w:lvlJc w:val="left"/>
      <w:pPr>
        <w:ind w:left="720" w:hanging="360"/>
      </w:pPr>
      <w:rPr>
        <w:rFonts w:ascii="Symbol" w:hAnsi="Symbol"/>
      </w:rPr>
    </w:lvl>
    <w:lvl w:ilvl="8" w:tplc="97A62044">
      <w:start w:val="1"/>
      <w:numFmt w:val="bullet"/>
      <w:lvlText w:val=""/>
      <w:lvlJc w:val="left"/>
      <w:pPr>
        <w:ind w:left="720" w:hanging="360"/>
      </w:pPr>
      <w:rPr>
        <w:rFonts w:ascii="Symbol" w:hAnsi="Symbol"/>
      </w:rPr>
    </w:lvl>
  </w:abstractNum>
  <w:abstractNum w:abstractNumId="19" w15:restartNumberingAfterBreak="0">
    <w:nsid w:val="2EFF2113"/>
    <w:multiLevelType w:val="hybridMultilevel"/>
    <w:tmpl w:val="3B30222A"/>
    <w:lvl w:ilvl="0" w:tplc="2716DEEE">
      <w:start w:val="1"/>
      <w:numFmt w:val="bullet"/>
      <w:lvlText w:val=""/>
      <w:lvlJc w:val="left"/>
      <w:pPr>
        <w:ind w:left="720" w:hanging="360"/>
      </w:pPr>
      <w:rPr>
        <w:rFonts w:ascii="Symbol" w:hAnsi="Symbol"/>
      </w:rPr>
    </w:lvl>
    <w:lvl w:ilvl="1" w:tplc="CD12B078">
      <w:start w:val="1"/>
      <w:numFmt w:val="bullet"/>
      <w:lvlText w:val=""/>
      <w:lvlJc w:val="left"/>
      <w:pPr>
        <w:ind w:left="720" w:hanging="360"/>
      </w:pPr>
      <w:rPr>
        <w:rFonts w:ascii="Symbol" w:hAnsi="Symbol"/>
      </w:rPr>
    </w:lvl>
    <w:lvl w:ilvl="2" w:tplc="6D086B84">
      <w:start w:val="1"/>
      <w:numFmt w:val="bullet"/>
      <w:lvlText w:val=""/>
      <w:lvlJc w:val="left"/>
      <w:pPr>
        <w:ind w:left="720" w:hanging="360"/>
      </w:pPr>
      <w:rPr>
        <w:rFonts w:ascii="Symbol" w:hAnsi="Symbol"/>
      </w:rPr>
    </w:lvl>
    <w:lvl w:ilvl="3" w:tplc="1D9C73B0">
      <w:start w:val="1"/>
      <w:numFmt w:val="bullet"/>
      <w:lvlText w:val=""/>
      <w:lvlJc w:val="left"/>
      <w:pPr>
        <w:ind w:left="720" w:hanging="360"/>
      </w:pPr>
      <w:rPr>
        <w:rFonts w:ascii="Symbol" w:hAnsi="Symbol"/>
      </w:rPr>
    </w:lvl>
    <w:lvl w:ilvl="4" w:tplc="A5FA0224">
      <w:start w:val="1"/>
      <w:numFmt w:val="bullet"/>
      <w:lvlText w:val=""/>
      <w:lvlJc w:val="left"/>
      <w:pPr>
        <w:ind w:left="720" w:hanging="360"/>
      </w:pPr>
      <w:rPr>
        <w:rFonts w:ascii="Symbol" w:hAnsi="Symbol"/>
      </w:rPr>
    </w:lvl>
    <w:lvl w:ilvl="5" w:tplc="6F580270">
      <w:start w:val="1"/>
      <w:numFmt w:val="bullet"/>
      <w:lvlText w:val=""/>
      <w:lvlJc w:val="left"/>
      <w:pPr>
        <w:ind w:left="720" w:hanging="360"/>
      </w:pPr>
      <w:rPr>
        <w:rFonts w:ascii="Symbol" w:hAnsi="Symbol"/>
      </w:rPr>
    </w:lvl>
    <w:lvl w:ilvl="6" w:tplc="CA5CBCD6">
      <w:start w:val="1"/>
      <w:numFmt w:val="bullet"/>
      <w:lvlText w:val=""/>
      <w:lvlJc w:val="left"/>
      <w:pPr>
        <w:ind w:left="720" w:hanging="360"/>
      </w:pPr>
      <w:rPr>
        <w:rFonts w:ascii="Symbol" w:hAnsi="Symbol"/>
      </w:rPr>
    </w:lvl>
    <w:lvl w:ilvl="7" w:tplc="E40653AE">
      <w:start w:val="1"/>
      <w:numFmt w:val="bullet"/>
      <w:lvlText w:val=""/>
      <w:lvlJc w:val="left"/>
      <w:pPr>
        <w:ind w:left="720" w:hanging="360"/>
      </w:pPr>
      <w:rPr>
        <w:rFonts w:ascii="Symbol" w:hAnsi="Symbol"/>
      </w:rPr>
    </w:lvl>
    <w:lvl w:ilvl="8" w:tplc="8C121CE2">
      <w:start w:val="1"/>
      <w:numFmt w:val="bullet"/>
      <w:lvlText w:val=""/>
      <w:lvlJc w:val="left"/>
      <w:pPr>
        <w:ind w:left="720" w:hanging="360"/>
      </w:pPr>
      <w:rPr>
        <w:rFonts w:ascii="Symbol" w:hAnsi="Symbol"/>
      </w:rPr>
    </w:lvl>
  </w:abstractNum>
  <w:abstractNum w:abstractNumId="20" w15:restartNumberingAfterBreak="0">
    <w:nsid w:val="39A94022"/>
    <w:multiLevelType w:val="multilevel"/>
    <w:tmpl w:val="2A6491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9AC4C35"/>
    <w:multiLevelType w:val="multilevel"/>
    <w:tmpl w:val="B62AD75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9B21281"/>
    <w:multiLevelType w:val="multilevel"/>
    <w:tmpl w:val="412A465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DE07F3A"/>
    <w:multiLevelType w:val="hybridMultilevel"/>
    <w:tmpl w:val="3EAA6476"/>
    <w:lvl w:ilvl="0" w:tplc="9DDA3F20">
      <w:numFmt w:val="bullet"/>
      <w:lvlText w:val="-"/>
      <w:lvlJc w:val="left"/>
      <w:pPr>
        <w:ind w:left="720" w:hanging="360"/>
      </w:pPr>
      <w:rPr>
        <w:rFonts w:ascii="Calibri" w:eastAsiaTheme="minorHAns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4" w15:restartNumberingAfterBreak="0">
    <w:nsid w:val="3F847391"/>
    <w:multiLevelType w:val="multilevel"/>
    <w:tmpl w:val="8A962B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FC11F14"/>
    <w:multiLevelType w:val="hybridMultilevel"/>
    <w:tmpl w:val="D2802AC0"/>
    <w:lvl w:ilvl="0" w:tplc="833AC21C">
      <w:start w:val="1"/>
      <w:numFmt w:val="bullet"/>
      <w:lvlText w:val=""/>
      <w:lvlJc w:val="left"/>
      <w:pPr>
        <w:ind w:left="1440" w:hanging="360"/>
      </w:pPr>
      <w:rPr>
        <w:rFonts w:ascii="Symbol" w:hAnsi="Symbol"/>
      </w:rPr>
    </w:lvl>
    <w:lvl w:ilvl="1" w:tplc="2EB099CA">
      <w:start w:val="1"/>
      <w:numFmt w:val="bullet"/>
      <w:lvlText w:val=""/>
      <w:lvlJc w:val="left"/>
      <w:pPr>
        <w:ind w:left="1440" w:hanging="360"/>
      </w:pPr>
      <w:rPr>
        <w:rFonts w:ascii="Symbol" w:hAnsi="Symbol"/>
      </w:rPr>
    </w:lvl>
    <w:lvl w:ilvl="2" w:tplc="7C289D7A">
      <w:start w:val="1"/>
      <w:numFmt w:val="bullet"/>
      <w:lvlText w:val=""/>
      <w:lvlJc w:val="left"/>
      <w:pPr>
        <w:ind w:left="1440" w:hanging="360"/>
      </w:pPr>
      <w:rPr>
        <w:rFonts w:ascii="Symbol" w:hAnsi="Symbol"/>
      </w:rPr>
    </w:lvl>
    <w:lvl w:ilvl="3" w:tplc="DC52F9C8">
      <w:start w:val="1"/>
      <w:numFmt w:val="bullet"/>
      <w:lvlText w:val=""/>
      <w:lvlJc w:val="left"/>
      <w:pPr>
        <w:ind w:left="1440" w:hanging="360"/>
      </w:pPr>
      <w:rPr>
        <w:rFonts w:ascii="Symbol" w:hAnsi="Symbol"/>
      </w:rPr>
    </w:lvl>
    <w:lvl w:ilvl="4" w:tplc="F2C07A40">
      <w:start w:val="1"/>
      <w:numFmt w:val="bullet"/>
      <w:lvlText w:val=""/>
      <w:lvlJc w:val="left"/>
      <w:pPr>
        <w:ind w:left="1440" w:hanging="360"/>
      </w:pPr>
      <w:rPr>
        <w:rFonts w:ascii="Symbol" w:hAnsi="Symbol"/>
      </w:rPr>
    </w:lvl>
    <w:lvl w:ilvl="5" w:tplc="7E2E3CC8">
      <w:start w:val="1"/>
      <w:numFmt w:val="bullet"/>
      <w:lvlText w:val=""/>
      <w:lvlJc w:val="left"/>
      <w:pPr>
        <w:ind w:left="1440" w:hanging="360"/>
      </w:pPr>
      <w:rPr>
        <w:rFonts w:ascii="Symbol" w:hAnsi="Symbol"/>
      </w:rPr>
    </w:lvl>
    <w:lvl w:ilvl="6" w:tplc="40C8A7F6">
      <w:start w:val="1"/>
      <w:numFmt w:val="bullet"/>
      <w:lvlText w:val=""/>
      <w:lvlJc w:val="left"/>
      <w:pPr>
        <w:ind w:left="1440" w:hanging="360"/>
      </w:pPr>
      <w:rPr>
        <w:rFonts w:ascii="Symbol" w:hAnsi="Symbol"/>
      </w:rPr>
    </w:lvl>
    <w:lvl w:ilvl="7" w:tplc="300201DE">
      <w:start w:val="1"/>
      <w:numFmt w:val="bullet"/>
      <w:lvlText w:val=""/>
      <w:lvlJc w:val="left"/>
      <w:pPr>
        <w:ind w:left="1440" w:hanging="360"/>
      </w:pPr>
      <w:rPr>
        <w:rFonts w:ascii="Symbol" w:hAnsi="Symbol"/>
      </w:rPr>
    </w:lvl>
    <w:lvl w:ilvl="8" w:tplc="F5401D9E">
      <w:start w:val="1"/>
      <w:numFmt w:val="bullet"/>
      <w:lvlText w:val=""/>
      <w:lvlJc w:val="left"/>
      <w:pPr>
        <w:ind w:left="1440" w:hanging="360"/>
      </w:pPr>
      <w:rPr>
        <w:rFonts w:ascii="Symbol" w:hAnsi="Symbol"/>
      </w:rPr>
    </w:lvl>
  </w:abstractNum>
  <w:abstractNum w:abstractNumId="26" w15:restartNumberingAfterBreak="0">
    <w:nsid w:val="42FD19F6"/>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644B68"/>
    <w:multiLevelType w:val="multilevel"/>
    <w:tmpl w:val="206AC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639438E"/>
    <w:multiLevelType w:val="multilevel"/>
    <w:tmpl w:val="6030AC8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74F6E14"/>
    <w:multiLevelType w:val="hybridMultilevel"/>
    <w:tmpl w:val="67AA85F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486509AE"/>
    <w:multiLevelType w:val="hybridMultilevel"/>
    <w:tmpl w:val="F13654BA"/>
    <w:lvl w:ilvl="0" w:tplc="18090001">
      <w:start w:val="1"/>
      <w:numFmt w:val="bullet"/>
      <w:lvlText w:val=""/>
      <w:lvlJc w:val="left"/>
      <w:pPr>
        <w:ind w:left="1202" w:hanging="360"/>
      </w:pPr>
      <w:rPr>
        <w:rFonts w:ascii="Symbol" w:hAnsi="Symbol" w:hint="default"/>
      </w:rPr>
    </w:lvl>
    <w:lvl w:ilvl="1" w:tplc="18090003" w:tentative="1">
      <w:start w:val="1"/>
      <w:numFmt w:val="bullet"/>
      <w:lvlText w:val="o"/>
      <w:lvlJc w:val="left"/>
      <w:pPr>
        <w:ind w:left="1922" w:hanging="360"/>
      </w:pPr>
      <w:rPr>
        <w:rFonts w:ascii="Courier New" w:hAnsi="Courier New" w:cs="Courier New" w:hint="default"/>
      </w:rPr>
    </w:lvl>
    <w:lvl w:ilvl="2" w:tplc="18090005" w:tentative="1">
      <w:start w:val="1"/>
      <w:numFmt w:val="bullet"/>
      <w:lvlText w:val=""/>
      <w:lvlJc w:val="left"/>
      <w:pPr>
        <w:ind w:left="2642" w:hanging="360"/>
      </w:pPr>
      <w:rPr>
        <w:rFonts w:ascii="Wingdings" w:hAnsi="Wingdings" w:hint="default"/>
      </w:rPr>
    </w:lvl>
    <w:lvl w:ilvl="3" w:tplc="18090001" w:tentative="1">
      <w:start w:val="1"/>
      <w:numFmt w:val="bullet"/>
      <w:lvlText w:val=""/>
      <w:lvlJc w:val="left"/>
      <w:pPr>
        <w:ind w:left="3362" w:hanging="360"/>
      </w:pPr>
      <w:rPr>
        <w:rFonts w:ascii="Symbol" w:hAnsi="Symbol" w:hint="default"/>
      </w:rPr>
    </w:lvl>
    <w:lvl w:ilvl="4" w:tplc="18090003" w:tentative="1">
      <w:start w:val="1"/>
      <w:numFmt w:val="bullet"/>
      <w:lvlText w:val="o"/>
      <w:lvlJc w:val="left"/>
      <w:pPr>
        <w:ind w:left="4082" w:hanging="360"/>
      </w:pPr>
      <w:rPr>
        <w:rFonts w:ascii="Courier New" w:hAnsi="Courier New" w:cs="Courier New" w:hint="default"/>
      </w:rPr>
    </w:lvl>
    <w:lvl w:ilvl="5" w:tplc="18090005" w:tentative="1">
      <w:start w:val="1"/>
      <w:numFmt w:val="bullet"/>
      <w:lvlText w:val=""/>
      <w:lvlJc w:val="left"/>
      <w:pPr>
        <w:ind w:left="4802" w:hanging="360"/>
      </w:pPr>
      <w:rPr>
        <w:rFonts w:ascii="Wingdings" w:hAnsi="Wingdings" w:hint="default"/>
      </w:rPr>
    </w:lvl>
    <w:lvl w:ilvl="6" w:tplc="18090001" w:tentative="1">
      <w:start w:val="1"/>
      <w:numFmt w:val="bullet"/>
      <w:lvlText w:val=""/>
      <w:lvlJc w:val="left"/>
      <w:pPr>
        <w:ind w:left="5522" w:hanging="360"/>
      </w:pPr>
      <w:rPr>
        <w:rFonts w:ascii="Symbol" w:hAnsi="Symbol" w:hint="default"/>
      </w:rPr>
    </w:lvl>
    <w:lvl w:ilvl="7" w:tplc="18090003" w:tentative="1">
      <w:start w:val="1"/>
      <w:numFmt w:val="bullet"/>
      <w:lvlText w:val="o"/>
      <w:lvlJc w:val="left"/>
      <w:pPr>
        <w:ind w:left="6242" w:hanging="360"/>
      </w:pPr>
      <w:rPr>
        <w:rFonts w:ascii="Courier New" w:hAnsi="Courier New" w:cs="Courier New" w:hint="default"/>
      </w:rPr>
    </w:lvl>
    <w:lvl w:ilvl="8" w:tplc="18090005" w:tentative="1">
      <w:start w:val="1"/>
      <w:numFmt w:val="bullet"/>
      <w:lvlText w:val=""/>
      <w:lvlJc w:val="left"/>
      <w:pPr>
        <w:ind w:left="6962" w:hanging="360"/>
      </w:pPr>
      <w:rPr>
        <w:rFonts w:ascii="Wingdings" w:hAnsi="Wingdings" w:hint="default"/>
      </w:rPr>
    </w:lvl>
  </w:abstractNum>
  <w:abstractNum w:abstractNumId="31" w15:restartNumberingAfterBreak="0">
    <w:nsid w:val="48EC5204"/>
    <w:multiLevelType w:val="multilevel"/>
    <w:tmpl w:val="FD94D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9A1660F"/>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AB54686"/>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BAC514E"/>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C163A02"/>
    <w:multiLevelType w:val="multilevel"/>
    <w:tmpl w:val="2604CA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D3C3BA9"/>
    <w:multiLevelType w:val="hybridMultilevel"/>
    <w:tmpl w:val="E5FCAE2C"/>
    <w:lvl w:ilvl="0" w:tplc="68E22FC2">
      <w:start w:val="1"/>
      <w:numFmt w:val="bullet"/>
      <w:lvlText w:val=""/>
      <w:lvlJc w:val="left"/>
      <w:pPr>
        <w:ind w:left="1780" w:hanging="360"/>
      </w:pPr>
      <w:rPr>
        <w:rFonts w:ascii="Symbol" w:hAnsi="Symbol"/>
      </w:rPr>
    </w:lvl>
    <w:lvl w:ilvl="1" w:tplc="A3D0EC82">
      <w:start w:val="1"/>
      <w:numFmt w:val="bullet"/>
      <w:lvlText w:val=""/>
      <w:lvlJc w:val="left"/>
      <w:pPr>
        <w:ind w:left="1780" w:hanging="360"/>
      </w:pPr>
      <w:rPr>
        <w:rFonts w:ascii="Symbol" w:hAnsi="Symbol"/>
      </w:rPr>
    </w:lvl>
    <w:lvl w:ilvl="2" w:tplc="B436FF50">
      <w:start w:val="1"/>
      <w:numFmt w:val="bullet"/>
      <w:lvlText w:val=""/>
      <w:lvlJc w:val="left"/>
      <w:pPr>
        <w:ind w:left="1780" w:hanging="360"/>
      </w:pPr>
      <w:rPr>
        <w:rFonts w:ascii="Symbol" w:hAnsi="Symbol"/>
      </w:rPr>
    </w:lvl>
    <w:lvl w:ilvl="3" w:tplc="427E3F2C">
      <w:start w:val="1"/>
      <w:numFmt w:val="bullet"/>
      <w:lvlText w:val=""/>
      <w:lvlJc w:val="left"/>
      <w:pPr>
        <w:ind w:left="1780" w:hanging="360"/>
      </w:pPr>
      <w:rPr>
        <w:rFonts w:ascii="Symbol" w:hAnsi="Symbol"/>
      </w:rPr>
    </w:lvl>
    <w:lvl w:ilvl="4" w:tplc="DCAEC042">
      <w:start w:val="1"/>
      <w:numFmt w:val="bullet"/>
      <w:lvlText w:val=""/>
      <w:lvlJc w:val="left"/>
      <w:pPr>
        <w:ind w:left="1780" w:hanging="360"/>
      </w:pPr>
      <w:rPr>
        <w:rFonts w:ascii="Symbol" w:hAnsi="Symbol"/>
      </w:rPr>
    </w:lvl>
    <w:lvl w:ilvl="5" w:tplc="51A0B7DA">
      <w:start w:val="1"/>
      <w:numFmt w:val="bullet"/>
      <w:lvlText w:val=""/>
      <w:lvlJc w:val="left"/>
      <w:pPr>
        <w:ind w:left="1780" w:hanging="360"/>
      </w:pPr>
      <w:rPr>
        <w:rFonts w:ascii="Symbol" w:hAnsi="Symbol"/>
      </w:rPr>
    </w:lvl>
    <w:lvl w:ilvl="6" w:tplc="D5C69496">
      <w:start w:val="1"/>
      <w:numFmt w:val="bullet"/>
      <w:lvlText w:val=""/>
      <w:lvlJc w:val="left"/>
      <w:pPr>
        <w:ind w:left="1780" w:hanging="360"/>
      </w:pPr>
      <w:rPr>
        <w:rFonts w:ascii="Symbol" w:hAnsi="Symbol"/>
      </w:rPr>
    </w:lvl>
    <w:lvl w:ilvl="7" w:tplc="B034292C">
      <w:start w:val="1"/>
      <w:numFmt w:val="bullet"/>
      <w:lvlText w:val=""/>
      <w:lvlJc w:val="left"/>
      <w:pPr>
        <w:ind w:left="1780" w:hanging="360"/>
      </w:pPr>
      <w:rPr>
        <w:rFonts w:ascii="Symbol" w:hAnsi="Symbol"/>
      </w:rPr>
    </w:lvl>
    <w:lvl w:ilvl="8" w:tplc="002AC438">
      <w:start w:val="1"/>
      <w:numFmt w:val="bullet"/>
      <w:lvlText w:val=""/>
      <w:lvlJc w:val="left"/>
      <w:pPr>
        <w:ind w:left="1780" w:hanging="360"/>
      </w:pPr>
      <w:rPr>
        <w:rFonts w:ascii="Symbol" w:hAnsi="Symbol"/>
      </w:rPr>
    </w:lvl>
  </w:abstractNum>
  <w:abstractNum w:abstractNumId="37" w15:restartNumberingAfterBreak="0">
    <w:nsid w:val="4F8F6D02"/>
    <w:multiLevelType w:val="hybridMultilevel"/>
    <w:tmpl w:val="71EAAA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51160BA1"/>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40C139F"/>
    <w:multiLevelType w:val="hybridMultilevel"/>
    <w:tmpl w:val="CAFA9612"/>
    <w:lvl w:ilvl="0" w:tplc="B5889958">
      <w:start w:val="1"/>
      <w:numFmt w:val="bullet"/>
      <w:lvlText w:val=""/>
      <w:lvlJc w:val="left"/>
      <w:pPr>
        <w:ind w:left="720" w:hanging="360"/>
      </w:pPr>
      <w:rPr>
        <w:rFonts w:ascii="Symbol" w:hAnsi="Symbol"/>
      </w:rPr>
    </w:lvl>
    <w:lvl w:ilvl="1" w:tplc="2F206D76">
      <w:start w:val="1"/>
      <w:numFmt w:val="bullet"/>
      <w:lvlText w:val=""/>
      <w:lvlJc w:val="left"/>
      <w:pPr>
        <w:ind w:left="720" w:hanging="360"/>
      </w:pPr>
      <w:rPr>
        <w:rFonts w:ascii="Symbol" w:hAnsi="Symbol"/>
      </w:rPr>
    </w:lvl>
    <w:lvl w:ilvl="2" w:tplc="B282ADE0">
      <w:start w:val="1"/>
      <w:numFmt w:val="bullet"/>
      <w:lvlText w:val=""/>
      <w:lvlJc w:val="left"/>
      <w:pPr>
        <w:ind w:left="720" w:hanging="360"/>
      </w:pPr>
      <w:rPr>
        <w:rFonts w:ascii="Symbol" w:hAnsi="Symbol"/>
      </w:rPr>
    </w:lvl>
    <w:lvl w:ilvl="3" w:tplc="1856E85A">
      <w:start w:val="1"/>
      <w:numFmt w:val="bullet"/>
      <w:lvlText w:val=""/>
      <w:lvlJc w:val="left"/>
      <w:pPr>
        <w:ind w:left="720" w:hanging="360"/>
      </w:pPr>
      <w:rPr>
        <w:rFonts w:ascii="Symbol" w:hAnsi="Symbol"/>
      </w:rPr>
    </w:lvl>
    <w:lvl w:ilvl="4" w:tplc="810E5556">
      <w:start w:val="1"/>
      <w:numFmt w:val="bullet"/>
      <w:lvlText w:val=""/>
      <w:lvlJc w:val="left"/>
      <w:pPr>
        <w:ind w:left="720" w:hanging="360"/>
      </w:pPr>
      <w:rPr>
        <w:rFonts w:ascii="Symbol" w:hAnsi="Symbol"/>
      </w:rPr>
    </w:lvl>
    <w:lvl w:ilvl="5" w:tplc="4D726534">
      <w:start w:val="1"/>
      <w:numFmt w:val="bullet"/>
      <w:lvlText w:val=""/>
      <w:lvlJc w:val="left"/>
      <w:pPr>
        <w:ind w:left="720" w:hanging="360"/>
      </w:pPr>
      <w:rPr>
        <w:rFonts w:ascii="Symbol" w:hAnsi="Symbol"/>
      </w:rPr>
    </w:lvl>
    <w:lvl w:ilvl="6" w:tplc="DF4618B6">
      <w:start w:val="1"/>
      <w:numFmt w:val="bullet"/>
      <w:lvlText w:val=""/>
      <w:lvlJc w:val="left"/>
      <w:pPr>
        <w:ind w:left="720" w:hanging="360"/>
      </w:pPr>
      <w:rPr>
        <w:rFonts w:ascii="Symbol" w:hAnsi="Symbol"/>
      </w:rPr>
    </w:lvl>
    <w:lvl w:ilvl="7" w:tplc="53B26F2C">
      <w:start w:val="1"/>
      <w:numFmt w:val="bullet"/>
      <w:lvlText w:val=""/>
      <w:lvlJc w:val="left"/>
      <w:pPr>
        <w:ind w:left="720" w:hanging="360"/>
      </w:pPr>
      <w:rPr>
        <w:rFonts w:ascii="Symbol" w:hAnsi="Symbol"/>
      </w:rPr>
    </w:lvl>
    <w:lvl w:ilvl="8" w:tplc="5E30D5F6">
      <w:start w:val="1"/>
      <w:numFmt w:val="bullet"/>
      <w:lvlText w:val=""/>
      <w:lvlJc w:val="left"/>
      <w:pPr>
        <w:ind w:left="720" w:hanging="360"/>
      </w:pPr>
      <w:rPr>
        <w:rFonts w:ascii="Symbol" w:hAnsi="Symbol"/>
      </w:rPr>
    </w:lvl>
  </w:abstractNum>
  <w:abstractNum w:abstractNumId="40" w15:restartNumberingAfterBreak="0">
    <w:nsid w:val="57BF0C26"/>
    <w:multiLevelType w:val="hybridMultilevel"/>
    <w:tmpl w:val="795E7142"/>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8382113"/>
    <w:multiLevelType w:val="multilevel"/>
    <w:tmpl w:val="E9560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96E0B3C"/>
    <w:multiLevelType w:val="multilevel"/>
    <w:tmpl w:val="47C495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9AD178B"/>
    <w:multiLevelType w:val="hybridMultilevel"/>
    <w:tmpl w:val="ED0A398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5E1E6C28"/>
    <w:multiLevelType w:val="hybridMultilevel"/>
    <w:tmpl w:val="31481A7E"/>
    <w:lvl w:ilvl="0" w:tplc="CA441392">
      <w:start w:val="1"/>
      <w:numFmt w:val="bullet"/>
      <w:lvlText w:val=""/>
      <w:lvlJc w:val="left"/>
      <w:pPr>
        <w:ind w:left="1440" w:hanging="360"/>
      </w:pPr>
      <w:rPr>
        <w:rFonts w:ascii="Symbol" w:hAnsi="Symbol"/>
      </w:rPr>
    </w:lvl>
    <w:lvl w:ilvl="1" w:tplc="43603F02">
      <w:start w:val="1"/>
      <w:numFmt w:val="bullet"/>
      <w:lvlText w:val=""/>
      <w:lvlJc w:val="left"/>
      <w:pPr>
        <w:ind w:left="1440" w:hanging="360"/>
      </w:pPr>
      <w:rPr>
        <w:rFonts w:ascii="Symbol" w:hAnsi="Symbol"/>
      </w:rPr>
    </w:lvl>
    <w:lvl w:ilvl="2" w:tplc="878A4A34">
      <w:start w:val="1"/>
      <w:numFmt w:val="bullet"/>
      <w:lvlText w:val=""/>
      <w:lvlJc w:val="left"/>
      <w:pPr>
        <w:ind w:left="1440" w:hanging="360"/>
      </w:pPr>
      <w:rPr>
        <w:rFonts w:ascii="Symbol" w:hAnsi="Symbol"/>
      </w:rPr>
    </w:lvl>
    <w:lvl w:ilvl="3" w:tplc="315E4810">
      <w:start w:val="1"/>
      <w:numFmt w:val="bullet"/>
      <w:lvlText w:val=""/>
      <w:lvlJc w:val="left"/>
      <w:pPr>
        <w:ind w:left="1440" w:hanging="360"/>
      </w:pPr>
      <w:rPr>
        <w:rFonts w:ascii="Symbol" w:hAnsi="Symbol"/>
      </w:rPr>
    </w:lvl>
    <w:lvl w:ilvl="4" w:tplc="23CA48E6">
      <w:start w:val="1"/>
      <w:numFmt w:val="bullet"/>
      <w:lvlText w:val=""/>
      <w:lvlJc w:val="left"/>
      <w:pPr>
        <w:ind w:left="1440" w:hanging="360"/>
      </w:pPr>
      <w:rPr>
        <w:rFonts w:ascii="Symbol" w:hAnsi="Symbol"/>
      </w:rPr>
    </w:lvl>
    <w:lvl w:ilvl="5" w:tplc="EE220BEC">
      <w:start w:val="1"/>
      <w:numFmt w:val="bullet"/>
      <w:lvlText w:val=""/>
      <w:lvlJc w:val="left"/>
      <w:pPr>
        <w:ind w:left="1440" w:hanging="360"/>
      </w:pPr>
      <w:rPr>
        <w:rFonts w:ascii="Symbol" w:hAnsi="Symbol"/>
      </w:rPr>
    </w:lvl>
    <w:lvl w:ilvl="6" w:tplc="D3062440">
      <w:start w:val="1"/>
      <w:numFmt w:val="bullet"/>
      <w:lvlText w:val=""/>
      <w:lvlJc w:val="left"/>
      <w:pPr>
        <w:ind w:left="1440" w:hanging="360"/>
      </w:pPr>
      <w:rPr>
        <w:rFonts w:ascii="Symbol" w:hAnsi="Symbol"/>
      </w:rPr>
    </w:lvl>
    <w:lvl w:ilvl="7" w:tplc="13843606">
      <w:start w:val="1"/>
      <w:numFmt w:val="bullet"/>
      <w:lvlText w:val=""/>
      <w:lvlJc w:val="left"/>
      <w:pPr>
        <w:ind w:left="1440" w:hanging="360"/>
      </w:pPr>
      <w:rPr>
        <w:rFonts w:ascii="Symbol" w:hAnsi="Symbol"/>
      </w:rPr>
    </w:lvl>
    <w:lvl w:ilvl="8" w:tplc="01486AB2">
      <w:start w:val="1"/>
      <w:numFmt w:val="bullet"/>
      <w:lvlText w:val=""/>
      <w:lvlJc w:val="left"/>
      <w:pPr>
        <w:ind w:left="1440" w:hanging="360"/>
      </w:pPr>
      <w:rPr>
        <w:rFonts w:ascii="Symbol" w:hAnsi="Symbol"/>
      </w:rPr>
    </w:lvl>
  </w:abstractNum>
  <w:abstractNum w:abstractNumId="45" w15:restartNumberingAfterBreak="0">
    <w:nsid w:val="608A5C15"/>
    <w:multiLevelType w:val="multilevel"/>
    <w:tmpl w:val="711811DE"/>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6" w15:restartNumberingAfterBreak="0">
    <w:nsid w:val="60F3258F"/>
    <w:multiLevelType w:val="hybridMultilevel"/>
    <w:tmpl w:val="0962434E"/>
    <w:lvl w:ilvl="0" w:tplc="1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 w15:restartNumberingAfterBreak="0">
    <w:nsid w:val="61C21740"/>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2260BF1"/>
    <w:multiLevelType w:val="hybridMultilevel"/>
    <w:tmpl w:val="986C0D6C"/>
    <w:lvl w:ilvl="0" w:tplc="30C2DC86">
      <w:start w:val="1"/>
      <w:numFmt w:val="bullet"/>
      <w:lvlText w:val=""/>
      <w:lvlJc w:val="left"/>
      <w:pPr>
        <w:ind w:left="1440" w:hanging="360"/>
      </w:pPr>
      <w:rPr>
        <w:rFonts w:ascii="Symbol" w:hAnsi="Symbol"/>
      </w:rPr>
    </w:lvl>
    <w:lvl w:ilvl="1" w:tplc="8F8ECBB2">
      <w:start w:val="1"/>
      <w:numFmt w:val="bullet"/>
      <w:lvlText w:val=""/>
      <w:lvlJc w:val="left"/>
      <w:pPr>
        <w:ind w:left="1440" w:hanging="360"/>
      </w:pPr>
      <w:rPr>
        <w:rFonts w:ascii="Symbol" w:hAnsi="Symbol"/>
      </w:rPr>
    </w:lvl>
    <w:lvl w:ilvl="2" w:tplc="F4B2DD48">
      <w:start w:val="1"/>
      <w:numFmt w:val="bullet"/>
      <w:lvlText w:val=""/>
      <w:lvlJc w:val="left"/>
      <w:pPr>
        <w:ind w:left="1440" w:hanging="360"/>
      </w:pPr>
      <w:rPr>
        <w:rFonts w:ascii="Symbol" w:hAnsi="Symbol"/>
      </w:rPr>
    </w:lvl>
    <w:lvl w:ilvl="3" w:tplc="B0ECC5BA">
      <w:start w:val="1"/>
      <w:numFmt w:val="bullet"/>
      <w:lvlText w:val=""/>
      <w:lvlJc w:val="left"/>
      <w:pPr>
        <w:ind w:left="1440" w:hanging="360"/>
      </w:pPr>
      <w:rPr>
        <w:rFonts w:ascii="Symbol" w:hAnsi="Symbol"/>
      </w:rPr>
    </w:lvl>
    <w:lvl w:ilvl="4" w:tplc="252C89B2">
      <w:start w:val="1"/>
      <w:numFmt w:val="bullet"/>
      <w:lvlText w:val=""/>
      <w:lvlJc w:val="left"/>
      <w:pPr>
        <w:ind w:left="1440" w:hanging="360"/>
      </w:pPr>
      <w:rPr>
        <w:rFonts w:ascii="Symbol" w:hAnsi="Symbol"/>
      </w:rPr>
    </w:lvl>
    <w:lvl w:ilvl="5" w:tplc="1A522DC6">
      <w:start w:val="1"/>
      <w:numFmt w:val="bullet"/>
      <w:lvlText w:val=""/>
      <w:lvlJc w:val="left"/>
      <w:pPr>
        <w:ind w:left="1440" w:hanging="360"/>
      </w:pPr>
      <w:rPr>
        <w:rFonts w:ascii="Symbol" w:hAnsi="Symbol"/>
      </w:rPr>
    </w:lvl>
    <w:lvl w:ilvl="6" w:tplc="6AB4DAA2">
      <w:start w:val="1"/>
      <w:numFmt w:val="bullet"/>
      <w:lvlText w:val=""/>
      <w:lvlJc w:val="left"/>
      <w:pPr>
        <w:ind w:left="1440" w:hanging="360"/>
      </w:pPr>
      <w:rPr>
        <w:rFonts w:ascii="Symbol" w:hAnsi="Symbol"/>
      </w:rPr>
    </w:lvl>
    <w:lvl w:ilvl="7" w:tplc="FEA6BAAA">
      <w:start w:val="1"/>
      <w:numFmt w:val="bullet"/>
      <w:lvlText w:val=""/>
      <w:lvlJc w:val="left"/>
      <w:pPr>
        <w:ind w:left="1440" w:hanging="360"/>
      </w:pPr>
      <w:rPr>
        <w:rFonts w:ascii="Symbol" w:hAnsi="Symbol"/>
      </w:rPr>
    </w:lvl>
    <w:lvl w:ilvl="8" w:tplc="7A9C4510">
      <w:start w:val="1"/>
      <w:numFmt w:val="bullet"/>
      <w:lvlText w:val=""/>
      <w:lvlJc w:val="left"/>
      <w:pPr>
        <w:ind w:left="1440" w:hanging="360"/>
      </w:pPr>
      <w:rPr>
        <w:rFonts w:ascii="Symbol" w:hAnsi="Symbol"/>
      </w:rPr>
    </w:lvl>
  </w:abstractNum>
  <w:abstractNum w:abstractNumId="49" w15:restartNumberingAfterBreak="0">
    <w:nsid w:val="64820F3B"/>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66B5C6B"/>
    <w:multiLevelType w:val="hybridMultilevel"/>
    <w:tmpl w:val="6D641952"/>
    <w:lvl w:ilvl="0" w:tplc="BBB6E35E">
      <w:start w:val="1"/>
      <w:numFmt w:val="bullet"/>
      <w:lvlText w:val=""/>
      <w:lvlJc w:val="left"/>
      <w:pPr>
        <w:ind w:left="720" w:hanging="360"/>
      </w:pPr>
      <w:rPr>
        <w:rFonts w:ascii="Symbol" w:hAnsi="Symbol"/>
      </w:rPr>
    </w:lvl>
    <w:lvl w:ilvl="1" w:tplc="14E613BA">
      <w:start w:val="1"/>
      <w:numFmt w:val="bullet"/>
      <w:lvlText w:val=""/>
      <w:lvlJc w:val="left"/>
      <w:pPr>
        <w:ind w:left="720" w:hanging="360"/>
      </w:pPr>
      <w:rPr>
        <w:rFonts w:ascii="Symbol" w:hAnsi="Symbol"/>
      </w:rPr>
    </w:lvl>
    <w:lvl w:ilvl="2" w:tplc="3D72A1C8">
      <w:start w:val="1"/>
      <w:numFmt w:val="bullet"/>
      <w:lvlText w:val=""/>
      <w:lvlJc w:val="left"/>
      <w:pPr>
        <w:ind w:left="720" w:hanging="360"/>
      </w:pPr>
      <w:rPr>
        <w:rFonts w:ascii="Symbol" w:hAnsi="Symbol"/>
      </w:rPr>
    </w:lvl>
    <w:lvl w:ilvl="3" w:tplc="1E3EA968">
      <w:start w:val="1"/>
      <w:numFmt w:val="bullet"/>
      <w:lvlText w:val=""/>
      <w:lvlJc w:val="left"/>
      <w:pPr>
        <w:ind w:left="720" w:hanging="360"/>
      </w:pPr>
      <w:rPr>
        <w:rFonts w:ascii="Symbol" w:hAnsi="Symbol"/>
      </w:rPr>
    </w:lvl>
    <w:lvl w:ilvl="4" w:tplc="90CAFD24">
      <w:start w:val="1"/>
      <w:numFmt w:val="bullet"/>
      <w:lvlText w:val=""/>
      <w:lvlJc w:val="left"/>
      <w:pPr>
        <w:ind w:left="720" w:hanging="360"/>
      </w:pPr>
      <w:rPr>
        <w:rFonts w:ascii="Symbol" w:hAnsi="Symbol"/>
      </w:rPr>
    </w:lvl>
    <w:lvl w:ilvl="5" w:tplc="0E705430">
      <w:start w:val="1"/>
      <w:numFmt w:val="bullet"/>
      <w:lvlText w:val=""/>
      <w:lvlJc w:val="left"/>
      <w:pPr>
        <w:ind w:left="720" w:hanging="360"/>
      </w:pPr>
      <w:rPr>
        <w:rFonts w:ascii="Symbol" w:hAnsi="Symbol"/>
      </w:rPr>
    </w:lvl>
    <w:lvl w:ilvl="6" w:tplc="1B4C95B4">
      <w:start w:val="1"/>
      <w:numFmt w:val="bullet"/>
      <w:lvlText w:val=""/>
      <w:lvlJc w:val="left"/>
      <w:pPr>
        <w:ind w:left="720" w:hanging="360"/>
      </w:pPr>
      <w:rPr>
        <w:rFonts w:ascii="Symbol" w:hAnsi="Symbol"/>
      </w:rPr>
    </w:lvl>
    <w:lvl w:ilvl="7" w:tplc="8772860C">
      <w:start w:val="1"/>
      <w:numFmt w:val="bullet"/>
      <w:lvlText w:val=""/>
      <w:lvlJc w:val="left"/>
      <w:pPr>
        <w:ind w:left="720" w:hanging="360"/>
      </w:pPr>
      <w:rPr>
        <w:rFonts w:ascii="Symbol" w:hAnsi="Symbol"/>
      </w:rPr>
    </w:lvl>
    <w:lvl w:ilvl="8" w:tplc="EB56DE96">
      <w:start w:val="1"/>
      <w:numFmt w:val="bullet"/>
      <w:lvlText w:val=""/>
      <w:lvlJc w:val="left"/>
      <w:pPr>
        <w:ind w:left="720" w:hanging="360"/>
      </w:pPr>
      <w:rPr>
        <w:rFonts w:ascii="Symbol" w:hAnsi="Symbol"/>
      </w:rPr>
    </w:lvl>
  </w:abstractNum>
  <w:abstractNum w:abstractNumId="51" w15:restartNumberingAfterBreak="0">
    <w:nsid w:val="66ED4C83"/>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839298A"/>
    <w:multiLevelType w:val="multilevel"/>
    <w:tmpl w:val="B3AC47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B6C53BE"/>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E230169"/>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6F653A52"/>
    <w:multiLevelType w:val="hybridMultilevel"/>
    <w:tmpl w:val="182CA628"/>
    <w:lvl w:ilvl="0" w:tplc="DA2C5A06">
      <w:numFmt w:val="bullet"/>
      <w:lvlText w:val="-"/>
      <w:lvlJc w:val="left"/>
      <w:pPr>
        <w:ind w:left="360" w:hanging="360"/>
      </w:pPr>
      <w:rPr>
        <w:rFonts w:ascii="Times New Roman" w:eastAsia="Times New Roman" w:hAnsi="Times New Roman" w:cs="Times New Roman"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6" w15:restartNumberingAfterBreak="0">
    <w:nsid w:val="6F752763"/>
    <w:multiLevelType w:val="multilevel"/>
    <w:tmpl w:val="853A6E9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1CC7370"/>
    <w:multiLevelType w:val="hybridMultilevel"/>
    <w:tmpl w:val="A47227C8"/>
    <w:lvl w:ilvl="0" w:tplc="B0320138">
      <w:start w:val="1"/>
      <w:numFmt w:val="bullet"/>
      <w:lvlText w:val=""/>
      <w:lvlJc w:val="left"/>
      <w:pPr>
        <w:ind w:left="1780" w:hanging="360"/>
      </w:pPr>
      <w:rPr>
        <w:rFonts w:ascii="Symbol" w:hAnsi="Symbol"/>
      </w:rPr>
    </w:lvl>
    <w:lvl w:ilvl="1" w:tplc="2FCE377E">
      <w:start w:val="1"/>
      <w:numFmt w:val="bullet"/>
      <w:lvlText w:val=""/>
      <w:lvlJc w:val="left"/>
      <w:pPr>
        <w:ind w:left="1780" w:hanging="360"/>
      </w:pPr>
      <w:rPr>
        <w:rFonts w:ascii="Symbol" w:hAnsi="Symbol"/>
      </w:rPr>
    </w:lvl>
    <w:lvl w:ilvl="2" w:tplc="2A7C1A30">
      <w:start w:val="1"/>
      <w:numFmt w:val="bullet"/>
      <w:lvlText w:val=""/>
      <w:lvlJc w:val="left"/>
      <w:pPr>
        <w:ind w:left="1780" w:hanging="360"/>
      </w:pPr>
      <w:rPr>
        <w:rFonts w:ascii="Symbol" w:hAnsi="Symbol"/>
      </w:rPr>
    </w:lvl>
    <w:lvl w:ilvl="3" w:tplc="16D8D48C">
      <w:start w:val="1"/>
      <w:numFmt w:val="bullet"/>
      <w:lvlText w:val=""/>
      <w:lvlJc w:val="left"/>
      <w:pPr>
        <w:ind w:left="1780" w:hanging="360"/>
      </w:pPr>
      <w:rPr>
        <w:rFonts w:ascii="Symbol" w:hAnsi="Symbol"/>
      </w:rPr>
    </w:lvl>
    <w:lvl w:ilvl="4" w:tplc="7C60CE46">
      <w:start w:val="1"/>
      <w:numFmt w:val="bullet"/>
      <w:lvlText w:val=""/>
      <w:lvlJc w:val="left"/>
      <w:pPr>
        <w:ind w:left="1780" w:hanging="360"/>
      </w:pPr>
      <w:rPr>
        <w:rFonts w:ascii="Symbol" w:hAnsi="Symbol"/>
      </w:rPr>
    </w:lvl>
    <w:lvl w:ilvl="5" w:tplc="ED1A8BBE">
      <w:start w:val="1"/>
      <w:numFmt w:val="bullet"/>
      <w:lvlText w:val=""/>
      <w:lvlJc w:val="left"/>
      <w:pPr>
        <w:ind w:left="1780" w:hanging="360"/>
      </w:pPr>
      <w:rPr>
        <w:rFonts w:ascii="Symbol" w:hAnsi="Symbol"/>
      </w:rPr>
    </w:lvl>
    <w:lvl w:ilvl="6" w:tplc="95008466">
      <w:start w:val="1"/>
      <w:numFmt w:val="bullet"/>
      <w:lvlText w:val=""/>
      <w:lvlJc w:val="left"/>
      <w:pPr>
        <w:ind w:left="1780" w:hanging="360"/>
      </w:pPr>
      <w:rPr>
        <w:rFonts w:ascii="Symbol" w:hAnsi="Symbol"/>
      </w:rPr>
    </w:lvl>
    <w:lvl w:ilvl="7" w:tplc="A7E690B2">
      <w:start w:val="1"/>
      <w:numFmt w:val="bullet"/>
      <w:lvlText w:val=""/>
      <w:lvlJc w:val="left"/>
      <w:pPr>
        <w:ind w:left="1780" w:hanging="360"/>
      </w:pPr>
      <w:rPr>
        <w:rFonts w:ascii="Symbol" w:hAnsi="Symbol"/>
      </w:rPr>
    </w:lvl>
    <w:lvl w:ilvl="8" w:tplc="7868A59C">
      <w:start w:val="1"/>
      <w:numFmt w:val="bullet"/>
      <w:lvlText w:val=""/>
      <w:lvlJc w:val="left"/>
      <w:pPr>
        <w:ind w:left="1780" w:hanging="360"/>
      </w:pPr>
      <w:rPr>
        <w:rFonts w:ascii="Symbol" w:hAnsi="Symbol"/>
      </w:rPr>
    </w:lvl>
  </w:abstractNum>
  <w:abstractNum w:abstractNumId="58" w15:restartNumberingAfterBreak="0">
    <w:nsid w:val="72FA3433"/>
    <w:multiLevelType w:val="hybridMultilevel"/>
    <w:tmpl w:val="6496404C"/>
    <w:lvl w:ilvl="0" w:tplc="737CF57E">
      <w:numFmt w:val="bullet"/>
      <w:lvlText w:val="-"/>
      <w:lvlJc w:val="left"/>
      <w:pPr>
        <w:ind w:left="720" w:hanging="360"/>
      </w:pPr>
      <w:rPr>
        <w:rFonts w:ascii="Times New Roman" w:eastAsiaTheme="minorHAnsi" w:hAnsi="Times New Roman" w:cs="Times New Roman" w:hint="default"/>
        <w:u w:val="single"/>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9" w15:restartNumberingAfterBreak="0">
    <w:nsid w:val="744C5F91"/>
    <w:multiLevelType w:val="multilevel"/>
    <w:tmpl w:val="293672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46C1629"/>
    <w:multiLevelType w:val="hybridMultilevel"/>
    <w:tmpl w:val="9202EF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 w15:restartNumberingAfterBreak="0">
    <w:nsid w:val="747460AA"/>
    <w:multiLevelType w:val="multilevel"/>
    <w:tmpl w:val="8C0897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49C4A37"/>
    <w:multiLevelType w:val="hybridMultilevel"/>
    <w:tmpl w:val="DEFA961E"/>
    <w:lvl w:ilvl="0" w:tplc="8FD456CA">
      <w:start w:val="1"/>
      <w:numFmt w:val="bullet"/>
      <w:lvlText w:val=""/>
      <w:lvlJc w:val="left"/>
      <w:pPr>
        <w:ind w:left="720" w:hanging="360"/>
      </w:pPr>
      <w:rPr>
        <w:rFonts w:ascii="Symbol" w:hAnsi="Symbol"/>
      </w:rPr>
    </w:lvl>
    <w:lvl w:ilvl="1" w:tplc="04CEBB6E">
      <w:start w:val="1"/>
      <w:numFmt w:val="bullet"/>
      <w:lvlText w:val=""/>
      <w:lvlJc w:val="left"/>
      <w:pPr>
        <w:ind w:left="720" w:hanging="360"/>
      </w:pPr>
      <w:rPr>
        <w:rFonts w:ascii="Symbol" w:hAnsi="Symbol"/>
      </w:rPr>
    </w:lvl>
    <w:lvl w:ilvl="2" w:tplc="E6920A22">
      <w:start w:val="1"/>
      <w:numFmt w:val="bullet"/>
      <w:lvlText w:val=""/>
      <w:lvlJc w:val="left"/>
      <w:pPr>
        <w:ind w:left="720" w:hanging="360"/>
      </w:pPr>
      <w:rPr>
        <w:rFonts w:ascii="Symbol" w:hAnsi="Symbol"/>
      </w:rPr>
    </w:lvl>
    <w:lvl w:ilvl="3" w:tplc="2A06B4B4">
      <w:start w:val="1"/>
      <w:numFmt w:val="bullet"/>
      <w:lvlText w:val=""/>
      <w:lvlJc w:val="left"/>
      <w:pPr>
        <w:ind w:left="720" w:hanging="360"/>
      </w:pPr>
      <w:rPr>
        <w:rFonts w:ascii="Symbol" w:hAnsi="Symbol"/>
      </w:rPr>
    </w:lvl>
    <w:lvl w:ilvl="4" w:tplc="E4BE0588">
      <w:start w:val="1"/>
      <w:numFmt w:val="bullet"/>
      <w:lvlText w:val=""/>
      <w:lvlJc w:val="left"/>
      <w:pPr>
        <w:ind w:left="720" w:hanging="360"/>
      </w:pPr>
      <w:rPr>
        <w:rFonts w:ascii="Symbol" w:hAnsi="Symbol"/>
      </w:rPr>
    </w:lvl>
    <w:lvl w:ilvl="5" w:tplc="81AAF516">
      <w:start w:val="1"/>
      <w:numFmt w:val="bullet"/>
      <w:lvlText w:val=""/>
      <w:lvlJc w:val="left"/>
      <w:pPr>
        <w:ind w:left="720" w:hanging="360"/>
      </w:pPr>
      <w:rPr>
        <w:rFonts w:ascii="Symbol" w:hAnsi="Symbol"/>
      </w:rPr>
    </w:lvl>
    <w:lvl w:ilvl="6" w:tplc="D4A8D962">
      <w:start w:val="1"/>
      <w:numFmt w:val="bullet"/>
      <w:lvlText w:val=""/>
      <w:lvlJc w:val="left"/>
      <w:pPr>
        <w:ind w:left="720" w:hanging="360"/>
      </w:pPr>
      <w:rPr>
        <w:rFonts w:ascii="Symbol" w:hAnsi="Symbol"/>
      </w:rPr>
    </w:lvl>
    <w:lvl w:ilvl="7" w:tplc="2FD0C322">
      <w:start w:val="1"/>
      <w:numFmt w:val="bullet"/>
      <w:lvlText w:val=""/>
      <w:lvlJc w:val="left"/>
      <w:pPr>
        <w:ind w:left="720" w:hanging="360"/>
      </w:pPr>
      <w:rPr>
        <w:rFonts w:ascii="Symbol" w:hAnsi="Symbol"/>
      </w:rPr>
    </w:lvl>
    <w:lvl w:ilvl="8" w:tplc="6316B8B8">
      <w:start w:val="1"/>
      <w:numFmt w:val="bullet"/>
      <w:lvlText w:val=""/>
      <w:lvlJc w:val="left"/>
      <w:pPr>
        <w:ind w:left="720" w:hanging="360"/>
      </w:pPr>
      <w:rPr>
        <w:rFonts w:ascii="Symbol" w:hAnsi="Symbol"/>
      </w:rPr>
    </w:lvl>
  </w:abstractNum>
  <w:abstractNum w:abstractNumId="63" w15:restartNumberingAfterBreak="0">
    <w:nsid w:val="79243CA2"/>
    <w:multiLevelType w:val="multilevel"/>
    <w:tmpl w:val="D26E3F9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7AAC736E"/>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7C824D80"/>
    <w:multiLevelType w:val="multilevel"/>
    <w:tmpl w:val="C106A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D207868"/>
    <w:multiLevelType w:val="hybridMultilevel"/>
    <w:tmpl w:val="ECF0515E"/>
    <w:lvl w:ilvl="0" w:tplc="F05EE8B0">
      <w:start w:val="1"/>
      <w:numFmt w:val="bullet"/>
      <w:lvlText w:val=""/>
      <w:lvlJc w:val="left"/>
      <w:pPr>
        <w:ind w:left="720" w:hanging="360"/>
      </w:pPr>
      <w:rPr>
        <w:rFonts w:ascii="Symbol" w:hAnsi="Symbol"/>
      </w:rPr>
    </w:lvl>
    <w:lvl w:ilvl="1" w:tplc="532411DA">
      <w:start w:val="1"/>
      <w:numFmt w:val="bullet"/>
      <w:lvlText w:val=""/>
      <w:lvlJc w:val="left"/>
      <w:pPr>
        <w:ind w:left="720" w:hanging="360"/>
      </w:pPr>
      <w:rPr>
        <w:rFonts w:ascii="Symbol" w:hAnsi="Symbol"/>
      </w:rPr>
    </w:lvl>
    <w:lvl w:ilvl="2" w:tplc="519415D6">
      <w:start w:val="1"/>
      <w:numFmt w:val="bullet"/>
      <w:lvlText w:val=""/>
      <w:lvlJc w:val="left"/>
      <w:pPr>
        <w:ind w:left="720" w:hanging="360"/>
      </w:pPr>
      <w:rPr>
        <w:rFonts w:ascii="Symbol" w:hAnsi="Symbol"/>
      </w:rPr>
    </w:lvl>
    <w:lvl w:ilvl="3" w:tplc="2F04F1B6">
      <w:start w:val="1"/>
      <w:numFmt w:val="bullet"/>
      <w:lvlText w:val=""/>
      <w:lvlJc w:val="left"/>
      <w:pPr>
        <w:ind w:left="720" w:hanging="360"/>
      </w:pPr>
      <w:rPr>
        <w:rFonts w:ascii="Symbol" w:hAnsi="Symbol"/>
      </w:rPr>
    </w:lvl>
    <w:lvl w:ilvl="4" w:tplc="69A43C62">
      <w:start w:val="1"/>
      <w:numFmt w:val="bullet"/>
      <w:lvlText w:val=""/>
      <w:lvlJc w:val="left"/>
      <w:pPr>
        <w:ind w:left="720" w:hanging="360"/>
      </w:pPr>
      <w:rPr>
        <w:rFonts w:ascii="Symbol" w:hAnsi="Symbol"/>
      </w:rPr>
    </w:lvl>
    <w:lvl w:ilvl="5" w:tplc="C55CD730">
      <w:start w:val="1"/>
      <w:numFmt w:val="bullet"/>
      <w:lvlText w:val=""/>
      <w:lvlJc w:val="left"/>
      <w:pPr>
        <w:ind w:left="720" w:hanging="360"/>
      </w:pPr>
      <w:rPr>
        <w:rFonts w:ascii="Symbol" w:hAnsi="Symbol"/>
      </w:rPr>
    </w:lvl>
    <w:lvl w:ilvl="6" w:tplc="F8FA3D6E">
      <w:start w:val="1"/>
      <w:numFmt w:val="bullet"/>
      <w:lvlText w:val=""/>
      <w:lvlJc w:val="left"/>
      <w:pPr>
        <w:ind w:left="720" w:hanging="360"/>
      </w:pPr>
      <w:rPr>
        <w:rFonts w:ascii="Symbol" w:hAnsi="Symbol"/>
      </w:rPr>
    </w:lvl>
    <w:lvl w:ilvl="7" w:tplc="0FD60396">
      <w:start w:val="1"/>
      <w:numFmt w:val="bullet"/>
      <w:lvlText w:val=""/>
      <w:lvlJc w:val="left"/>
      <w:pPr>
        <w:ind w:left="720" w:hanging="360"/>
      </w:pPr>
      <w:rPr>
        <w:rFonts w:ascii="Symbol" w:hAnsi="Symbol"/>
      </w:rPr>
    </w:lvl>
    <w:lvl w:ilvl="8" w:tplc="E498385A">
      <w:start w:val="1"/>
      <w:numFmt w:val="bullet"/>
      <w:lvlText w:val=""/>
      <w:lvlJc w:val="left"/>
      <w:pPr>
        <w:ind w:left="720" w:hanging="360"/>
      </w:pPr>
      <w:rPr>
        <w:rFonts w:ascii="Symbol" w:hAnsi="Symbol"/>
      </w:rPr>
    </w:lvl>
  </w:abstractNum>
  <w:abstractNum w:abstractNumId="67" w15:restartNumberingAfterBreak="0">
    <w:nsid w:val="7FCB61CA"/>
    <w:multiLevelType w:val="multilevel"/>
    <w:tmpl w:val="379A7796"/>
    <w:lvl w:ilvl="0">
      <w:start w:val="1"/>
      <w:numFmt w:val="decimal"/>
      <w:lvlText w:val="%1."/>
      <w:lvlJc w:val="left"/>
      <w:pPr>
        <w:ind w:left="360" w:hanging="360"/>
      </w:pPr>
    </w:lvl>
    <w:lvl w:ilvl="1">
      <w:start w:val="1"/>
      <w:numFmt w:val="decimal"/>
      <w:pStyle w:val="Heading2"/>
      <w:lvlText w:val="%1.%2."/>
      <w:lvlJc w:val="left"/>
      <w:pPr>
        <w:ind w:left="1566"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7"/>
  </w:num>
  <w:num w:numId="2">
    <w:abstractNumId w:val="57"/>
  </w:num>
  <w:num w:numId="3">
    <w:abstractNumId w:val="11"/>
  </w:num>
  <w:num w:numId="4">
    <w:abstractNumId w:val="36"/>
  </w:num>
  <w:num w:numId="5">
    <w:abstractNumId w:val="19"/>
  </w:num>
  <w:num w:numId="6">
    <w:abstractNumId w:val="25"/>
  </w:num>
  <w:num w:numId="7">
    <w:abstractNumId w:val="44"/>
  </w:num>
  <w:num w:numId="8">
    <w:abstractNumId w:val="48"/>
  </w:num>
  <w:num w:numId="9">
    <w:abstractNumId w:val="30"/>
  </w:num>
  <w:num w:numId="10">
    <w:abstractNumId w:val="27"/>
  </w:num>
  <w:num w:numId="11">
    <w:abstractNumId w:val="20"/>
  </w:num>
  <w:num w:numId="12">
    <w:abstractNumId w:val="42"/>
  </w:num>
  <w:num w:numId="13">
    <w:abstractNumId w:val="52"/>
  </w:num>
  <w:num w:numId="14">
    <w:abstractNumId w:val="56"/>
  </w:num>
  <w:num w:numId="15">
    <w:abstractNumId w:val="8"/>
  </w:num>
  <w:num w:numId="16">
    <w:abstractNumId w:val="7"/>
  </w:num>
  <w:num w:numId="17">
    <w:abstractNumId w:val="0"/>
  </w:num>
  <w:num w:numId="18">
    <w:abstractNumId w:val="3"/>
  </w:num>
  <w:num w:numId="19">
    <w:abstractNumId w:val="49"/>
  </w:num>
  <w:num w:numId="20">
    <w:abstractNumId w:val="14"/>
  </w:num>
  <w:num w:numId="21">
    <w:abstractNumId w:val="35"/>
  </w:num>
  <w:num w:numId="22">
    <w:abstractNumId w:val="59"/>
  </w:num>
  <w:num w:numId="23">
    <w:abstractNumId w:val="24"/>
  </w:num>
  <w:num w:numId="24">
    <w:abstractNumId w:val="22"/>
  </w:num>
  <w:num w:numId="25">
    <w:abstractNumId w:val="17"/>
  </w:num>
  <w:num w:numId="26">
    <w:abstractNumId w:val="65"/>
  </w:num>
  <w:num w:numId="27">
    <w:abstractNumId w:val="45"/>
  </w:num>
  <w:num w:numId="28">
    <w:abstractNumId w:val="41"/>
  </w:num>
  <w:num w:numId="29">
    <w:abstractNumId w:val="31"/>
  </w:num>
  <w:num w:numId="30">
    <w:abstractNumId w:val="53"/>
  </w:num>
  <w:num w:numId="31">
    <w:abstractNumId w:val="26"/>
  </w:num>
  <w:num w:numId="32">
    <w:abstractNumId w:val="51"/>
  </w:num>
  <w:num w:numId="33">
    <w:abstractNumId w:val="29"/>
  </w:num>
  <w:num w:numId="34">
    <w:abstractNumId w:val="61"/>
  </w:num>
  <w:num w:numId="35">
    <w:abstractNumId w:val="6"/>
  </w:num>
  <w:num w:numId="36">
    <w:abstractNumId w:val="64"/>
  </w:num>
  <w:num w:numId="37">
    <w:abstractNumId w:val="32"/>
  </w:num>
  <w:num w:numId="38">
    <w:abstractNumId w:val="38"/>
  </w:num>
  <w:num w:numId="39">
    <w:abstractNumId w:val="54"/>
  </w:num>
  <w:num w:numId="40">
    <w:abstractNumId w:val="1"/>
  </w:num>
  <w:num w:numId="41">
    <w:abstractNumId w:val="34"/>
  </w:num>
  <w:num w:numId="42">
    <w:abstractNumId w:val="47"/>
  </w:num>
  <w:num w:numId="43">
    <w:abstractNumId w:val="13"/>
  </w:num>
  <w:num w:numId="44">
    <w:abstractNumId w:val="33"/>
  </w:num>
  <w:num w:numId="45">
    <w:abstractNumId w:val="5"/>
  </w:num>
  <w:num w:numId="46">
    <w:abstractNumId w:val="28"/>
  </w:num>
  <w:num w:numId="47">
    <w:abstractNumId w:val="43"/>
  </w:num>
  <w:num w:numId="48">
    <w:abstractNumId w:val="40"/>
  </w:num>
  <w:num w:numId="49">
    <w:abstractNumId w:val="60"/>
  </w:num>
  <w:num w:numId="50">
    <w:abstractNumId w:val="2"/>
  </w:num>
  <w:num w:numId="51">
    <w:abstractNumId w:val="9"/>
  </w:num>
  <w:num w:numId="52">
    <w:abstractNumId w:val="37"/>
  </w:num>
  <w:num w:numId="53">
    <w:abstractNumId w:val="63"/>
  </w:num>
  <w:num w:numId="54">
    <w:abstractNumId w:val="12"/>
  </w:num>
  <w:num w:numId="55">
    <w:abstractNumId w:val="21"/>
  </w:num>
  <w:num w:numId="56">
    <w:abstractNumId w:val="15"/>
  </w:num>
  <w:num w:numId="57">
    <w:abstractNumId w:val="58"/>
  </w:num>
  <w:num w:numId="58">
    <w:abstractNumId w:val="46"/>
  </w:num>
  <w:num w:numId="59">
    <w:abstractNumId w:val="10"/>
  </w:num>
  <w:num w:numId="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6"/>
  </w:num>
  <w:num w:numId="62">
    <w:abstractNumId w:val="62"/>
  </w:num>
  <w:num w:numId="63">
    <w:abstractNumId w:val="23"/>
  </w:num>
  <w:num w:numId="64">
    <w:abstractNumId w:val="4"/>
  </w:num>
  <w:num w:numId="65">
    <w:abstractNumId w:val="55"/>
  </w:num>
  <w:num w:numId="66">
    <w:abstractNumId w:val="18"/>
  </w:num>
  <w:num w:numId="67">
    <w:abstractNumId w:val="16"/>
  </w:num>
  <w:num w:numId="68">
    <w:abstractNumId w:val="16"/>
  </w:num>
  <w:num w:numId="69">
    <w:abstractNumId w:val="50"/>
  </w:num>
  <w:num w:numId="70">
    <w:abstractNumId w:val="3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hideSpellingErrors/>
  <w:hideGrammaticalErrors/>
  <w:revisionView w:markup="0"/>
  <w:documentProtection w:edit="readOnly" w:enforcement="0"/>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LW_ACCOMPAGNANT.CP" w:val="&lt;UNUSED&gt;"/>
    <w:docVar w:name="LW_CORRIGENDUM" w:val="&lt;UNUSED&gt;"/>
    <w:docVar w:name="LW_COVERPAGE_EXISTS" w:val="True"/>
    <w:docVar w:name="LW_COVERPAGE_GUID" w:val="A61CC615-9C9E-40B8-87CC-11732FB32411"/>
    <w:docVar w:name="LW_COVERPAGE_TYPE" w:val="1"/>
    <w:docVar w:name="LW_CROSSREFERENCE" w:val="&lt;UNUSED&gt;"/>
    <w:docVar w:name="LW_DATE.ADOPT.CP_ISODATE" w:val="&lt;EMPTY&gt;"/>
    <w:docVar w:name="LW_DocType" w:val="NORMAL"/>
    <w:docVar w:name="LW_EMISSION" w:val="12.3.2024"/>
    <w:docVar w:name="LW_EMISSION_ISODATE" w:val="2024-03-12"/>
    <w:docVar w:name="LW_EMISSION_LOCATION" w:val="STR"/>
    <w:docVar w:name="LW_EMISSION_PREFIX" w:val="Strasbourg, "/>
    <w:docVar w:name="LW_EMISSION_SUFFIX" w:val=" "/>
    <w:docVar w:name="LW_ID_DOCTYPE_NONLW" w:val="CP-014"/>
    <w:docVar w:name="LW_INTERETEEE.CP" w:val="&lt;UNUSED&gt;"/>
    <w:docVar w:name="LW_LANGUE" w:val="GA"/>
    <w:docVar w:name="LW_LANGUESFAISANTFOI.CP" w:val="&lt;UNUSED&gt;"/>
    <w:docVar w:name="LW_LEVEL_OF_SENSITIVITY" w:val="Standard treatment"/>
    <w:docVar w:name="LW_NOM.INST" w:val="AN COIMISIÚN EORPACH"/>
    <w:docVar w:name="LW_NOM.INST_JOINTDOC" w:val="&lt;EMPTY&gt;"/>
    <w:docVar w:name="LW_OBJETACTEPRINCIPAL.CP" w:val="&lt;UNUSED&gt;"/>
    <w:docVar w:name="LW_PART_NBR" w:val="1"/>
    <w:docVar w:name="LW_PART_NBR_TOTAL" w:val="1"/>
    <w:docVar w:name="LW_REF.II.NEW.CP" w:val="&lt;UNUSED&gt;"/>
    <w:docVar w:name="LW_REF.II.NEW.CP_NUMBER" w:val="&lt;UNUSED&gt;"/>
    <w:docVar w:name="LW_REF.II.NEW.CP_YEAR" w:val="2024"/>
    <w:docVar w:name="LW_REF.INST.NEW" w:val="COM"/>
    <w:docVar w:name="LW_REF.INST.NEW_ADOPTED" w:val="final"/>
    <w:docVar w:name="LW_REF.INST.NEW_TEXT" w:val="(2024) 9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Rioscaí aeráide a bhainistiú \u8212? daoine agus rathúnas a chosaint"/>
    <w:docVar w:name="LW_TYPE.DOC.CP" w:val="TEACHTAIREACHT ÓN gCOIMISIÚN CHUIG PARLAIMINT NA hEORPA, CHUIG AN gCOMHAIRLE, CHUIG COISTE EACNAMAÍOCH AGUS SÓISIALTA NA hEORPA AGUS CHUIG COISTE NA RÉIGIÚN"/>
    <w:docVar w:name="LW_TYPE.DOC.CP.USERTEXT" w:val="TEACHTAIREACHT ÓN gCOIMISIÚN CHUIG PARLAIMINT NA hEORPA, CHUIG AN gCOMHAIRLE, CHUIG COISTE EACNAMAÍOCH AGUS SÓISIALTA NA hEORPA AGUS CHUIG COISTE NA RÉIGIÚN"/>
    <w:docVar w:name="LW_TYPEACTEPRINCIPAL.CP" w:val="&lt;UNUSED&gt;"/>
    <w:docVar w:name="LwApiVersions" w:val="LW4CoDe 1.24.5.0; LW 9.0, Build 20240221"/>
  </w:docVars>
  <w:rsids>
    <w:rsidRoot w:val="0053389F"/>
    <w:rsid w:val="00000066"/>
    <w:rsid w:val="00000455"/>
    <w:rsid w:val="000005EC"/>
    <w:rsid w:val="000008B7"/>
    <w:rsid w:val="0000095D"/>
    <w:rsid w:val="0000096D"/>
    <w:rsid w:val="000009B7"/>
    <w:rsid w:val="00000A80"/>
    <w:rsid w:val="0000104D"/>
    <w:rsid w:val="000012FA"/>
    <w:rsid w:val="000013CC"/>
    <w:rsid w:val="0000165B"/>
    <w:rsid w:val="0000173F"/>
    <w:rsid w:val="00001819"/>
    <w:rsid w:val="0000187B"/>
    <w:rsid w:val="00001CE7"/>
    <w:rsid w:val="00001CF8"/>
    <w:rsid w:val="00001DEC"/>
    <w:rsid w:val="00001E5A"/>
    <w:rsid w:val="00001EB2"/>
    <w:rsid w:val="00001ED4"/>
    <w:rsid w:val="000022DA"/>
    <w:rsid w:val="00002309"/>
    <w:rsid w:val="000023F2"/>
    <w:rsid w:val="000024B5"/>
    <w:rsid w:val="0000254B"/>
    <w:rsid w:val="0000259A"/>
    <w:rsid w:val="00002703"/>
    <w:rsid w:val="00002735"/>
    <w:rsid w:val="00002B07"/>
    <w:rsid w:val="00002B52"/>
    <w:rsid w:val="00002B56"/>
    <w:rsid w:val="00002C91"/>
    <w:rsid w:val="00002F4F"/>
    <w:rsid w:val="0000334C"/>
    <w:rsid w:val="0000341B"/>
    <w:rsid w:val="00003592"/>
    <w:rsid w:val="0000375A"/>
    <w:rsid w:val="000037DF"/>
    <w:rsid w:val="000038FC"/>
    <w:rsid w:val="00003B97"/>
    <w:rsid w:val="00003C18"/>
    <w:rsid w:val="00003C5B"/>
    <w:rsid w:val="00003CA6"/>
    <w:rsid w:val="00003CD2"/>
    <w:rsid w:val="000040FA"/>
    <w:rsid w:val="00004170"/>
    <w:rsid w:val="000041CA"/>
    <w:rsid w:val="0000428B"/>
    <w:rsid w:val="000042E8"/>
    <w:rsid w:val="00004536"/>
    <w:rsid w:val="00004609"/>
    <w:rsid w:val="00004616"/>
    <w:rsid w:val="00004847"/>
    <w:rsid w:val="00004879"/>
    <w:rsid w:val="00004C19"/>
    <w:rsid w:val="00004FEE"/>
    <w:rsid w:val="0000549D"/>
    <w:rsid w:val="0000554F"/>
    <w:rsid w:val="00005789"/>
    <w:rsid w:val="00005898"/>
    <w:rsid w:val="0000599C"/>
    <w:rsid w:val="00005A2F"/>
    <w:rsid w:val="00005B11"/>
    <w:rsid w:val="00005C39"/>
    <w:rsid w:val="0000602C"/>
    <w:rsid w:val="00006080"/>
    <w:rsid w:val="000060E5"/>
    <w:rsid w:val="00006220"/>
    <w:rsid w:val="0000627B"/>
    <w:rsid w:val="00006337"/>
    <w:rsid w:val="00006463"/>
    <w:rsid w:val="000065AC"/>
    <w:rsid w:val="00006716"/>
    <w:rsid w:val="000067F3"/>
    <w:rsid w:val="0000693C"/>
    <w:rsid w:val="00006D40"/>
    <w:rsid w:val="00007186"/>
    <w:rsid w:val="000072C8"/>
    <w:rsid w:val="00007397"/>
    <w:rsid w:val="000073BB"/>
    <w:rsid w:val="00007528"/>
    <w:rsid w:val="00007718"/>
    <w:rsid w:val="0000772E"/>
    <w:rsid w:val="0000789E"/>
    <w:rsid w:val="000079A8"/>
    <w:rsid w:val="000079AD"/>
    <w:rsid w:val="00007B54"/>
    <w:rsid w:val="00007ED2"/>
    <w:rsid w:val="0001017B"/>
    <w:rsid w:val="00010493"/>
    <w:rsid w:val="0001053E"/>
    <w:rsid w:val="000105AA"/>
    <w:rsid w:val="000105E0"/>
    <w:rsid w:val="0001084E"/>
    <w:rsid w:val="00010BCC"/>
    <w:rsid w:val="00010C38"/>
    <w:rsid w:val="00010E22"/>
    <w:rsid w:val="00010E7B"/>
    <w:rsid w:val="000113BA"/>
    <w:rsid w:val="000113BB"/>
    <w:rsid w:val="000114CF"/>
    <w:rsid w:val="000114DC"/>
    <w:rsid w:val="0001159C"/>
    <w:rsid w:val="000115A7"/>
    <w:rsid w:val="000116A0"/>
    <w:rsid w:val="000117B9"/>
    <w:rsid w:val="00011813"/>
    <w:rsid w:val="00011973"/>
    <w:rsid w:val="00011A71"/>
    <w:rsid w:val="00011DEF"/>
    <w:rsid w:val="00011E39"/>
    <w:rsid w:val="00011F2B"/>
    <w:rsid w:val="00011F99"/>
    <w:rsid w:val="0001222E"/>
    <w:rsid w:val="000123D9"/>
    <w:rsid w:val="00012500"/>
    <w:rsid w:val="000125DD"/>
    <w:rsid w:val="000125F6"/>
    <w:rsid w:val="000128EE"/>
    <w:rsid w:val="00012988"/>
    <w:rsid w:val="000129C9"/>
    <w:rsid w:val="00012AE4"/>
    <w:rsid w:val="00012B0B"/>
    <w:rsid w:val="00012B72"/>
    <w:rsid w:val="00012C81"/>
    <w:rsid w:val="00012D47"/>
    <w:rsid w:val="00012D93"/>
    <w:rsid w:val="00012DC6"/>
    <w:rsid w:val="00012F68"/>
    <w:rsid w:val="00012FAC"/>
    <w:rsid w:val="00013133"/>
    <w:rsid w:val="000135BA"/>
    <w:rsid w:val="000138A8"/>
    <w:rsid w:val="00013A3F"/>
    <w:rsid w:val="00013C11"/>
    <w:rsid w:val="00013DDB"/>
    <w:rsid w:val="00013E15"/>
    <w:rsid w:val="00013EAF"/>
    <w:rsid w:val="0001450F"/>
    <w:rsid w:val="000145B6"/>
    <w:rsid w:val="00014617"/>
    <w:rsid w:val="000147C5"/>
    <w:rsid w:val="00014841"/>
    <w:rsid w:val="000149EE"/>
    <w:rsid w:val="00014A4F"/>
    <w:rsid w:val="00014BAC"/>
    <w:rsid w:val="00014D4A"/>
    <w:rsid w:val="000152F0"/>
    <w:rsid w:val="0001579C"/>
    <w:rsid w:val="0001581E"/>
    <w:rsid w:val="00015E38"/>
    <w:rsid w:val="000160C9"/>
    <w:rsid w:val="00016212"/>
    <w:rsid w:val="000162D3"/>
    <w:rsid w:val="00016421"/>
    <w:rsid w:val="000167E8"/>
    <w:rsid w:val="00016E48"/>
    <w:rsid w:val="00016F15"/>
    <w:rsid w:val="00017346"/>
    <w:rsid w:val="0001735A"/>
    <w:rsid w:val="0001735C"/>
    <w:rsid w:val="000173E5"/>
    <w:rsid w:val="0001744F"/>
    <w:rsid w:val="000175CC"/>
    <w:rsid w:val="00017C82"/>
    <w:rsid w:val="00017CFD"/>
    <w:rsid w:val="00017E7F"/>
    <w:rsid w:val="00017FA4"/>
    <w:rsid w:val="000200FC"/>
    <w:rsid w:val="0002021B"/>
    <w:rsid w:val="000202D7"/>
    <w:rsid w:val="00020367"/>
    <w:rsid w:val="00020567"/>
    <w:rsid w:val="00020588"/>
    <w:rsid w:val="0002115D"/>
    <w:rsid w:val="0002118F"/>
    <w:rsid w:val="0002122B"/>
    <w:rsid w:val="0002140F"/>
    <w:rsid w:val="00021631"/>
    <w:rsid w:val="00021663"/>
    <w:rsid w:val="000216DC"/>
    <w:rsid w:val="000217EA"/>
    <w:rsid w:val="0002198F"/>
    <w:rsid w:val="00021A06"/>
    <w:rsid w:val="00021B57"/>
    <w:rsid w:val="00021C49"/>
    <w:rsid w:val="00021D45"/>
    <w:rsid w:val="00021D66"/>
    <w:rsid w:val="00021F07"/>
    <w:rsid w:val="00021F9F"/>
    <w:rsid w:val="00022052"/>
    <w:rsid w:val="0002208D"/>
    <w:rsid w:val="00022123"/>
    <w:rsid w:val="000221BB"/>
    <w:rsid w:val="00022431"/>
    <w:rsid w:val="000225D3"/>
    <w:rsid w:val="00022633"/>
    <w:rsid w:val="0002267F"/>
    <w:rsid w:val="000227D1"/>
    <w:rsid w:val="000228C3"/>
    <w:rsid w:val="00022984"/>
    <w:rsid w:val="00022A38"/>
    <w:rsid w:val="00022B16"/>
    <w:rsid w:val="00022B3C"/>
    <w:rsid w:val="0002310F"/>
    <w:rsid w:val="00023153"/>
    <w:rsid w:val="000232F3"/>
    <w:rsid w:val="00023303"/>
    <w:rsid w:val="00023390"/>
    <w:rsid w:val="00023E46"/>
    <w:rsid w:val="00023FCC"/>
    <w:rsid w:val="00024066"/>
    <w:rsid w:val="00024110"/>
    <w:rsid w:val="0002415E"/>
    <w:rsid w:val="000244E5"/>
    <w:rsid w:val="0002475C"/>
    <w:rsid w:val="00024B92"/>
    <w:rsid w:val="00024CF2"/>
    <w:rsid w:val="00024EAA"/>
    <w:rsid w:val="00025099"/>
    <w:rsid w:val="00025166"/>
    <w:rsid w:val="00025168"/>
    <w:rsid w:val="0002528A"/>
    <w:rsid w:val="0002561B"/>
    <w:rsid w:val="000257F3"/>
    <w:rsid w:val="00025931"/>
    <w:rsid w:val="00025A33"/>
    <w:rsid w:val="00025B39"/>
    <w:rsid w:val="00025CF8"/>
    <w:rsid w:val="00025D3A"/>
    <w:rsid w:val="00025E3C"/>
    <w:rsid w:val="00025F0D"/>
    <w:rsid w:val="000260B7"/>
    <w:rsid w:val="0002618D"/>
    <w:rsid w:val="000262C8"/>
    <w:rsid w:val="0002638C"/>
    <w:rsid w:val="0002650A"/>
    <w:rsid w:val="0002651F"/>
    <w:rsid w:val="00026691"/>
    <w:rsid w:val="0002686A"/>
    <w:rsid w:val="0002690E"/>
    <w:rsid w:val="00026A9B"/>
    <w:rsid w:val="00026AC3"/>
    <w:rsid w:val="00026AFC"/>
    <w:rsid w:val="00026AFF"/>
    <w:rsid w:val="00026F51"/>
    <w:rsid w:val="0002702D"/>
    <w:rsid w:val="000275BC"/>
    <w:rsid w:val="00027601"/>
    <w:rsid w:val="00027655"/>
    <w:rsid w:val="0002775F"/>
    <w:rsid w:val="000278E0"/>
    <w:rsid w:val="00027ACE"/>
    <w:rsid w:val="00027C6C"/>
    <w:rsid w:val="00027CD1"/>
    <w:rsid w:val="00027DF7"/>
    <w:rsid w:val="000303B2"/>
    <w:rsid w:val="00030482"/>
    <w:rsid w:val="000305F7"/>
    <w:rsid w:val="0003067E"/>
    <w:rsid w:val="00030800"/>
    <w:rsid w:val="0003082B"/>
    <w:rsid w:val="00030B2B"/>
    <w:rsid w:val="00030BAF"/>
    <w:rsid w:val="00030BE6"/>
    <w:rsid w:val="00030C95"/>
    <w:rsid w:val="00030DAB"/>
    <w:rsid w:val="000310DB"/>
    <w:rsid w:val="00031269"/>
    <w:rsid w:val="00031389"/>
    <w:rsid w:val="00031420"/>
    <w:rsid w:val="00031709"/>
    <w:rsid w:val="00031C4E"/>
    <w:rsid w:val="00031C99"/>
    <w:rsid w:val="00031CCC"/>
    <w:rsid w:val="00031D7F"/>
    <w:rsid w:val="00031D9F"/>
    <w:rsid w:val="0003202F"/>
    <w:rsid w:val="00032096"/>
    <w:rsid w:val="00032669"/>
    <w:rsid w:val="0003276F"/>
    <w:rsid w:val="00032ADC"/>
    <w:rsid w:val="00032C02"/>
    <w:rsid w:val="00032C0D"/>
    <w:rsid w:val="00032C65"/>
    <w:rsid w:val="00032D11"/>
    <w:rsid w:val="00032DB0"/>
    <w:rsid w:val="00032FEE"/>
    <w:rsid w:val="00033756"/>
    <w:rsid w:val="000338F4"/>
    <w:rsid w:val="00033AA4"/>
    <w:rsid w:val="00033CE6"/>
    <w:rsid w:val="00033EA4"/>
    <w:rsid w:val="00033F82"/>
    <w:rsid w:val="00034010"/>
    <w:rsid w:val="000343DF"/>
    <w:rsid w:val="0003457C"/>
    <w:rsid w:val="000346A4"/>
    <w:rsid w:val="0003471B"/>
    <w:rsid w:val="00034853"/>
    <w:rsid w:val="000348B8"/>
    <w:rsid w:val="00034B07"/>
    <w:rsid w:val="00034BD7"/>
    <w:rsid w:val="00034C63"/>
    <w:rsid w:val="00034DD5"/>
    <w:rsid w:val="00034EEC"/>
    <w:rsid w:val="0003504E"/>
    <w:rsid w:val="00035246"/>
    <w:rsid w:val="000352EE"/>
    <w:rsid w:val="000353A7"/>
    <w:rsid w:val="000353E2"/>
    <w:rsid w:val="000355A9"/>
    <w:rsid w:val="00035991"/>
    <w:rsid w:val="00035A49"/>
    <w:rsid w:val="00035BD4"/>
    <w:rsid w:val="00035E05"/>
    <w:rsid w:val="00035E26"/>
    <w:rsid w:val="00035FB6"/>
    <w:rsid w:val="00036035"/>
    <w:rsid w:val="00036181"/>
    <w:rsid w:val="00036C47"/>
    <w:rsid w:val="00036DB2"/>
    <w:rsid w:val="000374E1"/>
    <w:rsid w:val="00037838"/>
    <w:rsid w:val="00037A30"/>
    <w:rsid w:val="00037CD5"/>
    <w:rsid w:val="00037D92"/>
    <w:rsid w:val="00037F7C"/>
    <w:rsid w:val="00037FFE"/>
    <w:rsid w:val="00040039"/>
    <w:rsid w:val="00040260"/>
    <w:rsid w:val="00040539"/>
    <w:rsid w:val="00040652"/>
    <w:rsid w:val="00040BB4"/>
    <w:rsid w:val="00040C6C"/>
    <w:rsid w:val="00040CC6"/>
    <w:rsid w:val="00040E8A"/>
    <w:rsid w:val="00040F07"/>
    <w:rsid w:val="0004109A"/>
    <w:rsid w:val="00041112"/>
    <w:rsid w:val="0004138A"/>
    <w:rsid w:val="000419BB"/>
    <w:rsid w:val="00041A9E"/>
    <w:rsid w:val="00041BEF"/>
    <w:rsid w:val="00041F41"/>
    <w:rsid w:val="000424C2"/>
    <w:rsid w:val="00042935"/>
    <w:rsid w:val="00042936"/>
    <w:rsid w:val="000429AB"/>
    <w:rsid w:val="00042B57"/>
    <w:rsid w:val="00042B60"/>
    <w:rsid w:val="00042CF3"/>
    <w:rsid w:val="00042E44"/>
    <w:rsid w:val="00042FB7"/>
    <w:rsid w:val="00043029"/>
    <w:rsid w:val="000430C3"/>
    <w:rsid w:val="0004357B"/>
    <w:rsid w:val="000435FD"/>
    <w:rsid w:val="000438EF"/>
    <w:rsid w:val="00043BDF"/>
    <w:rsid w:val="00043CAF"/>
    <w:rsid w:val="00043CC4"/>
    <w:rsid w:val="00043CD0"/>
    <w:rsid w:val="000442D2"/>
    <w:rsid w:val="000444E6"/>
    <w:rsid w:val="0004458B"/>
    <w:rsid w:val="0004477D"/>
    <w:rsid w:val="00044BFC"/>
    <w:rsid w:val="00044CB7"/>
    <w:rsid w:val="00044DC7"/>
    <w:rsid w:val="00044FAB"/>
    <w:rsid w:val="000450BC"/>
    <w:rsid w:val="000452AD"/>
    <w:rsid w:val="00045390"/>
    <w:rsid w:val="0004542D"/>
    <w:rsid w:val="00045478"/>
    <w:rsid w:val="0004549D"/>
    <w:rsid w:val="0004571B"/>
    <w:rsid w:val="0004577A"/>
    <w:rsid w:val="0004584B"/>
    <w:rsid w:val="00045BF1"/>
    <w:rsid w:val="00045D79"/>
    <w:rsid w:val="00045DCE"/>
    <w:rsid w:val="00046670"/>
    <w:rsid w:val="000466C3"/>
    <w:rsid w:val="00046843"/>
    <w:rsid w:val="0004693C"/>
    <w:rsid w:val="000469F4"/>
    <w:rsid w:val="00046B05"/>
    <w:rsid w:val="00046B2C"/>
    <w:rsid w:val="00046BE9"/>
    <w:rsid w:val="00046C2F"/>
    <w:rsid w:val="00046D6D"/>
    <w:rsid w:val="000473DB"/>
    <w:rsid w:val="00047541"/>
    <w:rsid w:val="000475FA"/>
    <w:rsid w:val="0004762C"/>
    <w:rsid w:val="00047648"/>
    <w:rsid w:val="000476CD"/>
    <w:rsid w:val="00047AB3"/>
    <w:rsid w:val="00047BDF"/>
    <w:rsid w:val="00047C13"/>
    <w:rsid w:val="00047D30"/>
    <w:rsid w:val="00047D33"/>
    <w:rsid w:val="00047E4A"/>
    <w:rsid w:val="00047FA1"/>
    <w:rsid w:val="0005002D"/>
    <w:rsid w:val="00050093"/>
    <w:rsid w:val="000502CB"/>
    <w:rsid w:val="00050376"/>
    <w:rsid w:val="0005053E"/>
    <w:rsid w:val="00050631"/>
    <w:rsid w:val="00050845"/>
    <w:rsid w:val="000508EB"/>
    <w:rsid w:val="00050DE4"/>
    <w:rsid w:val="00050EF6"/>
    <w:rsid w:val="00050FFE"/>
    <w:rsid w:val="0005109D"/>
    <w:rsid w:val="000511D9"/>
    <w:rsid w:val="0005122F"/>
    <w:rsid w:val="00051310"/>
    <w:rsid w:val="000514D3"/>
    <w:rsid w:val="0005158B"/>
    <w:rsid w:val="0005159B"/>
    <w:rsid w:val="000515F4"/>
    <w:rsid w:val="000516FA"/>
    <w:rsid w:val="0005172F"/>
    <w:rsid w:val="000517D0"/>
    <w:rsid w:val="000518D6"/>
    <w:rsid w:val="00051A8B"/>
    <w:rsid w:val="00051B1D"/>
    <w:rsid w:val="00051BBD"/>
    <w:rsid w:val="00051D06"/>
    <w:rsid w:val="00051E81"/>
    <w:rsid w:val="00051F02"/>
    <w:rsid w:val="00051FAE"/>
    <w:rsid w:val="00052051"/>
    <w:rsid w:val="000520C7"/>
    <w:rsid w:val="000525E7"/>
    <w:rsid w:val="000525FD"/>
    <w:rsid w:val="00052813"/>
    <w:rsid w:val="00052C60"/>
    <w:rsid w:val="00052F72"/>
    <w:rsid w:val="00053099"/>
    <w:rsid w:val="000533AE"/>
    <w:rsid w:val="000536C9"/>
    <w:rsid w:val="000536CB"/>
    <w:rsid w:val="00053B22"/>
    <w:rsid w:val="00053D11"/>
    <w:rsid w:val="00053D1A"/>
    <w:rsid w:val="00053DCE"/>
    <w:rsid w:val="00053F02"/>
    <w:rsid w:val="000543CF"/>
    <w:rsid w:val="0005442D"/>
    <w:rsid w:val="00054447"/>
    <w:rsid w:val="000545E2"/>
    <w:rsid w:val="00054732"/>
    <w:rsid w:val="00054736"/>
    <w:rsid w:val="000548B4"/>
    <w:rsid w:val="00054991"/>
    <w:rsid w:val="000549ED"/>
    <w:rsid w:val="000549F5"/>
    <w:rsid w:val="00054A9D"/>
    <w:rsid w:val="00054B9F"/>
    <w:rsid w:val="00054BEB"/>
    <w:rsid w:val="00054CD7"/>
    <w:rsid w:val="00054D16"/>
    <w:rsid w:val="00054D2F"/>
    <w:rsid w:val="00054E6B"/>
    <w:rsid w:val="00055119"/>
    <w:rsid w:val="00055256"/>
    <w:rsid w:val="00055298"/>
    <w:rsid w:val="000554A6"/>
    <w:rsid w:val="00055559"/>
    <w:rsid w:val="000555DA"/>
    <w:rsid w:val="000555ED"/>
    <w:rsid w:val="000556FA"/>
    <w:rsid w:val="0005583B"/>
    <w:rsid w:val="00055AB6"/>
    <w:rsid w:val="00055B1D"/>
    <w:rsid w:val="0005600B"/>
    <w:rsid w:val="00056835"/>
    <w:rsid w:val="000569C8"/>
    <w:rsid w:val="00056AE1"/>
    <w:rsid w:val="00056C5A"/>
    <w:rsid w:val="00057080"/>
    <w:rsid w:val="000570DF"/>
    <w:rsid w:val="000573EB"/>
    <w:rsid w:val="000574E2"/>
    <w:rsid w:val="00057594"/>
    <w:rsid w:val="0005761E"/>
    <w:rsid w:val="0005763C"/>
    <w:rsid w:val="000576D9"/>
    <w:rsid w:val="000577B0"/>
    <w:rsid w:val="00057B5E"/>
    <w:rsid w:val="00057EED"/>
    <w:rsid w:val="0006002F"/>
    <w:rsid w:val="000604E2"/>
    <w:rsid w:val="00060759"/>
    <w:rsid w:val="00060797"/>
    <w:rsid w:val="00060C28"/>
    <w:rsid w:val="00060C8F"/>
    <w:rsid w:val="00060C94"/>
    <w:rsid w:val="00060CB9"/>
    <w:rsid w:val="00060D94"/>
    <w:rsid w:val="00060F20"/>
    <w:rsid w:val="00061176"/>
    <w:rsid w:val="000613F8"/>
    <w:rsid w:val="0006147C"/>
    <w:rsid w:val="000614E9"/>
    <w:rsid w:val="0006166F"/>
    <w:rsid w:val="000617A9"/>
    <w:rsid w:val="000619BB"/>
    <w:rsid w:val="00061D9E"/>
    <w:rsid w:val="00061DE5"/>
    <w:rsid w:val="00062016"/>
    <w:rsid w:val="0006216F"/>
    <w:rsid w:val="00062709"/>
    <w:rsid w:val="00062794"/>
    <w:rsid w:val="0006282B"/>
    <w:rsid w:val="00062C55"/>
    <w:rsid w:val="0006302B"/>
    <w:rsid w:val="00063558"/>
    <w:rsid w:val="0006367A"/>
    <w:rsid w:val="00063783"/>
    <w:rsid w:val="000638EA"/>
    <w:rsid w:val="00063A57"/>
    <w:rsid w:val="00063BA5"/>
    <w:rsid w:val="000640A1"/>
    <w:rsid w:val="000643E3"/>
    <w:rsid w:val="000646D1"/>
    <w:rsid w:val="00064A66"/>
    <w:rsid w:val="00064A97"/>
    <w:rsid w:val="00064B1D"/>
    <w:rsid w:val="00064ED3"/>
    <w:rsid w:val="00065193"/>
    <w:rsid w:val="0006538D"/>
    <w:rsid w:val="00065599"/>
    <w:rsid w:val="000655E9"/>
    <w:rsid w:val="0006563C"/>
    <w:rsid w:val="000656E9"/>
    <w:rsid w:val="00065A89"/>
    <w:rsid w:val="00065BF6"/>
    <w:rsid w:val="000660E6"/>
    <w:rsid w:val="00066224"/>
    <w:rsid w:val="00066642"/>
    <w:rsid w:val="0006665E"/>
    <w:rsid w:val="00066717"/>
    <w:rsid w:val="00066927"/>
    <w:rsid w:val="00066A31"/>
    <w:rsid w:val="00066B51"/>
    <w:rsid w:val="00066C0C"/>
    <w:rsid w:val="00066C60"/>
    <w:rsid w:val="00066F9F"/>
    <w:rsid w:val="00066FC1"/>
    <w:rsid w:val="00066FDF"/>
    <w:rsid w:val="00067351"/>
    <w:rsid w:val="00067400"/>
    <w:rsid w:val="0006744E"/>
    <w:rsid w:val="00067946"/>
    <w:rsid w:val="00067BB2"/>
    <w:rsid w:val="00067E12"/>
    <w:rsid w:val="00067F95"/>
    <w:rsid w:val="0007009E"/>
    <w:rsid w:val="00070253"/>
    <w:rsid w:val="000702AB"/>
    <w:rsid w:val="00070861"/>
    <w:rsid w:val="00070880"/>
    <w:rsid w:val="00070995"/>
    <w:rsid w:val="00070A0B"/>
    <w:rsid w:val="00070E20"/>
    <w:rsid w:val="00070FA3"/>
    <w:rsid w:val="0007115C"/>
    <w:rsid w:val="000711A2"/>
    <w:rsid w:val="00071280"/>
    <w:rsid w:val="0007135C"/>
    <w:rsid w:val="0007168A"/>
    <w:rsid w:val="00071694"/>
    <w:rsid w:val="000719CB"/>
    <w:rsid w:val="00071A95"/>
    <w:rsid w:val="00071F9A"/>
    <w:rsid w:val="00072078"/>
    <w:rsid w:val="000721A7"/>
    <w:rsid w:val="000722BE"/>
    <w:rsid w:val="000722D0"/>
    <w:rsid w:val="000723A9"/>
    <w:rsid w:val="000723CA"/>
    <w:rsid w:val="00072457"/>
    <w:rsid w:val="0007263D"/>
    <w:rsid w:val="000726DF"/>
    <w:rsid w:val="00072797"/>
    <w:rsid w:val="00072849"/>
    <w:rsid w:val="00072B55"/>
    <w:rsid w:val="00072B7A"/>
    <w:rsid w:val="00072C8A"/>
    <w:rsid w:val="0007312A"/>
    <w:rsid w:val="00073451"/>
    <w:rsid w:val="00073767"/>
    <w:rsid w:val="000737F6"/>
    <w:rsid w:val="00073A7A"/>
    <w:rsid w:val="00073B68"/>
    <w:rsid w:val="00073F90"/>
    <w:rsid w:val="0007407A"/>
    <w:rsid w:val="00074092"/>
    <w:rsid w:val="00074188"/>
    <w:rsid w:val="000741F5"/>
    <w:rsid w:val="0007426B"/>
    <w:rsid w:val="000742AE"/>
    <w:rsid w:val="00074761"/>
    <w:rsid w:val="000749CB"/>
    <w:rsid w:val="00074A1D"/>
    <w:rsid w:val="00074D23"/>
    <w:rsid w:val="00074D72"/>
    <w:rsid w:val="00074E20"/>
    <w:rsid w:val="0007551E"/>
    <w:rsid w:val="0007561A"/>
    <w:rsid w:val="000758EC"/>
    <w:rsid w:val="00075A83"/>
    <w:rsid w:val="00075E96"/>
    <w:rsid w:val="000761BB"/>
    <w:rsid w:val="00076314"/>
    <w:rsid w:val="00076B49"/>
    <w:rsid w:val="00076D06"/>
    <w:rsid w:val="000770F1"/>
    <w:rsid w:val="00077346"/>
    <w:rsid w:val="00077412"/>
    <w:rsid w:val="00077685"/>
    <w:rsid w:val="0007777E"/>
    <w:rsid w:val="000777CC"/>
    <w:rsid w:val="00077BB3"/>
    <w:rsid w:val="00077C76"/>
    <w:rsid w:val="00077E3F"/>
    <w:rsid w:val="00077F5A"/>
    <w:rsid w:val="000800DA"/>
    <w:rsid w:val="000801C7"/>
    <w:rsid w:val="000805A4"/>
    <w:rsid w:val="00080641"/>
    <w:rsid w:val="0008073B"/>
    <w:rsid w:val="00080808"/>
    <w:rsid w:val="00080914"/>
    <w:rsid w:val="0008091F"/>
    <w:rsid w:val="000809B5"/>
    <w:rsid w:val="00080A7A"/>
    <w:rsid w:val="00080B82"/>
    <w:rsid w:val="00080CAC"/>
    <w:rsid w:val="00080E84"/>
    <w:rsid w:val="00080EF0"/>
    <w:rsid w:val="00080F04"/>
    <w:rsid w:val="00080F43"/>
    <w:rsid w:val="0008101D"/>
    <w:rsid w:val="000814C2"/>
    <w:rsid w:val="000815C6"/>
    <w:rsid w:val="00081840"/>
    <w:rsid w:val="00081B92"/>
    <w:rsid w:val="00081F1B"/>
    <w:rsid w:val="00082179"/>
    <w:rsid w:val="00082217"/>
    <w:rsid w:val="00082575"/>
    <w:rsid w:val="000825C1"/>
    <w:rsid w:val="000827BB"/>
    <w:rsid w:val="00082A2F"/>
    <w:rsid w:val="00082AFF"/>
    <w:rsid w:val="00082B29"/>
    <w:rsid w:val="00082B5C"/>
    <w:rsid w:val="00082B9D"/>
    <w:rsid w:val="00082CB9"/>
    <w:rsid w:val="00082D47"/>
    <w:rsid w:val="00082DDA"/>
    <w:rsid w:val="00082ECD"/>
    <w:rsid w:val="00082FF6"/>
    <w:rsid w:val="000839D0"/>
    <w:rsid w:val="00083B5A"/>
    <w:rsid w:val="00083D02"/>
    <w:rsid w:val="00083D3E"/>
    <w:rsid w:val="00083EF3"/>
    <w:rsid w:val="00084257"/>
    <w:rsid w:val="00084438"/>
    <w:rsid w:val="00084449"/>
    <w:rsid w:val="000847A0"/>
    <w:rsid w:val="00084A8A"/>
    <w:rsid w:val="00084B54"/>
    <w:rsid w:val="00084CC1"/>
    <w:rsid w:val="00085146"/>
    <w:rsid w:val="000851DA"/>
    <w:rsid w:val="000852A7"/>
    <w:rsid w:val="000852B6"/>
    <w:rsid w:val="000853BD"/>
    <w:rsid w:val="0008548B"/>
    <w:rsid w:val="00085544"/>
    <w:rsid w:val="000855FE"/>
    <w:rsid w:val="00085FC1"/>
    <w:rsid w:val="0008602A"/>
    <w:rsid w:val="00086346"/>
    <w:rsid w:val="00086597"/>
    <w:rsid w:val="000865D0"/>
    <w:rsid w:val="00086BC5"/>
    <w:rsid w:val="00086D1D"/>
    <w:rsid w:val="00086DCC"/>
    <w:rsid w:val="00086FB7"/>
    <w:rsid w:val="00086FBE"/>
    <w:rsid w:val="0008708C"/>
    <w:rsid w:val="0008737F"/>
    <w:rsid w:val="000875B4"/>
    <w:rsid w:val="000879D1"/>
    <w:rsid w:val="00087AA8"/>
    <w:rsid w:val="00087DE1"/>
    <w:rsid w:val="00087EC2"/>
    <w:rsid w:val="00087EE5"/>
    <w:rsid w:val="00087F94"/>
    <w:rsid w:val="00087FDA"/>
    <w:rsid w:val="00090136"/>
    <w:rsid w:val="000901D2"/>
    <w:rsid w:val="00090342"/>
    <w:rsid w:val="0009053D"/>
    <w:rsid w:val="00090547"/>
    <w:rsid w:val="00090D73"/>
    <w:rsid w:val="00090F5D"/>
    <w:rsid w:val="00090F79"/>
    <w:rsid w:val="0009120A"/>
    <w:rsid w:val="000912B4"/>
    <w:rsid w:val="000915F5"/>
    <w:rsid w:val="00091680"/>
    <w:rsid w:val="0009180B"/>
    <w:rsid w:val="00091876"/>
    <w:rsid w:val="00091914"/>
    <w:rsid w:val="00091C0A"/>
    <w:rsid w:val="00091C0B"/>
    <w:rsid w:val="00091C37"/>
    <w:rsid w:val="00091E2C"/>
    <w:rsid w:val="00091EEE"/>
    <w:rsid w:val="000926CD"/>
    <w:rsid w:val="0009282D"/>
    <w:rsid w:val="00092B43"/>
    <w:rsid w:val="00092D6E"/>
    <w:rsid w:val="0009328D"/>
    <w:rsid w:val="000932D8"/>
    <w:rsid w:val="000933A6"/>
    <w:rsid w:val="0009347C"/>
    <w:rsid w:val="000934E7"/>
    <w:rsid w:val="00093B5B"/>
    <w:rsid w:val="00093C2D"/>
    <w:rsid w:val="00093E5C"/>
    <w:rsid w:val="0009420C"/>
    <w:rsid w:val="00094225"/>
    <w:rsid w:val="00094449"/>
    <w:rsid w:val="00094691"/>
    <w:rsid w:val="000947E8"/>
    <w:rsid w:val="000947EF"/>
    <w:rsid w:val="000948C1"/>
    <w:rsid w:val="000948F6"/>
    <w:rsid w:val="0009498F"/>
    <w:rsid w:val="00094B8A"/>
    <w:rsid w:val="00094C53"/>
    <w:rsid w:val="00094DE6"/>
    <w:rsid w:val="00094F07"/>
    <w:rsid w:val="00094FE0"/>
    <w:rsid w:val="0009510A"/>
    <w:rsid w:val="000951D8"/>
    <w:rsid w:val="0009534D"/>
    <w:rsid w:val="000956A3"/>
    <w:rsid w:val="000957D6"/>
    <w:rsid w:val="000958BC"/>
    <w:rsid w:val="0009590F"/>
    <w:rsid w:val="000959D2"/>
    <w:rsid w:val="00095AC9"/>
    <w:rsid w:val="00095CA3"/>
    <w:rsid w:val="00095CA8"/>
    <w:rsid w:val="00095D0A"/>
    <w:rsid w:val="00095E0B"/>
    <w:rsid w:val="00095FAD"/>
    <w:rsid w:val="00096024"/>
    <w:rsid w:val="00096031"/>
    <w:rsid w:val="0009604B"/>
    <w:rsid w:val="0009605C"/>
    <w:rsid w:val="000961C4"/>
    <w:rsid w:val="0009639C"/>
    <w:rsid w:val="000963AC"/>
    <w:rsid w:val="0009658D"/>
    <w:rsid w:val="00096EE9"/>
    <w:rsid w:val="00097057"/>
    <w:rsid w:val="000970CC"/>
    <w:rsid w:val="0009715E"/>
    <w:rsid w:val="00097182"/>
    <w:rsid w:val="000971A3"/>
    <w:rsid w:val="000972BD"/>
    <w:rsid w:val="000975E2"/>
    <w:rsid w:val="00097650"/>
    <w:rsid w:val="000976D0"/>
    <w:rsid w:val="0009799A"/>
    <w:rsid w:val="00097BA6"/>
    <w:rsid w:val="00097D24"/>
    <w:rsid w:val="000A04AA"/>
    <w:rsid w:val="000A06E5"/>
    <w:rsid w:val="000A0722"/>
    <w:rsid w:val="000A0E98"/>
    <w:rsid w:val="000A1050"/>
    <w:rsid w:val="000A108D"/>
    <w:rsid w:val="000A10A1"/>
    <w:rsid w:val="000A1501"/>
    <w:rsid w:val="000A1B83"/>
    <w:rsid w:val="000A1C63"/>
    <w:rsid w:val="000A1DA6"/>
    <w:rsid w:val="000A1DEC"/>
    <w:rsid w:val="000A1E7B"/>
    <w:rsid w:val="000A229E"/>
    <w:rsid w:val="000A2E27"/>
    <w:rsid w:val="000A2F22"/>
    <w:rsid w:val="000A32FC"/>
    <w:rsid w:val="000A35EE"/>
    <w:rsid w:val="000A37E3"/>
    <w:rsid w:val="000A386D"/>
    <w:rsid w:val="000A3917"/>
    <w:rsid w:val="000A3E80"/>
    <w:rsid w:val="000A432B"/>
    <w:rsid w:val="000A43BB"/>
    <w:rsid w:val="000A43E7"/>
    <w:rsid w:val="000A440A"/>
    <w:rsid w:val="000A454D"/>
    <w:rsid w:val="000A4712"/>
    <w:rsid w:val="000A492A"/>
    <w:rsid w:val="000A4BB9"/>
    <w:rsid w:val="000A4F56"/>
    <w:rsid w:val="000A4F67"/>
    <w:rsid w:val="000A53DE"/>
    <w:rsid w:val="000A5418"/>
    <w:rsid w:val="000A56FA"/>
    <w:rsid w:val="000A5769"/>
    <w:rsid w:val="000A59EE"/>
    <w:rsid w:val="000A5EF7"/>
    <w:rsid w:val="000A5F64"/>
    <w:rsid w:val="000A6286"/>
    <w:rsid w:val="000A6424"/>
    <w:rsid w:val="000A6442"/>
    <w:rsid w:val="000A661D"/>
    <w:rsid w:val="000A6CDD"/>
    <w:rsid w:val="000A6D37"/>
    <w:rsid w:val="000A6E21"/>
    <w:rsid w:val="000A6F34"/>
    <w:rsid w:val="000A6F3F"/>
    <w:rsid w:val="000A6F95"/>
    <w:rsid w:val="000A71F7"/>
    <w:rsid w:val="000A7200"/>
    <w:rsid w:val="000A72AF"/>
    <w:rsid w:val="000A7312"/>
    <w:rsid w:val="000A741E"/>
    <w:rsid w:val="000A7711"/>
    <w:rsid w:val="000A7844"/>
    <w:rsid w:val="000A79CA"/>
    <w:rsid w:val="000A7A18"/>
    <w:rsid w:val="000A7A72"/>
    <w:rsid w:val="000A7B35"/>
    <w:rsid w:val="000A7B81"/>
    <w:rsid w:val="000A7C09"/>
    <w:rsid w:val="000B00B5"/>
    <w:rsid w:val="000B0214"/>
    <w:rsid w:val="000B0347"/>
    <w:rsid w:val="000B0B1F"/>
    <w:rsid w:val="000B0B25"/>
    <w:rsid w:val="000B0C0F"/>
    <w:rsid w:val="000B0E9A"/>
    <w:rsid w:val="000B0FF2"/>
    <w:rsid w:val="000B113E"/>
    <w:rsid w:val="000B1345"/>
    <w:rsid w:val="000B1388"/>
    <w:rsid w:val="000B1414"/>
    <w:rsid w:val="000B141D"/>
    <w:rsid w:val="000B15D6"/>
    <w:rsid w:val="000B1B3E"/>
    <w:rsid w:val="000B1CA7"/>
    <w:rsid w:val="000B1CD4"/>
    <w:rsid w:val="000B1F76"/>
    <w:rsid w:val="000B20FB"/>
    <w:rsid w:val="000B2131"/>
    <w:rsid w:val="000B2195"/>
    <w:rsid w:val="000B2315"/>
    <w:rsid w:val="000B2520"/>
    <w:rsid w:val="000B26F3"/>
    <w:rsid w:val="000B27B4"/>
    <w:rsid w:val="000B27FB"/>
    <w:rsid w:val="000B2A3F"/>
    <w:rsid w:val="000B2B92"/>
    <w:rsid w:val="000B2CD4"/>
    <w:rsid w:val="000B2EB5"/>
    <w:rsid w:val="000B3082"/>
    <w:rsid w:val="000B323D"/>
    <w:rsid w:val="000B32D1"/>
    <w:rsid w:val="000B3379"/>
    <w:rsid w:val="000B3387"/>
    <w:rsid w:val="000B3508"/>
    <w:rsid w:val="000B3556"/>
    <w:rsid w:val="000B3782"/>
    <w:rsid w:val="000B37C6"/>
    <w:rsid w:val="000B397B"/>
    <w:rsid w:val="000B3A7B"/>
    <w:rsid w:val="000B3CD0"/>
    <w:rsid w:val="000B4040"/>
    <w:rsid w:val="000B4279"/>
    <w:rsid w:val="000B428B"/>
    <w:rsid w:val="000B437C"/>
    <w:rsid w:val="000B4421"/>
    <w:rsid w:val="000B4569"/>
    <w:rsid w:val="000B4A4D"/>
    <w:rsid w:val="000B4A9D"/>
    <w:rsid w:val="000B4AA1"/>
    <w:rsid w:val="000B4C4B"/>
    <w:rsid w:val="000B4DED"/>
    <w:rsid w:val="000B4E0B"/>
    <w:rsid w:val="000B50EC"/>
    <w:rsid w:val="000B51A5"/>
    <w:rsid w:val="000B531E"/>
    <w:rsid w:val="000B5634"/>
    <w:rsid w:val="000B571F"/>
    <w:rsid w:val="000B572F"/>
    <w:rsid w:val="000B582A"/>
    <w:rsid w:val="000B5844"/>
    <w:rsid w:val="000B58E1"/>
    <w:rsid w:val="000B5980"/>
    <w:rsid w:val="000B59AA"/>
    <w:rsid w:val="000B5ABB"/>
    <w:rsid w:val="000B5AC2"/>
    <w:rsid w:val="000B5DED"/>
    <w:rsid w:val="000B5E79"/>
    <w:rsid w:val="000B6032"/>
    <w:rsid w:val="000B622E"/>
    <w:rsid w:val="000B64B9"/>
    <w:rsid w:val="000B6A59"/>
    <w:rsid w:val="000B6DF1"/>
    <w:rsid w:val="000B6FB6"/>
    <w:rsid w:val="000B739E"/>
    <w:rsid w:val="000B745A"/>
    <w:rsid w:val="000B76F2"/>
    <w:rsid w:val="000B7B68"/>
    <w:rsid w:val="000B7D6E"/>
    <w:rsid w:val="000B7FCE"/>
    <w:rsid w:val="000C042F"/>
    <w:rsid w:val="000C04D2"/>
    <w:rsid w:val="000C0562"/>
    <w:rsid w:val="000C064B"/>
    <w:rsid w:val="000C0728"/>
    <w:rsid w:val="000C096C"/>
    <w:rsid w:val="000C0BAB"/>
    <w:rsid w:val="000C0C49"/>
    <w:rsid w:val="000C0F6C"/>
    <w:rsid w:val="000C1036"/>
    <w:rsid w:val="000C10D8"/>
    <w:rsid w:val="000C11EF"/>
    <w:rsid w:val="000C1370"/>
    <w:rsid w:val="000C14EA"/>
    <w:rsid w:val="000C15EF"/>
    <w:rsid w:val="000C1664"/>
    <w:rsid w:val="000C1694"/>
    <w:rsid w:val="000C169B"/>
    <w:rsid w:val="000C1726"/>
    <w:rsid w:val="000C1831"/>
    <w:rsid w:val="000C1C8D"/>
    <w:rsid w:val="000C1D88"/>
    <w:rsid w:val="000C1E0E"/>
    <w:rsid w:val="000C21E6"/>
    <w:rsid w:val="000C223C"/>
    <w:rsid w:val="000C2273"/>
    <w:rsid w:val="000C247E"/>
    <w:rsid w:val="000C26F4"/>
    <w:rsid w:val="000C27CE"/>
    <w:rsid w:val="000C2827"/>
    <w:rsid w:val="000C2C92"/>
    <w:rsid w:val="000C30B4"/>
    <w:rsid w:val="000C3229"/>
    <w:rsid w:val="000C32B2"/>
    <w:rsid w:val="000C33F4"/>
    <w:rsid w:val="000C356A"/>
    <w:rsid w:val="000C36F7"/>
    <w:rsid w:val="000C3969"/>
    <w:rsid w:val="000C3975"/>
    <w:rsid w:val="000C39CE"/>
    <w:rsid w:val="000C3A0A"/>
    <w:rsid w:val="000C3BD4"/>
    <w:rsid w:val="000C3C24"/>
    <w:rsid w:val="000C3E66"/>
    <w:rsid w:val="000C3F55"/>
    <w:rsid w:val="000C419D"/>
    <w:rsid w:val="000C41CB"/>
    <w:rsid w:val="000C4283"/>
    <w:rsid w:val="000C4418"/>
    <w:rsid w:val="000C44A7"/>
    <w:rsid w:val="000C4573"/>
    <w:rsid w:val="000C4995"/>
    <w:rsid w:val="000C5369"/>
    <w:rsid w:val="000C54A6"/>
    <w:rsid w:val="000C5592"/>
    <w:rsid w:val="000C576D"/>
    <w:rsid w:val="000C588F"/>
    <w:rsid w:val="000C5A64"/>
    <w:rsid w:val="000C5AAF"/>
    <w:rsid w:val="000C5E63"/>
    <w:rsid w:val="000C5EF9"/>
    <w:rsid w:val="000C5FF3"/>
    <w:rsid w:val="000C60EA"/>
    <w:rsid w:val="000C639C"/>
    <w:rsid w:val="000C63C5"/>
    <w:rsid w:val="000C6494"/>
    <w:rsid w:val="000C668C"/>
    <w:rsid w:val="000C66A4"/>
    <w:rsid w:val="000C68B9"/>
    <w:rsid w:val="000C6901"/>
    <w:rsid w:val="000C699B"/>
    <w:rsid w:val="000C6AE6"/>
    <w:rsid w:val="000C6CF0"/>
    <w:rsid w:val="000C6D26"/>
    <w:rsid w:val="000C6E0C"/>
    <w:rsid w:val="000C6E40"/>
    <w:rsid w:val="000C6EDB"/>
    <w:rsid w:val="000C7047"/>
    <w:rsid w:val="000C71EC"/>
    <w:rsid w:val="000C7225"/>
    <w:rsid w:val="000C73A4"/>
    <w:rsid w:val="000C756E"/>
    <w:rsid w:val="000C75FC"/>
    <w:rsid w:val="000C78A8"/>
    <w:rsid w:val="000C78CE"/>
    <w:rsid w:val="000C793D"/>
    <w:rsid w:val="000C7968"/>
    <w:rsid w:val="000C7D15"/>
    <w:rsid w:val="000C7D30"/>
    <w:rsid w:val="000C7F7F"/>
    <w:rsid w:val="000C7FD7"/>
    <w:rsid w:val="000C7FEF"/>
    <w:rsid w:val="000D0003"/>
    <w:rsid w:val="000D0102"/>
    <w:rsid w:val="000D0330"/>
    <w:rsid w:val="000D038D"/>
    <w:rsid w:val="000D0418"/>
    <w:rsid w:val="000D05DF"/>
    <w:rsid w:val="000D0720"/>
    <w:rsid w:val="000D0753"/>
    <w:rsid w:val="000D0989"/>
    <w:rsid w:val="000D0ADE"/>
    <w:rsid w:val="000D0DED"/>
    <w:rsid w:val="000D0DF9"/>
    <w:rsid w:val="000D0F34"/>
    <w:rsid w:val="000D0F4A"/>
    <w:rsid w:val="000D105A"/>
    <w:rsid w:val="000D1078"/>
    <w:rsid w:val="000D10D7"/>
    <w:rsid w:val="000D1154"/>
    <w:rsid w:val="000D1311"/>
    <w:rsid w:val="000D135A"/>
    <w:rsid w:val="000D16AB"/>
    <w:rsid w:val="000D19DE"/>
    <w:rsid w:val="000D19E6"/>
    <w:rsid w:val="000D1A66"/>
    <w:rsid w:val="000D1C39"/>
    <w:rsid w:val="000D1D08"/>
    <w:rsid w:val="000D1D3A"/>
    <w:rsid w:val="000D22C5"/>
    <w:rsid w:val="000D2393"/>
    <w:rsid w:val="000D251A"/>
    <w:rsid w:val="000D258F"/>
    <w:rsid w:val="000D2725"/>
    <w:rsid w:val="000D2B40"/>
    <w:rsid w:val="000D2D20"/>
    <w:rsid w:val="000D2DAA"/>
    <w:rsid w:val="000D2EAF"/>
    <w:rsid w:val="000D3035"/>
    <w:rsid w:val="000D3146"/>
    <w:rsid w:val="000D3357"/>
    <w:rsid w:val="000D34CC"/>
    <w:rsid w:val="000D38A8"/>
    <w:rsid w:val="000D3A2B"/>
    <w:rsid w:val="000D3F06"/>
    <w:rsid w:val="000D4106"/>
    <w:rsid w:val="000D4133"/>
    <w:rsid w:val="000D42B0"/>
    <w:rsid w:val="000D45C5"/>
    <w:rsid w:val="000D4979"/>
    <w:rsid w:val="000D49B5"/>
    <w:rsid w:val="000D4D8F"/>
    <w:rsid w:val="000D4E80"/>
    <w:rsid w:val="000D4E86"/>
    <w:rsid w:val="000D4FBB"/>
    <w:rsid w:val="000D5058"/>
    <w:rsid w:val="000D5202"/>
    <w:rsid w:val="000D5352"/>
    <w:rsid w:val="000D536B"/>
    <w:rsid w:val="000D5470"/>
    <w:rsid w:val="000D5722"/>
    <w:rsid w:val="000D57E2"/>
    <w:rsid w:val="000D58A1"/>
    <w:rsid w:val="000D5A62"/>
    <w:rsid w:val="000D5B50"/>
    <w:rsid w:val="000D5EB8"/>
    <w:rsid w:val="000D5EF4"/>
    <w:rsid w:val="000D5EFA"/>
    <w:rsid w:val="000D5F8F"/>
    <w:rsid w:val="000D605F"/>
    <w:rsid w:val="000D60D5"/>
    <w:rsid w:val="000D644A"/>
    <w:rsid w:val="000D647B"/>
    <w:rsid w:val="000D65D3"/>
    <w:rsid w:val="000D6788"/>
    <w:rsid w:val="000D68AB"/>
    <w:rsid w:val="000D6F50"/>
    <w:rsid w:val="000D71D5"/>
    <w:rsid w:val="000D7333"/>
    <w:rsid w:val="000D7408"/>
    <w:rsid w:val="000D75D0"/>
    <w:rsid w:val="000D773E"/>
    <w:rsid w:val="000D784B"/>
    <w:rsid w:val="000D7AD4"/>
    <w:rsid w:val="000D7D4C"/>
    <w:rsid w:val="000D7F80"/>
    <w:rsid w:val="000D7FAE"/>
    <w:rsid w:val="000E000B"/>
    <w:rsid w:val="000E018C"/>
    <w:rsid w:val="000E0198"/>
    <w:rsid w:val="000E0228"/>
    <w:rsid w:val="000E0237"/>
    <w:rsid w:val="000E05C5"/>
    <w:rsid w:val="000E0994"/>
    <w:rsid w:val="000E0A06"/>
    <w:rsid w:val="000E0AC6"/>
    <w:rsid w:val="000E0AF3"/>
    <w:rsid w:val="000E0DB3"/>
    <w:rsid w:val="000E1224"/>
    <w:rsid w:val="000E158F"/>
    <w:rsid w:val="000E16CF"/>
    <w:rsid w:val="000E177C"/>
    <w:rsid w:val="000E199A"/>
    <w:rsid w:val="000E1B1B"/>
    <w:rsid w:val="000E1B3A"/>
    <w:rsid w:val="000E2064"/>
    <w:rsid w:val="000E20F1"/>
    <w:rsid w:val="000E2202"/>
    <w:rsid w:val="000E230B"/>
    <w:rsid w:val="000E2341"/>
    <w:rsid w:val="000E2373"/>
    <w:rsid w:val="000E24A3"/>
    <w:rsid w:val="000E2514"/>
    <w:rsid w:val="000E256D"/>
    <w:rsid w:val="000E2587"/>
    <w:rsid w:val="000E266A"/>
    <w:rsid w:val="000E2908"/>
    <w:rsid w:val="000E2DF9"/>
    <w:rsid w:val="000E2F0A"/>
    <w:rsid w:val="000E3056"/>
    <w:rsid w:val="000E3134"/>
    <w:rsid w:val="000E313A"/>
    <w:rsid w:val="000E38CD"/>
    <w:rsid w:val="000E3D38"/>
    <w:rsid w:val="000E3F66"/>
    <w:rsid w:val="000E40BE"/>
    <w:rsid w:val="000E4142"/>
    <w:rsid w:val="000E4168"/>
    <w:rsid w:val="000E42A6"/>
    <w:rsid w:val="000E42CC"/>
    <w:rsid w:val="000E42DF"/>
    <w:rsid w:val="000E42E6"/>
    <w:rsid w:val="000E46CB"/>
    <w:rsid w:val="000E475F"/>
    <w:rsid w:val="000E4882"/>
    <w:rsid w:val="000E49E4"/>
    <w:rsid w:val="000E4BEF"/>
    <w:rsid w:val="000E4D21"/>
    <w:rsid w:val="000E4D60"/>
    <w:rsid w:val="000E4E23"/>
    <w:rsid w:val="000E50DA"/>
    <w:rsid w:val="000E5332"/>
    <w:rsid w:val="000E5806"/>
    <w:rsid w:val="000E5ABD"/>
    <w:rsid w:val="000E5EE3"/>
    <w:rsid w:val="000E62E2"/>
    <w:rsid w:val="000E644C"/>
    <w:rsid w:val="000E6533"/>
    <w:rsid w:val="000E6607"/>
    <w:rsid w:val="000E66AA"/>
    <w:rsid w:val="000E66C9"/>
    <w:rsid w:val="000E673D"/>
    <w:rsid w:val="000E699D"/>
    <w:rsid w:val="000E6FA4"/>
    <w:rsid w:val="000E6FAD"/>
    <w:rsid w:val="000E70CB"/>
    <w:rsid w:val="000E719D"/>
    <w:rsid w:val="000E7252"/>
    <w:rsid w:val="000E72AF"/>
    <w:rsid w:val="000E7414"/>
    <w:rsid w:val="000E756C"/>
    <w:rsid w:val="000E7688"/>
    <w:rsid w:val="000E76EE"/>
    <w:rsid w:val="000E7792"/>
    <w:rsid w:val="000E7793"/>
    <w:rsid w:val="000E7B1A"/>
    <w:rsid w:val="000E7D5B"/>
    <w:rsid w:val="000E7E07"/>
    <w:rsid w:val="000F038E"/>
    <w:rsid w:val="000F042F"/>
    <w:rsid w:val="000F0968"/>
    <w:rsid w:val="000F0D12"/>
    <w:rsid w:val="000F12A4"/>
    <w:rsid w:val="000F12E7"/>
    <w:rsid w:val="000F14D8"/>
    <w:rsid w:val="000F1537"/>
    <w:rsid w:val="000F17BD"/>
    <w:rsid w:val="000F1865"/>
    <w:rsid w:val="000F1B37"/>
    <w:rsid w:val="000F1DC5"/>
    <w:rsid w:val="000F2116"/>
    <w:rsid w:val="000F23AE"/>
    <w:rsid w:val="000F2488"/>
    <w:rsid w:val="000F259D"/>
    <w:rsid w:val="000F25D0"/>
    <w:rsid w:val="000F280E"/>
    <w:rsid w:val="000F28A3"/>
    <w:rsid w:val="000F29E1"/>
    <w:rsid w:val="000F2A8E"/>
    <w:rsid w:val="000F2B8D"/>
    <w:rsid w:val="000F3165"/>
    <w:rsid w:val="000F32AB"/>
    <w:rsid w:val="000F3622"/>
    <w:rsid w:val="000F3633"/>
    <w:rsid w:val="000F38D5"/>
    <w:rsid w:val="000F3906"/>
    <w:rsid w:val="000F3BF4"/>
    <w:rsid w:val="000F3DBC"/>
    <w:rsid w:val="000F3E51"/>
    <w:rsid w:val="000F424B"/>
    <w:rsid w:val="000F4320"/>
    <w:rsid w:val="000F47EB"/>
    <w:rsid w:val="000F482A"/>
    <w:rsid w:val="000F4889"/>
    <w:rsid w:val="000F4AE8"/>
    <w:rsid w:val="000F4C12"/>
    <w:rsid w:val="000F4D0C"/>
    <w:rsid w:val="000F4E55"/>
    <w:rsid w:val="000F4F1C"/>
    <w:rsid w:val="000F523F"/>
    <w:rsid w:val="000F5503"/>
    <w:rsid w:val="000F5538"/>
    <w:rsid w:val="000F555E"/>
    <w:rsid w:val="000F564A"/>
    <w:rsid w:val="000F5710"/>
    <w:rsid w:val="000F5776"/>
    <w:rsid w:val="000F5869"/>
    <w:rsid w:val="000F586B"/>
    <w:rsid w:val="000F5926"/>
    <w:rsid w:val="000F5AFE"/>
    <w:rsid w:val="000F5D44"/>
    <w:rsid w:val="000F5F05"/>
    <w:rsid w:val="000F61E3"/>
    <w:rsid w:val="000F6B28"/>
    <w:rsid w:val="000F6E9A"/>
    <w:rsid w:val="000F6EEA"/>
    <w:rsid w:val="000F6FB0"/>
    <w:rsid w:val="000F707E"/>
    <w:rsid w:val="000F729C"/>
    <w:rsid w:val="000F7434"/>
    <w:rsid w:val="000F77E1"/>
    <w:rsid w:val="000F7832"/>
    <w:rsid w:val="000F78D1"/>
    <w:rsid w:val="000F78DE"/>
    <w:rsid w:val="000F79F2"/>
    <w:rsid w:val="000F7A9E"/>
    <w:rsid w:val="0010010B"/>
    <w:rsid w:val="00100140"/>
    <w:rsid w:val="00100207"/>
    <w:rsid w:val="00100281"/>
    <w:rsid w:val="0010032F"/>
    <w:rsid w:val="00100331"/>
    <w:rsid w:val="0010035A"/>
    <w:rsid w:val="001003BA"/>
    <w:rsid w:val="001003FA"/>
    <w:rsid w:val="00100668"/>
    <w:rsid w:val="00100DB1"/>
    <w:rsid w:val="00100DBB"/>
    <w:rsid w:val="00100EB9"/>
    <w:rsid w:val="00100FC9"/>
    <w:rsid w:val="00101091"/>
    <w:rsid w:val="001010C6"/>
    <w:rsid w:val="00101456"/>
    <w:rsid w:val="001016C4"/>
    <w:rsid w:val="0010178C"/>
    <w:rsid w:val="00101CF1"/>
    <w:rsid w:val="00101D33"/>
    <w:rsid w:val="00101F41"/>
    <w:rsid w:val="0010228D"/>
    <w:rsid w:val="001022E6"/>
    <w:rsid w:val="0010234B"/>
    <w:rsid w:val="001024A1"/>
    <w:rsid w:val="00102553"/>
    <w:rsid w:val="0010273A"/>
    <w:rsid w:val="00102B37"/>
    <w:rsid w:val="00102B85"/>
    <w:rsid w:val="00102D2E"/>
    <w:rsid w:val="00102EC8"/>
    <w:rsid w:val="00102F31"/>
    <w:rsid w:val="00103062"/>
    <w:rsid w:val="0010355A"/>
    <w:rsid w:val="001035DA"/>
    <w:rsid w:val="00103BBE"/>
    <w:rsid w:val="00103F7E"/>
    <w:rsid w:val="00104025"/>
    <w:rsid w:val="0010407D"/>
    <w:rsid w:val="00104265"/>
    <w:rsid w:val="0010433E"/>
    <w:rsid w:val="00104415"/>
    <w:rsid w:val="001044A1"/>
    <w:rsid w:val="0010454F"/>
    <w:rsid w:val="00104900"/>
    <w:rsid w:val="0010490B"/>
    <w:rsid w:val="00104AF5"/>
    <w:rsid w:val="00104C17"/>
    <w:rsid w:val="00105332"/>
    <w:rsid w:val="00105338"/>
    <w:rsid w:val="001054E4"/>
    <w:rsid w:val="0010554E"/>
    <w:rsid w:val="001059B3"/>
    <w:rsid w:val="00105C25"/>
    <w:rsid w:val="00105D25"/>
    <w:rsid w:val="00105E05"/>
    <w:rsid w:val="00105E1A"/>
    <w:rsid w:val="00105F1F"/>
    <w:rsid w:val="00105FCA"/>
    <w:rsid w:val="00105FF6"/>
    <w:rsid w:val="001060A1"/>
    <w:rsid w:val="00106106"/>
    <w:rsid w:val="0010622D"/>
    <w:rsid w:val="00106239"/>
    <w:rsid w:val="00106449"/>
    <w:rsid w:val="001064FD"/>
    <w:rsid w:val="001069E8"/>
    <w:rsid w:val="00106AA1"/>
    <w:rsid w:val="00106AFB"/>
    <w:rsid w:val="00106DEA"/>
    <w:rsid w:val="00106ED4"/>
    <w:rsid w:val="00106F10"/>
    <w:rsid w:val="001071ED"/>
    <w:rsid w:val="0010742F"/>
    <w:rsid w:val="00107517"/>
    <w:rsid w:val="0010777C"/>
    <w:rsid w:val="001077F6"/>
    <w:rsid w:val="001078A5"/>
    <w:rsid w:val="0010799E"/>
    <w:rsid w:val="001079CC"/>
    <w:rsid w:val="00107B0A"/>
    <w:rsid w:val="00107B68"/>
    <w:rsid w:val="00107D58"/>
    <w:rsid w:val="001106B7"/>
    <w:rsid w:val="00110777"/>
    <w:rsid w:val="00110840"/>
    <w:rsid w:val="00110A5B"/>
    <w:rsid w:val="00110BAC"/>
    <w:rsid w:val="00110F05"/>
    <w:rsid w:val="00110F08"/>
    <w:rsid w:val="001110B6"/>
    <w:rsid w:val="001112A4"/>
    <w:rsid w:val="00111446"/>
    <w:rsid w:val="001114FA"/>
    <w:rsid w:val="00111609"/>
    <w:rsid w:val="001117AA"/>
    <w:rsid w:val="001117D6"/>
    <w:rsid w:val="00111A3A"/>
    <w:rsid w:val="00111D7E"/>
    <w:rsid w:val="00111DF6"/>
    <w:rsid w:val="00111F3B"/>
    <w:rsid w:val="001120F9"/>
    <w:rsid w:val="0011211F"/>
    <w:rsid w:val="0011231A"/>
    <w:rsid w:val="0011254D"/>
    <w:rsid w:val="001127CE"/>
    <w:rsid w:val="0011286E"/>
    <w:rsid w:val="001128A3"/>
    <w:rsid w:val="00113450"/>
    <w:rsid w:val="00113470"/>
    <w:rsid w:val="0011367B"/>
    <w:rsid w:val="00113A16"/>
    <w:rsid w:val="00113AF4"/>
    <w:rsid w:val="00113D65"/>
    <w:rsid w:val="00113E89"/>
    <w:rsid w:val="00113F4D"/>
    <w:rsid w:val="0011400B"/>
    <w:rsid w:val="0011413D"/>
    <w:rsid w:val="001144CA"/>
    <w:rsid w:val="00114690"/>
    <w:rsid w:val="00114731"/>
    <w:rsid w:val="00114879"/>
    <w:rsid w:val="00114A51"/>
    <w:rsid w:val="00114A90"/>
    <w:rsid w:val="00114B28"/>
    <w:rsid w:val="00114CA6"/>
    <w:rsid w:val="00114CA9"/>
    <w:rsid w:val="00114EDA"/>
    <w:rsid w:val="00114F46"/>
    <w:rsid w:val="00115023"/>
    <w:rsid w:val="0011519F"/>
    <w:rsid w:val="00115272"/>
    <w:rsid w:val="0011527A"/>
    <w:rsid w:val="001155B6"/>
    <w:rsid w:val="00115B22"/>
    <w:rsid w:val="00115CC5"/>
    <w:rsid w:val="00115D32"/>
    <w:rsid w:val="00115D76"/>
    <w:rsid w:val="00115DD7"/>
    <w:rsid w:val="00116606"/>
    <w:rsid w:val="001166CB"/>
    <w:rsid w:val="001166DC"/>
    <w:rsid w:val="00116851"/>
    <w:rsid w:val="00116C9F"/>
    <w:rsid w:val="00116DEB"/>
    <w:rsid w:val="00116F2D"/>
    <w:rsid w:val="00117232"/>
    <w:rsid w:val="00117639"/>
    <w:rsid w:val="00117689"/>
    <w:rsid w:val="001178F3"/>
    <w:rsid w:val="00117DD5"/>
    <w:rsid w:val="00120594"/>
    <w:rsid w:val="001207A7"/>
    <w:rsid w:val="001208AD"/>
    <w:rsid w:val="001208CC"/>
    <w:rsid w:val="00120929"/>
    <w:rsid w:val="00120C2A"/>
    <w:rsid w:val="00120CB7"/>
    <w:rsid w:val="00120E41"/>
    <w:rsid w:val="001211B4"/>
    <w:rsid w:val="00121219"/>
    <w:rsid w:val="00121332"/>
    <w:rsid w:val="0012151D"/>
    <w:rsid w:val="001215EE"/>
    <w:rsid w:val="001218F7"/>
    <w:rsid w:val="0012196F"/>
    <w:rsid w:val="001219AD"/>
    <w:rsid w:val="00121BC4"/>
    <w:rsid w:val="00121C26"/>
    <w:rsid w:val="00121F86"/>
    <w:rsid w:val="0012204F"/>
    <w:rsid w:val="00122257"/>
    <w:rsid w:val="00122374"/>
    <w:rsid w:val="001223AD"/>
    <w:rsid w:val="001224B3"/>
    <w:rsid w:val="001224D3"/>
    <w:rsid w:val="001225FC"/>
    <w:rsid w:val="00122676"/>
    <w:rsid w:val="001226D7"/>
    <w:rsid w:val="00122B2C"/>
    <w:rsid w:val="00122CD6"/>
    <w:rsid w:val="00122D8D"/>
    <w:rsid w:val="00122F69"/>
    <w:rsid w:val="001230A3"/>
    <w:rsid w:val="00123332"/>
    <w:rsid w:val="00123457"/>
    <w:rsid w:val="001234C6"/>
    <w:rsid w:val="0012381D"/>
    <w:rsid w:val="0012394E"/>
    <w:rsid w:val="0012398E"/>
    <w:rsid w:val="001239A3"/>
    <w:rsid w:val="00123C01"/>
    <w:rsid w:val="00123F33"/>
    <w:rsid w:val="00123F40"/>
    <w:rsid w:val="00123F72"/>
    <w:rsid w:val="00124071"/>
    <w:rsid w:val="0012427F"/>
    <w:rsid w:val="001243B3"/>
    <w:rsid w:val="001244F9"/>
    <w:rsid w:val="001249A1"/>
    <w:rsid w:val="001249E3"/>
    <w:rsid w:val="00124A0F"/>
    <w:rsid w:val="00124C58"/>
    <w:rsid w:val="00124DB3"/>
    <w:rsid w:val="00124FFA"/>
    <w:rsid w:val="0012503C"/>
    <w:rsid w:val="00125480"/>
    <w:rsid w:val="00125488"/>
    <w:rsid w:val="001254E9"/>
    <w:rsid w:val="0012557F"/>
    <w:rsid w:val="001255F4"/>
    <w:rsid w:val="001256E7"/>
    <w:rsid w:val="0012570C"/>
    <w:rsid w:val="00125834"/>
    <w:rsid w:val="00125A9E"/>
    <w:rsid w:val="00125AC7"/>
    <w:rsid w:val="00125DEF"/>
    <w:rsid w:val="001264A1"/>
    <w:rsid w:val="001268A2"/>
    <w:rsid w:val="00126DEC"/>
    <w:rsid w:val="00126E60"/>
    <w:rsid w:val="00126F59"/>
    <w:rsid w:val="001270FF"/>
    <w:rsid w:val="00127142"/>
    <w:rsid w:val="00127175"/>
    <w:rsid w:val="0012727D"/>
    <w:rsid w:val="00127578"/>
    <w:rsid w:val="0012757A"/>
    <w:rsid w:val="0012777B"/>
    <w:rsid w:val="00127B8D"/>
    <w:rsid w:val="00127D5A"/>
    <w:rsid w:val="00127DA6"/>
    <w:rsid w:val="00127EEE"/>
    <w:rsid w:val="00130059"/>
    <w:rsid w:val="001304F2"/>
    <w:rsid w:val="001305FE"/>
    <w:rsid w:val="00130735"/>
    <w:rsid w:val="0013079C"/>
    <w:rsid w:val="001308E2"/>
    <w:rsid w:val="00130A49"/>
    <w:rsid w:val="00130C7B"/>
    <w:rsid w:val="00130E2C"/>
    <w:rsid w:val="00130EB1"/>
    <w:rsid w:val="001310A4"/>
    <w:rsid w:val="0013119F"/>
    <w:rsid w:val="00131422"/>
    <w:rsid w:val="0013176C"/>
    <w:rsid w:val="00131801"/>
    <w:rsid w:val="00131B8E"/>
    <w:rsid w:val="00131CC2"/>
    <w:rsid w:val="00131D0B"/>
    <w:rsid w:val="00131D3F"/>
    <w:rsid w:val="00132157"/>
    <w:rsid w:val="0013233D"/>
    <w:rsid w:val="0013249E"/>
    <w:rsid w:val="001325F7"/>
    <w:rsid w:val="00132920"/>
    <w:rsid w:val="00132961"/>
    <w:rsid w:val="00132C24"/>
    <w:rsid w:val="00132CF5"/>
    <w:rsid w:val="001335A4"/>
    <w:rsid w:val="001335C9"/>
    <w:rsid w:val="00133610"/>
    <w:rsid w:val="00133724"/>
    <w:rsid w:val="00133763"/>
    <w:rsid w:val="0013380C"/>
    <w:rsid w:val="00133871"/>
    <w:rsid w:val="00133900"/>
    <w:rsid w:val="001339B6"/>
    <w:rsid w:val="00133AF2"/>
    <w:rsid w:val="00133CB9"/>
    <w:rsid w:val="00133DB4"/>
    <w:rsid w:val="0013401E"/>
    <w:rsid w:val="001342CC"/>
    <w:rsid w:val="001342F0"/>
    <w:rsid w:val="0013430C"/>
    <w:rsid w:val="001344EF"/>
    <w:rsid w:val="001348EA"/>
    <w:rsid w:val="00134BA3"/>
    <w:rsid w:val="00135139"/>
    <w:rsid w:val="00135177"/>
    <w:rsid w:val="00135201"/>
    <w:rsid w:val="001355AB"/>
    <w:rsid w:val="00135F7B"/>
    <w:rsid w:val="00136296"/>
    <w:rsid w:val="001364A4"/>
    <w:rsid w:val="001367D1"/>
    <w:rsid w:val="0013691C"/>
    <w:rsid w:val="00136AEA"/>
    <w:rsid w:val="00136D33"/>
    <w:rsid w:val="00136DC7"/>
    <w:rsid w:val="00137361"/>
    <w:rsid w:val="001373FA"/>
    <w:rsid w:val="001374CE"/>
    <w:rsid w:val="001379FF"/>
    <w:rsid w:val="00137A4B"/>
    <w:rsid w:val="00137B4F"/>
    <w:rsid w:val="00137BBD"/>
    <w:rsid w:val="00137CB0"/>
    <w:rsid w:val="00137D27"/>
    <w:rsid w:val="00137EEC"/>
    <w:rsid w:val="00137F5B"/>
    <w:rsid w:val="00137F71"/>
    <w:rsid w:val="00137FBA"/>
    <w:rsid w:val="00137FF5"/>
    <w:rsid w:val="001404A2"/>
    <w:rsid w:val="001406EE"/>
    <w:rsid w:val="0014074C"/>
    <w:rsid w:val="001409F8"/>
    <w:rsid w:val="00140AA7"/>
    <w:rsid w:val="00140AC1"/>
    <w:rsid w:val="00140AC8"/>
    <w:rsid w:val="00140B14"/>
    <w:rsid w:val="00140B85"/>
    <w:rsid w:val="00140B90"/>
    <w:rsid w:val="00140F60"/>
    <w:rsid w:val="00140F64"/>
    <w:rsid w:val="00141520"/>
    <w:rsid w:val="0014163E"/>
    <w:rsid w:val="00141852"/>
    <w:rsid w:val="00141E9C"/>
    <w:rsid w:val="00141F03"/>
    <w:rsid w:val="0014207E"/>
    <w:rsid w:val="00142080"/>
    <w:rsid w:val="00142116"/>
    <w:rsid w:val="00142188"/>
    <w:rsid w:val="0014232E"/>
    <w:rsid w:val="0014236F"/>
    <w:rsid w:val="00142555"/>
    <w:rsid w:val="001426C9"/>
    <w:rsid w:val="00142707"/>
    <w:rsid w:val="001427D5"/>
    <w:rsid w:val="0014288C"/>
    <w:rsid w:val="00142959"/>
    <w:rsid w:val="0014297C"/>
    <w:rsid w:val="00142C6E"/>
    <w:rsid w:val="00142F30"/>
    <w:rsid w:val="00142F9D"/>
    <w:rsid w:val="0014372D"/>
    <w:rsid w:val="00143802"/>
    <w:rsid w:val="00143970"/>
    <w:rsid w:val="00143A7C"/>
    <w:rsid w:val="00143B5A"/>
    <w:rsid w:val="00143EAE"/>
    <w:rsid w:val="001440F1"/>
    <w:rsid w:val="0014415A"/>
    <w:rsid w:val="00144212"/>
    <w:rsid w:val="00144262"/>
    <w:rsid w:val="001442A3"/>
    <w:rsid w:val="001444F7"/>
    <w:rsid w:val="00144598"/>
    <w:rsid w:val="00144A0C"/>
    <w:rsid w:val="00144F8E"/>
    <w:rsid w:val="00145026"/>
    <w:rsid w:val="001450E0"/>
    <w:rsid w:val="001450E9"/>
    <w:rsid w:val="0014532F"/>
    <w:rsid w:val="001453A6"/>
    <w:rsid w:val="00145400"/>
    <w:rsid w:val="00145603"/>
    <w:rsid w:val="00145662"/>
    <w:rsid w:val="0014574F"/>
    <w:rsid w:val="00145951"/>
    <w:rsid w:val="001459A2"/>
    <w:rsid w:val="00145A2D"/>
    <w:rsid w:val="00145B33"/>
    <w:rsid w:val="00145D26"/>
    <w:rsid w:val="00145DFC"/>
    <w:rsid w:val="00145EC8"/>
    <w:rsid w:val="00145F72"/>
    <w:rsid w:val="00145FB9"/>
    <w:rsid w:val="00146002"/>
    <w:rsid w:val="00146045"/>
    <w:rsid w:val="00146298"/>
    <w:rsid w:val="00146361"/>
    <w:rsid w:val="001463C9"/>
    <w:rsid w:val="00146A2D"/>
    <w:rsid w:val="00146AEB"/>
    <w:rsid w:val="00146B74"/>
    <w:rsid w:val="00146C0F"/>
    <w:rsid w:val="00146CD9"/>
    <w:rsid w:val="00146E3A"/>
    <w:rsid w:val="00146EC6"/>
    <w:rsid w:val="00146F38"/>
    <w:rsid w:val="001470A0"/>
    <w:rsid w:val="0014710E"/>
    <w:rsid w:val="001472D8"/>
    <w:rsid w:val="0014735F"/>
    <w:rsid w:val="00147551"/>
    <w:rsid w:val="00147733"/>
    <w:rsid w:val="00147B03"/>
    <w:rsid w:val="00150061"/>
    <w:rsid w:val="0015022E"/>
    <w:rsid w:val="001502CD"/>
    <w:rsid w:val="00150321"/>
    <w:rsid w:val="0015063C"/>
    <w:rsid w:val="0015069D"/>
    <w:rsid w:val="00150718"/>
    <w:rsid w:val="001509E9"/>
    <w:rsid w:val="00150B63"/>
    <w:rsid w:val="00150E21"/>
    <w:rsid w:val="00151095"/>
    <w:rsid w:val="00151213"/>
    <w:rsid w:val="00151356"/>
    <w:rsid w:val="00151375"/>
    <w:rsid w:val="00151483"/>
    <w:rsid w:val="00151605"/>
    <w:rsid w:val="0015177C"/>
    <w:rsid w:val="00151C71"/>
    <w:rsid w:val="00151C8C"/>
    <w:rsid w:val="00151CC9"/>
    <w:rsid w:val="00151E7A"/>
    <w:rsid w:val="00151FF0"/>
    <w:rsid w:val="00152191"/>
    <w:rsid w:val="00152419"/>
    <w:rsid w:val="0015286E"/>
    <w:rsid w:val="00152AE9"/>
    <w:rsid w:val="00152FA4"/>
    <w:rsid w:val="00152FEC"/>
    <w:rsid w:val="001530B2"/>
    <w:rsid w:val="001533CC"/>
    <w:rsid w:val="001535D8"/>
    <w:rsid w:val="00153BAB"/>
    <w:rsid w:val="00153C0E"/>
    <w:rsid w:val="00154068"/>
    <w:rsid w:val="0015417C"/>
    <w:rsid w:val="00154370"/>
    <w:rsid w:val="00154375"/>
    <w:rsid w:val="0015444D"/>
    <w:rsid w:val="00154456"/>
    <w:rsid w:val="00154614"/>
    <w:rsid w:val="0015472B"/>
    <w:rsid w:val="00154A07"/>
    <w:rsid w:val="00154C43"/>
    <w:rsid w:val="00154CEB"/>
    <w:rsid w:val="00154CF4"/>
    <w:rsid w:val="00154DAF"/>
    <w:rsid w:val="00154F15"/>
    <w:rsid w:val="00155083"/>
    <w:rsid w:val="0015564F"/>
    <w:rsid w:val="001557D1"/>
    <w:rsid w:val="00155921"/>
    <w:rsid w:val="001559FB"/>
    <w:rsid w:val="00155B20"/>
    <w:rsid w:val="00155DDA"/>
    <w:rsid w:val="00155F1D"/>
    <w:rsid w:val="00155FC4"/>
    <w:rsid w:val="0015601C"/>
    <w:rsid w:val="001561F9"/>
    <w:rsid w:val="00156436"/>
    <w:rsid w:val="0015672A"/>
    <w:rsid w:val="00156758"/>
    <w:rsid w:val="001568EC"/>
    <w:rsid w:val="001569A5"/>
    <w:rsid w:val="00156A49"/>
    <w:rsid w:val="00156A6A"/>
    <w:rsid w:val="00156B8B"/>
    <w:rsid w:val="00156CFA"/>
    <w:rsid w:val="00156D1C"/>
    <w:rsid w:val="00157181"/>
    <w:rsid w:val="00157253"/>
    <w:rsid w:val="0015727F"/>
    <w:rsid w:val="0015739E"/>
    <w:rsid w:val="00157472"/>
    <w:rsid w:val="001575B1"/>
    <w:rsid w:val="00157684"/>
    <w:rsid w:val="0015781F"/>
    <w:rsid w:val="00157933"/>
    <w:rsid w:val="00157991"/>
    <w:rsid w:val="00157A45"/>
    <w:rsid w:val="00157B5F"/>
    <w:rsid w:val="00157C14"/>
    <w:rsid w:val="00157EBD"/>
    <w:rsid w:val="00157EC5"/>
    <w:rsid w:val="00157F04"/>
    <w:rsid w:val="001600F4"/>
    <w:rsid w:val="00160134"/>
    <w:rsid w:val="001603AA"/>
    <w:rsid w:val="00160501"/>
    <w:rsid w:val="00160522"/>
    <w:rsid w:val="001605A5"/>
    <w:rsid w:val="0016068C"/>
    <w:rsid w:val="00160C6D"/>
    <w:rsid w:val="00160C8E"/>
    <w:rsid w:val="00161169"/>
    <w:rsid w:val="00161357"/>
    <w:rsid w:val="00161464"/>
    <w:rsid w:val="0016148B"/>
    <w:rsid w:val="00161998"/>
    <w:rsid w:val="001619C9"/>
    <w:rsid w:val="00161B41"/>
    <w:rsid w:val="00161BAF"/>
    <w:rsid w:val="00161BF1"/>
    <w:rsid w:val="00161C3A"/>
    <w:rsid w:val="00161D8F"/>
    <w:rsid w:val="00161E1F"/>
    <w:rsid w:val="00161FA5"/>
    <w:rsid w:val="0016213D"/>
    <w:rsid w:val="0016223E"/>
    <w:rsid w:val="0016228D"/>
    <w:rsid w:val="00162434"/>
    <w:rsid w:val="001624B1"/>
    <w:rsid w:val="0016254A"/>
    <w:rsid w:val="00162581"/>
    <w:rsid w:val="00162823"/>
    <w:rsid w:val="0016286D"/>
    <w:rsid w:val="00162971"/>
    <w:rsid w:val="00162982"/>
    <w:rsid w:val="001629EC"/>
    <w:rsid w:val="00162C97"/>
    <w:rsid w:val="00162DB0"/>
    <w:rsid w:val="00162E9B"/>
    <w:rsid w:val="00162F4B"/>
    <w:rsid w:val="0016331B"/>
    <w:rsid w:val="00163740"/>
    <w:rsid w:val="00163A81"/>
    <w:rsid w:val="00163C6F"/>
    <w:rsid w:val="00163D0E"/>
    <w:rsid w:val="001642F6"/>
    <w:rsid w:val="00164553"/>
    <w:rsid w:val="001646D9"/>
    <w:rsid w:val="00164B0A"/>
    <w:rsid w:val="00164FA1"/>
    <w:rsid w:val="001651D9"/>
    <w:rsid w:val="001653E9"/>
    <w:rsid w:val="00165607"/>
    <w:rsid w:val="00165839"/>
    <w:rsid w:val="001658F8"/>
    <w:rsid w:val="00165A87"/>
    <w:rsid w:val="00165C49"/>
    <w:rsid w:val="00165E65"/>
    <w:rsid w:val="00165F90"/>
    <w:rsid w:val="0016602A"/>
    <w:rsid w:val="00166244"/>
    <w:rsid w:val="001663CC"/>
    <w:rsid w:val="00166859"/>
    <w:rsid w:val="001669A2"/>
    <w:rsid w:val="00166B9A"/>
    <w:rsid w:val="00166BDD"/>
    <w:rsid w:val="00166D76"/>
    <w:rsid w:val="00167104"/>
    <w:rsid w:val="00167163"/>
    <w:rsid w:val="0016716F"/>
    <w:rsid w:val="00167320"/>
    <w:rsid w:val="00167572"/>
    <w:rsid w:val="001676D2"/>
    <w:rsid w:val="00167727"/>
    <w:rsid w:val="001677B3"/>
    <w:rsid w:val="00167953"/>
    <w:rsid w:val="0016797C"/>
    <w:rsid w:val="00167A25"/>
    <w:rsid w:val="00167C25"/>
    <w:rsid w:val="00167D81"/>
    <w:rsid w:val="00167FA7"/>
    <w:rsid w:val="0017001E"/>
    <w:rsid w:val="001704B4"/>
    <w:rsid w:val="00170533"/>
    <w:rsid w:val="001705C8"/>
    <w:rsid w:val="00170808"/>
    <w:rsid w:val="00170956"/>
    <w:rsid w:val="00170993"/>
    <w:rsid w:val="001709FC"/>
    <w:rsid w:val="00170B72"/>
    <w:rsid w:val="00171043"/>
    <w:rsid w:val="00171204"/>
    <w:rsid w:val="001713EE"/>
    <w:rsid w:val="00171409"/>
    <w:rsid w:val="00171418"/>
    <w:rsid w:val="001714DA"/>
    <w:rsid w:val="0017161A"/>
    <w:rsid w:val="00171734"/>
    <w:rsid w:val="00171857"/>
    <w:rsid w:val="00171897"/>
    <w:rsid w:val="00171B13"/>
    <w:rsid w:val="00172116"/>
    <w:rsid w:val="00172260"/>
    <w:rsid w:val="00172711"/>
    <w:rsid w:val="00172736"/>
    <w:rsid w:val="00172811"/>
    <w:rsid w:val="0017296C"/>
    <w:rsid w:val="00172CC6"/>
    <w:rsid w:val="00172D39"/>
    <w:rsid w:val="00172FFD"/>
    <w:rsid w:val="00173565"/>
    <w:rsid w:val="0017359F"/>
    <w:rsid w:val="001736D5"/>
    <w:rsid w:val="0017370B"/>
    <w:rsid w:val="0017370E"/>
    <w:rsid w:val="0017375E"/>
    <w:rsid w:val="00173A60"/>
    <w:rsid w:val="00173B83"/>
    <w:rsid w:val="00173BF1"/>
    <w:rsid w:val="00173C4C"/>
    <w:rsid w:val="00173D14"/>
    <w:rsid w:val="0017422A"/>
    <w:rsid w:val="0017436E"/>
    <w:rsid w:val="00174400"/>
    <w:rsid w:val="00174404"/>
    <w:rsid w:val="00174413"/>
    <w:rsid w:val="00174566"/>
    <w:rsid w:val="0017463E"/>
    <w:rsid w:val="001746C1"/>
    <w:rsid w:val="00174720"/>
    <w:rsid w:val="00174734"/>
    <w:rsid w:val="00174807"/>
    <w:rsid w:val="001748E9"/>
    <w:rsid w:val="001749A5"/>
    <w:rsid w:val="00174A09"/>
    <w:rsid w:val="00174B3B"/>
    <w:rsid w:val="00174BE8"/>
    <w:rsid w:val="001751D4"/>
    <w:rsid w:val="00175232"/>
    <w:rsid w:val="00175443"/>
    <w:rsid w:val="00175669"/>
    <w:rsid w:val="00175EAF"/>
    <w:rsid w:val="00176025"/>
    <w:rsid w:val="00176028"/>
    <w:rsid w:val="00176048"/>
    <w:rsid w:val="001763EE"/>
    <w:rsid w:val="0017642E"/>
    <w:rsid w:val="00176479"/>
    <w:rsid w:val="0017660D"/>
    <w:rsid w:val="00176A9D"/>
    <w:rsid w:val="00176F36"/>
    <w:rsid w:val="0017700E"/>
    <w:rsid w:val="001770F1"/>
    <w:rsid w:val="0017718F"/>
    <w:rsid w:val="001771AC"/>
    <w:rsid w:val="00177266"/>
    <w:rsid w:val="00177461"/>
    <w:rsid w:val="00177597"/>
    <w:rsid w:val="0017789A"/>
    <w:rsid w:val="001778EA"/>
    <w:rsid w:val="0017795D"/>
    <w:rsid w:val="00177B10"/>
    <w:rsid w:val="00177BDC"/>
    <w:rsid w:val="00177E83"/>
    <w:rsid w:val="0018035F"/>
    <w:rsid w:val="00180397"/>
    <w:rsid w:val="0018060E"/>
    <w:rsid w:val="0018063E"/>
    <w:rsid w:val="00180752"/>
    <w:rsid w:val="00180A9E"/>
    <w:rsid w:val="00180C33"/>
    <w:rsid w:val="00181020"/>
    <w:rsid w:val="001810D3"/>
    <w:rsid w:val="00181141"/>
    <w:rsid w:val="0018119B"/>
    <w:rsid w:val="001814F7"/>
    <w:rsid w:val="001816C8"/>
    <w:rsid w:val="0018171F"/>
    <w:rsid w:val="00181778"/>
    <w:rsid w:val="00181821"/>
    <w:rsid w:val="0018193F"/>
    <w:rsid w:val="00181CD8"/>
    <w:rsid w:val="00181CEC"/>
    <w:rsid w:val="00181D57"/>
    <w:rsid w:val="00181EF9"/>
    <w:rsid w:val="00181F77"/>
    <w:rsid w:val="00181FDE"/>
    <w:rsid w:val="00182095"/>
    <w:rsid w:val="001820A3"/>
    <w:rsid w:val="001823AA"/>
    <w:rsid w:val="001823EC"/>
    <w:rsid w:val="00182532"/>
    <w:rsid w:val="0018263B"/>
    <w:rsid w:val="0018269A"/>
    <w:rsid w:val="001826B2"/>
    <w:rsid w:val="001826DD"/>
    <w:rsid w:val="00182758"/>
    <w:rsid w:val="00182818"/>
    <w:rsid w:val="0018289A"/>
    <w:rsid w:val="001828EF"/>
    <w:rsid w:val="00182F84"/>
    <w:rsid w:val="001830FA"/>
    <w:rsid w:val="00183361"/>
    <w:rsid w:val="00183577"/>
    <w:rsid w:val="001836AA"/>
    <w:rsid w:val="00183EA6"/>
    <w:rsid w:val="001840BB"/>
    <w:rsid w:val="00184239"/>
    <w:rsid w:val="001844A4"/>
    <w:rsid w:val="001845F1"/>
    <w:rsid w:val="00184637"/>
    <w:rsid w:val="0018478F"/>
    <w:rsid w:val="00184CCB"/>
    <w:rsid w:val="00184CF2"/>
    <w:rsid w:val="00184F3B"/>
    <w:rsid w:val="00184F70"/>
    <w:rsid w:val="00184FA5"/>
    <w:rsid w:val="0018512B"/>
    <w:rsid w:val="00185189"/>
    <w:rsid w:val="0018526E"/>
    <w:rsid w:val="0018531C"/>
    <w:rsid w:val="0018539F"/>
    <w:rsid w:val="001853B8"/>
    <w:rsid w:val="001855CD"/>
    <w:rsid w:val="001855F2"/>
    <w:rsid w:val="001859E1"/>
    <w:rsid w:val="00185B01"/>
    <w:rsid w:val="00185B4B"/>
    <w:rsid w:val="00185CC0"/>
    <w:rsid w:val="001861A0"/>
    <w:rsid w:val="00186235"/>
    <w:rsid w:val="0018672B"/>
    <w:rsid w:val="00186BA0"/>
    <w:rsid w:val="00186F42"/>
    <w:rsid w:val="00186F73"/>
    <w:rsid w:val="001870E9"/>
    <w:rsid w:val="001871AE"/>
    <w:rsid w:val="001873B4"/>
    <w:rsid w:val="001873D0"/>
    <w:rsid w:val="0018756F"/>
    <w:rsid w:val="00187588"/>
    <w:rsid w:val="00187679"/>
    <w:rsid w:val="001877C6"/>
    <w:rsid w:val="00187B4E"/>
    <w:rsid w:val="00187C2D"/>
    <w:rsid w:val="00187CE0"/>
    <w:rsid w:val="00187DF1"/>
    <w:rsid w:val="00187F91"/>
    <w:rsid w:val="00190097"/>
    <w:rsid w:val="00190280"/>
    <w:rsid w:val="0019046F"/>
    <w:rsid w:val="00190597"/>
    <w:rsid w:val="00190861"/>
    <w:rsid w:val="00190A88"/>
    <w:rsid w:val="00190A97"/>
    <w:rsid w:val="00190AEA"/>
    <w:rsid w:val="00190C27"/>
    <w:rsid w:val="0019108A"/>
    <w:rsid w:val="001911EA"/>
    <w:rsid w:val="001913CB"/>
    <w:rsid w:val="0019154D"/>
    <w:rsid w:val="0019155C"/>
    <w:rsid w:val="00191A32"/>
    <w:rsid w:val="0019217E"/>
    <w:rsid w:val="001921EE"/>
    <w:rsid w:val="001921F8"/>
    <w:rsid w:val="001922C2"/>
    <w:rsid w:val="00192416"/>
    <w:rsid w:val="00192537"/>
    <w:rsid w:val="00192548"/>
    <w:rsid w:val="001926A8"/>
    <w:rsid w:val="001926D0"/>
    <w:rsid w:val="00192D01"/>
    <w:rsid w:val="00192E39"/>
    <w:rsid w:val="00192FA0"/>
    <w:rsid w:val="0019304E"/>
    <w:rsid w:val="00193389"/>
    <w:rsid w:val="001933A9"/>
    <w:rsid w:val="00193598"/>
    <w:rsid w:val="0019363E"/>
    <w:rsid w:val="00193A3A"/>
    <w:rsid w:val="00193D01"/>
    <w:rsid w:val="00193EC4"/>
    <w:rsid w:val="00193EDD"/>
    <w:rsid w:val="00193F43"/>
    <w:rsid w:val="001940CD"/>
    <w:rsid w:val="001940E3"/>
    <w:rsid w:val="00194400"/>
    <w:rsid w:val="00194472"/>
    <w:rsid w:val="001946F3"/>
    <w:rsid w:val="001948A4"/>
    <w:rsid w:val="001948C1"/>
    <w:rsid w:val="001949DB"/>
    <w:rsid w:val="00194ABE"/>
    <w:rsid w:val="00194ACA"/>
    <w:rsid w:val="00194C7C"/>
    <w:rsid w:val="00194E1E"/>
    <w:rsid w:val="00194E38"/>
    <w:rsid w:val="00194FF5"/>
    <w:rsid w:val="001951B2"/>
    <w:rsid w:val="00195791"/>
    <w:rsid w:val="00195C5C"/>
    <w:rsid w:val="00195D71"/>
    <w:rsid w:val="00195EF0"/>
    <w:rsid w:val="00195FB5"/>
    <w:rsid w:val="0019612E"/>
    <w:rsid w:val="00196184"/>
    <w:rsid w:val="0019619C"/>
    <w:rsid w:val="00196202"/>
    <w:rsid w:val="001965A8"/>
    <w:rsid w:val="00196725"/>
    <w:rsid w:val="001967ED"/>
    <w:rsid w:val="00196807"/>
    <w:rsid w:val="0019697F"/>
    <w:rsid w:val="00196B1E"/>
    <w:rsid w:val="00196E35"/>
    <w:rsid w:val="00196E77"/>
    <w:rsid w:val="001971DF"/>
    <w:rsid w:val="00197291"/>
    <w:rsid w:val="0019751A"/>
    <w:rsid w:val="00197692"/>
    <w:rsid w:val="001977A0"/>
    <w:rsid w:val="00197821"/>
    <w:rsid w:val="0019784A"/>
    <w:rsid w:val="001978D0"/>
    <w:rsid w:val="00197A3A"/>
    <w:rsid w:val="00197ABE"/>
    <w:rsid w:val="00197CAF"/>
    <w:rsid w:val="00197FBB"/>
    <w:rsid w:val="001A0037"/>
    <w:rsid w:val="001A00CA"/>
    <w:rsid w:val="001A03F4"/>
    <w:rsid w:val="001A04D2"/>
    <w:rsid w:val="001A074F"/>
    <w:rsid w:val="001A08F2"/>
    <w:rsid w:val="001A0D2A"/>
    <w:rsid w:val="001A0ED6"/>
    <w:rsid w:val="001A0FCF"/>
    <w:rsid w:val="001A1693"/>
    <w:rsid w:val="001A19A3"/>
    <w:rsid w:val="001A1AFD"/>
    <w:rsid w:val="001A1B13"/>
    <w:rsid w:val="001A1BAB"/>
    <w:rsid w:val="001A1D06"/>
    <w:rsid w:val="001A1DBD"/>
    <w:rsid w:val="001A1DE3"/>
    <w:rsid w:val="001A1E09"/>
    <w:rsid w:val="001A1FD5"/>
    <w:rsid w:val="001A215C"/>
    <w:rsid w:val="001A2173"/>
    <w:rsid w:val="001A2334"/>
    <w:rsid w:val="001A2424"/>
    <w:rsid w:val="001A2471"/>
    <w:rsid w:val="001A25A7"/>
    <w:rsid w:val="001A26C4"/>
    <w:rsid w:val="001A28F9"/>
    <w:rsid w:val="001A2A49"/>
    <w:rsid w:val="001A2B34"/>
    <w:rsid w:val="001A2D5E"/>
    <w:rsid w:val="001A2E03"/>
    <w:rsid w:val="001A308A"/>
    <w:rsid w:val="001A31EC"/>
    <w:rsid w:val="001A329B"/>
    <w:rsid w:val="001A32EC"/>
    <w:rsid w:val="001A3309"/>
    <w:rsid w:val="001A348C"/>
    <w:rsid w:val="001A34BC"/>
    <w:rsid w:val="001A39D0"/>
    <w:rsid w:val="001A3A0E"/>
    <w:rsid w:val="001A3B78"/>
    <w:rsid w:val="001A3C24"/>
    <w:rsid w:val="001A3C60"/>
    <w:rsid w:val="001A3D8B"/>
    <w:rsid w:val="001A3E2E"/>
    <w:rsid w:val="001A3EFD"/>
    <w:rsid w:val="001A4108"/>
    <w:rsid w:val="001A415A"/>
    <w:rsid w:val="001A433F"/>
    <w:rsid w:val="001A43FF"/>
    <w:rsid w:val="001A4546"/>
    <w:rsid w:val="001A4622"/>
    <w:rsid w:val="001A479B"/>
    <w:rsid w:val="001A486B"/>
    <w:rsid w:val="001A48A6"/>
    <w:rsid w:val="001A4BB1"/>
    <w:rsid w:val="001A4E79"/>
    <w:rsid w:val="001A514E"/>
    <w:rsid w:val="001A5198"/>
    <w:rsid w:val="001A5275"/>
    <w:rsid w:val="001A52DE"/>
    <w:rsid w:val="001A55E4"/>
    <w:rsid w:val="001A570B"/>
    <w:rsid w:val="001A5837"/>
    <w:rsid w:val="001A5956"/>
    <w:rsid w:val="001A5A1B"/>
    <w:rsid w:val="001A5A23"/>
    <w:rsid w:val="001A5A36"/>
    <w:rsid w:val="001A5A5E"/>
    <w:rsid w:val="001A5CAC"/>
    <w:rsid w:val="001A6145"/>
    <w:rsid w:val="001A63FB"/>
    <w:rsid w:val="001A6459"/>
    <w:rsid w:val="001A6AA2"/>
    <w:rsid w:val="001A6AC9"/>
    <w:rsid w:val="001A6B41"/>
    <w:rsid w:val="001A6FA7"/>
    <w:rsid w:val="001A7115"/>
    <w:rsid w:val="001A7597"/>
    <w:rsid w:val="001A7689"/>
    <w:rsid w:val="001A77D9"/>
    <w:rsid w:val="001A7848"/>
    <w:rsid w:val="001B015E"/>
    <w:rsid w:val="001B0236"/>
    <w:rsid w:val="001B0301"/>
    <w:rsid w:val="001B030C"/>
    <w:rsid w:val="001B03B3"/>
    <w:rsid w:val="001B04FE"/>
    <w:rsid w:val="001B065A"/>
    <w:rsid w:val="001B0856"/>
    <w:rsid w:val="001B0ACE"/>
    <w:rsid w:val="001B0E99"/>
    <w:rsid w:val="001B11AF"/>
    <w:rsid w:val="001B1481"/>
    <w:rsid w:val="001B16AA"/>
    <w:rsid w:val="001B2051"/>
    <w:rsid w:val="001B2139"/>
    <w:rsid w:val="001B21A9"/>
    <w:rsid w:val="001B21F4"/>
    <w:rsid w:val="001B2352"/>
    <w:rsid w:val="001B24C3"/>
    <w:rsid w:val="001B26CA"/>
    <w:rsid w:val="001B2916"/>
    <w:rsid w:val="001B2A4F"/>
    <w:rsid w:val="001B2A64"/>
    <w:rsid w:val="001B2C35"/>
    <w:rsid w:val="001B2E94"/>
    <w:rsid w:val="001B3297"/>
    <w:rsid w:val="001B35B6"/>
    <w:rsid w:val="001B36EA"/>
    <w:rsid w:val="001B3ADF"/>
    <w:rsid w:val="001B42FF"/>
    <w:rsid w:val="001B4380"/>
    <w:rsid w:val="001B43AB"/>
    <w:rsid w:val="001B47B1"/>
    <w:rsid w:val="001B4CB2"/>
    <w:rsid w:val="001B4D0B"/>
    <w:rsid w:val="001B4D0D"/>
    <w:rsid w:val="001B4D26"/>
    <w:rsid w:val="001B4DF0"/>
    <w:rsid w:val="001B4E0E"/>
    <w:rsid w:val="001B4F1C"/>
    <w:rsid w:val="001B511D"/>
    <w:rsid w:val="001B5121"/>
    <w:rsid w:val="001B517A"/>
    <w:rsid w:val="001B533E"/>
    <w:rsid w:val="001B5345"/>
    <w:rsid w:val="001B53D8"/>
    <w:rsid w:val="001B5453"/>
    <w:rsid w:val="001B5464"/>
    <w:rsid w:val="001B5887"/>
    <w:rsid w:val="001B5B59"/>
    <w:rsid w:val="001B5D48"/>
    <w:rsid w:val="001B5FF4"/>
    <w:rsid w:val="001B6061"/>
    <w:rsid w:val="001B60DD"/>
    <w:rsid w:val="001B6161"/>
    <w:rsid w:val="001B659E"/>
    <w:rsid w:val="001B68EA"/>
    <w:rsid w:val="001B6C72"/>
    <w:rsid w:val="001B6DAB"/>
    <w:rsid w:val="001B6FF0"/>
    <w:rsid w:val="001B7104"/>
    <w:rsid w:val="001B71C6"/>
    <w:rsid w:val="001B742D"/>
    <w:rsid w:val="001B7A58"/>
    <w:rsid w:val="001B7BAA"/>
    <w:rsid w:val="001B7D64"/>
    <w:rsid w:val="001B7E31"/>
    <w:rsid w:val="001C002C"/>
    <w:rsid w:val="001C041E"/>
    <w:rsid w:val="001C067C"/>
    <w:rsid w:val="001C07B3"/>
    <w:rsid w:val="001C0CCC"/>
    <w:rsid w:val="001C0CD4"/>
    <w:rsid w:val="001C0D29"/>
    <w:rsid w:val="001C0E52"/>
    <w:rsid w:val="001C1181"/>
    <w:rsid w:val="001C1232"/>
    <w:rsid w:val="001C1298"/>
    <w:rsid w:val="001C12EA"/>
    <w:rsid w:val="001C152A"/>
    <w:rsid w:val="001C167D"/>
    <w:rsid w:val="001C1904"/>
    <w:rsid w:val="001C1A8A"/>
    <w:rsid w:val="001C1B45"/>
    <w:rsid w:val="001C1FD8"/>
    <w:rsid w:val="001C2111"/>
    <w:rsid w:val="001C23A7"/>
    <w:rsid w:val="001C2673"/>
    <w:rsid w:val="001C26EC"/>
    <w:rsid w:val="001C27CA"/>
    <w:rsid w:val="001C285B"/>
    <w:rsid w:val="001C292C"/>
    <w:rsid w:val="001C30BF"/>
    <w:rsid w:val="001C3241"/>
    <w:rsid w:val="001C337F"/>
    <w:rsid w:val="001C3495"/>
    <w:rsid w:val="001C34D5"/>
    <w:rsid w:val="001C3E44"/>
    <w:rsid w:val="001C4324"/>
    <w:rsid w:val="001C46F1"/>
    <w:rsid w:val="001C4956"/>
    <w:rsid w:val="001C4A57"/>
    <w:rsid w:val="001C4AE9"/>
    <w:rsid w:val="001C4BBE"/>
    <w:rsid w:val="001C4CB3"/>
    <w:rsid w:val="001C4DBF"/>
    <w:rsid w:val="001C4EB6"/>
    <w:rsid w:val="001C4FDF"/>
    <w:rsid w:val="001C5433"/>
    <w:rsid w:val="001C5546"/>
    <w:rsid w:val="001C5638"/>
    <w:rsid w:val="001C5749"/>
    <w:rsid w:val="001C5759"/>
    <w:rsid w:val="001C5A6C"/>
    <w:rsid w:val="001C5B31"/>
    <w:rsid w:val="001C5C60"/>
    <w:rsid w:val="001C5DAA"/>
    <w:rsid w:val="001C5DB9"/>
    <w:rsid w:val="001C6201"/>
    <w:rsid w:val="001C644F"/>
    <w:rsid w:val="001C65A7"/>
    <w:rsid w:val="001C6849"/>
    <w:rsid w:val="001C6932"/>
    <w:rsid w:val="001C696D"/>
    <w:rsid w:val="001C6997"/>
    <w:rsid w:val="001C69D8"/>
    <w:rsid w:val="001C6A96"/>
    <w:rsid w:val="001C6AD6"/>
    <w:rsid w:val="001C6C5B"/>
    <w:rsid w:val="001C6D5E"/>
    <w:rsid w:val="001C7013"/>
    <w:rsid w:val="001C70CC"/>
    <w:rsid w:val="001C7260"/>
    <w:rsid w:val="001C72F5"/>
    <w:rsid w:val="001C7367"/>
    <w:rsid w:val="001C7422"/>
    <w:rsid w:val="001C7456"/>
    <w:rsid w:val="001C79FB"/>
    <w:rsid w:val="001C7C80"/>
    <w:rsid w:val="001C7EA1"/>
    <w:rsid w:val="001C7EA9"/>
    <w:rsid w:val="001D006D"/>
    <w:rsid w:val="001D0105"/>
    <w:rsid w:val="001D0115"/>
    <w:rsid w:val="001D0402"/>
    <w:rsid w:val="001D0404"/>
    <w:rsid w:val="001D046A"/>
    <w:rsid w:val="001D0720"/>
    <w:rsid w:val="001D074B"/>
    <w:rsid w:val="001D0794"/>
    <w:rsid w:val="001D0CA2"/>
    <w:rsid w:val="001D0D71"/>
    <w:rsid w:val="001D0EDB"/>
    <w:rsid w:val="001D0F59"/>
    <w:rsid w:val="001D1190"/>
    <w:rsid w:val="001D1191"/>
    <w:rsid w:val="001D15FB"/>
    <w:rsid w:val="001D191D"/>
    <w:rsid w:val="001D1A33"/>
    <w:rsid w:val="001D1BFE"/>
    <w:rsid w:val="001D1CCC"/>
    <w:rsid w:val="001D2792"/>
    <w:rsid w:val="001D2871"/>
    <w:rsid w:val="001D29ED"/>
    <w:rsid w:val="001D2B57"/>
    <w:rsid w:val="001D2E3D"/>
    <w:rsid w:val="001D2EED"/>
    <w:rsid w:val="001D2F42"/>
    <w:rsid w:val="001D2F9E"/>
    <w:rsid w:val="001D33CC"/>
    <w:rsid w:val="001D367F"/>
    <w:rsid w:val="001D370E"/>
    <w:rsid w:val="001D3878"/>
    <w:rsid w:val="001D3993"/>
    <w:rsid w:val="001D39F5"/>
    <w:rsid w:val="001D3C41"/>
    <w:rsid w:val="001D3C5C"/>
    <w:rsid w:val="001D3E88"/>
    <w:rsid w:val="001D4335"/>
    <w:rsid w:val="001D463E"/>
    <w:rsid w:val="001D46CA"/>
    <w:rsid w:val="001D486C"/>
    <w:rsid w:val="001D48BB"/>
    <w:rsid w:val="001D495E"/>
    <w:rsid w:val="001D514D"/>
    <w:rsid w:val="001D540E"/>
    <w:rsid w:val="001D56E9"/>
    <w:rsid w:val="001D58F2"/>
    <w:rsid w:val="001D5902"/>
    <w:rsid w:val="001D5B3C"/>
    <w:rsid w:val="001D5F94"/>
    <w:rsid w:val="001D6335"/>
    <w:rsid w:val="001D6482"/>
    <w:rsid w:val="001D6489"/>
    <w:rsid w:val="001D657F"/>
    <w:rsid w:val="001D6607"/>
    <w:rsid w:val="001D668D"/>
    <w:rsid w:val="001D671A"/>
    <w:rsid w:val="001D6862"/>
    <w:rsid w:val="001D6ACD"/>
    <w:rsid w:val="001D6B64"/>
    <w:rsid w:val="001D6C5A"/>
    <w:rsid w:val="001D6D8F"/>
    <w:rsid w:val="001D6EA3"/>
    <w:rsid w:val="001D6EBB"/>
    <w:rsid w:val="001D6FD2"/>
    <w:rsid w:val="001D7048"/>
    <w:rsid w:val="001D71A2"/>
    <w:rsid w:val="001D74DA"/>
    <w:rsid w:val="001D7792"/>
    <w:rsid w:val="001D7810"/>
    <w:rsid w:val="001D79A5"/>
    <w:rsid w:val="001D79BE"/>
    <w:rsid w:val="001D7D4C"/>
    <w:rsid w:val="001D7E29"/>
    <w:rsid w:val="001D7FBA"/>
    <w:rsid w:val="001E028B"/>
    <w:rsid w:val="001E0363"/>
    <w:rsid w:val="001E0944"/>
    <w:rsid w:val="001E11F2"/>
    <w:rsid w:val="001E1400"/>
    <w:rsid w:val="001E15F2"/>
    <w:rsid w:val="001E1685"/>
    <w:rsid w:val="001E182D"/>
    <w:rsid w:val="001E19CA"/>
    <w:rsid w:val="001E1A11"/>
    <w:rsid w:val="001E1A16"/>
    <w:rsid w:val="001E1A9C"/>
    <w:rsid w:val="001E1D42"/>
    <w:rsid w:val="001E1E2A"/>
    <w:rsid w:val="001E1F6E"/>
    <w:rsid w:val="001E248F"/>
    <w:rsid w:val="001E293D"/>
    <w:rsid w:val="001E2E6D"/>
    <w:rsid w:val="001E3088"/>
    <w:rsid w:val="001E3283"/>
    <w:rsid w:val="001E33D7"/>
    <w:rsid w:val="001E37CB"/>
    <w:rsid w:val="001E39DA"/>
    <w:rsid w:val="001E3A3F"/>
    <w:rsid w:val="001E3B3E"/>
    <w:rsid w:val="001E3DA8"/>
    <w:rsid w:val="001E3F7C"/>
    <w:rsid w:val="001E4010"/>
    <w:rsid w:val="001E40B2"/>
    <w:rsid w:val="001E4256"/>
    <w:rsid w:val="001E433D"/>
    <w:rsid w:val="001E435A"/>
    <w:rsid w:val="001E43D3"/>
    <w:rsid w:val="001E461C"/>
    <w:rsid w:val="001E4784"/>
    <w:rsid w:val="001E4A34"/>
    <w:rsid w:val="001E4BC0"/>
    <w:rsid w:val="001E4C99"/>
    <w:rsid w:val="001E50D9"/>
    <w:rsid w:val="001E5576"/>
    <w:rsid w:val="001E56FE"/>
    <w:rsid w:val="001E59AE"/>
    <w:rsid w:val="001E5A3E"/>
    <w:rsid w:val="001E5E03"/>
    <w:rsid w:val="001E600F"/>
    <w:rsid w:val="001E6659"/>
    <w:rsid w:val="001E6668"/>
    <w:rsid w:val="001E66B7"/>
    <w:rsid w:val="001E6799"/>
    <w:rsid w:val="001E6ADB"/>
    <w:rsid w:val="001E6AEA"/>
    <w:rsid w:val="001E6B61"/>
    <w:rsid w:val="001E6DF3"/>
    <w:rsid w:val="001E6E49"/>
    <w:rsid w:val="001E6E88"/>
    <w:rsid w:val="001E737D"/>
    <w:rsid w:val="001E74A7"/>
    <w:rsid w:val="001E794B"/>
    <w:rsid w:val="001E7A4E"/>
    <w:rsid w:val="001F0174"/>
    <w:rsid w:val="001F020D"/>
    <w:rsid w:val="001F031D"/>
    <w:rsid w:val="001F0598"/>
    <w:rsid w:val="001F06A9"/>
    <w:rsid w:val="001F08B3"/>
    <w:rsid w:val="001F0940"/>
    <w:rsid w:val="001F0AE2"/>
    <w:rsid w:val="001F0B0B"/>
    <w:rsid w:val="001F0CA9"/>
    <w:rsid w:val="001F0D9B"/>
    <w:rsid w:val="001F1073"/>
    <w:rsid w:val="001F1BBC"/>
    <w:rsid w:val="001F1BEF"/>
    <w:rsid w:val="001F1C41"/>
    <w:rsid w:val="001F1DCD"/>
    <w:rsid w:val="001F1FAB"/>
    <w:rsid w:val="001F2040"/>
    <w:rsid w:val="001F2141"/>
    <w:rsid w:val="001F2365"/>
    <w:rsid w:val="001F2523"/>
    <w:rsid w:val="001F25FE"/>
    <w:rsid w:val="001F2BCB"/>
    <w:rsid w:val="001F2D50"/>
    <w:rsid w:val="001F2EFC"/>
    <w:rsid w:val="001F31F1"/>
    <w:rsid w:val="001F33DF"/>
    <w:rsid w:val="001F35CB"/>
    <w:rsid w:val="001F3923"/>
    <w:rsid w:val="001F392C"/>
    <w:rsid w:val="001F397F"/>
    <w:rsid w:val="001F39B5"/>
    <w:rsid w:val="001F3C61"/>
    <w:rsid w:val="001F3DBE"/>
    <w:rsid w:val="001F3E95"/>
    <w:rsid w:val="001F4324"/>
    <w:rsid w:val="001F44D4"/>
    <w:rsid w:val="001F48E2"/>
    <w:rsid w:val="001F4B02"/>
    <w:rsid w:val="001F4B1D"/>
    <w:rsid w:val="001F4C55"/>
    <w:rsid w:val="001F5044"/>
    <w:rsid w:val="001F50D1"/>
    <w:rsid w:val="001F522D"/>
    <w:rsid w:val="001F52E5"/>
    <w:rsid w:val="001F5660"/>
    <w:rsid w:val="001F5934"/>
    <w:rsid w:val="001F5944"/>
    <w:rsid w:val="001F5A45"/>
    <w:rsid w:val="001F5B2B"/>
    <w:rsid w:val="001F5B2E"/>
    <w:rsid w:val="001F5B95"/>
    <w:rsid w:val="001F5C17"/>
    <w:rsid w:val="001F5DA7"/>
    <w:rsid w:val="001F5DBC"/>
    <w:rsid w:val="001F5E35"/>
    <w:rsid w:val="001F605C"/>
    <w:rsid w:val="001F6197"/>
    <w:rsid w:val="001F631E"/>
    <w:rsid w:val="001F6985"/>
    <w:rsid w:val="001F6992"/>
    <w:rsid w:val="001F69F5"/>
    <w:rsid w:val="001F6A45"/>
    <w:rsid w:val="001F6B5D"/>
    <w:rsid w:val="001F6C4B"/>
    <w:rsid w:val="001F7204"/>
    <w:rsid w:val="001F7297"/>
    <w:rsid w:val="001F7409"/>
    <w:rsid w:val="001F7507"/>
    <w:rsid w:val="001F7A8F"/>
    <w:rsid w:val="001F7AFD"/>
    <w:rsid w:val="001F7E94"/>
    <w:rsid w:val="00200219"/>
    <w:rsid w:val="00200387"/>
    <w:rsid w:val="00200522"/>
    <w:rsid w:val="0020067B"/>
    <w:rsid w:val="00200685"/>
    <w:rsid w:val="002007A8"/>
    <w:rsid w:val="00200823"/>
    <w:rsid w:val="002008B7"/>
    <w:rsid w:val="002008C6"/>
    <w:rsid w:val="00200ABC"/>
    <w:rsid w:val="00200C69"/>
    <w:rsid w:val="00200C77"/>
    <w:rsid w:val="00200FB0"/>
    <w:rsid w:val="00201088"/>
    <w:rsid w:val="002010C8"/>
    <w:rsid w:val="002011A0"/>
    <w:rsid w:val="00201213"/>
    <w:rsid w:val="0020121E"/>
    <w:rsid w:val="002015DA"/>
    <w:rsid w:val="00201937"/>
    <w:rsid w:val="00201CA3"/>
    <w:rsid w:val="00201D59"/>
    <w:rsid w:val="00202079"/>
    <w:rsid w:val="002020FA"/>
    <w:rsid w:val="002021A1"/>
    <w:rsid w:val="002021AC"/>
    <w:rsid w:val="00202757"/>
    <w:rsid w:val="00202881"/>
    <w:rsid w:val="00202AD4"/>
    <w:rsid w:val="00202BD9"/>
    <w:rsid w:val="00202C30"/>
    <w:rsid w:val="00202F0B"/>
    <w:rsid w:val="002033DD"/>
    <w:rsid w:val="002036CF"/>
    <w:rsid w:val="00203897"/>
    <w:rsid w:val="002039C9"/>
    <w:rsid w:val="00203C42"/>
    <w:rsid w:val="00203CBF"/>
    <w:rsid w:val="00203EC0"/>
    <w:rsid w:val="00203F39"/>
    <w:rsid w:val="00203F4B"/>
    <w:rsid w:val="00203F4D"/>
    <w:rsid w:val="00204163"/>
    <w:rsid w:val="00204296"/>
    <w:rsid w:val="002042F0"/>
    <w:rsid w:val="00204578"/>
    <w:rsid w:val="002046A5"/>
    <w:rsid w:val="00204831"/>
    <w:rsid w:val="00204B2A"/>
    <w:rsid w:val="00204C8D"/>
    <w:rsid w:val="002050F7"/>
    <w:rsid w:val="002052D9"/>
    <w:rsid w:val="002054AC"/>
    <w:rsid w:val="00205E03"/>
    <w:rsid w:val="00205E3C"/>
    <w:rsid w:val="00205E46"/>
    <w:rsid w:val="00205F7B"/>
    <w:rsid w:val="00205FDD"/>
    <w:rsid w:val="002060EC"/>
    <w:rsid w:val="002062B9"/>
    <w:rsid w:val="00206375"/>
    <w:rsid w:val="002064CA"/>
    <w:rsid w:val="0020660E"/>
    <w:rsid w:val="00206933"/>
    <w:rsid w:val="0020693D"/>
    <w:rsid w:val="00206BE3"/>
    <w:rsid w:val="00206CAE"/>
    <w:rsid w:val="00206DB1"/>
    <w:rsid w:val="00206E54"/>
    <w:rsid w:val="00206FC5"/>
    <w:rsid w:val="002070EF"/>
    <w:rsid w:val="00207148"/>
    <w:rsid w:val="002072EE"/>
    <w:rsid w:val="00207405"/>
    <w:rsid w:val="00207618"/>
    <w:rsid w:val="00207673"/>
    <w:rsid w:val="002078B5"/>
    <w:rsid w:val="00207984"/>
    <w:rsid w:val="00207DE8"/>
    <w:rsid w:val="0021025A"/>
    <w:rsid w:val="002104DB"/>
    <w:rsid w:val="00210849"/>
    <w:rsid w:val="00210B38"/>
    <w:rsid w:val="00210B77"/>
    <w:rsid w:val="0021123E"/>
    <w:rsid w:val="0021126A"/>
    <w:rsid w:val="00211446"/>
    <w:rsid w:val="00211506"/>
    <w:rsid w:val="00211743"/>
    <w:rsid w:val="00211870"/>
    <w:rsid w:val="00211A9B"/>
    <w:rsid w:val="00211AF8"/>
    <w:rsid w:val="00211E8A"/>
    <w:rsid w:val="00212185"/>
    <w:rsid w:val="002123BA"/>
    <w:rsid w:val="00212438"/>
    <w:rsid w:val="002128FD"/>
    <w:rsid w:val="00212BEE"/>
    <w:rsid w:val="00212C64"/>
    <w:rsid w:val="00212D63"/>
    <w:rsid w:val="00212D72"/>
    <w:rsid w:val="00212E04"/>
    <w:rsid w:val="00212F38"/>
    <w:rsid w:val="00213017"/>
    <w:rsid w:val="0021301C"/>
    <w:rsid w:val="00213255"/>
    <w:rsid w:val="00213325"/>
    <w:rsid w:val="002133DE"/>
    <w:rsid w:val="00213454"/>
    <w:rsid w:val="002135E7"/>
    <w:rsid w:val="002138F7"/>
    <w:rsid w:val="0021390E"/>
    <w:rsid w:val="00213AED"/>
    <w:rsid w:val="00213C3F"/>
    <w:rsid w:val="00213E7C"/>
    <w:rsid w:val="002141B5"/>
    <w:rsid w:val="00214934"/>
    <w:rsid w:val="00214A0A"/>
    <w:rsid w:val="00214AC5"/>
    <w:rsid w:val="00214B8C"/>
    <w:rsid w:val="00214FE8"/>
    <w:rsid w:val="0021509C"/>
    <w:rsid w:val="002150DF"/>
    <w:rsid w:val="00215233"/>
    <w:rsid w:val="00215471"/>
    <w:rsid w:val="002155EB"/>
    <w:rsid w:val="002156EE"/>
    <w:rsid w:val="002159B4"/>
    <w:rsid w:val="00215D1F"/>
    <w:rsid w:val="00215E15"/>
    <w:rsid w:val="00215FB3"/>
    <w:rsid w:val="00216196"/>
    <w:rsid w:val="00216510"/>
    <w:rsid w:val="0021675B"/>
    <w:rsid w:val="002168FB"/>
    <w:rsid w:val="002169C5"/>
    <w:rsid w:val="00216A3A"/>
    <w:rsid w:val="00216EB1"/>
    <w:rsid w:val="002170BA"/>
    <w:rsid w:val="0021717D"/>
    <w:rsid w:val="0021731E"/>
    <w:rsid w:val="002173AD"/>
    <w:rsid w:val="00217405"/>
    <w:rsid w:val="0021740B"/>
    <w:rsid w:val="002174FF"/>
    <w:rsid w:val="0021751B"/>
    <w:rsid w:val="002176EB"/>
    <w:rsid w:val="00217721"/>
    <w:rsid w:val="00217761"/>
    <w:rsid w:val="002177DD"/>
    <w:rsid w:val="00217911"/>
    <w:rsid w:val="0021792A"/>
    <w:rsid w:val="00217A4A"/>
    <w:rsid w:val="00217C53"/>
    <w:rsid w:val="00217EC8"/>
    <w:rsid w:val="00217EE1"/>
    <w:rsid w:val="00217F04"/>
    <w:rsid w:val="0022051F"/>
    <w:rsid w:val="0022094C"/>
    <w:rsid w:val="002209F1"/>
    <w:rsid w:val="00220A2E"/>
    <w:rsid w:val="00220AA1"/>
    <w:rsid w:val="00220E58"/>
    <w:rsid w:val="00220EC7"/>
    <w:rsid w:val="00220F4B"/>
    <w:rsid w:val="00221304"/>
    <w:rsid w:val="0022157E"/>
    <w:rsid w:val="002215A2"/>
    <w:rsid w:val="002216CF"/>
    <w:rsid w:val="0022176C"/>
    <w:rsid w:val="002217C3"/>
    <w:rsid w:val="00221964"/>
    <w:rsid w:val="002219CF"/>
    <w:rsid w:val="00221D9E"/>
    <w:rsid w:val="00221E26"/>
    <w:rsid w:val="0022200E"/>
    <w:rsid w:val="00222041"/>
    <w:rsid w:val="002222B5"/>
    <w:rsid w:val="00222328"/>
    <w:rsid w:val="002224A0"/>
    <w:rsid w:val="0022250C"/>
    <w:rsid w:val="00222820"/>
    <w:rsid w:val="002229A7"/>
    <w:rsid w:val="00222D46"/>
    <w:rsid w:val="00222D71"/>
    <w:rsid w:val="00223250"/>
    <w:rsid w:val="00223336"/>
    <w:rsid w:val="002233D8"/>
    <w:rsid w:val="002234C6"/>
    <w:rsid w:val="0022355C"/>
    <w:rsid w:val="002236F6"/>
    <w:rsid w:val="00223904"/>
    <w:rsid w:val="00223A05"/>
    <w:rsid w:val="00223AEB"/>
    <w:rsid w:val="00223B7B"/>
    <w:rsid w:val="00223BD2"/>
    <w:rsid w:val="00223D1C"/>
    <w:rsid w:val="002241A8"/>
    <w:rsid w:val="002241F0"/>
    <w:rsid w:val="002242C0"/>
    <w:rsid w:val="00224300"/>
    <w:rsid w:val="00224332"/>
    <w:rsid w:val="0022448B"/>
    <w:rsid w:val="00224537"/>
    <w:rsid w:val="0022458A"/>
    <w:rsid w:val="002245AC"/>
    <w:rsid w:val="002245FE"/>
    <w:rsid w:val="00224753"/>
    <w:rsid w:val="00224776"/>
    <w:rsid w:val="00224868"/>
    <w:rsid w:val="002248B1"/>
    <w:rsid w:val="00224907"/>
    <w:rsid w:val="00224B7D"/>
    <w:rsid w:val="00224E2E"/>
    <w:rsid w:val="0022515A"/>
    <w:rsid w:val="002252B8"/>
    <w:rsid w:val="0022559E"/>
    <w:rsid w:val="002257B5"/>
    <w:rsid w:val="00225893"/>
    <w:rsid w:val="002258D7"/>
    <w:rsid w:val="00225929"/>
    <w:rsid w:val="00225AA9"/>
    <w:rsid w:val="00225AD3"/>
    <w:rsid w:val="00225B5C"/>
    <w:rsid w:val="00225BB6"/>
    <w:rsid w:val="00225C70"/>
    <w:rsid w:val="00225E1B"/>
    <w:rsid w:val="00225F23"/>
    <w:rsid w:val="00225FD8"/>
    <w:rsid w:val="00226077"/>
    <w:rsid w:val="002263F8"/>
    <w:rsid w:val="00226444"/>
    <w:rsid w:val="00226900"/>
    <w:rsid w:val="00226CDF"/>
    <w:rsid w:val="00226D20"/>
    <w:rsid w:val="00226DDC"/>
    <w:rsid w:val="00226DED"/>
    <w:rsid w:val="00226E7D"/>
    <w:rsid w:val="00226F3A"/>
    <w:rsid w:val="002273AF"/>
    <w:rsid w:val="002277BD"/>
    <w:rsid w:val="002279F1"/>
    <w:rsid w:val="00227A4B"/>
    <w:rsid w:val="00227A7E"/>
    <w:rsid w:val="00227AE9"/>
    <w:rsid w:val="00227E96"/>
    <w:rsid w:val="00227EC5"/>
    <w:rsid w:val="002300B9"/>
    <w:rsid w:val="0023047A"/>
    <w:rsid w:val="0023047E"/>
    <w:rsid w:val="0023051D"/>
    <w:rsid w:val="00230580"/>
    <w:rsid w:val="0023058F"/>
    <w:rsid w:val="00230650"/>
    <w:rsid w:val="002308AC"/>
    <w:rsid w:val="00230A3E"/>
    <w:rsid w:val="00230ABB"/>
    <w:rsid w:val="00230AD0"/>
    <w:rsid w:val="00230CCF"/>
    <w:rsid w:val="00230F20"/>
    <w:rsid w:val="00230F58"/>
    <w:rsid w:val="00231080"/>
    <w:rsid w:val="00231347"/>
    <w:rsid w:val="002313DB"/>
    <w:rsid w:val="002314D2"/>
    <w:rsid w:val="002315D0"/>
    <w:rsid w:val="002315E1"/>
    <w:rsid w:val="00231810"/>
    <w:rsid w:val="002318E6"/>
    <w:rsid w:val="00231966"/>
    <w:rsid w:val="00231A71"/>
    <w:rsid w:val="00231A82"/>
    <w:rsid w:val="00231AD6"/>
    <w:rsid w:val="00231BF0"/>
    <w:rsid w:val="00231DBB"/>
    <w:rsid w:val="00231E9D"/>
    <w:rsid w:val="00232023"/>
    <w:rsid w:val="00232038"/>
    <w:rsid w:val="00232335"/>
    <w:rsid w:val="0023235A"/>
    <w:rsid w:val="00232439"/>
    <w:rsid w:val="0023244B"/>
    <w:rsid w:val="002325F2"/>
    <w:rsid w:val="002326AA"/>
    <w:rsid w:val="0023280D"/>
    <w:rsid w:val="00232DB6"/>
    <w:rsid w:val="00232E75"/>
    <w:rsid w:val="00232FE0"/>
    <w:rsid w:val="002330A3"/>
    <w:rsid w:val="002336EF"/>
    <w:rsid w:val="00233820"/>
    <w:rsid w:val="00233AE7"/>
    <w:rsid w:val="00233C2A"/>
    <w:rsid w:val="00233FA1"/>
    <w:rsid w:val="002340F0"/>
    <w:rsid w:val="0023424E"/>
    <w:rsid w:val="0023457C"/>
    <w:rsid w:val="002346C2"/>
    <w:rsid w:val="00234763"/>
    <w:rsid w:val="002349F2"/>
    <w:rsid w:val="00234B23"/>
    <w:rsid w:val="00234D1C"/>
    <w:rsid w:val="00234E2F"/>
    <w:rsid w:val="002351A8"/>
    <w:rsid w:val="002352E7"/>
    <w:rsid w:val="002353C0"/>
    <w:rsid w:val="002355FF"/>
    <w:rsid w:val="0023572A"/>
    <w:rsid w:val="00235755"/>
    <w:rsid w:val="00235762"/>
    <w:rsid w:val="002357C6"/>
    <w:rsid w:val="002358FE"/>
    <w:rsid w:val="00235963"/>
    <w:rsid w:val="00235ABE"/>
    <w:rsid w:val="00235C5A"/>
    <w:rsid w:val="00235F49"/>
    <w:rsid w:val="002360AA"/>
    <w:rsid w:val="00236224"/>
    <w:rsid w:val="002363C1"/>
    <w:rsid w:val="00236424"/>
    <w:rsid w:val="002365FE"/>
    <w:rsid w:val="0023668C"/>
    <w:rsid w:val="002366BF"/>
    <w:rsid w:val="00236A32"/>
    <w:rsid w:val="00236B3E"/>
    <w:rsid w:val="00236C7C"/>
    <w:rsid w:val="00236C95"/>
    <w:rsid w:val="00236D90"/>
    <w:rsid w:val="00236E5F"/>
    <w:rsid w:val="00236F6F"/>
    <w:rsid w:val="002371C2"/>
    <w:rsid w:val="00237272"/>
    <w:rsid w:val="002374C3"/>
    <w:rsid w:val="00237579"/>
    <w:rsid w:val="0023766D"/>
    <w:rsid w:val="002379DE"/>
    <w:rsid w:val="00237A38"/>
    <w:rsid w:val="00237E51"/>
    <w:rsid w:val="00237FE5"/>
    <w:rsid w:val="002407DF"/>
    <w:rsid w:val="0024089C"/>
    <w:rsid w:val="002408B6"/>
    <w:rsid w:val="00240FDC"/>
    <w:rsid w:val="002410E9"/>
    <w:rsid w:val="002416D5"/>
    <w:rsid w:val="0024186D"/>
    <w:rsid w:val="00241965"/>
    <w:rsid w:val="00241A6B"/>
    <w:rsid w:val="00241AFE"/>
    <w:rsid w:val="00241B3D"/>
    <w:rsid w:val="00241B68"/>
    <w:rsid w:val="00241D18"/>
    <w:rsid w:val="00241E62"/>
    <w:rsid w:val="00241EAE"/>
    <w:rsid w:val="00241F98"/>
    <w:rsid w:val="0024219B"/>
    <w:rsid w:val="002421AF"/>
    <w:rsid w:val="002423FB"/>
    <w:rsid w:val="0024251C"/>
    <w:rsid w:val="0024256E"/>
    <w:rsid w:val="0024270C"/>
    <w:rsid w:val="002429A3"/>
    <w:rsid w:val="00242A11"/>
    <w:rsid w:val="00242A69"/>
    <w:rsid w:val="00242BDB"/>
    <w:rsid w:val="00242E35"/>
    <w:rsid w:val="002430D4"/>
    <w:rsid w:val="002431F9"/>
    <w:rsid w:val="00243657"/>
    <w:rsid w:val="00243909"/>
    <w:rsid w:val="0024398D"/>
    <w:rsid w:val="002439AA"/>
    <w:rsid w:val="00243BBC"/>
    <w:rsid w:val="00243CE3"/>
    <w:rsid w:val="00244553"/>
    <w:rsid w:val="002445C0"/>
    <w:rsid w:val="002446AF"/>
    <w:rsid w:val="002448A3"/>
    <w:rsid w:val="002448CD"/>
    <w:rsid w:val="00244BB8"/>
    <w:rsid w:val="00244C18"/>
    <w:rsid w:val="00244E8B"/>
    <w:rsid w:val="00245005"/>
    <w:rsid w:val="0024502C"/>
    <w:rsid w:val="00245106"/>
    <w:rsid w:val="0024525B"/>
    <w:rsid w:val="00245395"/>
    <w:rsid w:val="002453F5"/>
    <w:rsid w:val="002454D9"/>
    <w:rsid w:val="002455A4"/>
    <w:rsid w:val="0024594D"/>
    <w:rsid w:val="00245989"/>
    <w:rsid w:val="00245D52"/>
    <w:rsid w:val="00245F04"/>
    <w:rsid w:val="00245F36"/>
    <w:rsid w:val="00246238"/>
    <w:rsid w:val="0024626C"/>
    <w:rsid w:val="00246383"/>
    <w:rsid w:val="002465C1"/>
    <w:rsid w:val="00246831"/>
    <w:rsid w:val="00246AA5"/>
    <w:rsid w:val="00246D42"/>
    <w:rsid w:val="00246E20"/>
    <w:rsid w:val="002475B6"/>
    <w:rsid w:val="0024760D"/>
    <w:rsid w:val="00247BDF"/>
    <w:rsid w:val="00247C83"/>
    <w:rsid w:val="00247FC6"/>
    <w:rsid w:val="002503A1"/>
    <w:rsid w:val="002504F4"/>
    <w:rsid w:val="00250740"/>
    <w:rsid w:val="00250ED9"/>
    <w:rsid w:val="00250F51"/>
    <w:rsid w:val="00251076"/>
    <w:rsid w:val="00251081"/>
    <w:rsid w:val="002510BA"/>
    <w:rsid w:val="002512F6"/>
    <w:rsid w:val="0025130B"/>
    <w:rsid w:val="002513BE"/>
    <w:rsid w:val="002515B1"/>
    <w:rsid w:val="002515C8"/>
    <w:rsid w:val="0025176F"/>
    <w:rsid w:val="00251A45"/>
    <w:rsid w:val="00251A8A"/>
    <w:rsid w:val="00251AFB"/>
    <w:rsid w:val="00251D32"/>
    <w:rsid w:val="0025215E"/>
    <w:rsid w:val="00252267"/>
    <w:rsid w:val="00252518"/>
    <w:rsid w:val="002525D7"/>
    <w:rsid w:val="002526CC"/>
    <w:rsid w:val="0025287E"/>
    <w:rsid w:val="00252FE6"/>
    <w:rsid w:val="00252FF2"/>
    <w:rsid w:val="00253174"/>
    <w:rsid w:val="0025317E"/>
    <w:rsid w:val="00253370"/>
    <w:rsid w:val="002536E0"/>
    <w:rsid w:val="00253730"/>
    <w:rsid w:val="00253F79"/>
    <w:rsid w:val="00254223"/>
    <w:rsid w:val="002543D2"/>
    <w:rsid w:val="0025456B"/>
    <w:rsid w:val="002546AA"/>
    <w:rsid w:val="00254EEF"/>
    <w:rsid w:val="0025525D"/>
    <w:rsid w:val="00255294"/>
    <w:rsid w:val="0025558D"/>
    <w:rsid w:val="0025593A"/>
    <w:rsid w:val="00255D63"/>
    <w:rsid w:val="00255FBD"/>
    <w:rsid w:val="00256353"/>
    <w:rsid w:val="002563DB"/>
    <w:rsid w:val="002563F5"/>
    <w:rsid w:val="00256410"/>
    <w:rsid w:val="00256C61"/>
    <w:rsid w:val="0025702E"/>
    <w:rsid w:val="00257197"/>
    <w:rsid w:val="002572E1"/>
    <w:rsid w:val="00257319"/>
    <w:rsid w:val="002573C5"/>
    <w:rsid w:val="002573F6"/>
    <w:rsid w:val="002574EE"/>
    <w:rsid w:val="00257673"/>
    <w:rsid w:val="002576CD"/>
    <w:rsid w:val="0025781A"/>
    <w:rsid w:val="0025793A"/>
    <w:rsid w:val="00257950"/>
    <w:rsid w:val="00257BFE"/>
    <w:rsid w:val="00257E0D"/>
    <w:rsid w:val="00257E71"/>
    <w:rsid w:val="0026001B"/>
    <w:rsid w:val="00260157"/>
    <w:rsid w:val="002605CF"/>
    <w:rsid w:val="002606C8"/>
    <w:rsid w:val="002607E6"/>
    <w:rsid w:val="00260A9A"/>
    <w:rsid w:val="00260AF1"/>
    <w:rsid w:val="00260BD4"/>
    <w:rsid w:val="00260C58"/>
    <w:rsid w:val="00260D7F"/>
    <w:rsid w:val="00260E6F"/>
    <w:rsid w:val="00260FE3"/>
    <w:rsid w:val="002616B6"/>
    <w:rsid w:val="002616D5"/>
    <w:rsid w:val="0026174C"/>
    <w:rsid w:val="00261BA3"/>
    <w:rsid w:val="00261BC6"/>
    <w:rsid w:val="00261CA2"/>
    <w:rsid w:val="00261CF7"/>
    <w:rsid w:val="00261F0A"/>
    <w:rsid w:val="002620E3"/>
    <w:rsid w:val="0026226B"/>
    <w:rsid w:val="00262530"/>
    <w:rsid w:val="00262580"/>
    <w:rsid w:val="002627B3"/>
    <w:rsid w:val="002627E9"/>
    <w:rsid w:val="00262854"/>
    <w:rsid w:val="00262A70"/>
    <w:rsid w:val="00262A7B"/>
    <w:rsid w:val="00262CB9"/>
    <w:rsid w:val="00262D03"/>
    <w:rsid w:val="00262D41"/>
    <w:rsid w:val="00262E6C"/>
    <w:rsid w:val="00262F74"/>
    <w:rsid w:val="002630F1"/>
    <w:rsid w:val="002631B8"/>
    <w:rsid w:val="00263299"/>
    <w:rsid w:val="0026334A"/>
    <w:rsid w:val="0026334C"/>
    <w:rsid w:val="00263366"/>
    <w:rsid w:val="00263370"/>
    <w:rsid w:val="0026338D"/>
    <w:rsid w:val="002633D2"/>
    <w:rsid w:val="0026378B"/>
    <w:rsid w:val="0026393B"/>
    <w:rsid w:val="00263CAB"/>
    <w:rsid w:val="00263E42"/>
    <w:rsid w:val="00263F5E"/>
    <w:rsid w:val="00263FE4"/>
    <w:rsid w:val="002641F9"/>
    <w:rsid w:val="002643A5"/>
    <w:rsid w:val="00264771"/>
    <w:rsid w:val="0026493A"/>
    <w:rsid w:val="00264955"/>
    <w:rsid w:val="002649B6"/>
    <w:rsid w:val="00264C13"/>
    <w:rsid w:val="00264C98"/>
    <w:rsid w:val="00264DB5"/>
    <w:rsid w:val="00264FFF"/>
    <w:rsid w:val="0026526F"/>
    <w:rsid w:val="00265439"/>
    <w:rsid w:val="002654CA"/>
    <w:rsid w:val="002655B4"/>
    <w:rsid w:val="002655D9"/>
    <w:rsid w:val="0026587D"/>
    <w:rsid w:val="00265891"/>
    <w:rsid w:val="00265E70"/>
    <w:rsid w:val="00266143"/>
    <w:rsid w:val="0026650B"/>
    <w:rsid w:val="0026660F"/>
    <w:rsid w:val="00266846"/>
    <w:rsid w:val="002669CF"/>
    <w:rsid w:val="00266AFB"/>
    <w:rsid w:val="00266B19"/>
    <w:rsid w:val="00266CB5"/>
    <w:rsid w:val="00266E5B"/>
    <w:rsid w:val="00267062"/>
    <w:rsid w:val="002670C4"/>
    <w:rsid w:val="002671D2"/>
    <w:rsid w:val="002674BA"/>
    <w:rsid w:val="00267746"/>
    <w:rsid w:val="00267982"/>
    <w:rsid w:val="00267C52"/>
    <w:rsid w:val="00267EA7"/>
    <w:rsid w:val="00267EB7"/>
    <w:rsid w:val="00267EFC"/>
    <w:rsid w:val="002701CF"/>
    <w:rsid w:val="00270280"/>
    <w:rsid w:val="0027029F"/>
    <w:rsid w:val="0027046B"/>
    <w:rsid w:val="002704C5"/>
    <w:rsid w:val="0027058D"/>
    <w:rsid w:val="002706D3"/>
    <w:rsid w:val="00270A4E"/>
    <w:rsid w:val="00270A9E"/>
    <w:rsid w:val="00270B50"/>
    <w:rsid w:val="00270B89"/>
    <w:rsid w:val="00270BE3"/>
    <w:rsid w:val="00270C7B"/>
    <w:rsid w:val="00270EA2"/>
    <w:rsid w:val="00270ED6"/>
    <w:rsid w:val="0027107D"/>
    <w:rsid w:val="0027109A"/>
    <w:rsid w:val="00271155"/>
    <w:rsid w:val="00271277"/>
    <w:rsid w:val="00271376"/>
    <w:rsid w:val="0027148A"/>
    <w:rsid w:val="002714A8"/>
    <w:rsid w:val="002714FD"/>
    <w:rsid w:val="00271694"/>
    <w:rsid w:val="002718BD"/>
    <w:rsid w:val="00271B59"/>
    <w:rsid w:val="00271C5C"/>
    <w:rsid w:val="00271E0E"/>
    <w:rsid w:val="00271F4B"/>
    <w:rsid w:val="002722AB"/>
    <w:rsid w:val="00272414"/>
    <w:rsid w:val="002728B0"/>
    <w:rsid w:val="002728EB"/>
    <w:rsid w:val="00272D27"/>
    <w:rsid w:val="00272F3B"/>
    <w:rsid w:val="00272FA7"/>
    <w:rsid w:val="002731DC"/>
    <w:rsid w:val="002732B8"/>
    <w:rsid w:val="00273398"/>
    <w:rsid w:val="002734A8"/>
    <w:rsid w:val="002735C4"/>
    <w:rsid w:val="00273649"/>
    <w:rsid w:val="0027366E"/>
    <w:rsid w:val="002736DC"/>
    <w:rsid w:val="002736E7"/>
    <w:rsid w:val="00273B42"/>
    <w:rsid w:val="00273C7D"/>
    <w:rsid w:val="00273DDE"/>
    <w:rsid w:val="002743A3"/>
    <w:rsid w:val="0027457F"/>
    <w:rsid w:val="002746E0"/>
    <w:rsid w:val="002749DF"/>
    <w:rsid w:val="00274AF0"/>
    <w:rsid w:val="0027516F"/>
    <w:rsid w:val="002751BF"/>
    <w:rsid w:val="0027537D"/>
    <w:rsid w:val="00275A17"/>
    <w:rsid w:val="00275C81"/>
    <w:rsid w:val="00275F0B"/>
    <w:rsid w:val="00275F35"/>
    <w:rsid w:val="00275FCC"/>
    <w:rsid w:val="00276516"/>
    <w:rsid w:val="00276538"/>
    <w:rsid w:val="002766FC"/>
    <w:rsid w:val="00276910"/>
    <w:rsid w:val="00276A9F"/>
    <w:rsid w:val="00276BB9"/>
    <w:rsid w:val="00276C3C"/>
    <w:rsid w:val="00276D88"/>
    <w:rsid w:val="00276EC2"/>
    <w:rsid w:val="00276EDE"/>
    <w:rsid w:val="00276FB1"/>
    <w:rsid w:val="00277001"/>
    <w:rsid w:val="002772D6"/>
    <w:rsid w:val="0027795B"/>
    <w:rsid w:val="00277A1A"/>
    <w:rsid w:val="00277AEF"/>
    <w:rsid w:val="00277B7B"/>
    <w:rsid w:val="00277BD7"/>
    <w:rsid w:val="00277C29"/>
    <w:rsid w:val="00277F14"/>
    <w:rsid w:val="002805F8"/>
    <w:rsid w:val="00280778"/>
    <w:rsid w:val="002808D3"/>
    <w:rsid w:val="00280942"/>
    <w:rsid w:val="002809F2"/>
    <w:rsid w:val="00280B8F"/>
    <w:rsid w:val="00280C5B"/>
    <w:rsid w:val="00280C92"/>
    <w:rsid w:val="00280E1D"/>
    <w:rsid w:val="00280FD4"/>
    <w:rsid w:val="002812C2"/>
    <w:rsid w:val="002812FA"/>
    <w:rsid w:val="002814CB"/>
    <w:rsid w:val="00281653"/>
    <w:rsid w:val="002816AC"/>
    <w:rsid w:val="00281BC7"/>
    <w:rsid w:val="00281E32"/>
    <w:rsid w:val="00281FC1"/>
    <w:rsid w:val="002820D6"/>
    <w:rsid w:val="002822A0"/>
    <w:rsid w:val="002823F7"/>
    <w:rsid w:val="00282513"/>
    <w:rsid w:val="00282580"/>
    <w:rsid w:val="002827BD"/>
    <w:rsid w:val="00282902"/>
    <w:rsid w:val="00282E8E"/>
    <w:rsid w:val="00282EC0"/>
    <w:rsid w:val="00282F9D"/>
    <w:rsid w:val="0028300D"/>
    <w:rsid w:val="002830BD"/>
    <w:rsid w:val="0028324A"/>
    <w:rsid w:val="002832BA"/>
    <w:rsid w:val="002833A2"/>
    <w:rsid w:val="00283421"/>
    <w:rsid w:val="00283690"/>
    <w:rsid w:val="002838A3"/>
    <w:rsid w:val="00283C12"/>
    <w:rsid w:val="00283DD4"/>
    <w:rsid w:val="00283E6C"/>
    <w:rsid w:val="00283E75"/>
    <w:rsid w:val="00283EFD"/>
    <w:rsid w:val="002842D7"/>
    <w:rsid w:val="0028453A"/>
    <w:rsid w:val="00284605"/>
    <w:rsid w:val="002846CF"/>
    <w:rsid w:val="00284716"/>
    <w:rsid w:val="00284807"/>
    <w:rsid w:val="00284813"/>
    <w:rsid w:val="0028486A"/>
    <w:rsid w:val="00284AAB"/>
    <w:rsid w:val="00284AFA"/>
    <w:rsid w:val="00284BE7"/>
    <w:rsid w:val="00284C6E"/>
    <w:rsid w:val="00284D68"/>
    <w:rsid w:val="002851CF"/>
    <w:rsid w:val="002852B8"/>
    <w:rsid w:val="002854A1"/>
    <w:rsid w:val="002855CB"/>
    <w:rsid w:val="0028576A"/>
    <w:rsid w:val="002857B3"/>
    <w:rsid w:val="002858CD"/>
    <w:rsid w:val="00285A82"/>
    <w:rsid w:val="00285A89"/>
    <w:rsid w:val="00285C3D"/>
    <w:rsid w:val="00285E01"/>
    <w:rsid w:val="00285E80"/>
    <w:rsid w:val="00285F4F"/>
    <w:rsid w:val="002860C7"/>
    <w:rsid w:val="0028611E"/>
    <w:rsid w:val="00286420"/>
    <w:rsid w:val="00286455"/>
    <w:rsid w:val="0028648B"/>
    <w:rsid w:val="002864E9"/>
    <w:rsid w:val="00286F6D"/>
    <w:rsid w:val="002870B2"/>
    <w:rsid w:val="002872AF"/>
    <w:rsid w:val="00287431"/>
    <w:rsid w:val="00287673"/>
    <w:rsid w:val="00287686"/>
    <w:rsid w:val="00287B68"/>
    <w:rsid w:val="00287CFB"/>
    <w:rsid w:val="00287E5B"/>
    <w:rsid w:val="00290006"/>
    <w:rsid w:val="00290232"/>
    <w:rsid w:val="0029025D"/>
    <w:rsid w:val="0029062E"/>
    <w:rsid w:val="00290BCD"/>
    <w:rsid w:val="00290DCF"/>
    <w:rsid w:val="00290F55"/>
    <w:rsid w:val="002910B9"/>
    <w:rsid w:val="00291250"/>
    <w:rsid w:val="00291260"/>
    <w:rsid w:val="002912C3"/>
    <w:rsid w:val="002913A5"/>
    <w:rsid w:val="00291671"/>
    <w:rsid w:val="00291730"/>
    <w:rsid w:val="0029180C"/>
    <w:rsid w:val="00291924"/>
    <w:rsid w:val="00291967"/>
    <w:rsid w:val="00291D56"/>
    <w:rsid w:val="00291FC3"/>
    <w:rsid w:val="00291FCD"/>
    <w:rsid w:val="00292129"/>
    <w:rsid w:val="00292226"/>
    <w:rsid w:val="0029226C"/>
    <w:rsid w:val="002923E2"/>
    <w:rsid w:val="002924E8"/>
    <w:rsid w:val="0029257A"/>
    <w:rsid w:val="0029268C"/>
    <w:rsid w:val="002928F5"/>
    <w:rsid w:val="00292A83"/>
    <w:rsid w:val="00292DD9"/>
    <w:rsid w:val="0029321D"/>
    <w:rsid w:val="0029326B"/>
    <w:rsid w:val="0029333D"/>
    <w:rsid w:val="002933A7"/>
    <w:rsid w:val="002934AF"/>
    <w:rsid w:val="00293674"/>
    <w:rsid w:val="002938E3"/>
    <w:rsid w:val="00293AAE"/>
    <w:rsid w:val="00294168"/>
    <w:rsid w:val="00294198"/>
    <w:rsid w:val="0029425B"/>
    <w:rsid w:val="002943A8"/>
    <w:rsid w:val="002944F6"/>
    <w:rsid w:val="00294687"/>
    <w:rsid w:val="002946E1"/>
    <w:rsid w:val="0029472B"/>
    <w:rsid w:val="00294769"/>
    <w:rsid w:val="00294880"/>
    <w:rsid w:val="00294BA3"/>
    <w:rsid w:val="00294D03"/>
    <w:rsid w:val="00294DCF"/>
    <w:rsid w:val="00294F47"/>
    <w:rsid w:val="00295113"/>
    <w:rsid w:val="0029532F"/>
    <w:rsid w:val="002955E7"/>
    <w:rsid w:val="0029562D"/>
    <w:rsid w:val="0029576B"/>
    <w:rsid w:val="00295851"/>
    <w:rsid w:val="002959AE"/>
    <w:rsid w:val="00295A61"/>
    <w:rsid w:val="00295B1D"/>
    <w:rsid w:val="00295B6C"/>
    <w:rsid w:val="00295CD1"/>
    <w:rsid w:val="00295DA2"/>
    <w:rsid w:val="00295F61"/>
    <w:rsid w:val="00295F78"/>
    <w:rsid w:val="00295FAD"/>
    <w:rsid w:val="00296118"/>
    <w:rsid w:val="002962E1"/>
    <w:rsid w:val="0029640B"/>
    <w:rsid w:val="002965D2"/>
    <w:rsid w:val="002965F1"/>
    <w:rsid w:val="0029684B"/>
    <w:rsid w:val="00296DF1"/>
    <w:rsid w:val="00296E76"/>
    <w:rsid w:val="00296EF1"/>
    <w:rsid w:val="00297006"/>
    <w:rsid w:val="0029707F"/>
    <w:rsid w:val="002970BB"/>
    <w:rsid w:val="00297149"/>
    <w:rsid w:val="002972FD"/>
    <w:rsid w:val="002973B9"/>
    <w:rsid w:val="00297451"/>
    <w:rsid w:val="0029748F"/>
    <w:rsid w:val="00297495"/>
    <w:rsid w:val="00297A16"/>
    <w:rsid w:val="00297AF4"/>
    <w:rsid w:val="00297D67"/>
    <w:rsid w:val="00297E50"/>
    <w:rsid w:val="002A001B"/>
    <w:rsid w:val="002A02BE"/>
    <w:rsid w:val="002A0481"/>
    <w:rsid w:val="002A0522"/>
    <w:rsid w:val="002A0766"/>
    <w:rsid w:val="002A076C"/>
    <w:rsid w:val="002A0845"/>
    <w:rsid w:val="002A091B"/>
    <w:rsid w:val="002A0A89"/>
    <w:rsid w:val="002A0AFA"/>
    <w:rsid w:val="002A0BB1"/>
    <w:rsid w:val="002A0D89"/>
    <w:rsid w:val="002A1022"/>
    <w:rsid w:val="002A10BA"/>
    <w:rsid w:val="002A1227"/>
    <w:rsid w:val="002A13C8"/>
    <w:rsid w:val="002A13D4"/>
    <w:rsid w:val="002A13DA"/>
    <w:rsid w:val="002A1540"/>
    <w:rsid w:val="002A17B0"/>
    <w:rsid w:val="002A21AE"/>
    <w:rsid w:val="002A22AB"/>
    <w:rsid w:val="002A22D1"/>
    <w:rsid w:val="002A2335"/>
    <w:rsid w:val="002A2481"/>
    <w:rsid w:val="002A252A"/>
    <w:rsid w:val="002A25A7"/>
    <w:rsid w:val="002A286D"/>
    <w:rsid w:val="002A2875"/>
    <w:rsid w:val="002A2900"/>
    <w:rsid w:val="002A2906"/>
    <w:rsid w:val="002A2A26"/>
    <w:rsid w:val="002A2E44"/>
    <w:rsid w:val="002A3209"/>
    <w:rsid w:val="002A32DD"/>
    <w:rsid w:val="002A3358"/>
    <w:rsid w:val="002A33F2"/>
    <w:rsid w:val="002A350B"/>
    <w:rsid w:val="002A35E9"/>
    <w:rsid w:val="002A36C2"/>
    <w:rsid w:val="002A3937"/>
    <w:rsid w:val="002A3961"/>
    <w:rsid w:val="002A3B84"/>
    <w:rsid w:val="002A3C40"/>
    <w:rsid w:val="002A3DD9"/>
    <w:rsid w:val="002A3E8F"/>
    <w:rsid w:val="002A3FDD"/>
    <w:rsid w:val="002A4177"/>
    <w:rsid w:val="002A427E"/>
    <w:rsid w:val="002A436D"/>
    <w:rsid w:val="002A4480"/>
    <w:rsid w:val="002A4652"/>
    <w:rsid w:val="002A4714"/>
    <w:rsid w:val="002A4A24"/>
    <w:rsid w:val="002A4A32"/>
    <w:rsid w:val="002A4CAC"/>
    <w:rsid w:val="002A55D2"/>
    <w:rsid w:val="002A56B6"/>
    <w:rsid w:val="002A5844"/>
    <w:rsid w:val="002A594C"/>
    <w:rsid w:val="002A5A44"/>
    <w:rsid w:val="002A5A8A"/>
    <w:rsid w:val="002A5D42"/>
    <w:rsid w:val="002A6282"/>
    <w:rsid w:val="002A62C4"/>
    <w:rsid w:val="002A65D3"/>
    <w:rsid w:val="002A6659"/>
    <w:rsid w:val="002A66D9"/>
    <w:rsid w:val="002A6808"/>
    <w:rsid w:val="002A682B"/>
    <w:rsid w:val="002A68FE"/>
    <w:rsid w:val="002A6DCE"/>
    <w:rsid w:val="002A7034"/>
    <w:rsid w:val="002A719D"/>
    <w:rsid w:val="002A7213"/>
    <w:rsid w:val="002A7284"/>
    <w:rsid w:val="002A77FB"/>
    <w:rsid w:val="002A7A5B"/>
    <w:rsid w:val="002A7AB5"/>
    <w:rsid w:val="002A7CBA"/>
    <w:rsid w:val="002A7D40"/>
    <w:rsid w:val="002A7EB3"/>
    <w:rsid w:val="002A7F1F"/>
    <w:rsid w:val="002A7F86"/>
    <w:rsid w:val="002B019C"/>
    <w:rsid w:val="002B01AC"/>
    <w:rsid w:val="002B01F6"/>
    <w:rsid w:val="002B0299"/>
    <w:rsid w:val="002B04BE"/>
    <w:rsid w:val="002B05C3"/>
    <w:rsid w:val="002B0682"/>
    <w:rsid w:val="002B074B"/>
    <w:rsid w:val="002B0790"/>
    <w:rsid w:val="002B0935"/>
    <w:rsid w:val="002B0E24"/>
    <w:rsid w:val="002B0EEA"/>
    <w:rsid w:val="002B128E"/>
    <w:rsid w:val="002B171B"/>
    <w:rsid w:val="002B1793"/>
    <w:rsid w:val="002B17F5"/>
    <w:rsid w:val="002B188C"/>
    <w:rsid w:val="002B1A4B"/>
    <w:rsid w:val="002B1C83"/>
    <w:rsid w:val="002B1CE5"/>
    <w:rsid w:val="002B2070"/>
    <w:rsid w:val="002B22BA"/>
    <w:rsid w:val="002B23A3"/>
    <w:rsid w:val="002B23C1"/>
    <w:rsid w:val="002B2503"/>
    <w:rsid w:val="002B25DC"/>
    <w:rsid w:val="002B2630"/>
    <w:rsid w:val="002B2B0A"/>
    <w:rsid w:val="002B2D9A"/>
    <w:rsid w:val="002B2FBB"/>
    <w:rsid w:val="002B2FFC"/>
    <w:rsid w:val="002B379D"/>
    <w:rsid w:val="002B3B1A"/>
    <w:rsid w:val="002B3B62"/>
    <w:rsid w:val="002B3B6D"/>
    <w:rsid w:val="002B3E4D"/>
    <w:rsid w:val="002B406B"/>
    <w:rsid w:val="002B42EE"/>
    <w:rsid w:val="002B45D7"/>
    <w:rsid w:val="002B48C6"/>
    <w:rsid w:val="002B499B"/>
    <w:rsid w:val="002B4A90"/>
    <w:rsid w:val="002B4ADA"/>
    <w:rsid w:val="002B4C32"/>
    <w:rsid w:val="002B4E94"/>
    <w:rsid w:val="002B4F38"/>
    <w:rsid w:val="002B527B"/>
    <w:rsid w:val="002B5398"/>
    <w:rsid w:val="002B5795"/>
    <w:rsid w:val="002B58CD"/>
    <w:rsid w:val="002B5982"/>
    <w:rsid w:val="002B59E4"/>
    <w:rsid w:val="002B5A5E"/>
    <w:rsid w:val="002B5B88"/>
    <w:rsid w:val="002B5BB1"/>
    <w:rsid w:val="002B5D02"/>
    <w:rsid w:val="002B654A"/>
    <w:rsid w:val="002B6A9E"/>
    <w:rsid w:val="002B6B0C"/>
    <w:rsid w:val="002B6BD7"/>
    <w:rsid w:val="002B6CE9"/>
    <w:rsid w:val="002B6E47"/>
    <w:rsid w:val="002B7292"/>
    <w:rsid w:val="002B75CB"/>
    <w:rsid w:val="002B7683"/>
    <w:rsid w:val="002B76AC"/>
    <w:rsid w:val="002B7989"/>
    <w:rsid w:val="002B7990"/>
    <w:rsid w:val="002B7A3B"/>
    <w:rsid w:val="002B7DA6"/>
    <w:rsid w:val="002B7E38"/>
    <w:rsid w:val="002C00AC"/>
    <w:rsid w:val="002C0366"/>
    <w:rsid w:val="002C0535"/>
    <w:rsid w:val="002C08E1"/>
    <w:rsid w:val="002C0A1F"/>
    <w:rsid w:val="002C0AE8"/>
    <w:rsid w:val="002C0E7A"/>
    <w:rsid w:val="002C0E85"/>
    <w:rsid w:val="002C0F5F"/>
    <w:rsid w:val="002C11AB"/>
    <w:rsid w:val="002C13C9"/>
    <w:rsid w:val="002C1604"/>
    <w:rsid w:val="002C161F"/>
    <w:rsid w:val="002C164E"/>
    <w:rsid w:val="002C173F"/>
    <w:rsid w:val="002C1B1F"/>
    <w:rsid w:val="002C1BC5"/>
    <w:rsid w:val="002C1C19"/>
    <w:rsid w:val="002C1E5A"/>
    <w:rsid w:val="002C1EB2"/>
    <w:rsid w:val="002C2148"/>
    <w:rsid w:val="002C2184"/>
    <w:rsid w:val="002C2441"/>
    <w:rsid w:val="002C25F5"/>
    <w:rsid w:val="002C2977"/>
    <w:rsid w:val="002C29C9"/>
    <w:rsid w:val="002C2C8D"/>
    <w:rsid w:val="002C2E56"/>
    <w:rsid w:val="002C3091"/>
    <w:rsid w:val="002C3174"/>
    <w:rsid w:val="002C32DE"/>
    <w:rsid w:val="002C33DA"/>
    <w:rsid w:val="002C3BDC"/>
    <w:rsid w:val="002C3ED0"/>
    <w:rsid w:val="002C3F2F"/>
    <w:rsid w:val="002C45F9"/>
    <w:rsid w:val="002C4966"/>
    <w:rsid w:val="002C4BE9"/>
    <w:rsid w:val="002C4BFD"/>
    <w:rsid w:val="002C4CA8"/>
    <w:rsid w:val="002C534A"/>
    <w:rsid w:val="002C5A0A"/>
    <w:rsid w:val="002C5F51"/>
    <w:rsid w:val="002C5FBD"/>
    <w:rsid w:val="002C6170"/>
    <w:rsid w:val="002C6416"/>
    <w:rsid w:val="002C650D"/>
    <w:rsid w:val="002C66CC"/>
    <w:rsid w:val="002C6766"/>
    <w:rsid w:val="002C691A"/>
    <w:rsid w:val="002C6B94"/>
    <w:rsid w:val="002C6C5C"/>
    <w:rsid w:val="002C6ECD"/>
    <w:rsid w:val="002C7092"/>
    <w:rsid w:val="002C7258"/>
    <w:rsid w:val="002C73F4"/>
    <w:rsid w:val="002C7416"/>
    <w:rsid w:val="002C7431"/>
    <w:rsid w:val="002C7BCF"/>
    <w:rsid w:val="002C7F10"/>
    <w:rsid w:val="002D0025"/>
    <w:rsid w:val="002D0211"/>
    <w:rsid w:val="002D02F8"/>
    <w:rsid w:val="002D0385"/>
    <w:rsid w:val="002D0603"/>
    <w:rsid w:val="002D0D23"/>
    <w:rsid w:val="002D1282"/>
    <w:rsid w:val="002D1303"/>
    <w:rsid w:val="002D15E6"/>
    <w:rsid w:val="002D160F"/>
    <w:rsid w:val="002D1674"/>
    <w:rsid w:val="002D1847"/>
    <w:rsid w:val="002D1B96"/>
    <w:rsid w:val="002D1E21"/>
    <w:rsid w:val="002D1E24"/>
    <w:rsid w:val="002D227E"/>
    <w:rsid w:val="002D23EA"/>
    <w:rsid w:val="002D242C"/>
    <w:rsid w:val="002D24BB"/>
    <w:rsid w:val="002D2737"/>
    <w:rsid w:val="002D28F7"/>
    <w:rsid w:val="002D2B72"/>
    <w:rsid w:val="002D2DED"/>
    <w:rsid w:val="002D2F2D"/>
    <w:rsid w:val="002D2F55"/>
    <w:rsid w:val="002D3096"/>
    <w:rsid w:val="002D3283"/>
    <w:rsid w:val="002D33EA"/>
    <w:rsid w:val="002D34C7"/>
    <w:rsid w:val="002D3609"/>
    <w:rsid w:val="002D3898"/>
    <w:rsid w:val="002D3928"/>
    <w:rsid w:val="002D3A5E"/>
    <w:rsid w:val="002D3BC7"/>
    <w:rsid w:val="002D3C93"/>
    <w:rsid w:val="002D3EC7"/>
    <w:rsid w:val="002D3F47"/>
    <w:rsid w:val="002D405F"/>
    <w:rsid w:val="002D40AC"/>
    <w:rsid w:val="002D4164"/>
    <w:rsid w:val="002D41C2"/>
    <w:rsid w:val="002D43A1"/>
    <w:rsid w:val="002D44C2"/>
    <w:rsid w:val="002D4542"/>
    <w:rsid w:val="002D45AB"/>
    <w:rsid w:val="002D4649"/>
    <w:rsid w:val="002D46B5"/>
    <w:rsid w:val="002D4D82"/>
    <w:rsid w:val="002D4FC4"/>
    <w:rsid w:val="002D5138"/>
    <w:rsid w:val="002D53C1"/>
    <w:rsid w:val="002D5501"/>
    <w:rsid w:val="002D550A"/>
    <w:rsid w:val="002D5522"/>
    <w:rsid w:val="002D5676"/>
    <w:rsid w:val="002D64CA"/>
    <w:rsid w:val="002D66B0"/>
    <w:rsid w:val="002D693A"/>
    <w:rsid w:val="002D6D2E"/>
    <w:rsid w:val="002D6D4E"/>
    <w:rsid w:val="002D6D8B"/>
    <w:rsid w:val="002D6E5F"/>
    <w:rsid w:val="002D6E8E"/>
    <w:rsid w:val="002D6EB1"/>
    <w:rsid w:val="002D6ED8"/>
    <w:rsid w:val="002D70D0"/>
    <w:rsid w:val="002D71AA"/>
    <w:rsid w:val="002D7309"/>
    <w:rsid w:val="002D7622"/>
    <w:rsid w:val="002D7689"/>
    <w:rsid w:val="002D7EF9"/>
    <w:rsid w:val="002E02DB"/>
    <w:rsid w:val="002E03C9"/>
    <w:rsid w:val="002E04E1"/>
    <w:rsid w:val="002E078F"/>
    <w:rsid w:val="002E08B7"/>
    <w:rsid w:val="002E08D6"/>
    <w:rsid w:val="002E08FF"/>
    <w:rsid w:val="002E099B"/>
    <w:rsid w:val="002E0A7A"/>
    <w:rsid w:val="002E10C8"/>
    <w:rsid w:val="002E11F5"/>
    <w:rsid w:val="002E1221"/>
    <w:rsid w:val="002E150E"/>
    <w:rsid w:val="002E15BC"/>
    <w:rsid w:val="002E1651"/>
    <w:rsid w:val="002E16CD"/>
    <w:rsid w:val="002E16D5"/>
    <w:rsid w:val="002E17F5"/>
    <w:rsid w:val="002E1806"/>
    <w:rsid w:val="002E1BF7"/>
    <w:rsid w:val="002E1CED"/>
    <w:rsid w:val="002E1EA5"/>
    <w:rsid w:val="002E1FDF"/>
    <w:rsid w:val="002E212D"/>
    <w:rsid w:val="002E2158"/>
    <w:rsid w:val="002E21C8"/>
    <w:rsid w:val="002E246F"/>
    <w:rsid w:val="002E282A"/>
    <w:rsid w:val="002E2947"/>
    <w:rsid w:val="002E2AA7"/>
    <w:rsid w:val="002E2C64"/>
    <w:rsid w:val="002E2F9D"/>
    <w:rsid w:val="002E2FC3"/>
    <w:rsid w:val="002E3100"/>
    <w:rsid w:val="002E328D"/>
    <w:rsid w:val="002E355B"/>
    <w:rsid w:val="002E3823"/>
    <w:rsid w:val="002E38CD"/>
    <w:rsid w:val="002E39AD"/>
    <w:rsid w:val="002E3C2E"/>
    <w:rsid w:val="002E3CAD"/>
    <w:rsid w:val="002E3F7F"/>
    <w:rsid w:val="002E401B"/>
    <w:rsid w:val="002E4262"/>
    <w:rsid w:val="002E4689"/>
    <w:rsid w:val="002E4907"/>
    <w:rsid w:val="002E4A7F"/>
    <w:rsid w:val="002E4AE2"/>
    <w:rsid w:val="002E531B"/>
    <w:rsid w:val="002E537C"/>
    <w:rsid w:val="002E53EF"/>
    <w:rsid w:val="002E54B6"/>
    <w:rsid w:val="002E5971"/>
    <w:rsid w:val="002E5AFB"/>
    <w:rsid w:val="002E6028"/>
    <w:rsid w:val="002E62DF"/>
    <w:rsid w:val="002E62FA"/>
    <w:rsid w:val="002E6C73"/>
    <w:rsid w:val="002E6CF5"/>
    <w:rsid w:val="002E71C7"/>
    <w:rsid w:val="002E7351"/>
    <w:rsid w:val="002E7774"/>
    <w:rsid w:val="002E7794"/>
    <w:rsid w:val="002E7830"/>
    <w:rsid w:val="002E787B"/>
    <w:rsid w:val="002E78AE"/>
    <w:rsid w:val="002E79ED"/>
    <w:rsid w:val="002E7B27"/>
    <w:rsid w:val="002E7B60"/>
    <w:rsid w:val="002E7F29"/>
    <w:rsid w:val="002E7F81"/>
    <w:rsid w:val="002F0004"/>
    <w:rsid w:val="002F005D"/>
    <w:rsid w:val="002F022E"/>
    <w:rsid w:val="002F03F1"/>
    <w:rsid w:val="002F0551"/>
    <w:rsid w:val="002F05AE"/>
    <w:rsid w:val="002F0824"/>
    <w:rsid w:val="002F084B"/>
    <w:rsid w:val="002F09B8"/>
    <w:rsid w:val="002F0A5A"/>
    <w:rsid w:val="002F0B21"/>
    <w:rsid w:val="002F0B73"/>
    <w:rsid w:val="002F0CCA"/>
    <w:rsid w:val="002F0D06"/>
    <w:rsid w:val="002F0E27"/>
    <w:rsid w:val="002F10D3"/>
    <w:rsid w:val="002F1210"/>
    <w:rsid w:val="002F12DE"/>
    <w:rsid w:val="002F13CE"/>
    <w:rsid w:val="002F161C"/>
    <w:rsid w:val="002F17F3"/>
    <w:rsid w:val="002F1860"/>
    <w:rsid w:val="002F1AE0"/>
    <w:rsid w:val="002F1BED"/>
    <w:rsid w:val="002F1D06"/>
    <w:rsid w:val="002F1D2F"/>
    <w:rsid w:val="002F1DE3"/>
    <w:rsid w:val="002F1E24"/>
    <w:rsid w:val="002F2045"/>
    <w:rsid w:val="002F23C1"/>
    <w:rsid w:val="002F2625"/>
    <w:rsid w:val="002F293C"/>
    <w:rsid w:val="002F2AFE"/>
    <w:rsid w:val="002F2B5A"/>
    <w:rsid w:val="002F2DDA"/>
    <w:rsid w:val="002F3167"/>
    <w:rsid w:val="002F350D"/>
    <w:rsid w:val="002F35C0"/>
    <w:rsid w:val="002F36E5"/>
    <w:rsid w:val="002F3A0E"/>
    <w:rsid w:val="002F3C56"/>
    <w:rsid w:val="002F3DA0"/>
    <w:rsid w:val="002F3F0C"/>
    <w:rsid w:val="002F4088"/>
    <w:rsid w:val="002F4126"/>
    <w:rsid w:val="002F41FD"/>
    <w:rsid w:val="002F4237"/>
    <w:rsid w:val="002F467C"/>
    <w:rsid w:val="002F4953"/>
    <w:rsid w:val="002F4DE5"/>
    <w:rsid w:val="002F5440"/>
    <w:rsid w:val="002F5674"/>
    <w:rsid w:val="002F57BD"/>
    <w:rsid w:val="002F5A6A"/>
    <w:rsid w:val="002F5CAF"/>
    <w:rsid w:val="002F5F59"/>
    <w:rsid w:val="002F69C9"/>
    <w:rsid w:val="002F6A6D"/>
    <w:rsid w:val="002F6ACA"/>
    <w:rsid w:val="002F6C15"/>
    <w:rsid w:val="002F6E21"/>
    <w:rsid w:val="002F6FA9"/>
    <w:rsid w:val="002F70BB"/>
    <w:rsid w:val="002F7142"/>
    <w:rsid w:val="002F7193"/>
    <w:rsid w:val="002F721F"/>
    <w:rsid w:val="002F732B"/>
    <w:rsid w:val="002F7374"/>
    <w:rsid w:val="002F7467"/>
    <w:rsid w:val="002F76D5"/>
    <w:rsid w:val="002F7769"/>
    <w:rsid w:val="002F7A6B"/>
    <w:rsid w:val="002F7A8D"/>
    <w:rsid w:val="002F7C35"/>
    <w:rsid w:val="002F7F25"/>
    <w:rsid w:val="003001AF"/>
    <w:rsid w:val="0030024C"/>
    <w:rsid w:val="0030053E"/>
    <w:rsid w:val="00300B2E"/>
    <w:rsid w:val="003010E1"/>
    <w:rsid w:val="0030126B"/>
    <w:rsid w:val="003015B1"/>
    <w:rsid w:val="003017AA"/>
    <w:rsid w:val="00301835"/>
    <w:rsid w:val="00301C03"/>
    <w:rsid w:val="00301CC8"/>
    <w:rsid w:val="00301E93"/>
    <w:rsid w:val="00301F85"/>
    <w:rsid w:val="00302336"/>
    <w:rsid w:val="003023BE"/>
    <w:rsid w:val="003024B1"/>
    <w:rsid w:val="00302CC0"/>
    <w:rsid w:val="00302DAC"/>
    <w:rsid w:val="00303555"/>
    <w:rsid w:val="00303759"/>
    <w:rsid w:val="00303818"/>
    <w:rsid w:val="00303821"/>
    <w:rsid w:val="003039D3"/>
    <w:rsid w:val="00303BE2"/>
    <w:rsid w:val="00303C81"/>
    <w:rsid w:val="003041BE"/>
    <w:rsid w:val="003043CD"/>
    <w:rsid w:val="00304476"/>
    <w:rsid w:val="00304635"/>
    <w:rsid w:val="00304653"/>
    <w:rsid w:val="00304983"/>
    <w:rsid w:val="003049AF"/>
    <w:rsid w:val="003049C9"/>
    <w:rsid w:val="00304B4B"/>
    <w:rsid w:val="00304BFA"/>
    <w:rsid w:val="00304D0D"/>
    <w:rsid w:val="00304D38"/>
    <w:rsid w:val="00304F20"/>
    <w:rsid w:val="0030513E"/>
    <w:rsid w:val="00305153"/>
    <w:rsid w:val="00305223"/>
    <w:rsid w:val="003052D6"/>
    <w:rsid w:val="00305310"/>
    <w:rsid w:val="003053AD"/>
    <w:rsid w:val="003054BC"/>
    <w:rsid w:val="0030550E"/>
    <w:rsid w:val="0030570F"/>
    <w:rsid w:val="003057A0"/>
    <w:rsid w:val="003057B8"/>
    <w:rsid w:val="003058CE"/>
    <w:rsid w:val="00305C46"/>
    <w:rsid w:val="00305C72"/>
    <w:rsid w:val="00305D43"/>
    <w:rsid w:val="00305F4B"/>
    <w:rsid w:val="00305FD4"/>
    <w:rsid w:val="003060A7"/>
    <w:rsid w:val="003060B8"/>
    <w:rsid w:val="003061F7"/>
    <w:rsid w:val="0030626A"/>
    <w:rsid w:val="0030673A"/>
    <w:rsid w:val="0030679B"/>
    <w:rsid w:val="0030693B"/>
    <w:rsid w:val="003069C6"/>
    <w:rsid w:val="003069E3"/>
    <w:rsid w:val="00306A5F"/>
    <w:rsid w:val="00306BBC"/>
    <w:rsid w:val="00306E53"/>
    <w:rsid w:val="003070DF"/>
    <w:rsid w:val="0030719E"/>
    <w:rsid w:val="00307261"/>
    <w:rsid w:val="003072B0"/>
    <w:rsid w:val="00307511"/>
    <w:rsid w:val="003075B8"/>
    <w:rsid w:val="003075BA"/>
    <w:rsid w:val="0030764D"/>
    <w:rsid w:val="003077EF"/>
    <w:rsid w:val="00307AB6"/>
    <w:rsid w:val="00307B2F"/>
    <w:rsid w:val="00307D47"/>
    <w:rsid w:val="00307EED"/>
    <w:rsid w:val="00307FC8"/>
    <w:rsid w:val="0031015E"/>
    <w:rsid w:val="003108A8"/>
    <w:rsid w:val="003108CC"/>
    <w:rsid w:val="0031095D"/>
    <w:rsid w:val="00310E40"/>
    <w:rsid w:val="003110B2"/>
    <w:rsid w:val="00311237"/>
    <w:rsid w:val="0031136A"/>
    <w:rsid w:val="003113C3"/>
    <w:rsid w:val="0031143F"/>
    <w:rsid w:val="00311457"/>
    <w:rsid w:val="003114BB"/>
    <w:rsid w:val="003119E4"/>
    <w:rsid w:val="00311C77"/>
    <w:rsid w:val="00311D91"/>
    <w:rsid w:val="003123E3"/>
    <w:rsid w:val="00312432"/>
    <w:rsid w:val="0031245A"/>
    <w:rsid w:val="00312595"/>
    <w:rsid w:val="003125C3"/>
    <w:rsid w:val="003126F7"/>
    <w:rsid w:val="003129BD"/>
    <w:rsid w:val="00312AAD"/>
    <w:rsid w:val="00312ACD"/>
    <w:rsid w:val="00312C3B"/>
    <w:rsid w:val="00312CBB"/>
    <w:rsid w:val="00312D4A"/>
    <w:rsid w:val="0031308F"/>
    <w:rsid w:val="0031340C"/>
    <w:rsid w:val="00313470"/>
    <w:rsid w:val="003135C8"/>
    <w:rsid w:val="0031372F"/>
    <w:rsid w:val="00313960"/>
    <w:rsid w:val="003139C7"/>
    <w:rsid w:val="00313B78"/>
    <w:rsid w:val="00313D1F"/>
    <w:rsid w:val="00314018"/>
    <w:rsid w:val="003147E2"/>
    <w:rsid w:val="003151C9"/>
    <w:rsid w:val="003151D3"/>
    <w:rsid w:val="00315284"/>
    <w:rsid w:val="00315293"/>
    <w:rsid w:val="00315319"/>
    <w:rsid w:val="00315333"/>
    <w:rsid w:val="00315509"/>
    <w:rsid w:val="00315AF8"/>
    <w:rsid w:val="00315C17"/>
    <w:rsid w:val="00316345"/>
    <w:rsid w:val="00316356"/>
    <w:rsid w:val="00316409"/>
    <w:rsid w:val="003169FD"/>
    <w:rsid w:val="00316A0E"/>
    <w:rsid w:val="00316AA3"/>
    <w:rsid w:val="00316AD5"/>
    <w:rsid w:val="00316DC8"/>
    <w:rsid w:val="00316EAA"/>
    <w:rsid w:val="00316ECF"/>
    <w:rsid w:val="00316F14"/>
    <w:rsid w:val="003177D0"/>
    <w:rsid w:val="0031780B"/>
    <w:rsid w:val="003178E9"/>
    <w:rsid w:val="00317AAE"/>
    <w:rsid w:val="00317BB8"/>
    <w:rsid w:val="00317D82"/>
    <w:rsid w:val="00317E2A"/>
    <w:rsid w:val="0032012F"/>
    <w:rsid w:val="00320150"/>
    <w:rsid w:val="0032026B"/>
    <w:rsid w:val="00320485"/>
    <w:rsid w:val="00320486"/>
    <w:rsid w:val="0032063A"/>
    <w:rsid w:val="003206D7"/>
    <w:rsid w:val="00320DBF"/>
    <w:rsid w:val="00320ED0"/>
    <w:rsid w:val="00321031"/>
    <w:rsid w:val="003213C8"/>
    <w:rsid w:val="003215B6"/>
    <w:rsid w:val="00321675"/>
    <w:rsid w:val="003217AB"/>
    <w:rsid w:val="003217B5"/>
    <w:rsid w:val="003219BA"/>
    <w:rsid w:val="00321B6B"/>
    <w:rsid w:val="00321DB2"/>
    <w:rsid w:val="00321FAA"/>
    <w:rsid w:val="00321FC7"/>
    <w:rsid w:val="00322004"/>
    <w:rsid w:val="003220E7"/>
    <w:rsid w:val="00322124"/>
    <w:rsid w:val="003221BA"/>
    <w:rsid w:val="003225E8"/>
    <w:rsid w:val="003226D5"/>
    <w:rsid w:val="0032274F"/>
    <w:rsid w:val="00322849"/>
    <w:rsid w:val="00322894"/>
    <w:rsid w:val="003228EC"/>
    <w:rsid w:val="003229D7"/>
    <w:rsid w:val="00322CCB"/>
    <w:rsid w:val="00322D8D"/>
    <w:rsid w:val="00322E54"/>
    <w:rsid w:val="00322E79"/>
    <w:rsid w:val="00322E8E"/>
    <w:rsid w:val="00322EDB"/>
    <w:rsid w:val="00323580"/>
    <w:rsid w:val="003238C4"/>
    <w:rsid w:val="00323902"/>
    <w:rsid w:val="00323988"/>
    <w:rsid w:val="00323A42"/>
    <w:rsid w:val="00323BD6"/>
    <w:rsid w:val="00323EAD"/>
    <w:rsid w:val="00323F60"/>
    <w:rsid w:val="00323FA7"/>
    <w:rsid w:val="003240F8"/>
    <w:rsid w:val="0032422F"/>
    <w:rsid w:val="00324395"/>
    <w:rsid w:val="00324683"/>
    <w:rsid w:val="003246A0"/>
    <w:rsid w:val="003247D4"/>
    <w:rsid w:val="003249AE"/>
    <w:rsid w:val="00324A71"/>
    <w:rsid w:val="00324D09"/>
    <w:rsid w:val="0032512E"/>
    <w:rsid w:val="00325292"/>
    <w:rsid w:val="00325681"/>
    <w:rsid w:val="003256F2"/>
    <w:rsid w:val="0032594D"/>
    <w:rsid w:val="003259CA"/>
    <w:rsid w:val="00325AB1"/>
    <w:rsid w:val="00325EBA"/>
    <w:rsid w:val="00326016"/>
    <w:rsid w:val="0032603C"/>
    <w:rsid w:val="00326073"/>
    <w:rsid w:val="003262E4"/>
    <w:rsid w:val="00326575"/>
    <w:rsid w:val="003266DA"/>
    <w:rsid w:val="003267C9"/>
    <w:rsid w:val="00326B7E"/>
    <w:rsid w:val="00326C04"/>
    <w:rsid w:val="0032709E"/>
    <w:rsid w:val="003270CE"/>
    <w:rsid w:val="00327121"/>
    <w:rsid w:val="003271FD"/>
    <w:rsid w:val="00327291"/>
    <w:rsid w:val="0032730D"/>
    <w:rsid w:val="00327375"/>
    <w:rsid w:val="00327596"/>
    <w:rsid w:val="00327778"/>
    <w:rsid w:val="00327A80"/>
    <w:rsid w:val="00327AF5"/>
    <w:rsid w:val="00330044"/>
    <w:rsid w:val="00330066"/>
    <w:rsid w:val="003303CE"/>
    <w:rsid w:val="00330499"/>
    <w:rsid w:val="0033069F"/>
    <w:rsid w:val="00330717"/>
    <w:rsid w:val="003307AF"/>
    <w:rsid w:val="00330911"/>
    <w:rsid w:val="00330AC3"/>
    <w:rsid w:val="00330AFF"/>
    <w:rsid w:val="00330B2A"/>
    <w:rsid w:val="00330FA4"/>
    <w:rsid w:val="00331233"/>
    <w:rsid w:val="003312CF"/>
    <w:rsid w:val="00331796"/>
    <w:rsid w:val="00331A8D"/>
    <w:rsid w:val="00331B1D"/>
    <w:rsid w:val="00331C05"/>
    <w:rsid w:val="00331C6E"/>
    <w:rsid w:val="00331CD3"/>
    <w:rsid w:val="00331D5D"/>
    <w:rsid w:val="00331F73"/>
    <w:rsid w:val="00332821"/>
    <w:rsid w:val="0033285C"/>
    <w:rsid w:val="00332A6C"/>
    <w:rsid w:val="00332B2C"/>
    <w:rsid w:val="00332C3F"/>
    <w:rsid w:val="00332D7C"/>
    <w:rsid w:val="00332E09"/>
    <w:rsid w:val="00332EDC"/>
    <w:rsid w:val="003330B1"/>
    <w:rsid w:val="003332A8"/>
    <w:rsid w:val="00333387"/>
    <w:rsid w:val="003335EB"/>
    <w:rsid w:val="0033363C"/>
    <w:rsid w:val="0033372B"/>
    <w:rsid w:val="00333834"/>
    <w:rsid w:val="00333DC2"/>
    <w:rsid w:val="00333DD1"/>
    <w:rsid w:val="00333EBF"/>
    <w:rsid w:val="0033430D"/>
    <w:rsid w:val="00334394"/>
    <w:rsid w:val="00334532"/>
    <w:rsid w:val="003345A1"/>
    <w:rsid w:val="003345BB"/>
    <w:rsid w:val="0033468F"/>
    <w:rsid w:val="00334887"/>
    <w:rsid w:val="00334B66"/>
    <w:rsid w:val="00334B83"/>
    <w:rsid w:val="00334C84"/>
    <w:rsid w:val="00334CB2"/>
    <w:rsid w:val="00334CCB"/>
    <w:rsid w:val="00334F45"/>
    <w:rsid w:val="00335056"/>
    <w:rsid w:val="00335202"/>
    <w:rsid w:val="003352AA"/>
    <w:rsid w:val="0033535D"/>
    <w:rsid w:val="0033536B"/>
    <w:rsid w:val="0033545E"/>
    <w:rsid w:val="0033553D"/>
    <w:rsid w:val="003357A2"/>
    <w:rsid w:val="00335F9E"/>
    <w:rsid w:val="00335FAA"/>
    <w:rsid w:val="00336013"/>
    <w:rsid w:val="00336119"/>
    <w:rsid w:val="00336183"/>
    <w:rsid w:val="00336245"/>
    <w:rsid w:val="0033626C"/>
    <w:rsid w:val="00336808"/>
    <w:rsid w:val="00336954"/>
    <w:rsid w:val="00336986"/>
    <w:rsid w:val="00336A11"/>
    <w:rsid w:val="00336CF8"/>
    <w:rsid w:val="00336DAD"/>
    <w:rsid w:val="0033707D"/>
    <w:rsid w:val="003370A1"/>
    <w:rsid w:val="00337213"/>
    <w:rsid w:val="00337218"/>
    <w:rsid w:val="00337278"/>
    <w:rsid w:val="003372BC"/>
    <w:rsid w:val="00337396"/>
    <w:rsid w:val="003373E5"/>
    <w:rsid w:val="00337460"/>
    <w:rsid w:val="00337602"/>
    <w:rsid w:val="003378EF"/>
    <w:rsid w:val="00337A81"/>
    <w:rsid w:val="00337AD5"/>
    <w:rsid w:val="00337B85"/>
    <w:rsid w:val="00337BED"/>
    <w:rsid w:val="00337C1F"/>
    <w:rsid w:val="00337D1F"/>
    <w:rsid w:val="00337E61"/>
    <w:rsid w:val="00340715"/>
    <w:rsid w:val="003407AA"/>
    <w:rsid w:val="00340842"/>
    <w:rsid w:val="00340910"/>
    <w:rsid w:val="00340956"/>
    <w:rsid w:val="00340978"/>
    <w:rsid w:val="00340A6F"/>
    <w:rsid w:val="00340CED"/>
    <w:rsid w:val="00340D4A"/>
    <w:rsid w:val="00340D57"/>
    <w:rsid w:val="00340FD6"/>
    <w:rsid w:val="00341229"/>
    <w:rsid w:val="003412BA"/>
    <w:rsid w:val="003414D3"/>
    <w:rsid w:val="0034163B"/>
    <w:rsid w:val="00341B1A"/>
    <w:rsid w:val="00341B20"/>
    <w:rsid w:val="00341DAF"/>
    <w:rsid w:val="00341FE7"/>
    <w:rsid w:val="0034212B"/>
    <w:rsid w:val="003424F0"/>
    <w:rsid w:val="0034262C"/>
    <w:rsid w:val="003428F4"/>
    <w:rsid w:val="00342BBE"/>
    <w:rsid w:val="00342CB8"/>
    <w:rsid w:val="00342CD5"/>
    <w:rsid w:val="00342DB9"/>
    <w:rsid w:val="0034302D"/>
    <w:rsid w:val="00343179"/>
    <w:rsid w:val="003431DE"/>
    <w:rsid w:val="0034343F"/>
    <w:rsid w:val="0034357C"/>
    <w:rsid w:val="00343622"/>
    <w:rsid w:val="00343666"/>
    <w:rsid w:val="003439DA"/>
    <w:rsid w:val="003439FE"/>
    <w:rsid w:val="00343A94"/>
    <w:rsid w:val="00343E86"/>
    <w:rsid w:val="00343F87"/>
    <w:rsid w:val="003442B6"/>
    <w:rsid w:val="003443D3"/>
    <w:rsid w:val="003443E7"/>
    <w:rsid w:val="0034449B"/>
    <w:rsid w:val="003444EC"/>
    <w:rsid w:val="0034479C"/>
    <w:rsid w:val="0034493F"/>
    <w:rsid w:val="0034496D"/>
    <w:rsid w:val="00344A48"/>
    <w:rsid w:val="00344A54"/>
    <w:rsid w:val="00344AF4"/>
    <w:rsid w:val="00344AF8"/>
    <w:rsid w:val="00344C57"/>
    <w:rsid w:val="00344CD5"/>
    <w:rsid w:val="00344D12"/>
    <w:rsid w:val="00344D56"/>
    <w:rsid w:val="00344E6B"/>
    <w:rsid w:val="00344FA2"/>
    <w:rsid w:val="00345013"/>
    <w:rsid w:val="00345095"/>
    <w:rsid w:val="00345264"/>
    <w:rsid w:val="003453CC"/>
    <w:rsid w:val="003457D0"/>
    <w:rsid w:val="003458E7"/>
    <w:rsid w:val="00345ABD"/>
    <w:rsid w:val="00345CC1"/>
    <w:rsid w:val="00345D31"/>
    <w:rsid w:val="00345DDA"/>
    <w:rsid w:val="00345E6E"/>
    <w:rsid w:val="00345EA4"/>
    <w:rsid w:val="00345F8C"/>
    <w:rsid w:val="00345FBB"/>
    <w:rsid w:val="00345FDC"/>
    <w:rsid w:val="00346142"/>
    <w:rsid w:val="003463DE"/>
    <w:rsid w:val="00346554"/>
    <w:rsid w:val="0034657E"/>
    <w:rsid w:val="00346773"/>
    <w:rsid w:val="003467FE"/>
    <w:rsid w:val="003468D9"/>
    <w:rsid w:val="00346941"/>
    <w:rsid w:val="0034695F"/>
    <w:rsid w:val="00346BC1"/>
    <w:rsid w:val="00346F1B"/>
    <w:rsid w:val="00347015"/>
    <w:rsid w:val="0034701F"/>
    <w:rsid w:val="00347095"/>
    <w:rsid w:val="00347167"/>
    <w:rsid w:val="00347527"/>
    <w:rsid w:val="00347559"/>
    <w:rsid w:val="00347613"/>
    <w:rsid w:val="00347802"/>
    <w:rsid w:val="0034783E"/>
    <w:rsid w:val="00347CF7"/>
    <w:rsid w:val="00347EAB"/>
    <w:rsid w:val="00347F51"/>
    <w:rsid w:val="0035028C"/>
    <w:rsid w:val="00350693"/>
    <w:rsid w:val="003507F7"/>
    <w:rsid w:val="0035083D"/>
    <w:rsid w:val="003508A4"/>
    <w:rsid w:val="00350939"/>
    <w:rsid w:val="00350958"/>
    <w:rsid w:val="00350AB9"/>
    <w:rsid w:val="00350C13"/>
    <w:rsid w:val="00350DD1"/>
    <w:rsid w:val="00351266"/>
    <w:rsid w:val="003512FD"/>
    <w:rsid w:val="00351421"/>
    <w:rsid w:val="0035142D"/>
    <w:rsid w:val="003514E3"/>
    <w:rsid w:val="00351507"/>
    <w:rsid w:val="00351966"/>
    <w:rsid w:val="00352008"/>
    <w:rsid w:val="0035207A"/>
    <w:rsid w:val="00352194"/>
    <w:rsid w:val="003521A6"/>
    <w:rsid w:val="00352AB4"/>
    <w:rsid w:val="00352C02"/>
    <w:rsid w:val="00352C4F"/>
    <w:rsid w:val="00352C7F"/>
    <w:rsid w:val="00352E3B"/>
    <w:rsid w:val="00352FFF"/>
    <w:rsid w:val="0035328B"/>
    <w:rsid w:val="00353298"/>
    <w:rsid w:val="00353353"/>
    <w:rsid w:val="00353401"/>
    <w:rsid w:val="0035375D"/>
    <w:rsid w:val="003538B8"/>
    <w:rsid w:val="00353A39"/>
    <w:rsid w:val="00353BBE"/>
    <w:rsid w:val="00353E4F"/>
    <w:rsid w:val="00353F1F"/>
    <w:rsid w:val="00353F7E"/>
    <w:rsid w:val="00354291"/>
    <w:rsid w:val="0035442A"/>
    <w:rsid w:val="003545BF"/>
    <w:rsid w:val="003550FC"/>
    <w:rsid w:val="00355453"/>
    <w:rsid w:val="0035594C"/>
    <w:rsid w:val="00355A81"/>
    <w:rsid w:val="00355AF7"/>
    <w:rsid w:val="003561DC"/>
    <w:rsid w:val="00356497"/>
    <w:rsid w:val="003564E8"/>
    <w:rsid w:val="003566B6"/>
    <w:rsid w:val="00356789"/>
    <w:rsid w:val="00356926"/>
    <w:rsid w:val="00356B35"/>
    <w:rsid w:val="00356BC0"/>
    <w:rsid w:val="00356D3F"/>
    <w:rsid w:val="003571A2"/>
    <w:rsid w:val="00357203"/>
    <w:rsid w:val="0035720E"/>
    <w:rsid w:val="00357262"/>
    <w:rsid w:val="00357B20"/>
    <w:rsid w:val="00357B22"/>
    <w:rsid w:val="00357DD5"/>
    <w:rsid w:val="00357FD5"/>
    <w:rsid w:val="003601BE"/>
    <w:rsid w:val="003601FD"/>
    <w:rsid w:val="0036024F"/>
    <w:rsid w:val="003602FE"/>
    <w:rsid w:val="0036037A"/>
    <w:rsid w:val="003604C6"/>
    <w:rsid w:val="003604F8"/>
    <w:rsid w:val="003605B2"/>
    <w:rsid w:val="003608D6"/>
    <w:rsid w:val="00360A00"/>
    <w:rsid w:val="00360C92"/>
    <w:rsid w:val="00360E8B"/>
    <w:rsid w:val="00360F16"/>
    <w:rsid w:val="0036109C"/>
    <w:rsid w:val="00361181"/>
    <w:rsid w:val="0036123F"/>
    <w:rsid w:val="00361261"/>
    <w:rsid w:val="0036135B"/>
    <w:rsid w:val="00361377"/>
    <w:rsid w:val="003616FD"/>
    <w:rsid w:val="00361936"/>
    <w:rsid w:val="00361AE6"/>
    <w:rsid w:val="00361AF3"/>
    <w:rsid w:val="00361DB7"/>
    <w:rsid w:val="00361F3F"/>
    <w:rsid w:val="00362398"/>
    <w:rsid w:val="0036240F"/>
    <w:rsid w:val="003624F1"/>
    <w:rsid w:val="00362893"/>
    <w:rsid w:val="00362CAA"/>
    <w:rsid w:val="00362E08"/>
    <w:rsid w:val="00362E68"/>
    <w:rsid w:val="00362F93"/>
    <w:rsid w:val="0036300D"/>
    <w:rsid w:val="00363162"/>
    <w:rsid w:val="003632EC"/>
    <w:rsid w:val="0036345E"/>
    <w:rsid w:val="00363567"/>
    <w:rsid w:val="0036374B"/>
    <w:rsid w:val="003638C4"/>
    <w:rsid w:val="003638E1"/>
    <w:rsid w:val="003639F3"/>
    <w:rsid w:val="00363B20"/>
    <w:rsid w:val="00363C34"/>
    <w:rsid w:val="00363CD4"/>
    <w:rsid w:val="00363DEB"/>
    <w:rsid w:val="00363F00"/>
    <w:rsid w:val="00363F3D"/>
    <w:rsid w:val="0036410D"/>
    <w:rsid w:val="00364119"/>
    <w:rsid w:val="003641C6"/>
    <w:rsid w:val="00364263"/>
    <w:rsid w:val="003644E7"/>
    <w:rsid w:val="0036450C"/>
    <w:rsid w:val="003645D9"/>
    <w:rsid w:val="00364642"/>
    <w:rsid w:val="00364677"/>
    <w:rsid w:val="00364B85"/>
    <w:rsid w:val="00364CB3"/>
    <w:rsid w:val="00364FC1"/>
    <w:rsid w:val="003650FB"/>
    <w:rsid w:val="00365250"/>
    <w:rsid w:val="003652C4"/>
    <w:rsid w:val="0036577B"/>
    <w:rsid w:val="00365C93"/>
    <w:rsid w:val="00365CD0"/>
    <w:rsid w:val="00365D68"/>
    <w:rsid w:val="00365F93"/>
    <w:rsid w:val="00366144"/>
    <w:rsid w:val="00366190"/>
    <w:rsid w:val="00366330"/>
    <w:rsid w:val="003663AF"/>
    <w:rsid w:val="003663C4"/>
    <w:rsid w:val="003664D6"/>
    <w:rsid w:val="0036659F"/>
    <w:rsid w:val="00366804"/>
    <w:rsid w:val="0036680E"/>
    <w:rsid w:val="003668C8"/>
    <w:rsid w:val="00366B35"/>
    <w:rsid w:val="00366C70"/>
    <w:rsid w:val="00366E6C"/>
    <w:rsid w:val="00366FA1"/>
    <w:rsid w:val="00367082"/>
    <w:rsid w:val="00367300"/>
    <w:rsid w:val="0036744E"/>
    <w:rsid w:val="00367578"/>
    <w:rsid w:val="0036761A"/>
    <w:rsid w:val="003678F7"/>
    <w:rsid w:val="00367B7A"/>
    <w:rsid w:val="00367BA4"/>
    <w:rsid w:val="00367BD7"/>
    <w:rsid w:val="00367ECD"/>
    <w:rsid w:val="00367ECE"/>
    <w:rsid w:val="00370359"/>
    <w:rsid w:val="00370404"/>
    <w:rsid w:val="00370423"/>
    <w:rsid w:val="00370466"/>
    <w:rsid w:val="0037051E"/>
    <w:rsid w:val="003705E3"/>
    <w:rsid w:val="003707E0"/>
    <w:rsid w:val="00370958"/>
    <w:rsid w:val="00370B19"/>
    <w:rsid w:val="00370D82"/>
    <w:rsid w:val="00370DB9"/>
    <w:rsid w:val="00370FF4"/>
    <w:rsid w:val="003713F4"/>
    <w:rsid w:val="003716BF"/>
    <w:rsid w:val="003716C2"/>
    <w:rsid w:val="00371AB5"/>
    <w:rsid w:val="00371F18"/>
    <w:rsid w:val="00371FAE"/>
    <w:rsid w:val="003720CA"/>
    <w:rsid w:val="003720DC"/>
    <w:rsid w:val="00372225"/>
    <w:rsid w:val="00372606"/>
    <w:rsid w:val="00372891"/>
    <w:rsid w:val="0037289F"/>
    <w:rsid w:val="00372914"/>
    <w:rsid w:val="00372ADE"/>
    <w:rsid w:val="00372B9C"/>
    <w:rsid w:val="00372BE0"/>
    <w:rsid w:val="00373106"/>
    <w:rsid w:val="00373210"/>
    <w:rsid w:val="0037328F"/>
    <w:rsid w:val="0037355D"/>
    <w:rsid w:val="0037394A"/>
    <w:rsid w:val="003739F6"/>
    <w:rsid w:val="00373A62"/>
    <w:rsid w:val="00373D12"/>
    <w:rsid w:val="00373D17"/>
    <w:rsid w:val="00373FEC"/>
    <w:rsid w:val="00374175"/>
    <w:rsid w:val="00374716"/>
    <w:rsid w:val="003747BA"/>
    <w:rsid w:val="00374A21"/>
    <w:rsid w:val="00374A52"/>
    <w:rsid w:val="00374B25"/>
    <w:rsid w:val="00374FD6"/>
    <w:rsid w:val="00375293"/>
    <w:rsid w:val="003752CE"/>
    <w:rsid w:val="003753C5"/>
    <w:rsid w:val="00375555"/>
    <w:rsid w:val="003757AA"/>
    <w:rsid w:val="003758B5"/>
    <w:rsid w:val="0037592E"/>
    <w:rsid w:val="00375D97"/>
    <w:rsid w:val="00375E66"/>
    <w:rsid w:val="00375EC0"/>
    <w:rsid w:val="00376178"/>
    <w:rsid w:val="003761A8"/>
    <w:rsid w:val="003764E3"/>
    <w:rsid w:val="00376905"/>
    <w:rsid w:val="00376983"/>
    <w:rsid w:val="00376B34"/>
    <w:rsid w:val="00376B4E"/>
    <w:rsid w:val="00376CAF"/>
    <w:rsid w:val="00376E83"/>
    <w:rsid w:val="00376EE7"/>
    <w:rsid w:val="003770B2"/>
    <w:rsid w:val="003770C2"/>
    <w:rsid w:val="00377260"/>
    <w:rsid w:val="00377472"/>
    <w:rsid w:val="003774DE"/>
    <w:rsid w:val="0037780D"/>
    <w:rsid w:val="003778DA"/>
    <w:rsid w:val="00377B09"/>
    <w:rsid w:val="00377B92"/>
    <w:rsid w:val="00380007"/>
    <w:rsid w:val="00380335"/>
    <w:rsid w:val="00380574"/>
    <w:rsid w:val="0038058E"/>
    <w:rsid w:val="003805F2"/>
    <w:rsid w:val="003808E8"/>
    <w:rsid w:val="00380B16"/>
    <w:rsid w:val="00380BB3"/>
    <w:rsid w:val="00380E91"/>
    <w:rsid w:val="00381149"/>
    <w:rsid w:val="00381775"/>
    <w:rsid w:val="003817E3"/>
    <w:rsid w:val="003817FD"/>
    <w:rsid w:val="00381913"/>
    <w:rsid w:val="003819C1"/>
    <w:rsid w:val="00381A94"/>
    <w:rsid w:val="00381AC7"/>
    <w:rsid w:val="00381BFC"/>
    <w:rsid w:val="00381C38"/>
    <w:rsid w:val="00381D71"/>
    <w:rsid w:val="00381EDC"/>
    <w:rsid w:val="00381EEC"/>
    <w:rsid w:val="00381F42"/>
    <w:rsid w:val="00381FB9"/>
    <w:rsid w:val="00381FF8"/>
    <w:rsid w:val="003821D2"/>
    <w:rsid w:val="00382240"/>
    <w:rsid w:val="003824C0"/>
    <w:rsid w:val="003826D7"/>
    <w:rsid w:val="003827EA"/>
    <w:rsid w:val="00382C40"/>
    <w:rsid w:val="00382E6E"/>
    <w:rsid w:val="00383280"/>
    <w:rsid w:val="0038329F"/>
    <w:rsid w:val="0038331E"/>
    <w:rsid w:val="0038337D"/>
    <w:rsid w:val="00383442"/>
    <w:rsid w:val="0038359A"/>
    <w:rsid w:val="00383AC3"/>
    <w:rsid w:val="00384545"/>
    <w:rsid w:val="003845C7"/>
    <w:rsid w:val="0038465D"/>
    <w:rsid w:val="0038483A"/>
    <w:rsid w:val="00384A06"/>
    <w:rsid w:val="00384A6E"/>
    <w:rsid w:val="00384AD2"/>
    <w:rsid w:val="00384B29"/>
    <w:rsid w:val="00384D63"/>
    <w:rsid w:val="00384DBD"/>
    <w:rsid w:val="00384F4A"/>
    <w:rsid w:val="00385191"/>
    <w:rsid w:val="00385347"/>
    <w:rsid w:val="0038578C"/>
    <w:rsid w:val="00385A99"/>
    <w:rsid w:val="00385EDE"/>
    <w:rsid w:val="00385F2F"/>
    <w:rsid w:val="00386233"/>
    <w:rsid w:val="0038624E"/>
    <w:rsid w:val="003862D3"/>
    <w:rsid w:val="003862FA"/>
    <w:rsid w:val="0038652B"/>
    <w:rsid w:val="00386552"/>
    <w:rsid w:val="003868AE"/>
    <w:rsid w:val="00386A67"/>
    <w:rsid w:val="00386AD6"/>
    <w:rsid w:val="00386D79"/>
    <w:rsid w:val="00386F1A"/>
    <w:rsid w:val="00387087"/>
    <w:rsid w:val="00387093"/>
    <w:rsid w:val="0038756B"/>
    <w:rsid w:val="003875E8"/>
    <w:rsid w:val="0038766E"/>
    <w:rsid w:val="003877E0"/>
    <w:rsid w:val="003879F6"/>
    <w:rsid w:val="00387A12"/>
    <w:rsid w:val="00387A64"/>
    <w:rsid w:val="00387C88"/>
    <w:rsid w:val="00387D69"/>
    <w:rsid w:val="00387D84"/>
    <w:rsid w:val="0039030B"/>
    <w:rsid w:val="00390497"/>
    <w:rsid w:val="0039053B"/>
    <w:rsid w:val="0039068C"/>
    <w:rsid w:val="003906FD"/>
    <w:rsid w:val="00390753"/>
    <w:rsid w:val="00390983"/>
    <w:rsid w:val="003909B9"/>
    <w:rsid w:val="00390E40"/>
    <w:rsid w:val="00390ED0"/>
    <w:rsid w:val="00390F16"/>
    <w:rsid w:val="00391321"/>
    <w:rsid w:val="00391590"/>
    <w:rsid w:val="0039173C"/>
    <w:rsid w:val="00391868"/>
    <w:rsid w:val="00391C71"/>
    <w:rsid w:val="00391D2A"/>
    <w:rsid w:val="00391D7B"/>
    <w:rsid w:val="00391DAE"/>
    <w:rsid w:val="00391F17"/>
    <w:rsid w:val="00392187"/>
    <w:rsid w:val="003922CE"/>
    <w:rsid w:val="0039268D"/>
    <w:rsid w:val="003927F3"/>
    <w:rsid w:val="00392844"/>
    <w:rsid w:val="003928BE"/>
    <w:rsid w:val="00392B76"/>
    <w:rsid w:val="00392B83"/>
    <w:rsid w:val="00392CD5"/>
    <w:rsid w:val="00392CF4"/>
    <w:rsid w:val="00392DF3"/>
    <w:rsid w:val="00392ECC"/>
    <w:rsid w:val="0039321D"/>
    <w:rsid w:val="00393450"/>
    <w:rsid w:val="00393573"/>
    <w:rsid w:val="00393593"/>
    <w:rsid w:val="003937AC"/>
    <w:rsid w:val="00393907"/>
    <w:rsid w:val="003939F3"/>
    <w:rsid w:val="00393AC2"/>
    <w:rsid w:val="00393BED"/>
    <w:rsid w:val="00393EA2"/>
    <w:rsid w:val="00394716"/>
    <w:rsid w:val="003947A7"/>
    <w:rsid w:val="0039498C"/>
    <w:rsid w:val="00394A28"/>
    <w:rsid w:val="00394E49"/>
    <w:rsid w:val="00394E57"/>
    <w:rsid w:val="00394EBB"/>
    <w:rsid w:val="003950A2"/>
    <w:rsid w:val="00395266"/>
    <w:rsid w:val="0039554B"/>
    <w:rsid w:val="00395949"/>
    <w:rsid w:val="00395A32"/>
    <w:rsid w:val="00395E74"/>
    <w:rsid w:val="00395F79"/>
    <w:rsid w:val="00395FD9"/>
    <w:rsid w:val="003963E9"/>
    <w:rsid w:val="00396861"/>
    <w:rsid w:val="00396987"/>
    <w:rsid w:val="00396DA8"/>
    <w:rsid w:val="00396DE4"/>
    <w:rsid w:val="00396E38"/>
    <w:rsid w:val="00396F43"/>
    <w:rsid w:val="00396FDA"/>
    <w:rsid w:val="003971B6"/>
    <w:rsid w:val="003971E6"/>
    <w:rsid w:val="00397205"/>
    <w:rsid w:val="0039759B"/>
    <w:rsid w:val="00397E02"/>
    <w:rsid w:val="00397FD2"/>
    <w:rsid w:val="003A0236"/>
    <w:rsid w:val="003A02F4"/>
    <w:rsid w:val="003A0410"/>
    <w:rsid w:val="003A0795"/>
    <w:rsid w:val="003A07E0"/>
    <w:rsid w:val="003A08AD"/>
    <w:rsid w:val="003A0BB3"/>
    <w:rsid w:val="003A0BD6"/>
    <w:rsid w:val="003A0DE3"/>
    <w:rsid w:val="003A0F05"/>
    <w:rsid w:val="003A1522"/>
    <w:rsid w:val="003A1770"/>
    <w:rsid w:val="003A17BA"/>
    <w:rsid w:val="003A183D"/>
    <w:rsid w:val="003A18FB"/>
    <w:rsid w:val="003A1930"/>
    <w:rsid w:val="003A1C03"/>
    <w:rsid w:val="003A1CB9"/>
    <w:rsid w:val="003A1F0D"/>
    <w:rsid w:val="003A2099"/>
    <w:rsid w:val="003A227B"/>
    <w:rsid w:val="003A249A"/>
    <w:rsid w:val="003A24EB"/>
    <w:rsid w:val="003A2551"/>
    <w:rsid w:val="003A25A5"/>
    <w:rsid w:val="003A25F2"/>
    <w:rsid w:val="003A2786"/>
    <w:rsid w:val="003A2953"/>
    <w:rsid w:val="003A2AF0"/>
    <w:rsid w:val="003A2CB4"/>
    <w:rsid w:val="003A2D69"/>
    <w:rsid w:val="003A2E2E"/>
    <w:rsid w:val="003A2FE9"/>
    <w:rsid w:val="003A306F"/>
    <w:rsid w:val="003A318F"/>
    <w:rsid w:val="003A3480"/>
    <w:rsid w:val="003A3656"/>
    <w:rsid w:val="003A36B5"/>
    <w:rsid w:val="003A36F4"/>
    <w:rsid w:val="003A3769"/>
    <w:rsid w:val="003A3817"/>
    <w:rsid w:val="003A3A9B"/>
    <w:rsid w:val="003A3D12"/>
    <w:rsid w:val="003A3E32"/>
    <w:rsid w:val="003A3F86"/>
    <w:rsid w:val="003A4076"/>
    <w:rsid w:val="003A4290"/>
    <w:rsid w:val="003A43EB"/>
    <w:rsid w:val="003A4427"/>
    <w:rsid w:val="003A44D1"/>
    <w:rsid w:val="003A47E2"/>
    <w:rsid w:val="003A4800"/>
    <w:rsid w:val="003A4D64"/>
    <w:rsid w:val="003A4E98"/>
    <w:rsid w:val="003A5018"/>
    <w:rsid w:val="003A51C1"/>
    <w:rsid w:val="003A52B8"/>
    <w:rsid w:val="003A5432"/>
    <w:rsid w:val="003A5721"/>
    <w:rsid w:val="003A5977"/>
    <w:rsid w:val="003A59E9"/>
    <w:rsid w:val="003A5BD4"/>
    <w:rsid w:val="003A64BE"/>
    <w:rsid w:val="003A6574"/>
    <w:rsid w:val="003A6583"/>
    <w:rsid w:val="003A66F4"/>
    <w:rsid w:val="003A6837"/>
    <w:rsid w:val="003A6932"/>
    <w:rsid w:val="003A6C2A"/>
    <w:rsid w:val="003A6CD6"/>
    <w:rsid w:val="003A6CF5"/>
    <w:rsid w:val="003A6E33"/>
    <w:rsid w:val="003A6E7E"/>
    <w:rsid w:val="003A6EAD"/>
    <w:rsid w:val="003A700A"/>
    <w:rsid w:val="003A712D"/>
    <w:rsid w:val="003A71D5"/>
    <w:rsid w:val="003A747E"/>
    <w:rsid w:val="003A764C"/>
    <w:rsid w:val="003A779F"/>
    <w:rsid w:val="003A77A0"/>
    <w:rsid w:val="003A77A3"/>
    <w:rsid w:val="003A7C9A"/>
    <w:rsid w:val="003A7CC8"/>
    <w:rsid w:val="003A7E7B"/>
    <w:rsid w:val="003B0206"/>
    <w:rsid w:val="003B0925"/>
    <w:rsid w:val="003B0928"/>
    <w:rsid w:val="003B09A4"/>
    <w:rsid w:val="003B0A05"/>
    <w:rsid w:val="003B0A20"/>
    <w:rsid w:val="003B0A5D"/>
    <w:rsid w:val="003B0B02"/>
    <w:rsid w:val="003B0B2F"/>
    <w:rsid w:val="003B0BA4"/>
    <w:rsid w:val="003B0D72"/>
    <w:rsid w:val="003B0DAF"/>
    <w:rsid w:val="003B0FC3"/>
    <w:rsid w:val="003B0FDA"/>
    <w:rsid w:val="003B10D0"/>
    <w:rsid w:val="003B10DC"/>
    <w:rsid w:val="003B110B"/>
    <w:rsid w:val="003B1186"/>
    <w:rsid w:val="003B124D"/>
    <w:rsid w:val="003B145C"/>
    <w:rsid w:val="003B146B"/>
    <w:rsid w:val="003B14FD"/>
    <w:rsid w:val="003B1523"/>
    <w:rsid w:val="003B1846"/>
    <w:rsid w:val="003B1B72"/>
    <w:rsid w:val="003B1C23"/>
    <w:rsid w:val="003B1C7E"/>
    <w:rsid w:val="003B1DFC"/>
    <w:rsid w:val="003B1EA6"/>
    <w:rsid w:val="003B1EFB"/>
    <w:rsid w:val="003B2178"/>
    <w:rsid w:val="003B2538"/>
    <w:rsid w:val="003B266B"/>
    <w:rsid w:val="003B2AFB"/>
    <w:rsid w:val="003B2B40"/>
    <w:rsid w:val="003B2D44"/>
    <w:rsid w:val="003B2F32"/>
    <w:rsid w:val="003B3030"/>
    <w:rsid w:val="003B304C"/>
    <w:rsid w:val="003B30FB"/>
    <w:rsid w:val="003B3228"/>
    <w:rsid w:val="003B3237"/>
    <w:rsid w:val="003B3260"/>
    <w:rsid w:val="003B3291"/>
    <w:rsid w:val="003B3446"/>
    <w:rsid w:val="003B3595"/>
    <w:rsid w:val="003B3635"/>
    <w:rsid w:val="003B370B"/>
    <w:rsid w:val="003B372E"/>
    <w:rsid w:val="003B397E"/>
    <w:rsid w:val="003B3B3F"/>
    <w:rsid w:val="003B4154"/>
    <w:rsid w:val="003B4193"/>
    <w:rsid w:val="003B41EA"/>
    <w:rsid w:val="003B45A2"/>
    <w:rsid w:val="003B4667"/>
    <w:rsid w:val="003B46B5"/>
    <w:rsid w:val="003B472B"/>
    <w:rsid w:val="003B4797"/>
    <w:rsid w:val="003B4AA4"/>
    <w:rsid w:val="003B4AFA"/>
    <w:rsid w:val="003B4BE7"/>
    <w:rsid w:val="003B4D55"/>
    <w:rsid w:val="003B4D57"/>
    <w:rsid w:val="003B4F0E"/>
    <w:rsid w:val="003B51FF"/>
    <w:rsid w:val="003B53F9"/>
    <w:rsid w:val="003B5536"/>
    <w:rsid w:val="003B564C"/>
    <w:rsid w:val="003B56CB"/>
    <w:rsid w:val="003B58F9"/>
    <w:rsid w:val="003B59CB"/>
    <w:rsid w:val="003B5A54"/>
    <w:rsid w:val="003B5D07"/>
    <w:rsid w:val="003B6060"/>
    <w:rsid w:val="003B607F"/>
    <w:rsid w:val="003B6217"/>
    <w:rsid w:val="003B6233"/>
    <w:rsid w:val="003B6352"/>
    <w:rsid w:val="003B645F"/>
    <w:rsid w:val="003B665B"/>
    <w:rsid w:val="003B66F8"/>
    <w:rsid w:val="003B6985"/>
    <w:rsid w:val="003B6CA5"/>
    <w:rsid w:val="003B6DBC"/>
    <w:rsid w:val="003B6E28"/>
    <w:rsid w:val="003B7345"/>
    <w:rsid w:val="003B74DE"/>
    <w:rsid w:val="003B7519"/>
    <w:rsid w:val="003B7793"/>
    <w:rsid w:val="003B79F0"/>
    <w:rsid w:val="003B7B06"/>
    <w:rsid w:val="003B7B25"/>
    <w:rsid w:val="003B7B31"/>
    <w:rsid w:val="003B7B6B"/>
    <w:rsid w:val="003B7CD6"/>
    <w:rsid w:val="003B7D51"/>
    <w:rsid w:val="003B7F20"/>
    <w:rsid w:val="003C01EA"/>
    <w:rsid w:val="003C048A"/>
    <w:rsid w:val="003C0738"/>
    <w:rsid w:val="003C07A0"/>
    <w:rsid w:val="003C07A9"/>
    <w:rsid w:val="003C07B4"/>
    <w:rsid w:val="003C0851"/>
    <w:rsid w:val="003C09AF"/>
    <w:rsid w:val="003C0ADC"/>
    <w:rsid w:val="003C0F56"/>
    <w:rsid w:val="003C0FFF"/>
    <w:rsid w:val="003C11A0"/>
    <w:rsid w:val="003C12F6"/>
    <w:rsid w:val="003C146F"/>
    <w:rsid w:val="003C14C4"/>
    <w:rsid w:val="003C1504"/>
    <w:rsid w:val="003C1566"/>
    <w:rsid w:val="003C19E2"/>
    <w:rsid w:val="003C1C79"/>
    <w:rsid w:val="003C1E5E"/>
    <w:rsid w:val="003C1EB7"/>
    <w:rsid w:val="003C1FDE"/>
    <w:rsid w:val="003C20B0"/>
    <w:rsid w:val="003C215D"/>
    <w:rsid w:val="003C21F4"/>
    <w:rsid w:val="003C22FC"/>
    <w:rsid w:val="003C2334"/>
    <w:rsid w:val="003C246E"/>
    <w:rsid w:val="003C2528"/>
    <w:rsid w:val="003C25EE"/>
    <w:rsid w:val="003C27C6"/>
    <w:rsid w:val="003C29EE"/>
    <w:rsid w:val="003C2A0A"/>
    <w:rsid w:val="003C2AF8"/>
    <w:rsid w:val="003C2BFC"/>
    <w:rsid w:val="003C2E9E"/>
    <w:rsid w:val="003C2F65"/>
    <w:rsid w:val="003C306A"/>
    <w:rsid w:val="003C31FA"/>
    <w:rsid w:val="003C3246"/>
    <w:rsid w:val="003C3282"/>
    <w:rsid w:val="003C3331"/>
    <w:rsid w:val="003C36CC"/>
    <w:rsid w:val="003C39E1"/>
    <w:rsid w:val="003C3A5A"/>
    <w:rsid w:val="003C3D08"/>
    <w:rsid w:val="003C3F2E"/>
    <w:rsid w:val="003C4109"/>
    <w:rsid w:val="003C419F"/>
    <w:rsid w:val="003C4AD1"/>
    <w:rsid w:val="003C4B78"/>
    <w:rsid w:val="003C4CDA"/>
    <w:rsid w:val="003C4E12"/>
    <w:rsid w:val="003C4E1F"/>
    <w:rsid w:val="003C4E3A"/>
    <w:rsid w:val="003C5068"/>
    <w:rsid w:val="003C5140"/>
    <w:rsid w:val="003C54E5"/>
    <w:rsid w:val="003C5583"/>
    <w:rsid w:val="003C55DE"/>
    <w:rsid w:val="003C57CB"/>
    <w:rsid w:val="003C5D9C"/>
    <w:rsid w:val="003C611E"/>
    <w:rsid w:val="003C6188"/>
    <w:rsid w:val="003C6364"/>
    <w:rsid w:val="003C640E"/>
    <w:rsid w:val="003C65A9"/>
    <w:rsid w:val="003C6658"/>
    <w:rsid w:val="003C6A3A"/>
    <w:rsid w:val="003C6C91"/>
    <w:rsid w:val="003C6CAD"/>
    <w:rsid w:val="003C6D12"/>
    <w:rsid w:val="003C6D58"/>
    <w:rsid w:val="003C7390"/>
    <w:rsid w:val="003C76A6"/>
    <w:rsid w:val="003C77D0"/>
    <w:rsid w:val="003C78E8"/>
    <w:rsid w:val="003C7A17"/>
    <w:rsid w:val="003C7A1C"/>
    <w:rsid w:val="003C7A79"/>
    <w:rsid w:val="003C7BA7"/>
    <w:rsid w:val="003C7DD7"/>
    <w:rsid w:val="003C7FAD"/>
    <w:rsid w:val="003D02B9"/>
    <w:rsid w:val="003D0414"/>
    <w:rsid w:val="003D0B79"/>
    <w:rsid w:val="003D0EB9"/>
    <w:rsid w:val="003D10E5"/>
    <w:rsid w:val="003D11E1"/>
    <w:rsid w:val="003D1330"/>
    <w:rsid w:val="003D146B"/>
    <w:rsid w:val="003D149B"/>
    <w:rsid w:val="003D15C0"/>
    <w:rsid w:val="003D15E1"/>
    <w:rsid w:val="003D165A"/>
    <w:rsid w:val="003D17D0"/>
    <w:rsid w:val="003D198D"/>
    <w:rsid w:val="003D1C7A"/>
    <w:rsid w:val="003D1EB1"/>
    <w:rsid w:val="003D22DC"/>
    <w:rsid w:val="003D2357"/>
    <w:rsid w:val="003D24FD"/>
    <w:rsid w:val="003D25A8"/>
    <w:rsid w:val="003D25AF"/>
    <w:rsid w:val="003D2618"/>
    <w:rsid w:val="003D2A55"/>
    <w:rsid w:val="003D2A61"/>
    <w:rsid w:val="003D2C4B"/>
    <w:rsid w:val="003D2DA6"/>
    <w:rsid w:val="003D2F15"/>
    <w:rsid w:val="003D2FA5"/>
    <w:rsid w:val="003D2FC3"/>
    <w:rsid w:val="003D30B6"/>
    <w:rsid w:val="003D31A7"/>
    <w:rsid w:val="003D3309"/>
    <w:rsid w:val="003D358F"/>
    <w:rsid w:val="003D3689"/>
    <w:rsid w:val="003D3722"/>
    <w:rsid w:val="003D3EC9"/>
    <w:rsid w:val="003D4160"/>
    <w:rsid w:val="003D4200"/>
    <w:rsid w:val="003D43AF"/>
    <w:rsid w:val="003D469C"/>
    <w:rsid w:val="003D47D2"/>
    <w:rsid w:val="003D4EDC"/>
    <w:rsid w:val="003D4FF5"/>
    <w:rsid w:val="003D534C"/>
    <w:rsid w:val="003D5404"/>
    <w:rsid w:val="003D54C8"/>
    <w:rsid w:val="003D5B31"/>
    <w:rsid w:val="003D5B39"/>
    <w:rsid w:val="003D5C0D"/>
    <w:rsid w:val="003D5C6D"/>
    <w:rsid w:val="003D5DDC"/>
    <w:rsid w:val="003D60B9"/>
    <w:rsid w:val="003D6222"/>
    <w:rsid w:val="003D62C0"/>
    <w:rsid w:val="003D631C"/>
    <w:rsid w:val="003D6329"/>
    <w:rsid w:val="003D6764"/>
    <w:rsid w:val="003D693D"/>
    <w:rsid w:val="003D6992"/>
    <w:rsid w:val="003D69E5"/>
    <w:rsid w:val="003D6A1C"/>
    <w:rsid w:val="003D6AE1"/>
    <w:rsid w:val="003D6F59"/>
    <w:rsid w:val="003D700B"/>
    <w:rsid w:val="003D712F"/>
    <w:rsid w:val="003D78B4"/>
    <w:rsid w:val="003D7E30"/>
    <w:rsid w:val="003E0592"/>
    <w:rsid w:val="003E0887"/>
    <w:rsid w:val="003E0A8D"/>
    <w:rsid w:val="003E0BD5"/>
    <w:rsid w:val="003E0C30"/>
    <w:rsid w:val="003E0CCE"/>
    <w:rsid w:val="003E10AC"/>
    <w:rsid w:val="003E114A"/>
    <w:rsid w:val="003E123B"/>
    <w:rsid w:val="003E1520"/>
    <w:rsid w:val="003E163D"/>
    <w:rsid w:val="003E190E"/>
    <w:rsid w:val="003E1A08"/>
    <w:rsid w:val="003E1A4F"/>
    <w:rsid w:val="003E1A60"/>
    <w:rsid w:val="003E1F64"/>
    <w:rsid w:val="003E1FA2"/>
    <w:rsid w:val="003E2BF5"/>
    <w:rsid w:val="003E2C0A"/>
    <w:rsid w:val="003E2D00"/>
    <w:rsid w:val="003E2E59"/>
    <w:rsid w:val="003E31D5"/>
    <w:rsid w:val="003E329B"/>
    <w:rsid w:val="003E335E"/>
    <w:rsid w:val="003E3404"/>
    <w:rsid w:val="003E3732"/>
    <w:rsid w:val="003E391D"/>
    <w:rsid w:val="003E3ACF"/>
    <w:rsid w:val="003E3BDA"/>
    <w:rsid w:val="003E40B7"/>
    <w:rsid w:val="003E4442"/>
    <w:rsid w:val="003E453B"/>
    <w:rsid w:val="003E455F"/>
    <w:rsid w:val="003E45A0"/>
    <w:rsid w:val="003E4610"/>
    <w:rsid w:val="003E46AB"/>
    <w:rsid w:val="003E473F"/>
    <w:rsid w:val="003E47B3"/>
    <w:rsid w:val="003E4BBB"/>
    <w:rsid w:val="003E4D3F"/>
    <w:rsid w:val="003E4E1C"/>
    <w:rsid w:val="003E4E7F"/>
    <w:rsid w:val="003E4E9A"/>
    <w:rsid w:val="003E4FA9"/>
    <w:rsid w:val="003E52B0"/>
    <w:rsid w:val="003E5471"/>
    <w:rsid w:val="003E552E"/>
    <w:rsid w:val="003E56F5"/>
    <w:rsid w:val="003E57D6"/>
    <w:rsid w:val="003E58C4"/>
    <w:rsid w:val="003E59A0"/>
    <w:rsid w:val="003E5B45"/>
    <w:rsid w:val="003E5CB5"/>
    <w:rsid w:val="003E5D81"/>
    <w:rsid w:val="003E60CA"/>
    <w:rsid w:val="003E628C"/>
    <w:rsid w:val="003E65CB"/>
    <w:rsid w:val="003E6AB7"/>
    <w:rsid w:val="003E6C44"/>
    <w:rsid w:val="003E6C98"/>
    <w:rsid w:val="003E6DCA"/>
    <w:rsid w:val="003E6F9E"/>
    <w:rsid w:val="003E6FCC"/>
    <w:rsid w:val="003E721E"/>
    <w:rsid w:val="003E7241"/>
    <w:rsid w:val="003E76EE"/>
    <w:rsid w:val="003E7782"/>
    <w:rsid w:val="003E7810"/>
    <w:rsid w:val="003E78E5"/>
    <w:rsid w:val="003E7970"/>
    <w:rsid w:val="003E7BE8"/>
    <w:rsid w:val="003E7E0E"/>
    <w:rsid w:val="003E7E65"/>
    <w:rsid w:val="003E7F0B"/>
    <w:rsid w:val="003F0477"/>
    <w:rsid w:val="003F047B"/>
    <w:rsid w:val="003F049A"/>
    <w:rsid w:val="003F09F0"/>
    <w:rsid w:val="003F0B21"/>
    <w:rsid w:val="003F0CF4"/>
    <w:rsid w:val="003F0DF8"/>
    <w:rsid w:val="003F10E4"/>
    <w:rsid w:val="003F133D"/>
    <w:rsid w:val="003F1797"/>
    <w:rsid w:val="003F1869"/>
    <w:rsid w:val="003F1BB9"/>
    <w:rsid w:val="003F1BE4"/>
    <w:rsid w:val="003F1EA0"/>
    <w:rsid w:val="003F1F8F"/>
    <w:rsid w:val="003F1FF2"/>
    <w:rsid w:val="003F237E"/>
    <w:rsid w:val="003F2423"/>
    <w:rsid w:val="003F2570"/>
    <w:rsid w:val="003F261D"/>
    <w:rsid w:val="003F2678"/>
    <w:rsid w:val="003F2697"/>
    <w:rsid w:val="003F285E"/>
    <w:rsid w:val="003F292F"/>
    <w:rsid w:val="003F29E8"/>
    <w:rsid w:val="003F2B83"/>
    <w:rsid w:val="003F2C13"/>
    <w:rsid w:val="003F2CF6"/>
    <w:rsid w:val="003F2D54"/>
    <w:rsid w:val="003F2D5F"/>
    <w:rsid w:val="003F2F28"/>
    <w:rsid w:val="003F2F3C"/>
    <w:rsid w:val="003F2F7E"/>
    <w:rsid w:val="003F30D4"/>
    <w:rsid w:val="003F321E"/>
    <w:rsid w:val="003F33E4"/>
    <w:rsid w:val="003F353D"/>
    <w:rsid w:val="003F35D2"/>
    <w:rsid w:val="003F39D3"/>
    <w:rsid w:val="003F3AD0"/>
    <w:rsid w:val="003F3B62"/>
    <w:rsid w:val="003F3BCE"/>
    <w:rsid w:val="003F3BD8"/>
    <w:rsid w:val="003F3C21"/>
    <w:rsid w:val="003F3ED2"/>
    <w:rsid w:val="003F407E"/>
    <w:rsid w:val="003F42D3"/>
    <w:rsid w:val="003F4303"/>
    <w:rsid w:val="003F435E"/>
    <w:rsid w:val="003F4478"/>
    <w:rsid w:val="003F4741"/>
    <w:rsid w:val="003F4881"/>
    <w:rsid w:val="003F49D1"/>
    <w:rsid w:val="003F4A6D"/>
    <w:rsid w:val="003F4E69"/>
    <w:rsid w:val="003F4ECA"/>
    <w:rsid w:val="003F4F4E"/>
    <w:rsid w:val="003F4F5C"/>
    <w:rsid w:val="003F5439"/>
    <w:rsid w:val="003F559C"/>
    <w:rsid w:val="003F58D8"/>
    <w:rsid w:val="003F59CB"/>
    <w:rsid w:val="003F5B8C"/>
    <w:rsid w:val="003F5C57"/>
    <w:rsid w:val="003F604D"/>
    <w:rsid w:val="003F6058"/>
    <w:rsid w:val="003F606F"/>
    <w:rsid w:val="003F6132"/>
    <w:rsid w:val="003F6173"/>
    <w:rsid w:val="003F6622"/>
    <w:rsid w:val="003F6A27"/>
    <w:rsid w:val="003F6B77"/>
    <w:rsid w:val="003F6C67"/>
    <w:rsid w:val="003F6CAB"/>
    <w:rsid w:val="003F6DC0"/>
    <w:rsid w:val="003F6FAF"/>
    <w:rsid w:val="003F7012"/>
    <w:rsid w:val="003F7430"/>
    <w:rsid w:val="003F74E6"/>
    <w:rsid w:val="003F7550"/>
    <w:rsid w:val="003F789E"/>
    <w:rsid w:val="003F7C69"/>
    <w:rsid w:val="003F7F03"/>
    <w:rsid w:val="003F7F86"/>
    <w:rsid w:val="00400243"/>
    <w:rsid w:val="004003EF"/>
    <w:rsid w:val="00400461"/>
    <w:rsid w:val="004005A6"/>
    <w:rsid w:val="004006C1"/>
    <w:rsid w:val="004008D3"/>
    <w:rsid w:val="00400AFA"/>
    <w:rsid w:val="00400DE3"/>
    <w:rsid w:val="00400FAC"/>
    <w:rsid w:val="0040108F"/>
    <w:rsid w:val="004010E3"/>
    <w:rsid w:val="00401497"/>
    <w:rsid w:val="004017B9"/>
    <w:rsid w:val="004017E7"/>
    <w:rsid w:val="0040186D"/>
    <w:rsid w:val="004018C3"/>
    <w:rsid w:val="00401AD8"/>
    <w:rsid w:val="00401B59"/>
    <w:rsid w:val="00401C44"/>
    <w:rsid w:val="00401F04"/>
    <w:rsid w:val="00401F5A"/>
    <w:rsid w:val="00401F5B"/>
    <w:rsid w:val="00401F73"/>
    <w:rsid w:val="00401FFE"/>
    <w:rsid w:val="004020DB"/>
    <w:rsid w:val="004021DD"/>
    <w:rsid w:val="004021E0"/>
    <w:rsid w:val="00402597"/>
    <w:rsid w:val="004025EC"/>
    <w:rsid w:val="00402734"/>
    <w:rsid w:val="0040282C"/>
    <w:rsid w:val="00402A3D"/>
    <w:rsid w:val="00402B55"/>
    <w:rsid w:val="00402BE6"/>
    <w:rsid w:val="00402EE5"/>
    <w:rsid w:val="00403019"/>
    <w:rsid w:val="00403190"/>
    <w:rsid w:val="00403207"/>
    <w:rsid w:val="004032A9"/>
    <w:rsid w:val="004032EE"/>
    <w:rsid w:val="00403335"/>
    <w:rsid w:val="0040376A"/>
    <w:rsid w:val="0040409D"/>
    <w:rsid w:val="00404205"/>
    <w:rsid w:val="004044B6"/>
    <w:rsid w:val="0040456A"/>
    <w:rsid w:val="004048FD"/>
    <w:rsid w:val="00404B24"/>
    <w:rsid w:val="00404BD4"/>
    <w:rsid w:val="00404CBE"/>
    <w:rsid w:val="00404CC1"/>
    <w:rsid w:val="00404E6C"/>
    <w:rsid w:val="00404ED8"/>
    <w:rsid w:val="00405076"/>
    <w:rsid w:val="00405094"/>
    <w:rsid w:val="00405232"/>
    <w:rsid w:val="0040532A"/>
    <w:rsid w:val="00405372"/>
    <w:rsid w:val="0040559B"/>
    <w:rsid w:val="004055AE"/>
    <w:rsid w:val="0040568B"/>
    <w:rsid w:val="00405CC2"/>
    <w:rsid w:val="00405E51"/>
    <w:rsid w:val="0040601C"/>
    <w:rsid w:val="0040617A"/>
    <w:rsid w:val="004061F0"/>
    <w:rsid w:val="00406494"/>
    <w:rsid w:val="004064CE"/>
    <w:rsid w:val="00406A85"/>
    <w:rsid w:val="00406AEA"/>
    <w:rsid w:val="00406B0F"/>
    <w:rsid w:val="00406B6B"/>
    <w:rsid w:val="00406E9A"/>
    <w:rsid w:val="00406F61"/>
    <w:rsid w:val="0040703C"/>
    <w:rsid w:val="0040708B"/>
    <w:rsid w:val="0040729F"/>
    <w:rsid w:val="0040765C"/>
    <w:rsid w:val="004076BB"/>
    <w:rsid w:val="00407701"/>
    <w:rsid w:val="004079A1"/>
    <w:rsid w:val="00407A76"/>
    <w:rsid w:val="00407ACD"/>
    <w:rsid w:val="00407B51"/>
    <w:rsid w:val="00407D42"/>
    <w:rsid w:val="00407E87"/>
    <w:rsid w:val="004100E9"/>
    <w:rsid w:val="0041013C"/>
    <w:rsid w:val="004104FB"/>
    <w:rsid w:val="0041063C"/>
    <w:rsid w:val="00410645"/>
    <w:rsid w:val="0041074D"/>
    <w:rsid w:val="00410A60"/>
    <w:rsid w:val="00410CAE"/>
    <w:rsid w:val="00410E39"/>
    <w:rsid w:val="00410FF7"/>
    <w:rsid w:val="00411238"/>
    <w:rsid w:val="004113F6"/>
    <w:rsid w:val="004116E1"/>
    <w:rsid w:val="00411CD7"/>
    <w:rsid w:val="00411CDF"/>
    <w:rsid w:val="00411DC4"/>
    <w:rsid w:val="00412270"/>
    <w:rsid w:val="00412280"/>
    <w:rsid w:val="0041288F"/>
    <w:rsid w:val="004129D8"/>
    <w:rsid w:val="00412BDD"/>
    <w:rsid w:val="00412C03"/>
    <w:rsid w:val="00412F82"/>
    <w:rsid w:val="00412FD4"/>
    <w:rsid w:val="004130F4"/>
    <w:rsid w:val="00413363"/>
    <w:rsid w:val="004135F6"/>
    <w:rsid w:val="0041369B"/>
    <w:rsid w:val="00413965"/>
    <w:rsid w:val="00413A1E"/>
    <w:rsid w:val="00413A57"/>
    <w:rsid w:val="00413B88"/>
    <w:rsid w:val="00413B89"/>
    <w:rsid w:val="00413BCD"/>
    <w:rsid w:val="00413EF9"/>
    <w:rsid w:val="004140A7"/>
    <w:rsid w:val="00414E42"/>
    <w:rsid w:val="00414E89"/>
    <w:rsid w:val="00414EF8"/>
    <w:rsid w:val="00414F96"/>
    <w:rsid w:val="00414FFC"/>
    <w:rsid w:val="004151A0"/>
    <w:rsid w:val="004151D4"/>
    <w:rsid w:val="00415224"/>
    <w:rsid w:val="00415443"/>
    <w:rsid w:val="00415454"/>
    <w:rsid w:val="0041563F"/>
    <w:rsid w:val="004157D9"/>
    <w:rsid w:val="004158DB"/>
    <w:rsid w:val="00415929"/>
    <w:rsid w:val="004159D5"/>
    <w:rsid w:val="00415C49"/>
    <w:rsid w:val="00416131"/>
    <w:rsid w:val="00416162"/>
    <w:rsid w:val="00416593"/>
    <w:rsid w:val="004168C4"/>
    <w:rsid w:val="004168CE"/>
    <w:rsid w:val="00416B51"/>
    <w:rsid w:val="00417504"/>
    <w:rsid w:val="0041752A"/>
    <w:rsid w:val="004175A3"/>
    <w:rsid w:val="00417829"/>
    <w:rsid w:val="00417F5C"/>
    <w:rsid w:val="00420743"/>
    <w:rsid w:val="00420A1C"/>
    <w:rsid w:val="00420A32"/>
    <w:rsid w:val="00420BA9"/>
    <w:rsid w:val="00420BEC"/>
    <w:rsid w:val="00420C4C"/>
    <w:rsid w:val="00420D2A"/>
    <w:rsid w:val="00420F6F"/>
    <w:rsid w:val="00421179"/>
    <w:rsid w:val="00421205"/>
    <w:rsid w:val="004214B9"/>
    <w:rsid w:val="004216D0"/>
    <w:rsid w:val="00421709"/>
    <w:rsid w:val="004218DA"/>
    <w:rsid w:val="00421A77"/>
    <w:rsid w:val="00421A89"/>
    <w:rsid w:val="00421ABB"/>
    <w:rsid w:val="00421E96"/>
    <w:rsid w:val="00422137"/>
    <w:rsid w:val="00422214"/>
    <w:rsid w:val="00422263"/>
    <w:rsid w:val="004224AE"/>
    <w:rsid w:val="0042253A"/>
    <w:rsid w:val="00422927"/>
    <w:rsid w:val="00422973"/>
    <w:rsid w:val="00422C23"/>
    <w:rsid w:val="00422C6F"/>
    <w:rsid w:val="00422EF8"/>
    <w:rsid w:val="00422FEC"/>
    <w:rsid w:val="004230F6"/>
    <w:rsid w:val="00423290"/>
    <w:rsid w:val="004233D5"/>
    <w:rsid w:val="004234E0"/>
    <w:rsid w:val="004235AF"/>
    <w:rsid w:val="0042369B"/>
    <w:rsid w:val="004238EE"/>
    <w:rsid w:val="00423D23"/>
    <w:rsid w:val="00423DA3"/>
    <w:rsid w:val="00423E07"/>
    <w:rsid w:val="00423E2F"/>
    <w:rsid w:val="00423EC1"/>
    <w:rsid w:val="00423EF9"/>
    <w:rsid w:val="00423F14"/>
    <w:rsid w:val="00423F5C"/>
    <w:rsid w:val="004241C6"/>
    <w:rsid w:val="004242F5"/>
    <w:rsid w:val="00424524"/>
    <w:rsid w:val="0042472C"/>
    <w:rsid w:val="0042472D"/>
    <w:rsid w:val="00424C82"/>
    <w:rsid w:val="00424E3F"/>
    <w:rsid w:val="00424E50"/>
    <w:rsid w:val="00425060"/>
    <w:rsid w:val="004251E6"/>
    <w:rsid w:val="004254B4"/>
    <w:rsid w:val="00425573"/>
    <w:rsid w:val="004255B6"/>
    <w:rsid w:val="004255D5"/>
    <w:rsid w:val="00425618"/>
    <w:rsid w:val="00425A56"/>
    <w:rsid w:val="00425C4C"/>
    <w:rsid w:val="0042636A"/>
    <w:rsid w:val="00426682"/>
    <w:rsid w:val="00426972"/>
    <w:rsid w:val="00426AF3"/>
    <w:rsid w:val="00426E23"/>
    <w:rsid w:val="00426E48"/>
    <w:rsid w:val="0042722D"/>
    <w:rsid w:val="004276A1"/>
    <w:rsid w:val="004277EA"/>
    <w:rsid w:val="00427B40"/>
    <w:rsid w:val="00427C55"/>
    <w:rsid w:val="00427E03"/>
    <w:rsid w:val="0043029A"/>
    <w:rsid w:val="0043066E"/>
    <w:rsid w:val="0043095F"/>
    <w:rsid w:val="00430D04"/>
    <w:rsid w:val="00430E88"/>
    <w:rsid w:val="00430EB6"/>
    <w:rsid w:val="00431048"/>
    <w:rsid w:val="004312BC"/>
    <w:rsid w:val="004316DF"/>
    <w:rsid w:val="004316E9"/>
    <w:rsid w:val="00431855"/>
    <w:rsid w:val="00431974"/>
    <w:rsid w:val="004319D9"/>
    <w:rsid w:val="004319F9"/>
    <w:rsid w:val="00431AE1"/>
    <w:rsid w:val="00431BDE"/>
    <w:rsid w:val="00431DC7"/>
    <w:rsid w:val="00431EEC"/>
    <w:rsid w:val="00431FB5"/>
    <w:rsid w:val="00432059"/>
    <w:rsid w:val="00432502"/>
    <w:rsid w:val="0043261D"/>
    <w:rsid w:val="004328BF"/>
    <w:rsid w:val="004329D1"/>
    <w:rsid w:val="00432B30"/>
    <w:rsid w:val="00432C13"/>
    <w:rsid w:val="00432EB6"/>
    <w:rsid w:val="00432F63"/>
    <w:rsid w:val="00433136"/>
    <w:rsid w:val="004333BA"/>
    <w:rsid w:val="0043379D"/>
    <w:rsid w:val="00433C8D"/>
    <w:rsid w:val="00433CFD"/>
    <w:rsid w:val="00433F16"/>
    <w:rsid w:val="0043415A"/>
    <w:rsid w:val="00434224"/>
    <w:rsid w:val="0043432E"/>
    <w:rsid w:val="00434399"/>
    <w:rsid w:val="00434709"/>
    <w:rsid w:val="00434CDF"/>
    <w:rsid w:val="00434D3A"/>
    <w:rsid w:val="00434F10"/>
    <w:rsid w:val="00435171"/>
    <w:rsid w:val="004351FD"/>
    <w:rsid w:val="004355BA"/>
    <w:rsid w:val="00435A3E"/>
    <w:rsid w:val="00435AE4"/>
    <w:rsid w:val="00435C45"/>
    <w:rsid w:val="00435C64"/>
    <w:rsid w:val="00435D73"/>
    <w:rsid w:val="00435E9A"/>
    <w:rsid w:val="004360EA"/>
    <w:rsid w:val="0043611D"/>
    <w:rsid w:val="0043626A"/>
    <w:rsid w:val="004362FE"/>
    <w:rsid w:val="00436354"/>
    <w:rsid w:val="004364F9"/>
    <w:rsid w:val="00436598"/>
    <w:rsid w:val="004365BE"/>
    <w:rsid w:val="004365F1"/>
    <w:rsid w:val="004366B5"/>
    <w:rsid w:val="004367B3"/>
    <w:rsid w:val="00436A28"/>
    <w:rsid w:val="00436B0E"/>
    <w:rsid w:val="00436F3C"/>
    <w:rsid w:val="00436F43"/>
    <w:rsid w:val="00436FAA"/>
    <w:rsid w:val="00436FBD"/>
    <w:rsid w:val="00437027"/>
    <w:rsid w:val="004372CD"/>
    <w:rsid w:val="00437445"/>
    <w:rsid w:val="00437797"/>
    <w:rsid w:val="00437838"/>
    <w:rsid w:val="004379DD"/>
    <w:rsid w:val="00437A11"/>
    <w:rsid w:val="00437AEA"/>
    <w:rsid w:val="00437F91"/>
    <w:rsid w:val="0044029D"/>
    <w:rsid w:val="00440311"/>
    <w:rsid w:val="004403C7"/>
    <w:rsid w:val="00440590"/>
    <w:rsid w:val="004405A7"/>
    <w:rsid w:val="00440D73"/>
    <w:rsid w:val="004417E4"/>
    <w:rsid w:val="00441937"/>
    <w:rsid w:val="0044198B"/>
    <w:rsid w:val="004419C6"/>
    <w:rsid w:val="00441A1F"/>
    <w:rsid w:val="00441BC9"/>
    <w:rsid w:val="00441D78"/>
    <w:rsid w:val="00441E86"/>
    <w:rsid w:val="0044216E"/>
    <w:rsid w:val="004421A3"/>
    <w:rsid w:val="00442242"/>
    <w:rsid w:val="0044238F"/>
    <w:rsid w:val="004423B6"/>
    <w:rsid w:val="004423F0"/>
    <w:rsid w:val="00442590"/>
    <w:rsid w:val="00442620"/>
    <w:rsid w:val="0044263E"/>
    <w:rsid w:val="004428FF"/>
    <w:rsid w:val="00442A48"/>
    <w:rsid w:val="00442B0C"/>
    <w:rsid w:val="00442BF3"/>
    <w:rsid w:val="00442D03"/>
    <w:rsid w:val="00442D8C"/>
    <w:rsid w:val="00442E88"/>
    <w:rsid w:val="00442EE3"/>
    <w:rsid w:val="00443043"/>
    <w:rsid w:val="004430A1"/>
    <w:rsid w:val="004431CF"/>
    <w:rsid w:val="004432A1"/>
    <w:rsid w:val="004432E2"/>
    <w:rsid w:val="004433A3"/>
    <w:rsid w:val="0044348B"/>
    <w:rsid w:val="0044363C"/>
    <w:rsid w:val="004438A3"/>
    <w:rsid w:val="0044393D"/>
    <w:rsid w:val="00443D14"/>
    <w:rsid w:val="00443E6A"/>
    <w:rsid w:val="004444A4"/>
    <w:rsid w:val="00444746"/>
    <w:rsid w:val="0044497D"/>
    <w:rsid w:val="00444BDD"/>
    <w:rsid w:val="00444CAA"/>
    <w:rsid w:val="00444F04"/>
    <w:rsid w:val="00445116"/>
    <w:rsid w:val="004453A5"/>
    <w:rsid w:val="0044560C"/>
    <w:rsid w:val="00445612"/>
    <w:rsid w:val="004456E8"/>
    <w:rsid w:val="004462AB"/>
    <w:rsid w:val="0044689E"/>
    <w:rsid w:val="004468AC"/>
    <w:rsid w:val="004469F0"/>
    <w:rsid w:val="00446BF7"/>
    <w:rsid w:val="00446ED6"/>
    <w:rsid w:val="00447086"/>
    <w:rsid w:val="004470E2"/>
    <w:rsid w:val="004470FD"/>
    <w:rsid w:val="00447480"/>
    <w:rsid w:val="00447515"/>
    <w:rsid w:val="00447812"/>
    <w:rsid w:val="00447AA1"/>
    <w:rsid w:val="00447AC7"/>
    <w:rsid w:val="00447AD5"/>
    <w:rsid w:val="00447C4E"/>
    <w:rsid w:val="00447CCD"/>
    <w:rsid w:val="00447FDB"/>
    <w:rsid w:val="00447FFB"/>
    <w:rsid w:val="00450152"/>
    <w:rsid w:val="004501B5"/>
    <w:rsid w:val="0045029B"/>
    <w:rsid w:val="00450572"/>
    <w:rsid w:val="004506DC"/>
    <w:rsid w:val="00450737"/>
    <w:rsid w:val="00450798"/>
    <w:rsid w:val="00450C0B"/>
    <w:rsid w:val="00450E23"/>
    <w:rsid w:val="00450E71"/>
    <w:rsid w:val="00451085"/>
    <w:rsid w:val="004511B2"/>
    <w:rsid w:val="00451284"/>
    <w:rsid w:val="004515DE"/>
    <w:rsid w:val="00451946"/>
    <w:rsid w:val="00451B28"/>
    <w:rsid w:val="00451BA3"/>
    <w:rsid w:val="00451C6D"/>
    <w:rsid w:val="00451CB2"/>
    <w:rsid w:val="0045203C"/>
    <w:rsid w:val="00452426"/>
    <w:rsid w:val="00452518"/>
    <w:rsid w:val="0045253A"/>
    <w:rsid w:val="004527BA"/>
    <w:rsid w:val="004528B9"/>
    <w:rsid w:val="00452A6D"/>
    <w:rsid w:val="00452C9F"/>
    <w:rsid w:val="00452FA8"/>
    <w:rsid w:val="00452FAF"/>
    <w:rsid w:val="004534F8"/>
    <w:rsid w:val="004538BC"/>
    <w:rsid w:val="00453927"/>
    <w:rsid w:val="0045394C"/>
    <w:rsid w:val="0045397A"/>
    <w:rsid w:val="00453D4B"/>
    <w:rsid w:val="00453D88"/>
    <w:rsid w:val="00453E0D"/>
    <w:rsid w:val="00453F5B"/>
    <w:rsid w:val="00454018"/>
    <w:rsid w:val="0045402A"/>
    <w:rsid w:val="004541B2"/>
    <w:rsid w:val="00454231"/>
    <w:rsid w:val="0045436E"/>
    <w:rsid w:val="004543E2"/>
    <w:rsid w:val="0045482A"/>
    <w:rsid w:val="00454B7E"/>
    <w:rsid w:val="00454C8D"/>
    <w:rsid w:val="00454CD5"/>
    <w:rsid w:val="00454DE7"/>
    <w:rsid w:val="00455033"/>
    <w:rsid w:val="00455164"/>
    <w:rsid w:val="00455816"/>
    <w:rsid w:val="00455891"/>
    <w:rsid w:val="00455BBC"/>
    <w:rsid w:val="00455D09"/>
    <w:rsid w:val="004560FB"/>
    <w:rsid w:val="004565B9"/>
    <w:rsid w:val="00456AEB"/>
    <w:rsid w:val="00456B69"/>
    <w:rsid w:val="00456C74"/>
    <w:rsid w:val="00456EC0"/>
    <w:rsid w:val="0045718D"/>
    <w:rsid w:val="00457212"/>
    <w:rsid w:val="00457440"/>
    <w:rsid w:val="00457711"/>
    <w:rsid w:val="0045787C"/>
    <w:rsid w:val="00457980"/>
    <w:rsid w:val="00457A48"/>
    <w:rsid w:val="00457A8B"/>
    <w:rsid w:val="00457AA2"/>
    <w:rsid w:val="00457D18"/>
    <w:rsid w:val="00457D91"/>
    <w:rsid w:val="004600B5"/>
    <w:rsid w:val="004600F4"/>
    <w:rsid w:val="00460170"/>
    <w:rsid w:val="0046048E"/>
    <w:rsid w:val="004607CE"/>
    <w:rsid w:val="004607FD"/>
    <w:rsid w:val="0046098A"/>
    <w:rsid w:val="00460A20"/>
    <w:rsid w:val="00460B3A"/>
    <w:rsid w:val="00460C66"/>
    <w:rsid w:val="004611A6"/>
    <w:rsid w:val="004613FD"/>
    <w:rsid w:val="004614DD"/>
    <w:rsid w:val="00461589"/>
    <w:rsid w:val="004615FF"/>
    <w:rsid w:val="0046178A"/>
    <w:rsid w:val="004618B4"/>
    <w:rsid w:val="004618BA"/>
    <w:rsid w:val="00461A9F"/>
    <w:rsid w:val="00461BE0"/>
    <w:rsid w:val="004620B1"/>
    <w:rsid w:val="004622D8"/>
    <w:rsid w:val="00462318"/>
    <w:rsid w:val="0046268A"/>
    <w:rsid w:val="0046284C"/>
    <w:rsid w:val="00462954"/>
    <w:rsid w:val="0046296D"/>
    <w:rsid w:val="00462A24"/>
    <w:rsid w:val="00462D25"/>
    <w:rsid w:val="00462DFC"/>
    <w:rsid w:val="00463471"/>
    <w:rsid w:val="0046358E"/>
    <w:rsid w:val="00463836"/>
    <w:rsid w:val="0046384C"/>
    <w:rsid w:val="004638F5"/>
    <w:rsid w:val="00463942"/>
    <w:rsid w:val="00463A00"/>
    <w:rsid w:val="00463A70"/>
    <w:rsid w:val="00463BD7"/>
    <w:rsid w:val="00463C1C"/>
    <w:rsid w:val="00463C23"/>
    <w:rsid w:val="00463C82"/>
    <w:rsid w:val="00463D23"/>
    <w:rsid w:val="00464088"/>
    <w:rsid w:val="0046439A"/>
    <w:rsid w:val="0046459B"/>
    <w:rsid w:val="004647E7"/>
    <w:rsid w:val="00464E85"/>
    <w:rsid w:val="00464F36"/>
    <w:rsid w:val="004650F0"/>
    <w:rsid w:val="00465121"/>
    <w:rsid w:val="004652F4"/>
    <w:rsid w:val="00465622"/>
    <w:rsid w:val="004656AE"/>
    <w:rsid w:val="00465716"/>
    <w:rsid w:val="00465B88"/>
    <w:rsid w:val="00465C71"/>
    <w:rsid w:val="00465F49"/>
    <w:rsid w:val="00465F50"/>
    <w:rsid w:val="0046605C"/>
    <w:rsid w:val="004663A5"/>
    <w:rsid w:val="00466468"/>
    <w:rsid w:val="004666EF"/>
    <w:rsid w:val="00466736"/>
    <w:rsid w:val="00466841"/>
    <w:rsid w:val="00466AD5"/>
    <w:rsid w:val="00466AD9"/>
    <w:rsid w:val="00466B0D"/>
    <w:rsid w:val="00466B15"/>
    <w:rsid w:val="00466C24"/>
    <w:rsid w:val="00466C2E"/>
    <w:rsid w:val="00466D17"/>
    <w:rsid w:val="00466E95"/>
    <w:rsid w:val="0046744E"/>
    <w:rsid w:val="004675DF"/>
    <w:rsid w:val="0046781F"/>
    <w:rsid w:val="0046789F"/>
    <w:rsid w:val="004678C4"/>
    <w:rsid w:val="00467BED"/>
    <w:rsid w:val="00467C2D"/>
    <w:rsid w:val="00467C3D"/>
    <w:rsid w:val="00467DD5"/>
    <w:rsid w:val="00470048"/>
    <w:rsid w:val="004700A0"/>
    <w:rsid w:val="004702DE"/>
    <w:rsid w:val="0047093D"/>
    <w:rsid w:val="00470C6A"/>
    <w:rsid w:val="00470ECF"/>
    <w:rsid w:val="00470F8E"/>
    <w:rsid w:val="00470F91"/>
    <w:rsid w:val="0047103E"/>
    <w:rsid w:val="00471089"/>
    <w:rsid w:val="00471291"/>
    <w:rsid w:val="00471370"/>
    <w:rsid w:val="00471663"/>
    <w:rsid w:val="00471711"/>
    <w:rsid w:val="0047174F"/>
    <w:rsid w:val="00471769"/>
    <w:rsid w:val="0047179A"/>
    <w:rsid w:val="0047179D"/>
    <w:rsid w:val="00471C0C"/>
    <w:rsid w:val="00471CA0"/>
    <w:rsid w:val="00471CEC"/>
    <w:rsid w:val="00471D2A"/>
    <w:rsid w:val="00471DD6"/>
    <w:rsid w:val="00471F3A"/>
    <w:rsid w:val="00472021"/>
    <w:rsid w:val="004720D2"/>
    <w:rsid w:val="00472224"/>
    <w:rsid w:val="00472401"/>
    <w:rsid w:val="004724A8"/>
    <w:rsid w:val="004725C5"/>
    <w:rsid w:val="00472789"/>
    <w:rsid w:val="00472993"/>
    <w:rsid w:val="004729E1"/>
    <w:rsid w:val="00472A6C"/>
    <w:rsid w:val="00472AA9"/>
    <w:rsid w:val="00472BE9"/>
    <w:rsid w:val="00472C12"/>
    <w:rsid w:val="004731C0"/>
    <w:rsid w:val="004733F9"/>
    <w:rsid w:val="00473526"/>
    <w:rsid w:val="0047384F"/>
    <w:rsid w:val="0047388A"/>
    <w:rsid w:val="0047398F"/>
    <w:rsid w:val="00473C8C"/>
    <w:rsid w:val="00473D44"/>
    <w:rsid w:val="00474023"/>
    <w:rsid w:val="00474210"/>
    <w:rsid w:val="0047439E"/>
    <w:rsid w:val="00474511"/>
    <w:rsid w:val="00474677"/>
    <w:rsid w:val="00474740"/>
    <w:rsid w:val="004748CA"/>
    <w:rsid w:val="00474979"/>
    <w:rsid w:val="00474D91"/>
    <w:rsid w:val="00475533"/>
    <w:rsid w:val="004755DD"/>
    <w:rsid w:val="00475646"/>
    <w:rsid w:val="0047569C"/>
    <w:rsid w:val="00475757"/>
    <w:rsid w:val="0047578F"/>
    <w:rsid w:val="004758A8"/>
    <w:rsid w:val="00475A4C"/>
    <w:rsid w:val="00475B42"/>
    <w:rsid w:val="00475EB6"/>
    <w:rsid w:val="0047604C"/>
    <w:rsid w:val="00476131"/>
    <w:rsid w:val="004762E4"/>
    <w:rsid w:val="004763AC"/>
    <w:rsid w:val="0047646E"/>
    <w:rsid w:val="00476A90"/>
    <w:rsid w:val="00476D23"/>
    <w:rsid w:val="00476D8F"/>
    <w:rsid w:val="00476E7E"/>
    <w:rsid w:val="00476FB7"/>
    <w:rsid w:val="0047708B"/>
    <w:rsid w:val="004770AB"/>
    <w:rsid w:val="0047737A"/>
    <w:rsid w:val="004774E4"/>
    <w:rsid w:val="004775F1"/>
    <w:rsid w:val="004776B1"/>
    <w:rsid w:val="00477AC0"/>
    <w:rsid w:val="00477B61"/>
    <w:rsid w:val="00477CBB"/>
    <w:rsid w:val="00477EC6"/>
    <w:rsid w:val="00477F2A"/>
    <w:rsid w:val="00477FBA"/>
    <w:rsid w:val="00477FD5"/>
    <w:rsid w:val="0048005A"/>
    <w:rsid w:val="004800AD"/>
    <w:rsid w:val="004800B8"/>
    <w:rsid w:val="004803DD"/>
    <w:rsid w:val="00480541"/>
    <w:rsid w:val="004805C1"/>
    <w:rsid w:val="00480631"/>
    <w:rsid w:val="004806A4"/>
    <w:rsid w:val="00480B00"/>
    <w:rsid w:val="00480C19"/>
    <w:rsid w:val="00480F13"/>
    <w:rsid w:val="00481042"/>
    <w:rsid w:val="00481120"/>
    <w:rsid w:val="00481315"/>
    <w:rsid w:val="004816DB"/>
    <w:rsid w:val="004819F1"/>
    <w:rsid w:val="00481C7C"/>
    <w:rsid w:val="00481D5D"/>
    <w:rsid w:val="00481DB7"/>
    <w:rsid w:val="00481F37"/>
    <w:rsid w:val="0048210F"/>
    <w:rsid w:val="00482112"/>
    <w:rsid w:val="00482172"/>
    <w:rsid w:val="004821A6"/>
    <w:rsid w:val="004822A8"/>
    <w:rsid w:val="00482598"/>
    <w:rsid w:val="004825BC"/>
    <w:rsid w:val="0048283A"/>
    <w:rsid w:val="00482B72"/>
    <w:rsid w:val="00482B8D"/>
    <w:rsid w:val="00482BEC"/>
    <w:rsid w:val="00482DD8"/>
    <w:rsid w:val="00482DE9"/>
    <w:rsid w:val="00482E59"/>
    <w:rsid w:val="00482EF3"/>
    <w:rsid w:val="00483035"/>
    <w:rsid w:val="004833BA"/>
    <w:rsid w:val="0048363F"/>
    <w:rsid w:val="004836E4"/>
    <w:rsid w:val="00483736"/>
    <w:rsid w:val="00483765"/>
    <w:rsid w:val="00483983"/>
    <w:rsid w:val="004839C2"/>
    <w:rsid w:val="004839CA"/>
    <w:rsid w:val="00483BC6"/>
    <w:rsid w:val="00483EC8"/>
    <w:rsid w:val="00483F0A"/>
    <w:rsid w:val="00483FE7"/>
    <w:rsid w:val="004840A1"/>
    <w:rsid w:val="0048429D"/>
    <w:rsid w:val="004843E4"/>
    <w:rsid w:val="004845F1"/>
    <w:rsid w:val="004847B5"/>
    <w:rsid w:val="00484B14"/>
    <w:rsid w:val="00484B29"/>
    <w:rsid w:val="00484B9A"/>
    <w:rsid w:val="00484C9F"/>
    <w:rsid w:val="00484CE4"/>
    <w:rsid w:val="00485040"/>
    <w:rsid w:val="0048507F"/>
    <w:rsid w:val="0048520A"/>
    <w:rsid w:val="004853D0"/>
    <w:rsid w:val="00485493"/>
    <w:rsid w:val="00485532"/>
    <w:rsid w:val="00485DDD"/>
    <w:rsid w:val="00485FD4"/>
    <w:rsid w:val="004860C5"/>
    <w:rsid w:val="004861AA"/>
    <w:rsid w:val="0048637D"/>
    <w:rsid w:val="004864CA"/>
    <w:rsid w:val="004867FD"/>
    <w:rsid w:val="00486801"/>
    <w:rsid w:val="004869B7"/>
    <w:rsid w:val="00486AA2"/>
    <w:rsid w:val="00486BD0"/>
    <w:rsid w:val="00486C28"/>
    <w:rsid w:val="00486C63"/>
    <w:rsid w:val="00486C67"/>
    <w:rsid w:val="00486E8F"/>
    <w:rsid w:val="00486F92"/>
    <w:rsid w:val="00486FE8"/>
    <w:rsid w:val="00487144"/>
    <w:rsid w:val="0048737D"/>
    <w:rsid w:val="004874EE"/>
    <w:rsid w:val="00487676"/>
    <w:rsid w:val="00487837"/>
    <w:rsid w:val="00487994"/>
    <w:rsid w:val="00487B0A"/>
    <w:rsid w:val="00487CFC"/>
    <w:rsid w:val="00487E97"/>
    <w:rsid w:val="00487F33"/>
    <w:rsid w:val="00487FE2"/>
    <w:rsid w:val="004900EA"/>
    <w:rsid w:val="0049018A"/>
    <w:rsid w:val="004901DD"/>
    <w:rsid w:val="00490220"/>
    <w:rsid w:val="0049025D"/>
    <w:rsid w:val="0049051D"/>
    <w:rsid w:val="00490C60"/>
    <w:rsid w:val="00490D7E"/>
    <w:rsid w:val="00490F10"/>
    <w:rsid w:val="00491408"/>
    <w:rsid w:val="0049156F"/>
    <w:rsid w:val="00491888"/>
    <w:rsid w:val="00491945"/>
    <w:rsid w:val="00491BBD"/>
    <w:rsid w:val="00491C9B"/>
    <w:rsid w:val="0049209A"/>
    <w:rsid w:val="00492122"/>
    <w:rsid w:val="004921ED"/>
    <w:rsid w:val="00492219"/>
    <w:rsid w:val="00492339"/>
    <w:rsid w:val="004924E6"/>
    <w:rsid w:val="00492657"/>
    <w:rsid w:val="0049282A"/>
    <w:rsid w:val="004929D2"/>
    <w:rsid w:val="00492A31"/>
    <w:rsid w:val="00492B95"/>
    <w:rsid w:val="00492E36"/>
    <w:rsid w:val="00492FCE"/>
    <w:rsid w:val="004930A3"/>
    <w:rsid w:val="004930B6"/>
    <w:rsid w:val="00493380"/>
    <w:rsid w:val="0049361B"/>
    <w:rsid w:val="004938B7"/>
    <w:rsid w:val="00493B26"/>
    <w:rsid w:val="00493CE4"/>
    <w:rsid w:val="00493D2C"/>
    <w:rsid w:val="00493D73"/>
    <w:rsid w:val="00493DC0"/>
    <w:rsid w:val="00493E65"/>
    <w:rsid w:val="00493F31"/>
    <w:rsid w:val="00494345"/>
    <w:rsid w:val="0049438C"/>
    <w:rsid w:val="004943BB"/>
    <w:rsid w:val="004946D4"/>
    <w:rsid w:val="00494A52"/>
    <w:rsid w:val="00494EAC"/>
    <w:rsid w:val="00495051"/>
    <w:rsid w:val="00495231"/>
    <w:rsid w:val="00495304"/>
    <w:rsid w:val="004954B3"/>
    <w:rsid w:val="0049581F"/>
    <w:rsid w:val="00495CD2"/>
    <w:rsid w:val="00495DB5"/>
    <w:rsid w:val="00496003"/>
    <w:rsid w:val="0049612E"/>
    <w:rsid w:val="00496181"/>
    <w:rsid w:val="0049637E"/>
    <w:rsid w:val="004964C1"/>
    <w:rsid w:val="004965E6"/>
    <w:rsid w:val="004968C3"/>
    <w:rsid w:val="004968FD"/>
    <w:rsid w:val="004969C1"/>
    <w:rsid w:val="00496A45"/>
    <w:rsid w:val="00496ACC"/>
    <w:rsid w:val="00496B3F"/>
    <w:rsid w:val="00496C3C"/>
    <w:rsid w:val="00496EE8"/>
    <w:rsid w:val="00497050"/>
    <w:rsid w:val="00497223"/>
    <w:rsid w:val="0049753C"/>
    <w:rsid w:val="0049770A"/>
    <w:rsid w:val="004977B2"/>
    <w:rsid w:val="00497B69"/>
    <w:rsid w:val="00497CE8"/>
    <w:rsid w:val="00497E9F"/>
    <w:rsid w:val="00497F26"/>
    <w:rsid w:val="00497F73"/>
    <w:rsid w:val="004A0084"/>
    <w:rsid w:val="004A01C9"/>
    <w:rsid w:val="004A03DA"/>
    <w:rsid w:val="004A0586"/>
    <w:rsid w:val="004A0607"/>
    <w:rsid w:val="004A065F"/>
    <w:rsid w:val="004A09A3"/>
    <w:rsid w:val="004A0BBC"/>
    <w:rsid w:val="004A0E47"/>
    <w:rsid w:val="004A0EF1"/>
    <w:rsid w:val="004A1013"/>
    <w:rsid w:val="004A13FF"/>
    <w:rsid w:val="004A1519"/>
    <w:rsid w:val="004A16F7"/>
    <w:rsid w:val="004A18EE"/>
    <w:rsid w:val="004A190E"/>
    <w:rsid w:val="004A1C99"/>
    <w:rsid w:val="004A1F7F"/>
    <w:rsid w:val="004A1FB6"/>
    <w:rsid w:val="004A202F"/>
    <w:rsid w:val="004A2074"/>
    <w:rsid w:val="004A2215"/>
    <w:rsid w:val="004A2389"/>
    <w:rsid w:val="004A2514"/>
    <w:rsid w:val="004A252C"/>
    <w:rsid w:val="004A2695"/>
    <w:rsid w:val="004A26F0"/>
    <w:rsid w:val="004A26F3"/>
    <w:rsid w:val="004A2748"/>
    <w:rsid w:val="004A2835"/>
    <w:rsid w:val="004A2A5B"/>
    <w:rsid w:val="004A2C81"/>
    <w:rsid w:val="004A2D6D"/>
    <w:rsid w:val="004A2E9C"/>
    <w:rsid w:val="004A3013"/>
    <w:rsid w:val="004A3085"/>
    <w:rsid w:val="004A31D1"/>
    <w:rsid w:val="004A358A"/>
    <w:rsid w:val="004A363B"/>
    <w:rsid w:val="004A36AF"/>
    <w:rsid w:val="004A3746"/>
    <w:rsid w:val="004A3B0D"/>
    <w:rsid w:val="004A3CAA"/>
    <w:rsid w:val="004A3E3F"/>
    <w:rsid w:val="004A3EB9"/>
    <w:rsid w:val="004A40B9"/>
    <w:rsid w:val="004A4171"/>
    <w:rsid w:val="004A435D"/>
    <w:rsid w:val="004A437F"/>
    <w:rsid w:val="004A46CC"/>
    <w:rsid w:val="004A48DF"/>
    <w:rsid w:val="004A494A"/>
    <w:rsid w:val="004A4CAE"/>
    <w:rsid w:val="004A5234"/>
    <w:rsid w:val="004A52CC"/>
    <w:rsid w:val="004A531B"/>
    <w:rsid w:val="004A543D"/>
    <w:rsid w:val="004A5592"/>
    <w:rsid w:val="004A55D8"/>
    <w:rsid w:val="004A5637"/>
    <w:rsid w:val="004A564C"/>
    <w:rsid w:val="004A591C"/>
    <w:rsid w:val="004A5B8A"/>
    <w:rsid w:val="004A60C8"/>
    <w:rsid w:val="004A61CB"/>
    <w:rsid w:val="004A62A0"/>
    <w:rsid w:val="004A63A4"/>
    <w:rsid w:val="004A641A"/>
    <w:rsid w:val="004A64B3"/>
    <w:rsid w:val="004A65AC"/>
    <w:rsid w:val="004A6760"/>
    <w:rsid w:val="004A67A2"/>
    <w:rsid w:val="004A68EA"/>
    <w:rsid w:val="004A68F9"/>
    <w:rsid w:val="004A6A01"/>
    <w:rsid w:val="004A6AF3"/>
    <w:rsid w:val="004A6C76"/>
    <w:rsid w:val="004A6D0E"/>
    <w:rsid w:val="004A707C"/>
    <w:rsid w:val="004A71A0"/>
    <w:rsid w:val="004A76D9"/>
    <w:rsid w:val="004A7972"/>
    <w:rsid w:val="004A7A49"/>
    <w:rsid w:val="004A7A58"/>
    <w:rsid w:val="004A7C65"/>
    <w:rsid w:val="004A7D94"/>
    <w:rsid w:val="004A7DD6"/>
    <w:rsid w:val="004A7F12"/>
    <w:rsid w:val="004A7F6B"/>
    <w:rsid w:val="004B0128"/>
    <w:rsid w:val="004B0385"/>
    <w:rsid w:val="004B0428"/>
    <w:rsid w:val="004B04FA"/>
    <w:rsid w:val="004B068F"/>
    <w:rsid w:val="004B06DE"/>
    <w:rsid w:val="004B0AC1"/>
    <w:rsid w:val="004B0BD8"/>
    <w:rsid w:val="004B0FE0"/>
    <w:rsid w:val="004B10BD"/>
    <w:rsid w:val="004B1123"/>
    <w:rsid w:val="004B14D6"/>
    <w:rsid w:val="004B1572"/>
    <w:rsid w:val="004B178C"/>
    <w:rsid w:val="004B18A1"/>
    <w:rsid w:val="004B1BF1"/>
    <w:rsid w:val="004B1C66"/>
    <w:rsid w:val="004B1D9D"/>
    <w:rsid w:val="004B1E2A"/>
    <w:rsid w:val="004B1F44"/>
    <w:rsid w:val="004B1FF1"/>
    <w:rsid w:val="004B21E4"/>
    <w:rsid w:val="004B24FD"/>
    <w:rsid w:val="004B2861"/>
    <w:rsid w:val="004B2C0D"/>
    <w:rsid w:val="004B2DF9"/>
    <w:rsid w:val="004B2EC6"/>
    <w:rsid w:val="004B2FB2"/>
    <w:rsid w:val="004B2FF5"/>
    <w:rsid w:val="004B309C"/>
    <w:rsid w:val="004B30FB"/>
    <w:rsid w:val="004B3148"/>
    <w:rsid w:val="004B31DB"/>
    <w:rsid w:val="004B365D"/>
    <w:rsid w:val="004B3718"/>
    <w:rsid w:val="004B375B"/>
    <w:rsid w:val="004B3790"/>
    <w:rsid w:val="004B3997"/>
    <w:rsid w:val="004B39AD"/>
    <w:rsid w:val="004B39BB"/>
    <w:rsid w:val="004B3A95"/>
    <w:rsid w:val="004B3ADA"/>
    <w:rsid w:val="004B3C74"/>
    <w:rsid w:val="004B3CBC"/>
    <w:rsid w:val="004B3DE1"/>
    <w:rsid w:val="004B3F3B"/>
    <w:rsid w:val="004B3F45"/>
    <w:rsid w:val="004B3F64"/>
    <w:rsid w:val="004B4060"/>
    <w:rsid w:val="004B43CD"/>
    <w:rsid w:val="004B4451"/>
    <w:rsid w:val="004B45BF"/>
    <w:rsid w:val="004B468C"/>
    <w:rsid w:val="004B46DA"/>
    <w:rsid w:val="004B4B46"/>
    <w:rsid w:val="004B4B6D"/>
    <w:rsid w:val="004B4C5E"/>
    <w:rsid w:val="004B50C5"/>
    <w:rsid w:val="004B5104"/>
    <w:rsid w:val="004B565A"/>
    <w:rsid w:val="004B58F1"/>
    <w:rsid w:val="004B5B94"/>
    <w:rsid w:val="004B5DD5"/>
    <w:rsid w:val="004B5E35"/>
    <w:rsid w:val="004B5F01"/>
    <w:rsid w:val="004B5FB2"/>
    <w:rsid w:val="004B6346"/>
    <w:rsid w:val="004B6361"/>
    <w:rsid w:val="004B6827"/>
    <w:rsid w:val="004B6958"/>
    <w:rsid w:val="004B6A45"/>
    <w:rsid w:val="004B6CEB"/>
    <w:rsid w:val="004B6DD7"/>
    <w:rsid w:val="004B6E1B"/>
    <w:rsid w:val="004B707D"/>
    <w:rsid w:val="004B7101"/>
    <w:rsid w:val="004B73C8"/>
    <w:rsid w:val="004B73D7"/>
    <w:rsid w:val="004B73DF"/>
    <w:rsid w:val="004B7A26"/>
    <w:rsid w:val="004B7AE7"/>
    <w:rsid w:val="004C003B"/>
    <w:rsid w:val="004C00C1"/>
    <w:rsid w:val="004C02E5"/>
    <w:rsid w:val="004C03B5"/>
    <w:rsid w:val="004C0753"/>
    <w:rsid w:val="004C0A27"/>
    <w:rsid w:val="004C0B46"/>
    <w:rsid w:val="004C10BF"/>
    <w:rsid w:val="004C19A2"/>
    <w:rsid w:val="004C1A91"/>
    <w:rsid w:val="004C1BD7"/>
    <w:rsid w:val="004C1F25"/>
    <w:rsid w:val="004C20FE"/>
    <w:rsid w:val="004C217F"/>
    <w:rsid w:val="004C23F7"/>
    <w:rsid w:val="004C2435"/>
    <w:rsid w:val="004C24DB"/>
    <w:rsid w:val="004C262F"/>
    <w:rsid w:val="004C2687"/>
    <w:rsid w:val="004C27F5"/>
    <w:rsid w:val="004C2A6A"/>
    <w:rsid w:val="004C2BAB"/>
    <w:rsid w:val="004C2BF7"/>
    <w:rsid w:val="004C325C"/>
    <w:rsid w:val="004C332C"/>
    <w:rsid w:val="004C33A0"/>
    <w:rsid w:val="004C35D6"/>
    <w:rsid w:val="004C37A5"/>
    <w:rsid w:val="004C3914"/>
    <w:rsid w:val="004C3A89"/>
    <w:rsid w:val="004C3C0A"/>
    <w:rsid w:val="004C3C28"/>
    <w:rsid w:val="004C3C94"/>
    <w:rsid w:val="004C42F0"/>
    <w:rsid w:val="004C430B"/>
    <w:rsid w:val="004C43F7"/>
    <w:rsid w:val="004C4477"/>
    <w:rsid w:val="004C45CC"/>
    <w:rsid w:val="004C4608"/>
    <w:rsid w:val="004C4AE7"/>
    <w:rsid w:val="004C4D96"/>
    <w:rsid w:val="004C4EA6"/>
    <w:rsid w:val="004C4EC5"/>
    <w:rsid w:val="004C5009"/>
    <w:rsid w:val="004C537F"/>
    <w:rsid w:val="004C5595"/>
    <w:rsid w:val="004C5631"/>
    <w:rsid w:val="004C5835"/>
    <w:rsid w:val="004C5920"/>
    <w:rsid w:val="004C5A4D"/>
    <w:rsid w:val="004C5B5A"/>
    <w:rsid w:val="004C5C99"/>
    <w:rsid w:val="004C5D26"/>
    <w:rsid w:val="004C5D83"/>
    <w:rsid w:val="004C5D8E"/>
    <w:rsid w:val="004C5EA4"/>
    <w:rsid w:val="004C5F4A"/>
    <w:rsid w:val="004C6044"/>
    <w:rsid w:val="004C604D"/>
    <w:rsid w:val="004C620C"/>
    <w:rsid w:val="004C62D7"/>
    <w:rsid w:val="004C63C7"/>
    <w:rsid w:val="004C63F0"/>
    <w:rsid w:val="004C655B"/>
    <w:rsid w:val="004C658E"/>
    <w:rsid w:val="004C68D4"/>
    <w:rsid w:val="004C69C6"/>
    <w:rsid w:val="004C6A5D"/>
    <w:rsid w:val="004C6A6B"/>
    <w:rsid w:val="004C703C"/>
    <w:rsid w:val="004C706B"/>
    <w:rsid w:val="004C710B"/>
    <w:rsid w:val="004C7111"/>
    <w:rsid w:val="004C71CE"/>
    <w:rsid w:val="004C727F"/>
    <w:rsid w:val="004C72B3"/>
    <w:rsid w:val="004C739C"/>
    <w:rsid w:val="004C74D0"/>
    <w:rsid w:val="004C74D5"/>
    <w:rsid w:val="004C7563"/>
    <w:rsid w:val="004C775B"/>
    <w:rsid w:val="004C78BF"/>
    <w:rsid w:val="004D0150"/>
    <w:rsid w:val="004D02F7"/>
    <w:rsid w:val="004D05A6"/>
    <w:rsid w:val="004D08D1"/>
    <w:rsid w:val="004D090F"/>
    <w:rsid w:val="004D0A8C"/>
    <w:rsid w:val="004D0BDD"/>
    <w:rsid w:val="004D0D05"/>
    <w:rsid w:val="004D0D9D"/>
    <w:rsid w:val="004D1149"/>
    <w:rsid w:val="004D1215"/>
    <w:rsid w:val="004D12D1"/>
    <w:rsid w:val="004D13A8"/>
    <w:rsid w:val="004D1412"/>
    <w:rsid w:val="004D1555"/>
    <w:rsid w:val="004D1587"/>
    <w:rsid w:val="004D15CB"/>
    <w:rsid w:val="004D16B4"/>
    <w:rsid w:val="004D18F7"/>
    <w:rsid w:val="004D1EBE"/>
    <w:rsid w:val="004D1F43"/>
    <w:rsid w:val="004D212D"/>
    <w:rsid w:val="004D21A0"/>
    <w:rsid w:val="004D21BD"/>
    <w:rsid w:val="004D226D"/>
    <w:rsid w:val="004D258C"/>
    <w:rsid w:val="004D289F"/>
    <w:rsid w:val="004D2963"/>
    <w:rsid w:val="004D2BB5"/>
    <w:rsid w:val="004D2C3B"/>
    <w:rsid w:val="004D2D12"/>
    <w:rsid w:val="004D2DE1"/>
    <w:rsid w:val="004D2E78"/>
    <w:rsid w:val="004D2EF9"/>
    <w:rsid w:val="004D2F9B"/>
    <w:rsid w:val="004D3333"/>
    <w:rsid w:val="004D34E7"/>
    <w:rsid w:val="004D37D2"/>
    <w:rsid w:val="004D38B4"/>
    <w:rsid w:val="004D3A12"/>
    <w:rsid w:val="004D3AEB"/>
    <w:rsid w:val="004D3BD5"/>
    <w:rsid w:val="004D3E57"/>
    <w:rsid w:val="004D3F18"/>
    <w:rsid w:val="004D4004"/>
    <w:rsid w:val="004D4160"/>
    <w:rsid w:val="004D41A4"/>
    <w:rsid w:val="004D4223"/>
    <w:rsid w:val="004D4651"/>
    <w:rsid w:val="004D478D"/>
    <w:rsid w:val="004D4B81"/>
    <w:rsid w:val="004D4BEE"/>
    <w:rsid w:val="004D4D87"/>
    <w:rsid w:val="004D4DFF"/>
    <w:rsid w:val="004D4F71"/>
    <w:rsid w:val="004D548D"/>
    <w:rsid w:val="004D568D"/>
    <w:rsid w:val="004D576C"/>
    <w:rsid w:val="004D5AA8"/>
    <w:rsid w:val="004D5C0B"/>
    <w:rsid w:val="004D6049"/>
    <w:rsid w:val="004D621A"/>
    <w:rsid w:val="004D62AA"/>
    <w:rsid w:val="004D6679"/>
    <w:rsid w:val="004D6921"/>
    <w:rsid w:val="004D693F"/>
    <w:rsid w:val="004D694A"/>
    <w:rsid w:val="004D6AE4"/>
    <w:rsid w:val="004D6D8A"/>
    <w:rsid w:val="004D6FC5"/>
    <w:rsid w:val="004D7333"/>
    <w:rsid w:val="004D7391"/>
    <w:rsid w:val="004D749F"/>
    <w:rsid w:val="004D7515"/>
    <w:rsid w:val="004D76EA"/>
    <w:rsid w:val="004D76EB"/>
    <w:rsid w:val="004D7787"/>
    <w:rsid w:val="004D79F0"/>
    <w:rsid w:val="004D7A14"/>
    <w:rsid w:val="004D7ABC"/>
    <w:rsid w:val="004D7B9B"/>
    <w:rsid w:val="004D7BFC"/>
    <w:rsid w:val="004D7C98"/>
    <w:rsid w:val="004D7DAD"/>
    <w:rsid w:val="004D7E06"/>
    <w:rsid w:val="004D7E8E"/>
    <w:rsid w:val="004E01D0"/>
    <w:rsid w:val="004E0315"/>
    <w:rsid w:val="004E038B"/>
    <w:rsid w:val="004E041D"/>
    <w:rsid w:val="004E0481"/>
    <w:rsid w:val="004E05B6"/>
    <w:rsid w:val="004E0779"/>
    <w:rsid w:val="004E094C"/>
    <w:rsid w:val="004E0B7B"/>
    <w:rsid w:val="004E0C12"/>
    <w:rsid w:val="004E0C4E"/>
    <w:rsid w:val="004E0D30"/>
    <w:rsid w:val="004E0D67"/>
    <w:rsid w:val="004E0DA2"/>
    <w:rsid w:val="004E0DB8"/>
    <w:rsid w:val="004E0EE9"/>
    <w:rsid w:val="004E0FBB"/>
    <w:rsid w:val="004E0FBE"/>
    <w:rsid w:val="004E11C4"/>
    <w:rsid w:val="004E1372"/>
    <w:rsid w:val="004E14CB"/>
    <w:rsid w:val="004E1657"/>
    <w:rsid w:val="004E167D"/>
    <w:rsid w:val="004E16BD"/>
    <w:rsid w:val="004E17F0"/>
    <w:rsid w:val="004E1876"/>
    <w:rsid w:val="004E18D2"/>
    <w:rsid w:val="004E195D"/>
    <w:rsid w:val="004E1995"/>
    <w:rsid w:val="004E1C3C"/>
    <w:rsid w:val="004E1D1B"/>
    <w:rsid w:val="004E1F2E"/>
    <w:rsid w:val="004E2378"/>
    <w:rsid w:val="004E23A1"/>
    <w:rsid w:val="004E25DB"/>
    <w:rsid w:val="004E2793"/>
    <w:rsid w:val="004E28A1"/>
    <w:rsid w:val="004E28E4"/>
    <w:rsid w:val="004E2ADB"/>
    <w:rsid w:val="004E2CBF"/>
    <w:rsid w:val="004E32F4"/>
    <w:rsid w:val="004E3380"/>
    <w:rsid w:val="004E37C7"/>
    <w:rsid w:val="004E3C8F"/>
    <w:rsid w:val="004E3F79"/>
    <w:rsid w:val="004E3FC4"/>
    <w:rsid w:val="004E4043"/>
    <w:rsid w:val="004E4170"/>
    <w:rsid w:val="004E4381"/>
    <w:rsid w:val="004E43C2"/>
    <w:rsid w:val="004E4434"/>
    <w:rsid w:val="004E493E"/>
    <w:rsid w:val="004E4A36"/>
    <w:rsid w:val="004E4B39"/>
    <w:rsid w:val="004E4E74"/>
    <w:rsid w:val="004E4EEC"/>
    <w:rsid w:val="004E515F"/>
    <w:rsid w:val="004E5303"/>
    <w:rsid w:val="004E5398"/>
    <w:rsid w:val="004E5537"/>
    <w:rsid w:val="004E55D5"/>
    <w:rsid w:val="004E5811"/>
    <w:rsid w:val="004E59CC"/>
    <w:rsid w:val="004E5A0A"/>
    <w:rsid w:val="004E5AF4"/>
    <w:rsid w:val="004E5BA6"/>
    <w:rsid w:val="004E5D8F"/>
    <w:rsid w:val="004E5FA4"/>
    <w:rsid w:val="004E60D5"/>
    <w:rsid w:val="004E6114"/>
    <w:rsid w:val="004E6392"/>
    <w:rsid w:val="004E646E"/>
    <w:rsid w:val="004E647B"/>
    <w:rsid w:val="004E65DC"/>
    <w:rsid w:val="004E672A"/>
    <w:rsid w:val="004E68C6"/>
    <w:rsid w:val="004E6A92"/>
    <w:rsid w:val="004E6B21"/>
    <w:rsid w:val="004E6C45"/>
    <w:rsid w:val="004E6D9C"/>
    <w:rsid w:val="004E6F6E"/>
    <w:rsid w:val="004E70A9"/>
    <w:rsid w:val="004E753A"/>
    <w:rsid w:val="004E7824"/>
    <w:rsid w:val="004E7B09"/>
    <w:rsid w:val="004F0077"/>
    <w:rsid w:val="004F07E6"/>
    <w:rsid w:val="004F0856"/>
    <w:rsid w:val="004F0988"/>
    <w:rsid w:val="004F0AF2"/>
    <w:rsid w:val="004F0D71"/>
    <w:rsid w:val="004F0D7A"/>
    <w:rsid w:val="004F0FD4"/>
    <w:rsid w:val="004F130B"/>
    <w:rsid w:val="004F14B0"/>
    <w:rsid w:val="004F153F"/>
    <w:rsid w:val="004F16C1"/>
    <w:rsid w:val="004F17D3"/>
    <w:rsid w:val="004F1888"/>
    <w:rsid w:val="004F18AC"/>
    <w:rsid w:val="004F1940"/>
    <w:rsid w:val="004F1EFD"/>
    <w:rsid w:val="004F2101"/>
    <w:rsid w:val="004F211F"/>
    <w:rsid w:val="004F23AD"/>
    <w:rsid w:val="004F24C1"/>
    <w:rsid w:val="004F2620"/>
    <w:rsid w:val="004F2902"/>
    <w:rsid w:val="004F29D5"/>
    <w:rsid w:val="004F2ADA"/>
    <w:rsid w:val="004F2CE3"/>
    <w:rsid w:val="004F2F0A"/>
    <w:rsid w:val="004F3089"/>
    <w:rsid w:val="004F322B"/>
    <w:rsid w:val="004F3343"/>
    <w:rsid w:val="004F35A3"/>
    <w:rsid w:val="004F3708"/>
    <w:rsid w:val="004F3B05"/>
    <w:rsid w:val="004F3D2C"/>
    <w:rsid w:val="004F43FC"/>
    <w:rsid w:val="004F4426"/>
    <w:rsid w:val="004F454B"/>
    <w:rsid w:val="004F45AE"/>
    <w:rsid w:val="004F4604"/>
    <w:rsid w:val="004F465D"/>
    <w:rsid w:val="004F46FC"/>
    <w:rsid w:val="004F488B"/>
    <w:rsid w:val="004F4B5A"/>
    <w:rsid w:val="004F4C78"/>
    <w:rsid w:val="004F4D52"/>
    <w:rsid w:val="004F4E39"/>
    <w:rsid w:val="004F4E4B"/>
    <w:rsid w:val="004F4E5F"/>
    <w:rsid w:val="004F4FEA"/>
    <w:rsid w:val="004F5024"/>
    <w:rsid w:val="004F5222"/>
    <w:rsid w:val="004F5388"/>
    <w:rsid w:val="004F556E"/>
    <w:rsid w:val="004F5853"/>
    <w:rsid w:val="004F593E"/>
    <w:rsid w:val="004F5BE6"/>
    <w:rsid w:val="004F5D30"/>
    <w:rsid w:val="004F5D66"/>
    <w:rsid w:val="004F5EB9"/>
    <w:rsid w:val="004F6080"/>
    <w:rsid w:val="004F6299"/>
    <w:rsid w:val="004F63F5"/>
    <w:rsid w:val="004F65BA"/>
    <w:rsid w:val="004F6796"/>
    <w:rsid w:val="004F68DC"/>
    <w:rsid w:val="004F6B7C"/>
    <w:rsid w:val="004F6BF8"/>
    <w:rsid w:val="004F6E95"/>
    <w:rsid w:val="004F6F80"/>
    <w:rsid w:val="004F6FFC"/>
    <w:rsid w:val="004F7154"/>
    <w:rsid w:val="004F74FD"/>
    <w:rsid w:val="004F75B1"/>
    <w:rsid w:val="004F76E9"/>
    <w:rsid w:val="004F7885"/>
    <w:rsid w:val="004F79A6"/>
    <w:rsid w:val="004F79F0"/>
    <w:rsid w:val="004F7A53"/>
    <w:rsid w:val="004F7B1E"/>
    <w:rsid w:val="004F7C8A"/>
    <w:rsid w:val="004F7C93"/>
    <w:rsid w:val="004F7C9D"/>
    <w:rsid w:val="0050023E"/>
    <w:rsid w:val="0050041C"/>
    <w:rsid w:val="005006A1"/>
    <w:rsid w:val="00500767"/>
    <w:rsid w:val="005007AA"/>
    <w:rsid w:val="00500810"/>
    <w:rsid w:val="00500A24"/>
    <w:rsid w:val="00500CA9"/>
    <w:rsid w:val="00500EB0"/>
    <w:rsid w:val="00500F52"/>
    <w:rsid w:val="00501066"/>
    <w:rsid w:val="005012E3"/>
    <w:rsid w:val="005012FB"/>
    <w:rsid w:val="0050139C"/>
    <w:rsid w:val="005013FF"/>
    <w:rsid w:val="00501406"/>
    <w:rsid w:val="00501435"/>
    <w:rsid w:val="0050154B"/>
    <w:rsid w:val="005016AC"/>
    <w:rsid w:val="005019F7"/>
    <w:rsid w:val="00501C5A"/>
    <w:rsid w:val="00501D64"/>
    <w:rsid w:val="00501FCA"/>
    <w:rsid w:val="0050235A"/>
    <w:rsid w:val="005023F2"/>
    <w:rsid w:val="00502B88"/>
    <w:rsid w:val="00502C28"/>
    <w:rsid w:val="00502CEF"/>
    <w:rsid w:val="00502D21"/>
    <w:rsid w:val="00502D32"/>
    <w:rsid w:val="0050300E"/>
    <w:rsid w:val="0050330B"/>
    <w:rsid w:val="00503603"/>
    <w:rsid w:val="00503653"/>
    <w:rsid w:val="0050380A"/>
    <w:rsid w:val="00503895"/>
    <w:rsid w:val="005038AF"/>
    <w:rsid w:val="00503AC2"/>
    <w:rsid w:val="00503B5C"/>
    <w:rsid w:val="00503D57"/>
    <w:rsid w:val="00503F27"/>
    <w:rsid w:val="00504103"/>
    <w:rsid w:val="00504389"/>
    <w:rsid w:val="00504494"/>
    <w:rsid w:val="00504515"/>
    <w:rsid w:val="00504674"/>
    <w:rsid w:val="00504854"/>
    <w:rsid w:val="00504F86"/>
    <w:rsid w:val="00505131"/>
    <w:rsid w:val="00505266"/>
    <w:rsid w:val="00505335"/>
    <w:rsid w:val="0050560F"/>
    <w:rsid w:val="00505627"/>
    <w:rsid w:val="005057B5"/>
    <w:rsid w:val="00505A76"/>
    <w:rsid w:val="00505BCD"/>
    <w:rsid w:val="00505D65"/>
    <w:rsid w:val="00505FEC"/>
    <w:rsid w:val="005061C3"/>
    <w:rsid w:val="0050621B"/>
    <w:rsid w:val="005063E1"/>
    <w:rsid w:val="0050643C"/>
    <w:rsid w:val="00506497"/>
    <w:rsid w:val="0050671E"/>
    <w:rsid w:val="0050674E"/>
    <w:rsid w:val="005069C7"/>
    <w:rsid w:val="00506C05"/>
    <w:rsid w:val="00506E22"/>
    <w:rsid w:val="00506EE6"/>
    <w:rsid w:val="00506FAF"/>
    <w:rsid w:val="00507009"/>
    <w:rsid w:val="00507027"/>
    <w:rsid w:val="00507927"/>
    <w:rsid w:val="00507B73"/>
    <w:rsid w:val="00507D12"/>
    <w:rsid w:val="00507E1A"/>
    <w:rsid w:val="00507EFC"/>
    <w:rsid w:val="00507F7C"/>
    <w:rsid w:val="00507F82"/>
    <w:rsid w:val="00507FD6"/>
    <w:rsid w:val="00510175"/>
    <w:rsid w:val="00510201"/>
    <w:rsid w:val="00510260"/>
    <w:rsid w:val="0051067B"/>
    <w:rsid w:val="00510C78"/>
    <w:rsid w:val="005110EB"/>
    <w:rsid w:val="005111AC"/>
    <w:rsid w:val="005112C3"/>
    <w:rsid w:val="005112F1"/>
    <w:rsid w:val="00511356"/>
    <w:rsid w:val="005114A6"/>
    <w:rsid w:val="00511691"/>
    <w:rsid w:val="00511695"/>
    <w:rsid w:val="005116D9"/>
    <w:rsid w:val="005117E4"/>
    <w:rsid w:val="00511BC1"/>
    <w:rsid w:val="00511F36"/>
    <w:rsid w:val="005120D3"/>
    <w:rsid w:val="005120FA"/>
    <w:rsid w:val="00512255"/>
    <w:rsid w:val="00512720"/>
    <w:rsid w:val="00512749"/>
    <w:rsid w:val="005127BC"/>
    <w:rsid w:val="00512825"/>
    <w:rsid w:val="00512875"/>
    <w:rsid w:val="0051287A"/>
    <w:rsid w:val="005129B9"/>
    <w:rsid w:val="00512AA2"/>
    <w:rsid w:val="00512C3F"/>
    <w:rsid w:val="00512CA7"/>
    <w:rsid w:val="00512F7C"/>
    <w:rsid w:val="00513648"/>
    <w:rsid w:val="0051376F"/>
    <w:rsid w:val="00513806"/>
    <w:rsid w:val="00513959"/>
    <w:rsid w:val="00514223"/>
    <w:rsid w:val="005144FF"/>
    <w:rsid w:val="00514524"/>
    <w:rsid w:val="005147B0"/>
    <w:rsid w:val="00514890"/>
    <w:rsid w:val="005149CF"/>
    <w:rsid w:val="00514CB5"/>
    <w:rsid w:val="00514D3A"/>
    <w:rsid w:val="005151E0"/>
    <w:rsid w:val="00515334"/>
    <w:rsid w:val="0051533B"/>
    <w:rsid w:val="0051533E"/>
    <w:rsid w:val="00515727"/>
    <w:rsid w:val="00515864"/>
    <w:rsid w:val="0051594F"/>
    <w:rsid w:val="00515A7D"/>
    <w:rsid w:val="00515E7B"/>
    <w:rsid w:val="00515EB6"/>
    <w:rsid w:val="00515F68"/>
    <w:rsid w:val="0051626A"/>
    <w:rsid w:val="005162D6"/>
    <w:rsid w:val="00516600"/>
    <w:rsid w:val="00516691"/>
    <w:rsid w:val="00516710"/>
    <w:rsid w:val="005169CC"/>
    <w:rsid w:val="00516A09"/>
    <w:rsid w:val="00516BC4"/>
    <w:rsid w:val="00516EB5"/>
    <w:rsid w:val="00517185"/>
    <w:rsid w:val="005171EE"/>
    <w:rsid w:val="0051747A"/>
    <w:rsid w:val="0051750E"/>
    <w:rsid w:val="0051784A"/>
    <w:rsid w:val="00517862"/>
    <w:rsid w:val="005179B1"/>
    <w:rsid w:val="00517A3C"/>
    <w:rsid w:val="00517D3B"/>
    <w:rsid w:val="00517D7E"/>
    <w:rsid w:val="00517F08"/>
    <w:rsid w:val="0052002F"/>
    <w:rsid w:val="00520175"/>
    <w:rsid w:val="00520235"/>
    <w:rsid w:val="00520243"/>
    <w:rsid w:val="005203B6"/>
    <w:rsid w:val="00520407"/>
    <w:rsid w:val="00520610"/>
    <w:rsid w:val="00520757"/>
    <w:rsid w:val="00520B31"/>
    <w:rsid w:val="00520C18"/>
    <w:rsid w:val="00520D09"/>
    <w:rsid w:val="00520D28"/>
    <w:rsid w:val="00520D3A"/>
    <w:rsid w:val="00520D55"/>
    <w:rsid w:val="00520FE4"/>
    <w:rsid w:val="0052116C"/>
    <w:rsid w:val="005211A1"/>
    <w:rsid w:val="00521274"/>
    <w:rsid w:val="0052138C"/>
    <w:rsid w:val="00521646"/>
    <w:rsid w:val="00521757"/>
    <w:rsid w:val="005217B8"/>
    <w:rsid w:val="005217EF"/>
    <w:rsid w:val="005218F3"/>
    <w:rsid w:val="00521A08"/>
    <w:rsid w:val="00521A1F"/>
    <w:rsid w:val="00521A48"/>
    <w:rsid w:val="00521DB2"/>
    <w:rsid w:val="00521E7E"/>
    <w:rsid w:val="005220BF"/>
    <w:rsid w:val="005220E3"/>
    <w:rsid w:val="00522536"/>
    <w:rsid w:val="00522546"/>
    <w:rsid w:val="0052254E"/>
    <w:rsid w:val="005228E8"/>
    <w:rsid w:val="00522AE8"/>
    <w:rsid w:val="00522C64"/>
    <w:rsid w:val="00522CE9"/>
    <w:rsid w:val="0052336B"/>
    <w:rsid w:val="005233CC"/>
    <w:rsid w:val="005234C7"/>
    <w:rsid w:val="005235F2"/>
    <w:rsid w:val="005236A1"/>
    <w:rsid w:val="00523912"/>
    <w:rsid w:val="00524136"/>
    <w:rsid w:val="005244A1"/>
    <w:rsid w:val="005248D2"/>
    <w:rsid w:val="00524996"/>
    <w:rsid w:val="00524BB4"/>
    <w:rsid w:val="00524C27"/>
    <w:rsid w:val="00524DD0"/>
    <w:rsid w:val="00524E7D"/>
    <w:rsid w:val="00524EBE"/>
    <w:rsid w:val="00524EC5"/>
    <w:rsid w:val="005251FE"/>
    <w:rsid w:val="00525314"/>
    <w:rsid w:val="005253AC"/>
    <w:rsid w:val="005256DF"/>
    <w:rsid w:val="005256FD"/>
    <w:rsid w:val="00525709"/>
    <w:rsid w:val="00525913"/>
    <w:rsid w:val="005259B4"/>
    <w:rsid w:val="00525BAC"/>
    <w:rsid w:val="00525BDD"/>
    <w:rsid w:val="00525E71"/>
    <w:rsid w:val="00526054"/>
    <w:rsid w:val="00526066"/>
    <w:rsid w:val="005261F5"/>
    <w:rsid w:val="0052626C"/>
    <w:rsid w:val="00526785"/>
    <w:rsid w:val="00526793"/>
    <w:rsid w:val="00526824"/>
    <w:rsid w:val="00526A99"/>
    <w:rsid w:val="00526B55"/>
    <w:rsid w:val="00526BDA"/>
    <w:rsid w:val="00526C8C"/>
    <w:rsid w:val="00526D30"/>
    <w:rsid w:val="0052707E"/>
    <w:rsid w:val="005270F6"/>
    <w:rsid w:val="005271BA"/>
    <w:rsid w:val="00527372"/>
    <w:rsid w:val="00527874"/>
    <w:rsid w:val="0052793C"/>
    <w:rsid w:val="00527B5D"/>
    <w:rsid w:val="00527CF0"/>
    <w:rsid w:val="00530373"/>
    <w:rsid w:val="0053060B"/>
    <w:rsid w:val="0053075B"/>
    <w:rsid w:val="005307B6"/>
    <w:rsid w:val="0053097C"/>
    <w:rsid w:val="005309F4"/>
    <w:rsid w:val="00530D21"/>
    <w:rsid w:val="00530EBE"/>
    <w:rsid w:val="00530F65"/>
    <w:rsid w:val="00531179"/>
    <w:rsid w:val="005311B0"/>
    <w:rsid w:val="0053150E"/>
    <w:rsid w:val="00531D7A"/>
    <w:rsid w:val="00531F55"/>
    <w:rsid w:val="00532179"/>
    <w:rsid w:val="005325EE"/>
    <w:rsid w:val="00532855"/>
    <w:rsid w:val="0053285B"/>
    <w:rsid w:val="00532AE7"/>
    <w:rsid w:val="00532D25"/>
    <w:rsid w:val="00532D72"/>
    <w:rsid w:val="00532DB2"/>
    <w:rsid w:val="00532E38"/>
    <w:rsid w:val="00532E72"/>
    <w:rsid w:val="00532EBA"/>
    <w:rsid w:val="00532F98"/>
    <w:rsid w:val="0053314A"/>
    <w:rsid w:val="00533527"/>
    <w:rsid w:val="0053358F"/>
    <w:rsid w:val="005335A6"/>
    <w:rsid w:val="0053374F"/>
    <w:rsid w:val="0053384C"/>
    <w:rsid w:val="0053389F"/>
    <w:rsid w:val="00533A3F"/>
    <w:rsid w:val="00533B8E"/>
    <w:rsid w:val="00533DCD"/>
    <w:rsid w:val="00533E5F"/>
    <w:rsid w:val="00533FC7"/>
    <w:rsid w:val="005342D3"/>
    <w:rsid w:val="005346C7"/>
    <w:rsid w:val="0053478C"/>
    <w:rsid w:val="00534987"/>
    <w:rsid w:val="005349E8"/>
    <w:rsid w:val="00534B87"/>
    <w:rsid w:val="00534CED"/>
    <w:rsid w:val="00534D10"/>
    <w:rsid w:val="00534F3F"/>
    <w:rsid w:val="00535078"/>
    <w:rsid w:val="005350D9"/>
    <w:rsid w:val="00535128"/>
    <w:rsid w:val="0053526A"/>
    <w:rsid w:val="005352A8"/>
    <w:rsid w:val="005355CC"/>
    <w:rsid w:val="00535680"/>
    <w:rsid w:val="00535E3F"/>
    <w:rsid w:val="00536233"/>
    <w:rsid w:val="005362B5"/>
    <w:rsid w:val="005363D9"/>
    <w:rsid w:val="0053650D"/>
    <w:rsid w:val="00536568"/>
    <w:rsid w:val="0053659B"/>
    <w:rsid w:val="00536609"/>
    <w:rsid w:val="005366A0"/>
    <w:rsid w:val="0053683D"/>
    <w:rsid w:val="00536D7B"/>
    <w:rsid w:val="00536F30"/>
    <w:rsid w:val="00537367"/>
    <w:rsid w:val="005373DB"/>
    <w:rsid w:val="005374E6"/>
    <w:rsid w:val="005374F0"/>
    <w:rsid w:val="00537510"/>
    <w:rsid w:val="005376D6"/>
    <w:rsid w:val="00537DC6"/>
    <w:rsid w:val="00537DF7"/>
    <w:rsid w:val="00537E4B"/>
    <w:rsid w:val="005401D9"/>
    <w:rsid w:val="0054020C"/>
    <w:rsid w:val="0054035D"/>
    <w:rsid w:val="005403BD"/>
    <w:rsid w:val="00540422"/>
    <w:rsid w:val="00540553"/>
    <w:rsid w:val="00540600"/>
    <w:rsid w:val="005407AA"/>
    <w:rsid w:val="005407D8"/>
    <w:rsid w:val="0054082C"/>
    <w:rsid w:val="005408B6"/>
    <w:rsid w:val="0054093A"/>
    <w:rsid w:val="00540A18"/>
    <w:rsid w:val="00540AB5"/>
    <w:rsid w:val="00540D85"/>
    <w:rsid w:val="00541122"/>
    <w:rsid w:val="005411AA"/>
    <w:rsid w:val="00541771"/>
    <w:rsid w:val="00541909"/>
    <w:rsid w:val="00541AA6"/>
    <w:rsid w:val="00541C00"/>
    <w:rsid w:val="00541FC9"/>
    <w:rsid w:val="00542250"/>
    <w:rsid w:val="005422CE"/>
    <w:rsid w:val="00542335"/>
    <w:rsid w:val="00542337"/>
    <w:rsid w:val="00542463"/>
    <w:rsid w:val="005424DD"/>
    <w:rsid w:val="00542561"/>
    <w:rsid w:val="005425B5"/>
    <w:rsid w:val="00542653"/>
    <w:rsid w:val="005427F3"/>
    <w:rsid w:val="00542800"/>
    <w:rsid w:val="0054286B"/>
    <w:rsid w:val="0054287B"/>
    <w:rsid w:val="0054296C"/>
    <w:rsid w:val="005429FE"/>
    <w:rsid w:val="00542A04"/>
    <w:rsid w:val="00542A98"/>
    <w:rsid w:val="00542AA0"/>
    <w:rsid w:val="00542C63"/>
    <w:rsid w:val="00542CEE"/>
    <w:rsid w:val="00542DC6"/>
    <w:rsid w:val="00542F8F"/>
    <w:rsid w:val="0054307D"/>
    <w:rsid w:val="005433CE"/>
    <w:rsid w:val="005433ED"/>
    <w:rsid w:val="00543430"/>
    <w:rsid w:val="005434C6"/>
    <w:rsid w:val="00543E7F"/>
    <w:rsid w:val="00543EC8"/>
    <w:rsid w:val="00544211"/>
    <w:rsid w:val="0054478B"/>
    <w:rsid w:val="0054491C"/>
    <w:rsid w:val="00544ACB"/>
    <w:rsid w:val="00544BD4"/>
    <w:rsid w:val="00544FA6"/>
    <w:rsid w:val="00545038"/>
    <w:rsid w:val="005450DE"/>
    <w:rsid w:val="00545219"/>
    <w:rsid w:val="00545223"/>
    <w:rsid w:val="005452D9"/>
    <w:rsid w:val="005453F9"/>
    <w:rsid w:val="0054599E"/>
    <w:rsid w:val="005459B8"/>
    <w:rsid w:val="00545C57"/>
    <w:rsid w:val="00545D4C"/>
    <w:rsid w:val="00545E45"/>
    <w:rsid w:val="00545E49"/>
    <w:rsid w:val="00545FAF"/>
    <w:rsid w:val="00545FF1"/>
    <w:rsid w:val="00546036"/>
    <w:rsid w:val="005460E6"/>
    <w:rsid w:val="005467D9"/>
    <w:rsid w:val="005468CF"/>
    <w:rsid w:val="00546ABE"/>
    <w:rsid w:val="00546DD3"/>
    <w:rsid w:val="00546E9C"/>
    <w:rsid w:val="00546F0A"/>
    <w:rsid w:val="00547087"/>
    <w:rsid w:val="00547159"/>
    <w:rsid w:val="005471EE"/>
    <w:rsid w:val="00547352"/>
    <w:rsid w:val="0054768C"/>
    <w:rsid w:val="00547BA8"/>
    <w:rsid w:val="00547BEE"/>
    <w:rsid w:val="00547D07"/>
    <w:rsid w:val="00547D5C"/>
    <w:rsid w:val="00547DA5"/>
    <w:rsid w:val="00550016"/>
    <w:rsid w:val="00550263"/>
    <w:rsid w:val="005504D2"/>
    <w:rsid w:val="005504DA"/>
    <w:rsid w:val="005508E7"/>
    <w:rsid w:val="00550A24"/>
    <w:rsid w:val="00550C5C"/>
    <w:rsid w:val="00550DE1"/>
    <w:rsid w:val="00551022"/>
    <w:rsid w:val="00551139"/>
    <w:rsid w:val="005512FF"/>
    <w:rsid w:val="00551397"/>
    <w:rsid w:val="00551451"/>
    <w:rsid w:val="00551824"/>
    <w:rsid w:val="00551946"/>
    <w:rsid w:val="00551947"/>
    <w:rsid w:val="00551B30"/>
    <w:rsid w:val="00551BD1"/>
    <w:rsid w:val="00551D87"/>
    <w:rsid w:val="00551E17"/>
    <w:rsid w:val="00551E33"/>
    <w:rsid w:val="00551FDF"/>
    <w:rsid w:val="0055251A"/>
    <w:rsid w:val="005525AD"/>
    <w:rsid w:val="005525D2"/>
    <w:rsid w:val="00552860"/>
    <w:rsid w:val="005528C5"/>
    <w:rsid w:val="005528DE"/>
    <w:rsid w:val="005528E5"/>
    <w:rsid w:val="00552935"/>
    <w:rsid w:val="00552A2F"/>
    <w:rsid w:val="00552A7A"/>
    <w:rsid w:val="00552BED"/>
    <w:rsid w:val="00552C16"/>
    <w:rsid w:val="00552C5E"/>
    <w:rsid w:val="00552D31"/>
    <w:rsid w:val="00552D69"/>
    <w:rsid w:val="00553044"/>
    <w:rsid w:val="005530CD"/>
    <w:rsid w:val="00553113"/>
    <w:rsid w:val="0055326E"/>
    <w:rsid w:val="00553399"/>
    <w:rsid w:val="005533CD"/>
    <w:rsid w:val="0055353E"/>
    <w:rsid w:val="0055372A"/>
    <w:rsid w:val="0055393A"/>
    <w:rsid w:val="00553ADA"/>
    <w:rsid w:val="00553DFB"/>
    <w:rsid w:val="00553FC0"/>
    <w:rsid w:val="00554040"/>
    <w:rsid w:val="005546E0"/>
    <w:rsid w:val="00554711"/>
    <w:rsid w:val="00554939"/>
    <w:rsid w:val="00554969"/>
    <w:rsid w:val="00554C2D"/>
    <w:rsid w:val="00554E32"/>
    <w:rsid w:val="00554F8F"/>
    <w:rsid w:val="00555145"/>
    <w:rsid w:val="005552DC"/>
    <w:rsid w:val="005553C4"/>
    <w:rsid w:val="00555515"/>
    <w:rsid w:val="005559B4"/>
    <w:rsid w:val="005559E1"/>
    <w:rsid w:val="00555ABD"/>
    <w:rsid w:val="00555E22"/>
    <w:rsid w:val="00556152"/>
    <w:rsid w:val="00556295"/>
    <w:rsid w:val="005566C7"/>
    <w:rsid w:val="00556889"/>
    <w:rsid w:val="00556970"/>
    <w:rsid w:val="00556A17"/>
    <w:rsid w:val="00556A51"/>
    <w:rsid w:val="00556CBC"/>
    <w:rsid w:val="0055755D"/>
    <w:rsid w:val="00557663"/>
    <w:rsid w:val="005576C3"/>
    <w:rsid w:val="005576F8"/>
    <w:rsid w:val="00557727"/>
    <w:rsid w:val="005579FC"/>
    <w:rsid w:val="00557B03"/>
    <w:rsid w:val="00557C2E"/>
    <w:rsid w:val="00557CAE"/>
    <w:rsid w:val="00557DDF"/>
    <w:rsid w:val="00557E4D"/>
    <w:rsid w:val="00557FDE"/>
    <w:rsid w:val="005600B4"/>
    <w:rsid w:val="00560141"/>
    <w:rsid w:val="005608BF"/>
    <w:rsid w:val="00560969"/>
    <w:rsid w:val="00560B93"/>
    <w:rsid w:val="00560CAB"/>
    <w:rsid w:val="00560D6C"/>
    <w:rsid w:val="00560DA5"/>
    <w:rsid w:val="0056101A"/>
    <w:rsid w:val="00561132"/>
    <w:rsid w:val="005611E6"/>
    <w:rsid w:val="00561371"/>
    <w:rsid w:val="005616AF"/>
    <w:rsid w:val="00561798"/>
    <w:rsid w:val="00561824"/>
    <w:rsid w:val="0056188E"/>
    <w:rsid w:val="00561982"/>
    <w:rsid w:val="00561B54"/>
    <w:rsid w:val="00561E9B"/>
    <w:rsid w:val="005621A4"/>
    <w:rsid w:val="00562772"/>
    <w:rsid w:val="00562AE6"/>
    <w:rsid w:val="00562D95"/>
    <w:rsid w:val="00562E31"/>
    <w:rsid w:val="00562FB2"/>
    <w:rsid w:val="005633C0"/>
    <w:rsid w:val="005636B0"/>
    <w:rsid w:val="005637BC"/>
    <w:rsid w:val="00563865"/>
    <w:rsid w:val="00563894"/>
    <w:rsid w:val="0056394B"/>
    <w:rsid w:val="0056398F"/>
    <w:rsid w:val="00563C85"/>
    <w:rsid w:val="00563EE4"/>
    <w:rsid w:val="00563FA8"/>
    <w:rsid w:val="005640CD"/>
    <w:rsid w:val="00564153"/>
    <w:rsid w:val="00564169"/>
    <w:rsid w:val="00564A37"/>
    <w:rsid w:val="00564AA5"/>
    <w:rsid w:val="00565056"/>
    <w:rsid w:val="00565136"/>
    <w:rsid w:val="005653CC"/>
    <w:rsid w:val="005655F8"/>
    <w:rsid w:val="00565982"/>
    <w:rsid w:val="00565A7E"/>
    <w:rsid w:val="00565B3B"/>
    <w:rsid w:val="00565CBC"/>
    <w:rsid w:val="00565DF1"/>
    <w:rsid w:val="0056605A"/>
    <w:rsid w:val="005661D3"/>
    <w:rsid w:val="00566369"/>
    <w:rsid w:val="00566688"/>
    <w:rsid w:val="005667BC"/>
    <w:rsid w:val="00566823"/>
    <w:rsid w:val="0056684D"/>
    <w:rsid w:val="005668FE"/>
    <w:rsid w:val="00566BC0"/>
    <w:rsid w:val="00566BEB"/>
    <w:rsid w:val="00566C51"/>
    <w:rsid w:val="00566DC0"/>
    <w:rsid w:val="00566E74"/>
    <w:rsid w:val="0056712B"/>
    <w:rsid w:val="00567155"/>
    <w:rsid w:val="005671C3"/>
    <w:rsid w:val="0056725F"/>
    <w:rsid w:val="00567478"/>
    <w:rsid w:val="0056758B"/>
    <w:rsid w:val="005677AA"/>
    <w:rsid w:val="0056785C"/>
    <w:rsid w:val="00567B12"/>
    <w:rsid w:val="00567BC5"/>
    <w:rsid w:val="00567CC4"/>
    <w:rsid w:val="00567FD7"/>
    <w:rsid w:val="00570389"/>
    <w:rsid w:val="005705A1"/>
    <w:rsid w:val="00570C53"/>
    <w:rsid w:val="00570C55"/>
    <w:rsid w:val="00570C6C"/>
    <w:rsid w:val="00570D27"/>
    <w:rsid w:val="00570D8E"/>
    <w:rsid w:val="00570DBE"/>
    <w:rsid w:val="00570E1A"/>
    <w:rsid w:val="00570F10"/>
    <w:rsid w:val="00570F6A"/>
    <w:rsid w:val="00571121"/>
    <w:rsid w:val="005712FD"/>
    <w:rsid w:val="00571350"/>
    <w:rsid w:val="005713A4"/>
    <w:rsid w:val="005713C0"/>
    <w:rsid w:val="00571454"/>
    <w:rsid w:val="005714B4"/>
    <w:rsid w:val="00571865"/>
    <w:rsid w:val="00571AEF"/>
    <w:rsid w:val="00571C20"/>
    <w:rsid w:val="00571C60"/>
    <w:rsid w:val="00571CAD"/>
    <w:rsid w:val="00571D29"/>
    <w:rsid w:val="00571EC0"/>
    <w:rsid w:val="005723B6"/>
    <w:rsid w:val="005725C5"/>
    <w:rsid w:val="00572A6C"/>
    <w:rsid w:val="00572A90"/>
    <w:rsid w:val="00572B4E"/>
    <w:rsid w:val="00572B5D"/>
    <w:rsid w:val="00572D33"/>
    <w:rsid w:val="00572F0B"/>
    <w:rsid w:val="00572F52"/>
    <w:rsid w:val="00573092"/>
    <w:rsid w:val="005734BE"/>
    <w:rsid w:val="005734C3"/>
    <w:rsid w:val="00573500"/>
    <w:rsid w:val="0057361F"/>
    <w:rsid w:val="00573821"/>
    <w:rsid w:val="005738EF"/>
    <w:rsid w:val="00573E03"/>
    <w:rsid w:val="00573E7D"/>
    <w:rsid w:val="00573FED"/>
    <w:rsid w:val="005743E9"/>
    <w:rsid w:val="005745A8"/>
    <w:rsid w:val="0057466E"/>
    <w:rsid w:val="00574697"/>
    <w:rsid w:val="0057486F"/>
    <w:rsid w:val="005752AD"/>
    <w:rsid w:val="005752E5"/>
    <w:rsid w:val="0057536C"/>
    <w:rsid w:val="005753E8"/>
    <w:rsid w:val="0057561F"/>
    <w:rsid w:val="00575687"/>
    <w:rsid w:val="0057571C"/>
    <w:rsid w:val="00575801"/>
    <w:rsid w:val="005759A9"/>
    <w:rsid w:val="00575C9C"/>
    <w:rsid w:val="00575DA4"/>
    <w:rsid w:val="00576473"/>
    <w:rsid w:val="00576692"/>
    <w:rsid w:val="00576953"/>
    <w:rsid w:val="00576973"/>
    <w:rsid w:val="00576A3D"/>
    <w:rsid w:val="00576A8C"/>
    <w:rsid w:val="00576AB2"/>
    <w:rsid w:val="00576CBD"/>
    <w:rsid w:val="00576DBD"/>
    <w:rsid w:val="00576E03"/>
    <w:rsid w:val="00576E77"/>
    <w:rsid w:val="00577102"/>
    <w:rsid w:val="00577215"/>
    <w:rsid w:val="0057722F"/>
    <w:rsid w:val="0057748A"/>
    <w:rsid w:val="00577530"/>
    <w:rsid w:val="00577552"/>
    <w:rsid w:val="005776AC"/>
    <w:rsid w:val="005776BF"/>
    <w:rsid w:val="00577916"/>
    <w:rsid w:val="0057791A"/>
    <w:rsid w:val="00577934"/>
    <w:rsid w:val="0057797A"/>
    <w:rsid w:val="00577996"/>
    <w:rsid w:val="00577A35"/>
    <w:rsid w:val="00577ACB"/>
    <w:rsid w:val="00577C25"/>
    <w:rsid w:val="00577FCB"/>
    <w:rsid w:val="0058011C"/>
    <w:rsid w:val="005801F0"/>
    <w:rsid w:val="00580493"/>
    <w:rsid w:val="0058052F"/>
    <w:rsid w:val="00580643"/>
    <w:rsid w:val="00580AB5"/>
    <w:rsid w:val="00580C54"/>
    <w:rsid w:val="00580FC2"/>
    <w:rsid w:val="00581099"/>
    <w:rsid w:val="0058120F"/>
    <w:rsid w:val="005812B9"/>
    <w:rsid w:val="005812FC"/>
    <w:rsid w:val="00581392"/>
    <w:rsid w:val="0058144A"/>
    <w:rsid w:val="005814AC"/>
    <w:rsid w:val="0058167D"/>
    <w:rsid w:val="00581910"/>
    <w:rsid w:val="00581960"/>
    <w:rsid w:val="00581C86"/>
    <w:rsid w:val="00581ED9"/>
    <w:rsid w:val="005820FB"/>
    <w:rsid w:val="005820FF"/>
    <w:rsid w:val="00582114"/>
    <w:rsid w:val="00582583"/>
    <w:rsid w:val="0058269F"/>
    <w:rsid w:val="00582964"/>
    <w:rsid w:val="00582E28"/>
    <w:rsid w:val="00582E4C"/>
    <w:rsid w:val="00583817"/>
    <w:rsid w:val="00583853"/>
    <w:rsid w:val="005839A1"/>
    <w:rsid w:val="00583A14"/>
    <w:rsid w:val="00583B1E"/>
    <w:rsid w:val="00583B38"/>
    <w:rsid w:val="00583D08"/>
    <w:rsid w:val="00583E1C"/>
    <w:rsid w:val="00583E88"/>
    <w:rsid w:val="005840CF"/>
    <w:rsid w:val="00584455"/>
    <w:rsid w:val="005844EE"/>
    <w:rsid w:val="005845EF"/>
    <w:rsid w:val="00584880"/>
    <w:rsid w:val="005848F9"/>
    <w:rsid w:val="00584903"/>
    <w:rsid w:val="00584ACE"/>
    <w:rsid w:val="00584AF1"/>
    <w:rsid w:val="005850AF"/>
    <w:rsid w:val="00585301"/>
    <w:rsid w:val="0058555A"/>
    <w:rsid w:val="0058572B"/>
    <w:rsid w:val="00585794"/>
    <w:rsid w:val="00585A25"/>
    <w:rsid w:val="00585AA7"/>
    <w:rsid w:val="00585B76"/>
    <w:rsid w:val="00585D2F"/>
    <w:rsid w:val="00585E13"/>
    <w:rsid w:val="005860D5"/>
    <w:rsid w:val="005860DC"/>
    <w:rsid w:val="005861A4"/>
    <w:rsid w:val="00586298"/>
    <w:rsid w:val="0058651C"/>
    <w:rsid w:val="00586609"/>
    <w:rsid w:val="00586738"/>
    <w:rsid w:val="005867C4"/>
    <w:rsid w:val="005869CC"/>
    <w:rsid w:val="00586BDE"/>
    <w:rsid w:val="00586D14"/>
    <w:rsid w:val="00586E46"/>
    <w:rsid w:val="00586F22"/>
    <w:rsid w:val="0058716D"/>
    <w:rsid w:val="0058718E"/>
    <w:rsid w:val="00587256"/>
    <w:rsid w:val="005875EC"/>
    <w:rsid w:val="00587711"/>
    <w:rsid w:val="005877A9"/>
    <w:rsid w:val="00587933"/>
    <w:rsid w:val="00587C9F"/>
    <w:rsid w:val="00590090"/>
    <w:rsid w:val="005900A0"/>
    <w:rsid w:val="005905EA"/>
    <w:rsid w:val="00590773"/>
    <w:rsid w:val="005907C8"/>
    <w:rsid w:val="0059085A"/>
    <w:rsid w:val="005908F9"/>
    <w:rsid w:val="00590AA9"/>
    <w:rsid w:val="00590D07"/>
    <w:rsid w:val="00590E59"/>
    <w:rsid w:val="005910F8"/>
    <w:rsid w:val="005911AA"/>
    <w:rsid w:val="005911F5"/>
    <w:rsid w:val="005912E8"/>
    <w:rsid w:val="00591300"/>
    <w:rsid w:val="005913C5"/>
    <w:rsid w:val="0059141A"/>
    <w:rsid w:val="005914CE"/>
    <w:rsid w:val="0059191D"/>
    <w:rsid w:val="00591AC0"/>
    <w:rsid w:val="00591B03"/>
    <w:rsid w:val="00591B61"/>
    <w:rsid w:val="00591BCD"/>
    <w:rsid w:val="0059236A"/>
    <w:rsid w:val="0059251C"/>
    <w:rsid w:val="00592777"/>
    <w:rsid w:val="00592972"/>
    <w:rsid w:val="00592B12"/>
    <w:rsid w:val="00592F29"/>
    <w:rsid w:val="0059302F"/>
    <w:rsid w:val="005930C6"/>
    <w:rsid w:val="00593363"/>
    <w:rsid w:val="00593585"/>
    <w:rsid w:val="005935F3"/>
    <w:rsid w:val="00593B18"/>
    <w:rsid w:val="00593DC8"/>
    <w:rsid w:val="00593F95"/>
    <w:rsid w:val="00593FD2"/>
    <w:rsid w:val="005940B6"/>
    <w:rsid w:val="005940FB"/>
    <w:rsid w:val="0059410E"/>
    <w:rsid w:val="0059418E"/>
    <w:rsid w:val="005942B1"/>
    <w:rsid w:val="005942D3"/>
    <w:rsid w:val="005942D7"/>
    <w:rsid w:val="005943C4"/>
    <w:rsid w:val="0059466E"/>
    <w:rsid w:val="00594836"/>
    <w:rsid w:val="00594859"/>
    <w:rsid w:val="005948F7"/>
    <w:rsid w:val="00594FDC"/>
    <w:rsid w:val="0059500D"/>
    <w:rsid w:val="00595169"/>
    <w:rsid w:val="005951BB"/>
    <w:rsid w:val="005954F3"/>
    <w:rsid w:val="00595849"/>
    <w:rsid w:val="00595B4C"/>
    <w:rsid w:val="00595B6C"/>
    <w:rsid w:val="00595BD2"/>
    <w:rsid w:val="00595E00"/>
    <w:rsid w:val="00595E88"/>
    <w:rsid w:val="00596235"/>
    <w:rsid w:val="005963D1"/>
    <w:rsid w:val="0059641D"/>
    <w:rsid w:val="0059646B"/>
    <w:rsid w:val="00596907"/>
    <w:rsid w:val="00596B2C"/>
    <w:rsid w:val="00596B3C"/>
    <w:rsid w:val="00596F0C"/>
    <w:rsid w:val="00597009"/>
    <w:rsid w:val="00597133"/>
    <w:rsid w:val="00597412"/>
    <w:rsid w:val="00597499"/>
    <w:rsid w:val="0059756B"/>
    <w:rsid w:val="005975AC"/>
    <w:rsid w:val="0059779A"/>
    <w:rsid w:val="00597C1F"/>
    <w:rsid w:val="00597D7E"/>
    <w:rsid w:val="00597E08"/>
    <w:rsid w:val="00597EEF"/>
    <w:rsid w:val="00597F7A"/>
    <w:rsid w:val="00597FCD"/>
    <w:rsid w:val="005A030F"/>
    <w:rsid w:val="005A0572"/>
    <w:rsid w:val="005A058F"/>
    <w:rsid w:val="005A05AF"/>
    <w:rsid w:val="005A07CB"/>
    <w:rsid w:val="005A082D"/>
    <w:rsid w:val="005A0831"/>
    <w:rsid w:val="005A08FD"/>
    <w:rsid w:val="005A0925"/>
    <w:rsid w:val="005A0941"/>
    <w:rsid w:val="005A0A43"/>
    <w:rsid w:val="005A0AC8"/>
    <w:rsid w:val="005A0ADA"/>
    <w:rsid w:val="005A0F7D"/>
    <w:rsid w:val="005A121D"/>
    <w:rsid w:val="005A1328"/>
    <w:rsid w:val="005A13F2"/>
    <w:rsid w:val="005A169E"/>
    <w:rsid w:val="005A1797"/>
    <w:rsid w:val="005A1899"/>
    <w:rsid w:val="005A1AA4"/>
    <w:rsid w:val="005A1B82"/>
    <w:rsid w:val="005A1E26"/>
    <w:rsid w:val="005A1E7F"/>
    <w:rsid w:val="005A2097"/>
    <w:rsid w:val="005A221A"/>
    <w:rsid w:val="005A2225"/>
    <w:rsid w:val="005A26F9"/>
    <w:rsid w:val="005A270B"/>
    <w:rsid w:val="005A2D05"/>
    <w:rsid w:val="005A2D28"/>
    <w:rsid w:val="005A2E66"/>
    <w:rsid w:val="005A312E"/>
    <w:rsid w:val="005A3140"/>
    <w:rsid w:val="005A31B9"/>
    <w:rsid w:val="005A32D6"/>
    <w:rsid w:val="005A331E"/>
    <w:rsid w:val="005A33D3"/>
    <w:rsid w:val="005A37B9"/>
    <w:rsid w:val="005A383A"/>
    <w:rsid w:val="005A3D1C"/>
    <w:rsid w:val="005A426F"/>
    <w:rsid w:val="005A42FA"/>
    <w:rsid w:val="005A43E6"/>
    <w:rsid w:val="005A4A36"/>
    <w:rsid w:val="005A4AFA"/>
    <w:rsid w:val="005A4B11"/>
    <w:rsid w:val="005A4C65"/>
    <w:rsid w:val="005A4CAA"/>
    <w:rsid w:val="005A4D70"/>
    <w:rsid w:val="005A4DC8"/>
    <w:rsid w:val="005A4DF2"/>
    <w:rsid w:val="005A4EFB"/>
    <w:rsid w:val="005A4F57"/>
    <w:rsid w:val="005A5445"/>
    <w:rsid w:val="005A55A6"/>
    <w:rsid w:val="005A5618"/>
    <w:rsid w:val="005A570C"/>
    <w:rsid w:val="005A5723"/>
    <w:rsid w:val="005A5836"/>
    <w:rsid w:val="005A5B07"/>
    <w:rsid w:val="005A5BD0"/>
    <w:rsid w:val="005A5D69"/>
    <w:rsid w:val="005A5D97"/>
    <w:rsid w:val="005A5DED"/>
    <w:rsid w:val="005A5E51"/>
    <w:rsid w:val="005A5E90"/>
    <w:rsid w:val="005A5EED"/>
    <w:rsid w:val="005A5FB6"/>
    <w:rsid w:val="005A61C4"/>
    <w:rsid w:val="005A6594"/>
    <w:rsid w:val="005A6AA1"/>
    <w:rsid w:val="005A6E71"/>
    <w:rsid w:val="005A70B6"/>
    <w:rsid w:val="005A70BF"/>
    <w:rsid w:val="005A71AA"/>
    <w:rsid w:val="005A7269"/>
    <w:rsid w:val="005A72BF"/>
    <w:rsid w:val="005A7672"/>
    <w:rsid w:val="005A7A30"/>
    <w:rsid w:val="005A7B26"/>
    <w:rsid w:val="005A7B8D"/>
    <w:rsid w:val="005A7B92"/>
    <w:rsid w:val="005A7CF6"/>
    <w:rsid w:val="005A7D59"/>
    <w:rsid w:val="005B00FA"/>
    <w:rsid w:val="005B04B9"/>
    <w:rsid w:val="005B0B82"/>
    <w:rsid w:val="005B0BDB"/>
    <w:rsid w:val="005B0DC8"/>
    <w:rsid w:val="005B109F"/>
    <w:rsid w:val="005B10D9"/>
    <w:rsid w:val="005B1259"/>
    <w:rsid w:val="005B14D2"/>
    <w:rsid w:val="005B15E2"/>
    <w:rsid w:val="005B1A92"/>
    <w:rsid w:val="005B1B74"/>
    <w:rsid w:val="005B1B76"/>
    <w:rsid w:val="005B1BB0"/>
    <w:rsid w:val="005B1DE8"/>
    <w:rsid w:val="005B1F80"/>
    <w:rsid w:val="005B20DD"/>
    <w:rsid w:val="005B234F"/>
    <w:rsid w:val="005B2465"/>
    <w:rsid w:val="005B28AB"/>
    <w:rsid w:val="005B29D9"/>
    <w:rsid w:val="005B2AB8"/>
    <w:rsid w:val="005B2C85"/>
    <w:rsid w:val="005B2C8A"/>
    <w:rsid w:val="005B2D71"/>
    <w:rsid w:val="005B3017"/>
    <w:rsid w:val="005B30EA"/>
    <w:rsid w:val="005B311B"/>
    <w:rsid w:val="005B31E7"/>
    <w:rsid w:val="005B3239"/>
    <w:rsid w:val="005B36F2"/>
    <w:rsid w:val="005B3EB4"/>
    <w:rsid w:val="005B3F8E"/>
    <w:rsid w:val="005B41AB"/>
    <w:rsid w:val="005B423A"/>
    <w:rsid w:val="005B4CB5"/>
    <w:rsid w:val="005B51E0"/>
    <w:rsid w:val="005B52CF"/>
    <w:rsid w:val="005B544F"/>
    <w:rsid w:val="005B5A89"/>
    <w:rsid w:val="005B5AB9"/>
    <w:rsid w:val="005B5DBC"/>
    <w:rsid w:val="005B5ED5"/>
    <w:rsid w:val="005B614D"/>
    <w:rsid w:val="005B6202"/>
    <w:rsid w:val="005B625E"/>
    <w:rsid w:val="005B6370"/>
    <w:rsid w:val="005B657C"/>
    <w:rsid w:val="005B6887"/>
    <w:rsid w:val="005B691C"/>
    <w:rsid w:val="005B6D47"/>
    <w:rsid w:val="005B6D9E"/>
    <w:rsid w:val="005B6E9A"/>
    <w:rsid w:val="005B72B3"/>
    <w:rsid w:val="005B72E6"/>
    <w:rsid w:val="005B7301"/>
    <w:rsid w:val="005B738E"/>
    <w:rsid w:val="005B7481"/>
    <w:rsid w:val="005B78BE"/>
    <w:rsid w:val="005B7960"/>
    <w:rsid w:val="005B7ABD"/>
    <w:rsid w:val="005B7ADE"/>
    <w:rsid w:val="005B7DD6"/>
    <w:rsid w:val="005B7F80"/>
    <w:rsid w:val="005C0341"/>
    <w:rsid w:val="005C0426"/>
    <w:rsid w:val="005C072F"/>
    <w:rsid w:val="005C0737"/>
    <w:rsid w:val="005C08EE"/>
    <w:rsid w:val="005C0AA6"/>
    <w:rsid w:val="005C0AA9"/>
    <w:rsid w:val="005C0AC1"/>
    <w:rsid w:val="005C0BDF"/>
    <w:rsid w:val="005C0E78"/>
    <w:rsid w:val="005C0F3D"/>
    <w:rsid w:val="005C10A5"/>
    <w:rsid w:val="005C124C"/>
    <w:rsid w:val="005C139F"/>
    <w:rsid w:val="005C1546"/>
    <w:rsid w:val="005C1B96"/>
    <w:rsid w:val="005C1BAD"/>
    <w:rsid w:val="005C1C36"/>
    <w:rsid w:val="005C21C4"/>
    <w:rsid w:val="005C22B4"/>
    <w:rsid w:val="005C24F2"/>
    <w:rsid w:val="005C2564"/>
    <w:rsid w:val="005C25F5"/>
    <w:rsid w:val="005C2621"/>
    <w:rsid w:val="005C26FC"/>
    <w:rsid w:val="005C27CC"/>
    <w:rsid w:val="005C2A12"/>
    <w:rsid w:val="005C2A57"/>
    <w:rsid w:val="005C2DAC"/>
    <w:rsid w:val="005C2DC0"/>
    <w:rsid w:val="005C2DEF"/>
    <w:rsid w:val="005C2F84"/>
    <w:rsid w:val="005C3557"/>
    <w:rsid w:val="005C3768"/>
    <w:rsid w:val="005C382A"/>
    <w:rsid w:val="005C3A44"/>
    <w:rsid w:val="005C3B99"/>
    <w:rsid w:val="005C3C51"/>
    <w:rsid w:val="005C40AC"/>
    <w:rsid w:val="005C41A7"/>
    <w:rsid w:val="005C4493"/>
    <w:rsid w:val="005C4554"/>
    <w:rsid w:val="005C4655"/>
    <w:rsid w:val="005C4B17"/>
    <w:rsid w:val="005C4D48"/>
    <w:rsid w:val="005C4DB6"/>
    <w:rsid w:val="005C55A3"/>
    <w:rsid w:val="005C57C6"/>
    <w:rsid w:val="005C58BE"/>
    <w:rsid w:val="005C5C2E"/>
    <w:rsid w:val="005C5EDC"/>
    <w:rsid w:val="005C602F"/>
    <w:rsid w:val="005C68AB"/>
    <w:rsid w:val="005C6A0B"/>
    <w:rsid w:val="005C6A2C"/>
    <w:rsid w:val="005C6CB3"/>
    <w:rsid w:val="005C6D63"/>
    <w:rsid w:val="005C70D0"/>
    <w:rsid w:val="005C7205"/>
    <w:rsid w:val="005C7463"/>
    <w:rsid w:val="005C7516"/>
    <w:rsid w:val="005C76C9"/>
    <w:rsid w:val="005C7AC0"/>
    <w:rsid w:val="005C7C2A"/>
    <w:rsid w:val="005C7D5E"/>
    <w:rsid w:val="005D0060"/>
    <w:rsid w:val="005D018B"/>
    <w:rsid w:val="005D0736"/>
    <w:rsid w:val="005D07E1"/>
    <w:rsid w:val="005D0928"/>
    <w:rsid w:val="005D0C28"/>
    <w:rsid w:val="005D0FDC"/>
    <w:rsid w:val="005D105D"/>
    <w:rsid w:val="005D110F"/>
    <w:rsid w:val="005D119A"/>
    <w:rsid w:val="005D1217"/>
    <w:rsid w:val="005D122F"/>
    <w:rsid w:val="005D130F"/>
    <w:rsid w:val="005D1487"/>
    <w:rsid w:val="005D1755"/>
    <w:rsid w:val="005D1978"/>
    <w:rsid w:val="005D1B0D"/>
    <w:rsid w:val="005D1BD2"/>
    <w:rsid w:val="005D1C82"/>
    <w:rsid w:val="005D1F18"/>
    <w:rsid w:val="005D1F77"/>
    <w:rsid w:val="005D218C"/>
    <w:rsid w:val="005D2205"/>
    <w:rsid w:val="005D25DA"/>
    <w:rsid w:val="005D265F"/>
    <w:rsid w:val="005D31B2"/>
    <w:rsid w:val="005D32DE"/>
    <w:rsid w:val="005D354D"/>
    <w:rsid w:val="005D366E"/>
    <w:rsid w:val="005D36C3"/>
    <w:rsid w:val="005D371C"/>
    <w:rsid w:val="005D37DA"/>
    <w:rsid w:val="005D3839"/>
    <w:rsid w:val="005D3A0A"/>
    <w:rsid w:val="005D3A8D"/>
    <w:rsid w:val="005D3CCA"/>
    <w:rsid w:val="005D3CD3"/>
    <w:rsid w:val="005D3CE1"/>
    <w:rsid w:val="005D3CED"/>
    <w:rsid w:val="005D3DA6"/>
    <w:rsid w:val="005D3E0E"/>
    <w:rsid w:val="005D41D6"/>
    <w:rsid w:val="005D4326"/>
    <w:rsid w:val="005D435A"/>
    <w:rsid w:val="005D44CA"/>
    <w:rsid w:val="005D4773"/>
    <w:rsid w:val="005D4783"/>
    <w:rsid w:val="005D489A"/>
    <w:rsid w:val="005D4B9D"/>
    <w:rsid w:val="005D4BA2"/>
    <w:rsid w:val="005D4C0A"/>
    <w:rsid w:val="005D4E62"/>
    <w:rsid w:val="005D5115"/>
    <w:rsid w:val="005D5140"/>
    <w:rsid w:val="005D515D"/>
    <w:rsid w:val="005D55B7"/>
    <w:rsid w:val="005D56F0"/>
    <w:rsid w:val="005D58D7"/>
    <w:rsid w:val="005D59A1"/>
    <w:rsid w:val="005D5A78"/>
    <w:rsid w:val="005D5ACE"/>
    <w:rsid w:val="005D5BA6"/>
    <w:rsid w:val="005D5D8D"/>
    <w:rsid w:val="005D611A"/>
    <w:rsid w:val="005D61C0"/>
    <w:rsid w:val="005D61D6"/>
    <w:rsid w:val="005D638E"/>
    <w:rsid w:val="005D66B1"/>
    <w:rsid w:val="005D6797"/>
    <w:rsid w:val="005D6A10"/>
    <w:rsid w:val="005D6A1A"/>
    <w:rsid w:val="005D6ADB"/>
    <w:rsid w:val="005D6BCD"/>
    <w:rsid w:val="005D6C29"/>
    <w:rsid w:val="005D6D85"/>
    <w:rsid w:val="005D6FEB"/>
    <w:rsid w:val="005D7089"/>
    <w:rsid w:val="005D71C4"/>
    <w:rsid w:val="005D74B2"/>
    <w:rsid w:val="005D77E9"/>
    <w:rsid w:val="005D7927"/>
    <w:rsid w:val="005D7A73"/>
    <w:rsid w:val="005D7B7F"/>
    <w:rsid w:val="005D7C40"/>
    <w:rsid w:val="005D7CB7"/>
    <w:rsid w:val="005D7CCD"/>
    <w:rsid w:val="005D7DFA"/>
    <w:rsid w:val="005E00EA"/>
    <w:rsid w:val="005E04E5"/>
    <w:rsid w:val="005E0BA7"/>
    <w:rsid w:val="005E12BA"/>
    <w:rsid w:val="005E15AA"/>
    <w:rsid w:val="005E15C0"/>
    <w:rsid w:val="005E15F7"/>
    <w:rsid w:val="005E1765"/>
    <w:rsid w:val="005E1AB2"/>
    <w:rsid w:val="005E1C8A"/>
    <w:rsid w:val="005E1DFC"/>
    <w:rsid w:val="005E202D"/>
    <w:rsid w:val="005E21A6"/>
    <w:rsid w:val="005E222C"/>
    <w:rsid w:val="005E2394"/>
    <w:rsid w:val="005E2545"/>
    <w:rsid w:val="005E25B1"/>
    <w:rsid w:val="005E28F9"/>
    <w:rsid w:val="005E2AF3"/>
    <w:rsid w:val="005E2B96"/>
    <w:rsid w:val="005E2F30"/>
    <w:rsid w:val="005E309A"/>
    <w:rsid w:val="005E321E"/>
    <w:rsid w:val="005E3251"/>
    <w:rsid w:val="005E3620"/>
    <w:rsid w:val="005E37E4"/>
    <w:rsid w:val="005E3B9A"/>
    <w:rsid w:val="005E3E65"/>
    <w:rsid w:val="005E406A"/>
    <w:rsid w:val="005E408D"/>
    <w:rsid w:val="005E4169"/>
    <w:rsid w:val="005E41C5"/>
    <w:rsid w:val="005E420C"/>
    <w:rsid w:val="005E435D"/>
    <w:rsid w:val="005E4516"/>
    <w:rsid w:val="005E45BF"/>
    <w:rsid w:val="005E4991"/>
    <w:rsid w:val="005E49B4"/>
    <w:rsid w:val="005E4ADB"/>
    <w:rsid w:val="005E4E97"/>
    <w:rsid w:val="005E523C"/>
    <w:rsid w:val="005E52C2"/>
    <w:rsid w:val="005E5378"/>
    <w:rsid w:val="005E543D"/>
    <w:rsid w:val="005E5BB3"/>
    <w:rsid w:val="005E5C8F"/>
    <w:rsid w:val="005E607A"/>
    <w:rsid w:val="005E6473"/>
    <w:rsid w:val="005E6A66"/>
    <w:rsid w:val="005E6B71"/>
    <w:rsid w:val="005E6B7B"/>
    <w:rsid w:val="005E6CE8"/>
    <w:rsid w:val="005E6DFA"/>
    <w:rsid w:val="005E6E78"/>
    <w:rsid w:val="005E6EB7"/>
    <w:rsid w:val="005E70F8"/>
    <w:rsid w:val="005E72E0"/>
    <w:rsid w:val="005E737A"/>
    <w:rsid w:val="005E75FC"/>
    <w:rsid w:val="005E760A"/>
    <w:rsid w:val="005E77D7"/>
    <w:rsid w:val="005E7AA1"/>
    <w:rsid w:val="005E7B64"/>
    <w:rsid w:val="005E7CFB"/>
    <w:rsid w:val="005E7D7B"/>
    <w:rsid w:val="005E7EE5"/>
    <w:rsid w:val="005E7F5E"/>
    <w:rsid w:val="005F0040"/>
    <w:rsid w:val="005F040C"/>
    <w:rsid w:val="005F04DD"/>
    <w:rsid w:val="005F0A2B"/>
    <w:rsid w:val="005F0AD5"/>
    <w:rsid w:val="005F0D8B"/>
    <w:rsid w:val="005F0DB8"/>
    <w:rsid w:val="005F121C"/>
    <w:rsid w:val="005F1260"/>
    <w:rsid w:val="005F12B7"/>
    <w:rsid w:val="005F13C7"/>
    <w:rsid w:val="005F1672"/>
    <w:rsid w:val="005F187D"/>
    <w:rsid w:val="005F1917"/>
    <w:rsid w:val="005F1D5D"/>
    <w:rsid w:val="005F1E6A"/>
    <w:rsid w:val="005F1EAF"/>
    <w:rsid w:val="005F21DC"/>
    <w:rsid w:val="005F2338"/>
    <w:rsid w:val="005F236A"/>
    <w:rsid w:val="005F29F8"/>
    <w:rsid w:val="005F2AB7"/>
    <w:rsid w:val="005F2BDF"/>
    <w:rsid w:val="005F321D"/>
    <w:rsid w:val="005F3243"/>
    <w:rsid w:val="005F360F"/>
    <w:rsid w:val="005F37BF"/>
    <w:rsid w:val="005F381D"/>
    <w:rsid w:val="005F38BD"/>
    <w:rsid w:val="005F3953"/>
    <w:rsid w:val="005F3975"/>
    <w:rsid w:val="005F3C1D"/>
    <w:rsid w:val="005F434F"/>
    <w:rsid w:val="005F4574"/>
    <w:rsid w:val="005F459F"/>
    <w:rsid w:val="005F462F"/>
    <w:rsid w:val="005F4645"/>
    <w:rsid w:val="005F4B82"/>
    <w:rsid w:val="005F4C5D"/>
    <w:rsid w:val="005F4D53"/>
    <w:rsid w:val="005F4E77"/>
    <w:rsid w:val="005F51B8"/>
    <w:rsid w:val="005F5225"/>
    <w:rsid w:val="005F52B1"/>
    <w:rsid w:val="005F52E4"/>
    <w:rsid w:val="005F54BE"/>
    <w:rsid w:val="005F5584"/>
    <w:rsid w:val="005F569C"/>
    <w:rsid w:val="005F5765"/>
    <w:rsid w:val="005F57AA"/>
    <w:rsid w:val="005F58B5"/>
    <w:rsid w:val="005F58D0"/>
    <w:rsid w:val="005F5AAE"/>
    <w:rsid w:val="005F5C54"/>
    <w:rsid w:val="005F5C93"/>
    <w:rsid w:val="005F5E16"/>
    <w:rsid w:val="005F60FF"/>
    <w:rsid w:val="005F645F"/>
    <w:rsid w:val="005F65BA"/>
    <w:rsid w:val="005F67F6"/>
    <w:rsid w:val="005F6923"/>
    <w:rsid w:val="005F6C77"/>
    <w:rsid w:val="005F6CE6"/>
    <w:rsid w:val="005F6D59"/>
    <w:rsid w:val="005F6EAE"/>
    <w:rsid w:val="005F7352"/>
    <w:rsid w:val="005F73CB"/>
    <w:rsid w:val="005F742D"/>
    <w:rsid w:val="005F7681"/>
    <w:rsid w:val="005F7886"/>
    <w:rsid w:val="005F7AC3"/>
    <w:rsid w:val="005F7C7B"/>
    <w:rsid w:val="005F7CE4"/>
    <w:rsid w:val="005F7E7D"/>
    <w:rsid w:val="005F7F54"/>
    <w:rsid w:val="00600079"/>
    <w:rsid w:val="006000DC"/>
    <w:rsid w:val="00600402"/>
    <w:rsid w:val="006004E6"/>
    <w:rsid w:val="00600597"/>
    <w:rsid w:val="00600703"/>
    <w:rsid w:val="00600718"/>
    <w:rsid w:val="0060081D"/>
    <w:rsid w:val="0060082B"/>
    <w:rsid w:val="006008D4"/>
    <w:rsid w:val="00600A75"/>
    <w:rsid w:val="00600AD1"/>
    <w:rsid w:val="0060120F"/>
    <w:rsid w:val="0060137B"/>
    <w:rsid w:val="00601636"/>
    <w:rsid w:val="006018ED"/>
    <w:rsid w:val="00601933"/>
    <w:rsid w:val="00601ABF"/>
    <w:rsid w:val="00601B16"/>
    <w:rsid w:val="00601BFC"/>
    <w:rsid w:val="00601CA0"/>
    <w:rsid w:val="00601D9C"/>
    <w:rsid w:val="00601E70"/>
    <w:rsid w:val="00601FC9"/>
    <w:rsid w:val="00602245"/>
    <w:rsid w:val="0060242F"/>
    <w:rsid w:val="006024EA"/>
    <w:rsid w:val="00602A03"/>
    <w:rsid w:val="00602C72"/>
    <w:rsid w:val="00602E6F"/>
    <w:rsid w:val="00602FFD"/>
    <w:rsid w:val="0060302A"/>
    <w:rsid w:val="006034EA"/>
    <w:rsid w:val="006036A2"/>
    <w:rsid w:val="006037B8"/>
    <w:rsid w:val="006037BE"/>
    <w:rsid w:val="006037C5"/>
    <w:rsid w:val="00603986"/>
    <w:rsid w:val="00603C3A"/>
    <w:rsid w:val="00603DCF"/>
    <w:rsid w:val="00603E8E"/>
    <w:rsid w:val="006044B7"/>
    <w:rsid w:val="0060485D"/>
    <w:rsid w:val="00604914"/>
    <w:rsid w:val="00604A09"/>
    <w:rsid w:val="00604AF5"/>
    <w:rsid w:val="00604C88"/>
    <w:rsid w:val="00604D6B"/>
    <w:rsid w:val="0060505A"/>
    <w:rsid w:val="0060516E"/>
    <w:rsid w:val="00605379"/>
    <w:rsid w:val="00605380"/>
    <w:rsid w:val="00605546"/>
    <w:rsid w:val="00605586"/>
    <w:rsid w:val="00605DD2"/>
    <w:rsid w:val="00605E0D"/>
    <w:rsid w:val="00605EA0"/>
    <w:rsid w:val="0060625C"/>
    <w:rsid w:val="006062D6"/>
    <w:rsid w:val="00606305"/>
    <w:rsid w:val="00606569"/>
    <w:rsid w:val="006069F6"/>
    <w:rsid w:val="006069FE"/>
    <w:rsid w:val="00606B64"/>
    <w:rsid w:val="00606BEA"/>
    <w:rsid w:val="00606D54"/>
    <w:rsid w:val="00606D66"/>
    <w:rsid w:val="00606D70"/>
    <w:rsid w:val="00606E5B"/>
    <w:rsid w:val="0060711B"/>
    <w:rsid w:val="006071C2"/>
    <w:rsid w:val="00607360"/>
    <w:rsid w:val="0060739C"/>
    <w:rsid w:val="006073E1"/>
    <w:rsid w:val="0060747F"/>
    <w:rsid w:val="0060749F"/>
    <w:rsid w:val="0060758E"/>
    <w:rsid w:val="00607618"/>
    <w:rsid w:val="00607969"/>
    <w:rsid w:val="00607AB7"/>
    <w:rsid w:val="00607ABB"/>
    <w:rsid w:val="00607BE5"/>
    <w:rsid w:val="00607DE5"/>
    <w:rsid w:val="00607E91"/>
    <w:rsid w:val="00607F0B"/>
    <w:rsid w:val="0061007C"/>
    <w:rsid w:val="00610145"/>
    <w:rsid w:val="006101C2"/>
    <w:rsid w:val="00610647"/>
    <w:rsid w:val="006107AA"/>
    <w:rsid w:val="00610883"/>
    <w:rsid w:val="00610902"/>
    <w:rsid w:val="0061099D"/>
    <w:rsid w:val="006109D3"/>
    <w:rsid w:val="00610AFC"/>
    <w:rsid w:val="00610BBA"/>
    <w:rsid w:val="00610DFD"/>
    <w:rsid w:val="00610F45"/>
    <w:rsid w:val="006111EB"/>
    <w:rsid w:val="0061156D"/>
    <w:rsid w:val="006116BA"/>
    <w:rsid w:val="00611750"/>
    <w:rsid w:val="006117C0"/>
    <w:rsid w:val="00611868"/>
    <w:rsid w:val="00611BDA"/>
    <w:rsid w:val="00611E8B"/>
    <w:rsid w:val="00611F1A"/>
    <w:rsid w:val="00611FC2"/>
    <w:rsid w:val="0061234B"/>
    <w:rsid w:val="00612491"/>
    <w:rsid w:val="006125EB"/>
    <w:rsid w:val="006128C8"/>
    <w:rsid w:val="00612C35"/>
    <w:rsid w:val="00612CFA"/>
    <w:rsid w:val="00612DF9"/>
    <w:rsid w:val="00612F07"/>
    <w:rsid w:val="00612F47"/>
    <w:rsid w:val="0061302B"/>
    <w:rsid w:val="00613500"/>
    <w:rsid w:val="0061376C"/>
    <w:rsid w:val="006137C9"/>
    <w:rsid w:val="0061381D"/>
    <w:rsid w:val="00613846"/>
    <w:rsid w:val="00613984"/>
    <w:rsid w:val="006139A9"/>
    <w:rsid w:val="006139B6"/>
    <w:rsid w:val="00613B70"/>
    <w:rsid w:val="00613B81"/>
    <w:rsid w:val="00613FE8"/>
    <w:rsid w:val="006140A7"/>
    <w:rsid w:val="006143AF"/>
    <w:rsid w:val="006147AD"/>
    <w:rsid w:val="006147F8"/>
    <w:rsid w:val="00614835"/>
    <w:rsid w:val="00614F4E"/>
    <w:rsid w:val="00614FEB"/>
    <w:rsid w:val="006150BD"/>
    <w:rsid w:val="006151A2"/>
    <w:rsid w:val="006152B1"/>
    <w:rsid w:val="006152F7"/>
    <w:rsid w:val="0061531D"/>
    <w:rsid w:val="00615382"/>
    <w:rsid w:val="0061555A"/>
    <w:rsid w:val="00615770"/>
    <w:rsid w:val="006157AA"/>
    <w:rsid w:val="006159C0"/>
    <w:rsid w:val="00615CBB"/>
    <w:rsid w:val="00615D1D"/>
    <w:rsid w:val="00615EAC"/>
    <w:rsid w:val="0061601A"/>
    <w:rsid w:val="00616085"/>
    <w:rsid w:val="00616102"/>
    <w:rsid w:val="00616124"/>
    <w:rsid w:val="00616447"/>
    <w:rsid w:val="0061672D"/>
    <w:rsid w:val="006168D2"/>
    <w:rsid w:val="0061698F"/>
    <w:rsid w:val="00616BFB"/>
    <w:rsid w:val="00616CE5"/>
    <w:rsid w:val="00616E12"/>
    <w:rsid w:val="00616FA5"/>
    <w:rsid w:val="0061707E"/>
    <w:rsid w:val="0061740F"/>
    <w:rsid w:val="006175F3"/>
    <w:rsid w:val="00617DD7"/>
    <w:rsid w:val="00617F26"/>
    <w:rsid w:val="00620180"/>
    <w:rsid w:val="006206F4"/>
    <w:rsid w:val="00620AF3"/>
    <w:rsid w:val="00620BFF"/>
    <w:rsid w:val="00620DBD"/>
    <w:rsid w:val="00620EB8"/>
    <w:rsid w:val="00621179"/>
    <w:rsid w:val="006211D2"/>
    <w:rsid w:val="0062137D"/>
    <w:rsid w:val="006216B9"/>
    <w:rsid w:val="00621738"/>
    <w:rsid w:val="00621896"/>
    <w:rsid w:val="006219B4"/>
    <w:rsid w:val="006219F5"/>
    <w:rsid w:val="00621BD2"/>
    <w:rsid w:val="00621C4B"/>
    <w:rsid w:val="00621CDD"/>
    <w:rsid w:val="00621DA0"/>
    <w:rsid w:val="00621EAB"/>
    <w:rsid w:val="00622113"/>
    <w:rsid w:val="006222DE"/>
    <w:rsid w:val="00622314"/>
    <w:rsid w:val="006223AE"/>
    <w:rsid w:val="00622547"/>
    <w:rsid w:val="006225B9"/>
    <w:rsid w:val="006225C2"/>
    <w:rsid w:val="0062268F"/>
    <w:rsid w:val="00622D41"/>
    <w:rsid w:val="00622DCC"/>
    <w:rsid w:val="00622E21"/>
    <w:rsid w:val="00622FC5"/>
    <w:rsid w:val="00623018"/>
    <w:rsid w:val="00623083"/>
    <w:rsid w:val="0062328C"/>
    <w:rsid w:val="006232AA"/>
    <w:rsid w:val="00623547"/>
    <w:rsid w:val="00623C4B"/>
    <w:rsid w:val="0062409D"/>
    <w:rsid w:val="0062410A"/>
    <w:rsid w:val="006241F8"/>
    <w:rsid w:val="006242A6"/>
    <w:rsid w:val="0062435E"/>
    <w:rsid w:val="00624453"/>
    <w:rsid w:val="00624631"/>
    <w:rsid w:val="0062464F"/>
    <w:rsid w:val="006249F3"/>
    <w:rsid w:val="00624BBB"/>
    <w:rsid w:val="00624C04"/>
    <w:rsid w:val="00624EC1"/>
    <w:rsid w:val="00624EC8"/>
    <w:rsid w:val="00625074"/>
    <w:rsid w:val="0062509A"/>
    <w:rsid w:val="006250F1"/>
    <w:rsid w:val="0062522F"/>
    <w:rsid w:val="006252BB"/>
    <w:rsid w:val="006254C6"/>
    <w:rsid w:val="0062553D"/>
    <w:rsid w:val="00625812"/>
    <w:rsid w:val="006258EF"/>
    <w:rsid w:val="00625A71"/>
    <w:rsid w:val="00625B67"/>
    <w:rsid w:val="00625C75"/>
    <w:rsid w:val="00625CE9"/>
    <w:rsid w:val="00625D01"/>
    <w:rsid w:val="00625DDD"/>
    <w:rsid w:val="00625EF3"/>
    <w:rsid w:val="00625F35"/>
    <w:rsid w:val="00625F8F"/>
    <w:rsid w:val="006260A7"/>
    <w:rsid w:val="006260C0"/>
    <w:rsid w:val="006262EF"/>
    <w:rsid w:val="00626546"/>
    <w:rsid w:val="00626815"/>
    <w:rsid w:val="00626938"/>
    <w:rsid w:val="0062693F"/>
    <w:rsid w:val="00626A4C"/>
    <w:rsid w:val="00626D2A"/>
    <w:rsid w:val="00626E6C"/>
    <w:rsid w:val="00626EAD"/>
    <w:rsid w:val="00626F44"/>
    <w:rsid w:val="00626F45"/>
    <w:rsid w:val="006270BB"/>
    <w:rsid w:val="006270DE"/>
    <w:rsid w:val="006271B9"/>
    <w:rsid w:val="00627290"/>
    <w:rsid w:val="006273CF"/>
    <w:rsid w:val="00627550"/>
    <w:rsid w:val="0062772A"/>
    <w:rsid w:val="00627736"/>
    <w:rsid w:val="0062783A"/>
    <w:rsid w:val="006279C9"/>
    <w:rsid w:val="00627A07"/>
    <w:rsid w:val="00627B18"/>
    <w:rsid w:val="00627BF4"/>
    <w:rsid w:val="00627C5D"/>
    <w:rsid w:val="00627DC3"/>
    <w:rsid w:val="00627E92"/>
    <w:rsid w:val="00627E95"/>
    <w:rsid w:val="00627EF7"/>
    <w:rsid w:val="006300C0"/>
    <w:rsid w:val="00630179"/>
    <w:rsid w:val="006301F9"/>
    <w:rsid w:val="00630255"/>
    <w:rsid w:val="00630339"/>
    <w:rsid w:val="00630430"/>
    <w:rsid w:val="00630C4A"/>
    <w:rsid w:val="0063100D"/>
    <w:rsid w:val="0063106C"/>
    <w:rsid w:val="006310BC"/>
    <w:rsid w:val="0063117A"/>
    <w:rsid w:val="006314E7"/>
    <w:rsid w:val="00631A27"/>
    <w:rsid w:val="00631A71"/>
    <w:rsid w:val="00631A88"/>
    <w:rsid w:val="00632215"/>
    <w:rsid w:val="006322D4"/>
    <w:rsid w:val="00632400"/>
    <w:rsid w:val="006325D4"/>
    <w:rsid w:val="006325F1"/>
    <w:rsid w:val="006329D8"/>
    <w:rsid w:val="00632ABF"/>
    <w:rsid w:val="00632C68"/>
    <w:rsid w:val="00632C74"/>
    <w:rsid w:val="00632D82"/>
    <w:rsid w:val="00632F95"/>
    <w:rsid w:val="00632FD4"/>
    <w:rsid w:val="0063302E"/>
    <w:rsid w:val="006333E1"/>
    <w:rsid w:val="0063353C"/>
    <w:rsid w:val="00633552"/>
    <w:rsid w:val="00633853"/>
    <w:rsid w:val="006339DD"/>
    <w:rsid w:val="00633B72"/>
    <w:rsid w:val="00633BA5"/>
    <w:rsid w:val="00633C94"/>
    <w:rsid w:val="00633E64"/>
    <w:rsid w:val="00634162"/>
    <w:rsid w:val="00634206"/>
    <w:rsid w:val="006344DD"/>
    <w:rsid w:val="006345CF"/>
    <w:rsid w:val="006345F5"/>
    <w:rsid w:val="006346FD"/>
    <w:rsid w:val="006347FF"/>
    <w:rsid w:val="006349B7"/>
    <w:rsid w:val="00634A80"/>
    <w:rsid w:val="00634AA2"/>
    <w:rsid w:val="00634B32"/>
    <w:rsid w:val="00634B7E"/>
    <w:rsid w:val="00634C1A"/>
    <w:rsid w:val="00634C75"/>
    <w:rsid w:val="00634D56"/>
    <w:rsid w:val="00634D94"/>
    <w:rsid w:val="006352E8"/>
    <w:rsid w:val="006354E4"/>
    <w:rsid w:val="00635884"/>
    <w:rsid w:val="006359DF"/>
    <w:rsid w:val="00635A25"/>
    <w:rsid w:val="00635A3C"/>
    <w:rsid w:val="00635B5A"/>
    <w:rsid w:val="00635CEB"/>
    <w:rsid w:val="00635D44"/>
    <w:rsid w:val="00635E9D"/>
    <w:rsid w:val="006362DA"/>
    <w:rsid w:val="00636310"/>
    <w:rsid w:val="0063632A"/>
    <w:rsid w:val="0063638F"/>
    <w:rsid w:val="00636495"/>
    <w:rsid w:val="006365A8"/>
    <w:rsid w:val="00636609"/>
    <w:rsid w:val="00636636"/>
    <w:rsid w:val="00636A25"/>
    <w:rsid w:val="00636AE7"/>
    <w:rsid w:val="00637006"/>
    <w:rsid w:val="00637080"/>
    <w:rsid w:val="00637098"/>
    <w:rsid w:val="006370F6"/>
    <w:rsid w:val="006371BB"/>
    <w:rsid w:val="00637217"/>
    <w:rsid w:val="00637263"/>
    <w:rsid w:val="00637267"/>
    <w:rsid w:val="006375A3"/>
    <w:rsid w:val="0063762B"/>
    <w:rsid w:val="006376DF"/>
    <w:rsid w:val="006379DF"/>
    <w:rsid w:val="00637B5B"/>
    <w:rsid w:val="00637BD5"/>
    <w:rsid w:val="00637C5E"/>
    <w:rsid w:val="00637CAF"/>
    <w:rsid w:val="00637CB4"/>
    <w:rsid w:val="00637DB2"/>
    <w:rsid w:val="00637F1B"/>
    <w:rsid w:val="006401F5"/>
    <w:rsid w:val="0064032A"/>
    <w:rsid w:val="00640473"/>
    <w:rsid w:val="00640495"/>
    <w:rsid w:val="006405DA"/>
    <w:rsid w:val="006407D3"/>
    <w:rsid w:val="006409A3"/>
    <w:rsid w:val="00640A4C"/>
    <w:rsid w:val="00640A64"/>
    <w:rsid w:val="0064117E"/>
    <w:rsid w:val="0064119D"/>
    <w:rsid w:val="00641545"/>
    <w:rsid w:val="006415C5"/>
    <w:rsid w:val="00641933"/>
    <w:rsid w:val="00641CB0"/>
    <w:rsid w:val="00641F93"/>
    <w:rsid w:val="00641FBD"/>
    <w:rsid w:val="006422CC"/>
    <w:rsid w:val="006423C7"/>
    <w:rsid w:val="0064242A"/>
    <w:rsid w:val="0064246D"/>
    <w:rsid w:val="006425E6"/>
    <w:rsid w:val="00642669"/>
    <w:rsid w:val="0064266F"/>
    <w:rsid w:val="006426DA"/>
    <w:rsid w:val="00642723"/>
    <w:rsid w:val="00642BED"/>
    <w:rsid w:val="00642BFA"/>
    <w:rsid w:val="006431D4"/>
    <w:rsid w:val="006432A1"/>
    <w:rsid w:val="006435AC"/>
    <w:rsid w:val="006436BF"/>
    <w:rsid w:val="006436C4"/>
    <w:rsid w:val="006437CF"/>
    <w:rsid w:val="0064381F"/>
    <w:rsid w:val="00643895"/>
    <w:rsid w:val="00643899"/>
    <w:rsid w:val="00643ADE"/>
    <w:rsid w:val="00643E05"/>
    <w:rsid w:val="0064422E"/>
    <w:rsid w:val="00644293"/>
    <w:rsid w:val="006443C6"/>
    <w:rsid w:val="006444B3"/>
    <w:rsid w:val="006445B6"/>
    <w:rsid w:val="006445CC"/>
    <w:rsid w:val="00644607"/>
    <w:rsid w:val="00644625"/>
    <w:rsid w:val="00644664"/>
    <w:rsid w:val="00644A69"/>
    <w:rsid w:val="00644BE3"/>
    <w:rsid w:val="00644C15"/>
    <w:rsid w:val="00644CB0"/>
    <w:rsid w:val="00644E32"/>
    <w:rsid w:val="00645180"/>
    <w:rsid w:val="006451A1"/>
    <w:rsid w:val="0064536A"/>
    <w:rsid w:val="0064555C"/>
    <w:rsid w:val="0064589F"/>
    <w:rsid w:val="00645AD8"/>
    <w:rsid w:val="00645B00"/>
    <w:rsid w:val="00645C75"/>
    <w:rsid w:val="00645C81"/>
    <w:rsid w:val="00645CE9"/>
    <w:rsid w:val="00645DE4"/>
    <w:rsid w:val="00645EEA"/>
    <w:rsid w:val="00645F06"/>
    <w:rsid w:val="00645F46"/>
    <w:rsid w:val="0064621B"/>
    <w:rsid w:val="00646235"/>
    <w:rsid w:val="006462E7"/>
    <w:rsid w:val="006462EC"/>
    <w:rsid w:val="006465D1"/>
    <w:rsid w:val="006466D7"/>
    <w:rsid w:val="0064670E"/>
    <w:rsid w:val="00646838"/>
    <w:rsid w:val="0064687C"/>
    <w:rsid w:val="0064689C"/>
    <w:rsid w:val="00646B8C"/>
    <w:rsid w:val="00646B95"/>
    <w:rsid w:val="00646F82"/>
    <w:rsid w:val="00646FE5"/>
    <w:rsid w:val="00647027"/>
    <w:rsid w:val="006473F1"/>
    <w:rsid w:val="0064744B"/>
    <w:rsid w:val="006474E7"/>
    <w:rsid w:val="0064764D"/>
    <w:rsid w:val="006476EB"/>
    <w:rsid w:val="0064796E"/>
    <w:rsid w:val="00647A2E"/>
    <w:rsid w:val="00647B4C"/>
    <w:rsid w:val="00647C26"/>
    <w:rsid w:val="00647E3D"/>
    <w:rsid w:val="00650105"/>
    <w:rsid w:val="0065026D"/>
    <w:rsid w:val="00650478"/>
    <w:rsid w:val="00650771"/>
    <w:rsid w:val="006507E2"/>
    <w:rsid w:val="00650862"/>
    <w:rsid w:val="006508A7"/>
    <w:rsid w:val="00650E42"/>
    <w:rsid w:val="00650E99"/>
    <w:rsid w:val="00651357"/>
    <w:rsid w:val="00651493"/>
    <w:rsid w:val="0065164A"/>
    <w:rsid w:val="00651829"/>
    <w:rsid w:val="0065197B"/>
    <w:rsid w:val="00651BCC"/>
    <w:rsid w:val="00651D29"/>
    <w:rsid w:val="00651D77"/>
    <w:rsid w:val="00651FD5"/>
    <w:rsid w:val="006520A7"/>
    <w:rsid w:val="006522C0"/>
    <w:rsid w:val="00652853"/>
    <w:rsid w:val="006529A9"/>
    <w:rsid w:val="00652A62"/>
    <w:rsid w:val="00652AFC"/>
    <w:rsid w:val="00652D24"/>
    <w:rsid w:val="00653040"/>
    <w:rsid w:val="00653105"/>
    <w:rsid w:val="00653636"/>
    <w:rsid w:val="00653B39"/>
    <w:rsid w:val="00653C64"/>
    <w:rsid w:val="00653C79"/>
    <w:rsid w:val="00653C89"/>
    <w:rsid w:val="00653D36"/>
    <w:rsid w:val="00653FC3"/>
    <w:rsid w:val="006540A7"/>
    <w:rsid w:val="006542D8"/>
    <w:rsid w:val="006542FC"/>
    <w:rsid w:val="006544EC"/>
    <w:rsid w:val="006547BF"/>
    <w:rsid w:val="006547C5"/>
    <w:rsid w:val="006549B0"/>
    <w:rsid w:val="00654AD4"/>
    <w:rsid w:val="00654B97"/>
    <w:rsid w:val="00654C5A"/>
    <w:rsid w:val="00655008"/>
    <w:rsid w:val="0065510F"/>
    <w:rsid w:val="006554F6"/>
    <w:rsid w:val="0065564C"/>
    <w:rsid w:val="00655C39"/>
    <w:rsid w:val="00655C87"/>
    <w:rsid w:val="0065624E"/>
    <w:rsid w:val="00656419"/>
    <w:rsid w:val="00656465"/>
    <w:rsid w:val="0065674B"/>
    <w:rsid w:val="00656894"/>
    <w:rsid w:val="00656AEA"/>
    <w:rsid w:val="00656E05"/>
    <w:rsid w:val="00657142"/>
    <w:rsid w:val="00657168"/>
    <w:rsid w:val="00657171"/>
    <w:rsid w:val="006572A0"/>
    <w:rsid w:val="006576B8"/>
    <w:rsid w:val="006578EF"/>
    <w:rsid w:val="00657998"/>
    <w:rsid w:val="006579DB"/>
    <w:rsid w:val="00657D26"/>
    <w:rsid w:val="00657D6F"/>
    <w:rsid w:val="0066012F"/>
    <w:rsid w:val="00660198"/>
    <w:rsid w:val="006602BC"/>
    <w:rsid w:val="00660372"/>
    <w:rsid w:val="0066064E"/>
    <w:rsid w:val="0066068F"/>
    <w:rsid w:val="0066080E"/>
    <w:rsid w:val="00660816"/>
    <w:rsid w:val="00660969"/>
    <w:rsid w:val="0066096B"/>
    <w:rsid w:val="00660A05"/>
    <w:rsid w:val="00660A21"/>
    <w:rsid w:val="00660A5F"/>
    <w:rsid w:val="00660B89"/>
    <w:rsid w:val="00660C68"/>
    <w:rsid w:val="00660E35"/>
    <w:rsid w:val="00660E42"/>
    <w:rsid w:val="00661145"/>
    <w:rsid w:val="0066124F"/>
    <w:rsid w:val="006613D4"/>
    <w:rsid w:val="006617CC"/>
    <w:rsid w:val="00661AA1"/>
    <w:rsid w:val="00661B33"/>
    <w:rsid w:val="0066203C"/>
    <w:rsid w:val="00662092"/>
    <w:rsid w:val="0066217C"/>
    <w:rsid w:val="0066249E"/>
    <w:rsid w:val="006624F3"/>
    <w:rsid w:val="0066267D"/>
    <w:rsid w:val="006626EB"/>
    <w:rsid w:val="0066295F"/>
    <w:rsid w:val="00662A65"/>
    <w:rsid w:val="00662B9A"/>
    <w:rsid w:val="00662BFB"/>
    <w:rsid w:val="00662C8C"/>
    <w:rsid w:val="00662EBF"/>
    <w:rsid w:val="00663087"/>
    <w:rsid w:val="00663542"/>
    <w:rsid w:val="00663564"/>
    <w:rsid w:val="0066362E"/>
    <w:rsid w:val="00663DD7"/>
    <w:rsid w:val="00663EE5"/>
    <w:rsid w:val="006640BD"/>
    <w:rsid w:val="00664177"/>
    <w:rsid w:val="0066441D"/>
    <w:rsid w:val="006644D7"/>
    <w:rsid w:val="00664922"/>
    <w:rsid w:val="00664F75"/>
    <w:rsid w:val="006653F4"/>
    <w:rsid w:val="00665518"/>
    <w:rsid w:val="00665613"/>
    <w:rsid w:val="0066577F"/>
    <w:rsid w:val="00665889"/>
    <w:rsid w:val="00665D79"/>
    <w:rsid w:val="00665E6D"/>
    <w:rsid w:val="00665E93"/>
    <w:rsid w:val="00665F76"/>
    <w:rsid w:val="00665FB7"/>
    <w:rsid w:val="00666026"/>
    <w:rsid w:val="0066623C"/>
    <w:rsid w:val="00666243"/>
    <w:rsid w:val="00666409"/>
    <w:rsid w:val="0066646D"/>
    <w:rsid w:val="00666566"/>
    <w:rsid w:val="00666719"/>
    <w:rsid w:val="006667AA"/>
    <w:rsid w:val="00666808"/>
    <w:rsid w:val="00666A48"/>
    <w:rsid w:val="00666CEF"/>
    <w:rsid w:val="00666D47"/>
    <w:rsid w:val="00667040"/>
    <w:rsid w:val="0066713B"/>
    <w:rsid w:val="00667140"/>
    <w:rsid w:val="006671E1"/>
    <w:rsid w:val="0066730C"/>
    <w:rsid w:val="00667361"/>
    <w:rsid w:val="0066761A"/>
    <w:rsid w:val="00667647"/>
    <w:rsid w:val="00667668"/>
    <w:rsid w:val="00667836"/>
    <w:rsid w:val="006678BD"/>
    <w:rsid w:val="00667A08"/>
    <w:rsid w:val="00667AE1"/>
    <w:rsid w:val="00667BD0"/>
    <w:rsid w:val="00667CD8"/>
    <w:rsid w:val="00667CF1"/>
    <w:rsid w:val="00667DCF"/>
    <w:rsid w:val="00667E00"/>
    <w:rsid w:val="006701AE"/>
    <w:rsid w:val="006704F7"/>
    <w:rsid w:val="006707EE"/>
    <w:rsid w:val="00670833"/>
    <w:rsid w:val="0067084C"/>
    <w:rsid w:val="00670987"/>
    <w:rsid w:val="006709E8"/>
    <w:rsid w:val="00670A36"/>
    <w:rsid w:val="00670D5B"/>
    <w:rsid w:val="00670DBA"/>
    <w:rsid w:val="00670F86"/>
    <w:rsid w:val="006710E2"/>
    <w:rsid w:val="006712D0"/>
    <w:rsid w:val="00671446"/>
    <w:rsid w:val="006717DB"/>
    <w:rsid w:val="006718BD"/>
    <w:rsid w:val="00671970"/>
    <w:rsid w:val="00671979"/>
    <w:rsid w:val="0067198F"/>
    <w:rsid w:val="006719ED"/>
    <w:rsid w:val="00671A4E"/>
    <w:rsid w:val="00671A8C"/>
    <w:rsid w:val="00671A9B"/>
    <w:rsid w:val="00671AF5"/>
    <w:rsid w:val="0067240C"/>
    <w:rsid w:val="00672FB8"/>
    <w:rsid w:val="00673450"/>
    <w:rsid w:val="00673492"/>
    <w:rsid w:val="00673586"/>
    <w:rsid w:val="006738EE"/>
    <w:rsid w:val="00673949"/>
    <w:rsid w:val="0067442E"/>
    <w:rsid w:val="006744E4"/>
    <w:rsid w:val="006745BF"/>
    <w:rsid w:val="0067497F"/>
    <w:rsid w:val="00674A61"/>
    <w:rsid w:val="00674A88"/>
    <w:rsid w:val="00674BA8"/>
    <w:rsid w:val="00674CB7"/>
    <w:rsid w:val="00674CDE"/>
    <w:rsid w:val="00674D9F"/>
    <w:rsid w:val="00674F4C"/>
    <w:rsid w:val="00675016"/>
    <w:rsid w:val="00675038"/>
    <w:rsid w:val="006750C6"/>
    <w:rsid w:val="006752B3"/>
    <w:rsid w:val="00675523"/>
    <w:rsid w:val="0067573F"/>
    <w:rsid w:val="00675871"/>
    <w:rsid w:val="00675AAD"/>
    <w:rsid w:val="00675B88"/>
    <w:rsid w:val="00675BF6"/>
    <w:rsid w:val="00675C3B"/>
    <w:rsid w:val="00675D7F"/>
    <w:rsid w:val="00675DD5"/>
    <w:rsid w:val="00675E85"/>
    <w:rsid w:val="00675FFB"/>
    <w:rsid w:val="0067605E"/>
    <w:rsid w:val="006768FC"/>
    <w:rsid w:val="00677067"/>
    <w:rsid w:val="006770EE"/>
    <w:rsid w:val="0067715A"/>
    <w:rsid w:val="006772AB"/>
    <w:rsid w:val="00677783"/>
    <w:rsid w:val="00677906"/>
    <w:rsid w:val="00677909"/>
    <w:rsid w:val="00677927"/>
    <w:rsid w:val="00677B9B"/>
    <w:rsid w:val="00677D0C"/>
    <w:rsid w:val="00677E49"/>
    <w:rsid w:val="00680029"/>
    <w:rsid w:val="006802C5"/>
    <w:rsid w:val="006802CA"/>
    <w:rsid w:val="00680393"/>
    <w:rsid w:val="00680461"/>
    <w:rsid w:val="00680500"/>
    <w:rsid w:val="006805D3"/>
    <w:rsid w:val="006806BB"/>
    <w:rsid w:val="00680797"/>
    <w:rsid w:val="00680991"/>
    <w:rsid w:val="00680A75"/>
    <w:rsid w:val="00680B79"/>
    <w:rsid w:val="00680CF4"/>
    <w:rsid w:val="00680D37"/>
    <w:rsid w:val="00680F62"/>
    <w:rsid w:val="00680FFC"/>
    <w:rsid w:val="006810C5"/>
    <w:rsid w:val="006810D3"/>
    <w:rsid w:val="0068119A"/>
    <w:rsid w:val="0068134E"/>
    <w:rsid w:val="0068149D"/>
    <w:rsid w:val="0068150C"/>
    <w:rsid w:val="00681779"/>
    <w:rsid w:val="006817F4"/>
    <w:rsid w:val="00681953"/>
    <w:rsid w:val="006819CB"/>
    <w:rsid w:val="00681BB2"/>
    <w:rsid w:val="00681BFF"/>
    <w:rsid w:val="00681C6F"/>
    <w:rsid w:val="00681CAF"/>
    <w:rsid w:val="00681D5B"/>
    <w:rsid w:val="00681DD6"/>
    <w:rsid w:val="00681EAF"/>
    <w:rsid w:val="00682066"/>
    <w:rsid w:val="00682160"/>
    <w:rsid w:val="006822ED"/>
    <w:rsid w:val="0068234B"/>
    <w:rsid w:val="00682389"/>
    <w:rsid w:val="00682438"/>
    <w:rsid w:val="00682AC3"/>
    <w:rsid w:val="00682FF2"/>
    <w:rsid w:val="006830CD"/>
    <w:rsid w:val="006830EB"/>
    <w:rsid w:val="006831FF"/>
    <w:rsid w:val="00683238"/>
    <w:rsid w:val="006832B5"/>
    <w:rsid w:val="00683300"/>
    <w:rsid w:val="0068349C"/>
    <w:rsid w:val="006837AB"/>
    <w:rsid w:val="00683C1A"/>
    <w:rsid w:val="00683C56"/>
    <w:rsid w:val="00683E6A"/>
    <w:rsid w:val="00683F63"/>
    <w:rsid w:val="006840A6"/>
    <w:rsid w:val="00684264"/>
    <w:rsid w:val="006845CE"/>
    <w:rsid w:val="00684809"/>
    <w:rsid w:val="0068480C"/>
    <w:rsid w:val="00684817"/>
    <w:rsid w:val="0068482C"/>
    <w:rsid w:val="006848B1"/>
    <w:rsid w:val="00684931"/>
    <w:rsid w:val="00684ACD"/>
    <w:rsid w:val="00685037"/>
    <w:rsid w:val="00685053"/>
    <w:rsid w:val="00685057"/>
    <w:rsid w:val="00685178"/>
    <w:rsid w:val="0068519C"/>
    <w:rsid w:val="0068519D"/>
    <w:rsid w:val="0068525B"/>
    <w:rsid w:val="00685314"/>
    <w:rsid w:val="00685459"/>
    <w:rsid w:val="00685472"/>
    <w:rsid w:val="0068560C"/>
    <w:rsid w:val="0068572A"/>
    <w:rsid w:val="00685872"/>
    <w:rsid w:val="00685996"/>
    <w:rsid w:val="00685B2C"/>
    <w:rsid w:val="00685B96"/>
    <w:rsid w:val="00685E65"/>
    <w:rsid w:val="00685EA4"/>
    <w:rsid w:val="006860D3"/>
    <w:rsid w:val="0068612C"/>
    <w:rsid w:val="00686133"/>
    <w:rsid w:val="006861AE"/>
    <w:rsid w:val="00686296"/>
    <w:rsid w:val="006862AB"/>
    <w:rsid w:val="006864EB"/>
    <w:rsid w:val="0068660A"/>
    <w:rsid w:val="00686957"/>
    <w:rsid w:val="00686C50"/>
    <w:rsid w:val="00687054"/>
    <w:rsid w:val="00687427"/>
    <w:rsid w:val="0068744D"/>
    <w:rsid w:val="00687473"/>
    <w:rsid w:val="00687714"/>
    <w:rsid w:val="00687A57"/>
    <w:rsid w:val="00687B71"/>
    <w:rsid w:val="00687B79"/>
    <w:rsid w:val="00687CD9"/>
    <w:rsid w:val="00687D83"/>
    <w:rsid w:val="00687D8D"/>
    <w:rsid w:val="00687DC7"/>
    <w:rsid w:val="00687F25"/>
    <w:rsid w:val="00690023"/>
    <w:rsid w:val="00690064"/>
    <w:rsid w:val="006900A1"/>
    <w:rsid w:val="0069026C"/>
    <w:rsid w:val="006903A1"/>
    <w:rsid w:val="006903ED"/>
    <w:rsid w:val="00690488"/>
    <w:rsid w:val="006904F7"/>
    <w:rsid w:val="00690732"/>
    <w:rsid w:val="0069078E"/>
    <w:rsid w:val="0069082A"/>
    <w:rsid w:val="00690CFE"/>
    <w:rsid w:val="00690EC4"/>
    <w:rsid w:val="00690F55"/>
    <w:rsid w:val="00690F77"/>
    <w:rsid w:val="00690FED"/>
    <w:rsid w:val="0069108C"/>
    <w:rsid w:val="006910F1"/>
    <w:rsid w:val="00691154"/>
    <w:rsid w:val="00691338"/>
    <w:rsid w:val="0069135A"/>
    <w:rsid w:val="0069146D"/>
    <w:rsid w:val="0069171E"/>
    <w:rsid w:val="0069176E"/>
    <w:rsid w:val="006917F1"/>
    <w:rsid w:val="00691AC6"/>
    <w:rsid w:val="00691B39"/>
    <w:rsid w:val="00691C16"/>
    <w:rsid w:val="00691ECA"/>
    <w:rsid w:val="00691FFC"/>
    <w:rsid w:val="00692419"/>
    <w:rsid w:val="006929B5"/>
    <w:rsid w:val="00692A4C"/>
    <w:rsid w:val="00692E8A"/>
    <w:rsid w:val="006930CB"/>
    <w:rsid w:val="006930F3"/>
    <w:rsid w:val="0069319B"/>
    <w:rsid w:val="006933B5"/>
    <w:rsid w:val="0069356A"/>
    <w:rsid w:val="0069375B"/>
    <w:rsid w:val="006937B0"/>
    <w:rsid w:val="00693B6C"/>
    <w:rsid w:val="00693C30"/>
    <w:rsid w:val="00693EA4"/>
    <w:rsid w:val="00693FD4"/>
    <w:rsid w:val="0069413E"/>
    <w:rsid w:val="00694260"/>
    <w:rsid w:val="00694471"/>
    <w:rsid w:val="00694588"/>
    <w:rsid w:val="006945DC"/>
    <w:rsid w:val="00694831"/>
    <w:rsid w:val="00694987"/>
    <w:rsid w:val="006949E6"/>
    <w:rsid w:val="00694A5C"/>
    <w:rsid w:val="00694ACB"/>
    <w:rsid w:val="00694B27"/>
    <w:rsid w:val="00694CF7"/>
    <w:rsid w:val="00694E99"/>
    <w:rsid w:val="00695103"/>
    <w:rsid w:val="006952A2"/>
    <w:rsid w:val="0069532F"/>
    <w:rsid w:val="00695366"/>
    <w:rsid w:val="006955DE"/>
    <w:rsid w:val="0069583B"/>
    <w:rsid w:val="00695A76"/>
    <w:rsid w:val="00695B7E"/>
    <w:rsid w:val="00695D83"/>
    <w:rsid w:val="00695E8D"/>
    <w:rsid w:val="00695F55"/>
    <w:rsid w:val="006960D8"/>
    <w:rsid w:val="006962BC"/>
    <w:rsid w:val="006968A7"/>
    <w:rsid w:val="00696C90"/>
    <w:rsid w:val="00696FA1"/>
    <w:rsid w:val="00696FA6"/>
    <w:rsid w:val="006970B4"/>
    <w:rsid w:val="00697441"/>
    <w:rsid w:val="00697445"/>
    <w:rsid w:val="006975F8"/>
    <w:rsid w:val="00697944"/>
    <w:rsid w:val="00697AA9"/>
    <w:rsid w:val="00697C54"/>
    <w:rsid w:val="00697DE8"/>
    <w:rsid w:val="00697F95"/>
    <w:rsid w:val="006A0096"/>
    <w:rsid w:val="006A0166"/>
    <w:rsid w:val="006A02DB"/>
    <w:rsid w:val="006A0476"/>
    <w:rsid w:val="006A0482"/>
    <w:rsid w:val="006A04E4"/>
    <w:rsid w:val="006A073F"/>
    <w:rsid w:val="006A09DD"/>
    <w:rsid w:val="006A0A89"/>
    <w:rsid w:val="006A0B76"/>
    <w:rsid w:val="006A0CFF"/>
    <w:rsid w:val="006A0D58"/>
    <w:rsid w:val="006A0E00"/>
    <w:rsid w:val="006A0E18"/>
    <w:rsid w:val="006A0F1C"/>
    <w:rsid w:val="006A11A4"/>
    <w:rsid w:val="006A12AD"/>
    <w:rsid w:val="006A12F5"/>
    <w:rsid w:val="006A136C"/>
    <w:rsid w:val="006A15DC"/>
    <w:rsid w:val="006A17C7"/>
    <w:rsid w:val="006A1824"/>
    <w:rsid w:val="006A18EE"/>
    <w:rsid w:val="006A1D87"/>
    <w:rsid w:val="006A1E52"/>
    <w:rsid w:val="006A20A9"/>
    <w:rsid w:val="006A2290"/>
    <w:rsid w:val="006A23A0"/>
    <w:rsid w:val="006A25E5"/>
    <w:rsid w:val="006A2904"/>
    <w:rsid w:val="006A2C78"/>
    <w:rsid w:val="006A2D9C"/>
    <w:rsid w:val="006A2F84"/>
    <w:rsid w:val="006A30C5"/>
    <w:rsid w:val="006A31D7"/>
    <w:rsid w:val="006A343F"/>
    <w:rsid w:val="006A353B"/>
    <w:rsid w:val="006A36C6"/>
    <w:rsid w:val="006A3827"/>
    <w:rsid w:val="006A39CF"/>
    <w:rsid w:val="006A3C23"/>
    <w:rsid w:val="006A3FF3"/>
    <w:rsid w:val="006A41F0"/>
    <w:rsid w:val="006A42DC"/>
    <w:rsid w:val="006A4384"/>
    <w:rsid w:val="006A4599"/>
    <w:rsid w:val="006A4669"/>
    <w:rsid w:val="006A496E"/>
    <w:rsid w:val="006A4970"/>
    <w:rsid w:val="006A4A70"/>
    <w:rsid w:val="006A4B80"/>
    <w:rsid w:val="006A4C2F"/>
    <w:rsid w:val="006A4CE2"/>
    <w:rsid w:val="006A4D19"/>
    <w:rsid w:val="006A4D1C"/>
    <w:rsid w:val="006A5049"/>
    <w:rsid w:val="006A56D7"/>
    <w:rsid w:val="006A56FC"/>
    <w:rsid w:val="006A5741"/>
    <w:rsid w:val="006A57C9"/>
    <w:rsid w:val="006A58CB"/>
    <w:rsid w:val="006A5B5D"/>
    <w:rsid w:val="006A5E7D"/>
    <w:rsid w:val="006A6250"/>
    <w:rsid w:val="006A64E2"/>
    <w:rsid w:val="006A660E"/>
    <w:rsid w:val="006A661F"/>
    <w:rsid w:val="006A6720"/>
    <w:rsid w:val="006A68A5"/>
    <w:rsid w:val="006A694E"/>
    <w:rsid w:val="006A6957"/>
    <w:rsid w:val="006A6A43"/>
    <w:rsid w:val="006A6DE2"/>
    <w:rsid w:val="006A7255"/>
    <w:rsid w:val="006A72F1"/>
    <w:rsid w:val="006A7433"/>
    <w:rsid w:val="006A77F1"/>
    <w:rsid w:val="006A7829"/>
    <w:rsid w:val="006A7854"/>
    <w:rsid w:val="006B0004"/>
    <w:rsid w:val="006B00A2"/>
    <w:rsid w:val="006B00AB"/>
    <w:rsid w:val="006B017A"/>
    <w:rsid w:val="006B03B1"/>
    <w:rsid w:val="006B056C"/>
    <w:rsid w:val="006B063A"/>
    <w:rsid w:val="006B07E2"/>
    <w:rsid w:val="006B0A95"/>
    <w:rsid w:val="006B0C77"/>
    <w:rsid w:val="006B1330"/>
    <w:rsid w:val="006B133B"/>
    <w:rsid w:val="006B1376"/>
    <w:rsid w:val="006B150C"/>
    <w:rsid w:val="006B1588"/>
    <w:rsid w:val="006B18E9"/>
    <w:rsid w:val="006B19BD"/>
    <w:rsid w:val="006B19DC"/>
    <w:rsid w:val="006B1A3E"/>
    <w:rsid w:val="006B1C08"/>
    <w:rsid w:val="006B1CDC"/>
    <w:rsid w:val="006B1DA7"/>
    <w:rsid w:val="006B1DB5"/>
    <w:rsid w:val="006B1E96"/>
    <w:rsid w:val="006B213E"/>
    <w:rsid w:val="006B2692"/>
    <w:rsid w:val="006B2704"/>
    <w:rsid w:val="006B27CA"/>
    <w:rsid w:val="006B287B"/>
    <w:rsid w:val="006B28F8"/>
    <w:rsid w:val="006B2956"/>
    <w:rsid w:val="006B2B17"/>
    <w:rsid w:val="006B2BA1"/>
    <w:rsid w:val="006B2BEC"/>
    <w:rsid w:val="006B2C41"/>
    <w:rsid w:val="006B2C8B"/>
    <w:rsid w:val="006B2DE5"/>
    <w:rsid w:val="006B30AB"/>
    <w:rsid w:val="006B30B5"/>
    <w:rsid w:val="006B3255"/>
    <w:rsid w:val="006B363D"/>
    <w:rsid w:val="006B367A"/>
    <w:rsid w:val="006B370D"/>
    <w:rsid w:val="006B382C"/>
    <w:rsid w:val="006B3BF8"/>
    <w:rsid w:val="006B3FD1"/>
    <w:rsid w:val="006B4065"/>
    <w:rsid w:val="006B4265"/>
    <w:rsid w:val="006B4312"/>
    <w:rsid w:val="006B437A"/>
    <w:rsid w:val="006B43B2"/>
    <w:rsid w:val="006B4AEA"/>
    <w:rsid w:val="006B4CC8"/>
    <w:rsid w:val="006B4E07"/>
    <w:rsid w:val="006B5498"/>
    <w:rsid w:val="006B5504"/>
    <w:rsid w:val="006B57B2"/>
    <w:rsid w:val="006B58E4"/>
    <w:rsid w:val="006B5A07"/>
    <w:rsid w:val="006B5C7C"/>
    <w:rsid w:val="006B6001"/>
    <w:rsid w:val="006B6135"/>
    <w:rsid w:val="006B6147"/>
    <w:rsid w:val="006B636B"/>
    <w:rsid w:val="006B6451"/>
    <w:rsid w:val="006B6748"/>
    <w:rsid w:val="006B682A"/>
    <w:rsid w:val="006B692B"/>
    <w:rsid w:val="006B6937"/>
    <w:rsid w:val="006B6CB9"/>
    <w:rsid w:val="006B6E18"/>
    <w:rsid w:val="006B6F18"/>
    <w:rsid w:val="006B7023"/>
    <w:rsid w:val="006B71C8"/>
    <w:rsid w:val="006B7364"/>
    <w:rsid w:val="006B748E"/>
    <w:rsid w:val="006B7564"/>
    <w:rsid w:val="006B78FF"/>
    <w:rsid w:val="006B798C"/>
    <w:rsid w:val="006B7A93"/>
    <w:rsid w:val="006B7CC5"/>
    <w:rsid w:val="006B7D01"/>
    <w:rsid w:val="006B7F0A"/>
    <w:rsid w:val="006B7FF7"/>
    <w:rsid w:val="006C019B"/>
    <w:rsid w:val="006C01CE"/>
    <w:rsid w:val="006C05EA"/>
    <w:rsid w:val="006C0856"/>
    <w:rsid w:val="006C094F"/>
    <w:rsid w:val="006C0C20"/>
    <w:rsid w:val="006C0E2A"/>
    <w:rsid w:val="006C0F1C"/>
    <w:rsid w:val="006C1173"/>
    <w:rsid w:val="006C12BA"/>
    <w:rsid w:val="006C13FA"/>
    <w:rsid w:val="006C146D"/>
    <w:rsid w:val="006C16D4"/>
    <w:rsid w:val="006C189A"/>
    <w:rsid w:val="006C1C31"/>
    <w:rsid w:val="006C1D60"/>
    <w:rsid w:val="006C1DF6"/>
    <w:rsid w:val="006C1F47"/>
    <w:rsid w:val="006C21BB"/>
    <w:rsid w:val="006C2247"/>
    <w:rsid w:val="006C2616"/>
    <w:rsid w:val="006C28B7"/>
    <w:rsid w:val="006C29BC"/>
    <w:rsid w:val="006C2AD7"/>
    <w:rsid w:val="006C2B89"/>
    <w:rsid w:val="006C2C55"/>
    <w:rsid w:val="006C2E07"/>
    <w:rsid w:val="006C2E7E"/>
    <w:rsid w:val="006C2EA4"/>
    <w:rsid w:val="006C2EC2"/>
    <w:rsid w:val="006C2ED1"/>
    <w:rsid w:val="006C3078"/>
    <w:rsid w:val="006C30EE"/>
    <w:rsid w:val="006C32B5"/>
    <w:rsid w:val="006C33BE"/>
    <w:rsid w:val="006C341F"/>
    <w:rsid w:val="006C348F"/>
    <w:rsid w:val="006C34E2"/>
    <w:rsid w:val="006C39E4"/>
    <w:rsid w:val="006C3B32"/>
    <w:rsid w:val="006C3B8F"/>
    <w:rsid w:val="006C3BB4"/>
    <w:rsid w:val="006C3D40"/>
    <w:rsid w:val="006C3D7A"/>
    <w:rsid w:val="006C3E79"/>
    <w:rsid w:val="006C4091"/>
    <w:rsid w:val="006C4106"/>
    <w:rsid w:val="006C4173"/>
    <w:rsid w:val="006C41B5"/>
    <w:rsid w:val="006C42A7"/>
    <w:rsid w:val="006C4637"/>
    <w:rsid w:val="006C47BC"/>
    <w:rsid w:val="006C47FC"/>
    <w:rsid w:val="006C499E"/>
    <w:rsid w:val="006C4BA7"/>
    <w:rsid w:val="006C4C85"/>
    <w:rsid w:val="006C4CE0"/>
    <w:rsid w:val="006C4E46"/>
    <w:rsid w:val="006C4E61"/>
    <w:rsid w:val="006C4EDF"/>
    <w:rsid w:val="006C4EEA"/>
    <w:rsid w:val="006C5121"/>
    <w:rsid w:val="006C51D4"/>
    <w:rsid w:val="006C521D"/>
    <w:rsid w:val="006C54E1"/>
    <w:rsid w:val="006C560F"/>
    <w:rsid w:val="006C5632"/>
    <w:rsid w:val="006C5855"/>
    <w:rsid w:val="006C5ACB"/>
    <w:rsid w:val="006C5C92"/>
    <w:rsid w:val="006C610B"/>
    <w:rsid w:val="006C613E"/>
    <w:rsid w:val="006C6357"/>
    <w:rsid w:val="006C648B"/>
    <w:rsid w:val="006C6653"/>
    <w:rsid w:val="006C6676"/>
    <w:rsid w:val="006C6682"/>
    <w:rsid w:val="006C6B38"/>
    <w:rsid w:val="006C6DBE"/>
    <w:rsid w:val="006C6E1A"/>
    <w:rsid w:val="006C6EAA"/>
    <w:rsid w:val="006C6FBB"/>
    <w:rsid w:val="006C7056"/>
    <w:rsid w:val="006C738A"/>
    <w:rsid w:val="006C74BF"/>
    <w:rsid w:val="006C74FF"/>
    <w:rsid w:val="006C768E"/>
    <w:rsid w:val="006C76A0"/>
    <w:rsid w:val="006C76FB"/>
    <w:rsid w:val="006C770D"/>
    <w:rsid w:val="006C7724"/>
    <w:rsid w:val="006C7733"/>
    <w:rsid w:val="006C7771"/>
    <w:rsid w:val="006C7988"/>
    <w:rsid w:val="006C79DD"/>
    <w:rsid w:val="006C7C17"/>
    <w:rsid w:val="006C7F4B"/>
    <w:rsid w:val="006D00C3"/>
    <w:rsid w:val="006D01B6"/>
    <w:rsid w:val="006D0281"/>
    <w:rsid w:val="006D06A0"/>
    <w:rsid w:val="006D06A3"/>
    <w:rsid w:val="006D0784"/>
    <w:rsid w:val="006D0A13"/>
    <w:rsid w:val="006D0C18"/>
    <w:rsid w:val="006D0D9A"/>
    <w:rsid w:val="006D0F41"/>
    <w:rsid w:val="006D1002"/>
    <w:rsid w:val="006D12A9"/>
    <w:rsid w:val="006D175A"/>
    <w:rsid w:val="006D17B0"/>
    <w:rsid w:val="006D1B05"/>
    <w:rsid w:val="006D1BA9"/>
    <w:rsid w:val="006D1BB5"/>
    <w:rsid w:val="006D1DCB"/>
    <w:rsid w:val="006D1F8C"/>
    <w:rsid w:val="006D214A"/>
    <w:rsid w:val="006D2174"/>
    <w:rsid w:val="006D2200"/>
    <w:rsid w:val="006D241F"/>
    <w:rsid w:val="006D24B4"/>
    <w:rsid w:val="006D2837"/>
    <w:rsid w:val="006D28B9"/>
    <w:rsid w:val="006D28D7"/>
    <w:rsid w:val="006D2911"/>
    <w:rsid w:val="006D2F64"/>
    <w:rsid w:val="006D3029"/>
    <w:rsid w:val="006D323A"/>
    <w:rsid w:val="006D32CC"/>
    <w:rsid w:val="006D3433"/>
    <w:rsid w:val="006D3517"/>
    <w:rsid w:val="006D3550"/>
    <w:rsid w:val="006D35D1"/>
    <w:rsid w:val="006D3663"/>
    <w:rsid w:val="006D38FF"/>
    <w:rsid w:val="006D393A"/>
    <w:rsid w:val="006D3C01"/>
    <w:rsid w:val="006D3CBE"/>
    <w:rsid w:val="006D3E92"/>
    <w:rsid w:val="006D4119"/>
    <w:rsid w:val="006D4153"/>
    <w:rsid w:val="006D4286"/>
    <w:rsid w:val="006D43DE"/>
    <w:rsid w:val="006D43E7"/>
    <w:rsid w:val="006D440D"/>
    <w:rsid w:val="006D451C"/>
    <w:rsid w:val="006D48B9"/>
    <w:rsid w:val="006D48CA"/>
    <w:rsid w:val="006D4DB1"/>
    <w:rsid w:val="006D4E14"/>
    <w:rsid w:val="006D4F64"/>
    <w:rsid w:val="006D5154"/>
    <w:rsid w:val="006D5313"/>
    <w:rsid w:val="006D555C"/>
    <w:rsid w:val="006D560E"/>
    <w:rsid w:val="006D5873"/>
    <w:rsid w:val="006D595C"/>
    <w:rsid w:val="006D5A82"/>
    <w:rsid w:val="006D5C78"/>
    <w:rsid w:val="006D5ED9"/>
    <w:rsid w:val="006D5EDD"/>
    <w:rsid w:val="006D60F1"/>
    <w:rsid w:val="006D6126"/>
    <w:rsid w:val="006D65BB"/>
    <w:rsid w:val="006D6612"/>
    <w:rsid w:val="006D663E"/>
    <w:rsid w:val="006D6666"/>
    <w:rsid w:val="006D69D0"/>
    <w:rsid w:val="006D6B98"/>
    <w:rsid w:val="006D6BC8"/>
    <w:rsid w:val="006D6D74"/>
    <w:rsid w:val="006D6ECB"/>
    <w:rsid w:val="006D6F5E"/>
    <w:rsid w:val="006D707F"/>
    <w:rsid w:val="006D7138"/>
    <w:rsid w:val="006D73A3"/>
    <w:rsid w:val="006D7496"/>
    <w:rsid w:val="006D74BC"/>
    <w:rsid w:val="006D7695"/>
    <w:rsid w:val="006D774E"/>
    <w:rsid w:val="006D77D5"/>
    <w:rsid w:val="006D799A"/>
    <w:rsid w:val="006D7C44"/>
    <w:rsid w:val="006D7C62"/>
    <w:rsid w:val="006D7CD0"/>
    <w:rsid w:val="006D7DBD"/>
    <w:rsid w:val="006D7ED8"/>
    <w:rsid w:val="006E006C"/>
    <w:rsid w:val="006E01DD"/>
    <w:rsid w:val="006E0369"/>
    <w:rsid w:val="006E04EF"/>
    <w:rsid w:val="006E0532"/>
    <w:rsid w:val="006E054E"/>
    <w:rsid w:val="006E08AC"/>
    <w:rsid w:val="006E092E"/>
    <w:rsid w:val="006E0998"/>
    <w:rsid w:val="006E0AF4"/>
    <w:rsid w:val="006E0D97"/>
    <w:rsid w:val="006E0E62"/>
    <w:rsid w:val="006E1195"/>
    <w:rsid w:val="006E11DC"/>
    <w:rsid w:val="006E17A8"/>
    <w:rsid w:val="006E1971"/>
    <w:rsid w:val="006E1E0B"/>
    <w:rsid w:val="006E1F06"/>
    <w:rsid w:val="006E212A"/>
    <w:rsid w:val="006E22DC"/>
    <w:rsid w:val="006E22FA"/>
    <w:rsid w:val="006E26A9"/>
    <w:rsid w:val="006E286F"/>
    <w:rsid w:val="006E29DC"/>
    <w:rsid w:val="006E2A0D"/>
    <w:rsid w:val="006E2A65"/>
    <w:rsid w:val="006E2B46"/>
    <w:rsid w:val="006E2BAF"/>
    <w:rsid w:val="006E2FD3"/>
    <w:rsid w:val="006E30E1"/>
    <w:rsid w:val="006E363B"/>
    <w:rsid w:val="006E3948"/>
    <w:rsid w:val="006E398D"/>
    <w:rsid w:val="006E399E"/>
    <w:rsid w:val="006E3D27"/>
    <w:rsid w:val="006E3E7F"/>
    <w:rsid w:val="006E3FBE"/>
    <w:rsid w:val="006E40A4"/>
    <w:rsid w:val="006E436E"/>
    <w:rsid w:val="006E4831"/>
    <w:rsid w:val="006E4BF0"/>
    <w:rsid w:val="006E4C00"/>
    <w:rsid w:val="006E4E09"/>
    <w:rsid w:val="006E50D6"/>
    <w:rsid w:val="006E51FE"/>
    <w:rsid w:val="006E52A1"/>
    <w:rsid w:val="006E5792"/>
    <w:rsid w:val="006E5793"/>
    <w:rsid w:val="006E57A0"/>
    <w:rsid w:val="006E57F3"/>
    <w:rsid w:val="006E5C67"/>
    <w:rsid w:val="006E5D92"/>
    <w:rsid w:val="006E5E27"/>
    <w:rsid w:val="006E5F53"/>
    <w:rsid w:val="006E625D"/>
    <w:rsid w:val="006E632D"/>
    <w:rsid w:val="006E64DC"/>
    <w:rsid w:val="006E66A8"/>
    <w:rsid w:val="006E673D"/>
    <w:rsid w:val="006E6916"/>
    <w:rsid w:val="006E6B6F"/>
    <w:rsid w:val="006E7195"/>
    <w:rsid w:val="006E720B"/>
    <w:rsid w:val="006E738D"/>
    <w:rsid w:val="006E74BB"/>
    <w:rsid w:val="006E75BE"/>
    <w:rsid w:val="006E76CE"/>
    <w:rsid w:val="006E7786"/>
    <w:rsid w:val="006E78CB"/>
    <w:rsid w:val="006E78D7"/>
    <w:rsid w:val="006E7A34"/>
    <w:rsid w:val="006E7ACA"/>
    <w:rsid w:val="006E7CC6"/>
    <w:rsid w:val="006E7F43"/>
    <w:rsid w:val="006F0170"/>
    <w:rsid w:val="006F0194"/>
    <w:rsid w:val="006F02C0"/>
    <w:rsid w:val="006F05E8"/>
    <w:rsid w:val="006F07E2"/>
    <w:rsid w:val="006F0F62"/>
    <w:rsid w:val="006F11CC"/>
    <w:rsid w:val="006F1200"/>
    <w:rsid w:val="006F12BD"/>
    <w:rsid w:val="006F13C4"/>
    <w:rsid w:val="006F15AC"/>
    <w:rsid w:val="006F1642"/>
    <w:rsid w:val="006F16AD"/>
    <w:rsid w:val="006F1701"/>
    <w:rsid w:val="006F170D"/>
    <w:rsid w:val="006F19ED"/>
    <w:rsid w:val="006F1D10"/>
    <w:rsid w:val="006F1D1F"/>
    <w:rsid w:val="006F200E"/>
    <w:rsid w:val="006F205D"/>
    <w:rsid w:val="006F23BD"/>
    <w:rsid w:val="006F2490"/>
    <w:rsid w:val="006F2791"/>
    <w:rsid w:val="006F2832"/>
    <w:rsid w:val="006F2855"/>
    <w:rsid w:val="006F2985"/>
    <w:rsid w:val="006F2A13"/>
    <w:rsid w:val="006F2F31"/>
    <w:rsid w:val="006F308E"/>
    <w:rsid w:val="006F31EC"/>
    <w:rsid w:val="006F34B9"/>
    <w:rsid w:val="006F3542"/>
    <w:rsid w:val="006F3BC9"/>
    <w:rsid w:val="006F3CA8"/>
    <w:rsid w:val="006F3F88"/>
    <w:rsid w:val="006F4206"/>
    <w:rsid w:val="006F4434"/>
    <w:rsid w:val="006F469F"/>
    <w:rsid w:val="006F46A6"/>
    <w:rsid w:val="006F47E3"/>
    <w:rsid w:val="006F48F9"/>
    <w:rsid w:val="006F4AD6"/>
    <w:rsid w:val="006F4B2C"/>
    <w:rsid w:val="006F521B"/>
    <w:rsid w:val="006F55C4"/>
    <w:rsid w:val="006F5730"/>
    <w:rsid w:val="006F5746"/>
    <w:rsid w:val="006F5856"/>
    <w:rsid w:val="006F5972"/>
    <w:rsid w:val="006F5BC9"/>
    <w:rsid w:val="006F5F5D"/>
    <w:rsid w:val="006F5F6D"/>
    <w:rsid w:val="006F5FFB"/>
    <w:rsid w:val="006F6127"/>
    <w:rsid w:val="006F633A"/>
    <w:rsid w:val="006F6584"/>
    <w:rsid w:val="006F6606"/>
    <w:rsid w:val="006F6994"/>
    <w:rsid w:val="006F6BDE"/>
    <w:rsid w:val="006F6F76"/>
    <w:rsid w:val="006F7094"/>
    <w:rsid w:val="006F72D6"/>
    <w:rsid w:val="006F7468"/>
    <w:rsid w:val="006F750F"/>
    <w:rsid w:val="006F7527"/>
    <w:rsid w:val="006F753C"/>
    <w:rsid w:val="006F76BB"/>
    <w:rsid w:val="006F777D"/>
    <w:rsid w:val="006F780F"/>
    <w:rsid w:val="006F78CD"/>
    <w:rsid w:val="006F78EE"/>
    <w:rsid w:val="006F7927"/>
    <w:rsid w:val="006F794F"/>
    <w:rsid w:val="006F7DB4"/>
    <w:rsid w:val="006F7E3E"/>
    <w:rsid w:val="006F7F69"/>
    <w:rsid w:val="006F7FBB"/>
    <w:rsid w:val="00700737"/>
    <w:rsid w:val="00700794"/>
    <w:rsid w:val="00700952"/>
    <w:rsid w:val="007009D8"/>
    <w:rsid w:val="00700C7E"/>
    <w:rsid w:val="00700CB9"/>
    <w:rsid w:val="00700E02"/>
    <w:rsid w:val="00700F20"/>
    <w:rsid w:val="00700F78"/>
    <w:rsid w:val="00700F7E"/>
    <w:rsid w:val="00701041"/>
    <w:rsid w:val="00701162"/>
    <w:rsid w:val="00701176"/>
    <w:rsid w:val="007013E7"/>
    <w:rsid w:val="00701681"/>
    <w:rsid w:val="0070173E"/>
    <w:rsid w:val="00701843"/>
    <w:rsid w:val="00701A03"/>
    <w:rsid w:val="00701A54"/>
    <w:rsid w:val="00701D06"/>
    <w:rsid w:val="00701D8F"/>
    <w:rsid w:val="00701F9C"/>
    <w:rsid w:val="007026EF"/>
    <w:rsid w:val="007028C0"/>
    <w:rsid w:val="00702934"/>
    <w:rsid w:val="00702A57"/>
    <w:rsid w:val="00702A69"/>
    <w:rsid w:val="00702AA6"/>
    <w:rsid w:val="00702BA6"/>
    <w:rsid w:val="00702D41"/>
    <w:rsid w:val="00702DB2"/>
    <w:rsid w:val="00702E21"/>
    <w:rsid w:val="00702E56"/>
    <w:rsid w:val="00702FB4"/>
    <w:rsid w:val="007030EF"/>
    <w:rsid w:val="00703266"/>
    <w:rsid w:val="007032AC"/>
    <w:rsid w:val="0070331A"/>
    <w:rsid w:val="00703512"/>
    <w:rsid w:val="007036AF"/>
    <w:rsid w:val="00703876"/>
    <w:rsid w:val="00703CC2"/>
    <w:rsid w:val="00703CFE"/>
    <w:rsid w:val="00703EB8"/>
    <w:rsid w:val="00703FAF"/>
    <w:rsid w:val="007040B6"/>
    <w:rsid w:val="00704277"/>
    <w:rsid w:val="007042BE"/>
    <w:rsid w:val="007043C2"/>
    <w:rsid w:val="007043D9"/>
    <w:rsid w:val="00704400"/>
    <w:rsid w:val="00704672"/>
    <w:rsid w:val="0070480A"/>
    <w:rsid w:val="007048CD"/>
    <w:rsid w:val="00704EE0"/>
    <w:rsid w:val="00704EE4"/>
    <w:rsid w:val="007054AE"/>
    <w:rsid w:val="00705ABC"/>
    <w:rsid w:val="00705B3B"/>
    <w:rsid w:val="00705C0D"/>
    <w:rsid w:val="00705CBC"/>
    <w:rsid w:val="00705D06"/>
    <w:rsid w:val="00705D7C"/>
    <w:rsid w:val="00706205"/>
    <w:rsid w:val="00706259"/>
    <w:rsid w:val="0070625B"/>
    <w:rsid w:val="007062DC"/>
    <w:rsid w:val="00706428"/>
    <w:rsid w:val="007067E1"/>
    <w:rsid w:val="007069F5"/>
    <w:rsid w:val="00706B0D"/>
    <w:rsid w:val="00706C53"/>
    <w:rsid w:val="00706C7B"/>
    <w:rsid w:val="00706D73"/>
    <w:rsid w:val="00706D75"/>
    <w:rsid w:val="00706DF5"/>
    <w:rsid w:val="007070F1"/>
    <w:rsid w:val="0070722E"/>
    <w:rsid w:val="00707277"/>
    <w:rsid w:val="0070729E"/>
    <w:rsid w:val="0070734C"/>
    <w:rsid w:val="00707507"/>
    <w:rsid w:val="00707A33"/>
    <w:rsid w:val="00707B36"/>
    <w:rsid w:val="00707BEE"/>
    <w:rsid w:val="007105EA"/>
    <w:rsid w:val="007106D1"/>
    <w:rsid w:val="00710954"/>
    <w:rsid w:val="00710D3B"/>
    <w:rsid w:val="00710D5B"/>
    <w:rsid w:val="00710DCF"/>
    <w:rsid w:val="00710DEF"/>
    <w:rsid w:val="00710E88"/>
    <w:rsid w:val="00711007"/>
    <w:rsid w:val="007111FB"/>
    <w:rsid w:val="007113ED"/>
    <w:rsid w:val="0071140B"/>
    <w:rsid w:val="007114A2"/>
    <w:rsid w:val="00711535"/>
    <w:rsid w:val="00711670"/>
    <w:rsid w:val="00711681"/>
    <w:rsid w:val="0071186B"/>
    <w:rsid w:val="00711910"/>
    <w:rsid w:val="00711A01"/>
    <w:rsid w:val="00711CFF"/>
    <w:rsid w:val="00711EA6"/>
    <w:rsid w:val="00712065"/>
    <w:rsid w:val="007120C0"/>
    <w:rsid w:val="0071245F"/>
    <w:rsid w:val="007129B8"/>
    <w:rsid w:val="00712A86"/>
    <w:rsid w:val="00712CA5"/>
    <w:rsid w:val="00712DEB"/>
    <w:rsid w:val="00712E94"/>
    <w:rsid w:val="0071338B"/>
    <w:rsid w:val="007134B6"/>
    <w:rsid w:val="0071374C"/>
    <w:rsid w:val="007138B8"/>
    <w:rsid w:val="0071394E"/>
    <w:rsid w:val="007139AF"/>
    <w:rsid w:val="00713A23"/>
    <w:rsid w:val="00713AC6"/>
    <w:rsid w:val="00713B05"/>
    <w:rsid w:val="00713BE9"/>
    <w:rsid w:val="00713C49"/>
    <w:rsid w:val="00713C63"/>
    <w:rsid w:val="00713D05"/>
    <w:rsid w:val="00713DA8"/>
    <w:rsid w:val="00713DBA"/>
    <w:rsid w:val="00713F57"/>
    <w:rsid w:val="0071413E"/>
    <w:rsid w:val="00714308"/>
    <w:rsid w:val="00714332"/>
    <w:rsid w:val="007144ED"/>
    <w:rsid w:val="00714732"/>
    <w:rsid w:val="007148BE"/>
    <w:rsid w:val="0071497E"/>
    <w:rsid w:val="007149D2"/>
    <w:rsid w:val="00714AC0"/>
    <w:rsid w:val="00714C2A"/>
    <w:rsid w:val="00714CDD"/>
    <w:rsid w:val="007154C1"/>
    <w:rsid w:val="0071553A"/>
    <w:rsid w:val="00715F73"/>
    <w:rsid w:val="00715FCD"/>
    <w:rsid w:val="00716036"/>
    <w:rsid w:val="007160AC"/>
    <w:rsid w:val="007160E6"/>
    <w:rsid w:val="00716119"/>
    <w:rsid w:val="00716395"/>
    <w:rsid w:val="007164CC"/>
    <w:rsid w:val="007165F6"/>
    <w:rsid w:val="00716606"/>
    <w:rsid w:val="0071683E"/>
    <w:rsid w:val="00716868"/>
    <w:rsid w:val="0071686C"/>
    <w:rsid w:val="00716A53"/>
    <w:rsid w:val="00716B24"/>
    <w:rsid w:val="00716BCF"/>
    <w:rsid w:val="00716D56"/>
    <w:rsid w:val="00716FF5"/>
    <w:rsid w:val="007171BF"/>
    <w:rsid w:val="00717259"/>
    <w:rsid w:val="00717307"/>
    <w:rsid w:val="007173C2"/>
    <w:rsid w:val="0071742E"/>
    <w:rsid w:val="00717611"/>
    <w:rsid w:val="007176F0"/>
    <w:rsid w:val="00717965"/>
    <w:rsid w:val="00717A36"/>
    <w:rsid w:val="00717D8C"/>
    <w:rsid w:val="00717EC9"/>
    <w:rsid w:val="00720002"/>
    <w:rsid w:val="007200E7"/>
    <w:rsid w:val="00720105"/>
    <w:rsid w:val="00720168"/>
    <w:rsid w:val="0072028C"/>
    <w:rsid w:val="00720293"/>
    <w:rsid w:val="00720409"/>
    <w:rsid w:val="007207BD"/>
    <w:rsid w:val="007209E8"/>
    <w:rsid w:val="00720D54"/>
    <w:rsid w:val="00721072"/>
    <w:rsid w:val="00721293"/>
    <w:rsid w:val="00721572"/>
    <w:rsid w:val="00721801"/>
    <w:rsid w:val="00721B2B"/>
    <w:rsid w:val="00721B35"/>
    <w:rsid w:val="00721D41"/>
    <w:rsid w:val="00721DF0"/>
    <w:rsid w:val="00721E1D"/>
    <w:rsid w:val="00722152"/>
    <w:rsid w:val="007221E5"/>
    <w:rsid w:val="007222C3"/>
    <w:rsid w:val="00722454"/>
    <w:rsid w:val="00722C82"/>
    <w:rsid w:val="00722DA3"/>
    <w:rsid w:val="00722E1A"/>
    <w:rsid w:val="00722F02"/>
    <w:rsid w:val="00722FC6"/>
    <w:rsid w:val="00722FDB"/>
    <w:rsid w:val="007231C2"/>
    <w:rsid w:val="007232D6"/>
    <w:rsid w:val="007236D0"/>
    <w:rsid w:val="007236F4"/>
    <w:rsid w:val="0072389D"/>
    <w:rsid w:val="00723952"/>
    <w:rsid w:val="00723D82"/>
    <w:rsid w:val="00723E64"/>
    <w:rsid w:val="00723F70"/>
    <w:rsid w:val="00723F9A"/>
    <w:rsid w:val="007240AF"/>
    <w:rsid w:val="007240F9"/>
    <w:rsid w:val="0072421B"/>
    <w:rsid w:val="00724230"/>
    <w:rsid w:val="0072435F"/>
    <w:rsid w:val="0072439D"/>
    <w:rsid w:val="00724481"/>
    <w:rsid w:val="007249E3"/>
    <w:rsid w:val="00724D24"/>
    <w:rsid w:val="00724EB5"/>
    <w:rsid w:val="00725024"/>
    <w:rsid w:val="00725133"/>
    <w:rsid w:val="007251C0"/>
    <w:rsid w:val="007252E1"/>
    <w:rsid w:val="00725390"/>
    <w:rsid w:val="00725457"/>
    <w:rsid w:val="00725B47"/>
    <w:rsid w:val="00725E90"/>
    <w:rsid w:val="007260C1"/>
    <w:rsid w:val="0072624D"/>
    <w:rsid w:val="007263A3"/>
    <w:rsid w:val="00726A67"/>
    <w:rsid w:val="00726B0D"/>
    <w:rsid w:val="007270DF"/>
    <w:rsid w:val="007270EF"/>
    <w:rsid w:val="00727107"/>
    <w:rsid w:val="00727116"/>
    <w:rsid w:val="0072720D"/>
    <w:rsid w:val="007273E3"/>
    <w:rsid w:val="00727643"/>
    <w:rsid w:val="00727792"/>
    <w:rsid w:val="007278AE"/>
    <w:rsid w:val="007278BA"/>
    <w:rsid w:val="007278C4"/>
    <w:rsid w:val="007278F5"/>
    <w:rsid w:val="00727BFC"/>
    <w:rsid w:val="00727C29"/>
    <w:rsid w:val="00727D30"/>
    <w:rsid w:val="00727EDC"/>
    <w:rsid w:val="00727FC1"/>
    <w:rsid w:val="00727FDA"/>
    <w:rsid w:val="00727FF4"/>
    <w:rsid w:val="007303A7"/>
    <w:rsid w:val="007304C8"/>
    <w:rsid w:val="00730607"/>
    <w:rsid w:val="00730802"/>
    <w:rsid w:val="00730854"/>
    <w:rsid w:val="007309B3"/>
    <w:rsid w:val="00730DB0"/>
    <w:rsid w:val="00730E25"/>
    <w:rsid w:val="00730FCA"/>
    <w:rsid w:val="00730FD2"/>
    <w:rsid w:val="007311FF"/>
    <w:rsid w:val="007313FB"/>
    <w:rsid w:val="00731409"/>
    <w:rsid w:val="007315BE"/>
    <w:rsid w:val="007319F4"/>
    <w:rsid w:val="00731E0F"/>
    <w:rsid w:val="00731F09"/>
    <w:rsid w:val="00731F2B"/>
    <w:rsid w:val="00731FA1"/>
    <w:rsid w:val="0073254E"/>
    <w:rsid w:val="007327E0"/>
    <w:rsid w:val="00732A21"/>
    <w:rsid w:val="00732B70"/>
    <w:rsid w:val="00732BFF"/>
    <w:rsid w:val="00732CE7"/>
    <w:rsid w:val="00732D17"/>
    <w:rsid w:val="00732DFA"/>
    <w:rsid w:val="00732EA8"/>
    <w:rsid w:val="00732FFB"/>
    <w:rsid w:val="007331F5"/>
    <w:rsid w:val="00733419"/>
    <w:rsid w:val="00733437"/>
    <w:rsid w:val="00733540"/>
    <w:rsid w:val="00733889"/>
    <w:rsid w:val="00733A13"/>
    <w:rsid w:val="00733C9B"/>
    <w:rsid w:val="00733CAE"/>
    <w:rsid w:val="00733F85"/>
    <w:rsid w:val="0073439A"/>
    <w:rsid w:val="00734B08"/>
    <w:rsid w:val="00734BC6"/>
    <w:rsid w:val="00734C1D"/>
    <w:rsid w:val="00734DB9"/>
    <w:rsid w:val="00734EF7"/>
    <w:rsid w:val="00734F75"/>
    <w:rsid w:val="00734F99"/>
    <w:rsid w:val="007351BF"/>
    <w:rsid w:val="00735504"/>
    <w:rsid w:val="007355CC"/>
    <w:rsid w:val="007357FC"/>
    <w:rsid w:val="0073588C"/>
    <w:rsid w:val="007358E1"/>
    <w:rsid w:val="00735930"/>
    <w:rsid w:val="0073598B"/>
    <w:rsid w:val="00735A3F"/>
    <w:rsid w:val="00735D34"/>
    <w:rsid w:val="00735DD0"/>
    <w:rsid w:val="0073606C"/>
    <w:rsid w:val="007361A7"/>
    <w:rsid w:val="007361DB"/>
    <w:rsid w:val="00736279"/>
    <w:rsid w:val="00736289"/>
    <w:rsid w:val="00736610"/>
    <w:rsid w:val="00736CBA"/>
    <w:rsid w:val="00736DAC"/>
    <w:rsid w:val="00736DAE"/>
    <w:rsid w:val="0073730D"/>
    <w:rsid w:val="0073731C"/>
    <w:rsid w:val="00737338"/>
    <w:rsid w:val="007373CA"/>
    <w:rsid w:val="007373E7"/>
    <w:rsid w:val="00737725"/>
    <w:rsid w:val="00737AF8"/>
    <w:rsid w:val="00737B5A"/>
    <w:rsid w:val="00740010"/>
    <w:rsid w:val="00740042"/>
    <w:rsid w:val="0074017A"/>
    <w:rsid w:val="007404B9"/>
    <w:rsid w:val="00740684"/>
    <w:rsid w:val="007406AD"/>
    <w:rsid w:val="00740A34"/>
    <w:rsid w:val="00740A52"/>
    <w:rsid w:val="00740AAF"/>
    <w:rsid w:val="00740B74"/>
    <w:rsid w:val="00740C08"/>
    <w:rsid w:val="0074114B"/>
    <w:rsid w:val="007412FE"/>
    <w:rsid w:val="007414CD"/>
    <w:rsid w:val="007415C8"/>
    <w:rsid w:val="00741667"/>
    <w:rsid w:val="00741762"/>
    <w:rsid w:val="00741827"/>
    <w:rsid w:val="00741903"/>
    <w:rsid w:val="00741A73"/>
    <w:rsid w:val="00741B35"/>
    <w:rsid w:val="00741B64"/>
    <w:rsid w:val="00741C17"/>
    <w:rsid w:val="00741CCF"/>
    <w:rsid w:val="00741D6F"/>
    <w:rsid w:val="00741E2D"/>
    <w:rsid w:val="00742079"/>
    <w:rsid w:val="0074219C"/>
    <w:rsid w:val="007422C6"/>
    <w:rsid w:val="00742645"/>
    <w:rsid w:val="007427F2"/>
    <w:rsid w:val="00742C59"/>
    <w:rsid w:val="00743105"/>
    <w:rsid w:val="0074316C"/>
    <w:rsid w:val="0074333F"/>
    <w:rsid w:val="007435CA"/>
    <w:rsid w:val="00743BD3"/>
    <w:rsid w:val="00743CBE"/>
    <w:rsid w:val="0074414B"/>
    <w:rsid w:val="00744343"/>
    <w:rsid w:val="007443D4"/>
    <w:rsid w:val="0074444A"/>
    <w:rsid w:val="00744669"/>
    <w:rsid w:val="0074492B"/>
    <w:rsid w:val="007449CE"/>
    <w:rsid w:val="00744C0A"/>
    <w:rsid w:val="00744CDD"/>
    <w:rsid w:val="00744E2D"/>
    <w:rsid w:val="00744EB8"/>
    <w:rsid w:val="00744F03"/>
    <w:rsid w:val="007450FC"/>
    <w:rsid w:val="007451C1"/>
    <w:rsid w:val="0074538C"/>
    <w:rsid w:val="007454F8"/>
    <w:rsid w:val="007456C4"/>
    <w:rsid w:val="007457AB"/>
    <w:rsid w:val="00745813"/>
    <w:rsid w:val="0074583A"/>
    <w:rsid w:val="00745A28"/>
    <w:rsid w:val="00745A70"/>
    <w:rsid w:val="00745B8D"/>
    <w:rsid w:val="00745D40"/>
    <w:rsid w:val="00745D5F"/>
    <w:rsid w:val="00746A1E"/>
    <w:rsid w:val="00746A89"/>
    <w:rsid w:val="00746AA2"/>
    <w:rsid w:val="00746AB7"/>
    <w:rsid w:val="00746B4A"/>
    <w:rsid w:val="00746B70"/>
    <w:rsid w:val="00747324"/>
    <w:rsid w:val="00747542"/>
    <w:rsid w:val="00747616"/>
    <w:rsid w:val="00747633"/>
    <w:rsid w:val="00747638"/>
    <w:rsid w:val="007476D9"/>
    <w:rsid w:val="00747AEB"/>
    <w:rsid w:val="00747B32"/>
    <w:rsid w:val="00747B45"/>
    <w:rsid w:val="00747E0F"/>
    <w:rsid w:val="00750593"/>
    <w:rsid w:val="0075068A"/>
    <w:rsid w:val="007506F6"/>
    <w:rsid w:val="00750ACD"/>
    <w:rsid w:val="00750B4D"/>
    <w:rsid w:val="00750BFD"/>
    <w:rsid w:val="00750CF7"/>
    <w:rsid w:val="0075117C"/>
    <w:rsid w:val="0075131C"/>
    <w:rsid w:val="00751453"/>
    <w:rsid w:val="0075146E"/>
    <w:rsid w:val="00751525"/>
    <w:rsid w:val="0075161E"/>
    <w:rsid w:val="00751713"/>
    <w:rsid w:val="007519CD"/>
    <w:rsid w:val="00751AF3"/>
    <w:rsid w:val="00751B1D"/>
    <w:rsid w:val="00751B20"/>
    <w:rsid w:val="00751BE1"/>
    <w:rsid w:val="00751C63"/>
    <w:rsid w:val="00751CF6"/>
    <w:rsid w:val="00751DC8"/>
    <w:rsid w:val="007521F6"/>
    <w:rsid w:val="007522EE"/>
    <w:rsid w:val="00752449"/>
    <w:rsid w:val="00752469"/>
    <w:rsid w:val="0075258E"/>
    <w:rsid w:val="00752987"/>
    <w:rsid w:val="00752990"/>
    <w:rsid w:val="007529AD"/>
    <w:rsid w:val="00752CFA"/>
    <w:rsid w:val="00753784"/>
    <w:rsid w:val="00753CD0"/>
    <w:rsid w:val="00753D38"/>
    <w:rsid w:val="00753D92"/>
    <w:rsid w:val="00753E9F"/>
    <w:rsid w:val="00753EE4"/>
    <w:rsid w:val="0075402B"/>
    <w:rsid w:val="00754321"/>
    <w:rsid w:val="00754393"/>
    <w:rsid w:val="007547F0"/>
    <w:rsid w:val="00754A20"/>
    <w:rsid w:val="00754A26"/>
    <w:rsid w:val="00754D4F"/>
    <w:rsid w:val="00754F94"/>
    <w:rsid w:val="00755240"/>
    <w:rsid w:val="00755280"/>
    <w:rsid w:val="007552C9"/>
    <w:rsid w:val="007552D2"/>
    <w:rsid w:val="007553C4"/>
    <w:rsid w:val="00755AE7"/>
    <w:rsid w:val="00755B7E"/>
    <w:rsid w:val="00755BF4"/>
    <w:rsid w:val="00755C53"/>
    <w:rsid w:val="00755DC3"/>
    <w:rsid w:val="00755E3C"/>
    <w:rsid w:val="00755E78"/>
    <w:rsid w:val="0075600E"/>
    <w:rsid w:val="007561B1"/>
    <w:rsid w:val="007563E5"/>
    <w:rsid w:val="0075664F"/>
    <w:rsid w:val="007567DB"/>
    <w:rsid w:val="007567FF"/>
    <w:rsid w:val="007568A4"/>
    <w:rsid w:val="00756A31"/>
    <w:rsid w:val="00756E36"/>
    <w:rsid w:val="0075704D"/>
    <w:rsid w:val="0075730C"/>
    <w:rsid w:val="007575F1"/>
    <w:rsid w:val="00757623"/>
    <w:rsid w:val="00757797"/>
    <w:rsid w:val="007578B6"/>
    <w:rsid w:val="0075796A"/>
    <w:rsid w:val="00757A0C"/>
    <w:rsid w:val="00757B86"/>
    <w:rsid w:val="00757C40"/>
    <w:rsid w:val="007600D1"/>
    <w:rsid w:val="007601D8"/>
    <w:rsid w:val="0076024C"/>
    <w:rsid w:val="00760406"/>
    <w:rsid w:val="00760425"/>
    <w:rsid w:val="00760426"/>
    <w:rsid w:val="0076055E"/>
    <w:rsid w:val="0076073D"/>
    <w:rsid w:val="00760A8B"/>
    <w:rsid w:val="00760AFA"/>
    <w:rsid w:val="00760D23"/>
    <w:rsid w:val="00760E4D"/>
    <w:rsid w:val="00760E93"/>
    <w:rsid w:val="00760E9B"/>
    <w:rsid w:val="00761053"/>
    <w:rsid w:val="007610B7"/>
    <w:rsid w:val="007612CC"/>
    <w:rsid w:val="0076131C"/>
    <w:rsid w:val="00761350"/>
    <w:rsid w:val="00761461"/>
    <w:rsid w:val="00761655"/>
    <w:rsid w:val="00761847"/>
    <w:rsid w:val="00761902"/>
    <w:rsid w:val="007619BD"/>
    <w:rsid w:val="00761AEE"/>
    <w:rsid w:val="00761B97"/>
    <w:rsid w:val="00761CE5"/>
    <w:rsid w:val="00762094"/>
    <w:rsid w:val="00762343"/>
    <w:rsid w:val="0076239D"/>
    <w:rsid w:val="007623DA"/>
    <w:rsid w:val="007626FB"/>
    <w:rsid w:val="007628E5"/>
    <w:rsid w:val="00762934"/>
    <w:rsid w:val="00762984"/>
    <w:rsid w:val="00762CAC"/>
    <w:rsid w:val="00762D67"/>
    <w:rsid w:val="00762D96"/>
    <w:rsid w:val="00762E98"/>
    <w:rsid w:val="007631C1"/>
    <w:rsid w:val="007632F7"/>
    <w:rsid w:val="007635F9"/>
    <w:rsid w:val="00763771"/>
    <w:rsid w:val="00763AEE"/>
    <w:rsid w:val="00763B0A"/>
    <w:rsid w:val="00763C73"/>
    <w:rsid w:val="00763F12"/>
    <w:rsid w:val="00764109"/>
    <w:rsid w:val="00764438"/>
    <w:rsid w:val="007644CA"/>
    <w:rsid w:val="007646EF"/>
    <w:rsid w:val="00764915"/>
    <w:rsid w:val="00764DA3"/>
    <w:rsid w:val="00764DB4"/>
    <w:rsid w:val="007650B3"/>
    <w:rsid w:val="00765206"/>
    <w:rsid w:val="00765563"/>
    <w:rsid w:val="00765694"/>
    <w:rsid w:val="007656DD"/>
    <w:rsid w:val="00765A8F"/>
    <w:rsid w:val="00765E4B"/>
    <w:rsid w:val="00765EF9"/>
    <w:rsid w:val="00766060"/>
    <w:rsid w:val="007660B0"/>
    <w:rsid w:val="00766423"/>
    <w:rsid w:val="00766646"/>
    <w:rsid w:val="00766712"/>
    <w:rsid w:val="0076682C"/>
    <w:rsid w:val="00766D46"/>
    <w:rsid w:val="00766D61"/>
    <w:rsid w:val="0076750E"/>
    <w:rsid w:val="007675E0"/>
    <w:rsid w:val="00767ACF"/>
    <w:rsid w:val="00767AE9"/>
    <w:rsid w:val="00767C9B"/>
    <w:rsid w:val="00767DD2"/>
    <w:rsid w:val="007701DC"/>
    <w:rsid w:val="00770395"/>
    <w:rsid w:val="007704DA"/>
    <w:rsid w:val="0077052E"/>
    <w:rsid w:val="007709B7"/>
    <w:rsid w:val="00770A78"/>
    <w:rsid w:val="00770BAD"/>
    <w:rsid w:val="00770DC2"/>
    <w:rsid w:val="0077100E"/>
    <w:rsid w:val="007715F1"/>
    <w:rsid w:val="007717CE"/>
    <w:rsid w:val="0077197A"/>
    <w:rsid w:val="00771C14"/>
    <w:rsid w:val="00771C83"/>
    <w:rsid w:val="00771F16"/>
    <w:rsid w:val="0077226D"/>
    <w:rsid w:val="007725A4"/>
    <w:rsid w:val="0077265B"/>
    <w:rsid w:val="00772746"/>
    <w:rsid w:val="007728CB"/>
    <w:rsid w:val="007728D6"/>
    <w:rsid w:val="00772B9A"/>
    <w:rsid w:val="00772D97"/>
    <w:rsid w:val="00773015"/>
    <w:rsid w:val="0077332E"/>
    <w:rsid w:val="0077348A"/>
    <w:rsid w:val="00773554"/>
    <w:rsid w:val="00773577"/>
    <w:rsid w:val="007735C2"/>
    <w:rsid w:val="0077372A"/>
    <w:rsid w:val="007737D1"/>
    <w:rsid w:val="00773A1A"/>
    <w:rsid w:val="00773E60"/>
    <w:rsid w:val="00773E9D"/>
    <w:rsid w:val="00773ECD"/>
    <w:rsid w:val="00774220"/>
    <w:rsid w:val="00774547"/>
    <w:rsid w:val="007746E9"/>
    <w:rsid w:val="007748F9"/>
    <w:rsid w:val="00774BBE"/>
    <w:rsid w:val="00774BF4"/>
    <w:rsid w:val="0077515F"/>
    <w:rsid w:val="007751A6"/>
    <w:rsid w:val="00775598"/>
    <w:rsid w:val="007757DC"/>
    <w:rsid w:val="00775A6F"/>
    <w:rsid w:val="00775BD2"/>
    <w:rsid w:val="00775C1C"/>
    <w:rsid w:val="00776112"/>
    <w:rsid w:val="00776522"/>
    <w:rsid w:val="0077652B"/>
    <w:rsid w:val="007765C2"/>
    <w:rsid w:val="007766EF"/>
    <w:rsid w:val="0077672A"/>
    <w:rsid w:val="00776942"/>
    <w:rsid w:val="00776A90"/>
    <w:rsid w:val="00776B19"/>
    <w:rsid w:val="00776B57"/>
    <w:rsid w:val="00776D87"/>
    <w:rsid w:val="00776F1B"/>
    <w:rsid w:val="00777014"/>
    <w:rsid w:val="007770E6"/>
    <w:rsid w:val="00777431"/>
    <w:rsid w:val="007775A4"/>
    <w:rsid w:val="007777FB"/>
    <w:rsid w:val="007778DA"/>
    <w:rsid w:val="00777B4C"/>
    <w:rsid w:val="00777EC4"/>
    <w:rsid w:val="00777EC7"/>
    <w:rsid w:val="00777EE0"/>
    <w:rsid w:val="00780040"/>
    <w:rsid w:val="00780149"/>
    <w:rsid w:val="00780237"/>
    <w:rsid w:val="00780329"/>
    <w:rsid w:val="007804A1"/>
    <w:rsid w:val="007804EA"/>
    <w:rsid w:val="00780541"/>
    <w:rsid w:val="00780559"/>
    <w:rsid w:val="0078059C"/>
    <w:rsid w:val="00780847"/>
    <w:rsid w:val="00780B09"/>
    <w:rsid w:val="00780C0F"/>
    <w:rsid w:val="00780D52"/>
    <w:rsid w:val="00781360"/>
    <w:rsid w:val="00781399"/>
    <w:rsid w:val="007813CA"/>
    <w:rsid w:val="00781460"/>
    <w:rsid w:val="007814FA"/>
    <w:rsid w:val="0078155B"/>
    <w:rsid w:val="00781852"/>
    <w:rsid w:val="00781957"/>
    <w:rsid w:val="00781996"/>
    <w:rsid w:val="00781B83"/>
    <w:rsid w:val="00781BB9"/>
    <w:rsid w:val="00781F1A"/>
    <w:rsid w:val="00781FFE"/>
    <w:rsid w:val="0078223A"/>
    <w:rsid w:val="0078232C"/>
    <w:rsid w:val="007824D8"/>
    <w:rsid w:val="00782600"/>
    <w:rsid w:val="0078264A"/>
    <w:rsid w:val="0078269E"/>
    <w:rsid w:val="007826A5"/>
    <w:rsid w:val="007826B2"/>
    <w:rsid w:val="0078272B"/>
    <w:rsid w:val="00782851"/>
    <w:rsid w:val="0078286C"/>
    <w:rsid w:val="00782A0E"/>
    <w:rsid w:val="00782A33"/>
    <w:rsid w:val="00782A85"/>
    <w:rsid w:val="00782B87"/>
    <w:rsid w:val="00782B8C"/>
    <w:rsid w:val="00782BC3"/>
    <w:rsid w:val="00782DA9"/>
    <w:rsid w:val="00782FA4"/>
    <w:rsid w:val="00782FBE"/>
    <w:rsid w:val="007830B3"/>
    <w:rsid w:val="007830F6"/>
    <w:rsid w:val="00783254"/>
    <w:rsid w:val="007835F4"/>
    <w:rsid w:val="00783746"/>
    <w:rsid w:val="007838B0"/>
    <w:rsid w:val="00783927"/>
    <w:rsid w:val="00784176"/>
    <w:rsid w:val="00784235"/>
    <w:rsid w:val="007842F5"/>
    <w:rsid w:val="007842FB"/>
    <w:rsid w:val="007844EB"/>
    <w:rsid w:val="00784564"/>
    <w:rsid w:val="0078467C"/>
    <w:rsid w:val="00784D37"/>
    <w:rsid w:val="00784DB8"/>
    <w:rsid w:val="0078513B"/>
    <w:rsid w:val="007851EB"/>
    <w:rsid w:val="007852E3"/>
    <w:rsid w:val="00785496"/>
    <w:rsid w:val="007855C5"/>
    <w:rsid w:val="007859F7"/>
    <w:rsid w:val="00785BFB"/>
    <w:rsid w:val="00785C09"/>
    <w:rsid w:val="00785CED"/>
    <w:rsid w:val="00785E08"/>
    <w:rsid w:val="00785F5B"/>
    <w:rsid w:val="00785F77"/>
    <w:rsid w:val="00785FED"/>
    <w:rsid w:val="00786594"/>
    <w:rsid w:val="00786681"/>
    <w:rsid w:val="00786801"/>
    <w:rsid w:val="00786AF9"/>
    <w:rsid w:val="00787153"/>
    <w:rsid w:val="007874C8"/>
    <w:rsid w:val="007874CB"/>
    <w:rsid w:val="007874DC"/>
    <w:rsid w:val="00787599"/>
    <w:rsid w:val="007877CC"/>
    <w:rsid w:val="00787A22"/>
    <w:rsid w:val="00787AC0"/>
    <w:rsid w:val="00787C05"/>
    <w:rsid w:val="00787D03"/>
    <w:rsid w:val="007900A0"/>
    <w:rsid w:val="007901CD"/>
    <w:rsid w:val="00790212"/>
    <w:rsid w:val="00790271"/>
    <w:rsid w:val="0079036B"/>
    <w:rsid w:val="0079049B"/>
    <w:rsid w:val="00790584"/>
    <w:rsid w:val="00790741"/>
    <w:rsid w:val="00790A2E"/>
    <w:rsid w:val="00790C2C"/>
    <w:rsid w:val="00790D31"/>
    <w:rsid w:val="00790D53"/>
    <w:rsid w:val="00790D68"/>
    <w:rsid w:val="0079102D"/>
    <w:rsid w:val="00791152"/>
    <w:rsid w:val="00791218"/>
    <w:rsid w:val="0079142F"/>
    <w:rsid w:val="00791479"/>
    <w:rsid w:val="007916E4"/>
    <w:rsid w:val="00791740"/>
    <w:rsid w:val="007917C2"/>
    <w:rsid w:val="007917E4"/>
    <w:rsid w:val="00791867"/>
    <w:rsid w:val="00791A8C"/>
    <w:rsid w:val="00791B4A"/>
    <w:rsid w:val="00791D57"/>
    <w:rsid w:val="00791DD7"/>
    <w:rsid w:val="00791DDD"/>
    <w:rsid w:val="00791E9C"/>
    <w:rsid w:val="00791FFC"/>
    <w:rsid w:val="00792159"/>
    <w:rsid w:val="0079232A"/>
    <w:rsid w:val="007923E4"/>
    <w:rsid w:val="00792454"/>
    <w:rsid w:val="007928AC"/>
    <w:rsid w:val="00792991"/>
    <w:rsid w:val="00792B29"/>
    <w:rsid w:val="00792EEB"/>
    <w:rsid w:val="00792FD2"/>
    <w:rsid w:val="00793275"/>
    <w:rsid w:val="00793492"/>
    <w:rsid w:val="00793598"/>
    <w:rsid w:val="007936C9"/>
    <w:rsid w:val="0079375F"/>
    <w:rsid w:val="00793990"/>
    <w:rsid w:val="007939B0"/>
    <w:rsid w:val="00793AF4"/>
    <w:rsid w:val="00793C19"/>
    <w:rsid w:val="00793D0D"/>
    <w:rsid w:val="00793E58"/>
    <w:rsid w:val="00793FDC"/>
    <w:rsid w:val="007940DA"/>
    <w:rsid w:val="0079421D"/>
    <w:rsid w:val="00794418"/>
    <w:rsid w:val="00794497"/>
    <w:rsid w:val="00794564"/>
    <w:rsid w:val="0079473B"/>
    <w:rsid w:val="00794893"/>
    <w:rsid w:val="00794C78"/>
    <w:rsid w:val="00794CDC"/>
    <w:rsid w:val="00794EAF"/>
    <w:rsid w:val="00794EFD"/>
    <w:rsid w:val="00795081"/>
    <w:rsid w:val="007950CF"/>
    <w:rsid w:val="007950F4"/>
    <w:rsid w:val="00795108"/>
    <w:rsid w:val="0079513C"/>
    <w:rsid w:val="0079527D"/>
    <w:rsid w:val="007952DA"/>
    <w:rsid w:val="00795536"/>
    <w:rsid w:val="0079571E"/>
    <w:rsid w:val="0079595E"/>
    <w:rsid w:val="00795A58"/>
    <w:rsid w:val="00795BB4"/>
    <w:rsid w:val="00795C53"/>
    <w:rsid w:val="00795D15"/>
    <w:rsid w:val="00795D2D"/>
    <w:rsid w:val="00795E97"/>
    <w:rsid w:val="00795F7E"/>
    <w:rsid w:val="0079616F"/>
    <w:rsid w:val="00796185"/>
    <w:rsid w:val="00796398"/>
    <w:rsid w:val="00796583"/>
    <w:rsid w:val="007965EF"/>
    <w:rsid w:val="0079669E"/>
    <w:rsid w:val="007966A4"/>
    <w:rsid w:val="00796796"/>
    <w:rsid w:val="007967DE"/>
    <w:rsid w:val="00796A43"/>
    <w:rsid w:val="00796CE3"/>
    <w:rsid w:val="00796E8B"/>
    <w:rsid w:val="00796FFA"/>
    <w:rsid w:val="0079701D"/>
    <w:rsid w:val="00797390"/>
    <w:rsid w:val="00797458"/>
    <w:rsid w:val="007977D6"/>
    <w:rsid w:val="007978E9"/>
    <w:rsid w:val="007979E8"/>
    <w:rsid w:val="00797A0F"/>
    <w:rsid w:val="00797A76"/>
    <w:rsid w:val="00797C80"/>
    <w:rsid w:val="00797F46"/>
    <w:rsid w:val="007A030A"/>
    <w:rsid w:val="007A0474"/>
    <w:rsid w:val="007A0513"/>
    <w:rsid w:val="007A05BF"/>
    <w:rsid w:val="007A08A8"/>
    <w:rsid w:val="007A0935"/>
    <w:rsid w:val="007A0AF2"/>
    <w:rsid w:val="007A0E1C"/>
    <w:rsid w:val="007A0FD9"/>
    <w:rsid w:val="007A12E3"/>
    <w:rsid w:val="007A14FE"/>
    <w:rsid w:val="007A1624"/>
    <w:rsid w:val="007A167C"/>
    <w:rsid w:val="007A1680"/>
    <w:rsid w:val="007A168D"/>
    <w:rsid w:val="007A173E"/>
    <w:rsid w:val="007A1F21"/>
    <w:rsid w:val="007A20DE"/>
    <w:rsid w:val="007A279D"/>
    <w:rsid w:val="007A2B30"/>
    <w:rsid w:val="007A2BBC"/>
    <w:rsid w:val="007A2C0F"/>
    <w:rsid w:val="007A2DB4"/>
    <w:rsid w:val="007A2EA7"/>
    <w:rsid w:val="007A3005"/>
    <w:rsid w:val="007A30DF"/>
    <w:rsid w:val="007A3207"/>
    <w:rsid w:val="007A375A"/>
    <w:rsid w:val="007A376D"/>
    <w:rsid w:val="007A389D"/>
    <w:rsid w:val="007A38CF"/>
    <w:rsid w:val="007A3AB7"/>
    <w:rsid w:val="007A3B4B"/>
    <w:rsid w:val="007A3FCB"/>
    <w:rsid w:val="007A411B"/>
    <w:rsid w:val="007A424A"/>
    <w:rsid w:val="007A4692"/>
    <w:rsid w:val="007A4783"/>
    <w:rsid w:val="007A479A"/>
    <w:rsid w:val="007A47C0"/>
    <w:rsid w:val="007A490E"/>
    <w:rsid w:val="007A4B1E"/>
    <w:rsid w:val="007A4CF0"/>
    <w:rsid w:val="007A4D60"/>
    <w:rsid w:val="007A4D62"/>
    <w:rsid w:val="007A4D77"/>
    <w:rsid w:val="007A4EAC"/>
    <w:rsid w:val="007A4F72"/>
    <w:rsid w:val="007A5356"/>
    <w:rsid w:val="007A541D"/>
    <w:rsid w:val="007A5476"/>
    <w:rsid w:val="007A55E6"/>
    <w:rsid w:val="007A5828"/>
    <w:rsid w:val="007A58DF"/>
    <w:rsid w:val="007A5E65"/>
    <w:rsid w:val="007A6073"/>
    <w:rsid w:val="007A61E8"/>
    <w:rsid w:val="007A6236"/>
    <w:rsid w:val="007A6485"/>
    <w:rsid w:val="007A692C"/>
    <w:rsid w:val="007A6A00"/>
    <w:rsid w:val="007A6BFF"/>
    <w:rsid w:val="007A6F18"/>
    <w:rsid w:val="007A6FC7"/>
    <w:rsid w:val="007A709D"/>
    <w:rsid w:val="007A7299"/>
    <w:rsid w:val="007A738A"/>
    <w:rsid w:val="007A770B"/>
    <w:rsid w:val="007A775B"/>
    <w:rsid w:val="007A798F"/>
    <w:rsid w:val="007A79C3"/>
    <w:rsid w:val="007A7AE0"/>
    <w:rsid w:val="007A7B72"/>
    <w:rsid w:val="007A7C66"/>
    <w:rsid w:val="007A7CB6"/>
    <w:rsid w:val="007A7CF7"/>
    <w:rsid w:val="007A7DC1"/>
    <w:rsid w:val="007A7EFA"/>
    <w:rsid w:val="007B004C"/>
    <w:rsid w:val="007B00DC"/>
    <w:rsid w:val="007B01E0"/>
    <w:rsid w:val="007B0346"/>
    <w:rsid w:val="007B03F0"/>
    <w:rsid w:val="007B04F5"/>
    <w:rsid w:val="007B0833"/>
    <w:rsid w:val="007B09DB"/>
    <w:rsid w:val="007B09E7"/>
    <w:rsid w:val="007B0A16"/>
    <w:rsid w:val="007B0A68"/>
    <w:rsid w:val="007B0D08"/>
    <w:rsid w:val="007B0E69"/>
    <w:rsid w:val="007B11B8"/>
    <w:rsid w:val="007B12D1"/>
    <w:rsid w:val="007B132D"/>
    <w:rsid w:val="007B143D"/>
    <w:rsid w:val="007B147F"/>
    <w:rsid w:val="007B17CC"/>
    <w:rsid w:val="007B199F"/>
    <w:rsid w:val="007B1A82"/>
    <w:rsid w:val="007B1E77"/>
    <w:rsid w:val="007B1F35"/>
    <w:rsid w:val="007B1FD8"/>
    <w:rsid w:val="007B2315"/>
    <w:rsid w:val="007B2376"/>
    <w:rsid w:val="007B23F9"/>
    <w:rsid w:val="007B248E"/>
    <w:rsid w:val="007B25BA"/>
    <w:rsid w:val="007B2840"/>
    <w:rsid w:val="007B28F5"/>
    <w:rsid w:val="007B2AE4"/>
    <w:rsid w:val="007B2D0D"/>
    <w:rsid w:val="007B2FA6"/>
    <w:rsid w:val="007B3116"/>
    <w:rsid w:val="007B349B"/>
    <w:rsid w:val="007B3F33"/>
    <w:rsid w:val="007B3FA5"/>
    <w:rsid w:val="007B42F7"/>
    <w:rsid w:val="007B43F3"/>
    <w:rsid w:val="007B4441"/>
    <w:rsid w:val="007B451E"/>
    <w:rsid w:val="007B4551"/>
    <w:rsid w:val="007B458B"/>
    <w:rsid w:val="007B45DB"/>
    <w:rsid w:val="007B484E"/>
    <w:rsid w:val="007B48EF"/>
    <w:rsid w:val="007B4927"/>
    <w:rsid w:val="007B4BA7"/>
    <w:rsid w:val="007B51A0"/>
    <w:rsid w:val="007B51C5"/>
    <w:rsid w:val="007B5240"/>
    <w:rsid w:val="007B54E3"/>
    <w:rsid w:val="007B566C"/>
    <w:rsid w:val="007B56D6"/>
    <w:rsid w:val="007B56EB"/>
    <w:rsid w:val="007B5B9F"/>
    <w:rsid w:val="007B5BD0"/>
    <w:rsid w:val="007B600A"/>
    <w:rsid w:val="007B603A"/>
    <w:rsid w:val="007B6051"/>
    <w:rsid w:val="007B6194"/>
    <w:rsid w:val="007B624E"/>
    <w:rsid w:val="007B627F"/>
    <w:rsid w:val="007B631C"/>
    <w:rsid w:val="007B63AA"/>
    <w:rsid w:val="007B641F"/>
    <w:rsid w:val="007B64B2"/>
    <w:rsid w:val="007B65AD"/>
    <w:rsid w:val="007B6605"/>
    <w:rsid w:val="007B672E"/>
    <w:rsid w:val="007B68C9"/>
    <w:rsid w:val="007B69D8"/>
    <w:rsid w:val="007B69FC"/>
    <w:rsid w:val="007B6A5C"/>
    <w:rsid w:val="007B6B91"/>
    <w:rsid w:val="007B6D03"/>
    <w:rsid w:val="007B7075"/>
    <w:rsid w:val="007B7084"/>
    <w:rsid w:val="007B7220"/>
    <w:rsid w:val="007B72BC"/>
    <w:rsid w:val="007B75DE"/>
    <w:rsid w:val="007B76DA"/>
    <w:rsid w:val="007B7BF1"/>
    <w:rsid w:val="007B7D53"/>
    <w:rsid w:val="007B7FB5"/>
    <w:rsid w:val="007C0003"/>
    <w:rsid w:val="007C01E9"/>
    <w:rsid w:val="007C0214"/>
    <w:rsid w:val="007C07D5"/>
    <w:rsid w:val="007C09BA"/>
    <w:rsid w:val="007C0A00"/>
    <w:rsid w:val="007C0C5E"/>
    <w:rsid w:val="007C0E94"/>
    <w:rsid w:val="007C0FA4"/>
    <w:rsid w:val="007C0FBE"/>
    <w:rsid w:val="007C1103"/>
    <w:rsid w:val="007C12C3"/>
    <w:rsid w:val="007C1313"/>
    <w:rsid w:val="007C14E6"/>
    <w:rsid w:val="007C1BD4"/>
    <w:rsid w:val="007C1BE1"/>
    <w:rsid w:val="007C1CAD"/>
    <w:rsid w:val="007C1F8C"/>
    <w:rsid w:val="007C201B"/>
    <w:rsid w:val="007C21E4"/>
    <w:rsid w:val="007C2254"/>
    <w:rsid w:val="007C231B"/>
    <w:rsid w:val="007C2377"/>
    <w:rsid w:val="007C2577"/>
    <w:rsid w:val="007C2A79"/>
    <w:rsid w:val="007C2D32"/>
    <w:rsid w:val="007C33A8"/>
    <w:rsid w:val="007C38CC"/>
    <w:rsid w:val="007C3ABE"/>
    <w:rsid w:val="007C3BAD"/>
    <w:rsid w:val="007C3D35"/>
    <w:rsid w:val="007C3E2A"/>
    <w:rsid w:val="007C3EA8"/>
    <w:rsid w:val="007C3EDD"/>
    <w:rsid w:val="007C3F33"/>
    <w:rsid w:val="007C3FB6"/>
    <w:rsid w:val="007C426B"/>
    <w:rsid w:val="007C463B"/>
    <w:rsid w:val="007C47FE"/>
    <w:rsid w:val="007C4AA9"/>
    <w:rsid w:val="007C4E5C"/>
    <w:rsid w:val="007C4FB2"/>
    <w:rsid w:val="007C508A"/>
    <w:rsid w:val="007C50B6"/>
    <w:rsid w:val="007C53B8"/>
    <w:rsid w:val="007C5614"/>
    <w:rsid w:val="007C565C"/>
    <w:rsid w:val="007C5A49"/>
    <w:rsid w:val="007C5A56"/>
    <w:rsid w:val="007C5A69"/>
    <w:rsid w:val="007C5A78"/>
    <w:rsid w:val="007C5D05"/>
    <w:rsid w:val="007C5D95"/>
    <w:rsid w:val="007C5DC2"/>
    <w:rsid w:val="007C5EE0"/>
    <w:rsid w:val="007C5F8B"/>
    <w:rsid w:val="007C686B"/>
    <w:rsid w:val="007C6991"/>
    <w:rsid w:val="007C6A0D"/>
    <w:rsid w:val="007C6C82"/>
    <w:rsid w:val="007C6F11"/>
    <w:rsid w:val="007C6F2E"/>
    <w:rsid w:val="007C7322"/>
    <w:rsid w:val="007C74D9"/>
    <w:rsid w:val="007C7537"/>
    <w:rsid w:val="007C7804"/>
    <w:rsid w:val="007C7B0F"/>
    <w:rsid w:val="007C7B71"/>
    <w:rsid w:val="007C7CC9"/>
    <w:rsid w:val="007C7F08"/>
    <w:rsid w:val="007D044F"/>
    <w:rsid w:val="007D05B3"/>
    <w:rsid w:val="007D068D"/>
    <w:rsid w:val="007D08D5"/>
    <w:rsid w:val="007D094F"/>
    <w:rsid w:val="007D0B3F"/>
    <w:rsid w:val="007D0CD5"/>
    <w:rsid w:val="007D0E6B"/>
    <w:rsid w:val="007D0FB8"/>
    <w:rsid w:val="007D10D9"/>
    <w:rsid w:val="007D1104"/>
    <w:rsid w:val="007D11FB"/>
    <w:rsid w:val="007D1372"/>
    <w:rsid w:val="007D14BB"/>
    <w:rsid w:val="007D16AD"/>
    <w:rsid w:val="007D1823"/>
    <w:rsid w:val="007D18C4"/>
    <w:rsid w:val="007D1C85"/>
    <w:rsid w:val="007D207E"/>
    <w:rsid w:val="007D21E6"/>
    <w:rsid w:val="007D23B4"/>
    <w:rsid w:val="007D26E9"/>
    <w:rsid w:val="007D278B"/>
    <w:rsid w:val="007D289E"/>
    <w:rsid w:val="007D295B"/>
    <w:rsid w:val="007D2BC5"/>
    <w:rsid w:val="007D2E0B"/>
    <w:rsid w:val="007D2E3D"/>
    <w:rsid w:val="007D3240"/>
    <w:rsid w:val="007D3507"/>
    <w:rsid w:val="007D3681"/>
    <w:rsid w:val="007D3771"/>
    <w:rsid w:val="007D37AA"/>
    <w:rsid w:val="007D3A0C"/>
    <w:rsid w:val="007D3A91"/>
    <w:rsid w:val="007D3D80"/>
    <w:rsid w:val="007D3E1C"/>
    <w:rsid w:val="007D41C0"/>
    <w:rsid w:val="007D4306"/>
    <w:rsid w:val="007D4C6B"/>
    <w:rsid w:val="007D4CFF"/>
    <w:rsid w:val="007D4FEC"/>
    <w:rsid w:val="007D520D"/>
    <w:rsid w:val="007D591F"/>
    <w:rsid w:val="007D5B45"/>
    <w:rsid w:val="007D5CA7"/>
    <w:rsid w:val="007D5F58"/>
    <w:rsid w:val="007D6029"/>
    <w:rsid w:val="007D631B"/>
    <w:rsid w:val="007D6394"/>
    <w:rsid w:val="007D6614"/>
    <w:rsid w:val="007D6A5D"/>
    <w:rsid w:val="007D6F5C"/>
    <w:rsid w:val="007D71D8"/>
    <w:rsid w:val="007D73A8"/>
    <w:rsid w:val="007D7523"/>
    <w:rsid w:val="007D7605"/>
    <w:rsid w:val="007D763F"/>
    <w:rsid w:val="007D7763"/>
    <w:rsid w:val="007D7D1E"/>
    <w:rsid w:val="007D7E5B"/>
    <w:rsid w:val="007E0319"/>
    <w:rsid w:val="007E05F1"/>
    <w:rsid w:val="007E0A53"/>
    <w:rsid w:val="007E0C5C"/>
    <w:rsid w:val="007E0C95"/>
    <w:rsid w:val="007E0DF5"/>
    <w:rsid w:val="007E0E3B"/>
    <w:rsid w:val="007E0ECA"/>
    <w:rsid w:val="007E0F88"/>
    <w:rsid w:val="007E10AE"/>
    <w:rsid w:val="007E13B5"/>
    <w:rsid w:val="007E13FF"/>
    <w:rsid w:val="007E143A"/>
    <w:rsid w:val="007E1750"/>
    <w:rsid w:val="007E1A60"/>
    <w:rsid w:val="007E1AC5"/>
    <w:rsid w:val="007E1ACB"/>
    <w:rsid w:val="007E1CAE"/>
    <w:rsid w:val="007E1CDF"/>
    <w:rsid w:val="007E1D24"/>
    <w:rsid w:val="007E1D54"/>
    <w:rsid w:val="007E1E9F"/>
    <w:rsid w:val="007E24A1"/>
    <w:rsid w:val="007E2512"/>
    <w:rsid w:val="007E27E4"/>
    <w:rsid w:val="007E28C5"/>
    <w:rsid w:val="007E2B54"/>
    <w:rsid w:val="007E2F69"/>
    <w:rsid w:val="007E30F3"/>
    <w:rsid w:val="007E32CB"/>
    <w:rsid w:val="007E344F"/>
    <w:rsid w:val="007E35B0"/>
    <w:rsid w:val="007E3649"/>
    <w:rsid w:val="007E3670"/>
    <w:rsid w:val="007E3760"/>
    <w:rsid w:val="007E39DD"/>
    <w:rsid w:val="007E3B80"/>
    <w:rsid w:val="007E3C4A"/>
    <w:rsid w:val="007E3DA4"/>
    <w:rsid w:val="007E417E"/>
    <w:rsid w:val="007E434E"/>
    <w:rsid w:val="007E4621"/>
    <w:rsid w:val="007E483E"/>
    <w:rsid w:val="007E486F"/>
    <w:rsid w:val="007E4B1C"/>
    <w:rsid w:val="007E4B7F"/>
    <w:rsid w:val="007E4C24"/>
    <w:rsid w:val="007E4C41"/>
    <w:rsid w:val="007E4E5B"/>
    <w:rsid w:val="007E4FAC"/>
    <w:rsid w:val="007E4FDB"/>
    <w:rsid w:val="007E5101"/>
    <w:rsid w:val="007E550E"/>
    <w:rsid w:val="007E572D"/>
    <w:rsid w:val="007E5A2C"/>
    <w:rsid w:val="007E5CF7"/>
    <w:rsid w:val="007E5D47"/>
    <w:rsid w:val="007E5D60"/>
    <w:rsid w:val="007E5FA9"/>
    <w:rsid w:val="007E600F"/>
    <w:rsid w:val="007E6350"/>
    <w:rsid w:val="007E6465"/>
    <w:rsid w:val="007E6552"/>
    <w:rsid w:val="007E6908"/>
    <w:rsid w:val="007E69C2"/>
    <w:rsid w:val="007E6B36"/>
    <w:rsid w:val="007E6DE3"/>
    <w:rsid w:val="007E7138"/>
    <w:rsid w:val="007E74B3"/>
    <w:rsid w:val="007E74C3"/>
    <w:rsid w:val="007E756C"/>
    <w:rsid w:val="007E77F2"/>
    <w:rsid w:val="007E794E"/>
    <w:rsid w:val="007F014B"/>
    <w:rsid w:val="007F034C"/>
    <w:rsid w:val="007F06E5"/>
    <w:rsid w:val="007F06FE"/>
    <w:rsid w:val="007F1219"/>
    <w:rsid w:val="007F1446"/>
    <w:rsid w:val="007F1547"/>
    <w:rsid w:val="007F1972"/>
    <w:rsid w:val="007F1992"/>
    <w:rsid w:val="007F19A7"/>
    <w:rsid w:val="007F1A65"/>
    <w:rsid w:val="007F221D"/>
    <w:rsid w:val="007F22C9"/>
    <w:rsid w:val="007F26E6"/>
    <w:rsid w:val="007F2835"/>
    <w:rsid w:val="007F2967"/>
    <w:rsid w:val="007F2A0F"/>
    <w:rsid w:val="007F2B75"/>
    <w:rsid w:val="007F2BD6"/>
    <w:rsid w:val="007F2CA1"/>
    <w:rsid w:val="007F2E18"/>
    <w:rsid w:val="007F2ED0"/>
    <w:rsid w:val="007F2FD5"/>
    <w:rsid w:val="007F3196"/>
    <w:rsid w:val="007F31DC"/>
    <w:rsid w:val="007F323B"/>
    <w:rsid w:val="007F336D"/>
    <w:rsid w:val="007F3749"/>
    <w:rsid w:val="007F3962"/>
    <w:rsid w:val="007F39B6"/>
    <w:rsid w:val="007F3E2B"/>
    <w:rsid w:val="007F40BB"/>
    <w:rsid w:val="007F40F6"/>
    <w:rsid w:val="007F421A"/>
    <w:rsid w:val="007F432F"/>
    <w:rsid w:val="007F4380"/>
    <w:rsid w:val="007F4620"/>
    <w:rsid w:val="007F46F0"/>
    <w:rsid w:val="007F4A44"/>
    <w:rsid w:val="007F4BBF"/>
    <w:rsid w:val="007F4EFE"/>
    <w:rsid w:val="007F4F5C"/>
    <w:rsid w:val="007F5133"/>
    <w:rsid w:val="007F5278"/>
    <w:rsid w:val="007F52DB"/>
    <w:rsid w:val="007F5389"/>
    <w:rsid w:val="007F5442"/>
    <w:rsid w:val="007F54F6"/>
    <w:rsid w:val="007F550E"/>
    <w:rsid w:val="007F560F"/>
    <w:rsid w:val="007F5687"/>
    <w:rsid w:val="007F5733"/>
    <w:rsid w:val="007F5858"/>
    <w:rsid w:val="007F59B5"/>
    <w:rsid w:val="007F5FBB"/>
    <w:rsid w:val="007F6016"/>
    <w:rsid w:val="007F640D"/>
    <w:rsid w:val="007F6419"/>
    <w:rsid w:val="007F6590"/>
    <w:rsid w:val="007F65AD"/>
    <w:rsid w:val="007F6637"/>
    <w:rsid w:val="007F68E4"/>
    <w:rsid w:val="007F6B08"/>
    <w:rsid w:val="007F6BE1"/>
    <w:rsid w:val="007F6D40"/>
    <w:rsid w:val="007F6E40"/>
    <w:rsid w:val="007F71D3"/>
    <w:rsid w:val="007F72B1"/>
    <w:rsid w:val="007F742F"/>
    <w:rsid w:val="007F7445"/>
    <w:rsid w:val="007F7529"/>
    <w:rsid w:val="007F7606"/>
    <w:rsid w:val="007F78B6"/>
    <w:rsid w:val="007F7A12"/>
    <w:rsid w:val="007F7AFB"/>
    <w:rsid w:val="007F7BB9"/>
    <w:rsid w:val="007F7C32"/>
    <w:rsid w:val="007F7C56"/>
    <w:rsid w:val="007F7CC1"/>
    <w:rsid w:val="007F7D66"/>
    <w:rsid w:val="007F7E25"/>
    <w:rsid w:val="007F7E47"/>
    <w:rsid w:val="00800467"/>
    <w:rsid w:val="008008DB"/>
    <w:rsid w:val="00800994"/>
    <w:rsid w:val="00800B7F"/>
    <w:rsid w:val="00800C2D"/>
    <w:rsid w:val="00800CF7"/>
    <w:rsid w:val="00800F45"/>
    <w:rsid w:val="00800FA1"/>
    <w:rsid w:val="0080106A"/>
    <w:rsid w:val="00801217"/>
    <w:rsid w:val="0080122F"/>
    <w:rsid w:val="0080147B"/>
    <w:rsid w:val="0080148C"/>
    <w:rsid w:val="00801822"/>
    <w:rsid w:val="008018CA"/>
    <w:rsid w:val="008018E0"/>
    <w:rsid w:val="00801C8D"/>
    <w:rsid w:val="00801D54"/>
    <w:rsid w:val="00801D9E"/>
    <w:rsid w:val="00801DF8"/>
    <w:rsid w:val="00801ED6"/>
    <w:rsid w:val="00802442"/>
    <w:rsid w:val="0080250E"/>
    <w:rsid w:val="00802C14"/>
    <w:rsid w:val="00802CE7"/>
    <w:rsid w:val="00802CF1"/>
    <w:rsid w:val="00802E50"/>
    <w:rsid w:val="00802E75"/>
    <w:rsid w:val="00802F50"/>
    <w:rsid w:val="008032A6"/>
    <w:rsid w:val="00803631"/>
    <w:rsid w:val="00803689"/>
    <w:rsid w:val="008037D0"/>
    <w:rsid w:val="00803854"/>
    <w:rsid w:val="00803D29"/>
    <w:rsid w:val="00803E67"/>
    <w:rsid w:val="00803E7E"/>
    <w:rsid w:val="008040B2"/>
    <w:rsid w:val="008041FE"/>
    <w:rsid w:val="00804311"/>
    <w:rsid w:val="008044AD"/>
    <w:rsid w:val="008048C0"/>
    <w:rsid w:val="00804C72"/>
    <w:rsid w:val="00804D0D"/>
    <w:rsid w:val="00804EA2"/>
    <w:rsid w:val="00804F10"/>
    <w:rsid w:val="0080521D"/>
    <w:rsid w:val="00805273"/>
    <w:rsid w:val="008052D7"/>
    <w:rsid w:val="00805471"/>
    <w:rsid w:val="008055DB"/>
    <w:rsid w:val="00805ACA"/>
    <w:rsid w:val="00805BFB"/>
    <w:rsid w:val="00805CBC"/>
    <w:rsid w:val="00805CE0"/>
    <w:rsid w:val="0080608C"/>
    <w:rsid w:val="008063D6"/>
    <w:rsid w:val="008065AE"/>
    <w:rsid w:val="00806640"/>
    <w:rsid w:val="008067AB"/>
    <w:rsid w:val="00806918"/>
    <w:rsid w:val="00806A74"/>
    <w:rsid w:val="00806CD8"/>
    <w:rsid w:val="00806D50"/>
    <w:rsid w:val="008070B7"/>
    <w:rsid w:val="00807120"/>
    <w:rsid w:val="00807489"/>
    <w:rsid w:val="0080764C"/>
    <w:rsid w:val="00807980"/>
    <w:rsid w:val="008079B5"/>
    <w:rsid w:val="00807A9A"/>
    <w:rsid w:val="00807D27"/>
    <w:rsid w:val="00807F59"/>
    <w:rsid w:val="00807FD7"/>
    <w:rsid w:val="0081003D"/>
    <w:rsid w:val="008100A4"/>
    <w:rsid w:val="0081011D"/>
    <w:rsid w:val="00810238"/>
    <w:rsid w:val="0081045B"/>
    <w:rsid w:val="0081049D"/>
    <w:rsid w:val="00810639"/>
    <w:rsid w:val="008106B0"/>
    <w:rsid w:val="00810C27"/>
    <w:rsid w:val="00810DF5"/>
    <w:rsid w:val="00810F16"/>
    <w:rsid w:val="00811256"/>
    <w:rsid w:val="0081161A"/>
    <w:rsid w:val="008116AD"/>
    <w:rsid w:val="00811822"/>
    <w:rsid w:val="00811A43"/>
    <w:rsid w:val="00811B65"/>
    <w:rsid w:val="00811C6C"/>
    <w:rsid w:val="00811D46"/>
    <w:rsid w:val="00811DD1"/>
    <w:rsid w:val="00812353"/>
    <w:rsid w:val="008123B4"/>
    <w:rsid w:val="0081253C"/>
    <w:rsid w:val="008125B0"/>
    <w:rsid w:val="00812818"/>
    <w:rsid w:val="00812A3B"/>
    <w:rsid w:val="00813197"/>
    <w:rsid w:val="008131EB"/>
    <w:rsid w:val="00813399"/>
    <w:rsid w:val="00813426"/>
    <w:rsid w:val="00813BB6"/>
    <w:rsid w:val="00814044"/>
    <w:rsid w:val="00814522"/>
    <w:rsid w:val="00814595"/>
    <w:rsid w:val="008145E1"/>
    <w:rsid w:val="00814616"/>
    <w:rsid w:val="00814687"/>
    <w:rsid w:val="00814973"/>
    <w:rsid w:val="00814DBC"/>
    <w:rsid w:val="00814E94"/>
    <w:rsid w:val="00814FAF"/>
    <w:rsid w:val="00814FF4"/>
    <w:rsid w:val="00815054"/>
    <w:rsid w:val="008150E7"/>
    <w:rsid w:val="00815158"/>
    <w:rsid w:val="008151B0"/>
    <w:rsid w:val="00815249"/>
    <w:rsid w:val="00815488"/>
    <w:rsid w:val="0081580F"/>
    <w:rsid w:val="00815B2A"/>
    <w:rsid w:val="00815E6A"/>
    <w:rsid w:val="0081614E"/>
    <w:rsid w:val="0081633A"/>
    <w:rsid w:val="0081646D"/>
    <w:rsid w:val="008166A9"/>
    <w:rsid w:val="008166DC"/>
    <w:rsid w:val="00816988"/>
    <w:rsid w:val="008169C1"/>
    <w:rsid w:val="00816CF4"/>
    <w:rsid w:val="00816DE7"/>
    <w:rsid w:val="00816E27"/>
    <w:rsid w:val="00816FAC"/>
    <w:rsid w:val="008170E3"/>
    <w:rsid w:val="0081735D"/>
    <w:rsid w:val="00817588"/>
    <w:rsid w:val="008178A2"/>
    <w:rsid w:val="00817D92"/>
    <w:rsid w:val="008200C1"/>
    <w:rsid w:val="0082013B"/>
    <w:rsid w:val="00820287"/>
    <w:rsid w:val="008203D7"/>
    <w:rsid w:val="00820447"/>
    <w:rsid w:val="00820487"/>
    <w:rsid w:val="008205B4"/>
    <w:rsid w:val="008207F6"/>
    <w:rsid w:val="008207FC"/>
    <w:rsid w:val="0082087A"/>
    <w:rsid w:val="00820990"/>
    <w:rsid w:val="008209B3"/>
    <w:rsid w:val="00820B25"/>
    <w:rsid w:val="00820E41"/>
    <w:rsid w:val="00821361"/>
    <w:rsid w:val="00821927"/>
    <w:rsid w:val="00821A4F"/>
    <w:rsid w:val="00821FBF"/>
    <w:rsid w:val="008220E2"/>
    <w:rsid w:val="008222A8"/>
    <w:rsid w:val="008223CF"/>
    <w:rsid w:val="008223EC"/>
    <w:rsid w:val="008228EB"/>
    <w:rsid w:val="00822A28"/>
    <w:rsid w:val="00822ACE"/>
    <w:rsid w:val="00822BB5"/>
    <w:rsid w:val="00822C04"/>
    <w:rsid w:val="00822CEE"/>
    <w:rsid w:val="00822DF7"/>
    <w:rsid w:val="00822F40"/>
    <w:rsid w:val="00823131"/>
    <w:rsid w:val="0082327D"/>
    <w:rsid w:val="0082342F"/>
    <w:rsid w:val="00823541"/>
    <w:rsid w:val="00823833"/>
    <w:rsid w:val="00823A3F"/>
    <w:rsid w:val="00823AFE"/>
    <w:rsid w:val="00823B11"/>
    <w:rsid w:val="00823D36"/>
    <w:rsid w:val="00823F46"/>
    <w:rsid w:val="008240D5"/>
    <w:rsid w:val="0082412E"/>
    <w:rsid w:val="00824599"/>
    <w:rsid w:val="008245B1"/>
    <w:rsid w:val="0082475C"/>
    <w:rsid w:val="008248C7"/>
    <w:rsid w:val="008249DA"/>
    <w:rsid w:val="00824AE9"/>
    <w:rsid w:val="00824DFC"/>
    <w:rsid w:val="008251B2"/>
    <w:rsid w:val="00825328"/>
    <w:rsid w:val="00825702"/>
    <w:rsid w:val="00825B8B"/>
    <w:rsid w:val="00825D1D"/>
    <w:rsid w:val="0082603E"/>
    <w:rsid w:val="00826245"/>
    <w:rsid w:val="00826543"/>
    <w:rsid w:val="0082661F"/>
    <w:rsid w:val="00826623"/>
    <w:rsid w:val="008268B4"/>
    <w:rsid w:val="008269B5"/>
    <w:rsid w:val="00826C3A"/>
    <w:rsid w:val="00826D94"/>
    <w:rsid w:val="00826F7C"/>
    <w:rsid w:val="00827101"/>
    <w:rsid w:val="0082714D"/>
    <w:rsid w:val="00827354"/>
    <w:rsid w:val="0082747C"/>
    <w:rsid w:val="008274CA"/>
    <w:rsid w:val="008275B2"/>
    <w:rsid w:val="00827974"/>
    <w:rsid w:val="00827ABF"/>
    <w:rsid w:val="00827B7B"/>
    <w:rsid w:val="00827E85"/>
    <w:rsid w:val="00827F68"/>
    <w:rsid w:val="00830076"/>
    <w:rsid w:val="008300B0"/>
    <w:rsid w:val="008302E8"/>
    <w:rsid w:val="00830444"/>
    <w:rsid w:val="008304DC"/>
    <w:rsid w:val="00830564"/>
    <w:rsid w:val="008305D3"/>
    <w:rsid w:val="00830614"/>
    <w:rsid w:val="0083061E"/>
    <w:rsid w:val="008306DC"/>
    <w:rsid w:val="008307A2"/>
    <w:rsid w:val="00830BA9"/>
    <w:rsid w:val="00830E12"/>
    <w:rsid w:val="00830E75"/>
    <w:rsid w:val="00831870"/>
    <w:rsid w:val="008318CE"/>
    <w:rsid w:val="008318FC"/>
    <w:rsid w:val="008319A0"/>
    <w:rsid w:val="00831D4E"/>
    <w:rsid w:val="00831DA5"/>
    <w:rsid w:val="00831E95"/>
    <w:rsid w:val="008323F7"/>
    <w:rsid w:val="0083270D"/>
    <w:rsid w:val="00832846"/>
    <w:rsid w:val="0083288D"/>
    <w:rsid w:val="00832999"/>
    <w:rsid w:val="00832C9C"/>
    <w:rsid w:val="00832D86"/>
    <w:rsid w:val="00832FB0"/>
    <w:rsid w:val="0083305E"/>
    <w:rsid w:val="008331A9"/>
    <w:rsid w:val="008332CA"/>
    <w:rsid w:val="008333B5"/>
    <w:rsid w:val="00833510"/>
    <w:rsid w:val="0083360D"/>
    <w:rsid w:val="0083380D"/>
    <w:rsid w:val="008338DC"/>
    <w:rsid w:val="00833A2B"/>
    <w:rsid w:val="00833B3D"/>
    <w:rsid w:val="00833C18"/>
    <w:rsid w:val="00833C29"/>
    <w:rsid w:val="00833E00"/>
    <w:rsid w:val="00833F90"/>
    <w:rsid w:val="00833FEB"/>
    <w:rsid w:val="0083412A"/>
    <w:rsid w:val="0083436C"/>
    <w:rsid w:val="008346F5"/>
    <w:rsid w:val="00834938"/>
    <w:rsid w:val="008349AE"/>
    <w:rsid w:val="00834C94"/>
    <w:rsid w:val="008351CB"/>
    <w:rsid w:val="008351E3"/>
    <w:rsid w:val="00835349"/>
    <w:rsid w:val="00835424"/>
    <w:rsid w:val="0083563A"/>
    <w:rsid w:val="00835650"/>
    <w:rsid w:val="00835E02"/>
    <w:rsid w:val="00835F95"/>
    <w:rsid w:val="00835FF5"/>
    <w:rsid w:val="0083621A"/>
    <w:rsid w:val="008362AD"/>
    <w:rsid w:val="0083641D"/>
    <w:rsid w:val="00836448"/>
    <w:rsid w:val="008364E2"/>
    <w:rsid w:val="00836665"/>
    <w:rsid w:val="0083678D"/>
    <w:rsid w:val="0083682E"/>
    <w:rsid w:val="0083693B"/>
    <w:rsid w:val="008369DA"/>
    <w:rsid w:val="008370E3"/>
    <w:rsid w:val="0083743D"/>
    <w:rsid w:val="008376D9"/>
    <w:rsid w:val="00837836"/>
    <w:rsid w:val="00837886"/>
    <w:rsid w:val="00837971"/>
    <w:rsid w:val="00837A20"/>
    <w:rsid w:val="00837A4C"/>
    <w:rsid w:val="00837A6A"/>
    <w:rsid w:val="00837BB7"/>
    <w:rsid w:val="00837BE5"/>
    <w:rsid w:val="00837FFD"/>
    <w:rsid w:val="008400C2"/>
    <w:rsid w:val="008400D1"/>
    <w:rsid w:val="00840500"/>
    <w:rsid w:val="0084070D"/>
    <w:rsid w:val="00840B3D"/>
    <w:rsid w:val="00840B89"/>
    <w:rsid w:val="00840F56"/>
    <w:rsid w:val="00841039"/>
    <w:rsid w:val="00841058"/>
    <w:rsid w:val="008410F9"/>
    <w:rsid w:val="00841366"/>
    <w:rsid w:val="00841594"/>
    <w:rsid w:val="008418E2"/>
    <w:rsid w:val="00841ADA"/>
    <w:rsid w:val="00841D2C"/>
    <w:rsid w:val="00841F09"/>
    <w:rsid w:val="00842027"/>
    <w:rsid w:val="00842262"/>
    <w:rsid w:val="0084236F"/>
    <w:rsid w:val="008423F8"/>
    <w:rsid w:val="00842BCC"/>
    <w:rsid w:val="00842BEF"/>
    <w:rsid w:val="00842E49"/>
    <w:rsid w:val="00842ED8"/>
    <w:rsid w:val="00842F0C"/>
    <w:rsid w:val="0084302A"/>
    <w:rsid w:val="00843289"/>
    <w:rsid w:val="008434D8"/>
    <w:rsid w:val="0084351A"/>
    <w:rsid w:val="008436F3"/>
    <w:rsid w:val="00843814"/>
    <w:rsid w:val="00843C11"/>
    <w:rsid w:val="00843CA8"/>
    <w:rsid w:val="008441AC"/>
    <w:rsid w:val="00844313"/>
    <w:rsid w:val="00844600"/>
    <w:rsid w:val="00844752"/>
    <w:rsid w:val="00844753"/>
    <w:rsid w:val="008448B8"/>
    <w:rsid w:val="00844BE8"/>
    <w:rsid w:val="00844E04"/>
    <w:rsid w:val="008451E2"/>
    <w:rsid w:val="008452AF"/>
    <w:rsid w:val="008456AF"/>
    <w:rsid w:val="00845928"/>
    <w:rsid w:val="00845AB5"/>
    <w:rsid w:val="00845D45"/>
    <w:rsid w:val="00845DB9"/>
    <w:rsid w:val="00845F9F"/>
    <w:rsid w:val="008460CF"/>
    <w:rsid w:val="0084646E"/>
    <w:rsid w:val="00846503"/>
    <w:rsid w:val="00846590"/>
    <w:rsid w:val="0084679E"/>
    <w:rsid w:val="0084681A"/>
    <w:rsid w:val="00846BAD"/>
    <w:rsid w:val="00846BE9"/>
    <w:rsid w:val="00846D1B"/>
    <w:rsid w:val="00846D3F"/>
    <w:rsid w:val="00847170"/>
    <w:rsid w:val="0084731A"/>
    <w:rsid w:val="00847449"/>
    <w:rsid w:val="00847514"/>
    <w:rsid w:val="008477F5"/>
    <w:rsid w:val="00847A10"/>
    <w:rsid w:val="00847CA6"/>
    <w:rsid w:val="00847F83"/>
    <w:rsid w:val="0085012E"/>
    <w:rsid w:val="00850130"/>
    <w:rsid w:val="008501E0"/>
    <w:rsid w:val="0085020B"/>
    <w:rsid w:val="008504AF"/>
    <w:rsid w:val="00850605"/>
    <w:rsid w:val="00850672"/>
    <w:rsid w:val="0085076B"/>
    <w:rsid w:val="00850C17"/>
    <w:rsid w:val="00850D42"/>
    <w:rsid w:val="00850EC6"/>
    <w:rsid w:val="0085123B"/>
    <w:rsid w:val="0085132B"/>
    <w:rsid w:val="00851392"/>
    <w:rsid w:val="00851495"/>
    <w:rsid w:val="008515B2"/>
    <w:rsid w:val="00851639"/>
    <w:rsid w:val="00851830"/>
    <w:rsid w:val="008518D0"/>
    <w:rsid w:val="00851914"/>
    <w:rsid w:val="0085191E"/>
    <w:rsid w:val="00851945"/>
    <w:rsid w:val="00851A31"/>
    <w:rsid w:val="00851B1B"/>
    <w:rsid w:val="00851B64"/>
    <w:rsid w:val="00851CD0"/>
    <w:rsid w:val="008520BE"/>
    <w:rsid w:val="00852128"/>
    <w:rsid w:val="0085213A"/>
    <w:rsid w:val="0085221C"/>
    <w:rsid w:val="00852941"/>
    <w:rsid w:val="008529A5"/>
    <w:rsid w:val="00852A8B"/>
    <w:rsid w:val="00852C6A"/>
    <w:rsid w:val="00852E43"/>
    <w:rsid w:val="00852EAA"/>
    <w:rsid w:val="00852F97"/>
    <w:rsid w:val="0085306D"/>
    <w:rsid w:val="00853319"/>
    <w:rsid w:val="008533FF"/>
    <w:rsid w:val="0085344B"/>
    <w:rsid w:val="008534E9"/>
    <w:rsid w:val="008534F0"/>
    <w:rsid w:val="008537C7"/>
    <w:rsid w:val="00853E0C"/>
    <w:rsid w:val="00853E5B"/>
    <w:rsid w:val="00853F35"/>
    <w:rsid w:val="0085420D"/>
    <w:rsid w:val="008543FB"/>
    <w:rsid w:val="00854499"/>
    <w:rsid w:val="008544D6"/>
    <w:rsid w:val="00854522"/>
    <w:rsid w:val="00854ADD"/>
    <w:rsid w:val="00854EEA"/>
    <w:rsid w:val="008550E4"/>
    <w:rsid w:val="00855161"/>
    <w:rsid w:val="00855173"/>
    <w:rsid w:val="008554F1"/>
    <w:rsid w:val="008558CA"/>
    <w:rsid w:val="008558FB"/>
    <w:rsid w:val="00855983"/>
    <w:rsid w:val="00855994"/>
    <w:rsid w:val="00855AD9"/>
    <w:rsid w:val="00855B20"/>
    <w:rsid w:val="00855EAB"/>
    <w:rsid w:val="00855EDD"/>
    <w:rsid w:val="00855EE2"/>
    <w:rsid w:val="008562C0"/>
    <w:rsid w:val="008562CC"/>
    <w:rsid w:val="0085655F"/>
    <w:rsid w:val="00856925"/>
    <w:rsid w:val="00856A0D"/>
    <w:rsid w:val="00856B71"/>
    <w:rsid w:val="00856C1A"/>
    <w:rsid w:val="00856C9D"/>
    <w:rsid w:val="00856CE6"/>
    <w:rsid w:val="00857397"/>
    <w:rsid w:val="008573D8"/>
    <w:rsid w:val="00857525"/>
    <w:rsid w:val="00857543"/>
    <w:rsid w:val="008575A9"/>
    <w:rsid w:val="008575F5"/>
    <w:rsid w:val="0085770D"/>
    <w:rsid w:val="00857718"/>
    <w:rsid w:val="00857732"/>
    <w:rsid w:val="008579C7"/>
    <w:rsid w:val="00857A5F"/>
    <w:rsid w:val="00857AEC"/>
    <w:rsid w:val="00857BBA"/>
    <w:rsid w:val="00857CF3"/>
    <w:rsid w:val="00857D00"/>
    <w:rsid w:val="00857E4B"/>
    <w:rsid w:val="00857F50"/>
    <w:rsid w:val="0086002E"/>
    <w:rsid w:val="008600FE"/>
    <w:rsid w:val="008601AD"/>
    <w:rsid w:val="008602D0"/>
    <w:rsid w:val="008603E0"/>
    <w:rsid w:val="008604F7"/>
    <w:rsid w:val="008606FC"/>
    <w:rsid w:val="00860772"/>
    <w:rsid w:val="0086077F"/>
    <w:rsid w:val="00860860"/>
    <w:rsid w:val="00860BEB"/>
    <w:rsid w:val="00860E60"/>
    <w:rsid w:val="00860EF8"/>
    <w:rsid w:val="00860F2A"/>
    <w:rsid w:val="00861158"/>
    <w:rsid w:val="00861469"/>
    <w:rsid w:val="008617AE"/>
    <w:rsid w:val="008617B4"/>
    <w:rsid w:val="0086182A"/>
    <w:rsid w:val="0086187E"/>
    <w:rsid w:val="00861C74"/>
    <w:rsid w:val="00862166"/>
    <w:rsid w:val="008621B9"/>
    <w:rsid w:val="0086223D"/>
    <w:rsid w:val="0086253C"/>
    <w:rsid w:val="008625C6"/>
    <w:rsid w:val="0086270C"/>
    <w:rsid w:val="00862915"/>
    <w:rsid w:val="008629AC"/>
    <w:rsid w:val="00862AF2"/>
    <w:rsid w:val="0086307E"/>
    <w:rsid w:val="008632AA"/>
    <w:rsid w:val="0086344E"/>
    <w:rsid w:val="008634C9"/>
    <w:rsid w:val="00863617"/>
    <w:rsid w:val="0086362F"/>
    <w:rsid w:val="008639B0"/>
    <w:rsid w:val="00863B6D"/>
    <w:rsid w:val="00863ED4"/>
    <w:rsid w:val="008640C9"/>
    <w:rsid w:val="00864349"/>
    <w:rsid w:val="00864528"/>
    <w:rsid w:val="008645AA"/>
    <w:rsid w:val="008646D2"/>
    <w:rsid w:val="00864706"/>
    <w:rsid w:val="008647E7"/>
    <w:rsid w:val="0086491B"/>
    <w:rsid w:val="00864C84"/>
    <w:rsid w:val="00864C97"/>
    <w:rsid w:val="00864D10"/>
    <w:rsid w:val="00864E98"/>
    <w:rsid w:val="00864EF0"/>
    <w:rsid w:val="00865071"/>
    <w:rsid w:val="00865498"/>
    <w:rsid w:val="008654A1"/>
    <w:rsid w:val="00865681"/>
    <w:rsid w:val="0086571D"/>
    <w:rsid w:val="00865764"/>
    <w:rsid w:val="00865CBA"/>
    <w:rsid w:val="00865D41"/>
    <w:rsid w:val="00865DFC"/>
    <w:rsid w:val="00865E58"/>
    <w:rsid w:val="00865E97"/>
    <w:rsid w:val="0086613A"/>
    <w:rsid w:val="0086628C"/>
    <w:rsid w:val="008663FD"/>
    <w:rsid w:val="008664E4"/>
    <w:rsid w:val="00866569"/>
    <w:rsid w:val="008665AC"/>
    <w:rsid w:val="0086678A"/>
    <w:rsid w:val="008669A8"/>
    <w:rsid w:val="00866A08"/>
    <w:rsid w:val="00866A25"/>
    <w:rsid w:val="00866A65"/>
    <w:rsid w:val="00866FC0"/>
    <w:rsid w:val="00867207"/>
    <w:rsid w:val="008676C4"/>
    <w:rsid w:val="0086780C"/>
    <w:rsid w:val="00867AB8"/>
    <w:rsid w:val="00867ABC"/>
    <w:rsid w:val="00867B81"/>
    <w:rsid w:val="00867C5E"/>
    <w:rsid w:val="00867C89"/>
    <w:rsid w:val="00867D5B"/>
    <w:rsid w:val="00867E4D"/>
    <w:rsid w:val="0086A926"/>
    <w:rsid w:val="00870272"/>
    <w:rsid w:val="0087035D"/>
    <w:rsid w:val="008704D2"/>
    <w:rsid w:val="008704DD"/>
    <w:rsid w:val="00870548"/>
    <w:rsid w:val="008705DE"/>
    <w:rsid w:val="00870627"/>
    <w:rsid w:val="0087069D"/>
    <w:rsid w:val="008708EE"/>
    <w:rsid w:val="0087093E"/>
    <w:rsid w:val="00870968"/>
    <w:rsid w:val="008709AF"/>
    <w:rsid w:val="00870A05"/>
    <w:rsid w:val="00870A15"/>
    <w:rsid w:val="00870B7F"/>
    <w:rsid w:val="00871169"/>
    <w:rsid w:val="008712BB"/>
    <w:rsid w:val="0087140A"/>
    <w:rsid w:val="0087162C"/>
    <w:rsid w:val="008716C9"/>
    <w:rsid w:val="00871B40"/>
    <w:rsid w:val="0087240A"/>
    <w:rsid w:val="00872418"/>
    <w:rsid w:val="00872446"/>
    <w:rsid w:val="008724F8"/>
    <w:rsid w:val="0087276A"/>
    <w:rsid w:val="008727EE"/>
    <w:rsid w:val="00872A55"/>
    <w:rsid w:val="00872D20"/>
    <w:rsid w:val="00872FAA"/>
    <w:rsid w:val="00873024"/>
    <w:rsid w:val="00873195"/>
    <w:rsid w:val="008733E5"/>
    <w:rsid w:val="00873528"/>
    <w:rsid w:val="00873AE1"/>
    <w:rsid w:val="00873B54"/>
    <w:rsid w:val="00873BC0"/>
    <w:rsid w:val="00873C37"/>
    <w:rsid w:val="0087429F"/>
    <w:rsid w:val="008745CB"/>
    <w:rsid w:val="0087482A"/>
    <w:rsid w:val="00874A43"/>
    <w:rsid w:val="00874BA4"/>
    <w:rsid w:val="00874BB5"/>
    <w:rsid w:val="00874C4E"/>
    <w:rsid w:val="00874E62"/>
    <w:rsid w:val="00874EA5"/>
    <w:rsid w:val="00874FBF"/>
    <w:rsid w:val="00875009"/>
    <w:rsid w:val="0087502A"/>
    <w:rsid w:val="00875097"/>
    <w:rsid w:val="0087529C"/>
    <w:rsid w:val="0087540B"/>
    <w:rsid w:val="0087555E"/>
    <w:rsid w:val="008758EE"/>
    <w:rsid w:val="00875AFC"/>
    <w:rsid w:val="00875BE4"/>
    <w:rsid w:val="00875D67"/>
    <w:rsid w:val="00875E77"/>
    <w:rsid w:val="00875EB3"/>
    <w:rsid w:val="00876132"/>
    <w:rsid w:val="00876188"/>
    <w:rsid w:val="0087628A"/>
    <w:rsid w:val="0087629D"/>
    <w:rsid w:val="008762FA"/>
    <w:rsid w:val="00876604"/>
    <w:rsid w:val="008766F1"/>
    <w:rsid w:val="0087672A"/>
    <w:rsid w:val="0087687D"/>
    <w:rsid w:val="008769EB"/>
    <w:rsid w:val="00876AA0"/>
    <w:rsid w:val="00876B07"/>
    <w:rsid w:val="00876CDF"/>
    <w:rsid w:val="00876D6A"/>
    <w:rsid w:val="00876F3E"/>
    <w:rsid w:val="0087710A"/>
    <w:rsid w:val="0087713E"/>
    <w:rsid w:val="00877263"/>
    <w:rsid w:val="00877647"/>
    <w:rsid w:val="00877A01"/>
    <w:rsid w:val="00877AB4"/>
    <w:rsid w:val="00877B97"/>
    <w:rsid w:val="00877EF3"/>
    <w:rsid w:val="008800B5"/>
    <w:rsid w:val="00880188"/>
    <w:rsid w:val="00880454"/>
    <w:rsid w:val="00880971"/>
    <w:rsid w:val="00880A4F"/>
    <w:rsid w:val="00880B13"/>
    <w:rsid w:val="00880DB3"/>
    <w:rsid w:val="00880DE4"/>
    <w:rsid w:val="00880FB1"/>
    <w:rsid w:val="008810C8"/>
    <w:rsid w:val="008812F1"/>
    <w:rsid w:val="00881523"/>
    <w:rsid w:val="0088162C"/>
    <w:rsid w:val="008816C0"/>
    <w:rsid w:val="008819DB"/>
    <w:rsid w:val="00881C82"/>
    <w:rsid w:val="00881E1B"/>
    <w:rsid w:val="00881F06"/>
    <w:rsid w:val="00881F8C"/>
    <w:rsid w:val="00882138"/>
    <w:rsid w:val="008821F3"/>
    <w:rsid w:val="0088228C"/>
    <w:rsid w:val="0088236B"/>
    <w:rsid w:val="0088244E"/>
    <w:rsid w:val="008825D3"/>
    <w:rsid w:val="00882997"/>
    <w:rsid w:val="008829CA"/>
    <w:rsid w:val="00882AE9"/>
    <w:rsid w:val="00882D1B"/>
    <w:rsid w:val="00882E9A"/>
    <w:rsid w:val="00882EC5"/>
    <w:rsid w:val="0088320E"/>
    <w:rsid w:val="00883213"/>
    <w:rsid w:val="00883331"/>
    <w:rsid w:val="00883348"/>
    <w:rsid w:val="00883361"/>
    <w:rsid w:val="008837F2"/>
    <w:rsid w:val="008839F2"/>
    <w:rsid w:val="00883A0A"/>
    <w:rsid w:val="00883A8B"/>
    <w:rsid w:val="00883B9F"/>
    <w:rsid w:val="008841BB"/>
    <w:rsid w:val="0088426D"/>
    <w:rsid w:val="00884398"/>
    <w:rsid w:val="008846EE"/>
    <w:rsid w:val="008848C3"/>
    <w:rsid w:val="008848DC"/>
    <w:rsid w:val="00884A75"/>
    <w:rsid w:val="00884B1E"/>
    <w:rsid w:val="00884BB9"/>
    <w:rsid w:val="00884D54"/>
    <w:rsid w:val="00884D9C"/>
    <w:rsid w:val="00884EE1"/>
    <w:rsid w:val="00884F40"/>
    <w:rsid w:val="00885025"/>
    <w:rsid w:val="00885245"/>
    <w:rsid w:val="00885632"/>
    <w:rsid w:val="0088577A"/>
    <w:rsid w:val="0088578D"/>
    <w:rsid w:val="00885841"/>
    <w:rsid w:val="00885903"/>
    <w:rsid w:val="00885A44"/>
    <w:rsid w:val="00885BC5"/>
    <w:rsid w:val="00885BE4"/>
    <w:rsid w:val="00885C23"/>
    <w:rsid w:val="00885D7C"/>
    <w:rsid w:val="00885F3E"/>
    <w:rsid w:val="0088613B"/>
    <w:rsid w:val="00886257"/>
    <w:rsid w:val="008863D6"/>
    <w:rsid w:val="0088651B"/>
    <w:rsid w:val="0088676E"/>
    <w:rsid w:val="008867C1"/>
    <w:rsid w:val="008869B1"/>
    <w:rsid w:val="00886D06"/>
    <w:rsid w:val="00886DDE"/>
    <w:rsid w:val="00886E7D"/>
    <w:rsid w:val="00886EF6"/>
    <w:rsid w:val="00886F21"/>
    <w:rsid w:val="00887073"/>
    <w:rsid w:val="00887151"/>
    <w:rsid w:val="008875FF"/>
    <w:rsid w:val="008877BD"/>
    <w:rsid w:val="00887829"/>
    <w:rsid w:val="00887E24"/>
    <w:rsid w:val="00887FAD"/>
    <w:rsid w:val="0089005A"/>
    <w:rsid w:val="00890112"/>
    <w:rsid w:val="008902ED"/>
    <w:rsid w:val="008904D9"/>
    <w:rsid w:val="00890511"/>
    <w:rsid w:val="008905A6"/>
    <w:rsid w:val="00890885"/>
    <w:rsid w:val="00890988"/>
    <w:rsid w:val="00890C8F"/>
    <w:rsid w:val="00890E6B"/>
    <w:rsid w:val="00890E77"/>
    <w:rsid w:val="00890FB7"/>
    <w:rsid w:val="00891215"/>
    <w:rsid w:val="00891438"/>
    <w:rsid w:val="00891449"/>
    <w:rsid w:val="008914BC"/>
    <w:rsid w:val="008915F4"/>
    <w:rsid w:val="0089195C"/>
    <w:rsid w:val="00891BC2"/>
    <w:rsid w:val="00891D08"/>
    <w:rsid w:val="00891D93"/>
    <w:rsid w:val="00891DAF"/>
    <w:rsid w:val="00891DE2"/>
    <w:rsid w:val="00891EA0"/>
    <w:rsid w:val="00891EF9"/>
    <w:rsid w:val="00892041"/>
    <w:rsid w:val="00892060"/>
    <w:rsid w:val="0089212C"/>
    <w:rsid w:val="008922A6"/>
    <w:rsid w:val="008923FD"/>
    <w:rsid w:val="00892462"/>
    <w:rsid w:val="008925C2"/>
    <w:rsid w:val="0089276D"/>
    <w:rsid w:val="00892AAC"/>
    <w:rsid w:val="00892C31"/>
    <w:rsid w:val="00892CED"/>
    <w:rsid w:val="00893026"/>
    <w:rsid w:val="008936CB"/>
    <w:rsid w:val="008939F5"/>
    <w:rsid w:val="00893B33"/>
    <w:rsid w:val="00893D80"/>
    <w:rsid w:val="00893D8F"/>
    <w:rsid w:val="00893D95"/>
    <w:rsid w:val="00893E59"/>
    <w:rsid w:val="00893E85"/>
    <w:rsid w:val="008940DB"/>
    <w:rsid w:val="008942BB"/>
    <w:rsid w:val="0089431B"/>
    <w:rsid w:val="00894385"/>
    <w:rsid w:val="008944B2"/>
    <w:rsid w:val="008944C3"/>
    <w:rsid w:val="0089455A"/>
    <w:rsid w:val="00894941"/>
    <w:rsid w:val="00894B9B"/>
    <w:rsid w:val="00894D17"/>
    <w:rsid w:val="00894F53"/>
    <w:rsid w:val="0089507B"/>
    <w:rsid w:val="0089534B"/>
    <w:rsid w:val="00895581"/>
    <w:rsid w:val="008959B7"/>
    <w:rsid w:val="00895A50"/>
    <w:rsid w:val="00895A6E"/>
    <w:rsid w:val="00895D56"/>
    <w:rsid w:val="00895E06"/>
    <w:rsid w:val="008961B4"/>
    <w:rsid w:val="0089631B"/>
    <w:rsid w:val="008965FE"/>
    <w:rsid w:val="0089684A"/>
    <w:rsid w:val="008968B1"/>
    <w:rsid w:val="00896A73"/>
    <w:rsid w:val="008970A6"/>
    <w:rsid w:val="00897116"/>
    <w:rsid w:val="0089733C"/>
    <w:rsid w:val="00897686"/>
    <w:rsid w:val="008977F7"/>
    <w:rsid w:val="00897827"/>
    <w:rsid w:val="008978E1"/>
    <w:rsid w:val="00897A48"/>
    <w:rsid w:val="00897B32"/>
    <w:rsid w:val="00897B72"/>
    <w:rsid w:val="00897DDA"/>
    <w:rsid w:val="008A0364"/>
    <w:rsid w:val="008A0674"/>
    <w:rsid w:val="008A06BC"/>
    <w:rsid w:val="008A06F1"/>
    <w:rsid w:val="008A0710"/>
    <w:rsid w:val="008A072A"/>
    <w:rsid w:val="008A093E"/>
    <w:rsid w:val="008A098A"/>
    <w:rsid w:val="008A0D61"/>
    <w:rsid w:val="008A0E05"/>
    <w:rsid w:val="008A10BD"/>
    <w:rsid w:val="008A12F1"/>
    <w:rsid w:val="008A156F"/>
    <w:rsid w:val="008A15A2"/>
    <w:rsid w:val="008A17E1"/>
    <w:rsid w:val="008A1893"/>
    <w:rsid w:val="008A1E72"/>
    <w:rsid w:val="008A2157"/>
    <w:rsid w:val="008A2207"/>
    <w:rsid w:val="008A224F"/>
    <w:rsid w:val="008A23C5"/>
    <w:rsid w:val="008A243E"/>
    <w:rsid w:val="008A2708"/>
    <w:rsid w:val="008A2821"/>
    <w:rsid w:val="008A2CBF"/>
    <w:rsid w:val="008A2FE8"/>
    <w:rsid w:val="008A31FC"/>
    <w:rsid w:val="008A3265"/>
    <w:rsid w:val="008A3591"/>
    <w:rsid w:val="008A367B"/>
    <w:rsid w:val="008A3A04"/>
    <w:rsid w:val="008A3A3B"/>
    <w:rsid w:val="008A3D3B"/>
    <w:rsid w:val="008A3D40"/>
    <w:rsid w:val="008A3E4E"/>
    <w:rsid w:val="008A4257"/>
    <w:rsid w:val="008A4388"/>
    <w:rsid w:val="008A4836"/>
    <w:rsid w:val="008A48CD"/>
    <w:rsid w:val="008A4907"/>
    <w:rsid w:val="008A4930"/>
    <w:rsid w:val="008A49A8"/>
    <w:rsid w:val="008A4B84"/>
    <w:rsid w:val="008A4CAE"/>
    <w:rsid w:val="008A4D86"/>
    <w:rsid w:val="008A4E47"/>
    <w:rsid w:val="008A5047"/>
    <w:rsid w:val="008A5172"/>
    <w:rsid w:val="008A51EC"/>
    <w:rsid w:val="008A526A"/>
    <w:rsid w:val="008A5286"/>
    <w:rsid w:val="008A529A"/>
    <w:rsid w:val="008A52BD"/>
    <w:rsid w:val="008A5473"/>
    <w:rsid w:val="008A5494"/>
    <w:rsid w:val="008A55B0"/>
    <w:rsid w:val="008A55F2"/>
    <w:rsid w:val="008A56B2"/>
    <w:rsid w:val="008A570B"/>
    <w:rsid w:val="008A578C"/>
    <w:rsid w:val="008A57AA"/>
    <w:rsid w:val="008A5E0F"/>
    <w:rsid w:val="008A607B"/>
    <w:rsid w:val="008A61E0"/>
    <w:rsid w:val="008A64E7"/>
    <w:rsid w:val="008A65A6"/>
    <w:rsid w:val="008A65D6"/>
    <w:rsid w:val="008A665D"/>
    <w:rsid w:val="008A684C"/>
    <w:rsid w:val="008A6F02"/>
    <w:rsid w:val="008A7084"/>
    <w:rsid w:val="008A720E"/>
    <w:rsid w:val="008A7338"/>
    <w:rsid w:val="008A7411"/>
    <w:rsid w:val="008A74D3"/>
    <w:rsid w:val="008A75B0"/>
    <w:rsid w:val="008A7B5C"/>
    <w:rsid w:val="008A7DC0"/>
    <w:rsid w:val="008A7FB9"/>
    <w:rsid w:val="008B0009"/>
    <w:rsid w:val="008B016A"/>
    <w:rsid w:val="008B016E"/>
    <w:rsid w:val="008B026D"/>
    <w:rsid w:val="008B089C"/>
    <w:rsid w:val="008B0984"/>
    <w:rsid w:val="008B0AC7"/>
    <w:rsid w:val="008B0B50"/>
    <w:rsid w:val="008B0C3E"/>
    <w:rsid w:val="008B0DC1"/>
    <w:rsid w:val="008B0E5F"/>
    <w:rsid w:val="008B1003"/>
    <w:rsid w:val="008B1056"/>
    <w:rsid w:val="008B12F1"/>
    <w:rsid w:val="008B149D"/>
    <w:rsid w:val="008B14BE"/>
    <w:rsid w:val="008B161F"/>
    <w:rsid w:val="008B1810"/>
    <w:rsid w:val="008B185A"/>
    <w:rsid w:val="008B1906"/>
    <w:rsid w:val="008B1BE3"/>
    <w:rsid w:val="008B1DCA"/>
    <w:rsid w:val="008B1E4C"/>
    <w:rsid w:val="008B2018"/>
    <w:rsid w:val="008B2642"/>
    <w:rsid w:val="008B277E"/>
    <w:rsid w:val="008B28BF"/>
    <w:rsid w:val="008B2AED"/>
    <w:rsid w:val="008B2C94"/>
    <w:rsid w:val="008B2EAB"/>
    <w:rsid w:val="008B342A"/>
    <w:rsid w:val="008B3494"/>
    <w:rsid w:val="008B34D3"/>
    <w:rsid w:val="008B34EF"/>
    <w:rsid w:val="008B38BA"/>
    <w:rsid w:val="008B3AEB"/>
    <w:rsid w:val="008B3E17"/>
    <w:rsid w:val="008B3F52"/>
    <w:rsid w:val="008B3F88"/>
    <w:rsid w:val="008B3FB1"/>
    <w:rsid w:val="008B4135"/>
    <w:rsid w:val="008B416F"/>
    <w:rsid w:val="008B426A"/>
    <w:rsid w:val="008B4343"/>
    <w:rsid w:val="008B43DD"/>
    <w:rsid w:val="008B4412"/>
    <w:rsid w:val="008B472F"/>
    <w:rsid w:val="008B47AC"/>
    <w:rsid w:val="008B47B4"/>
    <w:rsid w:val="008B48CF"/>
    <w:rsid w:val="008B48D0"/>
    <w:rsid w:val="008B496B"/>
    <w:rsid w:val="008B49AD"/>
    <w:rsid w:val="008B49EC"/>
    <w:rsid w:val="008B4DF9"/>
    <w:rsid w:val="008B4E5C"/>
    <w:rsid w:val="008B4EE6"/>
    <w:rsid w:val="008B4F6B"/>
    <w:rsid w:val="008B526C"/>
    <w:rsid w:val="008B54D8"/>
    <w:rsid w:val="008B5B07"/>
    <w:rsid w:val="008B5CAF"/>
    <w:rsid w:val="008B61D5"/>
    <w:rsid w:val="008B6383"/>
    <w:rsid w:val="008B6477"/>
    <w:rsid w:val="008B6567"/>
    <w:rsid w:val="008B65EB"/>
    <w:rsid w:val="008B666F"/>
    <w:rsid w:val="008B6675"/>
    <w:rsid w:val="008B66DE"/>
    <w:rsid w:val="008B67C1"/>
    <w:rsid w:val="008B6BA6"/>
    <w:rsid w:val="008B6C20"/>
    <w:rsid w:val="008B6D28"/>
    <w:rsid w:val="008B6F87"/>
    <w:rsid w:val="008B73FC"/>
    <w:rsid w:val="008B73FD"/>
    <w:rsid w:val="008B76D1"/>
    <w:rsid w:val="008B76F3"/>
    <w:rsid w:val="008B7701"/>
    <w:rsid w:val="008B7959"/>
    <w:rsid w:val="008B7A28"/>
    <w:rsid w:val="008B7D35"/>
    <w:rsid w:val="008B7D98"/>
    <w:rsid w:val="008B7DF7"/>
    <w:rsid w:val="008B7E13"/>
    <w:rsid w:val="008B7EC8"/>
    <w:rsid w:val="008B7ECC"/>
    <w:rsid w:val="008C0067"/>
    <w:rsid w:val="008C0313"/>
    <w:rsid w:val="008C03AF"/>
    <w:rsid w:val="008C0423"/>
    <w:rsid w:val="008C05C8"/>
    <w:rsid w:val="008C066C"/>
    <w:rsid w:val="008C08F0"/>
    <w:rsid w:val="008C0A76"/>
    <w:rsid w:val="008C0B2C"/>
    <w:rsid w:val="008C0CBA"/>
    <w:rsid w:val="008C0E46"/>
    <w:rsid w:val="008C0FAA"/>
    <w:rsid w:val="008C105D"/>
    <w:rsid w:val="008C108B"/>
    <w:rsid w:val="008C1186"/>
    <w:rsid w:val="008C124C"/>
    <w:rsid w:val="008C12A0"/>
    <w:rsid w:val="008C13F3"/>
    <w:rsid w:val="008C14F7"/>
    <w:rsid w:val="008C1507"/>
    <w:rsid w:val="008C17E0"/>
    <w:rsid w:val="008C1814"/>
    <w:rsid w:val="008C1962"/>
    <w:rsid w:val="008C1A4D"/>
    <w:rsid w:val="008C1C40"/>
    <w:rsid w:val="008C1C6E"/>
    <w:rsid w:val="008C1CB5"/>
    <w:rsid w:val="008C1D3A"/>
    <w:rsid w:val="008C1DDA"/>
    <w:rsid w:val="008C2162"/>
    <w:rsid w:val="008C21E5"/>
    <w:rsid w:val="008C241D"/>
    <w:rsid w:val="008C256A"/>
    <w:rsid w:val="008C27B8"/>
    <w:rsid w:val="008C27E2"/>
    <w:rsid w:val="008C27E4"/>
    <w:rsid w:val="008C2AB5"/>
    <w:rsid w:val="008C3058"/>
    <w:rsid w:val="008C3066"/>
    <w:rsid w:val="008C330F"/>
    <w:rsid w:val="008C33DB"/>
    <w:rsid w:val="008C3463"/>
    <w:rsid w:val="008C36BB"/>
    <w:rsid w:val="008C373F"/>
    <w:rsid w:val="008C3854"/>
    <w:rsid w:val="008C3873"/>
    <w:rsid w:val="008C3918"/>
    <w:rsid w:val="008C3A48"/>
    <w:rsid w:val="008C3A97"/>
    <w:rsid w:val="008C3D1D"/>
    <w:rsid w:val="008C3DA5"/>
    <w:rsid w:val="008C3F9C"/>
    <w:rsid w:val="008C3FC8"/>
    <w:rsid w:val="008C40CA"/>
    <w:rsid w:val="008C40D3"/>
    <w:rsid w:val="008C40F3"/>
    <w:rsid w:val="008C476B"/>
    <w:rsid w:val="008C47D7"/>
    <w:rsid w:val="008C4B23"/>
    <w:rsid w:val="008C4BAB"/>
    <w:rsid w:val="008C4EBF"/>
    <w:rsid w:val="008C4F6E"/>
    <w:rsid w:val="008C510B"/>
    <w:rsid w:val="008C5116"/>
    <w:rsid w:val="008C5143"/>
    <w:rsid w:val="008C51E3"/>
    <w:rsid w:val="008C52FB"/>
    <w:rsid w:val="008C554C"/>
    <w:rsid w:val="008C5614"/>
    <w:rsid w:val="008C58B8"/>
    <w:rsid w:val="008C5B40"/>
    <w:rsid w:val="008C5C0F"/>
    <w:rsid w:val="008C5D93"/>
    <w:rsid w:val="008C5E21"/>
    <w:rsid w:val="008C5FAB"/>
    <w:rsid w:val="008C6031"/>
    <w:rsid w:val="008C62C3"/>
    <w:rsid w:val="008C671A"/>
    <w:rsid w:val="008C6804"/>
    <w:rsid w:val="008C68B4"/>
    <w:rsid w:val="008C69DE"/>
    <w:rsid w:val="008C6B2D"/>
    <w:rsid w:val="008C6EB3"/>
    <w:rsid w:val="008C6ECB"/>
    <w:rsid w:val="008C710C"/>
    <w:rsid w:val="008C73BF"/>
    <w:rsid w:val="008C74E5"/>
    <w:rsid w:val="008C754C"/>
    <w:rsid w:val="008C76AA"/>
    <w:rsid w:val="008C7A0C"/>
    <w:rsid w:val="008C7BF0"/>
    <w:rsid w:val="008C7C72"/>
    <w:rsid w:val="008C7CAA"/>
    <w:rsid w:val="008C7F31"/>
    <w:rsid w:val="008D007B"/>
    <w:rsid w:val="008D016C"/>
    <w:rsid w:val="008D0229"/>
    <w:rsid w:val="008D07CE"/>
    <w:rsid w:val="008D0AAB"/>
    <w:rsid w:val="008D0AC0"/>
    <w:rsid w:val="008D0B5F"/>
    <w:rsid w:val="008D0BC6"/>
    <w:rsid w:val="008D0CBA"/>
    <w:rsid w:val="008D0CC2"/>
    <w:rsid w:val="008D0E47"/>
    <w:rsid w:val="008D0E6D"/>
    <w:rsid w:val="008D0F4C"/>
    <w:rsid w:val="008D0F62"/>
    <w:rsid w:val="008D1054"/>
    <w:rsid w:val="008D11AE"/>
    <w:rsid w:val="008D1246"/>
    <w:rsid w:val="008D1277"/>
    <w:rsid w:val="008D1288"/>
    <w:rsid w:val="008D1317"/>
    <w:rsid w:val="008D1356"/>
    <w:rsid w:val="008D13A9"/>
    <w:rsid w:val="008D1431"/>
    <w:rsid w:val="008D1579"/>
    <w:rsid w:val="008D15A6"/>
    <w:rsid w:val="008D166C"/>
    <w:rsid w:val="008D1BCF"/>
    <w:rsid w:val="008D1BDE"/>
    <w:rsid w:val="008D1C31"/>
    <w:rsid w:val="008D1D09"/>
    <w:rsid w:val="008D1D6F"/>
    <w:rsid w:val="008D1F3C"/>
    <w:rsid w:val="008D201C"/>
    <w:rsid w:val="008D21A2"/>
    <w:rsid w:val="008D23B5"/>
    <w:rsid w:val="008D23CA"/>
    <w:rsid w:val="008D23CC"/>
    <w:rsid w:val="008D23D2"/>
    <w:rsid w:val="008D254E"/>
    <w:rsid w:val="008D256F"/>
    <w:rsid w:val="008D2668"/>
    <w:rsid w:val="008D27BB"/>
    <w:rsid w:val="008D27CE"/>
    <w:rsid w:val="008D2C72"/>
    <w:rsid w:val="008D2C8C"/>
    <w:rsid w:val="008D2F1F"/>
    <w:rsid w:val="008D2F32"/>
    <w:rsid w:val="008D30BF"/>
    <w:rsid w:val="008D30DC"/>
    <w:rsid w:val="008D3252"/>
    <w:rsid w:val="008D3446"/>
    <w:rsid w:val="008D3651"/>
    <w:rsid w:val="008D370F"/>
    <w:rsid w:val="008D3860"/>
    <w:rsid w:val="008D399A"/>
    <w:rsid w:val="008D39D9"/>
    <w:rsid w:val="008D3B1B"/>
    <w:rsid w:val="008D3BF9"/>
    <w:rsid w:val="008D3C8C"/>
    <w:rsid w:val="008D3E1B"/>
    <w:rsid w:val="008D3F73"/>
    <w:rsid w:val="008D3FA4"/>
    <w:rsid w:val="008D3FC1"/>
    <w:rsid w:val="008D3FCB"/>
    <w:rsid w:val="008D4A4A"/>
    <w:rsid w:val="008D4BCC"/>
    <w:rsid w:val="008D4DF7"/>
    <w:rsid w:val="008D4E4A"/>
    <w:rsid w:val="008D4F44"/>
    <w:rsid w:val="008D5023"/>
    <w:rsid w:val="008D5124"/>
    <w:rsid w:val="008D52FA"/>
    <w:rsid w:val="008D5490"/>
    <w:rsid w:val="008D570A"/>
    <w:rsid w:val="008D5B09"/>
    <w:rsid w:val="008D5B1C"/>
    <w:rsid w:val="008D5BF0"/>
    <w:rsid w:val="008D5D24"/>
    <w:rsid w:val="008D6171"/>
    <w:rsid w:val="008D6472"/>
    <w:rsid w:val="008D679C"/>
    <w:rsid w:val="008D68A4"/>
    <w:rsid w:val="008D697D"/>
    <w:rsid w:val="008D69C0"/>
    <w:rsid w:val="008D6BB4"/>
    <w:rsid w:val="008D6C16"/>
    <w:rsid w:val="008D6D67"/>
    <w:rsid w:val="008D6E18"/>
    <w:rsid w:val="008D6EE7"/>
    <w:rsid w:val="008D6EF0"/>
    <w:rsid w:val="008D7045"/>
    <w:rsid w:val="008D706C"/>
    <w:rsid w:val="008D7074"/>
    <w:rsid w:val="008D7077"/>
    <w:rsid w:val="008D70EB"/>
    <w:rsid w:val="008D71BC"/>
    <w:rsid w:val="008D7203"/>
    <w:rsid w:val="008D765F"/>
    <w:rsid w:val="008D7842"/>
    <w:rsid w:val="008D785A"/>
    <w:rsid w:val="008D7A7D"/>
    <w:rsid w:val="008D7AFD"/>
    <w:rsid w:val="008D7ED3"/>
    <w:rsid w:val="008E00B1"/>
    <w:rsid w:val="008E01A7"/>
    <w:rsid w:val="008E031E"/>
    <w:rsid w:val="008E077E"/>
    <w:rsid w:val="008E0782"/>
    <w:rsid w:val="008E0846"/>
    <w:rsid w:val="008E08AA"/>
    <w:rsid w:val="008E0C74"/>
    <w:rsid w:val="008E0DF8"/>
    <w:rsid w:val="008E0E76"/>
    <w:rsid w:val="008E1021"/>
    <w:rsid w:val="008E1077"/>
    <w:rsid w:val="008E129F"/>
    <w:rsid w:val="008E152F"/>
    <w:rsid w:val="008E16D2"/>
    <w:rsid w:val="008E188E"/>
    <w:rsid w:val="008E18A9"/>
    <w:rsid w:val="008E1C11"/>
    <w:rsid w:val="008E1C74"/>
    <w:rsid w:val="008E1CF4"/>
    <w:rsid w:val="008E1F61"/>
    <w:rsid w:val="008E21D9"/>
    <w:rsid w:val="008E220D"/>
    <w:rsid w:val="008E221A"/>
    <w:rsid w:val="008E226E"/>
    <w:rsid w:val="008E2590"/>
    <w:rsid w:val="008E259F"/>
    <w:rsid w:val="008E2629"/>
    <w:rsid w:val="008E2B5F"/>
    <w:rsid w:val="008E2E67"/>
    <w:rsid w:val="008E2EB4"/>
    <w:rsid w:val="008E30DD"/>
    <w:rsid w:val="008E3267"/>
    <w:rsid w:val="008E3497"/>
    <w:rsid w:val="008E3563"/>
    <w:rsid w:val="008E3685"/>
    <w:rsid w:val="008E3783"/>
    <w:rsid w:val="008E3911"/>
    <w:rsid w:val="008E3A2D"/>
    <w:rsid w:val="008E3A67"/>
    <w:rsid w:val="008E3BA1"/>
    <w:rsid w:val="008E3BDD"/>
    <w:rsid w:val="008E3CA8"/>
    <w:rsid w:val="008E3CE2"/>
    <w:rsid w:val="008E3E84"/>
    <w:rsid w:val="008E3EC2"/>
    <w:rsid w:val="008E3F72"/>
    <w:rsid w:val="008E41C9"/>
    <w:rsid w:val="008E44D4"/>
    <w:rsid w:val="008E45B8"/>
    <w:rsid w:val="008E45F6"/>
    <w:rsid w:val="008E493B"/>
    <w:rsid w:val="008E49E6"/>
    <w:rsid w:val="008E4A64"/>
    <w:rsid w:val="008E4A92"/>
    <w:rsid w:val="008E4B62"/>
    <w:rsid w:val="008E4C71"/>
    <w:rsid w:val="008E4CA5"/>
    <w:rsid w:val="008E4CF1"/>
    <w:rsid w:val="008E4D56"/>
    <w:rsid w:val="008E4FC9"/>
    <w:rsid w:val="008E5186"/>
    <w:rsid w:val="008E51EC"/>
    <w:rsid w:val="008E561D"/>
    <w:rsid w:val="008E56D1"/>
    <w:rsid w:val="008E575E"/>
    <w:rsid w:val="008E576E"/>
    <w:rsid w:val="008E57AF"/>
    <w:rsid w:val="008E5873"/>
    <w:rsid w:val="008E59B0"/>
    <w:rsid w:val="008E5AD1"/>
    <w:rsid w:val="008E5B9E"/>
    <w:rsid w:val="008E5CBC"/>
    <w:rsid w:val="008E5D1C"/>
    <w:rsid w:val="008E5DD3"/>
    <w:rsid w:val="008E5E63"/>
    <w:rsid w:val="008E60C1"/>
    <w:rsid w:val="008E61B9"/>
    <w:rsid w:val="008E63FF"/>
    <w:rsid w:val="008E6484"/>
    <w:rsid w:val="008E670C"/>
    <w:rsid w:val="008E69AF"/>
    <w:rsid w:val="008E6A11"/>
    <w:rsid w:val="008E6E7B"/>
    <w:rsid w:val="008E6F55"/>
    <w:rsid w:val="008E7160"/>
    <w:rsid w:val="008E7164"/>
    <w:rsid w:val="008E73A8"/>
    <w:rsid w:val="008E7407"/>
    <w:rsid w:val="008E7A1F"/>
    <w:rsid w:val="008E7A30"/>
    <w:rsid w:val="008E7C43"/>
    <w:rsid w:val="008E7FD8"/>
    <w:rsid w:val="008F007D"/>
    <w:rsid w:val="008F0166"/>
    <w:rsid w:val="008F05EE"/>
    <w:rsid w:val="008F066F"/>
    <w:rsid w:val="008F07A7"/>
    <w:rsid w:val="008F096D"/>
    <w:rsid w:val="008F09FD"/>
    <w:rsid w:val="008F0DFC"/>
    <w:rsid w:val="008F0ECC"/>
    <w:rsid w:val="008F0FFE"/>
    <w:rsid w:val="008F11CB"/>
    <w:rsid w:val="008F11E1"/>
    <w:rsid w:val="008F1204"/>
    <w:rsid w:val="008F157B"/>
    <w:rsid w:val="008F1D50"/>
    <w:rsid w:val="008F1DFC"/>
    <w:rsid w:val="008F1F88"/>
    <w:rsid w:val="008F20CF"/>
    <w:rsid w:val="008F2169"/>
    <w:rsid w:val="008F216E"/>
    <w:rsid w:val="008F21AD"/>
    <w:rsid w:val="008F21F9"/>
    <w:rsid w:val="008F23D3"/>
    <w:rsid w:val="008F2613"/>
    <w:rsid w:val="008F28D5"/>
    <w:rsid w:val="008F2A1A"/>
    <w:rsid w:val="008F2A62"/>
    <w:rsid w:val="008F2BCF"/>
    <w:rsid w:val="008F2CB8"/>
    <w:rsid w:val="008F2DB9"/>
    <w:rsid w:val="008F2FE6"/>
    <w:rsid w:val="008F3164"/>
    <w:rsid w:val="008F3171"/>
    <w:rsid w:val="008F32E0"/>
    <w:rsid w:val="008F36D2"/>
    <w:rsid w:val="008F37A0"/>
    <w:rsid w:val="008F3CAC"/>
    <w:rsid w:val="008F3DC0"/>
    <w:rsid w:val="008F3F2A"/>
    <w:rsid w:val="008F3F39"/>
    <w:rsid w:val="008F4040"/>
    <w:rsid w:val="008F4372"/>
    <w:rsid w:val="008F45B4"/>
    <w:rsid w:val="008F45EF"/>
    <w:rsid w:val="008F475C"/>
    <w:rsid w:val="008F4766"/>
    <w:rsid w:val="008F48EB"/>
    <w:rsid w:val="008F49F7"/>
    <w:rsid w:val="008F4DFF"/>
    <w:rsid w:val="008F4F8E"/>
    <w:rsid w:val="008F5205"/>
    <w:rsid w:val="008F527C"/>
    <w:rsid w:val="008F554A"/>
    <w:rsid w:val="008F5571"/>
    <w:rsid w:val="008F56B4"/>
    <w:rsid w:val="008F5947"/>
    <w:rsid w:val="008F5B61"/>
    <w:rsid w:val="008F6165"/>
    <w:rsid w:val="008F621A"/>
    <w:rsid w:val="008F6539"/>
    <w:rsid w:val="008F67C6"/>
    <w:rsid w:val="008F6999"/>
    <w:rsid w:val="008F6CDE"/>
    <w:rsid w:val="008F6F37"/>
    <w:rsid w:val="008F730E"/>
    <w:rsid w:val="008F73B4"/>
    <w:rsid w:val="008F7545"/>
    <w:rsid w:val="008F761A"/>
    <w:rsid w:val="008F783C"/>
    <w:rsid w:val="008F7A21"/>
    <w:rsid w:val="008F7B6E"/>
    <w:rsid w:val="008F7C8D"/>
    <w:rsid w:val="008F7F0D"/>
    <w:rsid w:val="008F7FC8"/>
    <w:rsid w:val="0090035C"/>
    <w:rsid w:val="00900638"/>
    <w:rsid w:val="00900D1C"/>
    <w:rsid w:val="00900EE0"/>
    <w:rsid w:val="00900EF2"/>
    <w:rsid w:val="00900FF9"/>
    <w:rsid w:val="00901106"/>
    <w:rsid w:val="00901285"/>
    <w:rsid w:val="0090128D"/>
    <w:rsid w:val="00901330"/>
    <w:rsid w:val="009014C8"/>
    <w:rsid w:val="00901682"/>
    <w:rsid w:val="009018ED"/>
    <w:rsid w:val="0090194D"/>
    <w:rsid w:val="00901A6B"/>
    <w:rsid w:val="00901BA9"/>
    <w:rsid w:val="00901C56"/>
    <w:rsid w:val="00901F0A"/>
    <w:rsid w:val="00901F4F"/>
    <w:rsid w:val="00901F5E"/>
    <w:rsid w:val="00901F65"/>
    <w:rsid w:val="00902356"/>
    <w:rsid w:val="00902382"/>
    <w:rsid w:val="009023DD"/>
    <w:rsid w:val="0090240C"/>
    <w:rsid w:val="00902410"/>
    <w:rsid w:val="00902499"/>
    <w:rsid w:val="0090259D"/>
    <w:rsid w:val="009026E0"/>
    <w:rsid w:val="009026FA"/>
    <w:rsid w:val="0090274D"/>
    <w:rsid w:val="0090285E"/>
    <w:rsid w:val="00902A4C"/>
    <w:rsid w:val="00902AA7"/>
    <w:rsid w:val="00902B55"/>
    <w:rsid w:val="00902CA6"/>
    <w:rsid w:val="00902D61"/>
    <w:rsid w:val="00902D72"/>
    <w:rsid w:val="00902E94"/>
    <w:rsid w:val="00902F5A"/>
    <w:rsid w:val="00903034"/>
    <w:rsid w:val="009030F8"/>
    <w:rsid w:val="00903591"/>
    <w:rsid w:val="00903C5A"/>
    <w:rsid w:val="00903EF4"/>
    <w:rsid w:val="00903F2E"/>
    <w:rsid w:val="00903F96"/>
    <w:rsid w:val="009040E4"/>
    <w:rsid w:val="009040F4"/>
    <w:rsid w:val="00904174"/>
    <w:rsid w:val="009041AD"/>
    <w:rsid w:val="009042CE"/>
    <w:rsid w:val="00904327"/>
    <w:rsid w:val="0090438F"/>
    <w:rsid w:val="0090445A"/>
    <w:rsid w:val="00904480"/>
    <w:rsid w:val="0090450C"/>
    <w:rsid w:val="00904852"/>
    <w:rsid w:val="00904948"/>
    <w:rsid w:val="00904E27"/>
    <w:rsid w:val="0090509B"/>
    <w:rsid w:val="0090529F"/>
    <w:rsid w:val="0090534C"/>
    <w:rsid w:val="0090558A"/>
    <w:rsid w:val="009055CF"/>
    <w:rsid w:val="00905827"/>
    <w:rsid w:val="0090589A"/>
    <w:rsid w:val="00905976"/>
    <w:rsid w:val="00905F58"/>
    <w:rsid w:val="0090653E"/>
    <w:rsid w:val="009067A4"/>
    <w:rsid w:val="009067FC"/>
    <w:rsid w:val="00906930"/>
    <w:rsid w:val="0090699E"/>
    <w:rsid w:val="009069AA"/>
    <w:rsid w:val="00906A12"/>
    <w:rsid w:val="00906A2D"/>
    <w:rsid w:val="00906CF2"/>
    <w:rsid w:val="00906D71"/>
    <w:rsid w:val="0090710C"/>
    <w:rsid w:val="0090719F"/>
    <w:rsid w:val="00907542"/>
    <w:rsid w:val="00907605"/>
    <w:rsid w:val="009077EC"/>
    <w:rsid w:val="00907A3C"/>
    <w:rsid w:val="00907DAB"/>
    <w:rsid w:val="00907DDE"/>
    <w:rsid w:val="00907E24"/>
    <w:rsid w:val="00907EAE"/>
    <w:rsid w:val="00907F3A"/>
    <w:rsid w:val="00907FCD"/>
    <w:rsid w:val="00910095"/>
    <w:rsid w:val="00910168"/>
    <w:rsid w:val="009101A7"/>
    <w:rsid w:val="00910324"/>
    <w:rsid w:val="00910553"/>
    <w:rsid w:val="00910586"/>
    <w:rsid w:val="00910601"/>
    <w:rsid w:val="00910817"/>
    <w:rsid w:val="00910892"/>
    <w:rsid w:val="009109CF"/>
    <w:rsid w:val="00910B9D"/>
    <w:rsid w:val="00910F05"/>
    <w:rsid w:val="00911180"/>
    <w:rsid w:val="00911329"/>
    <w:rsid w:val="00911418"/>
    <w:rsid w:val="009114B9"/>
    <w:rsid w:val="0091169C"/>
    <w:rsid w:val="009118A7"/>
    <w:rsid w:val="00911A76"/>
    <w:rsid w:val="00911D93"/>
    <w:rsid w:val="00911F01"/>
    <w:rsid w:val="00912365"/>
    <w:rsid w:val="009123D6"/>
    <w:rsid w:val="0091289B"/>
    <w:rsid w:val="00912A35"/>
    <w:rsid w:val="00912A37"/>
    <w:rsid w:val="00912C6B"/>
    <w:rsid w:val="009130AC"/>
    <w:rsid w:val="009131DE"/>
    <w:rsid w:val="009133CB"/>
    <w:rsid w:val="00913B62"/>
    <w:rsid w:val="00913BF7"/>
    <w:rsid w:val="00913C97"/>
    <w:rsid w:val="00913FCB"/>
    <w:rsid w:val="0091409C"/>
    <w:rsid w:val="0091411D"/>
    <w:rsid w:val="00914190"/>
    <w:rsid w:val="009143E4"/>
    <w:rsid w:val="0091440C"/>
    <w:rsid w:val="00914A03"/>
    <w:rsid w:val="00914C25"/>
    <w:rsid w:val="00914D32"/>
    <w:rsid w:val="00914F17"/>
    <w:rsid w:val="00914FAA"/>
    <w:rsid w:val="00915255"/>
    <w:rsid w:val="00915784"/>
    <w:rsid w:val="009159BD"/>
    <w:rsid w:val="00915E90"/>
    <w:rsid w:val="009160DD"/>
    <w:rsid w:val="009162CB"/>
    <w:rsid w:val="009162E7"/>
    <w:rsid w:val="009163DB"/>
    <w:rsid w:val="00916515"/>
    <w:rsid w:val="009167B9"/>
    <w:rsid w:val="009168BD"/>
    <w:rsid w:val="00916B07"/>
    <w:rsid w:val="00916B79"/>
    <w:rsid w:val="00916BA5"/>
    <w:rsid w:val="00916D6B"/>
    <w:rsid w:val="00916EEA"/>
    <w:rsid w:val="00916F7C"/>
    <w:rsid w:val="00916FC2"/>
    <w:rsid w:val="00916FCA"/>
    <w:rsid w:val="0091711B"/>
    <w:rsid w:val="00917253"/>
    <w:rsid w:val="0091739B"/>
    <w:rsid w:val="009176EA"/>
    <w:rsid w:val="0091772F"/>
    <w:rsid w:val="009179DE"/>
    <w:rsid w:val="00917A5C"/>
    <w:rsid w:val="00917DB8"/>
    <w:rsid w:val="00917DFF"/>
    <w:rsid w:val="00917E67"/>
    <w:rsid w:val="00917F96"/>
    <w:rsid w:val="009206A6"/>
    <w:rsid w:val="009209DE"/>
    <w:rsid w:val="00920C9C"/>
    <w:rsid w:val="00920F07"/>
    <w:rsid w:val="009212CD"/>
    <w:rsid w:val="009212DA"/>
    <w:rsid w:val="009217C1"/>
    <w:rsid w:val="009218D1"/>
    <w:rsid w:val="00921F04"/>
    <w:rsid w:val="00922035"/>
    <w:rsid w:val="00922156"/>
    <w:rsid w:val="0092224A"/>
    <w:rsid w:val="009223FB"/>
    <w:rsid w:val="00922424"/>
    <w:rsid w:val="0092261B"/>
    <w:rsid w:val="00922995"/>
    <w:rsid w:val="00922A51"/>
    <w:rsid w:val="00922AEC"/>
    <w:rsid w:val="00922BE7"/>
    <w:rsid w:val="00922D55"/>
    <w:rsid w:val="00922D71"/>
    <w:rsid w:val="00922DDA"/>
    <w:rsid w:val="00922E3A"/>
    <w:rsid w:val="00922FDE"/>
    <w:rsid w:val="0092302F"/>
    <w:rsid w:val="00923132"/>
    <w:rsid w:val="0092337F"/>
    <w:rsid w:val="0092340E"/>
    <w:rsid w:val="009234BC"/>
    <w:rsid w:val="009235E3"/>
    <w:rsid w:val="00923838"/>
    <w:rsid w:val="009238E0"/>
    <w:rsid w:val="00923B07"/>
    <w:rsid w:val="00924120"/>
    <w:rsid w:val="0092419F"/>
    <w:rsid w:val="009244F6"/>
    <w:rsid w:val="0092471E"/>
    <w:rsid w:val="009248B3"/>
    <w:rsid w:val="00924A0F"/>
    <w:rsid w:val="00924A36"/>
    <w:rsid w:val="00924B1A"/>
    <w:rsid w:val="00924B21"/>
    <w:rsid w:val="00924B3B"/>
    <w:rsid w:val="00924FBC"/>
    <w:rsid w:val="00924FDD"/>
    <w:rsid w:val="009252D7"/>
    <w:rsid w:val="009253DB"/>
    <w:rsid w:val="0092553B"/>
    <w:rsid w:val="00925596"/>
    <w:rsid w:val="009258A3"/>
    <w:rsid w:val="0092597F"/>
    <w:rsid w:val="00925B49"/>
    <w:rsid w:val="00925B63"/>
    <w:rsid w:val="009264B1"/>
    <w:rsid w:val="009264E1"/>
    <w:rsid w:val="0092662B"/>
    <w:rsid w:val="00926BEE"/>
    <w:rsid w:val="00926C1B"/>
    <w:rsid w:val="00926C49"/>
    <w:rsid w:val="00926CF9"/>
    <w:rsid w:val="00926DA4"/>
    <w:rsid w:val="00926DB3"/>
    <w:rsid w:val="009270B3"/>
    <w:rsid w:val="00927143"/>
    <w:rsid w:val="009273BC"/>
    <w:rsid w:val="0092742F"/>
    <w:rsid w:val="00927498"/>
    <w:rsid w:val="00927553"/>
    <w:rsid w:val="00927949"/>
    <w:rsid w:val="00927AD6"/>
    <w:rsid w:val="009300B9"/>
    <w:rsid w:val="009301EB"/>
    <w:rsid w:val="00930248"/>
    <w:rsid w:val="0093025B"/>
    <w:rsid w:val="0093045D"/>
    <w:rsid w:val="00930564"/>
    <w:rsid w:val="00930657"/>
    <w:rsid w:val="009306A6"/>
    <w:rsid w:val="009306F4"/>
    <w:rsid w:val="00930765"/>
    <w:rsid w:val="009307F6"/>
    <w:rsid w:val="00930826"/>
    <w:rsid w:val="00930922"/>
    <w:rsid w:val="009309AE"/>
    <w:rsid w:val="009309B2"/>
    <w:rsid w:val="00930B0C"/>
    <w:rsid w:val="00930C7D"/>
    <w:rsid w:val="00931100"/>
    <w:rsid w:val="0093117A"/>
    <w:rsid w:val="009311B7"/>
    <w:rsid w:val="00931593"/>
    <w:rsid w:val="009315A1"/>
    <w:rsid w:val="009315D9"/>
    <w:rsid w:val="009317AB"/>
    <w:rsid w:val="00931C5B"/>
    <w:rsid w:val="00932151"/>
    <w:rsid w:val="00932604"/>
    <w:rsid w:val="009328AD"/>
    <w:rsid w:val="00932AF5"/>
    <w:rsid w:val="00932BC4"/>
    <w:rsid w:val="00932C0B"/>
    <w:rsid w:val="00932F0F"/>
    <w:rsid w:val="00932F1A"/>
    <w:rsid w:val="0093313A"/>
    <w:rsid w:val="009331D9"/>
    <w:rsid w:val="009333CF"/>
    <w:rsid w:val="009336D9"/>
    <w:rsid w:val="00933C51"/>
    <w:rsid w:val="00933CBD"/>
    <w:rsid w:val="00933D48"/>
    <w:rsid w:val="00933E5D"/>
    <w:rsid w:val="00933E88"/>
    <w:rsid w:val="00933EA9"/>
    <w:rsid w:val="00934489"/>
    <w:rsid w:val="00934538"/>
    <w:rsid w:val="009347FE"/>
    <w:rsid w:val="00934AE4"/>
    <w:rsid w:val="00934B62"/>
    <w:rsid w:val="00934DCB"/>
    <w:rsid w:val="00934DF9"/>
    <w:rsid w:val="00934F6C"/>
    <w:rsid w:val="00934F99"/>
    <w:rsid w:val="00935062"/>
    <w:rsid w:val="009350E8"/>
    <w:rsid w:val="00935692"/>
    <w:rsid w:val="00935747"/>
    <w:rsid w:val="009357C0"/>
    <w:rsid w:val="009358B0"/>
    <w:rsid w:val="00935904"/>
    <w:rsid w:val="00935990"/>
    <w:rsid w:val="00935A0A"/>
    <w:rsid w:val="00935DA6"/>
    <w:rsid w:val="00935F82"/>
    <w:rsid w:val="00936175"/>
    <w:rsid w:val="009362FB"/>
    <w:rsid w:val="00936345"/>
    <w:rsid w:val="00936367"/>
    <w:rsid w:val="00936440"/>
    <w:rsid w:val="009366E8"/>
    <w:rsid w:val="00936ACD"/>
    <w:rsid w:val="00936B3D"/>
    <w:rsid w:val="00936E8F"/>
    <w:rsid w:val="0093765E"/>
    <w:rsid w:val="00937ABE"/>
    <w:rsid w:val="00937C7B"/>
    <w:rsid w:val="00937ED6"/>
    <w:rsid w:val="00937FBE"/>
    <w:rsid w:val="00937FE8"/>
    <w:rsid w:val="0094063C"/>
    <w:rsid w:val="009407D9"/>
    <w:rsid w:val="0094090F"/>
    <w:rsid w:val="00940E3E"/>
    <w:rsid w:val="00940EA5"/>
    <w:rsid w:val="00940F0D"/>
    <w:rsid w:val="00941102"/>
    <w:rsid w:val="00941124"/>
    <w:rsid w:val="0094117B"/>
    <w:rsid w:val="0094119F"/>
    <w:rsid w:val="0094121B"/>
    <w:rsid w:val="00941381"/>
    <w:rsid w:val="00941533"/>
    <w:rsid w:val="00941654"/>
    <w:rsid w:val="009417B9"/>
    <w:rsid w:val="00941946"/>
    <w:rsid w:val="00941BCE"/>
    <w:rsid w:val="00941C71"/>
    <w:rsid w:val="00941F44"/>
    <w:rsid w:val="009420D0"/>
    <w:rsid w:val="00942114"/>
    <w:rsid w:val="009421AD"/>
    <w:rsid w:val="009422B4"/>
    <w:rsid w:val="00942624"/>
    <w:rsid w:val="0094271C"/>
    <w:rsid w:val="0094275C"/>
    <w:rsid w:val="0094289C"/>
    <w:rsid w:val="009428F3"/>
    <w:rsid w:val="00942974"/>
    <w:rsid w:val="00942C8E"/>
    <w:rsid w:val="0094316A"/>
    <w:rsid w:val="00943453"/>
    <w:rsid w:val="00943889"/>
    <w:rsid w:val="00943960"/>
    <w:rsid w:val="00943973"/>
    <w:rsid w:val="00943CDE"/>
    <w:rsid w:val="00943E35"/>
    <w:rsid w:val="00943E73"/>
    <w:rsid w:val="00943F89"/>
    <w:rsid w:val="00944156"/>
    <w:rsid w:val="009443A2"/>
    <w:rsid w:val="009445AE"/>
    <w:rsid w:val="009445E0"/>
    <w:rsid w:val="009446A8"/>
    <w:rsid w:val="009447DE"/>
    <w:rsid w:val="00944A74"/>
    <w:rsid w:val="00944B41"/>
    <w:rsid w:val="00944F37"/>
    <w:rsid w:val="00944FE6"/>
    <w:rsid w:val="00945098"/>
    <w:rsid w:val="0094533E"/>
    <w:rsid w:val="0094536E"/>
    <w:rsid w:val="009456C4"/>
    <w:rsid w:val="00945762"/>
    <w:rsid w:val="009458BD"/>
    <w:rsid w:val="009459FB"/>
    <w:rsid w:val="00945AAE"/>
    <w:rsid w:val="00945D0E"/>
    <w:rsid w:val="00945DB9"/>
    <w:rsid w:val="009461B7"/>
    <w:rsid w:val="00946368"/>
    <w:rsid w:val="0094649A"/>
    <w:rsid w:val="00946657"/>
    <w:rsid w:val="00946661"/>
    <w:rsid w:val="009466B0"/>
    <w:rsid w:val="00946770"/>
    <w:rsid w:val="00946D09"/>
    <w:rsid w:val="00946D59"/>
    <w:rsid w:val="00946E7F"/>
    <w:rsid w:val="00947268"/>
    <w:rsid w:val="00947507"/>
    <w:rsid w:val="009475E3"/>
    <w:rsid w:val="00947645"/>
    <w:rsid w:val="00947795"/>
    <w:rsid w:val="009477A2"/>
    <w:rsid w:val="00947866"/>
    <w:rsid w:val="00947C09"/>
    <w:rsid w:val="00950033"/>
    <w:rsid w:val="00950089"/>
    <w:rsid w:val="009502D4"/>
    <w:rsid w:val="009503D8"/>
    <w:rsid w:val="00950487"/>
    <w:rsid w:val="0095091A"/>
    <w:rsid w:val="0095093A"/>
    <w:rsid w:val="00950BFA"/>
    <w:rsid w:val="00950E97"/>
    <w:rsid w:val="0095106F"/>
    <w:rsid w:val="009511B5"/>
    <w:rsid w:val="009512DC"/>
    <w:rsid w:val="0095133F"/>
    <w:rsid w:val="00951345"/>
    <w:rsid w:val="009513CE"/>
    <w:rsid w:val="009514BE"/>
    <w:rsid w:val="009514E4"/>
    <w:rsid w:val="009519C7"/>
    <w:rsid w:val="00951FAF"/>
    <w:rsid w:val="009522DD"/>
    <w:rsid w:val="009526E3"/>
    <w:rsid w:val="00952755"/>
    <w:rsid w:val="00952896"/>
    <w:rsid w:val="00952D48"/>
    <w:rsid w:val="00952E76"/>
    <w:rsid w:val="00952EC5"/>
    <w:rsid w:val="0095300A"/>
    <w:rsid w:val="00953097"/>
    <w:rsid w:val="009530A5"/>
    <w:rsid w:val="00953497"/>
    <w:rsid w:val="009534F1"/>
    <w:rsid w:val="00953514"/>
    <w:rsid w:val="0095361B"/>
    <w:rsid w:val="00953775"/>
    <w:rsid w:val="009538C6"/>
    <w:rsid w:val="009538F8"/>
    <w:rsid w:val="00953968"/>
    <w:rsid w:val="009539B4"/>
    <w:rsid w:val="009539D0"/>
    <w:rsid w:val="00953A20"/>
    <w:rsid w:val="00953AEE"/>
    <w:rsid w:val="00953BB6"/>
    <w:rsid w:val="00953C10"/>
    <w:rsid w:val="00953E2A"/>
    <w:rsid w:val="00953ED2"/>
    <w:rsid w:val="00953F04"/>
    <w:rsid w:val="00953F31"/>
    <w:rsid w:val="009541A1"/>
    <w:rsid w:val="009541B7"/>
    <w:rsid w:val="0095442C"/>
    <w:rsid w:val="009544A7"/>
    <w:rsid w:val="00954747"/>
    <w:rsid w:val="00954A63"/>
    <w:rsid w:val="00954A65"/>
    <w:rsid w:val="00954B8F"/>
    <w:rsid w:val="00954C7B"/>
    <w:rsid w:val="00954DE9"/>
    <w:rsid w:val="00954E29"/>
    <w:rsid w:val="00954EB1"/>
    <w:rsid w:val="0095529C"/>
    <w:rsid w:val="009554F3"/>
    <w:rsid w:val="00955548"/>
    <w:rsid w:val="009555D9"/>
    <w:rsid w:val="00955CBD"/>
    <w:rsid w:val="00955DA6"/>
    <w:rsid w:val="00956583"/>
    <w:rsid w:val="00956B00"/>
    <w:rsid w:val="00956B94"/>
    <w:rsid w:val="00956BEB"/>
    <w:rsid w:val="00956CEF"/>
    <w:rsid w:val="00957108"/>
    <w:rsid w:val="00957552"/>
    <w:rsid w:val="00957587"/>
    <w:rsid w:val="009579AE"/>
    <w:rsid w:val="009579BA"/>
    <w:rsid w:val="00957B21"/>
    <w:rsid w:val="00957E66"/>
    <w:rsid w:val="009605BD"/>
    <w:rsid w:val="0096077D"/>
    <w:rsid w:val="009608DA"/>
    <w:rsid w:val="009609E7"/>
    <w:rsid w:val="009610A7"/>
    <w:rsid w:val="009610CF"/>
    <w:rsid w:val="00961332"/>
    <w:rsid w:val="009614BA"/>
    <w:rsid w:val="00961617"/>
    <w:rsid w:val="00961806"/>
    <w:rsid w:val="00961BBE"/>
    <w:rsid w:val="00961D81"/>
    <w:rsid w:val="00961E59"/>
    <w:rsid w:val="009620AD"/>
    <w:rsid w:val="009620DA"/>
    <w:rsid w:val="009621FE"/>
    <w:rsid w:val="00962274"/>
    <w:rsid w:val="00962331"/>
    <w:rsid w:val="00962D85"/>
    <w:rsid w:val="00962E48"/>
    <w:rsid w:val="00962F24"/>
    <w:rsid w:val="0096302E"/>
    <w:rsid w:val="00963340"/>
    <w:rsid w:val="009633A1"/>
    <w:rsid w:val="0096351F"/>
    <w:rsid w:val="00963552"/>
    <w:rsid w:val="0096360B"/>
    <w:rsid w:val="0096365C"/>
    <w:rsid w:val="009637A9"/>
    <w:rsid w:val="00963E2E"/>
    <w:rsid w:val="00963E3D"/>
    <w:rsid w:val="00963E9D"/>
    <w:rsid w:val="00963FB3"/>
    <w:rsid w:val="009646DC"/>
    <w:rsid w:val="009647AB"/>
    <w:rsid w:val="00964849"/>
    <w:rsid w:val="009648D6"/>
    <w:rsid w:val="00964ACA"/>
    <w:rsid w:val="00964B16"/>
    <w:rsid w:val="00964FB8"/>
    <w:rsid w:val="0096514D"/>
    <w:rsid w:val="0096515C"/>
    <w:rsid w:val="0096554E"/>
    <w:rsid w:val="00965C1D"/>
    <w:rsid w:val="00965CD0"/>
    <w:rsid w:val="00965EFE"/>
    <w:rsid w:val="00965F08"/>
    <w:rsid w:val="0096601C"/>
    <w:rsid w:val="009660BA"/>
    <w:rsid w:val="00966287"/>
    <w:rsid w:val="00966364"/>
    <w:rsid w:val="009665C0"/>
    <w:rsid w:val="009666A3"/>
    <w:rsid w:val="00966725"/>
    <w:rsid w:val="00966761"/>
    <w:rsid w:val="009667CD"/>
    <w:rsid w:val="0096686B"/>
    <w:rsid w:val="00966B5F"/>
    <w:rsid w:val="00966B9A"/>
    <w:rsid w:val="00966C8D"/>
    <w:rsid w:val="00966DA4"/>
    <w:rsid w:val="00966FA1"/>
    <w:rsid w:val="00966FBF"/>
    <w:rsid w:val="0096711B"/>
    <w:rsid w:val="009677E0"/>
    <w:rsid w:val="0096785A"/>
    <w:rsid w:val="00967865"/>
    <w:rsid w:val="00967B89"/>
    <w:rsid w:val="00967C16"/>
    <w:rsid w:val="00967C28"/>
    <w:rsid w:val="00967C50"/>
    <w:rsid w:val="00967D08"/>
    <w:rsid w:val="00967D21"/>
    <w:rsid w:val="00967F30"/>
    <w:rsid w:val="00970195"/>
    <w:rsid w:val="0097033E"/>
    <w:rsid w:val="00970E07"/>
    <w:rsid w:val="00970E43"/>
    <w:rsid w:val="00970E56"/>
    <w:rsid w:val="00970E7C"/>
    <w:rsid w:val="00970F18"/>
    <w:rsid w:val="00971071"/>
    <w:rsid w:val="0097110B"/>
    <w:rsid w:val="0097115E"/>
    <w:rsid w:val="0097120C"/>
    <w:rsid w:val="00971507"/>
    <w:rsid w:val="00971668"/>
    <w:rsid w:val="009718CD"/>
    <w:rsid w:val="009719EF"/>
    <w:rsid w:val="00971A60"/>
    <w:rsid w:val="00971AFD"/>
    <w:rsid w:val="00971FC2"/>
    <w:rsid w:val="0097227D"/>
    <w:rsid w:val="009724AB"/>
    <w:rsid w:val="009725EC"/>
    <w:rsid w:val="00972821"/>
    <w:rsid w:val="009729AF"/>
    <w:rsid w:val="009732CE"/>
    <w:rsid w:val="009734B4"/>
    <w:rsid w:val="009734BE"/>
    <w:rsid w:val="009735C3"/>
    <w:rsid w:val="009736A5"/>
    <w:rsid w:val="00973704"/>
    <w:rsid w:val="0097384E"/>
    <w:rsid w:val="009738B7"/>
    <w:rsid w:val="00973A7E"/>
    <w:rsid w:val="00973E20"/>
    <w:rsid w:val="00973E68"/>
    <w:rsid w:val="00974004"/>
    <w:rsid w:val="00974084"/>
    <w:rsid w:val="00974150"/>
    <w:rsid w:val="009742CE"/>
    <w:rsid w:val="00974380"/>
    <w:rsid w:val="0097470A"/>
    <w:rsid w:val="0097481B"/>
    <w:rsid w:val="00974E2D"/>
    <w:rsid w:val="00974F5A"/>
    <w:rsid w:val="0097505B"/>
    <w:rsid w:val="00975090"/>
    <w:rsid w:val="009750B9"/>
    <w:rsid w:val="00975266"/>
    <w:rsid w:val="009752D5"/>
    <w:rsid w:val="0097532B"/>
    <w:rsid w:val="00975432"/>
    <w:rsid w:val="00975B20"/>
    <w:rsid w:val="00975BB4"/>
    <w:rsid w:val="00975CA0"/>
    <w:rsid w:val="00975E1F"/>
    <w:rsid w:val="00975E6C"/>
    <w:rsid w:val="0097607E"/>
    <w:rsid w:val="009762C0"/>
    <w:rsid w:val="00976426"/>
    <w:rsid w:val="0097642E"/>
    <w:rsid w:val="009764EC"/>
    <w:rsid w:val="00976640"/>
    <w:rsid w:val="00976652"/>
    <w:rsid w:val="0097677F"/>
    <w:rsid w:val="009767CB"/>
    <w:rsid w:val="0097682A"/>
    <w:rsid w:val="00976BDB"/>
    <w:rsid w:val="00976C79"/>
    <w:rsid w:val="00977062"/>
    <w:rsid w:val="0097707B"/>
    <w:rsid w:val="00977519"/>
    <w:rsid w:val="00977661"/>
    <w:rsid w:val="009777A0"/>
    <w:rsid w:val="00977808"/>
    <w:rsid w:val="00977A72"/>
    <w:rsid w:val="00980228"/>
    <w:rsid w:val="0098024F"/>
    <w:rsid w:val="00980542"/>
    <w:rsid w:val="00980773"/>
    <w:rsid w:val="00980949"/>
    <w:rsid w:val="009809A4"/>
    <w:rsid w:val="00980E5D"/>
    <w:rsid w:val="00981017"/>
    <w:rsid w:val="009811F7"/>
    <w:rsid w:val="009814AF"/>
    <w:rsid w:val="00981691"/>
    <w:rsid w:val="00981A13"/>
    <w:rsid w:val="00981DAF"/>
    <w:rsid w:val="00981E31"/>
    <w:rsid w:val="00981F4E"/>
    <w:rsid w:val="009823A3"/>
    <w:rsid w:val="00982427"/>
    <w:rsid w:val="009824CF"/>
    <w:rsid w:val="00982527"/>
    <w:rsid w:val="0098257B"/>
    <w:rsid w:val="00982962"/>
    <w:rsid w:val="00982A78"/>
    <w:rsid w:val="00983267"/>
    <w:rsid w:val="0098343A"/>
    <w:rsid w:val="0098349A"/>
    <w:rsid w:val="009834CA"/>
    <w:rsid w:val="00983598"/>
    <w:rsid w:val="009835E4"/>
    <w:rsid w:val="009836A8"/>
    <w:rsid w:val="009839F6"/>
    <w:rsid w:val="00983AA1"/>
    <w:rsid w:val="00983AC8"/>
    <w:rsid w:val="00983F0A"/>
    <w:rsid w:val="00983F2D"/>
    <w:rsid w:val="0098414F"/>
    <w:rsid w:val="009842CD"/>
    <w:rsid w:val="009843C9"/>
    <w:rsid w:val="0098453F"/>
    <w:rsid w:val="00984839"/>
    <w:rsid w:val="009848B9"/>
    <w:rsid w:val="00984A56"/>
    <w:rsid w:val="00984C1C"/>
    <w:rsid w:val="00984E69"/>
    <w:rsid w:val="0098502E"/>
    <w:rsid w:val="0098557D"/>
    <w:rsid w:val="00985635"/>
    <w:rsid w:val="009856D8"/>
    <w:rsid w:val="009858DD"/>
    <w:rsid w:val="00986013"/>
    <w:rsid w:val="00986705"/>
    <w:rsid w:val="00986986"/>
    <w:rsid w:val="00986C03"/>
    <w:rsid w:val="00986CAA"/>
    <w:rsid w:val="00987003"/>
    <w:rsid w:val="00987703"/>
    <w:rsid w:val="00987763"/>
    <w:rsid w:val="009878B5"/>
    <w:rsid w:val="00987C10"/>
    <w:rsid w:val="00990165"/>
    <w:rsid w:val="009904C8"/>
    <w:rsid w:val="00990B15"/>
    <w:rsid w:val="00990B31"/>
    <w:rsid w:val="00990C0C"/>
    <w:rsid w:val="00990E67"/>
    <w:rsid w:val="00990ECB"/>
    <w:rsid w:val="00990EFA"/>
    <w:rsid w:val="00991263"/>
    <w:rsid w:val="009913FF"/>
    <w:rsid w:val="00991405"/>
    <w:rsid w:val="00991406"/>
    <w:rsid w:val="0099145C"/>
    <w:rsid w:val="009914EB"/>
    <w:rsid w:val="009915C0"/>
    <w:rsid w:val="009917C8"/>
    <w:rsid w:val="00991C77"/>
    <w:rsid w:val="0099229D"/>
    <w:rsid w:val="009922B4"/>
    <w:rsid w:val="00992300"/>
    <w:rsid w:val="009926AD"/>
    <w:rsid w:val="009927E6"/>
    <w:rsid w:val="009928A7"/>
    <w:rsid w:val="00992A65"/>
    <w:rsid w:val="00992A9C"/>
    <w:rsid w:val="00992CC2"/>
    <w:rsid w:val="00992D1E"/>
    <w:rsid w:val="00992D87"/>
    <w:rsid w:val="00992D97"/>
    <w:rsid w:val="009936CE"/>
    <w:rsid w:val="00993728"/>
    <w:rsid w:val="009937D1"/>
    <w:rsid w:val="00993AAD"/>
    <w:rsid w:val="0099401C"/>
    <w:rsid w:val="00994170"/>
    <w:rsid w:val="009941DC"/>
    <w:rsid w:val="00994311"/>
    <w:rsid w:val="0099460A"/>
    <w:rsid w:val="00994815"/>
    <w:rsid w:val="00994953"/>
    <w:rsid w:val="00994EDE"/>
    <w:rsid w:val="00994F39"/>
    <w:rsid w:val="009951C4"/>
    <w:rsid w:val="0099530B"/>
    <w:rsid w:val="009957A7"/>
    <w:rsid w:val="009957C0"/>
    <w:rsid w:val="009957DC"/>
    <w:rsid w:val="009958F5"/>
    <w:rsid w:val="00995B72"/>
    <w:rsid w:val="009960D4"/>
    <w:rsid w:val="0099640D"/>
    <w:rsid w:val="00996413"/>
    <w:rsid w:val="00996481"/>
    <w:rsid w:val="0099685C"/>
    <w:rsid w:val="00996959"/>
    <w:rsid w:val="00996A41"/>
    <w:rsid w:val="00996C25"/>
    <w:rsid w:val="00996C33"/>
    <w:rsid w:val="00996C3A"/>
    <w:rsid w:val="00996C6B"/>
    <w:rsid w:val="00996CFE"/>
    <w:rsid w:val="00996E1D"/>
    <w:rsid w:val="00996E40"/>
    <w:rsid w:val="00996EBD"/>
    <w:rsid w:val="0099708E"/>
    <w:rsid w:val="009970BC"/>
    <w:rsid w:val="009974E5"/>
    <w:rsid w:val="00997556"/>
    <w:rsid w:val="00997641"/>
    <w:rsid w:val="009979B0"/>
    <w:rsid w:val="00997C71"/>
    <w:rsid w:val="00997CDD"/>
    <w:rsid w:val="00997E34"/>
    <w:rsid w:val="009A003E"/>
    <w:rsid w:val="009A018C"/>
    <w:rsid w:val="009A02F8"/>
    <w:rsid w:val="009A03E4"/>
    <w:rsid w:val="009A04F1"/>
    <w:rsid w:val="009A069F"/>
    <w:rsid w:val="009A06C4"/>
    <w:rsid w:val="009A0905"/>
    <w:rsid w:val="009A0928"/>
    <w:rsid w:val="009A09BC"/>
    <w:rsid w:val="009A0B2A"/>
    <w:rsid w:val="009A0BF2"/>
    <w:rsid w:val="009A0E85"/>
    <w:rsid w:val="009A0FBB"/>
    <w:rsid w:val="009A0FE4"/>
    <w:rsid w:val="009A1044"/>
    <w:rsid w:val="009A1051"/>
    <w:rsid w:val="009A1171"/>
    <w:rsid w:val="009A1396"/>
    <w:rsid w:val="009A13EF"/>
    <w:rsid w:val="009A1651"/>
    <w:rsid w:val="009A186A"/>
    <w:rsid w:val="009A18DA"/>
    <w:rsid w:val="009A1B61"/>
    <w:rsid w:val="009A1C25"/>
    <w:rsid w:val="009A2097"/>
    <w:rsid w:val="009A25B0"/>
    <w:rsid w:val="009A28A7"/>
    <w:rsid w:val="009A2B89"/>
    <w:rsid w:val="009A2C25"/>
    <w:rsid w:val="009A2CA9"/>
    <w:rsid w:val="009A2DF1"/>
    <w:rsid w:val="009A308D"/>
    <w:rsid w:val="009A30B2"/>
    <w:rsid w:val="009A314E"/>
    <w:rsid w:val="009A318D"/>
    <w:rsid w:val="009A31CE"/>
    <w:rsid w:val="009A34D1"/>
    <w:rsid w:val="009A34E2"/>
    <w:rsid w:val="009A3BE5"/>
    <w:rsid w:val="009A405E"/>
    <w:rsid w:val="009A41A0"/>
    <w:rsid w:val="009A41D8"/>
    <w:rsid w:val="009A427B"/>
    <w:rsid w:val="009A44E2"/>
    <w:rsid w:val="009A468B"/>
    <w:rsid w:val="009A46BD"/>
    <w:rsid w:val="009A46C3"/>
    <w:rsid w:val="009A4837"/>
    <w:rsid w:val="009A48CC"/>
    <w:rsid w:val="009A497D"/>
    <w:rsid w:val="009A4AA1"/>
    <w:rsid w:val="009A4BFF"/>
    <w:rsid w:val="009A4CB1"/>
    <w:rsid w:val="009A4CB6"/>
    <w:rsid w:val="009A4F68"/>
    <w:rsid w:val="009A4F6C"/>
    <w:rsid w:val="009A5077"/>
    <w:rsid w:val="009A5096"/>
    <w:rsid w:val="009A50E1"/>
    <w:rsid w:val="009A5241"/>
    <w:rsid w:val="009A52AA"/>
    <w:rsid w:val="009A52D6"/>
    <w:rsid w:val="009A57B9"/>
    <w:rsid w:val="009A5A6A"/>
    <w:rsid w:val="009A5A9D"/>
    <w:rsid w:val="009A5B06"/>
    <w:rsid w:val="009A5C52"/>
    <w:rsid w:val="009A5D50"/>
    <w:rsid w:val="009A5DB6"/>
    <w:rsid w:val="009A5F31"/>
    <w:rsid w:val="009A6210"/>
    <w:rsid w:val="009A632F"/>
    <w:rsid w:val="009A6334"/>
    <w:rsid w:val="009A63E3"/>
    <w:rsid w:val="009A6525"/>
    <w:rsid w:val="009A67EC"/>
    <w:rsid w:val="009A690C"/>
    <w:rsid w:val="009A6978"/>
    <w:rsid w:val="009A6C58"/>
    <w:rsid w:val="009A6C7B"/>
    <w:rsid w:val="009A6D33"/>
    <w:rsid w:val="009A6E6F"/>
    <w:rsid w:val="009A6E89"/>
    <w:rsid w:val="009A6F83"/>
    <w:rsid w:val="009A700A"/>
    <w:rsid w:val="009A70BD"/>
    <w:rsid w:val="009A714A"/>
    <w:rsid w:val="009A7155"/>
    <w:rsid w:val="009A7254"/>
    <w:rsid w:val="009A76E3"/>
    <w:rsid w:val="009A7745"/>
    <w:rsid w:val="009A7760"/>
    <w:rsid w:val="009A7822"/>
    <w:rsid w:val="009A7858"/>
    <w:rsid w:val="009A790C"/>
    <w:rsid w:val="009A79DB"/>
    <w:rsid w:val="009A7BE0"/>
    <w:rsid w:val="009A7C01"/>
    <w:rsid w:val="009A7D93"/>
    <w:rsid w:val="009A7E62"/>
    <w:rsid w:val="009A7E6E"/>
    <w:rsid w:val="009ADB97"/>
    <w:rsid w:val="009B0194"/>
    <w:rsid w:val="009B03B2"/>
    <w:rsid w:val="009B0442"/>
    <w:rsid w:val="009B065A"/>
    <w:rsid w:val="009B0955"/>
    <w:rsid w:val="009B12C3"/>
    <w:rsid w:val="009B154B"/>
    <w:rsid w:val="009B1730"/>
    <w:rsid w:val="009B1AAF"/>
    <w:rsid w:val="009B1AD4"/>
    <w:rsid w:val="009B1BD9"/>
    <w:rsid w:val="009B1C7F"/>
    <w:rsid w:val="009B1D74"/>
    <w:rsid w:val="009B2317"/>
    <w:rsid w:val="009B2509"/>
    <w:rsid w:val="009B2735"/>
    <w:rsid w:val="009B2787"/>
    <w:rsid w:val="009B2DB3"/>
    <w:rsid w:val="009B2DD3"/>
    <w:rsid w:val="009B2DE9"/>
    <w:rsid w:val="009B2E77"/>
    <w:rsid w:val="009B2F09"/>
    <w:rsid w:val="009B2F17"/>
    <w:rsid w:val="009B300E"/>
    <w:rsid w:val="009B32B2"/>
    <w:rsid w:val="009B3535"/>
    <w:rsid w:val="009B372E"/>
    <w:rsid w:val="009B3855"/>
    <w:rsid w:val="009B3902"/>
    <w:rsid w:val="009B3956"/>
    <w:rsid w:val="009B3968"/>
    <w:rsid w:val="009B3C85"/>
    <w:rsid w:val="009B3FFD"/>
    <w:rsid w:val="009B4016"/>
    <w:rsid w:val="009B4299"/>
    <w:rsid w:val="009B4393"/>
    <w:rsid w:val="009B4455"/>
    <w:rsid w:val="009B46C7"/>
    <w:rsid w:val="009B46DE"/>
    <w:rsid w:val="009B47B8"/>
    <w:rsid w:val="009B484C"/>
    <w:rsid w:val="009B4946"/>
    <w:rsid w:val="009B4A4A"/>
    <w:rsid w:val="009B4A9F"/>
    <w:rsid w:val="009B4B7A"/>
    <w:rsid w:val="009B4B89"/>
    <w:rsid w:val="009B4C6C"/>
    <w:rsid w:val="009B4E23"/>
    <w:rsid w:val="009B4E41"/>
    <w:rsid w:val="009B52BD"/>
    <w:rsid w:val="009B53BB"/>
    <w:rsid w:val="009B5944"/>
    <w:rsid w:val="009B59BF"/>
    <w:rsid w:val="009B5ACE"/>
    <w:rsid w:val="009B5B97"/>
    <w:rsid w:val="009B5B9E"/>
    <w:rsid w:val="009B5CD2"/>
    <w:rsid w:val="009B5DEC"/>
    <w:rsid w:val="009B5E40"/>
    <w:rsid w:val="009B5F4E"/>
    <w:rsid w:val="009B61D3"/>
    <w:rsid w:val="009B61E6"/>
    <w:rsid w:val="009B6263"/>
    <w:rsid w:val="009B6682"/>
    <w:rsid w:val="009B671F"/>
    <w:rsid w:val="009B67B6"/>
    <w:rsid w:val="009B693F"/>
    <w:rsid w:val="009B6B48"/>
    <w:rsid w:val="009B6B64"/>
    <w:rsid w:val="009B6BC8"/>
    <w:rsid w:val="009B6F46"/>
    <w:rsid w:val="009B7121"/>
    <w:rsid w:val="009B7185"/>
    <w:rsid w:val="009B7280"/>
    <w:rsid w:val="009B7558"/>
    <w:rsid w:val="009B75E4"/>
    <w:rsid w:val="009B784D"/>
    <w:rsid w:val="009B789D"/>
    <w:rsid w:val="009B7BC7"/>
    <w:rsid w:val="009B7BCA"/>
    <w:rsid w:val="009B7F12"/>
    <w:rsid w:val="009B7F5D"/>
    <w:rsid w:val="009C023B"/>
    <w:rsid w:val="009C0270"/>
    <w:rsid w:val="009C0284"/>
    <w:rsid w:val="009C0397"/>
    <w:rsid w:val="009C03C4"/>
    <w:rsid w:val="009C0428"/>
    <w:rsid w:val="009C0578"/>
    <w:rsid w:val="009C071D"/>
    <w:rsid w:val="009C0967"/>
    <w:rsid w:val="009C0A9E"/>
    <w:rsid w:val="009C0B7A"/>
    <w:rsid w:val="009C0FC9"/>
    <w:rsid w:val="009C11A9"/>
    <w:rsid w:val="009C1382"/>
    <w:rsid w:val="009C13AD"/>
    <w:rsid w:val="009C1400"/>
    <w:rsid w:val="009C14E1"/>
    <w:rsid w:val="009C18DB"/>
    <w:rsid w:val="009C1913"/>
    <w:rsid w:val="009C1A5E"/>
    <w:rsid w:val="009C1B7B"/>
    <w:rsid w:val="009C1BD3"/>
    <w:rsid w:val="009C1C29"/>
    <w:rsid w:val="009C2085"/>
    <w:rsid w:val="009C20C0"/>
    <w:rsid w:val="009C23C6"/>
    <w:rsid w:val="009C2511"/>
    <w:rsid w:val="009C27A9"/>
    <w:rsid w:val="009C2802"/>
    <w:rsid w:val="009C2A4C"/>
    <w:rsid w:val="009C2C2D"/>
    <w:rsid w:val="009C3152"/>
    <w:rsid w:val="009C319E"/>
    <w:rsid w:val="009C345D"/>
    <w:rsid w:val="009C346D"/>
    <w:rsid w:val="009C347D"/>
    <w:rsid w:val="009C34B9"/>
    <w:rsid w:val="009C37F0"/>
    <w:rsid w:val="009C3931"/>
    <w:rsid w:val="009C3A53"/>
    <w:rsid w:val="009C3B3C"/>
    <w:rsid w:val="009C40A6"/>
    <w:rsid w:val="009C42F1"/>
    <w:rsid w:val="009C42FD"/>
    <w:rsid w:val="009C465A"/>
    <w:rsid w:val="009C46C6"/>
    <w:rsid w:val="009C4A65"/>
    <w:rsid w:val="009C4D50"/>
    <w:rsid w:val="009C4D79"/>
    <w:rsid w:val="009C4FFB"/>
    <w:rsid w:val="009C5047"/>
    <w:rsid w:val="009C51B0"/>
    <w:rsid w:val="009C547D"/>
    <w:rsid w:val="009C5625"/>
    <w:rsid w:val="009C56DD"/>
    <w:rsid w:val="009C5EC6"/>
    <w:rsid w:val="009C6104"/>
    <w:rsid w:val="009C61D3"/>
    <w:rsid w:val="009C6309"/>
    <w:rsid w:val="009C6337"/>
    <w:rsid w:val="009C633D"/>
    <w:rsid w:val="009C63AB"/>
    <w:rsid w:val="009C64C7"/>
    <w:rsid w:val="009C678E"/>
    <w:rsid w:val="009C68D0"/>
    <w:rsid w:val="009C6A1D"/>
    <w:rsid w:val="009C6BF8"/>
    <w:rsid w:val="009C6C0A"/>
    <w:rsid w:val="009C6F61"/>
    <w:rsid w:val="009C6FF3"/>
    <w:rsid w:val="009C71BF"/>
    <w:rsid w:val="009C7235"/>
    <w:rsid w:val="009C729B"/>
    <w:rsid w:val="009C72DE"/>
    <w:rsid w:val="009C7817"/>
    <w:rsid w:val="009C7916"/>
    <w:rsid w:val="009C79E4"/>
    <w:rsid w:val="009C7A2E"/>
    <w:rsid w:val="009C7F77"/>
    <w:rsid w:val="009D0288"/>
    <w:rsid w:val="009D02C8"/>
    <w:rsid w:val="009D0400"/>
    <w:rsid w:val="009D04A1"/>
    <w:rsid w:val="009D04F6"/>
    <w:rsid w:val="009D0916"/>
    <w:rsid w:val="009D09CB"/>
    <w:rsid w:val="009D0F21"/>
    <w:rsid w:val="009D1024"/>
    <w:rsid w:val="009D1060"/>
    <w:rsid w:val="009D119C"/>
    <w:rsid w:val="009D149B"/>
    <w:rsid w:val="009D14E3"/>
    <w:rsid w:val="009D15B3"/>
    <w:rsid w:val="009D1630"/>
    <w:rsid w:val="009D171C"/>
    <w:rsid w:val="009D1728"/>
    <w:rsid w:val="009D191A"/>
    <w:rsid w:val="009D1ACF"/>
    <w:rsid w:val="009D1B36"/>
    <w:rsid w:val="009D1BB6"/>
    <w:rsid w:val="009D1BFC"/>
    <w:rsid w:val="009D1E00"/>
    <w:rsid w:val="009D1F6D"/>
    <w:rsid w:val="009D2046"/>
    <w:rsid w:val="009D208B"/>
    <w:rsid w:val="009D213C"/>
    <w:rsid w:val="009D21A7"/>
    <w:rsid w:val="009D238A"/>
    <w:rsid w:val="009D2451"/>
    <w:rsid w:val="009D2BA4"/>
    <w:rsid w:val="009D2FE2"/>
    <w:rsid w:val="009D31F2"/>
    <w:rsid w:val="009D35DB"/>
    <w:rsid w:val="009D3890"/>
    <w:rsid w:val="009D3BBF"/>
    <w:rsid w:val="009D3F4A"/>
    <w:rsid w:val="009D439E"/>
    <w:rsid w:val="009D45F6"/>
    <w:rsid w:val="009D479A"/>
    <w:rsid w:val="009D4829"/>
    <w:rsid w:val="009D4996"/>
    <w:rsid w:val="009D4E74"/>
    <w:rsid w:val="009D5026"/>
    <w:rsid w:val="009D5778"/>
    <w:rsid w:val="009D5A05"/>
    <w:rsid w:val="009D5A0F"/>
    <w:rsid w:val="009D5A80"/>
    <w:rsid w:val="009D5AE7"/>
    <w:rsid w:val="009D5C5A"/>
    <w:rsid w:val="009D67E0"/>
    <w:rsid w:val="009D6A8A"/>
    <w:rsid w:val="009D6E57"/>
    <w:rsid w:val="009D785C"/>
    <w:rsid w:val="009D7A8F"/>
    <w:rsid w:val="009D7C9D"/>
    <w:rsid w:val="009D7CD8"/>
    <w:rsid w:val="009D7D7C"/>
    <w:rsid w:val="009D7F55"/>
    <w:rsid w:val="009D7FF5"/>
    <w:rsid w:val="009D7FF9"/>
    <w:rsid w:val="009E0080"/>
    <w:rsid w:val="009E009D"/>
    <w:rsid w:val="009E055E"/>
    <w:rsid w:val="009E0582"/>
    <w:rsid w:val="009E0995"/>
    <w:rsid w:val="009E0A67"/>
    <w:rsid w:val="009E0B06"/>
    <w:rsid w:val="009E0C98"/>
    <w:rsid w:val="009E0EBD"/>
    <w:rsid w:val="009E109D"/>
    <w:rsid w:val="009E1335"/>
    <w:rsid w:val="009E139F"/>
    <w:rsid w:val="009E14D2"/>
    <w:rsid w:val="009E155E"/>
    <w:rsid w:val="009E17D6"/>
    <w:rsid w:val="009E185B"/>
    <w:rsid w:val="009E1887"/>
    <w:rsid w:val="009E1A07"/>
    <w:rsid w:val="009E1A5F"/>
    <w:rsid w:val="009E1A6C"/>
    <w:rsid w:val="009E1A72"/>
    <w:rsid w:val="009E1AA3"/>
    <w:rsid w:val="009E1AD5"/>
    <w:rsid w:val="009E1C3E"/>
    <w:rsid w:val="009E1D48"/>
    <w:rsid w:val="009E1DC8"/>
    <w:rsid w:val="009E2049"/>
    <w:rsid w:val="009E21D1"/>
    <w:rsid w:val="009E2270"/>
    <w:rsid w:val="009E239E"/>
    <w:rsid w:val="009E244B"/>
    <w:rsid w:val="009E254D"/>
    <w:rsid w:val="009E2B13"/>
    <w:rsid w:val="009E2DD5"/>
    <w:rsid w:val="009E2EAB"/>
    <w:rsid w:val="009E2ED7"/>
    <w:rsid w:val="009E2EF7"/>
    <w:rsid w:val="009E2F1F"/>
    <w:rsid w:val="009E2F91"/>
    <w:rsid w:val="009E3100"/>
    <w:rsid w:val="009E3130"/>
    <w:rsid w:val="009E31D5"/>
    <w:rsid w:val="009E31F0"/>
    <w:rsid w:val="009E3423"/>
    <w:rsid w:val="009E3597"/>
    <w:rsid w:val="009E3648"/>
    <w:rsid w:val="009E3855"/>
    <w:rsid w:val="009E38AE"/>
    <w:rsid w:val="009E3CD7"/>
    <w:rsid w:val="009E3D99"/>
    <w:rsid w:val="009E4085"/>
    <w:rsid w:val="009E417F"/>
    <w:rsid w:val="009E42D2"/>
    <w:rsid w:val="009E441C"/>
    <w:rsid w:val="009E4771"/>
    <w:rsid w:val="009E490E"/>
    <w:rsid w:val="009E4F90"/>
    <w:rsid w:val="009E5B9F"/>
    <w:rsid w:val="009E5BB0"/>
    <w:rsid w:val="009E5EC9"/>
    <w:rsid w:val="009E60D3"/>
    <w:rsid w:val="009E6315"/>
    <w:rsid w:val="009E6B4B"/>
    <w:rsid w:val="009E6BEB"/>
    <w:rsid w:val="009E6DEC"/>
    <w:rsid w:val="009E6E53"/>
    <w:rsid w:val="009E700A"/>
    <w:rsid w:val="009E7117"/>
    <w:rsid w:val="009E72B5"/>
    <w:rsid w:val="009E72D6"/>
    <w:rsid w:val="009E76FC"/>
    <w:rsid w:val="009E7799"/>
    <w:rsid w:val="009E7875"/>
    <w:rsid w:val="009E78C4"/>
    <w:rsid w:val="009E7B17"/>
    <w:rsid w:val="009E7E61"/>
    <w:rsid w:val="009E7E6D"/>
    <w:rsid w:val="009E7F7C"/>
    <w:rsid w:val="009F0177"/>
    <w:rsid w:val="009F0570"/>
    <w:rsid w:val="009F09DB"/>
    <w:rsid w:val="009F0BA7"/>
    <w:rsid w:val="009F0E06"/>
    <w:rsid w:val="009F0F1D"/>
    <w:rsid w:val="009F0F2F"/>
    <w:rsid w:val="009F10D6"/>
    <w:rsid w:val="009F1150"/>
    <w:rsid w:val="009F12A6"/>
    <w:rsid w:val="009F1388"/>
    <w:rsid w:val="009F13E9"/>
    <w:rsid w:val="009F1577"/>
    <w:rsid w:val="009F167B"/>
    <w:rsid w:val="009F16EB"/>
    <w:rsid w:val="009F1A19"/>
    <w:rsid w:val="009F1A63"/>
    <w:rsid w:val="009F1A6F"/>
    <w:rsid w:val="009F1C3A"/>
    <w:rsid w:val="009F1C8B"/>
    <w:rsid w:val="009F2145"/>
    <w:rsid w:val="009F21D7"/>
    <w:rsid w:val="009F2413"/>
    <w:rsid w:val="009F258A"/>
    <w:rsid w:val="009F2A28"/>
    <w:rsid w:val="009F2BC1"/>
    <w:rsid w:val="009F2D5D"/>
    <w:rsid w:val="009F2F00"/>
    <w:rsid w:val="009F316B"/>
    <w:rsid w:val="009F32A4"/>
    <w:rsid w:val="009F33FE"/>
    <w:rsid w:val="009F35CD"/>
    <w:rsid w:val="009F3CE6"/>
    <w:rsid w:val="009F3EFD"/>
    <w:rsid w:val="009F3F75"/>
    <w:rsid w:val="009F4016"/>
    <w:rsid w:val="009F4238"/>
    <w:rsid w:val="009F440B"/>
    <w:rsid w:val="009F4752"/>
    <w:rsid w:val="009F4767"/>
    <w:rsid w:val="009F48C7"/>
    <w:rsid w:val="009F4908"/>
    <w:rsid w:val="009F4953"/>
    <w:rsid w:val="009F49A8"/>
    <w:rsid w:val="009F4A24"/>
    <w:rsid w:val="009F4B2A"/>
    <w:rsid w:val="009F4BD3"/>
    <w:rsid w:val="009F4C2F"/>
    <w:rsid w:val="009F4C54"/>
    <w:rsid w:val="009F4DF7"/>
    <w:rsid w:val="009F4E11"/>
    <w:rsid w:val="009F5178"/>
    <w:rsid w:val="009F52D1"/>
    <w:rsid w:val="009F52D4"/>
    <w:rsid w:val="009F5451"/>
    <w:rsid w:val="009F56F5"/>
    <w:rsid w:val="009F5716"/>
    <w:rsid w:val="009F5731"/>
    <w:rsid w:val="009F5796"/>
    <w:rsid w:val="009F5806"/>
    <w:rsid w:val="009F5B2B"/>
    <w:rsid w:val="009F5C4D"/>
    <w:rsid w:val="009F5E80"/>
    <w:rsid w:val="009F5F45"/>
    <w:rsid w:val="009F5FB8"/>
    <w:rsid w:val="009F60BD"/>
    <w:rsid w:val="009F60E0"/>
    <w:rsid w:val="009F6437"/>
    <w:rsid w:val="009F644C"/>
    <w:rsid w:val="009F6462"/>
    <w:rsid w:val="009F687A"/>
    <w:rsid w:val="009F69C3"/>
    <w:rsid w:val="009F6A06"/>
    <w:rsid w:val="009F6A07"/>
    <w:rsid w:val="009F6B0B"/>
    <w:rsid w:val="009F6BD3"/>
    <w:rsid w:val="009F6DC0"/>
    <w:rsid w:val="009F6F36"/>
    <w:rsid w:val="009F71AC"/>
    <w:rsid w:val="009F7250"/>
    <w:rsid w:val="009F72F4"/>
    <w:rsid w:val="009F74A7"/>
    <w:rsid w:val="009F778A"/>
    <w:rsid w:val="009F7825"/>
    <w:rsid w:val="009F78B5"/>
    <w:rsid w:val="009F7BB3"/>
    <w:rsid w:val="009F7CE6"/>
    <w:rsid w:val="009F7D76"/>
    <w:rsid w:val="009F7FDD"/>
    <w:rsid w:val="00A000AC"/>
    <w:rsid w:val="00A002CB"/>
    <w:rsid w:val="00A00576"/>
    <w:rsid w:val="00A006DD"/>
    <w:rsid w:val="00A00821"/>
    <w:rsid w:val="00A00914"/>
    <w:rsid w:val="00A00C27"/>
    <w:rsid w:val="00A00DBA"/>
    <w:rsid w:val="00A00EBF"/>
    <w:rsid w:val="00A00EED"/>
    <w:rsid w:val="00A01308"/>
    <w:rsid w:val="00A01639"/>
    <w:rsid w:val="00A01838"/>
    <w:rsid w:val="00A018AE"/>
    <w:rsid w:val="00A01B82"/>
    <w:rsid w:val="00A01D5E"/>
    <w:rsid w:val="00A01EA5"/>
    <w:rsid w:val="00A01FD3"/>
    <w:rsid w:val="00A02484"/>
    <w:rsid w:val="00A0250F"/>
    <w:rsid w:val="00A025D1"/>
    <w:rsid w:val="00A0286F"/>
    <w:rsid w:val="00A028D5"/>
    <w:rsid w:val="00A029F6"/>
    <w:rsid w:val="00A02CC5"/>
    <w:rsid w:val="00A02CDB"/>
    <w:rsid w:val="00A02D88"/>
    <w:rsid w:val="00A02DBC"/>
    <w:rsid w:val="00A02E94"/>
    <w:rsid w:val="00A02F99"/>
    <w:rsid w:val="00A03299"/>
    <w:rsid w:val="00A03494"/>
    <w:rsid w:val="00A03644"/>
    <w:rsid w:val="00A0375E"/>
    <w:rsid w:val="00A03865"/>
    <w:rsid w:val="00A03912"/>
    <w:rsid w:val="00A039C4"/>
    <w:rsid w:val="00A03A02"/>
    <w:rsid w:val="00A03B34"/>
    <w:rsid w:val="00A03B9A"/>
    <w:rsid w:val="00A03D19"/>
    <w:rsid w:val="00A03D93"/>
    <w:rsid w:val="00A043DF"/>
    <w:rsid w:val="00A0446E"/>
    <w:rsid w:val="00A044A1"/>
    <w:rsid w:val="00A04939"/>
    <w:rsid w:val="00A04A2E"/>
    <w:rsid w:val="00A04C42"/>
    <w:rsid w:val="00A04C9E"/>
    <w:rsid w:val="00A04E60"/>
    <w:rsid w:val="00A04EA5"/>
    <w:rsid w:val="00A05104"/>
    <w:rsid w:val="00A05689"/>
    <w:rsid w:val="00A05872"/>
    <w:rsid w:val="00A05A96"/>
    <w:rsid w:val="00A05D39"/>
    <w:rsid w:val="00A05FBF"/>
    <w:rsid w:val="00A0630A"/>
    <w:rsid w:val="00A06659"/>
    <w:rsid w:val="00A068D0"/>
    <w:rsid w:val="00A06B20"/>
    <w:rsid w:val="00A06C97"/>
    <w:rsid w:val="00A06D30"/>
    <w:rsid w:val="00A07101"/>
    <w:rsid w:val="00A071BD"/>
    <w:rsid w:val="00A0726C"/>
    <w:rsid w:val="00A07373"/>
    <w:rsid w:val="00A074FA"/>
    <w:rsid w:val="00A07652"/>
    <w:rsid w:val="00A07770"/>
    <w:rsid w:val="00A079A8"/>
    <w:rsid w:val="00A07A3F"/>
    <w:rsid w:val="00A07BFB"/>
    <w:rsid w:val="00A07D3B"/>
    <w:rsid w:val="00A07D66"/>
    <w:rsid w:val="00A100B6"/>
    <w:rsid w:val="00A100BA"/>
    <w:rsid w:val="00A100D4"/>
    <w:rsid w:val="00A10374"/>
    <w:rsid w:val="00A10741"/>
    <w:rsid w:val="00A10800"/>
    <w:rsid w:val="00A10E6B"/>
    <w:rsid w:val="00A10EC0"/>
    <w:rsid w:val="00A10F83"/>
    <w:rsid w:val="00A110F5"/>
    <w:rsid w:val="00A1121F"/>
    <w:rsid w:val="00A1132A"/>
    <w:rsid w:val="00A1151D"/>
    <w:rsid w:val="00A117A6"/>
    <w:rsid w:val="00A118C7"/>
    <w:rsid w:val="00A1191A"/>
    <w:rsid w:val="00A11990"/>
    <w:rsid w:val="00A11ACF"/>
    <w:rsid w:val="00A11BF5"/>
    <w:rsid w:val="00A1216E"/>
    <w:rsid w:val="00A12233"/>
    <w:rsid w:val="00A1227C"/>
    <w:rsid w:val="00A123E2"/>
    <w:rsid w:val="00A124B0"/>
    <w:rsid w:val="00A125A5"/>
    <w:rsid w:val="00A1264C"/>
    <w:rsid w:val="00A1282E"/>
    <w:rsid w:val="00A12C87"/>
    <w:rsid w:val="00A12FAF"/>
    <w:rsid w:val="00A1315F"/>
    <w:rsid w:val="00A133A4"/>
    <w:rsid w:val="00A134BA"/>
    <w:rsid w:val="00A135A3"/>
    <w:rsid w:val="00A13B42"/>
    <w:rsid w:val="00A13B77"/>
    <w:rsid w:val="00A13CF2"/>
    <w:rsid w:val="00A13D5A"/>
    <w:rsid w:val="00A1406D"/>
    <w:rsid w:val="00A140A9"/>
    <w:rsid w:val="00A140D0"/>
    <w:rsid w:val="00A14155"/>
    <w:rsid w:val="00A14390"/>
    <w:rsid w:val="00A143EE"/>
    <w:rsid w:val="00A1440D"/>
    <w:rsid w:val="00A14A49"/>
    <w:rsid w:val="00A14A64"/>
    <w:rsid w:val="00A14C2B"/>
    <w:rsid w:val="00A14C90"/>
    <w:rsid w:val="00A14CB4"/>
    <w:rsid w:val="00A14D19"/>
    <w:rsid w:val="00A14ED7"/>
    <w:rsid w:val="00A150F8"/>
    <w:rsid w:val="00A15289"/>
    <w:rsid w:val="00A15432"/>
    <w:rsid w:val="00A15672"/>
    <w:rsid w:val="00A157FF"/>
    <w:rsid w:val="00A15FFB"/>
    <w:rsid w:val="00A16443"/>
    <w:rsid w:val="00A166A0"/>
    <w:rsid w:val="00A16747"/>
    <w:rsid w:val="00A1689F"/>
    <w:rsid w:val="00A1697A"/>
    <w:rsid w:val="00A169D7"/>
    <w:rsid w:val="00A16B06"/>
    <w:rsid w:val="00A16C8D"/>
    <w:rsid w:val="00A16CD0"/>
    <w:rsid w:val="00A16E8D"/>
    <w:rsid w:val="00A17821"/>
    <w:rsid w:val="00A1793F"/>
    <w:rsid w:val="00A17A15"/>
    <w:rsid w:val="00A17E1E"/>
    <w:rsid w:val="00A20063"/>
    <w:rsid w:val="00A205DB"/>
    <w:rsid w:val="00A20617"/>
    <w:rsid w:val="00A20636"/>
    <w:rsid w:val="00A2063D"/>
    <w:rsid w:val="00A20726"/>
    <w:rsid w:val="00A20EFE"/>
    <w:rsid w:val="00A21133"/>
    <w:rsid w:val="00A2139B"/>
    <w:rsid w:val="00A214FA"/>
    <w:rsid w:val="00A218E5"/>
    <w:rsid w:val="00A21989"/>
    <w:rsid w:val="00A21B97"/>
    <w:rsid w:val="00A21C1D"/>
    <w:rsid w:val="00A21D32"/>
    <w:rsid w:val="00A21D5F"/>
    <w:rsid w:val="00A21E90"/>
    <w:rsid w:val="00A21F31"/>
    <w:rsid w:val="00A2201E"/>
    <w:rsid w:val="00A220F5"/>
    <w:rsid w:val="00A2214F"/>
    <w:rsid w:val="00A22284"/>
    <w:rsid w:val="00A2242B"/>
    <w:rsid w:val="00A225D3"/>
    <w:rsid w:val="00A2263F"/>
    <w:rsid w:val="00A2265E"/>
    <w:rsid w:val="00A226BE"/>
    <w:rsid w:val="00A22B7E"/>
    <w:rsid w:val="00A22BE7"/>
    <w:rsid w:val="00A22C9A"/>
    <w:rsid w:val="00A23202"/>
    <w:rsid w:val="00A2377E"/>
    <w:rsid w:val="00A23A25"/>
    <w:rsid w:val="00A23AAD"/>
    <w:rsid w:val="00A23E5E"/>
    <w:rsid w:val="00A23E8B"/>
    <w:rsid w:val="00A23ECA"/>
    <w:rsid w:val="00A2423B"/>
    <w:rsid w:val="00A2443F"/>
    <w:rsid w:val="00A244E7"/>
    <w:rsid w:val="00A2466C"/>
    <w:rsid w:val="00A24823"/>
    <w:rsid w:val="00A248AF"/>
    <w:rsid w:val="00A249A1"/>
    <w:rsid w:val="00A249D4"/>
    <w:rsid w:val="00A24B2A"/>
    <w:rsid w:val="00A24D0D"/>
    <w:rsid w:val="00A25077"/>
    <w:rsid w:val="00A2511C"/>
    <w:rsid w:val="00A253B9"/>
    <w:rsid w:val="00A2545A"/>
    <w:rsid w:val="00A255EA"/>
    <w:rsid w:val="00A2562A"/>
    <w:rsid w:val="00A2568C"/>
    <w:rsid w:val="00A25725"/>
    <w:rsid w:val="00A25736"/>
    <w:rsid w:val="00A25AB1"/>
    <w:rsid w:val="00A25BF7"/>
    <w:rsid w:val="00A25D23"/>
    <w:rsid w:val="00A25FFF"/>
    <w:rsid w:val="00A26195"/>
    <w:rsid w:val="00A26363"/>
    <w:rsid w:val="00A26629"/>
    <w:rsid w:val="00A26663"/>
    <w:rsid w:val="00A26691"/>
    <w:rsid w:val="00A266A9"/>
    <w:rsid w:val="00A26752"/>
    <w:rsid w:val="00A268F6"/>
    <w:rsid w:val="00A2697F"/>
    <w:rsid w:val="00A26A2F"/>
    <w:rsid w:val="00A26DA8"/>
    <w:rsid w:val="00A26DE5"/>
    <w:rsid w:val="00A26FEA"/>
    <w:rsid w:val="00A270F8"/>
    <w:rsid w:val="00A2740B"/>
    <w:rsid w:val="00A275D0"/>
    <w:rsid w:val="00A275F8"/>
    <w:rsid w:val="00A2767D"/>
    <w:rsid w:val="00A27A9F"/>
    <w:rsid w:val="00A27B97"/>
    <w:rsid w:val="00A27C16"/>
    <w:rsid w:val="00A27C48"/>
    <w:rsid w:val="00A27C6A"/>
    <w:rsid w:val="00A27C82"/>
    <w:rsid w:val="00A27CF0"/>
    <w:rsid w:val="00A27E94"/>
    <w:rsid w:val="00A27EA8"/>
    <w:rsid w:val="00A27F65"/>
    <w:rsid w:val="00A27FA9"/>
    <w:rsid w:val="00A3043E"/>
    <w:rsid w:val="00A30486"/>
    <w:rsid w:val="00A304B6"/>
    <w:rsid w:val="00A304FF"/>
    <w:rsid w:val="00A305EE"/>
    <w:rsid w:val="00A3070E"/>
    <w:rsid w:val="00A30868"/>
    <w:rsid w:val="00A30F8E"/>
    <w:rsid w:val="00A30FB7"/>
    <w:rsid w:val="00A31011"/>
    <w:rsid w:val="00A31422"/>
    <w:rsid w:val="00A316F1"/>
    <w:rsid w:val="00A31734"/>
    <w:rsid w:val="00A3182C"/>
    <w:rsid w:val="00A31A65"/>
    <w:rsid w:val="00A31EA8"/>
    <w:rsid w:val="00A321DB"/>
    <w:rsid w:val="00A322A6"/>
    <w:rsid w:val="00A32362"/>
    <w:rsid w:val="00A325CB"/>
    <w:rsid w:val="00A325EF"/>
    <w:rsid w:val="00A32682"/>
    <w:rsid w:val="00A327DD"/>
    <w:rsid w:val="00A327FC"/>
    <w:rsid w:val="00A3283A"/>
    <w:rsid w:val="00A32964"/>
    <w:rsid w:val="00A32D2D"/>
    <w:rsid w:val="00A332B3"/>
    <w:rsid w:val="00A33467"/>
    <w:rsid w:val="00A33534"/>
    <w:rsid w:val="00A335DB"/>
    <w:rsid w:val="00A335DF"/>
    <w:rsid w:val="00A33735"/>
    <w:rsid w:val="00A338DD"/>
    <w:rsid w:val="00A33902"/>
    <w:rsid w:val="00A33AB4"/>
    <w:rsid w:val="00A33B15"/>
    <w:rsid w:val="00A33C25"/>
    <w:rsid w:val="00A33D4D"/>
    <w:rsid w:val="00A33DAA"/>
    <w:rsid w:val="00A34160"/>
    <w:rsid w:val="00A341FA"/>
    <w:rsid w:val="00A3425B"/>
    <w:rsid w:val="00A34485"/>
    <w:rsid w:val="00A3478F"/>
    <w:rsid w:val="00A349AD"/>
    <w:rsid w:val="00A349B9"/>
    <w:rsid w:val="00A34A09"/>
    <w:rsid w:val="00A34B83"/>
    <w:rsid w:val="00A3514A"/>
    <w:rsid w:val="00A35363"/>
    <w:rsid w:val="00A35484"/>
    <w:rsid w:val="00A3583A"/>
    <w:rsid w:val="00A35916"/>
    <w:rsid w:val="00A35926"/>
    <w:rsid w:val="00A35EA7"/>
    <w:rsid w:val="00A35ED8"/>
    <w:rsid w:val="00A35FBF"/>
    <w:rsid w:val="00A36189"/>
    <w:rsid w:val="00A36533"/>
    <w:rsid w:val="00A368D1"/>
    <w:rsid w:val="00A36A0D"/>
    <w:rsid w:val="00A36B0D"/>
    <w:rsid w:val="00A36B17"/>
    <w:rsid w:val="00A37061"/>
    <w:rsid w:val="00A3743A"/>
    <w:rsid w:val="00A37565"/>
    <w:rsid w:val="00A3762C"/>
    <w:rsid w:val="00A376FD"/>
    <w:rsid w:val="00A37850"/>
    <w:rsid w:val="00A378AA"/>
    <w:rsid w:val="00A3793E"/>
    <w:rsid w:val="00A37A20"/>
    <w:rsid w:val="00A37BD9"/>
    <w:rsid w:val="00A37BF1"/>
    <w:rsid w:val="00A37C2A"/>
    <w:rsid w:val="00A37C98"/>
    <w:rsid w:val="00A37EBF"/>
    <w:rsid w:val="00A37F18"/>
    <w:rsid w:val="00A40018"/>
    <w:rsid w:val="00A40573"/>
    <w:rsid w:val="00A40B0D"/>
    <w:rsid w:val="00A410B3"/>
    <w:rsid w:val="00A411BE"/>
    <w:rsid w:val="00A414BB"/>
    <w:rsid w:val="00A41787"/>
    <w:rsid w:val="00A41A97"/>
    <w:rsid w:val="00A41C00"/>
    <w:rsid w:val="00A41D14"/>
    <w:rsid w:val="00A41E58"/>
    <w:rsid w:val="00A42155"/>
    <w:rsid w:val="00A42404"/>
    <w:rsid w:val="00A4276C"/>
    <w:rsid w:val="00A427B1"/>
    <w:rsid w:val="00A4283E"/>
    <w:rsid w:val="00A42B15"/>
    <w:rsid w:val="00A42C81"/>
    <w:rsid w:val="00A42D34"/>
    <w:rsid w:val="00A42D98"/>
    <w:rsid w:val="00A42ED9"/>
    <w:rsid w:val="00A42EF2"/>
    <w:rsid w:val="00A43094"/>
    <w:rsid w:val="00A431D7"/>
    <w:rsid w:val="00A43A3A"/>
    <w:rsid w:val="00A43B7D"/>
    <w:rsid w:val="00A43C06"/>
    <w:rsid w:val="00A43C54"/>
    <w:rsid w:val="00A43CF9"/>
    <w:rsid w:val="00A43DB5"/>
    <w:rsid w:val="00A43FC0"/>
    <w:rsid w:val="00A43FFB"/>
    <w:rsid w:val="00A44060"/>
    <w:rsid w:val="00A44289"/>
    <w:rsid w:val="00A445FD"/>
    <w:rsid w:val="00A4478E"/>
    <w:rsid w:val="00A44859"/>
    <w:rsid w:val="00A448AD"/>
    <w:rsid w:val="00A44A7D"/>
    <w:rsid w:val="00A44EB5"/>
    <w:rsid w:val="00A450AC"/>
    <w:rsid w:val="00A4510D"/>
    <w:rsid w:val="00A452BA"/>
    <w:rsid w:val="00A453C2"/>
    <w:rsid w:val="00A45A1A"/>
    <w:rsid w:val="00A45A1B"/>
    <w:rsid w:val="00A45A98"/>
    <w:rsid w:val="00A45C46"/>
    <w:rsid w:val="00A45D84"/>
    <w:rsid w:val="00A45E81"/>
    <w:rsid w:val="00A45F60"/>
    <w:rsid w:val="00A4600C"/>
    <w:rsid w:val="00A46041"/>
    <w:rsid w:val="00A461AB"/>
    <w:rsid w:val="00A46467"/>
    <w:rsid w:val="00A46490"/>
    <w:rsid w:val="00A4655D"/>
    <w:rsid w:val="00A465AA"/>
    <w:rsid w:val="00A46738"/>
    <w:rsid w:val="00A4675E"/>
    <w:rsid w:val="00A467E3"/>
    <w:rsid w:val="00A4685F"/>
    <w:rsid w:val="00A4686C"/>
    <w:rsid w:val="00A46C2D"/>
    <w:rsid w:val="00A46CFA"/>
    <w:rsid w:val="00A46D14"/>
    <w:rsid w:val="00A46EB1"/>
    <w:rsid w:val="00A4721E"/>
    <w:rsid w:val="00A47246"/>
    <w:rsid w:val="00A47406"/>
    <w:rsid w:val="00A47498"/>
    <w:rsid w:val="00A474B2"/>
    <w:rsid w:val="00A4754C"/>
    <w:rsid w:val="00A4794A"/>
    <w:rsid w:val="00A47955"/>
    <w:rsid w:val="00A47FC2"/>
    <w:rsid w:val="00A50216"/>
    <w:rsid w:val="00A50470"/>
    <w:rsid w:val="00A50B8E"/>
    <w:rsid w:val="00A50BCC"/>
    <w:rsid w:val="00A51072"/>
    <w:rsid w:val="00A511DE"/>
    <w:rsid w:val="00A513E5"/>
    <w:rsid w:val="00A5145C"/>
    <w:rsid w:val="00A514B3"/>
    <w:rsid w:val="00A515FB"/>
    <w:rsid w:val="00A5167A"/>
    <w:rsid w:val="00A51877"/>
    <w:rsid w:val="00A51D0E"/>
    <w:rsid w:val="00A51F0D"/>
    <w:rsid w:val="00A521B8"/>
    <w:rsid w:val="00A5223E"/>
    <w:rsid w:val="00A5230E"/>
    <w:rsid w:val="00A523C3"/>
    <w:rsid w:val="00A52601"/>
    <w:rsid w:val="00A5286D"/>
    <w:rsid w:val="00A529A8"/>
    <w:rsid w:val="00A52BC7"/>
    <w:rsid w:val="00A52C0F"/>
    <w:rsid w:val="00A52EB0"/>
    <w:rsid w:val="00A530EA"/>
    <w:rsid w:val="00A53152"/>
    <w:rsid w:val="00A531B5"/>
    <w:rsid w:val="00A531B7"/>
    <w:rsid w:val="00A53508"/>
    <w:rsid w:val="00A536D2"/>
    <w:rsid w:val="00A537FB"/>
    <w:rsid w:val="00A53845"/>
    <w:rsid w:val="00A5393C"/>
    <w:rsid w:val="00A539B2"/>
    <w:rsid w:val="00A53D42"/>
    <w:rsid w:val="00A540EA"/>
    <w:rsid w:val="00A540FD"/>
    <w:rsid w:val="00A541AE"/>
    <w:rsid w:val="00A54366"/>
    <w:rsid w:val="00A543F9"/>
    <w:rsid w:val="00A54460"/>
    <w:rsid w:val="00A54757"/>
    <w:rsid w:val="00A54AB7"/>
    <w:rsid w:val="00A54B8F"/>
    <w:rsid w:val="00A54F51"/>
    <w:rsid w:val="00A54F8B"/>
    <w:rsid w:val="00A550A2"/>
    <w:rsid w:val="00A55198"/>
    <w:rsid w:val="00A5521E"/>
    <w:rsid w:val="00A55266"/>
    <w:rsid w:val="00A5526B"/>
    <w:rsid w:val="00A5531E"/>
    <w:rsid w:val="00A55766"/>
    <w:rsid w:val="00A55F76"/>
    <w:rsid w:val="00A56103"/>
    <w:rsid w:val="00A56198"/>
    <w:rsid w:val="00A5665F"/>
    <w:rsid w:val="00A56977"/>
    <w:rsid w:val="00A569B4"/>
    <w:rsid w:val="00A56DD4"/>
    <w:rsid w:val="00A56E0B"/>
    <w:rsid w:val="00A571BE"/>
    <w:rsid w:val="00A57232"/>
    <w:rsid w:val="00A57A26"/>
    <w:rsid w:val="00A57AEF"/>
    <w:rsid w:val="00A57DA7"/>
    <w:rsid w:val="00A57F83"/>
    <w:rsid w:val="00A60401"/>
    <w:rsid w:val="00A6049F"/>
    <w:rsid w:val="00A60584"/>
    <w:rsid w:val="00A60BFC"/>
    <w:rsid w:val="00A60FAE"/>
    <w:rsid w:val="00A613DD"/>
    <w:rsid w:val="00A615B4"/>
    <w:rsid w:val="00A618E3"/>
    <w:rsid w:val="00A61B1A"/>
    <w:rsid w:val="00A61D8B"/>
    <w:rsid w:val="00A61EE1"/>
    <w:rsid w:val="00A61FAE"/>
    <w:rsid w:val="00A620CD"/>
    <w:rsid w:val="00A6226D"/>
    <w:rsid w:val="00A62499"/>
    <w:rsid w:val="00A627FC"/>
    <w:rsid w:val="00A62B7D"/>
    <w:rsid w:val="00A62CEC"/>
    <w:rsid w:val="00A62D9B"/>
    <w:rsid w:val="00A62EDA"/>
    <w:rsid w:val="00A62F82"/>
    <w:rsid w:val="00A6316B"/>
    <w:rsid w:val="00A63178"/>
    <w:rsid w:val="00A631C4"/>
    <w:rsid w:val="00A6321D"/>
    <w:rsid w:val="00A632E5"/>
    <w:rsid w:val="00A634DC"/>
    <w:rsid w:val="00A63509"/>
    <w:rsid w:val="00A635E2"/>
    <w:rsid w:val="00A6371F"/>
    <w:rsid w:val="00A63878"/>
    <w:rsid w:val="00A6389A"/>
    <w:rsid w:val="00A63981"/>
    <w:rsid w:val="00A63B6F"/>
    <w:rsid w:val="00A63CA1"/>
    <w:rsid w:val="00A64005"/>
    <w:rsid w:val="00A640D5"/>
    <w:rsid w:val="00A64365"/>
    <w:rsid w:val="00A64658"/>
    <w:rsid w:val="00A646CF"/>
    <w:rsid w:val="00A64972"/>
    <w:rsid w:val="00A64C43"/>
    <w:rsid w:val="00A64CC0"/>
    <w:rsid w:val="00A64EF9"/>
    <w:rsid w:val="00A64FD9"/>
    <w:rsid w:val="00A65061"/>
    <w:rsid w:val="00A65435"/>
    <w:rsid w:val="00A657D5"/>
    <w:rsid w:val="00A658E7"/>
    <w:rsid w:val="00A65AFA"/>
    <w:rsid w:val="00A65BEA"/>
    <w:rsid w:val="00A65CF0"/>
    <w:rsid w:val="00A65DD9"/>
    <w:rsid w:val="00A65E24"/>
    <w:rsid w:val="00A65F0D"/>
    <w:rsid w:val="00A6622B"/>
    <w:rsid w:val="00A662B5"/>
    <w:rsid w:val="00A66594"/>
    <w:rsid w:val="00A66B9B"/>
    <w:rsid w:val="00A66C4E"/>
    <w:rsid w:val="00A66C82"/>
    <w:rsid w:val="00A66CF3"/>
    <w:rsid w:val="00A66D9E"/>
    <w:rsid w:val="00A66FC2"/>
    <w:rsid w:val="00A6746F"/>
    <w:rsid w:val="00A67471"/>
    <w:rsid w:val="00A67A78"/>
    <w:rsid w:val="00A67B49"/>
    <w:rsid w:val="00A67D74"/>
    <w:rsid w:val="00A67E84"/>
    <w:rsid w:val="00A70033"/>
    <w:rsid w:val="00A7010B"/>
    <w:rsid w:val="00A701E8"/>
    <w:rsid w:val="00A70703"/>
    <w:rsid w:val="00A70A3C"/>
    <w:rsid w:val="00A70A4F"/>
    <w:rsid w:val="00A70B4C"/>
    <w:rsid w:val="00A70C59"/>
    <w:rsid w:val="00A70CE3"/>
    <w:rsid w:val="00A70D76"/>
    <w:rsid w:val="00A70FDC"/>
    <w:rsid w:val="00A71120"/>
    <w:rsid w:val="00A714A8"/>
    <w:rsid w:val="00A714CB"/>
    <w:rsid w:val="00A716A6"/>
    <w:rsid w:val="00A71AD1"/>
    <w:rsid w:val="00A71D0D"/>
    <w:rsid w:val="00A71ED6"/>
    <w:rsid w:val="00A72308"/>
    <w:rsid w:val="00A72350"/>
    <w:rsid w:val="00A7235C"/>
    <w:rsid w:val="00A7236A"/>
    <w:rsid w:val="00A724F2"/>
    <w:rsid w:val="00A72525"/>
    <w:rsid w:val="00A72569"/>
    <w:rsid w:val="00A72923"/>
    <w:rsid w:val="00A732E8"/>
    <w:rsid w:val="00A7337F"/>
    <w:rsid w:val="00A73390"/>
    <w:rsid w:val="00A7344A"/>
    <w:rsid w:val="00A734AD"/>
    <w:rsid w:val="00A735AE"/>
    <w:rsid w:val="00A73804"/>
    <w:rsid w:val="00A7385C"/>
    <w:rsid w:val="00A739D2"/>
    <w:rsid w:val="00A73A91"/>
    <w:rsid w:val="00A73C63"/>
    <w:rsid w:val="00A73CF1"/>
    <w:rsid w:val="00A73E39"/>
    <w:rsid w:val="00A73F51"/>
    <w:rsid w:val="00A73FA3"/>
    <w:rsid w:val="00A740EB"/>
    <w:rsid w:val="00A7412E"/>
    <w:rsid w:val="00A742FE"/>
    <w:rsid w:val="00A74457"/>
    <w:rsid w:val="00A74532"/>
    <w:rsid w:val="00A746BA"/>
    <w:rsid w:val="00A74B97"/>
    <w:rsid w:val="00A74EDB"/>
    <w:rsid w:val="00A75158"/>
    <w:rsid w:val="00A755E8"/>
    <w:rsid w:val="00A758FF"/>
    <w:rsid w:val="00A75ADA"/>
    <w:rsid w:val="00A75BE8"/>
    <w:rsid w:val="00A75D21"/>
    <w:rsid w:val="00A7619E"/>
    <w:rsid w:val="00A761E4"/>
    <w:rsid w:val="00A762BD"/>
    <w:rsid w:val="00A76682"/>
    <w:rsid w:val="00A766FE"/>
    <w:rsid w:val="00A76706"/>
    <w:rsid w:val="00A76938"/>
    <w:rsid w:val="00A76CCD"/>
    <w:rsid w:val="00A76D15"/>
    <w:rsid w:val="00A76ECE"/>
    <w:rsid w:val="00A76EE1"/>
    <w:rsid w:val="00A7713E"/>
    <w:rsid w:val="00A77267"/>
    <w:rsid w:val="00A7732C"/>
    <w:rsid w:val="00A77678"/>
    <w:rsid w:val="00A7773B"/>
    <w:rsid w:val="00A77791"/>
    <w:rsid w:val="00A77BC8"/>
    <w:rsid w:val="00A77D75"/>
    <w:rsid w:val="00A77FE8"/>
    <w:rsid w:val="00A80013"/>
    <w:rsid w:val="00A8033D"/>
    <w:rsid w:val="00A80351"/>
    <w:rsid w:val="00A803AB"/>
    <w:rsid w:val="00A803F9"/>
    <w:rsid w:val="00A8050D"/>
    <w:rsid w:val="00A80578"/>
    <w:rsid w:val="00A805E0"/>
    <w:rsid w:val="00A8086F"/>
    <w:rsid w:val="00A809D9"/>
    <w:rsid w:val="00A80AC2"/>
    <w:rsid w:val="00A80D1A"/>
    <w:rsid w:val="00A80DB5"/>
    <w:rsid w:val="00A812E8"/>
    <w:rsid w:val="00A81310"/>
    <w:rsid w:val="00A814BC"/>
    <w:rsid w:val="00A8163A"/>
    <w:rsid w:val="00A818E0"/>
    <w:rsid w:val="00A81A1B"/>
    <w:rsid w:val="00A81BA4"/>
    <w:rsid w:val="00A81D42"/>
    <w:rsid w:val="00A81FBF"/>
    <w:rsid w:val="00A820AD"/>
    <w:rsid w:val="00A8212F"/>
    <w:rsid w:val="00A82190"/>
    <w:rsid w:val="00A82202"/>
    <w:rsid w:val="00A82263"/>
    <w:rsid w:val="00A823E8"/>
    <w:rsid w:val="00A82540"/>
    <w:rsid w:val="00A82587"/>
    <w:rsid w:val="00A826C0"/>
    <w:rsid w:val="00A8271B"/>
    <w:rsid w:val="00A828DC"/>
    <w:rsid w:val="00A82BC9"/>
    <w:rsid w:val="00A82BEE"/>
    <w:rsid w:val="00A82E1E"/>
    <w:rsid w:val="00A83062"/>
    <w:rsid w:val="00A831AB"/>
    <w:rsid w:val="00A832B7"/>
    <w:rsid w:val="00A8362E"/>
    <w:rsid w:val="00A8366F"/>
    <w:rsid w:val="00A836FE"/>
    <w:rsid w:val="00A8393E"/>
    <w:rsid w:val="00A83BD6"/>
    <w:rsid w:val="00A83BE5"/>
    <w:rsid w:val="00A83C9D"/>
    <w:rsid w:val="00A83E8B"/>
    <w:rsid w:val="00A83F2B"/>
    <w:rsid w:val="00A84383"/>
    <w:rsid w:val="00A8449C"/>
    <w:rsid w:val="00A84586"/>
    <w:rsid w:val="00A846E8"/>
    <w:rsid w:val="00A84835"/>
    <w:rsid w:val="00A848FA"/>
    <w:rsid w:val="00A84916"/>
    <w:rsid w:val="00A84934"/>
    <w:rsid w:val="00A849F7"/>
    <w:rsid w:val="00A84A2C"/>
    <w:rsid w:val="00A84ADF"/>
    <w:rsid w:val="00A84B21"/>
    <w:rsid w:val="00A84CC4"/>
    <w:rsid w:val="00A84CC8"/>
    <w:rsid w:val="00A84DC0"/>
    <w:rsid w:val="00A84E15"/>
    <w:rsid w:val="00A85071"/>
    <w:rsid w:val="00A8569B"/>
    <w:rsid w:val="00A856BB"/>
    <w:rsid w:val="00A85722"/>
    <w:rsid w:val="00A85D2A"/>
    <w:rsid w:val="00A85DAE"/>
    <w:rsid w:val="00A85DC9"/>
    <w:rsid w:val="00A860D6"/>
    <w:rsid w:val="00A8630A"/>
    <w:rsid w:val="00A8631C"/>
    <w:rsid w:val="00A8648D"/>
    <w:rsid w:val="00A864D2"/>
    <w:rsid w:val="00A864F5"/>
    <w:rsid w:val="00A86588"/>
    <w:rsid w:val="00A86687"/>
    <w:rsid w:val="00A866B2"/>
    <w:rsid w:val="00A868DA"/>
    <w:rsid w:val="00A86A0A"/>
    <w:rsid w:val="00A86FDD"/>
    <w:rsid w:val="00A871EF"/>
    <w:rsid w:val="00A877A9"/>
    <w:rsid w:val="00A8781A"/>
    <w:rsid w:val="00A878C1"/>
    <w:rsid w:val="00A87B08"/>
    <w:rsid w:val="00A87DE1"/>
    <w:rsid w:val="00A87DE3"/>
    <w:rsid w:val="00A90426"/>
    <w:rsid w:val="00A9061D"/>
    <w:rsid w:val="00A90627"/>
    <w:rsid w:val="00A90654"/>
    <w:rsid w:val="00A906A6"/>
    <w:rsid w:val="00A908B0"/>
    <w:rsid w:val="00A90BA9"/>
    <w:rsid w:val="00A90CC9"/>
    <w:rsid w:val="00A90E73"/>
    <w:rsid w:val="00A9115C"/>
    <w:rsid w:val="00A913D3"/>
    <w:rsid w:val="00A91615"/>
    <w:rsid w:val="00A916D0"/>
    <w:rsid w:val="00A917EA"/>
    <w:rsid w:val="00A91C79"/>
    <w:rsid w:val="00A91D31"/>
    <w:rsid w:val="00A923F9"/>
    <w:rsid w:val="00A92649"/>
    <w:rsid w:val="00A92900"/>
    <w:rsid w:val="00A92BE3"/>
    <w:rsid w:val="00A92DCF"/>
    <w:rsid w:val="00A92EA9"/>
    <w:rsid w:val="00A92EC2"/>
    <w:rsid w:val="00A93002"/>
    <w:rsid w:val="00A9314B"/>
    <w:rsid w:val="00A935E6"/>
    <w:rsid w:val="00A936C6"/>
    <w:rsid w:val="00A93890"/>
    <w:rsid w:val="00A93987"/>
    <w:rsid w:val="00A93CB4"/>
    <w:rsid w:val="00A93DC6"/>
    <w:rsid w:val="00A940C4"/>
    <w:rsid w:val="00A941B5"/>
    <w:rsid w:val="00A94209"/>
    <w:rsid w:val="00A942DC"/>
    <w:rsid w:val="00A94301"/>
    <w:rsid w:val="00A94576"/>
    <w:rsid w:val="00A94857"/>
    <w:rsid w:val="00A9485E"/>
    <w:rsid w:val="00A94A89"/>
    <w:rsid w:val="00A94CA7"/>
    <w:rsid w:val="00A94D72"/>
    <w:rsid w:val="00A94D7D"/>
    <w:rsid w:val="00A9507F"/>
    <w:rsid w:val="00A950AF"/>
    <w:rsid w:val="00A95497"/>
    <w:rsid w:val="00A95ED7"/>
    <w:rsid w:val="00A960DB"/>
    <w:rsid w:val="00A96180"/>
    <w:rsid w:val="00A96252"/>
    <w:rsid w:val="00A963E3"/>
    <w:rsid w:val="00A963F0"/>
    <w:rsid w:val="00A96704"/>
    <w:rsid w:val="00A96B8A"/>
    <w:rsid w:val="00A96BD2"/>
    <w:rsid w:val="00A96D39"/>
    <w:rsid w:val="00A96D46"/>
    <w:rsid w:val="00A96FAF"/>
    <w:rsid w:val="00A96FD9"/>
    <w:rsid w:val="00A971E4"/>
    <w:rsid w:val="00A972EC"/>
    <w:rsid w:val="00A97489"/>
    <w:rsid w:val="00A975E8"/>
    <w:rsid w:val="00A979E9"/>
    <w:rsid w:val="00A97A44"/>
    <w:rsid w:val="00A97B69"/>
    <w:rsid w:val="00A97D55"/>
    <w:rsid w:val="00A97F89"/>
    <w:rsid w:val="00AA036D"/>
    <w:rsid w:val="00AA0639"/>
    <w:rsid w:val="00AA063B"/>
    <w:rsid w:val="00AA098B"/>
    <w:rsid w:val="00AA09C9"/>
    <w:rsid w:val="00AA0A95"/>
    <w:rsid w:val="00AA0BF4"/>
    <w:rsid w:val="00AA0D43"/>
    <w:rsid w:val="00AA0DD6"/>
    <w:rsid w:val="00AA0DE1"/>
    <w:rsid w:val="00AA11FD"/>
    <w:rsid w:val="00AA129C"/>
    <w:rsid w:val="00AA130E"/>
    <w:rsid w:val="00AA144D"/>
    <w:rsid w:val="00AA14AF"/>
    <w:rsid w:val="00AA1597"/>
    <w:rsid w:val="00AA15CF"/>
    <w:rsid w:val="00AA1755"/>
    <w:rsid w:val="00AA17E2"/>
    <w:rsid w:val="00AA196B"/>
    <w:rsid w:val="00AA1A07"/>
    <w:rsid w:val="00AA1B03"/>
    <w:rsid w:val="00AA1BD0"/>
    <w:rsid w:val="00AA1F72"/>
    <w:rsid w:val="00AA207C"/>
    <w:rsid w:val="00AA211C"/>
    <w:rsid w:val="00AA213D"/>
    <w:rsid w:val="00AA230F"/>
    <w:rsid w:val="00AA25BF"/>
    <w:rsid w:val="00AA26BE"/>
    <w:rsid w:val="00AA28D0"/>
    <w:rsid w:val="00AA2906"/>
    <w:rsid w:val="00AA292D"/>
    <w:rsid w:val="00AA2933"/>
    <w:rsid w:val="00AA2CB4"/>
    <w:rsid w:val="00AA2CCD"/>
    <w:rsid w:val="00AA2D47"/>
    <w:rsid w:val="00AA2DCF"/>
    <w:rsid w:val="00AA2EB7"/>
    <w:rsid w:val="00AA301A"/>
    <w:rsid w:val="00AA3095"/>
    <w:rsid w:val="00AA35CC"/>
    <w:rsid w:val="00AA3AA9"/>
    <w:rsid w:val="00AA4166"/>
    <w:rsid w:val="00AA4783"/>
    <w:rsid w:val="00AA4CC1"/>
    <w:rsid w:val="00AA50E6"/>
    <w:rsid w:val="00AA5112"/>
    <w:rsid w:val="00AA5304"/>
    <w:rsid w:val="00AA5333"/>
    <w:rsid w:val="00AA55BC"/>
    <w:rsid w:val="00AA561D"/>
    <w:rsid w:val="00AA56E3"/>
    <w:rsid w:val="00AA5A14"/>
    <w:rsid w:val="00AA5A1A"/>
    <w:rsid w:val="00AA5A8E"/>
    <w:rsid w:val="00AA5B79"/>
    <w:rsid w:val="00AA5C8D"/>
    <w:rsid w:val="00AA5CD0"/>
    <w:rsid w:val="00AA5FB1"/>
    <w:rsid w:val="00AA606D"/>
    <w:rsid w:val="00AA67B8"/>
    <w:rsid w:val="00AA695A"/>
    <w:rsid w:val="00AA6D85"/>
    <w:rsid w:val="00AA6F21"/>
    <w:rsid w:val="00AA6F3C"/>
    <w:rsid w:val="00AA6FD1"/>
    <w:rsid w:val="00AA70D6"/>
    <w:rsid w:val="00AA711F"/>
    <w:rsid w:val="00AA7149"/>
    <w:rsid w:val="00AA7553"/>
    <w:rsid w:val="00AA7597"/>
    <w:rsid w:val="00AA76C6"/>
    <w:rsid w:val="00AA7914"/>
    <w:rsid w:val="00AA7A7E"/>
    <w:rsid w:val="00AA7B71"/>
    <w:rsid w:val="00AA7E12"/>
    <w:rsid w:val="00AA7F2C"/>
    <w:rsid w:val="00AB0113"/>
    <w:rsid w:val="00AB0189"/>
    <w:rsid w:val="00AB01AB"/>
    <w:rsid w:val="00AB01C6"/>
    <w:rsid w:val="00AB0362"/>
    <w:rsid w:val="00AB0579"/>
    <w:rsid w:val="00AB0644"/>
    <w:rsid w:val="00AB0753"/>
    <w:rsid w:val="00AB0944"/>
    <w:rsid w:val="00AB0A87"/>
    <w:rsid w:val="00AB0ABE"/>
    <w:rsid w:val="00AB0C84"/>
    <w:rsid w:val="00AB0FA9"/>
    <w:rsid w:val="00AB108B"/>
    <w:rsid w:val="00AB1256"/>
    <w:rsid w:val="00AB1495"/>
    <w:rsid w:val="00AB15BB"/>
    <w:rsid w:val="00AB165C"/>
    <w:rsid w:val="00AB17E9"/>
    <w:rsid w:val="00AB18C0"/>
    <w:rsid w:val="00AB1A31"/>
    <w:rsid w:val="00AB1E4E"/>
    <w:rsid w:val="00AB1F76"/>
    <w:rsid w:val="00AB1FBC"/>
    <w:rsid w:val="00AB1FE0"/>
    <w:rsid w:val="00AB2066"/>
    <w:rsid w:val="00AB221F"/>
    <w:rsid w:val="00AB25E9"/>
    <w:rsid w:val="00AB2DDF"/>
    <w:rsid w:val="00AB2DF0"/>
    <w:rsid w:val="00AB2E09"/>
    <w:rsid w:val="00AB2F93"/>
    <w:rsid w:val="00AB2FF0"/>
    <w:rsid w:val="00AB31BD"/>
    <w:rsid w:val="00AB3628"/>
    <w:rsid w:val="00AB3761"/>
    <w:rsid w:val="00AB4173"/>
    <w:rsid w:val="00AB41E1"/>
    <w:rsid w:val="00AB42D0"/>
    <w:rsid w:val="00AB43A4"/>
    <w:rsid w:val="00AB4476"/>
    <w:rsid w:val="00AB455B"/>
    <w:rsid w:val="00AB4579"/>
    <w:rsid w:val="00AB4676"/>
    <w:rsid w:val="00AB46A7"/>
    <w:rsid w:val="00AB4717"/>
    <w:rsid w:val="00AB47C7"/>
    <w:rsid w:val="00AB4878"/>
    <w:rsid w:val="00AB490D"/>
    <w:rsid w:val="00AB4A02"/>
    <w:rsid w:val="00AB4A1B"/>
    <w:rsid w:val="00AB4A5B"/>
    <w:rsid w:val="00AB4BE3"/>
    <w:rsid w:val="00AB4D46"/>
    <w:rsid w:val="00AB4F5E"/>
    <w:rsid w:val="00AB50F0"/>
    <w:rsid w:val="00AB5121"/>
    <w:rsid w:val="00AB51A8"/>
    <w:rsid w:val="00AB5202"/>
    <w:rsid w:val="00AB588A"/>
    <w:rsid w:val="00AB59FF"/>
    <w:rsid w:val="00AB5A7E"/>
    <w:rsid w:val="00AB5A8D"/>
    <w:rsid w:val="00AB5CEB"/>
    <w:rsid w:val="00AB5E48"/>
    <w:rsid w:val="00AB5F0E"/>
    <w:rsid w:val="00AB624E"/>
    <w:rsid w:val="00AB6252"/>
    <w:rsid w:val="00AB6713"/>
    <w:rsid w:val="00AB67F7"/>
    <w:rsid w:val="00AB6A87"/>
    <w:rsid w:val="00AB6D49"/>
    <w:rsid w:val="00AB6E31"/>
    <w:rsid w:val="00AB6F40"/>
    <w:rsid w:val="00AB6F8C"/>
    <w:rsid w:val="00AB6FFB"/>
    <w:rsid w:val="00AB706E"/>
    <w:rsid w:val="00AB70BE"/>
    <w:rsid w:val="00AB7167"/>
    <w:rsid w:val="00AB71C7"/>
    <w:rsid w:val="00AB7268"/>
    <w:rsid w:val="00AB72C3"/>
    <w:rsid w:val="00AB7671"/>
    <w:rsid w:val="00AB7725"/>
    <w:rsid w:val="00AB775E"/>
    <w:rsid w:val="00AB7AA0"/>
    <w:rsid w:val="00AB7AB5"/>
    <w:rsid w:val="00AB7B6F"/>
    <w:rsid w:val="00AB7FB9"/>
    <w:rsid w:val="00AC0011"/>
    <w:rsid w:val="00AC01E6"/>
    <w:rsid w:val="00AC0323"/>
    <w:rsid w:val="00AC06F7"/>
    <w:rsid w:val="00AC0AAF"/>
    <w:rsid w:val="00AC0B29"/>
    <w:rsid w:val="00AC0D6F"/>
    <w:rsid w:val="00AC0DAA"/>
    <w:rsid w:val="00AC0EA8"/>
    <w:rsid w:val="00AC12AF"/>
    <w:rsid w:val="00AC1432"/>
    <w:rsid w:val="00AC1468"/>
    <w:rsid w:val="00AC152F"/>
    <w:rsid w:val="00AC159F"/>
    <w:rsid w:val="00AC16DF"/>
    <w:rsid w:val="00AC183D"/>
    <w:rsid w:val="00AC1A35"/>
    <w:rsid w:val="00AC1A9F"/>
    <w:rsid w:val="00AC1CE5"/>
    <w:rsid w:val="00AC1D9D"/>
    <w:rsid w:val="00AC1DD4"/>
    <w:rsid w:val="00AC1E0A"/>
    <w:rsid w:val="00AC1ECF"/>
    <w:rsid w:val="00AC1FD7"/>
    <w:rsid w:val="00AC24C4"/>
    <w:rsid w:val="00AC2578"/>
    <w:rsid w:val="00AC2843"/>
    <w:rsid w:val="00AC285F"/>
    <w:rsid w:val="00AC2A7C"/>
    <w:rsid w:val="00AC2AE1"/>
    <w:rsid w:val="00AC2C24"/>
    <w:rsid w:val="00AC2C4F"/>
    <w:rsid w:val="00AC2D0B"/>
    <w:rsid w:val="00AC3046"/>
    <w:rsid w:val="00AC30D3"/>
    <w:rsid w:val="00AC30F6"/>
    <w:rsid w:val="00AC362A"/>
    <w:rsid w:val="00AC363A"/>
    <w:rsid w:val="00AC3742"/>
    <w:rsid w:val="00AC386A"/>
    <w:rsid w:val="00AC3AEE"/>
    <w:rsid w:val="00AC3B02"/>
    <w:rsid w:val="00AC3B41"/>
    <w:rsid w:val="00AC3E90"/>
    <w:rsid w:val="00AC4372"/>
    <w:rsid w:val="00AC438B"/>
    <w:rsid w:val="00AC49A2"/>
    <w:rsid w:val="00AC4B94"/>
    <w:rsid w:val="00AC4DB0"/>
    <w:rsid w:val="00AC4DB8"/>
    <w:rsid w:val="00AC4F40"/>
    <w:rsid w:val="00AC5137"/>
    <w:rsid w:val="00AC5162"/>
    <w:rsid w:val="00AC517B"/>
    <w:rsid w:val="00AC53D2"/>
    <w:rsid w:val="00AC5538"/>
    <w:rsid w:val="00AC56FF"/>
    <w:rsid w:val="00AC57DD"/>
    <w:rsid w:val="00AC58B9"/>
    <w:rsid w:val="00AC5925"/>
    <w:rsid w:val="00AC5ABC"/>
    <w:rsid w:val="00AC5BA2"/>
    <w:rsid w:val="00AC5C42"/>
    <w:rsid w:val="00AC6076"/>
    <w:rsid w:val="00AC63D0"/>
    <w:rsid w:val="00AC63DF"/>
    <w:rsid w:val="00AC64DE"/>
    <w:rsid w:val="00AC656A"/>
    <w:rsid w:val="00AC67A1"/>
    <w:rsid w:val="00AC6840"/>
    <w:rsid w:val="00AC6BAF"/>
    <w:rsid w:val="00AC7053"/>
    <w:rsid w:val="00AC7087"/>
    <w:rsid w:val="00AC7146"/>
    <w:rsid w:val="00AC71E8"/>
    <w:rsid w:val="00AC7238"/>
    <w:rsid w:val="00AC7292"/>
    <w:rsid w:val="00AC729E"/>
    <w:rsid w:val="00AC73F3"/>
    <w:rsid w:val="00AC7802"/>
    <w:rsid w:val="00AC7967"/>
    <w:rsid w:val="00AC7A8B"/>
    <w:rsid w:val="00AC7B8B"/>
    <w:rsid w:val="00AC7BCB"/>
    <w:rsid w:val="00AC7D72"/>
    <w:rsid w:val="00AC7ECF"/>
    <w:rsid w:val="00AC7EE5"/>
    <w:rsid w:val="00AC7F1B"/>
    <w:rsid w:val="00AC7FBF"/>
    <w:rsid w:val="00AD05C2"/>
    <w:rsid w:val="00AD066A"/>
    <w:rsid w:val="00AD069A"/>
    <w:rsid w:val="00AD06FE"/>
    <w:rsid w:val="00AD0810"/>
    <w:rsid w:val="00AD0982"/>
    <w:rsid w:val="00AD0C90"/>
    <w:rsid w:val="00AD0DB1"/>
    <w:rsid w:val="00AD0DB4"/>
    <w:rsid w:val="00AD0F19"/>
    <w:rsid w:val="00AD1059"/>
    <w:rsid w:val="00AD129D"/>
    <w:rsid w:val="00AD13F3"/>
    <w:rsid w:val="00AD1BAE"/>
    <w:rsid w:val="00AD1CAC"/>
    <w:rsid w:val="00AD1CB7"/>
    <w:rsid w:val="00AD1D64"/>
    <w:rsid w:val="00AD22C3"/>
    <w:rsid w:val="00AD2359"/>
    <w:rsid w:val="00AD25EF"/>
    <w:rsid w:val="00AD2761"/>
    <w:rsid w:val="00AD27EF"/>
    <w:rsid w:val="00AD286C"/>
    <w:rsid w:val="00AD287B"/>
    <w:rsid w:val="00AD28DF"/>
    <w:rsid w:val="00AD2D19"/>
    <w:rsid w:val="00AD2E66"/>
    <w:rsid w:val="00AD2FF6"/>
    <w:rsid w:val="00AD2FF7"/>
    <w:rsid w:val="00AD3417"/>
    <w:rsid w:val="00AD3955"/>
    <w:rsid w:val="00AD3A1C"/>
    <w:rsid w:val="00AD3D02"/>
    <w:rsid w:val="00AD3D97"/>
    <w:rsid w:val="00AD3E06"/>
    <w:rsid w:val="00AD3E54"/>
    <w:rsid w:val="00AD3EB4"/>
    <w:rsid w:val="00AD4251"/>
    <w:rsid w:val="00AD434A"/>
    <w:rsid w:val="00AD441C"/>
    <w:rsid w:val="00AD45BB"/>
    <w:rsid w:val="00AD46F9"/>
    <w:rsid w:val="00AD479D"/>
    <w:rsid w:val="00AD47D8"/>
    <w:rsid w:val="00AD48F4"/>
    <w:rsid w:val="00AD49E7"/>
    <w:rsid w:val="00AD4A96"/>
    <w:rsid w:val="00AD4B33"/>
    <w:rsid w:val="00AD4C9E"/>
    <w:rsid w:val="00AD4CAC"/>
    <w:rsid w:val="00AD4DE0"/>
    <w:rsid w:val="00AD4E3A"/>
    <w:rsid w:val="00AD4F8C"/>
    <w:rsid w:val="00AD500F"/>
    <w:rsid w:val="00AD51C1"/>
    <w:rsid w:val="00AD5212"/>
    <w:rsid w:val="00AD541D"/>
    <w:rsid w:val="00AD5497"/>
    <w:rsid w:val="00AD5526"/>
    <w:rsid w:val="00AD578C"/>
    <w:rsid w:val="00AD57C9"/>
    <w:rsid w:val="00AD5A02"/>
    <w:rsid w:val="00AD5E04"/>
    <w:rsid w:val="00AD5F41"/>
    <w:rsid w:val="00AD626D"/>
    <w:rsid w:val="00AD6290"/>
    <w:rsid w:val="00AD6508"/>
    <w:rsid w:val="00AD65AA"/>
    <w:rsid w:val="00AD69D9"/>
    <w:rsid w:val="00AD69F2"/>
    <w:rsid w:val="00AD6C6C"/>
    <w:rsid w:val="00AD6F12"/>
    <w:rsid w:val="00AD6F31"/>
    <w:rsid w:val="00AD6F53"/>
    <w:rsid w:val="00AD6FC3"/>
    <w:rsid w:val="00AD70F5"/>
    <w:rsid w:val="00AD74E2"/>
    <w:rsid w:val="00AD7558"/>
    <w:rsid w:val="00AD75D0"/>
    <w:rsid w:val="00AD76CF"/>
    <w:rsid w:val="00AD7730"/>
    <w:rsid w:val="00AD7935"/>
    <w:rsid w:val="00AD7CE0"/>
    <w:rsid w:val="00AD7CEC"/>
    <w:rsid w:val="00AE00D9"/>
    <w:rsid w:val="00AE01D8"/>
    <w:rsid w:val="00AE054D"/>
    <w:rsid w:val="00AE06AC"/>
    <w:rsid w:val="00AE0758"/>
    <w:rsid w:val="00AE0FD5"/>
    <w:rsid w:val="00AE11A3"/>
    <w:rsid w:val="00AE1377"/>
    <w:rsid w:val="00AE14C1"/>
    <w:rsid w:val="00AE16C5"/>
    <w:rsid w:val="00AE18EF"/>
    <w:rsid w:val="00AE18FD"/>
    <w:rsid w:val="00AE1974"/>
    <w:rsid w:val="00AE1A02"/>
    <w:rsid w:val="00AE1A03"/>
    <w:rsid w:val="00AE1A1D"/>
    <w:rsid w:val="00AE1ADE"/>
    <w:rsid w:val="00AE1B92"/>
    <w:rsid w:val="00AE1B9C"/>
    <w:rsid w:val="00AE1D8D"/>
    <w:rsid w:val="00AE1F86"/>
    <w:rsid w:val="00AE240E"/>
    <w:rsid w:val="00AE273A"/>
    <w:rsid w:val="00AE297A"/>
    <w:rsid w:val="00AE298D"/>
    <w:rsid w:val="00AE29AA"/>
    <w:rsid w:val="00AE3260"/>
    <w:rsid w:val="00AE335F"/>
    <w:rsid w:val="00AE3413"/>
    <w:rsid w:val="00AE3443"/>
    <w:rsid w:val="00AE346A"/>
    <w:rsid w:val="00AE351C"/>
    <w:rsid w:val="00AE364D"/>
    <w:rsid w:val="00AE3C72"/>
    <w:rsid w:val="00AE3CEE"/>
    <w:rsid w:val="00AE400D"/>
    <w:rsid w:val="00AE4034"/>
    <w:rsid w:val="00AE40A4"/>
    <w:rsid w:val="00AE422E"/>
    <w:rsid w:val="00AE4380"/>
    <w:rsid w:val="00AE43CE"/>
    <w:rsid w:val="00AE4941"/>
    <w:rsid w:val="00AE4AF0"/>
    <w:rsid w:val="00AE4CFC"/>
    <w:rsid w:val="00AE5025"/>
    <w:rsid w:val="00AE506A"/>
    <w:rsid w:val="00AE56CF"/>
    <w:rsid w:val="00AE58A5"/>
    <w:rsid w:val="00AE5BFE"/>
    <w:rsid w:val="00AE5E97"/>
    <w:rsid w:val="00AE63C2"/>
    <w:rsid w:val="00AE6611"/>
    <w:rsid w:val="00AE68BC"/>
    <w:rsid w:val="00AE6943"/>
    <w:rsid w:val="00AE6971"/>
    <w:rsid w:val="00AE6A6A"/>
    <w:rsid w:val="00AE6D6C"/>
    <w:rsid w:val="00AE701C"/>
    <w:rsid w:val="00AE7644"/>
    <w:rsid w:val="00AE7AC2"/>
    <w:rsid w:val="00AE7BB8"/>
    <w:rsid w:val="00AE7DA7"/>
    <w:rsid w:val="00AE7ED3"/>
    <w:rsid w:val="00AE7F42"/>
    <w:rsid w:val="00AF01FE"/>
    <w:rsid w:val="00AF027B"/>
    <w:rsid w:val="00AF0391"/>
    <w:rsid w:val="00AF0580"/>
    <w:rsid w:val="00AF0922"/>
    <w:rsid w:val="00AF09B5"/>
    <w:rsid w:val="00AF0B2C"/>
    <w:rsid w:val="00AF10B2"/>
    <w:rsid w:val="00AF1279"/>
    <w:rsid w:val="00AF1961"/>
    <w:rsid w:val="00AF1AF8"/>
    <w:rsid w:val="00AF1B01"/>
    <w:rsid w:val="00AF1B9B"/>
    <w:rsid w:val="00AF2001"/>
    <w:rsid w:val="00AF232F"/>
    <w:rsid w:val="00AF2569"/>
    <w:rsid w:val="00AF2597"/>
    <w:rsid w:val="00AF25F4"/>
    <w:rsid w:val="00AF280A"/>
    <w:rsid w:val="00AF2B4B"/>
    <w:rsid w:val="00AF2B99"/>
    <w:rsid w:val="00AF2D1A"/>
    <w:rsid w:val="00AF359E"/>
    <w:rsid w:val="00AF3675"/>
    <w:rsid w:val="00AF376D"/>
    <w:rsid w:val="00AF3907"/>
    <w:rsid w:val="00AF3915"/>
    <w:rsid w:val="00AF3C73"/>
    <w:rsid w:val="00AF3D4A"/>
    <w:rsid w:val="00AF3E8C"/>
    <w:rsid w:val="00AF3FD3"/>
    <w:rsid w:val="00AF4028"/>
    <w:rsid w:val="00AF411E"/>
    <w:rsid w:val="00AF413E"/>
    <w:rsid w:val="00AF456D"/>
    <w:rsid w:val="00AF4837"/>
    <w:rsid w:val="00AF49AA"/>
    <w:rsid w:val="00AF49E8"/>
    <w:rsid w:val="00AF4B53"/>
    <w:rsid w:val="00AF4BAE"/>
    <w:rsid w:val="00AF4C8D"/>
    <w:rsid w:val="00AF4D04"/>
    <w:rsid w:val="00AF4E0E"/>
    <w:rsid w:val="00AF4F3F"/>
    <w:rsid w:val="00AF5484"/>
    <w:rsid w:val="00AF575B"/>
    <w:rsid w:val="00AF5B4A"/>
    <w:rsid w:val="00AF5B60"/>
    <w:rsid w:val="00AF5BAC"/>
    <w:rsid w:val="00AF5BF7"/>
    <w:rsid w:val="00AF6692"/>
    <w:rsid w:val="00AF6709"/>
    <w:rsid w:val="00AF6921"/>
    <w:rsid w:val="00AF6CE6"/>
    <w:rsid w:val="00AF6D01"/>
    <w:rsid w:val="00AF6F6E"/>
    <w:rsid w:val="00AF702D"/>
    <w:rsid w:val="00AF7348"/>
    <w:rsid w:val="00AF7842"/>
    <w:rsid w:val="00AF787C"/>
    <w:rsid w:val="00AF798E"/>
    <w:rsid w:val="00AF7B21"/>
    <w:rsid w:val="00AF7B40"/>
    <w:rsid w:val="00AF7D6C"/>
    <w:rsid w:val="00B00260"/>
    <w:rsid w:val="00B00369"/>
    <w:rsid w:val="00B005B9"/>
    <w:rsid w:val="00B007FD"/>
    <w:rsid w:val="00B00A24"/>
    <w:rsid w:val="00B00AFB"/>
    <w:rsid w:val="00B00CAB"/>
    <w:rsid w:val="00B00D3B"/>
    <w:rsid w:val="00B00E2C"/>
    <w:rsid w:val="00B01046"/>
    <w:rsid w:val="00B01228"/>
    <w:rsid w:val="00B015FB"/>
    <w:rsid w:val="00B016FF"/>
    <w:rsid w:val="00B017B0"/>
    <w:rsid w:val="00B017EF"/>
    <w:rsid w:val="00B01836"/>
    <w:rsid w:val="00B01AAE"/>
    <w:rsid w:val="00B01AD6"/>
    <w:rsid w:val="00B01B0F"/>
    <w:rsid w:val="00B01CED"/>
    <w:rsid w:val="00B01E37"/>
    <w:rsid w:val="00B02172"/>
    <w:rsid w:val="00B0218A"/>
    <w:rsid w:val="00B022CE"/>
    <w:rsid w:val="00B02354"/>
    <w:rsid w:val="00B0235F"/>
    <w:rsid w:val="00B02612"/>
    <w:rsid w:val="00B028AC"/>
    <w:rsid w:val="00B02EB5"/>
    <w:rsid w:val="00B03025"/>
    <w:rsid w:val="00B03207"/>
    <w:rsid w:val="00B0327C"/>
    <w:rsid w:val="00B03438"/>
    <w:rsid w:val="00B035E4"/>
    <w:rsid w:val="00B03668"/>
    <w:rsid w:val="00B036A5"/>
    <w:rsid w:val="00B03740"/>
    <w:rsid w:val="00B037EF"/>
    <w:rsid w:val="00B0393F"/>
    <w:rsid w:val="00B03D41"/>
    <w:rsid w:val="00B040FA"/>
    <w:rsid w:val="00B0444E"/>
    <w:rsid w:val="00B0455C"/>
    <w:rsid w:val="00B046A2"/>
    <w:rsid w:val="00B04EF2"/>
    <w:rsid w:val="00B04F3C"/>
    <w:rsid w:val="00B04F6E"/>
    <w:rsid w:val="00B0505E"/>
    <w:rsid w:val="00B05182"/>
    <w:rsid w:val="00B05205"/>
    <w:rsid w:val="00B052C0"/>
    <w:rsid w:val="00B0532A"/>
    <w:rsid w:val="00B05336"/>
    <w:rsid w:val="00B0538D"/>
    <w:rsid w:val="00B057B0"/>
    <w:rsid w:val="00B05A8C"/>
    <w:rsid w:val="00B06128"/>
    <w:rsid w:val="00B062A8"/>
    <w:rsid w:val="00B065A4"/>
    <w:rsid w:val="00B065A9"/>
    <w:rsid w:val="00B06AE7"/>
    <w:rsid w:val="00B0710D"/>
    <w:rsid w:val="00B0736A"/>
    <w:rsid w:val="00B0741E"/>
    <w:rsid w:val="00B074D0"/>
    <w:rsid w:val="00B0763A"/>
    <w:rsid w:val="00B07A60"/>
    <w:rsid w:val="00B07AF6"/>
    <w:rsid w:val="00B07B0D"/>
    <w:rsid w:val="00B07BB9"/>
    <w:rsid w:val="00B07C57"/>
    <w:rsid w:val="00B07F59"/>
    <w:rsid w:val="00B1014C"/>
    <w:rsid w:val="00B103DA"/>
    <w:rsid w:val="00B10830"/>
    <w:rsid w:val="00B10A3E"/>
    <w:rsid w:val="00B10AA0"/>
    <w:rsid w:val="00B10D59"/>
    <w:rsid w:val="00B10FB7"/>
    <w:rsid w:val="00B1136C"/>
    <w:rsid w:val="00B1153A"/>
    <w:rsid w:val="00B11596"/>
    <w:rsid w:val="00B11641"/>
    <w:rsid w:val="00B1177E"/>
    <w:rsid w:val="00B11886"/>
    <w:rsid w:val="00B11897"/>
    <w:rsid w:val="00B11B3E"/>
    <w:rsid w:val="00B11CE3"/>
    <w:rsid w:val="00B11D46"/>
    <w:rsid w:val="00B11E0C"/>
    <w:rsid w:val="00B11E4E"/>
    <w:rsid w:val="00B120E6"/>
    <w:rsid w:val="00B12251"/>
    <w:rsid w:val="00B1262F"/>
    <w:rsid w:val="00B12991"/>
    <w:rsid w:val="00B12A03"/>
    <w:rsid w:val="00B12B63"/>
    <w:rsid w:val="00B12C85"/>
    <w:rsid w:val="00B12EA0"/>
    <w:rsid w:val="00B12EEF"/>
    <w:rsid w:val="00B12F3E"/>
    <w:rsid w:val="00B12FE3"/>
    <w:rsid w:val="00B13405"/>
    <w:rsid w:val="00B13407"/>
    <w:rsid w:val="00B134F9"/>
    <w:rsid w:val="00B1366B"/>
    <w:rsid w:val="00B137A9"/>
    <w:rsid w:val="00B137B4"/>
    <w:rsid w:val="00B138EF"/>
    <w:rsid w:val="00B13989"/>
    <w:rsid w:val="00B13ABC"/>
    <w:rsid w:val="00B13C78"/>
    <w:rsid w:val="00B14312"/>
    <w:rsid w:val="00B143EB"/>
    <w:rsid w:val="00B1482C"/>
    <w:rsid w:val="00B14A3B"/>
    <w:rsid w:val="00B14A58"/>
    <w:rsid w:val="00B14BF5"/>
    <w:rsid w:val="00B14C67"/>
    <w:rsid w:val="00B14D6D"/>
    <w:rsid w:val="00B152ED"/>
    <w:rsid w:val="00B153D9"/>
    <w:rsid w:val="00B156C8"/>
    <w:rsid w:val="00B156E0"/>
    <w:rsid w:val="00B1587F"/>
    <w:rsid w:val="00B15914"/>
    <w:rsid w:val="00B15BC8"/>
    <w:rsid w:val="00B15C4F"/>
    <w:rsid w:val="00B15D41"/>
    <w:rsid w:val="00B15D96"/>
    <w:rsid w:val="00B15DD5"/>
    <w:rsid w:val="00B15DF3"/>
    <w:rsid w:val="00B160A0"/>
    <w:rsid w:val="00B160B9"/>
    <w:rsid w:val="00B162DF"/>
    <w:rsid w:val="00B16880"/>
    <w:rsid w:val="00B16AB0"/>
    <w:rsid w:val="00B16B56"/>
    <w:rsid w:val="00B16FE7"/>
    <w:rsid w:val="00B17011"/>
    <w:rsid w:val="00B17102"/>
    <w:rsid w:val="00B17261"/>
    <w:rsid w:val="00B172E5"/>
    <w:rsid w:val="00B1733D"/>
    <w:rsid w:val="00B1737F"/>
    <w:rsid w:val="00B173DD"/>
    <w:rsid w:val="00B177C3"/>
    <w:rsid w:val="00B178A0"/>
    <w:rsid w:val="00B17970"/>
    <w:rsid w:val="00B17B2A"/>
    <w:rsid w:val="00B17CCB"/>
    <w:rsid w:val="00B17D0B"/>
    <w:rsid w:val="00B201EE"/>
    <w:rsid w:val="00B20344"/>
    <w:rsid w:val="00B203DA"/>
    <w:rsid w:val="00B2065B"/>
    <w:rsid w:val="00B208D5"/>
    <w:rsid w:val="00B2091F"/>
    <w:rsid w:val="00B20B98"/>
    <w:rsid w:val="00B20BCD"/>
    <w:rsid w:val="00B20C0D"/>
    <w:rsid w:val="00B20E30"/>
    <w:rsid w:val="00B20E6F"/>
    <w:rsid w:val="00B20F3D"/>
    <w:rsid w:val="00B2118D"/>
    <w:rsid w:val="00B211B2"/>
    <w:rsid w:val="00B212B2"/>
    <w:rsid w:val="00B21546"/>
    <w:rsid w:val="00B215FF"/>
    <w:rsid w:val="00B2171F"/>
    <w:rsid w:val="00B21923"/>
    <w:rsid w:val="00B21986"/>
    <w:rsid w:val="00B219C1"/>
    <w:rsid w:val="00B21B17"/>
    <w:rsid w:val="00B21B97"/>
    <w:rsid w:val="00B21C56"/>
    <w:rsid w:val="00B21C8B"/>
    <w:rsid w:val="00B21D71"/>
    <w:rsid w:val="00B21ECB"/>
    <w:rsid w:val="00B21FB9"/>
    <w:rsid w:val="00B2217B"/>
    <w:rsid w:val="00B22342"/>
    <w:rsid w:val="00B22374"/>
    <w:rsid w:val="00B22681"/>
    <w:rsid w:val="00B2275B"/>
    <w:rsid w:val="00B229D0"/>
    <w:rsid w:val="00B22A4F"/>
    <w:rsid w:val="00B22B5B"/>
    <w:rsid w:val="00B22B99"/>
    <w:rsid w:val="00B22BEA"/>
    <w:rsid w:val="00B22C22"/>
    <w:rsid w:val="00B22D18"/>
    <w:rsid w:val="00B22D59"/>
    <w:rsid w:val="00B22FF3"/>
    <w:rsid w:val="00B230F4"/>
    <w:rsid w:val="00B23112"/>
    <w:rsid w:val="00B23292"/>
    <w:rsid w:val="00B23322"/>
    <w:rsid w:val="00B23388"/>
    <w:rsid w:val="00B2354D"/>
    <w:rsid w:val="00B236BD"/>
    <w:rsid w:val="00B237E7"/>
    <w:rsid w:val="00B2382E"/>
    <w:rsid w:val="00B23840"/>
    <w:rsid w:val="00B239EA"/>
    <w:rsid w:val="00B23D41"/>
    <w:rsid w:val="00B23E76"/>
    <w:rsid w:val="00B23ECE"/>
    <w:rsid w:val="00B240B5"/>
    <w:rsid w:val="00B242A8"/>
    <w:rsid w:val="00B2431C"/>
    <w:rsid w:val="00B243CB"/>
    <w:rsid w:val="00B24487"/>
    <w:rsid w:val="00B2476E"/>
    <w:rsid w:val="00B24852"/>
    <w:rsid w:val="00B24D9F"/>
    <w:rsid w:val="00B2501B"/>
    <w:rsid w:val="00B25069"/>
    <w:rsid w:val="00B250C1"/>
    <w:rsid w:val="00B25190"/>
    <w:rsid w:val="00B252BA"/>
    <w:rsid w:val="00B252CD"/>
    <w:rsid w:val="00B253CA"/>
    <w:rsid w:val="00B253DC"/>
    <w:rsid w:val="00B25537"/>
    <w:rsid w:val="00B255C1"/>
    <w:rsid w:val="00B257D4"/>
    <w:rsid w:val="00B25A22"/>
    <w:rsid w:val="00B25D7F"/>
    <w:rsid w:val="00B25E4C"/>
    <w:rsid w:val="00B25F57"/>
    <w:rsid w:val="00B260AC"/>
    <w:rsid w:val="00B2628B"/>
    <w:rsid w:val="00B2646B"/>
    <w:rsid w:val="00B2668D"/>
    <w:rsid w:val="00B267D2"/>
    <w:rsid w:val="00B26A41"/>
    <w:rsid w:val="00B26C16"/>
    <w:rsid w:val="00B26D28"/>
    <w:rsid w:val="00B270B9"/>
    <w:rsid w:val="00B2743F"/>
    <w:rsid w:val="00B27675"/>
    <w:rsid w:val="00B277EB"/>
    <w:rsid w:val="00B2781D"/>
    <w:rsid w:val="00B278C5"/>
    <w:rsid w:val="00B278C8"/>
    <w:rsid w:val="00B27E48"/>
    <w:rsid w:val="00B27F07"/>
    <w:rsid w:val="00B30009"/>
    <w:rsid w:val="00B30170"/>
    <w:rsid w:val="00B301A4"/>
    <w:rsid w:val="00B301B8"/>
    <w:rsid w:val="00B30275"/>
    <w:rsid w:val="00B3038B"/>
    <w:rsid w:val="00B3087F"/>
    <w:rsid w:val="00B308F0"/>
    <w:rsid w:val="00B30958"/>
    <w:rsid w:val="00B309D4"/>
    <w:rsid w:val="00B30A48"/>
    <w:rsid w:val="00B30CE4"/>
    <w:rsid w:val="00B30D31"/>
    <w:rsid w:val="00B30D4C"/>
    <w:rsid w:val="00B30F4C"/>
    <w:rsid w:val="00B31047"/>
    <w:rsid w:val="00B3132E"/>
    <w:rsid w:val="00B313B8"/>
    <w:rsid w:val="00B317CC"/>
    <w:rsid w:val="00B31840"/>
    <w:rsid w:val="00B3184C"/>
    <w:rsid w:val="00B31858"/>
    <w:rsid w:val="00B31AD7"/>
    <w:rsid w:val="00B31DB6"/>
    <w:rsid w:val="00B32087"/>
    <w:rsid w:val="00B321A9"/>
    <w:rsid w:val="00B3221E"/>
    <w:rsid w:val="00B323BF"/>
    <w:rsid w:val="00B32677"/>
    <w:rsid w:val="00B32B8C"/>
    <w:rsid w:val="00B32BC6"/>
    <w:rsid w:val="00B32BCE"/>
    <w:rsid w:val="00B32D3F"/>
    <w:rsid w:val="00B33102"/>
    <w:rsid w:val="00B33195"/>
    <w:rsid w:val="00B331CE"/>
    <w:rsid w:val="00B331EA"/>
    <w:rsid w:val="00B3323B"/>
    <w:rsid w:val="00B3343B"/>
    <w:rsid w:val="00B338EF"/>
    <w:rsid w:val="00B33AF0"/>
    <w:rsid w:val="00B33BDE"/>
    <w:rsid w:val="00B33C38"/>
    <w:rsid w:val="00B33C70"/>
    <w:rsid w:val="00B33CE5"/>
    <w:rsid w:val="00B33D09"/>
    <w:rsid w:val="00B33E2E"/>
    <w:rsid w:val="00B33E93"/>
    <w:rsid w:val="00B33FE8"/>
    <w:rsid w:val="00B34214"/>
    <w:rsid w:val="00B34241"/>
    <w:rsid w:val="00B345BC"/>
    <w:rsid w:val="00B34635"/>
    <w:rsid w:val="00B3465C"/>
    <w:rsid w:val="00B346DB"/>
    <w:rsid w:val="00B3494E"/>
    <w:rsid w:val="00B3498D"/>
    <w:rsid w:val="00B349DC"/>
    <w:rsid w:val="00B34A41"/>
    <w:rsid w:val="00B34B30"/>
    <w:rsid w:val="00B34C58"/>
    <w:rsid w:val="00B34C92"/>
    <w:rsid w:val="00B34D2C"/>
    <w:rsid w:val="00B34EFA"/>
    <w:rsid w:val="00B34EFF"/>
    <w:rsid w:val="00B35014"/>
    <w:rsid w:val="00B35302"/>
    <w:rsid w:val="00B354CA"/>
    <w:rsid w:val="00B355F0"/>
    <w:rsid w:val="00B358CD"/>
    <w:rsid w:val="00B36030"/>
    <w:rsid w:val="00B360AA"/>
    <w:rsid w:val="00B36113"/>
    <w:rsid w:val="00B36214"/>
    <w:rsid w:val="00B36231"/>
    <w:rsid w:val="00B362CF"/>
    <w:rsid w:val="00B363E3"/>
    <w:rsid w:val="00B3645D"/>
    <w:rsid w:val="00B3658B"/>
    <w:rsid w:val="00B3660E"/>
    <w:rsid w:val="00B368D5"/>
    <w:rsid w:val="00B36B78"/>
    <w:rsid w:val="00B36D11"/>
    <w:rsid w:val="00B36F49"/>
    <w:rsid w:val="00B36F5C"/>
    <w:rsid w:val="00B36FDF"/>
    <w:rsid w:val="00B372BF"/>
    <w:rsid w:val="00B37563"/>
    <w:rsid w:val="00B37639"/>
    <w:rsid w:val="00B37840"/>
    <w:rsid w:val="00B3787A"/>
    <w:rsid w:val="00B37ACC"/>
    <w:rsid w:val="00B37C29"/>
    <w:rsid w:val="00B37D0E"/>
    <w:rsid w:val="00B37EA8"/>
    <w:rsid w:val="00B37F5B"/>
    <w:rsid w:val="00B37FD2"/>
    <w:rsid w:val="00B40296"/>
    <w:rsid w:val="00B40419"/>
    <w:rsid w:val="00B40497"/>
    <w:rsid w:val="00B4056B"/>
    <w:rsid w:val="00B40579"/>
    <w:rsid w:val="00B40712"/>
    <w:rsid w:val="00B40A6E"/>
    <w:rsid w:val="00B40BB8"/>
    <w:rsid w:val="00B40BEF"/>
    <w:rsid w:val="00B40E02"/>
    <w:rsid w:val="00B40EA2"/>
    <w:rsid w:val="00B4145F"/>
    <w:rsid w:val="00B415FD"/>
    <w:rsid w:val="00B4182E"/>
    <w:rsid w:val="00B418A1"/>
    <w:rsid w:val="00B41915"/>
    <w:rsid w:val="00B41C3E"/>
    <w:rsid w:val="00B41CBD"/>
    <w:rsid w:val="00B41E4D"/>
    <w:rsid w:val="00B42074"/>
    <w:rsid w:val="00B42527"/>
    <w:rsid w:val="00B428DE"/>
    <w:rsid w:val="00B428E1"/>
    <w:rsid w:val="00B42A96"/>
    <w:rsid w:val="00B42DC9"/>
    <w:rsid w:val="00B43059"/>
    <w:rsid w:val="00B430DC"/>
    <w:rsid w:val="00B43407"/>
    <w:rsid w:val="00B4341B"/>
    <w:rsid w:val="00B437C9"/>
    <w:rsid w:val="00B437F5"/>
    <w:rsid w:val="00B43B0B"/>
    <w:rsid w:val="00B43C7F"/>
    <w:rsid w:val="00B43FDE"/>
    <w:rsid w:val="00B440D7"/>
    <w:rsid w:val="00B44104"/>
    <w:rsid w:val="00B442B4"/>
    <w:rsid w:val="00B44A14"/>
    <w:rsid w:val="00B44A31"/>
    <w:rsid w:val="00B44B7E"/>
    <w:rsid w:val="00B44BC5"/>
    <w:rsid w:val="00B44E06"/>
    <w:rsid w:val="00B44F0A"/>
    <w:rsid w:val="00B4511E"/>
    <w:rsid w:val="00B4557A"/>
    <w:rsid w:val="00B4572B"/>
    <w:rsid w:val="00B45A61"/>
    <w:rsid w:val="00B45CBE"/>
    <w:rsid w:val="00B45CFA"/>
    <w:rsid w:val="00B46244"/>
    <w:rsid w:val="00B466C5"/>
    <w:rsid w:val="00B466E5"/>
    <w:rsid w:val="00B466EA"/>
    <w:rsid w:val="00B4673B"/>
    <w:rsid w:val="00B46CF7"/>
    <w:rsid w:val="00B46F11"/>
    <w:rsid w:val="00B470D0"/>
    <w:rsid w:val="00B472C1"/>
    <w:rsid w:val="00B473A3"/>
    <w:rsid w:val="00B47893"/>
    <w:rsid w:val="00B47A3D"/>
    <w:rsid w:val="00B47C2A"/>
    <w:rsid w:val="00B47C8F"/>
    <w:rsid w:val="00B47DB6"/>
    <w:rsid w:val="00B47DD6"/>
    <w:rsid w:val="00B47E6F"/>
    <w:rsid w:val="00B47E81"/>
    <w:rsid w:val="00B47F35"/>
    <w:rsid w:val="00B47F65"/>
    <w:rsid w:val="00B50034"/>
    <w:rsid w:val="00B5032D"/>
    <w:rsid w:val="00B505EB"/>
    <w:rsid w:val="00B50639"/>
    <w:rsid w:val="00B506A7"/>
    <w:rsid w:val="00B5082F"/>
    <w:rsid w:val="00B50951"/>
    <w:rsid w:val="00B50BFE"/>
    <w:rsid w:val="00B50D3F"/>
    <w:rsid w:val="00B50DD5"/>
    <w:rsid w:val="00B50DE9"/>
    <w:rsid w:val="00B50F89"/>
    <w:rsid w:val="00B51004"/>
    <w:rsid w:val="00B51252"/>
    <w:rsid w:val="00B513C7"/>
    <w:rsid w:val="00B514C5"/>
    <w:rsid w:val="00B51552"/>
    <w:rsid w:val="00B5158A"/>
    <w:rsid w:val="00B515B7"/>
    <w:rsid w:val="00B515E0"/>
    <w:rsid w:val="00B515FC"/>
    <w:rsid w:val="00B517C8"/>
    <w:rsid w:val="00B51985"/>
    <w:rsid w:val="00B5199D"/>
    <w:rsid w:val="00B51C7D"/>
    <w:rsid w:val="00B51E0C"/>
    <w:rsid w:val="00B5206D"/>
    <w:rsid w:val="00B5246B"/>
    <w:rsid w:val="00B52488"/>
    <w:rsid w:val="00B52B05"/>
    <w:rsid w:val="00B52B2F"/>
    <w:rsid w:val="00B52C3B"/>
    <w:rsid w:val="00B52D02"/>
    <w:rsid w:val="00B52E36"/>
    <w:rsid w:val="00B52FA9"/>
    <w:rsid w:val="00B53152"/>
    <w:rsid w:val="00B532B4"/>
    <w:rsid w:val="00B5363B"/>
    <w:rsid w:val="00B53A25"/>
    <w:rsid w:val="00B53AD8"/>
    <w:rsid w:val="00B53BDF"/>
    <w:rsid w:val="00B53D8C"/>
    <w:rsid w:val="00B53F51"/>
    <w:rsid w:val="00B53FD4"/>
    <w:rsid w:val="00B54106"/>
    <w:rsid w:val="00B541B0"/>
    <w:rsid w:val="00B542C7"/>
    <w:rsid w:val="00B5451D"/>
    <w:rsid w:val="00B54601"/>
    <w:rsid w:val="00B54840"/>
    <w:rsid w:val="00B548B3"/>
    <w:rsid w:val="00B54C27"/>
    <w:rsid w:val="00B54C56"/>
    <w:rsid w:val="00B54FDB"/>
    <w:rsid w:val="00B54FE4"/>
    <w:rsid w:val="00B5502A"/>
    <w:rsid w:val="00B550C7"/>
    <w:rsid w:val="00B55199"/>
    <w:rsid w:val="00B551A4"/>
    <w:rsid w:val="00B55254"/>
    <w:rsid w:val="00B5560E"/>
    <w:rsid w:val="00B5579D"/>
    <w:rsid w:val="00B5591A"/>
    <w:rsid w:val="00B55E8A"/>
    <w:rsid w:val="00B5601E"/>
    <w:rsid w:val="00B562CB"/>
    <w:rsid w:val="00B56430"/>
    <w:rsid w:val="00B565C8"/>
    <w:rsid w:val="00B56787"/>
    <w:rsid w:val="00B5679F"/>
    <w:rsid w:val="00B569D5"/>
    <w:rsid w:val="00B56E48"/>
    <w:rsid w:val="00B570F6"/>
    <w:rsid w:val="00B57158"/>
    <w:rsid w:val="00B572CA"/>
    <w:rsid w:val="00B5730D"/>
    <w:rsid w:val="00B57328"/>
    <w:rsid w:val="00B574AD"/>
    <w:rsid w:val="00B576DB"/>
    <w:rsid w:val="00B579B9"/>
    <w:rsid w:val="00B57AC1"/>
    <w:rsid w:val="00B57DB7"/>
    <w:rsid w:val="00B60447"/>
    <w:rsid w:val="00B6045A"/>
    <w:rsid w:val="00B604A3"/>
    <w:rsid w:val="00B6066B"/>
    <w:rsid w:val="00B606D6"/>
    <w:rsid w:val="00B609B7"/>
    <w:rsid w:val="00B60A08"/>
    <w:rsid w:val="00B60A5B"/>
    <w:rsid w:val="00B61332"/>
    <w:rsid w:val="00B61374"/>
    <w:rsid w:val="00B61781"/>
    <w:rsid w:val="00B6194C"/>
    <w:rsid w:val="00B61A0B"/>
    <w:rsid w:val="00B61AE2"/>
    <w:rsid w:val="00B61D02"/>
    <w:rsid w:val="00B61F8F"/>
    <w:rsid w:val="00B6202A"/>
    <w:rsid w:val="00B620DD"/>
    <w:rsid w:val="00B62173"/>
    <w:rsid w:val="00B62193"/>
    <w:rsid w:val="00B62236"/>
    <w:rsid w:val="00B622C3"/>
    <w:rsid w:val="00B62385"/>
    <w:rsid w:val="00B62A91"/>
    <w:rsid w:val="00B62CE7"/>
    <w:rsid w:val="00B62CFF"/>
    <w:rsid w:val="00B62EE5"/>
    <w:rsid w:val="00B62EE6"/>
    <w:rsid w:val="00B631F5"/>
    <w:rsid w:val="00B6324E"/>
    <w:rsid w:val="00B6328D"/>
    <w:rsid w:val="00B632FA"/>
    <w:rsid w:val="00B634A1"/>
    <w:rsid w:val="00B6352D"/>
    <w:rsid w:val="00B635A7"/>
    <w:rsid w:val="00B63754"/>
    <w:rsid w:val="00B637C1"/>
    <w:rsid w:val="00B6387A"/>
    <w:rsid w:val="00B639DB"/>
    <w:rsid w:val="00B63B97"/>
    <w:rsid w:val="00B63EF2"/>
    <w:rsid w:val="00B6406B"/>
    <w:rsid w:val="00B64374"/>
    <w:rsid w:val="00B64377"/>
    <w:rsid w:val="00B6439B"/>
    <w:rsid w:val="00B643E8"/>
    <w:rsid w:val="00B64406"/>
    <w:rsid w:val="00B64565"/>
    <w:rsid w:val="00B64882"/>
    <w:rsid w:val="00B64A43"/>
    <w:rsid w:val="00B64A6C"/>
    <w:rsid w:val="00B64C46"/>
    <w:rsid w:val="00B65077"/>
    <w:rsid w:val="00B65132"/>
    <w:rsid w:val="00B653AC"/>
    <w:rsid w:val="00B656AB"/>
    <w:rsid w:val="00B659D3"/>
    <w:rsid w:val="00B65BD1"/>
    <w:rsid w:val="00B65C62"/>
    <w:rsid w:val="00B65D92"/>
    <w:rsid w:val="00B65D9E"/>
    <w:rsid w:val="00B65F5A"/>
    <w:rsid w:val="00B66140"/>
    <w:rsid w:val="00B6622B"/>
    <w:rsid w:val="00B6660F"/>
    <w:rsid w:val="00B669DB"/>
    <w:rsid w:val="00B66E24"/>
    <w:rsid w:val="00B66E3C"/>
    <w:rsid w:val="00B66FBC"/>
    <w:rsid w:val="00B67218"/>
    <w:rsid w:val="00B672D2"/>
    <w:rsid w:val="00B67BB3"/>
    <w:rsid w:val="00B67E59"/>
    <w:rsid w:val="00B7018B"/>
    <w:rsid w:val="00B701C1"/>
    <w:rsid w:val="00B7038A"/>
    <w:rsid w:val="00B703C4"/>
    <w:rsid w:val="00B7049E"/>
    <w:rsid w:val="00B7051C"/>
    <w:rsid w:val="00B70A68"/>
    <w:rsid w:val="00B70A83"/>
    <w:rsid w:val="00B70AF4"/>
    <w:rsid w:val="00B70CE1"/>
    <w:rsid w:val="00B70D61"/>
    <w:rsid w:val="00B71638"/>
    <w:rsid w:val="00B71713"/>
    <w:rsid w:val="00B7174E"/>
    <w:rsid w:val="00B717C6"/>
    <w:rsid w:val="00B717F4"/>
    <w:rsid w:val="00B718B8"/>
    <w:rsid w:val="00B718E2"/>
    <w:rsid w:val="00B719AC"/>
    <w:rsid w:val="00B71A11"/>
    <w:rsid w:val="00B71D25"/>
    <w:rsid w:val="00B71D26"/>
    <w:rsid w:val="00B72038"/>
    <w:rsid w:val="00B7209F"/>
    <w:rsid w:val="00B721EB"/>
    <w:rsid w:val="00B7234A"/>
    <w:rsid w:val="00B723BB"/>
    <w:rsid w:val="00B724F3"/>
    <w:rsid w:val="00B72584"/>
    <w:rsid w:val="00B72AE4"/>
    <w:rsid w:val="00B73278"/>
    <w:rsid w:val="00B734B2"/>
    <w:rsid w:val="00B739C5"/>
    <w:rsid w:val="00B739FF"/>
    <w:rsid w:val="00B73BC3"/>
    <w:rsid w:val="00B73DE8"/>
    <w:rsid w:val="00B73EE6"/>
    <w:rsid w:val="00B73FF2"/>
    <w:rsid w:val="00B7414B"/>
    <w:rsid w:val="00B741B2"/>
    <w:rsid w:val="00B741EB"/>
    <w:rsid w:val="00B74456"/>
    <w:rsid w:val="00B74462"/>
    <w:rsid w:val="00B744FB"/>
    <w:rsid w:val="00B74B42"/>
    <w:rsid w:val="00B7513E"/>
    <w:rsid w:val="00B7529F"/>
    <w:rsid w:val="00B75918"/>
    <w:rsid w:val="00B7599B"/>
    <w:rsid w:val="00B75AAB"/>
    <w:rsid w:val="00B75D2C"/>
    <w:rsid w:val="00B76120"/>
    <w:rsid w:val="00B76126"/>
    <w:rsid w:val="00B76252"/>
    <w:rsid w:val="00B76679"/>
    <w:rsid w:val="00B768A5"/>
    <w:rsid w:val="00B76996"/>
    <w:rsid w:val="00B76A41"/>
    <w:rsid w:val="00B76B32"/>
    <w:rsid w:val="00B76B4A"/>
    <w:rsid w:val="00B76CEE"/>
    <w:rsid w:val="00B77285"/>
    <w:rsid w:val="00B776D2"/>
    <w:rsid w:val="00B7771C"/>
    <w:rsid w:val="00B77739"/>
    <w:rsid w:val="00B7778E"/>
    <w:rsid w:val="00B77846"/>
    <w:rsid w:val="00B778FA"/>
    <w:rsid w:val="00B7796F"/>
    <w:rsid w:val="00B77A00"/>
    <w:rsid w:val="00B77AA8"/>
    <w:rsid w:val="00B77BDE"/>
    <w:rsid w:val="00B77BEE"/>
    <w:rsid w:val="00B77C6F"/>
    <w:rsid w:val="00B77F75"/>
    <w:rsid w:val="00B77FD0"/>
    <w:rsid w:val="00B80280"/>
    <w:rsid w:val="00B80372"/>
    <w:rsid w:val="00B80576"/>
    <w:rsid w:val="00B805FA"/>
    <w:rsid w:val="00B809D0"/>
    <w:rsid w:val="00B80A1A"/>
    <w:rsid w:val="00B80D4B"/>
    <w:rsid w:val="00B80EB7"/>
    <w:rsid w:val="00B80F5A"/>
    <w:rsid w:val="00B80F6C"/>
    <w:rsid w:val="00B8125B"/>
    <w:rsid w:val="00B8125C"/>
    <w:rsid w:val="00B812AF"/>
    <w:rsid w:val="00B81544"/>
    <w:rsid w:val="00B815A2"/>
    <w:rsid w:val="00B816A1"/>
    <w:rsid w:val="00B81950"/>
    <w:rsid w:val="00B81BB9"/>
    <w:rsid w:val="00B81D3A"/>
    <w:rsid w:val="00B81E66"/>
    <w:rsid w:val="00B81EAC"/>
    <w:rsid w:val="00B81FA0"/>
    <w:rsid w:val="00B82024"/>
    <w:rsid w:val="00B821A9"/>
    <w:rsid w:val="00B821CD"/>
    <w:rsid w:val="00B8224C"/>
    <w:rsid w:val="00B822D2"/>
    <w:rsid w:val="00B82998"/>
    <w:rsid w:val="00B82AA7"/>
    <w:rsid w:val="00B82C62"/>
    <w:rsid w:val="00B82D90"/>
    <w:rsid w:val="00B82EE8"/>
    <w:rsid w:val="00B82F24"/>
    <w:rsid w:val="00B82F91"/>
    <w:rsid w:val="00B8314E"/>
    <w:rsid w:val="00B832AF"/>
    <w:rsid w:val="00B833F3"/>
    <w:rsid w:val="00B83C61"/>
    <w:rsid w:val="00B83E44"/>
    <w:rsid w:val="00B8406B"/>
    <w:rsid w:val="00B84275"/>
    <w:rsid w:val="00B84892"/>
    <w:rsid w:val="00B848D3"/>
    <w:rsid w:val="00B84BB9"/>
    <w:rsid w:val="00B84C14"/>
    <w:rsid w:val="00B84F84"/>
    <w:rsid w:val="00B84FF6"/>
    <w:rsid w:val="00B850FE"/>
    <w:rsid w:val="00B85190"/>
    <w:rsid w:val="00B85197"/>
    <w:rsid w:val="00B851F0"/>
    <w:rsid w:val="00B85220"/>
    <w:rsid w:val="00B853B1"/>
    <w:rsid w:val="00B853FC"/>
    <w:rsid w:val="00B8585D"/>
    <w:rsid w:val="00B85A36"/>
    <w:rsid w:val="00B85D63"/>
    <w:rsid w:val="00B85DEC"/>
    <w:rsid w:val="00B85F44"/>
    <w:rsid w:val="00B8616A"/>
    <w:rsid w:val="00B865DE"/>
    <w:rsid w:val="00B8681D"/>
    <w:rsid w:val="00B86971"/>
    <w:rsid w:val="00B86B0A"/>
    <w:rsid w:val="00B86B28"/>
    <w:rsid w:val="00B86B6C"/>
    <w:rsid w:val="00B86BBB"/>
    <w:rsid w:val="00B86CC3"/>
    <w:rsid w:val="00B86EE6"/>
    <w:rsid w:val="00B872AE"/>
    <w:rsid w:val="00B872FE"/>
    <w:rsid w:val="00B87366"/>
    <w:rsid w:val="00B87465"/>
    <w:rsid w:val="00B875B9"/>
    <w:rsid w:val="00B87761"/>
    <w:rsid w:val="00B87958"/>
    <w:rsid w:val="00B87A2B"/>
    <w:rsid w:val="00B87A3B"/>
    <w:rsid w:val="00B87B36"/>
    <w:rsid w:val="00B87C81"/>
    <w:rsid w:val="00B87FB4"/>
    <w:rsid w:val="00B9029F"/>
    <w:rsid w:val="00B9036B"/>
    <w:rsid w:val="00B9052A"/>
    <w:rsid w:val="00B9067C"/>
    <w:rsid w:val="00B90A29"/>
    <w:rsid w:val="00B90BB9"/>
    <w:rsid w:val="00B90C66"/>
    <w:rsid w:val="00B90E62"/>
    <w:rsid w:val="00B90F44"/>
    <w:rsid w:val="00B90F74"/>
    <w:rsid w:val="00B91119"/>
    <w:rsid w:val="00B9138A"/>
    <w:rsid w:val="00B9148C"/>
    <w:rsid w:val="00B917F8"/>
    <w:rsid w:val="00B9181B"/>
    <w:rsid w:val="00B919DC"/>
    <w:rsid w:val="00B91C2D"/>
    <w:rsid w:val="00B91CE0"/>
    <w:rsid w:val="00B91D40"/>
    <w:rsid w:val="00B920C8"/>
    <w:rsid w:val="00B92140"/>
    <w:rsid w:val="00B92374"/>
    <w:rsid w:val="00B924B1"/>
    <w:rsid w:val="00B924EC"/>
    <w:rsid w:val="00B928A4"/>
    <w:rsid w:val="00B9294F"/>
    <w:rsid w:val="00B9298E"/>
    <w:rsid w:val="00B92A53"/>
    <w:rsid w:val="00B92AED"/>
    <w:rsid w:val="00B92E04"/>
    <w:rsid w:val="00B92EB8"/>
    <w:rsid w:val="00B9329A"/>
    <w:rsid w:val="00B9335C"/>
    <w:rsid w:val="00B93474"/>
    <w:rsid w:val="00B936E7"/>
    <w:rsid w:val="00B93823"/>
    <w:rsid w:val="00B9382B"/>
    <w:rsid w:val="00B93941"/>
    <w:rsid w:val="00B93D6C"/>
    <w:rsid w:val="00B93EC0"/>
    <w:rsid w:val="00B940B3"/>
    <w:rsid w:val="00B941FB"/>
    <w:rsid w:val="00B94223"/>
    <w:rsid w:val="00B94234"/>
    <w:rsid w:val="00B945DA"/>
    <w:rsid w:val="00B94626"/>
    <w:rsid w:val="00B94A42"/>
    <w:rsid w:val="00B94B57"/>
    <w:rsid w:val="00B94B7C"/>
    <w:rsid w:val="00B95052"/>
    <w:rsid w:val="00B95120"/>
    <w:rsid w:val="00B9518D"/>
    <w:rsid w:val="00B9559F"/>
    <w:rsid w:val="00B955C0"/>
    <w:rsid w:val="00B95883"/>
    <w:rsid w:val="00B95940"/>
    <w:rsid w:val="00B959A6"/>
    <w:rsid w:val="00B95B25"/>
    <w:rsid w:val="00B95B2C"/>
    <w:rsid w:val="00B95E76"/>
    <w:rsid w:val="00B95E97"/>
    <w:rsid w:val="00B96032"/>
    <w:rsid w:val="00B96056"/>
    <w:rsid w:val="00B96298"/>
    <w:rsid w:val="00B96520"/>
    <w:rsid w:val="00B967E8"/>
    <w:rsid w:val="00B9680F"/>
    <w:rsid w:val="00B9696B"/>
    <w:rsid w:val="00B96A3C"/>
    <w:rsid w:val="00B96DE7"/>
    <w:rsid w:val="00B96FFF"/>
    <w:rsid w:val="00B971E2"/>
    <w:rsid w:val="00B97354"/>
    <w:rsid w:val="00B97829"/>
    <w:rsid w:val="00B97831"/>
    <w:rsid w:val="00B9794F"/>
    <w:rsid w:val="00B97A7B"/>
    <w:rsid w:val="00B97BE5"/>
    <w:rsid w:val="00B97E40"/>
    <w:rsid w:val="00BA0257"/>
    <w:rsid w:val="00BA0666"/>
    <w:rsid w:val="00BA0943"/>
    <w:rsid w:val="00BA0AA3"/>
    <w:rsid w:val="00BA0C7F"/>
    <w:rsid w:val="00BA0E8F"/>
    <w:rsid w:val="00BA0F72"/>
    <w:rsid w:val="00BA130A"/>
    <w:rsid w:val="00BA18FC"/>
    <w:rsid w:val="00BA1C06"/>
    <w:rsid w:val="00BA1D0F"/>
    <w:rsid w:val="00BA1F72"/>
    <w:rsid w:val="00BA2011"/>
    <w:rsid w:val="00BA2362"/>
    <w:rsid w:val="00BA24CA"/>
    <w:rsid w:val="00BA253E"/>
    <w:rsid w:val="00BA257F"/>
    <w:rsid w:val="00BA2687"/>
    <w:rsid w:val="00BA270F"/>
    <w:rsid w:val="00BA2731"/>
    <w:rsid w:val="00BA28DA"/>
    <w:rsid w:val="00BA2A10"/>
    <w:rsid w:val="00BA2B7B"/>
    <w:rsid w:val="00BA2F71"/>
    <w:rsid w:val="00BA317D"/>
    <w:rsid w:val="00BA3317"/>
    <w:rsid w:val="00BA3873"/>
    <w:rsid w:val="00BA39FE"/>
    <w:rsid w:val="00BA3CBA"/>
    <w:rsid w:val="00BA4003"/>
    <w:rsid w:val="00BA446D"/>
    <w:rsid w:val="00BA46B0"/>
    <w:rsid w:val="00BA494D"/>
    <w:rsid w:val="00BA4989"/>
    <w:rsid w:val="00BA4A82"/>
    <w:rsid w:val="00BA4E27"/>
    <w:rsid w:val="00BA512B"/>
    <w:rsid w:val="00BA51BC"/>
    <w:rsid w:val="00BA5238"/>
    <w:rsid w:val="00BA530C"/>
    <w:rsid w:val="00BA5559"/>
    <w:rsid w:val="00BA57A6"/>
    <w:rsid w:val="00BA58AE"/>
    <w:rsid w:val="00BA58B3"/>
    <w:rsid w:val="00BA5A48"/>
    <w:rsid w:val="00BA5CD1"/>
    <w:rsid w:val="00BA5D32"/>
    <w:rsid w:val="00BA5EC8"/>
    <w:rsid w:val="00BA5F4F"/>
    <w:rsid w:val="00BA622F"/>
    <w:rsid w:val="00BA6393"/>
    <w:rsid w:val="00BA642A"/>
    <w:rsid w:val="00BA6473"/>
    <w:rsid w:val="00BA6681"/>
    <w:rsid w:val="00BA6804"/>
    <w:rsid w:val="00BA6B1D"/>
    <w:rsid w:val="00BA6BDC"/>
    <w:rsid w:val="00BA6DCE"/>
    <w:rsid w:val="00BA7072"/>
    <w:rsid w:val="00BA71B2"/>
    <w:rsid w:val="00BA726E"/>
    <w:rsid w:val="00BA7698"/>
    <w:rsid w:val="00BA76C1"/>
    <w:rsid w:val="00BA7863"/>
    <w:rsid w:val="00BA79ED"/>
    <w:rsid w:val="00BA7AC0"/>
    <w:rsid w:val="00BA7BCC"/>
    <w:rsid w:val="00BB0227"/>
    <w:rsid w:val="00BB0456"/>
    <w:rsid w:val="00BB071D"/>
    <w:rsid w:val="00BB072C"/>
    <w:rsid w:val="00BB0810"/>
    <w:rsid w:val="00BB09DC"/>
    <w:rsid w:val="00BB0A33"/>
    <w:rsid w:val="00BB0A39"/>
    <w:rsid w:val="00BB0BD8"/>
    <w:rsid w:val="00BB0D01"/>
    <w:rsid w:val="00BB0D11"/>
    <w:rsid w:val="00BB1135"/>
    <w:rsid w:val="00BB13D2"/>
    <w:rsid w:val="00BB1470"/>
    <w:rsid w:val="00BB1980"/>
    <w:rsid w:val="00BB1B16"/>
    <w:rsid w:val="00BB1D1B"/>
    <w:rsid w:val="00BB1F44"/>
    <w:rsid w:val="00BB1F9D"/>
    <w:rsid w:val="00BB28C7"/>
    <w:rsid w:val="00BB295A"/>
    <w:rsid w:val="00BB2B5B"/>
    <w:rsid w:val="00BB2E04"/>
    <w:rsid w:val="00BB2E30"/>
    <w:rsid w:val="00BB3152"/>
    <w:rsid w:val="00BB3695"/>
    <w:rsid w:val="00BB3708"/>
    <w:rsid w:val="00BB3AAB"/>
    <w:rsid w:val="00BB3B6A"/>
    <w:rsid w:val="00BB3B86"/>
    <w:rsid w:val="00BB3BAB"/>
    <w:rsid w:val="00BB3E81"/>
    <w:rsid w:val="00BB4405"/>
    <w:rsid w:val="00BB44A9"/>
    <w:rsid w:val="00BB45E4"/>
    <w:rsid w:val="00BB47E6"/>
    <w:rsid w:val="00BB49C5"/>
    <w:rsid w:val="00BB4D4F"/>
    <w:rsid w:val="00BB4D70"/>
    <w:rsid w:val="00BB4DAF"/>
    <w:rsid w:val="00BB509F"/>
    <w:rsid w:val="00BB5176"/>
    <w:rsid w:val="00BB5472"/>
    <w:rsid w:val="00BB54BA"/>
    <w:rsid w:val="00BB5688"/>
    <w:rsid w:val="00BB57C0"/>
    <w:rsid w:val="00BB5A14"/>
    <w:rsid w:val="00BB5D8B"/>
    <w:rsid w:val="00BB5EA0"/>
    <w:rsid w:val="00BB5EE6"/>
    <w:rsid w:val="00BB5F8D"/>
    <w:rsid w:val="00BB5FF4"/>
    <w:rsid w:val="00BB620F"/>
    <w:rsid w:val="00BB628C"/>
    <w:rsid w:val="00BB64F9"/>
    <w:rsid w:val="00BB6A83"/>
    <w:rsid w:val="00BB6BA8"/>
    <w:rsid w:val="00BB6D4E"/>
    <w:rsid w:val="00BB6FA1"/>
    <w:rsid w:val="00BB70ED"/>
    <w:rsid w:val="00BB732E"/>
    <w:rsid w:val="00BB77CD"/>
    <w:rsid w:val="00BB7844"/>
    <w:rsid w:val="00BB7955"/>
    <w:rsid w:val="00BB7F18"/>
    <w:rsid w:val="00BB7F4F"/>
    <w:rsid w:val="00BC0020"/>
    <w:rsid w:val="00BC0150"/>
    <w:rsid w:val="00BC026C"/>
    <w:rsid w:val="00BC0435"/>
    <w:rsid w:val="00BC05A2"/>
    <w:rsid w:val="00BC067F"/>
    <w:rsid w:val="00BC06E3"/>
    <w:rsid w:val="00BC0DB3"/>
    <w:rsid w:val="00BC0DDC"/>
    <w:rsid w:val="00BC0FDC"/>
    <w:rsid w:val="00BC1433"/>
    <w:rsid w:val="00BC1471"/>
    <w:rsid w:val="00BC14E1"/>
    <w:rsid w:val="00BC156F"/>
    <w:rsid w:val="00BC16CF"/>
    <w:rsid w:val="00BC1716"/>
    <w:rsid w:val="00BC1CCE"/>
    <w:rsid w:val="00BC1F18"/>
    <w:rsid w:val="00BC1FEE"/>
    <w:rsid w:val="00BC2121"/>
    <w:rsid w:val="00BC2139"/>
    <w:rsid w:val="00BC21F0"/>
    <w:rsid w:val="00BC2579"/>
    <w:rsid w:val="00BC266C"/>
    <w:rsid w:val="00BC26C5"/>
    <w:rsid w:val="00BC283E"/>
    <w:rsid w:val="00BC28B6"/>
    <w:rsid w:val="00BC28B8"/>
    <w:rsid w:val="00BC2CEF"/>
    <w:rsid w:val="00BC2CF2"/>
    <w:rsid w:val="00BC2CF9"/>
    <w:rsid w:val="00BC2DBB"/>
    <w:rsid w:val="00BC345A"/>
    <w:rsid w:val="00BC37B6"/>
    <w:rsid w:val="00BC3983"/>
    <w:rsid w:val="00BC39D5"/>
    <w:rsid w:val="00BC3C1A"/>
    <w:rsid w:val="00BC3CD9"/>
    <w:rsid w:val="00BC418D"/>
    <w:rsid w:val="00BC41A6"/>
    <w:rsid w:val="00BC43DB"/>
    <w:rsid w:val="00BC44EB"/>
    <w:rsid w:val="00BC4513"/>
    <w:rsid w:val="00BC452F"/>
    <w:rsid w:val="00BC4596"/>
    <w:rsid w:val="00BC4853"/>
    <w:rsid w:val="00BC499C"/>
    <w:rsid w:val="00BC4E6D"/>
    <w:rsid w:val="00BC4EE4"/>
    <w:rsid w:val="00BC538A"/>
    <w:rsid w:val="00BC57DA"/>
    <w:rsid w:val="00BC589D"/>
    <w:rsid w:val="00BC5A71"/>
    <w:rsid w:val="00BC5B91"/>
    <w:rsid w:val="00BC5D2D"/>
    <w:rsid w:val="00BC5D32"/>
    <w:rsid w:val="00BC5DBD"/>
    <w:rsid w:val="00BC5F4A"/>
    <w:rsid w:val="00BC627C"/>
    <w:rsid w:val="00BC630A"/>
    <w:rsid w:val="00BC63B1"/>
    <w:rsid w:val="00BC63E6"/>
    <w:rsid w:val="00BC6724"/>
    <w:rsid w:val="00BC67B5"/>
    <w:rsid w:val="00BC6899"/>
    <w:rsid w:val="00BC69B4"/>
    <w:rsid w:val="00BC6DF0"/>
    <w:rsid w:val="00BC6F45"/>
    <w:rsid w:val="00BC71A2"/>
    <w:rsid w:val="00BC7721"/>
    <w:rsid w:val="00BC77F1"/>
    <w:rsid w:val="00BC78DE"/>
    <w:rsid w:val="00BC79B2"/>
    <w:rsid w:val="00BC79E1"/>
    <w:rsid w:val="00BC7A68"/>
    <w:rsid w:val="00BC7A6F"/>
    <w:rsid w:val="00BC7B9E"/>
    <w:rsid w:val="00BC7C49"/>
    <w:rsid w:val="00BC7EDA"/>
    <w:rsid w:val="00BC7F91"/>
    <w:rsid w:val="00BC7FB5"/>
    <w:rsid w:val="00BD013E"/>
    <w:rsid w:val="00BD0223"/>
    <w:rsid w:val="00BD030E"/>
    <w:rsid w:val="00BD0486"/>
    <w:rsid w:val="00BD0543"/>
    <w:rsid w:val="00BD066A"/>
    <w:rsid w:val="00BD0885"/>
    <w:rsid w:val="00BD0AF7"/>
    <w:rsid w:val="00BD0B5A"/>
    <w:rsid w:val="00BD0C43"/>
    <w:rsid w:val="00BD0F2A"/>
    <w:rsid w:val="00BD118F"/>
    <w:rsid w:val="00BD1457"/>
    <w:rsid w:val="00BD15D2"/>
    <w:rsid w:val="00BD1605"/>
    <w:rsid w:val="00BD1839"/>
    <w:rsid w:val="00BD1871"/>
    <w:rsid w:val="00BD1922"/>
    <w:rsid w:val="00BD1926"/>
    <w:rsid w:val="00BD1AE8"/>
    <w:rsid w:val="00BD1B3C"/>
    <w:rsid w:val="00BD1C0C"/>
    <w:rsid w:val="00BD1C30"/>
    <w:rsid w:val="00BD1E68"/>
    <w:rsid w:val="00BD2055"/>
    <w:rsid w:val="00BD2608"/>
    <w:rsid w:val="00BD2A20"/>
    <w:rsid w:val="00BD2BD2"/>
    <w:rsid w:val="00BD2E30"/>
    <w:rsid w:val="00BD2E93"/>
    <w:rsid w:val="00BD2F30"/>
    <w:rsid w:val="00BD3205"/>
    <w:rsid w:val="00BD3343"/>
    <w:rsid w:val="00BD3633"/>
    <w:rsid w:val="00BD3838"/>
    <w:rsid w:val="00BD3867"/>
    <w:rsid w:val="00BD39BA"/>
    <w:rsid w:val="00BD3CD1"/>
    <w:rsid w:val="00BD3E33"/>
    <w:rsid w:val="00BD4121"/>
    <w:rsid w:val="00BD42DD"/>
    <w:rsid w:val="00BD4309"/>
    <w:rsid w:val="00BD430E"/>
    <w:rsid w:val="00BD4403"/>
    <w:rsid w:val="00BD45D8"/>
    <w:rsid w:val="00BD4675"/>
    <w:rsid w:val="00BD47CC"/>
    <w:rsid w:val="00BD4854"/>
    <w:rsid w:val="00BD486C"/>
    <w:rsid w:val="00BD4A30"/>
    <w:rsid w:val="00BD4BB6"/>
    <w:rsid w:val="00BD4BF3"/>
    <w:rsid w:val="00BD5351"/>
    <w:rsid w:val="00BD54CD"/>
    <w:rsid w:val="00BD559B"/>
    <w:rsid w:val="00BD58B4"/>
    <w:rsid w:val="00BD5A0B"/>
    <w:rsid w:val="00BD5A34"/>
    <w:rsid w:val="00BD5C13"/>
    <w:rsid w:val="00BD5EA8"/>
    <w:rsid w:val="00BD605B"/>
    <w:rsid w:val="00BD60D3"/>
    <w:rsid w:val="00BD6231"/>
    <w:rsid w:val="00BD6681"/>
    <w:rsid w:val="00BD6812"/>
    <w:rsid w:val="00BD6868"/>
    <w:rsid w:val="00BD6AAE"/>
    <w:rsid w:val="00BD6B58"/>
    <w:rsid w:val="00BD6E3B"/>
    <w:rsid w:val="00BD709A"/>
    <w:rsid w:val="00BD70FE"/>
    <w:rsid w:val="00BD71E8"/>
    <w:rsid w:val="00BD737A"/>
    <w:rsid w:val="00BD74D0"/>
    <w:rsid w:val="00BD74D2"/>
    <w:rsid w:val="00BD76ED"/>
    <w:rsid w:val="00BD771D"/>
    <w:rsid w:val="00BD7732"/>
    <w:rsid w:val="00BD7804"/>
    <w:rsid w:val="00BD7CBE"/>
    <w:rsid w:val="00BD7CC8"/>
    <w:rsid w:val="00BD7DE9"/>
    <w:rsid w:val="00BD7E62"/>
    <w:rsid w:val="00BE00B4"/>
    <w:rsid w:val="00BE0828"/>
    <w:rsid w:val="00BE09C8"/>
    <w:rsid w:val="00BE0D2F"/>
    <w:rsid w:val="00BE0E9C"/>
    <w:rsid w:val="00BE0EFF"/>
    <w:rsid w:val="00BE0F15"/>
    <w:rsid w:val="00BE1059"/>
    <w:rsid w:val="00BE11E5"/>
    <w:rsid w:val="00BE145D"/>
    <w:rsid w:val="00BE1540"/>
    <w:rsid w:val="00BE1599"/>
    <w:rsid w:val="00BE17F6"/>
    <w:rsid w:val="00BE189C"/>
    <w:rsid w:val="00BE1926"/>
    <w:rsid w:val="00BE1B1B"/>
    <w:rsid w:val="00BE1D22"/>
    <w:rsid w:val="00BE1D55"/>
    <w:rsid w:val="00BE1E70"/>
    <w:rsid w:val="00BE2209"/>
    <w:rsid w:val="00BE22A3"/>
    <w:rsid w:val="00BE22CC"/>
    <w:rsid w:val="00BE2591"/>
    <w:rsid w:val="00BE25FA"/>
    <w:rsid w:val="00BE27B6"/>
    <w:rsid w:val="00BE27CD"/>
    <w:rsid w:val="00BE27E0"/>
    <w:rsid w:val="00BE2E76"/>
    <w:rsid w:val="00BE30E7"/>
    <w:rsid w:val="00BE338C"/>
    <w:rsid w:val="00BE34C1"/>
    <w:rsid w:val="00BE3613"/>
    <w:rsid w:val="00BE368E"/>
    <w:rsid w:val="00BE37F5"/>
    <w:rsid w:val="00BE3EBA"/>
    <w:rsid w:val="00BE43F7"/>
    <w:rsid w:val="00BE4573"/>
    <w:rsid w:val="00BE467F"/>
    <w:rsid w:val="00BE47C1"/>
    <w:rsid w:val="00BE4BD0"/>
    <w:rsid w:val="00BE4BDC"/>
    <w:rsid w:val="00BE4C97"/>
    <w:rsid w:val="00BE4D5A"/>
    <w:rsid w:val="00BE5137"/>
    <w:rsid w:val="00BE5313"/>
    <w:rsid w:val="00BE555D"/>
    <w:rsid w:val="00BE5908"/>
    <w:rsid w:val="00BE5A0C"/>
    <w:rsid w:val="00BE5B71"/>
    <w:rsid w:val="00BE5E31"/>
    <w:rsid w:val="00BE5F8A"/>
    <w:rsid w:val="00BE5FBE"/>
    <w:rsid w:val="00BE600F"/>
    <w:rsid w:val="00BE6013"/>
    <w:rsid w:val="00BE6125"/>
    <w:rsid w:val="00BE6290"/>
    <w:rsid w:val="00BE62B0"/>
    <w:rsid w:val="00BE649F"/>
    <w:rsid w:val="00BE66AF"/>
    <w:rsid w:val="00BE66FE"/>
    <w:rsid w:val="00BE67D6"/>
    <w:rsid w:val="00BE6A0B"/>
    <w:rsid w:val="00BE6F38"/>
    <w:rsid w:val="00BE7295"/>
    <w:rsid w:val="00BE72F9"/>
    <w:rsid w:val="00BE76AD"/>
    <w:rsid w:val="00BE770C"/>
    <w:rsid w:val="00BE77CC"/>
    <w:rsid w:val="00BE7805"/>
    <w:rsid w:val="00BE7838"/>
    <w:rsid w:val="00BE787E"/>
    <w:rsid w:val="00BE792E"/>
    <w:rsid w:val="00BE7B74"/>
    <w:rsid w:val="00BE7D5B"/>
    <w:rsid w:val="00BE7E42"/>
    <w:rsid w:val="00BF0013"/>
    <w:rsid w:val="00BF00DD"/>
    <w:rsid w:val="00BF03A6"/>
    <w:rsid w:val="00BF070D"/>
    <w:rsid w:val="00BF076F"/>
    <w:rsid w:val="00BF07DF"/>
    <w:rsid w:val="00BF0B06"/>
    <w:rsid w:val="00BF0F82"/>
    <w:rsid w:val="00BF1042"/>
    <w:rsid w:val="00BF1848"/>
    <w:rsid w:val="00BF19B8"/>
    <w:rsid w:val="00BF19E7"/>
    <w:rsid w:val="00BF1A28"/>
    <w:rsid w:val="00BF1B23"/>
    <w:rsid w:val="00BF1D82"/>
    <w:rsid w:val="00BF1E9B"/>
    <w:rsid w:val="00BF250E"/>
    <w:rsid w:val="00BF25A4"/>
    <w:rsid w:val="00BF2694"/>
    <w:rsid w:val="00BF27BC"/>
    <w:rsid w:val="00BF29F1"/>
    <w:rsid w:val="00BF2B7F"/>
    <w:rsid w:val="00BF2D3C"/>
    <w:rsid w:val="00BF2D8B"/>
    <w:rsid w:val="00BF2DBA"/>
    <w:rsid w:val="00BF301F"/>
    <w:rsid w:val="00BF304E"/>
    <w:rsid w:val="00BF30C8"/>
    <w:rsid w:val="00BF311E"/>
    <w:rsid w:val="00BF32EE"/>
    <w:rsid w:val="00BF337B"/>
    <w:rsid w:val="00BF33C0"/>
    <w:rsid w:val="00BF3619"/>
    <w:rsid w:val="00BF367B"/>
    <w:rsid w:val="00BF36CE"/>
    <w:rsid w:val="00BF36FA"/>
    <w:rsid w:val="00BF3BDA"/>
    <w:rsid w:val="00BF3BF9"/>
    <w:rsid w:val="00BF3D57"/>
    <w:rsid w:val="00BF3E2E"/>
    <w:rsid w:val="00BF3ECC"/>
    <w:rsid w:val="00BF3EF9"/>
    <w:rsid w:val="00BF4054"/>
    <w:rsid w:val="00BF40AF"/>
    <w:rsid w:val="00BF4387"/>
    <w:rsid w:val="00BF4428"/>
    <w:rsid w:val="00BF470C"/>
    <w:rsid w:val="00BF487B"/>
    <w:rsid w:val="00BF48D9"/>
    <w:rsid w:val="00BF4BD5"/>
    <w:rsid w:val="00BF4C7B"/>
    <w:rsid w:val="00BF5173"/>
    <w:rsid w:val="00BF5748"/>
    <w:rsid w:val="00BF5966"/>
    <w:rsid w:val="00BF5C2E"/>
    <w:rsid w:val="00BF5C33"/>
    <w:rsid w:val="00BF5F3C"/>
    <w:rsid w:val="00BF611E"/>
    <w:rsid w:val="00BF62D1"/>
    <w:rsid w:val="00BF636A"/>
    <w:rsid w:val="00BF698B"/>
    <w:rsid w:val="00BF6B30"/>
    <w:rsid w:val="00BF6B7A"/>
    <w:rsid w:val="00BF6BC5"/>
    <w:rsid w:val="00BF6D95"/>
    <w:rsid w:val="00BF6EC7"/>
    <w:rsid w:val="00BF7177"/>
    <w:rsid w:val="00BF71DB"/>
    <w:rsid w:val="00BF7268"/>
    <w:rsid w:val="00BF79FB"/>
    <w:rsid w:val="00BF7AA1"/>
    <w:rsid w:val="00BF7CE9"/>
    <w:rsid w:val="00BF7D65"/>
    <w:rsid w:val="00C003C8"/>
    <w:rsid w:val="00C00852"/>
    <w:rsid w:val="00C00866"/>
    <w:rsid w:val="00C00C1E"/>
    <w:rsid w:val="00C00E31"/>
    <w:rsid w:val="00C00E3D"/>
    <w:rsid w:val="00C00E42"/>
    <w:rsid w:val="00C00E86"/>
    <w:rsid w:val="00C00E87"/>
    <w:rsid w:val="00C00EA9"/>
    <w:rsid w:val="00C00EEB"/>
    <w:rsid w:val="00C00EEE"/>
    <w:rsid w:val="00C010D6"/>
    <w:rsid w:val="00C014CB"/>
    <w:rsid w:val="00C0153E"/>
    <w:rsid w:val="00C01561"/>
    <w:rsid w:val="00C0157C"/>
    <w:rsid w:val="00C017EC"/>
    <w:rsid w:val="00C01A27"/>
    <w:rsid w:val="00C01BDA"/>
    <w:rsid w:val="00C01D7F"/>
    <w:rsid w:val="00C01DBA"/>
    <w:rsid w:val="00C01E1D"/>
    <w:rsid w:val="00C01E64"/>
    <w:rsid w:val="00C01E68"/>
    <w:rsid w:val="00C021D5"/>
    <w:rsid w:val="00C021DE"/>
    <w:rsid w:val="00C02214"/>
    <w:rsid w:val="00C0223B"/>
    <w:rsid w:val="00C023B4"/>
    <w:rsid w:val="00C024AB"/>
    <w:rsid w:val="00C024B9"/>
    <w:rsid w:val="00C028CE"/>
    <w:rsid w:val="00C02935"/>
    <w:rsid w:val="00C029E1"/>
    <w:rsid w:val="00C02A2A"/>
    <w:rsid w:val="00C02E82"/>
    <w:rsid w:val="00C02F65"/>
    <w:rsid w:val="00C02FD9"/>
    <w:rsid w:val="00C0304D"/>
    <w:rsid w:val="00C030EA"/>
    <w:rsid w:val="00C031CF"/>
    <w:rsid w:val="00C0345F"/>
    <w:rsid w:val="00C03584"/>
    <w:rsid w:val="00C03961"/>
    <w:rsid w:val="00C03B2F"/>
    <w:rsid w:val="00C03C4E"/>
    <w:rsid w:val="00C040C4"/>
    <w:rsid w:val="00C04113"/>
    <w:rsid w:val="00C0451E"/>
    <w:rsid w:val="00C045E4"/>
    <w:rsid w:val="00C046CE"/>
    <w:rsid w:val="00C04A0B"/>
    <w:rsid w:val="00C04ACD"/>
    <w:rsid w:val="00C04BD5"/>
    <w:rsid w:val="00C04CC8"/>
    <w:rsid w:val="00C04E12"/>
    <w:rsid w:val="00C04EBF"/>
    <w:rsid w:val="00C05136"/>
    <w:rsid w:val="00C051C8"/>
    <w:rsid w:val="00C052F4"/>
    <w:rsid w:val="00C054D7"/>
    <w:rsid w:val="00C05738"/>
    <w:rsid w:val="00C05BDB"/>
    <w:rsid w:val="00C05BDD"/>
    <w:rsid w:val="00C061A9"/>
    <w:rsid w:val="00C06367"/>
    <w:rsid w:val="00C06374"/>
    <w:rsid w:val="00C06391"/>
    <w:rsid w:val="00C0645D"/>
    <w:rsid w:val="00C0657A"/>
    <w:rsid w:val="00C06689"/>
    <w:rsid w:val="00C066E9"/>
    <w:rsid w:val="00C069B4"/>
    <w:rsid w:val="00C06B53"/>
    <w:rsid w:val="00C06B89"/>
    <w:rsid w:val="00C06D37"/>
    <w:rsid w:val="00C06DD6"/>
    <w:rsid w:val="00C06DFF"/>
    <w:rsid w:val="00C07045"/>
    <w:rsid w:val="00C07197"/>
    <w:rsid w:val="00C071C4"/>
    <w:rsid w:val="00C07417"/>
    <w:rsid w:val="00C07688"/>
    <w:rsid w:val="00C07A3F"/>
    <w:rsid w:val="00C07C11"/>
    <w:rsid w:val="00C07EDD"/>
    <w:rsid w:val="00C10253"/>
    <w:rsid w:val="00C1044F"/>
    <w:rsid w:val="00C10667"/>
    <w:rsid w:val="00C108E8"/>
    <w:rsid w:val="00C10EA0"/>
    <w:rsid w:val="00C10F98"/>
    <w:rsid w:val="00C11191"/>
    <w:rsid w:val="00C111A4"/>
    <w:rsid w:val="00C112C3"/>
    <w:rsid w:val="00C113CB"/>
    <w:rsid w:val="00C114A5"/>
    <w:rsid w:val="00C11530"/>
    <w:rsid w:val="00C11782"/>
    <w:rsid w:val="00C11862"/>
    <w:rsid w:val="00C11CCF"/>
    <w:rsid w:val="00C11FA2"/>
    <w:rsid w:val="00C12225"/>
    <w:rsid w:val="00C125CD"/>
    <w:rsid w:val="00C12628"/>
    <w:rsid w:val="00C12775"/>
    <w:rsid w:val="00C12786"/>
    <w:rsid w:val="00C127CC"/>
    <w:rsid w:val="00C1281F"/>
    <w:rsid w:val="00C12BC6"/>
    <w:rsid w:val="00C12C6A"/>
    <w:rsid w:val="00C12D12"/>
    <w:rsid w:val="00C13099"/>
    <w:rsid w:val="00C1315B"/>
    <w:rsid w:val="00C1320C"/>
    <w:rsid w:val="00C13345"/>
    <w:rsid w:val="00C13369"/>
    <w:rsid w:val="00C1369E"/>
    <w:rsid w:val="00C1388B"/>
    <w:rsid w:val="00C13921"/>
    <w:rsid w:val="00C1392F"/>
    <w:rsid w:val="00C139D4"/>
    <w:rsid w:val="00C13AF4"/>
    <w:rsid w:val="00C13B58"/>
    <w:rsid w:val="00C13CBB"/>
    <w:rsid w:val="00C13D27"/>
    <w:rsid w:val="00C13DD5"/>
    <w:rsid w:val="00C13FFC"/>
    <w:rsid w:val="00C14334"/>
    <w:rsid w:val="00C14347"/>
    <w:rsid w:val="00C14435"/>
    <w:rsid w:val="00C1454B"/>
    <w:rsid w:val="00C1484A"/>
    <w:rsid w:val="00C148BF"/>
    <w:rsid w:val="00C14B2C"/>
    <w:rsid w:val="00C14CC4"/>
    <w:rsid w:val="00C14DCB"/>
    <w:rsid w:val="00C14E7F"/>
    <w:rsid w:val="00C14E84"/>
    <w:rsid w:val="00C1526D"/>
    <w:rsid w:val="00C15385"/>
    <w:rsid w:val="00C155CF"/>
    <w:rsid w:val="00C157EB"/>
    <w:rsid w:val="00C15803"/>
    <w:rsid w:val="00C15A45"/>
    <w:rsid w:val="00C15AE4"/>
    <w:rsid w:val="00C15BCA"/>
    <w:rsid w:val="00C15DDF"/>
    <w:rsid w:val="00C15E37"/>
    <w:rsid w:val="00C15F2A"/>
    <w:rsid w:val="00C15F5A"/>
    <w:rsid w:val="00C16352"/>
    <w:rsid w:val="00C16489"/>
    <w:rsid w:val="00C165BE"/>
    <w:rsid w:val="00C169F9"/>
    <w:rsid w:val="00C16B1C"/>
    <w:rsid w:val="00C16B9B"/>
    <w:rsid w:val="00C16BAB"/>
    <w:rsid w:val="00C16E97"/>
    <w:rsid w:val="00C16F35"/>
    <w:rsid w:val="00C1713B"/>
    <w:rsid w:val="00C174F6"/>
    <w:rsid w:val="00C176F7"/>
    <w:rsid w:val="00C179F2"/>
    <w:rsid w:val="00C17C33"/>
    <w:rsid w:val="00C17CA0"/>
    <w:rsid w:val="00C20068"/>
    <w:rsid w:val="00C20070"/>
    <w:rsid w:val="00C20265"/>
    <w:rsid w:val="00C204E8"/>
    <w:rsid w:val="00C207E1"/>
    <w:rsid w:val="00C20855"/>
    <w:rsid w:val="00C20BBE"/>
    <w:rsid w:val="00C20FE3"/>
    <w:rsid w:val="00C2102F"/>
    <w:rsid w:val="00C211F6"/>
    <w:rsid w:val="00C2133E"/>
    <w:rsid w:val="00C21D09"/>
    <w:rsid w:val="00C21DDD"/>
    <w:rsid w:val="00C21F3A"/>
    <w:rsid w:val="00C220A7"/>
    <w:rsid w:val="00C2215B"/>
    <w:rsid w:val="00C222BD"/>
    <w:rsid w:val="00C2259C"/>
    <w:rsid w:val="00C2276E"/>
    <w:rsid w:val="00C228C8"/>
    <w:rsid w:val="00C22935"/>
    <w:rsid w:val="00C22A43"/>
    <w:rsid w:val="00C22AE8"/>
    <w:rsid w:val="00C22B5F"/>
    <w:rsid w:val="00C22D32"/>
    <w:rsid w:val="00C22DC6"/>
    <w:rsid w:val="00C22DD4"/>
    <w:rsid w:val="00C23071"/>
    <w:rsid w:val="00C230C6"/>
    <w:rsid w:val="00C2327C"/>
    <w:rsid w:val="00C232B4"/>
    <w:rsid w:val="00C23318"/>
    <w:rsid w:val="00C2334E"/>
    <w:rsid w:val="00C2369E"/>
    <w:rsid w:val="00C236E0"/>
    <w:rsid w:val="00C23825"/>
    <w:rsid w:val="00C23870"/>
    <w:rsid w:val="00C23B2E"/>
    <w:rsid w:val="00C23CCB"/>
    <w:rsid w:val="00C23E51"/>
    <w:rsid w:val="00C23F2C"/>
    <w:rsid w:val="00C240D2"/>
    <w:rsid w:val="00C24452"/>
    <w:rsid w:val="00C2490C"/>
    <w:rsid w:val="00C24BBE"/>
    <w:rsid w:val="00C24DA7"/>
    <w:rsid w:val="00C24E86"/>
    <w:rsid w:val="00C24FE0"/>
    <w:rsid w:val="00C2511D"/>
    <w:rsid w:val="00C251F1"/>
    <w:rsid w:val="00C252A9"/>
    <w:rsid w:val="00C254AC"/>
    <w:rsid w:val="00C2569C"/>
    <w:rsid w:val="00C2597F"/>
    <w:rsid w:val="00C259D8"/>
    <w:rsid w:val="00C25E2F"/>
    <w:rsid w:val="00C25FC7"/>
    <w:rsid w:val="00C2612D"/>
    <w:rsid w:val="00C261F5"/>
    <w:rsid w:val="00C2639D"/>
    <w:rsid w:val="00C26793"/>
    <w:rsid w:val="00C2692A"/>
    <w:rsid w:val="00C26F1F"/>
    <w:rsid w:val="00C26F6B"/>
    <w:rsid w:val="00C26FAE"/>
    <w:rsid w:val="00C270F5"/>
    <w:rsid w:val="00C273FF"/>
    <w:rsid w:val="00C274AA"/>
    <w:rsid w:val="00C27682"/>
    <w:rsid w:val="00C27707"/>
    <w:rsid w:val="00C27840"/>
    <w:rsid w:val="00C279B6"/>
    <w:rsid w:val="00C27A81"/>
    <w:rsid w:val="00C27CDD"/>
    <w:rsid w:val="00C27D2A"/>
    <w:rsid w:val="00C27E02"/>
    <w:rsid w:val="00C27EEE"/>
    <w:rsid w:val="00C27F29"/>
    <w:rsid w:val="00C30069"/>
    <w:rsid w:val="00C30201"/>
    <w:rsid w:val="00C30329"/>
    <w:rsid w:val="00C304CC"/>
    <w:rsid w:val="00C307B3"/>
    <w:rsid w:val="00C30995"/>
    <w:rsid w:val="00C309EC"/>
    <w:rsid w:val="00C30C0A"/>
    <w:rsid w:val="00C30CD8"/>
    <w:rsid w:val="00C31042"/>
    <w:rsid w:val="00C31453"/>
    <w:rsid w:val="00C31801"/>
    <w:rsid w:val="00C31A74"/>
    <w:rsid w:val="00C31B31"/>
    <w:rsid w:val="00C31CBA"/>
    <w:rsid w:val="00C31D30"/>
    <w:rsid w:val="00C32142"/>
    <w:rsid w:val="00C32405"/>
    <w:rsid w:val="00C325A5"/>
    <w:rsid w:val="00C3280C"/>
    <w:rsid w:val="00C32824"/>
    <w:rsid w:val="00C32A51"/>
    <w:rsid w:val="00C32F95"/>
    <w:rsid w:val="00C3338A"/>
    <w:rsid w:val="00C33411"/>
    <w:rsid w:val="00C337AA"/>
    <w:rsid w:val="00C33A25"/>
    <w:rsid w:val="00C33CD2"/>
    <w:rsid w:val="00C33E9B"/>
    <w:rsid w:val="00C3410E"/>
    <w:rsid w:val="00C343BA"/>
    <w:rsid w:val="00C344EC"/>
    <w:rsid w:val="00C34713"/>
    <w:rsid w:val="00C34AE0"/>
    <w:rsid w:val="00C34EF1"/>
    <w:rsid w:val="00C34F7E"/>
    <w:rsid w:val="00C34FBC"/>
    <w:rsid w:val="00C35133"/>
    <w:rsid w:val="00C35222"/>
    <w:rsid w:val="00C352DE"/>
    <w:rsid w:val="00C3546F"/>
    <w:rsid w:val="00C35607"/>
    <w:rsid w:val="00C35622"/>
    <w:rsid w:val="00C356A6"/>
    <w:rsid w:val="00C35861"/>
    <w:rsid w:val="00C35966"/>
    <w:rsid w:val="00C35B9B"/>
    <w:rsid w:val="00C35C56"/>
    <w:rsid w:val="00C35CC0"/>
    <w:rsid w:val="00C35CFC"/>
    <w:rsid w:val="00C35D95"/>
    <w:rsid w:val="00C35DB9"/>
    <w:rsid w:val="00C361AE"/>
    <w:rsid w:val="00C3636A"/>
    <w:rsid w:val="00C36854"/>
    <w:rsid w:val="00C36BDC"/>
    <w:rsid w:val="00C37177"/>
    <w:rsid w:val="00C372F7"/>
    <w:rsid w:val="00C37446"/>
    <w:rsid w:val="00C3751E"/>
    <w:rsid w:val="00C37643"/>
    <w:rsid w:val="00C376E8"/>
    <w:rsid w:val="00C3789A"/>
    <w:rsid w:val="00C379D6"/>
    <w:rsid w:val="00C37A6A"/>
    <w:rsid w:val="00C37A6D"/>
    <w:rsid w:val="00C37B17"/>
    <w:rsid w:val="00C37BFD"/>
    <w:rsid w:val="00C37E64"/>
    <w:rsid w:val="00C400EB"/>
    <w:rsid w:val="00C404C6"/>
    <w:rsid w:val="00C406D8"/>
    <w:rsid w:val="00C406FC"/>
    <w:rsid w:val="00C407BE"/>
    <w:rsid w:val="00C40815"/>
    <w:rsid w:val="00C408FB"/>
    <w:rsid w:val="00C40939"/>
    <w:rsid w:val="00C409E5"/>
    <w:rsid w:val="00C40BAA"/>
    <w:rsid w:val="00C40E1C"/>
    <w:rsid w:val="00C40E3F"/>
    <w:rsid w:val="00C40F1E"/>
    <w:rsid w:val="00C41131"/>
    <w:rsid w:val="00C41182"/>
    <w:rsid w:val="00C41483"/>
    <w:rsid w:val="00C41577"/>
    <w:rsid w:val="00C41579"/>
    <w:rsid w:val="00C4186E"/>
    <w:rsid w:val="00C418FE"/>
    <w:rsid w:val="00C41A9C"/>
    <w:rsid w:val="00C41D09"/>
    <w:rsid w:val="00C41DD4"/>
    <w:rsid w:val="00C41F6C"/>
    <w:rsid w:val="00C41FAD"/>
    <w:rsid w:val="00C420D0"/>
    <w:rsid w:val="00C421BB"/>
    <w:rsid w:val="00C422E7"/>
    <w:rsid w:val="00C4250C"/>
    <w:rsid w:val="00C4256D"/>
    <w:rsid w:val="00C426FD"/>
    <w:rsid w:val="00C429A4"/>
    <w:rsid w:val="00C42B0F"/>
    <w:rsid w:val="00C42D5D"/>
    <w:rsid w:val="00C42DCC"/>
    <w:rsid w:val="00C42FF3"/>
    <w:rsid w:val="00C4304F"/>
    <w:rsid w:val="00C4334B"/>
    <w:rsid w:val="00C435A4"/>
    <w:rsid w:val="00C438D2"/>
    <w:rsid w:val="00C43B6C"/>
    <w:rsid w:val="00C43B79"/>
    <w:rsid w:val="00C43C72"/>
    <w:rsid w:val="00C43D05"/>
    <w:rsid w:val="00C43DA8"/>
    <w:rsid w:val="00C43F8D"/>
    <w:rsid w:val="00C43F99"/>
    <w:rsid w:val="00C44438"/>
    <w:rsid w:val="00C445F6"/>
    <w:rsid w:val="00C447B0"/>
    <w:rsid w:val="00C44B94"/>
    <w:rsid w:val="00C44C4E"/>
    <w:rsid w:val="00C44D98"/>
    <w:rsid w:val="00C44F68"/>
    <w:rsid w:val="00C450FB"/>
    <w:rsid w:val="00C45607"/>
    <w:rsid w:val="00C4571C"/>
    <w:rsid w:val="00C459EB"/>
    <w:rsid w:val="00C45A0B"/>
    <w:rsid w:val="00C45A54"/>
    <w:rsid w:val="00C45B70"/>
    <w:rsid w:val="00C45D34"/>
    <w:rsid w:val="00C460C2"/>
    <w:rsid w:val="00C46273"/>
    <w:rsid w:val="00C463CA"/>
    <w:rsid w:val="00C4673E"/>
    <w:rsid w:val="00C46860"/>
    <w:rsid w:val="00C46908"/>
    <w:rsid w:val="00C4694A"/>
    <w:rsid w:val="00C46A08"/>
    <w:rsid w:val="00C46C7D"/>
    <w:rsid w:val="00C46F8E"/>
    <w:rsid w:val="00C47163"/>
    <w:rsid w:val="00C473A1"/>
    <w:rsid w:val="00C473A4"/>
    <w:rsid w:val="00C47820"/>
    <w:rsid w:val="00C47833"/>
    <w:rsid w:val="00C47905"/>
    <w:rsid w:val="00C47B8E"/>
    <w:rsid w:val="00C47CA1"/>
    <w:rsid w:val="00C47CE4"/>
    <w:rsid w:val="00C47E21"/>
    <w:rsid w:val="00C47F3C"/>
    <w:rsid w:val="00C50154"/>
    <w:rsid w:val="00C5018D"/>
    <w:rsid w:val="00C50246"/>
    <w:rsid w:val="00C50ABC"/>
    <w:rsid w:val="00C50B13"/>
    <w:rsid w:val="00C50C5D"/>
    <w:rsid w:val="00C50D01"/>
    <w:rsid w:val="00C50D84"/>
    <w:rsid w:val="00C50F21"/>
    <w:rsid w:val="00C51134"/>
    <w:rsid w:val="00C512C3"/>
    <w:rsid w:val="00C512C7"/>
    <w:rsid w:val="00C5143D"/>
    <w:rsid w:val="00C514B6"/>
    <w:rsid w:val="00C51603"/>
    <w:rsid w:val="00C51713"/>
    <w:rsid w:val="00C517B2"/>
    <w:rsid w:val="00C51812"/>
    <w:rsid w:val="00C51892"/>
    <w:rsid w:val="00C51944"/>
    <w:rsid w:val="00C519EE"/>
    <w:rsid w:val="00C51D41"/>
    <w:rsid w:val="00C51E4F"/>
    <w:rsid w:val="00C51FB3"/>
    <w:rsid w:val="00C52107"/>
    <w:rsid w:val="00C5225B"/>
    <w:rsid w:val="00C52335"/>
    <w:rsid w:val="00C523AA"/>
    <w:rsid w:val="00C52444"/>
    <w:rsid w:val="00C52777"/>
    <w:rsid w:val="00C52845"/>
    <w:rsid w:val="00C52BBC"/>
    <w:rsid w:val="00C52C6D"/>
    <w:rsid w:val="00C52E88"/>
    <w:rsid w:val="00C5320A"/>
    <w:rsid w:val="00C53228"/>
    <w:rsid w:val="00C5328F"/>
    <w:rsid w:val="00C533F9"/>
    <w:rsid w:val="00C535D5"/>
    <w:rsid w:val="00C53824"/>
    <w:rsid w:val="00C53C92"/>
    <w:rsid w:val="00C53D6C"/>
    <w:rsid w:val="00C53DB1"/>
    <w:rsid w:val="00C540D0"/>
    <w:rsid w:val="00C54194"/>
    <w:rsid w:val="00C542BB"/>
    <w:rsid w:val="00C542FC"/>
    <w:rsid w:val="00C54798"/>
    <w:rsid w:val="00C548A7"/>
    <w:rsid w:val="00C548D6"/>
    <w:rsid w:val="00C54905"/>
    <w:rsid w:val="00C549D3"/>
    <w:rsid w:val="00C54BD5"/>
    <w:rsid w:val="00C54F87"/>
    <w:rsid w:val="00C55105"/>
    <w:rsid w:val="00C55121"/>
    <w:rsid w:val="00C5520A"/>
    <w:rsid w:val="00C55270"/>
    <w:rsid w:val="00C552F2"/>
    <w:rsid w:val="00C55333"/>
    <w:rsid w:val="00C55481"/>
    <w:rsid w:val="00C55724"/>
    <w:rsid w:val="00C55752"/>
    <w:rsid w:val="00C5585C"/>
    <w:rsid w:val="00C5588F"/>
    <w:rsid w:val="00C558DB"/>
    <w:rsid w:val="00C55A5B"/>
    <w:rsid w:val="00C55BEF"/>
    <w:rsid w:val="00C55E73"/>
    <w:rsid w:val="00C55E7C"/>
    <w:rsid w:val="00C55F27"/>
    <w:rsid w:val="00C56417"/>
    <w:rsid w:val="00C56A5D"/>
    <w:rsid w:val="00C5701D"/>
    <w:rsid w:val="00C57087"/>
    <w:rsid w:val="00C57317"/>
    <w:rsid w:val="00C5757C"/>
    <w:rsid w:val="00C57732"/>
    <w:rsid w:val="00C57751"/>
    <w:rsid w:val="00C57903"/>
    <w:rsid w:val="00C57E4B"/>
    <w:rsid w:val="00C57F4C"/>
    <w:rsid w:val="00C600BB"/>
    <w:rsid w:val="00C6020C"/>
    <w:rsid w:val="00C60242"/>
    <w:rsid w:val="00C602E1"/>
    <w:rsid w:val="00C6034B"/>
    <w:rsid w:val="00C603AB"/>
    <w:rsid w:val="00C604B1"/>
    <w:rsid w:val="00C6059B"/>
    <w:rsid w:val="00C6059F"/>
    <w:rsid w:val="00C606C1"/>
    <w:rsid w:val="00C60892"/>
    <w:rsid w:val="00C60955"/>
    <w:rsid w:val="00C60A4D"/>
    <w:rsid w:val="00C60CC9"/>
    <w:rsid w:val="00C60E19"/>
    <w:rsid w:val="00C60EA8"/>
    <w:rsid w:val="00C60F71"/>
    <w:rsid w:val="00C60FFC"/>
    <w:rsid w:val="00C61101"/>
    <w:rsid w:val="00C615A2"/>
    <w:rsid w:val="00C61869"/>
    <w:rsid w:val="00C61FD2"/>
    <w:rsid w:val="00C621C3"/>
    <w:rsid w:val="00C62244"/>
    <w:rsid w:val="00C623AA"/>
    <w:rsid w:val="00C62550"/>
    <w:rsid w:val="00C62585"/>
    <w:rsid w:val="00C62748"/>
    <w:rsid w:val="00C62884"/>
    <w:rsid w:val="00C62B33"/>
    <w:rsid w:val="00C62BF1"/>
    <w:rsid w:val="00C62C18"/>
    <w:rsid w:val="00C62D1F"/>
    <w:rsid w:val="00C62D65"/>
    <w:rsid w:val="00C63245"/>
    <w:rsid w:val="00C63329"/>
    <w:rsid w:val="00C633C8"/>
    <w:rsid w:val="00C63635"/>
    <w:rsid w:val="00C636C1"/>
    <w:rsid w:val="00C63979"/>
    <w:rsid w:val="00C63C79"/>
    <w:rsid w:val="00C63D69"/>
    <w:rsid w:val="00C6412F"/>
    <w:rsid w:val="00C6418D"/>
    <w:rsid w:val="00C6441B"/>
    <w:rsid w:val="00C64718"/>
    <w:rsid w:val="00C648E3"/>
    <w:rsid w:val="00C64D69"/>
    <w:rsid w:val="00C64EA8"/>
    <w:rsid w:val="00C65035"/>
    <w:rsid w:val="00C65084"/>
    <w:rsid w:val="00C650EE"/>
    <w:rsid w:val="00C65154"/>
    <w:rsid w:val="00C6535F"/>
    <w:rsid w:val="00C6591A"/>
    <w:rsid w:val="00C65927"/>
    <w:rsid w:val="00C6596D"/>
    <w:rsid w:val="00C65E15"/>
    <w:rsid w:val="00C65E98"/>
    <w:rsid w:val="00C65F35"/>
    <w:rsid w:val="00C65F98"/>
    <w:rsid w:val="00C65FDA"/>
    <w:rsid w:val="00C664DA"/>
    <w:rsid w:val="00C66540"/>
    <w:rsid w:val="00C66800"/>
    <w:rsid w:val="00C669DA"/>
    <w:rsid w:val="00C66C6D"/>
    <w:rsid w:val="00C66D24"/>
    <w:rsid w:val="00C66D5B"/>
    <w:rsid w:val="00C66EB1"/>
    <w:rsid w:val="00C66EEF"/>
    <w:rsid w:val="00C670BC"/>
    <w:rsid w:val="00C67124"/>
    <w:rsid w:val="00C671CC"/>
    <w:rsid w:val="00C67238"/>
    <w:rsid w:val="00C6767A"/>
    <w:rsid w:val="00C67EB2"/>
    <w:rsid w:val="00C67F9B"/>
    <w:rsid w:val="00C7002A"/>
    <w:rsid w:val="00C70034"/>
    <w:rsid w:val="00C70088"/>
    <w:rsid w:val="00C700E6"/>
    <w:rsid w:val="00C702BB"/>
    <w:rsid w:val="00C70436"/>
    <w:rsid w:val="00C70515"/>
    <w:rsid w:val="00C70599"/>
    <w:rsid w:val="00C708CE"/>
    <w:rsid w:val="00C70930"/>
    <w:rsid w:val="00C709AB"/>
    <w:rsid w:val="00C70A68"/>
    <w:rsid w:val="00C70B53"/>
    <w:rsid w:val="00C70D2A"/>
    <w:rsid w:val="00C70EAE"/>
    <w:rsid w:val="00C70EF1"/>
    <w:rsid w:val="00C70F9E"/>
    <w:rsid w:val="00C714C0"/>
    <w:rsid w:val="00C714D5"/>
    <w:rsid w:val="00C7175F"/>
    <w:rsid w:val="00C71777"/>
    <w:rsid w:val="00C71B74"/>
    <w:rsid w:val="00C71C48"/>
    <w:rsid w:val="00C71F19"/>
    <w:rsid w:val="00C722FD"/>
    <w:rsid w:val="00C723E2"/>
    <w:rsid w:val="00C7251B"/>
    <w:rsid w:val="00C72529"/>
    <w:rsid w:val="00C7299D"/>
    <w:rsid w:val="00C729A9"/>
    <w:rsid w:val="00C729F7"/>
    <w:rsid w:val="00C72AF6"/>
    <w:rsid w:val="00C72C70"/>
    <w:rsid w:val="00C732A8"/>
    <w:rsid w:val="00C7332B"/>
    <w:rsid w:val="00C73520"/>
    <w:rsid w:val="00C7354B"/>
    <w:rsid w:val="00C73633"/>
    <w:rsid w:val="00C7386C"/>
    <w:rsid w:val="00C73955"/>
    <w:rsid w:val="00C73BC9"/>
    <w:rsid w:val="00C73E1D"/>
    <w:rsid w:val="00C7417B"/>
    <w:rsid w:val="00C7418C"/>
    <w:rsid w:val="00C742B2"/>
    <w:rsid w:val="00C744E2"/>
    <w:rsid w:val="00C7476A"/>
    <w:rsid w:val="00C747E7"/>
    <w:rsid w:val="00C74BA8"/>
    <w:rsid w:val="00C75040"/>
    <w:rsid w:val="00C751C9"/>
    <w:rsid w:val="00C753F4"/>
    <w:rsid w:val="00C756DF"/>
    <w:rsid w:val="00C756F7"/>
    <w:rsid w:val="00C75882"/>
    <w:rsid w:val="00C7599D"/>
    <w:rsid w:val="00C75B42"/>
    <w:rsid w:val="00C75C1F"/>
    <w:rsid w:val="00C75DD6"/>
    <w:rsid w:val="00C76331"/>
    <w:rsid w:val="00C767C8"/>
    <w:rsid w:val="00C7689B"/>
    <w:rsid w:val="00C76AE4"/>
    <w:rsid w:val="00C76E45"/>
    <w:rsid w:val="00C771D6"/>
    <w:rsid w:val="00C7721D"/>
    <w:rsid w:val="00C772E4"/>
    <w:rsid w:val="00C77303"/>
    <w:rsid w:val="00C77436"/>
    <w:rsid w:val="00C77520"/>
    <w:rsid w:val="00C776A8"/>
    <w:rsid w:val="00C776D5"/>
    <w:rsid w:val="00C77714"/>
    <w:rsid w:val="00C777B2"/>
    <w:rsid w:val="00C7789E"/>
    <w:rsid w:val="00C7790C"/>
    <w:rsid w:val="00C77989"/>
    <w:rsid w:val="00C77B33"/>
    <w:rsid w:val="00C77CAF"/>
    <w:rsid w:val="00C77E82"/>
    <w:rsid w:val="00C8000B"/>
    <w:rsid w:val="00C8031D"/>
    <w:rsid w:val="00C8037D"/>
    <w:rsid w:val="00C803AB"/>
    <w:rsid w:val="00C80562"/>
    <w:rsid w:val="00C80576"/>
    <w:rsid w:val="00C806FC"/>
    <w:rsid w:val="00C807A4"/>
    <w:rsid w:val="00C80F15"/>
    <w:rsid w:val="00C810EC"/>
    <w:rsid w:val="00C812A8"/>
    <w:rsid w:val="00C812BA"/>
    <w:rsid w:val="00C8191A"/>
    <w:rsid w:val="00C8196A"/>
    <w:rsid w:val="00C81A18"/>
    <w:rsid w:val="00C81A1A"/>
    <w:rsid w:val="00C81A90"/>
    <w:rsid w:val="00C81C3C"/>
    <w:rsid w:val="00C81C4F"/>
    <w:rsid w:val="00C81F8B"/>
    <w:rsid w:val="00C82013"/>
    <w:rsid w:val="00C8202D"/>
    <w:rsid w:val="00C8230F"/>
    <w:rsid w:val="00C82314"/>
    <w:rsid w:val="00C82366"/>
    <w:rsid w:val="00C82440"/>
    <w:rsid w:val="00C826E3"/>
    <w:rsid w:val="00C82815"/>
    <w:rsid w:val="00C82841"/>
    <w:rsid w:val="00C8298D"/>
    <w:rsid w:val="00C82B32"/>
    <w:rsid w:val="00C82B90"/>
    <w:rsid w:val="00C82C33"/>
    <w:rsid w:val="00C82CA2"/>
    <w:rsid w:val="00C82ECD"/>
    <w:rsid w:val="00C835F6"/>
    <w:rsid w:val="00C83B95"/>
    <w:rsid w:val="00C83CE1"/>
    <w:rsid w:val="00C83F1D"/>
    <w:rsid w:val="00C83FFE"/>
    <w:rsid w:val="00C84069"/>
    <w:rsid w:val="00C840CE"/>
    <w:rsid w:val="00C84209"/>
    <w:rsid w:val="00C842D7"/>
    <w:rsid w:val="00C843BA"/>
    <w:rsid w:val="00C846D3"/>
    <w:rsid w:val="00C846EB"/>
    <w:rsid w:val="00C847DA"/>
    <w:rsid w:val="00C84CF7"/>
    <w:rsid w:val="00C84D19"/>
    <w:rsid w:val="00C850EB"/>
    <w:rsid w:val="00C8518E"/>
    <w:rsid w:val="00C851F9"/>
    <w:rsid w:val="00C85530"/>
    <w:rsid w:val="00C85718"/>
    <w:rsid w:val="00C857DB"/>
    <w:rsid w:val="00C858B5"/>
    <w:rsid w:val="00C859E3"/>
    <w:rsid w:val="00C85AFA"/>
    <w:rsid w:val="00C85BE6"/>
    <w:rsid w:val="00C85C97"/>
    <w:rsid w:val="00C86112"/>
    <w:rsid w:val="00C8622C"/>
    <w:rsid w:val="00C86BED"/>
    <w:rsid w:val="00C86CF7"/>
    <w:rsid w:val="00C86E1C"/>
    <w:rsid w:val="00C86FBA"/>
    <w:rsid w:val="00C86FEB"/>
    <w:rsid w:val="00C87177"/>
    <w:rsid w:val="00C8719B"/>
    <w:rsid w:val="00C8778E"/>
    <w:rsid w:val="00C8790F"/>
    <w:rsid w:val="00C879A9"/>
    <w:rsid w:val="00C87D08"/>
    <w:rsid w:val="00C87D73"/>
    <w:rsid w:val="00C90461"/>
    <w:rsid w:val="00C9069F"/>
    <w:rsid w:val="00C9072D"/>
    <w:rsid w:val="00C907FA"/>
    <w:rsid w:val="00C90804"/>
    <w:rsid w:val="00C90811"/>
    <w:rsid w:val="00C90A0D"/>
    <w:rsid w:val="00C90C4B"/>
    <w:rsid w:val="00C90D49"/>
    <w:rsid w:val="00C90FFB"/>
    <w:rsid w:val="00C9100E"/>
    <w:rsid w:val="00C91022"/>
    <w:rsid w:val="00C91312"/>
    <w:rsid w:val="00C91407"/>
    <w:rsid w:val="00C91412"/>
    <w:rsid w:val="00C9148E"/>
    <w:rsid w:val="00C9170E"/>
    <w:rsid w:val="00C91742"/>
    <w:rsid w:val="00C9186A"/>
    <w:rsid w:val="00C919BD"/>
    <w:rsid w:val="00C91AF8"/>
    <w:rsid w:val="00C91C5F"/>
    <w:rsid w:val="00C91FEF"/>
    <w:rsid w:val="00C92028"/>
    <w:rsid w:val="00C92277"/>
    <w:rsid w:val="00C92364"/>
    <w:rsid w:val="00C92647"/>
    <w:rsid w:val="00C9272D"/>
    <w:rsid w:val="00C927B2"/>
    <w:rsid w:val="00C928AD"/>
    <w:rsid w:val="00C92DB2"/>
    <w:rsid w:val="00C92F5F"/>
    <w:rsid w:val="00C92FF4"/>
    <w:rsid w:val="00C932BD"/>
    <w:rsid w:val="00C933A5"/>
    <w:rsid w:val="00C936B5"/>
    <w:rsid w:val="00C93780"/>
    <w:rsid w:val="00C9390A"/>
    <w:rsid w:val="00C93A01"/>
    <w:rsid w:val="00C93A38"/>
    <w:rsid w:val="00C93A9F"/>
    <w:rsid w:val="00C93ADA"/>
    <w:rsid w:val="00C93C71"/>
    <w:rsid w:val="00C93E09"/>
    <w:rsid w:val="00C9400E"/>
    <w:rsid w:val="00C9417B"/>
    <w:rsid w:val="00C943C0"/>
    <w:rsid w:val="00C94467"/>
    <w:rsid w:val="00C94725"/>
    <w:rsid w:val="00C94792"/>
    <w:rsid w:val="00C94BA4"/>
    <w:rsid w:val="00C94BF8"/>
    <w:rsid w:val="00C94CD3"/>
    <w:rsid w:val="00C94D57"/>
    <w:rsid w:val="00C94D62"/>
    <w:rsid w:val="00C95137"/>
    <w:rsid w:val="00C951A8"/>
    <w:rsid w:val="00C9526D"/>
    <w:rsid w:val="00C9528B"/>
    <w:rsid w:val="00C95520"/>
    <w:rsid w:val="00C955CF"/>
    <w:rsid w:val="00C9587A"/>
    <w:rsid w:val="00C958ED"/>
    <w:rsid w:val="00C9595C"/>
    <w:rsid w:val="00C95B13"/>
    <w:rsid w:val="00C95E01"/>
    <w:rsid w:val="00C95EC0"/>
    <w:rsid w:val="00C96008"/>
    <w:rsid w:val="00C9603F"/>
    <w:rsid w:val="00C960AE"/>
    <w:rsid w:val="00C960B9"/>
    <w:rsid w:val="00C960C9"/>
    <w:rsid w:val="00C96110"/>
    <w:rsid w:val="00C96435"/>
    <w:rsid w:val="00C964C8"/>
    <w:rsid w:val="00C9669B"/>
    <w:rsid w:val="00C967C8"/>
    <w:rsid w:val="00C969A4"/>
    <w:rsid w:val="00C96AAA"/>
    <w:rsid w:val="00C96C12"/>
    <w:rsid w:val="00C96EB0"/>
    <w:rsid w:val="00C96F08"/>
    <w:rsid w:val="00C96FBB"/>
    <w:rsid w:val="00C970DC"/>
    <w:rsid w:val="00C971EC"/>
    <w:rsid w:val="00C975FA"/>
    <w:rsid w:val="00C9763B"/>
    <w:rsid w:val="00C97648"/>
    <w:rsid w:val="00C9765D"/>
    <w:rsid w:val="00C978EA"/>
    <w:rsid w:val="00C9797A"/>
    <w:rsid w:val="00C97A09"/>
    <w:rsid w:val="00C97D8E"/>
    <w:rsid w:val="00C97EA2"/>
    <w:rsid w:val="00CA009A"/>
    <w:rsid w:val="00CA039A"/>
    <w:rsid w:val="00CA0484"/>
    <w:rsid w:val="00CA0C1D"/>
    <w:rsid w:val="00CA0C3E"/>
    <w:rsid w:val="00CA0DB2"/>
    <w:rsid w:val="00CA1262"/>
    <w:rsid w:val="00CA1351"/>
    <w:rsid w:val="00CA147E"/>
    <w:rsid w:val="00CA14DC"/>
    <w:rsid w:val="00CA160C"/>
    <w:rsid w:val="00CA1619"/>
    <w:rsid w:val="00CA1C91"/>
    <w:rsid w:val="00CA2102"/>
    <w:rsid w:val="00CA2129"/>
    <w:rsid w:val="00CA22C1"/>
    <w:rsid w:val="00CA2347"/>
    <w:rsid w:val="00CA23D2"/>
    <w:rsid w:val="00CA24AA"/>
    <w:rsid w:val="00CA25C3"/>
    <w:rsid w:val="00CA267F"/>
    <w:rsid w:val="00CA28FC"/>
    <w:rsid w:val="00CA2B17"/>
    <w:rsid w:val="00CA2B3A"/>
    <w:rsid w:val="00CA2BE5"/>
    <w:rsid w:val="00CA2E73"/>
    <w:rsid w:val="00CA2F86"/>
    <w:rsid w:val="00CA3041"/>
    <w:rsid w:val="00CA304F"/>
    <w:rsid w:val="00CA3113"/>
    <w:rsid w:val="00CA32B4"/>
    <w:rsid w:val="00CA38AC"/>
    <w:rsid w:val="00CA38BC"/>
    <w:rsid w:val="00CA39C1"/>
    <w:rsid w:val="00CA3A16"/>
    <w:rsid w:val="00CA3C42"/>
    <w:rsid w:val="00CA3C6A"/>
    <w:rsid w:val="00CA3E66"/>
    <w:rsid w:val="00CA3E92"/>
    <w:rsid w:val="00CA3F43"/>
    <w:rsid w:val="00CA3FD5"/>
    <w:rsid w:val="00CA421E"/>
    <w:rsid w:val="00CA4542"/>
    <w:rsid w:val="00CA46D1"/>
    <w:rsid w:val="00CA4755"/>
    <w:rsid w:val="00CA4784"/>
    <w:rsid w:val="00CA4797"/>
    <w:rsid w:val="00CA498E"/>
    <w:rsid w:val="00CA4D43"/>
    <w:rsid w:val="00CA52A4"/>
    <w:rsid w:val="00CA52ED"/>
    <w:rsid w:val="00CA5306"/>
    <w:rsid w:val="00CA564A"/>
    <w:rsid w:val="00CA580C"/>
    <w:rsid w:val="00CA58CA"/>
    <w:rsid w:val="00CA5A09"/>
    <w:rsid w:val="00CA5CAE"/>
    <w:rsid w:val="00CA5D50"/>
    <w:rsid w:val="00CA5DF7"/>
    <w:rsid w:val="00CA611F"/>
    <w:rsid w:val="00CA631F"/>
    <w:rsid w:val="00CA6482"/>
    <w:rsid w:val="00CA6597"/>
    <w:rsid w:val="00CA6977"/>
    <w:rsid w:val="00CA6B85"/>
    <w:rsid w:val="00CA6C75"/>
    <w:rsid w:val="00CA6DB4"/>
    <w:rsid w:val="00CA6EFC"/>
    <w:rsid w:val="00CA6F9E"/>
    <w:rsid w:val="00CA74E4"/>
    <w:rsid w:val="00CA74EE"/>
    <w:rsid w:val="00CA7DFD"/>
    <w:rsid w:val="00CA7F32"/>
    <w:rsid w:val="00CB0362"/>
    <w:rsid w:val="00CB03D0"/>
    <w:rsid w:val="00CB0554"/>
    <w:rsid w:val="00CB05BD"/>
    <w:rsid w:val="00CB06CD"/>
    <w:rsid w:val="00CB0716"/>
    <w:rsid w:val="00CB0764"/>
    <w:rsid w:val="00CB0841"/>
    <w:rsid w:val="00CB099E"/>
    <w:rsid w:val="00CB0D30"/>
    <w:rsid w:val="00CB115F"/>
    <w:rsid w:val="00CB11EE"/>
    <w:rsid w:val="00CB12EC"/>
    <w:rsid w:val="00CB17E3"/>
    <w:rsid w:val="00CB18D4"/>
    <w:rsid w:val="00CB18E3"/>
    <w:rsid w:val="00CB1DC5"/>
    <w:rsid w:val="00CB2123"/>
    <w:rsid w:val="00CB2238"/>
    <w:rsid w:val="00CB254C"/>
    <w:rsid w:val="00CB258E"/>
    <w:rsid w:val="00CB2AF6"/>
    <w:rsid w:val="00CB2CDD"/>
    <w:rsid w:val="00CB2D9D"/>
    <w:rsid w:val="00CB2FA0"/>
    <w:rsid w:val="00CB35B7"/>
    <w:rsid w:val="00CB3613"/>
    <w:rsid w:val="00CB3690"/>
    <w:rsid w:val="00CB39B0"/>
    <w:rsid w:val="00CB3A5A"/>
    <w:rsid w:val="00CB3CAB"/>
    <w:rsid w:val="00CB4078"/>
    <w:rsid w:val="00CB45A0"/>
    <w:rsid w:val="00CB488B"/>
    <w:rsid w:val="00CB4C02"/>
    <w:rsid w:val="00CB4DE7"/>
    <w:rsid w:val="00CB4ED3"/>
    <w:rsid w:val="00CB4EDC"/>
    <w:rsid w:val="00CB4F62"/>
    <w:rsid w:val="00CB540F"/>
    <w:rsid w:val="00CB57E0"/>
    <w:rsid w:val="00CB59DE"/>
    <w:rsid w:val="00CB5AAB"/>
    <w:rsid w:val="00CB5ABE"/>
    <w:rsid w:val="00CB5C1F"/>
    <w:rsid w:val="00CB5F51"/>
    <w:rsid w:val="00CB602C"/>
    <w:rsid w:val="00CB610C"/>
    <w:rsid w:val="00CB61DD"/>
    <w:rsid w:val="00CB6595"/>
    <w:rsid w:val="00CB6679"/>
    <w:rsid w:val="00CB66D1"/>
    <w:rsid w:val="00CB680B"/>
    <w:rsid w:val="00CB6839"/>
    <w:rsid w:val="00CB6875"/>
    <w:rsid w:val="00CB6968"/>
    <w:rsid w:val="00CB6CB6"/>
    <w:rsid w:val="00CB742C"/>
    <w:rsid w:val="00CB78BC"/>
    <w:rsid w:val="00CB7C52"/>
    <w:rsid w:val="00CB7C9C"/>
    <w:rsid w:val="00CB7D1E"/>
    <w:rsid w:val="00CB7DB8"/>
    <w:rsid w:val="00CB7FD3"/>
    <w:rsid w:val="00CC04E1"/>
    <w:rsid w:val="00CC05BD"/>
    <w:rsid w:val="00CC05C9"/>
    <w:rsid w:val="00CC06B0"/>
    <w:rsid w:val="00CC07B8"/>
    <w:rsid w:val="00CC08ED"/>
    <w:rsid w:val="00CC0A66"/>
    <w:rsid w:val="00CC0AC6"/>
    <w:rsid w:val="00CC0CE9"/>
    <w:rsid w:val="00CC0DA5"/>
    <w:rsid w:val="00CC0EF8"/>
    <w:rsid w:val="00CC0F56"/>
    <w:rsid w:val="00CC1112"/>
    <w:rsid w:val="00CC1379"/>
    <w:rsid w:val="00CC1741"/>
    <w:rsid w:val="00CC1F28"/>
    <w:rsid w:val="00CC2094"/>
    <w:rsid w:val="00CC214F"/>
    <w:rsid w:val="00CC2246"/>
    <w:rsid w:val="00CC2493"/>
    <w:rsid w:val="00CC264A"/>
    <w:rsid w:val="00CC29C1"/>
    <w:rsid w:val="00CC2A97"/>
    <w:rsid w:val="00CC2DEF"/>
    <w:rsid w:val="00CC2DF7"/>
    <w:rsid w:val="00CC2E3E"/>
    <w:rsid w:val="00CC3162"/>
    <w:rsid w:val="00CC3554"/>
    <w:rsid w:val="00CC35A4"/>
    <w:rsid w:val="00CC35CF"/>
    <w:rsid w:val="00CC3655"/>
    <w:rsid w:val="00CC367A"/>
    <w:rsid w:val="00CC3979"/>
    <w:rsid w:val="00CC3C91"/>
    <w:rsid w:val="00CC3DDC"/>
    <w:rsid w:val="00CC3E2F"/>
    <w:rsid w:val="00CC3E8B"/>
    <w:rsid w:val="00CC3EC7"/>
    <w:rsid w:val="00CC3ECA"/>
    <w:rsid w:val="00CC40B6"/>
    <w:rsid w:val="00CC4294"/>
    <w:rsid w:val="00CC4354"/>
    <w:rsid w:val="00CC43AC"/>
    <w:rsid w:val="00CC4595"/>
    <w:rsid w:val="00CC45D8"/>
    <w:rsid w:val="00CC4622"/>
    <w:rsid w:val="00CC4694"/>
    <w:rsid w:val="00CC47CF"/>
    <w:rsid w:val="00CC4B61"/>
    <w:rsid w:val="00CC4FF8"/>
    <w:rsid w:val="00CC5085"/>
    <w:rsid w:val="00CC50B2"/>
    <w:rsid w:val="00CC522B"/>
    <w:rsid w:val="00CC5349"/>
    <w:rsid w:val="00CC540F"/>
    <w:rsid w:val="00CC54CF"/>
    <w:rsid w:val="00CC5535"/>
    <w:rsid w:val="00CC55E0"/>
    <w:rsid w:val="00CC5A1C"/>
    <w:rsid w:val="00CC5ADD"/>
    <w:rsid w:val="00CC5DC3"/>
    <w:rsid w:val="00CC6209"/>
    <w:rsid w:val="00CC631A"/>
    <w:rsid w:val="00CC6492"/>
    <w:rsid w:val="00CC6601"/>
    <w:rsid w:val="00CC67B2"/>
    <w:rsid w:val="00CC6D3A"/>
    <w:rsid w:val="00CC6FD0"/>
    <w:rsid w:val="00CC703E"/>
    <w:rsid w:val="00CC71D7"/>
    <w:rsid w:val="00CC7223"/>
    <w:rsid w:val="00CC72A9"/>
    <w:rsid w:val="00CC746D"/>
    <w:rsid w:val="00CC7655"/>
    <w:rsid w:val="00CC772D"/>
    <w:rsid w:val="00CC7817"/>
    <w:rsid w:val="00CC7BB0"/>
    <w:rsid w:val="00CC7C83"/>
    <w:rsid w:val="00CC7D2E"/>
    <w:rsid w:val="00CC7F05"/>
    <w:rsid w:val="00CC7F2C"/>
    <w:rsid w:val="00CD028C"/>
    <w:rsid w:val="00CD033C"/>
    <w:rsid w:val="00CD073F"/>
    <w:rsid w:val="00CD081D"/>
    <w:rsid w:val="00CD0A77"/>
    <w:rsid w:val="00CD0C52"/>
    <w:rsid w:val="00CD0C5B"/>
    <w:rsid w:val="00CD0D6B"/>
    <w:rsid w:val="00CD0DD5"/>
    <w:rsid w:val="00CD0E16"/>
    <w:rsid w:val="00CD10AC"/>
    <w:rsid w:val="00CD10F1"/>
    <w:rsid w:val="00CD110D"/>
    <w:rsid w:val="00CD1210"/>
    <w:rsid w:val="00CD129E"/>
    <w:rsid w:val="00CD136D"/>
    <w:rsid w:val="00CD1610"/>
    <w:rsid w:val="00CD1626"/>
    <w:rsid w:val="00CD19E0"/>
    <w:rsid w:val="00CD1A63"/>
    <w:rsid w:val="00CD1AC6"/>
    <w:rsid w:val="00CD1B2F"/>
    <w:rsid w:val="00CD1B32"/>
    <w:rsid w:val="00CD1C9E"/>
    <w:rsid w:val="00CD1EEC"/>
    <w:rsid w:val="00CD233F"/>
    <w:rsid w:val="00CD23B7"/>
    <w:rsid w:val="00CD246E"/>
    <w:rsid w:val="00CD24D0"/>
    <w:rsid w:val="00CD253A"/>
    <w:rsid w:val="00CD28A5"/>
    <w:rsid w:val="00CD2B4F"/>
    <w:rsid w:val="00CD2B91"/>
    <w:rsid w:val="00CD2CD6"/>
    <w:rsid w:val="00CD2D39"/>
    <w:rsid w:val="00CD307A"/>
    <w:rsid w:val="00CD3364"/>
    <w:rsid w:val="00CD33C9"/>
    <w:rsid w:val="00CD3417"/>
    <w:rsid w:val="00CD346D"/>
    <w:rsid w:val="00CD3473"/>
    <w:rsid w:val="00CD34CE"/>
    <w:rsid w:val="00CD37BA"/>
    <w:rsid w:val="00CD3923"/>
    <w:rsid w:val="00CD3BC6"/>
    <w:rsid w:val="00CD3E4D"/>
    <w:rsid w:val="00CD401D"/>
    <w:rsid w:val="00CD40D9"/>
    <w:rsid w:val="00CD41EE"/>
    <w:rsid w:val="00CD41F5"/>
    <w:rsid w:val="00CD421F"/>
    <w:rsid w:val="00CD425F"/>
    <w:rsid w:val="00CD4314"/>
    <w:rsid w:val="00CD459F"/>
    <w:rsid w:val="00CD4751"/>
    <w:rsid w:val="00CD47AF"/>
    <w:rsid w:val="00CD4920"/>
    <w:rsid w:val="00CD4CB9"/>
    <w:rsid w:val="00CD4DFF"/>
    <w:rsid w:val="00CD4EF7"/>
    <w:rsid w:val="00CD510B"/>
    <w:rsid w:val="00CD521E"/>
    <w:rsid w:val="00CD5283"/>
    <w:rsid w:val="00CD529F"/>
    <w:rsid w:val="00CD5455"/>
    <w:rsid w:val="00CD5686"/>
    <w:rsid w:val="00CD5906"/>
    <w:rsid w:val="00CD59B5"/>
    <w:rsid w:val="00CD5A81"/>
    <w:rsid w:val="00CD5BB5"/>
    <w:rsid w:val="00CD5BDA"/>
    <w:rsid w:val="00CD5DF8"/>
    <w:rsid w:val="00CD5F6E"/>
    <w:rsid w:val="00CD6309"/>
    <w:rsid w:val="00CD649A"/>
    <w:rsid w:val="00CD64E8"/>
    <w:rsid w:val="00CD65BB"/>
    <w:rsid w:val="00CD65FD"/>
    <w:rsid w:val="00CD6830"/>
    <w:rsid w:val="00CD6D43"/>
    <w:rsid w:val="00CD6E39"/>
    <w:rsid w:val="00CD6E52"/>
    <w:rsid w:val="00CD6F61"/>
    <w:rsid w:val="00CD7113"/>
    <w:rsid w:val="00CD7130"/>
    <w:rsid w:val="00CD7156"/>
    <w:rsid w:val="00CD734D"/>
    <w:rsid w:val="00CD778A"/>
    <w:rsid w:val="00CD7B81"/>
    <w:rsid w:val="00CD7BD1"/>
    <w:rsid w:val="00CE0015"/>
    <w:rsid w:val="00CE0242"/>
    <w:rsid w:val="00CE0720"/>
    <w:rsid w:val="00CE078B"/>
    <w:rsid w:val="00CE081E"/>
    <w:rsid w:val="00CE0849"/>
    <w:rsid w:val="00CE097A"/>
    <w:rsid w:val="00CE0CA6"/>
    <w:rsid w:val="00CE0EEF"/>
    <w:rsid w:val="00CE0F04"/>
    <w:rsid w:val="00CE1016"/>
    <w:rsid w:val="00CE10FD"/>
    <w:rsid w:val="00CE1150"/>
    <w:rsid w:val="00CE1690"/>
    <w:rsid w:val="00CE1748"/>
    <w:rsid w:val="00CE1761"/>
    <w:rsid w:val="00CE17C3"/>
    <w:rsid w:val="00CE1E08"/>
    <w:rsid w:val="00CE25D4"/>
    <w:rsid w:val="00CE28E3"/>
    <w:rsid w:val="00CE2AE1"/>
    <w:rsid w:val="00CE2B04"/>
    <w:rsid w:val="00CE2C45"/>
    <w:rsid w:val="00CE2C61"/>
    <w:rsid w:val="00CE2C8D"/>
    <w:rsid w:val="00CE2D68"/>
    <w:rsid w:val="00CE2DC6"/>
    <w:rsid w:val="00CE2FF2"/>
    <w:rsid w:val="00CE30A2"/>
    <w:rsid w:val="00CE3249"/>
    <w:rsid w:val="00CE32A9"/>
    <w:rsid w:val="00CE32CF"/>
    <w:rsid w:val="00CE337A"/>
    <w:rsid w:val="00CE363C"/>
    <w:rsid w:val="00CE3C39"/>
    <w:rsid w:val="00CE3C81"/>
    <w:rsid w:val="00CE3D88"/>
    <w:rsid w:val="00CE3E28"/>
    <w:rsid w:val="00CE3EBA"/>
    <w:rsid w:val="00CE3F16"/>
    <w:rsid w:val="00CE4000"/>
    <w:rsid w:val="00CE427D"/>
    <w:rsid w:val="00CE441F"/>
    <w:rsid w:val="00CE4497"/>
    <w:rsid w:val="00CE44A4"/>
    <w:rsid w:val="00CE47C6"/>
    <w:rsid w:val="00CE4C31"/>
    <w:rsid w:val="00CE4E98"/>
    <w:rsid w:val="00CE4F7D"/>
    <w:rsid w:val="00CE512F"/>
    <w:rsid w:val="00CE537A"/>
    <w:rsid w:val="00CE5560"/>
    <w:rsid w:val="00CE55DE"/>
    <w:rsid w:val="00CE594B"/>
    <w:rsid w:val="00CE59A1"/>
    <w:rsid w:val="00CE5A0E"/>
    <w:rsid w:val="00CE5BA2"/>
    <w:rsid w:val="00CE5CFC"/>
    <w:rsid w:val="00CE5D38"/>
    <w:rsid w:val="00CE605F"/>
    <w:rsid w:val="00CE612A"/>
    <w:rsid w:val="00CE6163"/>
    <w:rsid w:val="00CE61B2"/>
    <w:rsid w:val="00CE66A8"/>
    <w:rsid w:val="00CE66F2"/>
    <w:rsid w:val="00CE6BE5"/>
    <w:rsid w:val="00CE6E53"/>
    <w:rsid w:val="00CE6F66"/>
    <w:rsid w:val="00CE71BE"/>
    <w:rsid w:val="00CE7388"/>
    <w:rsid w:val="00CE73F5"/>
    <w:rsid w:val="00CE7A12"/>
    <w:rsid w:val="00CE7AD0"/>
    <w:rsid w:val="00CE7BB0"/>
    <w:rsid w:val="00CE7EBB"/>
    <w:rsid w:val="00CE7FE9"/>
    <w:rsid w:val="00CF01EB"/>
    <w:rsid w:val="00CF02B4"/>
    <w:rsid w:val="00CF0328"/>
    <w:rsid w:val="00CF038B"/>
    <w:rsid w:val="00CF0497"/>
    <w:rsid w:val="00CF04BE"/>
    <w:rsid w:val="00CF0A29"/>
    <w:rsid w:val="00CF0C8E"/>
    <w:rsid w:val="00CF0CFC"/>
    <w:rsid w:val="00CF0D3F"/>
    <w:rsid w:val="00CF0F6A"/>
    <w:rsid w:val="00CF0F77"/>
    <w:rsid w:val="00CF1081"/>
    <w:rsid w:val="00CF1090"/>
    <w:rsid w:val="00CF1154"/>
    <w:rsid w:val="00CF11A1"/>
    <w:rsid w:val="00CF1226"/>
    <w:rsid w:val="00CF14E2"/>
    <w:rsid w:val="00CF1665"/>
    <w:rsid w:val="00CF16F2"/>
    <w:rsid w:val="00CF18CB"/>
    <w:rsid w:val="00CF1A52"/>
    <w:rsid w:val="00CF1C52"/>
    <w:rsid w:val="00CF1FAB"/>
    <w:rsid w:val="00CF1FF0"/>
    <w:rsid w:val="00CF201E"/>
    <w:rsid w:val="00CF2580"/>
    <w:rsid w:val="00CF278B"/>
    <w:rsid w:val="00CF282A"/>
    <w:rsid w:val="00CF2A4F"/>
    <w:rsid w:val="00CF2A8C"/>
    <w:rsid w:val="00CF2C4F"/>
    <w:rsid w:val="00CF2FD1"/>
    <w:rsid w:val="00CF3566"/>
    <w:rsid w:val="00CF36C7"/>
    <w:rsid w:val="00CF36D2"/>
    <w:rsid w:val="00CF3901"/>
    <w:rsid w:val="00CF3BE7"/>
    <w:rsid w:val="00CF3C0B"/>
    <w:rsid w:val="00CF3D88"/>
    <w:rsid w:val="00CF3D8D"/>
    <w:rsid w:val="00CF3F56"/>
    <w:rsid w:val="00CF4010"/>
    <w:rsid w:val="00CF40AD"/>
    <w:rsid w:val="00CF41A6"/>
    <w:rsid w:val="00CF45A8"/>
    <w:rsid w:val="00CF4714"/>
    <w:rsid w:val="00CF498E"/>
    <w:rsid w:val="00CF4BE0"/>
    <w:rsid w:val="00CF4BF6"/>
    <w:rsid w:val="00CF4BFE"/>
    <w:rsid w:val="00CF4EAD"/>
    <w:rsid w:val="00CF4FB5"/>
    <w:rsid w:val="00CF509B"/>
    <w:rsid w:val="00CF51F4"/>
    <w:rsid w:val="00CF526F"/>
    <w:rsid w:val="00CF52E0"/>
    <w:rsid w:val="00CF53FE"/>
    <w:rsid w:val="00CF5797"/>
    <w:rsid w:val="00CF57F8"/>
    <w:rsid w:val="00CF58C6"/>
    <w:rsid w:val="00CF58CA"/>
    <w:rsid w:val="00CF5963"/>
    <w:rsid w:val="00CF5A4B"/>
    <w:rsid w:val="00CF5C0B"/>
    <w:rsid w:val="00CF5C37"/>
    <w:rsid w:val="00CF5ED0"/>
    <w:rsid w:val="00CF5F12"/>
    <w:rsid w:val="00CF5FD0"/>
    <w:rsid w:val="00CF5FEB"/>
    <w:rsid w:val="00CF602C"/>
    <w:rsid w:val="00CF6083"/>
    <w:rsid w:val="00CF617E"/>
    <w:rsid w:val="00CF62E1"/>
    <w:rsid w:val="00CF6343"/>
    <w:rsid w:val="00CF6651"/>
    <w:rsid w:val="00CF69C8"/>
    <w:rsid w:val="00CF6A12"/>
    <w:rsid w:val="00CF6A36"/>
    <w:rsid w:val="00CF6D12"/>
    <w:rsid w:val="00CF6E13"/>
    <w:rsid w:val="00CF7114"/>
    <w:rsid w:val="00CF7204"/>
    <w:rsid w:val="00CF75D1"/>
    <w:rsid w:val="00CF76CC"/>
    <w:rsid w:val="00CF792B"/>
    <w:rsid w:val="00CF798A"/>
    <w:rsid w:val="00CF79FE"/>
    <w:rsid w:val="00CF7AB5"/>
    <w:rsid w:val="00CF7BC1"/>
    <w:rsid w:val="00CF7F0B"/>
    <w:rsid w:val="00D003AB"/>
    <w:rsid w:val="00D0053F"/>
    <w:rsid w:val="00D005A9"/>
    <w:rsid w:val="00D00908"/>
    <w:rsid w:val="00D009A8"/>
    <w:rsid w:val="00D00BD6"/>
    <w:rsid w:val="00D00C40"/>
    <w:rsid w:val="00D00CAD"/>
    <w:rsid w:val="00D00CCE"/>
    <w:rsid w:val="00D00D3D"/>
    <w:rsid w:val="00D00ED6"/>
    <w:rsid w:val="00D013A6"/>
    <w:rsid w:val="00D01548"/>
    <w:rsid w:val="00D0178A"/>
    <w:rsid w:val="00D017BF"/>
    <w:rsid w:val="00D019A7"/>
    <w:rsid w:val="00D019B5"/>
    <w:rsid w:val="00D01A13"/>
    <w:rsid w:val="00D01A90"/>
    <w:rsid w:val="00D01CA2"/>
    <w:rsid w:val="00D01CA9"/>
    <w:rsid w:val="00D01E7D"/>
    <w:rsid w:val="00D01F14"/>
    <w:rsid w:val="00D01FEE"/>
    <w:rsid w:val="00D0213E"/>
    <w:rsid w:val="00D02150"/>
    <w:rsid w:val="00D02426"/>
    <w:rsid w:val="00D0262E"/>
    <w:rsid w:val="00D02657"/>
    <w:rsid w:val="00D02846"/>
    <w:rsid w:val="00D02F5C"/>
    <w:rsid w:val="00D02F63"/>
    <w:rsid w:val="00D034FF"/>
    <w:rsid w:val="00D03AEE"/>
    <w:rsid w:val="00D03D47"/>
    <w:rsid w:val="00D03D50"/>
    <w:rsid w:val="00D03DBC"/>
    <w:rsid w:val="00D03FAB"/>
    <w:rsid w:val="00D0404E"/>
    <w:rsid w:val="00D041BF"/>
    <w:rsid w:val="00D042EF"/>
    <w:rsid w:val="00D04314"/>
    <w:rsid w:val="00D0472B"/>
    <w:rsid w:val="00D04B09"/>
    <w:rsid w:val="00D04CE4"/>
    <w:rsid w:val="00D04D91"/>
    <w:rsid w:val="00D04F0A"/>
    <w:rsid w:val="00D050F5"/>
    <w:rsid w:val="00D05373"/>
    <w:rsid w:val="00D054BE"/>
    <w:rsid w:val="00D056EB"/>
    <w:rsid w:val="00D0571B"/>
    <w:rsid w:val="00D05773"/>
    <w:rsid w:val="00D05915"/>
    <w:rsid w:val="00D05AAA"/>
    <w:rsid w:val="00D05AF5"/>
    <w:rsid w:val="00D05B22"/>
    <w:rsid w:val="00D05CE2"/>
    <w:rsid w:val="00D05E03"/>
    <w:rsid w:val="00D05F6E"/>
    <w:rsid w:val="00D062EF"/>
    <w:rsid w:val="00D063F5"/>
    <w:rsid w:val="00D0644F"/>
    <w:rsid w:val="00D064C4"/>
    <w:rsid w:val="00D065E2"/>
    <w:rsid w:val="00D06729"/>
    <w:rsid w:val="00D067DA"/>
    <w:rsid w:val="00D06966"/>
    <w:rsid w:val="00D06A82"/>
    <w:rsid w:val="00D06C8E"/>
    <w:rsid w:val="00D06CDB"/>
    <w:rsid w:val="00D06DE1"/>
    <w:rsid w:val="00D06E0B"/>
    <w:rsid w:val="00D06F77"/>
    <w:rsid w:val="00D06FD8"/>
    <w:rsid w:val="00D070FF"/>
    <w:rsid w:val="00D07223"/>
    <w:rsid w:val="00D07289"/>
    <w:rsid w:val="00D074BE"/>
    <w:rsid w:val="00D07614"/>
    <w:rsid w:val="00D07D4A"/>
    <w:rsid w:val="00D07D6E"/>
    <w:rsid w:val="00D07EC5"/>
    <w:rsid w:val="00D102D0"/>
    <w:rsid w:val="00D102E2"/>
    <w:rsid w:val="00D10574"/>
    <w:rsid w:val="00D1058C"/>
    <w:rsid w:val="00D10724"/>
    <w:rsid w:val="00D109C3"/>
    <w:rsid w:val="00D10A6F"/>
    <w:rsid w:val="00D10B5D"/>
    <w:rsid w:val="00D10EA8"/>
    <w:rsid w:val="00D111B4"/>
    <w:rsid w:val="00D1150E"/>
    <w:rsid w:val="00D115A0"/>
    <w:rsid w:val="00D115CB"/>
    <w:rsid w:val="00D115D6"/>
    <w:rsid w:val="00D1167C"/>
    <w:rsid w:val="00D117FE"/>
    <w:rsid w:val="00D11BCD"/>
    <w:rsid w:val="00D11C05"/>
    <w:rsid w:val="00D11CB8"/>
    <w:rsid w:val="00D11ECC"/>
    <w:rsid w:val="00D11F42"/>
    <w:rsid w:val="00D12121"/>
    <w:rsid w:val="00D121FD"/>
    <w:rsid w:val="00D12342"/>
    <w:rsid w:val="00D124EC"/>
    <w:rsid w:val="00D126E4"/>
    <w:rsid w:val="00D12837"/>
    <w:rsid w:val="00D12B24"/>
    <w:rsid w:val="00D12B65"/>
    <w:rsid w:val="00D12C53"/>
    <w:rsid w:val="00D132CF"/>
    <w:rsid w:val="00D134A8"/>
    <w:rsid w:val="00D137A7"/>
    <w:rsid w:val="00D1383C"/>
    <w:rsid w:val="00D139BB"/>
    <w:rsid w:val="00D13D0B"/>
    <w:rsid w:val="00D140FA"/>
    <w:rsid w:val="00D14180"/>
    <w:rsid w:val="00D142C1"/>
    <w:rsid w:val="00D14344"/>
    <w:rsid w:val="00D143AF"/>
    <w:rsid w:val="00D143CB"/>
    <w:rsid w:val="00D1443C"/>
    <w:rsid w:val="00D14460"/>
    <w:rsid w:val="00D1464B"/>
    <w:rsid w:val="00D1472E"/>
    <w:rsid w:val="00D14893"/>
    <w:rsid w:val="00D14994"/>
    <w:rsid w:val="00D14B9E"/>
    <w:rsid w:val="00D14C1E"/>
    <w:rsid w:val="00D14D0D"/>
    <w:rsid w:val="00D14D9B"/>
    <w:rsid w:val="00D14E78"/>
    <w:rsid w:val="00D14EBB"/>
    <w:rsid w:val="00D15573"/>
    <w:rsid w:val="00D15589"/>
    <w:rsid w:val="00D15663"/>
    <w:rsid w:val="00D1573B"/>
    <w:rsid w:val="00D157AF"/>
    <w:rsid w:val="00D15843"/>
    <w:rsid w:val="00D158CE"/>
    <w:rsid w:val="00D15A1F"/>
    <w:rsid w:val="00D15D33"/>
    <w:rsid w:val="00D15D77"/>
    <w:rsid w:val="00D15D87"/>
    <w:rsid w:val="00D15FD4"/>
    <w:rsid w:val="00D16050"/>
    <w:rsid w:val="00D16155"/>
    <w:rsid w:val="00D1618D"/>
    <w:rsid w:val="00D1622E"/>
    <w:rsid w:val="00D167A0"/>
    <w:rsid w:val="00D167E5"/>
    <w:rsid w:val="00D16B26"/>
    <w:rsid w:val="00D16BAC"/>
    <w:rsid w:val="00D16ED1"/>
    <w:rsid w:val="00D1709D"/>
    <w:rsid w:val="00D1716B"/>
    <w:rsid w:val="00D174B8"/>
    <w:rsid w:val="00D1757B"/>
    <w:rsid w:val="00D17822"/>
    <w:rsid w:val="00D17945"/>
    <w:rsid w:val="00D17CA7"/>
    <w:rsid w:val="00D17D57"/>
    <w:rsid w:val="00D17EEA"/>
    <w:rsid w:val="00D20264"/>
    <w:rsid w:val="00D2034B"/>
    <w:rsid w:val="00D20368"/>
    <w:rsid w:val="00D205F7"/>
    <w:rsid w:val="00D2060A"/>
    <w:rsid w:val="00D208B1"/>
    <w:rsid w:val="00D20914"/>
    <w:rsid w:val="00D20D5F"/>
    <w:rsid w:val="00D2112F"/>
    <w:rsid w:val="00D21144"/>
    <w:rsid w:val="00D217CA"/>
    <w:rsid w:val="00D21976"/>
    <w:rsid w:val="00D21B20"/>
    <w:rsid w:val="00D21D3E"/>
    <w:rsid w:val="00D21DA7"/>
    <w:rsid w:val="00D222A6"/>
    <w:rsid w:val="00D225CE"/>
    <w:rsid w:val="00D227C3"/>
    <w:rsid w:val="00D22877"/>
    <w:rsid w:val="00D22A0D"/>
    <w:rsid w:val="00D22BC2"/>
    <w:rsid w:val="00D22D1B"/>
    <w:rsid w:val="00D22DA5"/>
    <w:rsid w:val="00D23014"/>
    <w:rsid w:val="00D235A5"/>
    <w:rsid w:val="00D23946"/>
    <w:rsid w:val="00D2399D"/>
    <w:rsid w:val="00D23CE3"/>
    <w:rsid w:val="00D23D9D"/>
    <w:rsid w:val="00D23E2F"/>
    <w:rsid w:val="00D23E80"/>
    <w:rsid w:val="00D23FDC"/>
    <w:rsid w:val="00D24159"/>
    <w:rsid w:val="00D241A9"/>
    <w:rsid w:val="00D246A7"/>
    <w:rsid w:val="00D248DF"/>
    <w:rsid w:val="00D24A3F"/>
    <w:rsid w:val="00D24AFE"/>
    <w:rsid w:val="00D24BCC"/>
    <w:rsid w:val="00D24E1B"/>
    <w:rsid w:val="00D24E49"/>
    <w:rsid w:val="00D251D1"/>
    <w:rsid w:val="00D251E3"/>
    <w:rsid w:val="00D25385"/>
    <w:rsid w:val="00D253DE"/>
    <w:rsid w:val="00D25448"/>
    <w:rsid w:val="00D2561F"/>
    <w:rsid w:val="00D25779"/>
    <w:rsid w:val="00D25785"/>
    <w:rsid w:val="00D25A22"/>
    <w:rsid w:val="00D25B85"/>
    <w:rsid w:val="00D25C2F"/>
    <w:rsid w:val="00D25C58"/>
    <w:rsid w:val="00D25E65"/>
    <w:rsid w:val="00D25F53"/>
    <w:rsid w:val="00D25FDB"/>
    <w:rsid w:val="00D260A6"/>
    <w:rsid w:val="00D260D3"/>
    <w:rsid w:val="00D264C3"/>
    <w:rsid w:val="00D2651B"/>
    <w:rsid w:val="00D2654A"/>
    <w:rsid w:val="00D265AE"/>
    <w:rsid w:val="00D266D5"/>
    <w:rsid w:val="00D266EE"/>
    <w:rsid w:val="00D268B4"/>
    <w:rsid w:val="00D269D8"/>
    <w:rsid w:val="00D269F3"/>
    <w:rsid w:val="00D26A13"/>
    <w:rsid w:val="00D26A9A"/>
    <w:rsid w:val="00D26B85"/>
    <w:rsid w:val="00D26CA1"/>
    <w:rsid w:val="00D26D84"/>
    <w:rsid w:val="00D26E07"/>
    <w:rsid w:val="00D26F04"/>
    <w:rsid w:val="00D26F73"/>
    <w:rsid w:val="00D26FF3"/>
    <w:rsid w:val="00D270CC"/>
    <w:rsid w:val="00D27759"/>
    <w:rsid w:val="00D27992"/>
    <w:rsid w:val="00D27D10"/>
    <w:rsid w:val="00D30052"/>
    <w:rsid w:val="00D306C5"/>
    <w:rsid w:val="00D3094F"/>
    <w:rsid w:val="00D30A88"/>
    <w:rsid w:val="00D30C96"/>
    <w:rsid w:val="00D30E4F"/>
    <w:rsid w:val="00D30E7C"/>
    <w:rsid w:val="00D30E80"/>
    <w:rsid w:val="00D31159"/>
    <w:rsid w:val="00D312E2"/>
    <w:rsid w:val="00D31429"/>
    <w:rsid w:val="00D3165E"/>
    <w:rsid w:val="00D316B3"/>
    <w:rsid w:val="00D31B34"/>
    <w:rsid w:val="00D31BF8"/>
    <w:rsid w:val="00D31D24"/>
    <w:rsid w:val="00D31D7D"/>
    <w:rsid w:val="00D31E8E"/>
    <w:rsid w:val="00D31FB2"/>
    <w:rsid w:val="00D3222D"/>
    <w:rsid w:val="00D32260"/>
    <w:rsid w:val="00D3235F"/>
    <w:rsid w:val="00D3247A"/>
    <w:rsid w:val="00D32619"/>
    <w:rsid w:val="00D3261C"/>
    <w:rsid w:val="00D3265D"/>
    <w:rsid w:val="00D3267D"/>
    <w:rsid w:val="00D328E4"/>
    <w:rsid w:val="00D32CB4"/>
    <w:rsid w:val="00D32DCC"/>
    <w:rsid w:val="00D32EA2"/>
    <w:rsid w:val="00D32ED9"/>
    <w:rsid w:val="00D32EDA"/>
    <w:rsid w:val="00D32F56"/>
    <w:rsid w:val="00D33479"/>
    <w:rsid w:val="00D33830"/>
    <w:rsid w:val="00D33B36"/>
    <w:rsid w:val="00D33C6A"/>
    <w:rsid w:val="00D33D7A"/>
    <w:rsid w:val="00D340A8"/>
    <w:rsid w:val="00D34121"/>
    <w:rsid w:val="00D34185"/>
    <w:rsid w:val="00D34415"/>
    <w:rsid w:val="00D34547"/>
    <w:rsid w:val="00D34667"/>
    <w:rsid w:val="00D348A8"/>
    <w:rsid w:val="00D34A94"/>
    <w:rsid w:val="00D34C60"/>
    <w:rsid w:val="00D34DB4"/>
    <w:rsid w:val="00D34E2E"/>
    <w:rsid w:val="00D34E37"/>
    <w:rsid w:val="00D34EA9"/>
    <w:rsid w:val="00D34EAC"/>
    <w:rsid w:val="00D34F2D"/>
    <w:rsid w:val="00D34F66"/>
    <w:rsid w:val="00D35404"/>
    <w:rsid w:val="00D35447"/>
    <w:rsid w:val="00D357F2"/>
    <w:rsid w:val="00D35D9E"/>
    <w:rsid w:val="00D35ED5"/>
    <w:rsid w:val="00D3600F"/>
    <w:rsid w:val="00D36280"/>
    <w:rsid w:val="00D3642B"/>
    <w:rsid w:val="00D36513"/>
    <w:rsid w:val="00D36730"/>
    <w:rsid w:val="00D36787"/>
    <w:rsid w:val="00D36939"/>
    <w:rsid w:val="00D36B2D"/>
    <w:rsid w:val="00D36BAE"/>
    <w:rsid w:val="00D36C05"/>
    <w:rsid w:val="00D36CCA"/>
    <w:rsid w:val="00D36D21"/>
    <w:rsid w:val="00D37026"/>
    <w:rsid w:val="00D3702C"/>
    <w:rsid w:val="00D3709F"/>
    <w:rsid w:val="00D37155"/>
    <w:rsid w:val="00D37163"/>
    <w:rsid w:val="00D3740C"/>
    <w:rsid w:val="00D378F8"/>
    <w:rsid w:val="00D37BB3"/>
    <w:rsid w:val="00D37E18"/>
    <w:rsid w:val="00D4022D"/>
    <w:rsid w:val="00D4039B"/>
    <w:rsid w:val="00D4041B"/>
    <w:rsid w:val="00D40502"/>
    <w:rsid w:val="00D405CD"/>
    <w:rsid w:val="00D40A19"/>
    <w:rsid w:val="00D40AC0"/>
    <w:rsid w:val="00D40ACF"/>
    <w:rsid w:val="00D40D9C"/>
    <w:rsid w:val="00D40E9B"/>
    <w:rsid w:val="00D4105A"/>
    <w:rsid w:val="00D4135E"/>
    <w:rsid w:val="00D41422"/>
    <w:rsid w:val="00D4156B"/>
    <w:rsid w:val="00D4164B"/>
    <w:rsid w:val="00D419D4"/>
    <w:rsid w:val="00D41BC7"/>
    <w:rsid w:val="00D41C74"/>
    <w:rsid w:val="00D41D86"/>
    <w:rsid w:val="00D41DAE"/>
    <w:rsid w:val="00D42291"/>
    <w:rsid w:val="00D42311"/>
    <w:rsid w:val="00D4243A"/>
    <w:rsid w:val="00D42474"/>
    <w:rsid w:val="00D424BD"/>
    <w:rsid w:val="00D4298B"/>
    <w:rsid w:val="00D429F5"/>
    <w:rsid w:val="00D42E4C"/>
    <w:rsid w:val="00D42F28"/>
    <w:rsid w:val="00D43062"/>
    <w:rsid w:val="00D4340A"/>
    <w:rsid w:val="00D434EE"/>
    <w:rsid w:val="00D435A2"/>
    <w:rsid w:val="00D43778"/>
    <w:rsid w:val="00D439F7"/>
    <w:rsid w:val="00D43A47"/>
    <w:rsid w:val="00D43FF7"/>
    <w:rsid w:val="00D440C5"/>
    <w:rsid w:val="00D440D1"/>
    <w:rsid w:val="00D441C3"/>
    <w:rsid w:val="00D44303"/>
    <w:rsid w:val="00D44360"/>
    <w:rsid w:val="00D44407"/>
    <w:rsid w:val="00D4465B"/>
    <w:rsid w:val="00D447C1"/>
    <w:rsid w:val="00D4481B"/>
    <w:rsid w:val="00D44860"/>
    <w:rsid w:val="00D44908"/>
    <w:rsid w:val="00D44B53"/>
    <w:rsid w:val="00D44B9A"/>
    <w:rsid w:val="00D44D40"/>
    <w:rsid w:val="00D450CD"/>
    <w:rsid w:val="00D452AA"/>
    <w:rsid w:val="00D4538B"/>
    <w:rsid w:val="00D4550B"/>
    <w:rsid w:val="00D456D9"/>
    <w:rsid w:val="00D4570F"/>
    <w:rsid w:val="00D457B1"/>
    <w:rsid w:val="00D4587F"/>
    <w:rsid w:val="00D45989"/>
    <w:rsid w:val="00D45B08"/>
    <w:rsid w:val="00D45B5B"/>
    <w:rsid w:val="00D45CC0"/>
    <w:rsid w:val="00D45D31"/>
    <w:rsid w:val="00D46046"/>
    <w:rsid w:val="00D46057"/>
    <w:rsid w:val="00D46326"/>
    <w:rsid w:val="00D46421"/>
    <w:rsid w:val="00D46674"/>
    <w:rsid w:val="00D466E0"/>
    <w:rsid w:val="00D466FA"/>
    <w:rsid w:val="00D468C3"/>
    <w:rsid w:val="00D46CC1"/>
    <w:rsid w:val="00D46D50"/>
    <w:rsid w:val="00D46F3B"/>
    <w:rsid w:val="00D472BC"/>
    <w:rsid w:val="00D472C9"/>
    <w:rsid w:val="00D47346"/>
    <w:rsid w:val="00D4744D"/>
    <w:rsid w:val="00D47538"/>
    <w:rsid w:val="00D4781B"/>
    <w:rsid w:val="00D47913"/>
    <w:rsid w:val="00D47A57"/>
    <w:rsid w:val="00D47AA9"/>
    <w:rsid w:val="00D47B6E"/>
    <w:rsid w:val="00D47E94"/>
    <w:rsid w:val="00D50047"/>
    <w:rsid w:val="00D504DD"/>
    <w:rsid w:val="00D50963"/>
    <w:rsid w:val="00D50B2F"/>
    <w:rsid w:val="00D5126C"/>
    <w:rsid w:val="00D512E5"/>
    <w:rsid w:val="00D514F5"/>
    <w:rsid w:val="00D5153B"/>
    <w:rsid w:val="00D515D4"/>
    <w:rsid w:val="00D518A2"/>
    <w:rsid w:val="00D51CC8"/>
    <w:rsid w:val="00D51CDB"/>
    <w:rsid w:val="00D51D64"/>
    <w:rsid w:val="00D51F02"/>
    <w:rsid w:val="00D51F24"/>
    <w:rsid w:val="00D51F7E"/>
    <w:rsid w:val="00D52130"/>
    <w:rsid w:val="00D525B4"/>
    <w:rsid w:val="00D527F0"/>
    <w:rsid w:val="00D5281A"/>
    <w:rsid w:val="00D52C30"/>
    <w:rsid w:val="00D52EBE"/>
    <w:rsid w:val="00D52F5B"/>
    <w:rsid w:val="00D53003"/>
    <w:rsid w:val="00D531D1"/>
    <w:rsid w:val="00D531ED"/>
    <w:rsid w:val="00D533B0"/>
    <w:rsid w:val="00D533FA"/>
    <w:rsid w:val="00D53721"/>
    <w:rsid w:val="00D537A1"/>
    <w:rsid w:val="00D5397C"/>
    <w:rsid w:val="00D53A77"/>
    <w:rsid w:val="00D53B4B"/>
    <w:rsid w:val="00D53ED5"/>
    <w:rsid w:val="00D540D4"/>
    <w:rsid w:val="00D543D2"/>
    <w:rsid w:val="00D54499"/>
    <w:rsid w:val="00D5456A"/>
    <w:rsid w:val="00D54673"/>
    <w:rsid w:val="00D54924"/>
    <w:rsid w:val="00D54E93"/>
    <w:rsid w:val="00D550E8"/>
    <w:rsid w:val="00D55284"/>
    <w:rsid w:val="00D552B8"/>
    <w:rsid w:val="00D55438"/>
    <w:rsid w:val="00D55578"/>
    <w:rsid w:val="00D556DE"/>
    <w:rsid w:val="00D557CA"/>
    <w:rsid w:val="00D559C8"/>
    <w:rsid w:val="00D55A7B"/>
    <w:rsid w:val="00D55B84"/>
    <w:rsid w:val="00D55EB3"/>
    <w:rsid w:val="00D561BC"/>
    <w:rsid w:val="00D561CC"/>
    <w:rsid w:val="00D561EB"/>
    <w:rsid w:val="00D562DE"/>
    <w:rsid w:val="00D56486"/>
    <w:rsid w:val="00D56511"/>
    <w:rsid w:val="00D565B3"/>
    <w:rsid w:val="00D565E3"/>
    <w:rsid w:val="00D56995"/>
    <w:rsid w:val="00D56C58"/>
    <w:rsid w:val="00D56EC7"/>
    <w:rsid w:val="00D56F2B"/>
    <w:rsid w:val="00D56F61"/>
    <w:rsid w:val="00D571C5"/>
    <w:rsid w:val="00D571D2"/>
    <w:rsid w:val="00D576F7"/>
    <w:rsid w:val="00D5796F"/>
    <w:rsid w:val="00D57BE2"/>
    <w:rsid w:val="00D57C59"/>
    <w:rsid w:val="00D57C70"/>
    <w:rsid w:val="00D57C81"/>
    <w:rsid w:val="00D57EFE"/>
    <w:rsid w:val="00D6040D"/>
    <w:rsid w:val="00D60430"/>
    <w:rsid w:val="00D605BF"/>
    <w:rsid w:val="00D607A6"/>
    <w:rsid w:val="00D608EA"/>
    <w:rsid w:val="00D60BB7"/>
    <w:rsid w:val="00D60F14"/>
    <w:rsid w:val="00D610D4"/>
    <w:rsid w:val="00D6168B"/>
    <w:rsid w:val="00D61700"/>
    <w:rsid w:val="00D61882"/>
    <w:rsid w:val="00D61A69"/>
    <w:rsid w:val="00D61AC9"/>
    <w:rsid w:val="00D61B99"/>
    <w:rsid w:val="00D61C50"/>
    <w:rsid w:val="00D61EF8"/>
    <w:rsid w:val="00D61F0C"/>
    <w:rsid w:val="00D61FB2"/>
    <w:rsid w:val="00D6218B"/>
    <w:rsid w:val="00D6248B"/>
    <w:rsid w:val="00D62861"/>
    <w:rsid w:val="00D62C39"/>
    <w:rsid w:val="00D62EBB"/>
    <w:rsid w:val="00D631AC"/>
    <w:rsid w:val="00D63211"/>
    <w:rsid w:val="00D6321D"/>
    <w:rsid w:val="00D6324E"/>
    <w:rsid w:val="00D637D2"/>
    <w:rsid w:val="00D63904"/>
    <w:rsid w:val="00D63A43"/>
    <w:rsid w:val="00D63A63"/>
    <w:rsid w:val="00D63BEC"/>
    <w:rsid w:val="00D63C10"/>
    <w:rsid w:val="00D63C54"/>
    <w:rsid w:val="00D63DFD"/>
    <w:rsid w:val="00D63E63"/>
    <w:rsid w:val="00D64209"/>
    <w:rsid w:val="00D64576"/>
    <w:rsid w:val="00D64683"/>
    <w:rsid w:val="00D64B80"/>
    <w:rsid w:val="00D64CB6"/>
    <w:rsid w:val="00D6507E"/>
    <w:rsid w:val="00D6516D"/>
    <w:rsid w:val="00D651E6"/>
    <w:rsid w:val="00D65350"/>
    <w:rsid w:val="00D654DB"/>
    <w:rsid w:val="00D65514"/>
    <w:rsid w:val="00D656C0"/>
    <w:rsid w:val="00D65779"/>
    <w:rsid w:val="00D658A6"/>
    <w:rsid w:val="00D658E9"/>
    <w:rsid w:val="00D658F3"/>
    <w:rsid w:val="00D659D6"/>
    <w:rsid w:val="00D65A5C"/>
    <w:rsid w:val="00D65E69"/>
    <w:rsid w:val="00D65F39"/>
    <w:rsid w:val="00D661E7"/>
    <w:rsid w:val="00D66322"/>
    <w:rsid w:val="00D6658F"/>
    <w:rsid w:val="00D66694"/>
    <w:rsid w:val="00D667BF"/>
    <w:rsid w:val="00D667DA"/>
    <w:rsid w:val="00D66886"/>
    <w:rsid w:val="00D66AC4"/>
    <w:rsid w:val="00D66D20"/>
    <w:rsid w:val="00D670CB"/>
    <w:rsid w:val="00D6718E"/>
    <w:rsid w:val="00D671A3"/>
    <w:rsid w:val="00D6735C"/>
    <w:rsid w:val="00D67435"/>
    <w:rsid w:val="00D6746B"/>
    <w:rsid w:val="00D6764A"/>
    <w:rsid w:val="00D67729"/>
    <w:rsid w:val="00D6798D"/>
    <w:rsid w:val="00D679FE"/>
    <w:rsid w:val="00D67E04"/>
    <w:rsid w:val="00D67FA0"/>
    <w:rsid w:val="00D701C8"/>
    <w:rsid w:val="00D70311"/>
    <w:rsid w:val="00D7070A"/>
    <w:rsid w:val="00D70809"/>
    <w:rsid w:val="00D70B51"/>
    <w:rsid w:val="00D70BF0"/>
    <w:rsid w:val="00D70C61"/>
    <w:rsid w:val="00D70CAA"/>
    <w:rsid w:val="00D70CFB"/>
    <w:rsid w:val="00D70DFF"/>
    <w:rsid w:val="00D70FE1"/>
    <w:rsid w:val="00D71149"/>
    <w:rsid w:val="00D712DE"/>
    <w:rsid w:val="00D7130C"/>
    <w:rsid w:val="00D713B0"/>
    <w:rsid w:val="00D71572"/>
    <w:rsid w:val="00D7188A"/>
    <w:rsid w:val="00D718B9"/>
    <w:rsid w:val="00D71AF3"/>
    <w:rsid w:val="00D71D2D"/>
    <w:rsid w:val="00D71FEC"/>
    <w:rsid w:val="00D72140"/>
    <w:rsid w:val="00D721D5"/>
    <w:rsid w:val="00D72211"/>
    <w:rsid w:val="00D7227F"/>
    <w:rsid w:val="00D7249F"/>
    <w:rsid w:val="00D72595"/>
    <w:rsid w:val="00D726AA"/>
    <w:rsid w:val="00D72A3E"/>
    <w:rsid w:val="00D72CEE"/>
    <w:rsid w:val="00D72E7A"/>
    <w:rsid w:val="00D72EC9"/>
    <w:rsid w:val="00D72ECB"/>
    <w:rsid w:val="00D73533"/>
    <w:rsid w:val="00D73751"/>
    <w:rsid w:val="00D739B9"/>
    <w:rsid w:val="00D73A67"/>
    <w:rsid w:val="00D73AA2"/>
    <w:rsid w:val="00D73AEF"/>
    <w:rsid w:val="00D73AF3"/>
    <w:rsid w:val="00D73B3E"/>
    <w:rsid w:val="00D73D21"/>
    <w:rsid w:val="00D73DB0"/>
    <w:rsid w:val="00D74039"/>
    <w:rsid w:val="00D740DD"/>
    <w:rsid w:val="00D743AE"/>
    <w:rsid w:val="00D74426"/>
    <w:rsid w:val="00D74773"/>
    <w:rsid w:val="00D748C5"/>
    <w:rsid w:val="00D74C6E"/>
    <w:rsid w:val="00D74D9D"/>
    <w:rsid w:val="00D74E89"/>
    <w:rsid w:val="00D74EFE"/>
    <w:rsid w:val="00D74F06"/>
    <w:rsid w:val="00D75215"/>
    <w:rsid w:val="00D7565A"/>
    <w:rsid w:val="00D7565D"/>
    <w:rsid w:val="00D756B4"/>
    <w:rsid w:val="00D756F0"/>
    <w:rsid w:val="00D756FE"/>
    <w:rsid w:val="00D757C5"/>
    <w:rsid w:val="00D7597A"/>
    <w:rsid w:val="00D75BB8"/>
    <w:rsid w:val="00D761DD"/>
    <w:rsid w:val="00D76415"/>
    <w:rsid w:val="00D765C3"/>
    <w:rsid w:val="00D76894"/>
    <w:rsid w:val="00D768BF"/>
    <w:rsid w:val="00D76959"/>
    <w:rsid w:val="00D76AB1"/>
    <w:rsid w:val="00D76B29"/>
    <w:rsid w:val="00D76B36"/>
    <w:rsid w:val="00D76C65"/>
    <w:rsid w:val="00D77201"/>
    <w:rsid w:val="00D778CF"/>
    <w:rsid w:val="00D77B8A"/>
    <w:rsid w:val="00D77C23"/>
    <w:rsid w:val="00D77CD0"/>
    <w:rsid w:val="00D77D4D"/>
    <w:rsid w:val="00D77E03"/>
    <w:rsid w:val="00D77EF4"/>
    <w:rsid w:val="00D80039"/>
    <w:rsid w:val="00D802D4"/>
    <w:rsid w:val="00D80397"/>
    <w:rsid w:val="00D80799"/>
    <w:rsid w:val="00D8096B"/>
    <w:rsid w:val="00D80A63"/>
    <w:rsid w:val="00D80AF7"/>
    <w:rsid w:val="00D80B3B"/>
    <w:rsid w:val="00D81041"/>
    <w:rsid w:val="00D81157"/>
    <w:rsid w:val="00D812C2"/>
    <w:rsid w:val="00D8169F"/>
    <w:rsid w:val="00D818D0"/>
    <w:rsid w:val="00D81B2D"/>
    <w:rsid w:val="00D81C6E"/>
    <w:rsid w:val="00D81CEB"/>
    <w:rsid w:val="00D81EEE"/>
    <w:rsid w:val="00D822C7"/>
    <w:rsid w:val="00D8281C"/>
    <w:rsid w:val="00D82829"/>
    <w:rsid w:val="00D82996"/>
    <w:rsid w:val="00D829AC"/>
    <w:rsid w:val="00D82A43"/>
    <w:rsid w:val="00D82AE5"/>
    <w:rsid w:val="00D82C1C"/>
    <w:rsid w:val="00D82D2D"/>
    <w:rsid w:val="00D82DC6"/>
    <w:rsid w:val="00D82ECB"/>
    <w:rsid w:val="00D82F8A"/>
    <w:rsid w:val="00D830D5"/>
    <w:rsid w:val="00D8336B"/>
    <w:rsid w:val="00D839F0"/>
    <w:rsid w:val="00D839F3"/>
    <w:rsid w:val="00D83A30"/>
    <w:rsid w:val="00D83B69"/>
    <w:rsid w:val="00D84022"/>
    <w:rsid w:val="00D84038"/>
    <w:rsid w:val="00D840D1"/>
    <w:rsid w:val="00D841D0"/>
    <w:rsid w:val="00D8421C"/>
    <w:rsid w:val="00D8456C"/>
    <w:rsid w:val="00D84BE8"/>
    <w:rsid w:val="00D84C6C"/>
    <w:rsid w:val="00D85010"/>
    <w:rsid w:val="00D8517D"/>
    <w:rsid w:val="00D852AD"/>
    <w:rsid w:val="00D85317"/>
    <w:rsid w:val="00D85325"/>
    <w:rsid w:val="00D85473"/>
    <w:rsid w:val="00D854E3"/>
    <w:rsid w:val="00D85507"/>
    <w:rsid w:val="00D8552C"/>
    <w:rsid w:val="00D85776"/>
    <w:rsid w:val="00D8583B"/>
    <w:rsid w:val="00D859A4"/>
    <w:rsid w:val="00D85AA8"/>
    <w:rsid w:val="00D85B0E"/>
    <w:rsid w:val="00D85EA3"/>
    <w:rsid w:val="00D85ED4"/>
    <w:rsid w:val="00D85F6B"/>
    <w:rsid w:val="00D86764"/>
    <w:rsid w:val="00D86818"/>
    <w:rsid w:val="00D86A69"/>
    <w:rsid w:val="00D86FD1"/>
    <w:rsid w:val="00D86FE7"/>
    <w:rsid w:val="00D873D2"/>
    <w:rsid w:val="00D87519"/>
    <w:rsid w:val="00D87599"/>
    <w:rsid w:val="00D8771A"/>
    <w:rsid w:val="00D87A9E"/>
    <w:rsid w:val="00D87B43"/>
    <w:rsid w:val="00D9002F"/>
    <w:rsid w:val="00D90094"/>
    <w:rsid w:val="00D901D4"/>
    <w:rsid w:val="00D902AF"/>
    <w:rsid w:val="00D90322"/>
    <w:rsid w:val="00D90B21"/>
    <w:rsid w:val="00D90CE4"/>
    <w:rsid w:val="00D90CF2"/>
    <w:rsid w:val="00D90D80"/>
    <w:rsid w:val="00D90F36"/>
    <w:rsid w:val="00D9101F"/>
    <w:rsid w:val="00D91047"/>
    <w:rsid w:val="00D911AA"/>
    <w:rsid w:val="00D9123A"/>
    <w:rsid w:val="00D91476"/>
    <w:rsid w:val="00D914AD"/>
    <w:rsid w:val="00D91535"/>
    <w:rsid w:val="00D917FA"/>
    <w:rsid w:val="00D91AAC"/>
    <w:rsid w:val="00D91B78"/>
    <w:rsid w:val="00D92089"/>
    <w:rsid w:val="00D921B3"/>
    <w:rsid w:val="00D922E8"/>
    <w:rsid w:val="00D92328"/>
    <w:rsid w:val="00D92384"/>
    <w:rsid w:val="00D92A0E"/>
    <w:rsid w:val="00D92A76"/>
    <w:rsid w:val="00D92C3C"/>
    <w:rsid w:val="00D92CBB"/>
    <w:rsid w:val="00D9302D"/>
    <w:rsid w:val="00D93073"/>
    <w:rsid w:val="00D93189"/>
    <w:rsid w:val="00D93456"/>
    <w:rsid w:val="00D934B9"/>
    <w:rsid w:val="00D935E4"/>
    <w:rsid w:val="00D9364F"/>
    <w:rsid w:val="00D937D6"/>
    <w:rsid w:val="00D93AF7"/>
    <w:rsid w:val="00D93D0E"/>
    <w:rsid w:val="00D940C5"/>
    <w:rsid w:val="00D94100"/>
    <w:rsid w:val="00D9411B"/>
    <w:rsid w:val="00D945C6"/>
    <w:rsid w:val="00D947F2"/>
    <w:rsid w:val="00D949F8"/>
    <w:rsid w:val="00D94BCC"/>
    <w:rsid w:val="00D94C52"/>
    <w:rsid w:val="00D94CF2"/>
    <w:rsid w:val="00D94D50"/>
    <w:rsid w:val="00D94DC8"/>
    <w:rsid w:val="00D951B7"/>
    <w:rsid w:val="00D954C4"/>
    <w:rsid w:val="00D95932"/>
    <w:rsid w:val="00D95A27"/>
    <w:rsid w:val="00D95B36"/>
    <w:rsid w:val="00D95C78"/>
    <w:rsid w:val="00D95D82"/>
    <w:rsid w:val="00D95E11"/>
    <w:rsid w:val="00D96319"/>
    <w:rsid w:val="00D9633A"/>
    <w:rsid w:val="00D963D8"/>
    <w:rsid w:val="00D96909"/>
    <w:rsid w:val="00D96B42"/>
    <w:rsid w:val="00D96C4C"/>
    <w:rsid w:val="00D96E03"/>
    <w:rsid w:val="00D96EC4"/>
    <w:rsid w:val="00D96FDC"/>
    <w:rsid w:val="00D97060"/>
    <w:rsid w:val="00D97132"/>
    <w:rsid w:val="00D9732E"/>
    <w:rsid w:val="00D97370"/>
    <w:rsid w:val="00D97400"/>
    <w:rsid w:val="00D9741C"/>
    <w:rsid w:val="00D974D0"/>
    <w:rsid w:val="00D97599"/>
    <w:rsid w:val="00D975F6"/>
    <w:rsid w:val="00D97B16"/>
    <w:rsid w:val="00D97B79"/>
    <w:rsid w:val="00D97D47"/>
    <w:rsid w:val="00DA01FB"/>
    <w:rsid w:val="00DA0506"/>
    <w:rsid w:val="00DA0643"/>
    <w:rsid w:val="00DA073F"/>
    <w:rsid w:val="00DA0769"/>
    <w:rsid w:val="00DA090B"/>
    <w:rsid w:val="00DA0940"/>
    <w:rsid w:val="00DA0B62"/>
    <w:rsid w:val="00DA0C66"/>
    <w:rsid w:val="00DA0CD2"/>
    <w:rsid w:val="00DA0CE8"/>
    <w:rsid w:val="00DA0CF9"/>
    <w:rsid w:val="00DA0DDB"/>
    <w:rsid w:val="00DA0EC3"/>
    <w:rsid w:val="00DA0FE8"/>
    <w:rsid w:val="00DA1432"/>
    <w:rsid w:val="00DA1712"/>
    <w:rsid w:val="00DA1886"/>
    <w:rsid w:val="00DA18DC"/>
    <w:rsid w:val="00DA196C"/>
    <w:rsid w:val="00DA1C88"/>
    <w:rsid w:val="00DA1F3E"/>
    <w:rsid w:val="00DA1FE0"/>
    <w:rsid w:val="00DA263C"/>
    <w:rsid w:val="00DA2644"/>
    <w:rsid w:val="00DA28F0"/>
    <w:rsid w:val="00DA313C"/>
    <w:rsid w:val="00DA331C"/>
    <w:rsid w:val="00DA3534"/>
    <w:rsid w:val="00DA3837"/>
    <w:rsid w:val="00DA3A21"/>
    <w:rsid w:val="00DA3AC5"/>
    <w:rsid w:val="00DA3D1E"/>
    <w:rsid w:val="00DA4178"/>
    <w:rsid w:val="00DA418E"/>
    <w:rsid w:val="00DA4280"/>
    <w:rsid w:val="00DA438D"/>
    <w:rsid w:val="00DA4580"/>
    <w:rsid w:val="00DA4897"/>
    <w:rsid w:val="00DA499C"/>
    <w:rsid w:val="00DA4AA5"/>
    <w:rsid w:val="00DA4D47"/>
    <w:rsid w:val="00DA4D77"/>
    <w:rsid w:val="00DA4DCC"/>
    <w:rsid w:val="00DA4E8B"/>
    <w:rsid w:val="00DA5004"/>
    <w:rsid w:val="00DA52F5"/>
    <w:rsid w:val="00DA5411"/>
    <w:rsid w:val="00DA5512"/>
    <w:rsid w:val="00DA558C"/>
    <w:rsid w:val="00DA55F4"/>
    <w:rsid w:val="00DA56B4"/>
    <w:rsid w:val="00DA56C8"/>
    <w:rsid w:val="00DA595E"/>
    <w:rsid w:val="00DA5A2C"/>
    <w:rsid w:val="00DA5AEE"/>
    <w:rsid w:val="00DA5C72"/>
    <w:rsid w:val="00DA5E3D"/>
    <w:rsid w:val="00DA5E6B"/>
    <w:rsid w:val="00DA621C"/>
    <w:rsid w:val="00DA6729"/>
    <w:rsid w:val="00DA69C7"/>
    <w:rsid w:val="00DA6B77"/>
    <w:rsid w:val="00DA6DA2"/>
    <w:rsid w:val="00DA71B8"/>
    <w:rsid w:val="00DA7369"/>
    <w:rsid w:val="00DA7764"/>
    <w:rsid w:val="00DA7C4F"/>
    <w:rsid w:val="00DA7E5D"/>
    <w:rsid w:val="00DA7EBE"/>
    <w:rsid w:val="00DB02E0"/>
    <w:rsid w:val="00DB03A0"/>
    <w:rsid w:val="00DB03AB"/>
    <w:rsid w:val="00DB05B7"/>
    <w:rsid w:val="00DB0724"/>
    <w:rsid w:val="00DB0747"/>
    <w:rsid w:val="00DB0992"/>
    <w:rsid w:val="00DB09E4"/>
    <w:rsid w:val="00DB0B70"/>
    <w:rsid w:val="00DB0C40"/>
    <w:rsid w:val="00DB0E41"/>
    <w:rsid w:val="00DB0E96"/>
    <w:rsid w:val="00DB0F08"/>
    <w:rsid w:val="00DB0F61"/>
    <w:rsid w:val="00DB101E"/>
    <w:rsid w:val="00DB113E"/>
    <w:rsid w:val="00DB1262"/>
    <w:rsid w:val="00DB1434"/>
    <w:rsid w:val="00DB1540"/>
    <w:rsid w:val="00DB1835"/>
    <w:rsid w:val="00DB18C9"/>
    <w:rsid w:val="00DB1A8D"/>
    <w:rsid w:val="00DB1B52"/>
    <w:rsid w:val="00DB1CEC"/>
    <w:rsid w:val="00DB1D4A"/>
    <w:rsid w:val="00DB1E8C"/>
    <w:rsid w:val="00DB1EE6"/>
    <w:rsid w:val="00DB1EFD"/>
    <w:rsid w:val="00DB209A"/>
    <w:rsid w:val="00DB2221"/>
    <w:rsid w:val="00DB2260"/>
    <w:rsid w:val="00DB237A"/>
    <w:rsid w:val="00DB2436"/>
    <w:rsid w:val="00DB2511"/>
    <w:rsid w:val="00DB27E2"/>
    <w:rsid w:val="00DB2A39"/>
    <w:rsid w:val="00DB2A9A"/>
    <w:rsid w:val="00DB2B08"/>
    <w:rsid w:val="00DB2B7D"/>
    <w:rsid w:val="00DB2CBA"/>
    <w:rsid w:val="00DB2DDF"/>
    <w:rsid w:val="00DB2E61"/>
    <w:rsid w:val="00DB2F0E"/>
    <w:rsid w:val="00DB31EC"/>
    <w:rsid w:val="00DB33B8"/>
    <w:rsid w:val="00DB33FE"/>
    <w:rsid w:val="00DB35E5"/>
    <w:rsid w:val="00DB3884"/>
    <w:rsid w:val="00DB38DD"/>
    <w:rsid w:val="00DB395E"/>
    <w:rsid w:val="00DB3A19"/>
    <w:rsid w:val="00DB3BA5"/>
    <w:rsid w:val="00DB3BED"/>
    <w:rsid w:val="00DB3C12"/>
    <w:rsid w:val="00DB3C8A"/>
    <w:rsid w:val="00DB3D51"/>
    <w:rsid w:val="00DB3E46"/>
    <w:rsid w:val="00DB3E71"/>
    <w:rsid w:val="00DB3E74"/>
    <w:rsid w:val="00DB4055"/>
    <w:rsid w:val="00DB40F0"/>
    <w:rsid w:val="00DB430D"/>
    <w:rsid w:val="00DB4757"/>
    <w:rsid w:val="00DB4909"/>
    <w:rsid w:val="00DB4A62"/>
    <w:rsid w:val="00DB4B38"/>
    <w:rsid w:val="00DB4BAF"/>
    <w:rsid w:val="00DB4DCC"/>
    <w:rsid w:val="00DB4E29"/>
    <w:rsid w:val="00DB5421"/>
    <w:rsid w:val="00DB5424"/>
    <w:rsid w:val="00DB5622"/>
    <w:rsid w:val="00DB5772"/>
    <w:rsid w:val="00DB577A"/>
    <w:rsid w:val="00DB5FD9"/>
    <w:rsid w:val="00DB660A"/>
    <w:rsid w:val="00DB6959"/>
    <w:rsid w:val="00DB6A21"/>
    <w:rsid w:val="00DB6A2D"/>
    <w:rsid w:val="00DB6CA9"/>
    <w:rsid w:val="00DB6F6B"/>
    <w:rsid w:val="00DB6FA6"/>
    <w:rsid w:val="00DB6FD6"/>
    <w:rsid w:val="00DB7683"/>
    <w:rsid w:val="00DB7D3E"/>
    <w:rsid w:val="00DB7E6B"/>
    <w:rsid w:val="00DC0713"/>
    <w:rsid w:val="00DC098E"/>
    <w:rsid w:val="00DC0D63"/>
    <w:rsid w:val="00DC0E09"/>
    <w:rsid w:val="00DC1113"/>
    <w:rsid w:val="00DC1130"/>
    <w:rsid w:val="00DC1495"/>
    <w:rsid w:val="00DC15A5"/>
    <w:rsid w:val="00DC15B8"/>
    <w:rsid w:val="00DC1C49"/>
    <w:rsid w:val="00DC1C6A"/>
    <w:rsid w:val="00DC1C97"/>
    <w:rsid w:val="00DC1EA1"/>
    <w:rsid w:val="00DC21C3"/>
    <w:rsid w:val="00DC22A0"/>
    <w:rsid w:val="00DC23A8"/>
    <w:rsid w:val="00DC25FD"/>
    <w:rsid w:val="00DC2631"/>
    <w:rsid w:val="00DC2748"/>
    <w:rsid w:val="00DC2850"/>
    <w:rsid w:val="00DC29D9"/>
    <w:rsid w:val="00DC2A0C"/>
    <w:rsid w:val="00DC2A95"/>
    <w:rsid w:val="00DC2BEC"/>
    <w:rsid w:val="00DC2D12"/>
    <w:rsid w:val="00DC2DCA"/>
    <w:rsid w:val="00DC2DFF"/>
    <w:rsid w:val="00DC2E19"/>
    <w:rsid w:val="00DC2E44"/>
    <w:rsid w:val="00DC2EA5"/>
    <w:rsid w:val="00DC2ED5"/>
    <w:rsid w:val="00DC2F9A"/>
    <w:rsid w:val="00DC3109"/>
    <w:rsid w:val="00DC31A5"/>
    <w:rsid w:val="00DC3242"/>
    <w:rsid w:val="00DC3259"/>
    <w:rsid w:val="00DC3293"/>
    <w:rsid w:val="00DC33D2"/>
    <w:rsid w:val="00DC34E1"/>
    <w:rsid w:val="00DC3522"/>
    <w:rsid w:val="00DC356B"/>
    <w:rsid w:val="00DC3579"/>
    <w:rsid w:val="00DC39E2"/>
    <w:rsid w:val="00DC3A59"/>
    <w:rsid w:val="00DC3A62"/>
    <w:rsid w:val="00DC3AFD"/>
    <w:rsid w:val="00DC44B7"/>
    <w:rsid w:val="00DC44E9"/>
    <w:rsid w:val="00DC450C"/>
    <w:rsid w:val="00DC4548"/>
    <w:rsid w:val="00DC460F"/>
    <w:rsid w:val="00DC4626"/>
    <w:rsid w:val="00DC4887"/>
    <w:rsid w:val="00DC4913"/>
    <w:rsid w:val="00DC498E"/>
    <w:rsid w:val="00DC49AB"/>
    <w:rsid w:val="00DC49B2"/>
    <w:rsid w:val="00DC4A60"/>
    <w:rsid w:val="00DC4AFC"/>
    <w:rsid w:val="00DC4B59"/>
    <w:rsid w:val="00DC4C2C"/>
    <w:rsid w:val="00DC4DDC"/>
    <w:rsid w:val="00DC5019"/>
    <w:rsid w:val="00DC51BF"/>
    <w:rsid w:val="00DC52FE"/>
    <w:rsid w:val="00DC5369"/>
    <w:rsid w:val="00DC54D8"/>
    <w:rsid w:val="00DC551B"/>
    <w:rsid w:val="00DC55A9"/>
    <w:rsid w:val="00DC5691"/>
    <w:rsid w:val="00DC5891"/>
    <w:rsid w:val="00DC58D5"/>
    <w:rsid w:val="00DC59C8"/>
    <w:rsid w:val="00DC5AE9"/>
    <w:rsid w:val="00DC5D40"/>
    <w:rsid w:val="00DC5F2F"/>
    <w:rsid w:val="00DC5FD9"/>
    <w:rsid w:val="00DC610D"/>
    <w:rsid w:val="00DC626C"/>
    <w:rsid w:val="00DC65BB"/>
    <w:rsid w:val="00DC672A"/>
    <w:rsid w:val="00DC67EF"/>
    <w:rsid w:val="00DC6B01"/>
    <w:rsid w:val="00DC6BA8"/>
    <w:rsid w:val="00DC6C85"/>
    <w:rsid w:val="00DC6E0D"/>
    <w:rsid w:val="00DC70A7"/>
    <w:rsid w:val="00DC7111"/>
    <w:rsid w:val="00DC72CD"/>
    <w:rsid w:val="00DC7B0F"/>
    <w:rsid w:val="00DC7B11"/>
    <w:rsid w:val="00DC7D61"/>
    <w:rsid w:val="00DD003F"/>
    <w:rsid w:val="00DD033D"/>
    <w:rsid w:val="00DD048D"/>
    <w:rsid w:val="00DD04C5"/>
    <w:rsid w:val="00DD05A6"/>
    <w:rsid w:val="00DD05E2"/>
    <w:rsid w:val="00DD06C6"/>
    <w:rsid w:val="00DD06DC"/>
    <w:rsid w:val="00DD0750"/>
    <w:rsid w:val="00DD09E0"/>
    <w:rsid w:val="00DD0CE7"/>
    <w:rsid w:val="00DD0F55"/>
    <w:rsid w:val="00DD1016"/>
    <w:rsid w:val="00DD1204"/>
    <w:rsid w:val="00DD1339"/>
    <w:rsid w:val="00DD13A6"/>
    <w:rsid w:val="00DD159E"/>
    <w:rsid w:val="00DD15B6"/>
    <w:rsid w:val="00DD16DA"/>
    <w:rsid w:val="00DD184D"/>
    <w:rsid w:val="00DD19A5"/>
    <w:rsid w:val="00DD1BEF"/>
    <w:rsid w:val="00DD1D1E"/>
    <w:rsid w:val="00DD1E57"/>
    <w:rsid w:val="00DD1F2E"/>
    <w:rsid w:val="00DD1F5A"/>
    <w:rsid w:val="00DD2114"/>
    <w:rsid w:val="00DD24E2"/>
    <w:rsid w:val="00DD27A6"/>
    <w:rsid w:val="00DD287D"/>
    <w:rsid w:val="00DD28DD"/>
    <w:rsid w:val="00DD2CD1"/>
    <w:rsid w:val="00DD2D7A"/>
    <w:rsid w:val="00DD2FA7"/>
    <w:rsid w:val="00DD315B"/>
    <w:rsid w:val="00DD31C6"/>
    <w:rsid w:val="00DD32D4"/>
    <w:rsid w:val="00DD32F1"/>
    <w:rsid w:val="00DD3300"/>
    <w:rsid w:val="00DD3C99"/>
    <w:rsid w:val="00DD3D22"/>
    <w:rsid w:val="00DD3EA4"/>
    <w:rsid w:val="00DD3F25"/>
    <w:rsid w:val="00DD42AB"/>
    <w:rsid w:val="00DD43C3"/>
    <w:rsid w:val="00DD45CB"/>
    <w:rsid w:val="00DD460D"/>
    <w:rsid w:val="00DD478C"/>
    <w:rsid w:val="00DD4892"/>
    <w:rsid w:val="00DD4B6F"/>
    <w:rsid w:val="00DD4DBD"/>
    <w:rsid w:val="00DD5019"/>
    <w:rsid w:val="00DD5214"/>
    <w:rsid w:val="00DD5369"/>
    <w:rsid w:val="00DD571B"/>
    <w:rsid w:val="00DD59B7"/>
    <w:rsid w:val="00DD5ADC"/>
    <w:rsid w:val="00DD5B98"/>
    <w:rsid w:val="00DD5BDC"/>
    <w:rsid w:val="00DD5D18"/>
    <w:rsid w:val="00DD5DF7"/>
    <w:rsid w:val="00DD5F13"/>
    <w:rsid w:val="00DD604F"/>
    <w:rsid w:val="00DD6313"/>
    <w:rsid w:val="00DD6389"/>
    <w:rsid w:val="00DD64C0"/>
    <w:rsid w:val="00DD66BC"/>
    <w:rsid w:val="00DD6732"/>
    <w:rsid w:val="00DD68B9"/>
    <w:rsid w:val="00DD6918"/>
    <w:rsid w:val="00DD6BDC"/>
    <w:rsid w:val="00DD6BFE"/>
    <w:rsid w:val="00DD6DA8"/>
    <w:rsid w:val="00DD6DD5"/>
    <w:rsid w:val="00DD731E"/>
    <w:rsid w:val="00DD7607"/>
    <w:rsid w:val="00DD7668"/>
    <w:rsid w:val="00DD773E"/>
    <w:rsid w:val="00DD7847"/>
    <w:rsid w:val="00DD790F"/>
    <w:rsid w:val="00DD79A7"/>
    <w:rsid w:val="00DD7B6E"/>
    <w:rsid w:val="00DD7E87"/>
    <w:rsid w:val="00DD7EFA"/>
    <w:rsid w:val="00DE00E9"/>
    <w:rsid w:val="00DE038B"/>
    <w:rsid w:val="00DE05CB"/>
    <w:rsid w:val="00DE075D"/>
    <w:rsid w:val="00DE076E"/>
    <w:rsid w:val="00DE0D3B"/>
    <w:rsid w:val="00DE0DCD"/>
    <w:rsid w:val="00DE11B6"/>
    <w:rsid w:val="00DE139C"/>
    <w:rsid w:val="00DE13B3"/>
    <w:rsid w:val="00DE1440"/>
    <w:rsid w:val="00DE15AE"/>
    <w:rsid w:val="00DE18B9"/>
    <w:rsid w:val="00DE18C8"/>
    <w:rsid w:val="00DE196C"/>
    <w:rsid w:val="00DE1A2D"/>
    <w:rsid w:val="00DE1A53"/>
    <w:rsid w:val="00DE1ADB"/>
    <w:rsid w:val="00DE1B26"/>
    <w:rsid w:val="00DE1E20"/>
    <w:rsid w:val="00DE1E4C"/>
    <w:rsid w:val="00DE219B"/>
    <w:rsid w:val="00DE2207"/>
    <w:rsid w:val="00DE228A"/>
    <w:rsid w:val="00DE22EB"/>
    <w:rsid w:val="00DE2539"/>
    <w:rsid w:val="00DE297D"/>
    <w:rsid w:val="00DE2AF1"/>
    <w:rsid w:val="00DE2CB1"/>
    <w:rsid w:val="00DE2D26"/>
    <w:rsid w:val="00DE2E5D"/>
    <w:rsid w:val="00DE3013"/>
    <w:rsid w:val="00DE30DA"/>
    <w:rsid w:val="00DE3173"/>
    <w:rsid w:val="00DE321D"/>
    <w:rsid w:val="00DE3292"/>
    <w:rsid w:val="00DE3728"/>
    <w:rsid w:val="00DE39E4"/>
    <w:rsid w:val="00DE3A7D"/>
    <w:rsid w:val="00DE3BAB"/>
    <w:rsid w:val="00DE3BFA"/>
    <w:rsid w:val="00DE3DF1"/>
    <w:rsid w:val="00DE3E0A"/>
    <w:rsid w:val="00DE3F96"/>
    <w:rsid w:val="00DE4287"/>
    <w:rsid w:val="00DE437B"/>
    <w:rsid w:val="00DE4382"/>
    <w:rsid w:val="00DE4597"/>
    <w:rsid w:val="00DE4790"/>
    <w:rsid w:val="00DE47BC"/>
    <w:rsid w:val="00DE4849"/>
    <w:rsid w:val="00DE4957"/>
    <w:rsid w:val="00DE4B01"/>
    <w:rsid w:val="00DE4BE5"/>
    <w:rsid w:val="00DE4D58"/>
    <w:rsid w:val="00DE4DD3"/>
    <w:rsid w:val="00DE4E10"/>
    <w:rsid w:val="00DE50F7"/>
    <w:rsid w:val="00DE51B4"/>
    <w:rsid w:val="00DE5353"/>
    <w:rsid w:val="00DE540C"/>
    <w:rsid w:val="00DE54A0"/>
    <w:rsid w:val="00DE54C7"/>
    <w:rsid w:val="00DE5808"/>
    <w:rsid w:val="00DE5893"/>
    <w:rsid w:val="00DE5BFD"/>
    <w:rsid w:val="00DE5D44"/>
    <w:rsid w:val="00DE5F6B"/>
    <w:rsid w:val="00DE6055"/>
    <w:rsid w:val="00DE60CD"/>
    <w:rsid w:val="00DE6302"/>
    <w:rsid w:val="00DE63B2"/>
    <w:rsid w:val="00DE63E6"/>
    <w:rsid w:val="00DE6430"/>
    <w:rsid w:val="00DE6433"/>
    <w:rsid w:val="00DE64A4"/>
    <w:rsid w:val="00DE6605"/>
    <w:rsid w:val="00DE67D3"/>
    <w:rsid w:val="00DE68B8"/>
    <w:rsid w:val="00DE6998"/>
    <w:rsid w:val="00DE6CFA"/>
    <w:rsid w:val="00DE6D1F"/>
    <w:rsid w:val="00DE7139"/>
    <w:rsid w:val="00DE715A"/>
    <w:rsid w:val="00DE7228"/>
    <w:rsid w:val="00DE72FD"/>
    <w:rsid w:val="00DE74AE"/>
    <w:rsid w:val="00DE7501"/>
    <w:rsid w:val="00DE77EC"/>
    <w:rsid w:val="00DE7A19"/>
    <w:rsid w:val="00DE7BE2"/>
    <w:rsid w:val="00DE7CBD"/>
    <w:rsid w:val="00DE7EAB"/>
    <w:rsid w:val="00DF00B8"/>
    <w:rsid w:val="00DF013C"/>
    <w:rsid w:val="00DF0522"/>
    <w:rsid w:val="00DF0724"/>
    <w:rsid w:val="00DF0762"/>
    <w:rsid w:val="00DF076E"/>
    <w:rsid w:val="00DF0781"/>
    <w:rsid w:val="00DF084C"/>
    <w:rsid w:val="00DF08FE"/>
    <w:rsid w:val="00DF09C2"/>
    <w:rsid w:val="00DF0CFB"/>
    <w:rsid w:val="00DF0E52"/>
    <w:rsid w:val="00DF0F04"/>
    <w:rsid w:val="00DF1401"/>
    <w:rsid w:val="00DF1670"/>
    <w:rsid w:val="00DF1832"/>
    <w:rsid w:val="00DF1BD9"/>
    <w:rsid w:val="00DF1C0F"/>
    <w:rsid w:val="00DF1CFF"/>
    <w:rsid w:val="00DF1DE2"/>
    <w:rsid w:val="00DF20BF"/>
    <w:rsid w:val="00DF212F"/>
    <w:rsid w:val="00DF2159"/>
    <w:rsid w:val="00DF24E1"/>
    <w:rsid w:val="00DF2520"/>
    <w:rsid w:val="00DF257A"/>
    <w:rsid w:val="00DF286D"/>
    <w:rsid w:val="00DF2BFD"/>
    <w:rsid w:val="00DF2E10"/>
    <w:rsid w:val="00DF2E2E"/>
    <w:rsid w:val="00DF2E2F"/>
    <w:rsid w:val="00DF2E9D"/>
    <w:rsid w:val="00DF2FFF"/>
    <w:rsid w:val="00DF30AF"/>
    <w:rsid w:val="00DF3359"/>
    <w:rsid w:val="00DF33BA"/>
    <w:rsid w:val="00DF3480"/>
    <w:rsid w:val="00DF3488"/>
    <w:rsid w:val="00DF3861"/>
    <w:rsid w:val="00DF3E56"/>
    <w:rsid w:val="00DF4008"/>
    <w:rsid w:val="00DF4108"/>
    <w:rsid w:val="00DF45A2"/>
    <w:rsid w:val="00DF45AB"/>
    <w:rsid w:val="00DF47F4"/>
    <w:rsid w:val="00DF4A0E"/>
    <w:rsid w:val="00DF4E36"/>
    <w:rsid w:val="00DF5142"/>
    <w:rsid w:val="00DF514E"/>
    <w:rsid w:val="00DF533C"/>
    <w:rsid w:val="00DF55CB"/>
    <w:rsid w:val="00DF5721"/>
    <w:rsid w:val="00DF573E"/>
    <w:rsid w:val="00DF5970"/>
    <w:rsid w:val="00DF5A32"/>
    <w:rsid w:val="00DF5B6A"/>
    <w:rsid w:val="00DF5B9A"/>
    <w:rsid w:val="00DF5BCA"/>
    <w:rsid w:val="00DF5CB7"/>
    <w:rsid w:val="00DF5DEE"/>
    <w:rsid w:val="00DF5F46"/>
    <w:rsid w:val="00DF629B"/>
    <w:rsid w:val="00DF62E4"/>
    <w:rsid w:val="00DF6715"/>
    <w:rsid w:val="00DF676B"/>
    <w:rsid w:val="00DF67B5"/>
    <w:rsid w:val="00DF6A68"/>
    <w:rsid w:val="00DF6ACB"/>
    <w:rsid w:val="00DF6BBD"/>
    <w:rsid w:val="00DF6E48"/>
    <w:rsid w:val="00DF6E6B"/>
    <w:rsid w:val="00DF70A9"/>
    <w:rsid w:val="00DF71C3"/>
    <w:rsid w:val="00DF71F5"/>
    <w:rsid w:val="00DF727D"/>
    <w:rsid w:val="00DF72DB"/>
    <w:rsid w:val="00DF7433"/>
    <w:rsid w:val="00DF7701"/>
    <w:rsid w:val="00DF7752"/>
    <w:rsid w:val="00DF7B38"/>
    <w:rsid w:val="00DF7E74"/>
    <w:rsid w:val="00DF7FFC"/>
    <w:rsid w:val="00E000CD"/>
    <w:rsid w:val="00E00264"/>
    <w:rsid w:val="00E00388"/>
    <w:rsid w:val="00E00392"/>
    <w:rsid w:val="00E0041E"/>
    <w:rsid w:val="00E004FB"/>
    <w:rsid w:val="00E0059F"/>
    <w:rsid w:val="00E0065D"/>
    <w:rsid w:val="00E0068D"/>
    <w:rsid w:val="00E006DC"/>
    <w:rsid w:val="00E0089D"/>
    <w:rsid w:val="00E00E20"/>
    <w:rsid w:val="00E010B0"/>
    <w:rsid w:val="00E010C3"/>
    <w:rsid w:val="00E01123"/>
    <w:rsid w:val="00E0117A"/>
    <w:rsid w:val="00E01463"/>
    <w:rsid w:val="00E014A2"/>
    <w:rsid w:val="00E0156F"/>
    <w:rsid w:val="00E01634"/>
    <w:rsid w:val="00E01CA1"/>
    <w:rsid w:val="00E01E77"/>
    <w:rsid w:val="00E01EF8"/>
    <w:rsid w:val="00E01F79"/>
    <w:rsid w:val="00E01F7D"/>
    <w:rsid w:val="00E0201F"/>
    <w:rsid w:val="00E02108"/>
    <w:rsid w:val="00E0227D"/>
    <w:rsid w:val="00E02439"/>
    <w:rsid w:val="00E0243A"/>
    <w:rsid w:val="00E02459"/>
    <w:rsid w:val="00E027D8"/>
    <w:rsid w:val="00E0284D"/>
    <w:rsid w:val="00E02BC0"/>
    <w:rsid w:val="00E03539"/>
    <w:rsid w:val="00E03543"/>
    <w:rsid w:val="00E038FA"/>
    <w:rsid w:val="00E03A8C"/>
    <w:rsid w:val="00E03ABF"/>
    <w:rsid w:val="00E03D45"/>
    <w:rsid w:val="00E0432B"/>
    <w:rsid w:val="00E044E2"/>
    <w:rsid w:val="00E04541"/>
    <w:rsid w:val="00E0454A"/>
    <w:rsid w:val="00E04608"/>
    <w:rsid w:val="00E04639"/>
    <w:rsid w:val="00E047AD"/>
    <w:rsid w:val="00E048BB"/>
    <w:rsid w:val="00E04B62"/>
    <w:rsid w:val="00E04C4A"/>
    <w:rsid w:val="00E04CC5"/>
    <w:rsid w:val="00E05219"/>
    <w:rsid w:val="00E05626"/>
    <w:rsid w:val="00E05681"/>
    <w:rsid w:val="00E05741"/>
    <w:rsid w:val="00E05985"/>
    <w:rsid w:val="00E05A52"/>
    <w:rsid w:val="00E05D1F"/>
    <w:rsid w:val="00E062A3"/>
    <w:rsid w:val="00E062E9"/>
    <w:rsid w:val="00E064E4"/>
    <w:rsid w:val="00E06696"/>
    <w:rsid w:val="00E0675A"/>
    <w:rsid w:val="00E06BE0"/>
    <w:rsid w:val="00E06CA1"/>
    <w:rsid w:val="00E06E11"/>
    <w:rsid w:val="00E06E8A"/>
    <w:rsid w:val="00E07063"/>
    <w:rsid w:val="00E074A4"/>
    <w:rsid w:val="00E07686"/>
    <w:rsid w:val="00E07728"/>
    <w:rsid w:val="00E079E0"/>
    <w:rsid w:val="00E07AEE"/>
    <w:rsid w:val="00E07C4C"/>
    <w:rsid w:val="00E1002D"/>
    <w:rsid w:val="00E10053"/>
    <w:rsid w:val="00E100C3"/>
    <w:rsid w:val="00E1027D"/>
    <w:rsid w:val="00E10455"/>
    <w:rsid w:val="00E10998"/>
    <w:rsid w:val="00E10AD4"/>
    <w:rsid w:val="00E10C62"/>
    <w:rsid w:val="00E1151E"/>
    <w:rsid w:val="00E11662"/>
    <w:rsid w:val="00E119BA"/>
    <w:rsid w:val="00E11A39"/>
    <w:rsid w:val="00E11A5D"/>
    <w:rsid w:val="00E11A60"/>
    <w:rsid w:val="00E11AC8"/>
    <w:rsid w:val="00E11C5C"/>
    <w:rsid w:val="00E11CA5"/>
    <w:rsid w:val="00E11FD5"/>
    <w:rsid w:val="00E12131"/>
    <w:rsid w:val="00E123B7"/>
    <w:rsid w:val="00E124DC"/>
    <w:rsid w:val="00E12525"/>
    <w:rsid w:val="00E128A0"/>
    <w:rsid w:val="00E12CC1"/>
    <w:rsid w:val="00E12CD3"/>
    <w:rsid w:val="00E12D7B"/>
    <w:rsid w:val="00E12EB4"/>
    <w:rsid w:val="00E12FAE"/>
    <w:rsid w:val="00E12FAF"/>
    <w:rsid w:val="00E13290"/>
    <w:rsid w:val="00E1365C"/>
    <w:rsid w:val="00E1385C"/>
    <w:rsid w:val="00E13B58"/>
    <w:rsid w:val="00E13FA3"/>
    <w:rsid w:val="00E14077"/>
    <w:rsid w:val="00E14155"/>
    <w:rsid w:val="00E142D4"/>
    <w:rsid w:val="00E1432B"/>
    <w:rsid w:val="00E14423"/>
    <w:rsid w:val="00E14475"/>
    <w:rsid w:val="00E14837"/>
    <w:rsid w:val="00E1485F"/>
    <w:rsid w:val="00E149F5"/>
    <w:rsid w:val="00E14A8B"/>
    <w:rsid w:val="00E14C6E"/>
    <w:rsid w:val="00E14F3E"/>
    <w:rsid w:val="00E14FB8"/>
    <w:rsid w:val="00E1541B"/>
    <w:rsid w:val="00E15476"/>
    <w:rsid w:val="00E158F1"/>
    <w:rsid w:val="00E1590A"/>
    <w:rsid w:val="00E15935"/>
    <w:rsid w:val="00E15ADF"/>
    <w:rsid w:val="00E15B39"/>
    <w:rsid w:val="00E15F23"/>
    <w:rsid w:val="00E15F34"/>
    <w:rsid w:val="00E15FE7"/>
    <w:rsid w:val="00E1600E"/>
    <w:rsid w:val="00E16043"/>
    <w:rsid w:val="00E162C7"/>
    <w:rsid w:val="00E166C0"/>
    <w:rsid w:val="00E16829"/>
    <w:rsid w:val="00E16BCD"/>
    <w:rsid w:val="00E171DD"/>
    <w:rsid w:val="00E17235"/>
    <w:rsid w:val="00E1725C"/>
    <w:rsid w:val="00E1730B"/>
    <w:rsid w:val="00E17523"/>
    <w:rsid w:val="00E17627"/>
    <w:rsid w:val="00E17A3C"/>
    <w:rsid w:val="00E17AF1"/>
    <w:rsid w:val="00E17F6E"/>
    <w:rsid w:val="00E202EB"/>
    <w:rsid w:val="00E20542"/>
    <w:rsid w:val="00E2074B"/>
    <w:rsid w:val="00E209B3"/>
    <w:rsid w:val="00E20A0D"/>
    <w:rsid w:val="00E20BC6"/>
    <w:rsid w:val="00E20C42"/>
    <w:rsid w:val="00E20D3F"/>
    <w:rsid w:val="00E20D76"/>
    <w:rsid w:val="00E212A4"/>
    <w:rsid w:val="00E213F7"/>
    <w:rsid w:val="00E215B8"/>
    <w:rsid w:val="00E215F6"/>
    <w:rsid w:val="00E2161D"/>
    <w:rsid w:val="00E21721"/>
    <w:rsid w:val="00E21951"/>
    <w:rsid w:val="00E219F0"/>
    <w:rsid w:val="00E21F48"/>
    <w:rsid w:val="00E21F6F"/>
    <w:rsid w:val="00E221CC"/>
    <w:rsid w:val="00E221D2"/>
    <w:rsid w:val="00E22384"/>
    <w:rsid w:val="00E2246A"/>
    <w:rsid w:val="00E22537"/>
    <w:rsid w:val="00E22579"/>
    <w:rsid w:val="00E22A33"/>
    <w:rsid w:val="00E22CCD"/>
    <w:rsid w:val="00E230FB"/>
    <w:rsid w:val="00E233CA"/>
    <w:rsid w:val="00E23662"/>
    <w:rsid w:val="00E23BCF"/>
    <w:rsid w:val="00E23F29"/>
    <w:rsid w:val="00E240E3"/>
    <w:rsid w:val="00E242E3"/>
    <w:rsid w:val="00E2454D"/>
    <w:rsid w:val="00E2463C"/>
    <w:rsid w:val="00E247E2"/>
    <w:rsid w:val="00E24AD6"/>
    <w:rsid w:val="00E24C44"/>
    <w:rsid w:val="00E24D74"/>
    <w:rsid w:val="00E24E8F"/>
    <w:rsid w:val="00E24EC5"/>
    <w:rsid w:val="00E25050"/>
    <w:rsid w:val="00E25236"/>
    <w:rsid w:val="00E25379"/>
    <w:rsid w:val="00E25541"/>
    <w:rsid w:val="00E255E9"/>
    <w:rsid w:val="00E255F2"/>
    <w:rsid w:val="00E25738"/>
    <w:rsid w:val="00E257A7"/>
    <w:rsid w:val="00E2595E"/>
    <w:rsid w:val="00E25BAE"/>
    <w:rsid w:val="00E25C5A"/>
    <w:rsid w:val="00E25E2B"/>
    <w:rsid w:val="00E261D4"/>
    <w:rsid w:val="00E26247"/>
    <w:rsid w:val="00E2647F"/>
    <w:rsid w:val="00E264D5"/>
    <w:rsid w:val="00E268F4"/>
    <w:rsid w:val="00E26C20"/>
    <w:rsid w:val="00E26C9D"/>
    <w:rsid w:val="00E26DF8"/>
    <w:rsid w:val="00E26DFE"/>
    <w:rsid w:val="00E26E4F"/>
    <w:rsid w:val="00E271A1"/>
    <w:rsid w:val="00E279D8"/>
    <w:rsid w:val="00E27BB4"/>
    <w:rsid w:val="00E27F14"/>
    <w:rsid w:val="00E27F68"/>
    <w:rsid w:val="00E301F4"/>
    <w:rsid w:val="00E303BE"/>
    <w:rsid w:val="00E3048A"/>
    <w:rsid w:val="00E305F3"/>
    <w:rsid w:val="00E3060A"/>
    <w:rsid w:val="00E3065F"/>
    <w:rsid w:val="00E306D6"/>
    <w:rsid w:val="00E30723"/>
    <w:rsid w:val="00E307A3"/>
    <w:rsid w:val="00E30844"/>
    <w:rsid w:val="00E30890"/>
    <w:rsid w:val="00E3093D"/>
    <w:rsid w:val="00E30AA7"/>
    <w:rsid w:val="00E30AF2"/>
    <w:rsid w:val="00E30C62"/>
    <w:rsid w:val="00E30DE3"/>
    <w:rsid w:val="00E31107"/>
    <w:rsid w:val="00E31304"/>
    <w:rsid w:val="00E314D3"/>
    <w:rsid w:val="00E3155A"/>
    <w:rsid w:val="00E31626"/>
    <w:rsid w:val="00E31786"/>
    <w:rsid w:val="00E317BE"/>
    <w:rsid w:val="00E319E3"/>
    <w:rsid w:val="00E31D8B"/>
    <w:rsid w:val="00E31E06"/>
    <w:rsid w:val="00E32085"/>
    <w:rsid w:val="00E32091"/>
    <w:rsid w:val="00E320C6"/>
    <w:rsid w:val="00E320CA"/>
    <w:rsid w:val="00E3235D"/>
    <w:rsid w:val="00E325C3"/>
    <w:rsid w:val="00E329E2"/>
    <w:rsid w:val="00E32A1E"/>
    <w:rsid w:val="00E32C17"/>
    <w:rsid w:val="00E32C45"/>
    <w:rsid w:val="00E32CB8"/>
    <w:rsid w:val="00E32EC3"/>
    <w:rsid w:val="00E32F34"/>
    <w:rsid w:val="00E333F5"/>
    <w:rsid w:val="00E336D6"/>
    <w:rsid w:val="00E338C9"/>
    <w:rsid w:val="00E33C46"/>
    <w:rsid w:val="00E33CA3"/>
    <w:rsid w:val="00E33D0C"/>
    <w:rsid w:val="00E33E43"/>
    <w:rsid w:val="00E33E8A"/>
    <w:rsid w:val="00E33F4F"/>
    <w:rsid w:val="00E340F7"/>
    <w:rsid w:val="00E34168"/>
    <w:rsid w:val="00E3443A"/>
    <w:rsid w:val="00E3449E"/>
    <w:rsid w:val="00E34681"/>
    <w:rsid w:val="00E346DC"/>
    <w:rsid w:val="00E3480E"/>
    <w:rsid w:val="00E34955"/>
    <w:rsid w:val="00E34CDC"/>
    <w:rsid w:val="00E34DA9"/>
    <w:rsid w:val="00E34DC2"/>
    <w:rsid w:val="00E34F77"/>
    <w:rsid w:val="00E351C4"/>
    <w:rsid w:val="00E351E8"/>
    <w:rsid w:val="00E352B5"/>
    <w:rsid w:val="00E355C9"/>
    <w:rsid w:val="00E359C9"/>
    <w:rsid w:val="00E36150"/>
    <w:rsid w:val="00E36498"/>
    <w:rsid w:val="00E364F9"/>
    <w:rsid w:val="00E36525"/>
    <w:rsid w:val="00E36584"/>
    <w:rsid w:val="00E369BD"/>
    <w:rsid w:val="00E36C63"/>
    <w:rsid w:val="00E36CBF"/>
    <w:rsid w:val="00E36E15"/>
    <w:rsid w:val="00E36F32"/>
    <w:rsid w:val="00E36F9E"/>
    <w:rsid w:val="00E370DD"/>
    <w:rsid w:val="00E371BE"/>
    <w:rsid w:val="00E3738F"/>
    <w:rsid w:val="00E373D2"/>
    <w:rsid w:val="00E37532"/>
    <w:rsid w:val="00E3761B"/>
    <w:rsid w:val="00E37743"/>
    <w:rsid w:val="00E37818"/>
    <w:rsid w:val="00E378EA"/>
    <w:rsid w:val="00E37B02"/>
    <w:rsid w:val="00E37BDC"/>
    <w:rsid w:val="00E37D9E"/>
    <w:rsid w:val="00E37F83"/>
    <w:rsid w:val="00E401F9"/>
    <w:rsid w:val="00E402A8"/>
    <w:rsid w:val="00E40327"/>
    <w:rsid w:val="00E4041F"/>
    <w:rsid w:val="00E40509"/>
    <w:rsid w:val="00E40E11"/>
    <w:rsid w:val="00E40EA2"/>
    <w:rsid w:val="00E40F48"/>
    <w:rsid w:val="00E40FA1"/>
    <w:rsid w:val="00E410C4"/>
    <w:rsid w:val="00E4115D"/>
    <w:rsid w:val="00E41299"/>
    <w:rsid w:val="00E412A0"/>
    <w:rsid w:val="00E41315"/>
    <w:rsid w:val="00E413BD"/>
    <w:rsid w:val="00E417F5"/>
    <w:rsid w:val="00E4183B"/>
    <w:rsid w:val="00E41898"/>
    <w:rsid w:val="00E419EF"/>
    <w:rsid w:val="00E41A4B"/>
    <w:rsid w:val="00E41ACE"/>
    <w:rsid w:val="00E41B41"/>
    <w:rsid w:val="00E41D7E"/>
    <w:rsid w:val="00E41EB7"/>
    <w:rsid w:val="00E41FEA"/>
    <w:rsid w:val="00E421D2"/>
    <w:rsid w:val="00E4243B"/>
    <w:rsid w:val="00E424BE"/>
    <w:rsid w:val="00E4296A"/>
    <w:rsid w:val="00E42B4F"/>
    <w:rsid w:val="00E42B86"/>
    <w:rsid w:val="00E42EB8"/>
    <w:rsid w:val="00E42F41"/>
    <w:rsid w:val="00E43163"/>
    <w:rsid w:val="00E431C0"/>
    <w:rsid w:val="00E433ED"/>
    <w:rsid w:val="00E4379A"/>
    <w:rsid w:val="00E437B2"/>
    <w:rsid w:val="00E43A8C"/>
    <w:rsid w:val="00E43E80"/>
    <w:rsid w:val="00E4409B"/>
    <w:rsid w:val="00E44168"/>
    <w:rsid w:val="00E44242"/>
    <w:rsid w:val="00E44346"/>
    <w:rsid w:val="00E443F5"/>
    <w:rsid w:val="00E44586"/>
    <w:rsid w:val="00E445D2"/>
    <w:rsid w:val="00E446B4"/>
    <w:rsid w:val="00E44AF1"/>
    <w:rsid w:val="00E44CB1"/>
    <w:rsid w:val="00E44D54"/>
    <w:rsid w:val="00E44DB0"/>
    <w:rsid w:val="00E45019"/>
    <w:rsid w:val="00E45148"/>
    <w:rsid w:val="00E4531D"/>
    <w:rsid w:val="00E45363"/>
    <w:rsid w:val="00E45938"/>
    <w:rsid w:val="00E45E3D"/>
    <w:rsid w:val="00E45F73"/>
    <w:rsid w:val="00E45FB1"/>
    <w:rsid w:val="00E46184"/>
    <w:rsid w:val="00E46456"/>
    <w:rsid w:val="00E464BF"/>
    <w:rsid w:val="00E466A4"/>
    <w:rsid w:val="00E4688A"/>
    <w:rsid w:val="00E4699C"/>
    <w:rsid w:val="00E46B2F"/>
    <w:rsid w:val="00E46D64"/>
    <w:rsid w:val="00E46E9F"/>
    <w:rsid w:val="00E46F5C"/>
    <w:rsid w:val="00E476C5"/>
    <w:rsid w:val="00E4786C"/>
    <w:rsid w:val="00E478A6"/>
    <w:rsid w:val="00E47A66"/>
    <w:rsid w:val="00E47A8F"/>
    <w:rsid w:val="00E47B8B"/>
    <w:rsid w:val="00E5006A"/>
    <w:rsid w:val="00E5019D"/>
    <w:rsid w:val="00E50345"/>
    <w:rsid w:val="00E505C1"/>
    <w:rsid w:val="00E50D20"/>
    <w:rsid w:val="00E50E18"/>
    <w:rsid w:val="00E50E5C"/>
    <w:rsid w:val="00E5116B"/>
    <w:rsid w:val="00E513A9"/>
    <w:rsid w:val="00E514A4"/>
    <w:rsid w:val="00E51822"/>
    <w:rsid w:val="00E51AEB"/>
    <w:rsid w:val="00E51BE4"/>
    <w:rsid w:val="00E51F92"/>
    <w:rsid w:val="00E52124"/>
    <w:rsid w:val="00E522B3"/>
    <w:rsid w:val="00E523B2"/>
    <w:rsid w:val="00E52474"/>
    <w:rsid w:val="00E52A91"/>
    <w:rsid w:val="00E52D6D"/>
    <w:rsid w:val="00E52EBC"/>
    <w:rsid w:val="00E52F99"/>
    <w:rsid w:val="00E53223"/>
    <w:rsid w:val="00E53386"/>
    <w:rsid w:val="00E534A4"/>
    <w:rsid w:val="00E534FA"/>
    <w:rsid w:val="00E5350F"/>
    <w:rsid w:val="00E5375C"/>
    <w:rsid w:val="00E53875"/>
    <w:rsid w:val="00E539FD"/>
    <w:rsid w:val="00E53A17"/>
    <w:rsid w:val="00E53D3A"/>
    <w:rsid w:val="00E53E60"/>
    <w:rsid w:val="00E53EDD"/>
    <w:rsid w:val="00E544D8"/>
    <w:rsid w:val="00E5451F"/>
    <w:rsid w:val="00E54555"/>
    <w:rsid w:val="00E548CA"/>
    <w:rsid w:val="00E5492C"/>
    <w:rsid w:val="00E54B9B"/>
    <w:rsid w:val="00E54BB1"/>
    <w:rsid w:val="00E54BBD"/>
    <w:rsid w:val="00E551CF"/>
    <w:rsid w:val="00E5540C"/>
    <w:rsid w:val="00E55562"/>
    <w:rsid w:val="00E55620"/>
    <w:rsid w:val="00E556CA"/>
    <w:rsid w:val="00E55721"/>
    <w:rsid w:val="00E55A2D"/>
    <w:rsid w:val="00E55B01"/>
    <w:rsid w:val="00E55CF5"/>
    <w:rsid w:val="00E5611C"/>
    <w:rsid w:val="00E561BA"/>
    <w:rsid w:val="00E564E1"/>
    <w:rsid w:val="00E5670E"/>
    <w:rsid w:val="00E567B3"/>
    <w:rsid w:val="00E56B55"/>
    <w:rsid w:val="00E56D75"/>
    <w:rsid w:val="00E570C8"/>
    <w:rsid w:val="00E57161"/>
    <w:rsid w:val="00E57383"/>
    <w:rsid w:val="00E576B0"/>
    <w:rsid w:val="00E57715"/>
    <w:rsid w:val="00E57738"/>
    <w:rsid w:val="00E57B06"/>
    <w:rsid w:val="00E57CED"/>
    <w:rsid w:val="00E57D47"/>
    <w:rsid w:val="00E57EDC"/>
    <w:rsid w:val="00E57F62"/>
    <w:rsid w:val="00E60029"/>
    <w:rsid w:val="00E60065"/>
    <w:rsid w:val="00E6008B"/>
    <w:rsid w:val="00E600F9"/>
    <w:rsid w:val="00E60205"/>
    <w:rsid w:val="00E60599"/>
    <w:rsid w:val="00E608D0"/>
    <w:rsid w:val="00E60BBC"/>
    <w:rsid w:val="00E61193"/>
    <w:rsid w:val="00E6136B"/>
    <w:rsid w:val="00E61435"/>
    <w:rsid w:val="00E61452"/>
    <w:rsid w:val="00E614CE"/>
    <w:rsid w:val="00E61571"/>
    <w:rsid w:val="00E619FB"/>
    <w:rsid w:val="00E620B5"/>
    <w:rsid w:val="00E6215B"/>
    <w:rsid w:val="00E621AE"/>
    <w:rsid w:val="00E621B8"/>
    <w:rsid w:val="00E62208"/>
    <w:rsid w:val="00E626FD"/>
    <w:rsid w:val="00E62710"/>
    <w:rsid w:val="00E62B3B"/>
    <w:rsid w:val="00E62CE6"/>
    <w:rsid w:val="00E62D8D"/>
    <w:rsid w:val="00E62F63"/>
    <w:rsid w:val="00E63025"/>
    <w:rsid w:val="00E630CC"/>
    <w:rsid w:val="00E63300"/>
    <w:rsid w:val="00E6352F"/>
    <w:rsid w:val="00E635A7"/>
    <w:rsid w:val="00E635D1"/>
    <w:rsid w:val="00E63690"/>
    <w:rsid w:val="00E6381C"/>
    <w:rsid w:val="00E63A18"/>
    <w:rsid w:val="00E63C01"/>
    <w:rsid w:val="00E63C25"/>
    <w:rsid w:val="00E63CE3"/>
    <w:rsid w:val="00E63EE4"/>
    <w:rsid w:val="00E64065"/>
    <w:rsid w:val="00E640F3"/>
    <w:rsid w:val="00E642EF"/>
    <w:rsid w:val="00E6440D"/>
    <w:rsid w:val="00E64844"/>
    <w:rsid w:val="00E6489B"/>
    <w:rsid w:val="00E648A3"/>
    <w:rsid w:val="00E64AF2"/>
    <w:rsid w:val="00E64B6B"/>
    <w:rsid w:val="00E64C57"/>
    <w:rsid w:val="00E64DE3"/>
    <w:rsid w:val="00E64E07"/>
    <w:rsid w:val="00E65047"/>
    <w:rsid w:val="00E652D7"/>
    <w:rsid w:val="00E655B9"/>
    <w:rsid w:val="00E656AF"/>
    <w:rsid w:val="00E656F8"/>
    <w:rsid w:val="00E65A3B"/>
    <w:rsid w:val="00E664D6"/>
    <w:rsid w:val="00E665DA"/>
    <w:rsid w:val="00E66658"/>
    <w:rsid w:val="00E667EA"/>
    <w:rsid w:val="00E668B1"/>
    <w:rsid w:val="00E669FB"/>
    <w:rsid w:val="00E66A30"/>
    <w:rsid w:val="00E66BBD"/>
    <w:rsid w:val="00E66ECD"/>
    <w:rsid w:val="00E66F16"/>
    <w:rsid w:val="00E6707E"/>
    <w:rsid w:val="00E67193"/>
    <w:rsid w:val="00E67264"/>
    <w:rsid w:val="00E6746D"/>
    <w:rsid w:val="00E6746E"/>
    <w:rsid w:val="00E674D7"/>
    <w:rsid w:val="00E674F2"/>
    <w:rsid w:val="00E67573"/>
    <w:rsid w:val="00E675C5"/>
    <w:rsid w:val="00E67604"/>
    <w:rsid w:val="00E67A42"/>
    <w:rsid w:val="00E67B54"/>
    <w:rsid w:val="00E67B8D"/>
    <w:rsid w:val="00E67C24"/>
    <w:rsid w:val="00E67C4A"/>
    <w:rsid w:val="00E67EE4"/>
    <w:rsid w:val="00E70046"/>
    <w:rsid w:val="00E70077"/>
    <w:rsid w:val="00E70209"/>
    <w:rsid w:val="00E70275"/>
    <w:rsid w:val="00E70744"/>
    <w:rsid w:val="00E708B3"/>
    <w:rsid w:val="00E70B48"/>
    <w:rsid w:val="00E70B85"/>
    <w:rsid w:val="00E70D44"/>
    <w:rsid w:val="00E70FF0"/>
    <w:rsid w:val="00E710E7"/>
    <w:rsid w:val="00E713DF"/>
    <w:rsid w:val="00E71547"/>
    <w:rsid w:val="00E71686"/>
    <w:rsid w:val="00E71724"/>
    <w:rsid w:val="00E71880"/>
    <w:rsid w:val="00E71996"/>
    <w:rsid w:val="00E71B15"/>
    <w:rsid w:val="00E71BF6"/>
    <w:rsid w:val="00E71C86"/>
    <w:rsid w:val="00E71DF0"/>
    <w:rsid w:val="00E71F67"/>
    <w:rsid w:val="00E71FC8"/>
    <w:rsid w:val="00E722C9"/>
    <w:rsid w:val="00E723CD"/>
    <w:rsid w:val="00E724AE"/>
    <w:rsid w:val="00E72625"/>
    <w:rsid w:val="00E726F6"/>
    <w:rsid w:val="00E729B3"/>
    <w:rsid w:val="00E72B1C"/>
    <w:rsid w:val="00E72B92"/>
    <w:rsid w:val="00E72DF6"/>
    <w:rsid w:val="00E731F3"/>
    <w:rsid w:val="00E73344"/>
    <w:rsid w:val="00E735AE"/>
    <w:rsid w:val="00E739A2"/>
    <w:rsid w:val="00E73A32"/>
    <w:rsid w:val="00E73C47"/>
    <w:rsid w:val="00E73F38"/>
    <w:rsid w:val="00E74044"/>
    <w:rsid w:val="00E745E2"/>
    <w:rsid w:val="00E747DB"/>
    <w:rsid w:val="00E74A3A"/>
    <w:rsid w:val="00E74A94"/>
    <w:rsid w:val="00E74E33"/>
    <w:rsid w:val="00E75092"/>
    <w:rsid w:val="00E750C6"/>
    <w:rsid w:val="00E754CD"/>
    <w:rsid w:val="00E75799"/>
    <w:rsid w:val="00E757D1"/>
    <w:rsid w:val="00E759B9"/>
    <w:rsid w:val="00E75ADB"/>
    <w:rsid w:val="00E75D2F"/>
    <w:rsid w:val="00E75EEC"/>
    <w:rsid w:val="00E75F4E"/>
    <w:rsid w:val="00E7601A"/>
    <w:rsid w:val="00E76284"/>
    <w:rsid w:val="00E7628C"/>
    <w:rsid w:val="00E76547"/>
    <w:rsid w:val="00E768EB"/>
    <w:rsid w:val="00E76C27"/>
    <w:rsid w:val="00E76CB3"/>
    <w:rsid w:val="00E76E84"/>
    <w:rsid w:val="00E76F03"/>
    <w:rsid w:val="00E77231"/>
    <w:rsid w:val="00E7770E"/>
    <w:rsid w:val="00E779A9"/>
    <w:rsid w:val="00E77A8E"/>
    <w:rsid w:val="00E77B13"/>
    <w:rsid w:val="00E77BF6"/>
    <w:rsid w:val="00E77DAC"/>
    <w:rsid w:val="00E77EC7"/>
    <w:rsid w:val="00E80028"/>
    <w:rsid w:val="00E80169"/>
    <w:rsid w:val="00E80270"/>
    <w:rsid w:val="00E80331"/>
    <w:rsid w:val="00E80459"/>
    <w:rsid w:val="00E80512"/>
    <w:rsid w:val="00E805E2"/>
    <w:rsid w:val="00E806A9"/>
    <w:rsid w:val="00E80853"/>
    <w:rsid w:val="00E80996"/>
    <w:rsid w:val="00E809EF"/>
    <w:rsid w:val="00E80B82"/>
    <w:rsid w:val="00E80B89"/>
    <w:rsid w:val="00E811A6"/>
    <w:rsid w:val="00E812A2"/>
    <w:rsid w:val="00E812A5"/>
    <w:rsid w:val="00E8141E"/>
    <w:rsid w:val="00E817F6"/>
    <w:rsid w:val="00E81818"/>
    <w:rsid w:val="00E8187F"/>
    <w:rsid w:val="00E81967"/>
    <w:rsid w:val="00E81BAF"/>
    <w:rsid w:val="00E81D64"/>
    <w:rsid w:val="00E81E16"/>
    <w:rsid w:val="00E81FCE"/>
    <w:rsid w:val="00E820BE"/>
    <w:rsid w:val="00E8260B"/>
    <w:rsid w:val="00E82644"/>
    <w:rsid w:val="00E82AAE"/>
    <w:rsid w:val="00E82AE3"/>
    <w:rsid w:val="00E82B7B"/>
    <w:rsid w:val="00E82C48"/>
    <w:rsid w:val="00E82DEA"/>
    <w:rsid w:val="00E82F9D"/>
    <w:rsid w:val="00E83056"/>
    <w:rsid w:val="00E830B9"/>
    <w:rsid w:val="00E830DD"/>
    <w:rsid w:val="00E833A1"/>
    <w:rsid w:val="00E833FF"/>
    <w:rsid w:val="00E83406"/>
    <w:rsid w:val="00E837A5"/>
    <w:rsid w:val="00E8380A"/>
    <w:rsid w:val="00E83853"/>
    <w:rsid w:val="00E839C6"/>
    <w:rsid w:val="00E83D2C"/>
    <w:rsid w:val="00E83F2A"/>
    <w:rsid w:val="00E840CE"/>
    <w:rsid w:val="00E8443B"/>
    <w:rsid w:val="00E84AAA"/>
    <w:rsid w:val="00E84C71"/>
    <w:rsid w:val="00E84F7B"/>
    <w:rsid w:val="00E85090"/>
    <w:rsid w:val="00E85344"/>
    <w:rsid w:val="00E854B1"/>
    <w:rsid w:val="00E856AD"/>
    <w:rsid w:val="00E857AB"/>
    <w:rsid w:val="00E858AD"/>
    <w:rsid w:val="00E85A44"/>
    <w:rsid w:val="00E85B38"/>
    <w:rsid w:val="00E85B77"/>
    <w:rsid w:val="00E85BDB"/>
    <w:rsid w:val="00E85C1E"/>
    <w:rsid w:val="00E85CFA"/>
    <w:rsid w:val="00E85DB3"/>
    <w:rsid w:val="00E8609C"/>
    <w:rsid w:val="00E861C9"/>
    <w:rsid w:val="00E8624A"/>
    <w:rsid w:val="00E862A0"/>
    <w:rsid w:val="00E862F8"/>
    <w:rsid w:val="00E869B2"/>
    <w:rsid w:val="00E86AAA"/>
    <w:rsid w:val="00E86C64"/>
    <w:rsid w:val="00E86CC9"/>
    <w:rsid w:val="00E86E5D"/>
    <w:rsid w:val="00E86F38"/>
    <w:rsid w:val="00E8702C"/>
    <w:rsid w:val="00E87187"/>
    <w:rsid w:val="00E8734A"/>
    <w:rsid w:val="00E877C6"/>
    <w:rsid w:val="00E87814"/>
    <w:rsid w:val="00E87940"/>
    <w:rsid w:val="00E87B1E"/>
    <w:rsid w:val="00E87BC5"/>
    <w:rsid w:val="00E87EBD"/>
    <w:rsid w:val="00E902A6"/>
    <w:rsid w:val="00E90393"/>
    <w:rsid w:val="00E90B09"/>
    <w:rsid w:val="00E90C54"/>
    <w:rsid w:val="00E90F3F"/>
    <w:rsid w:val="00E913EA"/>
    <w:rsid w:val="00E913F1"/>
    <w:rsid w:val="00E91478"/>
    <w:rsid w:val="00E916BD"/>
    <w:rsid w:val="00E9179C"/>
    <w:rsid w:val="00E91CFF"/>
    <w:rsid w:val="00E91E95"/>
    <w:rsid w:val="00E91FC2"/>
    <w:rsid w:val="00E9206C"/>
    <w:rsid w:val="00E92444"/>
    <w:rsid w:val="00E924F9"/>
    <w:rsid w:val="00E926F3"/>
    <w:rsid w:val="00E92768"/>
    <w:rsid w:val="00E928A8"/>
    <w:rsid w:val="00E928F0"/>
    <w:rsid w:val="00E92B1E"/>
    <w:rsid w:val="00E92C36"/>
    <w:rsid w:val="00E9306F"/>
    <w:rsid w:val="00E930A1"/>
    <w:rsid w:val="00E93264"/>
    <w:rsid w:val="00E9327B"/>
    <w:rsid w:val="00E933DC"/>
    <w:rsid w:val="00E93548"/>
    <w:rsid w:val="00E93550"/>
    <w:rsid w:val="00E93A29"/>
    <w:rsid w:val="00E93C6F"/>
    <w:rsid w:val="00E93D67"/>
    <w:rsid w:val="00E94165"/>
    <w:rsid w:val="00E94179"/>
    <w:rsid w:val="00E943BC"/>
    <w:rsid w:val="00E9441B"/>
    <w:rsid w:val="00E948D9"/>
    <w:rsid w:val="00E949F5"/>
    <w:rsid w:val="00E94A4D"/>
    <w:rsid w:val="00E94A7D"/>
    <w:rsid w:val="00E94ABD"/>
    <w:rsid w:val="00E94ACB"/>
    <w:rsid w:val="00E94C67"/>
    <w:rsid w:val="00E94DFD"/>
    <w:rsid w:val="00E94E81"/>
    <w:rsid w:val="00E94FCF"/>
    <w:rsid w:val="00E94FD6"/>
    <w:rsid w:val="00E95069"/>
    <w:rsid w:val="00E952B9"/>
    <w:rsid w:val="00E9538A"/>
    <w:rsid w:val="00E95449"/>
    <w:rsid w:val="00E95728"/>
    <w:rsid w:val="00E95B13"/>
    <w:rsid w:val="00E95B4D"/>
    <w:rsid w:val="00E95B5E"/>
    <w:rsid w:val="00E95B5F"/>
    <w:rsid w:val="00E95BE8"/>
    <w:rsid w:val="00E95C18"/>
    <w:rsid w:val="00E95CEF"/>
    <w:rsid w:val="00E95D2A"/>
    <w:rsid w:val="00E95F68"/>
    <w:rsid w:val="00E96097"/>
    <w:rsid w:val="00E960D8"/>
    <w:rsid w:val="00E96225"/>
    <w:rsid w:val="00E9627F"/>
    <w:rsid w:val="00E965EF"/>
    <w:rsid w:val="00E965FE"/>
    <w:rsid w:val="00E966FE"/>
    <w:rsid w:val="00E96762"/>
    <w:rsid w:val="00E9680D"/>
    <w:rsid w:val="00E96AD9"/>
    <w:rsid w:val="00E96ED3"/>
    <w:rsid w:val="00E970A8"/>
    <w:rsid w:val="00E9711A"/>
    <w:rsid w:val="00E9719D"/>
    <w:rsid w:val="00E97265"/>
    <w:rsid w:val="00E975BC"/>
    <w:rsid w:val="00E9798E"/>
    <w:rsid w:val="00E97D48"/>
    <w:rsid w:val="00E97E38"/>
    <w:rsid w:val="00EA0336"/>
    <w:rsid w:val="00EA0545"/>
    <w:rsid w:val="00EA061B"/>
    <w:rsid w:val="00EA06A8"/>
    <w:rsid w:val="00EA079D"/>
    <w:rsid w:val="00EA07FD"/>
    <w:rsid w:val="00EA082F"/>
    <w:rsid w:val="00EA088D"/>
    <w:rsid w:val="00EA0A1C"/>
    <w:rsid w:val="00EA0C5C"/>
    <w:rsid w:val="00EA0CB9"/>
    <w:rsid w:val="00EA0ECA"/>
    <w:rsid w:val="00EA0F4A"/>
    <w:rsid w:val="00EA11F1"/>
    <w:rsid w:val="00EA123D"/>
    <w:rsid w:val="00EA1391"/>
    <w:rsid w:val="00EA1830"/>
    <w:rsid w:val="00EA1855"/>
    <w:rsid w:val="00EA1896"/>
    <w:rsid w:val="00EA18F6"/>
    <w:rsid w:val="00EA1A0E"/>
    <w:rsid w:val="00EA1B8E"/>
    <w:rsid w:val="00EA1E92"/>
    <w:rsid w:val="00EA1F17"/>
    <w:rsid w:val="00EA2036"/>
    <w:rsid w:val="00EA219F"/>
    <w:rsid w:val="00EA236C"/>
    <w:rsid w:val="00EA2380"/>
    <w:rsid w:val="00EA280C"/>
    <w:rsid w:val="00EA29DA"/>
    <w:rsid w:val="00EA2E00"/>
    <w:rsid w:val="00EA32D1"/>
    <w:rsid w:val="00EA334A"/>
    <w:rsid w:val="00EA336E"/>
    <w:rsid w:val="00EA3387"/>
    <w:rsid w:val="00EA3466"/>
    <w:rsid w:val="00EA3B0C"/>
    <w:rsid w:val="00EA3BB0"/>
    <w:rsid w:val="00EA3CFF"/>
    <w:rsid w:val="00EA3DF2"/>
    <w:rsid w:val="00EA3FFC"/>
    <w:rsid w:val="00EA44E4"/>
    <w:rsid w:val="00EA458C"/>
    <w:rsid w:val="00EA4793"/>
    <w:rsid w:val="00EA4915"/>
    <w:rsid w:val="00EA4A53"/>
    <w:rsid w:val="00EA4BBE"/>
    <w:rsid w:val="00EA4D84"/>
    <w:rsid w:val="00EA4DE9"/>
    <w:rsid w:val="00EA4E04"/>
    <w:rsid w:val="00EA4E41"/>
    <w:rsid w:val="00EA4F64"/>
    <w:rsid w:val="00EA4F9F"/>
    <w:rsid w:val="00EA4FBA"/>
    <w:rsid w:val="00EA50DB"/>
    <w:rsid w:val="00EA51B3"/>
    <w:rsid w:val="00EA54B1"/>
    <w:rsid w:val="00EA57BF"/>
    <w:rsid w:val="00EA5849"/>
    <w:rsid w:val="00EA585F"/>
    <w:rsid w:val="00EA5972"/>
    <w:rsid w:val="00EA5BC2"/>
    <w:rsid w:val="00EA5EF8"/>
    <w:rsid w:val="00EA60AD"/>
    <w:rsid w:val="00EA63FC"/>
    <w:rsid w:val="00EA64DA"/>
    <w:rsid w:val="00EA6612"/>
    <w:rsid w:val="00EA6735"/>
    <w:rsid w:val="00EA6BA4"/>
    <w:rsid w:val="00EA6C98"/>
    <w:rsid w:val="00EA6E2D"/>
    <w:rsid w:val="00EA6FC1"/>
    <w:rsid w:val="00EA7420"/>
    <w:rsid w:val="00EA7476"/>
    <w:rsid w:val="00EA752F"/>
    <w:rsid w:val="00EA7547"/>
    <w:rsid w:val="00EA7617"/>
    <w:rsid w:val="00EA7847"/>
    <w:rsid w:val="00EA788C"/>
    <w:rsid w:val="00EA7AD1"/>
    <w:rsid w:val="00EA7BFE"/>
    <w:rsid w:val="00EA7D68"/>
    <w:rsid w:val="00EA7DA1"/>
    <w:rsid w:val="00EB0505"/>
    <w:rsid w:val="00EB0522"/>
    <w:rsid w:val="00EB05EC"/>
    <w:rsid w:val="00EB06D3"/>
    <w:rsid w:val="00EB09EB"/>
    <w:rsid w:val="00EB0A50"/>
    <w:rsid w:val="00EB0AD7"/>
    <w:rsid w:val="00EB0CB3"/>
    <w:rsid w:val="00EB0E60"/>
    <w:rsid w:val="00EB0FCB"/>
    <w:rsid w:val="00EB10D9"/>
    <w:rsid w:val="00EB1103"/>
    <w:rsid w:val="00EB150F"/>
    <w:rsid w:val="00EB1880"/>
    <w:rsid w:val="00EB19F8"/>
    <w:rsid w:val="00EB1C73"/>
    <w:rsid w:val="00EB1E42"/>
    <w:rsid w:val="00EB1FDD"/>
    <w:rsid w:val="00EB206E"/>
    <w:rsid w:val="00EB20FB"/>
    <w:rsid w:val="00EB229D"/>
    <w:rsid w:val="00EB23E8"/>
    <w:rsid w:val="00EB23FD"/>
    <w:rsid w:val="00EB2417"/>
    <w:rsid w:val="00EB24B8"/>
    <w:rsid w:val="00EB25F3"/>
    <w:rsid w:val="00EB274C"/>
    <w:rsid w:val="00EB29AC"/>
    <w:rsid w:val="00EB2A9D"/>
    <w:rsid w:val="00EB2D0D"/>
    <w:rsid w:val="00EB2D43"/>
    <w:rsid w:val="00EB2D97"/>
    <w:rsid w:val="00EB2E15"/>
    <w:rsid w:val="00EB3127"/>
    <w:rsid w:val="00EB368B"/>
    <w:rsid w:val="00EB3832"/>
    <w:rsid w:val="00EB3919"/>
    <w:rsid w:val="00EB3A47"/>
    <w:rsid w:val="00EB3AEA"/>
    <w:rsid w:val="00EB3D64"/>
    <w:rsid w:val="00EB3D99"/>
    <w:rsid w:val="00EB3F57"/>
    <w:rsid w:val="00EB410B"/>
    <w:rsid w:val="00EB4174"/>
    <w:rsid w:val="00EB419E"/>
    <w:rsid w:val="00EB41C3"/>
    <w:rsid w:val="00EB41FC"/>
    <w:rsid w:val="00EB42AF"/>
    <w:rsid w:val="00EB438E"/>
    <w:rsid w:val="00EB458B"/>
    <w:rsid w:val="00EB46DE"/>
    <w:rsid w:val="00EB485A"/>
    <w:rsid w:val="00EB4ACF"/>
    <w:rsid w:val="00EB4C0D"/>
    <w:rsid w:val="00EB4D60"/>
    <w:rsid w:val="00EB4DE5"/>
    <w:rsid w:val="00EB4E0F"/>
    <w:rsid w:val="00EB5313"/>
    <w:rsid w:val="00EB5505"/>
    <w:rsid w:val="00EB5540"/>
    <w:rsid w:val="00EB56E1"/>
    <w:rsid w:val="00EB5825"/>
    <w:rsid w:val="00EB587B"/>
    <w:rsid w:val="00EB58DE"/>
    <w:rsid w:val="00EB596E"/>
    <w:rsid w:val="00EB5999"/>
    <w:rsid w:val="00EB5A90"/>
    <w:rsid w:val="00EB5BE3"/>
    <w:rsid w:val="00EB5CF5"/>
    <w:rsid w:val="00EB6077"/>
    <w:rsid w:val="00EB6197"/>
    <w:rsid w:val="00EB61A6"/>
    <w:rsid w:val="00EB61C2"/>
    <w:rsid w:val="00EB623A"/>
    <w:rsid w:val="00EB62BE"/>
    <w:rsid w:val="00EB644F"/>
    <w:rsid w:val="00EB6915"/>
    <w:rsid w:val="00EB6B0C"/>
    <w:rsid w:val="00EB6B92"/>
    <w:rsid w:val="00EB6C24"/>
    <w:rsid w:val="00EB6D38"/>
    <w:rsid w:val="00EB6D5E"/>
    <w:rsid w:val="00EB6EB4"/>
    <w:rsid w:val="00EB6EC3"/>
    <w:rsid w:val="00EB6EF1"/>
    <w:rsid w:val="00EB70D0"/>
    <w:rsid w:val="00EB70E6"/>
    <w:rsid w:val="00EB71C5"/>
    <w:rsid w:val="00EB7359"/>
    <w:rsid w:val="00EB75E3"/>
    <w:rsid w:val="00EB763D"/>
    <w:rsid w:val="00EB7682"/>
    <w:rsid w:val="00EB76FF"/>
    <w:rsid w:val="00EB7BDC"/>
    <w:rsid w:val="00EB7C1E"/>
    <w:rsid w:val="00EB7CB8"/>
    <w:rsid w:val="00EB7DE5"/>
    <w:rsid w:val="00EB7DE6"/>
    <w:rsid w:val="00EB7F0E"/>
    <w:rsid w:val="00EC0001"/>
    <w:rsid w:val="00EC0142"/>
    <w:rsid w:val="00EC01B3"/>
    <w:rsid w:val="00EC098C"/>
    <w:rsid w:val="00EC0AE8"/>
    <w:rsid w:val="00EC0BA2"/>
    <w:rsid w:val="00EC0C7B"/>
    <w:rsid w:val="00EC0D84"/>
    <w:rsid w:val="00EC0F29"/>
    <w:rsid w:val="00EC10E2"/>
    <w:rsid w:val="00EC126A"/>
    <w:rsid w:val="00EC1328"/>
    <w:rsid w:val="00EC1440"/>
    <w:rsid w:val="00EC180C"/>
    <w:rsid w:val="00EC1866"/>
    <w:rsid w:val="00EC1CAD"/>
    <w:rsid w:val="00EC1EC9"/>
    <w:rsid w:val="00EC2190"/>
    <w:rsid w:val="00EC21F2"/>
    <w:rsid w:val="00EC22D6"/>
    <w:rsid w:val="00EC22F6"/>
    <w:rsid w:val="00EC2329"/>
    <w:rsid w:val="00EC2531"/>
    <w:rsid w:val="00EC26C4"/>
    <w:rsid w:val="00EC2AC3"/>
    <w:rsid w:val="00EC2E59"/>
    <w:rsid w:val="00EC3072"/>
    <w:rsid w:val="00EC3154"/>
    <w:rsid w:val="00EC32B4"/>
    <w:rsid w:val="00EC366E"/>
    <w:rsid w:val="00EC3755"/>
    <w:rsid w:val="00EC37FF"/>
    <w:rsid w:val="00EC3953"/>
    <w:rsid w:val="00EC3BB2"/>
    <w:rsid w:val="00EC3DA8"/>
    <w:rsid w:val="00EC3DAD"/>
    <w:rsid w:val="00EC3F1B"/>
    <w:rsid w:val="00EC3F25"/>
    <w:rsid w:val="00EC3FA4"/>
    <w:rsid w:val="00EC3FD4"/>
    <w:rsid w:val="00EC41A8"/>
    <w:rsid w:val="00EC43EB"/>
    <w:rsid w:val="00EC444A"/>
    <w:rsid w:val="00EC47BD"/>
    <w:rsid w:val="00EC47DD"/>
    <w:rsid w:val="00EC4A83"/>
    <w:rsid w:val="00EC4B2E"/>
    <w:rsid w:val="00EC4D0F"/>
    <w:rsid w:val="00EC4E04"/>
    <w:rsid w:val="00EC4F30"/>
    <w:rsid w:val="00EC5042"/>
    <w:rsid w:val="00EC52CE"/>
    <w:rsid w:val="00EC530F"/>
    <w:rsid w:val="00EC5AB6"/>
    <w:rsid w:val="00EC5B80"/>
    <w:rsid w:val="00EC5D8A"/>
    <w:rsid w:val="00EC5DEA"/>
    <w:rsid w:val="00EC5E5B"/>
    <w:rsid w:val="00EC605B"/>
    <w:rsid w:val="00EC6309"/>
    <w:rsid w:val="00EC637D"/>
    <w:rsid w:val="00EC6616"/>
    <w:rsid w:val="00EC66D7"/>
    <w:rsid w:val="00EC67B5"/>
    <w:rsid w:val="00EC6909"/>
    <w:rsid w:val="00EC691C"/>
    <w:rsid w:val="00EC692B"/>
    <w:rsid w:val="00EC69C6"/>
    <w:rsid w:val="00EC6ADD"/>
    <w:rsid w:val="00EC6AF8"/>
    <w:rsid w:val="00EC6BEC"/>
    <w:rsid w:val="00EC6C39"/>
    <w:rsid w:val="00EC6C70"/>
    <w:rsid w:val="00EC6D6A"/>
    <w:rsid w:val="00EC7111"/>
    <w:rsid w:val="00EC727A"/>
    <w:rsid w:val="00EC7495"/>
    <w:rsid w:val="00EC7505"/>
    <w:rsid w:val="00EC7720"/>
    <w:rsid w:val="00EC7786"/>
    <w:rsid w:val="00EC79BA"/>
    <w:rsid w:val="00EC7BFB"/>
    <w:rsid w:val="00EC7E48"/>
    <w:rsid w:val="00EC7E71"/>
    <w:rsid w:val="00EC7FE6"/>
    <w:rsid w:val="00ED038B"/>
    <w:rsid w:val="00ED06BB"/>
    <w:rsid w:val="00ED06E1"/>
    <w:rsid w:val="00ED090C"/>
    <w:rsid w:val="00ED09FE"/>
    <w:rsid w:val="00ED0B16"/>
    <w:rsid w:val="00ED0EA9"/>
    <w:rsid w:val="00ED10F0"/>
    <w:rsid w:val="00ED160E"/>
    <w:rsid w:val="00ED191B"/>
    <w:rsid w:val="00ED19D8"/>
    <w:rsid w:val="00ED1A48"/>
    <w:rsid w:val="00ED1A54"/>
    <w:rsid w:val="00ED1B57"/>
    <w:rsid w:val="00ED1C15"/>
    <w:rsid w:val="00ED213D"/>
    <w:rsid w:val="00ED220B"/>
    <w:rsid w:val="00ED249B"/>
    <w:rsid w:val="00ED24AB"/>
    <w:rsid w:val="00ED251E"/>
    <w:rsid w:val="00ED29E7"/>
    <w:rsid w:val="00ED2A9C"/>
    <w:rsid w:val="00ED2E45"/>
    <w:rsid w:val="00ED3193"/>
    <w:rsid w:val="00ED333E"/>
    <w:rsid w:val="00ED355D"/>
    <w:rsid w:val="00ED37FC"/>
    <w:rsid w:val="00ED3837"/>
    <w:rsid w:val="00ED3FD2"/>
    <w:rsid w:val="00ED4027"/>
    <w:rsid w:val="00ED4192"/>
    <w:rsid w:val="00ED4239"/>
    <w:rsid w:val="00ED42FC"/>
    <w:rsid w:val="00ED45D6"/>
    <w:rsid w:val="00ED45FA"/>
    <w:rsid w:val="00ED4649"/>
    <w:rsid w:val="00ED46C4"/>
    <w:rsid w:val="00ED47B8"/>
    <w:rsid w:val="00ED49AB"/>
    <w:rsid w:val="00ED49F3"/>
    <w:rsid w:val="00ED4AEE"/>
    <w:rsid w:val="00ED4B3D"/>
    <w:rsid w:val="00ED4C93"/>
    <w:rsid w:val="00ED4E7B"/>
    <w:rsid w:val="00ED4FC9"/>
    <w:rsid w:val="00ED50CF"/>
    <w:rsid w:val="00ED54D9"/>
    <w:rsid w:val="00ED5855"/>
    <w:rsid w:val="00ED5A99"/>
    <w:rsid w:val="00ED5D55"/>
    <w:rsid w:val="00ED5FAE"/>
    <w:rsid w:val="00ED602E"/>
    <w:rsid w:val="00ED61FD"/>
    <w:rsid w:val="00ED6419"/>
    <w:rsid w:val="00ED6551"/>
    <w:rsid w:val="00ED6646"/>
    <w:rsid w:val="00ED6698"/>
    <w:rsid w:val="00ED6699"/>
    <w:rsid w:val="00ED672B"/>
    <w:rsid w:val="00ED6849"/>
    <w:rsid w:val="00ED6868"/>
    <w:rsid w:val="00ED6897"/>
    <w:rsid w:val="00ED6F13"/>
    <w:rsid w:val="00ED7221"/>
    <w:rsid w:val="00ED7307"/>
    <w:rsid w:val="00ED734F"/>
    <w:rsid w:val="00ED73CD"/>
    <w:rsid w:val="00ED773E"/>
    <w:rsid w:val="00ED782C"/>
    <w:rsid w:val="00ED78ED"/>
    <w:rsid w:val="00ED7AD2"/>
    <w:rsid w:val="00ED7C68"/>
    <w:rsid w:val="00ED7D53"/>
    <w:rsid w:val="00ED7F0E"/>
    <w:rsid w:val="00ED7FAD"/>
    <w:rsid w:val="00EE075F"/>
    <w:rsid w:val="00EE078B"/>
    <w:rsid w:val="00EE0954"/>
    <w:rsid w:val="00EE0C15"/>
    <w:rsid w:val="00EE0C68"/>
    <w:rsid w:val="00EE11A6"/>
    <w:rsid w:val="00EE13CB"/>
    <w:rsid w:val="00EE1529"/>
    <w:rsid w:val="00EE1613"/>
    <w:rsid w:val="00EE177A"/>
    <w:rsid w:val="00EE1AFD"/>
    <w:rsid w:val="00EE1AFE"/>
    <w:rsid w:val="00EE1EC5"/>
    <w:rsid w:val="00EE203F"/>
    <w:rsid w:val="00EE20F7"/>
    <w:rsid w:val="00EE21CB"/>
    <w:rsid w:val="00EE228F"/>
    <w:rsid w:val="00EE231C"/>
    <w:rsid w:val="00EE26BF"/>
    <w:rsid w:val="00EE277C"/>
    <w:rsid w:val="00EE2820"/>
    <w:rsid w:val="00EE2C57"/>
    <w:rsid w:val="00EE2C73"/>
    <w:rsid w:val="00EE32E5"/>
    <w:rsid w:val="00EE33C9"/>
    <w:rsid w:val="00EE3527"/>
    <w:rsid w:val="00EE353D"/>
    <w:rsid w:val="00EE370E"/>
    <w:rsid w:val="00EE3A2A"/>
    <w:rsid w:val="00EE3A89"/>
    <w:rsid w:val="00EE3DE3"/>
    <w:rsid w:val="00EE3E35"/>
    <w:rsid w:val="00EE3FCA"/>
    <w:rsid w:val="00EE41DB"/>
    <w:rsid w:val="00EE4330"/>
    <w:rsid w:val="00EE4409"/>
    <w:rsid w:val="00EE4A46"/>
    <w:rsid w:val="00EE4A66"/>
    <w:rsid w:val="00EE4D1B"/>
    <w:rsid w:val="00EE4ECB"/>
    <w:rsid w:val="00EE5435"/>
    <w:rsid w:val="00EE5B40"/>
    <w:rsid w:val="00EE63AB"/>
    <w:rsid w:val="00EE676C"/>
    <w:rsid w:val="00EE6790"/>
    <w:rsid w:val="00EE684A"/>
    <w:rsid w:val="00EE6891"/>
    <w:rsid w:val="00EE6A4F"/>
    <w:rsid w:val="00EE6A8A"/>
    <w:rsid w:val="00EE6CCB"/>
    <w:rsid w:val="00EE6E66"/>
    <w:rsid w:val="00EE6EC2"/>
    <w:rsid w:val="00EE7180"/>
    <w:rsid w:val="00EE74CF"/>
    <w:rsid w:val="00EE764B"/>
    <w:rsid w:val="00EE770F"/>
    <w:rsid w:val="00EE779A"/>
    <w:rsid w:val="00EE7885"/>
    <w:rsid w:val="00EE7A62"/>
    <w:rsid w:val="00EE7E55"/>
    <w:rsid w:val="00EF0010"/>
    <w:rsid w:val="00EF0049"/>
    <w:rsid w:val="00EF04ED"/>
    <w:rsid w:val="00EF0604"/>
    <w:rsid w:val="00EF08C2"/>
    <w:rsid w:val="00EF099A"/>
    <w:rsid w:val="00EF0AAD"/>
    <w:rsid w:val="00EF0B23"/>
    <w:rsid w:val="00EF0B47"/>
    <w:rsid w:val="00EF1077"/>
    <w:rsid w:val="00EF1143"/>
    <w:rsid w:val="00EF11C2"/>
    <w:rsid w:val="00EF11C3"/>
    <w:rsid w:val="00EF12BF"/>
    <w:rsid w:val="00EF175B"/>
    <w:rsid w:val="00EF18DD"/>
    <w:rsid w:val="00EF1967"/>
    <w:rsid w:val="00EF196B"/>
    <w:rsid w:val="00EF1972"/>
    <w:rsid w:val="00EF19FA"/>
    <w:rsid w:val="00EF1A4B"/>
    <w:rsid w:val="00EF1AB4"/>
    <w:rsid w:val="00EF1AF8"/>
    <w:rsid w:val="00EF1C66"/>
    <w:rsid w:val="00EF1CF5"/>
    <w:rsid w:val="00EF1E10"/>
    <w:rsid w:val="00EF2351"/>
    <w:rsid w:val="00EF237B"/>
    <w:rsid w:val="00EF23A9"/>
    <w:rsid w:val="00EF261B"/>
    <w:rsid w:val="00EF2648"/>
    <w:rsid w:val="00EF26FA"/>
    <w:rsid w:val="00EF28FC"/>
    <w:rsid w:val="00EF296A"/>
    <w:rsid w:val="00EF2B7E"/>
    <w:rsid w:val="00EF2D3B"/>
    <w:rsid w:val="00EF3110"/>
    <w:rsid w:val="00EF3234"/>
    <w:rsid w:val="00EF3713"/>
    <w:rsid w:val="00EF3FB4"/>
    <w:rsid w:val="00EF40FA"/>
    <w:rsid w:val="00EF41E9"/>
    <w:rsid w:val="00EF4308"/>
    <w:rsid w:val="00EF4345"/>
    <w:rsid w:val="00EF44EE"/>
    <w:rsid w:val="00EF4A52"/>
    <w:rsid w:val="00EF4CF0"/>
    <w:rsid w:val="00EF4E1E"/>
    <w:rsid w:val="00EF5210"/>
    <w:rsid w:val="00EF5256"/>
    <w:rsid w:val="00EF5391"/>
    <w:rsid w:val="00EF554D"/>
    <w:rsid w:val="00EF5861"/>
    <w:rsid w:val="00EF58C6"/>
    <w:rsid w:val="00EF5B4A"/>
    <w:rsid w:val="00EF5D39"/>
    <w:rsid w:val="00EF5D6B"/>
    <w:rsid w:val="00EF5D94"/>
    <w:rsid w:val="00EF610E"/>
    <w:rsid w:val="00EF63D2"/>
    <w:rsid w:val="00EF6471"/>
    <w:rsid w:val="00EF6482"/>
    <w:rsid w:val="00EF64C5"/>
    <w:rsid w:val="00EF6658"/>
    <w:rsid w:val="00EF6713"/>
    <w:rsid w:val="00EF68C3"/>
    <w:rsid w:val="00EF68C6"/>
    <w:rsid w:val="00EF6968"/>
    <w:rsid w:val="00EF6BF3"/>
    <w:rsid w:val="00EF6C9F"/>
    <w:rsid w:val="00EF6D05"/>
    <w:rsid w:val="00EF7424"/>
    <w:rsid w:val="00EF75FE"/>
    <w:rsid w:val="00EF7600"/>
    <w:rsid w:val="00EF7647"/>
    <w:rsid w:val="00EF7670"/>
    <w:rsid w:val="00EF774C"/>
    <w:rsid w:val="00EF7794"/>
    <w:rsid w:val="00EF799C"/>
    <w:rsid w:val="00EF79A2"/>
    <w:rsid w:val="00EF7AAF"/>
    <w:rsid w:val="00EF7EE4"/>
    <w:rsid w:val="00F00055"/>
    <w:rsid w:val="00F0023D"/>
    <w:rsid w:val="00F0040C"/>
    <w:rsid w:val="00F0062D"/>
    <w:rsid w:val="00F00729"/>
    <w:rsid w:val="00F0072D"/>
    <w:rsid w:val="00F00758"/>
    <w:rsid w:val="00F00909"/>
    <w:rsid w:val="00F009F9"/>
    <w:rsid w:val="00F00B27"/>
    <w:rsid w:val="00F00B43"/>
    <w:rsid w:val="00F00EB8"/>
    <w:rsid w:val="00F00F69"/>
    <w:rsid w:val="00F01009"/>
    <w:rsid w:val="00F01461"/>
    <w:rsid w:val="00F016FD"/>
    <w:rsid w:val="00F0198D"/>
    <w:rsid w:val="00F019D2"/>
    <w:rsid w:val="00F01E3D"/>
    <w:rsid w:val="00F01EB2"/>
    <w:rsid w:val="00F01F2F"/>
    <w:rsid w:val="00F0202A"/>
    <w:rsid w:val="00F0213C"/>
    <w:rsid w:val="00F022B2"/>
    <w:rsid w:val="00F02458"/>
    <w:rsid w:val="00F025B6"/>
    <w:rsid w:val="00F0285F"/>
    <w:rsid w:val="00F02978"/>
    <w:rsid w:val="00F02A38"/>
    <w:rsid w:val="00F02C38"/>
    <w:rsid w:val="00F02DED"/>
    <w:rsid w:val="00F02FE7"/>
    <w:rsid w:val="00F030A9"/>
    <w:rsid w:val="00F03121"/>
    <w:rsid w:val="00F0316F"/>
    <w:rsid w:val="00F0336C"/>
    <w:rsid w:val="00F03454"/>
    <w:rsid w:val="00F03497"/>
    <w:rsid w:val="00F03577"/>
    <w:rsid w:val="00F035E0"/>
    <w:rsid w:val="00F039A4"/>
    <w:rsid w:val="00F039B6"/>
    <w:rsid w:val="00F03EB6"/>
    <w:rsid w:val="00F0450E"/>
    <w:rsid w:val="00F04569"/>
    <w:rsid w:val="00F048B9"/>
    <w:rsid w:val="00F048D7"/>
    <w:rsid w:val="00F048EC"/>
    <w:rsid w:val="00F04C2F"/>
    <w:rsid w:val="00F04C56"/>
    <w:rsid w:val="00F04D8D"/>
    <w:rsid w:val="00F04FFA"/>
    <w:rsid w:val="00F0509A"/>
    <w:rsid w:val="00F051B6"/>
    <w:rsid w:val="00F053F5"/>
    <w:rsid w:val="00F05412"/>
    <w:rsid w:val="00F05507"/>
    <w:rsid w:val="00F0566B"/>
    <w:rsid w:val="00F056B2"/>
    <w:rsid w:val="00F056D5"/>
    <w:rsid w:val="00F05A02"/>
    <w:rsid w:val="00F05C13"/>
    <w:rsid w:val="00F05D7D"/>
    <w:rsid w:val="00F05E67"/>
    <w:rsid w:val="00F05EE8"/>
    <w:rsid w:val="00F05F23"/>
    <w:rsid w:val="00F05FD2"/>
    <w:rsid w:val="00F06016"/>
    <w:rsid w:val="00F060C3"/>
    <w:rsid w:val="00F062D2"/>
    <w:rsid w:val="00F0653A"/>
    <w:rsid w:val="00F066D2"/>
    <w:rsid w:val="00F06892"/>
    <w:rsid w:val="00F068CF"/>
    <w:rsid w:val="00F068DC"/>
    <w:rsid w:val="00F06A6F"/>
    <w:rsid w:val="00F06BAF"/>
    <w:rsid w:val="00F06D7F"/>
    <w:rsid w:val="00F06DF7"/>
    <w:rsid w:val="00F06F92"/>
    <w:rsid w:val="00F0722D"/>
    <w:rsid w:val="00F07414"/>
    <w:rsid w:val="00F0752D"/>
    <w:rsid w:val="00F0753D"/>
    <w:rsid w:val="00F0793D"/>
    <w:rsid w:val="00F07C5A"/>
    <w:rsid w:val="00F07E91"/>
    <w:rsid w:val="00F07FB8"/>
    <w:rsid w:val="00F103B7"/>
    <w:rsid w:val="00F10456"/>
    <w:rsid w:val="00F1071B"/>
    <w:rsid w:val="00F10C69"/>
    <w:rsid w:val="00F10CB3"/>
    <w:rsid w:val="00F10DA1"/>
    <w:rsid w:val="00F10E47"/>
    <w:rsid w:val="00F10EFB"/>
    <w:rsid w:val="00F10F15"/>
    <w:rsid w:val="00F10F85"/>
    <w:rsid w:val="00F11043"/>
    <w:rsid w:val="00F112C3"/>
    <w:rsid w:val="00F1149E"/>
    <w:rsid w:val="00F11875"/>
    <w:rsid w:val="00F119AA"/>
    <w:rsid w:val="00F11AC1"/>
    <w:rsid w:val="00F11B43"/>
    <w:rsid w:val="00F11D63"/>
    <w:rsid w:val="00F11D99"/>
    <w:rsid w:val="00F120FD"/>
    <w:rsid w:val="00F1287C"/>
    <w:rsid w:val="00F12890"/>
    <w:rsid w:val="00F12ADF"/>
    <w:rsid w:val="00F12C07"/>
    <w:rsid w:val="00F12D83"/>
    <w:rsid w:val="00F12E98"/>
    <w:rsid w:val="00F12EF9"/>
    <w:rsid w:val="00F12FF0"/>
    <w:rsid w:val="00F13067"/>
    <w:rsid w:val="00F1337F"/>
    <w:rsid w:val="00F13A1A"/>
    <w:rsid w:val="00F13A4E"/>
    <w:rsid w:val="00F13AE7"/>
    <w:rsid w:val="00F13BBD"/>
    <w:rsid w:val="00F1449A"/>
    <w:rsid w:val="00F1468D"/>
    <w:rsid w:val="00F1480C"/>
    <w:rsid w:val="00F14875"/>
    <w:rsid w:val="00F14921"/>
    <w:rsid w:val="00F1498E"/>
    <w:rsid w:val="00F149BE"/>
    <w:rsid w:val="00F14AA1"/>
    <w:rsid w:val="00F14D59"/>
    <w:rsid w:val="00F14DD8"/>
    <w:rsid w:val="00F14F88"/>
    <w:rsid w:val="00F15216"/>
    <w:rsid w:val="00F15366"/>
    <w:rsid w:val="00F15420"/>
    <w:rsid w:val="00F1547E"/>
    <w:rsid w:val="00F154ED"/>
    <w:rsid w:val="00F1570C"/>
    <w:rsid w:val="00F15942"/>
    <w:rsid w:val="00F1594C"/>
    <w:rsid w:val="00F15A3F"/>
    <w:rsid w:val="00F15B3C"/>
    <w:rsid w:val="00F15C46"/>
    <w:rsid w:val="00F15D76"/>
    <w:rsid w:val="00F15DB7"/>
    <w:rsid w:val="00F15E00"/>
    <w:rsid w:val="00F15F89"/>
    <w:rsid w:val="00F1604A"/>
    <w:rsid w:val="00F163CE"/>
    <w:rsid w:val="00F1691C"/>
    <w:rsid w:val="00F16A5D"/>
    <w:rsid w:val="00F16A73"/>
    <w:rsid w:val="00F16AF1"/>
    <w:rsid w:val="00F16B3A"/>
    <w:rsid w:val="00F16C1A"/>
    <w:rsid w:val="00F16D93"/>
    <w:rsid w:val="00F16E26"/>
    <w:rsid w:val="00F16EA6"/>
    <w:rsid w:val="00F1733F"/>
    <w:rsid w:val="00F1737C"/>
    <w:rsid w:val="00F173B5"/>
    <w:rsid w:val="00F17490"/>
    <w:rsid w:val="00F1776B"/>
    <w:rsid w:val="00F177C8"/>
    <w:rsid w:val="00F17844"/>
    <w:rsid w:val="00F17B86"/>
    <w:rsid w:val="00F17D51"/>
    <w:rsid w:val="00F17DB1"/>
    <w:rsid w:val="00F17DB3"/>
    <w:rsid w:val="00F17FE6"/>
    <w:rsid w:val="00F20069"/>
    <w:rsid w:val="00F201D4"/>
    <w:rsid w:val="00F201D5"/>
    <w:rsid w:val="00F203BF"/>
    <w:rsid w:val="00F203F8"/>
    <w:rsid w:val="00F2047E"/>
    <w:rsid w:val="00F2078B"/>
    <w:rsid w:val="00F20991"/>
    <w:rsid w:val="00F20BB9"/>
    <w:rsid w:val="00F20D50"/>
    <w:rsid w:val="00F21158"/>
    <w:rsid w:val="00F211E6"/>
    <w:rsid w:val="00F21283"/>
    <w:rsid w:val="00F213F0"/>
    <w:rsid w:val="00F21456"/>
    <w:rsid w:val="00F2148D"/>
    <w:rsid w:val="00F215A4"/>
    <w:rsid w:val="00F21623"/>
    <w:rsid w:val="00F216D0"/>
    <w:rsid w:val="00F21A96"/>
    <w:rsid w:val="00F21AB6"/>
    <w:rsid w:val="00F21AD3"/>
    <w:rsid w:val="00F21C36"/>
    <w:rsid w:val="00F21C73"/>
    <w:rsid w:val="00F21F42"/>
    <w:rsid w:val="00F21FBE"/>
    <w:rsid w:val="00F2228D"/>
    <w:rsid w:val="00F225F9"/>
    <w:rsid w:val="00F2265C"/>
    <w:rsid w:val="00F2293D"/>
    <w:rsid w:val="00F22ACE"/>
    <w:rsid w:val="00F22C63"/>
    <w:rsid w:val="00F22C8E"/>
    <w:rsid w:val="00F22CC9"/>
    <w:rsid w:val="00F22CED"/>
    <w:rsid w:val="00F23204"/>
    <w:rsid w:val="00F2345C"/>
    <w:rsid w:val="00F23550"/>
    <w:rsid w:val="00F235CB"/>
    <w:rsid w:val="00F23F5D"/>
    <w:rsid w:val="00F24334"/>
    <w:rsid w:val="00F24428"/>
    <w:rsid w:val="00F24552"/>
    <w:rsid w:val="00F245A5"/>
    <w:rsid w:val="00F2464B"/>
    <w:rsid w:val="00F24760"/>
    <w:rsid w:val="00F247F9"/>
    <w:rsid w:val="00F2486E"/>
    <w:rsid w:val="00F24C63"/>
    <w:rsid w:val="00F24DF7"/>
    <w:rsid w:val="00F24F4F"/>
    <w:rsid w:val="00F252F5"/>
    <w:rsid w:val="00F2548F"/>
    <w:rsid w:val="00F25820"/>
    <w:rsid w:val="00F25838"/>
    <w:rsid w:val="00F25C50"/>
    <w:rsid w:val="00F26310"/>
    <w:rsid w:val="00F26578"/>
    <w:rsid w:val="00F26A5F"/>
    <w:rsid w:val="00F26A7E"/>
    <w:rsid w:val="00F26B59"/>
    <w:rsid w:val="00F26D21"/>
    <w:rsid w:val="00F26EB1"/>
    <w:rsid w:val="00F26F0C"/>
    <w:rsid w:val="00F26F74"/>
    <w:rsid w:val="00F271DA"/>
    <w:rsid w:val="00F274D2"/>
    <w:rsid w:val="00F275AC"/>
    <w:rsid w:val="00F275D8"/>
    <w:rsid w:val="00F2794D"/>
    <w:rsid w:val="00F27B56"/>
    <w:rsid w:val="00F27C06"/>
    <w:rsid w:val="00F27E34"/>
    <w:rsid w:val="00F27EBE"/>
    <w:rsid w:val="00F27FB1"/>
    <w:rsid w:val="00F30051"/>
    <w:rsid w:val="00F30106"/>
    <w:rsid w:val="00F30402"/>
    <w:rsid w:val="00F304C3"/>
    <w:rsid w:val="00F305C9"/>
    <w:rsid w:val="00F30713"/>
    <w:rsid w:val="00F30947"/>
    <w:rsid w:val="00F30AB1"/>
    <w:rsid w:val="00F30AB5"/>
    <w:rsid w:val="00F30ACD"/>
    <w:rsid w:val="00F310AE"/>
    <w:rsid w:val="00F31127"/>
    <w:rsid w:val="00F3112D"/>
    <w:rsid w:val="00F31222"/>
    <w:rsid w:val="00F31228"/>
    <w:rsid w:val="00F31261"/>
    <w:rsid w:val="00F31544"/>
    <w:rsid w:val="00F3180E"/>
    <w:rsid w:val="00F3186B"/>
    <w:rsid w:val="00F319C0"/>
    <w:rsid w:val="00F31BB7"/>
    <w:rsid w:val="00F31CC3"/>
    <w:rsid w:val="00F31D2F"/>
    <w:rsid w:val="00F31F5B"/>
    <w:rsid w:val="00F32027"/>
    <w:rsid w:val="00F325C0"/>
    <w:rsid w:val="00F3276D"/>
    <w:rsid w:val="00F3291E"/>
    <w:rsid w:val="00F32B38"/>
    <w:rsid w:val="00F33172"/>
    <w:rsid w:val="00F334C9"/>
    <w:rsid w:val="00F33545"/>
    <w:rsid w:val="00F336CB"/>
    <w:rsid w:val="00F33961"/>
    <w:rsid w:val="00F33AC8"/>
    <w:rsid w:val="00F33CD0"/>
    <w:rsid w:val="00F33DC5"/>
    <w:rsid w:val="00F341E9"/>
    <w:rsid w:val="00F342C6"/>
    <w:rsid w:val="00F34614"/>
    <w:rsid w:val="00F347D7"/>
    <w:rsid w:val="00F34872"/>
    <w:rsid w:val="00F348BA"/>
    <w:rsid w:val="00F348DA"/>
    <w:rsid w:val="00F3491B"/>
    <w:rsid w:val="00F349CD"/>
    <w:rsid w:val="00F34C6E"/>
    <w:rsid w:val="00F34CB4"/>
    <w:rsid w:val="00F34F5C"/>
    <w:rsid w:val="00F35577"/>
    <w:rsid w:val="00F356D7"/>
    <w:rsid w:val="00F356E4"/>
    <w:rsid w:val="00F35F84"/>
    <w:rsid w:val="00F36417"/>
    <w:rsid w:val="00F3647B"/>
    <w:rsid w:val="00F3648E"/>
    <w:rsid w:val="00F3661F"/>
    <w:rsid w:val="00F36994"/>
    <w:rsid w:val="00F36AD7"/>
    <w:rsid w:val="00F36B10"/>
    <w:rsid w:val="00F36B67"/>
    <w:rsid w:val="00F36EED"/>
    <w:rsid w:val="00F3705D"/>
    <w:rsid w:val="00F370B9"/>
    <w:rsid w:val="00F374C5"/>
    <w:rsid w:val="00F374D5"/>
    <w:rsid w:val="00F3754E"/>
    <w:rsid w:val="00F3775B"/>
    <w:rsid w:val="00F37A09"/>
    <w:rsid w:val="00F37BBC"/>
    <w:rsid w:val="00F37D5F"/>
    <w:rsid w:val="00F40219"/>
    <w:rsid w:val="00F40637"/>
    <w:rsid w:val="00F409E6"/>
    <w:rsid w:val="00F40C9F"/>
    <w:rsid w:val="00F40D47"/>
    <w:rsid w:val="00F40D91"/>
    <w:rsid w:val="00F40E20"/>
    <w:rsid w:val="00F40F6F"/>
    <w:rsid w:val="00F4120A"/>
    <w:rsid w:val="00F41276"/>
    <w:rsid w:val="00F412DC"/>
    <w:rsid w:val="00F41415"/>
    <w:rsid w:val="00F41516"/>
    <w:rsid w:val="00F41628"/>
    <w:rsid w:val="00F41660"/>
    <w:rsid w:val="00F416EE"/>
    <w:rsid w:val="00F418BC"/>
    <w:rsid w:val="00F41D86"/>
    <w:rsid w:val="00F41DEF"/>
    <w:rsid w:val="00F41EBB"/>
    <w:rsid w:val="00F4222C"/>
    <w:rsid w:val="00F42236"/>
    <w:rsid w:val="00F422BB"/>
    <w:rsid w:val="00F4265E"/>
    <w:rsid w:val="00F427AF"/>
    <w:rsid w:val="00F4283E"/>
    <w:rsid w:val="00F4284C"/>
    <w:rsid w:val="00F428BE"/>
    <w:rsid w:val="00F42C13"/>
    <w:rsid w:val="00F42C99"/>
    <w:rsid w:val="00F42F57"/>
    <w:rsid w:val="00F431E6"/>
    <w:rsid w:val="00F4324A"/>
    <w:rsid w:val="00F43342"/>
    <w:rsid w:val="00F434C8"/>
    <w:rsid w:val="00F435D3"/>
    <w:rsid w:val="00F435E9"/>
    <w:rsid w:val="00F43620"/>
    <w:rsid w:val="00F43925"/>
    <w:rsid w:val="00F43BEA"/>
    <w:rsid w:val="00F43CFD"/>
    <w:rsid w:val="00F43DEC"/>
    <w:rsid w:val="00F43FA0"/>
    <w:rsid w:val="00F440B8"/>
    <w:rsid w:val="00F44483"/>
    <w:rsid w:val="00F448E0"/>
    <w:rsid w:val="00F4492E"/>
    <w:rsid w:val="00F449BC"/>
    <w:rsid w:val="00F44A0F"/>
    <w:rsid w:val="00F44AD7"/>
    <w:rsid w:val="00F44C9F"/>
    <w:rsid w:val="00F44CB5"/>
    <w:rsid w:val="00F44EF3"/>
    <w:rsid w:val="00F45031"/>
    <w:rsid w:val="00F452F9"/>
    <w:rsid w:val="00F4590C"/>
    <w:rsid w:val="00F45A28"/>
    <w:rsid w:val="00F45A7D"/>
    <w:rsid w:val="00F45C95"/>
    <w:rsid w:val="00F45CB9"/>
    <w:rsid w:val="00F45E77"/>
    <w:rsid w:val="00F45F46"/>
    <w:rsid w:val="00F46365"/>
    <w:rsid w:val="00F46678"/>
    <w:rsid w:val="00F4692D"/>
    <w:rsid w:val="00F46A4D"/>
    <w:rsid w:val="00F46C4B"/>
    <w:rsid w:val="00F46DDB"/>
    <w:rsid w:val="00F46DED"/>
    <w:rsid w:val="00F46EAE"/>
    <w:rsid w:val="00F46EBA"/>
    <w:rsid w:val="00F46EF5"/>
    <w:rsid w:val="00F46FA9"/>
    <w:rsid w:val="00F46FEE"/>
    <w:rsid w:val="00F4702E"/>
    <w:rsid w:val="00F4723A"/>
    <w:rsid w:val="00F473C4"/>
    <w:rsid w:val="00F47566"/>
    <w:rsid w:val="00F47771"/>
    <w:rsid w:val="00F47C33"/>
    <w:rsid w:val="00F47D7F"/>
    <w:rsid w:val="00F47E16"/>
    <w:rsid w:val="00F500F9"/>
    <w:rsid w:val="00F50130"/>
    <w:rsid w:val="00F504E2"/>
    <w:rsid w:val="00F50595"/>
    <w:rsid w:val="00F506A9"/>
    <w:rsid w:val="00F5090C"/>
    <w:rsid w:val="00F50B09"/>
    <w:rsid w:val="00F50BF8"/>
    <w:rsid w:val="00F50C09"/>
    <w:rsid w:val="00F51242"/>
    <w:rsid w:val="00F51453"/>
    <w:rsid w:val="00F51749"/>
    <w:rsid w:val="00F51820"/>
    <w:rsid w:val="00F518A5"/>
    <w:rsid w:val="00F519A1"/>
    <w:rsid w:val="00F51AEF"/>
    <w:rsid w:val="00F51FA4"/>
    <w:rsid w:val="00F520B5"/>
    <w:rsid w:val="00F522A2"/>
    <w:rsid w:val="00F52610"/>
    <w:rsid w:val="00F52670"/>
    <w:rsid w:val="00F528C7"/>
    <w:rsid w:val="00F529B0"/>
    <w:rsid w:val="00F52A5C"/>
    <w:rsid w:val="00F52BD7"/>
    <w:rsid w:val="00F52BE1"/>
    <w:rsid w:val="00F53082"/>
    <w:rsid w:val="00F534C2"/>
    <w:rsid w:val="00F5376F"/>
    <w:rsid w:val="00F538C7"/>
    <w:rsid w:val="00F539BF"/>
    <w:rsid w:val="00F53B52"/>
    <w:rsid w:val="00F53D4A"/>
    <w:rsid w:val="00F53FD9"/>
    <w:rsid w:val="00F541B7"/>
    <w:rsid w:val="00F5445C"/>
    <w:rsid w:val="00F544E1"/>
    <w:rsid w:val="00F54702"/>
    <w:rsid w:val="00F548BE"/>
    <w:rsid w:val="00F54954"/>
    <w:rsid w:val="00F54BD0"/>
    <w:rsid w:val="00F54BE0"/>
    <w:rsid w:val="00F54D7F"/>
    <w:rsid w:val="00F54D9B"/>
    <w:rsid w:val="00F54DDE"/>
    <w:rsid w:val="00F54DEA"/>
    <w:rsid w:val="00F55175"/>
    <w:rsid w:val="00F55230"/>
    <w:rsid w:val="00F55279"/>
    <w:rsid w:val="00F552D9"/>
    <w:rsid w:val="00F556E3"/>
    <w:rsid w:val="00F55738"/>
    <w:rsid w:val="00F558A6"/>
    <w:rsid w:val="00F55FF9"/>
    <w:rsid w:val="00F5611F"/>
    <w:rsid w:val="00F561F5"/>
    <w:rsid w:val="00F562BC"/>
    <w:rsid w:val="00F564C2"/>
    <w:rsid w:val="00F5667F"/>
    <w:rsid w:val="00F567C1"/>
    <w:rsid w:val="00F569F1"/>
    <w:rsid w:val="00F56B15"/>
    <w:rsid w:val="00F570D4"/>
    <w:rsid w:val="00F5738D"/>
    <w:rsid w:val="00F5743D"/>
    <w:rsid w:val="00F57455"/>
    <w:rsid w:val="00F575ED"/>
    <w:rsid w:val="00F57611"/>
    <w:rsid w:val="00F576A1"/>
    <w:rsid w:val="00F576E6"/>
    <w:rsid w:val="00F5776F"/>
    <w:rsid w:val="00F57A56"/>
    <w:rsid w:val="00F57A62"/>
    <w:rsid w:val="00F57C73"/>
    <w:rsid w:val="00F57D1D"/>
    <w:rsid w:val="00F57F5B"/>
    <w:rsid w:val="00F60055"/>
    <w:rsid w:val="00F602C4"/>
    <w:rsid w:val="00F6032A"/>
    <w:rsid w:val="00F60489"/>
    <w:rsid w:val="00F60620"/>
    <w:rsid w:val="00F60B9B"/>
    <w:rsid w:val="00F60EC7"/>
    <w:rsid w:val="00F60FE4"/>
    <w:rsid w:val="00F6105C"/>
    <w:rsid w:val="00F61117"/>
    <w:rsid w:val="00F611BA"/>
    <w:rsid w:val="00F615DF"/>
    <w:rsid w:val="00F61615"/>
    <w:rsid w:val="00F616D5"/>
    <w:rsid w:val="00F61733"/>
    <w:rsid w:val="00F61B21"/>
    <w:rsid w:val="00F61C95"/>
    <w:rsid w:val="00F61D61"/>
    <w:rsid w:val="00F61E31"/>
    <w:rsid w:val="00F62272"/>
    <w:rsid w:val="00F626BE"/>
    <w:rsid w:val="00F629AA"/>
    <w:rsid w:val="00F629EE"/>
    <w:rsid w:val="00F62B2D"/>
    <w:rsid w:val="00F62FFA"/>
    <w:rsid w:val="00F63385"/>
    <w:rsid w:val="00F63442"/>
    <w:rsid w:val="00F63636"/>
    <w:rsid w:val="00F63832"/>
    <w:rsid w:val="00F63A12"/>
    <w:rsid w:val="00F63FAE"/>
    <w:rsid w:val="00F640B9"/>
    <w:rsid w:val="00F641A9"/>
    <w:rsid w:val="00F64342"/>
    <w:rsid w:val="00F644BC"/>
    <w:rsid w:val="00F645FC"/>
    <w:rsid w:val="00F646F7"/>
    <w:rsid w:val="00F646FF"/>
    <w:rsid w:val="00F64BA1"/>
    <w:rsid w:val="00F650EE"/>
    <w:rsid w:val="00F65239"/>
    <w:rsid w:val="00F65282"/>
    <w:rsid w:val="00F6528E"/>
    <w:rsid w:val="00F65563"/>
    <w:rsid w:val="00F6578D"/>
    <w:rsid w:val="00F657D7"/>
    <w:rsid w:val="00F657E1"/>
    <w:rsid w:val="00F65B1A"/>
    <w:rsid w:val="00F65B1E"/>
    <w:rsid w:val="00F66087"/>
    <w:rsid w:val="00F6610C"/>
    <w:rsid w:val="00F66955"/>
    <w:rsid w:val="00F669D1"/>
    <w:rsid w:val="00F66D31"/>
    <w:rsid w:val="00F67072"/>
    <w:rsid w:val="00F67467"/>
    <w:rsid w:val="00F67682"/>
    <w:rsid w:val="00F67A43"/>
    <w:rsid w:val="00F67C8A"/>
    <w:rsid w:val="00F67CA2"/>
    <w:rsid w:val="00F67D05"/>
    <w:rsid w:val="00F67E1D"/>
    <w:rsid w:val="00F700F5"/>
    <w:rsid w:val="00F70349"/>
    <w:rsid w:val="00F703ED"/>
    <w:rsid w:val="00F70737"/>
    <w:rsid w:val="00F7084B"/>
    <w:rsid w:val="00F709C4"/>
    <w:rsid w:val="00F70ABD"/>
    <w:rsid w:val="00F70BCB"/>
    <w:rsid w:val="00F70D1C"/>
    <w:rsid w:val="00F70E0C"/>
    <w:rsid w:val="00F7117B"/>
    <w:rsid w:val="00F711C6"/>
    <w:rsid w:val="00F711C7"/>
    <w:rsid w:val="00F711D6"/>
    <w:rsid w:val="00F71294"/>
    <w:rsid w:val="00F71326"/>
    <w:rsid w:val="00F716C5"/>
    <w:rsid w:val="00F7180D"/>
    <w:rsid w:val="00F71B5C"/>
    <w:rsid w:val="00F71C91"/>
    <w:rsid w:val="00F71EBF"/>
    <w:rsid w:val="00F723BC"/>
    <w:rsid w:val="00F7250C"/>
    <w:rsid w:val="00F72761"/>
    <w:rsid w:val="00F7279B"/>
    <w:rsid w:val="00F7283A"/>
    <w:rsid w:val="00F72A82"/>
    <w:rsid w:val="00F72AF4"/>
    <w:rsid w:val="00F72B04"/>
    <w:rsid w:val="00F730C7"/>
    <w:rsid w:val="00F73174"/>
    <w:rsid w:val="00F731C2"/>
    <w:rsid w:val="00F731E5"/>
    <w:rsid w:val="00F734CD"/>
    <w:rsid w:val="00F73503"/>
    <w:rsid w:val="00F73577"/>
    <w:rsid w:val="00F73645"/>
    <w:rsid w:val="00F737D6"/>
    <w:rsid w:val="00F7386C"/>
    <w:rsid w:val="00F73AEA"/>
    <w:rsid w:val="00F73B6A"/>
    <w:rsid w:val="00F73BE6"/>
    <w:rsid w:val="00F73E9D"/>
    <w:rsid w:val="00F73F8D"/>
    <w:rsid w:val="00F73F99"/>
    <w:rsid w:val="00F7402C"/>
    <w:rsid w:val="00F74398"/>
    <w:rsid w:val="00F7489E"/>
    <w:rsid w:val="00F748A6"/>
    <w:rsid w:val="00F7493E"/>
    <w:rsid w:val="00F74DB8"/>
    <w:rsid w:val="00F74E4A"/>
    <w:rsid w:val="00F75138"/>
    <w:rsid w:val="00F7516A"/>
    <w:rsid w:val="00F751FA"/>
    <w:rsid w:val="00F7528A"/>
    <w:rsid w:val="00F752B6"/>
    <w:rsid w:val="00F753AF"/>
    <w:rsid w:val="00F75446"/>
    <w:rsid w:val="00F754F2"/>
    <w:rsid w:val="00F7558F"/>
    <w:rsid w:val="00F75B1F"/>
    <w:rsid w:val="00F75BE6"/>
    <w:rsid w:val="00F75DDC"/>
    <w:rsid w:val="00F75EE8"/>
    <w:rsid w:val="00F7634D"/>
    <w:rsid w:val="00F763DF"/>
    <w:rsid w:val="00F7656B"/>
    <w:rsid w:val="00F765A7"/>
    <w:rsid w:val="00F7688F"/>
    <w:rsid w:val="00F76B26"/>
    <w:rsid w:val="00F76CC9"/>
    <w:rsid w:val="00F76E58"/>
    <w:rsid w:val="00F773EA"/>
    <w:rsid w:val="00F77435"/>
    <w:rsid w:val="00F77541"/>
    <w:rsid w:val="00F7766A"/>
    <w:rsid w:val="00F7798F"/>
    <w:rsid w:val="00F77B07"/>
    <w:rsid w:val="00F77D51"/>
    <w:rsid w:val="00F77E66"/>
    <w:rsid w:val="00F77F36"/>
    <w:rsid w:val="00F80009"/>
    <w:rsid w:val="00F8012F"/>
    <w:rsid w:val="00F801F8"/>
    <w:rsid w:val="00F8024E"/>
    <w:rsid w:val="00F80506"/>
    <w:rsid w:val="00F8061C"/>
    <w:rsid w:val="00F809D9"/>
    <w:rsid w:val="00F80D79"/>
    <w:rsid w:val="00F80EF7"/>
    <w:rsid w:val="00F80F68"/>
    <w:rsid w:val="00F810A3"/>
    <w:rsid w:val="00F81331"/>
    <w:rsid w:val="00F813A2"/>
    <w:rsid w:val="00F818E3"/>
    <w:rsid w:val="00F8191C"/>
    <w:rsid w:val="00F81BFE"/>
    <w:rsid w:val="00F81D05"/>
    <w:rsid w:val="00F81F91"/>
    <w:rsid w:val="00F821E4"/>
    <w:rsid w:val="00F8267C"/>
    <w:rsid w:val="00F82898"/>
    <w:rsid w:val="00F82A12"/>
    <w:rsid w:val="00F82BD9"/>
    <w:rsid w:val="00F82C84"/>
    <w:rsid w:val="00F82F7B"/>
    <w:rsid w:val="00F83407"/>
    <w:rsid w:val="00F83509"/>
    <w:rsid w:val="00F83611"/>
    <w:rsid w:val="00F837CA"/>
    <w:rsid w:val="00F839CE"/>
    <w:rsid w:val="00F83B50"/>
    <w:rsid w:val="00F83B9B"/>
    <w:rsid w:val="00F83C32"/>
    <w:rsid w:val="00F8419A"/>
    <w:rsid w:val="00F843B8"/>
    <w:rsid w:val="00F84561"/>
    <w:rsid w:val="00F84A7A"/>
    <w:rsid w:val="00F84DBB"/>
    <w:rsid w:val="00F84E2A"/>
    <w:rsid w:val="00F84ED2"/>
    <w:rsid w:val="00F850C2"/>
    <w:rsid w:val="00F85354"/>
    <w:rsid w:val="00F853AC"/>
    <w:rsid w:val="00F8547C"/>
    <w:rsid w:val="00F858DD"/>
    <w:rsid w:val="00F85946"/>
    <w:rsid w:val="00F85A34"/>
    <w:rsid w:val="00F85A8C"/>
    <w:rsid w:val="00F85CD1"/>
    <w:rsid w:val="00F85D7D"/>
    <w:rsid w:val="00F85E58"/>
    <w:rsid w:val="00F85F2A"/>
    <w:rsid w:val="00F86034"/>
    <w:rsid w:val="00F86078"/>
    <w:rsid w:val="00F860E2"/>
    <w:rsid w:val="00F86570"/>
    <w:rsid w:val="00F865BE"/>
    <w:rsid w:val="00F86BA8"/>
    <w:rsid w:val="00F86BBD"/>
    <w:rsid w:val="00F86E6F"/>
    <w:rsid w:val="00F870E4"/>
    <w:rsid w:val="00F871F0"/>
    <w:rsid w:val="00F87201"/>
    <w:rsid w:val="00F87561"/>
    <w:rsid w:val="00F8779C"/>
    <w:rsid w:val="00F87D93"/>
    <w:rsid w:val="00F9005C"/>
    <w:rsid w:val="00F900FD"/>
    <w:rsid w:val="00F90290"/>
    <w:rsid w:val="00F902EA"/>
    <w:rsid w:val="00F9042D"/>
    <w:rsid w:val="00F90430"/>
    <w:rsid w:val="00F9058E"/>
    <w:rsid w:val="00F9058F"/>
    <w:rsid w:val="00F907E8"/>
    <w:rsid w:val="00F9082E"/>
    <w:rsid w:val="00F9094F"/>
    <w:rsid w:val="00F90BEC"/>
    <w:rsid w:val="00F90F29"/>
    <w:rsid w:val="00F90F49"/>
    <w:rsid w:val="00F91113"/>
    <w:rsid w:val="00F91497"/>
    <w:rsid w:val="00F91550"/>
    <w:rsid w:val="00F915C4"/>
    <w:rsid w:val="00F9178F"/>
    <w:rsid w:val="00F917FE"/>
    <w:rsid w:val="00F91895"/>
    <w:rsid w:val="00F91896"/>
    <w:rsid w:val="00F91969"/>
    <w:rsid w:val="00F91AE7"/>
    <w:rsid w:val="00F91D38"/>
    <w:rsid w:val="00F91ED3"/>
    <w:rsid w:val="00F91F4B"/>
    <w:rsid w:val="00F92B19"/>
    <w:rsid w:val="00F92FFD"/>
    <w:rsid w:val="00F93342"/>
    <w:rsid w:val="00F93431"/>
    <w:rsid w:val="00F935DF"/>
    <w:rsid w:val="00F938B8"/>
    <w:rsid w:val="00F93960"/>
    <w:rsid w:val="00F939D5"/>
    <w:rsid w:val="00F93C0B"/>
    <w:rsid w:val="00F93C20"/>
    <w:rsid w:val="00F93C96"/>
    <w:rsid w:val="00F93D47"/>
    <w:rsid w:val="00F93E1F"/>
    <w:rsid w:val="00F93E2F"/>
    <w:rsid w:val="00F93EC5"/>
    <w:rsid w:val="00F94492"/>
    <w:rsid w:val="00F94621"/>
    <w:rsid w:val="00F946D0"/>
    <w:rsid w:val="00F946DA"/>
    <w:rsid w:val="00F948B2"/>
    <w:rsid w:val="00F94CB0"/>
    <w:rsid w:val="00F94DC6"/>
    <w:rsid w:val="00F95606"/>
    <w:rsid w:val="00F956A9"/>
    <w:rsid w:val="00F956AE"/>
    <w:rsid w:val="00F95A8E"/>
    <w:rsid w:val="00F95BBF"/>
    <w:rsid w:val="00F95BC2"/>
    <w:rsid w:val="00F95E85"/>
    <w:rsid w:val="00F95E9F"/>
    <w:rsid w:val="00F95EB7"/>
    <w:rsid w:val="00F961E0"/>
    <w:rsid w:val="00F96616"/>
    <w:rsid w:val="00F96770"/>
    <w:rsid w:val="00F969AB"/>
    <w:rsid w:val="00F96A59"/>
    <w:rsid w:val="00F96D95"/>
    <w:rsid w:val="00F96DEC"/>
    <w:rsid w:val="00F9709B"/>
    <w:rsid w:val="00F9717A"/>
    <w:rsid w:val="00F9725D"/>
    <w:rsid w:val="00F972B8"/>
    <w:rsid w:val="00F97393"/>
    <w:rsid w:val="00F973E3"/>
    <w:rsid w:val="00F97511"/>
    <w:rsid w:val="00F975F6"/>
    <w:rsid w:val="00F9780E"/>
    <w:rsid w:val="00F97878"/>
    <w:rsid w:val="00F97CA7"/>
    <w:rsid w:val="00F97D5F"/>
    <w:rsid w:val="00FA0228"/>
    <w:rsid w:val="00FA02D2"/>
    <w:rsid w:val="00FA0352"/>
    <w:rsid w:val="00FA041C"/>
    <w:rsid w:val="00FA078F"/>
    <w:rsid w:val="00FA0964"/>
    <w:rsid w:val="00FA0C65"/>
    <w:rsid w:val="00FA0C88"/>
    <w:rsid w:val="00FA0CAA"/>
    <w:rsid w:val="00FA0CCD"/>
    <w:rsid w:val="00FA0D0C"/>
    <w:rsid w:val="00FA1335"/>
    <w:rsid w:val="00FA1339"/>
    <w:rsid w:val="00FA13D3"/>
    <w:rsid w:val="00FA168C"/>
    <w:rsid w:val="00FA16E6"/>
    <w:rsid w:val="00FA1BDF"/>
    <w:rsid w:val="00FA1CD8"/>
    <w:rsid w:val="00FA1D9E"/>
    <w:rsid w:val="00FA1E51"/>
    <w:rsid w:val="00FA22FA"/>
    <w:rsid w:val="00FA2354"/>
    <w:rsid w:val="00FA23AA"/>
    <w:rsid w:val="00FA261E"/>
    <w:rsid w:val="00FA284E"/>
    <w:rsid w:val="00FA2C77"/>
    <w:rsid w:val="00FA2F47"/>
    <w:rsid w:val="00FA3309"/>
    <w:rsid w:val="00FA3529"/>
    <w:rsid w:val="00FA36F0"/>
    <w:rsid w:val="00FA381C"/>
    <w:rsid w:val="00FA3980"/>
    <w:rsid w:val="00FA3C2A"/>
    <w:rsid w:val="00FA3DE7"/>
    <w:rsid w:val="00FA3EB6"/>
    <w:rsid w:val="00FA41F4"/>
    <w:rsid w:val="00FA4290"/>
    <w:rsid w:val="00FA42AE"/>
    <w:rsid w:val="00FA4302"/>
    <w:rsid w:val="00FA440D"/>
    <w:rsid w:val="00FA4654"/>
    <w:rsid w:val="00FA47D9"/>
    <w:rsid w:val="00FA4922"/>
    <w:rsid w:val="00FA4B55"/>
    <w:rsid w:val="00FA4F47"/>
    <w:rsid w:val="00FA51F3"/>
    <w:rsid w:val="00FA526C"/>
    <w:rsid w:val="00FA53B1"/>
    <w:rsid w:val="00FA54CA"/>
    <w:rsid w:val="00FA5592"/>
    <w:rsid w:val="00FA5600"/>
    <w:rsid w:val="00FA562A"/>
    <w:rsid w:val="00FA5720"/>
    <w:rsid w:val="00FA584A"/>
    <w:rsid w:val="00FA59C2"/>
    <w:rsid w:val="00FA5B88"/>
    <w:rsid w:val="00FA5BD2"/>
    <w:rsid w:val="00FA5C24"/>
    <w:rsid w:val="00FA5C4B"/>
    <w:rsid w:val="00FA5FA6"/>
    <w:rsid w:val="00FA5FED"/>
    <w:rsid w:val="00FA61E2"/>
    <w:rsid w:val="00FA64DD"/>
    <w:rsid w:val="00FA66B8"/>
    <w:rsid w:val="00FA67ED"/>
    <w:rsid w:val="00FA682E"/>
    <w:rsid w:val="00FA6A87"/>
    <w:rsid w:val="00FA7014"/>
    <w:rsid w:val="00FA707B"/>
    <w:rsid w:val="00FA7447"/>
    <w:rsid w:val="00FA7991"/>
    <w:rsid w:val="00FA7A28"/>
    <w:rsid w:val="00FA7A50"/>
    <w:rsid w:val="00FA7C92"/>
    <w:rsid w:val="00FA7DCF"/>
    <w:rsid w:val="00FA7EB3"/>
    <w:rsid w:val="00FB0067"/>
    <w:rsid w:val="00FB00C0"/>
    <w:rsid w:val="00FB0471"/>
    <w:rsid w:val="00FB04A2"/>
    <w:rsid w:val="00FB0506"/>
    <w:rsid w:val="00FB07F9"/>
    <w:rsid w:val="00FB092E"/>
    <w:rsid w:val="00FB0952"/>
    <w:rsid w:val="00FB0A0F"/>
    <w:rsid w:val="00FB0ADE"/>
    <w:rsid w:val="00FB12BB"/>
    <w:rsid w:val="00FB131D"/>
    <w:rsid w:val="00FB1401"/>
    <w:rsid w:val="00FB1458"/>
    <w:rsid w:val="00FB194F"/>
    <w:rsid w:val="00FB19B7"/>
    <w:rsid w:val="00FB1D14"/>
    <w:rsid w:val="00FB1DD7"/>
    <w:rsid w:val="00FB1FAF"/>
    <w:rsid w:val="00FB1FE5"/>
    <w:rsid w:val="00FB23C9"/>
    <w:rsid w:val="00FB23D3"/>
    <w:rsid w:val="00FB25D5"/>
    <w:rsid w:val="00FB266A"/>
    <w:rsid w:val="00FB2760"/>
    <w:rsid w:val="00FB27DC"/>
    <w:rsid w:val="00FB2F74"/>
    <w:rsid w:val="00FB2FF4"/>
    <w:rsid w:val="00FB3108"/>
    <w:rsid w:val="00FB31CC"/>
    <w:rsid w:val="00FB323D"/>
    <w:rsid w:val="00FB3681"/>
    <w:rsid w:val="00FB3695"/>
    <w:rsid w:val="00FB36B3"/>
    <w:rsid w:val="00FB36C0"/>
    <w:rsid w:val="00FB38EB"/>
    <w:rsid w:val="00FB3A07"/>
    <w:rsid w:val="00FB3FE3"/>
    <w:rsid w:val="00FB46A9"/>
    <w:rsid w:val="00FB4AE9"/>
    <w:rsid w:val="00FB52AF"/>
    <w:rsid w:val="00FB5487"/>
    <w:rsid w:val="00FB587C"/>
    <w:rsid w:val="00FB5AD0"/>
    <w:rsid w:val="00FB5D09"/>
    <w:rsid w:val="00FB5F7C"/>
    <w:rsid w:val="00FB5F8B"/>
    <w:rsid w:val="00FB656C"/>
    <w:rsid w:val="00FB683E"/>
    <w:rsid w:val="00FB6934"/>
    <w:rsid w:val="00FB6ED1"/>
    <w:rsid w:val="00FB6F77"/>
    <w:rsid w:val="00FB7262"/>
    <w:rsid w:val="00FB74B8"/>
    <w:rsid w:val="00FB7502"/>
    <w:rsid w:val="00FB761D"/>
    <w:rsid w:val="00FB7A16"/>
    <w:rsid w:val="00FB7A87"/>
    <w:rsid w:val="00FB7B8F"/>
    <w:rsid w:val="00FB7C74"/>
    <w:rsid w:val="00FB7D34"/>
    <w:rsid w:val="00FB7FDE"/>
    <w:rsid w:val="00FC0034"/>
    <w:rsid w:val="00FC005F"/>
    <w:rsid w:val="00FC0213"/>
    <w:rsid w:val="00FC0247"/>
    <w:rsid w:val="00FC03AA"/>
    <w:rsid w:val="00FC04B7"/>
    <w:rsid w:val="00FC0728"/>
    <w:rsid w:val="00FC0813"/>
    <w:rsid w:val="00FC0D44"/>
    <w:rsid w:val="00FC0DAB"/>
    <w:rsid w:val="00FC0DB9"/>
    <w:rsid w:val="00FC12C4"/>
    <w:rsid w:val="00FC1329"/>
    <w:rsid w:val="00FC13D0"/>
    <w:rsid w:val="00FC175A"/>
    <w:rsid w:val="00FC18B8"/>
    <w:rsid w:val="00FC18D0"/>
    <w:rsid w:val="00FC1907"/>
    <w:rsid w:val="00FC1AC0"/>
    <w:rsid w:val="00FC1AC6"/>
    <w:rsid w:val="00FC1C40"/>
    <w:rsid w:val="00FC1C9A"/>
    <w:rsid w:val="00FC1F15"/>
    <w:rsid w:val="00FC1F26"/>
    <w:rsid w:val="00FC1F41"/>
    <w:rsid w:val="00FC28C3"/>
    <w:rsid w:val="00FC2962"/>
    <w:rsid w:val="00FC31A3"/>
    <w:rsid w:val="00FC32DA"/>
    <w:rsid w:val="00FC3301"/>
    <w:rsid w:val="00FC3315"/>
    <w:rsid w:val="00FC33A3"/>
    <w:rsid w:val="00FC33AD"/>
    <w:rsid w:val="00FC34BB"/>
    <w:rsid w:val="00FC35AA"/>
    <w:rsid w:val="00FC35E3"/>
    <w:rsid w:val="00FC3648"/>
    <w:rsid w:val="00FC3789"/>
    <w:rsid w:val="00FC37C7"/>
    <w:rsid w:val="00FC37F5"/>
    <w:rsid w:val="00FC3906"/>
    <w:rsid w:val="00FC392E"/>
    <w:rsid w:val="00FC398C"/>
    <w:rsid w:val="00FC399F"/>
    <w:rsid w:val="00FC3A0F"/>
    <w:rsid w:val="00FC3AEA"/>
    <w:rsid w:val="00FC3DD2"/>
    <w:rsid w:val="00FC3FAA"/>
    <w:rsid w:val="00FC3FF8"/>
    <w:rsid w:val="00FC418F"/>
    <w:rsid w:val="00FC44CE"/>
    <w:rsid w:val="00FC450D"/>
    <w:rsid w:val="00FC4635"/>
    <w:rsid w:val="00FC48A0"/>
    <w:rsid w:val="00FC4CA8"/>
    <w:rsid w:val="00FC4F0E"/>
    <w:rsid w:val="00FC52A9"/>
    <w:rsid w:val="00FC5304"/>
    <w:rsid w:val="00FC544F"/>
    <w:rsid w:val="00FC548D"/>
    <w:rsid w:val="00FC56B5"/>
    <w:rsid w:val="00FC573D"/>
    <w:rsid w:val="00FC58E1"/>
    <w:rsid w:val="00FC59AC"/>
    <w:rsid w:val="00FC5AC6"/>
    <w:rsid w:val="00FC5D2C"/>
    <w:rsid w:val="00FC6015"/>
    <w:rsid w:val="00FC603C"/>
    <w:rsid w:val="00FC6098"/>
    <w:rsid w:val="00FC60D6"/>
    <w:rsid w:val="00FC62BA"/>
    <w:rsid w:val="00FC62C5"/>
    <w:rsid w:val="00FC64B5"/>
    <w:rsid w:val="00FC659A"/>
    <w:rsid w:val="00FC66D1"/>
    <w:rsid w:val="00FC6804"/>
    <w:rsid w:val="00FC6886"/>
    <w:rsid w:val="00FC697C"/>
    <w:rsid w:val="00FC69C9"/>
    <w:rsid w:val="00FC6ABE"/>
    <w:rsid w:val="00FC6B18"/>
    <w:rsid w:val="00FC6BE4"/>
    <w:rsid w:val="00FC6BFC"/>
    <w:rsid w:val="00FC6C08"/>
    <w:rsid w:val="00FC6DD7"/>
    <w:rsid w:val="00FC6F17"/>
    <w:rsid w:val="00FC6F6D"/>
    <w:rsid w:val="00FC7177"/>
    <w:rsid w:val="00FC7189"/>
    <w:rsid w:val="00FC7477"/>
    <w:rsid w:val="00FC7500"/>
    <w:rsid w:val="00FC7756"/>
    <w:rsid w:val="00FC78D0"/>
    <w:rsid w:val="00FC79F4"/>
    <w:rsid w:val="00FC7BDD"/>
    <w:rsid w:val="00FC7BF0"/>
    <w:rsid w:val="00FC7D3D"/>
    <w:rsid w:val="00FC7D7D"/>
    <w:rsid w:val="00FD01B8"/>
    <w:rsid w:val="00FD0253"/>
    <w:rsid w:val="00FD044E"/>
    <w:rsid w:val="00FD0469"/>
    <w:rsid w:val="00FD050B"/>
    <w:rsid w:val="00FD087C"/>
    <w:rsid w:val="00FD0ADE"/>
    <w:rsid w:val="00FD0BAE"/>
    <w:rsid w:val="00FD0CB9"/>
    <w:rsid w:val="00FD0EE1"/>
    <w:rsid w:val="00FD110E"/>
    <w:rsid w:val="00FD1391"/>
    <w:rsid w:val="00FD13BF"/>
    <w:rsid w:val="00FD13CB"/>
    <w:rsid w:val="00FD15A0"/>
    <w:rsid w:val="00FD15B3"/>
    <w:rsid w:val="00FD15C7"/>
    <w:rsid w:val="00FD1692"/>
    <w:rsid w:val="00FD183D"/>
    <w:rsid w:val="00FD1AB4"/>
    <w:rsid w:val="00FD1ACF"/>
    <w:rsid w:val="00FD1BB5"/>
    <w:rsid w:val="00FD1DC6"/>
    <w:rsid w:val="00FD1F33"/>
    <w:rsid w:val="00FD1FF2"/>
    <w:rsid w:val="00FD23E5"/>
    <w:rsid w:val="00FD260A"/>
    <w:rsid w:val="00FD27A6"/>
    <w:rsid w:val="00FD295A"/>
    <w:rsid w:val="00FD299D"/>
    <w:rsid w:val="00FD2B68"/>
    <w:rsid w:val="00FD30F7"/>
    <w:rsid w:val="00FD31DC"/>
    <w:rsid w:val="00FD3387"/>
    <w:rsid w:val="00FD3911"/>
    <w:rsid w:val="00FD392A"/>
    <w:rsid w:val="00FD3A67"/>
    <w:rsid w:val="00FD3A6D"/>
    <w:rsid w:val="00FD3B5D"/>
    <w:rsid w:val="00FD3E1F"/>
    <w:rsid w:val="00FD418C"/>
    <w:rsid w:val="00FD443B"/>
    <w:rsid w:val="00FD45DC"/>
    <w:rsid w:val="00FD46A7"/>
    <w:rsid w:val="00FD48EB"/>
    <w:rsid w:val="00FD49D3"/>
    <w:rsid w:val="00FD4BBD"/>
    <w:rsid w:val="00FD4C7A"/>
    <w:rsid w:val="00FD4C97"/>
    <w:rsid w:val="00FD50F4"/>
    <w:rsid w:val="00FD51A1"/>
    <w:rsid w:val="00FD56D3"/>
    <w:rsid w:val="00FD5751"/>
    <w:rsid w:val="00FD59B8"/>
    <w:rsid w:val="00FD5B08"/>
    <w:rsid w:val="00FD5B82"/>
    <w:rsid w:val="00FD5C58"/>
    <w:rsid w:val="00FD5DD9"/>
    <w:rsid w:val="00FD5E36"/>
    <w:rsid w:val="00FD5EAC"/>
    <w:rsid w:val="00FD6296"/>
    <w:rsid w:val="00FD65A7"/>
    <w:rsid w:val="00FD690D"/>
    <w:rsid w:val="00FD694C"/>
    <w:rsid w:val="00FD6959"/>
    <w:rsid w:val="00FD698E"/>
    <w:rsid w:val="00FD6D32"/>
    <w:rsid w:val="00FD6E4F"/>
    <w:rsid w:val="00FD6F0A"/>
    <w:rsid w:val="00FD6FC6"/>
    <w:rsid w:val="00FD776D"/>
    <w:rsid w:val="00FD779E"/>
    <w:rsid w:val="00FD7A95"/>
    <w:rsid w:val="00FD7AFE"/>
    <w:rsid w:val="00FD7B99"/>
    <w:rsid w:val="00FD7C8E"/>
    <w:rsid w:val="00FD7DFC"/>
    <w:rsid w:val="00FD7FD5"/>
    <w:rsid w:val="00FE06CC"/>
    <w:rsid w:val="00FE0901"/>
    <w:rsid w:val="00FE0A69"/>
    <w:rsid w:val="00FE0B5B"/>
    <w:rsid w:val="00FE0B92"/>
    <w:rsid w:val="00FE0C12"/>
    <w:rsid w:val="00FE0C5C"/>
    <w:rsid w:val="00FE0EED"/>
    <w:rsid w:val="00FE1011"/>
    <w:rsid w:val="00FE12E2"/>
    <w:rsid w:val="00FE12E8"/>
    <w:rsid w:val="00FE142D"/>
    <w:rsid w:val="00FE1582"/>
    <w:rsid w:val="00FE16DC"/>
    <w:rsid w:val="00FE1789"/>
    <w:rsid w:val="00FE18A7"/>
    <w:rsid w:val="00FE198C"/>
    <w:rsid w:val="00FE1A34"/>
    <w:rsid w:val="00FE1AA8"/>
    <w:rsid w:val="00FE1B56"/>
    <w:rsid w:val="00FE1E07"/>
    <w:rsid w:val="00FE1E4A"/>
    <w:rsid w:val="00FE1E95"/>
    <w:rsid w:val="00FE1ECB"/>
    <w:rsid w:val="00FE1EDB"/>
    <w:rsid w:val="00FE1F39"/>
    <w:rsid w:val="00FE1F65"/>
    <w:rsid w:val="00FE2025"/>
    <w:rsid w:val="00FE20DD"/>
    <w:rsid w:val="00FE2246"/>
    <w:rsid w:val="00FE226D"/>
    <w:rsid w:val="00FE25A0"/>
    <w:rsid w:val="00FE2A4C"/>
    <w:rsid w:val="00FE2CBD"/>
    <w:rsid w:val="00FE2EA5"/>
    <w:rsid w:val="00FE2FDE"/>
    <w:rsid w:val="00FE3068"/>
    <w:rsid w:val="00FE3553"/>
    <w:rsid w:val="00FE36B3"/>
    <w:rsid w:val="00FE3B0E"/>
    <w:rsid w:val="00FE3FCE"/>
    <w:rsid w:val="00FE3FF3"/>
    <w:rsid w:val="00FE40B8"/>
    <w:rsid w:val="00FE41AF"/>
    <w:rsid w:val="00FE41C3"/>
    <w:rsid w:val="00FE42D2"/>
    <w:rsid w:val="00FE43DC"/>
    <w:rsid w:val="00FE43E4"/>
    <w:rsid w:val="00FE4533"/>
    <w:rsid w:val="00FE4683"/>
    <w:rsid w:val="00FE4AE1"/>
    <w:rsid w:val="00FE4AE6"/>
    <w:rsid w:val="00FE4B14"/>
    <w:rsid w:val="00FE4B66"/>
    <w:rsid w:val="00FE4D6B"/>
    <w:rsid w:val="00FE4F87"/>
    <w:rsid w:val="00FE5056"/>
    <w:rsid w:val="00FE508B"/>
    <w:rsid w:val="00FE52EE"/>
    <w:rsid w:val="00FE52F7"/>
    <w:rsid w:val="00FE5324"/>
    <w:rsid w:val="00FE532D"/>
    <w:rsid w:val="00FE5359"/>
    <w:rsid w:val="00FE53D4"/>
    <w:rsid w:val="00FE5487"/>
    <w:rsid w:val="00FE5539"/>
    <w:rsid w:val="00FE5596"/>
    <w:rsid w:val="00FE57B7"/>
    <w:rsid w:val="00FE589C"/>
    <w:rsid w:val="00FE5A0B"/>
    <w:rsid w:val="00FE5A4B"/>
    <w:rsid w:val="00FE5B6A"/>
    <w:rsid w:val="00FE5D72"/>
    <w:rsid w:val="00FE61F2"/>
    <w:rsid w:val="00FE625B"/>
    <w:rsid w:val="00FE647D"/>
    <w:rsid w:val="00FE66F8"/>
    <w:rsid w:val="00FE66FB"/>
    <w:rsid w:val="00FE6944"/>
    <w:rsid w:val="00FE6A9C"/>
    <w:rsid w:val="00FE6CC7"/>
    <w:rsid w:val="00FE6CFD"/>
    <w:rsid w:val="00FE6D08"/>
    <w:rsid w:val="00FE6E5E"/>
    <w:rsid w:val="00FE6E79"/>
    <w:rsid w:val="00FE6FB0"/>
    <w:rsid w:val="00FE6FC7"/>
    <w:rsid w:val="00FE7023"/>
    <w:rsid w:val="00FE7463"/>
    <w:rsid w:val="00FE74A0"/>
    <w:rsid w:val="00FE74B1"/>
    <w:rsid w:val="00FE76F2"/>
    <w:rsid w:val="00FE792F"/>
    <w:rsid w:val="00FE7CD0"/>
    <w:rsid w:val="00FE7D9F"/>
    <w:rsid w:val="00FE7ED7"/>
    <w:rsid w:val="00FF0158"/>
    <w:rsid w:val="00FF0319"/>
    <w:rsid w:val="00FF0562"/>
    <w:rsid w:val="00FF0981"/>
    <w:rsid w:val="00FF114E"/>
    <w:rsid w:val="00FF133F"/>
    <w:rsid w:val="00FF16FE"/>
    <w:rsid w:val="00FF174A"/>
    <w:rsid w:val="00FF17E1"/>
    <w:rsid w:val="00FF1A3C"/>
    <w:rsid w:val="00FF1AD8"/>
    <w:rsid w:val="00FF1B66"/>
    <w:rsid w:val="00FF1C94"/>
    <w:rsid w:val="00FF1F51"/>
    <w:rsid w:val="00FF2177"/>
    <w:rsid w:val="00FF220A"/>
    <w:rsid w:val="00FF2243"/>
    <w:rsid w:val="00FF224D"/>
    <w:rsid w:val="00FF25F5"/>
    <w:rsid w:val="00FF26D3"/>
    <w:rsid w:val="00FF27B5"/>
    <w:rsid w:val="00FF285A"/>
    <w:rsid w:val="00FF2879"/>
    <w:rsid w:val="00FF2A52"/>
    <w:rsid w:val="00FF2A91"/>
    <w:rsid w:val="00FF2AA2"/>
    <w:rsid w:val="00FF2B6F"/>
    <w:rsid w:val="00FF2C3D"/>
    <w:rsid w:val="00FF2E3C"/>
    <w:rsid w:val="00FF2EF8"/>
    <w:rsid w:val="00FF2F02"/>
    <w:rsid w:val="00FF2F65"/>
    <w:rsid w:val="00FF2F85"/>
    <w:rsid w:val="00FF2FA6"/>
    <w:rsid w:val="00FF31F3"/>
    <w:rsid w:val="00FF32A1"/>
    <w:rsid w:val="00FF33E6"/>
    <w:rsid w:val="00FF33EF"/>
    <w:rsid w:val="00FF36C2"/>
    <w:rsid w:val="00FF3829"/>
    <w:rsid w:val="00FF3924"/>
    <w:rsid w:val="00FF3A0A"/>
    <w:rsid w:val="00FF3F6F"/>
    <w:rsid w:val="00FF3F72"/>
    <w:rsid w:val="00FF4050"/>
    <w:rsid w:val="00FF43C0"/>
    <w:rsid w:val="00FF44AB"/>
    <w:rsid w:val="00FF47BB"/>
    <w:rsid w:val="00FF480E"/>
    <w:rsid w:val="00FF4AF0"/>
    <w:rsid w:val="00FF4F94"/>
    <w:rsid w:val="00FF505C"/>
    <w:rsid w:val="00FF5901"/>
    <w:rsid w:val="00FF5AA5"/>
    <w:rsid w:val="00FF5B6F"/>
    <w:rsid w:val="00FF5EB3"/>
    <w:rsid w:val="00FF5EE5"/>
    <w:rsid w:val="00FF5FF1"/>
    <w:rsid w:val="00FF6099"/>
    <w:rsid w:val="00FF6119"/>
    <w:rsid w:val="00FF65E2"/>
    <w:rsid w:val="00FF66FD"/>
    <w:rsid w:val="00FF67E3"/>
    <w:rsid w:val="00FF69A0"/>
    <w:rsid w:val="00FF69AD"/>
    <w:rsid w:val="00FF6BB0"/>
    <w:rsid w:val="00FF6E0F"/>
    <w:rsid w:val="00FF71EA"/>
    <w:rsid w:val="00FF754D"/>
    <w:rsid w:val="00FF75DA"/>
    <w:rsid w:val="00FF7890"/>
    <w:rsid w:val="00FF78E9"/>
    <w:rsid w:val="00FF7BBB"/>
    <w:rsid w:val="00FF7E8E"/>
    <w:rsid w:val="010ED09C"/>
    <w:rsid w:val="0122EE0F"/>
    <w:rsid w:val="013CE025"/>
    <w:rsid w:val="016540D4"/>
    <w:rsid w:val="01F1428D"/>
    <w:rsid w:val="0236ABF8"/>
    <w:rsid w:val="024CA0CE"/>
    <w:rsid w:val="0259510E"/>
    <w:rsid w:val="02C16D29"/>
    <w:rsid w:val="02F6FBB7"/>
    <w:rsid w:val="030B1FD2"/>
    <w:rsid w:val="0346963D"/>
    <w:rsid w:val="03786E07"/>
    <w:rsid w:val="03CD59B0"/>
    <w:rsid w:val="03D29A2C"/>
    <w:rsid w:val="0410FF4F"/>
    <w:rsid w:val="04161210"/>
    <w:rsid w:val="044CE03A"/>
    <w:rsid w:val="04646F4C"/>
    <w:rsid w:val="0496B883"/>
    <w:rsid w:val="04C3DFF0"/>
    <w:rsid w:val="04CBEFAF"/>
    <w:rsid w:val="04DFBDD9"/>
    <w:rsid w:val="05060D85"/>
    <w:rsid w:val="05850239"/>
    <w:rsid w:val="05F91BA9"/>
    <w:rsid w:val="05F9854B"/>
    <w:rsid w:val="069BDAA1"/>
    <w:rsid w:val="069EB4F8"/>
    <w:rsid w:val="06CD113B"/>
    <w:rsid w:val="06D69C2A"/>
    <w:rsid w:val="070A1D1B"/>
    <w:rsid w:val="07200490"/>
    <w:rsid w:val="078326F4"/>
    <w:rsid w:val="07A757A7"/>
    <w:rsid w:val="07C4CF77"/>
    <w:rsid w:val="07E5D1A3"/>
    <w:rsid w:val="082AC892"/>
    <w:rsid w:val="083008BC"/>
    <w:rsid w:val="084D5B94"/>
    <w:rsid w:val="08650AFE"/>
    <w:rsid w:val="08B04511"/>
    <w:rsid w:val="08E98333"/>
    <w:rsid w:val="093A4E77"/>
    <w:rsid w:val="093CC25B"/>
    <w:rsid w:val="09663EE4"/>
    <w:rsid w:val="096D9A79"/>
    <w:rsid w:val="09AD77BF"/>
    <w:rsid w:val="09C4D155"/>
    <w:rsid w:val="09CA48E6"/>
    <w:rsid w:val="09EA6787"/>
    <w:rsid w:val="0A03ABFC"/>
    <w:rsid w:val="0A855394"/>
    <w:rsid w:val="0AB6F7BA"/>
    <w:rsid w:val="0B011232"/>
    <w:rsid w:val="0B1BC69E"/>
    <w:rsid w:val="0B1DE0AC"/>
    <w:rsid w:val="0B278AC7"/>
    <w:rsid w:val="0B2F3EA4"/>
    <w:rsid w:val="0B328613"/>
    <w:rsid w:val="0BBAA6DA"/>
    <w:rsid w:val="0BFA0539"/>
    <w:rsid w:val="0C0090FE"/>
    <w:rsid w:val="0C0852DC"/>
    <w:rsid w:val="0C1F2C56"/>
    <w:rsid w:val="0C20A684"/>
    <w:rsid w:val="0CAF2D59"/>
    <w:rsid w:val="0CC963AB"/>
    <w:rsid w:val="0DBCBC2A"/>
    <w:rsid w:val="0DE8BBB0"/>
    <w:rsid w:val="0E567458"/>
    <w:rsid w:val="0E6F138E"/>
    <w:rsid w:val="0E7776C2"/>
    <w:rsid w:val="0EF3559F"/>
    <w:rsid w:val="0F4132AB"/>
    <w:rsid w:val="0F45CC6D"/>
    <w:rsid w:val="0F846173"/>
    <w:rsid w:val="0FF00EF5"/>
    <w:rsid w:val="10376E79"/>
    <w:rsid w:val="10454F51"/>
    <w:rsid w:val="1080A407"/>
    <w:rsid w:val="108AEB4D"/>
    <w:rsid w:val="10ACCCE8"/>
    <w:rsid w:val="11043F12"/>
    <w:rsid w:val="115EF60D"/>
    <w:rsid w:val="116834DB"/>
    <w:rsid w:val="11A4C18E"/>
    <w:rsid w:val="11C4192A"/>
    <w:rsid w:val="11C734C5"/>
    <w:rsid w:val="11D21F86"/>
    <w:rsid w:val="11DF3E4F"/>
    <w:rsid w:val="11E65FCD"/>
    <w:rsid w:val="11E727CC"/>
    <w:rsid w:val="1230E606"/>
    <w:rsid w:val="12826F85"/>
    <w:rsid w:val="12BC0235"/>
    <w:rsid w:val="12F3DE04"/>
    <w:rsid w:val="134560BF"/>
    <w:rsid w:val="13FB44DC"/>
    <w:rsid w:val="140B79B2"/>
    <w:rsid w:val="143FC2FD"/>
    <w:rsid w:val="144375D0"/>
    <w:rsid w:val="144F5214"/>
    <w:rsid w:val="145B7C20"/>
    <w:rsid w:val="14BA3B86"/>
    <w:rsid w:val="14F8EE49"/>
    <w:rsid w:val="1534D887"/>
    <w:rsid w:val="1552A2A3"/>
    <w:rsid w:val="15A14D21"/>
    <w:rsid w:val="15F3A2F7"/>
    <w:rsid w:val="1622FDD0"/>
    <w:rsid w:val="16235FE3"/>
    <w:rsid w:val="166A1861"/>
    <w:rsid w:val="17141F96"/>
    <w:rsid w:val="17215B42"/>
    <w:rsid w:val="174C4AFB"/>
    <w:rsid w:val="1783A808"/>
    <w:rsid w:val="183D05D4"/>
    <w:rsid w:val="187C622E"/>
    <w:rsid w:val="1895750E"/>
    <w:rsid w:val="18A235FA"/>
    <w:rsid w:val="18ACBA1A"/>
    <w:rsid w:val="18CCB101"/>
    <w:rsid w:val="18EFBD5C"/>
    <w:rsid w:val="196185E3"/>
    <w:rsid w:val="19715411"/>
    <w:rsid w:val="19C10F99"/>
    <w:rsid w:val="19D3D318"/>
    <w:rsid w:val="19E29271"/>
    <w:rsid w:val="1A171926"/>
    <w:rsid w:val="1AAA06E8"/>
    <w:rsid w:val="1B417772"/>
    <w:rsid w:val="1B704C43"/>
    <w:rsid w:val="1B8040C8"/>
    <w:rsid w:val="1BBCEC95"/>
    <w:rsid w:val="1BE6A5D5"/>
    <w:rsid w:val="1C0E480B"/>
    <w:rsid w:val="1C608496"/>
    <w:rsid w:val="1CA72E6B"/>
    <w:rsid w:val="1CAD400C"/>
    <w:rsid w:val="1CB5C9C0"/>
    <w:rsid w:val="1CCF01E9"/>
    <w:rsid w:val="1CD94CBF"/>
    <w:rsid w:val="1CE871A3"/>
    <w:rsid w:val="1D008A94"/>
    <w:rsid w:val="1D0F9B7F"/>
    <w:rsid w:val="1D807F02"/>
    <w:rsid w:val="1D99484A"/>
    <w:rsid w:val="1DCE2B29"/>
    <w:rsid w:val="1DDB5531"/>
    <w:rsid w:val="1E5456F7"/>
    <w:rsid w:val="1E6C337B"/>
    <w:rsid w:val="1EBB2D43"/>
    <w:rsid w:val="1EED781A"/>
    <w:rsid w:val="1FE75A62"/>
    <w:rsid w:val="1FEDF406"/>
    <w:rsid w:val="20064B09"/>
    <w:rsid w:val="205108F6"/>
    <w:rsid w:val="20D554A7"/>
    <w:rsid w:val="2121A531"/>
    <w:rsid w:val="215E5DAC"/>
    <w:rsid w:val="2182E85B"/>
    <w:rsid w:val="219B2AFE"/>
    <w:rsid w:val="21E570C2"/>
    <w:rsid w:val="21FDE717"/>
    <w:rsid w:val="2202F2E4"/>
    <w:rsid w:val="2221EA7F"/>
    <w:rsid w:val="22335156"/>
    <w:rsid w:val="225BED29"/>
    <w:rsid w:val="22DE9151"/>
    <w:rsid w:val="22FF86D9"/>
    <w:rsid w:val="235314B1"/>
    <w:rsid w:val="23786B00"/>
    <w:rsid w:val="23B26358"/>
    <w:rsid w:val="23D041E7"/>
    <w:rsid w:val="23DEC8F7"/>
    <w:rsid w:val="2445EDE4"/>
    <w:rsid w:val="247B5D0A"/>
    <w:rsid w:val="2496CDCA"/>
    <w:rsid w:val="24A49502"/>
    <w:rsid w:val="24C3FD22"/>
    <w:rsid w:val="24D95E83"/>
    <w:rsid w:val="25A2C317"/>
    <w:rsid w:val="25E2CF55"/>
    <w:rsid w:val="263EC6CD"/>
    <w:rsid w:val="26FA945C"/>
    <w:rsid w:val="270459E0"/>
    <w:rsid w:val="272C0546"/>
    <w:rsid w:val="275C3558"/>
    <w:rsid w:val="27AC878E"/>
    <w:rsid w:val="280FBBC2"/>
    <w:rsid w:val="28639761"/>
    <w:rsid w:val="286865B0"/>
    <w:rsid w:val="286C4432"/>
    <w:rsid w:val="288C5FD5"/>
    <w:rsid w:val="288DE57A"/>
    <w:rsid w:val="28AF44C2"/>
    <w:rsid w:val="294596BB"/>
    <w:rsid w:val="294857EF"/>
    <w:rsid w:val="29B292A6"/>
    <w:rsid w:val="2A1C0219"/>
    <w:rsid w:val="2A89C553"/>
    <w:rsid w:val="2B31C0F7"/>
    <w:rsid w:val="2B5E9361"/>
    <w:rsid w:val="2BAADE61"/>
    <w:rsid w:val="2BDAABC5"/>
    <w:rsid w:val="2C2F5A9F"/>
    <w:rsid w:val="2C3A8794"/>
    <w:rsid w:val="2C469257"/>
    <w:rsid w:val="2C883557"/>
    <w:rsid w:val="2C90224D"/>
    <w:rsid w:val="2CB06DE7"/>
    <w:rsid w:val="2D13F93B"/>
    <w:rsid w:val="2D140A83"/>
    <w:rsid w:val="2D39C44D"/>
    <w:rsid w:val="2D5823BF"/>
    <w:rsid w:val="2DC58AAF"/>
    <w:rsid w:val="2DC8B4DD"/>
    <w:rsid w:val="2DFEEEB1"/>
    <w:rsid w:val="2E5C7685"/>
    <w:rsid w:val="2E6DCAEE"/>
    <w:rsid w:val="2E8040C9"/>
    <w:rsid w:val="2EAEB6D4"/>
    <w:rsid w:val="2EB68139"/>
    <w:rsid w:val="2EC6C6A3"/>
    <w:rsid w:val="2ECD24CC"/>
    <w:rsid w:val="2ED39B75"/>
    <w:rsid w:val="2F179F7A"/>
    <w:rsid w:val="2F265533"/>
    <w:rsid w:val="2F5596C4"/>
    <w:rsid w:val="2F6291FC"/>
    <w:rsid w:val="2F91122F"/>
    <w:rsid w:val="2FBA8BCB"/>
    <w:rsid w:val="2FE4EE39"/>
    <w:rsid w:val="2FEB574A"/>
    <w:rsid w:val="30206CEB"/>
    <w:rsid w:val="3084EC68"/>
    <w:rsid w:val="3088C704"/>
    <w:rsid w:val="30D39A56"/>
    <w:rsid w:val="30DF7C9C"/>
    <w:rsid w:val="30EFBA8E"/>
    <w:rsid w:val="310D380E"/>
    <w:rsid w:val="31928DC8"/>
    <w:rsid w:val="31FD5F9A"/>
    <w:rsid w:val="32039D13"/>
    <w:rsid w:val="320AB03E"/>
    <w:rsid w:val="322AD55E"/>
    <w:rsid w:val="322F6466"/>
    <w:rsid w:val="3247F8CF"/>
    <w:rsid w:val="32C10BBE"/>
    <w:rsid w:val="32E54B63"/>
    <w:rsid w:val="3301568F"/>
    <w:rsid w:val="330669CB"/>
    <w:rsid w:val="3378ADE5"/>
    <w:rsid w:val="338E2890"/>
    <w:rsid w:val="33C02AFD"/>
    <w:rsid w:val="33C2E45F"/>
    <w:rsid w:val="33C3DF2F"/>
    <w:rsid w:val="341FD67A"/>
    <w:rsid w:val="34373561"/>
    <w:rsid w:val="3472DF53"/>
    <w:rsid w:val="34931C8F"/>
    <w:rsid w:val="34D24E66"/>
    <w:rsid w:val="34E59A03"/>
    <w:rsid w:val="3518F1B8"/>
    <w:rsid w:val="3533688A"/>
    <w:rsid w:val="3538741D"/>
    <w:rsid w:val="353B058A"/>
    <w:rsid w:val="35ABB584"/>
    <w:rsid w:val="35D42701"/>
    <w:rsid w:val="3636B3B9"/>
    <w:rsid w:val="3685870A"/>
    <w:rsid w:val="3690CD56"/>
    <w:rsid w:val="36B8823B"/>
    <w:rsid w:val="3706B3A9"/>
    <w:rsid w:val="37A96D1A"/>
    <w:rsid w:val="3810C58F"/>
    <w:rsid w:val="3812D8CD"/>
    <w:rsid w:val="381DA2ED"/>
    <w:rsid w:val="3830A1B5"/>
    <w:rsid w:val="38597DEF"/>
    <w:rsid w:val="38707BCE"/>
    <w:rsid w:val="38B63E0E"/>
    <w:rsid w:val="38BFA77B"/>
    <w:rsid w:val="38EC8A02"/>
    <w:rsid w:val="392E5637"/>
    <w:rsid w:val="398FE9BF"/>
    <w:rsid w:val="399C9F86"/>
    <w:rsid w:val="39A3C2C3"/>
    <w:rsid w:val="39B73BE6"/>
    <w:rsid w:val="39DF7DED"/>
    <w:rsid w:val="3A169DD6"/>
    <w:rsid w:val="3A548809"/>
    <w:rsid w:val="3A5AC569"/>
    <w:rsid w:val="3A6261CD"/>
    <w:rsid w:val="3A6F91B5"/>
    <w:rsid w:val="3A7DFAD7"/>
    <w:rsid w:val="3AC2A145"/>
    <w:rsid w:val="3ADB322A"/>
    <w:rsid w:val="3AE66B94"/>
    <w:rsid w:val="3B2BE4F0"/>
    <w:rsid w:val="3B47C3D4"/>
    <w:rsid w:val="3B66B157"/>
    <w:rsid w:val="3B7F8901"/>
    <w:rsid w:val="3B918153"/>
    <w:rsid w:val="3BAA470E"/>
    <w:rsid w:val="3C1E558F"/>
    <w:rsid w:val="3C1F1549"/>
    <w:rsid w:val="3C395E67"/>
    <w:rsid w:val="3C77D1E7"/>
    <w:rsid w:val="3C830618"/>
    <w:rsid w:val="3C9D713A"/>
    <w:rsid w:val="3D086107"/>
    <w:rsid w:val="3D68760A"/>
    <w:rsid w:val="3DAD8EA4"/>
    <w:rsid w:val="3DBF4C67"/>
    <w:rsid w:val="3DFC2B23"/>
    <w:rsid w:val="3E04C5B5"/>
    <w:rsid w:val="3E21EF4B"/>
    <w:rsid w:val="3E282462"/>
    <w:rsid w:val="3E341826"/>
    <w:rsid w:val="3E9E5219"/>
    <w:rsid w:val="3ED29B9A"/>
    <w:rsid w:val="3F31C6FF"/>
    <w:rsid w:val="3F5EE4A3"/>
    <w:rsid w:val="3F694787"/>
    <w:rsid w:val="3F6B8746"/>
    <w:rsid w:val="3F6D644D"/>
    <w:rsid w:val="3F823A89"/>
    <w:rsid w:val="3FBA62AF"/>
    <w:rsid w:val="3FC81F24"/>
    <w:rsid w:val="3FD37A6A"/>
    <w:rsid w:val="3FE35D55"/>
    <w:rsid w:val="3FFAD809"/>
    <w:rsid w:val="40712A1A"/>
    <w:rsid w:val="40894CA4"/>
    <w:rsid w:val="40C8C0B7"/>
    <w:rsid w:val="40F687F2"/>
    <w:rsid w:val="41135A89"/>
    <w:rsid w:val="4113804B"/>
    <w:rsid w:val="41194B96"/>
    <w:rsid w:val="414125F1"/>
    <w:rsid w:val="415359E5"/>
    <w:rsid w:val="416F718E"/>
    <w:rsid w:val="41A96026"/>
    <w:rsid w:val="41B0F151"/>
    <w:rsid w:val="41C58116"/>
    <w:rsid w:val="41D030ED"/>
    <w:rsid w:val="41E0E2A3"/>
    <w:rsid w:val="4208EFC6"/>
    <w:rsid w:val="427A679D"/>
    <w:rsid w:val="429992F2"/>
    <w:rsid w:val="42C68CDF"/>
    <w:rsid w:val="42FCC475"/>
    <w:rsid w:val="42FD4670"/>
    <w:rsid w:val="437F9D16"/>
    <w:rsid w:val="43FB0B2B"/>
    <w:rsid w:val="4470996C"/>
    <w:rsid w:val="44AA35BA"/>
    <w:rsid w:val="44AFF6CB"/>
    <w:rsid w:val="44B4A420"/>
    <w:rsid w:val="44CA981F"/>
    <w:rsid w:val="44FD214E"/>
    <w:rsid w:val="4509F1CF"/>
    <w:rsid w:val="45112C52"/>
    <w:rsid w:val="4579D0B8"/>
    <w:rsid w:val="45E7FBEB"/>
    <w:rsid w:val="45F798CF"/>
    <w:rsid w:val="46094DE0"/>
    <w:rsid w:val="46264B7E"/>
    <w:rsid w:val="465D21DA"/>
    <w:rsid w:val="4684F2D5"/>
    <w:rsid w:val="468CE1A2"/>
    <w:rsid w:val="46B92201"/>
    <w:rsid w:val="46CC65CC"/>
    <w:rsid w:val="46E52369"/>
    <w:rsid w:val="4709F02F"/>
    <w:rsid w:val="4710F8EB"/>
    <w:rsid w:val="4728282A"/>
    <w:rsid w:val="472C5244"/>
    <w:rsid w:val="4794CE3B"/>
    <w:rsid w:val="47D28D68"/>
    <w:rsid w:val="47E8081E"/>
    <w:rsid w:val="481ECA5C"/>
    <w:rsid w:val="48D682DC"/>
    <w:rsid w:val="49283E65"/>
    <w:rsid w:val="4963ADBC"/>
    <w:rsid w:val="49A2071A"/>
    <w:rsid w:val="49C48264"/>
    <w:rsid w:val="4A4BF140"/>
    <w:rsid w:val="4A896D36"/>
    <w:rsid w:val="4B12FCF1"/>
    <w:rsid w:val="4BCB57F2"/>
    <w:rsid w:val="4BD58C37"/>
    <w:rsid w:val="4BDD9103"/>
    <w:rsid w:val="4C3B49FD"/>
    <w:rsid w:val="4C4A344B"/>
    <w:rsid w:val="4C4AD497"/>
    <w:rsid w:val="4C8439A2"/>
    <w:rsid w:val="4CB3305D"/>
    <w:rsid w:val="4CC8854C"/>
    <w:rsid w:val="4CEE91F7"/>
    <w:rsid w:val="4D72AC46"/>
    <w:rsid w:val="4DEA16C8"/>
    <w:rsid w:val="4E194C68"/>
    <w:rsid w:val="4E1DCABC"/>
    <w:rsid w:val="4E274BD9"/>
    <w:rsid w:val="4E2C210C"/>
    <w:rsid w:val="4E3DF7BD"/>
    <w:rsid w:val="4E6AEC8C"/>
    <w:rsid w:val="4E6F085F"/>
    <w:rsid w:val="4E761B65"/>
    <w:rsid w:val="4EFE1D31"/>
    <w:rsid w:val="4F201C25"/>
    <w:rsid w:val="4F35C383"/>
    <w:rsid w:val="4F4AE61B"/>
    <w:rsid w:val="4F536710"/>
    <w:rsid w:val="4F68D8E8"/>
    <w:rsid w:val="4FBB75BD"/>
    <w:rsid w:val="50BEE20E"/>
    <w:rsid w:val="50F51786"/>
    <w:rsid w:val="515B23C8"/>
    <w:rsid w:val="516A46F5"/>
    <w:rsid w:val="516C80DE"/>
    <w:rsid w:val="517406D6"/>
    <w:rsid w:val="5198C335"/>
    <w:rsid w:val="51FFEB04"/>
    <w:rsid w:val="520DEAE0"/>
    <w:rsid w:val="52C2CE5F"/>
    <w:rsid w:val="5341819E"/>
    <w:rsid w:val="53496749"/>
    <w:rsid w:val="5419F534"/>
    <w:rsid w:val="544BDEF0"/>
    <w:rsid w:val="54875EFC"/>
    <w:rsid w:val="54DCDF02"/>
    <w:rsid w:val="54E97C6A"/>
    <w:rsid w:val="554E277B"/>
    <w:rsid w:val="55AF60B7"/>
    <w:rsid w:val="55E4AFFB"/>
    <w:rsid w:val="55FE51FD"/>
    <w:rsid w:val="569E5DE2"/>
    <w:rsid w:val="56A0113C"/>
    <w:rsid w:val="56D035BF"/>
    <w:rsid w:val="56D1FE6F"/>
    <w:rsid w:val="5702E6D2"/>
    <w:rsid w:val="574D7910"/>
    <w:rsid w:val="57DED924"/>
    <w:rsid w:val="5847F728"/>
    <w:rsid w:val="585BFB9E"/>
    <w:rsid w:val="58A82669"/>
    <w:rsid w:val="58C518AB"/>
    <w:rsid w:val="58F36874"/>
    <w:rsid w:val="5934E1A2"/>
    <w:rsid w:val="5935DE2C"/>
    <w:rsid w:val="5971708F"/>
    <w:rsid w:val="59BC78C9"/>
    <w:rsid w:val="5A283F3D"/>
    <w:rsid w:val="5A56E565"/>
    <w:rsid w:val="5AB89AC3"/>
    <w:rsid w:val="5ACFCD2A"/>
    <w:rsid w:val="5B4A92FF"/>
    <w:rsid w:val="5B70506C"/>
    <w:rsid w:val="5BB3731E"/>
    <w:rsid w:val="5BE2F998"/>
    <w:rsid w:val="5C7E62F0"/>
    <w:rsid w:val="5C8492C8"/>
    <w:rsid w:val="5CB94B4E"/>
    <w:rsid w:val="5D3A4814"/>
    <w:rsid w:val="5D514294"/>
    <w:rsid w:val="5D8ED670"/>
    <w:rsid w:val="5DA2F3ED"/>
    <w:rsid w:val="5DA6642B"/>
    <w:rsid w:val="5DB1CEDF"/>
    <w:rsid w:val="5DF163B6"/>
    <w:rsid w:val="5E4BCD63"/>
    <w:rsid w:val="5E81E352"/>
    <w:rsid w:val="5E9C4D58"/>
    <w:rsid w:val="5EE3FE78"/>
    <w:rsid w:val="5F4E36B8"/>
    <w:rsid w:val="5F58A859"/>
    <w:rsid w:val="5FE4A624"/>
    <w:rsid w:val="5FF7F777"/>
    <w:rsid w:val="60073A10"/>
    <w:rsid w:val="604ED349"/>
    <w:rsid w:val="607767AE"/>
    <w:rsid w:val="60AE3282"/>
    <w:rsid w:val="60EE109C"/>
    <w:rsid w:val="6187CC49"/>
    <w:rsid w:val="61B11DAF"/>
    <w:rsid w:val="61B1D37C"/>
    <w:rsid w:val="625BBC39"/>
    <w:rsid w:val="626162BA"/>
    <w:rsid w:val="626DADB3"/>
    <w:rsid w:val="626FFDBE"/>
    <w:rsid w:val="62711E7A"/>
    <w:rsid w:val="62CA9616"/>
    <w:rsid w:val="62DA02C9"/>
    <w:rsid w:val="62FB8516"/>
    <w:rsid w:val="6310AE60"/>
    <w:rsid w:val="632F00C1"/>
    <w:rsid w:val="63472059"/>
    <w:rsid w:val="63473463"/>
    <w:rsid w:val="63949209"/>
    <w:rsid w:val="63BF79F9"/>
    <w:rsid w:val="63CDD7B9"/>
    <w:rsid w:val="63D5DFCF"/>
    <w:rsid w:val="63EB3840"/>
    <w:rsid w:val="63F2D41A"/>
    <w:rsid w:val="64123730"/>
    <w:rsid w:val="643110EC"/>
    <w:rsid w:val="647FC68C"/>
    <w:rsid w:val="648E5EC6"/>
    <w:rsid w:val="64AB0046"/>
    <w:rsid w:val="64C642B3"/>
    <w:rsid w:val="64CD191A"/>
    <w:rsid w:val="65533FFC"/>
    <w:rsid w:val="65949008"/>
    <w:rsid w:val="65AC3D71"/>
    <w:rsid w:val="65BBD84C"/>
    <w:rsid w:val="65E371D0"/>
    <w:rsid w:val="6649B0E3"/>
    <w:rsid w:val="66AE1B3B"/>
    <w:rsid w:val="66B03F10"/>
    <w:rsid w:val="670838BA"/>
    <w:rsid w:val="6752451A"/>
    <w:rsid w:val="67DA1C7C"/>
    <w:rsid w:val="67E9EC7E"/>
    <w:rsid w:val="67F8BE86"/>
    <w:rsid w:val="67FA4C0D"/>
    <w:rsid w:val="67FBC965"/>
    <w:rsid w:val="67FC4BC1"/>
    <w:rsid w:val="686505B3"/>
    <w:rsid w:val="68C3AEC6"/>
    <w:rsid w:val="68CEDDD6"/>
    <w:rsid w:val="68FEE2E1"/>
    <w:rsid w:val="69164DA0"/>
    <w:rsid w:val="69C615C3"/>
    <w:rsid w:val="69EAB0E3"/>
    <w:rsid w:val="6A548368"/>
    <w:rsid w:val="6A5E73DF"/>
    <w:rsid w:val="6A76930D"/>
    <w:rsid w:val="6A90D5DD"/>
    <w:rsid w:val="6AD00BBB"/>
    <w:rsid w:val="6AEBB270"/>
    <w:rsid w:val="6AF99474"/>
    <w:rsid w:val="6AFAE4EC"/>
    <w:rsid w:val="6B007FF0"/>
    <w:rsid w:val="6B5E3A95"/>
    <w:rsid w:val="6BA9DB9D"/>
    <w:rsid w:val="6BBFE2A1"/>
    <w:rsid w:val="6BF2BDF3"/>
    <w:rsid w:val="6C2D8873"/>
    <w:rsid w:val="6CBF7DC1"/>
    <w:rsid w:val="6CC4F1DC"/>
    <w:rsid w:val="6CC53540"/>
    <w:rsid w:val="6CF39E80"/>
    <w:rsid w:val="6D128859"/>
    <w:rsid w:val="6DB8300C"/>
    <w:rsid w:val="6DB90230"/>
    <w:rsid w:val="6DC732FD"/>
    <w:rsid w:val="6DD46F57"/>
    <w:rsid w:val="6E10FEE6"/>
    <w:rsid w:val="6E2C1699"/>
    <w:rsid w:val="6E99223F"/>
    <w:rsid w:val="6E9EAA6F"/>
    <w:rsid w:val="6ED90FA2"/>
    <w:rsid w:val="6F2E04D2"/>
    <w:rsid w:val="6F2F2A22"/>
    <w:rsid w:val="6F6C01B5"/>
    <w:rsid w:val="6F878DD1"/>
    <w:rsid w:val="6F88A1E6"/>
    <w:rsid w:val="6FA9BDB7"/>
    <w:rsid w:val="6FF37D31"/>
    <w:rsid w:val="701EDEF3"/>
    <w:rsid w:val="70306946"/>
    <w:rsid w:val="7034C8A9"/>
    <w:rsid w:val="7049A5DB"/>
    <w:rsid w:val="70572FCC"/>
    <w:rsid w:val="7097111D"/>
    <w:rsid w:val="70A54AEE"/>
    <w:rsid w:val="70E059EB"/>
    <w:rsid w:val="70E98020"/>
    <w:rsid w:val="7172596C"/>
    <w:rsid w:val="7181E5E3"/>
    <w:rsid w:val="719A4489"/>
    <w:rsid w:val="719E0E0F"/>
    <w:rsid w:val="71C39808"/>
    <w:rsid w:val="720C55BC"/>
    <w:rsid w:val="72862E5D"/>
    <w:rsid w:val="729317D5"/>
    <w:rsid w:val="7297F136"/>
    <w:rsid w:val="72AD040E"/>
    <w:rsid w:val="72AEC9E0"/>
    <w:rsid w:val="72CC1F6B"/>
    <w:rsid w:val="72CE8B10"/>
    <w:rsid w:val="72FDE792"/>
    <w:rsid w:val="731AFAE6"/>
    <w:rsid w:val="731D519D"/>
    <w:rsid w:val="732BCBA4"/>
    <w:rsid w:val="735AFCA7"/>
    <w:rsid w:val="73A1C4AC"/>
    <w:rsid w:val="73F3DAA7"/>
    <w:rsid w:val="7400783C"/>
    <w:rsid w:val="741A1240"/>
    <w:rsid w:val="74AB228D"/>
    <w:rsid w:val="74F643A8"/>
    <w:rsid w:val="74FDAA32"/>
    <w:rsid w:val="750FE52C"/>
    <w:rsid w:val="75DC8661"/>
    <w:rsid w:val="76D7A783"/>
    <w:rsid w:val="773633E9"/>
    <w:rsid w:val="77DAC1FC"/>
    <w:rsid w:val="782A2316"/>
    <w:rsid w:val="78449711"/>
    <w:rsid w:val="78963F5F"/>
    <w:rsid w:val="790176BE"/>
    <w:rsid w:val="7927E810"/>
    <w:rsid w:val="793F2AA9"/>
    <w:rsid w:val="794B3D8E"/>
    <w:rsid w:val="79E8B99F"/>
    <w:rsid w:val="79F2780C"/>
    <w:rsid w:val="7A20405B"/>
    <w:rsid w:val="7A6B01E4"/>
    <w:rsid w:val="7AA93466"/>
    <w:rsid w:val="7AFFF88C"/>
    <w:rsid w:val="7B0A1ABF"/>
    <w:rsid w:val="7B7095A1"/>
    <w:rsid w:val="7BA02CF1"/>
    <w:rsid w:val="7BC72C44"/>
    <w:rsid w:val="7BD6CA4F"/>
    <w:rsid w:val="7BDBAF89"/>
    <w:rsid w:val="7C0C8319"/>
    <w:rsid w:val="7C13E880"/>
    <w:rsid w:val="7C47D7BD"/>
    <w:rsid w:val="7C49D2B5"/>
    <w:rsid w:val="7C71C12E"/>
    <w:rsid w:val="7CB5882B"/>
    <w:rsid w:val="7CDD3C8F"/>
    <w:rsid w:val="7D40E6F6"/>
    <w:rsid w:val="7D6E89B4"/>
    <w:rsid w:val="7E93A312"/>
    <w:rsid w:val="7E94934A"/>
    <w:rsid w:val="7ED60616"/>
    <w:rsid w:val="7F05444A"/>
    <w:rsid w:val="7F22E0E3"/>
    <w:rsid w:val="7F457AC7"/>
    <w:rsid w:val="7F70B7D7"/>
    <w:rsid w:val="7FA1B229"/>
    <w:rsid w:val="7FBBC167"/>
    <w:rsid w:val="7FD9B595"/>
    <w:rsid w:val="7FDDD9A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F1D724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ga-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3CE"/>
    <w:pPr>
      <w:spacing w:after="160" w:line="259" w:lineRule="auto"/>
    </w:pPr>
    <w:rPr>
      <w:rFonts w:eastAsiaTheme="minorEastAsia"/>
    </w:rPr>
  </w:style>
  <w:style w:type="paragraph" w:styleId="Heading1">
    <w:name w:val="heading 1"/>
    <w:basedOn w:val="Normal"/>
    <w:next w:val="Normal"/>
    <w:link w:val="Heading1Char"/>
    <w:uiPriority w:val="9"/>
    <w:qFormat/>
    <w:rsid w:val="003F1FF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404A2"/>
    <w:pPr>
      <w:keepNext/>
      <w:keepLines/>
      <w:numPr>
        <w:ilvl w:val="1"/>
        <w:numId w:val="1"/>
      </w:numPr>
      <w:spacing w:before="40" w:after="0" w:line="240" w:lineRule="auto"/>
      <w:outlineLvl w:val="1"/>
    </w:pPr>
    <w:rPr>
      <w:rFonts w:asciiTheme="majorHAnsi" w:eastAsia="Times New Roman" w:hAnsiTheme="majorHAnsi" w:cstheme="majorBidi"/>
      <w:color w:val="365F91" w:themeColor="accent1" w:themeShade="BF"/>
      <w:sz w:val="32"/>
      <w:szCs w:val="32"/>
      <w:lang w:eastAsia="en-IE"/>
    </w:rPr>
  </w:style>
  <w:style w:type="paragraph" w:styleId="Heading3">
    <w:name w:val="heading 3"/>
    <w:basedOn w:val="Normal"/>
    <w:next w:val="Normal"/>
    <w:link w:val="Heading3Char"/>
    <w:uiPriority w:val="9"/>
    <w:unhideWhenUsed/>
    <w:qFormat/>
    <w:rsid w:val="0053389F"/>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53389F"/>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unhideWhenUsed/>
    <w:qFormat/>
    <w:rsid w:val="0085139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404A2"/>
    <w:rPr>
      <w:rFonts w:asciiTheme="majorHAnsi" w:eastAsia="Times New Roman" w:hAnsiTheme="majorHAnsi" w:cstheme="majorBidi"/>
      <w:color w:val="365F91" w:themeColor="accent1" w:themeShade="BF"/>
      <w:sz w:val="32"/>
      <w:szCs w:val="32"/>
      <w:lang w:val="ga-IE" w:eastAsia="en-IE"/>
    </w:rPr>
  </w:style>
  <w:style w:type="character" w:customStyle="1" w:styleId="Heading3Char">
    <w:name w:val="Heading 3 Char"/>
    <w:basedOn w:val="DefaultParagraphFont"/>
    <w:link w:val="Heading3"/>
    <w:uiPriority w:val="9"/>
    <w:rsid w:val="0053389F"/>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rsid w:val="0053389F"/>
    <w:rPr>
      <w:rFonts w:asciiTheme="majorHAnsi" w:eastAsiaTheme="majorEastAsia" w:hAnsiTheme="majorHAnsi" w:cstheme="majorBidi"/>
      <w:color w:val="365F91" w:themeColor="accent1" w:themeShade="BF"/>
      <w:sz w:val="24"/>
      <w:szCs w:val="24"/>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rsid w:val="0053389F"/>
    <w:pPr>
      <w:ind w:left="720"/>
      <w:contextualSpacing/>
    </w:p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link w:val="ListParagraph"/>
    <w:uiPriority w:val="34"/>
    <w:qFormat/>
    <w:rsid w:val="0053389F"/>
    <w:rPr>
      <w:rFonts w:eastAsiaTheme="minorEastAsia"/>
    </w:rPr>
  </w:style>
  <w:style w:type="paragraph" w:styleId="FootnoteText">
    <w:name w:val="footnote text"/>
    <w:basedOn w:val="Normal"/>
    <w:link w:val="FootnoteTextChar"/>
    <w:uiPriority w:val="99"/>
    <w:unhideWhenUsed/>
    <w:rsid w:val="003F1FF2"/>
    <w:pPr>
      <w:spacing w:after="0" w:line="240" w:lineRule="auto"/>
      <w:jc w:val="both"/>
    </w:pPr>
    <w:rPr>
      <w:rFonts w:ascii="Times New Roman" w:eastAsiaTheme="minorHAnsi" w:hAnsi="Times New Roman"/>
      <w:sz w:val="20"/>
      <w:szCs w:val="20"/>
    </w:rPr>
  </w:style>
  <w:style w:type="character" w:customStyle="1" w:styleId="FootnoteTextChar">
    <w:name w:val="Footnote Text Char"/>
    <w:basedOn w:val="DefaultParagraphFont"/>
    <w:link w:val="FootnoteText"/>
    <w:uiPriority w:val="99"/>
    <w:rsid w:val="003F1FF2"/>
    <w:rPr>
      <w:rFonts w:ascii="Times New Roman" w:hAnsi="Times New Roman"/>
      <w:sz w:val="20"/>
      <w:szCs w:val="20"/>
    </w:rPr>
  </w:style>
  <w:style w:type="character" w:styleId="FootnoteReference">
    <w:name w:val="footnote reference"/>
    <w:aliases w:val="Footnote symbol,IT Fußnotenzeichen,Footnote symboFußnotenzeichen,Footnote sign,-E Fußnotenzeichen,ESPON Footnote No,Footnote call,Footnote Reference Superscript,Footnote reference number,Times 10 Point,Exposant 3 Point,Ref,SUPERS,numb"/>
    <w:basedOn w:val="DefaultParagraphFont"/>
    <w:uiPriority w:val="99"/>
    <w:unhideWhenUsed/>
    <w:qFormat/>
    <w:rsid w:val="003F1FF2"/>
    <w:rPr>
      <w:vertAlign w:val="superscript"/>
    </w:rPr>
  </w:style>
  <w:style w:type="paragraph" w:styleId="Title">
    <w:name w:val="Title"/>
    <w:basedOn w:val="Normal"/>
    <w:next w:val="Normal"/>
    <w:link w:val="TitleChar"/>
    <w:uiPriority w:val="10"/>
    <w:qFormat/>
    <w:rsid w:val="003F1FF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1FF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F1FF2"/>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5362B5"/>
    <w:pPr>
      <w:outlineLvl w:val="9"/>
    </w:pPr>
  </w:style>
  <w:style w:type="paragraph" w:styleId="TOC1">
    <w:name w:val="toc 1"/>
    <w:basedOn w:val="Normal"/>
    <w:next w:val="Normal"/>
    <w:autoRedefine/>
    <w:uiPriority w:val="39"/>
    <w:unhideWhenUsed/>
    <w:rsid w:val="0021675B"/>
    <w:pPr>
      <w:tabs>
        <w:tab w:val="left" w:pos="440"/>
        <w:tab w:val="right" w:leader="dot" w:pos="9062"/>
      </w:tabs>
      <w:spacing w:after="100"/>
    </w:pPr>
    <w:rPr>
      <w:rFonts w:ascii="Times New Roman" w:hAnsi="Times New Roman" w:cs="Times New Roman"/>
      <w:noProof/>
      <w:color w:val="000000" w:themeColor="text1"/>
      <w:lang w:eastAsia="en-IE"/>
    </w:rPr>
  </w:style>
  <w:style w:type="paragraph" w:styleId="TOC2">
    <w:name w:val="toc 2"/>
    <w:basedOn w:val="Normal"/>
    <w:next w:val="Normal"/>
    <w:autoRedefine/>
    <w:uiPriority w:val="39"/>
    <w:unhideWhenUsed/>
    <w:rsid w:val="003F09F0"/>
    <w:pPr>
      <w:tabs>
        <w:tab w:val="left" w:pos="880"/>
        <w:tab w:val="right" w:leader="dot" w:pos="9062"/>
      </w:tabs>
      <w:spacing w:after="100"/>
      <w:ind w:left="220"/>
    </w:pPr>
  </w:style>
  <w:style w:type="character" w:styleId="Hyperlink">
    <w:name w:val="Hyperlink"/>
    <w:basedOn w:val="DefaultParagraphFont"/>
    <w:uiPriority w:val="99"/>
    <w:unhideWhenUsed/>
    <w:rsid w:val="005362B5"/>
    <w:rPr>
      <w:color w:val="0000FF" w:themeColor="hyperlink"/>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rsid w:val="00777014"/>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777014"/>
    <w:rPr>
      <w:b/>
      <w:bCs/>
    </w:rPr>
  </w:style>
  <w:style w:type="character" w:customStyle="1" w:styleId="CommentSubjectChar">
    <w:name w:val="Comment Subject Char"/>
    <w:basedOn w:val="CommentTextChar"/>
    <w:link w:val="CommentSubject"/>
    <w:uiPriority w:val="99"/>
    <w:semiHidden/>
    <w:rsid w:val="00777014"/>
    <w:rPr>
      <w:rFonts w:eastAsiaTheme="minorEastAsia"/>
      <w:b/>
      <w:bCs/>
      <w:sz w:val="20"/>
      <w:szCs w:val="20"/>
    </w:rPr>
  </w:style>
  <w:style w:type="paragraph" w:styleId="TOC3">
    <w:name w:val="toc 3"/>
    <w:basedOn w:val="Normal"/>
    <w:next w:val="Normal"/>
    <w:autoRedefine/>
    <w:uiPriority w:val="39"/>
    <w:unhideWhenUsed/>
    <w:rsid w:val="00DD16DA"/>
    <w:pPr>
      <w:tabs>
        <w:tab w:val="left" w:pos="1100"/>
        <w:tab w:val="right" w:leader="dot" w:pos="9062"/>
      </w:tabs>
      <w:spacing w:after="100"/>
      <w:ind w:left="440"/>
    </w:pPr>
  </w:style>
  <w:style w:type="paragraph" w:styleId="Revision">
    <w:name w:val="Revision"/>
    <w:hidden/>
    <w:uiPriority w:val="99"/>
    <w:semiHidden/>
    <w:rsid w:val="000C5FF3"/>
    <w:pPr>
      <w:spacing w:after="0" w:line="240" w:lineRule="auto"/>
    </w:pPr>
    <w:rPr>
      <w:rFonts w:eastAsiaTheme="minorEastAsia"/>
    </w:rPr>
  </w:style>
  <w:style w:type="paragraph" w:styleId="Header">
    <w:name w:val="header"/>
    <w:basedOn w:val="Normal"/>
    <w:link w:val="HeaderChar"/>
    <w:uiPriority w:val="99"/>
    <w:unhideWhenUsed/>
    <w:rsid w:val="009044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4480"/>
    <w:rPr>
      <w:rFonts w:eastAsiaTheme="minorEastAsia"/>
    </w:rPr>
  </w:style>
  <w:style w:type="paragraph" w:styleId="Footer">
    <w:name w:val="footer"/>
    <w:basedOn w:val="Normal"/>
    <w:link w:val="FooterChar"/>
    <w:uiPriority w:val="99"/>
    <w:unhideWhenUsed/>
    <w:rsid w:val="009044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4480"/>
    <w:rPr>
      <w:rFonts w:eastAsiaTheme="minorEastAsia"/>
    </w:rPr>
  </w:style>
  <w:style w:type="character" w:customStyle="1" w:styleId="UnresolvedMention1">
    <w:name w:val="Unresolved Mention1"/>
    <w:basedOn w:val="DefaultParagraphFont"/>
    <w:uiPriority w:val="99"/>
    <w:semiHidden/>
    <w:unhideWhenUsed/>
    <w:rsid w:val="00CA28FC"/>
    <w:rPr>
      <w:color w:val="605E5C"/>
      <w:shd w:val="clear" w:color="auto" w:fill="E1DFDD"/>
    </w:rPr>
  </w:style>
  <w:style w:type="paragraph" w:styleId="EndnoteText">
    <w:name w:val="endnote text"/>
    <w:basedOn w:val="Normal"/>
    <w:link w:val="EndnoteTextChar"/>
    <w:uiPriority w:val="99"/>
    <w:semiHidden/>
    <w:unhideWhenUsed/>
    <w:rsid w:val="00A5167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5167A"/>
    <w:rPr>
      <w:rFonts w:eastAsiaTheme="minorEastAsia"/>
      <w:sz w:val="20"/>
      <w:szCs w:val="20"/>
    </w:rPr>
  </w:style>
  <w:style w:type="character" w:styleId="EndnoteReference">
    <w:name w:val="endnote reference"/>
    <w:basedOn w:val="DefaultParagraphFont"/>
    <w:uiPriority w:val="99"/>
    <w:semiHidden/>
    <w:unhideWhenUsed/>
    <w:rsid w:val="00A5167A"/>
    <w:rPr>
      <w:vertAlign w:val="superscript"/>
    </w:rPr>
  </w:style>
  <w:style w:type="character" w:styleId="FollowedHyperlink">
    <w:name w:val="FollowedHyperlink"/>
    <w:basedOn w:val="DefaultParagraphFont"/>
    <w:uiPriority w:val="99"/>
    <w:semiHidden/>
    <w:unhideWhenUsed/>
    <w:rsid w:val="00224B7D"/>
    <w:rPr>
      <w:color w:val="800080" w:themeColor="followedHyperlink"/>
      <w:u w:val="single"/>
    </w:rPr>
  </w:style>
  <w:style w:type="character" w:customStyle="1" w:styleId="Mention1">
    <w:name w:val="Mention1"/>
    <w:basedOn w:val="DefaultParagraphFont"/>
    <w:uiPriority w:val="99"/>
    <w:unhideWhenUsed/>
    <w:rsid w:val="006D799A"/>
    <w:rPr>
      <w:color w:val="2B579A"/>
      <w:shd w:val="clear" w:color="auto" w:fill="E1DFDD"/>
    </w:rPr>
  </w:style>
  <w:style w:type="paragraph" w:customStyle="1" w:styleId="Text1">
    <w:name w:val="Text 1"/>
    <w:basedOn w:val="Normal"/>
    <w:uiPriority w:val="1"/>
    <w:qFormat/>
    <w:rsid w:val="003F1797"/>
    <w:pPr>
      <w:spacing w:after="240" w:line="240" w:lineRule="auto"/>
      <w:ind w:left="482"/>
      <w:jc w:val="both"/>
    </w:pPr>
    <w:rPr>
      <w:rFonts w:ascii="Times New Roman" w:eastAsia="Times New Roman" w:hAnsi="Times New Roman" w:cs="Times New Roman"/>
      <w:sz w:val="24"/>
      <w:szCs w:val="20"/>
      <w:lang w:eastAsia="en-GB"/>
    </w:rPr>
  </w:style>
  <w:style w:type="character" w:customStyle="1" w:styleId="ui-provider">
    <w:name w:val="ui-provider"/>
    <w:basedOn w:val="DefaultParagraphFont"/>
    <w:rsid w:val="00507EFC"/>
  </w:style>
  <w:style w:type="character" w:customStyle="1" w:styleId="normaltextrun">
    <w:name w:val="normaltextrun"/>
    <w:basedOn w:val="DefaultParagraphFont"/>
    <w:rsid w:val="00B61F8F"/>
  </w:style>
  <w:style w:type="character" w:customStyle="1" w:styleId="eop">
    <w:name w:val="eop"/>
    <w:basedOn w:val="DefaultParagraphFont"/>
    <w:rsid w:val="00B61F8F"/>
  </w:style>
  <w:style w:type="character" w:customStyle="1" w:styleId="superscript">
    <w:name w:val="superscript"/>
    <w:basedOn w:val="DefaultParagraphFont"/>
    <w:rsid w:val="00865498"/>
  </w:style>
  <w:style w:type="character" w:customStyle="1" w:styleId="Marker">
    <w:name w:val="Marker"/>
    <w:basedOn w:val="DefaultParagraphFont"/>
    <w:rsid w:val="00915255"/>
    <w:rPr>
      <w:color w:val="0000FF"/>
      <w:shd w:val="clear" w:color="auto" w:fill="auto"/>
    </w:rPr>
  </w:style>
  <w:style w:type="paragraph" w:customStyle="1" w:styleId="Pagedecouverture">
    <w:name w:val="Page de couverture"/>
    <w:basedOn w:val="Normal"/>
    <w:next w:val="Normal"/>
    <w:link w:val="PagedecouvertureChar"/>
    <w:rsid w:val="00915255"/>
    <w:pPr>
      <w:spacing w:after="0" w:line="240" w:lineRule="auto"/>
      <w:jc w:val="both"/>
    </w:pPr>
    <w:rPr>
      <w:rFonts w:ascii="Times New Roman" w:eastAsiaTheme="minorHAnsi" w:hAnsi="Times New Roman" w:cs="Times New Roman"/>
      <w:sz w:val="24"/>
    </w:rPr>
  </w:style>
  <w:style w:type="paragraph" w:customStyle="1" w:styleId="Typedudocument">
    <w:name w:val="Type du document"/>
    <w:basedOn w:val="Normal"/>
    <w:next w:val="Normal"/>
    <w:rsid w:val="00915255"/>
    <w:pPr>
      <w:spacing w:before="360" w:after="0" w:line="240" w:lineRule="auto"/>
      <w:jc w:val="center"/>
    </w:pPr>
    <w:rPr>
      <w:rFonts w:ascii="Times New Roman" w:eastAsiaTheme="minorHAnsi" w:hAnsi="Times New Roman" w:cs="Times New Roman"/>
      <w:b/>
      <w:sz w:val="24"/>
    </w:rPr>
  </w:style>
  <w:style w:type="paragraph" w:customStyle="1" w:styleId="Titreobjet">
    <w:name w:val="Titre objet"/>
    <w:basedOn w:val="Normal"/>
    <w:next w:val="Normal"/>
    <w:rsid w:val="00915255"/>
    <w:pPr>
      <w:spacing w:before="360" w:after="360" w:line="240" w:lineRule="auto"/>
      <w:jc w:val="center"/>
    </w:pPr>
    <w:rPr>
      <w:rFonts w:ascii="Times New Roman" w:eastAsiaTheme="minorHAnsi" w:hAnsi="Times New Roman" w:cs="Times New Roman"/>
      <w:b/>
      <w:sz w:val="24"/>
    </w:rPr>
  </w:style>
  <w:style w:type="paragraph" w:customStyle="1" w:styleId="FooterCoverPage">
    <w:name w:val="Footer Cover Page"/>
    <w:basedOn w:val="Normal"/>
    <w:link w:val="FooterCoverPageChar"/>
    <w:rsid w:val="00915255"/>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PagedecouvertureChar">
    <w:name w:val="Page de couverture Char"/>
    <w:basedOn w:val="DefaultParagraphFont"/>
    <w:link w:val="Pagedecouverture"/>
    <w:rsid w:val="00915255"/>
    <w:rPr>
      <w:rFonts w:ascii="Times New Roman" w:hAnsi="Times New Roman" w:cs="Times New Roman"/>
      <w:sz w:val="24"/>
    </w:rPr>
  </w:style>
  <w:style w:type="character" w:customStyle="1" w:styleId="FooterCoverPageChar">
    <w:name w:val="Footer Cover Page Char"/>
    <w:basedOn w:val="PagedecouvertureChar"/>
    <w:link w:val="FooterCoverPage"/>
    <w:rsid w:val="00915255"/>
    <w:rPr>
      <w:rFonts w:ascii="Times New Roman" w:eastAsiaTheme="minorEastAsia" w:hAnsi="Times New Roman" w:cs="Times New Roman"/>
      <w:sz w:val="24"/>
    </w:rPr>
  </w:style>
  <w:style w:type="paragraph" w:customStyle="1" w:styleId="FooterSensitivity">
    <w:name w:val="Footer Sensitivity"/>
    <w:basedOn w:val="Normal"/>
    <w:link w:val="FooterSensitivityChar"/>
    <w:rsid w:val="00915255"/>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PagedecouvertureChar"/>
    <w:link w:val="FooterSensitivity"/>
    <w:rsid w:val="00915255"/>
    <w:rPr>
      <w:rFonts w:ascii="Times New Roman" w:eastAsiaTheme="minorEastAsia" w:hAnsi="Times New Roman" w:cs="Times New Roman"/>
      <w:b/>
      <w:sz w:val="32"/>
    </w:rPr>
  </w:style>
  <w:style w:type="paragraph" w:customStyle="1" w:styleId="HeaderCoverPage">
    <w:name w:val="Header Cover Page"/>
    <w:basedOn w:val="Normal"/>
    <w:link w:val="HeaderCoverPageChar"/>
    <w:rsid w:val="00915255"/>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PagedecouvertureChar"/>
    <w:link w:val="HeaderCoverPage"/>
    <w:rsid w:val="00915255"/>
    <w:rPr>
      <w:rFonts w:ascii="Times New Roman" w:eastAsiaTheme="minorEastAsia" w:hAnsi="Times New Roman" w:cs="Times New Roman"/>
      <w:sz w:val="24"/>
    </w:rPr>
  </w:style>
  <w:style w:type="paragraph" w:customStyle="1" w:styleId="HeaderSensitivity">
    <w:name w:val="Header Sensitivity"/>
    <w:basedOn w:val="Normal"/>
    <w:link w:val="HeaderSensitivityChar"/>
    <w:rsid w:val="00915255"/>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PagedecouvertureChar"/>
    <w:link w:val="HeaderSensitivity"/>
    <w:rsid w:val="00915255"/>
    <w:rPr>
      <w:rFonts w:ascii="Times New Roman" w:eastAsiaTheme="minorEastAsia" w:hAnsi="Times New Roman" w:cs="Times New Roman"/>
      <w:b/>
      <w:sz w:val="32"/>
    </w:rPr>
  </w:style>
  <w:style w:type="paragraph" w:customStyle="1" w:styleId="HeaderSensitivityRight">
    <w:name w:val="Header Sensitivity Right"/>
    <w:basedOn w:val="Normal"/>
    <w:link w:val="HeaderSensitivityRightChar"/>
    <w:rsid w:val="00915255"/>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PagedecouvertureChar"/>
    <w:link w:val="HeaderSensitivityRight"/>
    <w:rsid w:val="00915255"/>
    <w:rPr>
      <w:rFonts w:ascii="Times New Roman" w:eastAsiaTheme="minorEastAsia" w:hAnsi="Times New Roman" w:cs="Times New Roman"/>
      <w:sz w:val="28"/>
    </w:rPr>
  </w:style>
  <w:style w:type="character" w:customStyle="1" w:styleId="Heading5Char">
    <w:name w:val="Heading 5 Char"/>
    <w:basedOn w:val="DefaultParagraphFont"/>
    <w:link w:val="Heading5"/>
    <w:uiPriority w:val="9"/>
    <w:rsid w:val="00851392"/>
    <w:rPr>
      <w:rFonts w:asciiTheme="majorHAnsi" w:eastAsiaTheme="majorEastAsia" w:hAnsiTheme="majorHAnsi" w:cstheme="majorBidi"/>
      <w:color w:val="365F91" w:themeColor="accent1" w:themeShade="BF"/>
    </w:rPr>
  </w:style>
  <w:style w:type="character" w:customStyle="1" w:styleId="cf01">
    <w:name w:val="cf01"/>
    <w:basedOn w:val="DefaultParagraphFont"/>
    <w:rsid w:val="00F00729"/>
    <w:rPr>
      <w:rFonts w:ascii="Segoe UI" w:hAnsi="Segoe UI" w:cs="Segoe UI" w:hint="default"/>
      <w:sz w:val="18"/>
      <w:szCs w:val="18"/>
    </w:rPr>
  </w:style>
  <w:style w:type="paragraph" w:styleId="BalloonText">
    <w:name w:val="Balloon Text"/>
    <w:basedOn w:val="Normal"/>
    <w:link w:val="BalloonTextChar"/>
    <w:uiPriority w:val="99"/>
    <w:semiHidden/>
    <w:unhideWhenUsed/>
    <w:rsid w:val="00EF52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256"/>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720405">
      <w:bodyDiv w:val="1"/>
      <w:marLeft w:val="0"/>
      <w:marRight w:val="0"/>
      <w:marTop w:val="0"/>
      <w:marBottom w:val="0"/>
      <w:divBdr>
        <w:top w:val="none" w:sz="0" w:space="0" w:color="auto"/>
        <w:left w:val="none" w:sz="0" w:space="0" w:color="auto"/>
        <w:bottom w:val="none" w:sz="0" w:space="0" w:color="auto"/>
        <w:right w:val="none" w:sz="0" w:space="0" w:color="auto"/>
      </w:divBdr>
    </w:div>
    <w:div w:id="358900420">
      <w:bodyDiv w:val="1"/>
      <w:marLeft w:val="0"/>
      <w:marRight w:val="0"/>
      <w:marTop w:val="0"/>
      <w:marBottom w:val="0"/>
      <w:divBdr>
        <w:top w:val="none" w:sz="0" w:space="0" w:color="auto"/>
        <w:left w:val="none" w:sz="0" w:space="0" w:color="auto"/>
        <w:bottom w:val="none" w:sz="0" w:space="0" w:color="auto"/>
        <w:right w:val="none" w:sz="0" w:space="0" w:color="auto"/>
      </w:divBdr>
    </w:div>
    <w:div w:id="365065273">
      <w:bodyDiv w:val="1"/>
      <w:marLeft w:val="0"/>
      <w:marRight w:val="0"/>
      <w:marTop w:val="0"/>
      <w:marBottom w:val="0"/>
      <w:divBdr>
        <w:top w:val="none" w:sz="0" w:space="0" w:color="auto"/>
        <w:left w:val="none" w:sz="0" w:space="0" w:color="auto"/>
        <w:bottom w:val="none" w:sz="0" w:space="0" w:color="auto"/>
        <w:right w:val="none" w:sz="0" w:space="0" w:color="auto"/>
      </w:divBdr>
    </w:div>
    <w:div w:id="383876553">
      <w:bodyDiv w:val="1"/>
      <w:marLeft w:val="0"/>
      <w:marRight w:val="0"/>
      <w:marTop w:val="0"/>
      <w:marBottom w:val="0"/>
      <w:divBdr>
        <w:top w:val="none" w:sz="0" w:space="0" w:color="auto"/>
        <w:left w:val="none" w:sz="0" w:space="0" w:color="auto"/>
        <w:bottom w:val="none" w:sz="0" w:space="0" w:color="auto"/>
        <w:right w:val="none" w:sz="0" w:space="0" w:color="auto"/>
      </w:divBdr>
    </w:div>
    <w:div w:id="422262284">
      <w:bodyDiv w:val="1"/>
      <w:marLeft w:val="0"/>
      <w:marRight w:val="0"/>
      <w:marTop w:val="0"/>
      <w:marBottom w:val="0"/>
      <w:divBdr>
        <w:top w:val="none" w:sz="0" w:space="0" w:color="auto"/>
        <w:left w:val="none" w:sz="0" w:space="0" w:color="auto"/>
        <w:bottom w:val="none" w:sz="0" w:space="0" w:color="auto"/>
        <w:right w:val="none" w:sz="0" w:space="0" w:color="auto"/>
      </w:divBdr>
    </w:div>
    <w:div w:id="529953912">
      <w:bodyDiv w:val="1"/>
      <w:marLeft w:val="0"/>
      <w:marRight w:val="0"/>
      <w:marTop w:val="0"/>
      <w:marBottom w:val="0"/>
      <w:divBdr>
        <w:top w:val="none" w:sz="0" w:space="0" w:color="auto"/>
        <w:left w:val="none" w:sz="0" w:space="0" w:color="auto"/>
        <w:bottom w:val="none" w:sz="0" w:space="0" w:color="auto"/>
        <w:right w:val="none" w:sz="0" w:space="0" w:color="auto"/>
      </w:divBdr>
    </w:div>
    <w:div w:id="544682505">
      <w:bodyDiv w:val="1"/>
      <w:marLeft w:val="0"/>
      <w:marRight w:val="0"/>
      <w:marTop w:val="0"/>
      <w:marBottom w:val="0"/>
      <w:divBdr>
        <w:top w:val="none" w:sz="0" w:space="0" w:color="auto"/>
        <w:left w:val="none" w:sz="0" w:space="0" w:color="auto"/>
        <w:bottom w:val="none" w:sz="0" w:space="0" w:color="auto"/>
        <w:right w:val="none" w:sz="0" w:space="0" w:color="auto"/>
      </w:divBdr>
    </w:div>
    <w:div w:id="591474248">
      <w:bodyDiv w:val="1"/>
      <w:marLeft w:val="0"/>
      <w:marRight w:val="0"/>
      <w:marTop w:val="0"/>
      <w:marBottom w:val="0"/>
      <w:divBdr>
        <w:top w:val="none" w:sz="0" w:space="0" w:color="auto"/>
        <w:left w:val="none" w:sz="0" w:space="0" w:color="auto"/>
        <w:bottom w:val="none" w:sz="0" w:space="0" w:color="auto"/>
        <w:right w:val="none" w:sz="0" w:space="0" w:color="auto"/>
      </w:divBdr>
    </w:div>
    <w:div w:id="632366832">
      <w:bodyDiv w:val="1"/>
      <w:marLeft w:val="0"/>
      <w:marRight w:val="0"/>
      <w:marTop w:val="0"/>
      <w:marBottom w:val="0"/>
      <w:divBdr>
        <w:top w:val="none" w:sz="0" w:space="0" w:color="auto"/>
        <w:left w:val="none" w:sz="0" w:space="0" w:color="auto"/>
        <w:bottom w:val="none" w:sz="0" w:space="0" w:color="auto"/>
        <w:right w:val="none" w:sz="0" w:space="0" w:color="auto"/>
      </w:divBdr>
    </w:div>
    <w:div w:id="647174555">
      <w:bodyDiv w:val="1"/>
      <w:marLeft w:val="0"/>
      <w:marRight w:val="0"/>
      <w:marTop w:val="0"/>
      <w:marBottom w:val="0"/>
      <w:divBdr>
        <w:top w:val="none" w:sz="0" w:space="0" w:color="auto"/>
        <w:left w:val="none" w:sz="0" w:space="0" w:color="auto"/>
        <w:bottom w:val="none" w:sz="0" w:space="0" w:color="auto"/>
        <w:right w:val="none" w:sz="0" w:space="0" w:color="auto"/>
      </w:divBdr>
    </w:div>
    <w:div w:id="744031736">
      <w:bodyDiv w:val="1"/>
      <w:marLeft w:val="0"/>
      <w:marRight w:val="0"/>
      <w:marTop w:val="0"/>
      <w:marBottom w:val="0"/>
      <w:divBdr>
        <w:top w:val="none" w:sz="0" w:space="0" w:color="auto"/>
        <w:left w:val="none" w:sz="0" w:space="0" w:color="auto"/>
        <w:bottom w:val="none" w:sz="0" w:space="0" w:color="auto"/>
        <w:right w:val="none" w:sz="0" w:space="0" w:color="auto"/>
      </w:divBdr>
    </w:div>
    <w:div w:id="763764609">
      <w:bodyDiv w:val="1"/>
      <w:marLeft w:val="0"/>
      <w:marRight w:val="0"/>
      <w:marTop w:val="0"/>
      <w:marBottom w:val="0"/>
      <w:divBdr>
        <w:top w:val="none" w:sz="0" w:space="0" w:color="auto"/>
        <w:left w:val="none" w:sz="0" w:space="0" w:color="auto"/>
        <w:bottom w:val="none" w:sz="0" w:space="0" w:color="auto"/>
        <w:right w:val="none" w:sz="0" w:space="0" w:color="auto"/>
      </w:divBdr>
    </w:div>
    <w:div w:id="777062709">
      <w:bodyDiv w:val="1"/>
      <w:marLeft w:val="0"/>
      <w:marRight w:val="0"/>
      <w:marTop w:val="0"/>
      <w:marBottom w:val="0"/>
      <w:divBdr>
        <w:top w:val="none" w:sz="0" w:space="0" w:color="auto"/>
        <w:left w:val="none" w:sz="0" w:space="0" w:color="auto"/>
        <w:bottom w:val="none" w:sz="0" w:space="0" w:color="auto"/>
        <w:right w:val="none" w:sz="0" w:space="0" w:color="auto"/>
      </w:divBdr>
    </w:div>
    <w:div w:id="800222156">
      <w:bodyDiv w:val="1"/>
      <w:marLeft w:val="0"/>
      <w:marRight w:val="0"/>
      <w:marTop w:val="0"/>
      <w:marBottom w:val="0"/>
      <w:divBdr>
        <w:top w:val="none" w:sz="0" w:space="0" w:color="auto"/>
        <w:left w:val="none" w:sz="0" w:space="0" w:color="auto"/>
        <w:bottom w:val="none" w:sz="0" w:space="0" w:color="auto"/>
        <w:right w:val="none" w:sz="0" w:space="0" w:color="auto"/>
      </w:divBdr>
    </w:div>
    <w:div w:id="902789652">
      <w:bodyDiv w:val="1"/>
      <w:marLeft w:val="0"/>
      <w:marRight w:val="0"/>
      <w:marTop w:val="0"/>
      <w:marBottom w:val="0"/>
      <w:divBdr>
        <w:top w:val="none" w:sz="0" w:space="0" w:color="auto"/>
        <w:left w:val="none" w:sz="0" w:space="0" w:color="auto"/>
        <w:bottom w:val="none" w:sz="0" w:space="0" w:color="auto"/>
        <w:right w:val="none" w:sz="0" w:space="0" w:color="auto"/>
      </w:divBdr>
    </w:div>
    <w:div w:id="946471371">
      <w:bodyDiv w:val="1"/>
      <w:marLeft w:val="0"/>
      <w:marRight w:val="0"/>
      <w:marTop w:val="0"/>
      <w:marBottom w:val="0"/>
      <w:divBdr>
        <w:top w:val="none" w:sz="0" w:space="0" w:color="auto"/>
        <w:left w:val="none" w:sz="0" w:space="0" w:color="auto"/>
        <w:bottom w:val="none" w:sz="0" w:space="0" w:color="auto"/>
        <w:right w:val="none" w:sz="0" w:space="0" w:color="auto"/>
      </w:divBdr>
    </w:div>
    <w:div w:id="965812771">
      <w:bodyDiv w:val="1"/>
      <w:marLeft w:val="0"/>
      <w:marRight w:val="0"/>
      <w:marTop w:val="0"/>
      <w:marBottom w:val="0"/>
      <w:divBdr>
        <w:top w:val="none" w:sz="0" w:space="0" w:color="auto"/>
        <w:left w:val="none" w:sz="0" w:space="0" w:color="auto"/>
        <w:bottom w:val="none" w:sz="0" w:space="0" w:color="auto"/>
        <w:right w:val="none" w:sz="0" w:space="0" w:color="auto"/>
      </w:divBdr>
    </w:div>
    <w:div w:id="1083066943">
      <w:bodyDiv w:val="1"/>
      <w:marLeft w:val="0"/>
      <w:marRight w:val="0"/>
      <w:marTop w:val="0"/>
      <w:marBottom w:val="0"/>
      <w:divBdr>
        <w:top w:val="none" w:sz="0" w:space="0" w:color="auto"/>
        <w:left w:val="none" w:sz="0" w:space="0" w:color="auto"/>
        <w:bottom w:val="none" w:sz="0" w:space="0" w:color="auto"/>
        <w:right w:val="none" w:sz="0" w:space="0" w:color="auto"/>
      </w:divBdr>
    </w:div>
    <w:div w:id="1150751631">
      <w:bodyDiv w:val="1"/>
      <w:marLeft w:val="0"/>
      <w:marRight w:val="0"/>
      <w:marTop w:val="0"/>
      <w:marBottom w:val="0"/>
      <w:divBdr>
        <w:top w:val="none" w:sz="0" w:space="0" w:color="auto"/>
        <w:left w:val="none" w:sz="0" w:space="0" w:color="auto"/>
        <w:bottom w:val="none" w:sz="0" w:space="0" w:color="auto"/>
        <w:right w:val="none" w:sz="0" w:space="0" w:color="auto"/>
      </w:divBdr>
    </w:div>
    <w:div w:id="1153183816">
      <w:bodyDiv w:val="1"/>
      <w:marLeft w:val="0"/>
      <w:marRight w:val="0"/>
      <w:marTop w:val="0"/>
      <w:marBottom w:val="0"/>
      <w:divBdr>
        <w:top w:val="none" w:sz="0" w:space="0" w:color="auto"/>
        <w:left w:val="none" w:sz="0" w:space="0" w:color="auto"/>
        <w:bottom w:val="none" w:sz="0" w:space="0" w:color="auto"/>
        <w:right w:val="none" w:sz="0" w:space="0" w:color="auto"/>
      </w:divBdr>
    </w:div>
    <w:div w:id="1269696332">
      <w:bodyDiv w:val="1"/>
      <w:marLeft w:val="0"/>
      <w:marRight w:val="0"/>
      <w:marTop w:val="0"/>
      <w:marBottom w:val="0"/>
      <w:divBdr>
        <w:top w:val="none" w:sz="0" w:space="0" w:color="auto"/>
        <w:left w:val="none" w:sz="0" w:space="0" w:color="auto"/>
        <w:bottom w:val="none" w:sz="0" w:space="0" w:color="auto"/>
        <w:right w:val="none" w:sz="0" w:space="0" w:color="auto"/>
      </w:divBdr>
    </w:div>
    <w:div w:id="1303729939">
      <w:bodyDiv w:val="1"/>
      <w:marLeft w:val="0"/>
      <w:marRight w:val="0"/>
      <w:marTop w:val="0"/>
      <w:marBottom w:val="0"/>
      <w:divBdr>
        <w:top w:val="none" w:sz="0" w:space="0" w:color="auto"/>
        <w:left w:val="none" w:sz="0" w:space="0" w:color="auto"/>
        <w:bottom w:val="none" w:sz="0" w:space="0" w:color="auto"/>
        <w:right w:val="none" w:sz="0" w:space="0" w:color="auto"/>
      </w:divBdr>
    </w:div>
    <w:div w:id="1363823117">
      <w:bodyDiv w:val="1"/>
      <w:marLeft w:val="0"/>
      <w:marRight w:val="0"/>
      <w:marTop w:val="0"/>
      <w:marBottom w:val="0"/>
      <w:divBdr>
        <w:top w:val="none" w:sz="0" w:space="0" w:color="auto"/>
        <w:left w:val="none" w:sz="0" w:space="0" w:color="auto"/>
        <w:bottom w:val="none" w:sz="0" w:space="0" w:color="auto"/>
        <w:right w:val="none" w:sz="0" w:space="0" w:color="auto"/>
      </w:divBdr>
    </w:div>
    <w:div w:id="1454010367">
      <w:bodyDiv w:val="1"/>
      <w:marLeft w:val="0"/>
      <w:marRight w:val="0"/>
      <w:marTop w:val="0"/>
      <w:marBottom w:val="0"/>
      <w:divBdr>
        <w:top w:val="none" w:sz="0" w:space="0" w:color="auto"/>
        <w:left w:val="none" w:sz="0" w:space="0" w:color="auto"/>
        <w:bottom w:val="none" w:sz="0" w:space="0" w:color="auto"/>
        <w:right w:val="none" w:sz="0" w:space="0" w:color="auto"/>
      </w:divBdr>
    </w:div>
    <w:div w:id="1459251912">
      <w:bodyDiv w:val="1"/>
      <w:marLeft w:val="0"/>
      <w:marRight w:val="0"/>
      <w:marTop w:val="0"/>
      <w:marBottom w:val="0"/>
      <w:divBdr>
        <w:top w:val="none" w:sz="0" w:space="0" w:color="auto"/>
        <w:left w:val="none" w:sz="0" w:space="0" w:color="auto"/>
        <w:bottom w:val="none" w:sz="0" w:space="0" w:color="auto"/>
        <w:right w:val="none" w:sz="0" w:space="0" w:color="auto"/>
      </w:divBdr>
    </w:div>
    <w:div w:id="1543593251">
      <w:bodyDiv w:val="1"/>
      <w:marLeft w:val="0"/>
      <w:marRight w:val="0"/>
      <w:marTop w:val="0"/>
      <w:marBottom w:val="0"/>
      <w:divBdr>
        <w:top w:val="none" w:sz="0" w:space="0" w:color="auto"/>
        <w:left w:val="none" w:sz="0" w:space="0" w:color="auto"/>
        <w:bottom w:val="none" w:sz="0" w:space="0" w:color="auto"/>
        <w:right w:val="none" w:sz="0" w:space="0" w:color="auto"/>
      </w:divBdr>
    </w:div>
    <w:div w:id="1558663890">
      <w:bodyDiv w:val="1"/>
      <w:marLeft w:val="0"/>
      <w:marRight w:val="0"/>
      <w:marTop w:val="0"/>
      <w:marBottom w:val="0"/>
      <w:divBdr>
        <w:top w:val="none" w:sz="0" w:space="0" w:color="auto"/>
        <w:left w:val="none" w:sz="0" w:space="0" w:color="auto"/>
        <w:bottom w:val="none" w:sz="0" w:space="0" w:color="auto"/>
        <w:right w:val="none" w:sz="0" w:space="0" w:color="auto"/>
      </w:divBdr>
    </w:div>
    <w:div w:id="1589339456">
      <w:bodyDiv w:val="1"/>
      <w:marLeft w:val="0"/>
      <w:marRight w:val="0"/>
      <w:marTop w:val="0"/>
      <w:marBottom w:val="0"/>
      <w:divBdr>
        <w:top w:val="none" w:sz="0" w:space="0" w:color="auto"/>
        <w:left w:val="none" w:sz="0" w:space="0" w:color="auto"/>
        <w:bottom w:val="none" w:sz="0" w:space="0" w:color="auto"/>
        <w:right w:val="none" w:sz="0" w:space="0" w:color="auto"/>
      </w:divBdr>
    </w:div>
    <w:div w:id="1635215781">
      <w:bodyDiv w:val="1"/>
      <w:marLeft w:val="0"/>
      <w:marRight w:val="0"/>
      <w:marTop w:val="0"/>
      <w:marBottom w:val="0"/>
      <w:divBdr>
        <w:top w:val="none" w:sz="0" w:space="0" w:color="auto"/>
        <w:left w:val="none" w:sz="0" w:space="0" w:color="auto"/>
        <w:bottom w:val="none" w:sz="0" w:space="0" w:color="auto"/>
        <w:right w:val="none" w:sz="0" w:space="0" w:color="auto"/>
      </w:divBdr>
    </w:div>
    <w:div w:id="1652447017">
      <w:bodyDiv w:val="1"/>
      <w:marLeft w:val="0"/>
      <w:marRight w:val="0"/>
      <w:marTop w:val="0"/>
      <w:marBottom w:val="0"/>
      <w:divBdr>
        <w:top w:val="none" w:sz="0" w:space="0" w:color="auto"/>
        <w:left w:val="none" w:sz="0" w:space="0" w:color="auto"/>
        <w:bottom w:val="none" w:sz="0" w:space="0" w:color="auto"/>
        <w:right w:val="none" w:sz="0" w:space="0" w:color="auto"/>
      </w:divBdr>
    </w:div>
    <w:div w:id="1652561831">
      <w:bodyDiv w:val="1"/>
      <w:marLeft w:val="0"/>
      <w:marRight w:val="0"/>
      <w:marTop w:val="0"/>
      <w:marBottom w:val="0"/>
      <w:divBdr>
        <w:top w:val="none" w:sz="0" w:space="0" w:color="auto"/>
        <w:left w:val="none" w:sz="0" w:space="0" w:color="auto"/>
        <w:bottom w:val="none" w:sz="0" w:space="0" w:color="auto"/>
        <w:right w:val="none" w:sz="0" w:space="0" w:color="auto"/>
      </w:divBdr>
    </w:div>
    <w:div w:id="1668365388">
      <w:bodyDiv w:val="1"/>
      <w:marLeft w:val="0"/>
      <w:marRight w:val="0"/>
      <w:marTop w:val="0"/>
      <w:marBottom w:val="0"/>
      <w:divBdr>
        <w:top w:val="none" w:sz="0" w:space="0" w:color="auto"/>
        <w:left w:val="none" w:sz="0" w:space="0" w:color="auto"/>
        <w:bottom w:val="none" w:sz="0" w:space="0" w:color="auto"/>
        <w:right w:val="none" w:sz="0" w:space="0" w:color="auto"/>
      </w:divBdr>
    </w:div>
    <w:div w:id="1676684930">
      <w:bodyDiv w:val="1"/>
      <w:marLeft w:val="0"/>
      <w:marRight w:val="0"/>
      <w:marTop w:val="0"/>
      <w:marBottom w:val="0"/>
      <w:divBdr>
        <w:top w:val="none" w:sz="0" w:space="0" w:color="auto"/>
        <w:left w:val="none" w:sz="0" w:space="0" w:color="auto"/>
        <w:bottom w:val="none" w:sz="0" w:space="0" w:color="auto"/>
        <w:right w:val="none" w:sz="0" w:space="0" w:color="auto"/>
      </w:divBdr>
    </w:div>
    <w:div w:id="1709179511">
      <w:bodyDiv w:val="1"/>
      <w:marLeft w:val="0"/>
      <w:marRight w:val="0"/>
      <w:marTop w:val="0"/>
      <w:marBottom w:val="0"/>
      <w:divBdr>
        <w:top w:val="none" w:sz="0" w:space="0" w:color="auto"/>
        <w:left w:val="none" w:sz="0" w:space="0" w:color="auto"/>
        <w:bottom w:val="none" w:sz="0" w:space="0" w:color="auto"/>
        <w:right w:val="none" w:sz="0" w:space="0" w:color="auto"/>
      </w:divBdr>
    </w:div>
    <w:div w:id="1926644065">
      <w:bodyDiv w:val="1"/>
      <w:marLeft w:val="0"/>
      <w:marRight w:val="0"/>
      <w:marTop w:val="0"/>
      <w:marBottom w:val="0"/>
      <w:divBdr>
        <w:top w:val="none" w:sz="0" w:space="0" w:color="auto"/>
        <w:left w:val="none" w:sz="0" w:space="0" w:color="auto"/>
        <w:bottom w:val="none" w:sz="0" w:space="0" w:color="auto"/>
        <w:right w:val="none" w:sz="0" w:space="0" w:color="auto"/>
      </w:divBdr>
    </w:div>
    <w:div w:id="2026246563">
      <w:bodyDiv w:val="1"/>
      <w:marLeft w:val="0"/>
      <w:marRight w:val="0"/>
      <w:marTop w:val="0"/>
      <w:marBottom w:val="0"/>
      <w:divBdr>
        <w:top w:val="none" w:sz="0" w:space="0" w:color="auto"/>
        <w:left w:val="none" w:sz="0" w:space="0" w:color="auto"/>
        <w:bottom w:val="none" w:sz="0" w:space="0" w:color="auto"/>
        <w:right w:val="none" w:sz="0" w:space="0" w:color="auto"/>
      </w:divBdr>
      <w:divsChild>
        <w:div w:id="276572375">
          <w:marLeft w:val="1080"/>
          <w:marRight w:val="0"/>
          <w:marTop w:val="100"/>
          <w:marBottom w:val="360"/>
          <w:divBdr>
            <w:top w:val="none" w:sz="0" w:space="0" w:color="auto"/>
            <w:left w:val="none" w:sz="0" w:space="0" w:color="auto"/>
            <w:bottom w:val="none" w:sz="0" w:space="0" w:color="auto"/>
            <w:right w:val="none" w:sz="0" w:space="0" w:color="auto"/>
          </w:divBdr>
        </w:div>
        <w:div w:id="755519716">
          <w:marLeft w:val="1080"/>
          <w:marRight w:val="0"/>
          <w:marTop w:val="100"/>
          <w:marBottom w:val="360"/>
          <w:divBdr>
            <w:top w:val="none" w:sz="0" w:space="0" w:color="auto"/>
            <w:left w:val="none" w:sz="0" w:space="0" w:color="auto"/>
            <w:bottom w:val="none" w:sz="0" w:space="0" w:color="auto"/>
            <w:right w:val="none" w:sz="0" w:space="0" w:color="auto"/>
          </w:divBdr>
        </w:div>
        <w:div w:id="1658413389">
          <w:marLeft w:val="1080"/>
          <w:marRight w:val="0"/>
          <w:marTop w:val="100"/>
          <w:marBottom w:val="3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EN/ALL/?uri=CELEX:52023SC0339" TargetMode="External"/><Relationship Id="rId13" Type="http://schemas.openxmlformats.org/officeDocument/2006/relationships/hyperlink" Target="https://eur-lex.europa.eu/legal-content/EN/TXT/PDF/?uri=CELEX:52021DC0082&amp;from=EN" TargetMode="External"/><Relationship Id="rId18" Type="http://schemas.openxmlformats.org/officeDocument/2006/relationships/hyperlink" Target="https://eur-lex.europa.eu/legal-content/GA/TXT/?uri=CELEX%3A52023PC0416" TargetMode="External"/><Relationship Id="rId26" Type="http://schemas.openxmlformats.org/officeDocument/2006/relationships/hyperlink" Target="https://eur-lex.europa.eu/legal-content/GA/TXT/?uri=CELEX%3A52023DC0102" TargetMode="External"/><Relationship Id="rId39" Type="http://schemas.openxmlformats.org/officeDocument/2006/relationships/hyperlink" Target="https://www.ecb.europa.eu/pub/economic-bulletin/focus/2023/html/ecb.ebbox202306_05~f5ec994b9e.en.html" TargetMode="External"/><Relationship Id="rId3" Type="http://schemas.openxmlformats.org/officeDocument/2006/relationships/hyperlink" Target="https://www.eea.europa.eu/publications/european-climate-risk-assessment" TargetMode="External"/><Relationship Id="rId21" Type="http://schemas.openxmlformats.org/officeDocument/2006/relationships/hyperlink" Target="https://climate-risk-dashboard.climateanalytics.org/" TargetMode="External"/><Relationship Id="rId34" Type="http://schemas.openxmlformats.org/officeDocument/2006/relationships/hyperlink" Target="https://eurocodes.jrc.ec.europa.eu/2nd-generation/second-generation-eurocodes-what-new" TargetMode="External"/><Relationship Id="rId42" Type="http://schemas.openxmlformats.org/officeDocument/2006/relationships/hyperlink" Target="https://eur-lex.europa.eu/legal-content/GA/TXT/?uri=COM%3A2023%3A535%3AFIN" TargetMode="External"/><Relationship Id="rId7" Type="http://schemas.openxmlformats.org/officeDocument/2006/relationships/hyperlink" Target="https://www.consilium.europa.eu/media/67627/20241027-european-council-conclusions.pdf" TargetMode="External"/><Relationship Id="rId12" Type="http://schemas.openxmlformats.org/officeDocument/2006/relationships/hyperlink" Target="https://eur-lex.europa.eu/legal-content/GA/TXT/?uri=CELEX%3A52023JC0019" TargetMode="External"/><Relationship Id="rId17" Type="http://schemas.openxmlformats.org/officeDocument/2006/relationships/hyperlink" Target="https://eur-lex.europa.eu/legal-content/GA/TXT/?uri=COM%3A2023%3A728%3AFIN" TargetMode="External"/><Relationship Id="rId25" Type="http://schemas.openxmlformats.org/officeDocument/2006/relationships/hyperlink" Target="https://www.ipcc.ch/assessment-report/ar6/" TargetMode="External"/><Relationship Id="rId33" Type="http://schemas.openxmlformats.org/officeDocument/2006/relationships/hyperlink" Target="https://osha.europa.eu/en/oshnews/heat-work-guidance-workplaces" TargetMode="External"/><Relationship Id="rId38" Type="http://schemas.openxmlformats.org/officeDocument/2006/relationships/hyperlink" Target="https://publications.jrc.ec.europa.eu/repository/handle/JRC136274" TargetMode="External"/><Relationship Id="rId2" Type="http://schemas.openxmlformats.org/officeDocument/2006/relationships/hyperlink" Target="https://climate.copernicus.eu/copernicus-2023-hottest-year-record" TargetMode="External"/><Relationship Id="rId16" Type="http://schemas.openxmlformats.org/officeDocument/2006/relationships/hyperlink" Target="https://www.wekeo.eu/" TargetMode="External"/><Relationship Id="rId20" Type="http://schemas.openxmlformats.org/officeDocument/2006/relationships/hyperlink" Target="https://drmkc.jrc.ec.europa.eu/risk-data-hub" TargetMode="External"/><Relationship Id="rId29" Type="http://schemas.openxmlformats.org/officeDocument/2006/relationships/hyperlink" Target="https://health.ec.europa.eu/non-communicable-diseases/healthier-together-eu-non-communicable-diseases-initiative_en" TargetMode="External"/><Relationship Id="rId41" Type="http://schemas.openxmlformats.org/officeDocument/2006/relationships/hyperlink" Target="https://eur-lex.europa.eu/legal-content/GA/TXT/?uri=CELEX%3A52023JC0020" TargetMode="External"/><Relationship Id="rId1" Type="http://schemas.openxmlformats.org/officeDocument/2006/relationships/hyperlink" Target="https://eur-lex.europa.eu/legal-content/EN/TXT/?uri=COM%3A2024%3A63%3AFIN" TargetMode="External"/><Relationship Id="rId6" Type="http://schemas.openxmlformats.org/officeDocument/2006/relationships/hyperlink" Target="https://www.europarl.europa.eu/doceo/document/TA-9-2022-0330_GA.html" TargetMode="External"/><Relationship Id="rId11" Type="http://schemas.openxmlformats.org/officeDocument/2006/relationships/hyperlink" Target="https://civil-protection-humanitarian-aid.ec.europa.eu/what/civil-protection/european-disaster-risk-management_en" TargetMode="External"/><Relationship Id="rId24" Type="http://schemas.openxmlformats.org/officeDocument/2006/relationships/hyperlink" Target="https://eur-lex.europa.eu/legal-content/GA/TXT/?uri=CELEX:52023DC0061" TargetMode="External"/><Relationship Id="rId32" Type="http://schemas.openxmlformats.org/officeDocument/2006/relationships/hyperlink" Target="https://www.cop28.com/en/cop28-uae-declaration-on-climate-and-health" TargetMode="External"/><Relationship Id="rId37" Type="http://schemas.openxmlformats.org/officeDocument/2006/relationships/hyperlink" Target="https://eur-lex.europa.eu/legal-content/GA/TXT/?uri=CELEX%3A52022DC0409" TargetMode="External"/><Relationship Id="rId40" Type="http://schemas.openxmlformats.org/officeDocument/2006/relationships/hyperlink" Target="https://eur-lex.europa.eu/legal-content/en/ALL/?uri=CELEX%3A52020DC0103" TargetMode="External"/><Relationship Id="rId5" Type="http://schemas.openxmlformats.org/officeDocument/2006/relationships/hyperlink" Target="https://www.ecb.europa.eu/press/pr/date/2023/html/ecb.pr231218_1~6b3bea9532.ga.html" TargetMode="External"/><Relationship Id="rId15" Type="http://schemas.openxmlformats.org/officeDocument/2006/relationships/hyperlink" Target="https://dataspace.copernicus.eu/" TargetMode="External"/><Relationship Id="rId23" Type="http://schemas.openxmlformats.org/officeDocument/2006/relationships/hyperlink" Target="https://new-european-bauhaus.europa.eu/get-involved/use-compass_en" TargetMode="External"/><Relationship Id="rId28" Type="http://schemas.openxmlformats.org/officeDocument/2006/relationships/hyperlink" Target="https://www.exhaustion.eu/" TargetMode="External"/><Relationship Id="rId36" Type="http://schemas.openxmlformats.org/officeDocument/2006/relationships/hyperlink" Target="http://www.tradeministersonclimate.org/" TargetMode="External"/><Relationship Id="rId10" Type="http://schemas.openxmlformats.org/officeDocument/2006/relationships/hyperlink" Target="https://commission.europa.eu/energy-climate-change-environment/implementation-eu-countries/energy-and-climate-governance-and-reporting/national-energy-and-climate-plans_en" TargetMode="External"/><Relationship Id="rId19" Type="http://schemas.openxmlformats.org/officeDocument/2006/relationships/hyperlink" Target="https://climate-adapt.eea.europa.eu/en/knowledge/european-climate-data-explorer/" TargetMode="External"/><Relationship Id="rId31" Type="http://schemas.openxmlformats.org/officeDocument/2006/relationships/hyperlink" Target="https://www.who.int/europe/publications/i/item/EURO-Budapest2023-6" TargetMode="External"/><Relationship Id="rId4" Type="http://schemas.openxmlformats.org/officeDocument/2006/relationships/hyperlink" Target="https://www.weforum.org/publications/global-risks-report-2024/" TargetMode="External"/><Relationship Id="rId9" Type="http://schemas.openxmlformats.org/officeDocument/2006/relationships/hyperlink" Target="https://climate.ec.europa.eu/system/files/2023-12/SWD_2023_932_1_EN.pdf" TargetMode="External"/><Relationship Id="rId14" Type="http://schemas.openxmlformats.org/officeDocument/2006/relationships/hyperlink" Target="https://climate.ec.europa.eu/document/download/768bc81f-5f48-48e3-b4d4-e02ba09faca1_en" TargetMode="External"/><Relationship Id="rId22" Type="http://schemas.openxmlformats.org/officeDocument/2006/relationships/hyperlink" Target="https://eur-lex.europa.eu/legal-content/GA/ALL/?uri=COM:2023:667:FIN" TargetMode="External"/><Relationship Id="rId27" Type="http://schemas.openxmlformats.org/officeDocument/2006/relationships/hyperlink" Target="https://research-and-innovation.ec.europa.eu/funding/funding-opportunities/funding-programmes-and-open-calls/horizon-europe/eu-missions-horizon-europe/restore-our-ocean-and-waters_ga" TargetMode="External"/><Relationship Id="rId30" Type="http://schemas.openxmlformats.org/officeDocument/2006/relationships/hyperlink" Target="https://health.ec.europa.eu/publications/comprehensive-approach-mental-health_en" TargetMode="External"/><Relationship Id="rId35" Type="http://schemas.openxmlformats.org/officeDocument/2006/relationships/hyperlink" Target="https://climate.ec.europa.eu/document/download/768bc81f-5f48-48e3-b4d4-e02ba09faca1_en" TargetMode="External"/><Relationship Id="rId43" Type="http://schemas.openxmlformats.org/officeDocument/2006/relationships/hyperlink" Target="https://eur-lex.europa.eu/legal-content/EN/TXT/?uri=CELEX%3A52023PC02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33e07890-6196-4e26-9dd2-53178dae8e48">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TaxCatchAll xmlns="faa54b14-608b-44ba-8621-4287d9574b2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CFDF3D715AA394A9B15E0E0FAA07E37" ma:contentTypeVersion="19" ma:contentTypeDescription="Create a new document." ma:contentTypeScope="" ma:versionID="5bf29b2a3c6ecafbb31bdd03e5262a3d">
  <xsd:schema xmlns:xsd="http://www.w3.org/2001/XMLSchema" xmlns:xs="http://www.w3.org/2001/XMLSchema" xmlns:p="http://schemas.microsoft.com/office/2006/metadata/properties" xmlns:ns1="http://schemas.microsoft.com/sharepoint/v3" xmlns:ns2="33e07890-6196-4e26-9dd2-53178dae8e48" xmlns:ns3="faa54b14-608b-44ba-8621-4287d9574b27" targetNamespace="http://schemas.microsoft.com/office/2006/metadata/properties" ma:root="true" ma:fieldsID="cc6c822d7742d136d6b2ce621399e9cf" ns1:_="" ns2:_="" ns3:_="">
    <xsd:import namespace="http://schemas.microsoft.com/sharepoint/v3"/>
    <xsd:import namespace="33e07890-6196-4e26-9dd2-53178dae8e48"/>
    <xsd:import namespace="faa54b14-608b-44ba-8621-4287d9574b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e07890-6196-4e26-9dd2-53178dae8e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a54b14-608b-44ba-8621-4287d9574b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e2d1171-1b20-46c7-b5af-210c5dce4f7c}" ma:internalName="TaxCatchAll" ma:showField="CatchAllData" ma:web="faa54b14-608b-44ba-8621-4287d9574b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D45BD-9959-4C35-B33C-C6B8397C3E22}">
  <ds:schemaRefs>
    <ds:schemaRef ds:uri="http://schemas.microsoft.com/sharepoint/v3/contenttype/forms"/>
  </ds:schemaRefs>
</ds:datastoreItem>
</file>

<file path=customXml/itemProps2.xml><?xml version="1.0" encoding="utf-8"?>
<ds:datastoreItem xmlns:ds="http://schemas.openxmlformats.org/officeDocument/2006/customXml" ds:itemID="{03FF0186-E0D7-4E5E-B46D-6F54AD0AB0DF}">
  <ds:schemaRefs>
    <ds:schemaRef ds:uri="http://schemas.microsoft.com/office/2006/metadata/properties"/>
    <ds:schemaRef ds:uri="http://schemas.microsoft.com/office/infopath/2007/PartnerControls"/>
    <ds:schemaRef ds:uri="http://schemas.microsoft.com/sharepoint/v3"/>
    <ds:schemaRef ds:uri="33e07890-6196-4e26-9dd2-53178dae8e48"/>
    <ds:schemaRef ds:uri="faa54b14-608b-44ba-8621-4287d9574b27"/>
  </ds:schemaRefs>
</ds:datastoreItem>
</file>

<file path=customXml/itemProps3.xml><?xml version="1.0" encoding="utf-8"?>
<ds:datastoreItem xmlns:ds="http://schemas.openxmlformats.org/officeDocument/2006/customXml" ds:itemID="{FE6E9AAA-56B9-46EF-B05C-1F80F5D0FD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e07890-6196-4e26-9dd2-53178dae8e48"/>
    <ds:schemaRef ds:uri="faa54b14-608b-44ba-8621-4287d9574b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CFCE88-5FAC-405A-B749-9F17EA55D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11683</Words>
  <Characters>66599</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78126</CharactersWithSpaces>
  <SharedDoc>false</SharedDoc>
  <HLinks>
    <vt:vector size="264" baseType="variant">
      <vt:variant>
        <vt:i4>7208998</vt:i4>
      </vt:variant>
      <vt:variant>
        <vt:i4>132</vt:i4>
      </vt:variant>
      <vt:variant>
        <vt:i4>0</vt:i4>
      </vt:variant>
      <vt:variant>
        <vt:i4>5</vt:i4>
      </vt:variant>
      <vt:variant>
        <vt:lpwstr>https://eur-lex.europa.eu/legal-content/EN/TXT/?uri=CELEX%3A52023PC0240</vt:lpwstr>
      </vt:variant>
      <vt:variant>
        <vt:lpwstr/>
      </vt:variant>
      <vt:variant>
        <vt:i4>8257634</vt:i4>
      </vt:variant>
      <vt:variant>
        <vt:i4>129</vt:i4>
      </vt:variant>
      <vt:variant>
        <vt:i4>0</vt:i4>
      </vt:variant>
      <vt:variant>
        <vt:i4>5</vt:i4>
      </vt:variant>
      <vt:variant>
        <vt:lpwstr>https://eur-lex.europa.eu/legal-content/EN/TXT/?uri=COM%3A2023%3A535%3AFIN</vt:lpwstr>
      </vt:variant>
      <vt:variant>
        <vt:lpwstr/>
      </vt:variant>
      <vt:variant>
        <vt:i4>7471140</vt:i4>
      </vt:variant>
      <vt:variant>
        <vt:i4>126</vt:i4>
      </vt:variant>
      <vt:variant>
        <vt:i4>0</vt:i4>
      </vt:variant>
      <vt:variant>
        <vt:i4>5</vt:i4>
      </vt:variant>
      <vt:variant>
        <vt:lpwstr>https://eur-lex.europa.eu/legal-content/EN/TXT/?uri=CELEX%3A52023JC0020</vt:lpwstr>
      </vt:variant>
      <vt:variant>
        <vt:lpwstr/>
      </vt:variant>
      <vt:variant>
        <vt:i4>7536690</vt:i4>
      </vt:variant>
      <vt:variant>
        <vt:i4>123</vt:i4>
      </vt:variant>
      <vt:variant>
        <vt:i4>0</vt:i4>
      </vt:variant>
      <vt:variant>
        <vt:i4>5</vt:i4>
      </vt:variant>
      <vt:variant>
        <vt:lpwstr>https://eur-lex.europa.eu/legal-content/en/ALL/?uri=CELEX%3A52020DC0103</vt:lpwstr>
      </vt:variant>
      <vt:variant>
        <vt:lpwstr/>
      </vt:variant>
      <vt:variant>
        <vt:i4>3407966</vt:i4>
      </vt:variant>
      <vt:variant>
        <vt:i4>120</vt:i4>
      </vt:variant>
      <vt:variant>
        <vt:i4>0</vt:i4>
      </vt:variant>
      <vt:variant>
        <vt:i4>5</vt:i4>
      </vt:variant>
      <vt:variant>
        <vt:lpwstr>https://www.ecb.europa.eu/pub/economic-bulletin/focus/2023/html/ecb.ebbox202306_05~f5ec994b9e.en.html</vt:lpwstr>
      </vt:variant>
      <vt:variant>
        <vt:lpwstr/>
      </vt:variant>
      <vt:variant>
        <vt:i4>131136</vt:i4>
      </vt:variant>
      <vt:variant>
        <vt:i4>117</vt:i4>
      </vt:variant>
      <vt:variant>
        <vt:i4>0</vt:i4>
      </vt:variant>
      <vt:variant>
        <vt:i4>5</vt:i4>
      </vt:variant>
      <vt:variant>
        <vt:lpwstr>https://publications.jrc.ec.europa.eu/repository/handle/JRC136274</vt:lpwstr>
      </vt:variant>
      <vt:variant>
        <vt:lpwstr/>
      </vt:variant>
      <vt:variant>
        <vt:i4>8257569</vt:i4>
      </vt:variant>
      <vt:variant>
        <vt:i4>114</vt:i4>
      </vt:variant>
      <vt:variant>
        <vt:i4>0</vt:i4>
      </vt:variant>
      <vt:variant>
        <vt:i4>5</vt:i4>
      </vt:variant>
      <vt:variant>
        <vt:lpwstr>https://eur-lex.europa.eu/legal-content/EN/TXT/?uri=CELEX%3A52022DC0409</vt:lpwstr>
      </vt:variant>
      <vt:variant>
        <vt:lpwstr/>
      </vt:variant>
      <vt:variant>
        <vt:i4>3407975</vt:i4>
      </vt:variant>
      <vt:variant>
        <vt:i4>111</vt:i4>
      </vt:variant>
      <vt:variant>
        <vt:i4>0</vt:i4>
      </vt:variant>
      <vt:variant>
        <vt:i4>5</vt:i4>
      </vt:variant>
      <vt:variant>
        <vt:lpwstr>http://www.tradeministersonclimate.org/</vt:lpwstr>
      </vt:variant>
      <vt:variant>
        <vt:lpwstr/>
      </vt:variant>
      <vt:variant>
        <vt:i4>5767227</vt:i4>
      </vt:variant>
      <vt:variant>
        <vt:i4>108</vt:i4>
      </vt:variant>
      <vt:variant>
        <vt:i4>0</vt:i4>
      </vt:variant>
      <vt:variant>
        <vt:i4>5</vt:i4>
      </vt:variant>
      <vt:variant>
        <vt:lpwstr>https://climate.ec.europa.eu/document/download/768bc81f-5f48-48e3-b4d4-e02ba09faca1_en</vt:lpwstr>
      </vt:variant>
      <vt:variant>
        <vt:lpwstr/>
      </vt:variant>
      <vt:variant>
        <vt:i4>3014781</vt:i4>
      </vt:variant>
      <vt:variant>
        <vt:i4>105</vt:i4>
      </vt:variant>
      <vt:variant>
        <vt:i4>0</vt:i4>
      </vt:variant>
      <vt:variant>
        <vt:i4>5</vt:i4>
      </vt:variant>
      <vt:variant>
        <vt:lpwstr>https://eurocodes.jrc.ec.europa.eu/2nd-generation/second-generation-eurocodes-what-new</vt:lpwstr>
      </vt:variant>
      <vt:variant>
        <vt:lpwstr/>
      </vt:variant>
      <vt:variant>
        <vt:i4>6422573</vt:i4>
      </vt:variant>
      <vt:variant>
        <vt:i4>102</vt:i4>
      </vt:variant>
      <vt:variant>
        <vt:i4>0</vt:i4>
      </vt:variant>
      <vt:variant>
        <vt:i4>5</vt:i4>
      </vt:variant>
      <vt:variant>
        <vt:lpwstr>https://osha.europa.eu/en/oshnews/heat-work-guidance-workplaces</vt:lpwstr>
      </vt:variant>
      <vt:variant>
        <vt:lpwstr/>
      </vt:variant>
      <vt:variant>
        <vt:i4>1441862</vt:i4>
      </vt:variant>
      <vt:variant>
        <vt:i4>99</vt:i4>
      </vt:variant>
      <vt:variant>
        <vt:i4>0</vt:i4>
      </vt:variant>
      <vt:variant>
        <vt:i4>5</vt:i4>
      </vt:variant>
      <vt:variant>
        <vt:lpwstr>https://www.cop28.com/en/cop28-uae-declaration-on-climate-and-health</vt:lpwstr>
      </vt:variant>
      <vt:variant>
        <vt:lpwstr/>
      </vt:variant>
      <vt:variant>
        <vt:i4>4063335</vt:i4>
      </vt:variant>
      <vt:variant>
        <vt:i4>96</vt:i4>
      </vt:variant>
      <vt:variant>
        <vt:i4>0</vt:i4>
      </vt:variant>
      <vt:variant>
        <vt:i4>5</vt:i4>
      </vt:variant>
      <vt:variant>
        <vt:lpwstr>https://www.who.int/europe/publications/i/item/EURO-Budapest2023-6</vt:lpwstr>
      </vt:variant>
      <vt:variant>
        <vt:lpwstr/>
      </vt:variant>
      <vt:variant>
        <vt:i4>7274505</vt:i4>
      </vt:variant>
      <vt:variant>
        <vt:i4>93</vt:i4>
      </vt:variant>
      <vt:variant>
        <vt:i4>0</vt:i4>
      </vt:variant>
      <vt:variant>
        <vt:i4>5</vt:i4>
      </vt:variant>
      <vt:variant>
        <vt:lpwstr>https://health.ec.europa.eu/publications/comprehensive-approach-mental-health_en</vt:lpwstr>
      </vt:variant>
      <vt:variant>
        <vt:lpwstr/>
      </vt:variant>
      <vt:variant>
        <vt:i4>7012420</vt:i4>
      </vt:variant>
      <vt:variant>
        <vt:i4>90</vt:i4>
      </vt:variant>
      <vt:variant>
        <vt:i4>0</vt:i4>
      </vt:variant>
      <vt:variant>
        <vt:i4>5</vt:i4>
      </vt:variant>
      <vt:variant>
        <vt:lpwstr>https://health.ec.europa.eu/non-communicable-diseases/healthier-together-eu-non-communicable-diseases-initiative_en</vt:lpwstr>
      </vt:variant>
      <vt:variant>
        <vt:lpwstr/>
      </vt:variant>
      <vt:variant>
        <vt:i4>7274616</vt:i4>
      </vt:variant>
      <vt:variant>
        <vt:i4>87</vt:i4>
      </vt:variant>
      <vt:variant>
        <vt:i4>0</vt:i4>
      </vt:variant>
      <vt:variant>
        <vt:i4>5</vt:i4>
      </vt:variant>
      <vt:variant>
        <vt:lpwstr>https://www.exhaustion.eu/</vt:lpwstr>
      </vt:variant>
      <vt:variant>
        <vt:lpwstr/>
      </vt:variant>
      <vt:variant>
        <vt:i4>1704042</vt:i4>
      </vt:variant>
      <vt:variant>
        <vt:i4>84</vt:i4>
      </vt:variant>
      <vt:variant>
        <vt:i4>0</vt:i4>
      </vt:variant>
      <vt:variant>
        <vt:i4>5</vt:i4>
      </vt:variant>
      <vt:variant>
        <vt:lpwstr>https://research-and-innovation.ec.europa.eu/funding/funding-opportunities/funding-programmes-and-open-calls/horizon-europe/eu-missions-horizon-europe/restore-our-ocean-and-waters_en</vt:lpwstr>
      </vt:variant>
      <vt:variant>
        <vt:lpwstr/>
      </vt:variant>
      <vt:variant>
        <vt:i4>8257573</vt:i4>
      </vt:variant>
      <vt:variant>
        <vt:i4>81</vt:i4>
      </vt:variant>
      <vt:variant>
        <vt:i4>0</vt:i4>
      </vt:variant>
      <vt:variant>
        <vt:i4>5</vt:i4>
      </vt:variant>
      <vt:variant>
        <vt:lpwstr>https://eur-lex.europa.eu/legal-content/EN/TXT/?uri=CELEX%3A52023DC0102</vt:lpwstr>
      </vt:variant>
      <vt:variant>
        <vt:lpwstr/>
      </vt:variant>
      <vt:variant>
        <vt:i4>2359411</vt:i4>
      </vt:variant>
      <vt:variant>
        <vt:i4>78</vt:i4>
      </vt:variant>
      <vt:variant>
        <vt:i4>0</vt:i4>
      </vt:variant>
      <vt:variant>
        <vt:i4>5</vt:i4>
      </vt:variant>
      <vt:variant>
        <vt:lpwstr>https://www.worldbank.org/en/publication/changing-wealth-of-nations</vt:lpwstr>
      </vt:variant>
      <vt:variant>
        <vt:lpwstr/>
      </vt:variant>
      <vt:variant>
        <vt:i4>6357098</vt:i4>
      </vt:variant>
      <vt:variant>
        <vt:i4>72</vt:i4>
      </vt:variant>
      <vt:variant>
        <vt:i4>0</vt:i4>
      </vt:variant>
      <vt:variant>
        <vt:i4>5</vt:i4>
      </vt:variant>
      <vt:variant>
        <vt:lpwstr>https://www.ipcc.ch/assessment-report/ar6/</vt:lpwstr>
      </vt:variant>
      <vt:variant>
        <vt:lpwstr/>
      </vt:variant>
      <vt:variant>
        <vt:i4>393239</vt:i4>
      </vt:variant>
      <vt:variant>
        <vt:i4>69</vt:i4>
      </vt:variant>
      <vt:variant>
        <vt:i4>0</vt:i4>
      </vt:variant>
      <vt:variant>
        <vt:i4>5</vt:i4>
      </vt:variant>
      <vt:variant>
        <vt:lpwstr>https://eur-lex.europa.eu/legal-content/EN/TXT/?uri=CELEX:52023DC0061</vt:lpwstr>
      </vt:variant>
      <vt:variant>
        <vt:lpwstr/>
      </vt:variant>
      <vt:variant>
        <vt:i4>5767203</vt:i4>
      </vt:variant>
      <vt:variant>
        <vt:i4>66</vt:i4>
      </vt:variant>
      <vt:variant>
        <vt:i4>0</vt:i4>
      </vt:variant>
      <vt:variant>
        <vt:i4>5</vt:i4>
      </vt:variant>
      <vt:variant>
        <vt:lpwstr>https://new-european-bauhaus.europa.eu/get-involved/use-compass_en</vt:lpwstr>
      </vt:variant>
      <vt:variant>
        <vt:lpwstr/>
      </vt:variant>
      <vt:variant>
        <vt:i4>786496</vt:i4>
      </vt:variant>
      <vt:variant>
        <vt:i4>63</vt:i4>
      </vt:variant>
      <vt:variant>
        <vt:i4>0</vt:i4>
      </vt:variant>
      <vt:variant>
        <vt:i4>5</vt:i4>
      </vt:variant>
      <vt:variant>
        <vt:lpwstr>https://eur-lex.europa.eu/legal-content/EN/ALL/?uri=COM:2023:667:FIN</vt:lpwstr>
      </vt:variant>
      <vt:variant>
        <vt:lpwstr/>
      </vt:variant>
      <vt:variant>
        <vt:i4>5439558</vt:i4>
      </vt:variant>
      <vt:variant>
        <vt:i4>60</vt:i4>
      </vt:variant>
      <vt:variant>
        <vt:i4>0</vt:i4>
      </vt:variant>
      <vt:variant>
        <vt:i4>5</vt:i4>
      </vt:variant>
      <vt:variant>
        <vt:lpwstr>https://climate-risk-dashboard.climateanalytics.org/</vt:lpwstr>
      </vt:variant>
      <vt:variant>
        <vt:lpwstr/>
      </vt:variant>
      <vt:variant>
        <vt:i4>196668</vt:i4>
      </vt:variant>
      <vt:variant>
        <vt:i4>57</vt:i4>
      </vt:variant>
      <vt:variant>
        <vt:i4>0</vt:i4>
      </vt:variant>
      <vt:variant>
        <vt:i4>5</vt:i4>
      </vt:variant>
      <vt:variant>
        <vt:lpwstr>https://drmkc.jrc.ec.europa.eu/risk-data-hub</vt:lpwstr>
      </vt:variant>
      <vt:variant>
        <vt:lpwstr>/</vt:lpwstr>
      </vt:variant>
      <vt:variant>
        <vt:i4>5046346</vt:i4>
      </vt:variant>
      <vt:variant>
        <vt:i4>54</vt:i4>
      </vt:variant>
      <vt:variant>
        <vt:i4>0</vt:i4>
      </vt:variant>
      <vt:variant>
        <vt:i4>5</vt:i4>
      </vt:variant>
      <vt:variant>
        <vt:lpwstr>https://climate-adapt.eea.europa.eu/en/knowledge/european-climate-data-explorer/</vt:lpwstr>
      </vt:variant>
      <vt:variant>
        <vt:lpwstr/>
      </vt:variant>
      <vt:variant>
        <vt:i4>7012384</vt:i4>
      </vt:variant>
      <vt:variant>
        <vt:i4>51</vt:i4>
      </vt:variant>
      <vt:variant>
        <vt:i4>0</vt:i4>
      </vt:variant>
      <vt:variant>
        <vt:i4>5</vt:i4>
      </vt:variant>
      <vt:variant>
        <vt:lpwstr>https://eur-lex.europa.eu/legal-content/EN/TXT/?uri=CELEX%3A52023PC0416</vt:lpwstr>
      </vt:variant>
      <vt:variant>
        <vt:lpwstr/>
      </vt:variant>
      <vt:variant>
        <vt:i4>7405667</vt:i4>
      </vt:variant>
      <vt:variant>
        <vt:i4>48</vt:i4>
      </vt:variant>
      <vt:variant>
        <vt:i4>0</vt:i4>
      </vt:variant>
      <vt:variant>
        <vt:i4>5</vt:i4>
      </vt:variant>
      <vt:variant>
        <vt:lpwstr>https://eur-lex.europa.eu/legal-content/EN/TXT/?uri=COM%3A2023%3A728%3AFIN</vt:lpwstr>
      </vt:variant>
      <vt:variant>
        <vt:lpwstr/>
      </vt:variant>
      <vt:variant>
        <vt:i4>1245270</vt:i4>
      </vt:variant>
      <vt:variant>
        <vt:i4>45</vt:i4>
      </vt:variant>
      <vt:variant>
        <vt:i4>0</vt:i4>
      </vt:variant>
      <vt:variant>
        <vt:i4>5</vt:i4>
      </vt:variant>
      <vt:variant>
        <vt:lpwstr>https://www.wekeo.eu/</vt:lpwstr>
      </vt:variant>
      <vt:variant>
        <vt:lpwstr/>
      </vt:variant>
      <vt:variant>
        <vt:i4>1179649</vt:i4>
      </vt:variant>
      <vt:variant>
        <vt:i4>42</vt:i4>
      </vt:variant>
      <vt:variant>
        <vt:i4>0</vt:i4>
      </vt:variant>
      <vt:variant>
        <vt:i4>5</vt:i4>
      </vt:variant>
      <vt:variant>
        <vt:lpwstr>https://dataspace.copernicus.eu/</vt:lpwstr>
      </vt:variant>
      <vt:variant>
        <vt:lpwstr/>
      </vt:variant>
      <vt:variant>
        <vt:i4>5767227</vt:i4>
      </vt:variant>
      <vt:variant>
        <vt:i4>39</vt:i4>
      </vt:variant>
      <vt:variant>
        <vt:i4>0</vt:i4>
      </vt:variant>
      <vt:variant>
        <vt:i4>5</vt:i4>
      </vt:variant>
      <vt:variant>
        <vt:lpwstr>https://climate.ec.europa.eu/document/download/768bc81f-5f48-48e3-b4d4-e02ba09faca1_en</vt:lpwstr>
      </vt:variant>
      <vt:variant>
        <vt:lpwstr/>
      </vt:variant>
      <vt:variant>
        <vt:i4>4325464</vt:i4>
      </vt:variant>
      <vt:variant>
        <vt:i4>36</vt:i4>
      </vt:variant>
      <vt:variant>
        <vt:i4>0</vt:i4>
      </vt:variant>
      <vt:variant>
        <vt:i4>5</vt:i4>
      </vt:variant>
      <vt:variant>
        <vt:lpwstr>https://eur-lex.europa.eu/legal-content/EN/TXT/PDF/?uri=CELEX:52021DC0082&amp;from=EN</vt:lpwstr>
      </vt:variant>
      <vt:variant>
        <vt:lpwstr/>
      </vt:variant>
      <vt:variant>
        <vt:i4>7405604</vt:i4>
      </vt:variant>
      <vt:variant>
        <vt:i4>33</vt:i4>
      </vt:variant>
      <vt:variant>
        <vt:i4>0</vt:i4>
      </vt:variant>
      <vt:variant>
        <vt:i4>5</vt:i4>
      </vt:variant>
      <vt:variant>
        <vt:lpwstr>https://eur-lex.europa.eu/legal-content/EN/TXT/?uri=CELEX%3A52023JC0019</vt:lpwstr>
      </vt:variant>
      <vt:variant>
        <vt:lpwstr/>
      </vt:variant>
      <vt:variant>
        <vt:i4>589885</vt:i4>
      </vt:variant>
      <vt:variant>
        <vt:i4>30</vt:i4>
      </vt:variant>
      <vt:variant>
        <vt:i4>0</vt:i4>
      </vt:variant>
      <vt:variant>
        <vt:i4>5</vt:i4>
      </vt:variant>
      <vt:variant>
        <vt:lpwstr>https://civil-protection-humanitarian-aid.ec.europa.eu/what/civil-protection/european-disaster-risk-management_en</vt:lpwstr>
      </vt:variant>
      <vt:variant>
        <vt:lpwstr/>
      </vt:variant>
      <vt:variant>
        <vt:i4>7798798</vt:i4>
      </vt:variant>
      <vt:variant>
        <vt:i4>27</vt:i4>
      </vt:variant>
      <vt:variant>
        <vt:i4>0</vt:i4>
      </vt:variant>
      <vt:variant>
        <vt:i4>5</vt:i4>
      </vt:variant>
      <vt:variant>
        <vt:lpwstr>https://commission.europa.eu/energy-climate-change-environment/implementation-eu-countries/energy-and-climate-governance-and-reporting/national-energy-and-climate-plans_en</vt:lpwstr>
      </vt:variant>
      <vt:variant>
        <vt:lpwstr/>
      </vt:variant>
      <vt:variant>
        <vt:i4>6226007</vt:i4>
      </vt:variant>
      <vt:variant>
        <vt:i4>24</vt:i4>
      </vt:variant>
      <vt:variant>
        <vt:i4>0</vt:i4>
      </vt:variant>
      <vt:variant>
        <vt:i4>5</vt:i4>
      </vt:variant>
      <vt:variant>
        <vt:lpwstr>https://climate.ec.europa.eu/system/files/2023-12/SWD_2023_932_1_EN.pdf</vt:lpwstr>
      </vt:variant>
      <vt:variant>
        <vt:lpwstr/>
      </vt:variant>
      <vt:variant>
        <vt:i4>1638400</vt:i4>
      </vt:variant>
      <vt:variant>
        <vt:i4>21</vt:i4>
      </vt:variant>
      <vt:variant>
        <vt:i4>0</vt:i4>
      </vt:variant>
      <vt:variant>
        <vt:i4>5</vt:i4>
      </vt:variant>
      <vt:variant>
        <vt:lpwstr>https://eur-lex.europa.eu/legal-content/EN/ALL/?uri=CELEX:52023SC0339</vt:lpwstr>
      </vt:variant>
      <vt:variant>
        <vt:lpwstr/>
      </vt:variant>
      <vt:variant>
        <vt:i4>131099</vt:i4>
      </vt:variant>
      <vt:variant>
        <vt:i4>18</vt:i4>
      </vt:variant>
      <vt:variant>
        <vt:i4>0</vt:i4>
      </vt:variant>
      <vt:variant>
        <vt:i4>5</vt:i4>
      </vt:variant>
      <vt:variant>
        <vt:lpwstr>https://www.consilium.europa.eu/media/67627/20241027-european-council-conclusions.pdf</vt:lpwstr>
      </vt:variant>
      <vt:variant>
        <vt:lpwstr/>
      </vt:variant>
      <vt:variant>
        <vt:i4>327717</vt:i4>
      </vt:variant>
      <vt:variant>
        <vt:i4>15</vt:i4>
      </vt:variant>
      <vt:variant>
        <vt:i4>0</vt:i4>
      </vt:variant>
      <vt:variant>
        <vt:i4>5</vt:i4>
      </vt:variant>
      <vt:variant>
        <vt:lpwstr>https://www.europarl.europa.eu/doceo/document/TA-9-2022-0330_EN.html</vt:lpwstr>
      </vt:variant>
      <vt:variant>
        <vt:lpwstr/>
      </vt:variant>
      <vt:variant>
        <vt:i4>6684748</vt:i4>
      </vt:variant>
      <vt:variant>
        <vt:i4>12</vt:i4>
      </vt:variant>
      <vt:variant>
        <vt:i4>0</vt:i4>
      </vt:variant>
      <vt:variant>
        <vt:i4>5</vt:i4>
      </vt:variant>
      <vt:variant>
        <vt:lpwstr>https://www.ecb.europa.eu/press/pr/date/2023/html/ecb.pr231218_1~6b3bea9532.en.html</vt:lpwstr>
      </vt:variant>
      <vt:variant>
        <vt:lpwstr/>
      </vt:variant>
      <vt:variant>
        <vt:i4>7077949</vt:i4>
      </vt:variant>
      <vt:variant>
        <vt:i4>9</vt:i4>
      </vt:variant>
      <vt:variant>
        <vt:i4>0</vt:i4>
      </vt:variant>
      <vt:variant>
        <vt:i4>5</vt:i4>
      </vt:variant>
      <vt:variant>
        <vt:lpwstr>https://www.weforum.org/publications/global-risks-report-2024/</vt:lpwstr>
      </vt:variant>
      <vt:variant>
        <vt:lpwstr/>
      </vt:variant>
      <vt:variant>
        <vt:i4>3342457</vt:i4>
      </vt:variant>
      <vt:variant>
        <vt:i4>6</vt:i4>
      </vt:variant>
      <vt:variant>
        <vt:i4>0</vt:i4>
      </vt:variant>
      <vt:variant>
        <vt:i4>5</vt:i4>
      </vt:variant>
      <vt:variant>
        <vt:lpwstr>https://www.eea.europa.eu/publications/european-climate-risk-assessment</vt:lpwstr>
      </vt:variant>
      <vt:variant>
        <vt:lpwstr/>
      </vt:variant>
      <vt:variant>
        <vt:i4>1835017</vt:i4>
      </vt:variant>
      <vt:variant>
        <vt:i4>3</vt:i4>
      </vt:variant>
      <vt:variant>
        <vt:i4>0</vt:i4>
      </vt:variant>
      <vt:variant>
        <vt:i4>5</vt:i4>
      </vt:variant>
      <vt:variant>
        <vt:lpwstr>https://climate.copernicus.eu/copernicus-2023-hottest-year-record</vt:lpwstr>
      </vt:variant>
      <vt:variant>
        <vt:lpwstr/>
      </vt:variant>
      <vt:variant>
        <vt:i4>5832730</vt:i4>
      </vt:variant>
      <vt:variant>
        <vt:i4>0</vt:i4>
      </vt:variant>
      <vt:variant>
        <vt:i4>0</vt:i4>
      </vt:variant>
      <vt:variant>
        <vt:i4>5</vt:i4>
      </vt:variant>
      <vt:variant>
        <vt:lpwstr>https://eur-lex.europa.eu/legal-content/EN/TXT/?uri=COM%3A2024%3A63%3AFIN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2024-03-11T21:25:00Z</dcterms:created>
  <dcterms:modified xsi:type="dcterms:W3CDTF">2024-03-18T22:02:00Z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ast edited using">
    <vt:lpwstr>LW 9.0, Build 20230317</vt:lpwstr>
  </property>
  <property fmtid="{D5CDD505-2E9C-101B-9397-08002B2CF9AE}" pid="4" name="MSIP_Label_6bd9ddd1-4d20-43f6-abfa-fc3c07406f94_Name">
    <vt:lpwstr>Commission Use</vt:lpwstr>
  </property>
  <property fmtid="{D5CDD505-2E9C-101B-9397-08002B2CF9AE}" pid="5" name="Part">
    <vt:lpwstr>1</vt:lpwstr>
  </property>
  <property fmtid="{D5CDD505-2E9C-101B-9397-08002B2CF9AE}" pid="6" name="MediaServiceImageTags">
    <vt:lpwstr/>
  </property>
  <property fmtid="{D5CDD505-2E9C-101B-9397-08002B2CF9AE}" pid="7" name="ContentTypeId">
    <vt:lpwstr>0x010100ECFDF3D715AA394A9B15E0E0FAA07E37</vt:lpwstr>
  </property>
  <property fmtid="{D5CDD505-2E9C-101B-9397-08002B2CF9AE}" pid="8" name="MSIP_Label_6bd9ddd1-4d20-43f6-abfa-fc3c07406f94_ContentBits">
    <vt:lpwstr>0</vt:lpwstr>
  </property>
  <property fmtid="{D5CDD505-2E9C-101B-9397-08002B2CF9AE}" pid="9" name="CPTemplateID">
    <vt:lpwstr>CP-014</vt:lpwstr>
  </property>
  <property fmtid="{D5CDD505-2E9C-101B-9397-08002B2CF9AE}" pid="10" name="MSIP_Label_6bd9ddd1-4d20-43f6-abfa-fc3c07406f94_SiteId">
    <vt:lpwstr>b24c8b06-522c-46fe-9080-70926f8dddb1</vt:lpwstr>
  </property>
  <property fmtid="{D5CDD505-2E9C-101B-9397-08002B2CF9AE}" pid="11" name="MSIP_Label_6bd9ddd1-4d20-43f6-abfa-fc3c07406f94_Method">
    <vt:lpwstr>Standard</vt:lpwstr>
  </property>
  <property fmtid="{D5CDD505-2E9C-101B-9397-08002B2CF9AE}" pid="12" name="MSIP_Label_6bd9ddd1-4d20-43f6-abfa-fc3c07406f94_Enabled">
    <vt:lpwstr>true</vt:lpwstr>
  </property>
  <property fmtid="{D5CDD505-2E9C-101B-9397-08002B2CF9AE}" pid="13" name="Total parts">
    <vt:lpwstr>1</vt:lpwstr>
  </property>
  <property fmtid="{D5CDD505-2E9C-101B-9397-08002B2CF9AE}" pid="14" name="MSIP_Label_6bd9ddd1-4d20-43f6-abfa-fc3c07406f94_SetDate">
    <vt:lpwstr>2024-02-09T06:41:38Z</vt:lpwstr>
  </property>
  <property fmtid="{D5CDD505-2E9C-101B-9397-08002B2CF9AE}" pid="15" name="Level of sensitivity">
    <vt:lpwstr>Standard treatment</vt:lpwstr>
  </property>
  <property fmtid="{D5CDD505-2E9C-101B-9397-08002B2CF9AE}" pid="16" name="MSIP_Label_6bd9ddd1-4d20-43f6-abfa-fc3c07406f94_ActionId">
    <vt:lpwstr>823e5efc-0c59-42b9-b19c-7cfeca294b5c</vt:lpwstr>
  </property>
</Properties>
</file>