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68" w:rsidRDefault="00CD6193" w:rsidP="00CD619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3072D25-9037-4D96-8BAD-71735CBD763D" style="width:450.95pt;height:408.5pt">
            <v:imagedata r:id="rId8" o:title=""/>
          </v:shape>
        </w:pict>
      </w:r>
    </w:p>
    <w:p w:rsidR="00253868" w:rsidRDefault="00253868">
      <w:pPr>
        <w:rPr>
          <w:noProof/>
        </w:rPr>
        <w:sectPr w:rsidR="00253868" w:rsidSect="00CD6193">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rsidR="00253868" w:rsidRDefault="00CD6193">
      <w:pPr>
        <w:pStyle w:val="Exposdesmotifstitre"/>
        <w:rPr>
          <w:noProof/>
        </w:rPr>
      </w:pPr>
      <w:bookmarkStart w:id="0" w:name="_GoBack"/>
      <w:bookmarkEnd w:id="0"/>
      <w:r>
        <w:rPr>
          <w:noProof/>
        </w:rPr>
        <w:lastRenderedPageBreak/>
        <w:t>EXPOSÉ DES MOTIFS</w:t>
      </w:r>
    </w:p>
    <w:p w:rsidR="00253868" w:rsidRDefault="00CD6193">
      <w:pPr>
        <w:pStyle w:val="ManualHeading1"/>
        <w:rPr>
          <w:noProof/>
        </w:rPr>
      </w:pPr>
      <w:r>
        <w:rPr>
          <w:noProof/>
        </w:rPr>
        <w:t>1.</w:t>
      </w:r>
      <w:r>
        <w:rPr>
          <w:noProof/>
        </w:rPr>
        <w:tab/>
        <w:t>CONTEXTE DE L’ACTE DÉLÉGUÉ</w:t>
      </w:r>
    </w:p>
    <w:p w:rsidR="00253868" w:rsidRDefault="00CD6193">
      <w:pPr>
        <w:rPr>
          <w:noProof/>
        </w:rPr>
      </w:pPr>
      <w:r>
        <w:rPr>
          <w:noProof/>
        </w:rPr>
        <w:t xml:space="preserve">Le règlement (UE) 2016/429 du Parlement européen et du Conseil du 9 mars 2016 relatif aux maladies </w:t>
      </w:r>
      <w:r>
        <w:rPr>
          <w:noProof/>
        </w:rPr>
        <w:t>animales transmissibles et modifiant et abrogeant certains actes dans le domaine de la santé animale («législation sur la santé animale»)</w:t>
      </w:r>
      <w:r>
        <w:rPr>
          <w:rStyle w:val="FootnoteReference"/>
          <w:noProof/>
        </w:rPr>
        <w:footnoteReference w:id="1"/>
      </w:r>
      <w:r>
        <w:rPr>
          <w:noProof/>
        </w:rPr>
        <w:t xml:space="preserve"> établit des règles pour la prévention des maladies transmissibles aux animaux ou aux humains et la lutte contre celle</w:t>
      </w:r>
      <w:r>
        <w:rPr>
          <w:noProof/>
        </w:rPr>
        <w:t xml:space="preserve">s-ci, y compris des dispositions concernant les établissements qui détiennent des animaux terrestres et les couvoirs, ainsi que la traçabilité de certains animaux terrestres détenus et des œufs à couver dans l’Union. Il confère en outre à la Commission le </w:t>
      </w:r>
      <w:r>
        <w:rPr>
          <w:noProof/>
        </w:rPr>
        <w:t>pouvoir d’adopter des dispositions complétant certains éléments non essentiels de ce règlement au moyen d’actes délégués.</w:t>
      </w:r>
    </w:p>
    <w:p w:rsidR="00253868" w:rsidRDefault="00CD6193">
      <w:pPr>
        <w:rPr>
          <w:noProof/>
        </w:rPr>
      </w:pPr>
      <w:r>
        <w:rPr>
          <w:noProof/>
        </w:rPr>
        <w:t>La Commission a adopté de telles dispositions dans son règlement délégué (UE) 2019/2035 du 28 juin 2019 complétant le règlement (UE) 2</w:t>
      </w:r>
      <w:r>
        <w:rPr>
          <w:noProof/>
        </w:rPr>
        <w:t>016/429 du Parlement européen et du Conseil en ce qui concerne les règles relatives aux établissements détenant des animaux terrestres et aux couvoirs ainsi qu’à la traçabilité de certains animaux terrestres détenus et des œufs à couver</w:t>
      </w:r>
      <w:r>
        <w:rPr>
          <w:rStyle w:val="FootnoteReference"/>
          <w:noProof/>
        </w:rPr>
        <w:footnoteReference w:id="2"/>
      </w:r>
      <w:r>
        <w:rPr>
          <w:noProof/>
        </w:rPr>
        <w:t xml:space="preserve">. La partie III du </w:t>
      </w:r>
      <w:r>
        <w:rPr>
          <w:noProof/>
        </w:rPr>
        <w:t>règlement délégué (UE) 2019/2035 comporte des règles relatives à la traçabilité des animaux terrestres détenus, et plus particulièrement, le titre II de la partie III établit des règles relatives à la traçabilité des ovins et des caprins détenus, y compris</w:t>
      </w:r>
      <w:r>
        <w:rPr>
          <w:noProof/>
        </w:rPr>
        <w:t xml:space="preserve"> les moyens et méthodes d’identification de ces animaux, ainsi que des dérogations à certaines exigences fixées dans ces dispositions.</w:t>
      </w:r>
    </w:p>
    <w:p w:rsidR="00253868" w:rsidRDefault="00CD6193">
      <w:pPr>
        <w:rPr>
          <w:noProof/>
        </w:rPr>
      </w:pPr>
      <w:r>
        <w:rPr>
          <w:noProof/>
        </w:rPr>
        <w:t>En particulier, l’article 45 du règlement délégué (UE) 2019/2035 prévoit des obligations incombant aux opérateurs détenan</w:t>
      </w:r>
      <w:r>
        <w:rPr>
          <w:noProof/>
        </w:rPr>
        <w:t>t des ovins et des caprins en ce qui concerne les moyens et méthodes d’identification de ces animaux, ainsi que leur application et leur utilisation. L’une des dérogations à l’article 45 de cet acte délégué prévue à l’article 46, paragraphe 4, du même acte</w:t>
      </w:r>
      <w:r>
        <w:rPr>
          <w:noProof/>
        </w:rPr>
        <w:t xml:space="preserve"> permet aux opérateurs détenant des ovins et des caprins âgés de moins de douze mois d’identifier leurs animaux au moyen d’une marque auriculaire électronique unique qui affiche de manière visible le numéro d’enregistrement unique de l’établissement dans l</w:t>
      </w:r>
      <w:r>
        <w:rPr>
          <w:noProof/>
        </w:rPr>
        <w:t>equel l’animal est né et le code d’identification individuel de l’animal, lorsque ces animaux sont destinés à être transportés vers un abattoir après avoir fait l’objet d’un rassemblement ou après avoir subi une opération d’engraissement dans un autre étab</w:t>
      </w:r>
      <w:r>
        <w:rPr>
          <w:noProof/>
        </w:rPr>
        <w:t>lissement, dans le même État membre.</w:t>
      </w:r>
    </w:p>
    <w:p w:rsidR="00253868" w:rsidRDefault="00CD6193">
      <w:pPr>
        <w:rPr>
          <w:i/>
          <w:noProof/>
        </w:rPr>
      </w:pPr>
      <w:r>
        <w:rPr>
          <w:noProof/>
        </w:rPr>
        <w:t>Cette dérogation a été bien acceptée par les États membres et les parties intéressées au cours de l’élaboration de l’acte délégué et dans le contexte de la période de retour d’information sur le projet d’acte délégué. T</w:t>
      </w:r>
      <w:r>
        <w:rPr>
          <w:noProof/>
        </w:rPr>
        <w:t>outefois, la Commission a par la suite reçu plusieurs observations de la part de certaines parties intéressées et d’États membres concernant cette dérogation, qui a été perçue comme trop lourde pour les éleveurs d’ovins et de caprins, compte tenu notamment</w:t>
      </w:r>
      <w:r>
        <w:rPr>
          <w:noProof/>
        </w:rPr>
        <w:t xml:space="preserve"> du faible prix du marché obtenu pour leurs animaux envoyés à l’abattoir. L’utilisation d’une marque auriculaire classique a été proposée comme solution de remplacement plus adaptée et moins coûteuse que la marque électronique.</w:t>
      </w:r>
    </w:p>
    <w:p w:rsidR="00253868" w:rsidRDefault="00CD6193">
      <w:pPr>
        <w:rPr>
          <w:noProof/>
        </w:rPr>
      </w:pPr>
      <w:r>
        <w:rPr>
          <w:noProof/>
        </w:rPr>
        <w:t>À la lumière de ces observat</w:t>
      </w:r>
      <w:r>
        <w:rPr>
          <w:noProof/>
        </w:rPr>
        <w:t>ions, la Commission a estimé qu’une marque auriculaire classique ou une bague au paturon classique, qui constitue une option équivalant à une marque auriculaire classique d’après l’article 45, paragraphe 1, du règlement délégué (UE) 2019/2035, pour les ani</w:t>
      </w:r>
      <w:r>
        <w:rPr>
          <w:noProof/>
        </w:rPr>
        <w:t>maux destinés à être déplacés directement vers un abattoir avant l’âge de douze mois, pourrait garantir un niveau de traçabilité suffisant lorsque les jeunes ovins et caprins sont déplacés, après une opération d’engraissement, vers un abattoir dans le même</w:t>
      </w:r>
      <w:r>
        <w:rPr>
          <w:noProof/>
        </w:rPr>
        <w:t xml:space="preserve"> État membre. Par conséquent, le présent acte délégué modifie les règles établies dans le règlement (UE) 2019/2035 en autorisant une dérogation supplémentaire pour l’identification des jeunes ovins et caprins déplacés, après avoir subi une opération d’engr</w:t>
      </w:r>
      <w:r>
        <w:rPr>
          <w:noProof/>
        </w:rPr>
        <w:t>aissement, à des fins d’abattage dans le même État membre. Cette dérogation supplémentaire vise à garantir le bon fonctionnement du système d’identification et d’enregistrement de ces animaux dans l’Union, en évitant d’imposer des charges et des coûts disp</w:t>
      </w:r>
      <w:r>
        <w:rPr>
          <w:noProof/>
        </w:rPr>
        <w:t>roportionnés aux opérateurs, tout en assurant la traçabilité de ces animaux.</w:t>
      </w:r>
    </w:p>
    <w:p w:rsidR="00253868" w:rsidRDefault="00CD6193">
      <w:pPr>
        <w:rPr>
          <w:noProof/>
        </w:rPr>
      </w:pPr>
      <w:r>
        <w:rPr>
          <w:noProof/>
        </w:rPr>
        <w:t xml:space="preserve">En outre, conformément aux modifications introduites par le présent acte délégué, les États membres qui auront recours à certaines dérogations prévues à l’article 46 du règlement </w:t>
      </w:r>
      <w:r>
        <w:rPr>
          <w:noProof/>
        </w:rPr>
        <w:t>délégué (UE) 2019/2035, y compris à la dérogation supplémentaire ajoutée par le présent projet d’acte délégué, seront tenus d’établir des procédures aux fins de leur application sur leur territoire. Cette modification vise à éviter tout risque pour la sant</w:t>
      </w:r>
      <w:r>
        <w:rPr>
          <w:noProof/>
        </w:rPr>
        <w:t>é animale ou toute entrave à la traçabilité des ovins et des caprins détenus qui pourrait résulter de l’application de ces dérogations, ainsi qu’à empêcher toute difficulté opérationnelle éventuelle liée à leur gestion.</w:t>
      </w:r>
    </w:p>
    <w:p w:rsidR="00253868" w:rsidRDefault="00CD6193">
      <w:pPr>
        <w:pStyle w:val="ManualHeading1"/>
        <w:ind w:left="0" w:firstLine="0"/>
        <w:rPr>
          <w:noProof/>
        </w:rPr>
      </w:pPr>
      <w:r>
        <w:rPr>
          <w:noProof/>
        </w:rPr>
        <w:t>2.</w:t>
      </w:r>
      <w:r>
        <w:rPr>
          <w:noProof/>
        </w:rPr>
        <w:tab/>
        <w:t xml:space="preserve">CONSULTATION AVANT L’ADOPTION DE </w:t>
      </w:r>
      <w:r>
        <w:rPr>
          <w:noProof/>
        </w:rPr>
        <w:t>L’ACTE</w:t>
      </w:r>
    </w:p>
    <w:p w:rsidR="00253868" w:rsidRDefault="00CD6193">
      <w:pPr>
        <w:rPr>
          <w:noProof/>
          <w:color w:val="000000"/>
        </w:rPr>
      </w:pPr>
      <w:r>
        <w:rPr>
          <w:noProof/>
          <w:color w:val="000000"/>
        </w:rPr>
        <w:t>La Commission a eu des échanges avec le groupe d’experts sur la santé animale (E00930) au moyen d’une consultation écrite. Le projet de règlement délégué a également été mis à la disposition du Parlement européen et du Conseil. Aucune observation n’</w:t>
      </w:r>
      <w:r>
        <w:rPr>
          <w:noProof/>
          <w:color w:val="000000"/>
        </w:rPr>
        <w:t xml:space="preserve">a été transmise par le Parlement européen et le Conseil. Des réunions ont été tenues avec diverses parties intéressées dans le cadre du comité consultatif sur la santé animale, au cours desquelles la finalité et le contenu du projet d’acte délégué ont été </w:t>
      </w:r>
      <w:r>
        <w:rPr>
          <w:noProof/>
          <w:color w:val="000000"/>
        </w:rPr>
        <w:t>présentés et débattus.</w:t>
      </w:r>
    </w:p>
    <w:p w:rsidR="00253868" w:rsidRDefault="00CD6193">
      <w:pPr>
        <w:rPr>
          <w:noProof/>
          <w:color w:val="000000"/>
        </w:rPr>
      </w:pPr>
      <w:r>
        <w:rPr>
          <w:noProof/>
          <w:color w:val="000000"/>
        </w:rPr>
        <w:t>En outre, les observations des parties intéressées sur le projet de règlement délégué ont été recueillies par l’intermédiaire du mécanisme de retour d’information «Mieux légiférer» au cours de la période comprise entre le 19 mai 2020</w:t>
      </w:r>
      <w:r>
        <w:rPr>
          <w:noProof/>
          <w:color w:val="000000"/>
        </w:rPr>
        <w:t xml:space="preserve"> et le 16 juin 2020. Au total, trois réactions ont été reçues, notamment des acteurs suivants: la Confédération paysanne (FR), OVINFOS (FR) et la Fédération nationale des éleveurs de chèvres (FNEC) (FR).</w:t>
      </w:r>
    </w:p>
    <w:p w:rsidR="00253868" w:rsidRDefault="00CD6193">
      <w:pPr>
        <w:rPr>
          <w:noProof/>
          <w:color w:val="000000"/>
        </w:rPr>
      </w:pPr>
      <w:r>
        <w:rPr>
          <w:noProof/>
          <w:color w:val="000000"/>
        </w:rPr>
        <w:t>En outre, trois avis émanant d’autorités publiques (</w:t>
      </w:r>
      <w:r>
        <w:rPr>
          <w:noProof/>
          <w:color w:val="000000"/>
        </w:rPr>
        <w:t>BG, IE et NL) ont été soumis à la Commission par courrier électronique.</w:t>
      </w:r>
    </w:p>
    <w:p w:rsidR="00253868" w:rsidRDefault="00CD6193">
      <w:pPr>
        <w:rPr>
          <w:noProof/>
          <w:color w:val="000000"/>
        </w:rPr>
      </w:pPr>
      <w:r>
        <w:rPr>
          <w:noProof/>
          <w:color w:val="000000"/>
        </w:rPr>
        <w:t>Les principales demandes formulées et les points soulevés étaient les suivants:</w:t>
      </w:r>
    </w:p>
    <w:p w:rsidR="00253868" w:rsidRDefault="00CD6193">
      <w:pPr>
        <w:pStyle w:val="Tiret0"/>
        <w:numPr>
          <w:ilvl w:val="0"/>
          <w:numId w:val="10"/>
        </w:numPr>
        <w:rPr>
          <w:noProof/>
        </w:rPr>
      </w:pPr>
      <w:r>
        <w:rPr>
          <w:noProof/>
        </w:rPr>
        <w:t>le secteur caprin a accueilli favorablement les dispositions du présent règlement délégué qui soutient l</w:t>
      </w:r>
      <w:r>
        <w:rPr>
          <w:noProof/>
        </w:rPr>
        <w:t>es possibilités existantes de dérogations dans les États membres;</w:t>
      </w:r>
    </w:p>
    <w:p w:rsidR="00253868" w:rsidRDefault="00CD6193">
      <w:pPr>
        <w:pStyle w:val="Tiret0"/>
        <w:rPr>
          <w:noProof/>
        </w:rPr>
      </w:pPr>
      <w:r>
        <w:rPr>
          <w:noProof/>
        </w:rPr>
        <w:t>des demandes sollicitant l’introduction d’une disposition permettant aux États membres d’autoriser une dérogation dans les territoires nationaux.</w:t>
      </w:r>
    </w:p>
    <w:p w:rsidR="00253868" w:rsidRDefault="00CD6193">
      <w:pPr>
        <w:rPr>
          <w:noProof/>
        </w:rPr>
      </w:pPr>
      <w:r>
        <w:rPr>
          <w:noProof/>
        </w:rPr>
        <w:t>3.</w:t>
      </w:r>
      <w:r>
        <w:rPr>
          <w:noProof/>
        </w:rPr>
        <w:tab/>
        <w:t>ÉLÉMENTS JURIDIQUES DE L’ACTE DÉLÉGUÉ</w:t>
      </w:r>
    </w:p>
    <w:p w:rsidR="00253868" w:rsidRDefault="00CD6193">
      <w:pPr>
        <w:rPr>
          <w:noProof/>
          <w:color w:val="000000"/>
        </w:rPr>
      </w:pPr>
      <w:r>
        <w:rPr>
          <w:noProof/>
          <w:color w:val="000000"/>
        </w:rPr>
        <w:t xml:space="preserve">Le </w:t>
      </w:r>
      <w:r>
        <w:rPr>
          <w:noProof/>
          <w:color w:val="000000"/>
        </w:rPr>
        <w:t>présent règlement délégué doit être adopté dans le cadre du règlement (UE) 2016/429 du Parlement européen et du Conseil, et plus particulièrement en vertu de son article 118, paragraphes 1 et 2.</w:t>
      </w:r>
    </w:p>
    <w:p w:rsidR="00253868" w:rsidRDefault="00253868">
      <w:pPr>
        <w:rPr>
          <w:noProof/>
        </w:rPr>
        <w:sectPr w:rsidR="00253868" w:rsidSect="00CD6193">
          <w:footerReference w:type="default" r:id="rId15"/>
          <w:footerReference w:type="first" r:id="rId16"/>
          <w:pgSz w:w="11907" w:h="16839"/>
          <w:pgMar w:top="1134" w:right="1417" w:bottom="1134" w:left="1417" w:header="709" w:footer="709" w:gutter="0"/>
          <w:cols w:space="708"/>
          <w:docGrid w:linePitch="360"/>
        </w:sectPr>
      </w:pPr>
    </w:p>
    <w:p w:rsidR="00253868" w:rsidRDefault="00CD6193" w:rsidP="00CD6193">
      <w:pPr>
        <w:pStyle w:val="Typedudocument"/>
        <w:rPr>
          <w:noProof/>
        </w:rPr>
      </w:pPr>
      <w:r w:rsidRPr="00CD6193">
        <w:t>RÈGLEMENT DÉLÉGUÉ (UE) …/... DE LA COMMISSION</w:t>
      </w:r>
    </w:p>
    <w:p w:rsidR="00253868" w:rsidRDefault="00CD6193" w:rsidP="00CD6193">
      <w:pPr>
        <w:pStyle w:val="Datedadoption"/>
        <w:rPr>
          <w:noProof/>
        </w:rPr>
      </w:pPr>
      <w:r w:rsidRPr="00CD6193">
        <w:t>du 25.8.2020</w:t>
      </w:r>
    </w:p>
    <w:p w:rsidR="00253868" w:rsidRDefault="00CD6193" w:rsidP="00CD6193">
      <w:pPr>
        <w:pStyle w:val="Titreobjet"/>
        <w:rPr>
          <w:noProof/>
        </w:rPr>
      </w:pPr>
      <w:r w:rsidRPr="00CD6193">
        <w:t>modifiant le règlement délégué (UE) 2019/2035 de la Commission complétant le règlement (UE) 2016/429 du Parlement européen et du Conseil en ce qui concerne les règles relatives aux établissements détenant des animaux terrestres et aux couvoirs ainsi qu’à la traçabilité de certains animaux terrestres détenus et des œufs à couver</w:t>
      </w:r>
    </w:p>
    <w:p w:rsidR="00253868" w:rsidRDefault="00CD6193" w:rsidP="00CD6193">
      <w:pPr>
        <w:pStyle w:val="IntrtEEE"/>
        <w:rPr>
          <w:noProof/>
        </w:rPr>
      </w:pPr>
      <w:r w:rsidRPr="00CD6193">
        <w:t>(Texte présentant de l’intérêt pour l’EEE)</w:t>
      </w:r>
    </w:p>
    <w:p w:rsidR="00253868" w:rsidRDefault="00CD6193">
      <w:pPr>
        <w:pStyle w:val="Institutionquiagit"/>
        <w:rPr>
          <w:noProof/>
        </w:rPr>
      </w:pPr>
      <w:r>
        <w:rPr>
          <w:noProof/>
        </w:rPr>
        <w:t>L</w:t>
      </w:r>
      <w:r>
        <w:rPr>
          <w:noProof/>
        </w:rPr>
        <w:t>A COMMISSION EUROPÉENNE,</w:t>
      </w:r>
    </w:p>
    <w:p w:rsidR="00253868" w:rsidRDefault="00CD6193">
      <w:pPr>
        <w:rPr>
          <w:noProof/>
        </w:rPr>
      </w:pPr>
      <w:r>
        <w:rPr>
          <w:noProof/>
        </w:rPr>
        <w:t>vu le traité sur le fonctionnement de l’Union européenne,</w:t>
      </w:r>
    </w:p>
    <w:p w:rsidR="00253868" w:rsidRDefault="00CD6193">
      <w:pPr>
        <w:rPr>
          <w:noProof/>
        </w:rPr>
      </w:pPr>
      <w:r>
        <w:rPr>
          <w:noProof/>
        </w:rPr>
        <w:t>vu le règlement (UE) 2016/429 du Parlement européen et du Conseil du 9 mars 2016 relatif aux maladies animales transmissibles et modifiant et abrogeant certains actes dans le domaine de la santé animale («législation sur la santé animale»)</w:t>
      </w:r>
      <w:r>
        <w:rPr>
          <w:rStyle w:val="FootnoteReference"/>
          <w:noProof/>
        </w:rPr>
        <w:footnoteReference w:id="3"/>
      </w:r>
      <w:r>
        <w:rPr>
          <w:noProof/>
        </w:rPr>
        <w:t>, et notamment s</w:t>
      </w:r>
      <w:r>
        <w:rPr>
          <w:noProof/>
        </w:rPr>
        <w:t>on article 118, paragraphes 1 et 2,</w:t>
      </w:r>
    </w:p>
    <w:p w:rsidR="00253868" w:rsidRDefault="00CD6193">
      <w:pPr>
        <w:rPr>
          <w:noProof/>
        </w:rPr>
      </w:pPr>
      <w:r>
        <w:rPr>
          <w:noProof/>
        </w:rPr>
        <w:t>considérant ce qui suit:</w:t>
      </w:r>
    </w:p>
    <w:p w:rsidR="00253868" w:rsidRDefault="00CD6193">
      <w:pPr>
        <w:pStyle w:val="ManualConsidrant"/>
        <w:rPr>
          <w:noProof/>
        </w:rPr>
      </w:pPr>
      <w:r>
        <w:t>(1)</w:t>
      </w:r>
      <w:r>
        <w:tab/>
      </w:r>
      <w:r>
        <w:rPr>
          <w:noProof/>
        </w:rPr>
        <w:t>Le règlement (UE) 2016/429 établit des règles pour la prévention des maladies transmissibles aux animaux ou aux humains et la lutte contre celles-ci, y compris des dispositions concernant les</w:t>
      </w:r>
      <w:r>
        <w:rPr>
          <w:noProof/>
        </w:rPr>
        <w:t xml:space="preserve"> établissements qui détiennent des animaux terrestres et les couvoirs, ainsi que la traçabilité de certains animaux terrestres détenus et des œufs à couver dans l’Union. Il confère en outre à la Commission le pouvoir d’adopter des dispositions complétant c</w:t>
      </w:r>
      <w:r>
        <w:rPr>
          <w:noProof/>
        </w:rPr>
        <w:t>ertains éléments non essentiels de ce règlement au moyen d’actes délégués.</w:t>
      </w:r>
    </w:p>
    <w:p w:rsidR="00253868" w:rsidRDefault="00CD6193">
      <w:pPr>
        <w:pStyle w:val="ManualConsidrant"/>
        <w:rPr>
          <w:noProof/>
        </w:rPr>
      </w:pPr>
      <w:r>
        <w:t>(2)</w:t>
      </w:r>
      <w:r>
        <w:tab/>
      </w:r>
      <w:r>
        <w:rPr>
          <w:noProof/>
        </w:rPr>
        <w:t>Le règlement délégué (UE) 2019/2035 de la Commission</w:t>
      </w:r>
      <w:r>
        <w:rPr>
          <w:rStyle w:val="FootnoteReference"/>
          <w:noProof/>
        </w:rPr>
        <w:footnoteReference w:id="4"/>
      </w:r>
      <w:r>
        <w:rPr>
          <w:noProof/>
        </w:rPr>
        <w:t xml:space="preserve"> prévoit des règles complémentaires relatives aux établissements enregistrés et agréés qui détiennent des animaux terrestres</w:t>
      </w:r>
      <w:r>
        <w:rPr>
          <w:noProof/>
        </w:rPr>
        <w:t xml:space="preserve"> et des œufs à couver ainsi qu’à la traçabilité de certains animaux terrestres détenus et des œufs à couver. En particulier, le titre II de la partie III dudit règlement délégué établit des règles concernant la traçabilité des ovins et caprins détenus, y c</w:t>
      </w:r>
      <w:r>
        <w:rPr>
          <w:noProof/>
        </w:rPr>
        <w:t>ompris les obligations incombant aux opérateurs en ce qui concerne les moyens et méthodes d’identification de ces animaux.</w:t>
      </w:r>
    </w:p>
    <w:p w:rsidR="00253868" w:rsidRDefault="00CD6193">
      <w:pPr>
        <w:pStyle w:val="ManualConsidrant"/>
        <w:rPr>
          <w:noProof/>
        </w:rPr>
      </w:pPr>
      <w:r>
        <w:t>(3)</w:t>
      </w:r>
      <w:r>
        <w:tab/>
      </w:r>
      <w:r>
        <w:rPr>
          <w:noProof/>
        </w:rPr>
        <w:t xml:space="preserve">En outre, l’article 46 du règlement délégué (UE) 2019/2035 prévoit certaines dérogations aux exigences en matière de traçabilité </w:t>
      </w:r>
      <w:r>
        <w:rPr>
          <w:noProof/>
        </w:rPr>
        <w:t xml:space="preserve">des ovins et caprins détenus énoncées à l’article 45 de cet acte. Cela inclut la possibilité pour les opérateurs détenant des ovins et des caprins âgés de moins de douze mois d’identifier leurs animaux au moyen d’une marque auriculaire électronique unique </w:t>
      </w:r>
      <w:r>
        <w:rPr>
          <w:noProof/>
        </w:rPr>
        <w:t>qui affiche de manière visible le numéro d’enregistrement unique et le code d’identification, lorsque ces animaux sont destinés à être transportés vers un abattoir dans le même État membre, après avoir fait l’objet d’un rassemblement ou après avoir subi un</w:t>
      </w:r>
      <w:r>
        <w:rPr>
          <w:noProof/>
        </w:rPr>
        <w:t>e opération d’engraissement. Après l’adoption du règlement délégué (UE) 2019/2035, la Commission a reçu diverses observations émanant de certaines parties intéressées et d’États membres concernant les incidences potentielles découlant de l’application de c</w:t>
      </w:r>
      <w:r>
        <w:rPr>
          <w:noProof/>
        </w:rPr>
        <w:t>ette dérogation, qui a été jugée trop lourde pour les éleveurs d’ovins et de caprins, compte tenu notamment du faible prix du marché obtenu par ces éleveurs pour les animaux abattus à des fins de consommation humaine. Eu égard aux considérations énoncées à</w:t>
      </w:r>
      <w:r>
        <w:rPr>
          <w:noProof/>
        </w:rPr>
        <w:t xml:space="preserve"> l’article 118, paragraphe 3, du règlement (UE) 2016/429, une marque auriculaire classique ou une bague au paturon classique pourrait être considérée comme garantissant un niveau de traçabilité suffisant lorsque des jeunes ovins et caprins détenus provenan</w:t>
      </w:r>
      <w:r>
        <w:rPr>
          <w:noProof/>
        </w:rPr>
        <w:t>t de différents établissements d’origine sont déplacés, après une opération d’engraissement, vers un abattoir. En outre, un niveau suffisant de traçabilité ne peut être garanti que si de tels mouvements sont enregistrés dans une base de données unique et o</w:t>
      </w:r>
      <w:r>
        <w:rPr>
          <w:noProof/>
        </w:rPr>
        <w:t>nt donc lieu dans le même État membre, ceci étant également une condition de la plupart des autres dérogations prévues à l’article 46 du règlement délégué (UE) 2019/2035.</w:t>
      </w:r>
    </w:p>
    <w:p w:rsidR="00253868" w:rsidRDefault="00CD6193">
      <w:pPr>
        <w:pStyle w:val="ManualConsidrant"/>
        <w:rPr>
          <w:noProof/>
        </w:rPr>
      </w:pPr>
      <w:r>
        <w:t>(4)</w:t>
      </w:r>
      <w:r>
        <w:tab/>
      </w:r>
      <w:r>
        <w:rPr>
          <w:noProof/>
        </w:rPr>
        <w:t xml:space="preserve">Au vu de ces considérations, il convient de modifier le règlement (UE) 2019/2035 </w:t>
      </w:r>
      <w:r>
        <w:rPr>
          <w:noProof/>
        </w:rPr>
        <w:t>en ajoutant une dérogation supplémentaire pour les jeunes ovins et caprins détenus, de manière à ce que des charges et des coûts disproportionnés ne soient pas imposés aux opérateurs, tout en assurant la traçabilité des ovins et caprins détenus et le bon f</w:t>
      </w:r>
      <w:r>
        <w:rPr>
          <w:noProof/>
        </w:rPr>
        <w:t>onctionnement du système d’identification et d’enregistrement de ces animaux.</w:t>
      </w:r>
    </w:p>
    <w:p w:rsidR="00253868" w:rsidRDefault="00CD6193">
      <w:pPr>
        <w:pStyle w:val="ManualConsidrant"/>
        <w:rPr>
          <w:noProof/>
        </w:rPr>
      </w:pPr>
      <w:r>
        <w:t>(5)</w:t>
      </w:r>
      <w:r>
        <w:tab/>
      </w:r>
      <w:r>
        <w:rPr>
          <w:noProof/>
        </w:rPr>
        <w:t>En outre, en vertu de l’article 108 du règlement (UE) 2016/429, les États membres sont tenus de mettre en place un système d’identification et d’enregistrement des animaux te</w:t>
      </w:r>
      <w:r>
        <w:rPr>
          <w:noProof/>
        </w:rPr>
        <w:t xml:space="preserve">rrestres détenus, y compris des ovins et caprins détenus. Ce système devrait disposer de procédures établies pour son bon fonctionnement, y compris concernant la gestion des dérogations qui sont appliquées dans les États membres. Afin d’éviter tout risque </w:t>
      </w:r>
      <w:r>
        <w:rPr>
          <w:noProof/>
        </w:rPr>
        <w:t>pour la santé animale et de garantir la traçabilité des ovins et caprins détenus, lorsque certaines dérogations prévues à l’article 46 du règlement (UE) 2019/2035 sont appliquées, les États membres devraient être tenus d’établir des procédures concernant l</w:t>
      </w:r>
      <w:r>
        <w:rPr>
          <w:noProof/>
        </w:rPr>
        <w:t>’application de ces dérogations.</w:t>
      </w:r>
    </w:p>
    <w:p w:rsidR="00253868" w:rsidRDefault="00CD6193">
      <w:pPr>
        <w:pStyle w:val="ManualConsidrant"/>
        <w:rPr>
          <w:noProof/>
        </w:rPr>
      </w:pPr>
      <w:r>
        <w:t>(6)</w:t>
      </w:r>
      <w:r>
        <w:tab/>
      </w:r>
      <w:r>
        <w:rPr>
          <w:noProof/>
        </w:rPr>
        <w:t>Étant donné que le règlement délégué (UE) 2019/2035 est applicable à partir du 21 avril 2021, il convient que le présent règlement soit également applicable à partir de cette date,</w:t>
      </w:r>
    </w:p>
    <w:p w:rsidR="00253868" w:rsidRDefault="00CD6193">
      <w:pPr>
        <w:pStyle w:val="Formuledadoption"/>
        <w:rPr>
          <w:noProof/>
        </w:rPr>
      </w:pPr>
      <w:r>
        <w:rPr>
          <w:noProof/>
        </w:rPr>
        <w:t>A ADOPTÉ LE PRÉSENT RÈGLEMENT:</w:t>
      </w:r>
    </w:p>
    <w:p w:rsidR="00253868" w:rsidRDefault="00CD6193">
      <w:pPr>
        <w:pStyle w:val="Titrearticle"/>
        <w:rPr>
          <w:noProof/>
        </w:rPr>
      </w:pPr>
      <w:r>
        <w:rPr>
          <w:noProof/>
        </w:rPr>
        <w:t>Article</w:t>
      </w:r>
      <w:r>
        <w:rPr>
          <w:noProof/>
        </w:rPr>
        <w:t xml:space="preserve"> premier</w:t>
      </w:r>
    </w:p>
    <w:p w:rsidR="00253868" w:rsidRDefault="00CD6193">
      <w:pPr>
        <w:rPr>
          <w:noProof/>
        </w:rPr>
      </w:pPr>
      <w:r>
        <w:rPr>
          <w:noProof/>
        </w:rPr>
        <w:t>Le règlement délégué (UE) 2019/2035 est modifié comme suit:</w:t>
      </w:r>
    </w:p>
    <w:p w:rsidR="00253868" w:rsidRDefault="00CD6193">
      <w:pPr>
        <w:pStyle w:val="Point0"/>
        <w:rPr>
          <w:noProof/>
        </w:rPr>
      </w:pPr>
      <w:r>
        <w:rPr>
          <w:noProof/>
        </w:rPr>
        <w:t>1)</w:t>
      </w:r>
      <w:r>
        <w:rPr>
          <w:noProof/>
        </w:rPr>
        <w:tab/>
        <w:t xml:space="preserve"> à l’article 45, paragraphe 4), le point a) est remplacé par le texte suivant:</w:t>
      </w:r>
    </w:p>
    <w:p w:rsidR="00253868" w:rsidRDefault="00CD6193">
      <w:pPr>
        <w:pStyle w:val="Point1"/>
        <w:rPr>
          <w:noProof/>
        </w:rPr>
      </w:pPr>
      <w:r>
        <w:rPr>
          <w:noProof/>
        </w:rPr>
        <w:t xml:space="preserve">«a) </w:t>
      </w:r>
      <w:r>
        <w:rPr>
          <w:noProof/>
        </w:rPr>
        <w:tab/>
        <w:t>l’un des moyens d’identification visés au paragraphe 2 du présent article, conformément aux dérogati</w:t>
      </w:r>
      <w:r>
        <w:rPr>
          <w:noProof/>
        </w:rPr>
        <w:t xml:space="preserve">ons prévues à l’article 46;» </w:t>
      </w:r>
    </w:p>
    <w:p w:rsidR="00253868" w:rsidRDefault="00CD6193">
      <w:pPr>
        <w:pStyle w:val="Point0"/>
        <w:rPr>
          <w:noProof/>
        </w:rPr>
      </w:pPr>
      <w:r>
        <w:rPr>
          <w:noProof/>
        </w:rPr>
        <w:t>2)</w:t>
      </w:r>
      <w:r>
        <w:rPr>
          <w:noProof/>
        </w:rPr>
        <w:tab/>
        <w:t>à l’article 46, le paragraphe 5 suivant est ajouté:</w:t>
      </w:r>
    </w:p>
    <w:p w:rsidR="00253868" w:rsidRDefault="00CD6193">
      <w:pPr>
        <w:pStyle w:val="Point1"/>
        <w:rPr>
          <w:noProof/>
        </w:rPr>
      </w:pPr>
      <w:r>
        <w:rPr>
          <w:noProof/>
        </w:rPr>
        <w:t>«5.</w:t>
      </w:r>
      <w:r>
        <w:rPr>
          <w:noProof/>
        </w:rPr>
        <w:tab/>
      </w:r>
      <w:r>
        <w:rPr>
          <w:noProof/>
        </w:rPr>
        <w:t xml:space="preserve">Par dérogation à l’article 45, paragraphe 2, les opérateurs détenant des ovins et des caprins qui sont destinés à être transportés vers un abattoir après avoir subi une opération d’engraissement dans un autre établissement peuvent identifier chaque animal </w:t>
      </w:r>
      <w:r>
        <w:rPr>
          <w:noProof/>
        </w:rPr>
        <w:t>au moins par une marque auriculaire classique ou une bague au paturon classique, telles que visées à l’annexe III, points a) et b), affichant de manière visible, lisible et indélébile le numéro d’enregistrement unique de l’établissement dans lequel l’anima</w:t>
      </w:r>
      <w:r>
        <w:rPr>
          <w:noProof/>
        </w:rPr>
        <w:t>l est né ou le code d’identification de l’animal, sous réserve que ces animaux:</w:t>
      </w:r>
    </w:p>
    <w:p w:rsidR="00253868" w:rsidRDefault="00CD6193">
      <w:pPr>
        <w:pStyle w:val="Point2"/>
        <w:rPr>
          <w:noProof/>
        </w:rPr>
      </w:pPr>
      <w:r>
        <w:rPr>
          <w:noProof/>
        </w:rPr>
        <w:t>a)</w:t>
      </w:r>
      <w:r>
        <w:rPr>
          <w:noProof/>
        </w:rPr>
        <w:tab/>
        <w:t>ne soient pas destinés à être déplacés vers un autre État membre;</w:t>
      </w:r>
    </w:p>
    <w:p w:rsidR="00253868" w:rsidRDefault="00CD6193">
      <w:pPr>
        <w:pStyle w:val="Text1"/>
        <w:ind w:firstLine="567"/>
        <w:rPr>
          <w:noProof/>
        </w:rPr>
      </w:pPr>
      <w:r>
        <w:rPr>
          <w:noProof/>
        </w:rPr>
        <w:t>et</w:t>
      </w:r>
    </w:p>
    <w:p w:rsidR="00253868" w:rsidRDefault="00CD6193">
      <w:pPr>
        <w:pStyle w:val="Point2"/>
        <w:rPr>
          <w:noProof/>
        </w:rPr>
      </w:pPr>
      <w:r>
        <w:rPr>
          <w:noProof/>
        </w:rPr>
        <w:t>b)</w:t>
      </w:r>
      <w:r>
        <w:rPr>
          <w:noProof/>
        </w:rPr>
        <w:tab/>
        <w:t>soient abattus avant l’âge de douze mois.»</w:t>
      </w:r>
    </w:p>
    <w:p w:rsidR="00253868" w:rsidRDefault="00CD6193">
      <w:pPr>
        <w:pStyle w:val="Point0"/>
        <w:rPr>
          <w:noProof/>
        </w:rPr>
      </w:pPr>
      <w:r>
        <w:rPr>
          <w:noProof/>
        </w:rPr>
        <w:t>3)</w:t>
      </w:r>
      <w:r>
        <w:rPr>
          <w:noProof/>
        </w:rPr>
        <w:tab/>
        <w:t>à l’article 48, paragraphe 4, le point c) suivant est a</w:t>
      </w:r>
      <w:r>
        <w:rPr>
          <w:noProof/>
        </w:rPr>
        <w:t>jouté:</w:t>
      </w:r>
    </w:p>
    <w:p w:rsidR="00253868" w:rsidRDefault="00CD6193">
      <w:pPr>
        <w:pStyle w:val="Point1"/>
        <w:rPr>
          <w:noProof/>
        </w:rPr>
      </w:pPr>
      <w:r>
        <w:rPr>
          <w:noProof/>
        </w:rPr>
        <w:t>«c)</w:t>
      </w:r>
      <w:r>
        <w:rPr>
          <w:noProof/>
        </w:rPr>
        <w:tab/>
        <w:t>les opérateurs aux fins de l’application des dérogations prévues à l’article 46, paragraphes 4 et 5.»</w:t>
      </w:r>
    </w:p>
    <w:p w:rsidR="00253868" w:rsidRDefault="00CD6193">
      <w:pPr>
        <w:pStyle w:val="Titrearticle"/>
        <w:rPr>
          <w:noProof/>
        </w:rPr>
      </w:pPr>
      <w:r>
        <w:rPr>
          <w:noProof/>
        </w:rPr>
        <w:t>Article 2</w:t>
      </w:r>
    </w:p>
    <w:p w:rsidR="00253868" w:rsidRDefault="00CD6193">
      <w:pPr>
        <w:rPr>
          <w:noProof/>
        </w:rPr>
      </w:pPr>
      <w:r>
        <w:rPr>
          <w:noProof/>
        </w:rPr>
        <w:t xml:space="preserve">Le présent règlement entre en vigueur le vingtième jour suivant celui de sa publication au </w:t>
      </w:r>
      <w:r>
        <w:rPr>
          <w:i/>
          <w:noProof/>
        </w:rPr>
        <w:t>Journal officiel de l’Union européenne</w:t>
      </w:r>
      <w:r>
        <w:rPr>
          <w:noProof/>
        </w:rPr>
        <w:t>.</w:t>
      </w:r>
    </w:p>
    <w:p w:rsidR="00253868" w:rsidRDefault="00CD6193">
      <w:pPr>
        <w:rPr>
          <w:noProof/>
        </w:rPr>
      </w:pPr>
      <w:r>
        <w:rPr>
          <w:noProof/>
        </w:rPr>
        <w:t>Il</w:t>
      </w:r>
      <w:r>
        <w:rPr>
          <w:noProof/>
        </w:rPr>
        <w:t xml:space="preserve"> est applicable à partir du 21 avril 2021.</w:t>
      </w:r>
    </w:p>
    <w:p w:rsidR="00253868" w:rsidRDefault="00CD6193">
      <w:pPr>
        <w:pStyle w:val="Applicationdirecte"/>
        <w:rPr>
          <w:noProof/>
        </w:rPr>
      </w:pPr>
      <w:r>
        <w:rPr>
          <w:noProof/>
        </w:rPr>
        <w:t>Le présent règlement est obligatoire dans tous ses éléments et directement applicable dans tout État membre.</w:t>
      </w:r>
    </w:p>
    <w:p w:rsidR="00253868" w:rsidRDefault="00CD6193" w:rsidP="00CD6193">
      <w:pPr>
        <w:pStyle w:val="Fait"/>
        <w:rPr>
          <w:noProof/>
        </w:rPr>
      </w:pPr>
      <w:r w:rsidRPr="00CD6193">
        <w:t>Fait à Bruxelles, le 25.8.2020</w:t>
      </w:r>
    </w:p>
    <w:p w:rsidR="00253868" w:rsidRDefault="00CD6193">
      <w:pPr>
        <w:pStyle w:val="Institutionquisigne"/>
        <w:rPr>
          <w:noProof/>
        </w:rPr>
      </w:pPr>
      <w:r>
        <w:rPr>
          <w:noProof/>
        </w:rPr>
        <w:tab/>
      </w:r>
      <w:r>
        <w:rPr>
          <w:noProof/>
        </w:rPr>
        <w:t>Par la Commission</w:t>
      </w:r>
    </w:p>
    <w:p w:rsidR="00253868" w:rsidRDefault="00CD6193">
      <w:pPr>
        <w:pStyle w:val="Personnequisigne"/>
        <w:keepNext/>
        <w:rPr>
          <w:noProof/>
        </w:rPr>
      </w:pPr>
      <w:r>
        <w:rPr>
          <w:noProof/>
        </w:rPr>
        <w:tab/>
        <w:t>La présidente</w:t>
      </w:r>
      <w:r>
        <w:rPr>
          <w:noProof/>
        </w:rPr>
        <w:br/>
      </w:r>
      <w:r>
        <w:rPr>
          <w:noProof/>
        </w:rPr>
        <w:tab/>
        <w:t>Ursula VON DER LEYEN</w:t>
      </w:r>
    </w:p>
    <w:p w:rsidR="00253868" w:rsidRDefault="00253868">
      <w:pPr>
        <w:pStyle w:val="Personnequisigne"/>
        <w:rPr>
          <w:noProof/>
        </w:rPr>
      </w:pPr>
    </w:p>
    <w:sectPr w:rsidR="00253868" w:rsidSect="00CD619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68" w:rsidRDefault="00CD6193">
      <w:pPr>
        <w:spacing w:before="0" w:after="0"/>
      </w:pPr>
      <w:r>
        <w:separator/>
      </w:r>
    </w:p>
  </w:endnote>
  <w:endnote w:type="continuationSeparator" w:id="0">
    <w:p w:rsidR="00253868" w:rsidRDefault="00CD6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68" w:rsidRPr="00CD6193" w:rsidRDefault="00CD6193" w:rsidP="00CD6193">
    <w:pPr>
      <w:pStyle w:val="Footer"/>
      <w:rPr>
        <w:rFonts w:ascii="Arial" w:hAnsi="Arial" w:cs="Arial"/>
        <w:b/>
        <w:sz w:val="48"/>
      </w:rPr>
    </w:pPr>
    <w:r w:rsidRPr="00CD6193">
      <w:rPr>
        <w:rFonts w:ascii="Arial" w:hAnsi="Arial" w:cs="Arial"/>
        <w:b/>
        <w:sz w:val="48"/>
      </w:rPr>
      <w:t>FR</w:t>
    </w:r>
    <w:r w:rsidRPr="00CD6193">
      <w:rPr>
        <w:rFonts w:ascii="Arial" w:hAnsi="Arial" w:cs="Arial"/>
        <w:b/>
        <w:sz w:val="48"/>
      </w:rPr>
      <w:tab/>
    </w:r>
    <w:r w:rsidRPr="00CD6193">
      <w:rPr>
        <w:rFonts w:ascii="Arial" w:hAnsi="Arial" w:cs="Arial"/>
        <w:b/>
        <w:sz w:val="48"/>
      </w:rPr>
      <w:tab/>
    </w:r>
    <w:r w:rsidRPr="00CD6193">
      <w:tab/>
    </w:r>
    <w:r w:rsidRPr="00CD6193">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68" w:rsidRPr="00CD6193" w:rsidRDefault="00CD6193" w:rsidP="00CD6193">
    <w:pPr>
      <w:pStyle w:val="Footer"/>
      <w:rPr>
        <w:rFonts w:ascii="Arial" w:hAnsi="Arial" w:cs="Arial"/>
        <w:b/>
        <w:sz w:val="48"/>
      </w:rPr>
    </w:pPr>
    <w:r w:rsidRPr="00CD6193">
      <w:rPr>
        <w:rFonts w:ascii="Arial" w:hAnsi="Arial" w:cs="Arial"/>
        <w:b/>
        <w:sz w:val="48"/>
      </w:rPr>
      <w:t>FR</w:t>
    </w:r>
    <w:r w:rsidRPr="00CD6193">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rsidRPr="00CD6193">
      <w:tab/>
    </w:r>
    <w:r w:rsidRPr="00CD6193">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68" w:rsidRDefault="00CD6193">
      <w:pPr>
        <w:spacing w:before="0" w:after="0"/>
      </w:pPr>
      <w:r>
        <w:separator/>
      </w:r>
    </w:p>
  </w:footnote>
  <w:footnote w:type="continuationSeparator" w:id="0">
    <w:p w:rsidR="00253868" w:rsidRDefault="00CD6193">
      <w:pPr>
        <w:spacing w:before="0" w:after="0"/>
      </w:pPr>
      <w:r>
        <w:continuationSeparator/>
      </w:r>
    </w:p>
  </w:footnote>
  <w:footnote w:id="1">
    <w:p w:rsidR="00253868" w:rsidRDefault="00CD6193">
      <w:pPr>
        <w:pStyle w:val="FootnoteText"/>
        <w:ind w:left="0" w:firstLine="0"/>
        <w:rPr>
          <w:lang w:val="fr-BE"/>
        </w:rPr>
      </w:pPr>
      <w:r>
        <w:rPr>
          <w:rStyle w:val="FootnoteReference"/>
        </w:rPr>
        <w:footnoteRef/>
      </w:r>
      <w:r>
        <w:rPr>
          <w:lang w:val="fr-BE"/>
        </w:rPr>
        <w:tab/>
        <w:t>JO L 84 du 31.3.2016</w:t>
      </w:r>
      <w:r>
        <w:rPr>
          <w:lang w:val="fr-BE"/>
        </w:rPr>
        <w:t>, p. 1.</w:t>
      </w:r>
    </w:p>
  </w:footnote>
  <w:footnote w:id="2">
    <w:p w:rsidR="00253868" w:rsidRDefault="00CD6193">
      <w:pPr>
        <w:pStyle w:val="FootnoteText"/>
        <w:rPr>
          <w:lang w:val="fr-BE"/>
        </w:rPr>
      </w:pPr>
      <w:r>
        <w:rPr>
          <w:rStyle w:val="FootnoteReference"/>
        </w:rPr>
        <w:footnoteRef/>
      </w:r>
      <w:r>
        <w:rPr>
          <w:lang w:val="fr-BE"/>
        </w:rPr>
        <w:tab/>
        <w:t>JO L 314 du 5.12.2019, p. 115.</w:t>
      </w:r>
    </w:p>
  </w:footnote>
  <w:footnote w:id="3">
    <w:p w:rsidR="00253868" w:rsidRDefault="00CD6193">
      <w:pPr>
        <w:pStyle w:val="FootnoteText"/>
        <w:rPr>
          <w:lang w:val="fr-BE"/>
        </w:rPr>
      </w:pPr>
      <w:r>
        <w:rPr>
          <w:rStyle w:val="FootnoteReference"/>
        </w:rPr>
        <w:footnoteRef/>
      </w:r>
      <w:r>
        <w:rPr>
          <w:lang w:val="fr-BE"/>
        </w:rPr>
        <w:tab/>
        <w:t>JO L 84 du 31.3.2016, p. 1.</w:t>
      </w:r>
    </w:p>
  </w:footnote>
  <w:footnote w:id="4">
    <w:p w:rsidR="00253868" w:rsidRDefault="00CD6193">
      <w:pPr>
        <w:pStyle w:val="FootnoteText"/>
        <w:rPr>
          <w:lang w:val="fr-BE"/>
        </w:rPr>
      </w:pPr>
      <w:r>
        <w:rPr>
          <w:rStyle w:val="FootnoteReference"/>
        </w:rPr>
        <w:footnoteRef/>
      </w:r>
      <w:r>
        <w:rPr>
          <w:lang w:val="fr-BE"/>
        </w:rPr>
        <w:tab/>
        <w:t>Règlement délégué (UE) 2019/2035 de la Commission du 28 juin 2019 complétant le règlement (UE) 2016/429 du Parlement européen et du Conseil en ce qui concerne les règles relatives aux</w:t>
      </w:r>
      <w:r>
        <w:rPr>
          <w:lang w:val="fr-BE"/>
        </w:rPr>
        <w:t xml:space="preserve"> établissements détenant des animaux terrestres et aux couvoirs ainsi qu’à la traçabilité de certains animaux terrestres détenus et des œufs à couver (JO L 314 du 5.12.2019, p. 115).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193" w:rsidRPr="00CD6193" w:rsidRDefault="00CD6193" w:rsidP="00CD6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0E2008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D9C261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C0B43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3F01C7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1443AE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EBA1E7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18EF05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470968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lvlOverride w:ilvl="0">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79"/>
  <w:hideSpellingErrors/>
  <w:hideGrammaticalErrors/>
  <w:attachedTemplate r:id="rId1"/>
  <w:defaultTabStop w:val="720"/>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24 17:32:4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Yellow"/>
    <w:docVar w:name="DQCVersion" w:val="3"/>
    <w:docVar w:name="DQCWithWarnings" w:val="0"/>
    <w:docVar w:name="LW_COVERPAGE_EXISTS" w:val="True"/>
    <w:docVar w:name="LW_COVERPAGE_GUID" w:val="F3072D25-9037-4D96-8BAD-71735CBD763D"/>
    <w:docVar w:name="LW_COVERPAGE_TYPE" w:val="1"/>
    <w:docVar w:name="LW_CROSSREFERENCE" w:val="&lt;UNUSED&gt;"/>
    <w:docVar w:name="LW_DATE.ADOPT.CP" w:val="du 25.8.2020"/>
    <w:docVar w:name="LW_DATE.ADOPT.CP_DATEFORMAT" w:val="du %DATE%"/>
    <w:docVar w:name="LW_DATE.ADOPT.CP_ISODATE" w:val="2020-08-25"/>
    <w:docVar w:name="LW_DocType" w:val="COM"/>
    <w:docVar w:name="LW_EMISSION" w:val="25.8.2020"/>
    <w:docVar w:name="LW_EMISSION_ISODATE" w:val="2020-08-25"/>
    <w:docVar w:name="LW_EMISSION_LOCATION" w:val="BRX"/>
    <w:docVar w:name="LW_EMISSION_PREFIX" w:val="Bruxelles, le "/>
    <w:docVar w:name="LW_EMISSION_SUFFIX" w:val=" "/>
    <w:docVar w:name="LW_ID_DOCMODEL" w:val="SJ-003"/>
    <w:docVar w:name="LW_ID_DOCSIGNATURE" w:val="SJ-003"/>
    <w:docVar w:name="LW_ID_DOCSTRUCTURE" w:val="COM/AA"/>
    <w:docVar w:name="LW_ID_DOCTYPE" w:val="SJ-003"/>
    <w:docVar w:name="LW_ID_EXP.MOTIFS.NEW" w:val="EM_AA_"/>
    <w:docVar w:name="LW_INTERETEEE.CP" w:val="(Texte présentant de l\u8217?intérêt pour l\u8217?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20) 57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difiant le règlement délégué (UE) 2019/2035 de la Commission complétant le règlement (UE) 2016/429 du Parlement européen et du Conseil en ce qui concerne les règles relatives aux établissements détenant des animaux terrestres et aux couvoirs ainsi qu\u8217?à la traçabilité de certains animaux terrestres détenus et des \u339?ufs à couver"/>
    <w:docVar w:name="LW_TYPE.DOC.CP" w:val="RÈGLEMENT DÉLÉGUÉ (UE) \u8230?/... DE LA COMMISSION"/>
  </w:docVars>
  <w:rsids>
    <w:rsidRoot w:val="00253868"/>
    <w:rsid w:val="00253868"/>
    <w:rsid w:val="00CD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docId w15:val="{C54EDE9E-DD18-476A-BB50-5D586A0D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CD6193"/>
    <w:pPr>
      <w:tabs>
        <w:tab w:val="center" w:pos="4535"/>
        <w:tab w:val="right" w:pos="9071"/>
      </w:tabs>
      <w:spacing w:before="0"/>
    </w:pPr>
  </w:style>
  <w:style w:type="character" w:customStyle="1" w:styleId="HeaderChar">
    <w:name w:val="Header Char"/>
    <w:basedOn w:val="DefaultParagraphFont"/>
    <w:link w:val="Header"/>
    <w:uiPriority w:val="99"/>
    <w:rsid w:val="00CD6193"/>
    <w:rPr>
      <w:rFonts w:ascii="Times New Roman" w:hAnsi="Times New Roman" w:cs="Times New Roman"/>
      <w:sz w:val="24"/>
      <w:lang w:val="fr-FR"/>
    </w:rPr>
  </w:style>
  <w:style w:type="paragraph" w:styleId="Footer">
    <w:name w:val="footer"/>
    <w:basedOn w:val="Normal"/>
    <w:link w:val="FooterChar"/>
    <w:uiPriority w:val="99"/>
    <w:unhideWhenUsed/>
    <w:rsid w:val="00CD619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D6193"/>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CD6193"/>
    <w:pPr>
      <w:tabs>
        <w:tab w:val="center" w:pos="7285"/>
        <w:tab w:val="right" w:pos="14003"/>
      </w:tabs>
      <w:spacing w:before="0"/>
    </w:pPr>
  </w:style>
  <w:style w:type="paragraph" w:customStyle="1" w:styleId="FooterLandscape">
    <w:name w:val="FooterLandscape"/>
    <w:basedOn w:val="Normal"/>
    <w:rsid w:val="00CD619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D619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D6193"/>
    <w:pPr>
      <w:spacing w:before="0"/>
      <w:jc w:val="right"/>
    </w:pPr>
    <w:rPr>
      <w:sz w:val="28"/>
    </w:rPr>
  </w:style>
  <w:style w:type="paragraph" w:customStyle="1" w:styleId="FooterSensitivity">
    <w:name w:val="Footer Sensitivity"/>
    <w:basedOn w:val="Normal"/>
    <w:rsid w:val="00CD619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F8F001-0DF5-4BF6-932F-B61D1E3F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6</Pages>
  <Words>2057</Words>
  <Characters>11422</Characters>
  <Application>Microsoft Office Word</Application>
  <DocSecurity>0</DocSecurity>
  <Lines>184</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2020-02-25T08:40:00Z</cp:lastPrinted>
  <dcterms:created xsi:type="dcterms:W3CDTF">2020-08-06T10:36:00Z</dcterms:created>
  <dcterms:modified xsi:type="dcterms:W3CDTF">2020-08-24T15:50:00Z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Yellow (DQC version 03)</vt:lpwstr>
  </property>
  <property name="OP_sanitized" fmtid="{D5CDD505-2E9C-101B-9397-08002B2CF9AE}" pid="11">
    <vt:lpwstr>True</vt:lpwstr>
  </property>
</Properties>
</file>